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620"/>
          <w:tab w:val="left" w:pos="5145"/>
        </w:tabs>
        <w:spacing w:line="360" w:lineRule="auto"/>
        <w:ind w:firstLine="151" w:firstLineChars="50"/>
        <w:rPr>
          <w:rFonts w:hint="eastAsia" w:ascii="宋体" w:hAnsi="宋体" w:eastAsia="宋体" w:cs="宋体"/>
          <w:b/>
          <w:sz w:val="28"/>
          <w:szCs w:val="28"/>
          <w:highlight w:val="none"/>
          <w:lang w:eastAsia="zh-CN"/>
        </w:rPr>
      </w:pPr>
      <w:r>
        <w:rPr>
          <w:rFonts w:hint="eastAsia" w:ascii="宋体" w:hAnsi="宋体" w:cs="宋体"/>
          <w:b/>
          <w:sz w:val="30"/>
          <w:szCs w:val="30"/>
          <w:highlight w:val="none"/>
        </w:rPr>
        <w:t>项目编号:</w:t>
      </w:r>
      <w:r>
        <w:rPr>
          <w:rFonts w:hint="eastAsia" w:ascii="宋体" w:hAnsi="宋体" w:cs="宋体"/>
          <w:b/>
          <w:sz w:val="30"/>
          <w:szCs w:val="30"/>
          <w:highlight w:val="none"/>
          <w:lang w:eastAsia="zh-CN"/>
        </w:rPr>
        <w:t>ZYXCG-20230106</w:t>
      </w:r>
    </w:p>
    <w:p>
      <w:pPr>
        <w:tabs>
          <w:tab w:val="left" w:pos="4620"/>
          <w:tab w:val="left" w:pos="5145"/>
        </w:tabs>
        <w:spacing w:before="100" w:beforeAutospacing="1" w:after="100" w:afterAutospacing="1" w:line="360" w:lineRule="auto"/>
        <w:ind w:firstLine="10" w:firstLineChars="50"/>
        <w:outlineLvl w:val="0"/>
        <w:rPr>
          <w:rFonts w:ascii="宋体" w:hAnsi="宋体" w:cs="宋体"/>
          <w:b/>
          <w:sz w:val="2"/>
          <w:szCs w:val="30"/>
          <w:highlight w:val="none"/>
        </w:rPr>
      </w:pPr>
    </w:p>
    <w:p>
      <w:pPr>
        <w:pStyle w:val="2"/>
        <w:rPr>
          <w:highlight w:val="none"/>
        </w:rPr>
      </w:pPr>
    </w:p>
    <w:p>
      <w:pPr>
        <w:tabs>
          <w:tab w:val="left" w:pos="5145"/>
        </w:tabs>
        <w:spacing w:line="360" w:lineRule="auto"/>
        <w:jc w:val="center"/>
        <w:rPr>
          <w:rFonts w:ascii="宋体" w:hAnsi="宋体" w:cs="宋体"/>
          <w:b/>
          <w:bCs/>
          <w:sz w:val="44"/>
          <w:szCs w:val="44"/>
          <w:highlight w:val="none"/>
        </w:rPr>
      </w:pPr>
      <w:r>
        <w:rPr>
          <w:rFonts w:hint="eastAsia" w:ascii="宋体" w:hAnsi="宋体" w:cs="宋体"/>
          <w:b/>
          <w:sz w:val="44"/>
          <w:szCs w:val="52"/>
          <w:highlight w:val="none"/>
          <w:lang w:eastAsia="zh-CN"/>
        </w:rPr>
        <w:t>陕西省公路局新增普通省道危旧桥梁（隧）技术状况评定项目</w:t>
      </w:r>
    </w:p>
    <w:p>
      <w:pPr>
        <w:pStyle w:val="5"/>
        <w:rPr>
          <w:rFonts w:ascii="宋体" w:hAnsi="宋体" w:cs="宋体"/>
          <w:sz w:val="44"/>
          <w:szCs w:val="44"/>
          <w:highlight w:val="none"/>
        </w:rPr>
      </w:pPr>
    </w:p>
    <w:p>
      <w:pPr>
        <w:rPr>
          <w:rFonts w:ascii="宋体" w:hAnsi="宋体" w:cs="宋体"/>
          <w:highlight w:val="none"/>
        </w:rPr>
      </w:pPr>
    </w:p>
    <w:p>
      <w:pPr>
        <w:pStyle w:val="2"/>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 xml:space="preserve"> </w:t>
      </w:r>
    </w:p>
    <w:p>
      <w:pPr>
        <w:rPr>
          <w:rFonts w:ascii="宋体" w:hAnsi="宋体" w:cs="宋体"/>
          <w:highlight w:val="none"/>
        </w:rPr>
      </w:pPr>
    </w:p>
    <w:p>
      <w:pPr>
        <w:pStyle w:val="2"/>
        <w:tabs>
          <w:tab w:val="left" w:pos="6989"/>
        </w:tabs>
        <w:rPr>
          <w:rFonts w:hint="eastAsia" w:ascii="宋体" w:hAnsi="宋体" w:eastAsia="宋体" w:cs="宋体"/>
          <w:highlight w:val="none"/>
          <w:lang w:eastAsia="zh-CN"/>
        </w:rPr>
      </w:pPr>
      <w:r>
        <w:rPr>
          <w:rFonts w:hint="eastAsia" w:ascii="宋体" w:hAnsi="宋体" w:cs="宋体"/>
          <w:highlight w:val="none"/>
          <w:lang w:eastAsia="zh-CN"/>
        </w:rPr>
        <w:tab/>
      </w:r>
    </w:p>
    <w:p>
      <w:pPr>
        <w:rPr>
          <w:highlight w:val="none"/>
        </w:rPr>
      </w:pPr>
    </w:p>
    <w:p>
      <w:pPr>
        <w:pStyle w:val="5"/>
        <w:rPr>
          <w:rFonts w:ascii="宋体" w:hAnsi="宋体" w:cs="宋体"/>
          <w:highlight w:val="none"/>
        </w:rPr>
      </w:pPr>
    </w:p>
    <w:p>
      <w:pPr>
        <w:tabs>
          <w:tab w:val="left" w:pos="5145"/>
        </w:tabs>
        <w:spacing w:line="360" w:lineRule="auto"/>
        <w:jc w:val="center"/>
        <w:rPr>
          <w:rFonts w:ascii="宋体" w:hAnsi="宋体" w:cs="宋体"/>
          <w:b/>
          <w:bCs/>
          <w:sz w:val="64"/>
          <w:szCs w:val="56"/>
          <w:highlight w:val="none"/>
        </w:rPr>
      </w:pPr>
      <w:r>
        <w:rPr>
          <w:rFonts w:hint="eastAsia" w:ascii="宋体" w:hAnsi="宋体" w:cs="宋体"/>
          <w:b/>
          <w:bCs/>
          <w:sz w:val="64"/>
          <w:szCs w:val="56"/>
          <w:highlight w:val="none"/>
        </w:rPr>
        <w:t>竞争性磋商文件</w:t>
      </w:r>
    </w:p>
    <w:p>
      <w:pPr>
        <w:tabs>
          <w:tab w:val="left" w:pos="5145"/>
        </w:tabs>
        <w:spacing w:line="360" w:lineRule="auto"/>
        <w:jc w:val="center"/>
        <w:rPr>
          <w:rFonts w:ascii="宋体" w:hAnsi="宋体" w:cs="宋体"/>
          <w:sz w:val="24"/>
          <w:highlight w:val="none"/>
        </w:rPr>
      </w:pPr>
    </w:p>
    <w:p>
      <w:pPr>
        <w:pStyle w:val="5"/>
        <w:rPr>
          <w:rFonts w:ascii="宋体" w:hAnsi="宋体" w:cs="宋体"/>
          <w:highlight w:val="none"/>
        </w:rPr>
      </w:pPr>
    </w:p>
    <w:p>
      <w:pPr>
        <w:tabs>
          <w:tab w:val="left" w:pos="5145"/>
        </w:tabs>
        <w:spacing w:line="360" w:lineRule="auto"/>
        <w:jc w:val="center"/>
        <w:rPr>
          <w:rFonts w:ascii="宋体" w:hAnsi="宋体" w:cs="宋体"/>
          <w:b/>
          <w:sz w:val="28"/>
          <w:szCs w:val="28"/>
          <w:highlight w:val="none"/>
        </w:rPr>
      </w:pPr>
    </w:p>
    <w:p>
      <w:pPr>
        <w:tabs>
          <w:tab w:val="left" w:pos="5145"/>
        </w:tabs>
        <w:spacing w:line="360" w:lineRule="auto"/>
        <w:jc w:val="center"/>
        <w:rPr>
          <w:rFonts w:ascii="宋体" w:hAnsi="宋体" w:cs="宋体"/>
          <w:b/>
          <w:sz w:val="28"/>
          <w:szCs w:val="28"/>
          <w:highlight w:val="none"/>
        </w:rPr>
      </w:pPr>
    </w:p>
    <w:p>
      <w:pPr>
        <w:tabs>
          <w:tab w:val="left" w:pos="7272"/>
        </w:tabs>
        <w:snapToGrid w:val="0"/>
        <w:spacing w:line="360" w:lineRule="auto"/>
        <w:ind w:firstLine="1590" w:firstLineChars="495"/>
        <w:rPr>
          <w:rFonts w:hint="eastAsia" w:ascii="宋体" w:hAnsi="宋体" w:eastAsia="宋体" w:cs="宋体"/>
          <w:b/>
          <w:sz w:val="32"/>
          <w:highlight w:val="none"/>
          <w:lang w:eastAsia="zh-CN"/>
        </w:rPr>
      </w:pPr>
      <w:r>
        <w:rPr>
          <w:rFonts w:hint="eastAsia" w:ascii="宋体" w:hAnsi="宋体" w:cs="宋体"/>
          <w:b/>
          <w:sz w:val="32"/>
          <w:highlight w:val="none"/>
          <w:lang w:eastAsia="zh-CN"/>
        </w:rPr>
        <w:tab/>
      </w:r>
    </w:p>
    <w:p>
      <w:pPr>
        <w:pStyle w:val="5"/>
        <w:rPr>
          <w:rFonts w:ascii="宋体" w:hAnsi="宋体" w:cs="宋体"/>
          <w:highlight w:val="none"/>
        </w:rPr>
      </w:pPr>
    </w:p>
    <w:p>
      <w:pPr>
        <w:snapToGrid w:val="0"/>
        <w:spacing w:line="360" w:lineRule="auto"/>
        <w:ind w:firstLine="1590" w:firstLineChars="495"/>
        <w:rPr>
          <w:rFonts w:ascii="宋体" w:hAnsi="宋体" w:cs="宋体"/>
          <w:b/>
          <w:sz w:val="32"/>
          <w:highlight w:val="none"/>
        </w:rPr>
      </w:pPr>
    </w:p>
    <w:p>
      <w:pPr>
        <w:spacing w:line="800" w:lineRule="exact"/>
        <w:jc w:val="center"/>
        <w:rPr>
          <w:rFonts w:hint="eastAsia" w:ascii="宋体" w:hAnsi="宋体" w:cs="宋体"/>
          <w:b/>
          <w:bCs/>
          <w:sz w:val="40"/>
          <w:szCs w:val="40"/>
          <w:highlight w:val="none"/>
          <w:lang w:eastAsia="zh-CN"/>
        </w:rPr>
      </w:pPr>
      <w:r>
        <w:rPr>
          <w:rFonts w:hint="eastAsia" w:ascii="宋体" w:hAnsi="宋体" w:cs="宋体"/>
          <w:b/>
          <w:bCs/>
          <w:sz w:val="40"/>
          <w:szCs w:val="40"/>
          <w:highlight w:val="none"/>
          <w:lang w:eastAsia="zh-CN"/>
        </w:rPr>
        <w:t>陕西正宇信工程项目管理有限公司</w:t>
      </w:r>
    </w:p>
    <w:p>
      <w:pPr>
        <w:spacing w:line="800" w:lineRule="exact"/>
        <w:jc w:val="center"/>
        <w:rPr>
          <w:rFonts w:ascii="宋体" w:hAnsi="宋体" w:cs="宋体"/>
          <w:b/>
          <w:sz w:val="36"/>
          <w:szCs w:val="36"/>
          <w:highlight w:val="none"/>
        </w:rPr>
      </w:pPr>
      <w:r>
        <w:rPr>
          <w:rFonts w:hint="eastAsia" w:ascii="宋体" w:hAnsi="宋体" w:cs="宋体"/>
          <w:b/>
          <w:bCs/>
          <w:sz w:val="40"/>
          <w:szCs w:val="40"/>
          <w:highlight w:val="none"/>
        </w:rPr>
        <w:t>二〇二</w:t>
      </w:r>
      <w:r>
        <w:rPr>
          <w:rFonts w:hint="eastAsia" w:ascii="宋体" w:hAnsi="宋体" w:cs="宋体"/>
          <w:b/>
          <w:bCs/>
          <w:sz w:val="40"/>
          <w:szCs w:val="40"/>
          <w:highlight w:val="none"/>
          <w:lang w:val="en-US" w:eastAsia="zh-CN"/>
        </w:rPr>
        <w:t>三</w:t>
      </w:r>
      <w:r>
        <w:rPr>
          <w:rFonts w:hint="eastAsia" w:ascii="宋体" w:hAnsi="宋体" w:cs="宋体"/>
          <w:b/>
          <w:bCs/>
          <w:sz w:val="40"/>
          <w:szCs w:val="40"/>
          <w:highlight w:val="none"/>
        </w:rPr>
        <w:t>年</w:t>
      </w:r>
      <w:r>
        <w:rPr>
          <w:rFonts w:hint="eastAsia" w:ascii="宋体" w:hAnsi="宋体" w:cs="宋体"/>
          <w:b/>
          <w:bCs/>
          <w:sz w:val="40"/>
          <w:szCs w:val="40"/>
          <w:highlight w:val="none"/>
          <w:lang w:val="en-US" w:eastAsia="zh-CN"/>
        </w:rPr>
        <w:t>七</w:t>
      </w:r>
      <w:r>
        <w:rPr>
          <w:rFonts w:hint="eastAsia" w:ascii="宋体" w:hAnsi="宋体" w:cs="宋体"/>
          <w:b/>
          <w:bCs/>
          <w:sz w:val="40"/>
          <w:szCs w:val="40"/>
          <w:highlight w:val="none"/>
        </w:rPr>
        <w:t>月</w:t>
      </w:r>
      <w:bookmarkStart w:id="0" w:name="_Toc21955"/>
      <w:bookmarkStart w:id="1" w:name="_Toc495908398"/>
      <w:bookmarkStart w:id="2" w:name="_Toc519156735"/>
      <w:bookmarkStart w:id="3" w:name="_Toc268"/>
    </w:p>
    <w:p>
      <w:pPr>
        <w:jc w:val="center"/>
        <w:rPr>
          <w:rFonts w:hint="eastAsia" w:ascii="宋体" w:hAnsi="宋体" w:cs="宋体"/>
          <w:b/>
          <w:bCs/>
          <w:sz w:val="32"/>
          <w:szCs w:val="32"/>
          <w:highlight w:val="none"/>
        </w:rPr>
        <w:sectPr>
          <w:headerReference r:id="rId6" w:type="first"/>
          <w:headerReference r:id="rId5" w:type="default"/>
          <w:pgSz w:w="11906" w:h="16838"/>
          <w:pgMar w:top="1417" w:right="1417" w:bottom="1417" w:left="1417" w:header="850" w:footer="992" w:gutter="0"/>
          <w:pgNumType w:fmt="decimal" w:start="1"/>
          <w:cols w:space="0" w:num="1"/>
          <w:titlePg/>
          <w:rtlGutter w:val="0"/>
          <w:docGrid w:type="lines" w:linePitch="312" w:charSpace="0"/>
        </w:sectPr>
      </w:pPr>
    </w:p>
    <w:p>
      <w:pPr>
        <w:jc w:val="center"/>
        <w:rPr>
          <w:rFonts w:ascii="宋体" w:hAnsi="宋体" w:cs="宋体"/>
          <w:b/>
          <w:bCs/>
          <w:sz w:val="32"/>
          <w:szCs w:val="32"/>
          <w:highlight w:val="none"/>
        </w:rPr>
      </w:pPr>
      <w:r>
        <w:rPr>
          <w:rFonts w:hint="eastAsia" w:ascii="宋体" w:hAnsi="宋体" w:cs="宋体"/>
          <w:b/>
          <w:bCs/>
          <w:sz w:val="32"/>
          <w:szCs w:val="32"/>
          <w:highlight w:val="none"/>
        </w:rPr>
        <w:t>目录</w:t>
      </w:r>
    </w:p>
    <w:p>
      <w:pPr>
        <w:pStyle w:val="17"/>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TOC \o "1-2" \h \u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\l _Toc24116 </w:instrText>
      </w:r>
      <w:r>
        <w:rPr>
          <w:rFonts w:hint="eastAsia" w:ascii="宋体" w:hAnsi="宋体" w:eastAsia="宋体" w:cs="宋体"/>
          <w:sz w:val="24"/>
          <w:szCs w:val="24"/>
          <w:highlight w:val="none"/>
        </w:rPr>
        <w:fldChar w:fldCharType="separate"/>
      </w:r>
      <w:r>
        <w:rPr>
          <w:rFonts w:hint="eastAsia" w:ascii="宋体" w:hAnsi="宋体" w:eastAsia="宋体" w:cs="宋体"/>
          <w:bCs/>
          <w:sz w:val="24"/>
          <w:szCs w:val="24"/>
          <w:highlight w:val="none"/>
        </w:rPr>
        <w:t>第一部分  竞争性磋商公告</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_Toc24116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2</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fldChar w:fldCharType="end"/>
      </w:r>
    </w:p>
    <w:p>
      <w:pPr>
        <w:pStyle w:val="17"/>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\l _Toc9719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第二部分  供应商须知</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_Toc9719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7</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fldChar w:fldCharType="end"/>
      </w:r>
    </w:p>
    <w:p>
      <w:pPr>
        <w:pStyle w:val="19"/>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\l _Toc25812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一．名词解释</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_Toc25812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15</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fldChar w:fldCharType="end"/>
      </w:r>
    </w:p>
    <w:p>
      <w:pPr>
        <w:pStyle w:val="19"/>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\l _Toc10811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二．磋商供应商</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_Toc10811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15</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fldChar w:fldCharType="end"/>
      </w:r>
    </w:p>
    <w:p>
      <w:pPr>
        <w:pStyle w:val="19"/>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\l _Toc18111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三．磋商文件</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_Toc18111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17</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fldChar w:fldCharType="end"/>
      </w:r>
    </w:p>
    <w:p>
      <w:pPr>
        <w:pStyle w:val="19"/>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\l _Toc4855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四．磋商要求</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_Toc4855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18</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fldChar w:fldCharType="end"/>
      </w:r>
    </w:p>
    <w:p>
      <w:pPr>
        <w:pStyle w:val="19"/>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\l _Toc20787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五．磋商响应文件封装、递交</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_Toc20787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21</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fldChar w:fldCharType="end"/>
      </w:r>
    </w:p>
    <w:p>
      <w:pPr>
        <w:pStyle w:val="19"/>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\l _Toc21830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六．磋商、澄清、成交</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_Toc21830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22</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fldChar w:fldCharType="end"/>
      </w:r>
    </w:p>
    <w:p>
      <w:pPr>
        <w:pStyle w:val="19"/>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\l _Toc22120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七.确定成交人、成交通知与签约</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_Toc22120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23</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fldChar w:fldCharType="end"/>
      </w:r>
    </w:p>
    <w:p>
      <w:pPr>
        <w:pStyle w:val="19"/>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\l _Toc3550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八．成交服务费</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_Toc3550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24</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fldChar w:fldCharType="end"/>
      </w:r>
    </w:p>
    <w:p>
      <w:pPr>
        <w:pStyle w:val="19"/>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\l _Toc19992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九.质疑与投诉</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_Toc19992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25</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fldChar w:fldCharType="end"/>
      </w:r>
    </w:p>
    <w:p>
      <w:pPr>
        <w:pStyle w:val="19"/>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\l _Toc21510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十.其他事项</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_Toc21510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27</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fldChar w:fldCharType="end"/>
      </w:r>
    </w:p>
    <w:p>
      <w:pPr>
        <w:pStyle w:val="17"/>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\l _Toc16152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第三部分 磋商要求及说明</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_Toc16152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29</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fldChar w:fldCharType="end"/>
      </w:r>
    </w:p>
    <w:p>
      <w:pPr>
        <w:pStyle w:val="17"/>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\l _Toc21826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第四部分  商务及合同主要条款</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_Toc21826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29</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fldChar w:fldCharType="end"/>
      </w:r>
    </w:p>
    <w:p>
      <w:pPr>
        <w:pStyle w:val="17"/>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\l _Toc25300 </w:instrText>
      </w:r>
      <w:r>
        <w:rPr>
          <w:rFonts w:hint="eastAsia" w:ascii="宋体" w:hAnsi="宋体" w:eastAsia="宋体" w:cs="宋体"/>
          <w:sz w:val="24"/>
          <w:szCs w:val="24"/>
          <w:highlight w:val="none"/>
        </w:rPr>
        <w:fldChar w:fldCharType="separate"/>
      </w:r>
      <w:r>
        <w:rPr>
          <w:rFonts w:hint="eastAsia" w:ascii="宋体" w:hAnsi="宋体" w:eastAsia="宋体" w:cs="宋体"/>
          <w:bCs/>
          <w:sz w:val="24"/>
          <w:szCs w:val="24"/>
          <w:highlight w:val="none"/>
        </w:rPr>
        <w:t>第五部分  评审办法</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_Toc25300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51</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fldChar w:fldCharType="end"/>
      </w:r>
    </w:p>
    <w:p>
      <w:pPr>
        <w:pStyle w:val="17"/>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\l _Toc1884 </w:instrText>
      </w:r>
      <w:r>
        <w:rPr>
          <w:rFonts w:hint="eastAsia" w:ascii="宋体" w:hAnsi="宋体" w:eastAsia="宋体" w:cs="宋体"/>
          <w:sz w:val="24"/>
          <w:szCs w:val="24"/>
          <w:highlight w:val="none"/>
        </w:rPr>
        <w:fldChar w:fldCharType="separate"/>
      </w:r>
      <w:r>
        <w:rPr>
          <w:rFonts w:hint="eastAsia" w:ascii="宋体" w:hAnsi="宋体" w:eastAsia="宋体" w:cs="宋体"/>
          <w:bCs/>
          <w:sz w:val="24"/>
          <w:szCs w:val="24"/>
          <w:highlight w:val="none"/>
        </w:rPr>
        <w:t>第六部分  竞争性磋商响应文件格式</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_Toc1884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62</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fldChar w:fldCharType="end"/>
      </w:r>
    </w:p>
    <w:p>
      <w:pPr>
        <w:pStyle w:val="19"/>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\l _Toc14777 </w:instrText>
      </w:r>
      <w:r>
        <w:rPr>
          <w:rFonts w:hint="eastAsia" w:ascii="宋体" w:hAnsi="宋体" w:eastAsia="宋体" w:cs="宋体"/>
          <w:sz w:val="24"/>
          <w:szCs w:val="24"/>
          <w:highlight w:val="none"/>
        </w:rPr>
        <w:fldChar w:fldCharType="separate"/>
      </w:r>
      <w:r>
        <w:rPr>
          <w:rFonts w:hint="eastAsia" w:ascii="宋体" w:hAnsi="宋体" w:eastAsia="宋体" w:cs="宋体"/>
          <w:bCs/>
          <w:sz w:val="24"/>
          <w:szCs w:val="24"/>
          <w:highlight w:val="none"/>
        </w:rPr>
        <w:t>一、磋商函</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_Toc14777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64</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fldChar w:fldCharType="end"/>
      </w:r>
    </w:p>
    <w:p>
      <w:pPr>
        <w:pStyle w:val="19"/>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\l _Toc27570 </w:instrText>
      </w:r>
      <w:r>
        <w:rPr>
          <w:rFonts w:hint="eastAsia" w:ascii="宋体" w:hAnsi="宋体" w:eastAsia="宋体" w:cs="宋体"/>
          <w:sz w:val="24"/>
          <w:szCs w:val="24"/>
          <w:highlight w:val="none"/>
        </w:rPr>
        <w:fldChar w:fldCharType="separate"/>
      </w:r>
      <w:r>
        <w:rPr>
          <w:rFonts w:hint="eastAsia" w:ascii="宋体" w:hAnsi="宋体" w:eastAsia="宋体" w:cs="宋体"/>
          <w:bCs/>
          <w:sz w:val="24"/>
          <w:szCs w:val="24"/>
          <w:highlight w:val="none"/>
        </w:rPr>
        <w:t>二、法定代表人证明书</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_Toc27570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65</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fldChar w:fldCharType="end"/>
      </w:r>
    </w:p>
    <w:p>
      <w:pPr>
        <w:pStyle w:val="19"/>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\l _Toc16330 </w:instrText>
      </w:r>
      <w:r>
        <w:rPr>
          <w:rFonts w:hint="eastAsia" w:ascii="宋体" w:hAnsi="宋体" w:eastAsia="宋体" w:cs="宋体"/>
          <w:sz w:val="24"/>
          <w:szCs w:val="24"/>
          <w:highlight w:val="none"/>
        </w:rPr>
        <w:fldChar w:fldCharType="separate"/>
      </w:r>
      <w:r>
        <w:rPr>
          <w:rFonts w:hint="eastAsia" w:ascii="宋体" w:hAnsi="宋体" w:eastAsia="宋体" w:cs="宋体"/>
          <w:bCs/>
          <w:sz w:val="24"/>
          <w:szCs w:val="24"/>
          <w:highlight w:val="none"/>
        </w:rPr>
        <w:t>三、法人授权委托书</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_Toc16330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66</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fldChar w:fldCharType="end"/>
      </w:r>
    </w:p>
    <w:p>
      <w:pPr>
        <w:pStyle w:val="19"/>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\l _Toc30190 </w:instrText>
      </w:r>
      <w:r>
        <w:rPr>
          <w:rFonts w:hint="eastAsia" w:ascii="宋体" w:hAnsi="宋体" w:eastAsia="宋体" w:cs="宋体"/>
          <w:sz w:val="24"/>
          <w:szCs w:val="24"/>
          <w:highlight w:val="none"/>
        </w:rPr>
        <w:fldChar w:fldCharType="separate"/>
      </w:r>
      <w:r>
        <w:rPr>
          <w:rFonts w:hint="eastAsia" w:ascii="宋体" w:hAnsi="宋体" w:eastAsia="宋体" w:cs="宋体"/>
          <w:bCs/>
          <w:sz w:val="24"/>
          <w:szCs w:val="24"/>
          <w:highlight w:val="none"/>
        </w:rPr>
        <w:t>四、报价表</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_Toc30190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67</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fldChar w:fldCharType="end"/>
      </w:r>
    </w:p>
    <w:p>
      <w:pPr>
        <w:pStyle w:val="19"/>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\l _Toc10990 </w:instrText>
      </w:r>
      <w:r>
        <w:rPr>
          <w:rFonts w:hint="eastAsia" w:ascii="宋体" w:hAnsi="宋体" w:eastAsia="宋体" w:cs="宋体"/>
          <w:sz w:val="24"/>
          <w:szCs w:val="24"/>
          <w:highlight w:val="none"/>
        </w:rPr>
        <w:fldChar w:fldCharType="separate"/>
      </w:r>
      <w:r>
        <w:rPr>
          <w:rFonts w:hint="eastAsia" w:ascii="宋体" w:hAnsi="宋体" w:eastAsia="宋体" w:cs="宋体"/>
          <w:bCs/>
          <w:sz w:val="24"/>
          <w:szCs w:val="24"/>
          <w:highlight w:val="none"/>
        </w:rPr>
        <w:t>五、近</w:t>
      </w:r>
      <w:r>
        <w:rPr>
          <w:rFonts w:hint="eastAsia" w:ascii="宋体" w:hAnsi="宋体" w:eastAsia="宋体" w:cs="宋体"/>
          <w:bCs/>
          <w:sz w:val="24"/>
          <w:szCs w:val="24"/>
          <w:highlight w:val="none"/>
          <w:lang w:val="en-US" w:eastAsia="zh-CN"/>
        </w:rPr>
        <w:t>三</w:t>
      </w:r>
      <w:r>
        <w:rPr>
          <w:rFonts w:hint="eastAsia" w:ascii="宋体" w:hAnsi="宋体" w:eastAsia="宋体" w:cs="宋体"/>
          <w:bCs/>
          <w:sz w:val="24"/>
          <w:szCs w:val="24"/>
          <w:highlight w:val="none"/>
        </w:rPr>
        <w:t>年承接的类似项目情况表</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_Toc10990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67</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fldChar w:fldCharType="end"/>
      </w:r>
    </w:p>
    <w:p>
      <w:pPr>
        <w:pStyle w:val="19"/>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\l _Toc31129 </w:instrText>
      </w:r>
      <w:r>
        <w:rPr>
          <w:rFonts w:hint="eastAsia" w:ascii="宋体" w:hAnsi="宋体" w:eastAsia="宋体" w:cs="宋体"/>
          <w:sz w:val="24"/>
          <w:szCs w:val="24"/>
          <w:highlight w:val="none"/>
        </w:rPr>
        <w:fldChar w:fldCharType="separate"/>
      </w:r>
      <w:r>
        <w:rPr>
          <w:rFonts w:hint="eastAsia" w:ascii="宋体" w:hAnsi="宋体" w:eastAsia="宋体" w:cs="宋体"/>
          <w:bCs/>
          <w:kern w:val="2"/>
          <w:sz w:val="24"/>
          <w:szCs w:val="24"/>
          <w:highlight w:val="none"/>
        </w:rPr>
        <w:t>六、技术组织方案</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_Toc31129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71</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fldChar w:fldCharType="end"/>
      </w:r>
    </w:p>
    <w:p>
      <w:pPr>
        <w:pStyle w:val="19"/>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\l _Toc10437 </w:instrText>
      </w:r>
      <w:r>
        <w:rPr>
          <w:rFonts w:hint="eastAsia" w:ascii="宋体" w:hAnsi="宋体" w:eastAsia="宋体" w:cs="宋体"/>
          <w:sz w:val="24"/>
          <w:szCs w:val="24"/>
          <w:highlight w:val="none"/>
        </w:rPr>
        <w:fldChar w:fldCharType="separate"/>
      </w:r>
      <w:r>
        <w:rPr>
          <w:rFonts w:hint="eastAsia" w:ascii="宋体" w:hAnsi="宋体" w:eastAsia="宋体" w:cs="宋体"/>
          <w:bCs/>
          <w:sz w:val="24"/>
          <w:szCs w:val="24"/>
          <w:highlight w:val="none"/>
        </w:rPr>
        <w:t>七、技术和商务响应说明</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_Toc10437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75</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fldChar w:fldCharType="end"/>
      </w:r>
    </w:p>
    <w:p>
      <w:pPr>
        <w:pStyle w:val="19"/>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\l _Toc23847 </w:instrText>
      </w:r>
      <w:r>
        <w:rPr>
          <w:rFonts w:hint="eastAsia" w:ascii="宋体" w:hAnsi="宋体" w:eastAsia="宋体" w:cs="宋体"/>
          <w:sz w:val="24"/>
          <w:szCs w:val="24"/>
          <w:highlight w:val="none"/>
        </w:rPr>
        <w:fldChar w:fldCharType="separate"/>
      </w:r>
      <w:r>
        <w:rPr>
          <w:rFonts w:hint="eastAsia" w:ascii="宋体" w:hAnsi="宋体" w:eastAsia="宋体" w:cs="宋体"/>
          <w:bCs/>
          <w:sz w:val="24"/>
          <w:szCs w:val="24"/>
          <w:highlight w:val="none"/>
        </w:rPr>
        <w:t>八、资格证明文件</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_Toc23847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76</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fldChar w:fldCharType="end"/>
      </w:r>
    </w:p>
    <w:p>
      <w:pPr>
        <w:pStyle w:val="19"/>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\l _Toc1 </w:instrText>
      </w:r>
      <w:r>
        <w:rPr>
          <w:rFonts w:hint="eastAsia" w:ascii="宋体" w:hAnsi="宋体" w:eastAsia="宋体" w:cs="宋体"/>
          <w:sz w:val="24"/>
          <w:szCs w:val="24"/>
          <w:highlight w:val="none"/>
        </w:rPr>
        <w:fldChar w:fldCharType="separate"/>
      </w:r>
      <w:r>
        <w:rPr>
          <w:rFonts w:hint="eastAsia" w:ascii="宋体" w:hAnsi="宋体" w:eastAsia="宋体" w:cs="宋体"/>
          <w:bCs/>
          <w:kern w:val="2"/>
          <w:sz w:val="24"/>
          <w:szCs w:val="24"/>
          <w:highlight w:val="none"/>
        </w:rPr>
        <w:t>九、其他资料</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_Toc1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85</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fldChar w:fldCharType="end"/>
      </w:r>
    </w:p>
    <w:p>
      <w:pPr>
        <w:pStyle w:val="19"/>
        <w:keepNext w:val="0"/>
        <w:keepLines w:val="0"/>
        <w:pageBreakBefore w:val="0"/>
        <w:widowControl w:val="0"/>
        <w:tabs>
          <w:tab w:val="right" w:leader="hyphen" w:pos="9016"/>
        </w:tabs>
        <w:kinsoku/>
        <w:wordWrap/>
        <w:overflowPunct/>
        <w:topLinePunct w:val="0"/>
        <w:autoSpaceDE/>
        <w:autoSpaceDN/>
        <w:bidi w:val="0"/>
        <w:adjustRightInd/>
        <w:snapToGrid/>
        <w:spacing w:line="360" w:lineRule="auto"/>
        <w:ind w:left="0" w:leftChars="0"/>
        <w:jc w:val="center"/>
        <w:textAlignment w:val="auto"/>
        <w:rPr>
          <w:rFonts w:ascii="宋体" w:hAnsi="宋体" w:cs="宋体"/>
          <w:sz w:val="24"/>
          <w:highlight w:val="none"/>
        </w:rPr>
        <w:sectPr>
          <w:headerReference r:id="rId8" w:type="first"/>
          <w:footerReference r:id="rId10" w:type="first"/>
          <w:headerReference r:id="rId7" w:type="default"/>
          <w:footerReference r:id="rId9" w:type="default"/>
          <w:pgSz w:w="11906" w:h="16838"/>
          <w:pgMar w:top="1417" w:right="1417" w:bottom="1417" w:left="1417" w:header="850" w:footer="992" w:gutter="0"/>
          <w:pgNumType w:fmt="decimal" w:start="1"/>
          <w:cols w:space="0" w:num="1"/>
          <w:titlePg/>
          <w:rtlGutter w:val="0"/>
          <w:docGrid w:type="lines" w:linePitch="312" w:charSpace="0"/>
        </w:sectPr>
      </w:pPr>
      <w:r>
        <w:rPr>
          <w:rFonts w:hint="eastAsia" w:ascii="宋体" w:hAnsi="宋体" w:eastAsia="宋体" w:cs="宋体"/>
          <w:sz w:val="24"/>
          <w:szCs w:val="24"/>
          <w:highlight w:val="none"/>
        </w:rPr>
        <w:fldChar w:fldCharType="end"/>
      </w:r>
    </w:p>
    <w:p>
      <w:pPr>
        <w:pStyle w:val="19"/>
        <w:tabs>
          <w:tab w:val="right" w:leader="hyphen" w:pos="9016"/>
        </w:tabs>
        <w:spacing w:line="360" w:lineRule="auto"/>
        <w:ind w:left="0" w:leftChars="0"/>
        <w:jc w:val="center"/>
        <w:outlineLvl w:val="0"/>
        <w:rPr>
          <w:rFonts w:ascii="宋体" w:hAnsi="宋体" w:cs="宋体"/>
          <w:b/>
          <w:bCs/>
          <w:sz w:val="32"/>
          <w:szCs w:val="32"/>
          <w:highlight w:val="none"/>
        </w:rPr>
      </w:pPr>
      <w:bookmarkStart w:id="4" w:name="_Toc3318"/>
      <w:bookmarkStart w:id="5" w:name="_Toc24116"/>
      <w:r>
        <w:rPr>
          <w:rFonts w:hint="eastAsia" w:ascii="宋体" w:hAnsi="宋体" w:cs="宋体"/>
          <w:b/>
          <w:bCs/>
          <w:sz w:val="32"/>
          <w:szCs w:val="32"/>
          <w:highlight w:val="none"/>
        </w:rPr>
        <w:t>第一部分  竞争性磋商公告</w:t>
      </w:r>
      <w:bookmarkEnd w:id="0"/>
      <w:bookmarkEnd w:id="1"/>
      <w:bookmarkEnd w:id="2"/>
      <w:bookmarkEnd w:id="3"/>
      <w:bookmarkEnd w:id="4"/>
      <w:bookmarkEnd w:id="5"/>
    </w:p>
    <w:p>
      <w:pPr>
        <w:pStyle w:val="20"/>
        <w:spacing w:beforeAutospacing="0" w:afterAutospacing="0" w:line="500" w:lineRule="exact"/>
        <w:rPr>
          <w:b/>
          <w:bCs/>
          <w:color w:val="333333"/>
          <w:highlight w:val="none"/>
          <w:shd w:val="clear" w:color="auto" w:fill="FFFFFF"/>
        </w:rPr>
      </w:pPr>
      <w:bookmarkStart w:id="6" w:name="_Toc28842"/>
      <w:bookmarkStart w:id="7" w:name="_Toc519156736"/>
      <w:bookmarkStart w:id="8" w:name="_Toc7581"/>
      <w:bookmarkStart w:id="9" w:name="_Toc495908399"/>
      <w:bookmarkStart w:id="10" w:name="_Toc8474"/>
      <w:bookmarkStart w:id="11" w:name="_Toc26933"/>
      <w:r>
        <w:rPr>
          <w:rFonts w:hint="eastAsia"/>
          <w:b/>
          <w:bCs/>
          <w:color w:val="333333"/>
          <w:highlight w:val="none"/>
          <w:shd w:val="clear" w:color="auto" w:fill="FFFFFF"/>
        </w:rPr>
        <w:t>项目概况</w:t>
      </w:r>
    </w:p>
    <w:p>
      <w:pPr>
        <w:pStyle w:val="20"/>
        <w:spacing w:beforeAutospacing="0" w:afterAutospacing="0" w:line="500" w:lineRule="exact"/>
        <w:ind w:firstLine="420"/>
        <w:rPr>
          <w:color w:val="333333"/>
          <w:highlight w:val="none"/>
          <w:shd w:val="clear" w:color="auto" w:fill="FFFFFF"/>
        </w:rPr>
      </w:pPr>
      <w:r>
        <w:rPr>
          <w:rFonts w:hint="eastAsia"/>
          <w:color w:val="333333"/>
          <w:highlight w:val="none"/>
          <w:shd w:val="clear" w:color="auto" w:fill="FFFFFF"/>
          <w:lang w:val="en-US" w:eastAsia="zh-CN"/>
        </w:rPr>
        <w:t>陕西省公路局新增普通省道危旧桥梁（隧) 技术状况评定项目</w:t>
      </w:r>
      <w:r>
        <w:rPr>
          <w:rFonts w:hint="eastAsia"/>
          <w:color w:val="333333"/>
          <w:highlight w:val="none"/>
          <w:shd w:val="clear" w:color="auto" w:fill="FFFFFF"/>
        </w:rPr>
        <w:t>潜在供应商应在</w:t>
      </w:r>
      <w:r>
        <w:rPr>
          <w:rFonts w:hint="eastAsia"/>
          <w:color w:val="333333"/>
          <w:highlight w:val="none"/>
          <w:shd w:val="clear" w:color="auto" w:fill="FFFFFF"/>
          <w:lang w:eastAsia="zh-CN"/>
        </w:rPr>
        <w:t>西安市航天基地飞天路北航科技园5号楼1单元2楼</w:t>
      </w:r>
      <w:r>
        <w:rPr>
          <w:rFonts w:hint="eastAsia"/>
          <w:color w:val="333333"/>
          <w:highlight w:val="none"/>
          <w:shd w:val="clear" w:color="auto" w:fill="FFFFFF"/>
        </w:rPr>
        <w:t>获取采购文件，并于202</w:t>
      </w:r>
      <w:r>
        <w:rPr>
          <w:rFonts w:hint="eastAsia"/>
          <w:color w:val="333333"/>
          <w:highlight w:val="none"/>
          <w:shd w:val="clear" w:color="auto" w:fill="FFFFFF"/>
          <w:lang w:val="en-US" w:eastAsia="zh-CN"/>
        </w:rPr>
        <w:t>3</w:t>
      </w:r>
      <w:r>
        <w:rPr>
          <w:rFonts w:hint="eastAsia"/>
          <w:color w:val="333333"/>
          <w:highlight w:val="none"/>
          <w:shd w:val="clear" w:color="auto" w:fill="FFFFFF"/>
        </w:rPr>
        <w:t>年</w:t>
      </w:r>
      <w:r>
        <w:rPr>
          <w:rFonts w:hint="eastAsia"/>
          <w:color w:val="333333"/>
          <w:highlight w:val="none"/>
          <w:shd w:val="clear" w:color="auto" w:fill="FFFFFF"/>
          <w:lang w:val="en-US" w:eastAsia="zh-CN"/>
        </w:rPr>
        <w:t>07</w:t>
      </w:r>
      <w:r>
        <w:rPr>
          <w:rFonts w:hint="eastAsia"/>
          <w:color w:val="333333"/>
          <w:highlight w:val="none"/>
          <w:shd w:val="clear" w:color="auto" w:fill="FFFFFF"/>
        </w:rPr>
        <w:t>月</w:t>
      </w:r>
      <w:r>
        <w:rPr>
          <w:rFonts w:hint="eastAsia"/>
          <w:color w:val="333333"/>
          <w:highlight w:val="none"/>
          <w:shd w:val="clear" w:color="auto" w:fill="FFFFFF"/>
          <w:lang w:val="en-US" w:eastAsia="zh-CN"/>
        </w:rPr>
        <w:t>19</w:t>
      </w:r>
      <w:r>
        <w:rPr>
          <w:rFonts w:hint="eastAsia"/>
          <w:color w:val="333333"/>
          <w:highlight w:val="none"/>
          <w:shd w:val="clear" w:color="auto" w:fill="FFFFFF"/>
        </w:rPr>
        <w:t>日</w:t>
      </w:r>
      <w:r>
        <w:rPr>
          <w:rFonts w:hint="eastAsia"/>
          <w:color w:val="333333"/>
          <w:highlight w:val="none"/>
          <w:shd w:val="clear" w:color="auto" w:fill="FFFFFF"/>
          <w:lang w:val="en-US" w:eastAsia="zh-CN"/>
        </w:rPr>
        <w:t>10时00分</w:t>
      </w:r>
      <w:r>
        <w:rPr>
          <w:rFonts w:hint="eastAsia"/>
          <w:color w:val="333333"/>
          <w:highlight w:val="none"/>
          <w:shd w:val="clear" w:color="auto" w:fill="FFFFFF"/>
        </w:rPr>
        <w:t>前递交响应文件。</w:t>
      </w:r>
    </w:p>
    <w:p>
      <w:pPr>
        <w:pStyle w:val="20"/>
        <w:spacing w:beforeAutospacing="0" w:afterAutospacing="0" w:line="500" w:lineRule="exact"/>
        <w:rPr>
          <w:b/>
          <w:bCs/>
          <w:color w:val="333333"/>
          <w:highlight w:val="none"/>
          <w:shd w:val="clear" w:color="auto" w:fill="FFFFFF"/>
        </w:rPr>
      </w:pPr>
      <w:r>
        <w:rPr>
          <w:rFonts w:hint="eastAsia"/>
          <w:b/>
          <w:bCs/>
          <w:color w:val="333333"/>
          <w:highlight w:val="none"/>
          <w:shd w:val="clear" w:color="auto" w:fill="FFFFFF"/>
        </w:rPr>
        <w:t>一、项目基本情况：</w:t>
      </w:r>
    </w:p>
    <w:p>
      <w:pPr>
        <w:pStyle w:val="20"/>
        <w:spacing w:beforeAutospacing="0" w:afterAutospacing="0" w:line="500" w:lineRule="exact"/>
        <w:ind w:firstLine="420"/>
        <w:rPr>
          <w:rFonts w:hint="eastAsia" w:eastAsia="宋体"/>
          <w:color w:val="333333"/>
          <w:highlight w:val="none"/>
          <w:shd w:val="clear" w:color="auto" w:fill="FFFFFF"/>
          <w:lang w:eastAsia="zh-CN"/>
        </w:rPr>
      </w:pPr>
      <w:r>
        <w:rPr>
          <w:rFonts w:hint="eastAsia"/>
          <w:color w:val="333333"/>
          <w:highlight w:val="none"/>
          <w:shd w:val="clear" w:color="auto" w:fill="FFFFFF"/>
        </w:rPr>
        <w:t>项目编号：</w:t>
      </w:r>
      <w:r>
        <w:rPr>
          <w:rFonts w:hint="eastAsia"/>
          <w:color w:val="333333"/>
          <w:highlight w:val="none"/>
          <w:shd w:val="clear" w:color="auto" w:fill="FFFFFF"/>
          <w:lang w:eastAsia="zh-CN"/>
        </w:rPr>
        <w:t>ZYXCG-20230106</w:t>
      </w:r>
    </w:p>
    <w:p>
      <w:pPr>
        <w:pStyle w:val="20"/>
        <w:spacing w:beforeAutospacing="0" w:afterAutospacing="0" w:line="500" w:lineRule="exact"/>
        <w:ind w:firstLine="420"/>
        <w:rPr>
          <w:color w:val="333333"/>
          <w:highlight w:val="none"/>
          <w:shd w:val="clear" w:color="auto" w:fill="FFFFFF"/>
        </w:rPr>
      </w:pPr>
      <w:r>
        <w:rPr>
          <w:rFonts w:hint="eastAsia"/>
          <w:color w:val="333333"/>
          <w:highlight w:val="none"/>
          <w:shd w:val="clear" w:color="auto" w:fill="FFFFFF"/>
        </w:rPr>
        <w:t>项目名称：</w:t>
      </w:r>
      <w:r>
        <w:rPr>
          <w:rFonts w:hint="eastAsia"/>
          <w:color w:val="333333"/>
          <w:highlight w:val="none"/>
          <w:shd w:val="clear" w:color="auto" w:fill="FFFFFF"/>
          <w:lang w:val="en-US" w:eastAsia="zh-CN"/>
        </w:rPr>
        <w:t>陕西省公路局新增普通省道危旧桥梁（隧) 技术状况评定项目</w:t>
      </w:r>
    </w:p>
    <w:p>
      <w:pPr>
        <w:pStyle w:val="20"/>
        <w:spacing w:beforeAutospacing="0" w:afterAutospacing="0" w:line="500" w:lineRule="exact"/>
        <w:ind w:firstLine="420"/>
        <w:rPr>
          <w:color w:val="333333"/>
          <w:highlight w:val="none"/>
          <w:shd w:val="clear" w:color="auto" w:fill="FFFFFF"/>
        </w:rPr>
      </w:pPr>
      <w:r>
        <w:rPr>
          <w:rFonts w:hint="eastAsia"/>
          <w:color w:val="333333"/>
          <w:highlight w:val="none"/>
          <w:shd w:val="clear" w:color="auto" w:fill="FFFFFF"/>
        </w:rPr>
        <w:t>预算金额：</w:t>
      </w:r>
      <w:r>
        <w:rPr>
          <w:rFonts w:hint="eastAsia"/>
          <w:color w:val="333333"/>
          <w:highlight w:val="none"/>
          <w:shd w:val="clear" w:color="auto" w:fill="FFFFFF"/>
          <w:lang w:val="en-US" w:eastAsia="zh-CN"/>
        </w:rPr>
        <w:t>156</w:t>
      </w:r>
      <w:r>
        <w:rPr>
          <w:rFonts w:hint="eastAsia"/>
          <w:color w:val="333333"/>
          <w:highlight w:val="none"/>
          <w:shd w:val="clear" w:color="auto" w:fill="FFFFFF"/>
        </w:rPr>
        <w:t>0000.00元</w:t>
      </w:r>
    </w:p>
    <w:p>
      <w:pPr>
        <w:pStyle w:val="20"/>
        <w:spacing w:beforeAutospacing="0" w:afterAutospacing="0" w:line="500" w:lineRule="exact"/>
        <w:ind w:firstLine="420"/>
        <w:rPr>
          <w:rFonts w:hint="eastAsia" w:eastAsia="宋体"/>
          <w:color w:val="333333"/>
          <w:highlight w:val="none"/>
          <w:shd w:val="clear" w:color="auto" w:fill="FFFFFF"/>
          <w:lang w:eastAsia="zh-CN"/>
        </w:rPr>
      </w:pPr>
      <w:r>
        <w:rPr>
          <w:rFonts w:hint="eastAsia"/>
          <w:color w:val="333333"/>
          <w:highlight w:val="none"/>
          <w:shd w:val="clear" w:color="auto" w:fill="FFFFFF"/>
        </w:rPr>
        <w:t>采购需求</w:t>
      </w:r>
      <w:r>
        <w:rPr>
          <w:rFonts w:hint="eastAsia"/>
          <w:color w:val="333333"/>
          <w:highlight w:val="none"/>
          <w:shd w:val="clear" w:color="auto" w:fill="FFFFFF"/>
          <w:lang w:eastAsia="zh-CN"/>
        </w:rPr>
        <w:t>，</w:t>
      </w:r>
    </w:p>
    <w:p>
      <w:pPr>
        <w:pStyle w:val="20"/>
        <w:keepNext w:val="0"/>
        <w:keepLines w:val="0"/>
        <w:pageBreakBefore w:val="0"/>
        <w:kinsoku/>
        <w:overflowPunct/>
        <w:topLinePunct w:val="0"/>
        <w:autoSpaceDE/>
        <w:autoSpaceDN/>
        <w:bidi w:val="0"/>
        <w:adjustRightInd/>
        <w:snapToGrid/>
        <w:spacing w:beforeAutospacing="0" w:afterAutospacing="0" w:line="540" w:lineRule="exact"/>
        <w:ind w:firstLine="420"/>
        <w:rPr>
          <w:rFonts w:hint="eastAsia"/>
          <w:color w:val="333333"/>
          <w:highlight w:val="none"/>
          <w:shd w:val="clear" w:color="auto" w:fill="FFFFFF"/>
          <w:lang w:val="en-US" w:eastAsia="zh-CN"/>
        </w:rPr>
      </w:pPr>
      <w:r>
        <w:rPr>
          <w:rFonts w:hint="eastAsia"/>
          <w:color w:val="333333"/>
          <w:highlight w:val="none"/>
          <w:shd w:val="clear" w:color="auto" w:fill="FFFFFF"/>
        </w:rPr>
        <w:t>合同包</w:t>
      </w:r>
      <w:r>
        <w:rPr>
          <w:rFonts w:hint="eastAsia"/>
          <w:color w:val="333333"/>
          <w:highlight w:val="none"/>
          <w:shd w:val="clear" w:color="auto" w:fill="FFFFFF"/>
          <w:lang w:val="en-US" w:eastAsia="zh-CN"/>
        </w:rPr>
        <w:t>1(JC-1西安、铜川、榆林、延安、渭南、韩城)：</w:t>
      </w:r>
    </w:p>
    <w:p>
      <w:pPr>
        <w:pStyle w:val="20"/>
        <w:keepNext w:val="0"/>
        <w:keepLines w:val="0"/>
        <w:pageBreakBefore w:val="0"/>
        <w:kinsoku/>
        <w:overflowPunct/>
        <w:topLinePunct w:val="0"/>
        <w:autoSpaceDE/>
        <w:autoSpaceDN/>
        <w:bidi w:val="0"/>
        <w:adjustRightInd/>
        <w:snapToGrid/>
        <w:spacing w:beforeAutospacing="0" w:afterAutospacing="0" w:line="540" w:lineRule="exact"/>
        <w:ind w:firstLine="420"/>
        <w:rPr>
          <w:rFonts w:hint="eastAsia"/>
          <w:color w:val="333333"/>
          <w:highlight w:val="none"/>
          <w:shd w:val="clear" w:color="auto" w:fill="FFFFFF"/>
        </w:rPr>
      </w:pPr>
      <w:r>
        <w:rPr>
          <w:rFonts w:hint="eastAsia"/>
          <w:color w:val="333333"/>
          <w:highlight w:val="none"/>
          <w:shd w:val="clear" w:color="auto" w:fill="FFFFFF"/>
        </w:rPr>
        <w:t>合同包预算金额：</w:t>
      </w:r>
      <w:r>
        <w:rPr>
          <w:rFonts w:hint="eastAsia"/>
          <w:color w:val="333333"/>
          <w:highlight w:val="none"/>
          <w:shd w:val="clear" w:color="auto" w:fill="FFFFFF"/>
          <w:lang w:val="en-US" w:eastAsia="zh-CN"/>
        </w:rPr>
        <w:t>820000.00</w:t>
      </w:r>
      <w:r>
        <w:rPr>
          <w:rFonts w:hint="eastAsia"/>
          <w:color w:val="333333"/>
          <w:highlight w:val="none"/>
          <w:shd w:val="clear" w:color="auto" w:fill="FFFFFF"/>
        </w:rPr>
        <w:t>元</w:t>
      </w:r>
    </w:p>
    <w:p>
      <w:pPr>
        <w:pStyle w:val="20"/>
        <w:keepNext w:val="0"/>
        <w:keepLines w:val="0"/>
        <w:pageBreakBefore w:val="0"/>
        <w:kinsoku/>
        <w:overflowPunct/>
        <w:topLinePunct w:val="0"/>
        <w:autoSpaceDE/>
        <w:autoSpaceDN/>
        <w:bidi w:val="0"/>
        <w:adjustRightInd/>
        <w:snapToGrid/>
        <w:spacing w:beforeAutospacing="0" w:afterAutospacing="0" w:line="540" w:lineRule="exact"/>
        <w:ind w:firstLine="420"/>
        <w:rPr>
          <w:rFonts w:hint="eastAsia"/>
          <w:color w:val="333333"/>
          <w:highlight w:val="none"/>
          <w:shd w:val="clear" w:color="auto" w:fill="FFFFFF"/>
        </w:rPr>
      </w:pPr>
      <w:r>
        <w:rPr>
          <w:rFonts w:hint="eastAsia"/>
          <w:color w:val="333333"/>
          <w:highlight w:val="none"/>
          <w:shd w:val="clear" w:color="auto" w:fill="FFFFFF"/>
        </w:rPr>
        <w:t>合同包最高限价：</w:t>
      </w:r>
      <w:r>
        <w:rPr>
          <w:rFonts w:hint="eastAsia"/>
          <w:color w:val="333333"/>
          <w:highlight w:val="none"/>
          <w:shd w:val="clear" w:color="auto" w:fill="FFFFFF"/>
          <w:lang w:val="en-US" w:eastAsia="zh-CN"/>
        </w:rPr>
        <w:t>820000.00</w:t>
      </w:r>
      <w:r>
        <w:rPr>
          <w:rFonts w:hint="eastAsia"/>
          <w:color w:val="333333"/>
          <w:highlight w:val="none"/>
          <w:shd w:val="clear" w:color="auto" w:fill="FFFFFF"/>
        </w:rPr>
        <w:t>元</w:t>
      </w:r>
    </w:p>
    <w:tbl>
      <w:tblPr>
        <w:tblStyle w:val="23"/>
        <w:tblW w:w="968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725"/>
        <w:gridCol w:w="1128"/>
        <w:gridCol w:w="1435"/>
        <w:gridCol w:w="1050"/>
        <w:gridCol w:w="3055"/>
        <w:gridCol w:w="1144"/>
        <w:gridCol w:w="11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blHeader/>
          <w:jc w:val="center"/>
        </w:trPr>
        <w:tc>
          <w:tcPr>
            <w:tcW w:w="72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leftChars="0" w:right="0" w:rightChars="0"/>
              <w:jc w:val="center"/>
              <w:textAlignment w:val="center"/>
              <w:rPr>
                <w:rFonts w:hint="eastAsia" w:ascii="宋体" w:hAnsi="宋体" w:eastAsia="宋体" w:cs="宋体"/>
                <w:b/>
                <w:bCs/>
                <w:i w:val="0"/>
                <w:iCs w:val="0"/>
                <w:caps w:val="0"/>
                <w:color w:val="333333"/>
                <w:spacing w:val="0"/>
                <w:sz w:val="21"/>
                <w:szCs w:val="21"/>
                <w:highlight w:val="none"/>
              </w:rPr>
            </w:pPr>
            <w:r>
              <w:rPr>
                <w:rFonts w:hint="eastAsia" w:ascii="宋体" w:hAnsi="宋体" w:eastAsia="宋体" w:cs="宋体"/>
                <w:b/>
                <w:bCs/>
                <w:i w:val="0"/>
                <w:iCs w:val="0"/>
                <w:caps w:val="0"/>
                <w:color w:val="333333"/>
                <w:spacing w:val="0"/>
                <w:kern w:val="0"/>
                <w:sz w:val="21"/>
                <w:szCs w:val="21"/>
                <w:highlight w:val="none"/>
                <w:lang w:val="en-US" w:eastAsia="zh-CN" w:bidi="ar"/>
              </w:rPr>
              <w:t>品目号</w:t>
            </w:r>
          </w:p>
        </w:tc>
        <w:tc>
          <w:tcPr>
            <w:tcW w:w="1128"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leftChars="0" w:right="0" w:rightChars="0"/>
              <w:jc w:val="center"/>
              <w:textAlignment w:val="center"/>
              <w:rPr>
                <w:rFonts w:hint="eastAsia" w:ascii="宋体" w:hAnsi="宋体" w:eastAsia="宋体" w:cs="宋体"/>
                <w:b/>
                <w:bCs/>
                <w:i w:val="0"/>
                <w:iCs w:val="0"/>
                <w:caps w:val="0"/>
                <w:color w:val="333333"/>
                <w:spacing w:val="0"/>
                <w:sz w:val="21"/>
                <w:szCs w:val="21"/>
                <w:highlight w:val="none"/>
              </w:rPr>
            </w:pPr>
            <w:r>
              <w:rPr>
                <w:rFonts w:hint="eastAsia" w:ascii="宋体" w:hAnsi="宋体" w:eastAsia="宋体" w:cs="宋体"/>
                <w:b/>
                <w:bCs/>
                <w:i w:val="0"/>
                <w:iCs w:val="0"/>
                <w:caps w:val="0"/>
                <w:color w:val="333333"/>
                <w:spacing w:val="0"/>
                <w:kern w:val="0"/>
                <w:sz w:val="21"/>
                <w:szCs w:val="21"/>
                <w:highlight w:val="none"/>
                <w:lang w:val="en-US" w:eastAsia="zh-CN" w:bidi="ar"/>
              </w:rPr>
              <w:t>品目名称</w:t>
            </w:r>
          </w:p>
        </w:tc>
        <w:tc>
          <w:tcPr>
            <w:tcW w:w="143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leftChars="0" w:right="0" w:rightChars="0"/>
              <w:jc w:val="center"/>
              <w:textAlignment w:val="center"/>
              <w:rPr>
                <w:rFonts w:hint="eastAsia" w:ascii="宋体" w:hAnsi="宋体" w:eastAsia="宋体" w:cs="宋体"/>
                <w:b/>
                <w:bCs/>
                <w:i w:val="0"/>
                <w:iCs w:val="0"/>
                <w:caps w:val="0"/>
                <w:color w:val="333333"/>
                <w:spacing w:val="0"/>
                <w:sz w:val="21"/>
                <w:szCs w:val="21"/>
                <w:highlight w:val="none"/>
              </w:rPr>
            </w:pPr>
            <w:r>
              <w:rPr>
                <w:rFonts w:hint="eastAsia" w:ascii="宋体" w:hAnsi="宋体" w:eastAsia="宋体" w:cs="宋体"/>
                <w:b/>
                <w:bCs/>
                <w:i w:val="0"/>
                <w:iCs w:val="0"/>
                <w:caps w:val="0"/>
                <w:color w:val="333333"/>
                <w:spacing w:val="0"/>
                <w:kern w:val="0"/>
                <w:sz w:val="21"/>
                <w:szCs w:val="21"/>
                <w:highlight w:val="none"/>
                <w:lang w:val="en-US" w:eastAsia="zh-CN" w:bidi="ar"/>
              </w:rPr>
              <w:t>采购标的</w:t>
            </w:r>
          </w:p>
        </w:tc>
        <w:tc>
          <w:tcPr>
            <w:tcW w:w="1050"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leftChars="0" w:right="0" w:rightChars="0"/>
              <w:jc w:val="center"/>
              <w:textAlignment w:val="center"/>
              <w:rPr>
                <w:rFonts w:hint="eastAsia" w:ascii="宋体" w:hAnsi="宋体" w:eastAsia="宋体" w:cs="宋体"/>
                <w:b/>
                <w:bCs/>
                <w:i w:val="0"/>
                <w:iCs w:val="0"/>
                <w:caps w:val="0"/>
                <w:color w:val="333333"/>
                <w:spacing w:val="0"/>
                <w:sz w:val="21"/>
                <w:szCs w:val="21"/>
                <w:highlight w:val="none"/>
              </w:rPr>
            </w:pPr>
            <w:r>
              <w:rPr>
                <w:rFonts w:hint="eastAsia" w:ascii="宋体" w:hAnsi="宋体" w:eastAsia="宋体" w:cs="宋体"/>
                <w:b/>
                <w:bCs/>
                <w:i w:val="0"/>
                <w:iCs w:val="0"/>
                <w:caps w:val="0"/>
                <w:color w:val="333333"/>
                <w:spacing w:val="0"/>
                <w:kern w:val="0"/>
                <w:sz w:val="21"/>
                <w:szCs w:val="21"/>
                <w:highlight w:val="none"/>
                <w:lang w:val="en-US" w:eastAsia="zh-CN" w:bidi="ar"/>
              </w:rPr>
              <w:t>数量（单位）</w:t>
            </w:r>
          </w:p>
        </w:tc>
        <w:tc>
          <w:tcPr>
            <w:tcW w:w="30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leftChars="0" w:right="0" w:rightChars="0"/>
              <w:jc w:val="center"/>
              <w:textAlignment w:val="center"/>
              <w:rPr>
                <w:rFonts w:hint="eastAsia" w:ascii="宋体" w:hAnsi="宋体" w:eastAsia="宋体" w:cs="宋体"/>
                <w:b/>
                <w:bCs/>
                <w:i w:val="0"/>
                <w:iCs w:val="0"/>
                <w:caps w:val="0"/>
                <w:color w:val="333333"/>
                <w:spacing w:val="0"/>
                <w:sz w:val="21"/>
                <w:szCs w:val="21"/>
                <w:highlight w:val="none"/>
              </w:rPr>
            </w:pPr>
            <w:r>
              <w:rPr>
                <w:rFonts w:hint="eastAsia" w:ascii="宋体" w:hAnsi="宋体" w:eastAsia="宋体" w:cs="宋体"/>
                <w:b/>
                <w:bCs/>
                <w:i w:val="0"/>
                <w:iCs w:val="0"/>
                <w:caps w:val="0"/>
                <w:color w:val="333333"/>
                <w:spacing w:val="0"/>
                <w:kern w:val="0"/>
                <w:sz w:val="21"/>
                <w:szCs w:val="21"/>
                <w:highlight w:val="none"/>
                <w:lang w:val="en-US" w:eastAsia="zh-CN" w:bidi="ar"/>
              </w:rPr>
              <w:t>技术规格、参数及要求</w:t>
            </w:r>
          </w:p>
        </w:tc>
        <w:tc>
          <w:tcPr>
            <w:tcW w:w="1144"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leftChars="0" w:right="0" w:rightChars="0"/>
              <w:jc w:val="center"/>
              <w:textAlignment w:val="center"/>
              <w:rPr>
                <w:rFonts w:hint="eastAsia" w:ascii="宋体" w:hAnsi="宋体" w:eastAsia="宋体" w:cs="宋体"/>
                <w:b/>
                <w:bCs/>
                <w:i w:val="0"/>
                <w:iCs w:val="0"/>
                <w:caps w:val="0"/>
                <w:color w:val="333333"/>
                <w:spacing w:val="0"/>
                <w:kern w:val="0"/>
                <w:sz w:val="21"/>
                <w:szCs w:val="21"/>
                <w:highlight w:val="none"/>
                <w:lang w:val="en-US" w:eastAsia="zh-CN" w:bidi="ar"/>
              </w:rPr>
            </w:pPr>
            <w:r>
              <w:rPr>
                <w:rFonts w:hint="eastAsia" w:ascii="宋体" w:hAnsi="宋体" w:eastAsia="宋体" w:cs="宋体"/>
                <w:b/>
                <w:bCs/>
                <w:i w:val="0"/>
                <w:iCs w:val="0"/>
                <w:caps w:val="0"/>
                <w:color w:val="333333"/>
                <w:spacing w:val="0"/>
                <w:kern w:val="0"/>
                <w:sz w:val="21"/>
                <w:szCs w:val="21"/>
                <w:highlight w:val="none"/>
                <w:lang w:val="en-US" w:eastAsia="zh-CN" w:bidi="ar"/>
              </w:rPr>
              <w:t>品目预算(元)</w:t>
            </w:r>
          </w:p>
        </w:tc>
        <w:tc>
          <w:tcPr>
            <w:tcW w:w="1144"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leftChars="0" w:right="0" w:rightChars="0"/>
              <w:jc w:val="center"/>
              <w:textAlignment w:val="center"/>
              <w:rPr>
                <w:rFonts w:hint="eastAsia" w:ascii="宋体" w:hAnsi="宋体" w:eastAsia="宋体" w:cs="宋体"/>
                <w:b/>
                <w:bCs/>
                <w:i w:val="0"/>
                <w:iCs w:val="0"/>
                <w:caps w:val="0"/>
                <w:color w:val="333333"/>
                <w:spacing w:val="0"/>
                <w:sz w:val="21"/>
                <w:szCs w:val="21"/>
                <w:highlight w:val="none"/>
              </w:rPr>
            </w:pPr>
            <w:r>
              <w:rPr>
                <w:rFonts w:hint="eastAsia" w:ascii="宋体" w:hAnsi="宋体" w:eastAsia="宋体" w:cs="宋体"/>
                <w:b/>
                <w:bCs/>
                <w:i w:val="0"/>
                <w:iCs w:val="0"/>
                <w:caps w:val="0"/>
                <w:color w:val="333333"/>
                <w:spacing w:val="0"/>
                <w:kern w:val="0"/>
                <w:sz w:val="21"/>
                <w:szCs w:val="21"/>
                <w:highlight w:val="none"/>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jc w:val="center"/>
        </w:trPr>
        <w:tc>
          <w:tcPr>
            <w:tcW w:w="72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leftChars="0" w:right="0" w:rightChars="0"/>
              <w:jc w:val="center"/>
              <w:textAlignment w:val="center"/>
              <w:rPr>
                <w:rFonts w:hint="eastAsia" w:ascii="宋体" w:hAnsi="宋体" w:eastAsia="宋体" w:cs="宋体"/>
                <w:i w:val="0"/>
                <w:iCs w:val="0"/>
                <w:caps w:val="0"/>
                <w:color w:val="333333"/>
                <w:spacing w:val="0"/>
                <w:sz w:val="21"/>
                <w:szCs w:val="21"/>
                <w:highlight w:val="none"/>
              </w:rPr>
            </w:pPr>
            <w:r>
              <w:rPr>
                <w:rFonts w:hint="eastAsia" w:ascii="宋体" w:hAnsi="宋体" w:eastAsia="宋体" w:cs="宋体"/>
                <w:i w:val="0"/>
                <w:iCs w:val="0"/>
                <w:caps w:val="0"/>
                <w:color w:val="333333"/>
                <w:spacing w:val="0"/>
                <w:kern w:val="0"/>
                <w:sz w:val="21"/>
                <w:szCs w:val="21"/>
                <w:highlight w:val="none"/>
                <w:lang w:val="en-US" w:eastAsia="zh-CN" w:bidi="ar"/>
              </w:rPr>
              <w:t>1-1</w:t>
            </w:r>
          </w:p>
        </w:tc>
        <w:tc>
          <w:tcPr>
            <w:tcW w:w="1128"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textAlignment w:val="center"/>
              <w:rPr>
                <w:rFonts w:hint="default" w:ascii="宋体" w:hAnsi="宋体" w:eastAsia="宋体" w:cs="宋体"/>
                <w:i w:val="0"/>
                <w:iCs w:val="0"/>
                <w:caps w:val="0"/>
                <w:color w:val="333333"/>
                <w:spacing w:val="0"/>
                <w:sz w:val="21"/>
                <w:szCs w:val="21"/>
                <w:highlight w:val="none"/>
                <w:lang w:val="en-US"/>
              </w:rPr>
            </w:pPr>
            <w:r>
              <w:rPr>
                <w:rFonts w:hint="eastAsia" w:ascii="宋体" w:hAnsi="宋体" w:cs="宋体"/>
                <w:i w:val="0"/>
                <w:iCs w:val="0"/>
                <w:caps w:val="0"/>
                <w:color w:val="333333"/>
                <w:spacing w:val="0"/>
                <w:kern w:val="0"/>
                <w:sz w:val="21"/>
                <w:szCs w:val="21"/>
                <w:highlight w:val="none"/>
                <w:lang w:val="en-US" w:eastAsia="zh-CN" w:bidi="ar"/>
              </w:rPr>
              <w:t>其他专业技术服务</w:t>
            </w:r>
          </w:p>
        </w:tc>
        <w:tc>
          <w:tcPr>
            <w:tcW w:w="143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textAlignment w:val="center"/>
              <w:rPr>
                <w:rFonts w:hint="eastAsia" w:ascii="宋体" w:hAnsi="宋体" w:eastAsia="宋体" w:cs="宋体"/>
                <w:sz w:val="21"/>
                <w:szCs w:val="21"/>
                <w:highlight w:val="none"/>
              </w:rPr>
            </w:pPr>
            <w:r>
              <w:rPr>
                <w:rFonts w:hint="eastAsia" w:cs="宋体"/>
                <w:i w:val="0"/>
                <w:iCs w:val="0"/>
                <w:caps w:val="0"/>
                <w:color w:val="333333"/>
                <w:spacing w:val="0"/>
                <w:sz w:val="21"/>
                <w:szCs w:val="21"/>
                <w:highlight w:val="none"/>
                <w:vertAlign w:val="baseline"/>
                <w:lang w:eastAsia="zh-CN"/>
              </w:rPr>
              <w:t>普通省道路面技术状况检测</w:t>
            </w:r>
          </w:p>
        </w:tc>
        <w:tc>
          <w:tcPr>
            <w:tcW w:w="1050"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textAlignment w:val="center"/>
              <w:rPr>
                <w:rFonts w:hint="eastAsia" w:ascii="宋体" w:hAnsi="宋体" w:eastAsia="宋体" w:cs="宋体"/>
                <w:i w:val="0"/>
                <w:iCs w:val="0"/>
                <w:caps w:val="0"/>
                <w:color w:val="333333"/>
                <w:spacing w:val="0"/>
                <w:sz w:val="21"/>
                <w:szCs w:val="21"/>
                <w:highlight w:val="none"/>
              </w:rPr>
            </w:pPr>
            <w:r>
              <w:rPr>
                <w:rFonts w:hint="eastAsia" w:ascii="宋体" w:hAnsi="宋体" w:eastAsia="宋体" w:cs="宋体"/>
                <w:i w:val="0"/>
                <w:iCs w:val="0"/>
                <w:caps w:val="0"/>
                <w:color w:val="333333"/>
                <w:spacing w:val="0"/>
                <w:kern w:val="0"/>
                <w:sz w:val="21"/>
                <w:szCs w:val="21"/>
                <w:highlight w:val="none"/>
                <w:lang w:val="en-US" w:eastAsia="zh-CN" w:bidi="ar"/>
              </w:rPr>
              <w:t>1(项)</w:t>
            </w:r>
          </w:p>
        </w:tc>
        <w:tc>
          <w:tcPr>
            <w:tcW w:w="30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jc w:val="left"/>
              <w:textAlignment w:val="baseline"/>
              <w:rPr>
                <w:rFonts w:hint="eastAsia" w:ascii="宋体" w:hAnsi="宋体" w:eastAsia="宋体" w:cs="宋体"/>
                <w:i w:val="0"/>
                <w:iCs w:val="0"/>
                <w:caps w:val="0"/>
                <w:color w:val="333333"/>
                <w:spacing w:val="0"/>
                <w:sz w:val="21"/>
                <w:szCs w:val="21"/>
                <w:highlight w:val="none"/>
              </w:rPr>
            </w:pPr>
            <w:r>
              <w:rPr>
                <w:rFonts w:hint="eastAsia" w:ascii="宋体" w:hAnsi="宋体" w:eastAsia="宋体" w:cs="宋体"/>
                <w:i w:val="0"/>
                <w:iCs w:val="0"/>
                <w:caps w:val="0"/>
                <w:color w:val="333333"/>
                <w:spacing w:val="0"/>
                <w:sz w:val="21"/>
                <w:szCs w:val="21"/>
                <w:highlight w:val="none"/>
                <w:vertAlign w:val="baseline"/>
              </w:rPr>
              <w:t>完成</w:t>
            </w:r>
            <w:r>
              <w:rPr>
                <w:rFonts w:hint="eastAsia" w:cs="宋体"/>
                <w:i w:val="0"/>
                <w:iCs w:val="0"/>
                <w:caps w:val="0"/>
                <w:color w:val="333333"/>
                <w:spacing w:val="0"/>
                <w:sz w:val="21"/>
                <w:szCs w:val="21"/>
                <w:highlight w:val="none"/>
                <w:vertAlign w:val="baseline"/>
                <w:lang w:val="en-US" w:eastAsia="zh-CN"/>
              </w:rPr>
              <w:t>西安</w:t>
            </w:r>
            <w:r>
              <w:rPr>
                <w:rFonts w:hint="eastAsia" w:cs="宋体"/>
                <w:i w:val="0"/>
                <w:iCs w:val="0"/>
                <w:caps w:val="0"/>
                <w:color w:val="333333"/>
                <w:spacing w:val="0"/>
                <w:sz w:val="21"/>
                <w:szCs w:val="21"/>
                <w:highlight w:val="none"/>
                <w:vertAlign w:val="baseline"/>
                <w:lang w:eastAsia="zh-CN"/>
              </w:rPr>
              <w:t>、</w:t>
            </w:r>
            <w:r>
              <w:rPr>
                <w:rFonts w:hint="eastAsia" w:cs="宋体"/>
                <w:i w:val="0"/>
                <w:iCs w:val="0"/>
                <w:caps w:val="0"/>
                <w:color w:val="333333"/>
                <w:spacing w:val="0"/>
                <w:sz w:val="21"/>
                <w:szCs w:val="21"/>
                <w:highlight w:val="none"/>
                <w:vertAlign w:val="baseline"/>
                <w:lang w:val="en-US" w:eastAsia="zh-CN"/>
              </w:rPr>
              <w:t>铜川、榆林、延安、渭南、韩城</w:t>
            </w:r>
            <w:r>
              <w:rPr>
                <w:rFonts w:hint="eastAsia" w:ascii="宋体" w:hAnsi="宋体" w:eastAsia="宋体" w:cs="宋体"/>
                <w:i w:val="0"/>
                <w:iCs w:val="0"/>
                <w:caps w:val="0"/>
                <w:color w:val="333333"/>
                <w:spacing w:val="0"/>
                <w:sz w:val="21"/>
                <w:szCs w:val="21"/>
                <w:highlight w:val="none"/>
                <w:vertAlign w:val="baseline"/>
              </w:rPr>
              <w:t>累计不少</w:t>
            </w:r>
            <w:r>
              <w:rPr>
                <w:rFonts w:hint="eastAsia" w:cs="宋体"/>
                <w:i w:val="0"/>
                <w:iCs w:val="0"/>
                <w:caps w:val="0"/>
                <w:color w:val="333333"/>
                <w:spacing w:val="0"/>
                <w:sz w:val="21"/>
                <w:szCs w:val="21"/>
                <w:highlight w:val="none"/>
                <w:vertAlign w:val="baseline"/>
                <w:lang w:val="en-US" w:eastAsia="zh-CN"/>
              </w:rPr>
              <w:t>284</w:t>
            </w:r>
            <w:r>
              <w:rPr>
                <w:rFonts w:hint="eastAsia" w:ascii="宋体" w:hAnsi="宋体" w:eastAsia="宋体" w:cs="宋体"/>
                <w:i w:val="0"/>
                <w:iCs w:val="0"/>
                <w:caps w:val="0"/>
                <w:color w:val="333333"/>
                <w:spacing w:val="0"/>
                <w:sz w:val="21"/>
                <w:szCs w:val="21"/>
                <w:highlight w:val="none"/>
                <w:vertAlign w:val="baseline"/>
              </w:rPr>
              <w:t>座/</w:t>
            </w:r>
            <w:r>
              <w:rPr>
                <w:rFonts w:hint="eastAsia" w:cs="宋体"/>
                <w:i w:val="0"/>
                <w:iCs w:val="0"/>
                <w:caps w:val="0"/>
                <w:color w:val="333333"/>
                <w:spacing w:val="0"/>
                <w:sz w:val="21"/>
                <w:szCs w:val="21"/>
                <w:highlight w:val="none"/>
                <w:vertAlign w:val="baseline"/>
                <w:lang w:val="en-US" w:eastAsia="zh-CN"/>
              </w:rPr>
              <w:t>12832</w:t>
            </w:r>
            <w:r>
              <w:rPr>
                <w:rFonts w:hint="eastAsia" w:ascii="宋体" w:hAnsi="宋体" w:eastAsia="宋体" w:cs="宋体"/>
                <w:i w:val="0"/>
                <w:iCs w:val="0"/>
                <w:caps w:val="0"/>
                <w:color w:val="333333"/>
                <w:spacing w:val="0"/>
                <w:sz w:val="21"/>
                <w:szCs w:val="21"/>
                <w:highlight w:val="none"/>
                <w:vertAlign w:val="baseline"/>
              </w:rPr>
              <w:t>延米新增省道桥梁（隧道）的技术状况定期检查评定，详见采购文件</w:t>
            </w:r>
          </w:p>
        </w:tc>
        <w:tc>
          <w:tcPr>
            <w:tcW w:w="1144"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leftChars="0" w:right="0" w:rightChars="0"/>
              <w:jc w:val="center"/>
              <w:textAlignment w:val="center"/>
              <w:rPr>
                <w:rFonts w:hint="default" w:ascii="宋体" w:hAnsi="宋体" w:eastAsia="宋体" w:cs="宋体"/>
                <w:i w:val="0"/>
                <w:iCs w:val="0"/>
                <w:caps w:val="0"/>
                <w:color w:val="333333"/>
                <w:spacing w:val="0"/>
                <w:kern w:val="0"/>
                <w:sz w:val="21"/>
                <w:szCs w:val="21"/>
                <w:highlight w:val="none"/>
                <w:vertAlign w:val="baseline"/>
                <w:lang w:val="en-US" w:eastAsia="zh-CN" w:bidi="ar-SA"/>
              </w:rPr>
            </w:pPr>
            <w:r>
              <w:rPr>
                <w:rFonts w:hint="eastAsia" w:ascii="宋体" w:hAnsi="宋体" w:eastAsia="宋体" w:cs="宋体"/>
                <w:i w:val="0"/>
                <w:iCs w:val="0"/>
                <w:caps w:val="0"/>
                <w:color w:val="333333"/>
                <w:spacing w:val="0"/>
                <w:kern w:val="0"/>
                <w:sz w:val="21"/>
                <w:szCs w:val="21"/>
                <w:highlight w:val="none"/>
                <w:vertAlign w:val="baseline"/>
                <w:lang w:val="en-US" w:eastAsia="zh-CN" w:bidi="ar-SA"/>
              </w:rPr>
              <w:t>8</w:t>
            </w:r>
            <w:r>
              <w:rPr>
                <w:rFonts w:hint="eastAsia" w:ascii="宋体" w:hAnsi="宋体" w:cs="宋体"/>
                <w:i w:val="0"/>
                <w:iCs w:val="0"/>
                <w:caps w:val="0"/>
                <w:color w:val="333333"/>
                <w:spacing w:val="0"/>
                <w:kern w:val="0"/>
                <w:sz w:val="21"/>
                <w:szCs w:val="21"/>
                <w:highlight w:val="none"/>
                <w:vertAlign w:val="baseline"/>
                <w:lang w:val="en-US" w:eastAsia="zh-CN" w:bidi="ar-SA"/>
              </w:rPr>
              <w:t>2</w:t>
            </w:r>
            <w:r>
              <w:rPr>
                <w:rFonts w:hint="eastAsia" w:ascii="宋体" w:hAnsi="宋体" w:eastAsia="宋体" w:cs="宋体"/>
                <w:i w:val="0"/>
                <w:iCs w:val="0"/>
                <w:caps w:val="0"/>
                <w:color w:val="333333"/>
                <w:spacing w:val="0"/>
                <w:kern w:val="0"/>
                <w:sz w:val="21"/>
                <w:szCs w:val="21"/>
                <w:highlight w:val="none"/>
                <w:vertAlign w:val="baseline"/>
                <w:lang w:val="en-US" w:eastAsia="zh-CN" w:bidi="ar-SA"/>
              </w:rPr>
              <w:t>0000.00</w:t>
            </w:r>
          </w:p>
        </w:tc>
        <w:tc>
          <w:tcPr>
            <w:tcW w:w="1144"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textAlignment w:val="center"/>
              <w:rPr>
                <w:rFonts w:hint="eastAsia" w:ascii="宋体" w:hAnsi="宋体" w:eastAsia="宋体" w:cs="宋体"/>
                <w:i w:val="0"/>
                <w:iCs w:val="0"/>
                <w:caps w:val="0"/>
                <w:color w:val="333333"/>
                <w:spacing w:val="0"/>
                <w:kern w:val="0"/>
                <w:sz w:val="21"/>
                <w:szCs w:val="21"/>
                <w:highlight w:val="none"/>
                <w:vertAlign w:val="baseline"/>
                <w:lang w:val="en-US" w:eastAsia="zh-CN" w:bidi="ar-SA"/>
              </w:rPr>
            </w:pPr>
            <w:r>
              <w:rPr>
                <w:rFonts w:hint="eastAsia" w:ascii="宋体" w:hAnsi="宋体" w:eastAsia="宋体" w:cs="宋体"/>
                <w:i w:val="0"/>
                <w:iCs w:val="0"/>
                <w:caps w:val="0"/>
                <w:color w:val="333333"/>
                <w:spacing w:val="0"/>
                <w:kern w:val="0"/>
                <w:sz w:val="21"/>
                <w:szCs w:val="21"/>
                <w:highlight w:val="none"/>
                <w:vertAlign w:val="baseline"/>
                <w:lang w:val="en-US" w:eastAsia="zh-CN" w:bidi="ar-SA"/>
              </w:rPr>
              <w:t>8</w:t>
            </w:r>
            <w:r>
              <w:rPr>
                <w:rFonts w:hint="eastAsia" w:ascii="宋体" w:hAnsi="宋体" w:cs="宋体"/>
                <w:i w:val="0"/>
                <w:iCs w:val="0"/>
                <w:caps w:val="0"/>
                <w:color w:val="333333"/>
                <w:spacing w:val="0"/>
                <w:kern w:val="0"/>
                <w:sz w:val="21"/>
                <w:szCs w:val="21"/>
                <w:highlight w:val="none"/>
                <w:vertAlign w:val="baseline"/>
                <w:lang w:val="en-US" w:eastAsia="zh-CN" w:bidi="ar-SA"/>
              </w:rPr>
              <w:t>2</w:t>
            </w:r>
            <w:r>
              <w:rPr>
                <w:rFonts w:hint="eastAsia" w:ascii="宋体" w:hAnsi="宋体" w:eastAsia="宋体" w:cs="宋体"/>
                <w:i w:val="0"/>
                <w:iCs w:val="0"/>
                <w:caps w:val="0"/>
                <w:color w:val="333333"/>
                <w:spacing w:val="0"/>
                <w:kern w:val="0"/>
                <w:sz w:val="21"/>
                <w:szCs w:val="21"/>
                <w:highlight w:val="none"/>
                <w:vertAlign w:val="baseline"/>
                <w:lang w:val="en-US" w:eastAsia="zh-CN" w:bidi="ar-SA"/>
              </w:rPr>
              <w:t>0000.00</w:t>
            </w:r>
          </w:p>
        </w:tc>
      </w:tr>
    </w:tbl>
    <w:p>
      <w:pPr>
        <w:pStyle w:val="20"/>
        <w:keepNext w:val="0"/>
        <w:keepLines w:val="0"/>
        <w:pageBreakBefore w:val="0"/>
        <w:widowControl/>
        <w:kinsoku/>
        <w:wordWrap/>
        <w:overflowPunct/>
        <w:topLinePunct w:val="0"/>
        <w:autoSpaceDE/>
        <w:autoSpaceDN/>
        <w:bidi w:val="0"/>
        <w:adjustRightInd/>
        <w:snapToGrid/>
        <w:spacing w:beforeAutospacing="0" w:afterAutospacing="0" w:line="540" w:lineRule="exact"/>
        <w:ind w:firstLine="420"/>
        <w:textAlignment w:val="auto"/>
        <w:rPr>
          <w:rFonts w:hint="eastAsia"/>
          <w:color w:val="333333"/>
          <w:highlight w:val="none"/>
          <w:shd w:val="clear" w:color="auto" w:fill="FFFFFF"/>
        </w:rPr>
      </w:pPr>
      <w:r>
        <w:rPr>
          <w:rFonts w:hint="eastAsia"/>
          <w:color w:val="333333"/>
          <w:highlight w:val="none"/>
          <w:shd w:val="clear" w:color="auto" w:fill="FFFFFF"/>
        </w:rPr>
        <w:t>本合同包不接受联合体投标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rPr>
          <w:rFonts w:hint="eastAsia"/>
          <w:color w:val="333333"/>
          <w:sz w:val="24"/>
          <w:szCs w:val="24"/>
          <w:highlight w:val="none"/>
          <w:shd w:val="clear" w:color="auto" w:fill="FFFFFF"/>
          <w:lang w:eastAsia="zh-CN"/>
        </w:rPr>
      </w:pPr>
      <w:r>
        <w:rPr>
          <w:rFonts w:hint="eastAsia"/>
          <w:color w:val="333333"/>
          <w:sz w:val="24"/>
          <w:szCs w:val="24"/>
          <w:highlight w:val="none"/>
          <w:shd w:val="clear" w:color="auto" w:fill="FFFFFF"/>
        </w:rPr>
        <w:t>合同履行期限：</w:t>
      </w:r>
      <w:r>
        <w:rPr>
          <w:rFonts w:hint="eastAsia"/>
          <w:color w:val="333333"/>
          <w:sz w:val="24"/>
          <w:szCs w:val="24"/>
          <w:highlight w:val="none"/>
          <w:shd w:val="clear" w:color="auto" w:fill="FFFFFF"/>
          <w:lang w:val="en-US" w:eastAsia="zh-CN"/>
        </w:rPr>
        <w:t>合同签订后一年，从合同签订之日起2个月内（包含不利天气等因素）完成全部外业检测及报告编制工作并提交甲方，如有特殊情况，经甲方允许，时间可协商顺延。</w:t>
      </w:r>
    </w:p>
    <w:p>
      <w:pPr>
        <w:pStyle w:val="20"/>
        <w:keepNext w:val="0"/>
        <w:keepLines w:val="0"/>
        <w:pageBreakBefore w:val="0"/>
        <w:kinsoku/>
        <w:overflowPunct/>
        <w:topLinePunct w:val="0"/>
        <w:autoSpaceDE/>
        <w:autoSpaceDN/>
        <w:bidi w:val="0"/>
        <w:adjustRightInd/>
        <w:snapToGrid/>
        <w:spacing w:beforeAutospacing="0" w:afterAutospacing="0" w:line="540" w:lineRule="exact"/>
        <w:ind w:firstLine="420"/>
        <w:rPr>
          <w:rFonts w:hint="eastAsia"/>
          <w:color w:val="333333"/>
          <w:highlight w:val="none"/>
          <w:shd w:val="clear" w:color="auto" w:fill="FFFFFF"/>
          <w:lang w:eastAsia="zh-CN"/>
        </w:rPr>
      </w:pPr>
      <w:r>
        <w:rPr>
          <w:rFonts w:hint="eastAsia"/>
          <w:color w:val="333333"/>
          <w:highlight w:val="none"/>
          <w:shd w:val="clear" w:color="auto" w:fill="FFFFFF"/>
        </w:rPr>
        <w:t>合同包</w:t>
      </w:r>
      <w:r>
        <w:rPr>
          <w:rFonts w:hint="eastAsia"/>
          <w:color w:val="333333"/>
          <w:highlight w:val="none"/>
          <w:shd w:val="clear" w:color="auto" w:fill="FFFFFF"/>
          <w:lang w:val="en-US" w:eastAsia="zh-CN"/>
        </w:rPr>
        <w:t>2</w:t>
      </w:r>
      <w:r>
        <w:rPr>
          <w:rFonts w:hint="eastAsia"/>
          <w:color w:val="333333"/>
          <w:highlight w:val="none"/>
          <w:shd w:val="clear" w:color="auto" w:fill="FFFFFF"/>
        </w:rPr>
        <w:t>(</w:t>
      </w:r>
      <w:r>
        <w:rPr>
          <w:rFonts w:hint="eastAsia"/>
          <w:color w:val="333333"/>
          <w:highlight w:val="none"/>
          <w:shd w:val="clear" w:color="auto" w:fill="FFFFFF"/>
          <w:lang w:val="en-US" w:eastAsia="zh-CN"/>
        </w:rPr>
        <w:t>JC-2宝鸡、咸阳、汉中、安康、商洛</w:t>
      </w:r>
      <w:r>
        <w:rPr>
          <w:rFonts w:hint="eastAsia"/>
          <w:color w:val="333333"/>
          <w:highlight w:val="none"/>
          <w:shd w:val="clear" w:color="auto" w:fill="FFFFFF"/>
          <w:lang w:eastAsia="zh-CN"/>
        </w:rPr>
        <w:t>)：</w:t>
      </w:r>
    </w:p>
    <w:p>
      <w:pPr>
        <w:pStyle w:val="20"/>
        <w:keepNext w:val="0"/>
        <w:keepLines w:val="0"/>
        <w:pageBreakBefore w:val="0"/>
        <w:kinsoku/>
        <w:overflowPunct/>
        <w:topLinePunct w:val="0"/>
        <w:autoSpaceDE/>
        <w:autoSpaceDN/>
        <w:bidi w:val="0"/>
        <w:adjustRightInd/>
        <w:snapToGrid/>
        <w:spacing w:beforeAutospacing="0" w:afterAutospacing="0" w:line="540" w:lineRule="exact"/>
        <w:ind w:firstLine="420"/>
        <w:rPr>
          <w:rFonts w:hint="eastAsia"/>
          <w:color w:val="333333"/>
          <w:highlight w:val="none"/>
          <w:shd w:val="clear" w:color="auto" w:fill="FFFFFF"/>
        </w:rPr>
      </w:pPr>
      <w:r>
        <w:rPr>
          <w:rFonts w:hint="eastAsia"/>
          <w:color w:val="333333"/>
          <w:highlight w:val="none"/>
          <w:shd w:val="clear" w:color="auto" w:fill="FFFFFF"/>
        </w:rPr>
        <w:t>合同包预算金额：</w:t>
      </w:r>
      <w:r>
        <w:rPr>
          <w:rFonts w:hint="eastAsia"/>
          <w:color w:val="333333"/>
          <w:highlight w:val="none"/>
          <w:shd w:val="clear" w:color="auto" w:fill="FFFFFF"/>
          <w:lang w:val="en-US" w:eastAsia="zh-CN"/>
        </w:rPr>
        <w:t>740000.00</w:t>
      </w:r>
      <w:r>
        <w:rPr>
          <w:rFonts w:hint="eastAsia"/>
          <w:color w:val="333333"/>
          <w:highlight w:val="none"/>
          <w:shd w:val="clear" w:color="auto" w:fill="FFFFFF"/>
        </w:rPr>
        <w:t>元</w:t>
      </w:r>
    </w:p>
    <w:p>
      <w:pPr>
        <w:pStyle w:val="20"/>
        <w:keepNext w:val="0"/>
        <w:keepLines w:val="0"/>
        <w:pageBreakBefore w:val="0"/>
        <w:kinsoku/>
        <w:overflowPunct/>
        <w:topLinePunct w:val="0"/>
        <w:autoSpaceDE/>
        <w:autoSpaceDN/>
        <w:bidi w:val="0"/>
        <w:adjustRightInd/>
        <w:snapToGrid/>
        <w:spacing w:beforeAutospacing="0" w:afterAutospacing="0" w:line="540" w:lineRule="exact"/>
        <w:ind w:firstLine="420"/>
        <w:rPr>
          <w:rFonts w:hint="eastAsia"/>
          <w:color w:val="333333"/>
          <w:highlight w:val="none"/>
          <w:shd w:val="clear" w:color="auto" w:fill="FFFFFF"/>
        </w:rPr>
      </w:pPr>
      <w:r>
        <w:rPr>
          <w:rFonts w:hint="eastAsia"/>
          <w:color w:val="333333"/>
          <w:highlight w:val="none"/>
          <w:shd w:val="clear" w:color="auto" w:fill="FFFFFF"/>
        </w:rPr>
        <w:t>合同包最高限价：</w:t>
      </w:r>
      <w:r>
        <w:rPr>
          <w:rFonts w:hint="eastAsia"/>
          <w:color w:val="333333"/>
          <w:highlight w:val="none"/>
          <w:shd w:val="clear" w:color="auto" w:fill="FFFFFF"/>
          <w:lang w:val="en-US" w:eastAsia="zh-CN"/>
        </w:rPr>
        <w:t>740000.00</w:t>
      </w:r>
      <w:r>
        <w:rPr>
          <w:rFonts w:hint="eastAsia"/>
          <w:color w:val="333333"/>
          <w:highlight w:val="none"/>
          <w:shd w:val="clear" w:color="auto" w:fill="FFFFFF"/>
        </w:rPr>
        <w:t>元</w:t>
      </w:r>
    </w:p>
    <w:tbl>
      <w:tblPr>
        <w:tblStyle w:val="23"/>
        <w:tblW w:w="968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725"/>
        <w:gridCol w:w="1128"/>
        <w:gridCol w:w="1435"/>
        <w:gridCol w:w="1050"/>
        <w:gridCol w:w="2981"/>
        <w:gridCol w:w="1218"/>
        <w:gridCol w:w="11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blHeader/>
          <w:jc w:val="center"/>
        </w:trPr>
        <w:tc>
          <w:tcPr>
            <w:tcW w:w="72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leftChars="0" w:right="0" w:rightChars="0"/>
              <w:jc w:val="center"/>
              <w:textAlignment w:val="center"/>
              <w:rPr>
                <w:rFonts w:hint="eastAsia" w:ascii="宋体" w:hAnsi="宋体" w:eastAsia="宋体" w:cs="宋体"/>
                <w:b/>
                <w:bCs/>
                <w:i w:val="0"/>
                <w:iCs w:val="0"/>
                <w:caps w:val="0"/>
                <w:color w:val="333333"/>
                <w:spacing w:val="0"/>
                <w:sz w:val="21"/>
                <w:szCs w:val="21"/>
                <w:highlight w:val="none"/>
              </w:rPr>
            </w:pPr>
            <w:r>
              <w:rPr>
                <w:rFonts w:hint="eastAsia" w:ascii="宋体" w:hAnsi="宋体" w:eastAsia="宋体" w:cs="宋体"/>
                <w:b/>
                <w:bCs/>
                <w:i w:val="0"/>
                <w:iCs w:val="0"/>
                <w:caps w:val="0"/>
                <w:color w:val="333333"/>
                <w:spacing w:val="0"/>
                <w:kern w:val="0"/>
                <w:sz w:val="21"/>
                <w:szCs w:val="21"/>
                <w:highlight w:val="none"/>
                <w:lang w:val="en-US" w:eastAsia="zh-CN" w:bidi="ar"/>
              </w:rPr>
              <w:t>品目号</w:t>
            </w:r>
          </w:p>
        </w:tc>
        <w:tc>
          <w:tcPr>
            <w:tcW w:w="1128"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leftChars="0" w:right="0" w:rightChars="0"/>
              <w:jc w:val="center"/>
              <w:textAlignment w:val="center"/>
              <w:rPr>
                <w:rFonts w:hint="eastAsia" w:ascii="宋体" w:hAnsi="宋体" w:eastAsia="宋体" w:cs="宋体"/>
                <w:b/>
                <w:bCs/>
                <w:i w:val="0"/>
                <w:iCs w:val="0"/>
                <w:caps w:val="0"/>
                <w:color w:val="333333"/>
                <w:spacing w:val="0"/>
                <w:sz w:val="21"/>
                <w:szCs w:val="21"/>
                <w:highlight w:val="none"/>
              </w:rPr>
            </w:pPr>
            <w:r>
              <w:rPr>
                <w:rFonts w:hint="eastAsia" w:ascii="宋体" w:hAnsi="宋体" w:eastAsia="宋体" w:cs="宋体"/>
                <w:b/>
                <w:bCs/>
                <w:i w:val="0"/>
                <w:iCs w:val="0"/>
                <w:caps w:val="0"/>
                <w:color w:val="333333"/>
                <w:spacing w:val="0"/>
                <w:kern w:val="0"/>
                <w:sz w:val="21"/>
                <w:szCs w:val="21"/>
                <w:highlight w:val="none"/>
                <w:lang w:val="en-US" w:eastAsia="zh-CN" w:bidi="ar"/>
              </w:rPr>
              <w:t>品目名称</w:t>
            </w:r>
          </w:p>
        </w:tc>
        <w:tc>
          <w:tcPr>
            <w:tcW w:w="143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leftChars="0" w:right="0" w:rightChars="0"/>
              <w:jc w:val="center"/>
              <w:textAlignment w:val="center"/>
              <w:rPr>
                <w:rFonts w:hint="eastAsia" w:ascii="宋体" w:hAnsi="宋体" w:eastAsia="宋体" w:cs="宋体"/>
                <w:b/>
                <w:bCs/>
                <w:i w:val="0"/>
                <w:iCs w:val="0"/>
                <w:caps w:val="0"/>
                <w:color w:val="333333"/>
                <w:spacing w:val="0"/>
                <w:sz w:val="21"/>
                <w:szCs w:val="21"/>
                <w:highlight w:val="none"/>
              </w:rPr>
            </w:pPr>
            <w:r>
              <w:rPr>
                <w:rFonts w:hint="eastAsia" w:ascii="宋体" w:hAnsi="宋体" w:eastAsia="宋体" w:cs="宋体"/>
                <w:b/>
                <w:bCs/>
                <w:i w:val="0"/>
                <w:iCs w:val="0"/>
                <w:caps w:val="0"/>
                <w:color w:val="333333"/>
                <w:spacing w:val="0"/>
                <w:kern w:val="0"/>
                <w:sz w:val="21"/>
                <w:szCs w:val="21"/>
                <w:highlight w:val="none"/>
                <w:lang w:val="en-US" w:eastAsia="zh-CN" w:bidi="ar"/>
              </w:rPr>
              <w:t>采购标的</w:t>
            </w:r>
          </w:p>
        </w:tc>
        <w:tc>
          <w:tcPr>
            <w:tcW w:w="1050"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leftChars="0" w:right="0" w:rightChars="0"/>
              <w:jc w:val="center"/>
              <w:textAlignment w:val="center"/>
              <w:rPr>
                <w:rFonts w:hint="eastAsia" w:ascii="宋体" w:hAnsi="宋体" w:eastAsia="宋体" w:cs="宋体"/>
                <w:b/>
                <w:bCs/>
                <w:i w:val="0"/>
                <w:iCs w:val="0"/>
                <w:caps w:val="0"/>
                <w:color w:val="333333"/>
                <w:spacing w:val="0"/>
                <w:sz w:val="21"/>
                <w:szCs w:val="21"/>
                <w:highlight w:val="none"/>
              </w:rPr>
            </w:pPr>
            <w:r>
              <w:rPr>
                <w:rFonts w:hint="eastAsia" w:ascii="宋体" w:hAnsi="宋体" w:eastAsia="宋体" w:cs="宋体"/>
                <w:b/>
                <w:bCs/>
                <w:i w:val="0"/>
                <w:iCs w:val="0"/>
                <w:caps w:val="0"/>
                <w:color w:val="333333"/>
                <w:spacing w:val="0"/>
                <w:kern w:val="0"/>
                <w:sz w:val="21"/>
                <w:szCs w:val="21"/>
                <w:highlight w:val="none"/>
                <w:lang w:val="en-US" w:eastAsia="zh-CN" w:bidi="ar"/>
              </w:rPr>
              <w:t>数量（单位）</w:t>
            </w:r>
          </w:p>
        </w:tc>
        <w:tc>
          <w:tcPr>
            <w:tcW w:w="2981"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leftChars="0" w:right="0" w:rightChars="0"/>
              <w:jc w:val="center"/>
              <w:textAlignment w:val="center"/>
              <w:rPr>
                <w:rFonts w:hint="eastAsia" w:ascii="宋体" w:hAnsi="宋体" w:eastAsia="宋体" w:cs="宋体"/>
                <w:b/>
                <w:bCs/>
                <w:i w:val="0"/>
                <w:iCs w:val="0"/>
                <w:caps w:val="0"/>
                <w:color w:val="333333"/>
                <w:spacing w:val="0"/>
                <w:sz w:val="21"/>
                <w:szCs w:val="21"/>
                <w:highlight w:val="none"/>
              </w:rPr>
            </w:pPr>
            <w:r>
              <w:rPr>
                <w:rFonts w:hint="eastAsia" w:ascii="宋体" w:hAnsi="宋体" w:eastAsia="宋体" w:cs="宋体"/>
                <w:b/>
                <w:bCs/>
                <w:i w:val="0"/>
                <w:iCs w:val="0"/>
                <w:caps w:val="0"/>
                <w:color w:val="333333"/>
                <w:spacing w:val="0"/>
                <w:kern w:val="0"/>
                <w:sz w:val="21"/>
                <w:szCs w:val="21"/>
                <w:highlight w:val="none"/>
                <w:lang w:val="en-US" w:eastAsia="zh-CN" w:bidi="ar"/>
              </w:rPr>
              <w:t>技术规格、参数及要求</w:t>
            </w:r>
          </w:p>
        </w:tc>
        <w:tc>
          <w:tcPr>
            <w:tcW w:w="1218"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leftChars="0" w:right="0" w:rightChars="0"/>
              <w:jc w:val="center"/>
              <w:textAlignment w:val="center"/>
              <w:rPr>
                <w:rFonts w:hint="eastAsia" w:ascii="宋体" w:hAnsi="宋体" w:eastAsia="宋体" w:cs="宋体"/>
                <w:b/>
                <w:bCs/>
                <w:i w:val="0"/>
                <w:iCs w:val="0"/>
                <w:caps w:val="0"/>
                <w:color w:val="333333"/>
                <w:spacing w:val="0"/>
                <w:kern w:val="0"/>
                <w:sz w:val="21"/>
                <w:szCs w:val="21"/>
                <w:highlight w:val="none"/>
                <w:lang w:val="en-US" w:eastAsia="zh-CN" w:bidi="ar"/>
              </w:rPr>
            </w:pPr>
            <w:r>
              <w:rPr>
                <w:rFonts w:hint="eastAsia" w:ascii="宋体" w:hAnsi="宋体" w:eastAsia="宋体" w:cs="宋体"/>
                <w:b/>
                <w:bCs/>
                <w:i w:val="0"/>
                <w:iCs w:val="0"/>
                <w:caps w:val="0"/>
                <w:color w:val="333333"/>
                <w:spacing w:val="0"/>
                <w:kern w:val="0"/>
                <w:sz w:val="21"/>
                <w:szCs w:val="21"/>
                <w:highlight w:val="none"/>
                <w:lang w:val="en-US" w:eastAsia="zh-CN" w:bidi="ar"/>
              </w:rPr>
              <w:t>品目预算(元)</w:t>
            </w:r>
          </w:p>
        </w:tc>
        <w:tc>
          <w:tcPr>
            <w:tcW w:w="1144"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leftChars="0" w:right="0" w:rightChars="0"/>
              <w:jc w:val="center"/>
              <w:textAlignment w:val="center"/>
              <w:rPr>
                <w:rFonts w:hint="eastAsia" w:ascii="宋体" w:hAnsi="宋体" w:eastAsia="宋体" w:cs="宋体"/>
                <w:b/>
                <w:bCs/>
                <w:i w:val="0"/>
                <w:iCs w:val="0"/>
                <w:caps w:val="0"/>
                <w:color w:val="333333"/>
                <w:spacing w:val="0"/>
                <w:sz w:val="21"/>
                <w:szCs w:val="21"/>
                <w:highlight w:val="none"/>
              </w:rPr>
            </w:pPr>
            <w:r>
              <w:rPr>
                <w:rFonts w:hint="eastAsia" w:ascii="宋体" w:hAnsi="宋体" w:eastAsia="宋体" w:cs="宋体"/>
                <w:b/>
                <w:bCs/>
                <w:i w:val="0"/>
                <w:iCs w:val="0"/>
                <w:caps w:val="0"/>
                <w:color w:val="333333"/>
                <w:spacing w:val="0"/>
                <w:kern w:val="0"/>
                <w:sz w:val="21"/>
                <w:szCs w:val="21"/>
                <w:highlight w:val="none"/>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jc w:val="center"/>
        </w:trPr>
        <w:tc>
          <w:tcPr>
            <w:tcW w:w="72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leftChars="0" w:right="0" w:rightChars="0"/>
              <w:jc w:val="center"/>
              <w:textAlignment w:val="center"/>
              <w:rPr>
                <w:rFonts w:hint="eastAsia" w:ascii="宋体" w:hAnsi="宋体" w:eastAsia="宋体" w:cs="宋体"/>
                <w:i w:val="0"/>
                <w:iCs w:val="0"/>
                <w:caps w:val="0"/>
                <w:color w:val="333333"/>
                <w:spacing w:val="0"/>
                <w:sz w:val="21"/>
                <w:szCs w:val="21"/>
                <w:highlight w:val="none"/>
              </w:rPr>
            </w:pPr>
            <w:r>
              <w:rPr>
                <w:rFonts w:hint="eastAsia" w:ascii="宋体" w:hAnsi="宋体" w:eastAsia="宋体" w:cs="宋体"/>
                <w:i w:val="0"/>
                <w:iCs w:val="0"/>
                <w:caps w:val="0"/>
                <w:color w:val="333333"/>
                <w:spacing w:val="0"/>
                <w:kern w:val="0"/>
                <w:sz w:val="21"/>
                <w:szCs w:val="21"/>
                <w:highlight w:val="none"/>
                <w:lang w:val="en-US" w:eastAsia="zh-CN" w:bidi="ar"/>
              </w:rPr>
              <w:t>2-1</w:t>
            </w:r>
          </w:p>
        </w:tc>
        <w:tc>
          <w:tcPr>
            <w:tcW w:w="1128"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textAlignment w:val="center"/>
              <w:rPr>
                <w:rFonts w:hint="default" w:ascii="宋体" w:hAnsi="宋体" w:eastAsia="宋体" w:cs="宋体"/>
                <w:i w:val="0"/>
                <w:iCs w:val="0"/>
                <w:caps w:val="0"/>
                <w:color w:val="333333"/>
                <w:spacing w:val="0"/>
                <w:sz w:val="21"/>
                <w:szCs w:val="21"/>
                <w:highlight w:val="none"/>
                <w:lang w:val="en-US"/>
              </w:rPr>
            </w:pPr>
            <w:r>
              <w:rPr>
                <w:rFonts w:hint="eastAsia" w:ascii="宋体" w:hAnsi="宋体" w:cs="宋体"/>
                <w:i w:val="0"/>
                <w:iCs w:val="0"/>
                <w:caps w:val="0"/>
                <w:color w:val="333333"/>
                <w:spacing w:val="0"/>
                <w:kern w:val="0"/>
                <w:sz w:val="21"/>
                <w:szCs w:val="21"/>
                <w:highlight w:val="none"/>
                <w:lang w:val="en-US" w:eastAsia="zh-CN" w:bidi="ar"/>
              </w:rPr>
              <w:t>其他专业技术服务</w:t>
            </w:r>
          </w:p>
        </w:tc>
        <w:tc>
          <w:tcPr>
            <w:tcW w:w="143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textAlignment w:val="center"/>
              <w:rPr>
                <w:rFonts w:hint="eastAsia" w:ascii="宋体" w:hAnsi="宋体" w:eastAsia="宋体" w:cs="宋体"/>
                <w:sz w:val="21"/>
                <w:szCs w:val="21"/>
                <w:highlight w:val="none"/>
              </w:rPr>
            </w:pPr>
            <w:r>
              <w:rPr>
                <w:rFonts w:hint="eastAsia" w:cs="宋体"/>
                <w:i w:val="0"/>
                <w:iCs w:val="0"/>
                <w:caps w:val="0"/>
                <w:color w:val="333333"/>
                <w:spacing w:val="0"/>
                <w:sz w:val="21"/>
                <w:szCs w:val="21"/>
                <w:highlight w:val="none"/>
                <w:vertAlign w:val="baseline"/>
                <w:lang w:eastAsia="zh-CN"/>
              </w:rPr>
              <w:t>普通省道路面技术状况检测</w:t>
            </w:r>
          </w:p>
        </w:tc>
        <w:tc>
          <w:tcPr>
            <w:tcW w:w="1050"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textAlignment w:val="center"/>
              <w:rPr>
                <w:rFonts w:hint="eastAsia" w:ascii="宋体" w:hAnsi="宋体" w:eastAsia="宋体" w:cs="宋体"/>
                <w:i w:val="0"/>
                <w:iCs w:val="0"/>
                <w:caps w:val="0"/>
                <w:color w:val="333333"/>
                <w:spacing w:val="0"/>
                <w:sz w:val="21"/>
                <w:szCs w:val="21"/>
                <w:highlight w:val="none"/>
              </w:rPr>
            </w:pPr>
            <w:r>
              <w:rPr>
                <w:rFonts w:hint="eastAsia" w:ascii="宋体" w:hAnsi="宋体" w:eastAsia="宋体" w:cs="宋体"/>
                <w:i w:val="0"/>
                <w:iCs w:val="0"/>
                <w:caps w:val="0"/>
                <w:color w:val="333333"/>
                <w:spacing w:val="0"/>
                <w:kern w:val="0"/>
                <w:sz w:val="21"/>
                <w:szCs w:val="21"/>
                <w:highlight w:val="none"/>
                <w:lang w:val="en-US" w:eastAsia="zh-CN" w:bidi="ar"/>
              </w:rPr>
              <w:t>1(项)</w:t>
            </w:r>
          </w:p>
        </w:tc>
        <w:tc>
          <w:tcPr>
            <w:tcW w:w="2981"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jc w:val="left"/>
              <w:textAlignment w:val="baseline"/>
              <w:rPr>
                <w:rFonts w:hint="eastAsia" w:ascii="Times New Roman" w:hAnsi="Times New Roman" w:eastAsia="宋体" w:cs="宋体"/>
                <w:i w:val="0"/>
                <w:iCs w:val="0"/>
                <w:caps w:val="0"/>
                <w:color w:val="333333"/>
                <w:spacing w:val="0"/>
                <w:kern w:val="2"/>
                <w:sz w:val="21"/>
                <w:szCs w:val="21"/>
                <w:highlight w:val="none"/>
                <w:vertAlign w:val="baseline"/>
                <w:lang w:val="en-US" w:eastAsia="zh-CN" w:bidi="ar-SA"/>
              </w:rPr>
            </w:pPr>
            <w:r>
              <w:rPr>
                <w:rFonts w:hint="eastAsia" w:ascii="Times New Roman" w:hAnsi="Times New Roman" w:eastAsia="宋体" w:cs="宋体"/>
                <w:i w:val="0"/>
                <w:iCs w:val="0"/>
                <w:caps w:val="0"/>
                <w:color w:val="333333"/>
                <w:spacing w:val="0"/>
                <w:kern w:val="2"/>
                <w:sz w:val="21"/>
                <w:szCs w:val="21"/>
                <w:highlight w:val="none"/>
                <w:vertAlign w:val="baseline"/>
                <w:lang w:val="en-US" w:eastAsia="zh-CN" w:bidi="ar-SA"/>
              </w:rPr>
              <w:t>完成</w:t>
            </w:r>
            <w:r>
              <w:rPr>
                <w:rFonts w:hint="eastAsia"/>
                <w:color w:val="333333"/>
                <w:sz w:val="21"/>
                <w:szCs w:val="21"/>
                <w:highlight w:val="none"/>
                <w:shd w:val="clear" w:color="auto" w:fill="FFFFFF"/>
                <w:lang w:val="en-US" w:eastAsia="zh-CN"/>
              </w:rPr>
              <w:t>宝鸡、咸阳、汉中、安康、商洛</w:t>
            </w:r>
            <w:r>
              <w:rPr>
                <w:rFonts w:hint="eastAsia" w:ascii="Times New Roman" w:hAnsi="Times New Roman" w:eastAsia="宋体" w:cs="宋体"/>
                <w:i w:val="0"/>
                <w:iCs w:val="0"/>
                <w:caps w:val="0"/>
                <w:color w:val="333333"/>
                <w:spacing w:val="0"/>
                <w:kern w:val="2"/>
                <w:sz w:val="21"/>
                <w:szCs w:val="21"/>
                <w:highlight w:val="none"/>
                <w:vertAlign w:val="baseline"/>
                <w:lang w:val="en-US" w:eastAsia="zh-CN" w:bidi="ar-SA"/>
              </w:rPr>
              <w:t>累计不少</w:t>
            </w:r>
            <w:r>
              <w:rPr>
                <w:rFonts w:hint="eastAsia" w:ascii="Times New Roman" w:hAnsi="Times New Roman" w:cs="宋体"/>
                <w:i w:val="0"/>
                <w:iCs w:val="0"/>
                <w:caps w:val="0"/>
                <w:color w:val="333333"/>
                <w:spacing w:val="0"/>
                <w:kern w:val="2"/>
                <w:sz w:val="21"/>
                <w:szCs w:val="21"/>
                <w:highlight w:val="none"/>
                <w:vertAlign w:val="baseline"/>
                <w:lang w:val="en-US" w:eastAsia="zh-CN" w:bidi="ar-SA"/>
              </w:rPr>
              <w:t>359</w:t>
            </w:r>
            <w:r>
              <w:rPr>
                <w:rFonts w:hint="eastAsia" w:ascii="Times New Roman" w:hAnsi="Times New Roman" w:eastAsia="宋体" w:cs="宋体"/>
                <w:i w:val="0"/>
                <w:iCs w:val="0"/>
                <w:caps w:val="0"/>
                <w:color w:val="333333"/>
                <w:spacing w:val="0"/>
                <w:kern w:val="2"/>
                <w:sz w:val="21"/>
                <w:szCs w:val="21"/>
                <w:highlight w:val="none"/>
                <w:vertAlign w:val="baseline"/>
                <w:lang w:val="en-US" w:eastAsia="zh-CN" w:bidi="ar-SA"/>
              </w:rPr>
              <w:t>座/</w:t>
            </w:r>
            <w:r>
              <w:rPr>
                <w:rFonts w:hint="eastAsia" w:ascii="Times New Roman" w:hAnsi="Times New Roman" w:cs="宋体"/>
                <w:i w:val="0"/>
                <w:iCs w:val="0"/>
                <w:caps w:val="0"/>
                <w:color w:val="333333"/>
                <w:spacing w:val="0"/>
                <w:kern w:val="2"/>
                <w:sz w:val="21"/>
                <w:szCs w:val="21"/>
                <w:highlight w:val="none"/>
                <w:vertAlign w:val="baseline"/>
                <w:lang w:val="en-US" w:eastAsia="zh-CN" w:bidi="ar-SA"/>
              </w:rPr>
              <w:t>11707</w:t>
            </w:r>
            <w:r>
              <w:rPr>
                <w:rFonts w:hint="eastAsia" w:ascii="Times New Roman" w:hAnsi="Times New Roman" w:eastAsia="宋体" w:cs="宋体"/>
                <w:i w:val="0"/>
                <w:iCs w:val="0"/>
                <w:caps w:val="0"/>
                <w:color w:val="333333"/>
                <w:spacing w:val="0"/>
                <w:kern w:val="2"/>
                <w:sz w:val="21"/>
                <w:szCs w:val="21"/>
                <w:highlight w:val="none"/>
                <w:vertAlign w:val="baseline"/>
                <w:lang w:val="en-US" w:eastAsia="zh-CN" w:bidi="ar-SA"/>
              </w:rPr>
              <w:t>延米新增省道桥梁（隧道）的技术状况定期检查评定，详见采购文件</w:t>
            </w:r>
          </w:p>
        </w:tc>
        <w:tc>
          <w:tcPr>
            <w:tcW w:w="1218"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leftChars="0" w:right="0" w:rightChars="0"/>
              <w:jc w:val="center"/>
              <w:textAlignment w:val="center"/>
              <w:rPr>
                <w:rFonts w:hint="eastAsia" w:ascii="Times New Roman" w:hAnsi="Times New Roman" w:eastAsia="宋体" w:cs="宋体"/>
                <w:i w:val="0"/>
                <w:iCs w:val="0"/>
                <w:caps w:val="0"/>
                <w:color w:val="333333"/>
                <w:spacing w:val="0"/>
                <w:kern w:val="2"/>
                <w:sz w:val="21"/>
                <w:szCs w:val="21"/>
                <w:highlight w:val="none"/>
                <w:vertAlign w:val="baseline"/>
                <w:lang w:val="en-US" w:eastAsia="zh-CN" w:bidi="ar-SA"/>
              </w:rPr>
            </w:pPr>
            <w:r>
              <w:rPr>
                <w:rFonts w:hint="eastAsia"/>
                <w:color w:val="333333"/>
                <w:sz w:val="21"/>
                <w:szCs w:val="21"/>
                <w:highlight w:val="none"/>
                <w:shd w:val="clear" w:color="auto" w:fill="FFFFFF"/>
                <w:lang w:val="en-US" w:eastAsia="zh-CN"/>
              </w:rPr>
              <w:t>740000.00</w:t>
            </w:r>
          </w:p>
        </w:tc>
        <w:tc>
          <w:tcPr>
            <w:tcW w:w="1144"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textAlignment w:val="center"/>
              <w:rPr>
                <w:rFonts w:hint="eastAsia" w:ascii="Times New Roman" w:hAnsi="Times New Roman" w:eastAsia="宋体" w:cs="宋体"/>
                <w:i w:val="0"/>
                <w:iCs w:val="0"/>
                <w:caps w:val="0"/>
                <w:color w:val="333333"/>
                <w:spacing w:val="0"/>
                <w:kern w:val="2"/>
                <w:sz w:val="21"/>
                <w:szCs w:val="21"/>
                <w:highlight w:val="none"/>
                <w:vertAlign w:val="baseline"/>
                <w:lang w:val="en-US" w:eastAsia="zh-CN" w:bidi="ar-SA"/>
              </w:rPr>
            </w:pPr>
            <w:r>
              <w:rPr>
                <w:rFonts w:hint="eastAsia"/>
                <w:color w:val="333333"/>
                <w:sz w:val="21"/>
                <w:szCs w:val="21"/>
                <w:highlight w:val="none"/>
                <w:shd w:val="clear" w:color="auto" w:fill="FFFFFF"/>
                <w:lang w:val="en-US" w:eastAsia="zh-CN"/>
              </w:rPr>
              <w:t>740000.00</w:t>
            </w:r>
          </w:p>
        </w:tc>
      </w:tr>
    </w:tbl>
    <w:p>
      <w:pPr>
        <w:pStyle w:val="20"/>
        <w:keepNext w:val="0"/>
        <w:keepLines w:val="0"/>
        <w:pageBreakBefore w:val="0"/>
        <w:widowControl/>
        <w:kinsoku/>
        <w:wordWrap/>
        <w:overflowPunct/>
        <w:topLinePunct w:val="0"/>
        <w:autoSpaceDE/>
        <w:autoSpaceDN/>
        <w:bidi w:val="0"/>
        <w:adjustRightInd/>
        <w:snapToGrid/>
        <w:spacing w:beforeAutospacing="0" w:afterAutospacing="0" w:line="540" w:lineRule="exact"/>
        <w:ind w:firstLine="420"/>
        <w:textAlignment w:val="auto"/>
        <w:rPr>
          <w:rFonts w:hint="eastAsia"/>
          <w:color w:val="333333"/>
          <w:highlight w:val="none"/>
          <w:shd w:val="clear" w:color="auto" w:fill="FFFFFF"/>
        </w:rPr>
      </w:pPr>
      <w:r>
        <w:rPr>
          <w:rFonts w:hint="eastAsia"/>
          <w:color w:val="333333"/>
          <w:highlight w:val="none"/>
          <w:shd w:val="clear" w:color="auto" w:fill="FFFFFF"/>
        </w:rPr>
        <w:t>本合同包不接受联合体投标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rPr>
          <w:rFonts w:hint="eastAsia"/>
          <w:color w:val="333333"/>
          <w:sz w:val="24"/>
          <w:szCs w:val="24"/>
          <w:highlight w:val="none"/>
          <w:shd w:val="clear" w:color="auto" w:fill="FFFFFF"/>
          <w:lang w:eastAsia="zh-CN"/>
        </w:rPr>
      </w:pPr>
      <w:r>
        <w:rPr>
          <w:rFonts w:hint="eastAsia"/>
          <w:color w:val="333333"/>
          <w:sz w:val="24"/>
          <w:szCs w:val="24"/>
          <w:highlight w:val="none"/>
          <w:shd w:val="clear" w:color="auto" w:fill="FFFFFF"/>
        </w:rPr>
        <w:t>合同履行期限：</w:t>
      </w:r>
      <w:r>
        <w:rPr>
          <w:rFonts w:hint="eastAsia"/>
          <w:color w:val="333333"/>
          <w:sz w:val="24"/>
          <w:szCs w:val="24"/>
          <w:highlight w:val="none"/>
          <w:shd w:val="clear" w:color="auto" w:fill="FFFFFF"/>
          <w:lang w:val="en-US" w:eastAsia="zh-CN"/>
        </w:rPr>
        <w:t>合同签订后一年，从合同签订之日起2个月内（包含不利天气等因素）完成全部外业检测及报告编制工作并提交甲方，如有特殊情况，经甲方允许，时间可协商顺延。</w:t>
      </w:r>
    </w:p>
    <w:p>
      <w:pPr>
        <w:pStyle w:val="20"/>
        <w:keepNext w:val="0"/>
        <w:keepLines w:val="0"/>
        <w:pageBreakBefore w:val="0"/>
        <w:widowControl w:val="0"/>
        <w:kinsoku/>
        <w:wordWrap/>
        <w:overflowPunct/>
        <w:topLinePunct w:val="0"/>
        <w:autoSpaceDE/>
        <w:autoSpaceDN/>
        <w:bidi w:val="0"/>
        <w:adjustRightInd/>
        <w:snapToGrid/>
        <w:spacing w:beforeAutospacing="0" w:afterAutospacing="0" w:line="540" w:lineRule="exact"/>
        <w:textAlignment w:val="auto"/>
        <w:rPr>
          <w:b/>
          <w:bCs/>
          <w:color w:val="333333"/>
          <w:highlight w:val="none"/>
          <w:shd w:val="clear" w:color="auto" w:fill="FFFFFF"/>
        </w:rPr>
      </w:pPr>
      <w:r>
        <w:rPr>
          <w:rFonts w:hint="eastAsia"/>
          <w:b/>
          <w:bCs/>
          <w:color w:val="333333"/>
          <w:highlight w:val="none"/>
          <w:shd w:val="clear" w:color="auto" w:fill="FFFFFF"/>
        </w:rPr>
        <w:t>二、 申请人的资格要求</w:t>
      </w:r>
    </w:p>
    <w:p>
      <w:pPr>
        <w:pStyle w:val="20"/>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420"/>
        <w:textAlignment w:val="auto"/>
        <w:rPr>
          <w:color w:val="333333"/>
          <w:highlight w:val="none"/>
          <w:shd w:val="clear" w:color="auto" w:fill="FFFFFF"/>
        </w:rPr>
      </w:pPr>
      <w:r>
        <w:rPr>
          <w:rFonts w:hint="eastAsia"/>
          <w:color w:val="333333"/>
          <w:highlight w:val="none"/>
          <w:shd w:val="clear" w:color="auto" w:fill="FFFFFF"/>
        </w:rPr>
        <w:t>1、满足《中华人民共和国政府采购法》第二十二条规定</w:t>
      </w:r>
    </w:p>
    <w:p>
      <w:pPr>
        <w:pStyle w:val="20"/>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420"/>
        <w:textAlignment w:val="auto"/>
        <w:rPr>
          <w:color w:val="333333"/>
          <w:highlight w:val="none"/>
          <w:shd w:val="clear" w:color="auto" w:fill="FFFFFF"/>
        </w:rPr>
      </w:pPr>
      <w:r>
        <w:rPr>
          <w:rFonts w:hint="eastAsia"/>
          <w:color w:val="333333"/>
          <w:highlight w:val="none"/>
          <w:shd w:val="clear" w:color="auto" w:fill="FFFFFF"/>
        </w:rPr>
        <w:t>2、落实政府采购政策需满足的资格要求：</w:t>
      </w:r>
    </w:p>
    <w:p>
      <w:pPr>
        <w:pStyle w:val="20"/>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420"/>
        <w:textAlignment w:val="auto"/>
        <w:rPr>
          <w:color w:val="333333"/>
          <w:highlight w:val="none"/>
          <w:shd w:val="clear" w:color="auto" w:fill="FFFFFF"/>
        </w:rPr>
      </w:pPr>
      <w:r>
        <w:rPr>
          <w:rFonts w:hint="eastAsia"/>
          <w:color w:val="333333"/>
          <w:highlight w:val="none"/>
          <w:shd w:val="clear" w:color="auto" w:fill="FFFFFF"/>
        </w:rPr>
        <w:t>合同包</w:t>
      </w:r>
      <w:r>
        <w:rPr>
          <w:rFonts w:hint="eastAsia"/>
          <w:color w:val="333333"/>
          <w:highlight w:val="none"/>
          <w:shd w:val="clear" w:color="auto" w:fill="FFFFFF"/>
          <w:lang w:val="en-US" w:eastAsia="zh-CN"/>
        </w:rPr>
        <w:t>1</w:t>
      </w:r>
      <w:r>
        <w:rPr>
          <w:rFonts w:hint="eastAsia"/>
          <w:color w:val="333333"/>
          <w:highlight w:val="none"/>
          <w:shd w:val="clear" w:color="auto" w:fill="FFFFFF"/>
        </w:rPr>
        <w:t>(</w:t>
      </w:r>
      <w:r>
        <w:rPr>
          <w:rFonts w:hint="eastAsia"/>
          <w:color w:val="333333"/>
          <w:highlight w:val="none"/>
          <w:shd w:val="clear" w:color="auto" w:fill="FFFFFF"/>
          <w:lang w:val="en-US" w:eastAsia="zh-CN"/>
        </w:rPr>
        <w:t>JC-1西安、铜川、榆林、延安、渭南、韩城</w:t>
      </w:r>
      <w:r>
        <w:rPr>
          <w:rFonts w:hint="eastAsia"/>
          <w:color w:val="333333"/>
          <w:highlight w:val="none"/>
          <w:shd w:val="clear" w:color="auto" w:fill="FFFFFF"/>
          <w:lang w:eastAsia="zh-CN"/>
        </w:rPr>
        <w:t>)</w:t>
      </w:r>
      <w:r>
        <w:rPr>
          <w:rFonts w:hint="eastAsia"/>
          <w:color w:val="333333"/>
          <w:highlight w:val="none"/>
          <w:shd w:val="clear" w:color="auto" w:fill="FFFFFF"/>
        </w:rPr>
        <w:t>落实政府采购政策需满足的资格要求如下:</w:t>
      </w:r>
    </w:p>
    <w:p>
      <w:pPr>
        <w:pStyle w:val="20"/>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ind w:firstLine="480" w:firstLineChars="200"/>
        <w:textAlignment w:val="auto"/>
        <w:rPr>
          <w:rFonts w:hint="eastAsia" w:eastAsia="宋体"/>
          <w:color w:val="333333"/>
          <w:highlight w:val="none"/>
          <w:shd w:val="clear" w:color="auto" w:fill="FFFFFF"/>
          <w:lang w:val="en-US" w:eastAsia="zh-CN"/>
        </w:rPr>
      </w:pPr>
      <w:r>
        <w:rPr>
          <w:rFonts w:hint="eastAsia"/>
          <w:color w:val="333333"/>
          <w:highlight w:val="none"/>
          <w:shd w:val="clear" w:color="auto" w:fill="FFFFFF"/>
        </w:rPr>
        <w:t>详见本公告“其他补充事宜”</w:t>
      </w:r>
    </w:p>
    <w:p>
      <w:pPr>
        <w:pStyle w:val="20"/>
        <w:keepNext w:val="0"/>
        <w:keepLines w:val="0"/>
        <w:pageBreakBefore w:val="0"/>
        <w:kinsoku/>
        <w:wordWrap/>
        <w:overflowPunct/>
        <w:topLinePunct w:val="0"/>
        <w:autoSpaceDE/>
        <w:autoSpaceDN/>
        <w:bidi w:val="0"/>
        <w:adjustRightInd/>
        <w:snapToGrid/>
        <w:spacing w:beforeAutospacing="0" w:afterAutospacing="0" w:line="540" w:lineRule="exact"/>
        <w:ind w:firstLine="420"/>
        <w:textAlignment w:val="auto"/>
        <w:rPr>
          <w:color w:val="333333"/>
          <w:highlight w:val="none"/>
          <w:shd w:val="clear" w:color="auto" w:fill="FFFFFF"/>
        </w:rPr>
      </w:pPr>
      <w:r>
        <w:rPr>
          <w:rFonts w:hint="eastAsia"/>
          <w:color w:val="333333"/>
          <w:highlight w:val="none"/>
          <w:shd w:val="clear" w:color="auto" w:fill="FFFFFF"/>
        </w:rPr>
        <w:t>合同包</w:t>
      </w:r>
      <w:r>
        <w:rPr>
          <w:rFonts w:hint="eastAsia"/>
          <w:color w:val="333333"/>
          <w:highlight w:val="none"/>
          <w:shd w:val="clear" w:color="auto" w:fill="FFFFFF"/>
          <w:lang w:val="en-US" w:eastAsia="zh-CN"/>
        </w:rPr>
        <w:t>2</w:t>
      </w:r>
      <w:r>
        <w:rPr>
          <w:rFonts w:hint="eastAsia"/>
          <w:color w:val="333333"/>
          <w:highlight w:val="none"/>
          <w:shd w:val="clear" w:color="auto" w:fill="FFFFFF"/>
        </w:rPr>
        <w:t>(</w:t>
      </w:r>
      <w:r>
        <w:rPr>
          <w:rFonts w:hint="eastAsia"/>
          <w:color w:val="333333"/>
          <w:highlight w:val="none"/>
          <w:shd w:val="clear" w:color="auto" w:fill="FFFFFF"/>
          <w:lang w:val="en-US" w:eastAsia="zh-CN"/>
        </w:rPr>
        <w:t>JC-2宝鸡、咸阳、汉中、安康、商洛</w:t>
      </w:r>
      <w:r>
        <w:rPr>
          <w:rFonts w:hint="eastAsia"/>
          <w:color w:val="333333"/>
          <w:highlight w:val="none"/>
          <w:shd w:val="clear" w:color="auto" w:fill="FFFFFF"/>
          <w:lang w:eastAsia="zh-CN"/>
        </w:rPr>
        <w:t>)</w:t>
      </w:r>
      <w:r>
        <w:rPr>
          <w:rFonts w:hint="eastAsia"/>
          <w:color w:val="333333"/>
          <w:highlight w:val="none"/>
          <w:shd w:val="clear" w:color="auto" w:fill="FFFFFF"/>
        </w:rPr>
        <w:t>落实政府采购政策需满足的资格要求如下:</w:t>
      </w:r>
    </w:p>
    <w:p>
      <w:pPr>
        <w:pStyle w:val="20"/>
        <w:keepNext w:val="0"/>
        <w:keepLines w:val="0"/>
        <w:pageBreakBefore w:val="0"/>
        <w:kinsoku/>
        <w:wordWrap/>
        <w:overflowPunct/>
        <w:topLinePunct w:val="0"/>
        <w:autoSpaceDE/>
        <w:autoSpaceDN/>
        <w:bidi w:val="0"/>
        <w:adjustRightInd/>
        <w:snapToGrid/>
        <w:spacing w:beforeAutospacing="0" w:afterAutospacing="0" w:line="540" w:lineRule="exact"/>
        <w:ind w:firstLine="420"/>
        <w:textAlignment w:val="auto"/>
        <w:rPr>
          <w:rFonts w:hint="eastAsia"/>
          <w:color w:val="333333"/>
          <w:highlight w:val="none"/>
          <w:shd w:val="clear" w:color="auto" w:fill="FFFFFF"/>
        </w:rPr>
      </w:pPr>
      <w:r>
        <w:rPr>
          <w:rFonts w:hint="eastAsia"/>
          <w:color w:val="333333"/>
          <w:highlight w:val="none"/>
          <w:shd w:val="clear" w:color="auto" w:fill="FFFFFF"/>
        </w:rPr>
        <w:t>详见本公告“其他补充事宜”</w:t>
      </w:r>
    </w:p>
    <w:p>
      <w:pPr>
        <w:pStyle w:val="20"/>
        <w:keepNext w:val="0"/>
        <w:keepLines w:val="0"/>
        <w:pageBreakBefore w:val="0"/>
        <w:kinsoku/>
        <w:wordWrap/>
        <w:overflowPunct/>
        <w:topLinePunct w:val="0"/>
        <w:autoSpaceDE/>
        <w:autoSpaceDN/>
        <w:bidi w:val="0"/>
        <w:adjustRightInd/>
        <w:snapToGrid/>
        <w:spacing w:beforeAutospacing="0" w:afterAutospacing="0" w:line="540" w:lineRule="exact"/>
        <w:ind w:firstLine="420"/>
        <w:textAlignment w:val="auto"/>
        <w:rPr>
          <w:color w:val="333333"/>
          <w:highlight w:val="none"/>
          <w:shd w:val="clear" w:color="auto" w:fill="FFFFFF"/>
        </w:rPr>
      </w:pPr>
      <w:r>
        <w:rPr>
          <w:rFonts w:hint="eastAsia"/>
          <w:color w:val="333333"/>
          <w:highlight w:val="none"/>
          <w:shd w:val="clear" w:color="auto" w:fill="FFFFFF"/>
        </w:rPr>
        <w:t>3、本项目的特定资格要求：</w:t>
      </w:r>
    </w:p>
    <w:p>
      <w:pPr>
        <w:pStyle w:val="20"/>
        <w:keepNext w:val="0"/>
        <w:keepLines w:val="0"/>
        <w:pageBreakBefore w:val="0"/>
        <w:kinsoku/>
        <w:wordWrap/>
        <w:overflowPunct/>
        <w:topLinePunct w:val="0"/>
        <w:autoSpaceDE/>
        <w:autoSpaceDN/>
        <w:bidi w:val="0"/>
        <w:adjustRightInd/>
        <w:snapToGrid/>
        <w:spacing w:beforeAutospacing="0" w:afterAutospacing="0" w:line="540" w:lineRule="exact"/>
        <w:ind w:firstLine="420"/>
        <w:textAlignment w:val="auto"/>
        <w:rPr>
          <w:color w:val="333333"/>
          <w:highlight w:val="none"/>
          <w:shd w:val="clear" w:color="auto" w:fill="FFFFFF"/>
        </w:rPr>
      </w:pPr>
      <w:r>
        <w:rPr>
          <w:rFonts w:hint="eastAsia"/>
          <w:color w:val="333333"/>
          <w:highlight w:val="none"/>
          <w:shd w:val="clear" w:color="auto" w:fill="FFFFFF"/>
        </w:rPr>
        <w:t>合同包1(</w:t>
      </w:r>
      <w:r>
        <w:rPr>
          <w:rFonts w:hint="eastAsia"/>
          <w:color w:val="333333"/>
          <w:highlight w:val="none"/>
          <w:shd w:val="clear" w:color="auto" w:fill="FFFFFF"/>
          <w:lang w:val="en-US" w:eastAsia="zh-CN"/>
        </w:rPr>
        <w:t>JC-1西安、铜川、榆林、延安、渭南、韩城</w:t>
      </w:r>
      <w:r>
        <w:rPr>
          <w:rFonts w:hint="eastAsia"/>
          <w:color w:val="333333"/>
          <w:highlight w:val="none"/>
          <w:shd w:val="clear" w:color="auto" w:fill="FFFFFF"/>
          <w:lang w:eastAsia="zh-CN"/>
        </w:rPr>
        <w:t>)</w:t>
      </w:r>
      <w:r>
        <w:rPr>
          <w:rFonts w:hint="eastAsia"/>
          <w:color w:val="333333"/>
          <w:highlight w:val="none"/>
          <w:shd w:val="clear" w:color="auto" w:fill="FFFFFF"/>
        </w:rPr>
        <w:t>特定资格要求如下:</w:t>
      </w:r>
    </w:p>
    <w:p>
      <w:pPr>
        <w:pStyle w:val="20"/>
        <w:keepNext w:val="0"/>
        <w:keepLines w:val="0"/>
        <w:pageBreakBefore w:val="0"/>
        <w:numPr>
          <w:ilvl w:val="0"/>
          <w:numId w:val="0"/>
        </w:numPr>
        <w:kinsoku/>
        <w:wordWrap/>
        <w:overflowPunct/>
        <w:topLinePunct w:val="0"/>
        <w:autoSpaceDE/>
        <w:autoSpaceDN/>
        <w:bidi w:val="0"/>
        <w:adjustRightInd/>
        <w:snapToGrid/>
        <w:spacing w:beforeAutospacing="0" w:afterAutospacing="0" w:line="440" w:lineRule="exact"/>
        <w:ind w:firstLine="480" w:firstLineChars="200"/>
        <w:textAlignment w:val="auto"/>
        <w:rPr>
          <w:highlight w:val="none"/>
        </w:rPr>
      </w:pPr>
      <w:r>
        <w:rPr>
          <w:rFonts w:hint="eastAsia"/>
          <w:color w:val="333333"/>
          <w:highlight w:val="none"/>
          <w:shd w:val="clear" w:color="auto" w:fill="FFFFFF"/>
          <w:lang w:eastAsia="zh-CN"/>
        </w:rPr>
        <w:t>（</w:t>
      </w:r>
      <w:r>
        <w:rPr>
          <w:rFonts w:hint="eastAsia"/>
          <w:color w:val="333333"/>
          <w:highlight w:val="none"/>
          <w:shd w:val="clear" w:color="auto" w:fill="FFFFFF"/>
          <w:lang w:val="en-US" w:eastAsia="zh-CN"/>
        </w:rPr>
        <w:t>1</w:t>
      </w:r>
      <w:r>
        <w:rPr>
          <w:rFonts w:hint="eastAsia"/>
          <w:color w:val="333333"/>
          <w:highlight w:val="none"/>
          <w:shd w:val="clear" w:color="auto" w:fill="FFFFFF"/>
          <w:lang w:eastAsia="zh-CN"/>
        </w:rPr>
        <w:t>）</w:t>
      </w:r>
      <w:r>
        <w:rPr>
          <w:rFonts w:hint="eastAsia"/>
          <w:color w:val="333333"/>
          <w:highlight w:val="none"/>
          <w:shd w:val="clear" w:color="auto" w:fill="FFFFFF"/>
        </w:rPr>
        <w:t>法定代表人直接参加磋商的，须出具法定代表人身份证明书及身份证；法定代表人授权代表参加磋商的，须出具法定代表人授权书及授权代表身份证；（2）磋商保证金缴纳凭证或担保机构出具的保函；</w:t>
      </w:r>
      <w:r>
        <w:rPr>
          <w:rFonts w:hint="eastAsia" w:ascii="宋体" w:hAnsi="宋体" w:eastAsia="宋体" w:cs="宋体"/>
          <w:color w:val="333333"/>
          <w:highlight w:val="none"/>
          <w:shd w:val="clear" w:color="auto" w:fill="FFFFFF"/>
        </w:rPr>
        <w:t>（3）</w:t>
      </w:r>
      <w:r>
        <w:rPr>
          <w:rFonts w:hint="eastAsia" w:cs="宋体"/>
          <w:color w:val="333333"/>
          <w:highlight w:val="none"/>
          <w:shd w:val="clear" w:color="auto" w:fill="FFFFFF"/>
          <w:lang w:val="en-US" w:eastAsia="zh-CN"/>
        </w:rPr>
        <w:t>供应商须</w:t>
      </w:r>
      <w:r>
        <w:rPr>
          <w:rFonts w:hint="eastAsia" w:cs="宋体"/>
          <w:color w:val="333333"/>
          <w:highlight w:val="none"/>
          <w:shd w:val="clear" w:color="auto" w:fill="FFFFFF"/>
          <w:lang w:eastAsia="zh-CN"/>
        </w:rPr>
        <w:t>具有交通运输部质量监督机构颁发的公路工程试验检测综合甲级资质</w:t>
      </w:r>
      <w:r>
        <w:rPr>
          <w:rFonts w:hint="eastAsia" w:cs="宋体"/>
          <w:color w:val="333333"/>
          <w:highlight w:val="none"/>
          <w:shd w:val="clear" w:color="auto" w:fill="FFFFFF"/>
          <w:lang w:val="en-US" w:eastAsia="zh-CN"/>
        </w:rPr>
        <w:t>或桥梁工程试验检测专项类资质。同时供应商须具备有效的</w:t>
      </w:r>
      <w:r>
        <w:rPr>
          <w:rFonts w:hint="eastAsia" w:cs="宋体"/>
          <w:color w:val="333333"/>
          <w:highlight w:val="none"/>
          <w:shd w:val="clear" w:color="auto" w:fill="FFFFFF"/>
          <w:lang w:eastAsia="zh-CN"/>
        </w:rPr>
        <w:t>国家质量技术监督部门颁发的</w:t>
      </w:r>
      <w:r>
        <w:rPr>
          <w:rFonts w:hint="eastAsia" w:cs="宋体"/>
          <w:color w:val="333333"/>
          <w:highlight w:val="none"/>
          <w:shd w:val="clear" w:color="auto" w:fill="FFFFFF"/>
          <w:lang w:val="en-US" w:eastAsia="zh-CN"/>
        </w:rPr>
        <w:t>省部级以上</w:t>
      </w:r>
      <w:r>
        <w:rPr>
          <w:rFonts w:hint="eastAsia" w:cs="宋体"/>
          <w:color w:val="333333"/>
          <w:highlight w:val="none"/>
          <w:shd w:val="clear" w:color="auto" w:fill="FFFFFF"/>
          <w:lang w:eastAsia="zh-CN"/>
        </w:rPr>
        <w:t>计量认证CMA合格证书（具有</w:t>
      </w:r>
      <w:r>
        <w:rPr>
          <w:rFonts w:hint="eastAsia" w:cs="宋体"/>
          <w:color w:val="333333"/>
          <w:highlight w:val="none"/>
          <w:shd w:val="clear" w:color="auto" w:fill="FFFFFF"/>
          <w:lang w:val="en-US" w:eastAsia="zh-CN"/>
        </w:rPr>
        <w:t>桥梁、隧道检测能力</w:t>
      </w:r>
      <w:r>
        <w:rPr>
          <w:rFonts w:hint="eastAsia" w:cs="宋体"/>
          <w:color w:val="333333"/>
          <w:highlight w:val="none"/>
          <w:shd w:val="clear" w:color="auto" w:fill="FFFFFF"/>
          <w:lang w:eastAsia="zh-CN"/>
        </w:rPr>
        <w:t>），上述证书均须在有效期内。</w:t>
      </w:r>
      <w:r>
        <w:rPr>
          <w:rFonts w:hint="eastAsia" w:ascii="宋体" w:hAnsi="宋体" w:eastAsia="宋体" w:cs="宋体"/>
          <w:color w:val="333333"/>
          <w:highlight w:val="none"/>
          <w:shd w:val="clear" w:color="auto" w:fill="FFFFFF"/>
        </w:rPr>
        <w:t>（4）供应商未被“信用中国”网站</w:t>
      </w:r>
      <w:r>
        <w:rPr>
          <w:rFonts w:hint="eastAsia"/>
          <w:color w:val="333333"/>
          <w:highlight w:val="none"/>
          <w:shd w:val="clear" w:color="auto" w:fill="FFFFFF"/>
        </w:rPr>
        <w:t>（www.creditchina.gov.cn）中列入失信被执行人和税收违法</w:t>
      </w:r>
      <w:r>
        <w:rPr>
          <w:rFonts w:hint="eastAsia"/>
          <w:color w:val="333333"/>
          <w:highlight w:val="none"/>
          <w:shd w:val="clear" w:color="auto" w:fill="FFFFFF"/>
          <w:lang w:val="en-US" w:eastAsia="zh-CN"/>
        </w:rPr>
        <w:t>黑</w:t>
      </w:r>
      <w:r>
        <w:rPr>
          <w:rFonts w:hint="eastAsia"/>
          <w:color w:val="333333"/>
          <w:highlight w:val="none"/>
          <w:shd w:val="clear" w:color="auto" w:fill="FFFFFF"/>
        </w:rPr>
        <w:t>名单，在中国政府采购网（www.ccgp.gov.cn）政府采购严重违法失信行为记录名单中未被财政部门禁止参加政府采购活动的供应商，未被省级及以上交通运输主管部门限制进入公路建养市场，且</w:t>
      </w:r>
      <w:r>
        <w:rPr>
          <w:rFonts w:hint="eastAsia"/>
          <w:color w:val="333333"/>
          <w:highlight w:val="none"/>
          <w:shd w:val="clear" w:color="auto" w:fill="FFFFFF"/>
          <w:lang w:val="en-US" w:eastAsia="zh-CN"/>
        </w:rPr>
        <w:t>不</w:t>
      </w:r>
      <w:r>
        <w:rPr>
          <w:rFonts w:hint="eastAsia"/>
          <w:color w:val="333333"/>
          <w:highlight w:val="none"/>
          <w:shd w:val="clear" w:color="auto" w:fill="FFFFFF"/>
        </w:rPr>
        <w:t>在处罚有效期内。</w:t>
      </w:r>
    </w:p>
    <w:p>
      <w:pPr>
        <w:pStyle w:val="20"/>
        <w:keepNext w:val="0"/>
        <w:keepLines w:val="0"/>
        <w:pageBreakBefore w:val="0"/>
        <w:kinsoku/>
        <w:wordWrap/>
        <w:overflowPunct/>
        <w:topLinePunct w:val="0"/>
        <w:autoSpaceDE/>
        <w:autoSpaceDN/>
        <w:bidi w:val="0"/>
        <w:adjustRightInd/>
        <w:snapToGrid/>
        <w:spacing w:beforeAutospacing="0" w:afterAutospacing="0" w:line="540" w:lineRule="exact"/>
        <w:ind w:firstLine="420"/>
        <w:textAlignment w:val="auto"/>
        <w:rPr>
          <w:color w:val="333333"/>
          <w:highlight w:val="none"/>
          <w:shd w:val="clear" w:color="auto" w:fill="FFFFFF"/>
        </w:rPr>
      </w:pPr>
      <w:r>
        <w:rPr>
          <w:rFonts w:hint="eastAsia"/>
          <w:color w:val="333333"/>
          <w:highlight w:val="none"/>
          <w:shd w:val="clear" w:color="auto" w:fill="FFFFFF"/>
        </w:rPr>
        <w:t>合同包</w:t>
      </w:r>
      <w:r>
        <w:rPr>
          <w:rFonts w:hint="eastAsia"/>
          <w:color w:val="333333"/>
          <w:highlight w:val="none"/>
          <w:shd w:val="clear" w:color="auto" w:fill="FFFFFF"/>
          <w:lang w:val="en-US" w:eastAsia="zh-CN"/>
        </w:rPr>
        <w:t>2</w:t>
      </w:r>
      <w:r>
        <w:rPr>
          <w:rFonts w:hint="eastAsia"/>
          <w:color w:val="333333"/>
          <w:highlight w:val="none"/>
          <w:shd w:val="clear" w:color="auto" w:fill="FFFFFF"/>
        </w:rPr>
        <w:t>(</w:t>
      </w:r>
      <w:r>
        <w:rPr>
          <w:rFonts w:hint="eastAsia"/>
          <w:color w:val="333333"/>
          <w:highlight w:val="none"/>
          <w:shd w:val="clear" w:color="auto" w:fill="FFFFFF"/>
          <w:lang w:val="en-US" w:eastAsia="zh-CN"/>
        </w:rPr>
        <w:t>JC-2宝鸡、咸阳、汉中、安康、商洛</w:t>
      </w:r>
      <w:r>
        <w:rPr>
          <w:rFonts w:hint="eastAsia"/>
          <w:color w:val="333333"/>
          <w:highlight w:val="none"/>
          <w:shd w:val="clear" w:color="auto" w:fill="FFFFFF"/>
          <w:lang w:eastAsia="zh-CN"/>
        </w:rPr>
        <w:t>)</w:t>
      </w:r>
      <w:r>
        <w:rPr>
          <w:rFonts w:hint="eastAsia"/>
          <w:color w:val="333333"/>
          <w:highlight w:val="none"/>
          <w:shd w:val="clear" w:color="auto" w:fill="FFFFFF"/>
        </w:rPr>
        <w:t>特定资格要求如下:</w:t>
      </w:r>
    </w:p>
    <w:p>
      <w:pPr>
        <w:pStyle w:val="20"/>
        <w:keepNext w:val="0"/>
        <w:keepLines w:val="0"/>
        <w:pageBreakBefore w:val="0"/>
        <w:numPr>
          <w:ilvl w:val="0"/>
          <w:numId w:val="0"/>
        </w:numPr>
        <w:kinsoku/>
        <w:wordWrap/>
        <w:overflowPunct/>
        <w:topLinePunct w:val="0"/>
        <w:autoSpaceDE/>
        <w:autoSpaceDN/>
        <w:bidi w:val="0"/>
        <w:adjustRightInd/>
        <w:snapToGrid/>
        <w:spacing w:beforeAutospacing="0" w:afterAutospacing="0" w:line="440" w:lineRule="exact"/>
        <w:ind w:firstLine="480" w:firstLineChars="200"/>
        <w:textAlignment w:val="auto"/>
        <w:rPr>
          <w:highlight w:val="none"/>
        </w:rPr>
      </w:pPr>
      <w:r>
        <w:rPr>
          <w:rFonts w:hint="eastAsia"/>
          <w:color w:val="333333"/>
          <w:highlight w:val="none"/>
          <w:shd w:val="clear" w:color="auto" w:fill="FFFFFF"/>
          <w:lang w:eastAsia="zh-CN"/>
        </w:rPr>
        <w:t>（</w:t>
      </w:r>
      <w:r>
        <w:rPr>
          <w:rFonts w:hint="eastAsia"/>
          <w:color w:val="333333"/>
          <w:highlight w:val="none"/>
          <w:shd w:val="clear" w:color="auto" w:fill="FFFFFF"/>
          <w:lang w:val="en-US" w:eastAsia="zh-CN"/>
        </w:rPr>
        <w:t>1</w:t>
      </w:r>
      <w:r>
        <w:rPr>
          <w:rFonts w:hint="eastAsia"/>
          <w:color w:val="333333"/>
          <w:highlight w:val="none"/>
          <w:shd w:val="clear" w:color="auto" w:fill="FFFFFF"/>
          <w:lang w:eastAsia="zh-CN"/>
        </w:rPr>
        <w:t>）</w:t>
      </w:r>
      <w:r>
        <w:rPr>
          <w:rFonts w:hint="eastAsia"/>
          <w:color w:val="333333"/>
          <w:highlight w:val="none"/>
          <w:shd w:val="clear" w:color="auto" w:fill="FFFFFF"/>
        </w:rPr>
        <w:t>法定代表人直接参加磋商的，须出具法定代表人身份证明书及身份证；法定代表人授权代表参加磋商的，须出具法定代表人授权书及授权代表身份证；（2）磋商保证金缴纳凭证或担保机构出具的保函；</w:t>
      </w:r>
      <w:r>
        <w:rPr>
          <w:rFonts w:hint="eastAsia" w:ascii="宋体" w:hAnsi="宋体" w:eastAsia="宋体" w:cs="宋体"/>
          <w:color w:val="333333"/>
          <w:highlight w:val="none"/>
          <w:shd w:val="clear" w:color="auto" w:fill="FFFFFF"/>
        </w:rPr>
        <w:t>（3）</w:t>
      </w:r>
      <w:r>
        <w:rPr>
          <w:rFonts w:hint="eastAsia" w:cs="宋体"/>
          <w:color w:val="333333"/>
          <w:highlight w:val="none"/>
          <w:shd w:val="clear" w:color="auto" w:fill="FFFFFF"/>
          <w:lang w:val="en-US" w:eastAsia="zh-CN"/>
        </w:rPr>
        <w:t>供应商须</w:t>
      </w:r>
      <w:r>
        <w:rPr>
          <w:rFonts w:hint="eastAsia" w:cs="宋体"/>
          <w:color w:val="333333"/>
          <w:highlight w:val="none"/>
          <w:shd w:val="clear" w:color="auto" w:fill="FFFFFF"/>
          <w:lang w:eastAsia="zh-CN"/>
        </w:rPr>
        <w:t>具有交通运输部质量监督机构颁发的公路工程试验检测综合甲级资质</w:t>
      </w:r>
      <w:r>
        <w:rPr>
          <w:rFonts w:hint="eastAsia" w:cs="宋体"/>
          <w:color w:val="333333"/>
          <w:highlight w:val="none"/>
          <w:shd w:val="clear" w:color="auto" w:fill="FFFFFF"/>
          <w:lang w:val="en-US" w:eastAsia="zh-CN"/>
        </w:rPr>
        <w:t>或桥梁工程试验检测专项类资质。同时供应商须具备有效的</w:t>
      </w:r>
      <w:r>
        <w:rPr>
          <w:rFonts w:hint="eastAsia" w:cs="宋体"/>
          <w:color w:val="333333"/>
          <w:highlight w:val="none"/>
          <w:shd w:val="clear" w:color="auto" w:fill="FFFFFF"/>
          <w:lang w:eastAsia="zh-CN"/>
        </w:rPr>
        <w:t>国家质量技术监督部门颁发的</w:t>
      </w:r>
      <w:r>
        <w:rPr>
          <w:rFonts w:hint="eastAsia" w:cs="宋体"/>
          <w:color w:val="333333"/>
          <w:highlight w:val="none"/>
          <w:shd w:val="clear" w:color="auto" w:fill="FFFFFF"/>
          <w:lang w:val="en-US" w:eastAsia="zh-CN"/>
        </w:rPr>
        <w:t>省部级以上</w:t>
      </w:r>
      <w:r>
        <w:rPr>
          <w:rFonts w:hint="eastAsia" w:cs="宋体"/>
          <w:color w:val="333333"/>
          <w:highlight w:val="none"/>
          <w:shd w:val="clear" w:color="auto" w:fill="FFFFFF"/>
          <w:lang w:eastAsia="zh-CN"/>
        </w:rPr>
        <w:t>计量认证CMA合格证书（具有</w:t>
      </w:r>
      <w:r>
        <w:rPr>
          <w:rFonts w:hint="eastAsia" w:cs="宋体"/>
          <w:color w:val="333333"/>
          <w:highlight w:val="none"/>
          <w:shd w:val="clear" w:color="auto" w:fill="FFFFFF"/>
          <w:lang w:val="en-US" w:eastAsia="zh-CN"/>
        </w:rPr>
        <w:t>桥梁、隧道检测能力</w:t>
      </w:r>
      <w:r>
        <w:rPr>
          <w:rFonts w:hint="eastAsia" w:cs="宋体"/>
          <w:color w:val="333333"/>
          <w:highlight w:val="none"/>
          <w:shd w:val="clear" w:color="auto" w:fill="FFFFFF"/>
          <w:lang w:eastAsia="zh-CN"/>
        </w:rPr>
        <w:t>），上述证书均须在有效期内。</w:t>
      </w:r>
      <w:r>
        <w:rPr>
          <w:rFonts w:hint="eastAsia" w:ascii="宋体" w:hAnsi="宋体" w:eastAsia="宋体" w:cs="宋体"/>
          <w:color w:val="333333"/>
          <w:highlight w:val="none"/>
          <w:shd w:val="clear" w:color="auto" w:fill="FFFFFF"/>
        </w:rPr>
        <w:t>（4）供应商未被“信用中国”网站</w:t>
      </w:r>
      <w:r>
        <w:rPr>
          <w:rFonts w:hint="eastAsia"/>
          <w:color w:val="333333"/>
          <w:highlight w:val="none"/>
          <w:shd w:val="clear" w:color="auto" w:fill="FFFFFF"/>
        </w:rPr>
        <w:t>（www.creditchina.gov.cn）中列入失信被执行人和税收违法</w:t>
      </w:r>
      <w:r>
        <w:rPr>
          <w:rFonts w:hint="eastAsia"/>
          <w:color w:val="333333"/>
          <w:highlight w:val="none"/>
          <w:shd w:val="clear" w:color="auto" w:fill="FFFFFF"/>
          <w:lang w:val="en-US" w:eastAsia="zh-CN"/>
        </w:rPr>
        <w:t>黑</w:t>
      </w:r>
      <w:r>
        <w:rPr>
          <w:rFonts w:hint="eastAsia"/>
          <w:color w:val="333333"/>
          <w:highlight w:val="none"/>
          <w:shd w:val="clear" w:color="auto" w:fill="FFFFFF"/>
        </w:rPr>
        <w:t>名单，在中国政府采购网（www.ccgp.gov.cn）政府采购严重违法失信行为记录名单中未被财政部门禁止参加政府采购活动的供应商，未被省级及以上交通运输主管部门限制进入公路建养市场，且</w:t>
      </w:r>
      <w:r>
        <w:rPr>
          <w:rFonts w:hint="eastAsia"/>
          <w:color w:val="333333"/>
          <w:highlight w:val="none"/>
          <w:shd w:val="clear" w:color="auto" w:fill="FFFFFF"/>
          <w:lang w:val="en-US" w:eastAsia="zh-CN"/>
        </w:rPr>
        <w:t>不</w:t>
      </w:r>
      <w:r>
        <w:rPr>
          <w:rFonts w:hint="eastAsia"/>
          <w:color w:val="333333"/>
          <w:highlight w:val="none"/>
          <w:shd w:val="clear" w:color="auto" w:fill="FFFFFF"/>
        </w:rPr>
        <w:t>在处罚有效期内。</w:t>
      </w:r>
    </w:p>
    <w:p>
      <w:pPr>
        <w:pStyle w:val="20"/>
        <w:keepNext w:val="0"/>
        <w:keepLines w:val="0"/>
        <w:pageBreakBefore w:val="0"/>
        <w:kinsoku/>
        <w:wordWrap/>
        <w:overflowPunct/>
        <w:topLinePunct w:val="0"/>
        <w:autoSpaceDE/>
        <w:autoSpaceDN/>
        <w:bidi w:val="0"/>
        <w:adjustRightInd/>
        <w:snapToGrid/>
        <w:spacing w:beforeAutospacing="0" w:afterAutospacing="0" w:line="440" w:lineRule="exact"/>
        <w:textAlignment w:val="auto"/>
        <w:rPr>
          <w:color w:val="333333"/>
          <w:highlight w:val="none"/>
          <w:shd w:val="clear" w:color="auto" w:fill="FFFFFF"/>
        </w:rPr>
      </w:pPr>
      <w:r>
        <w:rPr>
          <w:rFonts w:hint="eastAsia"/>
          <w:b/>
          <w:bCs/>
          <w:color w:val="333333"/>
          <w:highlight w:val="none"/>
          <w:shd w:val="clear" w:color="auto" w:fill="FFFFFF"/>
        </w:rPr>
        <w:t>三、 获取采购文件</w:t>
      </w:r>
    </w:p>
    <w:p>
      <w:pPr>
        <w:pStyle w:val="20"/>
        <w:keepNext w:val="0"/>
        <w:keepLines w:val="0"/>
        <w:pageBreakBefore w:val="0"/>
        <w:kinsoku/>
        <w:wordWrap/>
        <w:overflowPunct/>
        <w:topLinePunct w:val="0"/>
        <w:autoSpaceDE/>
        <w:autoSpaceDN/>
        <w:bidi w:val="0"/>
        <w:adjustRightInd/>
        <w:snapToGrid/>
        <w:spacing w:beforeAutospacing="0" w:afterAutospacing="0" w:line="440" w:lineRule="exact"/>
        <w:ind w:firstLine="420"/>
        <w:textAlignment w:val="auto"/>
        <w:rPr>
          <w:color w:val="333333"/>
          <w:highlight w:val="none"/>
          <w:shd w:val="clear" w:color="auto" w:fill="FFFFFF"/>
        </w:rPr>
      </w:pPr>
      <w:r>
        <w:rPr>
          <w:rFonts w:hint="eastAsia"/>
          <w:color w:val="333333"/>
          <w:highlight w:val="none"/>
          <w:shd w:val="clear" w:color="auto" w:fill="FFFFFF"/>
        </w:rPr>
        <w:t>时间： 20</w:t>
      </w:r>
      <w:r>
        <w:rPr>
          <w:rFonts w:hint="eastAsia"/>
          <w:color w:val="333333"/>
          <w:highlight w:val="none"/>
          <w:shd w:val="clear" w:color="auto" w:fill="FFFFFF"/>
          <w:lang w:val="en-US" w:eastAsia="zh-CN"/>
        </w:rPr>
        <w:t>23</w:t>
      </w:r>
      <w:r>
        <w:rPr>
          <w:rFonts w:hint="eastAsia"/>
          <w:color w:val="333333"/>
          <w:highlight w:val="none"/>
          <w:shd w:val="clear" w:color="auto" w:fill="FFFFFF"/>
        </w:rPr>
        <w:t>年</w:t>
      </w:r>
      <w:r>
        <w:rPr>
          <w:rFonts w:hint="eastAsia"/>
          <w:color w:val="333333"/>
          <w:highlight w:val="none"/>
          <w:shd w:val="clear" w:color="auto" w:fill="FFFFFF"/>
          <w:lang w:val="en-US" w:eastAsia="zh-CN"/>
        </w:rPr>
        <w:t>07</w:t>
      </w:r>
      <w:r>
        <w:rPr>
          <w:rFonts w:hint="eastAsia"/>
          <w:color w:val="333333"/>
          <w:highlight w:val="none"/>
          <w:shd w:val="clear" w:color="auto" w:fill="FFFFFF"/>
        </w:rPr>
        <w:t>月</w:t>
      </w:r>
      <w:r>
        <w:rPr>
          <w:rFonts w:hint="eastAsia"/>
          <w:color w:val="333333"/>
          <w:highlight w:val="none"/>
          <w:shd w:val="clear" w:color="auto" w:fill="FFFFFF"/>
          <w:lang w:val="en-US" w:eastAsia="zh-CN"/>
        </w:rPr>
        <w:t>04</w:t>
      </w:r>
      <w:r>
        <w:rPr>
          <w:rFonts w:hint="eastAsia"/>
          <w:color w:val="333333"/>
          <w:highlight w:val="none"/>
          <w:shd w:val="clear" w:color="auto" w:fill="FFFFFF"/>
        </w:rPr>
        <w:t>日 至 20</w:t>
      </w:r>
      <w:r>
        <w:rPr>
          <w:rFonts w:hint="eastAsia"/>
          <w:color w:val="333333"/>
          <w:highlight w:val="none"/>
          <w:shd w:val="clear" w:color="auto" w:fill="FFFFFF"/>
          <w:lang w:val="en-US" w:eastAsia="zh-CN"/>
        </w:rPr>
        <w:t>23</w:t>
      </w:r>
      <w:r>
        <w:rPr>
          <w:rFonts w:hint="eastAsia"/>
          <w:color w:val="333333"/>
          <w:highlight w:val="none"/>
          <w:shd w:val="clear" w:color="auto" w:fill="FFFFFF"/>
        </w:rPr>
        <w:t>年</w:t>
      </w:r>
      <w:r>
        <w:rPr>
          <w:rFonts w:hint="eastAsia"/>
          <w:color w:val="333333"/>
          <w:highlight w:val="none"/>
          <w:shd w:val="clear" w:color="auto" w:fill="FFFFFF"/>
          <w:lang w:val="en-US" w:eastAsia="zh-CN"/>
        </w:rPr>
        <w:t>07</w:t>
      </w:r>
      <w:r>
        <w:rPr>
          <w:rFonts w:hint="eastAsia"/>
          <w:color w:val="333333"/>
          <w:highlight w:val="none"/>
          <w:shd w:val="clear" w:color="auto" w:fill="FFFFFF"/>
        </w:rPr>
        <w:t>月</w:t>
      </w:r>
      <w:r>
        <w:rPr>
          <w:rFonts w:hint="eastAsia"/>
          <w:color w:val="333333"/>
          <w:highlight w:val="none"/>
          <w:shd w:val="clear" w:color="auto" w:fill="FFFFFF"/>
          <w:lang w:val="en-US" w:eastAsia="zh-CN"/>
        </w:rPr>
        <w:t>10</w:t>
      </w:r>
      <w:r>
        <w:rPr>
          <w:rFonts w:hint="eastAsia"/>
          <w:color w:val="333333"/>
          <w:highlight w:val="none"/>
          <w:shd w:val="clear" w:color="auto" w:fill="FFFFFF"/>
        </w:rPr>
        <w:t>日 ，每天上午 09:00:00 至 12:00:00 ，下午 14:00:00 至 17:00:00 （北京时间,法定节假日除外）</w:t>
      </w:r>
    </w:p>
    <w:p>
      <w:pPr>
        <w:pStyle w:val="20"/>
        <w:keepNext w:val="0"/>
        <w:keepLines w:val="0"/>
        <w:pageBreakBefore w:val="0"/>
        <w:kinsoku/>
        <w:wordWrap/>
        <w:overflowPunct/>
        <w:topLinePunct w:val="0"/>
        <w:autoSpaceDE/>
        <w:autoSpaceDN/>
        <w:bidi w:val="0"/>
        <w:adjustRightInd/>
        <w:snapToGrid/>
        <w:spacing w:beforeAutospacing="0" w:afterAutospacing="0" w:line="440" w:lineRule="exact"/>
        <w:ind w:firstLine="420"/>
        <w:textAlignment w:val="auto"/>
        <w:rPr>
          <w:rFonts w:hint="eastAsia" w:eastAsia="宋体"/>
          <w:color w:val="333333"/>
          <w:highlight w:val="none"/>
          <w:shd w:val="clear" w:color="auto" w:fill="FFFFFF"/>
          <w:lang w:eastAsia="zh-CN"/>
        </w:rPr>
      </w:pPr>
      <w:r>
        <w:rPr>
          <w:rFonts w:hint="eastAsia"/>
          <w:color w:val="333333"/>
          <w:highlight w:val="none"/>
          <w:shd w:val="clear" w:color="auto" w:fill="FFFFFF"/>
        </w:rPr>
        <w:t>地点：</w:t>
      </w:r>
      <w:r>
        <w:rPr>
          <w:rFonts w:hint="eastAsia"/>
          <w:color w:val="333333"/>
          <w:highlight w:val="none"/>
          <w:shd w:val="clear" w:color="auto" w:fill="FFFFFF"/>
          <w:lang w:eastAsia="zh-CN"/>
        </w:rPr>
        <w:t>西安市航天基地飞天路北航科技园5号楼1单元2楼</w:t>
      </w:r>
    </w:p>
    <w:p>
      <w:pPr>
        <w:pStyle w:val="20"/>
        <w:keepNext w:val="0"/>
        <w:keepLines w:val="0"/>
        <w:pageBreakBefore w:val="0"/>
        <w:kinsoku/>
        <w:wordWrap/>
        <w:overflowPunct/>
        <w:topLinePunct w:val="0"/>
        <w:autoSpaceDE/>
        <w:autoSpaceDN/>
        <w:bidi w:val="0"/>
        <w:adjustRightInd/>
        <w:snapToGrid/>
        <w:spacing w:beforeAutospacing="0" w:afterAutospacing="0" w:line="440" w:lineRule="exact"/>
        <w:ind w:firstLine="420"/>
        <w:textAlignment w:val="auto"/>
        <w:rPr>
          <w:color w:val="333333"/>
          <w:highlight w:val="none"/>
          <w:shd w:val="clear" w:color="auto" w:fill="FFFFFF"/>
        </w:rPr>
      </w:pPr>
      <w:r>
        <w:rPr>
          <w:rFonts w:hint="eastAsia"/>
          <w:color w:val="333333"/>
          <w:highlight w:val="none"/>
          <w:shd w:val="clear" w:color="auto" w:fill="FFFFFF"/>
        </w:rPr>
        <w:t>方式：现场获取</w:t>
      </w:r>
    </w:p>
    <w:p>
      <w:pPr>
        <w:pStyle w:val="20"/>
        <w:keepNext w:val="0"/>
        <w:keepLines w:val="0"/>
        <w:pageBreakBefore w:val="0"/>
        <w:kinsoku/>
        <w:wordWrap/>
        <w:overflowPunct/>
        <w:topLinePunct w:val="0"/>
        <w:autoSpaceDE/>
        <w:autoSpaceDN/>
        <w:bidi w:val="0"/>
        <w:adjustRightInd/>
        <w:snapToGrid/>
        <w:spacing w:beforeAutospacing="0" w:afterAutospacing="0" w:line="440" w:lineRule="exact"/>
        <w:ind w:firstLine="420"/>
        <w:textAlignment w:val="auto"/>
        <w:rPr>
          <w:rFonts w:hint="default" w:eastAsia="宋体"/>
          <w:color w:val="333333"/>
          <w:highlight w:val="none"/>
          <w:shd w:val="clear" w:color="auto" w:fill="FFFFFF"/>
          <w:lang w:val="en-US" w:eastAsia="zh-CN"/>
        </w:rPr>
      </w:pPr>
      <w:r>
        <w:rPr>
          <w:rFonts w:hint="eastAsia"/>
          <w:color w:val="333333"/>
          <w:highlight w:val="none"/>
          <w:shd w:val="clear" w:color="auto" w:fill="FFFFFF"/>
        </w:rPr>
        <w:t>售价：</w:t>
      </w:r>
      <w:r>
        <w:rPr>
          <w:rFonts w:hint="eastAsia"/>
          <w:color w:val="333333"/>
          <w:highlight w:val="none"/>
          <w:shd w:val="clear" w:color="auto" w:fill="FFFFFF"/>
          <w:lang w:val="en-US" w:eastAsia="zh-CN"/>
        </w:rPr>
        <w:t>300</w:t>
      </w:r>
      <w:r>
        <w:rPr>
          <w:rFonts w:hint="eastAsia"/>
          <w:color w:val="333333"/>
          <w:highlight w:val="none"/>
          <w:shd w:val="clear" w:color="auto" w:fill="FFFFFF"/>
        </w:rPr>
        <w:t>元</w:t>
      </w:r>
    </w:p>
    <w:p>
      <w:pPr>
        <w:pStyle w:val="20"/>
        <w:keepNext w:val="0"/>
        <w:keepLines w:val="0"/>
        <w:pageBreakBefore w:val="0"/>
        <w:kinsoku/>
        <w:wordWrap/>
        <w:overflowPunct/>
        <w:topLinePunct w:val="0"/>
        <w:autoSpaceDE/>
        <w:autoSpaceDN/>
        <w:bidi w:val="0"/>
        <w:adjustRightInd/>
        <w:snapToGrid/>
        <w:spacing w:beforeAutospacing="0" w:afterAutospacing="0" w:line="440" w:lineRule="exact"/>
        <w:textAlignment w:val="auto"/>
        <w:rPr>
          <w:b/>
          <w:bCs/>
          <w:color w:val="333333"/>
          <w:highlight w:val="none"/>
          <w:shd w:val="clear" w:color="auto" w:fill="FFFFFF"/>
        </w:rPr>
      </w:pPr>
      <w:r>
        <w:rPr>
          <w:rFonts w:hint="eastAsia"/>
          <w:b/>
          <w:bCs/>
          <w:color w:val="333333"/>
          <w:highlight w:val="none"/>
          <w:shd w:val="clear" w:color="auto" w:fill="FFFFFF"/>
        </w:rPr>
        <w:t>四、 响应文件的提交</w:t>
      </w:r>
    </w:p>
    <w:p>
      <w:pPr>
        <w:pStyle w:val="20"/>
        <w:keepNext w:val="0"/>
        <w:keepLines w:val="0"/>
        <w:pageBreakBefore w:val="0"/>
        <w:kinsoku/>
        <w:wordWrap/>
        <w:overflowPunct/>
        <w:topLinePunct w:val="0"/>
        <w:autoSpaceDE/>
        <w:autoSpaceDN/>
        <w:bidi w:val="0"/>
        <w:adjustRightInd/>
        <w:snapToGrid/>
        <w:spacing w:beforeAutospacing="0" w:afterAutospacing="0" w:line="440" w:lineRule="exact"/>
        <w:ind w:firstLine="420"/>
        <w:textAlignment w:val="auto"/>
        <w:rPr>
          <w:color w:val="333333"/>
          <w:highlight w:val="none"/>
          <w:shd w:val="clear" w:color="auto" w:fill="FFFFFF"/>
        </w:rPr>
      </w:pPr>
      <w:r>
        <w:rPr>
          <w:rFonts w:hint="eastAsia"/>
          <w:color w:val="333333"/>
          <w:highlight w:val="none"/>
          <w:shd w:val="clear" w:color="auto" w:fill="FFFFFF"/>
        </w:rPr>
        <w:t>截止时间：202</w:t>
      </w:r>
      <w:r>
        <w:rPr>
          <w:rFonts w:hint="eastAsia"/>
          <w:color w:val="333333"/>
          <w:highlight w:val="none"/>
          <w:shd w:val="clear" w:color="auto" w:fill="FFFFFF"/>
          <w:lang w:val="en-US" w:eastAsia="zh-CN"/>
        </w:rPr>
        <w:t>3</w:t>
      </w:r>
      <w:r>
        <w:rPr>
          <w:rFonts w:hint="eastAsia"/>
          <w:color w:val="333333"/>
          <w:highlight w:val="none"/>
          <w:shd w:val="clear" w:color="auto" w:fill="FFFFFF"/>
        </w:rPr>
        <w:t>年</w:t>
      </w:r>
      <w:r>
        <w:rPr>
          <w:rFonts w:hint="eastAsia"/>
          <w:color w:val="333333"/>
          <w:highlight w:val="none"/>
          <w:shd w:val="clear" w:color="auto" w:fill="FFFFFF"/>
          <w:lang w:val="en-US" w:eastAsia="zh-CN"/>
        </w:rPr>
        <w:t>07</w:t>
      </w:r>
      <w:r>
        <w:rPr>
          <w:rFonts w:hint="eastAsia"/>
          <w:color w:val="333333"/>
          <w:highlight w:val="none"/>
          <w:shd w:val="clear" w:color="auto" w:fill="FFFFFF"/>
        </w:rPr>
        <w:t>月</w:t>
      </w:r>
      <w:r>
        <w:rPr>
          <w:rFonts w:hint="eastAsia"/>
          <w:color w:val="333333"/>
          <w:highlight w:val="none"/>
          <w:shd w:val="clear" w:color="auto" w:fill="FFFFFF"/>
          <w:lang w:val="en-US" w:eastAsia="zh-CN"/>
        </w:rPr>
        <w:t>19</w:t>
      </w:r>
      <w:r>
        <w:rPr>
          <w:rFonts w:hint="eastAsia"/>
          <w:color w:val="333333"/>
          <w:highlight w:val="none"/>
          <w:shd w:val="clear" w:color="auto" w:fill="FFFFFF"/>
        </w:rPr>
        <w:t>日</w:t>
      </w:r>
      <w:r>
        <w:rPr>
          <w:rFonts w:hint="eastAsia"/>
          <w:color w:val="333333"/>
          <w:highlight w:val="none"/>
          <w:shd w:val="clear" w:color="auto" w:fill="FFFFFF"/>
          <w:lang w:val="en-US" w:eastAsia="zh-CN"/>
        </w:rPr>
        <w:t>10时00分</w:t>
      </w:r>
      <w:r>
        <w:rPr>
          <w:rFonts w:hint="eastAsia"/>
          <w:color w:val="333333"/>
          <w:highlight w:val="none"/>
          <w:shd w:val="clear" w:color="auto" w:fill="FFFFFF"/>
        </w:rPr>
        <w:t xml:space="preserve"> （北京时间）</w:t>
      </w:r>
    </w:p>
    <w:p>
      <w:pPr>
        <w:pStyle w:val="20"/>
        <w:keepNext w:val="0"/>
        <w:keepLines w:val="0"/>
        <w:pageBreakBefore w:val="0"/>
        <w:kinsoku/>
        <w:wordWrap/>
        <w:overflowPunct/>
        <w:topLinePunct w:val="0"/>
        <w:autoSpaceDE/>
        <w:autoSpaceDN/>
        <w:bidi w:val="0"/>
        <w:adjustRightInd/>
        <w:snapToGrid/>
        <w:spacing w:beforeAutospacing="0" w:afterAutospacing="0" w:line="440" w:lineRule="exact"/>
        <w:ind w:firstLine="420"/>
        <w:textAlignment w:val="auto"/>
        <w:rPr>
          <w:rFonts w:hint="eastAsia" w:eastAsia="宋体"/>
          <w:color w:val="333333"/>
          <w:highlight w:val="none"/>
          <w:shd w:val="clear" w:color="auto" w:fill="FFFFFF"/>
          <w:lang w:eastAsia="zh-CN"/>
        </w:rPr>
      </w:pPr>
      <w:r>
        <w:rPr>
          <w:rFonts w:hint="eastAsia"/>
          <w:color w:val="333333"/>
          <w:highlight w:val="none"/>
          <w:shd w:val="clear" w:color="auto" w:fill="FFFFFF"/>
        </w:rPr>
        <w:t>地点：</w:t>
      </w:r>
      <w:r>
        <w:rPr>
          <w:rFonts w:hint="eastAsia"/>
          <w:color w:val="333333"/>
          <w:highlight w:val="none"/>
          <w:shd w:val="clear" w:color="auto" w:fill="FFFFFF"/>
          <w:lang w:eastAsia="zh-CN"/>
        </w:rPr>
        <w:t>西安市航天基地飞天路北航科技园5号楼1单元2楼</w:t>
      </w:r>
    </w:p>
    <w:p>
      <w:pPr>
        <w:pStyle w:val="20"/>
        <w:keepNext w:val="0"/>
        <w:keepLines w:val="0"/>
        <w:pageBreakBefore w:val="0"/>
        <w:kinsoku/>
        <w:wordWrap/>
        <w:overflowPunct/>
        <w:topLinePunct w:val="0"/>
        <w:autoSpaceDE/>
        <w:autoSpaceDN/>
        <w:bidi w:val="0"/>
        <w:adjustRightInd/>
        <w:snapToGrid/>
        <w:spacing w:beforeAutospacing="0" w:afterAutospacing="0" w:line="440" w:lineRule="exact"/>
        <w:textAlignment w:val="auto"/>
        <w:rPr>
          <w:b/>
          <w:bCs/>
          <w:color w:val="333333"/>
          <w:highlight w:val="none"/>
          <w:shd w:val="clear" w:color="auto" w:fill="FFFFFF"/>
        </w:rPr>
      </w:pPr>
      <w:r>
        <w:rPr>
          <w:rFonts w:hint="eastAsia"/>
          <w:b/>
          <w:bCs/>
          <w:color w:val="333333"/>
          <w:highlight w:val="none"/>
          <w:shd w:val="clear" w:color="auto" w:fill="FFFFFF"/>
        </w:rPr>
        <w:t>五、 开启</w:t>
      </w:r>
    </w:p>
    <w:p>
      <w:pPr>
        <w:pStyle w:val="20"/>
        <w:keepNext w:val="0"/>
        <w:keepLines w:val="0"/>
        <w:pageBreakBefore w:val="0"/>
        <w:kinsoku/>
        <w:wordWrap/>
        <w:overflowPunct/>
        <w:topLinePunct w:val="0"/>
        <w:autoSpaceDE/>
        <w:autoSpaceDN/>
        <w:bidi w:val="0"/>
        <w:adjustRightInd/>
        <w:snapToGrid/>
        <w:spacing w:beforeAutospacing="0" w:afterAutospacing="0" w:line="440" w:lineRule="exact"/>
        <w:ind w:firstLine="420"/>
        <w:textAlignment w:val="auto"/>
        <w:rPr>
          <w:color w:val="333333"/>
          <w:highlight w:val="none"/>
          <w:shd w:val="clear" w:color="auto" w:fill="FFFFFF"/>
        </w:rPr>
      </w:pPr>
      <w:r>
        <w:rPr>
          <w:rFonts w:hint="eastAsia"/>
          <w:color w:val="333333"/>
          <w:highlight w:val="none"/>
          <w:shd w:val="clear" w:color="auto" w:fill="FFFFFF"/>
        </w:rPr>
        <w:t>时间：202</w:t>
      </w:r>
      <w:r>
        <w:rPr>
          <w:rFonts w:hint="eastAsia"/>
          <w:color w:val="333333"/>
          <w:highlight w:val="none"/>
          <w:shd w:val="clear" w:color="auto" w:fill="FFFFFF"/>
          <w:lang w:val="en-US" w:eastAsia="zh-CN"/>
        </w:rPr>
        <w:t>3</w:t>
      </w:r>
      <w:r>
        <w:rPr>
          <w:rFonts w:hint="eastAsia"/>
          <w:color w:val="333333"/>
          <w:highlight w:val="none"/>
          <w:shd w:val="clear" w:color="auto" w:fill="FFFFFF"/>
        </w:rPr>
        <w:t>年</w:t>
      </w:r>
      <w:r>
        <w:rPr>
          <w:rFonts w:hint="eastAsia"/>
          <w:color w:val="333333"/>
          <w:highlight w:val="none"/>
          <w:shd w:val="clear" w:color="auto" w:fill="FFFFFF"/>
          <w:lang w:val="en-US" w:eastAsia="zh-CN"/>
        </w:rPr>
        <w:t>07</w:t>
      </w:r>
      <w:r>
        <w:rPr>
          <w:rFonts w:hint="eastAsia"/>
          <w:color w:val="333333"/>
          <w:highlight w:val="none"/>
          <w:shd w:val="clear" w:color="auto" w:fill="FFFFFF"/>
        </w:rPr>
        <w:t>月</w:t>
      </w:r>
      <w:r>
        <w:rPr>
          <w:rFonts w:hint="eastAsia"/>
          <w:color w:val="333333"/>
          <w:highlight w:val="none"/>
          <w:shd w:val="clear" w:color="auto" w:fill="FFFFFF"/>
          <w:lang w:val="en-US" w:eastAsia="zh-CN"/>
        </w:rPr>
        <w:t>19</w:t>
      </w:r>
      <w:r>
        <w:rPr>
          <w:rFonts w:hint="eastAsia"/>
          <w:color w:val="333333"/>
          <w:highlight w:val="none"/>
          <w:shd w:val="clear" w:color="auto" w:fill="FFFFFF"/>
        </w:rPr>
        <w:t>日</w:t>
      </w:r>
      <w:r>
        <w:rPr>
          <w:rFonts w:hint="eastAsia"/>
          <w:color w:val="333333"/>
          <w:highlight w:val="none"/>
          <w:shd w:val="clear" w:color="auto" w:fill="FFFFFF"/>
          <w:lang w:val="en-US" w:eastAsia="zh-CN"/>
        </w:rPr>
        <w:t>10时00分</w:t>
      </w:r>
      <w:r>
        <w:rPr>
          <w:rFonts w:hint="eastAsia"/>
          <w:color w:val="333333"/>
          <w:highlight w:val="none"/>
          <w:shd w:val="clear" w:color="auto" w:fill="FFFFFF"/>
        </w:rPr>
        <w:t xml:space="preserve"> （北京时间）</w:t>
      </w:r>
    </w:p>
    <w:p>
      <w:pPr>
        <w:pStyle w:val="20"/>
        <w:keepNext w:val="0"/>
        <w:keepLines w:val="0"/>
        <w:pageBreakBefore w:val="0"/>
        <w:kinsoku/>
        <w:wordWrap/>
        <w:overflowPunct/>
        <w:topLinePunct w:val="0"/>
        <w:autoSpaceDE/>
        <w:autoSpaceDN/>
        <w:bidi w:val="0"/>
        <w:adjustRightInd/>
        <w:snapToGrid/>
        <w:spacing w:beforeAutospacing="0" w:afterAutospacing="0" w:line="440" w:lineRule="exact"/>
        <w:ind w:firstLine="420"/>
        <w:textAlignment w:val="auto"/>
        <w:rPr>
          <w:rFonts w:hint="eastAsia" w:eastAsia="宋体"/>
          <w:color w:val="333333"/>
          <w:highlight w:val="none"/>
          <w:shd w:val="clear" w:color="auto" w:fill="FFFFFF"/>
          <w:lang w:eastAsia="zh-CN"/>
        </w:rPr>
      </w:pPr>
      <w:r>
        <w:rPr>
          <w:rFonts w:hint="eastAsia"/>
          <w:color w:val="333333"/>
          <w:highlight w:val="none"/>
          <w:shd w:val="clear" w:color="auto" w:fill="FFFFFF"/>
        </w:rPr>
        <w:t>地点：</w:t>
      </w:r>
      <w:r>
        <w:rPr>
          <w:rFonts w:hint="eastAsia"/>
          <w:color w:val="333333"/>
          <w:highlight w:val="none"/>
          <w:shd w:val="clear" w:color="auto" w:fill="FFFFFF"/>
          <w:lang w:eastAsia="zh-CN"/>
        </w:rPr>
        <w:t>西安市航天基地飞天路北航科技园5号楼1单元2楼</w:t>
      </w:r>
    </w:p>
    <w:p>
      <w:pPr>
        <w:pStyle w:val="20"/>
        <w:keepNext w:val="0"/>
        <w:keepLines w:val="0"/>
        <w:pageBreakBefore w:val="0"/>
        <w:kinsoku/>
        <w:wordWrap/>
        <w:overflowPunct/>
        <w:topLinePunct w:val="0"/>
        <w:autoSpaceDE/>
        <w:autoSpaceDN/>
        <w:bidi w:val="0"/>
        <w:adjustRightInd/>
        <w:snapToGrid/>
        <w:spacing w:beforeAutospacing="0" w:afterAutospacing="0" w:line="440" w:lineRule="exact"/>
        <w:textAlignment w:val="auto"/>
        <w:rPr>
          <w:b/>
          <w:bCs/>
          <w:color w:val="333333"/>
          <w:highlight w:val="none"/>
          <w:shd w:val="clear" w:color="auto" w:fill="FFFFFF"/>
        </w:rPr>
      </w:pPr>
      <w:r>
        <w:rPr>
          <w:rFonts w:hint="eastAsia"/>
          <w:b/>
          <w:bCs/>
          <w:color w:val="333333"/>
          <w:highlight w:val="none"/>
          <w:shd w:val="clear" w:color="auto" w:fill="FFFFFF"/>
        </w:rPr>
        <w:t>六、公告期限</w:t>
      </w:r>
    </w:p>
    <w:p>
      <w:pPr>
        <w:pStyle w:val="20"/>
        <w:keepNext w:val="0"/>
        <w:keepLines w:val="0"/>
        <w:pageBreakBefore w:val="0"/>
        <w:kinsoku/>
        <w:wordWrap/>
        <w:overflowPunct/>
        <w:topLinePunct w:val="0"/>
        <w:autoSpaceDE/>
        <w:autoSpaceDN/>
        <w:bidi w:val="0"/>
        <w:adjustRightInd/>
        <w:snapToGrid/>
        <w:spacing w:beforeAutospacing="0" w:afterAutospacing="0" w:line="440" w:lineRule="exact"/>
        <w:ind w:firstLine="420"/>
        <w:textAlignment w:val="auto"/>
        <w:rPr>
          <w:color w:val="333333"/>
          <w:highlight w:val="none"/>
          <w:shd w:val="clear" w:color="auto" w:fill="FFFFFF"/>
        </w:rPr>
      </w:pPr>
      <w:r>
        <w:rPr>
          <w:rFonts w:hint="eastAsia"/>
          <w:color w:val="333333"/>
          <w:highlight w:val="none"/>
          <w:shd w:val="clear" w:color="auto" w:fill="FFFFFF"/>
        </w:rPr>
        <w:t>自本公告发布之日起</w:t>
      </w:r>
      <w:r>
        <w:rPr>
          <w:rFonts w:hint="eastAsia"/>
          <w:color w:val="333333"/>
          <w:highlight w:val="none"/>
          <w:shd w:val="clear" w:color="auto" w:fill="FFFFFF"/>
          <w:lang w:val="en-US" w:eastAsia="zh-CN"/>
        </w:rPr>
        <w:t>3</w:t>
      </w:r>
      <w:r>
        <w:rPr>
          <w:rFonts w:hint="eastAsia"/>
          <w:color w:val="333333"/>
          <w:highlight w:val="none"/>
          <w:shd w:val="clear" w:color="auto" w:fill="FFFFFF"/>
        </w:rPr>
        <w:t>个工作日。</w:t>
      </w:r>
    </w:p>
    <w:p>
      <w:pPr>
        <w:pStyle w:val="20"/>
        <w:keepNext w:val="0"/>
        <w:keepLines w:val="0"/>
        <w:pageBreakBefore w:val="0"/>
        <w:kinsoku/>
        <w:wordWrap/>
        <w:overflowPunct/>
        <w:topLinePunct w:val="0"/>
        <w:autoSpaceDE/>
        <w:autoSpaceDN/>
        <w:bidi w:val="0"/>
        <w:adjustRightInd/>
        <w:snapToGrid/>
        <w:spacing w:beforeAutospacing="0" w:afterAutospacing="0" w:line="440" w:lineRule="exact"/>
        <w:textAlignment w:val="auto"/>
        <w:rPr>
          <w:b/>
          <w:bCs/>
          <w:color w:val="333333"/>
          <w:highlight w:val="none"/>
          <w:shd w:val="clear" w:color="auto" w:fill="FFFFFF"/>
        </w:rPr>
      </w:pPr>
      <w:r>
        <w:rPr>
          <w:rFonts w:hint="eastAsia"/>
          <w:b/>
          <w:bCs/>
          <w:color w:val="333333"/>
          <w:highlight w:val="none"/>
          <w:shd w:val="clear" w:color="auto" w:fill="FFFFFF"/>
        </w:rPr>
        <w:t>七、其他补充事宜</w:t>
      </w:r>
    </w:p>
    <w:p>
      <w:pPr>
        <w:pStyle w:val="20"/>
        <w:keepNext w:val="0"/>
        <w:keepLines w:val="0"/>
        <w:pageBreakBefore w:val="0"/>
        <w:widowControl/>
        <w:kinsoku/>
        <w:wordWrap/>
        <w:overflowPunct/>
        <w:topLinePunct w:val="0"/>
        <w:autoSpaceDE/>
        <w:autoSpaceDN/>
        <w:bidi w:val="0"/>
        <w:adjustRightInd/>
        <w:snapToGrid/>
        <w:spacing w:beforeAutospacing="0" w:afterAutospacing="0" w:line="540" w:lineRule="exact"/>
        <w:ind w:firstLine="420"/>
        <w:textAlignment w:val="auto"/>
        <w:rPr>
          <w:rFonts w:hint="eastAsia"/>
          <w:color w:val="333333"/>
          <w:highlight w:val="none"/>
          <w:shd w:val="clear" w:color="auto" w:fill="FFFFFF"/>
        </w:rPr>
      </w:pPr>
      <w:r>
        <w:rPr>
          <w:rFonts w:hint="eastAsia"/>
          <w:color w:val="333333"/>
          <w:highlight w:val="none"/>
          <w:shd w:val="clear" w:color="auto" w:fill="FFFFFF"/>
        </w:rPr>
        <w:t>1、本</w:t>
      </w:r>
      <w:r>
        <w:rPr>
          <w:rFonts w:hint="eastAsia" w:ascii="宋体" w:hAnsi="宋体" w:eastAsia="宋体" w:cs="宋体"/>
          <w:color w:val="333333"/>
          <w:highlight w:val="none"/>
          <w:shd w:val="clear" w:color="auto" w:fill="FFFFFF"/>
        </w:rPr>
        <w:t>项目</w:t>
      </w:r>
      <w:r>
        <w:rPr>
          <w:rFonts w:hint="eastAsia"/>
          <w:color w:val="333333"/>
          <w:highlight w:val="none"/>
          <w:shd w:val="clear" w:color="auto" w:fill="FFFFFF"/>
        </w:rPr>
        <w:t>非专门面向中小企业采购；</w:t>
      </w:r>
    </w:p>
    <w:p>
      <w:pPr>
        <w:pStyle w:val="20"/>
        <w:keepNext w:val="0"/>
        <w:keepLines w:val="0"/>
        <w:pageBreakBefore w:val="0"/>
        <w:widowControl/>
        <w:kinsoku/>
        <w:wordWrap/>
        <w:overflowPunct/>
        <w:topLinePunct w:val="0"/>
        <w:autoSpaceDE/>
        <w:autoSpaceDN/>
        <w:bidi w:val="0"/>
        <w:adjustRightInd/>
        <w:snapToGrid/>
        <w:spacing w:beforeAutospacing="0" w:afterAutospacing="0" w:line="540" w:lineRule="exact"/>
        <w:ind w:firstLine="420"/>
        <w:textAlignment w:val="auto"/>
        <w:rPr>
          <w:rFonts w:hint="eastAsia"/>
          <w:color w:val="333333"/>
          <w:highlight w:val="none"/>
          <w:shd w:val="clear" w:color="auto" w:fill="FFFFFF"/>
        </w:rPr>
      </w:pPr>
      <w:r>
        <w:rPr>
          <w:rFonts w:hint="eastAsia"/>
          <w:color w:val="333333"/>
          <w:highlight w:val="none"/>
          <w:shd w:val="clear" w:color="auto" w:fill="FFFFFF"/>
        </w:rPr>
        <w:t>2、购买</w:t>
      </w:r>
      <w:r>
        <w:rPr>
          <w:rFonts w:hint="eastAsia" w:ascii="宋体" w:hAnsi="宋体" w:eastAsia="宋体" w:cs="宋体"/>
          <w:color w:val="333333"/>
          <w:highlight w:val="none"/>
          <w:shd w:val="clear" w:color="auto" w:fill="FFFFFF"/>
        </w:rPr>
        <w:t>采购</w:t>
      </w:r>
      <w:r>
        <w:rPr>
          <w:rFonts w:hint="eastAsia"/>
          <w:color w:val="333333"/>
          <w:highlight w:val="none"/>
          <w:shd w:val="clear" w:color="auto" w:fill="FFFFFF"/>
        </w:rPr>
        <w:t>文件时需携带经办人单位介绍信、身份证原件及复印件加盖公章</w:t>
      </w:r>
      <w:r>
        <w:rPr>
          <w:rFonts w:hint="eastAsia"/>
          <w:color w:val="333333"/>
          <w:highlight w:val="none"/>
          <w:shd w:val="clear" w:color="auto" w:fill="FFFFFF"/>
          <w:lang w:val="en-US" w:eastAsia="zh-CN"/>
        </w:rPr>
        <w:t>,竞争性磋商文件售价300元/包，售后不退</w:t>
      </w:r>
      <w:r>
        <w:rPr>
          <w:rFonts w:hint="eastAsia"/>
          <w:color w:val="333333"/>
          <w:highlight w:val="none"/>
          <w:shd w:val="clear" w:color="auto" w:fill="FFFFFF"/>
        </w:rPr>
        <w:t>；</w:t>
      </w:r>
    </w:p>
    <w:p>
      <w:pPr>
        <w:pStyle w:val="20"/>
        <w:keepNext w:val="0"/>
        <w:keepLines w:val="0"/>
        <w:pageBreakBefore w:val="0"/>
        <w:widowControl/>
        <w:kinsoku/>
        <w:wordWrap/>
        <w:overflowPunct/>
        <w:topLinePunct w:val="0"/>
        <w:autoSpaceDE/>
        <w:autoSpaceDN/>
        <w:bidi w:val="0"/>
        <w:adjustRightInd/>
        <w:snapToGrid/>
        <w:spacing w:beforeAutospacing="0" w:afterAutospacing="0" w:line="540" w:lineRule="exact"/>
        <w:ind w:firstLine="420"/>
        <w:textAlignment w:val="auto"/>
        <w:rPr>
          <w:rFonts w:hint="eastAsia"/>
          <w:color w:val="333333"/>
          <w:highlight w:val="none"/>
          <w:shd w:val="clear" w:color="auto" w:fill="FFFFFF"/>
          <w:lang w:val="en-US" w:eastAsia="zh-CN"/>
        </w:rPr>
      </w:pPr>
      <w:r>
        <w:rPr>
          <w:rFonts w:hint="eastAsia"/>
          <w:color w:val="333333"/>
          <w:highlight w:val="none"/>
          <w:shd w:val="clear" w:color="auto" w:fill="FFFFFF"/>
          <w:lang w:val="en-US" w:eastAsia="zh-CN"/>
        </w:rPr>
        <w:t>3、供应商可以同时购买2个标包的竞争性磋商文件并单独递交响应文件，但只能成交1个标包；</w:t>
      </w:r>
    </w:p>
    <w:p>
      <w:pPr>
        <w:pStyle w:val="20"/>
        <w:keepNext w:val="0"/>
        <w:keepLines w:val="0"/>
        <w:pageBreakBefore w:val="0"/>
        <w:widowControl/>
        <w:kinsoku/>
        <w:wordWrap/>
        <w:overflowPunct/>
        <w:topLinePunct w:val="0"/>
        <w:autoSpaceDE/>
        <w:autoSpaceDN/>
        <w:bidi w:val="0"/>
        <w:adjustRightInd/>
        <w:snapToGrid/>
        <w:spacing w:beforeAutospacing="0" w:afterAutospacing="0" w:line="540" w:lineRule="exact"/>
        <w:ind w:firstLine="420"/>
        <w:textAlignment w:val="auto"/>
        <w:rPr>
          <w:rFonts w:hint="default"/>
          <w:color w:val="333333"/>
          <w:highlight w:val="none"/>
          <w:shd w:val="clear" w:color="auto" w:fill="FFFFFF"/>
          <w:lang w:val="en-US" w:eastAsia="zh-CN"/>
        </w:rPr>
      </w:pPr>
      <w:r>
        <w:rPr>
          <w:rFonts w:hint="eastAsia"/>
          <w:color w:val="333333"/>
          <w:highlight w:val="none"/>
          <w:shd w:val="clear" w:color="auto" w:fill="FFFFFF"/>
          <w:lang w:val="en-US" w:eastAsia="zh-CN"/>
        </w:rPr>
        <w:t>4、</w:t>
      </w:r>
      <w:r>
        <w:rPr>
          <w:rFonts w:hint="eastAsia"/>
          <w:color w:val="333333"/>
          <w:sz w:val="24"/>
          <w:szCs w:val="24"/>
          <w:highlight w:val="none"/>
          <w:shd w:val="clear" w:color="auto" w:fill="FFFFFF"/>
          <w:lang w:val="en-US" w:eastAsia="zh-CN"/>
        </w:rPr>
        <w:t>本项目报名方式为网上报名，</w:t>
      </w:r>
      <w:r>
        <w:rPr>
          <w:rFonts w:hint="eastAsia"/>
          <w:color w:val="333333"/>
          <w:sz w:val="24"/>
          <w:szCs w:val="24"/>
          <w:highlight w:val="none"/>
          <w:shd w:val="clear" w:color="auto" w:fill="FFFFFF"/>
        </w:rPr>
        <w:t>购买</w:t>
      </w:r>
      <w:r>
        <w:rPr>
          <w:rFonts w:hint="eastAsia" w:ascii="宋体" w:hAnsi="宋体" w:eastAsia="宋体" w:cs="宋体"/>
          <w:color w:val="333333"/>
          <w:sz w:val="24"/>
          <w:szCs w:val="24"/>
          <w:highlight w:val="none"/>
          <w:shd w:val="clear" w:color="auto" w:fill="FFFFFF"/>
        </w:rPr>
        <w:t>采购</w:t>
      </w:r>
      <w:r>
        <w:rPr>
          <w:rFonts w:hint="eastAsia"/>
          <w:color w:val="333333"/>
          <w:sz w:val="24"/>
          <w:szCs w:val="24"/>
          <w:highlight w:val="none"/>
          <w:shd w:val="clear" w:color="auto" w:fill="FFFFFF"/>
        </w:rPr>
        <w:t>文件时</w:t>
      </w:r>
      <w:r>
        <w:rPr>
          <w:rFonts w:hint="eastAsia"/>
          <w:color w:val="333333"/>
          <w:sz w:val="24"/>
          <w:szCs w:val="24"/>
          <w:highlight w:val="none"/>
          <w:shd w:val="clear" w:color="auto" w:fill="FFFFFF"/>
          <w:lang w:val="en-US" w:eastAsia="zh-CN"/>
        </w:rPr>
        <w:t>将</w:t>
      </w:r>
      <w:r>
        <w:rPr>
          <w:rFonts w:hint="eastAsia"/>
          <w:color w:val="333333"/>
          <w:sz w:val="24"/>
          <w:szCs w:val="24"/>
          <w:highlight w:val="none"/>
          <w:shd w:val="clear" w:color="auto" w:fill="FFFFFF"/>
        </w:rPr>
        <w:t>经办人单位介绍信、身份证复印件加盖公章</w:t>
      </w:r>
      <w:r>
        <w:rPr>
          <w:rFonts w:hint="eastAsia"/>
          <w:color w:val="333333"/>
          <w:sz w:val="24"/>
          <w:szCs w:val="24"/>
          <w:highlight w:val="none"/>
          <w:shd w:val="clear" w:color="auto" w:fill="FFFFFF"/>
          <w:lang w:eastAsia="zh-CN"/>
        </w:rPr>
        <w:t>、</w:t>
      </w:r>
      <w:r>
        <w:rPr>
          <w:rFonts w:ascii="宋体" w:hAnsi="宋体" w:eastAsia="宋体" w:cs="宋体"/>
          <w:sz w:val="24"/>
          <w:szCs w:val="24"/>
        </w:rPr>
        <w:t>采购文件登记表、</w:t>
      </w:r>
      <w:r>
        <w:rPr>
          <w:rFonts w:hint="eastAsia"/>
          <w:color w:val="333333"/>
          <w:sz w:val="24"/>
          <w:szCs w:val="24"/>
          <w:highlight w:val="none"/>
          <w:shd w:val="clear" w:color="auto" w:fill="FFFFFF"/>
          <w:lang w:val="en-US" w:eastAsia="zh-CN"/>
        </w:rPr>
        <w:t>转账凭证电子版发送至605706513@qq.com，竞争性磋商文件售后不退</w:t>
      </w:r>
      <w:r>
        <w:rPr>
          <w:rFonts w:hint="eastAsia"/>
          <w:color w:val="333333"/>
          <w:sz w:val="24"/>
          <w:szCs w:val="24"/>
          <w:highlight w:val="none"/>
          <w:shd w:val="clear" w:color="auto" w:fill="FFFFFF"/>
        </w:rPr>
        <w:t>；</w:t>
      </w:r>
      <w:r>
        <w:rPr>
          <w:rFonts w:hint="eastAsia"/>
          <w:color w:val="333333"/>
          <w:sz w:val="24"/>
          <w:szCs w:val="24"/>
          <w:highlight w:val="none"/>
          <w:shd w:val="clear" w:color="auto" w:fill="FFFFFF"/>
          <w:lang w:val="en-US" w:eastAsia="zh-CN"/>
        </w:rPr>
        <w:t>如有操作问题，请拨打13259773353咨询。</w:t>
      </w:r>
    </w:p>
    <w:p>
      <w:pPr>
        <w:pStyle w:val="20"/>
        <w:keepNext w:val="0"/>
        <w:keepLines w:val="0"/>
        <w:pageBreakBefore w:val="0"/>
        <w:widowControl/>
        <w:kinsoku/>
        <w:wordWrap/>
        <w:overflowPunct/>
        <w:topLinePunct w:val="0"/>
        <w:autoSpaceDE/>
        <w:autoSpaceDN/>
        <w:bidi w:val="0"/>
        <w:adjustRightInd/>
        <w:snapToGrid/>
        <w:spacing w:beforeAutospacing="0" w:afterAutospacing="0" w:line="540" w:lineRule="exact"/>
        <w:ind w:firstLine="420"/>
        <w:textAlignment w:val="auto"/>
        <w:rPr>
          <w:rFonts w:hint="eastAsia"/>
          <w:color w:val="333333"/>
          <w:highlight w:val="none"/>
          <w:shd w:val="clear" w:color="auto" w:fill="FFFFFF"/>
        </w:rPr>
      </w:pPr>
      <w:r>
        <w:rPr>
          <w:rFonts w:hint="eastAsia"/>
          <w:color w:val="333333"/>
          <w:highlight w:val="none"/>
          <w:shd w:val="clear" w:color="auto" w:fill="FFFFFF"/>
          <w:lang w:val="en-US" w:eastAsia="zh-CN"/>
        </w:rPr>
        <w:t>5</w:t>
      </w:r>
      <w:r>
        <w:rPr>
          <w:rFonts w:hint="eastAsia"/>
          <w:color w:val="333333"/>
          <w:highlight w:val="none"/>
          <w:shd w:val="clear" w:color="auto" w:fill="FFFFFF"/>
        </w:rPr>
        <w:t>、</w:t>
      </w:r>
      <w:r>
        <w:rPr>
          <w:rFonts w:hint="eastAsia"/>
          <w:color w:val="333333"/>
          <w:sz w:val="24"/>
          <w:szCs w:val="24"/>
          <w:highlight w:val="none"/>
          <w:shd w:val="clear" w:color="auto" w:fill="FFFFFF"/>
        </w:rPr>
        <w:t>开户名称：</w:t>
      </w:r>
      <w:r>
        <w:rPr>
          <w:rFonts w:hint="eastAsia"/>
          <w:color w:val="333333"/>
          <w:sz w:val="24"/>
          <w:szCs w:val="24"/>
          <w:highlight w:val="none"/>
          <w:shd w:val="clear" w:color="auto" w:fill="FFFFFF"/>
          <w:lang w:eastAsia="zh-CN"/>
        </w:rPr>
        <w:t>陕西正宇信工程项目管理有限公司； 开户银行：建设银行西安</w:t>
      </w:r>
      <w:r>
        <w:rPr>
          <w:rFonts w:hint="eastAsia"/>
          <w:color w:val="333333"/>
          <w:sz w:val="24"/>
          <w:szCs w:val="24"/>
          <w:highlight w:val="none"/>
          <w:shd w:val="clear" w:color="auto" w:fill="FFFFFF"/>
          <w:lang w:val="en-US" w:eastAsia="zh-CN"/>
        </w:rPr>
        <w:t>长安区西长安街</w:t>
      </w:r>
      <w:r>
        <w:rPr>
          <w:rFonts w:hint="eastAsia"/>
          <w:color w:val="333333"/>
          <w:sz w:val="24"/>
          <w:szCs w:val="24"/>
          <w:highlight w:val="none"/>
          <w:shd w:val="clear" w:color="auto" w:fill="FFFFFF"/>
          <w:lang w:eastAsia="zh-CN"/>
        </w:rPr>
        <w:t>支行； 账 号：6105 0170 5259 0000 0014 ；</w:t>
      </w:r>
    </w:p>
    <w:p>
      <w:pPr>
        <w:pStyle w:val="20"/>
        <w:keepNext w:val="0"/>
        <w:keepLines w:val="0"/>
        <w:pageBreakBefore w:val="0"/>
        <w:widowControl/>
        <w:kinsoku/>
        <w:wordWrap/>
        <w:overflowPunct/>
        <w:topLinePunct w:val="0"/>
        <w:autoSpaceDE/>
        <w:autoSpaceDN/>
        <w:bidi w:val="0"/>
        <w:adjustRightInd/>
        <w:snapToGrid/>
        <w:spacing w:beforeAutospacing="0" w:afterAutospacing="0" w:line="540" w:lineRule="exact"/>
        <w:ind w:firstLine="420"/>
        <w:textAlignment w:val="auto"/>
        <w:rPr>
          <w:rFonts w:hint="eastAsia"/>
          <w:color w:val="333333"/>
          <w:highlight w:val="none"/>
          <w:shd w:val="clear" w:color="auto" w:fill="FFFFFF"/>
          <w:lang w:val="en-US" w:eastAsia="zh-CN"/>
        </w:rPr>
      </w:pPr>
      <w:r>
        <w:rPr>
          <w:rFonts w:hint="eastAsia"/>
          <w:color w:val="333333"/>
          <w:highlight w:val="none"/>
          <w:shd w:val="clear" w:color="auto" w:fill="FFFFFF"/>
          <w:lang w:val="en-US" w:eastAsia="zh-CN"/>
        </w:rPr>
        <w:t>6、请供应商按照陕西省财政厅关于政府采购供应商注册登记有关事项的通知中的要求，通过陕西省政府采购网注册登记入库；</w:t>
      </w:r>
    </w:p>
    <w:p>
      <w:pPr>
        <w:pStyle w:val="20"/>
        <w:keepNext w:val="0"/>
        <w:keepLines w:val="0"/>
        <w:pageBreakBefore w:val="0"/>
        <w:widowControl/>
        <w:kinsoku/>
        <w:wordWrap/>
        <w:overflowPunct/>
        <w:topLinePunct w:val="0"/>
        <w:autoSpaceDE/>
        <w:autoSpaceDN/>
        <w:bidi w:val="0"/>
        <w:adjustRightInd/>
        <w:snapToGrid/>
        <w:spacing w:beforeAutospacing="0" w:afterAutospacing="0" w:line="540" w:lineRule="exact"/>
        <w:ind w:firstLine="420"/>
        <w:textAlignment w:val="auto"/>
        <w:rPr>
          <w:rFonts w:hint="eastAsia"/>
          <w:color w:val="333333"/>
          <w:sz w:val="24"/>
          <w:szCs w:val="24"/>
          <w:highlight w:val="none"/>
          <w:shd w:val="clear" w:color="auto" w:fill="FFFFFF"/>
          <w:lang w:val="en-US" w:eastAsia="zh-CN"/>
        </w:rPr>
      </w:pPr>
      <w:r>
        <w:rPr>
          <w:rFonts w:hint="eastAsia"/>
          <w:color w:val="333333"/>
          <w:highlight w:val="none"/>
          <w:shd w:val="clear" w:color="auto" w:fill="FFFFFF"/>
          <w:lang w:val="en-US" w:eastAsia="zh-CN"/>
        </w:rPr>
        <w:t>7、落实政府采购的政策：（1）《国务院办公厅关于建立政府强制采购节能产品制度的通知》（国办发〔2007〕51号）；（2）《财政部、司法部关于政府采购支持监狱企业发展有关问题的通知》（财库〔2014〕68号）；（3）残疾人福利性单位应符合《财政部、民政部、中国残疾人联合会关于促进残疾人就业政府采购政策的通知》（财库〔2017〕141号）；（4）陕西省财政厅关于印发《陕西省中小企业政府采购信用融资办法》（陕财办采〔2018〕23号）；（5）《财政部发展改革委生态环境部市场监管总局关于调整优化节能产品、环境标志产品政府采购执行机制的通知》（财库〔2019〕9号）；（6）《市场监督总局关于发布参与实施政府采购节能产品、环境标志产品认证机构名录的公告》—2019年第16号；（7）《关于印发环境标志产品政府采购品目清单的通知》（财库〔2019〕18号）；（8）《关于印发节能产品政府采购品目清单的通知》（财库〔2019〕19号）；（9）《陕西省财政厅关于加快推进我省中小企业政府采购信用融资工作的通知》（陕财办采〔2020〕15号）；（10）《政府采购促进中小企业发展管办法》（财库〔2020〕46号）；（11）《财政部 农业农村部 国家乡村振兴局关于运用政府采购政策支持乡村产业振兴的通知》（财库〔2021〕19号）；（12）《关于进一步加强政府绿色采购有关问题的通知》（陕财办采〔2021〕29号）；（13）《财政部关于进一步加大政府采购支持中小企业力度的通知》（财库〔2022〕19号）；（14）其他需要落实的政府采购政策。注：若享受以上政策优惠的企业，提供相应声明函或品目范围内产品有效认</w:t>
      </w:r>
      <w:r>
        <w:rPr>
          <w:rFonts w:hint="eastAsia"/>
          <w:color w:val="333333"/>
          <w:sz w:val="24"/>
          <w:szCs w:val="24"/>
          <w:highlight w:val="none"/>
          <w:shd w:val="clear" w:color="auto" w:fill="FFFFFF"/>
          <w:lang w:val="en-US" w:eastAsia="zh-CN"/>
        </w:rPr>
        <w:t>证证书。</w:t>
      </w:r>
    </w:p>
    <w:p>
      <w:pPr>
        <w:pStyle w:val="20"/>
        <w:keepNext w:val="0"/>
        <w:keepLines w:val="0"/>
        <w:pageBreakBefore w:val="0"/>
        <w:widowControl/>
        <w:kinsoku/>
        <w:wordWrap/>
        <w:overflowPunct/>
        <w:topLinePunct w:val="0"/>
        <w:autoSpaceDE/>
        <w:autoSpaceDN/>
        <w:bidi w:val="0"/>
        <w:adjustRightInd/>
        <w:snapToGrid/>
        <w:spacing w:beforeAutospacing="0" w:afterAutospacing="0" w:line="540" w:lineRule="exact"/>
        <w:ind w:firstLine="420"/>
        <w:textAlignment w:val="auto"/>
        <w:rPr>
          <w:rFonts w:hint="eastAsia"/>
          <w:color w:val="333333"/>
          <w:sz w:val="24"/>
          <w:szCs w:val="24"/>
          <w:highlight w:val="none"/>
          <w:shd w:val="clear" w:color="auto" w:fill="FFFFFF"/>
          <w:lang w:val="en-US" w:eastAsia="zh-CN"/>
        </w:rPr>
      </w:pPr>
      <w:r>
        <w:rPr>
          <w:rFonts w:hint="eastAsia"/>
          <w:color w:val="333333"/>
          <w:sz w:val="24"/>
          <w:szCs w:val="24"/>
          <w:highlight w:val="none"/>
          <w:shd w:val="clear" w:color="auto" w:fill="FFFFFF"/>
          <w:lang w:val="en-US" w:eastAsia="zh-CN"/>
        </w:rPr>
        <w:t>8、采购需求：</w:t>
      </w:r>
    </w:p>
    <w:p>
      <w:pPr>
        <w:pStyle w:val="20"/>
        <w:keepNext w:val="0"/>
        <w:keepLines w:val="0"/>
        <w:pageBreakBefore w:val="0"/>
        <w:widowControl/>
        <w:kinsoku/>
        <w:wordWrap/>
        <w:overflowPunct/>
        <w:topLinePunct w:val="0"/>
        <w:autoSpaceDE/>
        <w:autoSpaceDN/>
        <w:bidi w:val="0"/>
        <w:adjustRightInd/>
        <w:snapToGrid/>
        <w:spacing w:beforeAutospacing="0" w:afterAutospacing="0" w:line="540" w:lineRule="exact"/>
        <w:ind w:firstLine="420"/>
        <w:textAlignment w:val="auto"/>
        <w:rPr>
          <w:rFonts w:hint="eastAsia"/>
          <w:color w:val="333333"/>
          <w:sz w:val="24"/>
          <w:szCs w:val="24"/>
          <w:highlight w:val="none"/>
          <w:shd w:val="clear" w:color="auto" w:fill="FFFFFF"/>
          <w:lang w:val="en-US" w:eastAsia="zh-CN"/>
        </w:rPr>
      </w:pPr>
      <w:r>
        <w:rPr>
          <w:rFonts w:hint="eastAsia"/>
          <w:color w:val="333333"/>
          <w:sz w:val="24"/>
          <w:szCs w:val="24"/>
          <w:highlight w:val="none"/>
          <w:shd w:val="clear" w:color="auto" w:fill="FFFFFF"/>
          <w:lang w:val="en-US" w:eastAsia="zh-CN"/>
        </w:rPr>
        <w:t>合同包1：完成西安、铜川、榆林、延安、渭南、韩城累计不少284座/12832延米新增省道桥梁（隧道）的技术状况定期检查评定，详见采购文件。</w:t>
      </w:r>
    </w:p>
    <w:p>
      <w:pPr>
        <w:pStyle w:val="20"/>
        <w:keepNext w:val="0"/>
        <w:keepLines w:val="0"/>
        <w:pageBreakBefore w:val="0"/>
        <w:widowControl/>
        <w:kinsoku/>
        <w:wordWrap/>
        <w:overflowPunct/>
        <w:topLinePunct w:val="0"/>
        <w:autoSpaceDE/>
        <w:autoSpaceDN/>
        <w:bidi w:val="0"/>
        <w:adjustRightInd/>
        <w:snapToGrid/>
        <w:spacing w:beforeAutospacing="0" w:afterAutospacing="0" w:line="540" w:lineRule="exact"/>
        <w:ind w:firstLine="420"/>
        <w:textAlignment w:val="auto"/>
        <w:rPr>
          <w:rFonts w:hint="default"/>
          <w:color w:val="333333"/>
          <w:sz w:val="24"/>
          <w:szCs w:val="24"/>
          <w:highlight w:val="none"/>
          <w:shd w:val="clear" w:color="auto" w:fill="FFFFFF"/>
          <w:lang w:val="en-US" w:eastAsia="zh-CN"/>
        </w:rPr>
      </w:pPr>
      <w:r>
        <w:rPr>
          <w:rFonts w:hint="eastAsia"/>
          <w:color w:val="333333"/>
          <w:sz w:val="24"/>
          <w:szCs w:val="24"/>
          <w:highlight w:val="none"/>
          <w:shd w:val="clear" w:color="auto" w:fill="FFFFFF"/>
          <w:lang w:val="en-US" w:eastAsia="zh-CN"/>
        </w:rPr>
        <w:t>合同包2：完成宝鸡、咸阳、汉中、安康、商洛累计不少359座/11707延米新增省道桥梁（隧道）的技术状况定期检查评定，详见采购文件。</w:t>
      </w:r>
    </w:p>
    <w:p>
      <w:pPr>
        <w:pStyle w:val="20"/>
        <w:keepNext w:val="0"/>
        <w:keepLines w:val="0"/>
        <w:pageBreakBefore w:val="0"/>
        <w:kinsoku/>
        <w:wordWrap/>
        <w:overflowPunct/>
        <w:topLinePunct w:val="0"/>
        <w:autoSpaceDE/>
        <w:autoSpaceDN/>
        <w:bidi w:val="0"/>
        <w:adjustRightInd/>
        <w:snapToGrid/>
        <w:spacing w:beforeAutospacing="0" w:afterAutospacing="0" w:line="440" w:lineRule="exact"/>
        <w:textAlignment w:val="auto"/>
        <w:rPr>
          <w:color w:val="333333"/>
          <w:highlight w:val="none"/>
          <w:shd w:val="clear" w:color="auto" w:fill="FFFFFF"/>
        </w:rPr>
      </w:pPr>
      <w:r>
        <w:rPr>
          <w:rFonts w:hint="eastAsia"/>
          <w:b/>
          <w:bCs/>
          <w:color w:val="333333"/>
          <w:highlight w:val="none"/>
          <w:shd w:val="clear" w:color="auto" w:fill="FFFFFF"/>
        </w:rPr>
        <w:t>八、对本次招标提出询问，请按以下方式联系</w:t>
      </w:r>
      <w:r>
        <w:rPr>
          <w:rFonts w:hint="eastAsia"/>
          <w:color w:val="333333"/>
          <w:highlight w:val="none"/>
          <w:shd w:val="clear" w:color="auto" w:fill="FFFFFF"/>
        </w:rPr>
        <w:t>。</w:t>
      </w:r>
    </w:p>
    <w:p>
      <w:pPr>
        <w:pStyle w:val="20"/>
        <w:keepNext w:val="0"/>
        <w:keepLines w:val="0"/>
        <w:pageBreakBefore w:val="0"/>
        <w:kinsoku/>
        <w:wordWrap/>
        <w:overflowPunct/>
        <w:topLinePunct w:val="0"/>
        <w:autoSpaceDE/>
        <w:autoSpaceDN/>
        <w:bidi w:val="0"/>
        <w:adjustRightInd/>
        <w:snapToGrid/>
        <w:spacing w:beforeAutospacing="0" w:afterAutospacing="0" w:line="440" w:lineRule="exact"/>
        <w:ind w:firstLine="420"/>
        <w:textAlignment w:val="auto"/>
        <w:rPr>
          <w:color w:val="333333"/>
          <w:highlight w:val="none"/>
          <w:shd w:val="clear" w:color="auto" w:fill="FFFFFF"/>
        </w:rPr>
      </w:pPr>
      <w:r>
        <w:rPr>
          <w:rFonts w:hint="eastAsia"/>
          <w:color w:val="333333"/>
          <w:highlight w:val="none"/>
          <w:shd w:val="clear" w:color="auto" w:fill="FFFFFF"/>
        </w:rPr>
        <w:t>1、采购人信息：</w:t>
      </w:r>
    </w:p>
    <w:p>
      <w:pPr>
        <w:pStyle w:val="20"/>
        <w:keepNext w:val="0"/>
        <w:keepLines w:val="0"/>
        <w:pageBreakBefore w:val="0"/>
        <w:kinsoku/>
        <w:wordWrap/>
        <w:overflowPunct/>
        <w:topLinePunct w:val="0"/>
        <w:autoSpaceDE/>
        <w:autoSpaceDN/>
        <w:bidi w:val="0"/>
        <w:adjustRightInd/>
        <w:snapToGrid/>
        <w:spacing w:beforeAutospacing="0" w:afterAutospacing="0" w:line="440" w:lineRule="exact"/>
        <w:ind w:firstLine="960" w:firstLineChars="400"/>
        <w:textAlignment w:val="auto"/>
        <w:rPr>
          <w:color w:val="333333"/>
          <w:highlight w:val="none"/>
          <w:shd w:val="clear" w:color="auto" w:fill="FFFFFF"/>
        </w:rPr>
      </w:pPr>
      <w:r>
        <w:rPr>
          <w:rFonts w:hint="eastAsia"/>
          <w:color w:val="333333"/>
          <w:highlight w:val="none"/>
          <w:shd w:val="clear" w:color="auto" w:fill="FFFFFF"/>
        </w:rPr>
        <w:t>名称：陕西省公路局</w:t>
      </w:r>
    </w:p>
    <w:p>
      <w:pPr>
        <w:pStyle w:val="20"/>
        <w:keepNext w:val="0"/>
        <w:keepLines w:val="0"/>
        <w:pageBreakBefore w:val="0"/>
        <w:kinsoku/>
        <w:wordWrap/>
        <w:overflowPunct/>
        <w:topLinePunct w:val="0"/>
        <w:autoSpaceDE/>
        <w:autoSpaceDN/>
        <w:bidi w:val="0"/>
        <w:adjustRightInd/>
        <w:snapToGrid/>
        <w:spacing w:beforeAutospacing="0" w:afterAutospacing="0" w:line="440" w:lineRule="exact"/>
        <w:ind w:firstLine="960" w:firstLineChars="400"/>
        <w:textAlignment w:val="auto"/>
        <w:rPr>
          <w:color w:val="333333"/>
          <w:highlight w:val="none"/>
          <w:shd w:val="clear" w:color="auto" w:fill="FFFFFF"/>
        </w:rPr>
      </w:pPr>
      <w:r>
        <w:rPr>
          <w:rFonts w:hint="eastAsia"/>
          <w:color w:val="333333"/>
          <w:highlight w:val="none"/>
          <w:shd w:val="clear" w:color="auto" w:fill="FFFFFF"/>
        </w:rPr>
        <w:t>地址：西安市含光北路110号</w:t>
      </w:r>
    </w:p>
    <w:p>
      <w:pPr>
        <w:pStyle w:val="20"/>
        <w:keepNext w:val="0"/>
        <w:keepLines w:val="0"/>
        <w:pageBreakBefore w:val="0"/>
        <w:kinsoku/>
        <w:wordWrap/>
        <w:overflowPunct/>
        <w:topLinePunct w:val="0"/>
        <w:autoSpaceDE/>
        <w:autoSpaceDN/>
        <w:bidi w:val="0"/>
        <w:adjustRightInd/>
        <w:snapToGrid/>
        <w:spacing w:beforeAutospacing="0" w:afterAutospacing="0" w:line="440" w:lineRule="exact"/>
        <w:ind w:firstLine="960" w:firstLineChars="400"/>
        <w:textAlignment w:val="auto"/>
        <w:rPr>
          <w:rFonts w:hint="default" w:eastAsia="宋体"/>
          <w:color w:val="333333"/>
          <w:highlight w:val="none"/>
          <w:shd w:val="clear" w:color="auto" w:fill="FFFFFF"/>
          <w:lang w:val="en-US" w:eastAsia="zh-CN"/>
        </w:rPr>
      </w:pPr>
      <w:r>
        <w:rPr>
          <w:rFonts w:hint="eastAsia"/>
          <w:color w:val="333333"/>
          <w:highlight w:val="none"/>
          <w:shd w:val="clear" w:color="auto" w:fill="FFFFFF"/>
        </w:rPr>
        <w:t>联系方式：029-88408</w:t>
      </w:r>
      <w:r>
        <w:rPr>
          <w:rFonts w:hint="eastAsia"/>
          <w:color w:val="333333"/>
          <w:highlight w:val="none"/>
          <w:shd w:val="clear" w:color="auto" w:fill="FFFFFF"/>
          <w:lang w:val="en-US" w:eastAsia="zh-CN"/>
        </w:rPr>
        <w:t>436</w:t>
      </w:r>
    </w:p>
    <w:p>
      <w:pPr>
        <w:pStyle w:val="20"/>
        <w:keepNext w:val="0"/>
        <w:keepLines w:val="0"/>
        <w:pageBreakBefore w:val="0"/>
        <w:kinsoku/>
        <w:wordWrap/>
        <w:overflowPunct/>
        <w:topLinePunct w:val="0"/>
        <w:autoSpaceDE/>
        <w:autoSpaceDN/>
        <w:bidi w:val="0"/>
        <w:adjustRightInd/>
        <w:snapToGrid/>
        <w:spacing w:beforeAutospacing="0" w:afterAutospacing="0" w:line="440" w:lineRule="exact"/>
        <w:ind w:firstLine="420"/>
        <w:textAlignment w:val="auto"/>
        <w:rPr>
          <w:color w:val="333333"/>
          <w:highlight w:val="none"/>
          <w:shd w:val="clear" w:color="auto" w:fill="FFFFFF"/>
        </w:rPr>
      </w:pPr>
      <w:r>
        <w:rPr>
          <w:rFonts w:hint="eastAsia"/>
          <w:color w:val="333333"/>
          <w:highlight w:val="none"/>
          <w:shd w:val="clear" w:color="auto" w:fill="FFFFFF"/>
        </w:rPr>
        <w:t>2、采购代理机构信息</w:t>
      </w:r>
    </w:p>
    <w:p>
      <w:pPr>
        <w:pStyle w:val="20"/>
        <w:keepNext w:val="0"/>
        <w:keepLines w:val="0"/>
        <w:pageBreakBefore w:val="0"/>
        <w:kinsoku/>
        <w:wordWrap/>
        <w:overflowPunct/>
        <w:topLinePunct w:val="0"/>
        <w:autoSpaceDE/>
        <w:autoSpaceDN/>
        <w:bidi w:val="0"/>
        <w:adjustRightInd/>
        <w:snapToGrid/>
        <w:spacing w:beforeAutospacing="0" w:afterAutospacing="0" w:line="440" w:lineRule="exact"/>
        <w:ind w:firstLine="960" w:firstLineChars="400"/>
        <w:textAlignment w:val="auto"/>
        <w:rPr>
          <w:rFonts w:hint="eastAsia"/>
          <w:color w:val="333333"/>
          <w:highlight w:val="none"/>
          <w:shd w:val="clear" w:color="auto" w:fill="FFFFFF"/>
          <w:lang w:eastAsia="zh-CN"/>
        </w:rPr>
      </w:pPr>
      <w:r>
        <w:rPr>
          <w:rFonts w:hint="eastAsia"/>
          <w:color w:val="333333"/>
          <w:highlight w:val="none"/>
          <w:shd w:val="clear" w:color="auto" w:fill="FFFFFF"/>
        </w:rPr>
        <w:t>名称：</w:t>
      </w:r>
      <w:r>
        <w:rPr>
          <w:rFonts w:hint="eastAsia"/>
          <w:color w:val="333333"/>
          <w:highlight w:val="none"/>
          <w:shd w:val="clear" w:color="auto" w:fill="FFFFFF"/>
          <w:lang w:eastAsia="zh-CN"/>
        </w:rPr>
        <w:t>陕西正宇信工程项目管理有限公司</w:t>
      </w:r>
    </w:p>
    <w:p>
      <w:pPr>
        <w:pStyle w:val="20"/>
        <w:keepNext w:val="0"/>
        <w:keepLines w:val="0"/>
        <w:pageBreakBefore w:val="0"/>
        <w:kinsoku/>
        <w:wordWrap/>
        <w:overflowPunct/>
        <w:topLinePunct w:val="0"/>
        <w:autoSpaceDE/>
        <w:autoSpaceDN/>
        <w:bidi w:val="0"/>
        <w:adjustRightInd/>
        <w:snapToGrid/>
        <w:spacing w:beforeAutospacing="0" w:afterAutospacing="0" w:line="440" w:lineRule="exact"/>
        <w:ind w:firstLine="960" w:firstLineChars="400"/>
        <w:textAlignment w:val="auto"/>
        <w:rPr>
          <w:rFonts w:hint="eastAsia" w:eastAsia="宋体"/>
          <w:color w:val="333333"/>
          <w:highlight w:val="none"/>
          <w:shd w:val="clear" w:color="auto" w:fill="FFFFFF"/>
          <w:lang w:eastAsia="zh-CN"/>
        </w:rPr>
      </w:pPr>
      <w:r>
        <w:rPr>
          <w:rFonts w:hint="eastAsia"/>
          <w:color w:val="333333"/>
          <w:highlight w:val="none"/>
          <w:shd w:val="clear" w:color="auto" w:fill="FFFFFF"/>
        </w:rPr>
        <w:t>地址：</w:t>
      </w:r>
      <w:r>
        <w:rPr>
          <w:rFonts w:hint="eastAsia"/>
          <w:color w:val="333333"/>
          <w:highlight w:val="none"/>
          <w:shd w:val="clear" w:color="auto" w:fill="FFFFFF"/>
          <w:lang w:eastAsia="zh-CN"/>
        </w:rPr>
        <w:t>西安市航天基地飞天路北航科技园5号楼1单元2楼</w:t>
      </w:r>
    </w:p>
    <w:p>
      <w:pPr>
        <w:pStyle w:val="20"/>
        <w:keepNext w:val="0"/>
        <w:keepLines w:val="0"/>
        <w:pageBreakBefore w:val="0"/>
        <w:kinsoku/>
        <w:wordWrap/>
        <w:overflowPunct/>
        <w:topLinePunct w:val="0"/>
        <w:autoSpaceDE/>
        <w:autoSpaceDN/>
        <w:bidi w:val="0"/>
        <w:adjustRightInd/>
        <w:snapToGrid/>
        <w:spacing w:beforeAutospacing="0" w:afterAutospacing="0" w:line="440" w:lineRule="exact"/>
        <w:ind w:firstLine="960" w:firstLineChars="400"/>
        <w:textAlignment w:val="auto"/>
        <w:rPr>
          <w:rFonts w:hint="default" w:eastAsia="宋体"/>
          <w:color w:val="333333"/>
          <w:highlight w:val="none"/>
          <w:shd w:val="clear" w:color="auto" w:fill="FFFFFF"/>
          <w:lang w:val="en-US" w:eastAsia="zh-CN"/>
        </w:rPr>
      </w:pPr>
      <w:r>
        <w:rPr>
          <w:rFonts w:hint="eastAsia"/>
          <w:color w:val="333333"/>
          <w:highlight w:val="none"/>
          <w:shd w:val="clear" w:color="auto" w:fill="FFFFFF"/>
        </w:rPr>
        <w:t>联系方式：</w:t>
      </w:r>
      <w:r>
        <w:rPr>
          <w:rFonts w:hint="eastAsia"/>
          <w:color w:val="333333"/>
          <w:highlight w:val="none"/>
          <w:shd w:val="clear" w:color="auto" w:fill="FFFFFF"/>
          <w:lang w:val="en-US" w:eastAsia="zh-CN"/>
        </w:rPr>
        <w:t>13259773353</w:t>
      </w:r>
    </w:p>
    <w:p>
      <w:pPr>
        <w:pStyle w:val="20"/>
        <w:keepNext w:val="0"/>
        <w:keepLines w:val="0"/>
        <w:pageBreakBefore w:val="0"/>
        <w:kinsoku/>
        <w:wordWrap/>
        <w:overflowPunct/>
        <w:topLinePunct w:val="0"/>
        <w:autoSpaceDE/>
        <w:autoSpaceDN/>
        <w:bidi w:val="0"/>
        <w:adjustRightInd/>
        <w:snapToGrid/>
        <w:spacing w:beforeAutospacing="0" w:afterAutospacing="0" w:line="440" w:lineRule="exact"/>
        <w:ind w:firstLine="420"/>
        <w:textAlignment w:val="auto"/>
        <w:rPr>
          <w:color w:val="333333"/>
          <w:highlight w:val="none"/>
          <w:shd w:val="clear" w:color="auto" w:fill="FFFFFF"/>
        </w:rPr>
      </w:pPr>
      <w:r>
        <w:rPr>
          <w:rFonts w:hint="eastAsia"/>
          <w:color w:val="333333"/>
          <w:highlight w:val="none"/>
          <w:shd w:val="clear" w:color="auto" w:fill="FFFFFF"/>
        </w:rPr>
        <w:t>3、项目联系方式</w:t>
      </w:r>
    </w:p>
    <w:p>
      <w:pPr>
        <w:pStyle w:val="20"/>
        <w:keepNext w:val="0"/>
        <w:keepLines w:val="0"/>
        <w:pageBreakBefore w:val="0"/>
        <w:kinsoku/>
        <w:wordWrap/>
        <w:overflowPunct/>
        <w:topLinePunct w:val="0"/>
        <w:autoSpaceDE/>
        <w:autoSpaceDN/>
        <w:bidi w:val="0"/>
        <w:adjustRightInd/>
        <w:snapToGrid/>
        <w:spacing w:beforeAutospacing="0" w:afterAutospacing="0" w:line="440" w:lineRule="exact"/>
        <w:ind w:firstLine="960" w:firstLineChars="400"/>
        <w:textAlignment w:val="auto"/>
        <w:rPr>
          <w:rFonts w:hint="eastAsia"/>
          <w:color w:val="333333"/>
          <w:highlight w:val="none"/>
          <w:shd w:val="clear" w:color="auto" w:fill="FFFFFF"/>
          <w:lang w:val="en-US" w:eastAsia="zh-CN"/>
        </w:rPr>
      </w:pPr>
      <w:r>
        <w:rPr>
          <w:rFonts w:hint="eastAsia"/>
          <w:color w:val="333333"/>
          <w:highlight w:val="none"/>
          <w:shd w:val="clear" w:color="auto" w:fill="FFFFFF"/>
        </w:rPr>
        <w:t>项目联系人：</w:t>
      </w:r>
      <w:r>
        <w:rPr>
          <w:rFonts w:hint="eastAsia"/>
          <w:color w:val="333333"/>
          <w:highlight w:val="none"/>
          <w:shd w:val="clear" w:color="auto" w:fill="FFFFFF"/>
          <w:lang w:val="en-US" w:eastAsia="zh-CN"/>
        </w:rPr>
        <w:t>胡工、何工</w:t>
      </w:r>
    </w:p>
    <w:p>
      <w:pPr>
        <w:pStyle w:val="20"/>
        <w:keepNext w:val="0"/>
        <w:keepLines w:val="0"/>
        <w:pageBreakBefore w:val="0"/>
        <w:kinsoku/>
        <w:wordWrap/>
        <w:overflowPunct/>
        <w:topLinePunct w:val="0"/>
        <w:autoSpaceDE/>
        <w:autoSpaceDN/>
        <w:bidi w:val="0"/>
        <w:adjustRightInd/>
        <w:snapToGrid/>
        <w:spacing w:beforeAutospacing="0" w:afterAutospacing="0" w:line="440" w:lineRule="exact"/>
        <w:ind w:firstLine="960" w:firstLineChars="400"/>
        <w:textAlignment w:val="auto"/>
        <w:rPr>
          <w:rFonts w:hint="default" w:eastAsia="宋体"/>
          <w:sz w:val="28"/>
          <w:szCs w:val="28"/>
          <w:highlight w:val="none"/>
          <w:lang w:val="en-US" w:eastAsia="zh-CN"/>
        </w:rPr>
      </w:pPr>
      <w:r>
        <w:rPr>
          <w:rFonts w:hint="eastAsia"/>
          <w:color w:val="333333"/>
          <w:highlight w:val="none"/>
          <w:shd w:val="clear" w:color="auto" w:fill="FFFFFF"/>
        </w:rPr>
        <w:t>电 话：</w:t>
      </w:r>
      <w:r>
        <w:rPr>
          <w:rFonts w:hint="eastAsia"/>
          <w:color w:val="333333"/>
          <w:highlight w:val="none"/>
          <w:shd w:val="clear" w:color="auto" w:fill="FFFFFF"/>
          <w:lang w:val="en-US" w:eastAsia="zh-CN"/>
        </w:rPr>
        <w:t>13259773353</w:t>
      </w:r>
    </w:p>
    <w:p>
      <w:pPr>
        <w:pStyle w:val="20"/>
        <w:spacing w:beforeAutospacing="0" w:afterAutospacing="0" w:line="360" w:lineRule="auto"/>
        <w:ind w:firstLine="420"/>
        <w:rPr>
          <w:highlight w:val="none"/>
        </w:rPr>
      </w:pPr>
    </w:p>
    <w:p>
      <w:pPr>
        <w:rPr>
          <w:rFonts w:ascii="宋体" w:hAnsi="宋体" w:cs="宋体"/>
          <w:sz w:val="32"/>
          <w:szCs w:val="32"/>
          <w:highlight w:val="none"/>
        </w:rPr>
      </w:pPr>
      <w:r>
        <w:rPr>
          <w:rFonts w:hint="eastAsia" w:ascii="宋体" w:hAnsi="宋体" w:cs="宋体"/>
          <w:sz w:val="32"/>
          <w:szCs w:val="32"/>
          <w:highlight w:val="none"/>
        </w:rPr>
        <w:br w:type="page"/>
      </w:r>
    </w:p>
    <w:p>
      <w:pPr>
        <w:pStyle w:val="4"/>
        <w:keepNext w:val="0"/>
        <w:keepLines w:val="0"/>
        <w:rPr>
          <w:rFonts w:ascii="宋体" w:hAnsi="宋体" w:cs="宋体"/>
          <w:sz w:val="32"/>
          <w:szCs w:val="32"/>
          <w:highlight w:val="none"/>
        </w:rPr>
      </w:pPr>
      <w:bookmarkStart w:id="12" w:name="_Toc9719"/>
      <w:r>
        <w:rPr>
          <w:rFonts w:hint="eastAsia" w:ascii="宋体" w:hAnsi="宋体" w:cs="宋体"/>
          <w:sz w:val="32"/>
          <w:szCs w:val="32"/>
          <w:highlight w:val="none"/>
        </w:rPr>
        <w:t>第二部分  供应商须知</w:t>
      </w:r>
      <w:bookmarkEnd w:id="6"/>
      <w:bookmarkEnd w:id="7"/>
      <w:bookmarkEnd w:id="8"/>
      <w:bookmarkEnd w:id="9"/>
      <w:bookmarkEnd w:id="10"/>
      <w:bookmarkEnd w:id="11"/>
      <w:bookmarkEnd w:id="12"/>
    </w:p>
    <w:p>
      <w:pPr>
        <w:spacing w:line="360" w:lineRule="auto"/>
        <w:jc w:val="center"/>
        <w:rPr>
          <w:rFonts w:ascii="宋体" w:hAnsi="宋体" w:cs="宋体"/>
          <w:b/>
          <w:szCs w:val="21"/>
          <w:highlight w:val="none"/>
        </w:rPr>
      </w:pPr>
      <w:r>
        <w:rPr>
          <w:rFonts w:hint="eastAsia" w:ascii="宋体" w:hAnsi="宋体" w:cs="宋体"/>
          <w:b/>
          <w:szCs w:val="21"/>
          <w:highlight w:val="none"/>
        </w:rPr>
        <w:t>须知前附表</w:t>
      </w:r>
    </w:p>
    <w:tbl>
      <w:tblPr>
        <w:tblStyle w:val="23"/>
        <w:tblW w:w="95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2445"/>
        <w:gridCol w:w="6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707" w:type="dxa"/>
            <w:vAlign w:val="center"/>
          </w:tcPr>
          <w:p>
            <w:pPr>
              <w:spacing w:line="360" w:lineRule="auto"/>
              <w:jc w:val="center"/>
              <w:rPr>
                <w:rFonts w:ascii="宋体" w:hAnsi="宋体" w:cs="宋体"/>
                <w:sz w:val="24"/>
                <w:highlight w:val="none"/>
              </w:rPr>
            </w:pPr>
            <w:r>
              <w:rPr>
                <w:rFonts w:hint="eastAsia" w:ascii="宋体" w:hAnsi="宋体" w:cs="宋体"/>
                <w:sz w:val="24"/>
                <w:highlight w:val="none"/>
              </w:rPr>
              <w:t>序号</w:t>
            </w:r>
          </w:p>
        </w:tc>
        <w:tc>
          <w:tcPr>
            <w:tcW w:w="2445" w:type="dxa"/>
            <w:vAlign w:val="center"/>
          </w:tcPr>
          <w:p>
            <w:pPr>
              <w:spacing w:line="360" w:lineRule="auto"/>
              <w:jc w:val="center"/>
              <w:rPr>
                <w:rFonts w:ascii="宋体" w:hAnsi="宋体" w:cs="宋体"/>
                <w:sz w:val="24"/>
                <w:highlight w:val="none"/>
              </w:rPr>
            </w:pPr>
            <w:r>
              <w:rPr>
                <w:rFonts w:hint="eastAsia" w:ascii="宋体" w:hAnsi="宋体" w:cs="宋体"/>
                <w:sz w:val="24"/>
                <w:highlight w:val="none"/>
              </w:rPr>
              <w:t>条款名称</w:t>
            </w:r>
          </w:p>
        </w:tc>
        <w:tc>
          <w:tcPr>
            <w:tcW w:w="6417" w:type="dxa"/>
            <w:vAlign w:val="center"/>
          </w:tcPr>
          <w:p>
            <w:pPr>
              <w:spacing w:line="360" w:lineRule="auto"/>
              <w:jc w:val="center"/>
              <w:rPr>
                <w:rFonts w:ascii="宋体" w:hAnsi="宋体" w:cs="宋体"/>
                <w:sz w:val="24"/>
                <w:highlight w:val="none"/>
              </w:rPr>
            </w:pPr>
            <w:r>
              <w:rPr>
                <w:rFonts w:hint="eastAsia" w:ascii="宋体" w:hAnsi="宋体" w:cs="宋体"/>
                <w:sz w:val="24"/>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rPr>
        <w:tc>
          <w:tcPr>
            <w:tcW w:w="707" w:type="dxa"/>
            <w:vAlign w:val="center"/>
          </w:tcPr>
          <w:p>
            <w:pPr>
              <w:spacing w:line="360" w:lineRule="auto"/>
              <w:jc w:val="center"/>
              <w:rPr>
                <w:rFonts w:ascii="宋体" w:hAnsi="宋体" w:cs="宋体"/>
                <w:sz w:val="24"/>
                <w:highlight w:val="none"/>
              </w:rPr>
            </w:pPr>
            <w:r>
              <w:rPr>
                <w:rFonts w:hint="eastAsia" w:ascii="宋体" w:hAnsi="宋体" w:cs="宋体"/>
                <w:sz w:val="24"/>
                <w:highlight w:val="none"/>
              </w:rPr>
              <w:t>1</w:t>
            </w:r>
          </w:p>
        </w:tc>
        <w:tc>
          <w:tcPr>
            <w:tcW w:w="2445" w:type="dxa"/>
            <w:vAlign w:val="center"/>
          </w:tcPr>
          <w:p>
            <w:pPr>
              <w:spacing w:line="360" w:lineRule="auto"/>
              <w:jc w:val="center"/>
              <w:rPr>
                <w:rFonts w:ascii="宋体" w:hAnsi="宋体" w:cs="宋体"/>
                <w:sz w:val="24"/>
                <w:highlight w:val="none"/>
              </w:rPr>
            </w:pPr>
            <w:r>
              <w:rPr>
                <w:rFonts w:hint="eastAsia" w:ascii="宋体" w:hAnsi="宋体" w:cs="宋体"/>
                <w:sz w:val="24"/>
                <w:highlight w:val="none"/>
              </w:rPr>
              <w:t>采购人</w:t>
            </w:r>
          </w:p>
        </w:tc>
        <w:tc>
          <w:tcPr>
            <w:tcW w:w="6417" w:type="dxa"/>
            <w:vAlign w:val="center"/>
          </w:tcPr>
          <w:p>
            <w:pPr>
              <w:spacing w:line="360" w:lineRule="auto"/>
              <w:rPr>
                <w:rFonts w:ascii="宋体" w:hAnsi="宋体" w:cs="宋体"/>
                <w:kern w:val="0"/>
                <w:sz w:val="24"/>
                <w:highlight w:val="none"/>
              </w:rPr>
            </w:pPr>
            <w:r>
              <w:rPr>
                <w:rFonts w:hint="eastAsia" w:ascii="宋体" w:hAnsi="宋体" w:cs="宋体"/>
                <w:kern w:val="0"/>
                <w:sz w:val="24"/>
                <w:highlight w:val="none"/>
              </w:rPr>
              <w:t>名  称：陕西省公路局</w:t>
            </w:r>
          </w:p>
          <w:p>
            <w:pPr>
              <w:spacing w:line="360" w:lineRule="auto"/>
              <w:rPr>
                <w:rFonts w:ascii="宋体" w:hAnsi="宋体" w:cs="宋体"/>
                <w:kern w:val="0"/>
                <w:sz w:val="24"/>
                <w:highlight w:val="none"/>
              </w:rPr>
            </w:pPr>
            <w:r>
              <w:rPr>
                <w:rFonts w:hint="eastAsia" w:ascii="宋体" w:hAnsi="宋体" w:cs="宋体"/>
                <w:kern w:val="0"/>
                <w:sz w:val="24"/>
                <w:highlight w:val="none"/>
              </w:rPr>
              <w:t>地  址：西安市含光北路110号</w:t>
            </w:r>
          </w:p>
          <w:p>
            <w:pPr>
              <w:spacing w:line="360" w:lineRule="auto"/>
              <w:rPr>
                <w:rFonts w:ascii="宋体" w:hAnsi="宋体" w:cs="宋体"/>
                <w:kern w:val="0"/>
                <w:sz w:val="24"/>
                <w:highlight w:val="none"/>
              </w:rPr>
            </w:pPr>
            <w:r>
              <w:rPr>
                <w:rFonts w:hint="eastAsia" w:ascii="宋体" w:hAnsi="宋体" w:cs="宋体"/>
                <w:kern w:val="0"/>
                <w:sz w:val="24"/>
                <w:highlight w:val="none"/>
              </w:rPr>
              <w:t>联系人：王老师</w:t>
            </w:r>
          </w:p>
          <w:p>
            <w:pPr>
              <w:spacing w:line="360" w:lineRule="auto"/>
              <w:rPr>
                <w:rFonts w:ascii="宋体" w:hAnsi="宋体" w:cs="宋体"/>
                <w:kern w:val="0"/>
                <w:sz w:val="24"/>
                <w:highlight w:val="none"/>
              </w:rPr>
            </w:pPr>
            <w:r>
              <w:rPr>
                <w:rFonts w:hint="eastAsia" w:ascii="宋体" w:hAnsi="宋体" w:cs="宋体"/>
                <w:kern w:val="0"/>
                <w:sz w:val="24"/>
                <w:highlight w:val="none"/>
              </w:rPr>
              <w:t>电  话：029-88408436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707" w:type="dxa"/>
            <w:vAlign w:val="center"/>
          </w:tcPr>
          <w:p>
            <w:pPr>
              <w:spacing w:line="360" w:lineRule="auto"/>
              <w:jc w:val="center"/>
              <w:rPr>
                <w:rFonts w:ascii="宋体" w:hAnsi="宋体" w:cs="宋体"/>
                <w:sz w:val="24"/>
                <w:highlight w:val="none"/>
              </w:rPr>
            </w:pPr>
            <w:r>
              <w:rPr>
                <w:rFonts w:hint="eastAsia" w:ascii="宋体" w:hAnsi="宋体" w:cs="宋体"/>
                <w:sz w:val="24"/>
                <w:highlight w:val="none"/>
              </w:rPr>
              <w:t>2</w:t>
            </w:r>
          </w:p>
        </w:tc>
        <w:tc>
          <w:tcPr>
            <w:tcW w:w="2445" w:type="dxa"/>
            <w:vAlign w:val="center"/>
          </w:tcPr>
          <w:p>
            <w:pPr>
              <w:spacing w:line="360" w:lineRule="auto"/>
              <w:jc w:val="center"/>
              <w:rPr>
                <w:rFonts w:ascii="宋体" w:hAnsi="宋体" w:cs="宋体"/>
                <w:sz w:val="24"/>
                <w:highlight w:val="none"/>
              </w:rPr>
            </w:pPr>
            <w:r>
              <w:rPr>
                <w:rFonts w:hint="eastAsia" w:ascii="宋体" w:hAnsi="宋体" w:cs="宋体"/>
                <w:sz w:val="24"/>
                <w:highlight w:val="none"/>
              </w:rPr>
              <w:t>采购代理机构</w:t>
            </w:r>
          </w:p>
        </w:tc>
        <w:tc>
          <w:tcPr>
            <w:tcW w:w="6417" w:type="dxa"/>
            <w:vAlign w:val="center"/>
          </w:tcPr>
          <w:p>
            <w:pPr>
              <w:spacing w:line="360" w:lineRule="auto"/>
              <w:jc w:val="left"/>
              <w:rPr>
                <w:rFonts w:hint="eastAsia" w:ascii="宋体" w:hAnsi="宋体" w:cs="宋体"/>
                <w:sz w:val="24"/>
                <w:highlight w:val="none"/>
                <w:lang w:eastAsia="zh-CN"/>
              </w:rPr>
            </w:pPr>
            <w:r>
              <w:rPr>
                <w:rFonts w:hint="eastAsia" w:ascii="宋体" w:hAnsi="宋体" w:cs="宋体"/>
                <w:sz w:val="24"/>
                <w:highlight w:val="none"/>
              </w:rPr>
              <w:t>名  称：</w:t>
            </w:r>
            <w:r>
              <w:rPr>
                <w:rFonts w:hint="eastAsia" w:ascii="宋体" w:hAnsi="宋体" w:cs="宋体"/>
                <w:sz w:val="24"/>
                <w:highlight w:val="none"/>
                <w:lang w:eastAsia="zh-CN"/>
              </w:rPr>
              <w:t>陕西正宇信工程项目管理有限公司</w:t>
            </w:r>
          </w:p>
          <w:p>
            <w:pPr>
              <w:spacing w:line="360" w:lineRule="auto"/>
              <w:jc w:val="left"/>
              <w:rPr>
                <w:rFonts w:hint="eastAsia" w:ascii="宋体" w:hAnsi="宋体" w:eastAsia="宋体" w:cs="宋体"/>
                <w:sz w:val="24"/>
                <w:highlight w:val="none"/>
                <w:lang w:eastAsia="zh-CN"/>
              </w:rPr>
            </w:pPr>
            <w:r>
              <w:rPr>
                <w:rFonts w:hint="eastAsia" w:ascii="宋体" w:hAnsi="宋体" w:cs="宋体"/>
                <w:sz w:val="24"/>
                <w:highlight w:val="none"/>
              </w:rPr>
              <w:t>地  址：</w:t>
            </w:r>
            <w:r>
              <w:rPr>
                <w:rFonts w:hint="eastAsia" w:ascii="宋体" w:hAnsi="宋体" w:cs="宋体"/>
                <w:sz w:val="24"/>
                <w:highlight w:val="none"/>
                <w:lang w:eastAsia="zh-CN"/>
              </w:rPr>
              <w:t>西安市航天基地飞天路北航科技园5号楼1单元2楼</w:t>
            </w:r>
          </w:p>
          <w:p>
            <w:pPr>
              <w:spacing w:line="360" w:lineRule="auto"/>
              <w:jc w:val="left"/>
              <w:rPr>
                <w:rFonts w:hint="eastAsia" w:ascii="宋体" w:hAnsi="宋体" w:eastAsia="宋体" w:cs="宋体"/>
                <w:sz w:val="24"/>
                <w:highlight w:val="none"/>
                <w:lang w:eastAsia="zh-CN"/>
              </w:rPr>
            </w:pPr>
            <w:r>
              <w:rPr>
                <w:rFonts w:hint="eastAsia" w:ascii="宋体" w:hAnsi="宋体" w:cs="宋体"/>
                <w:sz w:val="24"/>
                <w:highlight w:val="none"/>
              </w:rPr>
              <w:t>联系人：</w:t>
            </w:r>
            <w:r>
              <w:rPr>
                <w:rFonts w:hint="eastAsia" w:ascii="宋体" w:hAnsi="宋体" w:cs="宋体"/>
                <w:sz w:val="24"/>
                <w:highlight w:val="none"/>
                <w:lang w:eastAsia="zh-CN"/>
              </w:rPr>
              <w:t>胡工、何工</w:t>
            </w:r>
          </w:p>
          <w:p>
            <w:pPr>
              <w:spacing w:line="360" w:lineRule="auto"/>
              <w:jc w:val="left"/>
              <w:rPr>
                <w:rFonts w:hint="default" w:ascii="宋体" w:hAnsi="宋体" w:eastAsia="宋体" w:cs="宋体"/>
                <w:sz w:val="24"/>
                <w:highlight w:val="none"/>
                <w:lang w:val="en-US" w:eastAsia="zh-CN"/>
              </w:rPr>
            </w:pPr>
            <w:r>
              <w:rPr>
                <w:rFonts w:hint="eastAsia" w:ascii="宋体" w:hAnsi="宋体" w:cs="宋体"/>
                <w:sz w:val="24"/>
                <w:highlight w:val="none"/>
              </w:rPr>
              <w:t>电  话：</w:t>
            </w:r>
            <w:r>
              <w:rPr>
                <w:rFonts w:hint="eastAsia" w:ascii="宋体" w:hAnsi="宋体" w:cs="宋体"/>
                <w:sz w:val="24"/>
                <w:highlight w:val="none"/>
                <w:lang w:val="en-US" w:eastAsia="zh-CN"/>
              </w:rPr>
              <w:t>13259773353</w:t>
            </w:r>
          </w:p>
          <w:p>
            <w:pPr>
              <w:spacing w:line="360" w:lineRule="auto"/>
              <w:jc w:val="left"/>
              <w:rPr>
                <w:rFonts w:hint="default" w:ascii="宋体" w:hAnsi="宋体" w:eastAsia="宋体" w:cs="宋体"/>
                <w:sz w:val="24"/>
                <w:highlight w:val="none"/>
                <w:lang w:val="en-US" w:eastAsia="zh-CN"/>
              </w:rPr>
            </w:pPr>
            <w:r>
              <w:rPr>
                <w:rFonts w:hint="eastAsia" w:ascii="宋体" w:hAnsi="宋体" w:cs="宋体"/>
                <w:sz w:val="24"/>
                <w:highlight w:val="none"/>
              </w:rPr>
              <w:t>邮  箱：</w:t>
            </w:r>
            <w:r>
              <w:rPr>
                <w:rFonts w:hint="eastAsia" w:ascii="宋体" w:hAnsi="宋体" w:cs="宋体"/>
                <w:sz w:val="24"/>
                <w:highlight w:val="none"/>
                <w:lang w:val="en-US" w:eastAsia="zh-CN"/>
              </w:rPr>
              <w:t>605706513@qq.com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707" w:type="dxa"/>
            <w:vAlign w:val="center"/>
          </w:tcPr>
          <w:p>
            <w:pPr>
              <w:spacing w:line="360" w:lineRule="auto"/>
              <w:jc w:val="center"/>
              <w:rPr>
                <w:rFonts w:ascii="宋体" w:hAnsi="宋体" w:cs="宋体"/>
                <w:sz w:val="24"/>
                <w:highlight w:val="none"/>
              </w:rPr>
            </w:pPr>
            <w:r>
              <w:rPr>
                <w:rFonts w:hint="eastAsia" w:ascii="宋体" w:hAnsi="宋体" w:cs="宋体"/>
                <w:sz w:val="24"/>
                <w:highlight w:val="none"/>
              </w:rPr>
              <w:t>3</w:t>
            </w:r>
          </w:p>
        </w:tc>
        <w:tc>
          <w:tcPr>
            <w:tcW w:w="2445" w:type="dxa"/>
            <w:vAlign w:val="center"/>
          </w:tcPr>
          <w:p>
            <w:pPr>
              <w:spacing w:line="360" w:lineRule="auto"/>
              <w:jc w:val="center"/>
              <w:rPr>
                <w:rFonts w:ascii="宋体" w:hAnsi="宋体" w:cs="宋体"/>
                <w:sz w:val="24"/>
                <w:highlight w:val="none"/>
              </w:rPr>
            </w:pPr>
            <w:r>
              <w:rPr>
                <w:rFonts w:hint="eastAsia" w:ascii="宋体" w:hAnsi="宋体" w:cs="宋体"/>
                <w:sz w:val="24"/>
                <w:highlight w:val="none"/>
              </w:rPr>
              <w:t>项目名称</w:t>
            </w:r>
          </w:p>
        </w:tc>
        <w:tc>
          <w:tcPr>
            <w:tcW w:w="6417" w:type="dxa"/>
            <w:vAlign w:val="center"/>
          </w:tcPr>
          <w:p>
            <w:pPr>
              <w:spacing w:line="360" w:lineRule="auto"/>
              <w:jc w:val="left"/>
              <w:rPr>
                <w:rFonts w:ascii="宋体" w:hAnsi="宋体" w:cs="宋体"/>
                <w:sz w:val="24"/>
                <w:highlight w:val="none"/>
              </w:rPr>
            </w:pPr>
            <w:r>
              <w:rPr>
                <w:rFonts w:hint="eastAsia" w:ascii="宋体" w:hAnsi="宋体" w:cs="宋体"/>
                <w:sz w:val="24"/>
                <w:highlight w:val="none"/>
                <w:lang w:val="en-US" w:eastAsia="zh-CN"/>
              </w:rPr>
              <w:t>陕西省公路局新增普通省道危旧桥梁（隧) 技术状况评定项目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07" w:type="dxa"/>
            <w:vAlign w:val="center"/>
          </w:tcPr>
          <w:p>
            <w:pPr>
              <w:spacing w:line="360" w:lineRule="auto"/>
              <w:jc w:val="center"/>
              <w:rPr>
                <w:rFonts w:ascii="宋体" w:hAnsi="宋体" w:cs="宋体"/>
                <w:sz w:val="24"/>
                <w:highlight w:val="none"/>
              </w:rPr>
            </w:pPr>
            <w:r>
              <w:rPr>
                <w:rFonts w:hint="eastAsia" w:ascii="宋体" w:hAnsi="宋体" w:cs="宋体"/>
                <w:sz w:val="24"/>
                <w:highlight w:val="none"/>
              </w:rPr>
              <w:t>4</w:t>
            </w:r>
          </w:p>
        </w:tc>
        <w:tc>
          <w:tcPr>
            <w:tcW w:w="2445" w:type="dxa"/>
            <w:vAlign w:val="center"/>
          </w:tcPr>
          <w:p>
            <w:pPr>
              <w:spacing w:line="360" w:lineRule="auto"/>
              <w:jc w:val="center"/>
              <w:rPr>
                <w:rFonts w:ascii="宋体" w:hAnsi="宋体" w:cs="宋体"/>
                <w:sz w:val="24"/>
                <w:highlight w:val="none"/>
              </w:rPr>
            </w:pPr>
            <w:r>
              <w:rPr>
                <w:rFonts w:hint="eastAsia" w:ascii="宋体" w:hAnsi="宋体" w:cs="宋体"/>
                <w:sz w:val="24"/>
                <w:highlight w:val="none"/>
              </w:rPr>
              <w:t>资金来源及落实</w:t>
            </w:r>
          </w:p>
          <w:p>
            <w:pPr>
              <w:spacing w:line="360" w:lineRule="auto"/>
              <w:jc w:val="center"/>
              <w:rPr>
                <w:rFonts w:ascii="宋体" w:hAnsi="宋体" w:cs="宋体"/>
                <w:sz w:val="24"/>
                <w:highlight w:val="none"/>
              </w:rPr>
            </w:pPr>
            <w:r>
              <w:rPr>
                <w:rFonts w:hint="eastAsia" w:ascii="宋体" w:hAnsi="宋体" w:cs="宋体"/>
                <w:sz w:val="24"/>
                <w:highlight w:val="none"/>
              </w:rPr>
              <w:t>情况</w:t>
            </w:r>
          </w:p>
        </w:tc>
        <w:tc>
          <w:tcPr>
            <w:tcW w:w="6417" w:type="dxa"/>
            <w:vAlign w:val="center"/>
          </w:tcPr>
          <w:p>
            <w:pPr>
              <w:spacing w:line="360" w:lineRule="auto"/>
              <w:jc w:val="left"/>
              <w:rPr>
                <w:rFonts w:ascii="宋体" w:hAnsi="宋体" w:cs="宋体"/>
                <w:sz w:val="24"/>
                <w:highlight w:val="none"/>
              </w:rPr>
            </w:pPr>
            <w:r>
              <w:rPr>
                <w:rFonts w:hint="eastAsia" w:ascii="宋体" w:hAnsi="宋体" w:cs="宋体"/>
                <w:sz w:val="24"/>
                <w:highlight w:val="none"/>
              </w:rPr>
              <w:t>财政资金，已落实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07" w:type="dxa"/>
            <w:vAlign w:val="center"/>
          </w:tcPr>
          <w:p>
            <w:pPr>
              <w:spacing w:line="360" w:lineRule="auto"/>
              <w:jc w:val="center"/>
              <w:rPr>
                <w:rFonts w:ascii="宋体" w:hAnsi="宋体" w:cs="宋体"/>
                <w:sz w:val="24"/>
                <w:highlight w:val="none"/>
              </w:rPr>
            </w:pPr>
            <w:r>
              <w:rPr>
                <w:rFonts w:hint="eastAsia" w:ascii="宋体" w:hAnsi="宋体" w:cs="宋体"/>
                <w:sz w:val="24"/>
                <w:highlight w:val="none"/>
              </w:rPr>
              <w:t>5</w:t>
            </w:r>
          </w:p>
        </w:tc>
        <w:tc>
          <w:tcPr>
            <w:tcW w:w="2445" w:type="dxa"/>
            <w:vAlign w:val="center"/>
          </w:tcPr>
          <w:p>
            <w:pPr>
              <w:spacing w:line="360" w:lineRule="auto"/>
              <w:jc w:val="center"/>
              <w:rPr>
                <w:rFonts w:ascii="宋体" w:hAnsi="宋体" w:cs="宋体"/>
                <w:sz w:val="24"/>
                <w:highlight w:val="none"/>
              </w:rPr>
            </w:pPr>
            <w:r>
              <w:rPr>
                <w:rFonts w:hint="eastAsia" w:ascii="宋体" w:hAnsi="宋体" w:cs="宋体"/>
                <w:sz w:val="24"/>
                <w:highlight w:val="none"/>
              </w:rPr>
              <w:t>采购内容</w:t>
            </w:r>
          </w:p>
        </w:tc>
        <w:tc>
          <w:tcPr>
            <w:tcW w:w="6417" w:type="dxa"/>
            <w:vAlign w:val="center"/>
          </w:tcPr>
          <w:p>
            <w:pPr>
              <w:spacing w:line="360" w:lineRule="auto"/>
              <w:jc w:val="left"/>
              <w:rPr>
                <w:rFonts w:ascii="宋体" w:hAnsi="宋体" w:cs="宋体"/>
                <w:sz w:val="24"/>
                <w:highlight w:val="none"/>
              </w:rPr>
            </w:pPr>
            <w:r>
              <w:rPr>
                <w:rFonts w:hint="eastAsia" w:ascii="宋体" w:hAnsi="宋体" w:cs="宋体"/>
                <w:sz w:val="24"/>
                <w:highlight w:val="none"/>
                <w:lang w:val="en-US" w:eastAsia="zh-CN"/>
              </w:rPr>
              <w:t>陕西省公路局新增普通省道危旧桥梁（隧) 技术状况评定项目</w:t>
            </w:r>
            <w:r>
              <w:rPr>
                <w:rFonts w:hint="eastAsia" w:ascii="宋体" w:hAnsi="宋体" w:cs="宋体"/>
                <w:sz w:val="24"/>
                <w:highlight w:val="none"/>
              </w:rPr>
              <w:t>，详见竞争性磋商文件第三部分磋商要求及说明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707" w:type="dxa"/>
            <w:vAlign w:val="center"/>
          </w:tcPr>
          <w:p>
            <w:pPr>
              <w:spacing w:line="360" w:lineRule="auto"/>
              <w:jc w:val="center"/>
              <w:rPr>
                <w:rFonts w:ascii="宋体" w:hAnsi="宋体" w:cs="宋体"/>
                <w:sz w:val="24"/>
                <w:highlight w:val="none"/>
              </w:rPr>
            </w:pPr>
            <w:r>
              <w:rPr>
                <w:rFonts w:hint="eastAsia" w:ascii="宋体" w:hAnsi="宋体" w:cs="宋体"/>
                <w:sz w:val="24"/>
                <w:highlight w:val="none"/>
              </w:rPr>
              <w:t>6</w:t>
            </w:r>
          </w:p>
        </w:tc>
        <w:tc>
          <w:tcPr>
            <w:tcW w:w="2445" w:type="dxa"/>
            <w:vAlign w:val="center"/>
          </w:tcPr>
          <w:p>
            <w:pPr>
              <w:spacing w:line="360" w:lineRule="auto"/>
              <w:jc w:val="center"/>
              <w:rPr>
                <w:rFonts w:ascii="宋体" w:hAnsi="宋体" w:cs="宋体"/>
                <w:sz w:val="24"/>
                <w:highlight w:val="none"/>
              </w:rPr>
            </w:pPr>
            <w:r>
              <w:rPr>
                <w:rFonts w:hint="eastAsia" w:ascii="宋体" w:hAnsi="宋体" w:cs="宋体"/>
                <w:sz w:val="24"/>
                <w:highlight w:val="none"/>
              </w:rPr>
              <w:t>服务期</w:t>
            </w:r>
          </w:p>
        </w:tc>
        <w:tc>
          <w:tcPr>
            <w:tcW w:w="641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eastAsia="宋体"/>
                <w:highlight w:val="none"/>
                <w:lang w:val="en-US" w:eastAsia="zh-CN"/>
              </w:rPr>
            </w:pPr>
            <w:r>
              <w:rPr>
                <w:rFonts w:hint="eastAsia" w:ascii="宋体" w:hAnsi="宋体" w:cs="宋体"/>
                <w:sz w:val="24"/>
                <w:highlight w:val="none"/>
                <w:lang w:val="en-US" w:eastAsia="zh-CN"/>
              </w:rPr>
              <w:t>合同签订后一年，从合同签订之日起2个月内（包含不利天气等因素）完成全部外业检测及报告编制工作并提交甲方，如有特殊情况，经甲方允许，时间可协商顺延。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07" w:type="dxa"/>
            <w:vAlign w:val="center"/>
          </w:tcPr>
          <w:p>
            <w:pPr>
              <w:spacing w:line="360" w:lineRule="auto"/>
              <w:jc w:val="center"/>
              <w:rPr>
                <w:rFonts w:ascii="宋体" w:hAnsi="宋体" w:cs="宋体"/>
                <w:sz w:val="24"/>
                <w:highlight w:val="none"/>
              </w:rPr>
            </w:pPr>
            <w:r>
              <w:rPr>
                <w:rFonts w:hint="eastAsia" w:ascii="宋体" w:hAnsi="宋体" w:cs="宋体"/>
                <w:sz w:val="24"/>
                <w:highlight w:val="none"/>
              </w:rPr>
              <w:t>7</w:t>
            </w:r>
          </w:p>
        </w:tc>
        <w:tc>
          <w:tcPr>
            <w:tcW w:w="2445" w:type="dxa"/>
            <w:vAlign w:val="center"/>
          </w:tcPr>
          <w:p>
            <w:pPr>
              <w:spacing w:line="360" w:lineRule="auto"/>
              <w:jc w:val="center"/>
              <w:rPr>
                <w:rFonts w:ascii="宋体" w:hAnsi="宋体" w:cs="宋体"/>
                <w:sz w:val="24"/>
                <w:highlight w:val="none"/>
              </w:rPr>
            </w:pPr>
            <w:r>
              <w:rPr>
                <w:rFonts w:hint="eastAsia" w:ascii="宋体" w:hAnsi="宋体" w:cs="宋体"/>
                <w:sz w:val="24"/>
                <w:highlight w:val="none"/>
              </w:rPr>
              <w:t>质量标准</w:t>
            </w:r>
          </w:p>
        </w:tc>
        <w:tc>
          <w:tcPr>
            <w:tcW w:w="6417" w:type="dxa"/>
            <w:vAlign w:val="center"/>
          </w:tcPr>
          <w:p>
            <w:pPr>
              <w:spacing w:line="360" w:lineRule="auto"/>
              <w:jc w:val="left"/>
              <w:rPr>
                <w:rFonts w:ascii="宋体" w:hAnsi="宋体" w:cs="宋体"/>
                <w:sz w:val="24"/>
                <w:highlight w:val="none"/>
              </w:rPr>
            </w:pPr>
            <w:r>
              <w:rPr>
                <w:rFonts w:hint="eastAsia" w:ascii="宋体" w:hAnsi="宋体" w:cs="宋体"/>
                <w:sz w:val="24"/>
                <w:highlight w:val="none"/>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07" w:type="dxa"/>
            <w:vAlign w:val="center"/>
          </w:tcPr>
          <w:p>
            <w:pPr>
              <w:spacing w:line="360" w:lineRule="auto"/>
              <w:jc w:val="center"/>
              <w:rPr>
                <w:rFonts w:ascii="宋体" w:hAnsi="宋体" w:cs="宋体"/>
                <w:sz w:val="24"/>
                <w:highlight w:val="none"/>
              </w:rPr>
            </w:pPr>
            <w:r>
              <w:rPr>
                <w:rFonts w:hint="eastAsia" w:ascii="宋体" w:hAnsi="宋体" w:cs="宋体"/>
                <w:sz w:val="24"/>
                <w:highlight w:val="none"/>
              </w:rPr>
              <w:t>8</w:t>
            </w:r>
          </w:p>
        </w:tc>
        <w:tc>
          <w:tcPr>
            <w:tcW w:w="2445" w:type="dxa"/>
            <w:vAlign w:val="center"/>
          </w:tcPr>
          <w:p>
            <w:pPr>
              <w:pStyle w:val="12"/>
              <w:spacing w:line="360" w:lineRule="auto"/>
              <w:jc w:val="center"/>
              <w:rPr>
                <w:rFonts w:hAnsi="宋体" w:cs="宋体"/>
                <w:sz w:val="24"/>
                <w:szCs w:val="24"/>
                <w:highlight w:val="none"/>
              </w:rPr>
            </w:pPr>
            <w:r>
              <w:rPr>
                <w:rFonts w:hint="eastAsia" w:hAnsi="宋体" w:cs="宋体"/>
                <w:sz w:val="24"/>
                <w:szCs w:val="24"/>
                <w:highlight w:val="none"/>
              </w:rPr>
              <w:t>现场踏勘</w:t>
            </w:r>
          </w:p>
        </w:tc>
        <w:tc>
          <w:tcPr>
            <w:tcW w:w="6417" w:type="dxa"/>
            <w:vAlign w:val="center"/>
          </w:tcPr>
          <w:p>
            <w:pPr>
              <w:pStyle w:val="12"/>
              <w:spacing w:line="360" w:lineRule="auto"/>
              <w:jc w:val="left"/>
              <w:rPr>
                <w:rFonts w:hAnsi="宋体" w:cs="宋体"/>
                <w:sz w:val="24"/>
                <w:szCs w:val="24"/>
                <w:highlight w:val="none"/>
                <w:u w:val="single"/>
              </w:rPr>
            </w:pPr>
            <w:r>
              <w:rPr>
                <w:rFonts w:hint="eastAsia" w:hAnsi="宋体" w:cs="宋体"/>
                <w:sz w:val="24"/>
                <w:szCs w:val="24"/>
                <w:highlight w:val="none"/>
              </w:rPr>
              <w:t>自行踏勘，费用自理，安全自负。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07" w:type="dxa"/>
            <w:vAlign w:val="center"/>
          </w:tcPr>
          <w:p>
            <w:pPr>
              <w:spacing w:line="360" w:lineRule="auto"/>
              <w:jc w:val="center"/>
              <w:rPr>
                <w:rFonts w:ascii="宋体" w:hAnsi="宋体" w:cs="宋体"/>
                <w:sz w:val="24"/>
                <w:highlight w:val="none"/>
              </w:rPr>
            </w:pPr>
            <w:r>
              <w:rPr>
                <w:rFonts w:hint="eastAsia" w:ascii="宋体" w:hAnsi="宋体" w:cs="宋体"/>
                <w:sz w:val="24"/>
                <w:highlight w:val="none"/>
              </w:rPr>
              <w:t>9</w:t>
            </w:r>
          </w:p>
        </w:tc>
        <w:tc>
          <w:tcPr>
            <w:tcW w:w="2445" w:type="dxa"/>
            <w:vAlign w:val="center"/>
          </w:tcPr>
          <w:p>
            <w:pPr>
              <w:pStyle w:val="12"/>
              <w:spacing w:line="360" w:lineRule="auto"/>
              <w:jc w:val="center"/>
              <w:rPr>
                <w:rFonts w:hAnsi="宋体" w:cs="宋体"/>
                <w:sz w:val="24"/>
                <w:szCs w:val="24"/>
                <w:highlight w:val="none"/>
              </w:rPr>
            </w:pPr>
            <w:r>
              <w:rPr>
                <w:rFonts w:hint="eastAsia" w:hAnsi="宋体" w:cs="宋体"/>
                <w:sz w:val="24"/>
                <w:szCs w:val="24"/>
                <w:highlight w:val="none"/>
              </w:rPr>
              <w:t>分包</w:t>
            </w:r>
          </w:p>
        </w:tc>
        <w:tc>
          <w:tcPr>
            <w:tcW w:w="6417" w:type="dxa"/>
            <w:vAlign w:val="center"/>
          </w:tcPr>
          <w:p>
            <w:pPr>
              <w:pStyle w:val="12"/>
              <w:spacing w:line="360" w:lineRule="auto"/>
              <w:jc w:val="left"/>
              <w:rPr>
                <w:rFonts w:hAnsi="宋体" w:cs="宋体"/>
                <w:sz w:val="24"/>
                <w:szCs w:val="24"/>
                <w:highlight w:val="none"/>
                <w:u w:val="single"/>
              </w:rPr>
            </w:pPr>
            <w:r>
              <w:rPr>
                <w:rFonts w:hint="eastAsia" w:hAnsi="宋体" w:cs="宋体"/>
                <w:sz w:val="24"/>
                <w:szCs w:val="24"/>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07" w:type="dxa"/>
            <w:vAlign w:val="center"/>
          </w:tcPr>
          <w:p>
            <w:pPr>
              <w:spacing w:line="360" w:lineRule="auto"/>
              <w:jc w:val="center"/>
              <w:rPr>
                <w:rFonts w:ascii="宋体" w:hAnsi="宋体" w:cs="宋体"/>
                <w:sz w:val="24"/>
                <w:highlight w:val="none"/>
              </w:rPr>
            </w:pPr>
            <w:r>
              <w:rPr>
                <w:rFonts w:hint="eastAsia" w:ascii="宋体" w:hAnsi="宋体" w:cs="宋体"/>
                <w:sz w:val="24"/>
                <w:highlight w:val="none"/>
              </w:rPr>
              <w:t>10</w:t>
            </w:r>
          </w:p>
        </w:tc>
        <w:tc>
          <w:tcPr>
            <w:tcW w:w="2445" w:type="dxa"/>
            <w:vAlign w:val="center"/>
          </w:tcPr>
          <w:p>
            <w:pPr>
              <w:spacing w:line="360" w:lineRule="auto"/>
              <w:jc w:val="center"/>
              <w:rPr>
                <w:rFonts w:ascii="宋体" w:hAnsi="宋体" w:cs="宋体"/>
                <w:sz w:val="24"/>
                <w:highlight w:val="none"/>
              </w:rPr>
            </w:pPr>
            <w:r>
              <w:rPr>
                <w:rFonts w:hint="eastAsia" w:ascii="宋体" w:hAnsi="宋体" w:cs="宋体"/>
                <w:sz w:val="24"/>
                <w:highlight w:val="none"/>
              </w:rPr>
              <w:t>采购资金的支付方式和时间</w:t>
            </w:r>
          </w:p>
        </w:tc>
        <w:tc>
          <w:tcPr>
            <w:tcW w:w="6417" w:type="dxa"/>
            <w:vAlign w:val="center"/>
          </w:tcPr>
          <w:p>
            <w:pPr>
              <w:pStyle w:val="20"/>
              <w:shd w:val="clear" w:color="auto" w:fill="FFFFFF"/>
              <w:spacing w:beforeAutospacing="0" w:afterAutospacing="0" w:line="360" w:lineRule="auto"/>
              <w:rPr>
                <w:rFonts w:hint="eastAsia"/>
                <w:highlight w:val="none"/>
              </w:rPr>
            </w:pPr>
            <w:r>
              <w:rPr>
                <w:rFonts w:hint="eastAsia"/>
                <w:highlight w:val="none"/>
              </w:rPr>
              <w:t>1、结算单位：采购人结算，在付款前必须开具增值税发票给采购人。</w:t>
            </w:r>
          </w:p>
          <w:p>
            <w:pPr>
              <w:pStyle w:val="20"/>
              <w:shd w:val="clear" w:color="auto" w:fill="FFFFFF"/>
              <w:spacing w:beforeAutospacing="0" w:afterAutospacing="0" w:line="360" w:lineRule="auto"/>
              <w:rPr>
                <w:rFonts w:hint="eastAsia"/>
                <w:highlight w:val="none"/>
              </w:rPr>
            </w:pPr>
            <w:r>
              <w:rPr>
                <w:rFonts w:hint="eastAsia"/>
                <w:highlight w:val="none"/>
              </w:rPr>
              <w:t>2、付款方式：</w:t>
            </w:r>
          </w:p>
          <w:p>
            <w:pPr>
              <w:pStyle w:val="20"/>
              <w:shd w:val="clear" w:color="auto" w:fill="FFFFFF"/>
              <w:spacing w:beforeAutospacing="0" w:afterAutospacing="0" w:line="360" w:lineRule="auto"/>
              <w:ind w:firstLine="420"/>
              <w:rPr>
                <w:rFonts w:hint="eastAsia"/>
                <w:highlight w:val="none"/>
              </w:rPr>
            </w:pPr>
            <w:r>
              <w:rPr>
                <w:rFonts w:hint="eastAsia"/>
                <w:highlight w:val="none"/>
                <w:lang w:eastAsia="zh-CN"/>
              </w:rPr>
              <w:t>（</w:t>
            </w:r>
            <w:r>
              <w:rPr>
                <w:rFonts w:hint="eastAsia"/>
                <w:highlight w:val="none"/>
                <w:lang w:val="en-US" w:eastAsia="zh-CN"/>
              </w:rPr>
              <w:t>1</w:t>
            </w:r>
            <w:r>
              <w:rPr>
                <w:rFonts w:hint="eastAsia"/>
                <w:highlight w:val="none"/>
                <w:lang w:eastAsia="zh-CN"/>
              </w:rPr>
              <w:t>）</w:t>
            </w:r>
            <w:r>
              <w:rPr>
                <w:rFonts w:hint="eastAsia"/>
                <w:highlight w:val="none"/>
              </w:rPr>
              <w:t>合同签订前，乙方须向甲方缴纳合同总金额</w:t>
            </w:r>
            <w:r>
              <w:rPr>
                <w:rFonts w:hint="eastAsia"/>
                <w:highlight w:val="none"/>
                <w:lang w:val="en-US" w:eastAsia="zh-CN"/>
              </w:rPr>
              <w:t>5</w:t>
            </w:r>
            <w:r>
              <w:rPr>
                <w:rFonts w:hint="eastAsia"/>
                <w:highlight w:val="none"/>
              </w:rPr>
              <w:t>%的履约保证金，履约保证金待供应商履行完毕全部合同义务，并经</w:t>
            </w:r>
            <w:r>
              <w:rPr>
                <w:rFonts w:hint="eastAsia"/>
                <w:highlight w:val="none"/>
                <w:lang w:val="en-US" w:eastAsia="zh-CN"/>
              </w:rPr>
              <w:t>甲方</w:t>
            </w:r>
            <w:r>
              <w:rPr>
                <w:rFonts w:hint="eastAsia"/>
                <w:highlight w:val="none"/>
              </w:rPr>
              <w:t>验收合格，无任何纠纷后无息退还。</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2）合同签订后，甲方支付乙方合同总金额的60%；乙方完成外业检测及报告编制工作，甲方向乙方支付合同总金额的30%，乙方提交项目全部成果报告并经甲方确认后，甲方按照合同单价和乙方实际完成工作量计算并支付剩余合同金额。</w:t>
            </w:r>
          </w:p>
          <w:p>
            <w:pPr>
              <w:pStyle w:val="20"/>
              <w:shd w:val="clear" w:color="auto" w:fill="FFFFFF"/>
              <w:spacing w:beforeAutospacing="0" w:afterAutospacing="0" w:line="360" w:lineRule="auto"/>
              <w:ind w:firstLine="420"/>
              <w:rPr>
                <w:rFonts w:hint="eastAsia" w:ascii="宋体" w:hAnsi="宋体" w:eastAsia="宋体" w:cs="宋体"/>
                <w:highlight w:val="none"/>
              </w:rPr>
            </w:pPr>
            <w:r>
              <w:rPr>
                <w:rFonts w:hint="eastAsia" w:ascii="宋体" w:hAnsi="宋体" w:eastAsia="宋体" w:cs="宋体"/>
                <w:highlight w:val="none"/>
                <w:lang w:eastAsia="zh-CN"/>
              </w:rPr>
              <w:t>（</w:t>
            </w:r>
            <w:r>
              <w:rPr>
                <w:rFonts w:hint="eastAsia" w:ascii="宋体" w:hAnsi="宋体" w:eastAsia="宋体" w:cs="宋体"/>
                <w:highlight w:val="none"/>
                <w:lang w:val="en-US" w:eastAsia="zh-CN"/>
              </w:rPr>
              <w:t>3</w:t>
            </w:r>
            <w:r>
              <w:rPr>
                <w:rFonts w:hint="eastAsia" w:ascii="宋体" w:hAnsi="宋体" w:eastAsia="宋体" w:cs="宋体"/>
                <w:highlight w:val="none"/>
                <w:lang w:eastAsia="zh-CN"/>
              </w:rPr>
              <w:t>）</w:t>
            </w:r>
            <w:r>
              <w:rPr>
                <w:rFonts w:hint="eastAsia" w:ascii="宋体" w:hAnsi="宋体" w:eastAsia="宋体" w:cs="宋体"/>
                <w:highlight w:val="none"/>
              </w:rPr>
              <w:t>甲方每次付款前，乙方均应开具等额的税务发票，否则甲方有权拒绝付款，且不应承担迟延付款的责任。</w:t>
            </w:r>
          </w:p>
          <w:p>
            <w:pPr>
              <w:pStyle w:val="20"/>
              <w:shd w:val="clear" w:color="auto" w:fill="FFFFFF"/>
              <w:spacing w:beforeAutospacing="0" w:afterAutospacing="0" w:line="360" w:lineRule="auto"/>
              <w:ind w:firstLine="420"/>
              <w:rPr>
                <w:rFonts w:hint="eastAsia" w:ascii="宋体" w:hAnsi="宋体" w:eastAsia="宋体" w:cs="宋体"/>
                <w:highlight w:val="none"/>
              </w:rPr>
            </w:pPr>
            <w:r>
              <w:rPr>
                <w:rFonts w:hint="eastAsia" w:ascii="宋体" w:hAnsi="宋体" w:eastAsia="宋体" w:cs="宋体"/>
                <w:highlight w:val="none"/>
              </w:rPr>
              <w:t>（4）乙方超出任务书范围的工程量以及未通过甲方审查的工程量，甲方有权不予结算和支付相应款项。</w:t>
            </w:r>
          </w:p>
          <w:p>
            <w:pPr>
              <w:pStyle w:val="20"/>
              <w:shd w:val="clear" w:color="auto" w:fill="FFFFFF"/>
              <w:spacing w:beforeAutospacing="0" w:afterAutospacing="0" w:line="360" w:lineRule="auto"/>
              <w:ind w:firstLine="420"/>
              <w:rPr>
                <w:rFonts w:hint="eastAsia" w:ascii="宋体" w:hAnsi="宋体" w:eastAsia="宋体" w:cs="宋体"/>
                <w:highlight w:val="none"/>
              </w:rPr>
            </w:pPr>
            <w:r>
              <w:rPr>
                <w:rFonts w:hint="eastAsia" w:ascii="宋体" w:hAnsi="宋体" w:eastAsia="宋体" w:cs="宋体"/>
                <w:highlight w:val="none"/>
              </w:rPr>
              <w:t>（5）甲方有权在项目实施过程中，要求乙方对不满足质量要求的工作进行返工，工期不予顺延。</w:t>
            </w:r>
          </w:p>
          <w:p>
            <w:pPr>
              <w:pStyle w:val="20"/>
              <w:shd w:val="clear" w:color="auto" w:fill="FFFFFF"/>
              <w:spacing w:beforeAutospacing="0" w:afterAutospacing="0" w:line="360" w:lineRule="auto"/>
              <w:ind w:firstLine="420"/>
              <w:rPr>
                <w:rFonts w:hint="eastAsia" w:ascii="宋体" w:hAnsi="宋体" w:eastAsia="宋体" w:cs="宋体"/>
                <w:highlight w:val="none"/>
              </w:rPr>
            </w:pPr>
            <w:r>
              <w:rPr>
                <w:rFonts w:hint="eastAsia" w:ascii="宋体" w:hAnsi="宋体" w:eastAsia="宋体" w:cs="宋体"/>
                <w:highlight w:val="none"/>
              </w:rPr>
              <w:t>（6）检测费金额大于合同金额，应视为乙方可预见风险，按合同总价款支付乙方检测费；检测费金额小于合同金额，</w:t>
            </w:r>
            <w:r>
              <w:rPr>
                <w:rFonts w:hint="eastAsia" w:cs="宋体"/>
                <w:highlight w:val="none"/>
                <w:lang w:val="en-US" w:eastAsia="zh-CN"/>
              </w:rPr>
              <w:t>按单价测算据实结算</w:t>
            </w:r>
            <w:r>
              <w:rPr>
                <w:rFonts w:hint="eastAsia" w:ascii="宋体" w:hAnsi="宋体" w:eastAsia="宋体" w:cs="宋体"/>
                <w:highlight w:val="none"/>
              </w:rPr>
              <w:t>。</w:t>
            </w:r>
          </w:p>
          <w:p>
            <w:pPr>
              <w:pStyle w:val="20"/>
              <w:shd w:val="clear" w:color="auto" w:fill="FFFFFF"/>
              <w:spacing w:beforeAutospacing="0" w:afterAutospacing="0" w:line="360" w:lineRule="auto"/>
              <w:ind w:firstLine="420"/>
              <w:rPr>
                <w:rFonts w:hint="eastAsia" w:cs="宋体"/>
                <w:highlight w:val="none"/>
                <w:lang w:val="en-US" w:eastAsia="zh-CN"/>
              </w:rPr>
            </w:pPr>
            <w:r>
              <w:rPr>
                <w:rFonts w:hint="eastAsia" w:cs="宋体"/>
                <w:highlight w:val="none"/>
                <w:lang w:eastAsia="zh-CN"/>
              </w:rPr>
              <w:t>（</w:t>
            </w:r>
            <w:r>
              <w:rPr>
                <w:rFonts w:hint="eastAsia" w:cs="宋体"/>
                <w:highlight w:val="none"/>
                <w:lang w:val="en-US" w:eastAsia="zh-CN"/>
              </w:rPr>
              <w:t>7</w:t>
            </w:r>
            <w:r>
              <w:rPr>
                <w:rFonts w:hint="eastAsia" w:cs="宋体"/>
                <w:highlight w:val="none"/>
                <w:lang w:eastAsia="zh-CN"/>
              </w:rPr>
              <w:t>）</w:t>
            </w:r>
            <w:r>
              <w:rPr>
                <w:rFonts w:hint="eastAsia" w:cs="宋体"/>
                <w:highlight w:val="none"/>
                <w:lang w:val="en-US" w:eastAsia="zh-CN"/>
              </w:rPr>
              <w:t>未在规定期限内完成工作任务的，每顺延一天罚金合同金额0.5%。</w:t>
            </w:r>
          </w:p>
          <w:p>
            <w:pPr>
              <w:pStyle w:val="20"/>
              <w:shd w:val="clear" w:color="auto" w:fill="FFFFFF"/>
              <w:spacing w:beforeAutospacing="0" w:afterAutospacing="0" w:line="360" w:lineRule="auto"/>
              <w:ind w:firstLine="420"/>
              <w:rPr>
                <w:rFonts w:hint="default" w:cs="宋体"/>
                <w:highlight w:val="none"/>
                <w:lang w:val="en-US" w:eastAsia="zh-CN"/>
              </w:rPr>
            </w:pPr>
            <w:r>
              <w:rPr>
                <w:rFonts w:hint="eastAsia" w:cs="宋体"/>
                <w:highlight w:val="none"/>
                <w:lang w:val="en-US" w:eastAsia="zh-CN"/>
              </w:rPr>
              <w:t>（8）延期超过30天的，甲方有权解除合同，并要求乙方赔偿全部损失。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trPr>
        <w:tc>
          <w:tcPr>
            <w:tcW w:w="707" w:type="dxa"/>
            <w:vAlign w:val="center"/>
          </w:tcPr>
          <w:p>
            <w:pPr>
              <w:spacing w:line="360" w:lineRule="auto"/>
              <w:jc w:val="center"/>
              <w:rPr>
                <w:rFonts w:ascii="宋体" w:hAnsi="宋体" w:cs="宋体"/>
                <w:sz w:val="24"/>
                <w:highlight w:val="none"/>
              </w:rPr>
            </w:pPr>
            <w:r>
              <w:rPr>
                <w:rFonts w:hint="eastAsia" w:ascii="宋体" w:hAnsi="宋体" w:cs="宋体"/>
                <w:sz w:val="24"/>
                <w:highlight w:val="none"/>
              </w:rPr>
              <w:t>11</w:t>
            </w:r>
          </w:p>
        </w:tc>
        <w:tc>
          <w:tcPr>
            <w:tcW w:w="2445" w:type="dxa"/>
            <w:vAlign w:val="center"/>
          </w:tcPr>
          <w:p>
            <w:pPr>
              <w:spacing w:line="360" w:lineRule="auto"/>
              <w:jc w:val="center"/>
              <w:rPr>
                <w:rFonts w:ascii="宋体" w:hAnsi="宋体" w:cs="宋体"/>
                <w:sz w:val="24"/>
                <w:highlight w:val="none"/>
              </w:rPr>
            </w:pPr>
            <w:r>
              <w:rPr>
                <w:rFonts w:hint="eastAsia" w:ascii="宋体" w:hAnsi="宋体" w:cs="宋体"/>
                <w:sz w:val="24"/>
                <w:highlight w:val="none"/>
              </w:rPr>
              <w:t>供应商资质条件</w:t>
            </w:r>
          </w:p>
        </w:tc>
        <w:tc>
          <w:tcPr>
            <w:tcW w:w="6417" w:type="dxa"/>
            <w:vAlign w:val="center"/>
          </w:tcPr>
          <w:p>
            <w:pPr>
              <w:pStyle w:val="20"/>
              <w:shd w:val="clear" w:color="auto" w:fill="FFFFFF"/>
              <w:spacing w:beforeAutospacing="0" w:afterAutospacing="0" w:line="360" w:lineRule="auto"/>
              <w:rPr>
                <w:b/>
                <w:bCs/>
                <w:highlight w:val="none"/>
              </w:rPr>
            </w:pPr>
            <w:r>
              <w:rPr>
                <w:rFonts w:hint="eastAsia"/>
                <w:b/>
                <w:bCs/>
                <w:highlight w:val="none"/>
              </w:rPr>
              <w:t>（1）基本资格条件：</w:t>
            </w:r>
          </w:p>
          <w:p>
            <w:pPr>
              <w:pStyle w:val="20"/>
              <w:shd w:val="clear" w:color="auto" w:fill="FFFFFF"/>
              <w:spacing w:beforeAutospacing="0" w:afterAutospacing="0" w:line="360" w:lineRule="auto"/>
              <w:ind w:firstLine="420"/>
              <w:rPr>
                <w:highlight w:val="none"/>
              </w:rPr>
            </w:pPr>
            <w:r>
              <w:rPr>
                <w:rFonts w:hint="eastAsia"/>
                <w:highlight w:val="none"/>
              </w:rPr>
              <w:t xml:space="preserve">1、具有独立承担民事责任能力的法人、其他组织或自然人，提供合法有效的统一社会信用代码营业执照（事业单位提供事业单位法人证书，自然人提供身份证明）； </w:t>
            </w:r>
          </w:p>
          <w:p>
            <w:pPr>
              <w:pStyle w:val="20"/>
              <w:shd w:val="clear" w:color="auto" w:fill="FFFFFF"/>
              <w:spacing w:beforeAutospacing="0" w:afterAutospacing="0" w:line="360" w:lineRule="auto"/>
              <w:ind w:firstLine="420"/>
              <w:rPr>
                <w:rFonts w:hint="eastAsia"/>
                <w:highlight w:val="none"/>
                <w:lang w:eastAsia="zh-CN"/>
              </w:rPr>
            </w:pPr>
            <w:r>
              <w:rPr>
                <w:rFonts w:hint="eastAsia"/>
                <w:highlight w:val="none"/>
              </w:rPr>
              <w:t>2、财务状况报告：</w:t>
            </w:r>
            <w:r>
              <w:rPr>
                <w:rFonts w:hint="eastAsia"/>
                <w:highlight w:val="none"/>
                <w:lang w:eastAsia="zh-CN"/>
              </w:rPr>
              <w:t>提供具有财务审计资质单位出具的2021年度财务报告或</w:t>
            </w:r>
            <w:r>
              <w:rPr>
                <w:rFonts w:hint="eastAsia"/>
                <w:highlight w:val="none"/>
                <w:lang w:val="en-US" w:eastAsia="zh-CN"/>
              </w:rPr>
              <w:t>2022年度</w:t>
            </w:r>
            <w:r>
              <w:rPr>
                <w:rFonts w:hint="eastAsia"/>
                <w:highlight w:val="none"/>
                <w:lang w:eastAsia="zh-CN"/>
              </w:rPr>
              <w:t>财务报告</w:t>
            </w:r>
            <w:r>
              <w:rPr>
                <w:rFonts w:hint="eastAsia"/>
                <w:highlight w:val="none"/>
                <w:lang w:val="en-US" w:eastAsia="zh-CN"/>
              </w:rPr>
              <w:t>或</w:t>
            </w:r>
            <w:r>
              <w:rPr>
                <w:rFonts w:hint="eastAsia"/>
                <w:highlight w:val="none"/>
                <w:lang w:eastAsia="zh-CN"/>
              </w:rPr>
              <w:t>2022年7月1日至今其基本账户银行出具的资信证明，其他组织和自然人提供银行出具的资信证明或财务报表；</w:t>
            </w:r>
          </w:p>
          <w:p>
            <w:pPr>
              <w:pStyle w:val="20"/>
              <w:shd w:val="clear" w:color="auto" w:fill="FFFFFF"/>
              <w:spacing w:beforeAutospacing="0" w:afterAutospacing="0" w:line="360" w:lineRule="auto"/>
              <w:ind w:firstLine="420"/>
              <w:rPr>
                <w:highlight w:val="none"/>
              </w:rPr>
            </w:pPr>
            <w:r>
              <w:rPr>
                <w:rFonts w:hint="eastAsia"/>
                <w:highlight w:val="none"/>
              </w:rPr>
              <w:t xml:space="preserve">3、 社会保障资金缴纳证明：提供开标前六个月内任意时段已缴存的社会保障资金缴存单据或社保机构开具的社会保险参保缴费情况证明；依法不需要缴纳社会保障资金的应提供相关文件证明； </w:t>
            </w:r>
          </w:p>
          <w:p>
            <w:pPr>
              <w:pStyle w:val="20"/>
              <w:shd w:val="clear" w:color="auto" w:fill="FFFFFF"/>
              <w:spacing w:beforeAutospacing="0" w:afterAutospacing="0" w:line="360" w:lineRule="auto"/>
              <w:ind w:firstLine="420"/>
              <w:rPr>
                <w:highlight w:val="none"/>
              </w:rPr>
            </w:pPr>
            <w:r>
              <w:rPr>
                <w:rFonts w:hint="eastAsia"/>
                <w:highlight w:val="none"/>
              </w:rPr>
              <w:t>4、 税收缴纳证明：提供开标前六个月内任意时段已缴纳的完税凭证或税务机关开具的完税证明（任意税种）；依法免税的应提供相关文件证明，零纳税的提供申报表；</w:t>
            </w:r>
          </w:p>
          <w:p>
            <w:pPr>
              <w:pStyle w:val="20"/>
              <w:shd w:val="clear" w:color="auto" w:fill="FFFFFF"/>
              <w:spacing w:beforeAutospacing="0" w:afterAutospacing="0" w:line="360" w:lineRule="auto"/>
              <w:ind w:firstLine="420"/>
              <w:rPr>
                <w:highlight w:val="none"/>
              </w:rPr>
            </w:pPr>
            <w:r>
              <w:rPr>
                <w:rFonts w:hint="eastAsia"/>
                <w:highlight w:val="none"/>
              </w:rPr>
              <w:t>5、 提供具有履行本合同所必需的专业技术能力的声明；</w:t>
            </w:r>
          </w:p>
          <w:p>
            <w:pPr>
              <w:pStyle w:val="20"/>
              <w:shd w:val="clear" w:color="auto" w:fill="FFFFFF"/>
              <w:spacing w:beforeAutospacing="0" w:afterAutospacing="0" w:line="360" w:lineRule="auto"/>
              <w:ind w:firstLine="420"/>
              <w:rPr>
                <w:highlight w:val="none"/>
              </w:rPr>
            </w:pPr>
            <w:r>
              <w:rPr>
                <w:rFonts w:hint="eastAsia"/>
                <w:highlight w:val="none"/>
              </w:rPr>
              <w:t>6、 参加本次政府采购活动前3年内在经营活动中没有重大违纪的声明；</w:t>
            </w:r>
          </w:p>
          <w:p>
            <w:pPr>
              <w:pStyle w:val="20"/>
              <w:shd w:val="clear" w:color="auto" w:fill="FFFFFF"/>
              <w:spacing w:beforeAutospacing="0" w:afterAutospacing="0" w:line="360" w:lineRule="auto"/>
              <w:rPr>
                <w:b/>
                <w:bCs/>
                <w:highlight w:val="none"/>
              </w:rPr>
            </w:pPr>
            <w:r>
              <w:rPr>
                <w:rFonts w:hint="eastAsia"/>
                <w:b/>
                <w:bCs/>
                <w:highlight w:val="none"/>
              </w:rPr>
              <w:t>（2）特定资格条件：</w:t>
            </w:r>
          </w:p>
          <w:p>
            <w:pPr>
              <w:pStyle w:val="20"/>
              <w:shd w:val="clear" w:color="auto" w:fill="FFFFFF"/>
              <w:spacing w:beforeAutospacing="0" w:afterAutospacing="0" w:line="360" w:lineRule="auto"/>
              <w:ind w:firstLine="420"/>
              <w:rPr>
                <w:highlight w:val="none"/>
              </w:rPr>
            </w:pPr>
            <w:r>
              <w:rPr>
                <w:rFonts w:hint="eastAsia"/>
                <w:highlight w:val="none"/>
              </w:rPr>
              <w:t>7、法定代表人直接参加磋商的，须出具法定代表人身份证明书及身份证；授权代表参加磋商的，须出具法定代表人授权书及授权代表身份证；</w:t>
            </w:r>
          </w:p>
          <w:p>
            <w:pPr>
              <w:pStyle w:val="20"/>
              <w:shd w:val="clear" w:color="auto" w:fill="FFFFFF"/>
              <w:spacing w:beforeAutospacing="0" w:afterAutospacing="0" w:line="360" w:lineRule="auto"/>
              <w:ind w:firstLine="420"/>
              <w:rPr>
                <w:highlight w:val="none"/>
              </w:rPr>
            </w:pPr>
            <w:r>
              <w:rPr>
                <w:rFonts w:hint="eastAsia"/>
                <w:highlight w:val="none"/>
              </w:rPr>
              <w:t>8、磋商保证金缴纳凭证或担保机构出具的保函；</w:t>
            </w:r>
          </w:p>
          <w:p>
            <w:pPr>
              <w:pStyle w:val="20"/>
              <w:shd w:val="clear" w:color="auto" w:fill="FFFFFF"/>
              <w:spacing w:beforeAutospacing="0" w:afterAutospacing="0" w:line="360" w:lineRule="auto"/>
              <w:ind w:firstLine="420"/>
              <w:rPr>
                <w:rFonts w:hint="eastAsia" w:cs="宋体"/>
                <w:color w:val="333333"/>
                <w:highlight w:val="none"/>
                <w:shd w:val="clear" w:color="auto" w:fill="FFFFFF"/>
                <w:lang w:eastAsia="zh-CN"/>
              </w:rPr>
            </w:pPr>
            <w:r>
              <w:rPr>
                <w:rFonts w:hint="eastAsia"/>
                <w:highlight w:val="none"/>
              </w:rPr>
              <w:t>9、</w:t>
            </w:r>
            <w:r>
              <w:rPr>
                <w:rFonts w:hint="eastAsia" w:cs="宋体"/>
                <w:color w:val="333333"/>
                <w:highlight w:val="none"/>
                <w:shd w:val="clear" w:color="auto" w:fill="FFFFFF"/>
                <w:lang w:val="en-US" w:eastAsia="zh-CN"/>
              </w:rPr>
              <w:t>供应商须</w:t>
            </w:r>
            <w:r>
              <w:rPr>
                <w:rFonts w:hint="eastAsia" w:cs="宋体"/>
                <w:color w:val="333333"/>
                <w:highlight w:val="none"/>
                <w:shd w:val="clear" w:color="auto" w:fill="FFFFFF"/>
                <w:lang w:eastAsia="zh-CN"/>
              </w:rPr>
              <w:t>具有交通运输部质量监督机构颁发的公路工程试验检测综合甲级资质</w:t>
            </w:r>
            <w:r>
              <w:rPr>
                <w:rFonts w:hint="eastAsia" w:cs="宋体"/>
                <w:color w:val="333333"/>
                <w:highlight w:val="none"/>
                <w:shd w:val="clear" w:color="auto" w:fill="FFFFFF"/>
                <w:lang w:val="en-US" w:eastAsia="zh-CN"/>
              </w:rPr>
              <w:t>或桥梁工程试验检测专项类资质。同时供应商须具备有效的</w:t>
            </w:r>
            <w:r>
              <w:rPr>
                <w:rFonts w:hint="eastAsia" w:cs="宋体"/>
                <w:color w:val="333333"/>
                <w:highlight w:val="none"/>
                <w:shd w:val="clear" w:color="auto" w:fill="FFFFFF"/>
                <w:lang w:eastAsia="zh-CN"/>
              </w:rPr>
              <w:t>国家质量技术监督部门颁发的</w:t>
            </w:r>
            <w:r>
              <w:rPr>
                <w:rFonts w:hint="eastAsia" w:cs="宋体"/>
                <w:color w:val="333333"/>
                <w:highlight w:val="none"/>
                <w:shd w:val="clear" w:color="auto" w:fill="FFFFFF"/>
                <w:lang w:val="en-US" w:eastAsia="zh-CN"/>
              </w:rPr>
              <w:t>省部级以上</w:t>
            </w:r>
            <w:r>
              <w:rPr>
                <w:rFonts w:hint="eastAsia" w:cs="宋体"/>
                <w:color w:val="333333"/>
                <w:highlight w:val="none"/>
                <w:shd w:val="clear" w:color="auto" w:fill="FFFFFF"/>
                <w:lang w:eastAsia="zh-CN"/>
              </w:rPr>
              <w:t>计量认证CMA合格证书（具有</w:t>
            </w:r>
            <w:r>
              <w:rPr>
                <w:rFonts w:hint="eastAsia" w:cs="宋体"/>
                <w:color w:val="333333"/>
                <w:highlight w:val="none"/>
                <w:shd w:val="clear" w:color="auto" w:fill="FFFFFF"/>
                <w:lang w:val="en-US" w:eastAsia="zh-CN"/>
              </w:rPr>
              <w:t>桥梁、隧道检测能力</w:t>
            </w:r>
            <w:r>
              <w:rPr>
                <w:rFonts w:hint="eastAsia" w:cs="宋体"/>
                <w:color w:val="333333"/>
                <w:highlight w:val="none"/>
                <w:shd w:val="clear" w:color="auto" w:fill="FFFFFF"/>
                <w:lang w:eastAsia="zh-CN"/>
              </w:rPr>
              <w:t>），上述证书均须在有效期内</w:t>
            </w:r>
          </w:p>
          <w:p>
            <w:pPr>
              <w:pStyle w:val="20"/>
              <w:shd w:val="clear" w:color="auto" w:fill="FFFFFF"/>
              <w:spacing w:beforeAutospacing="0" w:afterAutospacing="0" w:line="360" w:lineRule="auto"/>
              <w:ind w:firstLine="420"/>
              <w:rPr>
                <w:rFonts w:hint="eastAsia"/>
                <w:highlight w:val="none"/>
              </w:rPr>
            </w:pPr>
            <w:r>
              <w:rPr>
                <w:rFonts w:hint="eastAsia" w:cs="宋体"/>
                <w:color w:val="333333"/>
                <w:highlight w:val="none"/>
                <w:shd w:val="clear" w:color="auto" w:fill="FFFFFF"/>
                <w:lang w:val="en-US" w:eastAsia="zh-CN"/>
              </w:rPr>
              <w:t>10、</w:t>
            </w:r>
            <w:r>
              <w:rPr>
                <w:rFonts w:hint="eastAsia"/>
                <w:highlight w:val="none"/>
              </w:rPr>
              <w:t>供应商未被“信用中国”网站（www.creditchina.gov.cn）中列入失信被执行人和税收违法</w:t>
            </w:r>
            <w:r>
              <w:rPr>
                <w:rFonts w:hint="eastAsia"/>
                <w:highlight w:val="none"/>
                <w:lang w:val="en-US" w:eastAsia="zh-CN"/>
              </w:rPr>
              <w:t>黑</w:t>
            </w:r>
            <w:r>
              <w:rPr>
                <w:rFonts w:hint="eastAsia"/>
                <w:highlight w:val="none"/>
              </w:rPr>
              <w:t>名单，在中国政府采购网（www.ccgp.gov.cn）政府采购严重违法失信行为记录名单中未被财政部门禁止参加政府采购活动的供应商，未被省级及以上交通运输主管部门限制进入公路建养市场，且</w:t>
            </w:r>
            <w:r>
              <w:rPr>
                <w:rFonts w:hint="eastAsia"/>
                <w:highlight w:val="none"/>
                <w:lang w:val="en-US" w:eastAsia="zh-CN"/>
              </w:rPr>
              <w:t>不</w:t>
            </w:r>
            <w:r>
              <w:rPr>
                <w:rFonts w:hint="eastAsia"/>
                <w:highlight w:val="none"/>
              </w:rPr>
              <w:t>在处罚有效期内；</w:t>
            </w:r>
          </w:p>
          <w:p>
            <w:pPr>
              <w:pStyle w:val="20"/>
              <w:shd w:val="clear" w:color="auto" w:fill="FFFFFF"/>
              <w:spacing w:beforeAutospacing="0" w:afterAutospacing="0" w:line="360" w:lineRule="auto"/>
              <w:ind w:firstLine="420"/>
              <w:rPr>
                <w:rFonts w:hint="eastAsia"/>
                <w:highlight w:val="none"/>
              </w:rPr>
            </w:pPr>
            <w:r>
              <w:rPr>
                <w:rFonts w:hint="eastAsia"/>
                <w:b/>
                <w:bCs/>
                <w:highlight w:val="none"/>
              </w:rPr>
              <w:t>注：1、根据财库（2019）38号文件规定，以上资料通过互联网或者相关信息系统查询的，供应商可以不提供复印件，但须说明查询方法及查询地址；资料原件采购人有权备查，若不提供，其资格审查不通过！2、</w:t>
            </w:r>
            <w:r>
              <w:rPr>
                <w:rFonts w:hint="eastAsia" w:ascii="宋体" w:hAnsi="宋体" w:cs="宋体"/>
                <w:b/>
                <w:bCs/>
                <w:sz w:val="24"/>
                <w:highlight w:val="none"/>
              </w:rPr>
              <w:t>分公司参与磋商，须提供总公司针对分公司参与本项目磋商的唯一授权函，否则按无效响应处理；</w:t>
            </w:r>
            <w:r>
              <w:rPr>
                <w:rFonts w:hint="eastAsia" w:cs="宋体"/>
                <w:b/>
                <w:bCs/>
                <w:sz w:val="24"/>
                <w:highlight w:val="none"/>
                <w:lang w:val="en-US" w:eastAsia="zh-CN"/>
              </w:rPr>
              <w:t>3、</w:t>
            </w:r>
            <w:r>
              <w:rPr>
                <w:rFonts w:hint="eastAsia"/>
                <w:b/>
                <w:bCs/>
                <w:highlight w:val="none"/>
              </w:rPr>
              <w:t>以上资料有1项不符合要求，资格审查不通过；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707" w:type="dxa"/>
            <w:vAlign w:val="center"/>
          </w:tcPr>
          <w:p>
            <w:pPr>
              <w:spacing w:line="360" w:lineRule="auto"/>
              <w:jc w:val="center"/>
              <w:rPr>
                <w:rFonts w:ascii="宋体" w:hAnsi="宋体" w:cs="宋体"/>
                <w:sz w:val="24"/>
                <w:highlight w:val="none"/>
              </w:rPr>
            </w:pPr>
            <w:r>
              <w:rPr>
                <w:rFonts w:hint="eastAsia" w:ascii="宋体" w:hAnsi="宋体" w:cs="宋体"/>
                <w:sz w:val="24"/>
                <w:highlight w:val="none"/>
              </w:rPr>
              <w:t>12</w:t>
            </w:r>
          </w:p>
        </w:tc>
        <w:tc>
          <w:tcPr>
            <w:tcW w:w="2445" w:type="dxa"/>
            <w:vAlign w:val="center"/>
          </w:tcPr>
          <w:p>
            <w:pPr>
              <w:spacing w:line="360" w:lineRule="auto"/>
              <w:jc w:val="center"/>
              <w:rPr>
                <w:rFonts w:ascii="宋体" w:hAnsi="宋体" w:cs="宋体"/>
                <w:sz w:val="24"/>
                <w:highlight w:val="none"/>
              </w:rPr>
            </w:pPr>
            <w:r>
              <w:rPr>
                <w:rFonts w:hint="eastAsia" w:ascii="宋体" w:hAnsi="宋体" w:cs="宋体"/>
                <w:sz w:val="24"/>
                <w:highlight w:val="none"/>
              </w:rPr>
              <w:t>联合体竞争性磋商</w:t>
            </w:r>
          </w:p>
        </w:tc>
        <w:tc>
          <w:tcPr>
            <w:tcW w:w="6417" w:type="dxa"/>
            <w:vAlign w:val="center"/>
          </w:tcPr>
          <w:p>
            <w:pPr>
              <w:spacing w:line="360" w:lineRule="auto"/>
              <w:jc w:val="left"/>
              <w:rPr>
                <w:rFonts w:ascii="宋体" w:hAnsi="宋体" w:cs="宋体"/>
                <w:sz w:val="24"/>
                <w:highlight w:val="none"/>
              </w:rPr>
            </w:pPr>
            <w:r>
              <w:rPr>
                <w:rFonts w:hint="eastAsia" w:ascii="宋体" w:hAnsi="宋体" w:cs="宋体"/>
                <w:sz w:val="24"/>
                <w:highlight w:val="none"/>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707" w:type="dxa"/>
            <w:vAlign w:val="center"/>
          </w:tcPr>
          <w:p>
            <w:pPr>
              <w:spacing w:line="360" w:lineRule="auto"/>
              <w:jc w:val="center"/>
              <w:rPr>
                <w:rFonts w:ascii="宋体" w:hAnsi="宋体" w:cs="宋体"/>
                <w:sz w:val="24"/>
                <w:highlight w:val="none"/>
              </w:rPr>
            </w:pPr>
            <w:r>
              <w:rPr>
                <w:rFonts w:hint="eastAsia" w:ascii="宋体" w:hAnsi="宋体" w:cs="宋体"/>
                <w:sz w:val="24"/>
                <w:highlight w:val="none"/>
              </w:rPr>
              <w:t>13</w:t>
            </w:r>
          </w:p>
        </w:tc>
        <w:tc>
          <w:tcPr>
            <w:tcW w:w="2445" w:type="dxa"/>
            <w:vAlign w:val="center"/>
          </w:tcPr>
          <w:p>
            <w:pPr>
              <w:spacing w:line="360" w:lineRule="auto"/>
              <w:jc w:val="center"/>
              <w:rPr>
                <w:rFonts w:ascii="宋体" w:hAnsi="宋体" w:cs="宋体"/>
                <w:sz w:val="24"/>
                <w:highlight w:val="none"/>
              </w:rPr>
            </w:pPr>
            <w:r>
              <w:rPr>
                <w:rFonts w:hint="eastAsia" w:ascii="宋体" w:hAnsi="宋体" w:cs="宋体"/>
                <w:sz w:val="24"/>
                <w:highlight w:val="none"/>
              </w:rPr>
              <w:t>磋商前答疑会</w:t>
            </w:r>
          </w:p>
        </w:tc>
        <w:tc>
          <w:tcPr>
            <w:tcW w:w="6417" w:type="dxa"/>
            <w:vAlign w:val="center"/>
          </w:tcPr>
          <w:p>
            <w:pPr>
              <w:spacing w:line="360" w:lineRule="auto"/>
              <w:jc w:val="left"/>
              <w:rPr>
                <w:rFonts w:ascii="宋体" w:hAnsi="宋体" w:cs="宋体"/>
                <w:sz w:val="24"/>
                <w:highlight w:val="none"/>
              </w:rPr>
            </w:pPr>
            <w:r>
              <w:rPr>
                <w:rFonts w:hint="eastAsia" w:ascii="宋体" w:hAnsi="宋体" w:cs="宋体"/>
                <w:sz w:val="24"/>
                <w:highlight w:val="none"/>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707" w:type="dxa"/>
            <w:vAlign w:val="center"/>
          </w:tcPr>
          <w:p>
            <w:pPr>
              <w:spacing w:line="360" w:lineRule="auto"/>
              <w:jc w:val="center"/>
              <w:rPr>
                <w:rFonts w:ascii="宋体" w:hAnsi="宋体" w:cs="宋体"/>
                <w:sz w:val="24"/>
                <w:highlight w:val="none"/>
              </w:rPr>
            </w:pPr>
            <w:r>
              <w:rPr>
                <w:rFonts w:hint="eastAsia" w:ascii="宋体" w:hAnsi="宋体" w:cs="宋体"/>
                <w:sz w:val="24"/>
                <w:highlight w:val="none"/>
              </w:rPr>
              <w:t>14</w:t>
            </w:r>
          </w:p>
        </w:tc>
        <w:tc>
          <w:tcPr>
            <w:tcW w:w="2445" w:type="dxa"/>
            <w:vAlign w:val="center"/>
          </w:tcPr>
          <w:p>
            <w:pPr>
              <w:spacing w:line="360" w:lineRule="auto"/>
              <w:jc w:val="center"/>
              <w:rPr>
                <w:rFonts w:ascii="宋体" w:hAnsi="宋体" w:cs="宋体"/>
                <w:kern w:val="0"/>
                <w:sz w:val="24"/>
                <w:highlight w:val="none"/>
              </w:rPr>
            </w:pPr>
            <w:r>
              <w:rPr>
                <w:rFonts w:hint="eastAsia" w:ascii="宋体" w:hAnsi="宋体" w:cs="宋体"/>
                <w:sz w:val="24"/>
                <w:highlight w:val="none"/>
              </w:rPr>
              <w:t>供应商询问</w:t>
            </w:r>
          </w:p>
        </w:tc>
        <w:tc>
          <w:tcPr>
            <w:tcW w:w="6417" w:type="dxa"/>
            <w:vAlign w:val="center"/>
          </w:tcPr>
          <w:p>
            <w:pPr>
              <w:spacing w:line="360" w:lineRule="auto"/>
              <w:jc w:val="left"/>
              <w:rPr>
                <w:rFonts w:ascii="宋体" w:hAnsi="宋体" w:cs="宋体"/>
                <w:kern w:val="0"/>
                <w:sz w:val="24"/>
                <w:highlight w:val="none"/>
              </w:rPr>
            </w:pPr>
            <w:r>
              <w:rPr>
                <w:rFonts w:hint="eastAsia" w:ascii="宋体" w:hAnsi="宋体" w:cs="宋体"/>
                <w:sz w:val="24"/>
                <w:highlight w:val="none"/>
              </w:rPr>
              <w:t>供应商对政府采购活动事项有疑问的，可以向采购人或采购代理机构提出询问，采购人或采购代理机构将在三个工作日内及时答复。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707" w:type="dxa"/>
            <w:vAlign w:val="center"/>
          </w:tcPr>
          <w:p>
            <w:pPr>
              <w:spacing w:line="360" w:lineRule="auto"/>
              <w:jc w:val="center"/>
              <w:rPr>
                <w:rFonts w:ascii="宋体" w:hAnsi="宋体" w:cs="宋体"/>
                <w:sz w:val="24"/>
                <w:highlight w:val="none"/>
              </w:rPr>
            </w:pPr>
            <w:r>
              <w:rPr>
                <w:rFonts w:hint="eastAsia" w:ascii="宋体" w:hAnsi="宋体" w:cs="宋体"/>
                <w:sz w:val="24"/>
                <w:highlight w:val="none"/>
              </w:rPr>
              <w:t>15</w:t>
            </w:r>
          </w:p>
        </w:tc>
        <w:tc>
          <w:tcPr>
            <w:tcW w:w="2445" w:type="dxa"/>
            <w:vAlign w:val="center"/>
          </w:tcPr>
          <w:p>
            <w:pPr>
              <w:spacing w:line="360" w:lineRule="auto"/>
              <w:jc w:val="center"/>
              <w:rPr>
                <w:rFonts w:ascii="宋体" w:hAnsi="宋体" w:cs="宋体"/>
                <w:kern w:val="0"/>
                <w:sz w:val="24"/>
                <w:highlight w:val="none"/>
              </w:rPr>
            </w:pPr>
            <w:r>
              <w:rPr>
                <w:rFonts w:hint="eastAsia" w:ascii="宋体" w:hAnsi="宋体" w:cs="宋体"/>
                <w:sz w:val="24"/>
                <w:highlight w:val="none"/>
              </w:rPr>
              <w:t>供应商质疑</w:t>
            </w:r>
          </w:p>
        </w:tc>
        <w:tc>
          <w:tcPr>
            <w:tcW w:w="6417" w:type="dxa"/>
            <w:vAlign w:val="center"/>
          </w:tcPr>
          <w:p>
            <w:pPr>
              <w:spacing w:line="360" w:lineRule="auto"/>
              <w:jc w:val="left"/>
              <w:rPr>
                <w:rFonts w:ascii="宋体" w:hAnsi="宋体" w:cs="宋体"/>
                <w:kern w:val="0"/>
                <w:sz w:val="24"/>
                <w:highlight w:val="none"/>
              </w:rPr>
            </w:pPr>
            <w:r>
              <w:rPr>
                <w:rFonts w:hint="eastAsia" w:ascii="宋体" w:hAnsi="宋体" w:cs="宋体"/>
                <w:sz w:val="24"/>
                <w:highlight w:val="none"/>
              </w:rPr>
              <w:t>已经购买采购文件的供应商认为采购文件、采购过程和中标、成交结果使自己的权益受到损害的，可以在知道或者应知其权益受到损害之日起七个工作日内，一次性提出针对同一采购程序环节的书面质疑。采购人或采购代理机构将在收到供应商的书面质疑后七个工作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7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16</w:t>
            </w:r>
          </w:p>
        </w:tc>
        <w:tc>
          <w:tcPr>
            <w:tcW w:w="24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质疑内容要求及质疑接受</w:t>
            </w:r>
          </w:p>
        </w:tc>
        <w:tc>
          <w:tcPr>
            <w:tcW w:w="641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供应商提出质疑应当提交质疑函和必要的证明材料原件，代理机构不接受传真、电子邮件、复印件等形式的质疑材料。</w:t>
            </w:r>
          </w:p>
          <w:p>
            <w:pPr>
              <w:spacing w:line="360" w:lineRule="auto"/>
              <w:rPr>
                <w:rFonts w:ascii="宋体" w:hAnsi="宋体" w:cs="宋体"/>
                <w:sz w:val="24"/>
                <w:highlight w:val="none"/>
              </w:rPr>
            </w:pPr>
            <w:r>
              <w:rPr>
                <w:rFonts w:hint="eastAsia" w:ascii="宋体" w:hAnsi="宋体" w:cs="宋体"/>
                <w:sz w:val="24"/>
                <w:highlight w:val="none"/>
              </w:rPr>
              <w:t>质疑函应当包括下列内容：　</w:t>
            </w:r>
          </w:p>
          <w:p>
            <w:pPr>
              <w:spacing w:line="360" w:lineRule="auto"/>
              <w:rPr>
                <w:rFonts w:ascii="宋体" w:hAnsi="宋体" w:cs="宋体"/>
                <w:sz w:val="24"/>
                <w:highlight w:val="none"/>
              </w:rPr>
            </w:pPr>
            <w:r>
              <w:rPr>
                <w:rFonts w:hint="eastAsia" w:ascii="宋体" w:hAnsi="宋体" w:cs="宋体"/>
                <w:sz w:val="24"/>
                <w:highlight w:val="none"/>
              </w:rPr>
              <w:t>（一）供应商的姓名或者名称、地址、邮编、联系人及联系电话；</w:t>
            </w:r>
          </w:p>
          <w:p>
            <w:pPr>
              <w:spacing w:line="360" w:lineRule="auto"/>
              <w:rPr>
                <w:rFonts w:ascii="宋体" w:hAnsi="宋体" w:cs="宋体"/>
                <w:sz w:val="24"/>
                <w:highlight w:val="none"/>
              </w:rPr>
            </w:pPr>
            <w:r>
              <w:rPr>
                <w:rFonts w:hint="eastAsia" w:ascii="宋体" w:hAnsi="宋体" w:cs="宋体"/>
                <w:sz w:val="24"/>
                <w:highlight w:val="none"/>
              </w:rPr>
              <w:t>（二）质疑项目的名称、编号；</w:t>
            </w:r>
          </w:p>
          <w:p>
            <w:pPr>
              <w:spacing w:line="360" w:lineRule="auto"/>
              <w:rPr>
                <w:rFonts w:ascii="宋体" w:hAnsi="宋体" w:cs="宋体"/>
                <w:sz w:val="24"/>
                <w:highlight w:val="none"/>
              </w:rPr>
            </w:pPr>
            <w:r>
              <w:rPr>
                <w:rFonts w:hint="eastAsia" w:ascii="宋体" w:hAnsi="宋体" w:cs="宋体"/>
                <w:sz w:val="24"/>
                <w:highlight w:val="none"/>
              </w:rPr>
              <w:t>（三）具体、明确的质疑事项和与质疑事项相关的请求；</w:t>
            </w:r>
          </w:p>
          <w:p>
            <w:pPr>
              <w:spacing w:line="360" w:lineRule="auto"/>
              <w:rPr>
                <w:rFonts w:ascii="宋体" w:hAnsi="宋体" w:cs="宋体"/>
                <w:sz w:val="24"/>
                <w:highlight w:val="none"/>
              </w:rPr>
            </w:pPr>
            <w:r>
              <w:rPr>
                <w:rFonts w:hint="eastAsia" w:ascii="宋体" w:hAnsi="宋体" w:cs="宋体"/>
                <w:sz w:val="24"/>
                <w:highlight w:val="none"/>
              </w:rPr>
              <w:t>（四）事实依据；</w:t>
            </w:r>
          </w:p>
          <w:p>
            <w:pPr>
              <w:spacing w:line="360" w:lineRule="auto"/>
              <w:rPr>
                <w:rFonts w:ascii="宋体" w:hAnsi="宋体" w:cs="宋体"/>
                <w:sz w:val="24"/>
                <w:highlight w:val="none"/>
              </w:rPr>
            </w:pPr>
            <w:r>
              <w:rPr>
                <w:rFonts w:hint="eastAsia" w:ascii="宋体" w:hAnsi="宋体" w:cs="宋体"/>
                <w:sz w:val="24"/>
                <w:highlight w:val="none"/>
              </w:rPr>
              <w:t>（五）必要的法律依据；</w:t>
            </w:r>
          </w:p>
          <w:p>
            <w:pPr>
              <w:spacing w:line="360" w:lineRule="auto"/>
              <w:rPr>
                <w:rFonts w:ascii="宋体" w:hAnsi="宋体" w:cs="宋体"/>
                <w:sz w:val="24"/>
                <w:highlight w:val="none"/>
              </w:rPr>
            </w:pPr>
            <w:r>
              <w:rPr>
                <w:rFonts w:hint="eastAsia" w:ascii="宋体" w:hAnsi="宋体" w:cs="宋体"/>
                <w:sz w:val="24"/>
                <w:highlight w:val="none"/>
              </w:rPr>
              <w:t>（六）提出质疑的日期。</w:t>
            </w:r>
          </w:p>
          <w:p>
            <w:pPr>
              <w:spacing w:line="360" w:lineRule="auto"/>
              <w:rPr>
                <w:rFonts w:ascii="宋体" w:hAnsi="宋体" w:cs="宋体"/>
                <w:sz w:val="24"/>
                <w:highlight w:val="none"/>
              </w:rPr>
            </w:pPr>
            <w:r>
              <w:rPr>
                <w:rFonts w:hint="eastAsia" w:ascii="宋体" w:hAnsi="宋体" w:cs="宋体"/>
                <w:sz w:val="24"/>
                <w:highlight w:val="none"/>
              </w:rPr>
              <w:t>供应商为自然人的，应当由本人签字；供应商为法人或者其他组织的，应当由法定代表人、主要负责人，或者其授权代表（附法人代表授权书）签字或者盖章（鲜章），并加盖公章（鲜章）。</w:t>
            </w:r>
          </w:p>
          <w:p>
            <w:pPr>
              <w:spacing w:line="360" w:lineRule="auto"/>
              <w:rPr>
                <w:rFonts w:ascii="宋体" w:hAnsi="宋体" w:cs="宋体"/>
                <w:sz w:val="24"/>
                <w:highlight w:val="none"/>
              </w:rPr>
            </w:pPr>
            <w:r>
              <w:rPr>
                <w:rFonts w:hint="eastAsia" w:ascii="宋体" w:hAnsi="宋体" w:cs="宋体"/>
                <w:sz w:val="24"/>
                <w:highlight w:val="none"/>
              </w:rPr>
              <w:t>接收质疑函的方式：书面形式；</w:t>
            </w:r>
          </w:p>
          <w:p>
            <w:pPr>
              <w:pStyle w:val="2"/>
              <w:spacing w:line="360" w:lineRule="auto"/>
              <w:rPr>
                <w:rFonts w:ascii="宋体" w:hAnsi="宋体" w:cs="宋体"/>
                <w:color w:val="auto"/>
                <w:highlight w:val="none"/>
              </w:rPr>
            </w:pPr>
            <w:r>
              <w:rPr>
                <w:rFonts w:hint="eastAsia" w:ascii="宋体" w:hAnsi="宋体" w:cs="宋体"/>
                <w:color w:val="auto"/>
                <w:highlight w:val="none"/>
              </w:rPr>
              <w:t>联系部门：</w:t>
            </w:r>
            <w:r>
              <w:rPr>
                <w:rFonts w:hint="eastAsia" w:ascii="宋体" w:hAnsi="宋体" w:cs="宋体"/>
                <w:color w:val="auto"/>
                <w:highlight w:val="none"/>
                <w:lang w:eastAsia="zh-CN"/>
              </w:rPr>
              <w:t>陕西正宇信工程项目管理有限公司</w:t>
            </w:r>
            <w:r>
              <w:rPr>
                <w:rFonts w:hint="eastAsia" w:ascii="宋体" w:hAnsi="宋体" w:cs="宋体"/>
                <w:color w:val="auto"/>
                <w:highlight w:val="none"/>
              </w:rPr>
              <w:t>；</w:t>
            </w:r>
          </w:p>
          <w:p>
            <w:pPr>
              <w:pStyle w:val="2"/>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rPr>
              <w:t>联系人：</w:t>
            </w:r>
            <w:r>
              <w:rPr>
                <w:rFonts w:hint="eastAsia" w:ascii="宋体" w:hAnsi="宋体" w:cs="宋体"/>
                <w:color w:val="auto"/>
                <w:highlight w:val="none"/>
                <w:lang w:eastAsia="zh-CN"/>
              </w:rPr>
              <w:t>胡工、何工</w:t>
            </w:r>
          </w:p>
          <w:p>
            <w:pPr>
              <w:pStyle w:val="2"/>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rPr>
              <w:t>联系电话：</w:t>
            </w:r>
            <w:r>
              <w:rPr>
                <w:rFonts w:hint="eastAsia" w:ascii="宋体" w:hAnsi="宋体" w:cs="宋体"/>
                <w:color w:val="auto"/>
                <w:highlight w:val="none"/>
                <w:lang w:eastAsia="zh-CN"/>
              </w:rPr>
              <w:t>13259773353</w:t>
            </w:r>
          </w:p>
          <w:p>
            <w:pPr>
              <w:pStyle w:val="2"/>
              <w:spacing w:line="360" w:lineRule="auto"/>
              <w:rPr>
                <w:rFonts w:ascii="宋体" w:hAnsi="宋体" w:cs="宋体"/>
                <w:color w:val="auto"/>
                <w:highlight w:val="none"/>
              </w:rPr>
            </w:pPr>
            <w:r>
              <w:rPr>
                <w:rFonts w:hint="eastAsia" w:ascii="宋体" w:hAnsi="宋体" w:cs="宋体"/>
                <w:color w:val="auto"/>
                <w:highlight w:val="none"/>
              </w:rPr>
              <w:t>通讯地址：</w:t>
            </w:r>
            <w:r>
              <w:rPr>
                <w:rFonts w:hint="eastAsia" w:ascii="宋体" w:hAnsi="宋体" w:cs="宋体"/>
                <w:color w:val="auto"/>
                <w:highlight w:val="none"/>
                <w:lang w:eastAsia="zh-CN"/>
              </w:rPr>
              <w:t>西安市航天基地飞天路北航科技园5号楼1单元2楼</w:t>
            </w:r>
            <w:r>
              <w:rPr>
                <w:rFonts w:hint="eastAsia" w:ascii="宋体" w:hAnsi="宋体" w:cs="宋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7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17</w:t>
            </w:r>
          </w:p>
        </w:tc>
        <w:tc>
          <w:tcPr>
            <w:tcW w:w="24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磋商有效期</w:t>
            </w:r>
          </w:p>
        </w:tc>
        <w:tc>
          <w:tcPr>
            <w:tcW w:w="641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highlight w:val="none"/>
              </w:rPr>
            </w:pPr>
            <w:r>
              <w:rPr>
                <w:rFonts w:hint="eastAsia" w:ascii="宋体" w:hAnsi="宋体" w:cs="宋体"/>
                <w:sz w:val="24"/>
                <w:highlight w:val="none"/>
              </w:rPr>
              <w:t>90日历天（自磋商响应文件递交截止之日算起）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7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18</w:t>
            </w:r>
          </w:p>
        </w:tc>
        <w:tc>
          <w:tcPr>
            <w:tcW w:w="24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是否允许递交备选磋商文件方案</w:t>
            </w:r>
          </w:p>
        </w:tc>
        <w:tc>
          <w:tcPr>
            <w:tcW w:w="641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highlight w:val="none"/>
              </w:rPr>
            </w:pPr>
            <w:r>
              <w:rPr>
                <w:rFonts w:hint="eastAsia" w:ascii="宋体" w:hAnsi="宋体" w:cs="宋体"/>
                <w:sz w:val="24"/>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7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19</w:t>
            </w:r>
          </w:p>
        </w:tc>
        <w:tc>
          <w:tcPr>
            <w:tcW w:w="24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磋商保证金</w:t>
            </w:r>
          </w:p>
        </w:tc>
        <w:tc>
          <w:tcPr>
            <w:tcW w:w="6417"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宋体" w:hAnsi="宋体" w:cs="宋体"/>
                <w:sz w:val="24"/>
                <w:highlight w:val="none"/>
              </w:rPr>
            </w:pPr>
            <w:r>
              <w:rPr>
                <w:rFonts w:hint="eastAsia" w:ascii="宋体" w:hAnsi="宋体" w:cs="宋体"/>
                <w:sz w:val="24"/>
                <w:highlight w:val="none"/>
              </w:rPr>
              <w:t>本项目的投标保证金为：</w:t>
            </w:r>
          </w:p>
          <w:p>
            <w:pPr>
              <w:spacing w:line="500" w:lineRule="exact"/>
              <w:rPr>
                <w:rFonts w:ascii="宋体" w:hAnsi="宋体" w:cs="宋体"/>
                <w:sz w:val="24"/>
                <w:highlight w:val="none"/>
              </w:rPr>
            </w:pPr>
            <w:r>
              <w:rPr>
                <w:rFonts w:hint="eastAsia" w:ascii="宋体" w:hAnsi="宋体" w:cs="宋体"/>
                <w:sz w:val="24"/>
                <w:highlight w:val="none"/>
                <w:lang w:val="en-US" w:eastAsia="zh-CN"/>
              </w:rPr>
              <w:t>JC-1</w:t>
            </w:r>
            <w:r>
              <w:rPr>
                <w:rFonts w:hint="eastAsia" w:ascii="宋体" w:hAnsi="宋体" w:cs="宋体"/>
                <w:sz w:val="24"/>
                <w:highlight w:val="none"/>
                <w:lang w:eastAsia="zh-CN"/>
              </w:rPr>
              <w:t>包</w:t>
            </w:r>
            <w:r>
              <w:rPr>
                <w:rFonts w:hint="eastAsia" w:ascii="宋体" w:hAnsi="宋体" w:cs="宋体"/>
                <w:sz w:val="24"/>
                <w:highlight w:val="none"/>
              </w:rPr>
              <w:t>：人民币</w:t>
            </w:r>
            <w:r>
              <w:rPr>
                <w:rFonts w:hint="eastAsia" w:ascii="宋体" w:hAnsi="宋体" w:cs="宋体"/>
                <w:sz w:val="24"/>
                <w:highlight w:val="none"/>
                <w:lang w:val="en-US" w:eastAsia="zh-CN"/>
              </w:rPr>
              <w:t>壹万陆仟元整</w:t>
            </w:r>
            <w:r>
              <w:rPr>
                <w:rFonts w:hint="eastAsia" w:ascii="宋体" w:hAnsi="宋体" w:cs="宋体"/>
                <w:sz w:val="24"/>
                <w:highlight w:val="none"/>
              </w:rPr>
              <w:t>（¥</w:t>
            </w:r>
            <w:r>
              <w:rPr>
                <w:rFonts w:hint="eastAsia" w:ascii="宋体" w:hAnsi="宋体" w:cs="宋体"/>
                <w:sz w:val="24"/>
                <w:highlight w:val="none"/>
                <w:lang w:val="en-US" w:eastAsia="zh-CN"/>
              </w:rPr>
              <w:t>16000</w:t>
            </w:r>
            <w:r>
              <w:rPr>
                <w:rFonts w:hint="eastAsia" w:ascii="宋体" w:hAnsi="宋体" w:cs="宋体"/>
                <w:sz w:val="24"/>
                <w:highlight w:val="none"/>
              </w:rPr>
              <w:t>.00元）；</w:t>
            </w:r>
          </w:p>
          <w:p>
            <w:pPr>
              <w:spacing w:line="500" w:lineRule="exact"/>
              <w:rPr>
                <w:rFonts w:hint="eastAsia" w:ascii="宋体" w:hAnsi="宋体" w:eastAsia="宋体" w:cs="宋体"/>
                <w:sz w:val="24"/>
                <w:highlight w:val="none"/>
                <w:lang w:eastAsia="zh-CN"/>
              </w:rPr>
            </w:pPr>
            <w:r>
              <w:rPr>
                <w:rFonts w:hint="eastAsia" w:ascii="宋体" w:hAnsi="宋体" w:cs="宋体"/>
                <w:sz w:val="24"/>
                <w:highlight w:val="none"/>
                <w:lang w:val="en-US" w:eastAsia="zh-CN"/>
              </w:rPr>
              <w:t>JC-2</w:t>
            </w:r>
            <w:r>
              <w:rPr>
                <w:rFonts w:hint="eastAsia" w:ascii="宋体" w:hAnsi="宋体" w:cs="宋体"/>
                <w:sz w:val="24"/>
                <w:highlight w:val="none"/>
                <w:lang w:eastAsia="zh-CN"/>
              </w:rPr>
              <w:t>包</w:t>
            </w:r>
            <w:r>
              <w:rPr>
                <w:rFonts w:hint="eastAsia" w:ascii="宋体" w:hAnsi="宋体" w:cs="宋体"/>
                <w:sz w:val="24"/>
                <w:highlight w:val="none"/>
              </w:rPr>
              <w:t>：人民币</w:t>
            </w:r>
            <w:r>
              <w:rPr>
                <w:rFonts w:hint="eastAsia" w:ascii="宋体" w:hAnsi="宋体" w:cs="宋体"/>
                <w:sz w:val="24"/>
                <w:highlight w:val="none"/>
                <w:lang w:val="en-US" w:eastAsia="zh-CN"/>
              </w:rPr>
              <w:t>壹万肆仟元整</w:t>
            </w:r>
            <w:r>
              <w:rPr>
                <w:rFonts w:hint="eastAsia" w:ascii="宋体" w:hAnsi="宋体" w:cs="宋体"/>
                <w:sz w:val="24"/>
                <w:highlight w:val="none"/>
              </w:rPr>
              <w:t>（¥</w:t>
            </w:r>
            <w:r>
              <w:rPr>
                <w:rFonts w:hint="eastAsia" w:ascii="宋体" w:hAnsi="宋体" w:cs="宋体"/>
                <w:sz w:val="24"/>
                <w:highlight w:val="none"/>
                <w:lang w:val="en-US" w:eastAsia="zh-CN"/>
              </w:rPr>
              <w:t>14000.00</w:t>
            </w:r>
            <w:r>
              <w:rPr>
                <w:rFonts w:hint="eastAsia" w:ascii="宋体" w:hAnsi="宋体" w:cs="宋体"/>
                <w:sz w:val="24"/>
                <w:highlight w:val="none"/>
              </w:rPr>
              <w:t>元）</w:t>
            </w:r>
            <w:r>
              <w:rPr>
                <w:rFonts w:hint="eastAsia" w:ascii="宋体" w:hAnsi="宋体" w:cs="宋体"/>
                <w:sz w:val="24"/>
                <w:highlight w:val="none"/>
                <w:lang w:eastAsia="zh-CN"/>
              </w:rPr>
              <w:t>；</w:t>
            </w:r>
          </w:p>
          <w:p>
            <w:pPr>
              <w:spacing w:line="360" w:lineRule="auto"/>
              <w:jc w:val="left"/>
              <w:rPr>
                <w:rFonts w:ascii="宋体" w:hAnsi="宋体" w:cs="宋体"/>
                <w:sz w:val="24"/>
                <w:highlight w:val="none"/>
              </w:rPr>
            </w:pPr>
            <w:r>
              <w:rPr>
                <w:rFonts w:hint="eastAsia" w:ascii="宋体" w:hAnsi="宋体" w:cs="宋体"/>
                <w:sz w:val="24"/>
                <w:highlight w:val="none"/>
              </w:rPr>
              <w:t>形式：网银、支票、汇票、本票或者金融机构、担保机构出具的保函等非现金形式提交。</w:t>
            </w:r>
          </w:p>
          <w:p>
            <w:pPr>
              <w:spacing w:line="360" w:lineRule="auto"/>
              <w:jc w:val="left"/>
              <w:rPr>
                <w:rFonts w:ascii="宋体" w:hAnsi="宋体" w:cs="宋体"/>
                <w:sz w:val="24"/>
                <w:highlight w:val="none"/>
              </w:rPr>
            </w:pPr>
            <w:r>
              <w:rPr>
                <w:rFonts w:hint="eastAsia" w:ascii="宋体" w:hAnsi="宋体" w:cs="宋体"/>
                <w:sz w:val="24"/>
                <w:highlight w:val="none"/>
              </w:rPr>
              <w:t>1．转账、汇款时需备注</w:t>
            </w:r>
            <w:r>
              <w:rPr>
                <w:rFonts w:hint="eastAsia" w:ascii="宋体" w:hAnsi="宋体" w:eastAsia="宋体" w:cs="宋体"/>
                <w:b/>
                <w:bCs/>
                <w:sz w:val="24"/>
                <w:highlight w:val="none"/>
                <w:lang w:eastAsia="zh-CN"/>
              </w:rPr>
              <w:t>ZYXCG-20230106</w:t>
            </w:r>
            <w:r>
              <w:rPr>
                <w:rFonts w:hint="eastAsia" w:ascii="宋体" w:hAnsi="宋体" w:cs="宋体"/>
                <w:b/>
                <w:bCs/>
                <w:sz w:val="24"/>
                <w:highlight w:val="none"/>
                <w:lang w:val="en-US" w:eastAsia="zh-CN"/>
              </w:rPr>
              <w:t>-1/2</w:t>
            </w:r>
            <w:r>
              <w:rPr>
                <w:rFonts w:hint="eastAsia" w:ascii="宋体" w:hAnsi="宋体" w:cs="宋体"/>
                <w:b/>
                <w:bCs/>
                <w:sz w:val="24"/>
                <w:highlight w:val="none"/>
              </w:rPr>
              <w:t>磋商保证金</w:t>
            </w:r>
            <w:r>
              <w:rPr>
                <w:rFonts w:hint="eastAsia" w:ascii="宋体" w:hAnsi="宋体" w:cs="宋体"/>
                <w:sz w:val="24"/>
                <w:highlight w:val="none"/>
              </w:rPr>
              <w:t>字样，便于代理公司财务部查询登记。</w:t>
            </w:r>
          </w:p>
          <w:p>
            <w:pPr>
              <w:spacing w:line="360" w:lineRule="auto"/>
              <w:jc w:val="left"/>
              <w:rPr>
                <w:rFonts w:ascii="宋体" w:hAnsi="宋体" w:cs="宋体"/>
                <w:sz w:val="24"/>
                <w:highlight w:val="none"/>
              </w:rPr>
            </w:pPr>
            <w:r>
              <w:rPr>
                <w:rFonts w:hint="eastAsia" w:ascii="宋体" w:hAnsi="宋体" w:cs="宋体"/>
                <w:sz w:val="24"/>
                <w:highlight w:val="none"/>
              </w:rPr>
              <w:t>2.交纳办法和交纳时间：磋商保证金必须磋商响应文件递交截止时间之前交纳至以下账户：</w:t>
            </w:r>
          </w:p>
          <w:p>
            <w:pPr>
              <w:wordWrap/>
              <w:snapToGrid/>
              <w:spacing w:line="360" w:lineRule="auto"/>
              <w:textAlignment w:val="auto"/>
              <w:rPr>
                <w:rFonts w:hint="eastAsia" w:ascii="宋体" w:hAnsi="宋体" w:cs="宋体"/>
                <w:b/>
                <w:bCs/>
                <w:sz w:val="24"/>
                <w:szCs w:val="24"/>
                <w:highlight w:val="none"/>
              </w:rPr>
            </w:pPr>
            <w:r>
              <w:rPr>
                <w:rFonts w:hint="eastAsia" w:ascii="宋体" w:hAnsi="宋体" w:cs="宋体"/>
                <w:b/>
                <w:bCs/>
                <w:sz w:val="24"/>
                <w:szCs w:val="24"/>
                <w:highlight w:val="none"/>
              </w:rPr>
              <w:t>开户银行：建设银行西安</w:t>
            </w:r>
            <w:r>
              <w:rPr>
                <w:rFonts w:hint="eastAsia" w:ascii="宋体" w:hAnsi="宋体" w:cs="宋体"/>
                <w:b/>
                <w:bCs/>
                <w:sz w:val="24"/>
                <w:szCs w:val="24"/>
                <w:highlight w:val="none"/>
                <w:lang w:val="en-US" w:eastAsia="zh-CN"/>
              </w:rPr>
              <w:t>长安区西长安街</w:t>
            </w:r>
            <w:r>
              <w:rPr>
                <w:rFonts w:hint="eastAsia" w:ascii="宋体" w:hAnsi="宋体" w:cs="宋体"/>
                <w:b/>
                <w:bCs/>
                <w:sz w:val="24"/>
                <w:szCs w:val="24"/>
                <w:highlight w:val="none"/>
              </w:rPr>
              <w:t xml:space="preserve">支行 </w:t>
            </w:r>
          </w:p>
          <w:p>
            <w:pPr>
              <w:wordWrap/>
              <w:snapToGrid/>
              <w:spacing w:line="360" w:lineRule="auto"/>
              <w:textAlignment w:val="auto"/>
              <w:rPr>
                <w:rFonts w:hint="eastAsia" w:ascii="宋体" w:hAnsi="宋体" w:cs="宋体"/>
                <w:b/>
                <w:bCs/>
                <w:sz w:val="24"/>
                <w:szCs w:val="24"/>
                <w:highlight w:val="none"/>
              </w:rPr>
            </w:pPr>
            <w:r>
              <w:rPr>
                <w:rFonts w:hint="eastAsia" w:ascii="宋体" w:hAnsi="宋体" w:cs="宋体"/>
                <w:b/>
                <w:bCs/>
                <w:sz w:val="24"/>
                <w:szCs w:val="24"/>
                <w:highlight w:val="none"/>
              </w:rPr>
              <w:t xml:space="preserve">账    号：6105 0170 5259 0000 0014 </w:t>
            </w:r>
          </w:p>
          <w:p>
            <w:pPr>
              <w:wordWrap/>
              <w:snapToGrid/>
              <w:spacing w:line="360" w:lineRule="auto"/>
              <w:textAlignment w:val="auto"/>
              <w:rPr>
                <w:rFonts w:hint="eastAsia" w:ascii="宋体" w:hAnsi="宋体" w:cs="宋体"/>
                <w:b/>
                <w:bCs/>
                <w:sz w:val="24"/>
                <w:szCs w:val="24"/>
                <w:highlight w:val="none"/>
              </w:rPr>
            </w:pPr>
            <w:r>
              <w:rPr>
                <w:rFonts w:hint="eastAsia" w:ascii="宋体" w:hAnsi="宋体" w:cs="宋体"/>
                <w:b/>
                <w:bCs/>
                <w:sz w:val="24"/>
                <w:szCs w:val="24"/>
                <w:highlight w:val="none"/>
              </w:rPr>
              <w:t>采购代理机构公司财务室电话：029-68205383</w:t>
            </w:r>
          </w:p>
          <w:p>
            <w:pPr>
              <w:keepNext/>
              <w:keepLines/>
              <w:spacing w:line="360" w:lineRule="auto"/>
              <w:jc w:val="left"/>
              <w:rPr>
                <w:rFonts w:ascii="宋体" w:hAnsi="宋体" w:cs="宋体"/>
                <w:b/>
                <w:bCs/>
                <w:sz w:val="24"/>
                <w:highlight w:val="none"/>
              </w:rPr>
            </w:pPr>
            <w:r>
              <w:rPr>
                <w:rFonts w:hint="eastAsia" w:ascii="宋体" w:hAnsi="宋体" w:cs="宋体"/>
                <w:b/>
                <w:bCs/>
                <w:sz w:val="24"/>
                <w:highlight w:val="none"/>
              </w:rPr>
              <w:t>重要提示：</w:t>
            </w:r>
          </w:p>
          <w:p>
            <w:pPr>
              <w:keepNext/>
              <w:keepLines/>
              <w:spacing w:line="360" w:lineRule="auto"/>
              <w:jc w:val="left"/>
              <w:rPr>
                <w:rFonts w:ascii="宋体" w:hAnsi="宋体" w:cs="宋体"/>
                <w:sz w:val="24"/>
                <w:highlight w:val="none"/>
              </w:rPr>
            </w:pPr>
            <w:r>
              <w:rPr>
                <w:rFonts w:hint="eastAsia" w:ascii="宋体" w:hAnsi="宋体" w:cs="宋体"/>
                <w:sz w:val="24"/>
                <w:highlight w:val="none"/>
              </w:rPr>
              <w:t>1.未按采购文件要求递交磋商保证金的磋商响应文件，将按照无效文件处理。</w:t>
            </w:r>
          </w:p>
          <w:p>
            <w:pPr>
              <w:keepNext/>
              <w:keepLines/>
              <w:spacing w:line="360" w:lineRule="auto"/>
              <w:jc w:val="left"/>
              <w:rPr>
                <w:rFonts w:ascii="宋体" w:hAnsi="宋体" w:cs="宋体"/>
                <w:sz w:val="24"/>
                <w:highlight w:val="none"/>
              </w:rPr>
            </w:pPr>
            <w:r>
              <w:rPr>
                <w:rFonts w:hint="eastAsia" w:ascii="宋体" w:hAnsi="宋体" w:cs="宋体"/>
                <w:sz w:val="24"/>
                <w:highlight w:val="none"/>
              </w:rPr>
              <w:t>2.磋商保证金采用保函形式的供应商，需要在磋商响应文件递交截止时间之前，携带保函原件在代理公司处换取保证金收据，并将保函复印件及收据复印件装订在磋商响应文件中。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7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20</w:t>
            </w:r>
          </w:p>
        </w:tc>
        <w:tc>
          <w:tcPr>
            <w:tcW w:w="24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签字或盖章要求</w:t>
            </w:r>
          </w:p>
        </w:tc>
        <w:tc>
          <w:tcPr>
            <w:tcW w:w="641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highlight w:val="none"/>
              </w:rPr>
            </w:pPr>
            <w:r>
              <w:rPr>
                <w:rFonts w:hint="eastAsia" w:ascii="宋体" w:hAnsi="宋体" w:cs="宋体"/>
                <w:sz w:val="24"/>
                <w:highlight w:val="none"/>
              </w:rPr>
              <w:t>响应文件中要求盖章签字的地方，均应按文件要求签字或盖章；</w:t>
            </w:r>
          </w:p>
          <w:p>
            <w:pPr>
              <w:spacing w:line="360" w:lineRule="auto"/>
              <w:jc w:val="left"/>
              <w:rPr>
                <w:rFonts w:ascii="宋体" w:hAnsi="宋体" w:cs="宋体"/>
                <w:sz w:val="24"/>
                <w:highlight w:val="none"/>
              </w:rPr>
            </w:pPr>
            <w:r>
              <w:rPr>
                <w:rFonts w:hint="eastAsia" w:ascii="宋体" w:hAnsi="宋体" w:cs="宋体"/>
                <w:sz w:val="24"/>
                <w:highlight w:val="none"/>
              </w:rPr>
              <w:t>供应商营业执照、财务、纳税、社保、业绩等证明资料必须加盖公章。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7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21</w:t>
            </w:r>
          </w:p>
        </w:tc>
        <w:tc>
          <w:tcPr>
            <w:tcW w:w="24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磋商响应文件份数</w:t>
            </w:r>
          </w:p>
        </w:tc>
        <w:tc>
          <w:tcPr>
            <w:tcW w:w="641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highlight w:val="none"/>
              </w:rPr>
            </w:pPr>
            <w:r>
              <w:rPr>
                <w:rFonts w:hint="eastAsia" w:ascii="宋体" w:hAnsi="宋体" w:cs="宋体"/>
                <w:sz w:val="24"/>
                <w:highlight w:val="none"/>
              </w:rPr>
              <w:t>纸质文件：正本壹份，副本贰份</w:t>
            </w:r>
          </w:p>
          <w:p>
            <w:pPr>
              <w:spacing w:line="360" w:lineRule="auto"/>
              <w:jc w:val="left"/>
              <w:rPr>
                <w:rFonts w:ascii="宋体" w:hAnsi="宋体" w:cs="宋体"/>
                <w:sz w:val="24"/>
                <w:highlight w:val="none"/>
              </w:rPr>
            </w:pPr>
            <w:r>
              <w:rPr>
                <w:rFonts w:hint="eastAsia" w:ascii="宋体" w:hAnsi="宋体" w:cs="宋体"/>
                <w:sz w:val="24"/>
                <w:highlight w:val="none"/>
              </w:rPr>
              <w:t>电子文件：电子版（U盘）壹份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trPr>
        <w:tc>
          <w:tcPr>
            <w:tcW w:w="7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22</w:t>
            </w:r>
          </w:p>
        </w:tc>
        <w:tc>
          <w:tcPr>
            <w:tcW w:w="24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电子版文档要求</w:t>
            </w:r>
          </w:p>
        </w:tc>
        <w:tc>
          <w:tcPr>
            <w:tcW w:w="641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highlight w:val="none"/>
              </w:rPr>
            </w:pPr>
            <w:r>
              <w:rPr>
                <w:rFonts w:hint="eastAsia" w:ascii="宋体" w:hAnsi="宋体" w:cs="宋体"/>
                <w:sz w:val="24"/>
                <w:highlight w:val="none"/>
              </w:rPr>
              <w:t>1.电子文件应与纸质磋商响应文件正本一致，电子文档格式为Word及</w:t>
            </w:r>
            <w:r>
              <w:rPr>
                <w:rFonts w:hint="eastAsia" w:ascii="宋体" w:hAnsi="宋体" w:cs="宋体"/>
                <w:b/>
                <w:bCs/>
                <w:sz w:val="24"/>
                <w:highlight w:val="none"/>
              </w:rPr>
              <w:t>PDF（签字盖章后的扫描件PDF版）</w:t>
            </w:r>
            <w:r>
              <w:rPr>
                <w:rFonts w:hint="eastAsia" w:ascii="宋体" w:hAnsi="宋体" w:cs="宋体"/>
                <w:sz w:val="24"/>
                <w:highlight w:val="none"/>
              </w:rPr>
              <w:t>；</w:t>
            </w:r>
          </w:p>
          <w:p>
            <w:pPr>
              <w:spacing w:line="360" w:lineRule="auto"/>
              <w:jc w:val="left"/>
              <w:rPr>
                <w:rFonts w:ascii="宋体" w:hAnsi="宋体" w:cs="宋体"/>
                <w:sz w:val="24"/>
                <w:highlight w:val="none"/>
              </w:rPr>
            </w:pPr>
            <w:r>
              <w:rPr>
                <w:rFonts w:hint="eastAsia" w:ascii="宋体" w:hAnsi="宋体" w:cs="宋体"/>
                <w:sz w:val="24"/>
                <w:highlight w:val="none"/>
              </w:rPr>
              <w:t>2.当电子文件电子文本与纸质不一致时，以纸质文件为准；</w:t>
            </w:r>
          </w:p>
          <w:p>
            <w:pPr>
              <w:spacing w:line="360" w:lineRule="auto"/>
              <w:jc w:val="left"/>
              <w:rPr>
                <w:rFonts w:ascii="宋体" w:hAnsi="宋体" w:cs="宋体"/>
                <w:sz w:val="24"/>
                <w:highlight w:val="none"/>
              </w:rPr>
            </w:pPr>
            <w:r>
              <w:rPr>
                <w:rFonts w:hint="eastAsia" w:ascii="宋体" w:hAnsi="宋体" w:cs="宋体"/>
                <w:sz w:val="24"/>
                <w:highlight w:val="none"/>
              </w:rPr>
              <w:t>3．电子文档需标明项目编号、供应商名称等信息。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7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23</w:t>
            </w:r>
          </w:p>
        </w:tc>
        <w:tc>
          <w:tcPr>
            <w:tcW w:w="24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磋商响应文件装订及包装密封要求</w:t>
            </w:r>
          </w:p>
        </w:tc>
        <w:tc>
          <w:tcPr>
            <w:tcW w:w="641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1．磋商响应文件正、副本应分别胶装成册，胶装应牢固、不易拆散和换页，不得采用活页装订，建议双面打印。</w:t>
            </w:r>
          </w:p>
          <w:p>
            <w:pPr>
              <w:spacing w:line="360" w:lineRule="auto"/>
              <w:rPr>
                <w:rFonts w:ascii="宋体" w:hAnsi="宋体" w:cs="宋体"/>
                <w:sz w:val="24"/>
                <w:highlight w:val="none"/>
              </w:rPr>
            </w:pPr>
            <w:r>
              <w:rPr>
                <w:rFonts w:hint="eastAsia" w:ascii="宋体" w:hAnsi="宋体" w:cs="宋体"/>
                <w:sz w:val="24"/>
                <w:highlight w:val="none"/>
              </w:rPr>
              <w:t>2．密封包装方式：</w:t>
            </w:r>
          </w:p>
          <w:p>
            <w:pPr>
              <w:spacing w:line="360" w:lineRule="auto"/>
              <w:rPr>
                <w:rFonts w:ascii="宋体" w:hAnsi="宋体" w:cs="宋体"/>
                <w:sz w:val="24"/>
                <w:highlight w:val="none"/>
              </w:rPr>
            </w:pPr>
            <w:r>
              <w:rPr>
                <w:rFonts w:hint="eastAsia" w:ascii="宋体" w:hAnsi="宋体" w:cs="宋体"/>
                <w:sz w:val="24"/>
                <w:highlight w:val="none"/>
              </w:rPr>
              <w:t>（1）磋商响应文件正本一包密封；</w:t>
            </w:r>
          </w:p>
          <w:p>
            <w:pPr>
              <w:spacing w:line="360" w:lineRule="auto"/>
              <w:rPr>
                <w:rFonts w:ascii="宋体" w:hAnsi="宋体" w:cs="宋体"/>
                <w:sz w:val="24"/>
                <w:highlight w:val="none"/>
              </w:rPr>
            </w:pPr>
            <w:r>
              <w:rPr>
                <w:rFonts w:hint="eastAsia" w:ascii="宋体" w:hAnsi="宋体" w:cs="宋体"/>
                <w:sz w:val="24"/>
                <w:highlight w:val="none"/>
              </w:rPr>
              <w:t>（2）磋商响应文件副本一包密封。</w:t>
            </w:r>
          </w:p>
          <w:p>
            <w:pPr>
              <w:spacing w:line="360" w:lineRule="auto"/>
              <w:rPr>
                <w:rFonts w:ascii="宋体" w:hAnsi="宋体" w:cs="宋体"/>
                <w:sz w:val="24"/>
                <w:highlight w:val="none"/>
                <w:u w:val="single"/>
              </w:rPr>
            </w:pPr>
            <w:r>
              <w:rPr>
                <w:rFonts w:hint="eastAsia" w:ascii="宋体" w:hAnsi="宋体" w:cs="宋体"/>
                <w:sz w:val="24"/>
                <w:highlight w:val="none"/>
              </w:rPr>
              <w:t>（3）磋商响应文件电子版一包密封。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7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24</w:t>
            </w:r>
          </w:p>
        </w:tc>
        <w:tc>
          <w:tcPr>
            <w:tcW w:w="24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封套上写明</w:t>
            </w:r>
          </w:p>
        </w:tc>
        <w:tc>
          <w:tcPr>
            <w:tcW w:w="6417"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宋体" w:hAnsi="宋体" w:cs="宋体"/>
                <w:sz w:val="24"/>
                <w:highlight w:val="none"/>
              </w:rPr>
            </w:pPr>
            <w:r>
              <w:rPr>
                <w:rFonts w:hint="eastAsia" w:ascii="宋体" w:hAnsi="宋体" w:cs="宋体"/>
                <w:sz w:val="24"/>
                <w:highlight w:val="none"/>
              </w:rPr>
              <w:t>项目编号                       正本/副本/电子版</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项目名称</w:t>
            </w:r>
          </w:p>
          <w:p>
            <w:pPr>
              <w:spacing w:line="360" w:lineRule="auto"/>
              <w:ind w:firstLine="2160" w:firstLineChars="900"/>
              <w:rPr>
                <w:rFonts w:ascii="宋体" w:hAnsi="宋体" w:cs="宋体"/>
                <w:sz w:val="24"/>
                <w:highlight w:val="none"/>
              </w:rPr>
            </w:pPr>
            <w:r>
              <w:rPr>
                <w:rFonts w:hint="eastAsia" w:ascii="宋体" w:hAnsi="宋体" w:cs="宋体"/>
                <w:sz w:val="24"/>
                <w:highlight w:val="none"/>
              </w:rPr>
              <w:t>磋商响应文件</w:t>
            </w:r>
          </w:p>
          <w:p>
            <w:pPr>
              <w:spacing w:line="360" w:lineRule="auto"/>
              <w:ind w:firstLine="720" w:firstLineChars="300"/>
              <w:rPr>
                <w:rFonts w:ascii="宋体" w:hAnsi="宋体" w:cs="宋体"/>
                <w:sz w:val="24"/>
                <w:highlight w:val="none"/>
              </w:rPr>
            </w:pPr>
            <w:r>
              <w:rPr>
                <w:rFonts w:hint="eastAsia" w:ascii="宋体" w:hAnsi="宋体" w:cs="宋体"/>
                <w:sz w:val="24"/>
                <w:highlight w:val="none"/>
                <w:u w:val="single"/>
              </w:rPr>
              <w:t xml:space="preserve"> 在    年  月  日 时  分前</w:t>
            </w:r>
            <w:r>
              <w:rPr>
                <w:rFonts w:hint="eastAsia" w:ascii="宋体" w:hAnsi="宋体" w:cs="宋体"/>
                <w:sz w:val="24"/>
                <w:highlight w:val="none"/>
              </w:rPr>
              <w:t>不得开启</w:t>
            </w:r>
          </w:p>
          <w:p>
            <w:pPr>
              <w:spacing w:line="360" w:lineRule="auto"/>
              <w:ind w:firstLine="720" w:firstLineChars="300"/>
              <w:rPr>
                <w:rFonts w:ascii="宋体" w:hAnsi="宋体" w:cs="宋体"/>
                <w:sz w:val="24"/>
                <w:highlight w:val="none"/>
              </w:rPr>
            </w:pPr>
            <w:r>
              <w:rPr>
                <w:rFonts w:hint="eastAsia" w:ascii="宋体" w:hAnsi="宋体" w:cs="宋体"/>
                <w:sz w:val="24"/>
                <w:highlight w:val="none"/>
              </w:rPr>
              <w:t>供应商名称：</w:t>
            </w:r>
            <w:r>
              <w:rPr>
                <w:rFonts w:hint="eastAsia" w:ascii="宋体" w:hAnsi="宋体" w:cs="宋体"/>
                <w:sz w:val="24"/>
                <w:highlight w:val="none"/>
                <w:u w:val="single"/>
              </w:rPr>
              <w:t xml:space="preserve">              （公章）</w:t>
            </w:r>
          </w:p>
          <w:p>
            <w:pPr>
              <w:spacing w:line="360" w:lineRule="auto"/>
              <w:jc w:val="left"/>
              <w:rPr>
                <w:rFonts w:ascii="宋体" w:hAnsi="宋体" w:cs="宋体"/>
                <w:sz w:val="24"/>
                <w:highlight w:val="none"/>
              </w:rPr>
            </w:pPr>
            <w:r>
              <w:rPr>
                <w:rFonts w:hint="eastAsia" w:ascii="宋体" w:hAnsi="宋体" w:cs="宋体"/>
                <w:sz w:val="24"/>
                <w:highlight w:val="none"/>
              </w:rPr>
              <w:t>法定代表人或授权代表：</w:t>
            </w:r>
            <w:r>
              <w:rPr>
                <w:rFonts w:hint="eastAsia" w:ascii="宋体" w:hAnsi="宋体" w:cs="宋体"/>
                <w:sz w:val="24"/>
                <w:highlight w:val="none"/>
                <w:u w:val="single"/>
              </w:rPr>
              <w:t xml:space="preserve">   （签字或盖章）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7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25</w:t>
            </w:r>
          </w:p>
        </w:tc>
        <w:tc>
          <w:tcPr>
            <w:tcW w:w="24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响应文件递交截止时间和地点</w:t>
            </w:r>
          </w:p>
        </w:tc>
        <w:tc>
          <w:tcPr>
            <w:tcW w:w="641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截止时间：20</w:t>
            </w:r>
            <w:r>
              <w:rPr>
                <w:rFonts w:hint="eastAsia" w:ascii="宋体" w:hAnsi="宋体" w:cs="宋体"/>
                <w:sz w:val="24"/>
                <w:highlight w:val="none"/>
                <w:lang w:val="en-US" w:eastAsia="zh-CN"/>
              </w:rPr>
              <w:t>23</w:t>
            </w:r>
            <w:r>
              <w:rPr>
                <w:rFonts w:hint="eastAsia" w:ascii="宋体" w:hAnsi="宋体" w:cs="宋体"/>
                <w:sz w:val="24"/>
                <w:highlight w:val="none"/>
              </w:rPr>
              <w:t>年</w:t>
            </w:r>
            <w:r>
              <w:rPr>
                <w:rFonts w:hint="eastAsia" w:ascii="宋体" w:hAnsi="宋体" w:cs="宋体"/>
                <w:sz w:val="24"/>
                <w:highlight w:val="none"/>
                <w:lang w:val="en-US" w:eastAsia="zh-CN"/>
              </w:rPr>
              <w:t>07</w:t>
            </w:r>
            <w:r>
              <w:rPr>
                <w:rFonts w:hint="eastAsia" w:ascii="宋体" w:hAnsi="宋体" w:cs="宋体"/>
                <w:sz w:val="24"/>
                <w:highlight w:val="none"/>
              </w:rPr>
              <w:t>月</w:t>
            </w:r>
            <w:r>
              <w:rPr>
                <w:rFonts w:hint="eastAsia" w:ascii="宋体" w:hAnsi="宋体" w:cs="宋体"/>
                <w:sz w:val="24"/>
                <w:highlight w:val="none"/>
                <w:lang w:val="en-US" w:eastAsia="zh-CN"/>
              </w:rPr>
              <w:t>19</w:t>
            </w:r>
            <w:r>
              <w:rPr>
                <w:rFonts w:hint="eastAsia" w:ascii="宋体" w:hAnsi="宋体" w:cs="宋体"/>
                <w:sz w:val="24"/>
                <w:highlight w:val="none"/>
              </w:rPr>
              <w:t>日</w:t>
            </w:r>
            <w:r>
              <w:rPr>
                <w:rFonts w:hint="eastAsia" w:ascii="宋体" w:hAnsi="宋体" w:cs="宋体"/>
                <w:sz w:val="24"/>
                <w:highlight w:val="none"/>
                <w:lang w:val="en-US" w:eastAsia="zh-CN"/>
              </w:rPr>
              <w:t>10</w:t>
            </w:r>
            <w:r>
              <w:rPr>
                <w:rFonts w:hint="eastAsia" w:ascii="宋体" w:hAnsi="宋体" w:cs="宋体"/>
                <w:sz w:val="24"/>
                <w:highlight w:val="none"/>
              </w:rPr>
              <w:t>:</w:t>
            </w:r>
            <w:r>
              <w:rPr>
                <w:rFonts w:hint="eastAsia" w:ascii="宋体" w:hAnsi="宋体" w:cs="宋体"/>
                <w:sz w:val="24"/>
                <w:highlight w:val="none"/>
                <w:lang w:val="en-US" w:eastAsia="zh-CN"/>
              </w:rPr>
              <w:t>00</w:t>
            </w:r>
            <w:r>
              <w:rPr>
                <w:rFonts w:hint="eastAsia" w:ascii="宋体" w:hAnsi="宋体" w:cs="宋体"/>
                <w:sz w:val="24"/>
                <w:highlight w:val="none"/>
              </w:rPr>
              <w:t>分。</w:t>
            </w:r>
          </w:p>
          <w:p>
            <w:pPr>
              <w:spacing w:line="360" w:lineRule="auto"/>
              <w:rPr>
                <w:rFonts w:hint="eastAsia" w:ascii="宋体" w:hAnsi="宋体" w:eastAsia="宋体" w:cs="宋体"/>
                <w:sz w:val="24"/>
                <w:highlight w:val="none"/>
                <w:lang w:eastAsia="zh-CN"/>
              </w:rPr>
            </w:pPr>
            <w:r>
              <w:rPr>
                <w:rFonts w:hint="eastAsia" w:ascii="宋体" w:hAnsi="宋体" w:cs="宋体"/>
                <w:sz w:val="24"/>
                <w:highlight w:val="none"/>
                <w:lang w:eastAsia="zh-CN"/>
              </w:rPr>
              <w:t>西安市航天基地飞天路北航科技园5号楼1单元2楼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7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26</w:t>
            </w:r>
          </w:p>
        </w:tc>
        <w:tc>
          <w:tcPr>
            <w:tcW w:w="24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磋商时间和地点</w:t>
            </w:r>
          </w:p>
        </w:tc>
        <w:tc>
          <w:tcPr>
            <w:tcW w:w="641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highlight w:val="none"/>
              </w:rPr>
            </w:pPr>
            <w:r>
              <w:rPr>
                <w:rFonts w:hint="eastAsia" w:ascii="宋体" w:hAnsi="宋体" w:cs="宋体"/>
                <w:sz w:val="24"/>
                <w:highlight w:val="none"/>
              </w:rPr>
              <w:t>磋商时间：20</w:t>
            </w:r>
            <w:r>
              <w:rPr>
                <w:rFonts w:hint="eastAsia" w:ascii="宋体" w:hAnsi="宋体" w:cs="宋体"/>
                <w:sz w:val="24"/>
                <w:highlight w:val="none"/>
                <w:lang w:val="en-US" w:eastAsia="zh-CN"/>
              </w:rPr>
              <w:t>23</w:t>
            </w:r>
            <w:r>
              <w:rPr>
                <w:rFonts w:hint="eastAsia" w:ascii="宋体" w:hAnsi="宋体" w:cs="宋体"/>
                <w:sz w:val="24"/>
                <w:highlight w:val="none"/>
              </w:rPr>
              <w:t>年</w:t>
            </w:r>
            <w:r>
              <w:rPr>
                <w:rFonts w:hint="eastAsia" w:ascii="宋体" w:hAnsi="宋体" w:cs="宋体"/>
                <w:sz w:val="24"/>
                <w:highlight w:val="none"/>
                <w:lang w:val="en-US" w:eastAsia="zh-CN"/>
              </w:rPr>
              <w:t>07</w:t>
            </w:r>
            <w:r>
              <w:rPr>
                <w:rFonts w:hint="eastAsia" w:ascii="宋体" w:hAnsi="宋体" w:cs="宋体"/>
                <w:sz w:val="24"/>
                <w:highlight w:val="none"/>
              </w:rPr>
              <w:t>月</w:t>
            </w:r>
            <w:r>
              <w:rPr>
                <w:rFonts w:hint="eastAsia" w:ascii="宋体" w:hAnsi="宋体" w:cs="宋体"/>
                <w:sz w:val="24"/>
                <w:highlight w:val="none"/>
                <w:lang w:val="en-US" w:eastAsia="zh-CN"/>
              </w:rPr>
              <w:t>19</w:t>
            </w:r>
            <w:r>
              <w:rPr>
                <w:rFonts w:hint="eastAsia" w:ascii="宋体" w:hAnsi="宋体" w:cs="宋体"/>
                <w:sz w:val="24"/>
                <w:highlight w:val="none"/>
              </w:rPr>
              <w:t>日</w:t>
            </w:r>
            <w:r>
              <w:rPr>
                <w:rFonts w:hint="eastAsia" w:ascii="宋体" w:hAnsi="宋体" w:cs="宋体"/>
                <w:sz w:val="24"/>
                <w:highlight w:val="none"/>
                <w:lang w:val="en-US" w:eastAsia="zh-CN"/>
              </w:rPr>
              <w:t xml:space="preserve"> 10</w:t>
            </w:r>
            <w:r>
              <w:rPr>
                <w:rFonts w:hint="eastAsia" w:ascii="宋体" w:hAnsi="宋体" w:cs="宋体"/>
                <w:sz w:val="24"/>
                <w:highlight w:val="none"/>
              </w:rPr>
              <w:t>:</w:t>
            </w:r>
            <w:r>
              <w:rPr>
                <w:rFonts w:hint="eastAsia" w:ascii="宋体" w:hAnsi="宋体" w:cs="宋体"/>
                <w:sz w:val="24"/>
                <w:highlight w:val="none"/>
                <w:lang w:val="en-US" w:eastAsia="zh-CN"/>
              </w:rPr>
              <w:t>00</w:t>
            </w:r>
            <w:r>
              <w:rPr>
                <w:rFonts w:hint="eastAsia" w:ascii="宋体" w:hAnsi="宋体" w:cs="宋体"/>
                <w:sz w:val="24"/>
                <w:highlight w:val="none"/>
              </w:rPr>
              <w:t>分。</w:t>
            </w:r>
          </w:p>
          <w:p>
            <w:pPr>
              <w:spacing w:line="360" w:lineRule="auto"/>
              <w:jc w:val="left"/>
              <w:rPr>
                <w:rFonts w:hint="eastAsia" w:ascii="宋体" w:hAnsi="宋体" w:eastAsia="宋体" w:cs="宋体"/>
                <w:sz w:val="24"/>
                <w:highlight w:val="none"/>
                <w:lang w:eastAsia="zh-CN"/>
              </w:rPr>
            </w:pPr>
            <w:r>
              <w:rPr>
                <w:rFonts w:hint="eastAsia" w:ascii="宋体" w:hAnsi="宋体" w:cs="宋体"/>
                <w:sz w:val="24"/>
                <w:highlight w:val="none"/>
                <w:lang w:eastAsia="zh-CN"/>
              </w:rPr>
              <w:t>西安市航天基地飞天路北航科技园5号楼1单元2楼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7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27</w:t>
            </w:r>
          </w:p>
        </w:tc>
        <w:tc>
          <w:tcPr>
            <w:tcW w:w="24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是否退还磋商响应文件</w:t>
            </w:r>
          </w:p>
        </w:tc>
        <w:tc>
          <w:tcPr>
            <w:tcW w:w="641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highlight w:val="none"/>
              </w:rPr>
            </w:pPr>
            <w:r>
              <w:rPr>
                <w:rFonts w:hint="eastAsia" w:ascii="宋体" w:hAnsi="宋体" w:cs="宋体"/>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7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28</w:t>
            </w:r>
          </w:p>
        </w:tc>
        <w:tc>
          <w:tcPr>
            <w:tcW w:w="24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磋商小组的组建</w:t>
            </w:r>
          </w:p>
        </w:tc>
        <w:tc>
          <w:tcPr>
            <w:tcW w:w="641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highlight w:val="none"/>
              </w:rPr>
            </w:pPr>
            <w:r>
              <w:rPr>
                <w:rFonts w:hint="eastAsia" w:ascii="宋体" w:hAnsi="宋体" w:cs="宋体"/>
                <w:sz w:val="24"/>
                <w:highlight w:val="none"/>
              </w:rPr>
              <w:t>磋商小组构成：3人，其中项目采购人代表1人，专家2人；</w:t>
            </w:r>
          </w:p>
          <w:p>
            <w:pPr>
              <w:spacing w:line="360" w:lineRule="auto"/>
              <w:jc w:val="left"/>
              <w:rPr>
                <w:rFonts w:ascii="宋体" w:hAnsi="宋体" w:cs="宋体"/>
                <w:sz w:val="24"/>
                <w:highlight w:val="none"/>
              </w:rPr>
            </w:pPr>
            <w:r>
              <w:rPr>
                <w:rFonts w:hint="eastAsia" w:ascii="宋体" w:hAnsi="宋体" w:cs="宋体"/>
                <w:sz w:val="24"/>
                <w:highlight w:val="none"/>
              </w:rPr>
              <w:t>专家确定方式：从陕西省财政厅政府采购专家库随机抽取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7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29</w:t>
            </w:r>
          </w:p>
        </w:tc>
        <w:tc>
          <w:tcPr>
            <w:tcW w:w="24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是否授权磋商小组确定磋商供应商</w:t>
            </w:r>
          </w:p>
        </w:tc>
        <w:tc>
          <w:tcPr>
            <w:tcW w:w="641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highlight w:val="none"/>
              </w:rPr>
            </w:pPr>
            <w:r>
              <w:rPr>
                <w:rFonts w:hint="eastAsia" w:ascii="宋体" w:hAnsi="宋体" w:cs="宋体"/>
                <w:sz w:val="24"/>
                <w:highlight w:val="none"/>
              </w:rPr>
              <w:t>否，每个标包推荐3名成交候选人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7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30</w:t>
            </w:r>
          </w:p>
        </w:tc>
        <w:tc>
          <w:tcPr>
            <w:tcW w:w="24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履约保证金</w:t>
            </w:r>
          </w:p>
        </w:tc>
        <w:tc>
          <w:tcPr>
            <w:tcW w:w="6417" w:type="dxa"/>
            <w:tcBorders>
              <w:top w:val="single" w:color="auto" w:sz="4" w:space="0"/>
              <w:left w:val="single" w:color="auto" w:sz="4" w:space="0"/>
              <w:bottom w:val="single" w:color="auto" w:sz="4" w:space="0"/>
              <w:right w:val="single" w:color="auto" w:sz="4" w:space="0"/>
            </w:tcBorders>
            <w:vAlign w:val="center"/>
          </w:tcPr>
          <w:p>
            <w:pPr>
              <w:pStyle w:val="53"/>
              <w:spacing w:line="360" w:lineRule="auto"/>
              <w:rPr>
                <w:highlight w:val="none"/>
                <w:lang w:val="zh-CN"/>
              </w:rPr>
            </w:pPr>
            <w:r>
              <w:rPr>
                <w:rFonts w:hint="eastAsia"/>
                <w:highlight w:val="none"/>
                <w:lang w:val="zh-CN"/>
              </w:rPr>
              <w:t>履约保证金的金额：</w:t>
            </w:r>
            <w:r>
              <w:rPr>
                <w:rFonts w:hint="eastAsia"/>
                <w:highlight w:val="none"/>
                <w:lang w:val="en-US" w:eastAsia="zh-CN"/>
              </w:rPr>
              <w:t>5</w:t>
            </w:r>
            <w:r>
              <w:rPr>
                <w:rFonts w:hint="eastAsia"/>
                <w:highlight w:val="none"/>
                <w:lang w:val="zh-CN"/>
              </w:rPr>
              <w:t>%签约合同价，有效期至项目验收合格。</w:t>
            </w:r>
          </w:p>
          <w:p>
            <w:pPr>
              <w:spacing w:line="360" w:lineRule="auto"/>
              <w:jc w:val="left"/>
              <w:rPr>
                <w:sz w:val="24"/>
                <w:highlight w:val="none"/>
                <w:lang w:val="zh-CN"/>
              </w:rPr>
            </w:pPr>
            <w:r>
              <w:rPr>
                <w:rFonts w:hint="eastAsia"/>
                <w:sz w:val="24"/>
                <w:highlight w:val="none"/>
                <w:lang w:val="zh-CN"/>
              </w:rPr>
              <w:t>履约保证金的形式：可采取银行转账或履约担保方式提交。</w:t>
            </w:r>
          </w:p>
          <w:p>
            <w:pPr>
              <w:spacing w:line="360" w:lineRule="auto"/>
              <w:jc w:val="left"/>
              <w:rPr>
                <w:highlight w:val="none"/>
              </w:rPr>
            </w:pPr>
            <w:r>
              <w:rPr>
                <w:rFonts w:hint="eastAsia"/>
                <w:sz w:val="24"/>
                <w:highlight w:val="none"/>
                <w:lang w:val="zh-CN"/>
              </w:rPr>
              <w:t>履约保证金的</w:t>
            </w:r>
            <w:r>
              <w:rPr>
                <w:rFonts w:hint="eastAsia"/>
                <w:sz w:val="24"/>
                <w:highlight w:val="none"/>
              </w:rPr>
              <w:t>退还</w:t>
            </w:r>
            <w:r>
              <w:rPr>
                <w:rFonts w:hint="eastAsia"/>
                <w:sz w:val="24"/>
                <w:highlight w:val="none"/>
                <w:lang w:val="zh-CN"/>
              </w:rPr>
              <w:t>：</w:t>
            </w:r>
            <w:r>
              <w:rPr>
                <w:rFonts w:hint="eastAsia"/>
                <w:sz w:val="24"/>
                <w:highlight w:val="none"/>
              </w:rPr>
              <w:t>履约保证金待供应商履行完毕全部合同义务，并经甲方验收合格，无任何纠纷后无息退还</w:t>
            </w:r>
            <w:r>
              <w:rPr>
                <w:rFonts w:hint="eastAsia"/>
                <w:sz w:val="24"/>
                <w:highlight w:val="none"/>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7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31</w:t>
            </w:r>
          </w:p>
        </w:tc>
        <w:tc>
          <w:tcPr>
            <w:tcW w:w="24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项目属性</w:t>
            </w:r>
          </w:p>
        </w:tc>
        <w:tc>
          <w:tcPr>
            <w:tcW w:w="641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highlight w:val="none"/>
              </w:rPr>
            </w:pPr>
            <w:r>
              <w:rPr>
                <w:rFonts w:hint="eastAsia" w:ascii="宋体" w:hAnsi="宋体" w:cs="宋体"/>
                <w:sz w:val="24"/>
                <w:highlight w:val="none"/>
              </w:rPr>
              <w:t>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7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32</w:t>
            </w:r>
          </w:p>
        </w:tc>
        <w:tc>
          <w:tcPr>
            <w:tcW w:w="24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标的所属行业</w:t>
            </w:r>
          </w:p>
        </w:tc>
        <w:tc>
          <w:tcPr>
            <w:tcW w:w="641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highlight w:val="none"/>
              </w:rPr>
            </w:pPr>
            <w:r>
              <w:rPr>
                <w:rFonts w:hint="eastAsia" w:ascii="宋体" w:hAnsi="宋体" w:cs="宋体"/>
                <w:sz w:val="24"/>
                <w:highlight w:val="none"/>
              </w:rPr>
              <w:t>其他未列明行业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7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33</w:t>
            </w:r>
          </w:p>
        </w:tc>
        <w:tc>
          <w:tcPr>
            <w:tcW w:w="24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是否专门面向中小企业采购</w:t>
            </w:r>
          </w:p>
        </w:tc>
        <w:tc>
          <w:tcPr>
            <w:tcW w:w="641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highlight w:val="none"/>
              </w:rPr>
            </w:pPr>
            <w:r>
              <w:rPr>
                <w:rFonts w:hint="eastAsia" w:ascii="宋体" w:hAnsi="宋体" w:cs="宋体"/>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7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34</w:t>
            </w:r>
          </w:p>
        </w:tc>
        <w:tc>
          <w:tcPr>
            <w:tcW w:w="2445" w:type="dxa"/>
            <w:tcBorders>
              <w:top w:val="single" w:color="auto" w:sz="4" w:space="0"/>
              <w:left w:val="single" w:color="auto" w:sz="4" w:space="0"/>
              <w:bottom w:val="single" w:color="auto" w:sz="4" w:space="0"/>
              <w:right w:val="single" w:color="auto" w:sz="4" w:space="0"/>
            </w:tcBorders>
            <w:vAlign w:val="center"/>
          </w:tcPr>
          <w:p>
            <w:pPr>
              <w:pStyle w:val="12"/>
              <w:spacing w:line="360" w:lineRule="auto"/>
              <w:jc w:val="center"/>
              <w:rPr>
                <w:rFonts w:hAnsi="宋体" w:cs="宋体"/>
                <w:sz w:val="24"/>
                <w:szCs w:val="24"/>
                <w:highlight w:val="none"/>
              </w:rPr>
            </w:pPr>
            <w:r>
              <w:rPr>
                <w:rFonts w:hint="eastAsia" w:hAnsi="宋体" w:cs="宋体"/>
                <w:sz w:val="24"/>
                <w:szCs w:val="24"/>
                <w:highlight w:val="none"/>
              </w:rPr>
              <w:t>政府采购政策落实</w:t>
            </w:r>
          </w:p>
        </w:tc>
        <w:tc>
          <w:tcPr>
            <w:tcW w:w="6417" w:type="dxa"/>
            <w:tcBorders>
              <w:top w:val="single" w:color="auto" w:sz="4" w:space="0"/>
              <w:left w:val="single" w:color="auto" w:sz="4" w:space="0"/>
              <w:bottom w:val="single" w:color="auto" w:sz="4" w:space="0"/>
              <w:right w:val="single" w:color="auto" w:sz="4" w:space="0"/>
            </w:tcBorders>
            <w:vAlign w:val="center"/>
          </w:tcPr>
          <w:p>
            <w:pPr>
              <w:pStyle w:val="12"/>
              <w:pageBreakBefore w:val="0"/>
              <w:numPr>
                <w:ilvl w:val="0"/>
                <w:numId w:val="1"/>
              </w:numPr>
              <w:kinsoku/>
              <w:wordWrap/>
              <w:overflowPunct/>
              <w:topLinePunct w:val="0"/>
              <w:bidi w:val="0"/>
              <w:snapToGrid/>
              <w:spacing w:line="360" w:lineRule="auto"/>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评审时小型和微型企业产品享受</w:t>
            </w:r>
            <w:r>
              <w:rPr>
                <w:rFonts w:hint="eastAsia" w:hAnsi="宋体" w:cs="宋体"/>
                <w:sz w:val="24"/>
                <w:szCs w:val="24"/>
                <w:highlight w:val="none"/>
                <w:lang w:val="en-US" w:eastAsia="zh-CN"/>
              </w:rPr>
              <w:t>10</w:t>
            </w:r>
            <w:r>
              <w:rPr>
                <w:rFonts w:hint="eastAsia" w:ascii="宋体" w:hAnsi="宋体" w:eastAsia="宋体" w:cs="宋体"/>
                <w:sz w:val="24"/>
                <w:szCs w:val="24"/>
                <w:highlight w:val="none"/>
                <w:lang w:val="en-US" w:eastAsia="zh-CN"/>
              </w:rPr>
              <w:t>%的价格折扣。监狱企业视同小型、微型企业。残疾人福利性单位视同小型、微型企业。不重复享受政策。</w:t>
            </w:r>
          </w:p>
          <w:p>
            <w:pPr>
              <w:pStyle w:val="12"/>
              <w:pageBreakBefore w:val="0"/>
              <w:numPr>
                <w:ilvl w:val="0"/>
                <w:numId w:val="1"/>
              </w:numPr>
              <w:kinsoku/>
              <w:wordWrap/>
              <w:overflowPunct/>
              <w:topLinePunct w:val="0"/>
              <w:bidi w:val="0"/>
              <w:snapToGrid/>
              <w:spacing w:line="360" w:lineRule="auto"/>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陕西省财政厅关于印发&lt;陕西省中小企业政府采购信用融资办法&gt;的通知》（陕财办采〔2018〕23号）相关政策、业务流程、办理平台（http://www.ccgp-shaanxi.gov.cn/zcdservice/zcd/shanxi/），《陕西省财政厅关于进一步加大政府采购支持中小企业力度的通知》（陕财办采〔2022〕5号）</w:t>
            </w:r>
            <w:r>
              <w:rPr>
                <w:rFonts w:hint="eastAsia" w:hAnsi="宋体" w:cs="宋体"/>
                <w:sz w:val="24"/>
                <w:szCs w:val="24"/>
                <w:highlight w:val="none"/>
                <w:lang w:val="en-US" w:eastAsia="zh-CN"/>
              </w:rPr>
              <w:t>；</w:t>
            </w:r>
          </w:p>
          <w:p>
            <w:pPr>
              <w:pStyle w:val="12"/>
              <w:numPr>
                <w:ilvl w:val="0"/>
                <w:numId w:val="1"/>
              </w:numPr>
              <w:spacing w:line="360" w:lineRule="auto"/>
              <w:jc w:val="left"/>
              <w:rPr>
                <w:rFonts w:hAnsi="宋体" w:cs="宋体"/>
                <w:sz w:val="24"/>
                <w:szCs w:val="24"/>
                <w:highlight w:val="none"/>
              </w:rPr>
            </w:pPr>
            <w:r>
              <w:rPr>
                <w:rFonts w:hint="eastAsia" w:ascii="宋体" w:hAnsi="宋体" w:eastAsia="宋体" w:cs="宋体"/>
                <w:sz w:val="24"/>
                <w:szCs w:val="24"/>
                <w:highlight w:val="none"/>
                <w:lang w:val="en-US" w:eastAsia="zh-CN"/>
              </w:rPr>
              <w:t>具体政策可登录陕西省政府采购网查询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7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35</w:t>
            </w:r>
          </w:p>
        </w:tc>
        <w:tc>
          <w:tcPr>
            <w:tcW w:w="24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信用查询</w:t>
            </w:r>
          </w:p>
        </w:tc>
        <w:tc>
          <w:tcPr>
            <w:tcW w:w="6417"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360" w:lineRule="auto"/>
              <w:jc w:val="left"/>
              <w:textAlignment w:val="auto"/>
              <w:rPr>
                <w:rFonts w:hint="eastAsia" w:ascii="宋体" w:hAnsi="宋体" w:eastAsia="宋体" w:cs="宋体"/>
                <w:sz w:val="24"/>
                <w:highlight w:val="none"/>
              </w:rPr>
            </w:pPr>
            <w:r>
              <w:rPr>
                <w:rFonts w:hint="eastAsia" w:ascii="宋体" w:hAnsi="宋体" w:eastAsia="宋体" w:cs="宋体"/>
                <w:sz w:val="24"/>
                <w:highlight w:val="none"/>
              </w:rPr>
              <w:t>1)“信用中国”（www.creditchina.gov.cn）和“中国政府采购”（www.ccgp.gov.cn）为供应商信用信息查询渠道。</w:t>
            </w:r>
          </w:p>
          <w:p>
            <w:pPr>
              <w:pageBreakBefore w:val="0"/>
              <w:kinsoku/>
              <w:wordWrap/>
              <w:overflowPunct/>
              <w:topLinePunct w:val="0"/>
              <w:bidi w:val="0"/>
              <w:snapToGrid/>
              <w:spacing w:line="360" w:lineRule="auto"/>
              <w:jc w:val="left"/>
              <w:textAlignment w:val="auto"/>
              <w:rPr>
                <w:rFonts w:hint="eastAsia" w:ascii="宋体" w:hAnsi="宋体" w:eastAsia="宋体" w:cs="宋体"/>
                <w:sz w:val="24"/>
                <w:highlight w:val="none"/>
              </w:rPr>
            </w:pPr>
            <w:r>
              <w:rPr>
                <w:rFonts w:hint="eastAsia" w:ascii="宋体" w:hAnsi="宋体" w:eastAsia="宋体" w:cs="宋体"/>
                <w:sz w:val="24"/>
                <w:highlight w:val="none"/>
              </w:rPr>
              <w:t>2)查询内容包括失信被执行人、税收违法</w:t>
            </w:r>
            <w:r>
              <w:rPr>
                <w:rFonts w:hint="eastAsia" w:ascii="宋体" w:hAnsi="宋体" w:cs="宋体"/>
                <w:sz w:val="24"/>
                <w:highlight w:val="none"/>
                <w:lang w:val="en-US" w:eastAsia="zh-CN"/>
              </w:rPr>
              <w:t>黑</w:t>
            </w:r>
            <w:r>
              <w:rPr>
                <w:rFonts w:hint="eastAsia" w:ascii="宋体" w:hAnsi="宋体" w:eastAsia="宋体" w:cs="宋体"/>
                <w:sz w:val="24"/>
                <w:highlight w:val="none"/>
              </w:rPr>
              <w:t>名单、政府采购严重违法失信行为记录名单，提供信用中国网站</w:t>
            </w:r>
            <w:r>
              <w:rPr>
                <w:rFonts w:hint="eastAsia" w:ascii="宋体" w:hAnsi="宋体" w:cs="宋体"/>
                <w:sz w:val="24"/>
                <w:highlight w:val="none"/>
                <w:lang w:val="en-US" w:eastAsia="zh-CN"/>
              </w:rPr>
              <w:t>查询截图</w:t>
            </w:r>
            <w:r>
              <w:rPr>
                <w:rFonts w:hint="eastAsia" w:ascii="宋体" w:hAnsi="宋体" w:eastAsia="宋体" w:cs="宋体"/>
                <w:sz w:val="24"/>
                <w:highlight w:val="none"/>
              </w:rPr>
              <w:t>及中国政府采购网站政府采购严重失信行为记录名单截图。</w:t>
            </w:r>
          </w:p>
          <w:p>
            <w:pPr>
              <w:spacing w:line="360" w:lineRule="auto"/>
              <w:jc w:val="left"/>
              <w:rPr>
                <w:rFonts w:ascii="宋体" w:hAnsi="宋体" w:cs="宋体"/>
                <w:sz w:val="24"/>
                <w:highlight w:val="none"/>
              </w:rPr>
            </w:pPr>
            <w:r>
              <w:rPr>
                <w:rFonts w:hint="eastAsia" w:ascii="宋体" w:hAnsi="宋体" w:eastAsia="宋体" w:cs="宋体"/>
                <w:sz w:val="24"/>
                <w:highlight w:val="none"/>
              </w:rPr>
              <w:t>3)查询截止时点：磋商截止时间前查询相关主体信用记录已列入失信被执行人、税收违法</w:t>
            </w:r>
            <w:r>
              <w:rPr>
                <w:rFonts w:hint="eastAsia" w:ascii="宋体" w:hAnsi="宋体" w:cs="宋体"/>
                <w:sz w:val="24"/>
                <w:highlight w:val="none"/>
                <w:lang w:val="en-US" w:eastAsia="zh-CN"/>
              </w:rPr>
              <w:t>黑</w:t>
            </w:r>
            <w:r>
              <w:rPr>
                <w:rFonts w:hint="eastAsia" w:ascii="宋体" w:hAnsi="宋体" w:eastAsia="宋体" w:cs="宋体"/>
                <w:sz w:val="24"/>
                <w:highlight w:val="none"/>
              </w:rPr>
              <w:t>名单、政府采购严重违法失信行为记录名单，其响应无效。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7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36</w:t>
            </w:r>
          </w:p>
        </w:tc>
        <w:tc>
          <w:tcPr>
            <w:tcW w:w="24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磋商报价次数、磋商程序和最终报价的产生原则</w:t>
            </w:r>
          </w:p>
        </w:tc>
        <w:tc>
          <w:tcPr>
            <w:tcW w:w="641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highlight w:val="none"/>
              </w:rPr>
            </w:pPr>
            <w:r>
              <w:rPr>
                <w:rFonts w:hint="eastAsia" w:ascii="宋体" w:hAnsi="宋体" w:cs="宋体"/>
                <w:sz w:val="24"/>
                <w:highlight w:val="none"/>
              </w:rPr>
              <w:t>本次磋商采用二次报价。</w:t>
            </w:r>
          </w:p>
          <w:p>
            <w:pPr>
              <w:spacing w:line="360" w:lineRule="auto"/>
              <w:jc w:val="left"/>
              <w:rPr>
                <w:rFonts w:ascii="宋体" w:hAnsi="宋体" w:cs="宋体"/>
                <w:sz w:val="24"/>
                <w:highlight w:val="none"/>
              </w:rPr>
            </w:pPr>
            <w:r>
              <w:rPr>
                <w:rFonts w:hint="eastAsia" w:ascii="宋体" w:hAnsi="宋体" w:cs="宋体"/>
                <w:sz w:val="24"/>
                <w:highlight w:val="none"/>
              </w:rPr>
              <w:t>磋商程序为：</w:t>
            </w:r>
          </w:p>
          <w:p>
            <w:pPr>
              <w:spacing w:line="360" w:lineRule="auto"/>
              <w:jc w:val="left"/>
              <w:rPr>
                <w:rFonts w:ascii="宋体" w:hAnsi="宋体" w:cs="宋体"/>
                <w:sz w:val="24"/>
                <w:highlight w:val="none"/>
              </w:rPr>
            </w:pPr>
            <w:r>
              <w:rPr>
                <w:rFonts w:hint="eastAsia" w:ascii="宋体" w:hAnsi="宋体" w:cs="宋体"/>
                <w:sz w:val="24"/>
                <w:highlight w:val="none"/>
              </w:rPr>
              <w:t>1.磋商小组对所有提交的响应文件进行评审；</w:t>
            </w:r>
          </w:p>
          <w:p>
            <w:pPr>
              <w:spacing w:line="360" w:lineRule="auto"/>
              <w:jc w:val="left"/>
              <w:rPr>
                <w:rFonts w:ascii="宋体" w:hAnsi="宋体" w:cs="宋体"/>
                <w:sz w:val="24"/>
                <w:highlight w:val="none"/>
              </w:rPr>
            </w:pPr>
            <w:r>
              <w:rPr>
                <w:rFonts w:hint="eastAsia" w:ascii="宋体" w:hAnsi="宋体" w:cs="宋体"/>
                <w:sz w:val="24"/>
                <w:highlight w:val="none"/>
              </w:rPr>
              <w:t>2.磋商小组所有成员集中与单一供应商分别进行磋商；</w:t>
            </w:r>
          </w:p>
          <w:p>
            <w:pPr>
              <w:spacing w:line="360" w:lineRule="auto"/>
              <w:jc w:val="left"/>
              <w:rPr>
                <w:rFonts w:ascii="宋体" w:hAnsi="宋体" w:cs="宋体"/>
                <w:sz w:val="24"/>
                <w:highlight w:val="none"/>
              </w:rPr>
            </w:pPr>
            <w:r>
              <w:rPr>
                <w:rFonts w:hint="eastAsia" w:ascii="宋体" w:hAnsi="宋体" w:cs="宋体"/>
                <w:sz w:val="24"/>
                <w:highlight w:val="none"/>
              </w:rPr>
              <w:t>3.供应商按照要求提交二次报价；</w:t>
            </w:r>
          </w:p>
          <w:p>
            <w:pPr>
              <w:spacing w:line="360" w:lineRule="auto"/>
              <w:jc w:val="left"/>
              <w:rPr>
                <w:rFonts w:ascii="宋体" w:hAnsi="宋体" w:cs="宋体"/>
                <w:sz w:val="24"/>
                <w:highlight w:val="none"/>
              </w:rPr>
            </w:pPr>
            <w:r>
              <w:rPr>
                <w:rFonts w:hint="eastAsia" w:ascii="宋体" w:hAnsi="宋体" w:cs="宋体"/>
                <w:sz w:val="24"/>
                <w:highlight w:val="none"/>
              </w:rPr>
              <w:t>4.磋商小组评审、推荐成交候选人。</w:t>
            </w:r>
          </w:p>
          <w:p>
            <w:pPr>
              <w:spacing w:line="360" w:lineRule="auto"/>
              <w:jc w:val="left"/>
              <w:rPr>
                <w:rFonts w:ascii="宋体" w:hAnsi="宋体" w:cs="宋体"/>
                <w:sz w:val="24"/>
                <w:highlight w:val="none"/>
              </w:rPr>
            </w:pPr>
            <w:r>
              <w:rPr>
                <w:rFonts w:hint="eastAsia" w:ascii="宋体" w:hAnsi="宋体" w:cs="宋体"/>
                <w:sz w:val="24"/>
                <w:highlight w:val="none"/>
              </w:rPr>
              <w:t>在磋商过程中，磋商小组可以根据磋商文件和磋商情况实质性变动采购需求中的技术、服务要求以及合同草案条款，二次报价为最终报价。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7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37</w:t>
            </w:r>
          </w:p>
        </w:tc>
        <w:tc>
          <w:tcPr>
            <w:tcW w:w="24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b/>
                <w:bCs/>
                <w:sz w:val="24"/>
                <w:highlight w:val="none"/>
              </w:rPr>
              <w:t>招标代理费</w:t>
            </w:r>
          </w:p>
        </w:tc>
        <w:tc>
          <w:tcPr>
            <w:tcW w:w="641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cs="宋体"/>
                <w:sz w:val="24"/>
                <w:highlight w:val="none"/>
              </w:rPr>
            </w:pPr>
            <w:r>
              <w:rPr>
                <w:rFonts w:hint="eastAsia" w:ascii="宋体" w:hAnsi="宋体" w:cs="宋体"/>
                <w:sz w:val="24"/>
                <w:highlight w:val="none"/>
              </w:rPr>
              <w:t>代理收费依据陕西省公路局关于20</w:t>
            </w:r>
            <w:r>
              <w:rPr>
                <w:rFonts w:hint="eastAsia" w:ascii="宋体" w:hAnsi="宋体" w:cs="宋体"/>
                <w:sz w:val="24"/>
                <w:highlight w:val="none"/>
                <w:lang w:val="en-US" w:eastAsia="zh-CN"/>
              </w:rPr>
              <w:t>23</w:t>
            </w:r>
            <w:r>
              <w:rPr>
                <w:rFonts w:hint="eastAsia" w:ascii="宋体" w:hAnsi="宋体" w:cs="宋体"/>
                <w:sz w:val="24"/>
                <w:highlight w:val="none"/>
              </w:rPr>
              <w:t>年度部分政府采购项目委托代理服务竞价结果（合同编号：</w:t>
            </w:r>
            <w:r>
              <w:rPr>
                <w:rFonts w:hint="eastAsia" w:ascii="宋体" w:hAnsi="宋体" w:cs="宋体"/>
                <w:sz w:val="24"/>
                <w:highlight w:val="none"/>
                <w:lang w:val="en-US" w:eastAsia="zh-CN"/>
              </w:rPr>
              <w:t>SXSGLJ2023018</w:t>
            </w:r>
            <w:r>
              <w:rPr>
                <w:rFonts w:hint="eastAsia" w:ascii="宋体" w:hAnsi="宋体" w:cs="宋体"/>
                <w:sz w:val="24"/>
                <w:highlight w:val="none"/>
              </w:rPr>
              <w:t>），本项目代理服务费：</w:t>
            </w:r>
          </w:p>
          <w:p>
            <w:pPr>
              <w:spacing w:line="360" w:lineRule="auto"/>
              <w:jc w:val="left"/>
              <w:rPr>
                <w:rFonts w:ascii="宋体" w:hAnsi="宋体" w:cs="宋体"/>
                <w:sz w:val="24"/>
                <w:highlight w:val="none"/>
              </w:rPr>
            </w:pPr>
            <w:r>
              <w:rPr>
                <w:rFonts w:hint="eastAsia" w:ascii="宋体" w:hAnsi="宋体" w:cs="宋体"/>
                <w:sz w:val="24"/>
                <w:highlight w:val="none"/>
                <w:lang w:val="en-US" w:eastAsia="zh-CN"/>
              </w:rPr>
              <w:t>JC-1</w:t>
            </w:r>
            <w:r>
              <w:rPr>
                <w:rFonts w:hint="eastAsia" w:ascii="宋体" w:hAnsi="宋体" w:cs="宋体"/>
                <w:sz w:val="24"/>
                <w:highlight w:val="none"/>
                <w:lang w:eastAsia="zh-CN"/>
              </w:rPr>
              <w:t>包</w:t>
            </w:r>
            <w:r>
              <w:rPr>
                <w:rFonts w:hint="eastAsia" w:ascii="宋体" w:hAnsi="宋体" w:cs="宋体"/>
                <w:sz w:val="24"/>
                <w:highlight w:val="none"/>
              </w:rPr>
              <w:t>:</w:t>
            </w:r>
            <w:r>
              <w:rPr>
                <w:rFonts w:hint="eastAsia" w:ascii="宋体" w:hAnsi="宋体" w:cs="宋体"/>
                <w:sz w:val="24"/>
                <w:highlight w:val="none"/>
                <w:lang w:eastAsia="zh-CN"/>
              </w:rPr>
              <w:t>人民币</w:t>
            </w:r>
            <w:r>
              <w:rPr>
                <w:rFonts w:hint="eastAsia" w:ascii="宋体" w:hAnsi="宋体" w:cs="宋体"/>
                <w:sz w:val="24"/>
                <w:highlight w:val="none"/>
                <w:lang w:val="en-US" w:eastAsia="zh-CN"/>
              </w:rPr>
              <w:t>捌仟叁佰柒拾陆元整</w:t>
            </w:r>
            <w:r>
              <w:rPr>
                <w:rFonts w:hint="eastAsia" w:ascii="宋体" w:hAnsi="宋体" w:cs="宋体"/>
                <w:sz w:val="24"/>
                <w:highlight w:val="none"/>
              </w:rPr>
              <w:t>（￥</w:t>
            </w:r>
            <w:r>
              <w:rPr>
                <w:rFonts w:hint="eastAsia" w:ascii="宋体" w:hAnsi="宋体" w:cs="宋体"/>
                <w:sz w:val="24"/>
                <w:highlight w:val="none"/>
                <w:lang w:val="en-US" w:eastAsia="zh-CN"/>
              </w:rPr>
              <w:t>8376.00</w:t>
            </w:r>
            <w:r>
              <w:rPr>
                <w:rFonts w:hint="eastAsia" w:ascii="宋体" w:hAnsi="宋体" w:cs="宋体"/>
                <w:sz w:val="24"/>
                <w:highlight w:val="none"/>
              </w:rPr>
              <w:t>元）</w:t>
            </w:r>
          </w:p>
          <w:p>
            <w:pPr>
              <w:spacing w:line="360" w:lineRule="auto"/>
              <w:jc w:val="left"/>
              <w:rPr>
                <w:rFonts w:hint="eastAsia" w:ascii="宋体" w:hAnsi="宋体" w:cs="宋体"/>
                <w:sz w:val="24"/>
                <w:highlight w:val="none"/>
              </w:rPr>
            </w:pPr>
            <w:r>
              <w:rPr>
                <w:rFonts w:hint="eastAsia" w:ascii="宋体" w:hAnsi="宋体" w:cs="宋体"/>
                <w:sz w:val="24"/>
                <w:highlight w:val="none"/>
                <w:lang w:val="en-US" w:eastAsia="zh-CN"/>
              </w:rPr>
              <w:t>JC-2</w:t>
            </w:r>
            <w:r>
              <w:rPr>
                <w:rFonts w:hint="eastAsia" w:ascii="宋体" w:hAnsi="宋体" w:cs="宋体"/>
                <w:sz w:val="24"/>
                <w:highlight w:val="none"/>
                <w:lang w:eastAsia="zh-CN"/>
              </w:rPr>
              <w:t>包</w:t>
            </w:r>
            <w:r>
              <w:rPr>
                <w:rFonts w:hint="eastAsia" w:ascii="宋体" w:hAnsi="宋体" w:cs="宋体"/>
                <w:sz w:val="24"/>
                <w:highlight w:val="none"/>
              </w:rPr>
              <w:t>:</w:t>
            </w:r>
            <w:r>
              <w:rPr>
                <w:rFonts w:hint="eastAsia" w:ascii="宋体" w:hAnsi="宋体" w:cs="宋体"/>
                <w:sz w:val="24"/>
                <w:highlight w:val="none"/>
                <w:lang w:eastAsia="zh-CN"/>
              </w:rPr>
              <w:t>人民币</w:t>
            </w:r>
            <w:r>
              <w:rPr>
                <w:rFonts w:hint="eastAsia" w:ascii="宋体" w:hAnsi="宋体" w:cs="宋体"/>
                <w:sz w:val="24"/>
                <w:highlight w:val="none"/>
                <w:lang w:val="en-US" w:eastAsia="zh-CN"/>
              </w:rPr>
              <w:t>柒仟伍佰伍拾捌元整</w:t>
            </w:r>
            <w:r>
              <w:rPr>
                <w:rFonts w:hint="eastAsia" w:ascii="宋体" w:hAnsi="宋体" w:cs="宋体"/>
                <w:sz w:val="24"/>
                <w:highlight w:val="none"/>
              </w:rPr>
              <w:t>（￥</w:t>
            </w:r>
            <w:r>
              <w:rPr>
                <w:rFonts w:hint="eastAsia" w:ascii="宋体" w:hAnsi="宋体" w:cs="宋体"/>
                <w:sz w:val="24"/>
                <w:highlight w:val="none"/>
                <w:lang w:val="en-US" w:eastAsia="zh-CN"/>
              </w:rPr>
              <w:t>7558.00</w:t>
            </w:r>
            <w:r>
              <w:rPr>
                <w:rFonts w:hint="eastAsia" w:ascii="宋体" w:hAnsi="宋体" w:cs="宋体"/>
                <w:sz w:val="24"/>
                <w:highlight w:val="none"/>
              </w:rPr>
              <w:t>元）</w:t>
            </w:r>
          </w:p>
          <w:p>
            <w:pPr>
              <w:spacing w:line="360" w:lineRule="auto"/>
              <w:jc w:val="left"/>
              <w:rPr>
                <w:rFonts w:ascii="宋体" w:hAnsi="宋体" w:cs="宋体"/>
                <w:sz w:val="24"/>
                <w:highlight w:val="none"/>
              </w:rPr>
            </w:pPr>
            <w:r>
              <w:rPr>
                <w:rFonts w:hint="eastAsia" w:ascii="宋体" w:hAnsi="宋体" w:cs="宋体"/>
                <w:sz w:val="24"/>
                <w:highlight w:val="none"/>
              </w:rPr>
              <w:t>由成交单位在领取成交通知书前，向代理机构缴纳。</w:t>
            </w:r>
          </w:p>
          <w:p>
            <w:pPr>
              <w:wordWrap/>
              <w:snapToGrid/>
              <w:spacing w:line="360" w:lineRule="auto"/>
              <w:textAlignment w:val="auto"/>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开户银行：建设银行西安长安区西长安街支行</w:t>
            </w:r>
          </w:p>
          <w:p>
            <w:pPr>
              <w:wordWrap/>
              <w:snapToGrid/>
              <w:spacing w:line="360" w:lineRule="auto"/>
              <w:textAlignment w:val="auto"/>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账    号：6105 0170 5259 0000 0014</w:t>
            </w:r>
          </w:p>
          <w:p>
            <w:pPr>
              <w:spacing w:line="360" w:lineRule="auto"/>
              <w:jc w:val="left"/>
              <w:rPr>
                <w:rFonts w:ascii="宋体" w:hAnsi="宋体" w:cs="宋体"/>
                <w:sz w:val="24"/>
                <w:highlight w:val="none"/>
              </w:rPr>
            </w:pPr>
            <w:r>
              <w:rPr>
                <w:rFonts w:hint="eastAsia" w:ascii="宋体" w:hAnsi="宋体" w:eastAsia="宋体" w:cs="宋体"/>
                <w:b w:val="0"/>
                <w:bCs w:val="0"/>
                <w:sz w:val="24"/>
                <w:highlight w:val="none"/>
              </w:rPr>
              <w:t>采购代理机构公司财务室电话：029-68205383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7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38</w:t>
            </w:r>
          </w:p>
        </w:tc>
        <w:tc>
          <w:tcPr>
            <w:tcW w:w="24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b/>
                <w:bCs/>
                <w:sz w:val="24"/>
                <w:highlight w:val="none"/>
              </w:rPr>
              <w:t>最高限价</w:t>
            </w:r>
          </w:p>
        </w:tc>
        <w:tc>
          <w:tcPr>
            <w:tcW w:w="6417"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宋体" w:hAnsi="宋体" w:eastAsia="宋体" w:cs="宋体"/>
                <w:sz w:val="24"/>
                <w:highlight w:val="none"/>
                <w:lang w:val="en-US" w:eastAsia="zh-CN"/>
              </w:rPr>
            </w:pPr>
            <w:r>
              <w:rPr>
                <w:rFonts w:hint="eastAsia" w:ascii="宋体" w:hAnsi="宋体" w:cs="宋体"/>
                <w:sz w:val="24"/>
                <w:highlight w:val="none"/>
              </w:rPr>
              <w:t>项目最高磋商限价：</w:t>
            </w:r>
            <w:r>
              <w:rPr>
                <w:rFonts w:hint="eastAsia" w:ascii="宋体" w:hAnsi="宋体" w:cs="宋体"/>
                <w:sz w:val="24"/>
                <w:highlight w:val="none"/>
                <w:lang w:val="en-US" w:eastAsia="zh-CN"/>
              </w:rPr>
              <w:t>JC-1</w:t>
            </w:r>
            <w:r>
              <w:rPr>
                <w:rFonts w:hint="eastAsia" w:ascii="宋体" w:hAnsi="宋体" w:cs="宋体"/>
                <w:sz w:val="24"/>
                <w:highlight w:val="none"/>
                <w:lang w:eastAsia="zh-CN"/>
              </w:rPr>
              <w:t>包</w:t>
            </w:r>
            <w:r>
              <w:rPr>
                <w:rFonts w:hint="eastAsia" w:ascii="宋体" w:hAnsi="宋体" w:cs="宋体"/>
                <w:sz w:val="24"/>
                <w:highlight w:val="none"/>
              </w:rPr>
              <w:t>:</w:t>
            </w:r>
            <w:r>
              <w:rPr>
                <w:rFonts w:hint="eastAsia" w:ascii="宋体" w:hAnsi="宋体" w:cs="宋体"/>
                <w:sz w:val="24"/>
                <w:highlight w:val="none"/>
                <w:lang w:val="en-US" w:eastAsia="zh-CN"/>
              </w:rPr>
              <w:t>82万元；JC-2</w:t>
            </w:r>
            <w:r>
              <w:rPr>
                <w:rFonts w:hint="eastAsia" w:ascii="宋体" w:hAnsi="宋体" w:cs="宋体"/>
                <w:sz w:val="24"/>
                <w:highlight w:val="none"/>
                <w:lang w:eastAsia="zh-CN"/>
              </w:rPr>
              <w:t>包</w:t>
            </w:r>
            <w:r>
              <w:rPr>
                <w:rFonts w:hint="eastAsia" w:ascii="宋体" w:hAnsi="宋体" w:cs="宋体"/>
                <w:sz w:val="24"/>
                <w:highlight w:val="none"/>
              </w:rPr>
              <w:t>:</w:t>
            </w:r>
            <w:r>
              <w:rPr>
                <w:rFonts w:hint="eastAsia" w:ascii="宋体" w:hAnsi="宋体" w:cs="宋体"/>
                <w:sz w:val="24"/>
                <w:highlight w:val="none"/>
                <w:lang w:val="en-US" w:eastAsia="zh-CN"/>
              </w:rPr>
              <w:t>74万元</w:t>
            </w:r>
          </w:p>
          <w:p>
            <w:pPr>
              <w:spacing w:line="360" w:lineRule="auto"/>
              <w:rPr>
                <w:rFonts w:ascii="宋体" w:hAnsi="宋体" w:cs="宋体"/>
                <w:sz w:val="24"/>
                <w:highlight w:val="none"/>
              </w:rPr>
            </w:pPr>
            <w:r>
              <w:rPr>
                <w:rFonts w:hint="eastAsia" w:ascii="宋体" w:hAnsi="宋体" w:cs="宋体"/>
                <w:sz w:val="24"/>
                <w:highlight w:val="none"/>
              </w:rPr>
              <w:t>报价大于最高限价的磋商响应文件初步审查将不予通过。</w:t>
            </w:r>
          </w:p>
        </w:tc>
      </w:tr>
    </w:tbl>
    <w:p>
      <w:pPr>
        <w:spacing w:line="360" w:lineRule="auto"/>
        <w:jc w:val="left"/>
        <w:rPr>
          <w:rFonts w:ascii="宋体" w:hAnsi="宋体" w:cs="宋体"/>
          <w:szCs w:val="21"/>
          <w:highlight w:val="none"/>
        </w:rPr>
        <w:sectPr>
          <w:footerReference r:id="rId11" w:type="default"/>
          <w:pgSz w:w="11906" w:h="16838"/>
          <w:pgMar w:top="1417" w:right="1417" w:bottom="1417" w:left="1417" w:header="850" w:footer="992" w:gutter="0"/>
          <w:pgNumType w:fmt="decimal"/>
          <w:cols w:space="0" w:num="1"/>
          <w:docGrid w:type="lines" w:linePitch="312" w:charSpace="0"/>
        </w:sectPr>
      </w:pPr>
      <w:r>
        <w:rPr>
          <w:rFonts w:hint="eastAsia" w:ascii="宋体" w:hAnsi="宋体" w:cs="宋体"/>
          <w:b/>
          <w:szCs w:val="21"/>
          <w:highlight w:val="none"/>
        </w:rPr>
        <w:t>注：供应商须知前附表与竞争性磋商文件正文对同一事项描述不一致的，以须知前附表为准。</w:t>
      </w:r>
    </w:p>
    <w:p>
      <w:pPr>
        <w:spacing w:line="360" w:lineRule="auto"/>
        <w:jc w:val="center"/>
        <w:outlineLvl w:val="1"/>
        <w:rPr>
          <w:rFonts w:ascii="宋体" w:hAnsi="宋体" w:cs="宋体"/>
          <w:b/>
          <w:sz w:val="30"/>
          <w:szCs w:val="30"/>
          <w:highlight w:val="none"/>
        </w:rPr>
      </w:pPr>
      <w:bookmarkStart w:id="13" w:name="_Toc16055"/>
      <w:bookmarkStart w:id="14" w:name="_Toc25812"/>
      <w:bookmarkStart w:id="15" w:name="_Toc32286"/>
      <w:bookmarkStart w:id="16" w:name="_Toc519156737"/>
      <w:r>
        <w:rPr>
          <w:rFonts w:hint="eastAsia" w:ascii="宋体" w:hAnsi="宋体" w:cs="宋体"/>
          <w:b/>
          <w:sz w:val="30"/>
          <w:szCs w:val="30"/>
          <w:highlight w:val="none"/>
        </w:rPr>
        <w:t>一．名词解释</w:t>
      </w:r>
      <w:bookmarkEnd w:id="13"/>
      <w:bookmarkEnd w:id="14"/>
      <w:bookmarkEnd w:id="15"/>
      <w:bookmarkEnd w:id="16"/>
    </w:p>
    <w:p>
      <w:pPr>
        <w:numPr>
          <w:ilvl w:val="0"/>
          <w:numId w:val="2"/>
        </w:numPr>
        <w:tabs>
          <w:tab w:val="left" w:pos="240"/>
          <w:tab w:val="clear" w:pos="840"/>
        </w:tabs>
        <w:spacing w:line="440" w:lineRule="exact"/>
        <w:ind w:left="-120" w:leftChars="-57" w:firstLine="0"/>
        <w:rPr>
          <w:rFonts w:ascii="宋体" w:hAnsi="宋体" w:cs="宋体"/>
          <w:sz w:val="24"/>
          <w:highlight w:val="none"/>
        </w:rPr>
      </w:pPr>
      <w:r>
        <w:rPr>
          <w:rFonts w:hint="eastAsia" w:ascii="宋体" w:hAnsi="宋体" w:cs="宋体"/>
          <w:sz w:val="24"/>
          <w:highlight w:val="none"/>
        </w:rPr>
        <w:t>采购人：陕西省公路局</w:t>
      </w:r>
    </w:p>
    <w:p>
      <w:pPr>
        <w:numPr>
          <w:ilvl w:val="0"/>
          <w:numId w:val="2"/>
        </w:numPr>
        <w:tabs>
          <w:tab w:val="left" w:pos="240"/>
          <w:tab w:val="clear" w:pos="840"/>
        </w:tabs>
        <w:spacing w:line="440" w:lineRule="exact"/>
        <w:ind w:left="-120" w:leftChars="-57" w:firstLine="0"/>
        <w:rPr>
          <w:rFonts w:ascii="宋体" w:hAnsi="宋体" w:cs="宋体"/>
          <w:sz w:val="24"/>
          <w:highlight w:val="none"/>
        </w:rPr>
      </w:pPr>
      <w:r>
        <w:rPr>
          <w:rFonts w:hint="eastAsia" w:ascii="宋体" w:hAnsi="宋体" w:cs="宋体"/>
          <w:sz w:val="24"/>
          <w:highlight w:val="none"/>
        </w:rPr>
        <w:t>监督部门：陕西省财政厅、陕西省公路局相关政府采购监督管理部门</w:t>
      </w:r>
    </w:p>
    <w:p>
      <w:pPr>
        <w:numPr>
          <w:ilvl w:val="0"/>
          <w:numId w:val="2"/>
        </w:numPr>
        <w:tabs>
          <w:tab w:val="left" w:pos="240"/>
          <w:tab w:val="clear" w:pos="840"/>
        </w:tabs>
        <w:spacing w:line="440" w:lineRule="exact"/>
        <w:ind w:left="-120" w:leftChars="-57" w:firstLine="0"/>
        <w:rPr>
          <w:rFonts w:ascii="宋体" w:hAnsi="宋体" w:cs="宋体"/>
          <w:sz w:val="24"/>
          <w:highlight w:val="none"/>
        </w:rPr>
      </w:pPr>
      <w:r>
        <w:rPr>
          <w:rFonts w:hint="eastAsia" w:ascii="宋体" w:hAnsi="宋体" w:cs="宋体"/>
          <w:sz w:val="24"/>
          <w:highlight w:val="none"/>
        </w:rPr>
        <w:t>采购代理机构：</w:t>
      </w:r>
      <w:r>
        <w:rPr>
          <w:rFonts w:hint="eastAsia" w:ascii="宋体" w:hAnsi="宋体" w:cs="宋体"/>
          <w:sz w:val="24"/>
          <w:highlight w:val="none"/>
          <w:lang w:eastAsia="zh-CN"/>
        </w:rPr>
        <w:t>陕西正宇信工程项目管理有限公司</w:t>
      </w:r>
    </w:p>
    <w:p>
      <w:pPr>
        <w:numPr>
          <w:ilvl w:val="0"/>
          <w:numId w:val="2"/>
        </w:numPr>
        <w:tabs>
          <w:tab w:val="left" w:pos="240"/>
          <w:tab w:val="clear" w:pos="840"/>
        </w:tabs>
        <w:spacing w:line="440" w:lineRule="exact"/>
        <w:ind w:left="-120" w:leftChars="-57" w:firstLine="0"/>
        <w:rPr>
          <w:rFonts w:ascii="宋体" w:hAnsi="宋体" w:cs="宋体"/>
          <w:sz w:val="24"/>
          <w:highlight w:val="none"/>
        </w:rPr>
      </w:pPr>
      <w:r>
        <w:rPr>
          <w:rFonts w:hint="eastAsia" w:ascii="宋体" w:hAnsi="宋体" w:cs="宋体"/>
          <w:spacing w:val="6"/>
          <w:sz w:val="24"/>
          <w:highlight w:val="none"/>
        </w:rPr>
        <w:t>近5年：指从201</w:t>
      </w:r>
      <w:r>
        <w:rPr>
          <w:rFonts w:hint="eastAsia" w:ascii="宋体" w:hAnsi="宋体" w:cs="宋体"/>
          <w:spacing w:val="6"/>
          <w:sz w:val="24"/>
          <w:highlight w:val="none"/>
          <w:lang w:val="en-US" w:eastAsia="zh-CN"/>
        </w:rPr>
        <w:t>8</w:t>
      </w:r>
      <w:r>
        <w:rPr>
          <w:rFonts w:hint="eastAsia" w:ascii="宋体" w:hAnsi="宋体" w:cs="宋体"/>
          <w:spacing w:val="6"/>
          <w:sz w:val="24"/>
          <w:highlight w:val="none"/>
        </w:rPr>
        <w:t>年1月1日起至磋商响应文件递交截止</w:t>
      </w:r>
      <w:r>
        <w:rPr>
          <w:rFonts w:hint="eastAsia" w:ascii="宋体" w:hAnsi="宋体" w:cs="宋体"/>
          <w:sz w:val="24"/>
          <w:highlight w:val="none"/>
        </w:rPr>
        <w:t>时间前</w:t>
      </w:r>
    </w:p>
    <w:p>
      <w:pPr>
        <w:numPr>
          <w:ilvl w:val="0"/>
          <w:numId w:val="2"/>
        </w:numPr>
        <w:tabs>
          <w:tab w:val="left" w:pos="240"/>
          <w:tab w:val="clear" w:pos="840"/>
        </w:tabs>
        <w:spacing w:line="440" w:lineRule="exact"/>
        <w:ind w:left="-120" w:leftChars="-57" w:firstLine="0"/>
        <w:rPr>
          <w:rFonts w:ascii="宋体" w:hAnsi="宋体" w:cs="宋体"/>
          <w:sz w:val="24"/>
          <w:highlight w:val="none"/>
        </w:rPr>
      </w:pPr>
      <w:r>
        <w:rPr>
          <w:rFonts w:hint="eastAsia" w:ascii="宋体" w:hAnsi="宋体" w:cs="宋体"/>
          <w:spacing w:val="6"/>
          <w:sz w:val="24"/>
          <w:highlight w:val="none"/>
        </w:rPr>
        <w:t>近3年：指从20</w:t>
      </w:r>
      <w:r>
        <w:rPr>
          <w:rFonts w:hint="eastAsia" w:ascii="宋体" w:hAnsi="宋体" w:cs="宋体"/>
          <w:spacing w:val="6"/>
          <w:sz w:val="24"/>
          <w:highlight w:val="none"/>
          <w:lang w:val="en-US" w:eastAsia="zh-CN"/>
        </w:rPr>
        <w:t>20</w:t>
      </w:r>
      <w:r>
        <w:rPr>
          <w:rFonts w:hint="eastAsia" w:ascii="宋体" w:hAnsi="宋体" w:cs="宋体"/>
          <w:spacing w:val="6"/>
          <w:sz w:val="24"/>
          <w:highlight w:val="none"/>
        </w:rPr>
        <w:t>年1月1日起至磋商响应文件递交截止</w:t>
      </w:r>
      <w:r>
        <w:rPr>
          <w:rFonts w:hint="eastAsia" w:ascii="宋体" w:hAnsi="宋体" w:cs="宋体"/>
          <w:sz w:val="24"/>
          <w:highlight w:val="none"/>
        </w:rPr>
        <w:t>时间前</w:t>
      </w:r>
    </w:p>
    <w:p>
      <w:pPr>
        <w:spacing w:line="360" w:lineRule="auto"/>
        <w:rPr>
          <w:rFonts w:ascii="宋体" w:hAnsi="宋体" w:cs="宋体"/>
          <w:sz w:val="24"/>
          <w:highlight w:val="none"/>
        </w:rPr>
      </w:pPr>
    </w:p>
    <w:p>
      <w:pPr>
        <w:spacing w:line="360" w:lineRule="auto"/>
        <w:jc w:val="center"/>
        <w:outlineLvl w:val="1"/>
        <w:rPr>
          <w:rFonts w:ascii="宋体" w:hAnsi="宋体" w:cs="宋体"/>
          <w:sz w:val="30"/>
          <w:szCs w:val="30"/>
          <w:highlight w:val="none"/>
        </w:rPr>
      </w:pPr>
      <w:bookmarkStart w:id="17" w:name="_Toc519156738"/>
      <w:bookmarkStart w:id="18" w:name="_Toc12298"/>
      <w:bookmarkStart w:id="19" w:name="_Toc13421"/>
      <w:bookmarkStart w:id="20" w:name="_Toc10811"/>
      <w:r>
        <w:rPr>
          <w:rFonts w:hint="eastAsia" w:ascii="宋体" w:hAnsi="宋体" w:cs="宋体"/>
          <w:b/>
          <w:sz w:val="30"/>
          <w:szCs w:val="30"/>
          <w:highlight w:val="none"/>
        </w:rPr>
        <w:t>二．磋商供应商</w:t>
      </w:r>
      <w:bookmarkEnd w:id="17"/>
      <w:bookmarkEnd w:id="18"/>
      <w:bookmarkEnd w:id="19"/>
      <w:bookmarkEnd w:id="20"/>
    </w:p>
    <w:p>
      <w:pPr>
        <w:spacing w:line="440" w:lineRule="exact"/>
        <w:ind w:firstLine="120" w:firstLineChars="50"/>
        <w:rPr>
          <w:rFonts w:ascii="宋体" w:hAnsi="宋体" w:cs="宋体"/>
          <w:b/>
          <w:sz w:val="24"/>
          <w:highlight w:val="none"/>
        </w:rPr>
      </w:pPr>
      <w:r>
        <w:rPr>
          <w:rFonts w:hint="eastAsia" w:ascii="宋体" w:hAnsi="宋体" w:cs="宋体"/>
          <w:b/>
          <w:sz w:val="24"/>
          <w:highlight w:val="none"/>
        </w:rPr>
        <w:t>1.合格磋商供应商</w:t>
      </w:r>
    </w:p>
    <w:p>
      <w:pPr>
        <w:spacing w:line="440" w:lineRule="exact"/>
        <w:ind w:left="1078" w:leftChars="172" w:hanging="717" w:hangingChars="299"/>
        <w:rPr>
          <w:rFonts w:ascii="宋体" w:hAnsi="宋体" w:cs="宋体"/>
          <w:sz w:val="24"/>
          <w:highlight w:val="none"/>
        </w:rPr>
      </w:pPr>
      <w:r>
        <w:rPr>
          <w:rFonts w:hint="eastAsia" w:ascii="宋体" w:hAnsi="宋体" w:cs="宋体"/>
          <w:sz w:val="24"/>
          <w:highlight w:val="none"/>
        </w:rPr>
        <w:t>1）具有独立承担民事责任的能力</w:t>
      </w:r>
    </w:p>
    <w:p>
      <w:pPr>
        <w:spacing w:line="440" w:lineRule="exact"/>
        <w:ind w:left="1078" w:leftChars="172" w:hanging="717" w:hangingChars="299"/>
        <w:rPr>
          <w:rFonts w:ascii="宋体" w:hAnsi="宋体" w:cs="宋体"/>
          <w:sz w:val="24"/>
          <w:highlight w:val="none"/>
        </w:rPr>
      </w:pPr>
      <w:r>
        <w:rPr>
          <w:rFonts w:hint="eastAsia" w:ascii="宋体" w:hAnsi="宋体" w:cs="宋体"/>
          <w:sz w:val="24"/>
          <w:highlight w:val="none"/>
        </w:rPr>
        <w:t>2）具有良好的商业信誉和健全的财务会计制度</w:t>
      </w:r>
    </w:p>
    <w:p>
      <w:pPr>
        <w:spacing w:line="440" w:lineRule="exact"/>
        <w:ind w:left="1078" w:leftChars="172" w:hanging="717" w:hangingChars="299"/>
        <w:rPr>
          <w:rFonts w:ascii="宋体" w:hAnsi="宋体" w:cs="宋体"/>
          <w:sz w:val="24"/>
          <w:highlight w:val="none"/>
        </w:rPr>
      </w:pPr>
      <w:r>
        <w:rPr>
          <w:rFonts w:hint="eastAsia" w:ascii="宋体" w:hAnsi="宋体" w:cs="宋体"/>
          <w:sz w:val="24"/>
          <w:highlight w:val="none"/>
        </w:rPr>
        <w:t>3）具有履行合同所必需的专业技术能力</w:t>
      </w:r>
    </w:p>
    <w:p>
      <w:pPr>
        <w:spacing w:line="440" w:lineRule="exact"/>
        <w:ind w:left="1078" w:leftChars="172" w:hanging="717" w:hangingChars="299"/>
        <w:rPr>
          <w:rFonts w:ascii="宋体" w:hAnsi="宋体" w:cs="宋体"/>
          <w:sz w:val="24"/>
          <w:highlight w:val="none"/>
        </w:rPr>
      </w:pPr>
      <w:r>
        <w:rPr>
          <w:rFonts w:hint="eastAsia" w:ascii="宋体" w:hAnsi="宋体" w:cs="宋体"/>
          <w:sz w:val="24"/>
          <w:highlight w:val="none"/>
        </w:rPr>
        <w:t>4）有依法缴纳税收和社会保障资金的良好记录</w:t>
      </w:r>
    </w:p>
    <w:p>
      <w:pPr>
        <w:spacing w:line="440" w:lineRule="exact"/>
        <w:ind w:left="1078" w:leftChars="172" w:hanging="717" w:hangingChars="299"/>
        <w:rPr>
          <w:rFonts w:ascii="宋体" w:hAnsi="宋体" w:cs="宋体"/>
          <w:sz w:val="24"/>
          <w:highlight w:val="none"/>
        </w:rPr>
      </w:pPr>
      <w:r>
        <w:rPr>
          <w:rFonts w:hint="eastAsia" w:ascii="宋体" w:hAnsi="宋体" w:cs="宋体"/>
          <w:sz w:val="24"/>
          <w:highlight w:val="none"/>
        </w:rPr>
        <w:t>5）参加政府采购活动前三年内，在经营活动中没有重大违法记录</w:t>
      </w:r>
    </w:p>
    <w:p>
      <w:pPr>
        <w:spacing w:line="440" w:lineRule="exact"/>
        <w:ind w:left="1078" w:leftChars="172" w:hanging="717" w:hangingChars="299"/>
        <w:rPr>
          <w:rFonts w:ascii="宋体" w:hAnsi="宋体" w:cs="宋体"/>
          <w:sz w:val="24"/>
          <w:highlight w:val="none"/>
        </w:rPr>
      </w:pPr>
      <w:r>
        <w:rPr>
          <w:rFonts w:hint="eastAsia" w:ascii="宋体" w:hAnsi="宋体" w:cs="宋体"/>
          <w:sz w:val="24"/>
          <w:highlight w:val="none"/>
        </w:rPr>
        <w:t>6）法律、行政法规规定的其它条件</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1.1单位负责人为同一人或者存在直接控股、管理关系的不同供应商，不得参加本项目同一合同项下的磋商响应。如果磋商供应商在磋商响应中隐瞒了上述关系，则该磋商响应无效。</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1.2为本采购项目提供整体设计、规范编制或者项目管理、监理、检测等服务的供应商，不得再参加本采购项目的磋商响应</w:t>
      </w:r>
      <w:r>
        <w:rPr>
          <w:rFonts w:hint="eastAsia" w:ascii="宋体" w:hAnsi="宋体" w:cs="宋体"/>
          <w:kern w:val="0"/>
          <w:sz w:val="24"/>
          <w:highlight w:val="none"/>
        </w:rPr>
        <w:t>。</w:t>
      </w:r>
      <w:r>
        <w:rPr>
          <w:rFonts w:hint="eastAsia" w:ascii="宋体" w:hAnsi="宋体" w:cs="宋体"/>
          <w:sz w:val="24"/>
          <w:highlight w:val="none"/>
        </w:rPr>
        <w:t>如果磋商供应商在磋商响应中隐瞒了上述事实，则该磋商响应无效。</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1.3磋商供应商不得直接或间接地与招标采购单位（包括采购代理机构、采购人及用户）有任何关联（关联认定标准为：直接控股、管理关系、法人代表为同一人），亦不得是招标采购单位的附属机构。如果磋商供应商在磋商响应中隐瞒了上述关系，则该磋商响应无效。</w:t>
      </w:r>
    </w:p>
    <w:p>
      <w:pPr>
        <w:spacing w:line="360" w:lineRule="auto"/>
        <w:ind w:firstLine="120" w:firstLineChars="50"/>
        <w:rPr>
          <w:rFonts w:ascii="宋体" w:hAnsi="宋体" w:cs="宋体"/>
          <w:b/>
          <w:sz w:val="24"/>
          <w:highlight w:val="none"/>
        </w:rPr>
      </w:pPr>
      <w:r>
        <w:rPr>
          <w:rFonts w:hint="eastAsia" w:ascii="宋体" w:hAnsi="宋体" w:cs="宋体"/>
          <w:b/>
          <w:sz w:val="24"/>
          <w:highlight w:val="none"/>
        </w:rPr>
        <w:t>2.磋商委托</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如磋商供应商代表不是法定代表人，须持有《法定代表人授权书》（原件）。</w:t>
      </w:r>
    </w:p>
    <w:p>
      <w:pPr>
        <w:pStyle w:val="2"/>
        <w:spacing w:line="360" w:lineRule="auto"/>
        <w:ind w:firstLine="482" w:firstLineChars="200"/>
        <w:rPr>
          <w:highlight w:val="none"/>
        </w:rPr>
      </w:pPr>
      <w:r>
        <w:rPr>
          <w:rFonts w:hint="eastAsia" w:ascii="宋体" w:hAnsi="宋体" w:eastAsia="宋体" w:cs="宋体"/>
          <w:b/>
          <w:bCs/>
          <w:color w:val="auto"/>
          <w:kern w:val="2"/>
          <w:sz w:val="24"/>
          <w:szCs w:val="24"/>
          <w:highlight w:val="none"/>
          <w:lang w:val="en-US" w:eastAsia="zh-CN" w:bidi="ar-SA"/>
        </w:rPr>
        <w:t>注：分公司参与磋商，须提供总公司针对分公司参与本项目磋商的唯一授权函，否则按无效响应处理；磋商响应文件格式中的企业法定代表人均替换为企业负责人</w:t>
      </w:r>
      <w:r>
        <w:rPr>
          <w:rFonts w:hint="eastAsia" w:ascii="宋体" w:hAnsi="宋体" w:cs="宋体"/>
          <w:b/>
          <w:bCs/>
          <w:color w:val="auto"/>
          <w:kern w:val="2"/>
          <w:sz w:val="24"/>
          <w:szCs w:val="24"/>
          <w:highlight w:val="none"/>
          <w:lang w:val="en-US" w:eastAsia="zh-CN" w:bidi="ar-SA"/>
        </w:rPr>
        <w:t>。</w:t>
      </w:r>
    </w:p>
    <w:p>
      <w:pPr>
        <w:spacing w:line="360" w:lineRule="auto"/>
        <w:ind w:firstLine="120" w:firstLineChars="50"/>
        <w:rPr>
          <w:rFonts w:ascii="宋体" w:hAnsi="宋体" w:cs="宋体"/>
          <w:b/>
          <w:sz w:val="24"/>
          <w:highlight w:val="none"/>
        </w:rPr>
      </w:pPr>
      <w:r>
        <w:rPr>
          <w:rFonts w:hint="eastAsia" w:ascii="宋体" w:hAnsi="宋体" w:cs="宋体"/>
          <w:b/>
          <w:sz w:val="24"/>
          <w:highlight w:val="none"/>
        </w:rPr>
        <w:t>3.磋商响应文件内容的真实性</w:t>
      </w:r>
    </w:p>
    <w:p>
      <w:pPr>
        <w:spacing w:line="440" w:lineRule="exact"/>
        <w:ind w:firstLine="472" w:firstLineChars="197"/>
        <w:rPr>
          <w:rFonts w:ascii="宋体" w:hAnsi="宋体" w:cs="宋体"/>
          <w:sz w:val="24"/>
          <w:highlight w:val="none"/>
        </w:rPr>
      </w:pPr>
      <w:r>
        <w:rPr>
          <w:rFonts w:hint="eastAsia" w:ascii="宋体" w:hAnsi="宋体" w:cs="宋体"/>
          <w:sz w:val="24"/>
          <w:highlight w:val="none"/>
        </w:rPr>
        <w:t>磋商响应人应保证其磋商响应文件中所提供的所有有关磋商响应的资料、信息是真实的，并且来源于合法的渠道。因磋商响应文件中所提供的有关磋商响应的资料、信息不真实，或者其来源不合法而导致的所有法律责任，由磋商响应人自行承担。</w:t>
      </w:r>
    </w:p>
    <w:p>
      <w:pPr>
        <w:spacing w:line="440" w:lineRule="exact"/>
        <w:ind w:firstLine="120" w:firstLineChars="50"/>
        <w:rPr>
          <w:rFonts w:ascii="宋体" w:hAnsi="宋体" w:cs="宋体"/>
          <w:sz w:val="24"/>
          <w:highlight w:val="none"/>
        </w:rPr>
      </w:pPr>
      <w:r>
        <w:rPr>
          <w:rFonts w:hint="eastAsia" w:ascii="宋体" w:hAnsi="宋体" w:cs="宋体"/>
          <w:b/>
          <w:sz w:val="24"/>
          <w:highlight w:val="none"/>
        </w:rPr>
        <w:t>4.磋商费用</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无论磋商结果如何，磋商供应商自行承担参加磋商相关的全部费用。</w:t>
      </w:r>
    </w:p>
    <w:p>
      <w:pPr>
        <w:spacing w:line="440" w:lineRule="exact"/>
        <w:ind w:firstLine="120" w:firstLineChars="50"/>
        <w:rPr>
          <w:rFonts w:ascii="宋体" w:hAnsi="宋体" w:cs="宋体"/>
          <w:b/>
          <w:sz w:val="24"/>
          <w:highlight w:val="none"/>
        </w:rPr>
      </w:pPr>
      <w:r>
        <w:rPr>
          <w:rFonts w:hint="eastAsia" w:ascii="宋体" w:hAnsi="宋体" w:cs="宋体"/>
          <w:b/>
          <w:sz w:val="24"/>
          <w:highlight w:val="none"/>
        </w:rPr>
        <w:t>5.联合体形式</w:t>
      </w:r>
    </w:p>
    <w:p>
      <w:pPr>
        <w:pStyle w:val="12"/>
        <w:spacing w:line="440" w:lineRule="exact"/>
        <w:ind w:firstLine="480" w:firstLineChars="200"/>
        <w:rPr>
          <w:rFonts w:hAnsi="宋体" w:cs="宋体"/>
          <w:sz w:val="24"/>
          <w:szCs w:val="24"/>
          <w:highlight w:val="none"/>
        </w:rPr>
      </w:pPr>
      <w:r>
        <w:rPr>
          <w:rFonts w:hint="eastAsia" w:hAnsi="宋体" w:cs="宋体"/>
          <w:sz w:val="24"/>
          <w:szCs w:val="24"/>
          <w:highlight w:val="none"/>
        </w:rPr>
        <w:t>5.1　本项目是否接受联合体参与及相关要求见磋商须知前附表。</w:t>
      </w:r>
    </w:p>
    <w:p>
      <w:pPr>
        <w:pStyle w:val="12"/>
        <w:spacing w:line="440" w:lineRule="exact"/>
        <w:ind w:firstLine="480" w:firstLineChars="200"/>
        <w:rPr>
          <w:rFonts w:hAnsi="宋体" w:cs="宋体"/>
          <w:sz w:val="24"/>
          <w:szCs w:val="24"/>
          <w:highlight w:val="none"/>
        </w:rPr>
      </w:pPr>
      <w:r>
        <w:rPr>
          <w:rFonts w:hint="eastAsia" w:hAnsi="宋体" w:cs="宋体"/>
          <w:sz w:val="24"/>
          <w:szCs w:val="24"/>
          <w:highlight w:val="none"/>
        </w:rPr>
        <w:t>5.2　供应商为联合体形式的，应同时遵守以下规定：</w:t>
      </w:r>
    </w:p>
    <w:p>
      <w:pPr>
        <w:pStyle w:val="12"/>
        <w:spacing w:line="440" w:lineRule="exact"/>
        <w:ind w:firstLine="480" w:firstLineChars="200"/>
        <w:rPr>
          <w:rFonts w:hAnsi="宋体" w:cs="宋体"/>
          <w:sz w:val="24"/>
          <w:szCs w:val="24"/>
          <w:highlight w:val="none"/>
        </w:rPr>
      </w:pPr>
      <w:r>
        <w:rPr>
          <w:rFonts w:hint="eastAsia" w:hAnsi="宋体" w:cs="宋体"/>
          <w:sz w:val="24"/>
          <w:szCs w:val="24"/>
          <w:highlight w:val="none"/>
        </w:rPr>
        <w:t>(1)联合体各方必须签订联合体协议书，明确联合体牵头人和各方权利、义务及分工、合同工作量比例；</w:t>
      </w:r>
    </w:p>
    <w:p>
      <w:pPr>
        <w:pStyle w:val="12"/>
        <w:spacing w:line="440" w:lineRule="exact"/>
        <w:ind w:firstLine="480" w:firstLineChars="200"/>
        <w:rPr>
          <w:rFonts w:hAnsi="宋体" w:cs="宋体"/>
          <w:sz w:val="24"/>
          <w:szCs w:val="24"/>
          <w:highlight w:val="none"/>
        </w:rPr>
      </w:pPr>
      <w:r>
        <w:rPr>
          <w:rFonts w:hint="eastAsia" w:hAnsi="宋体" w:cs="宋体"/>
          <w:sz w:val="24"/>
          <w:szCs w:val="24"/>
          <w:highlight w:val="none"/>
        </w:rPr>
        <w:t>(2)联合体各方均应当符合本章第15条规定的供应商基本资格条件；</w:t>
      </w:r>
    </w:p>
    <w:p>
      <w:pPr>
        <w:pStyle w:val="12"/>
        <w:spacing w:line="440" w:lineRule="exact"/>
        <w:ind w:firstLine="480" w:firstLineChars="200"/>
        <w:rPr>
          <w:rFonts w:hAnsi="宋体" w:cs="宋体"/>
          <w:sz w:val="24"/>
          <w:szCs w:val="24"/>
          <w:highlight w:val="none"/>
        </w:rPr>
      </w:pPr>
      <w:r>
        <w:rPr>
          <w:rFonts w:hint="eastAsia" w:hAnsi="宋体" w:cs="宋体"/>
          <w:sz w:val="24"/>
          <w:szCs w:val="24"/>
          <w:highlight w:val="none"/>
        </w:rPr>
        <w:t>(3)除磋商须知前附表中另有规定，联合体各方中至少有一方应当符合本章第15条规定的供应商特定资格条件；</w:t>
      </w:r>
    </w:p>
    <w:p>
      <w:pPr>
        <w:pStyle w:val="12"/>
        <w:spacing w:line="440" w:lineRule="exact"/>
        <w:ind w:firstLine="480" w:firstLineChars="200"/>
        <w:rPr>
          <w:rFonts w:hAnsi="宋体" w:cs="宋体"/>
          <w:sz w:val="24"/>
          <w:szCs w:val="24"/>
          <w:highlight w:val="none"/>
        </w:rPr>
      </w:pPr>
      <w:r>
        <w:rPr>
          <w:rFonts w:hint="eastAsia" w:hAnsi="宋体" w:cs="宋体"/>
          <w:sz w:val="24"/>
          <w:szCs w:val="24"/>
          <w:highlight w:val="none"/>
        </w:rPr>
        <w:t>(4)联合体中有同类资质的供应商按照联合体分工承担相同工作的，应当按照资质等级较低的供应商确定资质等级；</w:t>
      </w:r>
    </w:p>
    <w:p>
      <w:pPr>
        <w:pStyle w:val="12"/>
        <w:spacing w:line="440" w:lineRule="exact"/>
        <w:ind w:firstLine="480" w:firstLineChars="200"/>
        <w:rPr>
          <w:rFonts w:hAnsi="宋体" w:cs="宋体"/>
          <w:sz w:val="24"/>
          <w:szCs w:val="24"/>
          <w:highlight w:val="none"/>
        </w:rPr>
      </w:pPr>
      <w:r>
        <w:rPr>
          <w:rFonts w:hint="eastAsia" w:hAnsi="宋体" w:cs="宋体"/>
          <w:sz w:val="24"/>
          <w:szCs w:val="24"/>
          <w:highlight w:val="none"/>
        </w:rPr>
        <w:t>(5)联合体各方不得再单独或与其他供应商组成新的联合体参加同一项目的采购活动。</w:t>
      </w:r>
    </w:p>
    <w:p>
      <w:pPr>
        <w:spacing w:line="440" w:lineRule="exact"/>
        <w:ind w:firstLine="120" w:firstLineChars="50"/>
        <w:rPr>
          <w:rFonts w:ascii="宋体" w:hAnsi="宋体" w:cs="宋体"/>
          <w:b/>
          <w:sz w:val="24"/>
          <w:highlight w:val="none"/>
        </w:rPr>
      </w:pPr>
      <w:r>
        <w:rPr>
          <w:rFonts w:hint="eastAsia" w:ascii="宋体" w:hAnsi="宋体" w:cs="宋体"/>
          <w:b/>
          <w:sz w:val="24"/>
          <w:highlight w:val="none"/>
        </w:rPr>
        <w:t>6.项目现场踏勘</w:t>
      </w:r>
    </w:p>
    <w:p>
      <w:pPr>
        <w:pStyle w:val="12"/>
        <w:spacing w:line="440" w:lineRule="exact"/>
        <w:ind w:firstLine="480" w:firstLineChars="200"/>
        <w:rPr>
          <w:rFonts w:hAnsi="宋体" w:cs="宋体"/>
          <w:sz w:val="24"/>
          <w:szCs w:val="24"/>
          <w:highlight w:val="none"/>
        </w:rPr>
      </w:pPr>
      <w:r>
        <w:rPr>
          <w:rFonts w:hint="eastAsia" w:hAnsi="宋体" w:cs="宋体"/>
          <w:sz w:val="24"/>
          <w:szCs w:val="24"/>
          <w:highlight w:val="none"/>
        </w:rPr>
        <w:t>6.1　本项目是否组织现场踏勘见磋商须知前附表。</w:t>
      </w:r>
    </w:p>
    <w:p>
      <w:pPr>
        <w:pStyle w:val="12"/>
        <w:spacing w:line="440" w:lineRule="exact"/>
        <w:ind w:firstLine="480" w:firstLineChars="200"/>
        <w:rPr>
          <w:rFonts w:hAnsi="宋体" w:cs="宋体"/>
          <w:sz w:val="24"/>
          <w:szCs w:val="24"/>
          <w:highlight w:val="none"/>
        </w:rPr>
      </w:pPr>
      <w:r>
        <w:rPr>
          <w:rFonts w:hint="eastAsia" w:hAnsi="宋体" w:cs="宋体"/>
          <w:sz w:val="24"/>
          <w:szCs w:val="24"/>
          <w:highlight w:val="none"/>
        </w:rPr>
        <w:t>6.2　供应商应按磋商须知前附表中规定对采购项目现场和周围环境进行踏勘。供应商未在指定时间进行踏勘的，其踏勘将被拒绝。</w:t>
      </w:r>
    </w:p>
    <w:p>
      <w:pPr>
        <w:pStyle w:val="12"/>
        <w:spacing w:line="440" w:lineRule="exact"/>
        <w:ind w:firstLine="480" w:firstLineChars="200"/>
        <w:rPr>
          <w:rFonts w:hAnsi="宋体" w:cs="宋体"/>
          <w:sz w:val="24"/>
          <w:szCs w:val="24"/>
          <w:highlight w:val="none"/>
        </w:rPr>
      </w:pPr>
      <w:r>
        <w:rPr>
          <w:rFonts w:hint="eastAsia" w:hAnsi="宋体" w:cs="宋体"/>
          <w:sz w:val="24"/>
          <w:szCs w:val="24"/>
          <w:highlight w:val="none"/>
        </w:rPr>
        <w:t>6.3　踏勘现场的费用由供应商自己承担，踏勘期间所发生的人身伤害及财产损失由供应商自己负责。</w:t>
      </w:r>
    </w:p>
    <w:p>
      <w:pPr>
        <w:pStyle w:val="12"/>
        <w:spacing w:line="440" w:lineRule="exact"/>
        <w:ind w:firstLine="480" w:firstLineChars="200"/>
        <w:rPr>
          <w:rFonts w:hAnsi="宋体" w:cs="宋体"/>
          <w:sz w:val="24"/>
          <w:szCs w:val="24"/>
          <w:highlight w:val="none"/>
        </w:rPr>
      </w:pPr>
      <w:r>
        <w:rPr>
          <w:rFonts w:hint="eastAsia" w:hAnsi="宋体" w:cs="宋体"/>
          <w:sz w:val="24"/>
          <w:szCs w:val="24"/>
          <w:highlight w:val="none"/>
        </w:rPr>
        <w:t>6.4　采购人不对供应商据现场踏勘而做出的推论、理解和结论负责。一旦成交，供应商不得以任何借口，提出额外补偿，或延长合同期限的要求。</w:t>
      </w:r>
    </w:p>
    <w:p>
      <w:pPr>
        <w:spacing w:line="440" w:lineRule="exact"/>
        <w:ind w:firstLine="120" w:firstLineChars="50"/>
        <w:rPr>
          <w:rFonts w:ascii="宋体" w:hAnsi="宋体" w:cs="宋体"/>
          <w:b/>
          <w:sz w:val="24"/>
          <w:highlight w:val="none"/>
        </w:rPr>
      </w:pPr>
      <w:r>
        <w:rPr>
          <w:rFonts w:hint="eastAsia" w:ascii="宋体" w:hAnsi="宋体" w:cs="宋体"/>
          <w:b/>
          <w:sz w:val="24"/>
          <w:highlight w:val="none"/>
        </w:rPr>
        <w:t>7.采购进口产品</w:t>
      </w:r>
    </w:p>
    <w:p>
      <w:pPr>
        <w:pStyle w:val="12"/>
        <w:spacing w:line="440" w:lineRule="exact"/>
        <w:ind w:firstLine="480" w:firstLineChars="200"/>
        <w:rPr>
          <w:rFonts w:hAnsi="宋体" w:cs="宋体"/>
          <w:sz w:val="24"/>
          <w:szCs w:val="24"/>
          <w:highlight w:val="none"/>
        </w:rPr>
      </w:pPr>
      <w:r>
        <w:rPr>
          <w:rFonts w:hint="eastAsia" w:hAnsi="宋体" w:cs="宋体"/>
          <w:sz w:val="24"/>
          <w:szCs w:val="24"/>
          <w:highlight w:val="none"/>
        </w:rPr>
        <w:t>7.1　本项目是否采购进口产品及相关要求见磋商须知前附表。</w:t>
      </w:r>
    </w:p>
    <w:p>
      <w:pPr>
        <w:spacing w:line="440" w:lineRule="exact"/>
        <w:ind w:firstLine="120" w:firstLineChars="50"/>
        <w:rPr>
          <w:rFonts w:ascii="宋体" w:hAnsi="宋体" w:cs="宋体"/>
          <w:b/>
          <w:sz w:val="24"/>
          <w:highlight w:val="none"/>
        </w:rPr>
      </w:pPr>
      <w:r>
        <w:rPr>
          <w:rFonts w:hint="eastAsia" w:ascii="宋体" w:hAnsi="宋体" w:cs="宋体"/>
          <w:b/>
          <w:sz w:val="24"/>
          <w:highlight w:val="none"/>
        </w:rPr>
        <w:t>8.政府采购政策支持与其他规定</w:t>
      </w:r>
    </w:p>
    <w:p>
      <w:pPr>
        <w:pStyle w:val="12"/>
        <w:spacing w:line="440" w:lineRule="exact"/>
        <w:ind w:firstLine="480" w:firstLineChars="200"/>
        <w:rPr>
          <w:rFonts w:hAnsi="宋体" w:cs="宋体"/>
          <w:sz w:val="24"/>
          <w:szCs w:val="24"/>
          <w:highlight w:val="none"/>
        </w:rPr>
      </w:pPr>
      <w:r>
        <w:rPr>
          <w:rFonts w:hint="eastAsia" w:hAnsi="宋体" w:cs="宋体"/>
          <w:sz w:val="24"/>
          <w:szCs w:val="24"/>
          <w:highlight w:val="none"/>
        </w:rPr>
        <w:t>8.1　产品属于政府强制采购节能产品范围，依据国家确定的认证机构出具的、处于有效期之内的节能产品、环境标志产品认证证书，对获得证书的产品实施政府优先采购或强制采购。</w:t>
      </w:r>
    </w:p>
    <w:p>
      <w:pPr>
        <w:pStyle w:val="12"/>
        <w:spacing w:line="440" w:lineRule="exact"/>
        <w:ind w:firstLine="480" w:firstLineChars="200"/>
        <w:rPr>
          <w:rFonts w:hAnsi="宋体" w:cs="宋体"/>
          <w:sz w:val="24"/>
          <w:szCs w:val="24"/>
          <w:highlight w:val="none"/>
        </w:rPr>
      </w:pPr>
      <w:r>
        <w:rPr>
          <w:rFonts w:hint="eastAsia" w:hAnsi="宋体" w:cs="宋体"/>
          <w:sz w:val="24"/>
          <w:szCs w:val="24"/>
          <w:highlight w:val="none"/>
        </w:rPr>
        <w:t>8.2　供应商享受支持中小企业发展政策优惠的，可用扣除后的最后报价参与价格比较。</w:t>
      </w:r>
    </w:p>
    <w:p>
      <w:pPr>
        <w:pStyle w:val="12"/>
        <w:spacing w:line="440" w:lineRule="exact"/>
        <w:ind w:firstLine="480" w:firstLineChars="200"/>
        <w:rPr>
          <w:rFonts w:hAnsi="宋体" w:cs="宋体"/>
          <w:sz w:val="24"/>
          <w:szCs w:val="24"/>
          <w:highlight w:val="none"/>
        </w:rPr>
      </w:pPr>
      <w:r>
        <w:rPr>
          <w:rFonts w:hint="eastAsia" w:hAnsi="宋体" w:cs="宋体"/>
          <w:sz w:val="24"/>
          <w:szCs w:val="24"/>
          <w:highlight w:val="none"/>
        </w:rPr>
        <w:t>8.3　监狱企业视同小型、微型企业，享受促进中小企业发展政策优惠，可用扣除后的最后报价参与价格比较。</w:t>
      </w:r>
    </w:p>
    <w:p>
      <w:pPr>
        <w:pStyle w:val="12"/>
        <w:spacing w:line="440" w:lineRule="exact"/>
        <w:ind w:firstLine="480" w:firstLineChars="200"/>
        <w:rPr>
          <w:rFonts w:hAnsi="宋体" w:cs="宋体"/>
          <w:sz w:val="24"/>
          <w:szCs w:val="24"/>
          <w:highlight w:val="none"/>
        </w:rPr>
      </w:pPr>
      <w:r>
        <w:rPr>
          <w:rFonts w:hint="eastAsia" w:hAnsi="宋体" w:cs="宋体"/>
          <w:sz w:val="24"/>
          <w:szCs w:val="24"/>
          <w:highlight w:val="none"/>
        </w:rPr>
        <w:t>8.4  残疾人福利性单位视同小型、微型企业，享受促进中小企业发展政策优惠，可用扣除后的最后报价参与价格比较。</w:t>
      </w:r>
    </w:p>
    <w:p>
      <w:pPr>
        <w:pStyle w:val="12"/>
        <w:spacing w:line="440" w:lineRule="exact"/>
        <w:ind w:firstLine="480" w:firstLineChars="200"/>
        <w:rPr>
          <w:rFonts w:hAnsi="宋体" w:cs="宋体"/>
          <w:sz w:val="24"/>
          <w:szCs w:val="24"/>
          <w:highlight w:val="none"/>
        </w:rPr>
      </w:pPr>
      <w:r>
        <w:rPr>
          <w:rFonts w:hint="eastAsia" w:hAnsi="宋体" w:cs="宋体"/>
          <w:sz w:val="24"/>
          <w:szCs w:val="24"/>
          <w:highlight w:val="none"/>
        </w:rPr>
        <w:t>8.5　采购人使用财政性资金采购信息安全产品的，应当采购经国家认证的信息安全产品，应当在采购文件中载明对产品获得信息安全认证的要求，并要求产品供应商提供由中国信息安全认证中心按国家标准认证颁发的有效认证证书。</w:t>
      </w:r>
    </w:p>
    <w:p>
      <w:pPr>
        <w:pStyle w:val="12"/>
        <w:spacing w:line="440" w:lineRule="exact"/>
        <w:ind w:firstLine="480" w:firstLineChars="200"/>
        <w:rPr>
          <w:rFonts w:hAnsi="宋体" w:cs="宋体"/>
          <w:sz w:val="24"/>
          <w:szCs w:val="24"/>
          <w:highlight w:val="none"/>
        </w:rPr>
      </w:pPr>
      <w:r>
        <w:rPr>
          <w:rFonts w:hint="eastAsia" w:hAnsi="宋体" w:cs="宋体"/>
          <w:sz w:val="24"/>
          <w:szCs w:val="24"/>
          <w:highlight w:val="none"/>
        </w:rPr>
        <w:t>8.6　其他法律法规强制性规定。</w:t>
      </w:r>
    </w:p>
    <w:p>
      <w:pPr>
        <w:spacing w:line="360" w:lineRule="auto"/>
        <w:jc w:val="center"/>
        <w:outlineLvl w:val="1"/>
        <w:rPr>
          <w:rFonts w:ascii="宋体" w:hAnsi="宋体" w:cs="宋体"/>
          <w:sz w:val="30"/>
          <w:szCs w:val="30"/>
          <w:highlight w:val="none"/>
        </w:rPr>
      </w:pPr>
      <w:bookmarkStart w:id="21" w:name="_Toc519156739"/>
      <w:bookmarkStart w:id="22" w:name="_Toc27408"/>
      <w:bookmarkStart w:id="23" w:name="_Toc4528"/>
      <w:bookmarkStart w:id="24" w:name="_Toc18111"/>
      <w:r>
        <w:rPr>
          <w:rFonts w:hint="eastAsia" w:ascii="宋体" w:hAnsi="宋体" w:cs="宋体"/>
          <w:b/>
          <w:sz w:val="30"/>
          <w:szCs w:val="30"/>
          <w:highlight w:val="none"/>
        </w:rPr>
        <w:t>三．磋商文件</w:t>
      </w:r>
      <w:bookmarkEnd w:id="21"/>
      <w:bookmarkEnd w:id="22"/>
      <w:bookmarkEnd w:id="23"/>
      <w:bookmarkEnd w:id="24"/>
    </w:p>
    <w:p>
      <w:pPr>
        <w:spacing w:line="440" w:lineRule="exact"/>
        <w:ind w:firstLine="120" w:firstLineChars="50"/>
        <w:rPr>
          <w:rFonts w:ascii="宋体" w:hAnsi="宋体" w:cs="宋体"/>
          <w:b/>
          <w:sz w:val="24"/>
          <w:highlight w:val="none"/>
        </w:rPr>
      </w:pPr>
      <w:r>
        <w:rPr>
          <w:rFonts w:hint="eastAsia" w:ascii="宋体" w:hAnsi="宋体" w:cs="宋体"/>
          <w:b/>
          <w:sz w:val="24"/>
          <w:highlight w:val="none"/>
        </w:rPr>
        <w:t>9.磋商文件</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9.1 磋商文件要求提供的服务，磋商程序和合同条件在磋商文件中均有说明。磋商文件共六章，内容如下：</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第一部分  竞争性磋商公告</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第二部分  供应商须知</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第三部分  采购要求及说明</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第四部分  商务及合同主要条款</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第五部分  评审办法</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第六部分  竞争性磋商响应文件格式</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9.2 供应商应认真阅读磋商文件中所有的事项、格式、条款和规范等要求。如果供应商没有按照磋商文件要求提交全部资料，或者磋商响应文件没有对磋商文件在各方面都做出实质性响应，由此带来不利于供应商的磋商结果，其风险由供应商承担。</w:t>
      </w:r>
    </w:p>
    <w:p>
      <w:pPr>
        <w:spacing w:line="440" w:lineRule="exact"/>
        <w:ind w:firstLine="482" w:firstLineChars="200"/>
        <w:rPr>
          <w:rFonts w:ascii="宋体" w:hAnsi="宋体" w:cs="宋体"/>
          <w:b/>
          <w:sz w:val="24"/>
          <w:highlight w:val="none"/>
        </w:rPr>
      </w:pPr>
      <w:r>
        <w:rPr>
          <w:rFonts w:hint="eastAsia" w:ascii="宋体" w:hAnsi="宋体" w:cs="宋体"/>
          <w:b/>
          <w:sz w:val="24"/>
          <w:highlight w:val="none"/>
        </w:rPr>
        <w:t>10．磋商文件的澄清修改</w:t>
      </w:r>
    </w:p>
    <w:p>
      <w:pPr>
        <w:spacing w:line="440" w:lineRule="exact"/>
        <w:ind w:firstLine="480" w:firstLineChars="200"/>
        <w:rPr>
          <w:rFonts w:ascii="宋体" w:hAnsi="宋体" w:cs="宋体"/>
          <w:b/>
          <w:sz w:val="24"/>
          <w:highlight w:val="none"/>
          <w:bdr w:val="single" w:color="auto" w:sz="4" w:space="0"/>
        </w:rPr>
      </w:pPr>
      <w:r>
        <w:rPr>
          <w:rFonts w:hint="eastAsia" w:ascii="宋体" w:hAnsi="宋体" w:cs="宋体"/>
          <w:sz w:val="24"/>
          <w:highlight w:val="none"/>
        </w:rPr>
        <w:t>磋商采购单位如果对已发出的磋商文件进行必要的澄清或者修改，将在磋商文件要求提交首次磋商响应文件截止时间5日前，以书面形式通知所有购买磋商文件的供应商，不足5日的，将顺延提交首次磋商响应文件截止时间。该澄清或者修改的内容作为磋商文件的组成部分。</w:t>
      </w:r>
      <w:r>
        <w:rPr>
          <w:rFonts w:hint="eastAsia" w:ascii="宋体" w:hAnsi="宋体" w:cs="宋体"/>
          <w:b/>
          <w:sz w:val="24"/>
          <w:highlight w:val="none"/>
        </w:rPr>
        <w:t>对磋商文件中有难以理解或参数有疑义的内容，须在规定时间内提交书面资料，否则视为对磋商文件再无疑义，因此带来的一切不利后果由磋商供应商自负。</w:t>
      </w:r>
    </w:p>
    <w:p>
      <w:pPr>
        <w:spacing w:line="440" w:lineRule="exact"/>
        <w:ind w:firstLine="120" w:firstLineChars="50"/>
        <w:rPr>
          <w:rFonts w:ascii="宋体" w:hAnsi="宋体" w:cs="宋体"/>
          <w:b/>
          <w:sz w:val="24"/>
          <w:highlight w:val="none"/>
        </w:rPr>
      </w:pPr>
      <w:r>
        <w:rPr>
          <w:rFonts w:hint="eastAsia" w:ascii="宋体" w:hAnsi="宋体" w:cs="宋体"/>
          <w:b/>
          <w:sz w:val="24"/>
          <w:highlight w:val="none"/>
        </w:rPr>
        <w:t>11.磋商文件的购买</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磋商供应商必须从采购代理机构购买磋商文件，磋商供应商自行转让或复制的磋商文件视为无效文件；磋商文件一经售出，一律不退，仅作为本次磋商使用。</w:t>
      </w:r>
    </w:p>
    <w:p>
      <w:pPr>
        <w:spacing w:line="440" w:lineRule="exact"/>
        <w:ind w:firstLine="120" w:firstLineChars="50"/>
        <w:rPr>
          <w:rFonts w:ascii="宋体" w:hAnsi="宋体" w:cs="宋体"/>
          <w:b/>
          <w:sz w:val="24"/>
          <w:highlight w:val="none"/>
        </w:rPr>
      </w:pPr>
      <w:r>
        <w:rPr>
          <w:rFonts w:hint="eastAsia" w:ascii="宋体" w:hAnsi="宋体" w:cs="宋体"/>
          <w:b/>
          <w:sz w:val="24"/>
          <w:highlight w:val="none"/>
        </w:rPr>
        <w:t>12.磋商的处理依据</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根据《中华人民共和国政府采购法》和《政府采购竞争性磋商采购方式管理暂行办法》的条款，本着公开、公平、公正的原则进行处理。</w:t>
      </w:r>
    </w:p>
    <w:p>
      <w:pPr>
        <w:spacing w:line="440" w:lineRule="exact"/>
        <w:ind w:firstLine="120" w:firstLineChars="50"/>
        <w:rPr>
          <w:rFonts w:ascii="宋体" w:hAnsi="宋体" w:cs="宋体"/>
          <w:b/>
          <w:sz w:val="24"/>
          <w:highlight w:val="none"/>
        </w:rPr>
      </w:pPr>
      <w:r>
        <w:rPr>
          <w:rFonts w:hint="eastAsia" w:ascii="宋体" w:hAnsi="宋体" w:cs="宋体"/>
          <w:b/>
          <w:sz w:val="24"/>
          <w:highlight w:val="none"/>
        </w:rPr>
        <w:t>13.解释权归属</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本次磋商文件的解释权归采购代理机构。</w:t>
      </w:r>
    </w:p>
    <w:p>
      <w:pPr>
        <w:spacing w:line="360" w:lineRule="auto"/>
        <w:jc w:val="center"/>
        <w:outlineLvl w:val="1"/>
        <w:rPr>
          <w:rFonts w:ascii="宋体" w:hAnsi="宋体" w:cs="宋体"/>
          <w:sz w:val="30"/>
          <w:szCs w:val="30"/>
          <w:highlight w:val="none"/>
        </w:rPr>
      </w:pPr>
      <w:bookmarkStart w:id="25" w:name="_Toc8808"/>
      <w:bookmarkStart w:id="26" w:name="_Toc4855"/>
      <w:bookmarkStart w:id="27" w:name="_Toc1168"/>
      <w:r>
        <w:rPr>
          <w:rFonts w:hint="eastAsia" w:ascii="宋体" w:hAnsi="宋体" w:cs="宋体"/>
          <w:b/>
          <w:sz w:val="30"/>
          <w:szCs w:val="30"/>
          <w:highlight w:val="none"/>
        </w:rPr>
        <w:t>四．磋商要求</w:t>
      </w:r>
      <w:bookmarkEnd w:id="25"/>
      <w:bookmarkEnd w:id="26"/>
      <w:bookmarkEnd w:id="27"/>
    </w:p>
    <w:p>
      <w:pPr>
        <w:spacing w:line="460" w:lineRule="exact"/>
        <w:rPr>
          <w:rFonts w:ascii="宋体" w:hAnsi="宋体" w:cs="宋体"/>
          <w:b/>
          <w:sz w:val="24"/>
          <w:highlight w:val="none"/>
        </w:rPr>
      </w:pPr>
      <w:r>
        <w:rPr>
          <w:rFonts w:hint="eastAsia" w:ascii="宋体" w:hAnsi="宋体" w:cs="宋体"/>
          <w:b/>
          <w:sz w:val="24"/>
          <w:highlight w:val="none"/>
        </w:rPr>
        <w:t>14.磋商语言和磋商货币</w:t>
      </w:r>
    </w:p>
    <w:p>
      <w:pPr>
        <w:kinsoku w:val="0"/>
        <w:spacing w:line="460" w:lineRule="exact"/>
        <w:ind w:firstLine="480" w:firstLineChars="200"/>
        <w:rPr>
          <w:rFonts w:ascii="宋体" w:hAnsi="宋体" w:cs="宋体"/>
          <w:sz w:val="24"/>
          <w:highlight w:val="none"/>
        </w:rPr>
      </w:pPr>
      <w:r>
        <w:rPr>
          <w:rFonts w:hint="eastAsia" w:ascii="宋体" w:hAnsi="宋体" w:cs="宋体"/>
          <w:sz w:val="24"/>
          <w:highlight w:val="none"/>
        </w:rPr>
        <w:t>14.1供应商提交的磋商响应文件以及供应商与招标代理机构就有关磋商的所有来往函电均应使用中文。</w:t>
      </w:r>
    </w:p>
    <w:p>
      <w:pPr>
        <w:kinsoku w:val="0"/>
        <w:spacing w:line="460" w:lineRule="exact"/>
        <w:ind w:firstLine="480" w:firstLineChars="200"/>
        <w:rPr>
          <w:rFonts w:ascii="宋体" w:hAnsi="宋体" w:cs="宋体"/>
          <w:spacing w:val="-6"/>
          <w:sz w:val="24"/>
          <w:highlight w:val="none"/>
        </w:rPr>
      </w:pPr>
      <w:r>
        <w:rPr>
          <w:rFonts w:hint="eastAsia" w:ascii="宋体" w:hAnsi="宋体" w:cs="宋体"/>
          <w:sz w:val="24"/>
          <w:highlight w:val="none"/>
        </w:rPr>
        <w:t>14.2磋商报价应以人民币报价，任何包含非人民币报价的磋商将按无效磋商处理</w:t>
      </w:r>
    </w:p>
    <w:p>
      <w:pPr>
        <w:spacing w:line="460" w:lineRule="exact"/>
        <w:ind w:firstLine="480" w:firstLineChars="200"/>
        <w:rPr>
          <w:rFonts w:ascii="宋体" w:hAnsi="宋体" w:cs="宋体"/>
          <w:sz w:val="24"/>
          <w:highlight w:val="none"/>
        </w:rPr>
      </w:pPr>
      <w:r>
        <w:rPr>
          <w:rFonts w:hint="eastAsia" w:ascii="宋体" w:hAnsi="宋体" w:cs="宋体"/>
          <w:sz w:val="24"/>
          <w:highlight w:val="none"/>
        </w:rPr>
        <w:t>本项目不接受联合体磋商。</w:t>
      </w:r>
    </w:p>
    <w:p>
      <w:pPr>
        <w:spacing w:line="460" w:lineRule="exact"/>
        <w:rPr>
          <w:rFonts w:ascii="宋体" w:hAnsi="宋体" w:cs="宋体"/>
          <w:b/>
          <w:sz w:val="24"/>
          <w:highlight w:val="none"/>
        </w:rPr>
      </w:pPr>
      <w:bookmarkStart w:id="28" w:name="_Toc519156741"/>
      <w:bookmarkStart w:id="29" w:name="_Toc24973"/>
      <w:bookmarkStart w:id="30" w:name="_Toc2990"/>
      <w:r>
        <w:rPr>
          <w:rFonts w:hint="eastAsia" w:ascii="宋体" w:hAnsi="宋体" w:cs="宋体"/>
          <w:b/>
          <w:sz w:val="24"/>
          <w:highlight w:val="none"/>
        </w:rPr>
        <w:t>15.磋商响应文件的构成</w:t>
      </w:r>
    </w:p>
    <w:p>
      <w:pPr>
        <w:spacing w:line="460" w:lineRule="exact"/>
        <w:ind w:firstLine="480" w:firstLineChars="200"/>
        <w:rPr>
          <w:rFonts w:ascii="宋体" w:hAnsi="宋体" w:cs="宋体"/>
          <w:sz w:val="24"/>
          <w:highlight w:val="none"/>
        </w:rPr>
      </w:pPr>
      <w:r>
        <w:rPr>
          <w:rFonts w:hint="eastAsia" w:ascii="宋体" w:hAnsi="宋体" w:cs="宋体"/>
          <w:sz w:val="24"/>
          <w:highlight w:val="none"/>
        </w:rPr>
        <w:t>15.1供应商提交的磋商响应文件应包括下列部分的内容：</w:t>
      </w:r>
    </w:p>
    <w:p>
      <w:pPr>
        <w:kinsoku w:val="0"/>
        <w:spacing w:line="460" w:lineRule="exact"/>
        <w:ind w:firstLine="480" w:firstLineChars="200"/>
        <w:rPr>
          <w:rFonts w:ascii="宋体" w:hAnsi="宋体" w:cs="宋体"/>
          <w:sz w:val="24"/>
          <w:highlight w:val="none"/>
        </w:rPr>
      </w:pPr>
      <w:r>
        <w:rPr>
          <w:rFonts w:hint="eastAsia" w:ascii="宋体" w:hAnsi="宋体" w:cs="宋体"/>
          <w:sz w:val="24"/>
          <w:highlight w:val="none"/>
        </w:rPr>
        <w:t>一、磋商函</w:t>
      </w:r>
    </w:p>
    <w:p>
      <w:pPr>
        <w:kinsoku w:val="0"/>
        <w:spacing w:line="460" w:lineRule="exact"/>
        <w:ind w:firstLine="480" w:firstLineChars="200"/>
        <w:rPr>
          <w:rFonts w:ascii="宋体" w:hAnsi="宋体" w:cs="宋体"/>
          <w:sz w:val="24"/>
          <w:highlight w:val="none"/>
        </w:rPr>
      </w:pPr>
      <w:r>
        <w:rPr>
          <w:rFonts w:hint="eastAsia" w:ascii="宋体" w:hAnsi="宋体" w:cs="宋体"/>
          <w:sz w:val="24"/>
          <w:highlight w:val="none"/>
        </w:rPr>
        <w:t>二、法定代表人身份证明</w:t>
      </w:r>
    </w:p>
    <w:p>
      <w:pPr>
        <w:kinsoku w:val="0"/>
        <w:spacing w:line="460" w:lineRule="exact"/>
        <w:ind w:firstLine="480" w:firstLineChars="200"/>
        <w:rPr>
          <w:rFonts w:ascii="宋体" w:hAnsi="宋体" w:cs="宋体"/>
          <w:sz w:val="24"/>
          <w:highlight w:val="none"/>
        </w:rPr>
      </w:pPr>
      <w:r>
        <w:rPr>
          <w:rFonts w:hint="eastAsia" w:ascii="宋体" w:hAnsi="宋体" w:cs="宋体"/>
          <w:sz w:val="24"/>
          <w:highlight w:val="none"/>
        </w:rPr>
        <w:t>三、法人授权委托书</w:t>
      </w:r>
    </w:p>
    <w:p>
      <w:pPr>
        <w:kinsoku w:val="0"/>
        <w:spacing w:line="460" w:lineRule="exact"/>
        <w:ind w:firstLine="480" w:firstLineChars="200"/>
        <w:rPr>
          <w:rFonts w:ascii="宋体" w:hAnsi="宋体" w:cs="宋体"/>
          <w:sz w:val="24"/>
          <w:highlight w:val="none"/>
        </w:rPr>
      </w:pPr>
      <w:r>
        <w:rPr>
          <w:rFonts w:hint="eastAsia" w:ascii="宋体" w:hAnsi="宋体" w:cs="宋体"/>
          <w:sz w:val="24"/>
          <w:highlight w:val="none"/>
        </w:rPr>
        <w:t>四、报价表</w:t>
      </w:r>
    </w:p>
    <w:p>
      <w:pPr>
        <w:spacing w:line="460" w:lineRule="exact"/>
        <w:ind w:firstLine="480" w:firstLineChars="200"/>
        <w:rPr>
          <w:rFonts w:ascii="宋体" w:hAnsi="宋体" w:cs="宋体"/>
          <w:sz w:val="24"/>
          <w:highlight w:val="none"/>
        </w:rPr>
      </w:pPr>
      <w:r>
        <w:rPr>
          <w:rFonts w:hint="eastAsia" w:ascii="宋体" w:hAnsi="宋体" w:cs="宋体"/>
          <w:sz w:val="24"/>
          <w:highlight w:val="none"/>
        </w:rPr>
        <w:t>五、近年承接的类似项目情况表</w:t>
      </w:r>
    </w:p>
    <w:p>
      <w:pPr>
        <w:spacing w:line="460" w:lineRule="exact"/>
        <w:ind w:firstLine="480" w:firstLineChars="200"/>
        <w:rPr>
          <w:rFonts w:ascii="宋体" w:hAnsi="宋体" w:cs="宋体"/>
          <w:sz w:val="24"/>
          <w:highlight w:val="none"/>
        </w:rPr>
      </w:pPr>
      <w:r>
        <w:rPr>
          <w:rFonts w:hint="eastAsia" w:ascii="宋体" w:hAnsi="宋体" w:cs="宋体"/>
          <w:sz w:val="24"/>
          <w:highlight w:val="none"/>
        </w:rPr>
        <w:t>六、项目实施方案</w:t>
      </w:r>
    </w:p>
    <w:p>
      <w:pPr>
        <w:spacing w:line="460" w:lineRule="exact"/>
        <w:ind w:firstLine="480" w:firstLineChars="200"/>
        <w:rPr>
          <w:rFonts w:ascii="宋体" w:hAnsi="宋体" w:cs="宋体"/>
          <w:sz w:val="24"/>
          <w:highlight w:val="none"/>
        </w:rPr>
      </w:pPr>
      <w:r>
        <w:rPr>
          <w:rFonts w:hint="eastAsia" w:ascii="宋体" w:hAnsi="宋体" w:cs="宋体"/>
          <w:sz w:val="24"/>
          <w:highlight w:val="none"/>
        </w:rPr>
        <w:t>七、商务和技术响应说明</w:t>
      </w:r>
    </w:p>
    <w:p>
      <w:pPr>
        <w:spacing w:line="460" w:lineRule="exact"/>
        <w:ind w:firstLine="480" w:firstLineChars="200"/>
        <w:rPr>
          <w:rFonts w:ascii="宋体" w:hAnsi="宋体" w:cs="宋体"/>
          <w:sz w:val="24"/>
          <w:highlight w:val="none"/>
        </w:rPr>
      </w:pPr>
      <w:r>
        <w:rPr>
          <w:rFonts w:hint="eastAsia" w:ascii="宋体" w:hAnsi="宋体" w:cs="宋体"/>
          <w:sz w:val="24"/>
          <w:highlight w:val="none"/>
        </w:rPr>
        <w:t>八、资格证明文件</w:t>
      </w:r>
    </w:p>
    <w:p>
      <w:pPr>
        <w:spacing w:line="460" w:lineRule="exact"/>
        <w:ind w:firstLine="480" w:firstLineChars="200"/>
        <w:rPr>
          <w:rFonts w:ascii="宋体" w:hAnsi="宋体" w:cs="宋体"/>
          <w:sz w:val="24"/>
          <w:highlight w:val="none"/>
        </w:rPr>
      </w:pPr>
      <w:r>
        <w:rPr>
          <w:rFonts w:hint="eastAsia" w:ascii="宋体" w:hAnsi="宋体" w:cs="宋体"/>
          <w:sz w:val="24"/>
          <w:highlight w:val="none"/>
        </w:rPr>
        <w:t>九、其他资料</w:t>
      </w:r>
    </w:p>
    <w:p>
      <w:pPr>
        <w:spacing w:line="460" w:lineRule="exact"/>
        <w:ind w:firstLine="480" w:firstLineChars="200"/>
        <w:rPr>
          <w:rFonts w:ascii="宋体" w:hAnsi="宋体" w:cs="宋体"/>
          <w:sz w:val="24"/>
          <w:highlight w:val="none"/>
        </w:rPr>
      </w:pPr>
      <w:r>
        <w:rPr>
          <w:rFonts w:hint="eastAsia" w:ascii="宋体" w:hAnsi="宋体" w:cs="宋体"/>
          <w:sz w:val="24"/>
          <w:highlight w:val="none"/>
        </w:rPr>
        <w:t>15.2 如果在磋商文件中没有允许提供备选方案，则每个供应商只允许提交一个磋商方案，否则，将按无效响磋商处理。</w:t>
      </w:r>
    </w:p>
    <w:p>
      <w:pPr>
        <w:spacing w:line="460" w:lineRule="exact"/>
        <w:ind w:firstLine="480" w:firstLineChars="200"/>
        <w:rPr>
          <w:rFonts w:ascii="宋体" w:hAnsi="宋体" w:cs="宋体"/>
          <w:sz w:val="24"/>
          <w:highlight w:val="none"/>
        </w:rPr>
      </w:pPr>
      <w:r>
        <w:rPr>
          <w:rFonts w:hint="eastAsia" w:ascii="宋体" w:hAnsi="宋体" w:cs="宋体"/>
          <w:sz w:val="24"/>
          <w:highlight w:val="none"/>
        </w:rPr>
        <w:t>15.3本次磋商的最小单元为“项目”。供应商可根据自身的资质情况和经营范围对本次项目进行磋商，不得将其子目再行分解或只对本项目中的品目进行不完全磋商，任何不完全的响应将会被拒绝。</w:t>
      </w:r>
    </w:p>
    <w:p>
      <w:pPr>
        <w:spacing w:line="460" w:lineRule="exact"/>
        <w:ind w:firstLine="120" w:firstLineChars="50"/>
        <w:rPr>
          <w:rFonts w:ascii="宋体" w:hAnsi="宋体" w:cs="宋体"/>
          <w:b/>
          <w:sz w:val="24"/>
          <w:highlight w:val="none"/>
        </w:rPr>
      </w:pPr>
      <w:r>
        <w:rPr>
          <w:rFonts w:hint="eastAsia" w:ascii="宋体" w:hAnsi="宋体" w:cs="宋体"/>
          <w:b/>
          <w:sz w:val="24"/>
          <w:highlight w:val="none"/>
        </w:rPr>
        <w:t>16.磋商报价</w:t>
      </w:r>
    </w:p>
    <w:p>
      <w:pPr>
        <w:spacing w:line="460" w:lineRule="exact"/>
        <w:ind w:firstLine="480" w:firstLineChars="200"/>
        <w:rPr>
          <w:rFonts w:ascii="宋体" w:hAnsi="宋体" w:cs="宋体"/>
          <w:sz w:val="24"/>
          <w:highlight w:val="none"/>
        </w:rPr>
      </w:pPr>
      <w:r>
        <w:rPr>
          <w:rFonts w:hint="eastAsia" w:ascii="宋体" w:hAnsi="宋体" w:cs="宋体"/>
          <w:sz w:val="24"/>
          <w:highlight w:val="none"/>
        </w:rPr>
        <w:t>16.1磋商报价是指项目达到正常使用条件下的所有费用，包括人员制作费、服务费、设备费、税费等一切相关费用，以磋商文件的内容和要求作为依据；</w:t>
      </w:r>
    </w:p>
    <w:p>
      <w:pPr>
        <w:spacing w:line="460" w:lineRule="exact"/>
        <w:ind w:firstLine="480" w:firstLineChars="200"/>
        <w:rPr>
          <w:rFonts w:ascii="宋体" w:hAnsi="宋体" w:cs="宋体"/>
          <w:sz w:val="24"/>
          <w:highlight w:val="none"/>
        </w:rPr>
      </w:pPr>
      <w:r>
        <w:rPr>
          <w:rFonts w:hint="eastAsia" w:ascii="宋体" w:hAnsi="宋体" w:cs="宋体"/>
          <w:sz w:val="24"/>
          <w:highlight w:val="none"/>
        </w:rPr>
        <w:t>16.2磋商供应商应在磋商响应文件中的响应报价表上，标明费用组成；任何有选择的报价不予接受；</w:t>
      </w:r>
    </w:p>
    <w:p>
      <w:pPr>
        <w:spacing w:line="460" w:lineRule="exact"/>
        <w:ind w:firstLine="480" w:firstLineChars="200"/>
        <w:rPr>
          <w:rFonts w:ascii="宋体" w:hAnsi="宋体" w:cs="宋体"/>
          <w:sz w:val="24"/>
          <w:highlight w:val="none"/>
        </w:rPr>
      </w:pPr>
      <w:r>
        <w:rPr>
          <w:rFonts w:hint="eastAsia" w:ascii="宋体" w:hAnsi="宋体" w:cs="宋体"/>
          <w:sz w:val="24"/>
          <w:highlight w:val="none"/>
        </w:rPr>
        <w:t>16.3磋商货币：人民币；单位：元（精确到小数点后两位）；</w:t>
      </w:r>
    </w:p>
    <w:p>
      <w:pPr>
        <w:spacing w:line="460" w:lineRule="exact"/>
        <w:ind w:firstLine="480" w:firstLineChars="200"/>
        <w:rPr>
          <w:rFonts w:ascii="宋体" w:hAnsi="宋体" w:cs="宋体"/>
          <w:sz w:val="24"/>
          <w:highlight w:val="none"/>
        </w:rPr>
      </w:pPr>
      <w:r>
        <w:rPr>
          <w:rFonts w:hint="eastAsia" w:ascii="宋体" w:hAnsi="宋体" w:cs="宋体"/>
          <w:sz w:val="24"/>
          <w:highlight w:val="none"/>
        </w:rPr>
        <w:t>16.4响应报价表应有法定代表人或被授权人的签字；</w:t>
      </w:r>
    </w:p>
    <w:p>
      <w:pPr>
        <w:spacing w:line="460" w:lineRule="exact"/>
        <w:ind w:firstLine="480" w:firstLineChars="200"/>
        <w:rPr>
          <w:rFonts w:ascii="宋体" w:hAnsi="宋体" w:cs="宋体"/>
          <w:sz w:val="24"/>
          <w:highlight w:val="none"/>
        </w:rPr>
      </w:pPr>
      <w:r>
        <w:rPr>
          <w:rFonts w:hint="eastAsia" w:ascii="宋体" w:hAnsi="宋体" w:cs="宋体"/>
          <w:sz w:val="24"/>
          <w:highlight w:val="none"/>
        </w:rPr>
        <w:t>16.5合同价格：经磋商小组确认的某一磋商供应商的最终报价，在合同执行过程中是固定不变的，不受外汇汇率及市场价格变化的影响；</w:t>
      </w:r>
    </w:p>
    <w:p>
      <w:pPr>
        <w:spacing w:line="460" w:lineRule="exact"/>
        <w:ind w:firstLine="480" w:firstLineChars="200"/>
        <w:rPr>
          <w:rFonts w:ascii="宋体" w:hAnsi="宋体" w:cs="宋体"/>
          <w:sz w:val="24"/>
          <w:highlight w:val="none"/>
        </w:rPr>
      </w:pPr>
      <w:r>
        <w:rPr>
          <w:rFonts w:hint="eastAsia" w:ascii="宋体" w:hAnsi="宋体" w:cs="宋体"/>
          <w:sz w:val="24"/>
          <w:highlight w:val="none"/>
        </w:rPr>
        <w:t>16.6凡因磋商供应商对磋商文件阅读不深、理解不透、误解、疏漏、或因市场行情了解不清造成的后果和风险均由磋商供应商自负；</w:t>
      </w:r>
    </w:p>
    <w:p>
      <w:pPr>
        <w:spacing w:line="460" w:lineRule="exact"/>
        <w:ind w:firstLine="480" w:firstLineChars="200"/>
        <w:rPr>
          <w:rFonts w:ascii="宋体" w:hAnsi="宋体" w:cs="宋体"/>
          <w:sz w:val="24"/>
          <w:highlight w:val="none"/>
        </w:rPr>
      </w:pPr>
      <w:r>
        <w:rPr>
          <w:rFonts w:hint="eastAsia" w:ascii="宋体" w:hAnsi="宋体" w:cs="宋体"/>
          <w:sz w:val="24"/>
          <w:highlight w:val="none"/>
        </w:rPr>
        <w:t>16.7磋商供应商不得以低于成本的报价参加磋商。当磋商小组认为某个磋商供应商的磋商价或者某些分项报价明显不合理或者低于成本，有可能影响设计质量和不能诚信履约的，可要求该磋商供应商在规定的期限内提供书面文件予以解释说明，并提交相关证明材料；否则，磋商小组可以取消该磋商供应商的成交候选资格。</w:t>
      </w:r>
    </w:p>
    <w:p>
      <w:pPr>
        <w:spacing w:line="460" w:lineRule="exact"/>
        <w:ind w:firstLine="120" w:firstLineChars="50"/>
        <w:rPr>
          <w:rFonts w:ascii="宋体" w:hAnsi="宋体" w:cs="宋体"/>
          <w:b/>
          <w:sz w:val="24"/>
          <w:highlight w:val="none"/>
        </w:rPr>
      </w:pPr>
      <w:r>
        <w:rPr>
          <w:rFonts w:hint="eastAsia" w:ascii="宋体" w:hAnsi="宋体" w:cs="宋体"/>
          <w:b/>
          <w:sz w:val="24"/>
          <w:highlight w:val="none"/>
        </w:rPr>
        <w:t>17.证明供应商合格的资格证明文件</w:t>
      </w:r>
    </w:p>
    <w:p>
      <w:pPr>
        <w:spacing w:line="460" w:lineRule="exact"/>
        <w:ind w:firstLine="480" w:firstLineChars="200"/>
        <w:rPr>
          <w:rFonts w:ascii="宋体" w:hAnsi="宋体" w:cs="宋体"/>
          <w:sz w:val="24"/>
          <w:highlight w:val="none"/>
        </w:rPr>
      </w:pPr>
      <w:r>
        <w:rPr>
          <w:rFonts w:hint="eastAsia" w:ascii="宋体" w:hAnsi="宋体" w:cs="宋体"/>
          <w:sz w:val="24"/>
          <w:highlight w:val="none"/>
        </w:rPr>
        <w:t>17.1供应商应按照磋商文件“供应商须知前附表”的要求，在磋商响应文件中提交合格的资格证明文件。如果资格证明文件不全或不合格的，将按无效磋商处理。</w:t>
      </w:r>
    </w:p>
    <w:p>
      <w:pPr>
        <w:spacing w:line="460" w:lineRule="exact"/>
        <w:ind w:firstLine="120" w:firstLineChars="50"/>
        <w:rPr>
          <w:rFonts w:ascii="宋体" w:hAnsi="宋体" w:cs="宋体"/>
          <w:b/>
          <w:sz w:val="24"/>
          <w:highlight w:val="none"/>
        </w:rPr>
      </w:pPr>
      <w:r>
        <w:rPr>
          <w:rFonts w:hint="eastAsia" w:ascii="宋体" w:hAnsi="宋体" w:cs="宋体"/>
          <w:b/>
          <w:sz w:val="24"/>
          <w:highlight w:val="none"/>
        </w:rPr>
        <w:t>18.证明标的物的合格性和符合磋商文件规定的文件</w:t>
      </w:r>
    </w:p>
    <w:p>
      <w:pPr>
        <w:spacing w:line="460" w:lineRule="exact"/>
        <w:ind w:firstLine="480" w:firstLineChars="200"/>
        <w:rPr>
          <w:rFonts w:ascii="宋体" w:hAnsi="宋体" w:cs="宋体"/>
          <w:sz w:val="24"/>
          <w:highlight w:val="none"/>
        </w:rPr>
      </w:pPr>
      <w:r>
        <w:rPr>
          <w:rFonts w:hint="eastAsia" w:ascii="宋体" w:hAnsi="宋体" w:cs="宋体"/>
          <w:sz w:val="24"/>
          <w:highlight w:val="none"/>
        </w:rPr>
        <w:t>18.1供应商应在磋商响应文件中提供货物及服务满足磋商文件要求并符合国家法律法规、行业管理部门要求的其他强制性标准的证明文件。缺少证明文件或证明文件不合格的磋商，与磋商文件要求有重大偏离的磋商，不符合国家法律法规、行业管理部门要求的其他强制性标准的磋商响应文件将被作无效响应处理。</w:t>
      </w:r>
    </w:p>
    <w:p>
      <w:pPr>
        <w:spacing w:line="460" w:lineRule="exact"/>
        <w:ind w:firstLine="480" w:firstLineChars="200"/>
        <w:rPr>
          <w:rFonts w:ascii="宋体" w:hAnsi="宋体" w:cs="宋体"/>
          <w:sz w:val="24"/>
          <w:highlight w:val="none"/>
        </w:rPr>
      </w:pPr>
      <w:r>
        <w:rPr>
          <w:rFonts w:hint="eastAsia" w:ascii="宋体" w:hAnsi="宋体" w:cs="宋体"/>
          <w:sz w:val="24"/>
          <w:highlight w:val="none"/>
        </w:rPr>
        <w:t>18.2上述证明文件可以是文字资料、图纸、图片和数据，它包括：</w:t>
      </w:r>
    </w:p>
    <w:p>
      <w:pPr>
        <w:spacing w:line="460" w:lineRule="exact"/>
        <w:ind w:firstLine="480" w:firstLineChars="200"/>
        <w:rPr>
          <w:rFonts w:ascii="宋体" w:hAnsi="宋体" w:cs="宋体"/>
          <w:sz w:val="24"/>
          <w:highlight w:val="none"/>
        </w:rPr>
      </w:pPr>
      <w:r>
        <w:rPr>
          <w:rFonts w:hint="eastAsia" w:ascii="宋体" w:hAnsi="宋体" w:cs="宋体"/>
          <w:sz w:val="24"/>
          <w:highlight w:val="none"/>
        </w:rPr>
        <w:t>18.2.1设备参数、实施方案、服务期、付款方式等方面的详细说明；</w:t>
      </w:r>
    </w:p>
    <w:p>
      <w:pPr>
        <w:spacing w:line="460" w:lineRule="exact"/>
        <w:ind w:firstLine="480" w:firstLineChars="200"/>
        <w:rPr>
          <w:rFonts w:ascii="宋体" w:hAnsi="宋体" w:cs="宋体"/>
          <w:sz w:val="24"/>
          <w:highlight w:val="none"/>
        </w:rPr>
      </w:pPr>
      <w:r>
        <w:rPr>
          <w:rFonts w:hint="eastAsia" w:ascii="宋体" w:hAnsi="宋体" w:cs="宋体"/>
          <w:sz w:val="24"/>
          <w:highlight w:val="none"/>
        </w:rPr>
        <w:t>18.2.2 逐条对磋商文件提出的技术要求和商务要求进行应答，说明所提供的货物及服务对磋商的技术和商务要求是否做出了实质性响应并提供支持文件。</w:t>
      </w:r>
    </w:p>
    <w:p>
      <w:pPr>
        <w:spacing w:line="460" w:lineRule="exact"/>
        <w:ind w:firstLine="120" w:firstLineChars="50"/>
        <w:rPr>
          <w:rFonts w:ascii="宋体" w:hAnsi="宋体" w:cs="宋体"/>
          <w:b/>
          <w:sz w:val="24"/>
          <w:highlight w:val="none"/>
        </w:rPr>
      </w:pPr>
      <w:r>
        <w:rPr>
          <w:rFonts w:hint="eastAsia" w:ascii="宋体" w:hAnsi="宋体" w:cs="宋体"/>
          <w:b/>
          <w:sz w:val="24"/>
          <w:highlight w:val="none"/>
        </w:rPr>
        <w:t>19.磋商保证金</w:t>
      </w:r>
    </w:p>
    <w:p>
      <w:pPr>
        <w:spacing w:line="460" w:lineRule="exact"/>
        <w:ind w:firstLine="480" w:firstLineChars="200"/>
        <w:rPr>
          <w:rFonts w:ascii="宋体" w:hAnsi="宋体" w:cs="宋体"/>
          <w:sz w:val="24"/>
          <w:highlight w:val="none"/>
        </w:rPr>
      </w:pPr>
      <w:r>
        <w:rPr>
          <w:rFonts w:hint="eastAsia" w:ascii="宋体" w:hAnsi="宋体" w:cs="宋体"/>
          <w:sz w:val="24"/>
          <w:highlight w:val="none"/>
        </w:rPr>
        <w:t>19.1保证金是用于保护本次磋商免受磋商供应商的行为而引起的风险。</w:t>
      </w:r>
    </w:p>
    <w:p>
      <w:pPr>
        <w:spacing w:line="460" w:lineRule="exact"/>
        <w:ind w:firstLine="480" w:firstLineChars="200"/>
        <w:rPr>
          <w:rFonts w:ascii="宋体" w:hAnsi="宋体" w:cs="宋体"/>
          <w:b/>
          <w:sz w:val="24"/>
          <w:highlight w:val="none"/>
        </w:rPr>
      </w:pPr>
      <w:r>
        <w:rPr>
          <w:rFonts w:hint="eastAsia" w:ascii="宋体" w:hAnsi="宋体" w:cs="宋体"/>
          <w:sz w:val="24"/>
          <w:highlight w:val="none"/>
        </w:rPr>
        <w:t>19.2磋商保证金由磋商供应商通过银行转账、电汇、支票等非现金形式缴纳。</w:t>
      </w:r>
    </w:p>
    <w:p>
      <w:pPr>
        <w:spacing w:line="460" w:lineRule="exact"/>
        <w:ind w:firstLine="480" w:firstLineChars="200"/>
        <w:rPr>
          <w:rFonts w:ascii="宋体" w:hAnsi="宋体" w:cs="宋体"/>
          <w:sz w:val="24"/>
          <w:highlight w:val="none"/>
        </w:rPr>
      </w:pPr>
      <w:r>
        <w:rPr>
          <w:rFonts w:hint="eastAsia" w:ascii="宋体" w:hAnsi="宋体" w:cs="宋体"/>
          <w:sz w:val="24"/>
          <w:highlight w:val="none"/>
        </w:rPr>
        <w:t>19.3未交纳、未足额交纳或未按规定时间交纳保证金的，将被视为自动放弃磋商权利。</w:t>
      </w:r>
    </w:p>
    <w:p>
      <w:pPr>
        <w:spacing w:line="460" w:lineRule="exact"/>
        <w:ind w:firstLine="480" w:firstLineChars="200"/>
        <w:rPr>
          <w:rFonts w:ascii="宋体" w:hAnsi="宋体" w:cs="宋体"/>
          <w:sz w:val="24"/>
          <w:highlight w:val="none"/>
        </w:rPr>
      </w:pPr>
      <w:r>
        <w:rPr>
          <w:rFonts w:hint="eastAsia" w:ascii="宋体" w:hAnsi="宋体" w:cs="宋体"/>
          <w:sz w:val="24"/>
          <w:highlight w:val="none"/>
        </w:rPr>
        <w:t>19.4提交保证金后，各磋商供应商须将其交纳保证金凭证复印件加盖供应商红章附在磋商响应文件中，否则视为无效响应文件。</w:t>
      </w:r>
    </w:p>
    <w:p>
      <w:pPr>
        <w:spacing w:line="460" w:lineRule="exact"/>
        <w:ind w:firstLine="482" w:firstLineChars="200"/>
        <w:rPr>
          <w:rFonts w:ascii="宋体" w:hAnsi="宋体" w:cs="宋体"/>
          <w:b/>
          <w:bCs/>
          <w:sz w:val="24"/>
          <w:highlight w:val="none"/>
        </w:rPr>
      </w:pPr>
      <w:r>
        <w:rPr>
          <w:rFonts w:hint="eastAsia" w:ascii="宋体" w:hAnsi="宋体" w:cs="宋体"/>
          <w:b/>
          <w:bCs/>
          <w:sz w:val="24"/>
          <w:highlight w:val="none"/>
        </w:rPr>
        <w:t>19.5磋商保证金退还:</w:t>
      </w:r>
    </w:p>
    <w:p>
      <w:pPr>
        <w:spacing w:line="460" w:lineRule="exact"/>
        <w:ind w:firstLine="241" w:firstLineChars="100"/>
        <w:rPr>
          <w:rFonts w:ascii="宋体" w:hAnsi="宋体" w:cs="宋体"/>
          <w:b/>
          <w:sz w:val="24"/>
          <w:highlight w:val="none"/>
        </w:rPr>
      </w:pPr>
      <w:r>
        <w:rPr>
          <w:rFonts w:hint="eastAsia" w:ascii="宋体" w:hAnsi="宋体" w:cs="宋体"/>
          <w:b/>
          <w:sz w:val="24"/>
          <w:highlight w:val="none"/>
        </w:rPr>
        <w:t xml:space="preserve">A. 未成交供应商：成交通知书发放后5个工作日内退还； </w:t>
      </w:r>
    </w:p>
    <w:p>
      <w:pPr>
        <w:spacing w:line="460" w:lineRule="exact"/>
        <w:ind w:firstLine="241" w:firstLineChars="100"/>
        <w:rPr>
          <w:rFonts w:ascii="宋体" w:hAnsi="宋体" w:cs="宋体"/>
          <w:b/>
          <w:sz w:val="24"/>
          <w:highlight w:val="none"/>
        </w:rPr>
      </w:pPr>
      <w:r>
        <w:rPr>
          <w:rFonts w:hint="eastAsia" w:ascii="宋体" w:hAnsi="宋体" w:cs="宋体"/>
          <w:b/>
          <w:sz w:val="24"/>
          <w:highlight w:val="none"/>
        </w:rPr>
        <w:t>B. 成交供应商：成交供应商与采购单位签订合同后5个工作日内退还；（退还时，须向代理机构提供开户许可证复印件及合同原件壹份并加盖供应商公章）；</w:t>
      </w:r>
    </w:p>
    <w:p>
      <w:pPr>
        <w:spacing w:line="460" w:lineRule="exact"/>
        <w:ind w:firstLine="482" w:firstLineChars="200"/>
        <w:rPr>
          <w:rFonts w:ascii="宋体" w:hAnsi="宋体" w:cs="宋体"/>
          <w:sz w:val="24"/>
          <w:highlight w:val="none"/>
        </w:rPr>
      </w:pPr>
      <w:r>
        <w:rPr>
          <w:rFonts w:hint="eastAsia" w:ascii="宋体" w:hAnsi="宋体" w:cs="宋体"/>
          <w:b/>
          <w:sz w:val="24"/>
          <w:highlight w:val="none"/>
        </w:rPr>
        <w:t>以上供应商自身原因导致无法退还的除外。</w:t>
      </w:r>
    </w:p>
    <w:p>
      <w:pPr>
        <w:spacing w:line="460" w:lineRule="exact"/>
        <w:ind w:firstLine="480" w:firstLineChars="200"/>
        <w:rPr>
          <w:rFonts w:ascii="宋体" w:hAnsi="宋体" w:cs="宋体"/>
          <w:sz w:val="24"/>
          <w:highlight w:val="none"/>
        </w:rPr>
      </w:pPr>
      <w:r>
        <w:rPr>
          <w:rFonts w:hint="eastAsia" w:ascii="宋体" w:hAnsi="宋体" w:cs="宋体"/>
          <w:sz w:val="24"/>
          <w:highlight w:val="none"/>
        </w:rPr>
        <w:t>19.6发生下列情况之一，磋商保证金将不予退还：</w:t>
      </w:r>
    </w:p>
    <w:p>
      <w:pPr>
        <w:spacing w:line="460" w:lineRule="exact"/>
        <w:ind w:firstLine="480" w:firstLineChars="200"/>
        <w:rPr>
          <w:rFonts w:ascii="宋体" w:hAnsi="宋体" w:cs="宋体"/>
          <w:sz w:val="24"/>
          <w:highlight w:val="none"/>
        </w:rPr>
      </w:pPr>
      <w:r>
        <w:rPr>
          <w:rFonts w:hint="eastAsia" w:ascii="宋体" w:hAnsi="宋体" w:cs="宋体"/>
          <w:sz w:val="24"/>
          <w:highlight w:val="none"/>
        </w:rPr>
        <w:t>19.6.1供应商在递交磋商响应文件截止时间后，撤回磋商响应文件的或者擅自退出磋商活动的。</w:t>
      </w:r>
    </w:p>
    <w:p>
      <w:pPr>
        <w:spacing w:line="460" w:lineRule="exact"/>
        <w:ind w:firstLine="480" w:firstLineChars="200"/>
        <w:rPr>
          <w:rFonts w:ascii="宋体" w:hAnsi="宋体" w:cs="宋体"/>
          <w:sz w:val="24"/>
          <w:highlight w:val="none"/>
        </w:rPr>
      </w:pPr>
      <w:r>
        <w:rPr>
          <w:rFonts w:hint="eastAsia" w:ascii="宋体" w:hAnsi="宋体" w:cs="宋体"/>
          <w:sz w:val="24"/>
          <w:highlight w:val="none"/>
        </w:rPr>
        <w:t>19.6.2供应商成交后放弃成交或未能按规定签订合同、无正当理由不与采购人签订合同的或未能按规定交纳招标代理服务费或由于供应商的原因导致成交无效的。</w:t>
      </w:r>
    </w:p>
    <w:p>
      <w:pPr>
        <w:spacing w:line="460" w:lineRule="exact"/>
        <w:ind w:firstLine="480" w:firstLineChars="200"/>
        <w:rPr>
          <w:rFonts w:ascii="宋体" w:hAnsi="宋体" w:cs="宋体"/>
          <w:sz w:val="24"/>
          <w:highlight w:val="none"/>
        </w:rPr>
      </w:pPr>
      <w:r>
        <w:rPr>
          <w:rFonts w:hint="eastAsia" w:ascii="宋体" w:hAnsi="宋体" w:cs="宋体"/>
          <w:sz w:val="24"/>
          <w:highlight w:val="none"/>
        </w:rPr>
        <w:t>19.6.3将成交项目转让给他人，或者在磋商响应文件中未说明，且未经采购人和招标代理机构同意，将成交项目分包给他人的。</w:t>
      </w:r>
    </w:p>
    <w:p>
      <w:pPr>
        <w:spacing w:line="460" w:lineRule="exact"/>
        <w:ind w:firstLine="480" w:firstLineChars="200"/>
        <w:rPr>
          <w:rFonts w:ascii="宋体" w:hAnsi="宋体" w:cs="宋体"/>
          <w:sz w:val="24"/>
          <w:highlight w:val="none"/>
        </w:rPr>
      </w:pPr>
      <w:r>
        <w:rPr>
          <w:rFonts w:hint="eastAsia" w:ascii="宋体" w:hAnsi="宋体" w:cs="宋体"/>
          <w:sz w:val="24"/>
          <w:highlight w:val="none"/>
        </w:rPr>
        <w:t>19.6.4供应商在磋商响应文件中提供伪造、套改、虚假资料参与磋商的。</w:t>
      </w:r>
    </w:p>
    <w:p>
      <w:pPr>
        <w:spacing w:line="460" w:lineRule="exact"/>
        <w:ind w:firstLine="480" w:firstLineChars="200"/>
        <w:rPr>
          <w:rFonts w:ascii="宋体" w:hAnsi="宋体" w:cs="宋体"/>
          <w:sz w:val="24"/>
          <w:highlight w:val="none"/>
        </w:rPr>
      </w:pPr>
      <w:r>
        <w:rPr>
          <w:rFonts w:hint="eastAsia" w:ascii="宋体" w:hAnsi="宋体" w:cs="宋体"/>
          <w:sz w:val="24"/>
          <w:highlight w:val="none"/>
        </w:rPr>
        <w:t>19.6.5供应商不按法定程序进行质疑和投诉,捏造事实，查无实据，造成恶劣影响，导致采购活动无法正常进行的;</w:t>
      </w:r>
    </w:p>
    <w:p>
      <w:pPr>
        <w:spacing w:line="460" w:lineRule="exact"/>
        <w:ind w:firstLine="480" w:firstLineChars="200"/>
        <w:rPr>
          <w:rFonts w:ascii="宋体" w:hAnsi="宋体" w:cs="宋体"/>
          <w:sz w:val="24"/>
          <w:highlight w:val="none"/>
        </w:rPr>
      </w:pPr>
      <w:r>
        <w:rPr>
          <w:rFonts w:hint="eastAsia" w:ascii="宋体" w:hAnsi="宋体" w:cs="宋体"/>
          <w:sz w:val="24"/>
          <w:highlight w:val="none"/>
        </w:rPr>
        <w:t>19.6.6供应商在磋商响应文件中提供虚假材料的；</w:t>
      </w:r>
    </w:p>
    <w:p>
      <w:pPr>
        <w:spacing w:line="460" w:lineRule="exact"/>
        <w:ind w:firstLine="480" w:firstLineChars="200"/>
        <w:rPr>
          <w:rFonts w:ascii="宋体" w:hAnsi="宋体" w:cs="宋体"/>
          <w:sz w:val="24"/>
          <w:highlight w:val="none"/>
        </w:rPr>
      </w:pPr>
      <w:r>
        <w:rPr>
          <w:rFonts w:hint="eastAsia" w:ascii="宋体" w:hAnsi="宋体" w:cs="宋体"/>
          <w:sz w:val="24"/>
          <w:highlight w:val="none"/>
        </w:rPr>
        <w:t>19.6.7磋商文件规定的其他情形。</w:t>
      </w:r>
    </w:p>
    <w:p>
      <w:pPr>
        <w:spacing w:line="460" w:lineRule="exact"/>
        <w:ind w:firstLine="480" w:firstLineChars="200"/>
        <w:rPr>
          <w:rFonts w:ascii="宋体" w:hAnsi="宋体" w:cs="宋体"/>
          <w:sz w:val="24"/>
          <w:highlight w:val="none"/>
        </w:rPr>
      </w:pPr>
      <w:r>
        <w:rPr>
          <w:rFonts w:hint="eastAsia" w:ascii="宋体" w:hAnsi="宋体" w:cs="宋体"/>
          <w:sz w:val="24"/>
          <w:highlight w:val="none"/>
        </w:rPr>
        <w:t>19.7联合磋商的，可以由联合体中的主体提交磋商保证金，以一方名义提交磋商保证金，对联合体各方均具有约束力；</w:t>
      </w:r>
    </w:p>
    <w:p>
      <w:pPr>
        <w:spacing w:line="460" w:lineRule="exact"/>
        <w:ind w:firstLine="120" w:firstLineChars="50"/>
        <w:rPr>
          <w:rFonts w:ascii="宋体" w:hAnsi="宋体" w:cs="宋体"/>
          <w:b/>
          <w:sz w:val="24"/>
          <w:highlight w:val="none"/>
        </w:rPr>
      </w:pPr>
      <w:r>
        <w:rPr>
          <w:rFonts w:hint="eastAsia" w:ascii="宋体" w:hAnsi="宋体" w:cs="宋体"/>
          <w:b/>
          <w:sz w:val="24"/>
          <w:highlight w:val="none"/>
        </w:rPr>
        <w:t>20.磋商响应文件的有效期</w:t>
      </w:r>
    </w:p>
    <w:p>
      <w:pPr>
        <w:spacing w:line="460" w:lineRule="exact"/>
        <w:ind w:firstLine="480" w:firstLineChars="200"/>
        <w:rPr>
          <w:rFonts w:ascii="宋体" w:hAnsi="宋体" w:cs="宋体"/>
          <w:sz w:val="24"/>
          <w:highlight w:val="none"/>
        </w:rPr>
      </w:pPr>
      <w:r>
        <w:rPr>
          <w:rFonts w:hint="eastAsia" w:ascii="宋体" w:hAnsi="宋体" w:cs="宋体"/>
          <w:sz w:val="24"/>
          <w:highlight w:val="none"/>
        </w:rPr>
        <w:t>磋商有效期（含授权有效期）从递交磋商响应文件的截止之日起 90 个日历天。磋商有效期不满足磋商文件要求的磋商，将被视为非响应性磋商而予以拒绝，将按无效磋商处理。磋商有效期内供应商撤销磋商响应文件的，招标代理机构不退还磋商保证金。</w:t>
      </w:r>
    </w:p>
    <w:p>
      <w:pPr>
        <w:spacing w:line="460" w:lineRule="exact"/>
        <w:ind w:firstLine="120" w:firstLineChars="50"/>
        <w:rPr>
          <w:rFonts w:ascii="宋体" w:hAnsi="宋体" w:cs="宋体"/>
          <w:b/>
          <w:sz w:val="24"/>
          <w:highlight w:val="none"/>
        </w:rPr>
      </w:pPr>
      <w:r>
        <w:rPr>
          <w:rFonts w:hint="eastAsia" w:ascii="宋体" w:hAnsi="宋体" w:cs="宋体"/>
          <w:b/>
          <w:sz w:val="24"/>
          <w:highlight w:val="none"/>
        </w:rPr>
        <w:t>21、磋商响应文件的签署及规定</w:t>
      </w:r>
    </w:p>
    <w:p>
      <w:pPr>
        <w:spacing w:line="460" w:lineRule="exact"/>
        <w:ind w:firstLine="480" w:firstLineChars="200"/>
        <w:rPr>
          <w:rFonts w:ascii="宋体" w:hAnsi="宋体" w:cs="宋体"/>
          <w:sz w:val="24"/>
          <w:highlight w:val="none"/>
        </w:rPr>
      </w:pPr>
      <w:r>
        <w:rPr>
          <w:rFonts w:hint="eastAsia" w:ascii="宋体" w:hAnsi="宋体" w:cs="宋体"/>
          <w:sz w:val="24"/>
          <w:highlight w:val="none"/>
        </w:rPr>
        <w:t>21.1磋商供应商须依据磋商文件内容和磋商响应文件格式的要求编制磋商响应文件；</w:t>
      </w:r>
    </w:p>
    <w:p>
      <w:pPr>
        <w:spacing w:line="460" w:lineRule="exact"/>
        <w:ind w:firstLine="480" w:firstLineChars="200"/>
        <w:rPr>
          <w:rFonts w:ascii="宋体" w:hAnsi="宋体" w:cs="宋体"/>
          <w:sz w:val="24"/>
          <w:highlight w:val="none"/>
        </w:rPr>
      </w:pPr>
      <w:r>
        <w:rPr>
          <w:rFonts w:hint="eastAsia" w:ascii="宋体" w:hAnsi="宋体" w:cs="宋体"/>
          <w:sz w:val="24"/>
          <w:highlight w:val="none"/>
        </w:rPr>
        <w:t>21.2磋商响应文件的正本和所有的副本均需打印或用不褪色的蓝（黑）墨水填写，注明“正本”“副本”字样。统一胶装、编码，在每一页的上方清楚标明页码等字样；</w:t>
      </w:r>
    </w:p>
    <w:p>
      <w:pPr>
        <w:spacing w:line="460" w:lineRule="exact"/>
        <w:ind w:firstLine="480" w:firstLineChars="200"/>
        <w:rPr>
          <w:rFonts w:ascii="宋体" w:hAnsi="宋体" w:cs="宋体"/>
          <w:sz w:val="24"/>
          <w:highlight w:val="none"/>
        </w:rPr>
      </w:pPr>
      <w:r>
        <w:rPr>
          <w:rFonts w:hint="eastAsia" w:ascii="宋体" w:hAnsi="宋体" w:cs="宋体"/>
          <w:sz w:val="24"/>
          <w:highlight w:val="none"/>
        </w:rPr>
        <w:t>21.3磋商响应文件份数，本次磋商需提交磋商响应文件共肆份，其中正本壹份，副本贰份，电子版磋商响应文件（U盘或移动硬盘，谢绝光盘）壹份；在封面标明“正本”、“副本”及“电子版磋商响应文件”字样；</w:t>
      </w:r>
    </w:p>
    <w:p>
      <w:pPr>
        <w:spacing w:line="460" w:lineRule="exact"/>
        <w:ind w:firstLine="480" w:firstLineChars="200"/>
        <w:rPr>
          <w:rFonts w:ascii="宋体" w:hAnsi="宋体" w:cs="宋体"/>
          <w:sz w:val="24"/>
          <w:highlight w:val="none"/>
        </w:rPr>
      </w:pPr>
      <w:r>
        <w:rPr>
          <w:rFonts w:hint="eastAsia" w:ascii="宋体" w:hAnsi="宋体" w:cs="宋体"/>
          <w:sz w:val="24"/>
          <w:highlight w:val="none"/>
        </w:rPr>
        <w:t>21.4磋商供应商在磋商响应文件中指定的页面落款处，必须按磋商文件要求加盖印章或签字；</w:t>
      </w:r>
    </w:p>
    <w:p>
      <w:pPr>
        <w:spacing w:line="460" w:lineRule="exact"/>
        <w:ind w:firstLine="480" w:firstLineChars="200"/>
        <w:rPr>
          <w:rFonts w:ascii="宋体" w:hAnsi="宋体" w:cs="宋体"/>
          <w:sz w:val="24"/>
          <w:highlight w:val="none"/>
        </w:rPr>
      </w:pPr>
      <w:r>
        <w:rPr>
          <w:rFonts w:hint="eastAsia" w:ascii="宋体" w:hAnsi="宋体" w:cs="宋体"/>
          <w:sz w:val="24"/>
          <w:highlight w:val="none"/>
        </w:rPr>
        <w:t>21.5磋商供应商名称应填写全称，同时加盖公章；</w:t>
      </w:r>
    </w:p>
    <w:p>
      <w:pPr>
        <w:spacing w:line="460" w:lineRule="exact"/>
        <w:ind w:firstLine="480" w:firstLineChars="200"/>
        <w:rPr>
          <w:rFonts w:ascii="宋体" w:hAnsi="宋体" w:cs="宋体"/>
          <w:sz w:val="24"/>
          <w:highlight w:val="none"/>
        </w:rPr>
      </w:pPr>
      <w:r>
        <w:rPr>
          <w:rFonts w:hint="eastAsia" w:ascii="宋体" w:hAnsi="宋体" w:cs="宋体"/>
          <w:sz w:val="24"/>
          <w:highlight w:val="none"/>
        </w:rPr>
        <w:t>21.6磋商响应文件的任何行间插字、涂改和增删，必须由法定代表人或被授权人在改动处旁签字方为有效；</w:t>
      </w:r>
    </w:p>
    <w:p>
      <w:pPr>
        <w:spacing w:line="460" w:lineRule="exact"/>
        <w:ind w:firstLine="480" w:firstLineChars="200"/>
        <w:rPr>
          <w:rFonts w:ascii="宋体" w:hAnsi="宋体" w:cs="宋体"/>
          <w:sz w:val="24"/>
          <w:highlight w:val="none"/>
        </w:rPr>
      </w:pPr>
      <w:r>
        <w:rPr>
          <w:rFonts w:hint="eastAsia" w:ascii="宋体" w:hAnsi="宋体" w:cs="宋体"/>
          <w:sz w:val="24"/>
          <w:highlight w:val="none"/>
        </w:rPr>
        <w:t>21.7磋商响应文件因字迹潦草或表达不清所引起的后果由磋商供应商负责。</w:t>
      </w:r>
    </w:p>
    <w:p>
      <w:pPr>
        <w:pStyle w:val="2"/>
        <w:spacing w:line="460" w:lineRule="exact"/>
        <w:ind w:firstLine="480" w:firstLineChars="200"/>
        <w:rPr>
          <w:rFonts w:ascii="宋体" w:hAnsi="宋体" w:cs="宋体"/>
          <w:color w:val="auto"/>
          <w:highlight w:val="none"/>
        </w:rPr>
      </w:pPr>
      <w:r>
        <w:rPr>
          <w:rFonts w:hint="eastAsia" w:ascii="宋体" w:hAnsi="宋体" w:cs="宋体"/>
          <w:color w:val="auto"/>
          <w:highlight w:val="none"/>
        </w:rPr>
        <w:t>21.8</w:t>
      </w:r>
      <w:r>
        <w:rPr>
          <w:rFonts w:hint="eastAsia" w:ascii="宋体" w:hAnsi="宋体" w:cs="宋体"/>
          <w:b/>
          <w:bCs/>
          <w:color w:val="auto"/>
          <w:highlight w:val="none"/>
        </w:rPr>
        <w:t>为响应国家环保号召，磋商响应文件建议采用双面打印。</w:t>
      </w:r>
    </w:p>
    <w:p>
      <w:pPr>
        <w:spacing w:line="460" w:lineRule="exact"/>
        <w:rPr>
          <w:rFonts w:ascii="宋体" w:hAnsi="宋体" w:cs="宋体"/>
          <w:b/>
          <w:sz w:val="24"/>
          <w:highlight w:val="none"/>
        </w:rPr>
      </w:pPr>
      <w:r>
        <w:rPr>
          <w:rFonts w:hint="eastAsia" w:ascii="宋体" w:hAnsi="宋体" w:cs="宋体"/>
          <w:b/>
          <w:sz w:val="24"/>
          <w:highlight w:val="none"/>
        </w:rPr>
        <w:t>22.文字要求</w:t>
      </w:r>
    </w:p>
    <w:p>
      <w:pPr>
        <w:spacing w:line="460" w:lineRule="exact"/>
        <w:ind w:firstLine="360" w:firstLineChars="150"/>
        <w:rPr>
          <w:rFonts w:ascii="宋体" w:hAnsi="宋体" w:cs="宋体"/>
          <w:sz w:val="24"/>
          <w:highlight w:val="none"/>
        </w:rPr>
      </w:pPr>
      <w:r>
        <w:rPr>
          <w:rFonts w:hint="eastAsia" w:ascii="宋体" w:hAnsi="宋体" w:cs="宋体"/>
          <w:sz w:val="24"/>
          <w:highlight w:val="none"/>
        </w:rPr>
        <w:t>本次磋商只接受简体中文文字的磋商响应文件。</w:t>
      </w:r>
    </w:p>
    <w:p>
      <w:pPr>
        <w:spacing w:line="360" w:lineRule="auto"/>
        <w:jc w:val="center"/>
        <w:outlineLvl w:val="1"/>
        <w:rPr>
          <w:rFonts w:ascii="宋体" w:hAnsi="宋体" w:cs="宋体"/>
          <w:sz w:val="30"/>
          <w:szCs w:val="30"/>
          <w:highlight w:val="none"/>
        </w:rPr>
      </w:pPr>
      <w:bookmarkStart w:id="31" w:name="_Toc20787"/>
      <w:r>
        <w:rPr>
          <w:rFonts w:hint="eastAsia" w:ascii="宋体" w:hAnsi="宋体" w:cs="宋体"/>
          <w:b/>
          <w:sz w:val="30"/>
          <w:szCs w:val="30"/>
          <w:highlight w:val="none"/>
        </w:rPr>
        <w:t>五．磋商响应文件封装、递交</w:t>
      </w:r>
      <w:bookmarkEnd w:id="28"/>
      <w:bookmarkEnd w:id="29"/>
      <w:bookmarkEnd w:id="30"/>
      <w:bookmarkEnd w:id="31"/>
    </w:p>
    <w:p>
      <w:pPr>
        <w:spacing w:line="440" w:lineRule="exact"/>
        <w:ind w:firstLine="120" w:firstLineChars="50"/>
        <w:rPr>
          <w:rFonts w:ascii="宋体" w:hAnsi="宋体" w:cs="宋体"/>
          <w:b/>
          <w:sz w:val="24"/>
          <w:highlight w:val="none"/>
        </w:rPr>
      </w:pPr>
      <w:r>
        <w:rPr>
          <w:rFonts w:hint="eastAsia" w:ascii="宋体" w:hAnsi="宋体" w:cs="宋体"/>
          <w:b/>
          <w:sz w:val="24"/>
          <w:highlight w:val="none"/>
        </w:rPr>
        <w:t>23.磋商响应文件的封装及标记</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23.1</w:t>
      </w:r>
      <w:r>
        <w:rPr>
          <w:rFonts w:hint="eastAsia" w:ascii="宋体" w:hAnsi="宋体" w:cs="宋体"/>
          <w:spacing w:val="6"/>
          <w:sz w:val="24"/>
          <w:highlight w:val="none"/>
        </w:rPr>
        <w:t>磋商</w:t>
      </w:r>
      <w:r>
        <w:rPr>
          <w:rFonts w:hint="eastAsia" w:ascii="宋体" w:hAnsi="宋体" w:cs="宋体"/>
          <w:sz w:val="24"/>
          <w:highlight w:val="none"/>
        </w:rPr>
        <w:t>响应</w:t>
      </w:r>
      <w:r>
        <w:rPr>
          <w:rFonts w:hint="eastAsia" w:ascii="宋体" w:hAnsi="宋体" w:cs="宋体"/>
          <w:spacing w:val="6"/>
          <w:sz w:val="24"/>
          <w:highlight w:val="none"/>
        </w:rPr>
        <w:t>文件</w:t>
      </w:r>
      <w:r>
        <w:rPr>
          <w:rFonts w:hint="eastAsia" w:ascii="宋体" w:hAnsi="宋体" w:cs="宋体"/>
          <w:sz w:val="24"/>
          <w:highlight w:val="none"/>
        </w:rPr>
        <w:t>应按以下要求封装：</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23.1.1</w:t>
      </w:r>
      <w:r>
        <w:rPr>
          <w:rFonts w:hint="eastAsia" w:ascii="宋体" w:hAnsi="宋体" w:cs="宋体"/>
          <w:spacing w:val="6"/>
          <w:sz w:val="24"/>
          <w:highlight w:val="none"/>
        </w:rPr>
        <w:t>磋商供应商</w:t>
      </w:r>
      <w:r>
        <w:rPr>
          <w:rFonts w:hint="eastAsia" w:ascii="宋体" w:hAnsi="宋体" w:cs="宋体"/>
          <w:sz w:val="24"/>
          <w:highlight w:val="none"/>
        </w:rPr>
        <w:t>应将</w:t>
      </w:r>
      <w:r>
        <w:rPr>
          <w:rFonts w:hint="eastAsia" w:ascii="宋体" w:hAnsi="宋体" w:cs="宋体"/>
          <w:spacing w:val="6"/>
          <w:sz w:val="24"/>
          <w:highlight w:val="none"/>
        </w:rPr>
        <w:t>磋商响应文件</w:t>
      </w:r>
      <w:r>
        <w:rPr>
          <w:rFonts w:hint="eastAsia" w:ascii="宋体" w:hAnsi="宋体" w:cs="宋体"/>
          <w:sz w:val="24"/>
          <w:highlight w:val="none"/>
        </w:rPr>
        <w:t>的正本、副本、电子版标书（U盘），</w:t>
      </w:r>
      <w:r>
        <w:rPr>
          <w:rFonts w:hint="eastAsia" w:ascii="宋体" w:hAnsi="宋体" w:cs="宋体"/>
          <w:b/>
          <w:bCs/>
          <w:sz w:val="24"/>
          <w:highlight w:val="none"/>
        </w:rPr>
        <w:t>用单独的封袋分装密封</w:t>
      </w:r>
      <w:r>
        <w:rPr>
          <w:rFonts w:hint="eastAsia" w:ascii="宋体" w:hAnsi="宋体" w:cs="宋体"/>
          <w:sz w:val="24"/>
          <w:highlight w:val="none"/>
        </w:rPr>
        <w:t>（封袋不得有破损），在封袋上标明“正本”或“副本”及“电子版磋商响应文件”字样，封线处加盖</w:t>
      </w:r>
      <w:r>
        <w:rPr>
          <w:rFonts w:hint="eastAsia" w:ascii="宋体" w:hAnsi="宋体" w:cs="宋体"/>
          <w:spacing w:val="6"/>
          <w:sz w:val="24"/>
          <w:highlight w:val="none"/>
        </w:rPr>
        <w:t>磋商供应商</w:t>
      </w:r>
      <w:r>
        <w:rPr>
          <w:rFonts w:hint="eastAsia" w:ascii="宋体" w:hAnsi="宋体" w:cs="宋体"/>
          <w:sz w:val="24"/>
          <w:highlight w:val="none"/>
        </w:rPr>
        <w:t>公章，封袋正面要粘贴标识。</w:t>
      </w:r>
    </w:p>
    <w:p>
      <w:pPr>
        <w:spacing w:line="440" w:lineRule="exact"/>
        <w:ind w:firstLine="480" w:firstLineChars="200"/>
        <w:rPr>
          <w:rFonts w:ascii="宋体" w:hAnsi="宋体" w:cs="宋体"/>
          <w:b/>
          <w:sz w:val="24"/>
          <w:highlight w:val="none"/>
        </w:rPr>
      </w:pPr>
      <w:r>
        <w:rPr>
          <w:rFonts w:hint="eastAsia" w:ascii="宋体" w:hAnsi="宋体" w:cs="宋体"/>
          <w:sz w:val="24"/>
          <w:highlight w:val="none"/>
        </w:rPr>
        <w:t>23.2如果磋商供应商未按上述要求封装及加写标记，误投或过早启封的磋商响应文件，出现此类情况的磋商响应文件，采购代理机构将拒绝接收，并退回磋商供应商。采购代理机构对磋商响应文件的误投和提前启封概不负责。</w:t>
      </w:r>
    </w:p>
    <w:p>
      <w:pPr>
        <w:spacing w:line="440" w:lineRule="exact"/>
        <w:ind w:firstLine="120" w:firstLineChars="50"/>
        <w:rPr>
          <w:rFonts w:ascii="宋体" w:hAnsi="宋体" w:cs="宋体"/>
          <w:sz w:val="24"/>
          <w:highlight w:val="none"/>
        </w:rPr>
      </w:pPr>
      <w:r>
        <w:rPr>
          <w:rFonts w:hint="eastAsia" w:ascii="宋体" w:hAnsi="宋体" w:cs="宋体"/>
          <w:b/>
          <w:sz w:val="24"/>
          <w:highlight w:val="none"/>
        </w:rPr>
        <w:t>24.磋商响应文件递交</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24.1磋商供应商必须在磋商文件规定的时间和地点，将全部磋商响应文件递交至采购代理机构项目承办人；</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24.2采购代理机构项目承办人在磋商文件规定的磋商响应文件递交截止时间前，只负责磋商响应文件的接收、清点、造册登记工作，并请法定代表人或被授权人签字确认，对其有效性不负任何责任；</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24.3采购代理机构在宣布递交磋商响应文件时间截止之后，拒绝接收任何人送达、递交的磋商响应文件；</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24.4以邮寄方式递交磋商响应文件的，其磋商响应文件将按照无效处理。</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24.5无论磋商供应商成交与否或者废标，其磋商响应文件恕不退还。</w:t>
      </w:r>
    </w:p>
    <w:p>
      <w:pPr>
        <w:spacing w:line="440" w:lineRule="exact"/>
        <w:ind w:firstLine="120" w:firstLineChars="50"/>
        <w:rPr>
          <w:rFonts w:ascii="宋体" w:hAnsi="宋体" w:cs="宋体"/>
          <w:b/>
          <w:sz w:val="24"/>
          <w:highlight w:val="none"/>
        </w:rPr>
      </w:pPr>
      <w:r>
        <w:rPr>
          <w:rFonts w:hint="eastAsia" w:ascii="宋体" w:hAnsi="宋体" w:cs="宋体"/>
          <w:b/>
          <w:sz w:val="24"/>
          <w:highlight w:val="none"/>
        </w:rPr>
        <w:t>25.磋商响应文件递交截止时间</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25.1磋商供应商</w:t>
      </w:r>
      <w:r>
        <w:rPr>
          <w:rFonts w:hint="eastAsia" w:ascii="宋体" w:hAnsi="宋体" w:cs="宋体"/>
          <w:spacing w:val="6"/>
          <w:sz w:val="24"/>
          <w:highlight w:val="none"/>
        </w:rPr>
        <w:t>必须在磋商文件规定的递交截止时间之前递交磋商响应文件，</w:t>
      </w:r>
      <w:r>
        <w:rPr>
          <w:rFonts w:hint="eastAsia" w:ascii="宋体" w:hAnsi="宋体" w:cs="宋体"/>
          <w:sz w:val="24"/>
          <w:highlight w:val="none"/>
        </w:rPr>
        <w:t>采购代理机构在截止时间后拒绝接收任何磋商响应文件。</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25.2采购代理机构因采购人推迟磋商截止时间时，应以书面（或传真）的形式，通知所有磋商供应商；在这种情况下，采购代理机构和磋商供应商的权利和义务将受到新的截止期的约束。</w:t>
      </w:r>
    </w:p>
    <w:p>
      <w:pPr>
        <w:spacing w:line="440" w:lineRule="exact"/>
        <w:ind w:firstLine="120" w:firstLineChars="50"/>
        <w:rPr>
          <w:rFonts w:ascii="宋体" w:hAnsi="宋体" w:cs="宋体"/>
          <w:b/>
          <w:sz w:val="24"/>
          <w:highlight w:val="none"/>
        </w:rPr>
      </w:pPr>
      <w:r>
        <w:rPr>
          <w:rFonts w:hint="eastAsia" w:ascii="宋体" w:hAnsi="宋体" w:cs="宋体"/>
          <w:b/>
          <w:sz w:val="24"/>
          <w:highlight w:val="none"/>
        </w:rPr>
        <w:t>26.磋商响应文件的修改和撤回</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26.1磋商响应文件递交后，如果磋商供应商提出书面修改和撤回磋商响应文件要求，在磋商截止时间前以书面形式送达采购代理机构；</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26.2磋商供应商修改磋商响应文件的书面材料，须密封送达采购代理机构，修改或补充的内容应按磋商文件要求签署、盖章、密封、标记，并作为磋商响应文件的组成部分；</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26.3撤回磋商响应文件应以书面（或传真）的形式通知采购代理机构。如采取传真形式撤回磋商响应文件，随后必须补充有法定代表人或被授权人签署的要求撤回磋商响应文件的正式文件；撤回磋商响应文件的时间以送达采购代理机构到达日期为准；</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26.4在磋商截止时间后到磋商文件规定的磋商有效期满之间的这段时间内，磋商供应商不得撤回其磋商响应文件；</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26.5磋商供应商在磋商响应文件递交截止时间后，不得对其磋商响应文件做任何修改。</w:t>
      </w:r>
    </w:p>
    <w:p>
      <w:pPr>
        <w:pStyle w:val="5"/>
        <w:rPr>
          <w:rFonts w:ascii="宋体" w:hAnsi="宋体" w:cs="宋体"/>
          <w:sz w:val="32"/>
          <w:highlight w:val="none"/>
        </w:rPr>
      </w:pPr>
      <w:bookmarkStart w:id="32" w:name="_Toc519156742"/>
      <w:bookmarkStart w:id="33" w:name="_Toc21830"/>
      <w:bookmarkStart w:id="34" w:name="_Toc29321"/>
      <w:bookmarkStart w:id="35" w:name="_Toc32447"/>
      <w:r>
        <w:rPr>
          <w:rFonts w:hint="eastAsia" w:ascii="宋体" w:hAnsi="宋体" w:cs="宋体"/>
          <w:sz w:val="32"/>
          <w:highlight w:val="none"/>
        </w:rPr>
        <w:t>六．磋商、澄清、成交</w:t>
      </w:r>
      <w:bookmarkEnd w:id="32"/>
      <w:bookmarkEnd w:id="33"/>
      <w:bookmarkEnd w:id="34"/>
      <w:bookmarkEnd w:id="35"/>
    </w:p>
    <w:p>
      <w:pPr>
        <w:spacing w:line="440" w:lineRule="exact"/>
        <w:ind w:firstLine="120" w:firstLineChars="50"/>
        <w:rPr>
          <w:rFonts w:ascii="宋体" w:hAnsi="宋体" w:cs="宋体"/>
          <w:b/>
          <w:sz w:val="24"/>
          <w:highlight w:val="none"/>
        </w:rPr>
      </w:pPr>
      <w:r>
        <w:rPr>
          <w:rFonts w:hint="eastAsia" w:ascii="宋体" w:hAnsi="宋体" w:cs="宋体"/>
          <w:b/>
          <w:sz w:val="24"/>
          <w:highlight w:val="none"/>
        </w:rPr>
        <w:t>27.磋商小组和磋商评审原则</w:t>
      </w:r>
    </w:p>
    <w:p>
      <w:pPr>
        <w:spacing w:line="440" w:lineRule="exact"/>
        <w:ind w:firstLine="480" w:firstLineChars="200"/>
        <w:rPr>
          <w:rFonts w:ascii="宋体" w:hAnsi="宋体" w:cs="宋体"/>
          <w:bCs/>
          <w:sz w:val="24"/>
          <w:highlight w:val="none"/>
        </w:rPr>
      </w:pPr>
      <w:r>
        <w:rPr>
          <w:rFonts w:hint="eastAsia" w:ascii="宋体" w:hAnsi="宋体" w:cs="宋体"/>
          <w:bCs/>
          <w:sz w:val="24"/>
          <w:highlight w:val="none"/>
        </w:rPr>
        <w:t>27.1按照《</w:t>
      </w:r>
      <w:r>
        <w:rPr>
          <w:rFonts w:hint="eastAsia" w:ascii="宋体" w:hAnsi="宋体" w:cs="宋体"/>
          <w:sz w:val="24"/>
          <w:highlight w:val="none"/>
        </w:rPr>
        <w:t>中华人民共和国</w:t>
      </w:r>
      <w:r>
        <w:rPr>
          <w:rFonts w:hint="eastAsia" w:ascii="宋体" w:hAnsi="宋体" w:cs="宋体"/>
          <w:bCs/>
          <w:sz w:val="24"/>
          <w:highlight w:val="none"/>
        </w:rPr>
        <w:t>政府采购法》、中华人民共和国2015年第658号国务院令--《中华人民共和国政府采购法实施条例》和中华人民共和国财政部财库[2014]214号《政府采购竞争性磋商采购方式管理暂行办法》的规定，采购机构将依法组建竞争性磋商小组，依法进行磋商和评审工作。</w:t>
      </w:r>
    </w:p>
    <w:p>
      <w:pPr>
        <w:spacing w:line="440" w:lineRule="exact"/>
        <w:ind w:firstLine="480" w:firstLineChars="200"/>
        <w:rPr>
          <w:rFonts w:ascii="宋体" w:hAnsi="宋体" w:cs="宋体"/>
          <w:bCs/>
          <w:sz w:val="24"/>
          <w:highlight w:val="none"/>
        </w:rPr>
      </w:pPr>
      <w:r>
        <w:rPr>
          <w:rFonts w:hint="eastAsia" w:ascii="宋体" w:hAnsi="宋体" w:cs="宋体"/>
          <w:bCs/>
          <w:sz w:val="24"/>
          <w:highlight w:val="none"/>
        </w:rPr>
        <w:t>27.2磋商文件和供应商的响应文件是评审的依据。</w:t>
      </w:r>
    </w:p>
    <w:p>
      <w:pPr>
        <w:spacing w:line="440" w:lineRule="exact"/>
        <w:ind w:firstLine="120" w:firstLineChars="50"/>
        <w:rPr>
          <w:rFonts w:ascii="宋体" w:hAnsi="宋体" w:cs="宋体"/>
          <w:b/>
          <w:sz w:val="24"/>
          <w:highlight w:val="none"/>
        </w:rPr>
      </w:pPr>
      <w:r>
        <w:rPr>
          <w:rFonts w:hint="eastAsia" w:ascii="宋体" w:hAnsi="宋体" w:cs="宋体"/>
          <w:b/>
          <w:sz w:val="24"/>
          <w:highlight w:val="none"/>
        </w:rPr>
        <w:t>28.磋商及评审程序</w:t>
      </w:r>
    </w:p>
    <w:p>
      <w:pPr>
        <w:spacing w:line="440" w:lineRule="exact"/>
        <w:ind w:firstLine="480" w:firstLineChars="200"/>
        <w:rPr>
          <w:rFonts w:ascii="宋体" w:hAnsi="宋体" w:cs="宋体"/>
          <w:bCs/>
          <w:sz w:val="24"/>
          <w:highlight w:val="none"/>
        </w:rPr>
      </w:pPr>
      <w:r>
        <w:rPr>
          <w:rFonts w:hint="eastAsia" w:ascii="宋体" w:hAnsi="宋体" w:cs="宋体"/>
          <w:bCs/>
          <w:sz w:val="24"/>
          <w:highlight w:val="none"/>
        </w:rPr>
        <w:t>28.1采购代理</w:t>
      </w:r>
      <w:r>
        <w:rPr>
          <w:rFonts w:hint="eastAsia" w:ascii="宋体" w:hAnsi="宋体" w:cs="宋体"/>
          <w:sz w:val="24"/>
          <w:highlight w:val="none"/>
        </w:rPr>
        <w:t>机构</w:t>
      </w:r>
      <w:r>
        <w:rPr>
          <w:rFonts w:hint="eastAsia" w:ascii="宋体" w:hAnsi="宋体" w:cs="宋体"/>
          <w:bCs/>
          <w:sz w:val="24"/>
          <w:highlight w:val="none"/>
        </w:rPr>
        <w:t>在规定的时间和地点组织磋商。</w:t>
      </w:r>
    </w:p>
    <w:p>
      <w:pPr>
        <w:spacing w:line="440" w:lineRule="exact"/>
        <w:ind w:firstLine="480" w:firstLineChars="200"/>
        <w:rPr>
          <w:rFonts w:ascii="宋体" w:hAnsi="宋体" w:cs="宋体"/>
          <w:bCs/>
          <w:sz w:val="24"/>
          <w:highlight w:val="none"/>
        </w:rPr>
      </w:pPr>
      <w:r>
        <w:rPr>
          <w:rFonts w:hint="eastAsia" w:ascii="宋体" w:hAnsi="宋体" w:cs="宋体"/>
          <w:bCs/>
          <w:sz w:val="24"/>
          <w:highlight w:val="none"/>
        </w:rPr>
        <w:t>28.2本次磋商的报价次数、磋商程序和最终报价的产生原则见“磋商须知前附表”的规定。</w:t>
      </w:r>
    </w:p>
    <w:p>
      <w:pPr>
        <w:spacing w:line="440" w:lineRule="exact"/>
        <w:ind w:firstLine="480" w:firstLineChars="200"/>
        <w:rPr>
          <w:rFonts w:ascii="宋体" w:hAnsi="宋体" w:cs="宋体"/>
          <w:bCs/>
          <w:sz w:val="24"/>
          <w:highlight w:val="none"/>
        </w:rPr>
      </w:pPr>
      <w:r>
        <w:rPr>
          <w:rFonts w:hint="eastAsia" w:ascii="宋体" w:hAnsi="宋体" w:cs="宋体"/>
          <w:bCs/>
          <w:sz w:val="24"/>
          <w:highlight w:val="none"/>
        </w:rPr>
        <w:t>28.3磋商开始后，磋商小组首先对响应文件进行评审，并根据磋商文件规定的程序、评定成交的标准等事项与实质性响应磋商文件要求的供应商进行磋商。未实质性响应磋商文件的响应文件按无效处理，磋商小组将告知有关供应商。</w:t>
      </w:r>
    </w:p>
    <w:p>
      <w:pPr>
        <w:spacing w:line="440" w:lineRule="exact"/>
        <w:ind w:firstLine="480" w:firstLineChars="200"/>
        <w:rPr>
          <w:rFonts w:ascii="宋体" w:hAnsi="宋体" w:cs="宋体"/>
          <w:bCs/>
          <w:sz w:val="24"/>
          <w:highlight w:val="none"/>
        </w:rPr>
      </w:pPr>
      <w:r>
        <w:rPr>
          <w:rFonts w:hint="eastAsia" w:ascii="宋体" w:hAnsi="宋体" w:cs="宋体"/>
          <w:bCs/>
          <w:sz w:val="24"/>
          <w:highlight w:val="none"/>
        </w:rPr>
        <w:t>28.4磋商小组所有成员集中与单一供应商分别进行磋商，并给予所有参加磋商的供应商平等的磋商机会。</w:t>
      </w:r>
    </w:p>
    <w:p>
      <w:pPr>
        <w:spacing w:line="440" w:lineRule="exact"/>
        <w:ind w:firstLine="480" w:firstLineChars="200"/>
        <w:rPr>
          <w:rFonts w:ascii="宋体" w:hAnsi="宋体" w:cs="宋体"/>
          <w:bCs/>
          <w:sz w:val="24"/>
          <w:highlight w:val="none"/>
        </w:rPr>
      </w:pPr>
      <w:r>
        <w:rPr>
          <w:rFonts w:hint="eastAsia" w:ascii="宋体" w:hAnsi="宋体" w:cs="宋体"/>
          <w:bCs/>
          <w:sz w:val="24"/>
          <w:highlight w:val="none"/>
        </w:rPr>
        <w:t>28.5在磋商过程中，磋商小组可以根据磋商文件和磋商情况实质性变动采购需求中的技术、服务要求以及合同草案条款。所有变动内容均是磋商文件的有效组成部分，磋商小组将以书面形式同时通知所有参加磋商的供应商。</w:t>
      </w:r>
    </w:p>
    <w:p>
      <w:pPr>
        <w:spacing w:line="440" w:lineRule="exact"/>
        <w:ind w:firstLine="480" w:firstLineChars="200"/>
        <w:rPr>
          <w:rFonts w:ascii="宋体" w:hAnsi="宋体" w:cs="宋体"/>
          <w:bCs/>
          <w:sz w:val="24"/>
          <w:highlight w:val="none"/>
        </w:rPr>
      </w:pPr>
      <w:r>
        <w:rPr>
          <w:rFonts w:hint="eastAsia" w:ascii="宋体" w:hAnsi="宋体" w:cs="宋体"/>
          <w:bCs/>
          <w:sz w:val="24"/>
          <w:highlight w:val="none"/>
        </w:rPr>
        <w:t>28.6参加磋商的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spacing w:line="440" w:lineRule="exact"/>
        <w:ind w:firstLine="480" w:firstLineChars="200"/>
        <w:rPr>
          <w:rFonts w:ascii="宋体" w:hAnsi="宋体" w:cs="宋体"/>
          <w:bCs/>
          <w:sz w:val="24"/>
          <w:highlight w:val="none"/>
        </w:rPr>
      </w:pPr>
      <w:r>
        <w:rPr>
          <w:rFonts w:hint="eastAsia" w:ascii="宋体" w:hAnsi="宋体" w:cs="宋体"/>
          <w:bCs/>
          <w:sz w:val="24"/>
          <w:highlight w:val="none"/>
        </w:rPr>
        <w:t>28.7磋商结束后，磋商小组要求所有继续参加磋商的供应商在规定时间内提交最后报价，最后报价是供应商响应文件的有效组成部分。</w:t>
      </w:r>
    </w:p>
    <w:p>
      <w:pPr>
        <w:spacing w:line="440" w:lineRule="exact"/>
        <w:ind w:firstLine="480" w:firstLineChars="200"/>
        <w:rPr>
          <w:rFonts w:ascii="宋体" w:hAnsi="宋体" w:cs="宋体"/>
          <w:bCs/>
          <w:sz w:val="24"/>
          <w:highlight w:val="none"/>
        </w:rPr>
      </w:pPr>
      <w:r>
        <w:rPr>
          <w:rFonts w:hint="eastAsia" w:ascii="宋体" w:hAnsi="宋体" w:cs="宋体"/>
          <w:bCs/>
          <w:sz w:val="24"/>
          <w:highlight w:val="none"/>
        </w:rPr>
        <w:t>28.8已提交响应文件的供应商，在提交最后报价之前，可以根据磋商情况退出磋商。采购机构将退还退出磋商的供应商的保证金。</w:t>
      </w:r>
    </w:p>
    <w:p>
      <w:pPr>
        <w:spacing w:line="440" w:lineRule="exact"/>
        <w:ind w:firstLine="120" w:firstLineChars="50"/>
        <w:rPr>
          <w:rFonts w:ascii="宋体" w:hAnsi="宋体" w:cs="宋体"/>
          <w:b/>
          <w:sz w:val="24"/>
          <w:highlight w:val="none"/>
        </w:rPr>
      </w:pPr>
      <w:r>
        <w:rPr>
          <w:rFonts w:hint="eastAsia" w:ascii="宋体" w:hAnsi="宋体" w:cs="宋体"/>
          <w:b/>
          <w:sz w:val="24"/>
          <w:highlight w:val="none"/>
        </w:rPr>
        <w:t>29.评审过程的保密</w:t>
      </w:r>
    </w:p>
    <w:p>
      <w:pPr>
        <w:spacing w:line="440" w:lineRule="exact"/>
        <w:ind w:firstLine="480" w:firstLineChars="200"/>
        <w:rPr>
          <w:rFonts w:ascii="宋体" w:hAnsi="宋体" w:cs="宋体"/>
          <w:bCs/>
          <w:sz w:val="24"/>
          <w:highlight w:val="none"/>
        </w:rPr>
      </w:pPr>
      <w:r>
        <w:rPr>
          <w:rFonts w:hint="eastAsia" w:ascii="宋体" w:hAnsi="宋体" w:cs="宋体"/>
          <w:bCs/>
          <w:sz w:val="24"/>
          <w:highlight w:val="none"/>
        </w:rPr>
        <w:t>29.1竞争性</w:t>
      </w:r>
      <w:r>
        <w:rPr>
          <w:rFonts w:hint="eastAsia" w:ascii="宋体" w:hAnsi="宋体" w:cs="宋体"/>
          <w:sz w:val="24"/>
          <w:highlight w:val="none"/>
        </w:rPr>
        <w:t>磋商</w:t>
      </w:r>
      <w:r>
        <w:rPr>
          <w:rFonts w:hint="eastAsia" w:ascii="宋体" w:hAnsi="宋体" w:cs="宋体"/>
          <w:bCs/>
          <w:sz w:val="24"/>
          <w:highlight w:val="none"/>
        </w:rPr>
        <w:t>小组成员和与评审活动有关的工作人员不得泄露有关磋商响应文件的评审和比较、成交候选人的推荐以及与评审有关的其他情况。</w:t>
      </w:r>
    </w:p>
    <w:p>
      <w:pPr>
        <w:spacing w:line="440" w:lineRule="exact"/>
        <w:ind w:firstLine="480" w:firstLineChars="200"/>
        <w:rPr>
          <w:rFonts w:ascii="宋体" w:hAnsi="宋体" w:cs="宋体"/>
          <w:bCs/>
          <w:sz w:val="24"/>
          <w:highlight w:val="none"/>
        </w:rPr>
      </w:pPr>
      <w:r>
        <w:rPr>
          <w:rFonts w:hint="eastAsia" w:ascii="宋体" w:hAnsi="宋体" w:cs="宋体"/>
          <w:bCs/>
          <w:sz w:val="24"/>
          <w:highlight w:val="none"/>
        </w:rPr>
        <w:t>29.2在评审过程中，如果磋商供应商试图在磋商响应文件的评审和比较、成交候选人的推荐以及与评审有关的其他方面，向磋商小组、采购人和采购代理机构施加任何影响，其磋商响应文件将按照无效处理。</w:t>
      </w:r>
    </w:p>
    <w:p>
      <w:pPr>
        <w:spacing w:line="440" w:lineRule="exact"/>
        <w:ind w:firstLine="120" w:firstLineChars="50"/>
        <w:rPr>
          <w:rFonts w:ascii="宋体" w:hAnsi="宋体" w:cs="宋体"/>
          <w:b/>
          <w:sz w:val="24"/>
          <w:highlight w:val="none"/>
        </w:rPr>
      </w:pPr>
      <w:r>
        <w:rPr>
          <w:rFonts w:hint="eastAsia" w:ascii="宋体" w:hAnsi="宋体" w:cs="宋体"/>
          <w:b/>
          <w:sz w:val="24"/>
          <w:highlight w:val="none"/>
        </w:rPr>
        <w:t>30．评审方法</w:t>
      </w:r>
    </w:p>
    <w:p>
      <w:pPr>
        <w:spacing w:line="440" w:lineRule="exact"/>
        <w:ind w:firstLine="480" w:firstLineChars="200"/>
        <w:rPr>
          <w:rFonts w:ascii="宋体" w:hAnsi="宋体" w:cs="宋体"/>
          <w:b/>
          <w:sz w:val="22"/>
          <w:szCs w:val="22"/>
          <w:highlight w:val="none"/>
        </w:rPr>
      </w:pPr>
      <w:r>
        <w:rPr>
          <w:rFonts w:hint="eastAsia" w:ascii="宋体" w:hAnsi="宋体" w:cs="宋体"/>
          <w:bCs/>
          <w:sz w:val="24"/>
          <w:highlight w:val="none"/>
        </w:rPr>
        <w:t>30.1按照</w:t>
      </w:r>
      <w:r>
        <w:rPr>
          <w:rFonts w:hint="eastAsia" w:ascii="宋体" w:hAnsi="宋体" w:cs="宋体"/>
          <w:sz w:val="24"/>
          <w:highlight w:val="none"/>
        </w:rPr>
        <w:t>中华人民共和国</w:t>
      </w:r>
      <w:r>
        <w:rPr>
          <w:rFonts w:hint="eastAsia" w:ascii="宋体" w:hAnsi="宋体" w:cs="宋体"/>
          <w:bCs/>
          <w:sz w:val="24"/>
          <w:highlight w:val="none"/>
        </w:rPr>
        <w:t>财政部财库[2014]214号《政府采购竞争性磋商采购方式管理暂行办法》的规定，磋商小组根据综合评分情况，按照评审得分由高到低顺序推荐3名成交候选供应商。</w:t>
      </w:r>
    </w:p>
    <w:p>
      <w:pPr>
        <w:pStyle w:val="5"/>
        <w:rPr>
          <w:rFonts w:ascii="宋体" w:hAnsi="宋体" w:cs="宋体"/>
          <w:sz w:val="32"/>
          <w:highlight w:val="none"/>
        </w:rPr>
      </w:pPr>
      <w:bookmarkStart w:id="36" w:name="_Toc22120"/>
      <w:bookmarkStart w:id="37" w:name="_Toc6759"/>
      <w:bookmarkStart w:id="38" w:name="_Toc21838"/>
      <w:bookmarkStart w:id="39" w:name="_Toc519156743"/>
      <w:r>
        <w:rPr>
          <w:rFonts w:hint="eastAsia" w:ascii="宋体" w:hAnsi="宋体" w:cs="宋体"/>
          <w:sz w:val="32"/>
          <w:highlight w:val="none"/>
        </w:rPr>
        <w:t>七.确定成交人、成交通知与签约</w:t>
      </w:r>
      <w:bookmarkEnd w:id="36"/>
      <w:bookmarkEnd w:id="37"/>
      <w:bookmarkEnd w:id="38"/>
      <w:bookmarkEnd w:id="39"/>
    </w:p>
    <w:p>
      <w:pPr>
        <w:spacing w:line="440" w:lineRule="exact"/>
        <w:rPr>
          <w:rFonts w:ascii="宋体" w:hAnsi="宋体" w:cs="宋体"/>
          <w:b/>
          <w:sz w:val="24"/>
          <w:highlight w:val="none"/>
        </w:rPr>
      </w:pPr>
      <w:r>
        <w:rPr>
          <w:rFonts w:hint="eastAsia" w:ascii="宋体" w:hAnsi="宋体" w:cs="宋体"/>
          <w:b/>
          <w:sz w:val="24"/>
          <w:highlight w:val="none"/>
        </w:rPr>
        <w:t>31．确定成交人</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31.1磋商小组根据评审方法的规定对磋商供应商进行评审排序，推荐成交候选人，形成评审报告。评审报告由磋商小组成员签字确认。</w:t>
      </w:r>
    </w:p>
    <w:p>
      <w:pPr>
        <w:spacing w:line="440" w:lineRule="exact"/>
        <w:ind w:firstLine="480" w:firstLineChars="200"/>
        <w:rPr>
          <w:rFonts w:ascii="宋体" w:hAnsi="宋体" w:cs="宋体"/>
          <w:kern w:val="0"/>
          <w:sz w:val="24"/>
          <w:highlight w:val="none"/>
        </w:rPr>
      </w:pPr>
      <w:r>
        <w:rPr>
          <w:rFonts w:hint="eastAsia" w:ascii="宋体" w:hAnsi="宋体" w:cs="宋体"/>
          <w:sz w:val="24"/>
          <w:highlight w:val="none"/>
        </w:rPr>
        <w:t>31.2采购人</w:t>
      </w:r>
      <w:r>
        <w:rPr>
          <w:rFonts w:hint="eastAsia" w:ascii="宋体" w:hAnsi="宋体" w:cs="宋体"/>
          <w:kern w:val="0"/>
          <w:sz w:val="24"/>
          <w:highlight w:val="none"/>
        </w:rPr>
        <w:t>从评审报告提出的成交候选供应商中，按照排序由高到低的原则确定成交供应商。</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31.3采购人也可以书面授权磋商小组直接确定成交供应商。</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31.4采购人或者采购代理机构应当在成交供应商确定后2个工作日内，在省级以上财政部门指定的政府采购信息发布媒体上公告成交结果，同时向成交供应商发出成交通知书，并将磋商文件随成交结果同时公告。</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31.5磋商供应商对成交公告有异议的，按照《中华人民共和国政府采购法》第五十二条之有关规定执行。提出质疑的磋商供应商应当有明确的请求和必要的证明材料，应保证提出的质疑内容及相应证明材料的真实性及来源的合法性，并承担相应的法律责任。</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31.6成交供应商拒绝与采购人签订合同的，采购人可以按照评审报告推荐的成交候选人名单排序，确定下一候选人为成交供应商，也可以重新开展政府采购活动。</w:t>
      </w:r>
    </w:p>
    <w:p>
      <w:pPr>
        <w:spacing w:line="440" w:lineRule="exact"/>
        <w:rPr>
          <w:rFonts w:ascii="宋体" w:hAnsi="宋体" w:cs="宋体"/>
          <w:b/>
          <w:sz w:val="24"/>
          <w:highlight w:val="none"/>
        </w:rPr>
      </w:pPr>
      <w:r>
        <w:rPr>
          <w:rFonts w:hint="eastAsia" w:ascii="宋体" w:hAnsi="宋体" w:cs="宋体"/>
          <w:b/>
          <w:sz w:val="24"/>
          <w:highlight w:val="none"/>
        </w:rPr>
        <w:t>32．成交通知</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 xml:space="preserve">32.1 成交供应商确定之后，采购代理机构将发出《成交通知书》。 </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32.2成交通知书对采购人和成交供应商具有同等法律效力。成交通知书发出之后，采购人改变成交结果，或者成交供应商放弃成交，应当承担相应的法律责任。</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32.3 成交通知书发出后五个工作日内，采购代理机构将通知未成交的磋商供应商，并退还其磋商保证金。成交人的磋商保证金将在合同签订之后五个工作日内退还。</w:t>
      </w:r>
    </w:p>
    <w:p>
      <w:pPr>
        <w:spacing w:line="440" w:lineRule="exact"/>
        <w:rPr>
          <w:rFonts w:ascii="宋体" w:hAnsi="宋体" w:cs="宋体"/>
          <w:b/>
          <w:sz w:val="24"/>
          <w:highlight w:val="none"/>
        </w:rPr>
      </w:pPr>
      <w:r>
        <w:rPr>
          <w:rFonts w:hint="eastAsia" w:ascii="宋体" w:hAnsi="宋体" w:cs="宋体"/>
          <w:b/>
          <w:sz w:val="24"/>
          <w:highlight w:val="none"/>
        </w:rPr>
        <w:t>33．签订合同</w:t>
      </w:r>
    </w:p>
    <w:p>
      <w:pPr>
        <w:spacing w:line="440" w:lineRule="exact"/>
        <w:ind w:firstLine="482" w:firstLineChars="200"/>
        <w:rPr>
          <w:rFonts w:ascii="宋体" w:hAnsi="宋体" w:cs="宋体"/>
          <w:sz w:val="24"/>
          <w:highlight w:val="none"/>
        </w:rPr>
      </w:pPr>
      <w:r>
        <w:rPr>
          <w:rFonts w:hint="eastAsia" w:ascii="宋体" w:hAnsi="宋体" w:cs="宋体"/>
          <w:b/>
          <w:bCs/>
          <w:sz w:val="24"/>
          <w:highlight w:val="none"/>
        </w:rPr>
        <w:t>33.1</w:t>
      </w:r>
      <w:r>
        <w:rPr>
          <w:rFonts w:hint="eastAsia" w:ascii="宋体" w:hAnsi="宋体" w:cs="宋体"/>
          <w:sz w:val="24"/>
          <w:highlight w:val="none"/>
        </w:rPr>
        <w:t>成交供应商在采购代理机构发出成交通知书后三十个日内，按磋商文件的要求与采购人洽谈合同条款，并签订合同，同时送监督机构备案，磋商文件及成交供应商的磋商响应文件均作为合同的组成部分；</w:t>
      </w:r>
    </w:p>
    <w:p>
      <w:pPr>
        <w:spacing w:line="440" w:lineRule="exact"/>
        <w:ind w:firstLine="482" w:firstLineChars="200"/>
        <w:rPr>
          <w:rFonts w:ascii="宋体" w:hAnsi="宋体" w:cs="宋体"/>
          <w:sz w:val="24"/>
          <w:highlight w:val="none"/>
        </w:rPr>
      </w:pPr>
      <w:r>
        <w:rPr>
          <w:rFonts w:hint="eastAsia" w:ascii="宋体" w:hAnsi="宋体" w:cs="宋体"/>
          <w:b/>
          <w:bCs/>
          <w:sz w:val="24"/>
          <w:highlight w:val="none"/>
        </w:rPr>
        <w:t>33.2</w:t>
      </w:r>
      <w:r>
        <w:rPr>
          <w:rFonts w:hint="eastAsia" w:ascii="宋体" w:hAnsi="宋体" w:cs="宋体"/>
          <w:sz w:val="24"/>
          <w:highlight w:val="none"/>
        </w:rPr>
        <w:t>政府采购合同履行中，单位需追加与合同标的相同的货物、工程或者服务的，在不改变合同其他条款的前提下，可以与成交供应商协商签订补充合同，但所有补充合同的采购金额不得超过原合同采购金额的百分之十；</w:t>
      </w:r>
    </w:p>
    <w:p>
      <w:pPr>
        <w:spacing w:line="440" w:lineRule="exact"/>
        <w:ind w:firstLine="482" w:firstLineChars="200"/>
        <w:rPr>
          <w:rFonts w:ascii="宋体" w:hAnsi="宋体" w:cs="宋体"/>
          <w:sz w:val="24"/>
          <w:highlight w:val="none"/>
        </w:rPr>
      </w:pPr>
      <w:r>
        <w:rPr>
          <w:rFonts w:hint="eastAsia" w:ascii="宋体" w:hAnsi="宋体" w:cs="宋体"/>
          <w:b/>
          <w:bCs/>
          <w:sz w:val="24"/>
          <w:highlight w:val="none"/>
        </w:rPr>
        <w:t>33.3</w:t>
      </w:r>
      <w:r>
        <w:rPr>
          <w:rFonts w:hint="eastAsia" w:ascii="宋体" w:hAnsi="宋体" w:cs="宋体"/>
          <w:sz w:val="24"/>
          <w:highlight w:val="none"/>
        </w:rPr>
        <w:t>根据需要，采购代理机构可会同采购人负责监督、协调和处理履约过程中出现的问题；</w:t>
      </w:r>
    </w:p>
    <w:p>
      <w:pPr>
        <w:spacing w:line="440" w:lineRule="exact"/>
        <w:rPr>
          <w:rFonts w:ascii="宋体" w:hAnsi="宋体" w:cs="宋体"/>
          <w:b/>
          <w:sz w:val="24"/>
          <w:highlight w:val="none"/>
        </w:rPr>
      </w:pPr>
      <w:r>
        <w:rPr>
          <w:rFonts w:hint="eastAsia" w:ascii="宋体" w:hAnsi="宋体" w:cs="宋体"/>
          <w:b/>
          <w:sz w:val="24"/>
          <w:highlight w:val="none"/>
        </w:rPr>
        <w:t>34．成交合同的履约验收</w:t>
      </w:r>
    </w:p>
    <w:p>
      <w:pPr>
        <w:spacing w:line="440" w:lineRule="exact"/>
        <w:ind w:firstLine="480" w:firstLineChars="200"/>
        <w:rPr>
          <w:rFonts w:ascii="宋体" w:hAnsi="宋体" w:cs="宋体"/>
          <w:sz w:val="28"/>
          <w:szCs w:val="28"/>
          <w:highlight w:val="none"/>
        </w:rPr>
      </w:pPr>
      <w:r>
        <w:rPr>
          <w:rFonts w:hint="eastAsia" w:ascii="宋体" w:hAnsi="宋体" w:cs="宋体"/>
          <w:sz w:val="24"/>
          <w:highlight w:val="none"/>
        </w:rPr>
        <w:t>34.1成交供应商按照政府采购合同规定的技术、服务、安全标准，提交系统维护及合同履约情况总结报告，并经采购人确认。</w:t>
      </w:r>
    </w:p>
    <w:p>
      <w:pPr>
        <w:pStyle w:val="5"/>
        <w:rPr>
          <w:rFonts w:ascii="宋体" w:hAnsi="宋体" w:cs="宋体"/>
          <w:sz w:val="32"/>
          <w:highlight w:val="none"/>
        </w:rPr>
      </w:pPr>
      <w:bookmarkStart w:id="40" w:name="_Toc5011"/>
      <w:bookmarkStart w:id="41" w:name="_Toc23716"/>
      <w:bookmarkStart w:id="42" w:name="_Toc3550"/>
      <w:bookmarkStart w:id="43" w:name="_Toc519156745"/>
      <w:bookmarkStart w:id="44" w:name="_Toc23647"/>
      <w:r>
        <w:rPr>
          <w:rFonts w:hint="eastAsia" w:ascii="宋体" w:hAnsi="宋体" w:cs="宋体"/>
          <w:sz w:val="32"/>
          <w:highlight w:val="none"/>
        </w:rPr>
        <w:t>八．成交服务费</w:t>
      </w:r>
      <w:bookmarkEnd w:id="40"/>
      <w:bookmarkEnd w:id="41"/>
      <w:bookmarkEnd w:id="42"/>
      <w:bookmarkEnd w:id="43"/>
      <w:bookmarkEnd w:id="44"/>
    </w:p>
    <w:p>
      <w:pPr>
        <w:spacing w:line="600" w:lineRule="exact"/>
        <w:jc w:val="left"/>
        <w:rPr>
          <w:rFonts w:hint="eastAsia" w:ascii="宋体" w:hAnsi="宋体" w:cs="宋体"/>
          <w:sz w:val="24"/>
          <w:highlight w:val="none"/>
        </w:rPr>
      </w:pPr>
      <w:r>
        <w:rPr>
          <w:rFonts w:hint="eastAsia" w:ascii="宋体" w:hAnsi="宋体" w:cs="宋体"/>
          <w:b/>
          <w:bCs/>
          <w:sz w:val="24"/>
          <w:highlight w:val="none"/>
        </w:rPr>
        <w:t>35.</w:t>
      </w:r>
      <w:r>
        <w:rPr>
          <w:rFonts w:hint="eastAsia" w:ascii="宋体" w:hAnsi="宋体" w:cs="宋体"/>
          <w:sz w:val="24"/>
          <w:highlight w:val="none"/>
        </w:rPr>
        <w:t>代理收费依据陕西省公路局关于202</w:t>
      </w:r>
      <w:r>
        <w:rPr>
          <w:rFonts w:hint="eastAsia" w:ascii="宋体" w:hAnsi="宋体" w:cs="宋体"/>
          <w:sz w:val="24"/>
          <w:highlight w:val="none"/>
          <w:lang w:val="en-US" w:eastAsia="zh-CN"/>
        </w:rPr>
        <w:t>3</w:t>
      </w:r>
      <w:r>
        <w:rPr>
          <w:rFonts w:hint="eastAsia" w:ascii="宋体" w:hAnsi="宋体" w:cs="宋体"/>
          <w:sz w:val="24"/>
          <w:highlight w:val="none"/>
        </w:rPr>
        <w:t>年度部分政府采购项目委托代理服务竞价结果（合同编号：</w:t>
      </w:r>
      <w:r>
        <w:rPr>
          <w:rFonts w:hint="eastAsia" w:ascii="宋体" w:hAnsi="宋体" w:cs="宋体"/>
          <w:sz w:val="24"/>
          <w:highlight w:val="none"/>
          <w:lang w:val="en-US" w:eastAsia="zh-CN"/>
        </w:rPr>
        <w:t>SXSGLJ2023018</w:t>
      </w:r>
      <w:r>
        <w:rPr>
          <w:rFonts w:hint="eastAsia" w:ascii="宋体" w:hAnsi="宋体" w:cs="宋体"/>
          <w:sz w:val="24"/>
          <w:highlight w:val="none"/>
        </w:rPr>
        <w:t>），本项目代理服务费：</w:t>
      </w:r>
    </w:p>
    <w:p>
      <w:pPr>
        <w:spacing w:line="360" w:lineRule="auto"/>
        <w:jc w:val="left"/>
        <w:rPr>
          <w:rFonts w:ascii="宋体" w:hAnsi="宋体" w:cs="宋体"/>
          <w:sz w:val="24"/>
          <w:highlight w:val="none"/>
        </w:rPr>
      </w:pPr>
      <w:r>
        <w:rPr>
          <w:rFonts w:hint="eastAsia" w:ascii="宋体" w:hAnsi="宋体" w:cs="宋体"/>
          <w:sz w:val="24"/>
          <w:highlight w:val="none"/>
          <w:lang w:val="en-US" w:eastAsia="zh-CN"/>
        </w:rPr>
        <w:t>JC-1</w:t>
      </w:r>
      <w:r>
        <w:rPr>
          <w:rFonts w:hint="eastAsia" w:ascii="宋体" w:hAnsi="宋体" w:cs="宋体"/>
          <w:sz w:val="24"/>
          <w:highlight w:val="none"/>
          <w:lang w:eastAsia="zh-CN"/>
        </w:rPr>
        <w:t>包</w:t>
      </w:r>
      <w:r>
        <w:rPr>
          <w:rFonts w:hint="eastAsia" w:ascii="宋体" w:hAnsi="宋体" w:cs="宋体"/>
          <w:sz w:val="24"/>
          <w:highlight w:val="none"/>
        </w:rPr>
        <w:t>:</w:t>
      </w:r>
      <w:r>
        <w:rPr>
          <w:rFonts w:hint="eastAsia" w:ascii="宋体" w:hAnsi="宋体" w:cs="宋体"/>
          <w:sz w:val="24"/>
          <w:highlight w:val="none"/>
          <w:lang w:eastAsia="zh-CN"/>
        </w:rPr>
        <w:t>人民币</w:t>
      </w:r>
      <w:r>
        <w:rPr>
          <w:rFonts w:hint="eastAsia" w:ascii="宋体" w:hAnsi="宋体" w:cs="宋体"/>
          <w:sz w:val="24"/>
          <w:highlight w:val="none"/>
          <w:lang w:val="en-US" w:eastAsia="zh-CN"/>
        </w:rPr>
        <w:t>捌仟叁佰柒拾陆元整</w:t>
      </w:r>
      <w:r>
        <w:rPr>
          <w:rFonts w:hint="eastAsia" w:ascii="宋体" w:hAnsi="宋体" w:cs="宋体"/>
          <w:sz w:val="24"/>
          <w:highlight w:val="none"/>
        </w:rPr>
        <w:t>（￥</w:t>
      </w:r>
      <w:r>
        <w:rPr>
          <w:rFonts w:hint="eastAsia" w:ascii="宋体" w:hAnsi="宋体" w:cs="宋体"/>
          <w:sz w:val="24"/>
          <w:highlight w:val="none"/>
          <w:lang w:val="en-US" w:eastAsia="zh-CN"/>
        </w:rPr>
        <w:t>8376.00</w:t>
      </w:r>
      <w:r>
        <w:rPr>
          <w:rFonts w:hint="eastAsia" w:ascii="宋体" w:hAnsi="宋体" w:cs="宋体"/>
          <w:sz w:val="24"/>
          <w:highlight w:val="none"/>
        </w:rPr>
        <w:t>元）</w:t>
      </w:r>
    </w:p>
    <w:p>
      <w:pPr>
        <w:spacing w:line="360" w:lineRule="auto"/>
        <w:jc w:val="left"/>
        <w:rPr>
          <w:rFonts w:hint="eastAsia" w:ascii="宋体" w:hAnsi="宋体" w:cs="宋体"/>
          <w:sz w:val="24"/>
          <w:highlight w:val="none"/>
        </w:rPr>
      </w:pPr>
      <w:r>
        <w:rPr>
          <w:rFonts w:hint="eastAsia" w:ascii="宋体" w:hAnsi="宋体" w:cs="宋体"/>
          <w:sz w:val="24"/>
          <w:highlight w:val="none"/>
          <w:lang w:val="en-US" w:eastAsia="zh-CN"/>
        </w:rPr>
        <w:t>JC-2</w:t>
      </w:r>
      <w:r>
        <w:rPr>
          <w:rFonts w:hint="eastAsia" w:ascii="宋体" w:hAnsi="宋体" w:cs="宋体"/>
          <w:sz w:val="24"/>
          <w:highlight w:val="none"/>
          <w:lang w:eastAsia="zh-CN"/>
        </w:rPr>
        <w:t>包</w:t>
      </w:r>
      <w:r>
        <w:rPr>
          <w:rFonts w:hint="eastAsia" w:ascii="宋体" w:hAnsi="宋体" w:cs="宋体"/>
          <w:sz w:val="24"/>
          <w:highlight w:val="none"/>
        </w:rPr>
        <w:t>:</w:t>
      </w:r>
      <w:r>
        <w:rPr>
          <w:rFonts w:hint="eastAsia" w:ascii="宋体" w:hAnsi="宋体" w:cs="宋体"/>
          <w:sz w:val="24"/>
          <w:highlight w:val="none"/>
          <w:lang w:eastAsia="zh-CN"/>
        </w:rPr>
        <w:t>人民币</w:t>
      </w:r>
      <w:r>
        <w:rPr>
          <w:rFonts w:hint="eastAsia" w:ascii="宋体" w:hAnsi="宋体" w:cs="宋体"/>
          <w:sz w:val="24"/>
          <w:highlight w:val="none"/>
          <w:lang w:val="en-US" w:eastAsia="zh-CN"/>
        </w:rPr>
        <w:t>柒仟伍佰伍拾捌元整</w:t>
      </w:r>
      <w:r>
        <w:rPr>
          <w:rFonts w:hint="eastAsia" w:ascii="宋体" w:hAnsi="宋体" w:cs="宋体"/>
          <w:sz w:val="24"/>
          <w:highlight w:val="none"/>
        </w:rPr>
        <w:t>（￥</w:t>
      </w:r>
      <w:r>
        <w:rPr>
          <w:rFonts w:hint="eastAsia" w:ascii="宋体" w:hAnsi="宋体" w:cs="宋体"/>
          <w:sz w:val="24"/>
          <w:highlight w:val="none"/>
          <w:lang w:val="en-US" w:eastAsia="zh-CN"/>
        </w:rPr>
        <w:t>7558.00</w:t>
      </w:r>
      <w:r>
        <w:rPr>
          <w:rFonts w:hint="eastAsia" w:ascii="宋体" w:hAnsi="宋体" w:cs="宋体"/>
          <w:sz w:val="24"/>
          <w:highlight w:val="none"/>
        </w:rPr>
        <w:t>元）</w:t>
      </w:r>
    </w:p>
    <w:p>
      <w:pPr>
        <w:snapToGrid w:val="0"/>
        <w:spacing w:line="440" w:lineRule="exact"/>
        <w:rPr>
          <w:rFonts w:hint="eastAsia" w:ascii="宋体" w:hAnsi="宋体" w:cs="宋体"/>
          <w:sz w:val="24"/>
          <w:highlight w:val="none"/>
          <w:lang w:eastAsia="zh-CN"/>
        </w:rPr>
      </w:pPr>
      <w:r>
        <w:rPr>
          <w:rFonts w:hint="eastAsia" w:ascii="宋体" w:hAnsi="宋体" w:cs="宋体"/>
          <w:sz w:val="24"/>
          <w:highlight w:val="none"/>
        </w:rPr>
        <w:t>由成交单位在领取成交通知书前，向代理机构缴纳招标代理服务费</w:t>
      </w:r>
      <w:r>
        <w:rPr>
          <w:rFonts w:hint="eastAsia" w:ascii="宋体" w:hAnsi="宋体" w:cs="宋体"/>
          <w:sz w:val="24"/>
          <w:highlight w:val="none"/>
          <w:lang w:eastAsia="zh-CN"/>
        </w:rPr>
        <w:t>。</w:t>
      </w:r>
    </w:p>
    <w:p>
      <w:pPr>
        <w:snapToGrid w:val="0"/>
        <w:spacing w:line="440" w:lineRule="exact"/>
        <w:rPr>
          <w:rFonts w:hint="eastAsia" w:ascii="宋体" w:hAnsi="宋体" w:eastAsia="宋体" w:cs="宋体"/>
          <w:sz w:val="24"/>
          <w:highlight w:val="none"/>
          <w:lang w:eastAsia="zh-CN"/>
        </w:rPr>
      </w:pPr>
      <w:r>
        <w:rPr>
          <w:rFonts w:hint="eastAsia" w:ascii="宋体" w:hAnsi="宋体" w:cs="宋体"/>
          <w:sz w:val="24"/>
          <w:highlight w:val="none"/>
        </w:rPr>
        <w:t>交纳信息</w:t>
      </w:r>
      <w:r>
        <w:rPr>
          <w:rFonts w:hint="eastAsia" w:ascii="宋体" w:hAnsi="宋体" w:cs="宋体"/>
          <w:sz w:val="24"/>
          <w:highlight w:val="none"/>
          <w:lang w:eastAsia="zh-CN"/>
        </w:rPr>
        <w:t>：</w:t>
      </w:r>
    </w:p>
    <w:p>
      <w:pPr>
        <w:wordWrap/>
        <w:snapToGrid/>
        <w:spacing w:line="360" w:lineRule="auto"/>
        <w:ind w:firstLine="482" w:firstLineChars="200"/>
        <w:jc w:val="left"/>
        <w:textAlignment w:val="auto"/>
        <w:rPr>
          <w:rFonts w:hint="eastAsia" w:ascii="宋体" w:hAnsi="宋体" w:eastAsia="宋体" w:cs="宋体"/>
          <w:b/>
          <w:bCs/>
          <w:sz w:val="24"/>
          <w:szCs w:val="24"/>
          <w:highlight w:val="none"/>
          <w:lang w:eastAsia="zh-CN"/>
        </w:rPr>
      </w:pPr>
      <w:r>
        <w:rPr>
          <w:rFonts w:hint="eastAsia" w:ascii="宋体" w:hAnsi="宋体" w:cs="宋体"/>
          <w:b/>
          <w:bCs/>
          <w:sz w:val="24"/>
          <w:szCs w:val="24"/>
          <w:highlight w:val="none"/>
        </w:rPr>
        <w:t>户    名：</w:t>
      </w:r>
      <w:r>
        <w:rPr>
          <w:rFonts w:hint="eastAsia" w:ascii="宋体" w:hAnsi="宋体" w:cs="宋体"/>
          <w:b/>
          <w:bCs/>
          <w:sz w:val="24"/>
          <w:szCs w:val="24"/>
          <w:highlight w:val="none"/>
          <w:lang w:eastAsia="zh-CN"/>
        </w:rPr>
        <w:t>陕西正宇信工程项目管理有限公司</w:t>
      </w:r>
    </w:p>
    <w:p>
      <w:pPr>
        <w:wordWrap/>
        <w:snapToGrid/>
        <w:spacing w:line="360" w:lineRule="auto"/>
        <w:ind w:firstLine="482" w:firstLineChars="200"/>
        <w:textAlignment w:val="auto"/>
        <w:rPr>
          <w:rFonts w:hint="eastAsia" w:ascii="宋体" w:hAnsi="宋体" w:cs="宋体"/>
          <w:b/>
          <w:bCs/>
          <w:sz w:val="24"/>
          <w:szCs w:val="24"/>
          <w:highlight w:val="none"/>
        </w:rPr>
      </w:pPr>
      <w:r>
        <w:rPr>
          <w:rFonts w:hint="eastAsia" w:ascii="宋体" w:hAnsi="宋体" w:cs="宋体"/>
          <w:b/>
          <w:bCs/>
          <w:sz w:val="24"/>
          <w:szCs w:val="24"/>
          <w:highlight w:val="none"/>
        </w:rPr>
        <w:t>开户银行：建设银行西安</w:t>
      </w:r>
      <w:r>
        <w:rPr>
          <w:rFonts w:hint="eastAsia" w:ascii="宋体" w:hAnsi="宋体" w:cs="宋体"/>
          <w:b/>
          <w:bCs/>
          <w:sz w:val="24"/>
          <w:szCs w:val="24"/>
          <w:highlight w:val="none"/>
          <w:lang w:val="en-US" w:eastAsia="zh-CN"/>
        </w:rPr>
        <w:t>长安区西长安街</w:t>
      </w:r>
      <w:r>
        <w:rPr>
          <w:rFonts w:hint="eastAsia" w:ascii="宋体" w:hAnsi="宋体" w:cs="宋体"/>
          <w:b/>
          <w:bCs/>
          <w:sz w:val="24"/>
          <w:szCs w:val="24"/>
          <w:highlight w:val="none"/>
        </w:rPr>
        <w:t xml:space="preserve">支行 </w:t>
      </w:r>
    </w:p>
    <w:p>
      <w:pPr>
        <w:wordWrap/>
        <w:snapToGrid/>
        <w:spacing w:line="360" w:lineRule="auto"/>
        <w:ind w:firstLine="482" w:firstLineChars="200"/>
        <w:textAlignment w:val="auto"/>
        <w:rPr>
          <w:rFonts w:hint="eastAsia" w:ascii="宋体" w:hAnsi="宋体" w:cs="宋体"/>
          <w:b/>
          <w:bCs/>
          <w:sz w:val="24"/>
          <w:szCs w:val="24"/>
          <w:highlight w:val="none"/>
        </w:rPr>
      </w:pPr>
      <w:r>
        <w:rPr>
          <w:rFonts w:hint="eastAsia" w:ascii="宋体" w:hAnsi="宋体" w:cs="宋体"/>
          <w:b/>
          <w:bCs/>
          <w:sz w:val="24"/>
          <w:szCs w:val="24"/>
          <w:highlight w:val="none"/>
        </w:rPr>
        <w:t xml:space="preserve">账    号：6105 0170 5259 0000 0014 </w:t>
      </w:r>
    </w:p>
    <w:p>
      <w:pPr>
        <w:wordWrap/>
        <w:snapToGrid/>
        <w:spacing w:line="360" w:lineRule="auto"/>
        <w:ind w:firstLine="482" w:firstLineChars="200"/>
        <w:textAlignment w:val="auto"/>
        <w:rPr>
          <w:rFonts w:hint="eastAsia" w:ascii="宋体" w:hAnsi="宋体" w:cs="宋体"/>
          <w:b/>
          <w:bCs/>
          <w:sz w:val="24"/>
          <w:szCs w:val="24"/>
          <w:highlight w:val="none"/>
        </w:rPr>
      </w:pPr>
      <w:r>
        <w:rPr>
          <w:rFonts w:hint="eastAsia" w:ascii="宋体" w:hAnsi="宋体" w:cs="宋体"/>
          <w:b/>
          <w:bCs/>
          <w:sz w:val="24"/>
          <w:szCs w:val="24"/>
          <w:highlight w:val="none"/>
        </w:rPr>
        <w:t>采购代理机构公司财务室电话：029-68205383</w:t>
      </w:r>
    </w:p>
    <w:p>
      <w:pPr>
        <w:pStyle w:val="2"/>
        <w:rPr>
          <w:rFonts w:ascii="宋体" w:hAnsi="宋体" w:cs="宋体"/>
          <w:color w:val="auto"/>
          <w:highlight w:val="none"/>
        </w:rPr>
      </w:pPr>
    </w:p>
    <w:p>
      <w:pPr>
        <w:pStyle w:val="5"/>
        <w:rPr>
          <w:rFonts w:ascii="宋体" w:hAnsi="宋体" w:cs="宋体"/>
          <w:sz w:val="32"/>
          <w:highlight w:val="none"/>
        </w:rPr>
      </w:pPr>
      <w:bookmarkStart w:id="45" w:name="_Toc19992"/>
      <w:bookmarkStart w:id="46" w:name="_Toc5878"/>
      <w:bookmarkStart w:id="47" w:name="_Toc29597"/>
      <w:bookmarkStart w:id="48" w:name="_Toc26143"/>
      <w:bookmarkStart w:id="49" w:name="_Toc519156746"/>
      <w:r>
        <w:rPr>
          <w:rFonts w:hint="eastAsia" w:ascii="宋体" w:hAnsi="宋体" w:cs="宋体"/>
          <w:sz w:val="32"/>
          <w:highlight w:val="none"/>
        </w:rPr>
        <w:t>九.质疑与投诉</w:t>
      </w:r>
      <w:bookmarkEnd w:id="45"/>
      <w:bookmarkEnd w:id="46"/>
    </w:p>
    <w:p>
      <w:pPr>
        <w:pStyle w:val="2"/>
        <w:spacing w:line="440" w:lineRule="exact"/>
        <w:jc w:val="left"/>
        <w:rPr>
          <w:rFonts w:ascii="宋体" w:hAnsi="宋体" w:cs="宋体"/>
          <w:b/>
          <w:bCs/>
          <w:color w:val="auto"/>
          <w:highlight w:val="none"/>
        </w:rPr>
      </w:pPr>
      <w:r>
        <w:rPr>
          <w:rFonts w:hint="eastAsia" w:ascii="宋体" w:hAnsi="宋体" w:cs="宋体"/>
          <w:b/>
          <w:bCs/>
          <w:color w:val="auto"/>
          <w:highlight w:val="none"/>
        </w:rPr>
        <w:t>36.质疑</w:t>
      </w:r>
    </w:p>
    <w:p>
      <w:pPr>
        <w:pStyle w:val="2"/>
        <w:spacing w:line="440" w:lineRule="exact"/>
        <w:jc w:val="left"/>
        <w:rPr>
          <w:rFonts w:ascii="宋体" w:hAnsi="宋体" w:cs="宋体"/>
          <w:color w:val="auto"/>
          <w:highlight w:val="none"/>
        </w:rPr>
      </w:pPr>
      <w:r>
        <w:rPr>
          <w:rFonts w:hint="eastAsia" w:ascii="宋体" w:hAnsi="宋体" w:cs="宋体"/>
          <w:color w:val="auto"/>
          <w:highlight w:val="none"/>
        </w:rPr>
        <w:t>36.1供应商对本次磋商采购活动有疑问的，应当按照《中华人民共和国政府采购法实施条例》的有关规定办理。</w:t>
      </w:r>
    </w:p>
    <w:p>
      <w:pPr>
        <w:pStyle w:val="2"/>
        <w:spacing w:line="440" w:lineRule="exact"/>
        <w:jc w:val="left"/>
        <w:rPr>
          <w:rFonts w:ascii="宋体" w:hAnsi="宋体" w:cs="宋体"/>
          <w:color w:val="auto"/>
          <w:highlight w:val="none"/>
        </w:rPr>
      </w:pPr>
      <w:r>
        <w:rPr>
          <w:rFonts w:hint="eastAsia" w:ascii="宋体" w:hAnsi="宋体" w:cs="宋体"/>
          <w:color w:val="auto"/>
          <w:highlight w:val="none"/>
        </w:rPr>
        <w:t>36.2 供应商对采购文件、采购过程或成交结果使自身的合法权益受到损害，应当在法定期限内，按照质疑函范本格式要求以书面形式向采购代理机构或采购人提出质疑，并附必要的证明材料。</w:t>
      </w:r>
    </w:p>
    <w:p>
      <w:pPr>
        <w:pStyle w:val="2"/>
        <w:spacing w:line="440" w:lineRule="exact"/>
        <w:jc w:val="left"/>
        <w:rPr>
          <w:rFonts w:ascii="宋体" w:hAnsi="宋体" w:cs="宋体"/>
          <w:color w:val="auto"/>
          <w:highlight w:val="none"/>
        </w:rPr>
      </w:pPr>
      <w:r>
        <w:rPr>
          <w:rFonts w:hint="eastAsia" w:ascii="宋体" w:hAnsi="宋体" w:cs="宋体"/>
          <w:color w:val="auto"/>
          <w:highlight w:val="none"/>
        </w:rPr>
        <w:t>36.3 质疑函应当包括下列内容：</w:t>
      </w:r>
    </w:p>
    <w:p>
      <w:pPr>
        <w:pStyle w:val="2"/>
        <w:spacing w:line="440" w:lineRule="exact"/>
        <w:jc w:val="left"/>
        <w:rPr>
          <w:rFonts w:ascii="宋体" w:hAnsi="宋体" w:cs="宋体"/>
          <w:color w:val="auto"/>
          <w:highlight w:val="none"/>
        </w:rPr>
      </w:pPr>
      <w:r>
        <w:rPr>
          <w:rFonts w:hint="eastAsia" w:ascii="宋体" w:hAnsi="宋体" w:cs="宋体"/>
          <w:color w:val="auto"/>
          <w:highlight w:val="none"/>
        </w:rPr>
        <w:t>（1）供应商的姓名或者名称、地址、邮编、联系人及联系电话；</w:t>
      </w:r>
    </w:p>
    <w:p>
      <w:pPr>
        <w:pStyle w:val="2"/>
        <w:spacing w:line="440" w:lineRule="exact"/>
        <w:jc w:val="left"/>
        <w:rPr>
          <w:rFonts w:ascii="宋体" w:hAnsi="宋体" w:cs="宋体"/>
          <w:color w:val="auto"/>
          <w:highlight w:val="none"/>
        </w:rPr>
      </w:pPr>
      <w:r>
        <w:rPr>
          <w:rFonts w:hint="eastAsia" w:ascii="宋体" w:hAnsi="宋体" w:cs="宋体"/>
          <w:color w:val="auto"/>
          <w:highlight w:val="none"/>
        </w:rPr>
        <w:t>（2）质疑项目的名称、编号；</w:t>
      </w:r>
    </w:p>
    <w:p>
      <w:pPr>
        <w:pStyle w:val="2"/>
        <w:spacing w:line="440" w:lineRule="exact"/>
        <w:jc w:val="left"/>
        <w:rPr>
          <w:rFonts w:ascii="宋体" w:hAnsi="宋体" w:cs="宋体"/>
          <w:color w:val="auto"/>
          <w:highlight w:val="none"/>
        </w:rPr>
      </w:pPr>
      <w:r>
        <w:rPr>
          <w:rFonts w:hint="eastAsia" w:ascii="宋体" w:hAnsi="宋体" w:cs="宋体"/>
          <w:color w:val="auto"/>
          <w:highlight w:val="none"/>
        </w:rPr>
        <w:t>（3）具体、明确的质疑事项和与质疑事项相关的请求；</w:t>
      </w:r>
    </w:p>
    <w:p>
      <w:pPr>
        <w:pStyle w:val="2"/>
        <w:spacing w:line="440" w:lineRule="exact"/>
        <w:jc w:val="left"/>
        <w:rPr>
          <w:rFonts w:ascii="宋体" w:hAnsi="宋体" w:cs="宋体"/>
          <w:color w:val="auto"/>
          <w:highlight w:val="none"/>
        </w:rPr>
      </w:pPr>
      <w:r>
        <w:rPr>
          <w:rFonts w:hint="eastAsia" w:ascii="宋体" w:hAnsi="宋体" w:cs="宋体"/>
          <w:color w:val="auto"/>
          <w:highlight w:val="none"/>
        </w:rPr>
        <w:t>（4）事实依据；</w:t>
      </w:r>
    </w:p>
    <w:p>
      <w:pPr>
        <w:pStyle w:val="2"/>
        <w:spacing w:line="440" w:lineRule="exact"/>
        <w:jc w:val="left"/>
        <w:rPr>
          <w:rFonts w:ascii="宋体" w:hAnsi="宋体" w:cs="宋体"/>
          <w:color w:val="auto"/>
          <w:highlight w:val="none"/>
        </w:rPr>
      </w:pPr>
      <w:r>
        <w:rPr>
          <w:rFonts w:hint="eastAsia" w:ascii="宋体" w:hAnsi="宋体" w:cs="宋体"/>
          <w:color w:val="auto"/>
          <w:highlight w:val="none"/>
        </w:rPr>
        <w:t>（5）必要的法律依据；</w:t>
      </w:r>
    </w:p>
    <w:p>
      <w:pPr>
        <w:pStyle w:val="2"/>
        <w:spacing w:line="440" w:lineRule="exact"/>
        <w:jc w:val="left"/>
        <w:rPr>
          <w:rFonts w:ascii="宋体" w:hAnsi="宋体" w:cs="宋体"/>
          <w:color w:val="auto"/>
          <w:highlight w:val="none"/>
        </w:rPr>
      </w:pPr>
      <w:r>
        <w:rPr>
          <w:rFonts w:hint="eastAsia" w:ascii="宋体" w:hAnsi="宋体" w:cs="宋体"/>
          <w:color w:val="auto"/>
          <w:highlight w:val="none"/>
        </w:rPr>
        <w:t>（6）提出质疑的日期。</w:t>
      </w:r>
    </w:p>
    <w:p>
      <w:pPr>
        <w:pStyle w:val="2"/>
        <w:spacing w:line="440" w:lineRule="exact"/>
        <w:jc w:val="left"/>
        <w:rPr>
          <w:rFonts w:ascii="宋体" w:hAnsi="宋体" w:cs="宋体"/>
          <w:color w:val="auto"/>
          <w:highlight w:val="none"/>
        </w:rPr>
      </w:pPr>
      <w:r>
        <w:rPr>
          <w:rFonts w:hint="eastAsia" w:ascii="宋体" w:hAnsi="宋体" w:cs="宋体"/>
          <w:color w:val="auto"/>
          <w:highlight w:val="none"/>
        </w:rPr>
        <w:t>供应商为法人的，应当由法定代表人或者其委托代理人签字或者盖章，并加盖单位章。</w:t>
      </w:r>
    </w:p>
    <w:p>
      <w:pPr>
        <w:pStyle w:val="2"/>
        <w:spacing w:line="440" w:lineRule="exact"/>
        <w:jc w:val="left"/>
        <w:rPr>
          <w:rFonts w:ascii="宋体" w:hAnsi="宋体" w:cs="宋体"/>
          <w:color w:val="auto"/>
          <w:highlight w:val="none"/>
        </w:rPr>
      </w:pPr>
      <w:r>
        <w:rPr>
          <w:rFonts w:hint="eastAsia" w:ascii="宋体" w:hAnsi="宋体" w:cs="宋体"/>
          <w:color w:val="auto"/>
          <w:highlight w:val="none"/>
        </w:rPr>
        <w:t>36.4质疑人可以委托代理人办理质疑事项，代理人办理质疑事项时，除提交质疑函外，还应当提交质疑人的授权委托书及代理人的有效身份证明，授权委托书应当载明委托代理的具体权限期限和相关事项。</w:t>
      </w:r>
    </w:p>
    <w:p>
      <w:pPr>
        <w:pStyle w:val="2"/>
        <w:spacing w:line="440" w:lineRule="exact"/>
        <w:jc w:val="left"/>
        <w:rPr>
          <w:rFonts w:ascii="宋体" w:hAnsi="宋体" w:cs="宋体"/>
          <w:color w:val="auto"/>
          <w:highlight w:val="none"/>
        </w:rPr>
      </w:pPr>
      <w:r>
        <w:rPr>
          <w:rFonts w:hint="eastAsia" w:ascii="宋体" w:hAnsi="宋体" w:cs="宋体"/>
          <w:color w:val="auto"/>
          <w:highlight w:val="none"/>
        </w:rPr>
        <w:t>36.5 质疑函范本格式在中国政府采购网站（http://www.ccgp.gov.cn/）自行下载。</w:t>
      </w:r>
    </w:p>
    <w:p>
      <w:pPr>
        <w:pStyle w:val="2"/>
        <w:spacing w:line="440" w:lineRule="exact"/>
        <w:jc w:val="left"/>
        <w:rPr>
          <w:rFonts w:ascii="宋体" w:hAnsi="宋体" w:cs="宋体"/>
          <w:color w:val="auto"/>
          <w:highlight w:val="none"/>
        </w:rPr>
      </w:pPr>
      <w:r>
        <w:rPr>
          <w:rFonts w:hint="eastAsia" w:ascii="宋体" w:hAnsi="宋体" w:cs="宋体"/>
          <w:color w:val="auto"/>
          <w:highlight w:val="none"/>
        </w:rPr>
        <w:t>36.6 接收质疑函的联系部门、联系电话和通讯地址同</w:t>
      </w:r>
      <w:r>
        <w:rPr>
          <w:rFonts w:hint="eastAsia" w:ascii="宋体" w:hAnsi="宋体" w:cs="宋体"/>
          <w:color w:val="auto"/>
          <w:highlight w:val="none"/>
          <w:lang w:val="en-US" w:eastAsia="zh-CN"/>
        </w:rPr>
        <w:t>采购</w:t>
      </w:r>
      <w:r>
        <w:rPr>
          <w:rFonts w:hint="eastAsia" w:ascii="宋体" w:hAnsi="宋体" w:cs="宋体"/>
          <w:color w:val="auto"/>
          <w:highlight w:val="none"/>
        </w:rPr>
        <w:t>公告。</w:t>
      </w:r>
    </w:p>
    <w:p>
      <w:pPr>
        <w:pStyle w:val="2"/>
        <w:spacing w:line="440" w:lineRule="exact"/>
        <w:jc w:val="left"/>
        <w:rPr>
          <w:rFonts w:ascii="宋体" w:hAnsi="宋体" w:cs="宋体"/>
          <w:color w:val="auto"/>
          <w:highlight w:val="none"/>
        </w:rPr>
      </w:pPr>
      <w:r>
        <w:rPr>
          <w:rFonts w:hint="eastAsia" w:ascii="宋体" w:hAnsi="宋体" w:cs="宋体"/>
          <w:color w:val="auto"/>
          <w:highlight w:val="none"/>
        </w:rPr>
        <w:t>36.7 有下列情形之一的，属于无效质疑，采购代理机构和采购人不予受理：</w:t>
      </w:r>
    </w:p>
    <w:p>
      <w:pPr>
        <w:pStyle w:val="2"/>
        <w:spacing w:line="440" w:lineRule="exact"/>
        <w:jc w:val="left"/>
        <w:rPr>
          <w:rFonts w:ascii="宋体" w:hAnsi="宋体" w:cs="宋体"/>
          <w:color w:val="auto"/>
          <w:highlight w:val="none"/>
        </w:rPr>
      </w:pPr>
      <w:r>
        <w:rPr>
          <w:rFonts w:hint="eastAsia" w:ascii="宋体" w:hAnsi="宋体" w:cs="宋体"/>
          <w:color w:val="auto"/>
          <w:highlight w:val="none"/>
        </w:rPr>
        <w:t>（1）质疑人不是参与本次政府采购项目的供应商；</w:t>
      </w:r>
    </w:p>
    <w:p>
      <w:pPr>
        <w:pStyle w:val="2"/>
        <w:spacing w:line="440" w:lineRule="exact"/>
        <w:jc w:val="left"/>
        <w:rPr>
          <w:rFonts w:ascii="宋体" w:hAnsi="宋体" w:cs="宋体"/>
          <w:color w:val="auto"/>
          <w:highlight w:val="none"/>
        </w:rPr>
      </w:pPr>
      <w:r>
        <w:rPr>
          <w:rFonts w:hint="eastAsia" w:ascii="宋体" w:hAnsi="宋体" w:cs="宋体"/>
          <w:color w:val="auto"/>
          <w:highlight w:val="none"/>
        </w:rPr>
        <w:t>（2）质疑人与质疑事项不存在利害关系的；</w:t>
      </w:r>
    </w:p>
    <w:p>
      <w:pPr>
        <w:pStyle w:val="2"/>
        <w:spacing w:line="440" w:lineRule="exact"/>
        <w:jc w:val="left"/>
        <w:rPr>
          <w:rFonts w:ascii="宋体" w:hAnsi="宋体" w:cs="宋体"/>
          <w:color w:val="auto"/>
          <w:highlight w:val="none"/>
        </w:rPr>
      </w:pPr>
      <w:r>
        <w:rPr>
          <w:rFonts w:hint="eastAsia" w:ascii="宋体" w:hAnsi="宋体" w:cs="宋体"/>
          <w:color w:val="auto"/>
          <w:highlight w:val="none"/>
        </w:rPr>
        <w:t>（3）未在法定期限内提出质疑的；</w:t>
      </w:r>
    </w:p>
    <w:p>
      <w:pPr>
        <w:pStyle w:val="2"/>
        <w:spacing w:line="440" w:lineRule="exact"/>
        <w:jc w:val="left"/>
        <w:rPr>
          <w:rFonts w:ascii="宋体" w:hAnsi="宋体" w:cs="宋体"/>
          <w:color w:val="auto"/>
          <w:highlight w:val="none"/>
        </w:rPr>
      </w:pPr>
      <w:r>
        <w:rPr>
          <w:rFonts w:hint="eastAsia" w:ascii="宋体" w:hAnsi="宋体" w:cs="宋体"/>
          <w:color w:val="auto"/>
          <w:highlight w:val="none"/>
        </w:rPr>
        <w:t>（4）质疑未以书面形式提出，以传真、电子邮件、移动通信等形式即时收悉提交的质疑材料；</w:t>
      </w:r>
    </w:p>
    <w:p>
      <w:pPr>
        <w:pStyle w:val="2"/>
        <w:spacing w:line="440" w:lineRule="exact"/>
        <w:jc w:val="left"/>
        <w:rPr>
          <w:rFonts w:ascii="宋体" w:hAnsi="宋体" w:cs="宋体"/>
          <w:color w:val="auto"/>
          <w:highlight w:val="none"/>
        </w:rPr>
      </w:pPr>
      <w:r>
        <w:rPr>
          <w:rFonts w:hint="eastAsia" w:ascii="宋体" w:hAnsi="宋体" w:cs="宋体"/>
          <w:color w:val="auto"/>
          <w:highlight w:val="none"/>
        </w:rPr>
        <w:t>（5）质疑未按质疑函范本格式提出的；</w:t>
      </w:r>
    </w:p>
    <w:p>
      <w:pPr>
        <w:pStyle w:val="2"/>
        <w:spacing w:line="440" w:lineRule="exact"/>
        <w:jc w:val="left"/>
        <w:rPr>
          <w:rFonts w:ascii="宋体" w:hAnsi="宋体" w:cs="宋体"/>
          <w:color w:val="auto"/>
          <w:highlight w:val="none"/>
        </w:rPr>
      </w:pPr>
      <w:r>
        <w:rPr>
          <w:rFonts w:hint="eastAsia" w:ascii="宋体" w:hAnsi="宋体" w:cs="宋体"/>
          <w:color w:val="auto"/>
          <w:highlight w:val="none"/>
        </w:rPr>
        <w:t>（6）质疑书主要内容构成不完整的；</w:t>
      </w:r>
    </w:p>
    <w:p>
      <w:pPr>
        <w:pStyle w:val="2"/>
        <w:spacing w:line="440" w:lineRule="exact"/>
        <w:jc w:val="left"/>
        <w:rPr>
          <w:rFonts w:ascii="宋体" w:hAnsi="宋体" w:cs="宋体"/>
          <w:color w:val="auto"/>
          <w:highlight w:val="none"/>
        </w:rPr>
      </w:pPr>
      <w:r>
        <w:rPr>
          <w:rFonts w:hint="eastAsia" w:ascii="宋体" w:hAnsi="宋体" w:cs="宋体"/>
          <w:color w:val="auto"/>
          <w:highlight w:val="none"/>
        </w:rPr>
        <w:t>（7）质疑书没有合法有效的签字、盖章或授权的；</w:t>
      </w:r>
    </w:p>
    <w:p>
      <w:pPr>
        <w:pStyle w:val="2"/>
        <w:spacing w:line="440" w:lineRule="exact"/>
        <w:jc w:val="left"/>
        <w:rPr>
          <w:rFonts w:ascii="宋体" w:hAnsi="宋体" w:cs="宋体"/>
          <w:color w:val="auto"/>
          <w:highlight w:val="none"/>
        </w:rPr>
      </w:pPr>
      <w:r>
        <w:rPr>
          <w:rFonts w:hint="eastAsia" w:ascii="宋体" w:hAnsi="宋体" w:cs="宋体"/>
          <w:color w:val="auto"/>
          <w:highlight w:val="none"/>
        </w:rPr>
        <w:t>（8）以非法手段取得证据、材料的；</w:t>
      </w:r>
    </w:p>
    <w:p>
      <w:pPr>
        <w:pStyle w:val="2"/>
        <w:spacing w:line="440" w:lineRule="exact"/>
        <w:jc w:val="left"/>
        <w:rPr>
          <w:rFonts w:ascii="宋体" w:hAnsi="宋体" w:cs="宋体"/>
          <w:color w:val="auto"/>
          <w:highlight w:val="none"/>
        </w:rPr>
      </w:pPr>
      <w:r>
        <w:rPr>
          <w:rFonts w:hint="eastAsia" w:ascii="宋体" w:hAnsi="宋体" w:cs="宋体"/>
          <w:color w:val="auto"/>
          <w:highlight w:val="none"/>
        </w:rPr>
        <w:t>（9）质疑答复后，同一质疑人就同一事项再次提出质疑的；</w:t>
      </w:r>
    </w:p>
    <w:p>
      <w:pPr>
        <w:pStyle w:val="2"/>
        <w:spacing w:line="440" w:lineRule="exact"/>
        <w:jc w:val="left"/>
        <w:rPr>
          <w:rFonts w:ascii="宋体" w:hAnsi="宋体" w:cs="宋体"/>
          <w:color w:val="auto"/>
          <w:highlight w:val="none"/>
        </w:rPr>
      </w:pPr>
      <w:r>
        <w:rPr>
          <w:rFonts w:hint="eastAsia" w:ascii="宋体" w:hAnsi="宋体" w:cs="宋体"/>
          <w:color w:val="auto"/>
          <w:highlight w:val="none"/>
        </w:rPr>
        <w:t>（10）不符合法律、法规、规章和政府采购监管机构规定的其他条件的。</w:t>
      </w:r>
    </w:p>
    <w:p>
      <w:pPr>
        <w:pStyle w:val="2"/>
        <w:spacing w:line="440" w:lineRule="exact"/>
        <w:jc w:val="left"/>
        <w:rPr>
          <w:rFonts w:ascii="宋体" w:hAnsi="宋体" w:cs="宋体"/>
          <w:color w:val="auto"/>
          <w:highlight w:val="none"/>
        </w:rPr>
      </w:pPr>
      <w:r>
        <w:rPr>
          <w:rFonts w:hint="eastAsia" w:ascii="宋体" w:hAnsi="宋体" w:cs="宋体"/>
          <w:color w:val="auto"/>
          <w:highlight w:val="none"/>
        </w:rPr>
        <w:t>36.8 采购代理机构或采购人将在收到书面质疑后7个工作日内做出答复，并以书面形式通知质疑人和其他有关供应商。</w:t>
      </w:r>
    </w:p>
    <w:p>
      <w:pPr>
        <w:pStyle w:val="2"/>
        <w:spacing w:line="440" w:lineRule="exact"/>
        <w:jc w:val="left"/>
        <w:rPr>
          <w:rFonts w:ascii="宋体" w:hAnsi="宋体" w:cs="宋体"/>
          <w:b/>
          <w:bCs/>
          <w:color w:val="auto"/>
          <w:highlight w:val="none"/>
        </w:rPr>
      </w:pPr>
      <w:r>
        <w:rPr>
          <w:rFonts w:hint="eastAsia" w:ascii="宋体" w:hAnsi="宋体" w:cs="宋体"/>
          <w:b/>
          <w:bCs/>
          <w:color w:val="auto"/>
          <w:highlight w:val="none"/>
        </w:rPr>
        <w:t>37.投诉</w:t>
      </w:r>
    </w:p>
    <w:p>
      <w:pPr>
        <w:pStyle w:val="2"/>
        <w:spacing w:line="440" w:lineRule="exact"/>
        <w:jc w:val="left"/>
        <w:rPr>
          <w:rFonts w:ascii="宋体" w:hAnsi="宋体" w:cs="宋体"/>
          <w:color w:val="auto"/>
          <w:highlight w:val="none"/>
        </w:rPr>
      </w:pPr>
      <w:r>
        <w:rPr>
          <w:rFonts w:hint="eastAsia" w:ascii="宋体" w:hAnsi="宋体" w:cs="宋体"/>
          <w:color w:val="auto"/>
          <w:highlight w:val="none"/>
        </w:rPr>
        <w:t>37.1 质疑人对采购代理机构或采购人的答复不满意，或者采购人、采购代理机构未在规定时间内作出答复的，可以在答复期满后15个工作日内向同级财政部门提起投诉。</w:t>
      </w:r>
    </w:p>
    <w:p>
      <w:pPr>
        <w:pStyle w:val="2"/>
        <w:spacing w:line="440" w:lineRule="exact"/>
        <w:jc w:val="left"/>
        <w:rPr>
          <w:rFonts w:ascii="宋体" w:hAnsi="宋体" w:cs="宋体"/>
          <w:color w:val="auto"/>
          <w:highlight w:val="none"/>
        </w:rPr>
      </w:pPr>
      <w:r>
        <w:rPr>
          <w:rFonts w:hint="eastAsia" w:ascii="宋体" w:hAnsi="宋体" w:cs="宋体"/>
          <w:color w:val="auto"/>
          <w:highlight w:val="none"/>
        </w:rPr>
        <w:t>37.2 供应商投诉时,应当提交投诉书和必要的证明材料，并按照被投诉采购人、采购代理机构（以下简称被投诉人）和与投诉事项有关的供应商数量提供投诉书的副本。投诉书应当包括下列内容：</w:t>
      </w:r>
    </w:p>
    <w:p>
      <w:pPr>
        <w:pStyle w:val="2"/>
        <w:spacing w:line="440" w:lineRule="exact"/>
        <w:jc w:val="left"/>
        <w:rPr>
          <w:rFonts w:ascii="宋体" w:hAnsi="宋体" w:cs="宋体"/>
          <w:color w:val="auto"/>
          <w:highlight w:val="none"/>
        </w:rPr>
      </w:pPr>
      <w:r>
        <w:rPr>
          <w:rFonts w:hint="eastAsia" w:ascii="宋体" w:hAnsi="宋体" w:cs="宋体"/>
          <w:color w:val="auto"/>
          <w:highlight w:val="none"/>
        </w:rPr>
        <w:t>　　（1）投诉人和被投诉人的姓名或者名称、通讯地址、邮编、联系人及联系电话；</w:t>
      </w:r>
    </w:p>
    <w:p>
      <w:pPr>
        <w:pStyle w:val="2"/>
        <w:spacing w:line="440" w:lineRule="exact"/>
        <w:jc w:val="left"/>
        <w:rPr>
          <w:rFonts w:ascii="宋体" w:hAnsi="宋体" w:cs="宋体"/>
          <w:color w:val="auto"/>
          <w:highlight w:val="none"/>
        </w:rPr>
      </w:pPr>
      <w:r>
        <w:rPr>
          <w:rFonts w:hint="eastAsia" w:ascii="宋体" w:hAnsi="宋体" w:cs="宋体"/>
          <w:color w:val="auto"/>
          <w:highlight w:val="none"/>
        </w:rPr>
        <w:t>　　（2）质疑和质疑答复情况说明及相关证明材料；</w:t>
      </w:r>
    </w:p>
    <w:p>
      <w:pPr>
        <w:pStyle w:val="2"/>
        <w:spacing w:line="440" w:lineRule="exact"/>
        <w:jc w:val="left"/>
        <w:rPr>
          <w:rFonts w:ascii="宋体" w:hAnsi="宋体" w:cs="宋体"/>
          <w:color w:val="auto"/>
          <w:highlight w:val="none"/>
        </w:rPr>
      </w:pPr>
      <w:r>
        <w:rPr>
          <w:rFonts w:hint="eastAsia" w:ascii="宋体" w:hAnsi="宋体" w:cs="宋体"/>
          <w:color w:val="auto"/>
          <w:highlight w:val="none"/>
        </w:rPr>
        <w:t>　　（3）具体、明确的投诉事项和与投诉事项相关的投诉请求；</w:t>
      </w:r>
    </w:p>
    <w:p>
      <w:pPr>
        <w:pStyle w:val="2"/>
        <w:spacing w:line="440" w:lineRule="exact"/>
        <w:jc w:val="left"/>
        <w:rPr>
          <w:rFonts w:ascii="宋体" w:hAnsi="宋体" w:cs="宋体"/>
          <w:color w:val="auto"/>
          <w:highlight w:val="none"/>
        </w:rPr>
      </w:pPr>
      <w:r>
        <w:rPr>
          <w:rFonts w:hint="eastAsia" w:ascii="宋体" w:hAnsi="宋体" w:cs="宋体"/>
          <w:color w:val="auto"/>
          <w:highlight w:val="none"/>
        </w:rPr>
        <w:t>　　（4）事实依据；</w:t>
      </w:r>
    </w:p>
    <w:p>
      <w:pPr>
        <w:pStyle w:val="2"/>
        <w:spacing w:line="440" w:lineRule="exact"/>
        <w:jc w:val="left"/>
        <w:rPr>
          <w:rFonts w:ascii="宋体" w:hAnsi="宋体" w:cs="宋体"/>
          <w:color w:val="auto"/>
          <w:highlight w:val="none"/>
        </w:rPr>
      </w:pPr>
      <w:r>
        <w:rPr>
          <w:rFonts w:hint="eastAsia" w:ascii="宋体" w:hAnsi="宋体" w:cs="宋体"/>
          <w:color w:val="auto"/>
          <w:highlight w:val="none"/>
        </w:rPr>
        <w:t>　　（5）法律依据；</w:t>
      </w:r>
    </w:p>
    <w:p>
      <w:pPr>
        <w:pStyle w:val="2"/>
        <w:spacing w:line="440" w:lineRule="exact"/>
        <w:jc w:val="left"/>
        <w:rPr>
          <w:rFonts w:ascii="宋体" w:hAnsi="宋体" w:cs="宋体"/>
          <w:color w:val="auto"/>
          <w:highlight w:val="none"/>
        </w:rPr>
      </w:pPr>
      <w:r>
        <w:rPr>
          <w:rFonts w:hint="eastAsia" w:ascii="宋体" w:hAnsi="宋体" w:cs="宋体"/>
          <w:color w:val="auto"/>
          <w:highlight w:val="none"/>
        </w:rPr>
        <w:t>　　（6）提起投诉的日期。</w:t>
      </w:r>
    </w:p>
    <w:p>
      <w:pPr>
        <w:pStyle w:val="2"/>
        <w:spacing w:line="440" w:lineRule="exact"/>
        <w:jc w:val="left"/>
        <w:rPr>
          <w:rFonts w:ascii="宋体" w:hAnsi="宋体" w:cs="宋体"/>
          <w:color w:val="auto"/>
          <w:highlight w:val="none"/>
        </w:rPr>
      </w:pPr>
      <w:r>
        <w:rPr>
          <w:rFonts w:hint="eastAsia" w:ascii="宋体" w:hAnsi="宋体" w:cs="宋体"/>
          <w:color w:val="auto"/>
          <w:highlight w:val="none"/>
        </w:rPr>
        <w:t>　   投诉人为自然人的，应当由本人签字；投诉人为法人或者其他组织的，应当由法定代表人、主要负责人，或者其委托代理人签字或者盖章，并加盖单位章。</w:t>
      </w:r>
    </w:p>
    <w:p>
      <w:pPr>
        <w:pStyle w:val="2"/>
        <w:spacing w:line="440" w:lineRule="exact"/>
        <w:jc w:val="left"/>
        <w:rPr>
          <w:rFonts w:ascii="宋体" w:hAnsi="宋体" w:cs="宋体"/>
          <w:color w:val="auto"/>
          <w:highlight w:val="none"/>
        </w:rPr>
      </w:pPr>
      <w:r>
        <w:rPr>
          <w:rFonts w:hint="eastAsia" w:ascii="宋体" w:hAnsi="宋体" w:cs="宋体"/>
          <w:color w:val="auto"/>
          <w:highlight w:val="none"/>
        </w:rPr>
        <w:t>37.3 投诉书范本格式在中国政府采购网站（http://www.ccgp.gov.cn/）自行下载。</w:t>
      </w:r>
    </w:p>
    <w:p>
      <w:pPr>
        <w:pStyle w:val="2"/>
        <w:spacing w:line="440" w:lineRule="exact"/>
        <w:jc w:val="left"/>
        <w:rPr>
          <w:rFonts w:ascii="宋体" w:hAnsi="宋体" w:cs="宋体"/>
          <w:color w:val="auto"/>
          <w:highlight w:val="none"/>
        </w:rPr>
      </w:pPr>
      <w:r>
        <w:rPr>
          <w:rFonts w:hint="eastAsia" w:ascii="宋体" w:hAnsi="宋体" w:cs="宋体"/>
          <w:color w:val="auto"/>
          <w:highlight w:val="none"/>
        </w:rPr>
        <w:t>37.4 投诉人提起投诉应当符合下列条件：</w:t>
      </w:r>
    </w:p>
    <w:p>
      <w:pPr>
        <w:pStyle w:val="2"/>
        <w:spacing w:line="440" w:lineRule="exact"/>
        <w:jc w:val="left"/>
        <w:rPr>
          <w:rFonts w:ascii="宋体" w:hAnsi="宋体" w:cs="宋体"/>
          <w:color w:val="auto"/>
          <w:highlight w:val="none"/>
        </w:rPr>
      </w:pPr>
      <w:r>
        <w:rPr>
          <w:rFonts w:hint="eastAsia" w:ascii="宋体" w:hAnsi="宋体" w:cs="宋体"/>
          <w:color w:val="auto"/>
          <w:highlight w:val="none"/>
        </w:rPr>
        <w:t>　　（1）提起投诉前已依法进行质疑；</w:t>
      </w:r>
    </w:p>
    <w:p>
      <w:pPr>
        <w:pStyle w:val="2"/>
        <w:spacing w:line="440" w:lineRule="exact"/>
        <w:jc w:val="left"/>
        <w:rPr>
          <w:rFonts w:ascii="宋体" w:hAnsi="宋体" w:cs="宋体"/>
          <w:color w:val="auto"/>
          <w:highlight w:val="none"/>
        </w:rPr>
      </w:pPr>
      <w:r>
        <w:rPr>
          <w:rFonts w:hint="eastAsia" w:ascii="宋体" w:hAnsi="宋体" w:cs="宋体"/>
          <w:color w:val="auto"/>
          <w:highlight w:val="none"/>
        </w:rPr>
        <w:t>　　（2）投诉书内容符合财政部94号令的规定；</w:t>
      </w:r>
    </w:p>
    <w:p>
      <w:pPr>
        <w:pStyle w:val="2"/>
        <w:spacing w:line="440" w:lineRule="exact"/>
        <w:jc w:val="left"/>
        <w:rPr>
          <w:rFonts w:ascii="宋体" w:hAnsi="宋体" w:cs="宋体"/>
          <w:color w:val="auto"/>
          <w:highlight w:val="none"/>
        </w:rPr>
      </w:pPr>
      <w:r>
        <w:rPr>
          <w:rFonts w:hint="eastAsia" w:ascii="宋体" w:hAnsi="宋体" w:cs="宋体"/>
          <w:color w:val="auto"/>
          <w:highlight w:val="none"/>
        </w:rPr>
        <w:t>　　（3）在投诉有效期限内提起投诉；</w:t>
      </w:r>
    </w:p>
    <w:p>
      <w:pPr>
        <w:pStyle w:val="2"/>
        <w:spacing w:line="440" w:lineRule="exact"/>
        <w:jc w:val="left"/>
        <w:rPr>
          <w:rFonts w:ascii="宋体" w:hAnsi="宋体" w:cs="宋体"/>
          <w:color w:val="auto"/>
          <w:highlight w:val="none"/>
        </w:rPr>
      </w:pPr>
      <w:r>
        <w:rPr>
          <w:rFonts w:hint="eastAsia" w:ascii="宋体" w:hAnsi="宋体" w:cs="宋体"/>
          <w:color w:val="auto"/>
          <w:highlight w:val="none"/>
        </w:rPr>
        <w:t>　　（4）同一投诉事项未经财政部门投诉处理；</w:t>
      </w:r>
    </w:p>
    <w:p>
      <w:pPr>
        <w:pStyle w:val="2"/>
        <w:spacing w:line="440" w:lineRule="exact"/>
        <w:jc w:val="left"/>
        <w:rPr>
          <w:rFonts w:ascii="宋体" w:hAnsi="宋体" w:cs="宋体"/>
          <w:color w:val="auto"/>
          <w:highlight w:val="none"/>
        </w:rPr>
      </w:pPr>
      <w:r>
        <w:rPr>
          <w:rFonts w:hint="eastAsia" w:ascii="宋体" w:hAnsi="宋体" w:cs="宋体"/>
          <w:color w:val="auto"/>
          <w:highlight w:val="none"/>
        </w:rPr>
        <w:t>　　（5）财政部规定的其他条件。</w:t>
      </w:r>
    </w:p>
    <w:p>
      <w:pPr>
        <w:pStyle w:val="2"/>
        <w:spacing w:line="440" w:lineRule="exact"/>
        <w:jc w:val="left"/>
        <w:rPr>
          <w:rFonts w:ascii="宋体" w:hAnsi="宋体" w:cs="宋体"/>
          <w:color w:val="auto"/>
          <w:highlight w:val="none"/>
        </w:rPr>
      </w:pPr>
      <w:r>
        <w:rPr>
          <w:rFonts w:hint="eastAsia" w:ascii="宋体" w:hAnsi="宋体" w:cs="宋体"/>
          <w:color w:val="auto"/>
          <w:highlight w:val="none"/>
        </w:rPr>
        <w:t>37.5  投诉人投诉的事项不得超出已质疑事项的范围，但基于质疑答复内容提出的投诉事项除外。</w:t>
      </w:r>
    </w:p>
    <w:p>
      <w:pPr>
        <w:pStyle w:val="2"/>
        <w:spacing w:line="440" w:lineRule="exact"/>
        <w:jc w:val="left"/>
        <w:rPr>
          <w:rFonts w:ascii="宋体" w:hAnsi="宋体" w:cs="宋体"/>
          <w:color w:val="auto"/>
          <w:highlight w:val="none"/>
        </w:rPr>
      </w:pPr>
      <w:r>
        <w:rPr>
          <w:rFonts w:hint="eastAsia" w:ascii="宋体" w:hAnsi="宋体" w:cs="宋体"/>
          <w:b/>
          <w:bCs/>
          <w:color w:val="auto"/>
          <w:highlight w:val="none"/>
        </w:rPr>
        <w:t>38.成交供应商有下列情形之一的</w:t>
      </w:r>
      <w:r>
        <w:rPr>
          <w:rFonts w:hint="eastAsia" w:ascii="宋体" w:hAnsi="宋体" w:cs="宋体"/>
          <w:color w:val="auto"/>
          <w:highlight w:val="none"/>
        </w:rPr>
        <w:t>，将被列入不良行为记录名单，在1～3年内禁止参加政府采购活动：</w:t>
      </w:r>
    </w:p>
    <w:p>
      <w:pPr>
        <w:pStyle w:val="2"/>
        <w:spacing w:line="440" w:lineRule="exact"/>
        <w:jc w:val="left"/>
        <w:rPr>
          <w:rFonts w:ascii="宋体" w:hAnsi="宋体" w:cs="宋体"/>
          <w:color w:val="auto"/>
          <w:highlight w:val="none"/>
        </w:rPr>
      </w:pPr>
      <w:r>
        <w:rPr>
          <w:rFonts w:hint="eastAsia" w:ascii="宋体" w:hAnsi="宋体" w:cs="宋体"/>
          <w:color w:val="auto"/>
          <w:highlight w:val="none"/>
        </w:rPr>
        <w:t>(1)成交后无正当理由不与采购人签订合同的；</w:t>
      </w:r>
    </w:p>
    <w:p>
      <w:pPr>
        <w:pStyle w:val="2"/>
        <w:spacing w:line="440" w:lineRule="exact"/>
        <w:jc w:val="left"/>
        <w:rPr>
          <w:rFonts w:ascii="宋体" w:hAnsi="宋体" w:cs="宋体"/>
          <w:color w:val="auto"/>
          <w:highlight w:val="none"/>
        </w:rPr>
      </w:pPr>
      <w:r>
        <w:rPr>
          <w:rFonts w:hint="eastAsia" w:ascii="宋体" w:hAnsi="宋体" w:cs="宋体"/>
          <w:color w:val="auto"/>
          <w:highlight w:val="none"/>
        </w:rPr>
        <w:t>(2)未按照采购文件确定的事项签订政府采购合同，或者与采购人另行订立背离合同实质性内容的协议的；</w:t>
      </w:r>
    </w:p>
    <w:p>
      <w:pPr>
        <w:pStyle w:val="2"/>
        <w:spacing w:line="440" w:lineRule="exact"/>
        <w:jc w:val="left"/>
        <w:rPr>
          <w:rFonts w:ascii="宋体" w:hAnsi="宋体" w:cs="宋体"/>
          <w:color w:val="auto"/>
          <w:highlight w:val="none"/>
        </w:rPr>
      </w:pPr>
      <w:r>
        <w:rPr>
          <w:rFonts w:hint="eastAsia" w:ascii="宋体" w:hAnsi="宋体" w:cs="宋体"/>
          <w:color w:val="auto"/>
          <w:highlight w:val="none"/>
        </w:rPr>
        <w:t>(3)拒绝履行合同义务的；</w:t>
      </w:r>
    </w:p>
    <w:p>
      <w:pPr>
        <w:pStyle w:val="2"/>
        <w:spacing w:line="440" w:lineRule="exact"/>
        <w:jc w:val="left"/>
        <w:rPr>
          <w:rFonts w:ascii="宋体" w:hAnsi="宋体" w:cs="宋体"/>
          <w:color w:val="auto"/>
          <w:highlight w:val="none"/>
        </w:rPr>
      </w:pPr>
      <w:r>
        <w:rPr>
          <w:rFonts w:hint="eastAsia" w:ascii="宋体" w:hAnsi="宋体" w:cs="宋体"/>
          <w:color w:val="auto"/>
          <w:highlight w:val="none"/>
        </w:rPr>
        <w:t>(4)《政府采购法》第七十七条和《政府采购法实施条例》第七十二条规定的其他情形；</w:t>
      </w:r>
    </w:p>
    <w:p>
      <w:pPr>
        <w:pStyle w:val="2"/>
        <w:spacing w:line="440" w:lineRule="exact"/>
        <w:jc w:val="left"/>
        <w:rPr>
          <w:rFonts w:ascii="宋体" w:hAnsi="宋体" w:cs="宋体"/>
          <w:color w:val="auto"/>
          <w:highlight w:val="none"/>
        </w:rPr>
      </w:pPr>
      <w:r>
        <w:rPr>
          <w:rFonts w:hint="eastAsia" w:ascii="宋体" w:hAnsi="宋体" w:cs="宋体"/>
          <w:color w:val="auto"/>
          <w:highlight w:val="none"/>
        </w:rPr>
        <w:t>(5)其他违反法律法规相关规定的情形。</w:t>
      </w:r>
    </w:p>
    <w:p>
      <w:pPr>
        <w:pStyle w:val="12"/>
        <w:spacing w:line="440" w:lineRule="exact"/>
        <w:rPr>
          <w:rFonts w:hAnsi="宋体" w:cs="宋体"/>
          <w:sz w:val="24"/>
          <w:szCs w:val="24"/>
          <w:highlight w:val="none"/>
        </w:rPr>
      </w:pPr>
      <w:r>
        <w:rPr>
          <w:rFonts w:hint="eastAsia" w:hAnsi="宋体" w:cs="宋体"/>
          <w:sz w:val="24"/>
          <w:szCs w:val="24"/>
          <w:highlight w:val="none"/>
        </w:rPr>
        <w:t>39.其他规定</w:t>
      </w:r>
    </w:p>
    <w:p>
      <w:pPr>
        <w:pStyle w:val="12"/>
        <w:spacing w:line="440" w:lineRule="exact"/>
        <w:rPr>
          <w:rFonts w:hAnsi="宋体" w:cs="宋体"/>
          <w:sz w:val="24"/>
          <w:szCs w:val="24"/>
          <w:highlight w:val="none"/>
        </w:rPr>
      </w:pPr>
      <w:r>
        <w:rPr>
          <w:rFonts w:hint="eastAsia" w:hAnsi="宋体" w:cs="宋体"/>
          <w:sz w:val="24"/>
          <w:szCs w:val="24"/>
          <w:highlight w:val="none"/>
        </w:rPr>
        <w:t>39.1　磋商文件的其他规定见磋商须知前附表。</w:t>
      </w:r>
    </w:p>
    <w:p>
      <w:pPr>
        <w:pStyle w:val="12"/>
        <w:spacing w:line="440" w:lineRule="exact"/>
        <w:rPr>
          <w:rFonts w:hAnsi="宋体" w:cs="宋体"/>
          <w:sz w:val="24"/>
          <w:szCs w:val="24"/>
          <w:highlight w:val="none"/>
        </w:rPr>
      </w:pPr>
      <w:r>
        <w:rPr>
          <w:rFonts w:hint="eastAsia" w:hAnsi="宋体" w:cs="宋体"/>
          <w:sz w:val="24"/>
          <w:szCs w:val="24"/>
          <w:highlight w:val="none"/>
        </w:rPr>
        <w:t>40.未尽事宜</w:t>
      </w:r>
    </w:p>
    <w:p>
      <w:pPr>
        <w:pStyle w:val="12"/>
        <w:spacing w:line="440" w:lineRule="exact"/>
        <w:rPr>
          <w:rFonts w:hAnsi="宋体" w:cs="宋体"/>
          <w:sz w:val="22"/>
          <w:szCs w:val="22"/>
          <w:highlight w:val="none"/>
        </w:rPr>
      </w:pPr>
      <w:r>
        <w:rPr>
          <w:rFonts w:hint="eastAsia" w:hAnsi="宋体" w:cs="宋体"/>
          <w:sz w:val="24"/>
          <w:szCs w:val="24"/>
          <w:highlight w:val="none"/>
        </w:rPr>
        <w:t>40.1　其他未尽事宜按政府采购法律法规的规定执行。</w:t>
      </w:r>
    </w:p>
    <w:p>
      <w:pPr>
        <w:pStyle w:val="2"/>
        <w:rPr>
          <w:rFonts w:ascii="宋体" w:hAnsi="宋体" w:cs="宋体"/>
          <w:color w:val="auto"/>
          <w:highlight w:val="none"/>
        </w:rPr>
      </w:pPr>
    </w:p>
    <w:p>
      <w:pPr>
        <w:pStyle w:val="5"/>
        <w:rPr>
          <w:rFonts w:ascii="宋体" w:hAnsi="宋体" w:cs="宋体"/>
          <w:b w:val="0"/>
          <w:sz w:val="32"/>
          <w:highlight w:val="none"/>
        </w:rPr>
      </w:pPr>
      <w:bookmarkStart w:id="50" w:name="_Toc19721"/>
      <w:bookmarkStart w:id="51" w:name="_Toc23113"/>
      <w:bookmarkStart w:id="52" w:name="_Toc519156744"/>
      <w:bookmarkStart w:id="53" w:name="_Toc21510"/>
      <w:r>
        <w:rPr>
          <w:rFonts w:hint="eastAsia" w:ascii="宋体" w:hAnsi="宋体" w:cs="宋体"/>
          <w:sz w:val="32"/>
          <w:highlight w:val="none"/>
        </w:rPr>
        <w:t>十.其他事项</w:t>
      </w:r>
      <w:bookmarkEnd w:id="50"/>
      <w:bookmarkEnd w:id="51"/>
      <w:bookmarkEnd w:id="52"/>
      <w:bookmarkEnd w:id="53"/>
    </w:p>
    <w:p>
      <w:pPr>
        <w:spacing w:line="440" w:lineRule="exact"/>
        <w:rPr>
          <w:rFonts w:ascii="宋体" w:hAnsi="宋体" w:cs="宋体"/>
          <w:b/>
          <w:sz w:val="24"/>
          <w:highlight w:val="none"/>
        </w:rPr>
      </w:pPr>
      <w:r>
        <w:rPr>
          <w:rFonts w:hint="eastAsia" w:ascii="宋体" w:hAnsi="宋体" w:cs="宋体"/>
          <w:b/>
          <w:sz w:val="24"/>
          <w:highlight w:val="none"/>
        </w:rPr>
        <w:t>41.</w:t>
      </w:r>
      <w:r>
        <w:rPr>
          <w:rFonts w:hint="eastAsia" w:ascii="宋体" w:hAnsi="宋体" w:cs="宋体"/>
          <w:b/>
          <w:bCs/>
          <w:sz w:val="24"/>
          <w:highlight w:val="none"/>
        </w:rPr>
        <w:t>竞争性磋商项目实行二轮报价</w:t>
      </w:r>
      <w:r>
        <w:rPr>
          <w:rFonts w:hint="eastAsia" w:ascii="宋体" w:hAnsi="宋体" w:cs="宋体"/>
          <w:sz w:val="24"/>
          <w:highlight w:val="none"/>
        </w:rPr>
        <w:t>，第一次报价后，磋商小组可以变更采购需求中的技术、服务要求以及合同草案条款，二轮报价为最终报价。</w:t>
      </w:r>
    </w:p>
    <w:p>
      <w:pPr>
        <w:spacing w:line="440" w:lineRule="exact"/>
        <w:rPr>
          <w:rFonts w:ascii="宋体" w:hAnsi="宋体" w:cs="宋体"/>
          <w:sz w:val="24"/>
          <w:highlight w:val="none"/>
        </w:rPr>
      </w:pPr>
      <w:r>
        <w:rPr>
          <w:rFonts w:hint="eastAsia" w:ascii="宋体" w:hAnsi="宋体" w:cs="宋体"/>
          <w:b/>
          <w:bCs/>
          <w:sz w:val="24"/>
          <w:highlight w:val="none"/>
        </w:rPr>
        <w:t>42</w:t>
      </w:r>
      <w:r>
        <w:rPr>
          <w:rFonts w:hint="eastAsia" w:ascii="宋体" w:hAnsi="宋体" w:cs="宋体"/>
          <w:b/>
          <w:sz w:val="24"/>
          <w:highlight w:val="none"/>
        </w:rPr>
        <w:t>.</w:t>
      </w:r>
      <w:r>
        <w:rPr>
          <w:rFonts w:hint="eastAsia" w:ascii="宋体" w:hAnsi="宋体" w:cs="宋体"/>
          <w:b/>
          <w:bCs/>
          <w:sz w:val="24"/>
          <w:highlight w:val="none"/>
        </w:rPr>
        <w:t>磋商开始后，出现下列情形之一的</w:t>
      </w:r>
      <w:r>
        <w:rPr>
          <w:rFonts w:hint="eastAsia" w:ascii="宋体" w:hAnsi="宋体" w:cs="宋体"/>
          <w:sz w:val="24"/>
          <w:highlight w:val="none"/>
        </w:rPr>
        <w:t>，采购代理机构将终止竞争性磋商采购活动，发布项目终止公告并说明原因，重新开展采购活动：</w:t>
      </w:r>
    </w:p>
    <w:p>
      <w:pPr>
        <w:spacing w:line="440" w:lineRule="exact"/>
        <w:ind w:firstLine="547" w:firstLineChars="228"/>
        <w:rPr>
          <w:rFonts w:ascii="宋体" w:hAnsi="宋体" w:cs="宋体"/>
          <w:sz w:val="24"/>
          <w:highlight w:val="none"/>
        </w:rPr>
      </w:pPr>
      <w:r>
        <w:rPr>
          <w:rFonts w:hint="eastAsia" w:ascii="宋体" w:hAnsi="宋体" w:cs="宋体"/>
          <w:sz w:val="24"/>
          <w:highlight w:val="none"/>
        </w:rPr>
        <w:t>（一）因情况变化，不再符合规定的竞争性磋商采购方式适用情形的；</w:t>
      </w:r>
    </w:p>
    <w:p>
      <w:pPr>
        <w:spacing w:line="440" w:lineRule="exact"/>
        <w:ind w:firstLine="547" w:firstLineChars="228"/>
        <w:rPr>
          <w:rFonts w:ascii="宋体" w:hAnsi="宋体" w:cs="宋体"/>
          <w:sz w:val="24"/>
          <w:highlight w:val="none"/>
        </w:rPr>
      </w:pPr>
      <w:r>
        <w:rPr>
          <w:rFonts w:hint="eastAsia" w:ascii="宋体" w:hAnsi="宋体" w:cs="宋体"/>
          <w:sz w:val="24"/>
          <w:highlight w:val="none"/>
        </w:rPr>
        <w:t>（二）出现影响采购公正的违法、违规行为的；</w:t>
      </w:r>
    </w:p>
    <w:p>
      <w:pPr>
        <w:spacing w:line="440" w:lineRule="exact"/>
        <w:ind w:firstLine="547" w:firstLineChars="228"/>
        <w:rPr>
          <w:rFonts w:ascii="宋体" w:hAnsi="宋体" w:cs="宋体"/>
          <w:sz w:val="24"/>
          <w:highlight w:val="none"/>
        </w:rPr>
      </w:pPr>
      <w:r>
        <w:rPr>
          <w:rFonts w:hint="eastAsia" w:ascii="宋体" w:hAnsi="宋体" w:cs="宋体"/>
          <w:sz w:val="24"/>
          <w:highlight w:val="none"/>
        </w:rPr>
        <w:t>（三）除《政府采购竞争性磋商采购方式管理暂行办法》（财库〔2014〕214号）第二十一条第三款规定的情形外，在采购过程中符合要求的供应商或者报价未超过采购预算的供应商不足3家的。（非政府购买服务项目）。</w:t>
      </w:r>
    </w:p>
    <w:p>
      <w:pPr>
        <w:spacing w:line="440" w:lineRule="exact"/>
        <w:rPr>
          <w:rFonts w:ascii="宋体" w:hAnsi="宋体" w:cs="宋体"/>
          <w:b/>
          <w:bCs/>
          <w:sz w:val="24"/>
          <w:highlight w:val="none"/>
        </w:rPr>
      </w:pPr>
      <w:r>
        <w:rPr>
          <w:rFonts w:hint="eastAsia" w:ascii="宋体" w:hAnsi="宋体" w:cs="宋体"/>
          <w:b/>
          <w:bCs/>
          <w:sz w:val="24"/>
          <w:highlight w:val="none"/>
        </w:rPr>
        <w:t>43.</w:t>
      </w:r>
      <w:r>
        <w:rPr>
          <w:rFonts w:hint="eastAsia" w:ascii="宋体" w:hAnsi="宋体" w:cs="宋体"/>
          <w:sz w:val="24"/>
          <w:highlight w:val="none"/>
        </w:rPr>
        <w:t xml:space="preserve"> </w:t>
      </w:r>
      <w:r>
        <w:rPr>
          <w:rFonts w:hint="eastAsia" w:ascii="宋体" w:hAnsi="宋体" w:cs="宋体"/>
          <w:b/>
          <w:bCs/>
          <w:sz w:val="24"/>
          <w:highlight w:val="none"/>
        </w:rPr>
        <w:t>提交最后报价的供应商为2家时，可以继续进行磋商的情形：</w:t>
      </w:r>
    </w:p>
    <w:p>
      <w:pPr>
        <w:spacing w:line="440" w:lineRule="exact"/>
        <w:ind w:left="1198" w:leftChars="285" w:hanging="600" w:hangingChars="250"/>
        <w:rPr>
          <w:rFonts w:ascii="宋体" w:hAnsi="宋体" w:cs="宋体"/>
          <w:sz w:val="24"/>
          <w:highlight w:val="none"/>
        </w:rPr>
      </w:pPr>
      <w:r>
        <w:rPr>
          <w:rFonts w:hint="eastAsia" w:ascii="宋体" w:hAnsi="宋体" w:cs="宋体"/>
          <w:sz w:val="24"/>
          <w:highlight w:val="none"/>
        </w:rPr>
        <w:t>（一）市场竞争不充分的科研项目，以及需要扶持的科技成果转化项目；</w:t>
      </w:r>
    </w:p>
    <w:p>
      <w:pPr>
        <w:spacing w:line="440" w:lineRule="exact"/>
        <w:ind w:left="1198" w:leftChars="285" w:hanging="600" w:hangingChars="250"/>
        <w:rPr>
          <w:rFonts w:ascii="宋体" w:hAnsi="宋体" w:cs="宋体"/>
          <w:sz w:val="24"/>
          <w:highlight w:val="none"/>
        </w:rPr>
      </w:pPr>
      <w:r>
        <w:rPr>
          <w:rFonts w:hint="eastAsia" w:ascii="宋体" w:hAnsi="宋体" w:cs="宋体"/>
          <w:sz w:val="24"/>
          <w:highlight w:val="none"/>
        </w:rPr>
        <w:t>（二）政府购买服务项目（含政府和社会资本项目）。</w:t>
      </w:r>
    </w:p>
    <w:p>
      <w:pPr>
        <w:spacing w:line="440" w:lineRule="exact"/>
        <w:rPr>
          <w:rFonts w:ascii="宋体" w:hAnsi="宋体" w:cs="宋体"/>
          <w:sz w:val="24"/>
          <w:highlight w:val="none"/>
        </w:rPr>
      </w:pPr>
      <w:r>
        <w:rPr>
          <w:rFonts w:hint="eastAsia" w:ascii="宋体" w:hAnsi="宋体" w:cs="宋体"/>
          <w:b/>
          <w:bCs/>
          <w:sz w:val="24"/>
          <w:highlight w:val="none"/>
        </w:rPr>
        <w:t>44.最后报价应按报价的格式内容填写，</w:t>
      </w:r>
      <w:r>
        <w:rPr>
          <w:rFonts w:hint="eastAsia" w:ascii="宋体" w:hAnsi="宋体" w:cs="宋体"/>
          <w:sz w:val="24"/>
          <w:highlight w:val="none"/>
        </w:rPr>
        <w:t>并且同时提交最后响应报价表、最后报价明细表等内容（最后响应报价表、最后报价明细表等内容不用装订在响应文件中，填写表格内容字体使用仿宋字清晰的填写，如因字迹不清造成的磋商小组对供应商的评审有误，后果由填表人自己负责，与采购人、磋商小组及采购代理机构无任何关系），且由法定代表人或授权代表人签字。</w:t>
      </w:r>
    </w:p>
    <w:p>
      <w:pPr>
        <w:spacing w:line="440" w:lineRule="exact"/>
        <w:rPr>
          <w:rFonts w:ascii="宋体" w:hAnsi="宋体" w:cs="宋体"/>
          <w:sz w:val="24"/>
          <w:highlight w:val="none"/>
        </w:rPr>
      </w:pPr>
      <w:r>
        <w:rPr>
          <w:rFonts w:hint="eastAsia" w:ascii="宋体" w:hAnsi="宋体" w:cs="宋体"/>
          <w:b/>
          <w:bCs/>
          <w:sz w:val="24"/>
          <w:highlight w:val="none"/>
        </w:rPr>
        <w:t>45.</w:t>
      </w:r>
      <w:r>
        <w:rPr>
          <w:rFonts w:hint="eastAsia" w:ascii="宋体" w:hAnsi="宋体" w:cs="宋体"/>
          <w:sz w:val="24"/>
          <w:highlight w:val="none"/>
        </w:rPr>
        <w:t>磋商报价产品符合财库［2019］9号文件精神，进入节能产品政府采购清单（有效期内）的；符合财库[2019]9号文件精神，进入环境标志产品政府采购清单（有效期内）的，提供证明文件，在评审中享受评标价格优惠折扣(详见评审方法)。磋商响应单位属于（财库[2020]46号）文件规定的小微企业的，提供中小企业声明函，在评审中享受评审价格优惠折扣 (详见评审方法)。磋商响应单位属于（财库[2014]68号）文件规定的监狱企业的，提供由省级以上监狱管理局、戒毒管理局出具的属于监狱企业的证明文件，视同小微企业，在评审中享受评审价格优惠折扣 (详见评审方法)。磋商响应单位属于（财库[2017]141号）文件规定的残疾人福利性单位的，提供《残疾人福利性单位声明函》，视同小微企业，在评审中享受评审价格优惠折扣 (详见评审方法)。</w:t>
      </w:r>
    </w:p>
    <w:p>
      <w:pPr>
        <w:rPr>
          <w:rFonts w:ascii="宋体" w:hAnsi="宋体" w:cs="宋体"/>
          <w:sz w:val="20"/>
          <w:szCs w:val="22"/>
          <w:highlight w:val="none"/>
        </w:rPr>
        <w:sectPr>
          <w:pgSz w:w="11906" w:h="16838"/>
          <w:pgMar w:top="1417" w:right="1417" w:bottom="1417" w:left="1417" w:header="850" w:footer="992" w:gutter="0"/>
          <w:pgNumType w:fmt="decimal"/>
          <w:cols w:space="0" w:num="1"/>
          <w:docGrid w:type="lines" w:linePitch="312" w:charSpace="0"/>
        </w:sectPr>
      </w:pPr>
    </w:p>
    <w:p>
      <w:pPr>
        <w:rPr>
          <w:rFonts w:ascii="宋体" w:hAnsi="宋体" w:cs="宋体"/>
          <w:sz w:val="32"/>
          <w:szCs w:val="32"/>
          <w:highlight w:val="none"/>
        </w:rPr>
      </w:pPr>
      <w:bookmarkStart w:id="54" w:name="_Toc18268"/>
      <w:bookmarkStart w:id="55" w:name="_Toc10043"/>
      <w:r>
        <w:rPr>
          <w:rFonts w:hint="eastAsia" w:ascii="宋体" w:hAnsi="宋体" w:cs="宋体"/>
          <w:sz w:val="32"/>
          <w:szCs w:val="32"/>
          <w:highlight w:val="none"/>
        </w:rPr>
        <w:br w:type="page"/>
      </w:r>
    </w:p>
    <w:p>
      <w:pPr>
        <w:pStyle w:val="4"/>
        <w:keepNext w:val="0"/>
        <w:keepLines w:val="0"/>
        <w:numPr>
          <w:ilvl w:val="0"/>
          <w:numId w:val="3"/>
        </w:numPr>
        <w:rPr>
          <w:rFonts w:ascii="宋体" w:hAnsi="宋体" w:cs="宋体"/>
          <w:sz w:val="32"/>
          <w:szCs w:val="32"/>
          <w:highlight w:val="none"/>
        </w:rPr>
      </w:pPr>
      <w:r>
        <w:rPr>
          <w:rFonts w:hint="eastAsia" w:ascii="宋体" w:hAnsi="宋体" w:cs="宋体"/>
          <w:sz w:val="32"/>
          <w:szCs w:val="32"/>
          <w:highlight w:val="none"/>
        </w:rPr>
        <w:t xml:space="preserve">  </w:t>
      </w:r>
      <w:bookmarkStart w:id="56" w:name="_Toc16152"/>
      <w:r>
        <w:rPr>
          <w:rFonts w:hint="eastAsia" w:ascii="宋体" w:hAnsi="宋体" w:cs="宋体"/>
          <w:sz w:val="32"/>
          <w:szCs w:val="32"/>
          <w:highlight w:val="none"/>
        </w:rPr>
        <w:t>磋商要求及说明</w:t>
      </w:r>
      <w:bookmarkEnd w:id="47"/>
      <w:bookmarkEnd w:id="48"/>
      <w:bookmarkEnd w:id="49"/>
      <w:bookmarkEnd w:id="54"/>
      <w:bookmarkEnd w:id="55"/>
      <w:bookmarkEnd w:id="56"/>
    </w:p>
    <w:p>
      <w:pPr>
        <w:spacing w:line="360" w:lineRule="auto"/>
        <w:ind w:firstLine="241" w:firstLineChars="100"/>
        <w:rPr>
          <w:rFonts w:hint="default" w:ascii="宋体" w:hAnsi="宋体" w:eastAsia="宋体" w:cs="宋体"/>
          <w:b/>
          <w:bCs/>
          <w:sz w:val="24"/>
          <w:szCs w:val="24"/>
          <w:highlight w:val="none"/>
          <w:lang w:val="en-US" w:eastAsia="zh-CN"/>
        </w:rPr>
      </w:pPr>
      <w:bookmarkStart w:id="57" w:name="_Toc2261"/>
      <w:bookmarkStart w:id="58" w:name="_Toc8628"/>
      <w:bookmarkStart w:id="59" w:name="_Toc519156756"/>
      <w:bookmarkStart w:id="60" w:name="_Toc21826"/>
      <w:bookmarkStart w:id="61" w:name="_Toc22058"/>
      <w:bookmarkStart w:id="62" w:name="_Toc495908401"/>
      <w:bookmarkStart w:id="63" w:name="_Toc8428"/>
      <w:r>
        <w:rPr>
          <w:rFonts w:hint="eastAsia" w:ascii="宋体" w:hAnsi="宋体" w:eastAsia="宋体" w:cs="宋体"/>
          <w:b/>
          <w:bCs/>
          <w:sz w:val="24"/>
          <w:szCs w:val="24"/>
          <w:highlight w:val="none"/>
          <w:lang w:val="en-US" w:eastAsia="zh-CN"/>
        </w:rPr>
        <w:t>一</w:t>
      </w:r>
      <w:r>
        <w:rPr>
          <w:rFonts w:hint="eastAsia" w:ascii="宋体" w:hAnsi="宋体" w:eastAsia="宋体" w:cs="宋体"/>
          <w:b/>
          <w:bCs/>
          <w:sz w:val="24"/>
          <w:szCs w:val="24"/>
          <w:highlight w:val="none"/>
        </w:rPr>
        <w:t>.项目概况及总体要求</w:t>
      </w:r>
      <w:r>
        <w:rPr>
          <w:rFonts w:hint="eastAsia" w:ascii="宋体" w:hAnsi="宋体" w:eastAsia="宋体" w:cs="宋体"/>
          <w:b/>
          <w:bCs/>
          <w:sz w:val="24"/>
          <w:szCs w:val="24"/>
          <w:highlight w:val="none"/>
          <w:lang w:val="en-US" w:eastAsia="zh-CN"/>
        </w:rPr>
        <w:t xml:space="preserve">  </w:t>
      </w:r>
    </w:p>
    <w:p>
      <w:pPr>
        <w:pStyle w:val="20"/>
        <w:spacing w:before="0" w:beforeAutospacing="0" w:after="0" w:afterAutospacing="0"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按照</w:t>
      </w:r>
      <w:r>
        <w:rPr>
          <w:rFonts w:hint="eastAsia" w:cs="宋体"/>
          <w:color w:val="auto"/>
          <w:sz w:val="24"/>
          <w:szCs w:val="24"/>
          <w:highlight w:val="none"/>
          <w:lang w:val="en-US" w:eastAsia="zh-CN"/>
        </w:rPr>
        <w:t>交通运输部最新颁布</w:t>
      </w:r>
      <w:r>
        <w:rPr>
          <w:rFonts w:hint="eastAsia" w:ascii="宋体" w:hAnsi="宋体" w:eastAsia="宋体" w:cs="宋体"/>
          <w:color w:val="auto"/>
          <w:sz w:val="24"/>
          <w:szCs w:val="24"/>
          <w:highlight w:val="none"/>
          <w:lang w:val="en-US" w:eastAsia="zh-CN"/>
        </w:rPr>
        <w:t>《公路桥梁技术状况评定标准》（JTG/T H21-2011）、《公路桥涵养护规范》（JTGH</w:t>
      </w:r>
      <w:r>
        <w:rPr>
          <w:rFonts w:hint="eastAsia" w:cs="宋体"/>
          <w:color w:val="auto"/>
          <w:sz w:val="24"/>
          <w:szCs w:val="24"/>
          <w:highlight w:val="none"/>
          <w:lang w:val="en-US" w:eastAsia="zh-CN"/>
        </w:rPr>
        <w:t>5120</w:t>
      </w:r>
      <w:r>
        <w:rPr>
          <w:rFonts w:hint="eastAsia" w:ascii="宋体" w:hAnsi="宋体" w:eastAsia="宋体" w:cs="宋体"/>
          <w:color w:val="auto"/>
          <w:sz w:val="24"/>
          <w:szCs w:val="24"/>
          <w:highlight w:val="none"/>
          <w:lang w:val="en-US" w:eastAsia="zh-CN"/>
        </w:rPr>
        <w:t>—20</w:t>
      </w:r>
      <w:r>
        <w:rPr>
          <w:rFonts w:hint="eastAsia" w:cs="宋体"/>
          <w:color w:val="auto"/>
          <w:sz w:val="24"/>
          <w:szCs w:val="24"/>
          <w:highlight w:val="none"/>
          <w:lang w:val="en-US" w:eastAsia="zh-CN"/>
        </w:rPr>
        <w:t>21</w:t>
      </w:r>
      <w:r>
        <w:rPr>
          <w:rFonts w:hint="eastAsia" w:ascii="宋体" w:hAnsi="宋体" w:eastAsia="宋体" w:cs="宋体"/>
          <w:color w:val="auto"/>
          <w:sz w:val="24"/>
          <w:szCs w:val="24"/>
          <w:highlight w:val="none"/>
          <w:lang w:val="en-US" w:eastAsia="zh-CN"/>
        </w:rPr>
        <w:t>）、《公路养护技术规范》（JTJ H10-2015）、《公路隧道养护技术规范》（JTG H12-2015）</w:t>
      </w:r>
      <w:r>
        <w:rPr>
          <w:rFonts w:hint="eastAsia" w:cs="宋体"/>
          <w:color w:val="auto"/>
          <w:sz w:val="24"/>
          <w:szCs w:val="24"/>
          <w:highlight w:val="none"/>
          <w:lang w:val="en-US" w:eastAsia="zh-CN"/>
        </w:rPr>
        <w:t>、《在用桥梁现场检测技术规程》等技术规范标准以及交通部办公厅印发的《公路危旧桥梁排查与改造技术要求》的通知，核查桥梁隧道基础数据，对全省新增省道的</w:t>
      </w:r>
      <w:r>
        <w:rPr>
          <w:rFonts w:hint="eastAsia" w:ascii="宋体" w:hAnsi="宋体" w:eastAsia="宋体" w:cs="宋体"/>
          <w:color w:val="auto"/>
          <w:sz w:val="24"/>
          <w:szCs w:val="24"/>
          <w:highlight w:val="none"/>
          <w:lang w:eastAsia="zh-CN"/>
        </w:rPr>
        <w:t>桥梁隧道</w:t>
      </w:r>
      <w:r>
        <w:rPr>
          <w:rFonts w:hint="eastAsia" w:cs="宋体"/>
          <w:color w:val="auto"/>
          <w:sz w:val="24"/>
          <w:szCs w:val="24"/>
          <w:highlight w:val="none"/>
          <w:lang w:eastAsia="zh-CN"/>
        </w:rPr>
        <w:t>进行</w:t>
      </w:r>
      <w:r>
        <w:rPr>
          <w:rFonts w:hint="eastAsia" w:ascii="宋体" w:hAnsi="宋体" w:eastAsia="宋体" w:cs="宋体"/>
          <w:color w:val="auto"/>
          <w:sz w:val="24"/>
          <w:szCs w:val="24"/>
          <w:highlight w:val="none"/>
        </w:rPr>
        <w:t>检查评定</w:t>
      </w:r>
      <w:r>
        <w:rPr>
          <w:rFonts w:hint="eastAsia" w:ascii="宋体" w:hAnsi="宋体" w:eastAsia="宋体" w:cs="宋体"/>
          <w:color w:val="auto"/>
          <w:sz w:val="24"/>
          <w:szCs w:val="24"/>
          <w:highlight w:val="none"/>
          <w:lang w:eastAsia="zh-CN"/>
        </w:rPr>
        <w:t>。</w:t>
      </w:r>
    </w:p>
    <w:p>
      <w:pPr>
        <w:spacing w:line="360" w:lineRule="auto"/>
        <w:ind w:firstLine="241" w:firstLineChars="100"/>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二</w:t>
      </w:r>
      <w:r>
        <w:rPr>
          <w:rFonts w:hint="eastAsia" w:ascii="宋体" w:hAnsi="宋体" w:eastAsia="宋体" w:cs="宋体"/>
          <w:b/>
          <w:bCs/>
          <w:sz w:val="24"/>
          <w:szCs w:val="24"/>
          <w:highlight w:val="none"/>
        </w:rPr>
        <w:t>、技术规范与相关服务要求</w:t>
      </w:r>
    </w:p>
    <w:p>
      <w:pPr>
        <w:spacing w:line="360" w:lineRule="auto"/>
        <w:ind w:firstLine="241" w:firstLineChars="1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（一） 安全、保畅通措施</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安全生产是效益的保证，也是进度的保证，为实施本合同项目需采取的安全保通措施，应在现场常设专职安全员2名。该专职安全员应熟悉本项目的工作类型。其工作任务，包括制定安全保护与事故预防措施和现场检查，查看所有安全规则与桥隧安全保护条例的实施情况。前期准备阶段组织有关人员学习安全生产的有关文件和规定，学习道路交通管理法规，</w:t>
      </w:r>
      <w:r>
        <w:rPr>
          <w:rFonts w:hint="eastAsia" w:ascii="宋体" w:hAnsi="宋体" w:cs="宋体"/>
          <w:sz w:val="24"/>
          <w:szCs w:val="24"/>
          <w:highlight w:val="none"/>
          <w:lang w:eastAsia="zh-CN"/>
        </w:rPr>
        <w:t>逐桥隧制定安全作业方案，现场检查所有安全规则实施情况等。衔接被检查单位</w:t>
      </w:r>
      <w:r>
        <w:rPr>
          <w:rFonts w:hint="eastAsia" w:ascii="宋体" w:hAnsi="宋体" w:eastAsia="宋体" w:cs="宋体"/>
          <w:sz w:val="24"/>
          <w:szCs w:val="24"/>
          <w:highlight w:val="none"/>
        </w:rPr>
        <w:t>做好安全施工的宣传、教育，增强相关人员的安全意识。作业时，检测人员身穿统一工作服，佩戴安全帽、着反光背心，停车检测时，摆放锥筒</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使作业人员的安全具有很好的保证。支架作业时，要统一戴安全帽，系安全绳</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由安全员现场监督执行。</w:t>
      </w:r>
      <w:r>
        <w:rPr>
          <w:rFonts w:hint="eastAsia" w:ascii="宋体" w:hAnsi="宋体" w:cs="宋体"/>
          <w:sz w:val="24"/>
          <w:szCs w:val="24"/>
          <w:highlight w:val="none"/>
          <w:lang w:eastAsia="zh-CN"/>
        </w:rPr>
        <w:t>现场检测作业严格落实《公路养护安全作业规程》规定，编制切实可行的施工安全保畅方案，规范安全作业控制区布设，设立齐全的交通标志标识等，做好交通通行分流管控，全过程排查防范安全隐患风险，直至作业全部完成，坚决杜绝安全责任事故发生。由此发生的费用包含在合同报价清单单价中，不单独报价。</w:t>
      </w:r>
    </w:p>
    <w:p>
      <w:pPr>
        <w:spacing w:line="360" w:lineRule="auto"/>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（二） 交通管制、标志及安全设施</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采购人将通知养护管理单位，协调交警部门、路政执法部门协助进行交通管制等，但工作期间的安全责任由</w:t>
      </w:r>
      <w:r>
        <w:rPr>
          <w:rFonts w:hint="eastAsia" w:ascii="宋体" w:hAnsi="宋体" w:cs="宋体"/>
          <w:sz w:val="24"/>
          <w:szCs w:val="24"/>
          <w:highlight w:val="none"/>
          <w:lang w:eastAsia="zh-CN"/>
        </w:rPr>
        <w:t>成交</w:t>
      </w:r>
      <w:r>
        <w:rPr>
          <w:rFonts w:hint="eastAsia" w:ascii="宋体" w:hAnsi="宋体" w:eastAsia="宋体" w:cs="宋体"/>
          <w:sz w:val="24"/>
          <w:szCs w:val="24"/>
          <w:highlight w:val="none"/>
        </w:rPr>
        <w:t>人承担，相关费用由</w:t>
      </w:r>
      <w:r>
        <w:rPr>
          <w:rFonts w:hint="eastAsia" w:ascii="宋体" w:hAnsi="宋体" w:cs="宋体"/>
          <w:sz w:val="24"/>
          <w:szCs w:val="24"/>
          <w:highlight w:val="none"/>
          <w:lang w:eastAsia="zh-CN"/>
        </w:rPr>
        <w:t>成交</w:t>
      </w:r>
      <w:r>
        <w:rPr>
          <w:rFonts w:hint="eastAsia" w:ascii="宋体" w:hAnsi="宋体" w:eastAsia="宋体" w:cs="宋体"/>
          <w:sz w:val="24"/>
          <w:szCs w:val="24"/>
          <w:highlight w:val="none"/>
        </w:rPr>
        <w:t>单位承担，包含在合同报价清单单价中，不单独报价。中标单位应按照《公路养护安全作业规程》（JTG H30—20</w:t>
      </w:r>
      <w:r>
        <w:rPr>
          <w:rFonts w:hint="eastAsia" w:ascii="宋体" w:hAnsi="宋体" w:cs="宋体"/>
          <w:sz w:val="24"/>
          <w:szCs w:val="24"/>
          <w:highlight w:val="none"/>
          <w:lang w:val="en-US" w:eastAsia="zh-CN"/>
        </w:rPr>
        <w:t>15</w:t>
      </w:r>
      <w:r>
        <w:rPr>
          <w:rFonts w:hint="eastAsia" w:ascii="宋体" w:hAnsi="宋体" w:eastAsia="宋体" w:cs="宋体"/>
          <w:sz w:val="24"/>
          <w:szCs w:val="24"/>
          <w:highlight w:val="none"/>
        </w:rPr>
        <w:t>）等有关规定摆放标志设施并保管使用。</w:t>
      </w:r>
    </w:p>
    <w:p>
      <w:pPr>
        <w:spacing w:line="360" w:lineRule="auto"/>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（三） 第三方责任保险</w:t>
      </w:r>
    </w:p>
    <w:p>
      <w:pPr>
        <w:spacing w:line="360" w:lineRule="auto"/>
        <w:ind w:firstLine="480" w:firstLineChars="200"/>
        <w:rPr>
          <w:rFonts w:hint="eastAsia" w:ascii="宋体" w:hAnsi="宋体" w:eastAsia="宋体" w:cs="宋体"/>
          <w:sz w:val="24"/>
          <w:szCs w:val="24"/>
          <w:highlight w:val="none"/>
        </w:rPr>
      </w:pPr>
      <w:r>
        <w:rPr>
          <w:rFonts w:hint="eastAsia" w:ascii="宋体" w:hAnsi="宋体" w:cs="宋体"/>
          <w:sz w:val="24"/>
          <w:szCs w:val="24"/>
          <w:highlight w:val="none"/>
          <w:lang w:eastAsia="zh-CN"/>
        </w:rPr>
        <w:t>成交</w:t>
      </w:r>
      <w:r>
        <w:rPr>
          <w:rFonts w:hint="eastAsia" w:ascii="宋体" w:hAnsi="宋体" w:eastAsia="宋体" w:cs="宋体"/>
          <w:sz w:val="24"/>
          <w:szCs w:val="24"/>
          <w:highlight w:val="none"/>
        </w:rPr>
        <w:t>人</w:t>
      </w:r>
      <w:r>
        <w:rPr>
          <w:rFonts w:hint="eastAsia" w:ascii="宋体" w:hAnsi="宋体" w:cs="宋体"/>
          <w:sz w:val="24"/>
          <w:szCs w:val="24"/>
          <w:highlight w:val="none"/>
          <w:lang w:eastAsia="zh-CN"/>
        </w:rPr>
        <w:t>应充分预计到可能的安全风险对工作人员、设备仪器等造成的意外事件，必须按有关规定进行人身意外等保险投保，投保费不单独报价，计入报价中。</w:t>
      </w:r>
    </w:p>
    <w:p>
      <w:pPr>
        <w:spacing w:line="360" w:lineRule="auto"/>
        <w:ind w:firstLine="241" w:firstLineChars="100"/>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三</w:t>
      </w:r>
      <w:r>
        <w:rPr>
          <w:rFonts w:hint="eastAsia" w:ascii="宋体" w:hAnsi="宋体" w:eastAsia="宋体" w:cs="宋体"/>
          <w:b/>
          <w:bCs/>
          <w:sz w:val="24"/>
          <w:szCs w:val="24"/>
          <w:highlight w:val="none"/>
        </w:rPr>
        <w:t>、桥隧技术状况检查评定</w:t>
      </w:r>
    </w:p>
    <w:p>
      <w:pPr>
        <w:spacing w:line="360" w:lineRule="auto"/>
        <w:ind w:firstLine="241" w:firstLineChars="1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1. 总则</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1.1检测内容包括：对业主指定的桥梁进行定期检查评定（含上部结构和下部结构，下同），对业主指定的隧道进行检查评定。通过本次全面检查评定，目的是进一步摸清各市</w:t>
      </w:r>
      <w:r>
        <w:rPr>
          <w:rFonts w:hint="eastAsia" w:ascii="宋体" w:hAnsi="宋体" w:cs="宋体"/>
          <w:sz w:val="24"/>
          <w:szCs w:val="24"/>
          <w:highlight w:val="none"/>
          <w:lang w:eastAsia="zh-CN"/>
        </w:rPr>
        <w:t>新增省道</w:t>
      </w:r>
      <w:r>
        <w:rPr>
          <w:rFonts w:hint="eastAsia" w:ascii="宋体" w:hAnsi="宋体" w:eastAsia="宋体" w:cs="宋体"/>
          <w:sz w:val="24"/>
          <w:szCs w:val="24"/>
          <w:highlight w:val="none"/>
        </w:rPr>
        <w:t>公路桥梁、隧道的基本情况以及技术状况，最终形成按规范规定频次和工作内容开展定期检查评定工作的常态工作机制，及时为养护管理提供基础技术支撑。</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1.2 主要适用标准、规范为：</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《公路养护技术规范》（</w:t>
      </w:r>
      <w:r>
        <w:rPr>
          <w:rFonts w:hint="eastAsia" w:ascii="宋体" w:hAnsi="宋体" w:eastAsia="宋体" w:cs="宋体"/>
          <w:color w:val="auto"/>
          <w:sz w:val="24"/>
          <w:szCs w:val="24"/>
          <w:highlight w:val="none"/>
          <w:lang w:val="en-US" w:eastAsia="zh-CN"/>
        </w:rPr>
        <w:t>JTJ H10-2015</w:t>
      </w:r>
      <w:r>
        <w:rPr>
          <w:rFonts w:hint="eastAsia" w:ascii="宋体" w:hAnsi="宋体" w:eastAsia="宋体" w:cs="宋体"/>
          <w:sz w:val="24"/>
          <w:szCs w:val="24"/>
          <w:highlight w:val="none"/>
        </w:rPr>
        <w:t>）；</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《公路桥涵养护规范》（</w:t>
      </w:r>
      <w:r>
        <w:rPr>
          <w:rFonts w:hint="eastAsia" w:ascii="宋体" w:hAnsi="宋体" w:eastAsia="宋体" w:cs="宋体"/>
          <w:color w:val="auto"/>
          <w:sz w:val="24"/>
          <w:szCs w:val="24"/>
          <w:highlight w:val="none"/>
          <w:lang w:val="en-US" w:eastAsia="zh-CN"/>
        </w:rPr>
        <w:t>JTGH</w:t>
      </w:r>
      <w:r>
        <w:rPr>
          <w:rFonts w:hint="eastAsia" w:cs="宋体"/>
          <w:color w:val="auto"/>
          <w:sz w:val="24"/>
          <w:szCs w:val="24"/>
          <w:highlight w:val="none"/>
          <w:lang w:val="en-US" w:eastAsia="zh-CN"/>
        </w:rPr>
        <w:t>5120</w:t>
      </w:r>
      <w:r>
        <w:rPr>
          <w:rFonts w:hint="eastAsia" w:ascii="宋体" w:hAnsi="宋体" w:eastAsia="宋体" w:cs="宋体"/>
          <w:color w:val="auto"/>
          <w:sz w:val="24"/>
          <w:szCs w:val="24"/>
          <w:highlight w:val="none"/>
          <w:lang w:val="en-US" w:eastAsia="zh-CN"/>
        </w:rPr>
        <w:t>—20</w:t>
      </w:r>
      <w:r>
        <w:rPr>
          <w:rFonts w:hint="eastAsia" w:cs="宋体"/>
          <w:color w:val="auto"/>
          <w:sz w:val="24"/>
          <w:szCs w:val="24"/>
          <w:highlight w:val="none"/>
          <w:lang w:val="en-US" w:eastAsia="zh-CN"/>
        </w:rPr>
        <w:t>21</w:t>
      </w:r>
      <w:r>
        <w:rPr>
          <w:rFonts w:hint="eastAsia" w:ascii="宋体" w:hAnsi="宋体" w:eastAsia="宋体" w:cs="宋体"/>
          <w:sz w:val="24"/>
          <w:szCs w:val="24"/>
          <w:highlight w:val="none"/>
        </w:rPr>
        <w:t>）；</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《公路隧道养护技术规范》（JTG H12—2015）；</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《公路技术状况评定标准》（JTG H20-2007）；</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《公路桥梁技术状况评定标准》（JTG/T H21—2011）；</w:t>
      </w:r>
    </w:p>
    <w:p>
      <w:pPr>
        <w:pStyle w:val="2"/>
        <w:rPr>
          <w:rFonts w:hint="eastAsia"/>
          <w:color w:val="auto"/>
          <w:highlight w:val="none"/>
          <w:lang w:val="en-US" w:eastAsia="zh-CN"/>
        </w:rPr>
      </w:pPr>
      <w:r>
        <w:rPr>
          <w:rFonts w:hint="eastAsia"/>
          <w:color w:val="auto"/>
          <w:highlight w:val="none"/>
          <w:lang w:val="en-US" w:eastAsia="zh-CN"/>
        </w:rPr>
        <w:t xml:space="preserve">  《公路养护安全作业规程》（JTG H30—2015）；</w:t>
      </w:r>
    </w:p>
    <w:p>
      <w:pPr>
        <w:rPr>
          <w:rFonts w:hint="eastAsia"/>
          <w:color w:val="auto"/>
          <w:highlight w:val="none"/>
          <w:lang w:val="en-US" w:eastAsia="zh-CN"/>
        </w:rPr>
      </w:pPr>
      <w:r>
        <w:rPr>
          <w:rFonts w:hint="eastAsia"/>
          <w:color w:val="auto"/>
          <w:highlight w:val="none"/>
          <w:lang w:val="en-US" w:eastAsia="zh-CN"/>
        </w:rPr>
        <w:t xml:space="preserve">  《公路隧道火灾报警系统技术条件》（JT/T 610-2004）；</w:t>
      </w:r>
    </w:p>
    <w:p>
      <w:pPr>
        <w:pStyle w:val="2"/>
        <w:ind w:firstLine="240" w:firstLineChars="100"/>
        <w:rPr>
          <w:rFonts w:hint="default"/>
          <w:highlight w:val="none"/>
          <w:lang w:val="en-US" w:eastAsia="zh-CN"/>
        </w:rPr>
      </w:pPr>
      <w:r>
        <w:rPr>
          <w:rFonts w:hint="eastAsia"/>
          <w:color w:val="auto"/>
          <w:highlight w:val="none"/>
          <w:lang w:val="en-US" w:eastAsia="zh-CN"/>
        </w:rPr>
        <w:t>《公路隧道交通工程与附属设施施工技术规范》（</w:t>
      </w:r>
      <w:r>
        <w:rPr>
          <w:rFonts w:hint="eastAsia" w:ascii="宋体" w:hAnsi="宋体" w:eastAsia="宋体" w:cs="宋体"/>
          <w:color w:val="auto"/>
          <w:sz w:val="24"/>
          <w:szCs w:val="24"/>
          <w:highlight w:val="none"/>
        </w:rPr>
        <w:t>JTG</w:t>
      </w:r>
      <w:r>
        <w:rPr>
          <w:rFonts w:hint="eastAsia" w:ascii="宋体" w:hAnsi="宋体" w:cs="宋体"/>
          <w:color w:val="auto"/>
          <w:sz w:val="24"/>
          <w:szCs w:val="24"/>
          <w:highlight w:val="none"/>
          <w:lang w:val="en-US" w:eastAsia="zh-CN"/>
        </w:rPr>
        <w:t>/T</w:t>
      </w:r>
      <w:r>
        <w:rPr>
          <w:rFonts w:hint="eastAsia" w:ascii="宋体" w:hAnsi="宋体" w:eastAsia="宋体" w:cs="宋体"/>
          <w:color w:val="auto"/>
          <w:sz w:val="24"/>
          <w:szCs w:val="24"/>
          <w:highlight w:val="none"/>
        </w:rPr>
        <w:t xml:space="preserve"> </w:t>
      </w:r>
      <w:r>
        <w:rPr>
          <w:rFonts w:hint="eastAsia" w:ascii="宋体" w:hAnsi="宋体" w:cs="宋体"/>
          <w:color w:val="auto"/>
          <w:sz w:val="24"/>
          <w:szCs w:val="24"/>
          <w:highlight w:val="none"/>
          <w:lang w:val="en-US" w:eastAsia="zh-CN"/>
        </w:rPr>
        <w:t>F72</w:t>
      </w:r>
      <w:r>
        <w:rPr>
          <w:rFonts w:hint="eastAsia" w:ascii="宋体" w:hAnsi="宋体" w:eastAsia="宋体" w:cs="宋体"/>
          <w:color w:val="auto"/>
          <w:sz w:val="24"/>
          <w:szCs w:val="24"/>
          <w:highlight w:val="none"/>
        </w:rPr>
        <w:t>-20</w:t>
      </w:r>
      <w:r>
        <w:rPr>
          <w:rFonts w:hint="eastAsia" w:ascii="宋体" w:hAnsi="宋体" w:cs="宋体"/>
          <w:color w:val="auto"/>
          <w:sz w:val="24"/>
          <w:szCs w:val="24"/>
          <w:highlight w:val="none"/>
          <w:lang w:val="en-US" w:eastAsia="zh-CN"/>
        </w:rPr>
        <w:t>11</w:t>
      </w:r>
      <w:r>
        <w:rPr>
          <w:rFonts w:hint="eastAsia"/>
          <w:color w:val="auto"/>
          <w:highlight w:val="none"/>
          <w:lang w:val="en-US" w:eastAsia="zh-CN"/>
        </w:rPr>
        <w:t>）</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《公路交通安全设施设计规范》（JTG D81—2017）</w:t>
      </w:r>
    </w:p>
    <w:p>
      <w:pPr>
        <w:spacing w:line="360" w:lineRule="auto"/>
        <w:ind w:firstLine="240" w:firstLineChars="1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《陕西省公路桥梁养护工程师管理办法》（陕交发[2018]87号）；</w:t>
      </w:r>
    </w:p>
    <w:p>
      <w:pPr>
        <w:spacing w:line="360" w:lineRule="auto"/>
        <w:ind w:firstLine="240" w:firstLineChars="1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《陕西省公路桥梁安全事故责任追究办法》（陕交发[2018]81号）；</w:t>
      </w:r>
    </w:p>
    <w:p>
      <w:pPr>
        <w:spacing w:line="360" w:lineRule="auto"/>
        <w:ind w:firstLine="240" w:firstLineChars="1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《陕西省公路隧道安全保护办法》(2017年4月1日起施行)；</w:t>
      </w:r>
    </w:p>
    <w:p>
      <w:pPr>
        <w:spacing w:line="360" w:lineRule="auto"/>
        <w:ind w:firstLine="240" w:firstLineChars="1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《陕西省公路桥梁安全保护办法》(2020年3月1日起施行)；</w:t>
      </w:r>
    </w:p>
    <w:p>
      <w:pPr>
        <w:spacing w:line="360" w:lineRule="auto"/>
        <w:ind w:firstLine="240" w:firstLineChars="1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《陕西省提升公路桥梁安全防护能力专项行动技术指南》</w:t>
      </w:r>
    </w:p>
    <w:p>
      <w:pPr>
        <w:spacing w:line="360" w:lineRule="auto"/>
        <w:ind w:firstLine="240" w:firstLineChars="1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《陕西省公路隧道提质升级行动技术指南》</w:t>
      </w:r>
    </w:p>
    <w:p>
      <w:pPr>
        <w:spacing w:line="360" w:lineRule="auto"/>
        <w:ind w:firstLine="240" w:firstLineChars="1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《公路桥梁抗震性能评价细则》(</w:t>
      </w:r>
      <w:r>
        <w:rPr>
          <w:rFonts w:hint="eastAsia" w:ascii="宋体" w:hAnsi="宋体" w:eastAsia="宋体" w:cs="宋体"/>
          <w:sz w:val="24"/>
          <w:szCs w:val="24"/>
          <w:highlight w:val="none"/>
        </w:rPr>
        <w:t xml:space="preserve">JTG/T </w:t>
      </w:r>
      <w:r>
        <w:rPr>
          <w:rFonts w:hint="eastAsia" w:ascii="宋体" w:hAnsi="宋体" w:eastAsia="宋体" w:cs="宋体"/>
          <w:sz w:val="24"/>
          <w:szCs w:val="24"/>
          <w:highlight w:val="none"/>
          <w:lang w:val="en-US" w:eastAsia="zh-CN"/>
        </w:rPr>
        <w:t>2231-02-2021)</w:t>
      </w:r>
      <w:r>
        <w:rPr>
          <w:rFonts w:hint="eastAsia" w:ascii="宋体" w:hAnsi="宋体" w:cs="宋体"/>
          <w:sz w:val="24"/>
          <w:szCs w:val="24"/>
          <w:highlight w:val="none"/>
          <w:lang w:val="en-US" w:eastAsia="zh-CN"/>
        </w:rPr>
        <w:t>；</w:t>
      </w:r>
    </w:p>
    <w:p>
      <w:pPr>
        <w:spacing w:line="360" w:lineRule="auto"/>
        <w:ind w:firstLine="240" w:firstLineChars="100"/>
        <w:rPr>
          <w:rFonts w:hint="eastAsia" w:ascii="宋体" w:hAnsi="宋体" w:cs="宋体"/>
          <w:sz w:val="24"/>
          <w:szCs w:val="24"/>
          <w:highlight w:val="none"/>
          <w:lang w:val="en-US" w:eastAsia="zh-CN"/>
        </w:rPr>
      </w:pPr>
      <w:r>
        <w:rPr>
          <w:rFonts w:hint="eastAsia" w:ascii="宋体" w:hAnsi="宋体" w:eastAsia="宋体" w:cs="宋体"/>
          <w:sz w:val="24"/>
          <w:szCs w:val="24"/>
          <w:highlight w:val="none"/>
          <w:lang w:val="en-US" w:eastAsia="zh-CN"/>
        </w:rPr>
        <w:t>《在用桥梁现场检测技术规程》(</w:t>
      </w:r>
      <w:r>
        <w:rPr>
          <w:rFonts w:hint="eastAsia" w:ascii="宋体" w:hAnsi="宋体" w:eastAsia="宋体" w:cs="宋体"/>
          <w:sz w:val="24"/>
          <w:szCs w:val="24"/>
          <w:highlight w:val="none"/>
        </w:rPr>
        <w:t xml:space="preserve">JTG/T </w:t>
      </w:r>
      <w:r>
        <w:rPr>
          <w:rFonts w:hint="eastAsia" w:ascii="宋体" w:hAnsi="宋体" w:eastAsia="宋体" w:cs="宋体"/>
          <w:sz w:val="24"/>
          <w:szCs w:val="24"/>
          <w:highlight w:val="none"/>
          <w:lang w:val="en-US" w:eastAsia="zh-CN"/>
        </w:rPr>
        <w:t>5214-2022)</w:t>
      </w:r>
      <w:r>
        <w:rPr>
          <w:rFonts w:hint="eastAsia" w:ascii="宋体" w:hAnsi="宋体" w:cs="宋体"/>
          <w:sz w:val="24"/>
          <w:szCs w:val="24"/>
          <w:highlight w:val="none"/>
          <w:lang w:val="en-US" w:eastAsia="zh-CN"/>
        </w:rPr>
        <w:t>；</w:t>
      </w:r>
    </w:p>
    <w:p>
      <w:pPr>
        <w:pStyle w:val="2"/>
        <w:rPr>
          <w:rFonts w:hint="eastAsia" w:ascii="宋体" w:hAnsi="宋体" w:eastAsia="宋体" w:cs="宋体"/>
          <w:color w:val="auto"/>
          <w:kern w:val="2"/>
          <w:sz w:val="24"/>
          <w:szCs w:val="24"/>
          <w:highlight w:val="none"/>
          <w:lang w:val="en-US" w:eastAsia="zh-CN" w:bidi="ar-SA"/>
        </w:rPr>
      </w:pPr>
      <w:r>
        <w:rPr>
          <w:rFonts w:hint="eastAsia" w:ascii="宋体" w:hAnsi="宋体" w:cs="宋体"/>
          <w:sz w:val="24"/>
          <w:szCs w:val="24"/>
          <w:highlight w:val="none"/>
          <w:lang w:val="en-US" w:eastAsia="zh-CN"/>
        </w:rPr>
        <w:t xml:space="preserve">  </w:t>
      </w:r>
      <w:r>
        <w:rPr>
          <w:rFonts w:hint="eastAsia" w:ascii="宋体" w:hAnsi="宋体" w:eastAsia="宋体" w:cs="宋体"/>
          <w:color w:val="auto"/>
          <w:kern w:val="2"/>
          <w:sz w:val="24"/>
          <w:szCs w:val="24"/>
          <w:highlight w:val="none"/>
          <w:lang w:val="en-US" w:eastAsia="zh-CN" w:bidi="ar-SA"/>
        </w:rPr>
        <w:t>《公路危旧桥梁排查与改造技术要求》；</w:t>
      </w:r>
    </w:p>
    <w:p>
      <w:pPr>
        <w:ind w:firstLine="240" w:firstLineChars="100"/>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《公路危旧桥梁排查技术指南》；</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以及其它</w:t>
      </w:r>
      <w:r>
        <w:rPr>
          <w:rFonts w:hint="eastAsia" w:ascii="宋体" w:hAnsi="宋体" w:cs="宋体"/>
          <w:sz w:val="24"/>
          <w:szCs w:val="24"/>
          <w:highlight w:val="none"/>
          <w:lang w:eastAsia="zh-CN"/>
        </w:rPr>
        <w:t>国家相关标准与规范要求</w:t>
      </w:r>
      <w:r>
        <w:rPr>
          <w:rFonts w:hint="eastAsia" w:ascii="宋体" w:hAnsi="宋体" w:eastAsia="宋体" w:cs="宋体"/>
          <w:sz w:val="24"/>
          <w:szCs w:val="24"/>
          <w:highlight w:val="none"/>
        </w:rPr>
        <w:t>。</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1.3本项目桥梁的检查及技术状况评定（诸如裂缝限制等数据）按照《公路桥梁技术状况评定标准》（JTG/T H21—2011）上具体规定及方法列明，且其有关技术文件，检测数据均应按统一格式完整的归入桥梁养护技术档案</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确保本次检测数据能够直接导入</w:t>
      </w:r>
      <w:r>
        <w:rPr>
          <w:rFonts w:hint="eastAsia" w:ascii="宋体" w:hAnsi="宋体" w:cs="宋体"/>
          <w:sz w:val="24"/>
          <w:szCs w:val="24"/>
          <w:highlight w:val="none"/>
          <w:lang w:eastAsia="zh-CN"/>
        </w:rPr>
        <w:t>养护统计年报</w:t>
      </w:r>
      <w:r>
        <w:rPr>
          <w:rFonts w:hint="eastAsia" w:ascii="宋体" w:hAnsi="宋体" w:eastAsia="宋体" w:cs="宋体"/>
          <w:sz w:val="24"/>
          <w:szCs w:val="24"/>
          <w:highlight w:val="none"/>
        </w:rPr>
        <w:t>管理系统中。</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1.4本项目隧道的检查及技术状况评定按照《公路隧道养护技术规范》（JTG H12—2015）上具体规定及方法列明，且其有关技术文件，检测数据均应按统一格式完整的归入隧道养护技术档案，确保本次检测数据能够直接导入</w:t>
      </w:r>
      <w:r>
        <w:rPr>
          <w:rFonts w:hint="eastAsia" w:ascii="宋体" w:hAnsi="宋体" w:cs="宋体"/>
          <w:sz w:val="24"/>
          <w:szCs w:val="24"/>
          <w:highlight w:val="none"/>
          <w:lang w:eastAsia="zh-CN"/>
        </w:rPr>
        <w:t>养护统计年报</w:t>
      </w:r>
      <w:r>
        <w:rPr>
          <w:rFonts w:hint="eastAsia" w:ascii="宋体" w:hAnsi="宋体" w:eastAsia="宋体" w:cs="宋体"/>
          <w:sz w:val="24"/>
          <w:szCs w:val="24"/>
          <w:highlight w:val="none"/>
        </w:rPr>
        <w:t>管理系统中。</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1.5 桥梁隧道检测过程所需要的各类表格以及填写要求，检测单位应与业主积极进行沟通达成一致，避免出现差错漏现象。</w:t>
      </w:r>
    </w:p>
    <w:p>
      <w:pPr>
        <w:spacing w:line="360" w:lineRule="auto"/>
        <w:ind w:firstLine="480" w:firstLineChars="2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（1）已书面明确移交市政城建等单位，不再属于各市</w:t>
      </w:r>
      <w:r>
        <w:rPr>
          <w:rFonts w:hint="eastAsia" w:ascii="宋体" w:hAnsi="宋体" w:cs="宋体"/>
          <w:b w:val="0"/>
          <w:bCs w:val="0"/>
          <w:sz w:val="24"/>
          <w:szCs w:val="24"/>
          <w:highlight w:val="none"/>
          <w:lang w:eastAsia="zh-CN"/>
        </w:rPr>
        <w:t>县交通运输局</w:t>
      </w:r>
      <w:r>
        <w:rPr>
          <w:rFonts w:hint="eastAsia" w:ascii="宋体" w:hAnsi="宋体" w:eastAsia="宋体" w:cs="宋体"/>
          <w:b w:val="0"/>
          <w:bCs w:val="0"/>
          <w:sz w:val="24"/>
          <w:szCs w:val="24"/>
          <w:highlight w:val="none"/>
        </w:rPr>
        <w:t>管养范围内的</w:t>
      </w:r>
      <w:r>
        <w:rPr>
          <w:rFonts w:hint="eastAsia" w:ascii="宋体" w:hAnsi="宋体" w:cs="宋体"/>
          <w:b w:val="0"/>
          <w:bCs w:val="0"/>
          <w:sz w:val="24"/>
          <w:szCs w:val="24"/>
          <w:highlight w:val="none"/>
          <w:lang w:eastAsia="zh-CN"/>
        </w:rPr>
        <w:t>新增省道路</w:t>
      </w:r>
      <w:r>
        <w:rPr>
          <w:rFonts w:hint="eastAsia" w:ascii="宋体" w:hAnsi="宋体" w:eastAsia="宋体" w:cs="宋体"/>
          <w:b w:val="0"/>
          <w:bCs w:val="0"/>
          <w:sz w:val="24"/>
          <w:szCs w:val="24"/>
          <w:highlight w:val="none"/>
        </w:rPr>
        <w:t>段、原旧路、城区过境段的桥梁、隧道不进行检查检测（由各市</w:t>
      </w:r>
      <w:r>
        <w:rPr>
          <w:rFonts w:hint="eastAsia" w:ascii="宋体" w:hAnsi="宋体" w:cs="宋体"/>
          <w:b w:val="0"/>
          <w:bCs w:val="0"/>
          <w:sz w:val="24"/>
          <w:szCs w:val="24"/>
          <w:highlight w:val="none"/>
          <w:lang w:eastAsia="zh-CN"/>
        </w:rPr>
        <w:t>交通运输</w:t>
      </w:r>
      <w:r>
        <w:rPr>
          <w:rFonts w:hint="eastAsia" w:ascii="宋体" w:hAnsi="宋体" w:eastAsia="宋体" w:cs="宋体"/>
          <w:b w:val="0"/>
          <w:bCs w:val="0"/>
          <w:sz w:val="24"/>
          <w:szCs w:val="24"/>
          <w:highlight w:val="none"/>
        </w:rPr>
        <w:t>局提供书面文件并与省公路局</w:t>
      </w:r>
      <w:r>
        <w:rPr>
          <w:rFonts w:hint="eastAsia" w:ascii="宋体" w:hAnsi="宋体" w:cs="宋体"/>
          <w:b w:val="0"/>
          <w:bCs w:val="0"/>
          <w:sz w:val="24"/>
          <w:szCs w:val="24"/>
          <w:highlight w:val="none"/>
          <w:lang w:eastAsia="zh-CN"/>
        </w:rPr>
        <w:t>计划处</w:t>
      </w:r>
      <w:r>
        <w:rPr>
          <w:rFonts w:hint="eastAsia" w:ascii="宋体" w:hAnsi="宋体" w:eastAsia="宋体" w:cs="宋体"/>
          <w:b w:val="0"/>
          <w:bCs w:val="0"/>
          <w:sz w:val="24"/>
          <w:szCs w:val="24"/>
          <w:highlight w:val="none"/>
        </w:rPr>
        <w:t>沟通后确定）；正在实施的路网建设工程路段、正在维修加固的桥梁、隧道或列入维修加固计划的桥梁、隧道本次先不检测，待项目交工后进行检查评定（具体由</w:t>
      </w:r>
      <w:r>
        <w:rPr>
          <w:rFonts w:hint="eastAsia" w:ascii="宋体" w:hAnsi="宋体" w:cs="宋体"/>
          <w:b w:val="0"/>
          <w:bCs w:val="0"/>
          <w:sz w:val="24"/>
          <w:szCs w:val="24"/>
          <w:highlight w:val="none"/>
          <w:lang w:eastAsia="zh-CN"/>
        </w:rPr>
        <w:t>成交</w:t>
      </w:r>
      <w:r>
        <w:rPr>
          <w:rFonts w:hint="eastAsia" w:ascii="宋体" w:hAnsi="宋体" w:eastAsia="宋体" w:cs="宋体"/>
          <w:b w:val="0"/>
          <w:bCs w:val="0"/>
          <w:sz w:val="24"/>
          <w:szCs w:val="24"/>
          <w:highlight w:val="none"/>
        </w:rPr>
        <w:t>人及时与各市</w:t>
      </w:r>
      <w:r>
        <w:rPr>
          <w:rFonts w:hint="eastAsia" w:ascii="宋体" w:hAnsi="宋体" w:cs="宋体"/>
          <w:b w:val="0"/>
          <w:bCs w:val="0"/>
          <w:sz w:val="24"/>
          <w:szCs w:val="24"/>
          <w:highlight w:val="none"/>
          <w:lang w:eastAsia="zh-CN"/>
        </w:rPr>
        <w:t>交通运输</w:t>
      </w:r>
      <w:r>
        <w:rPr>
          <w:rFonts w:hint="eastAsia" w:ascii="宋体" w:hAnsi="宋体" w:eastAsia="宋体" w:cs="宋体"/>
          <w:b w:val="0"/>
          <w:bCs w:val="0"/>
          <w:sz w:val="24"/>
          <w:szCs w:val="24"/>
          <w:highlight w:val="none"/>
        </w:rPr>
        <w:t>局沟通，由采购人确定）。</w:t>
      </w:r>
    </w:p>
    <w:p>
      <w:pPr>
        <w:spacing w:line="360" w:lineRule="auto"/>
        <w:ind w:firstLine="480" w:firstLineChars="2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（2）属于各市</w:t>
      </w:r>
      <w:r>
        <w:rPr>
          <w:rFonts w:hint="eastAsia" w:ascii="宋体" w:hAnsi="宋体" w:cs="宋体"/>
          <w:b w:val="0"/>
          <w:bCs w:val="0"/>
          <w:sz w:val="24"/>
          <w:szCs w:val="24"/>
          <w:highlight w:val="none"/>
          <w:lang w:eastAsia="zh-CN"/>
        </w:rPr>
        <w:t>交通运输</w:t>
      </w:r>
      <w:r>
        <w:rPr>
          <w:rFonts w:hint="eastAsia" w:ascii="宋体" w:hAnsi="宋体" w:eastAsia="宋体" w:cs="宋体"/>
          <w:b w:val="0"/>
          <w:bCs w:val="0"/>
          <w:sz w:val="24"/>
          <w:szCs w:val="24"/>
          <w:highlight w:val="none"/>
        </w:rPr>
        <w:t>管养范围内的</w:t>
      </w:r>
      <w:r>
        <w:rPr>
          <w:rFonts w:hint="eastAsia" w:ascii="宋体" w:hAnsi="宋体" w:cs="宋体"/>
          <w:b w:val="0"/>
          <w:bCs w:val="0"/>
          <w:sz w:val="24"/>
          <w:szCs w:val="24"/>
          <w:highlight w:val="none"/>
          <w:lang w:eastAsia="zh-CN"/>
        </w:rPr>
        <w:t>新增省道</w:t>
      </w:r>
      <w:r>
        <w:rPr>
          <w:rFonts w:hint="eastAsia" w:ascii="宋体" w:hAnsi="宋体" w:eastAsia="宋体" w:cs="宋体"/>
          <w:b w:val="0"/>
          <w:bCs w:val="0"/>
          <w:sz w:val="24"/>
          <w:szCs w:val="24"/>
          <w:highlight w:val="none"/>
        </w:rPr>
        <w:t>、城区过境段桥梁隧道，通过本次检查检测均单独分清注明和记录，市政道路等的接线起讫桩号以及桥梁、隧道位置示意图，标注桥梁隧道起讫桩号等。</w:t>
      </w:r>
    </w:p>
    <w:p>
      <w:pPr>
        <w:spacing w:line="360" w:lineRule="auto"/>
        <w:ind w:firstLine="480" w:firstLineChars="2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（3）一级公路上桥梁、隧道大部分已分左右幅，本次招标未分左右幅的桥隧按一座对待，不另行增加计量长度。</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（4）二、三级公路无论纵横向的桥型结构如何，均按一座对待评定技术状况等级，并计算计量支付长度。</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1.6调查核实桥梁隧道基础资料以及管理资料：包括设计施工图及竣工图、试验检测及科研资料、工程事故处理资料、结构位移或变形测试资料、观测点或监测点资料、交竣工验收资料等。调查核实桥隧管理资料包括管养单位（市、县公路管理机构）、“六级责任人”姓名职位等。</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1.7调查桥隧检测经常性检查资料以及近年来相关特殊检测资料、限载限速、养护维修加固资料等。</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以上资料均应书面或影像记录，作为桥隧基础数据和总体技术状况分析评定的重要依据，也是分析养护管理工作成效，提出下一步加强管理工作的重要支撑。</w:t>
      </w:r>
    </w:p>
    <w:p>
      <w:pPr>
        <w:spacing w:line="360" w:lineRule="auto"/>
        <w:ind w:firstLine="241" w:firstLineChars="1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2、桥梁检测</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2.1 检测以目测观察结合仪器观测进行，必须利用桥梁检测车等设备接近各部件仔细检查其缺损情况。</w:t>
      </w:r>
      <w:r>
        <w:rPr>
          <w:rFonts w:hint="eastAsia" w:ascii="宋体" w:hAnsi="宋体" w:cs="宋体"/>
          <w:sz w:val="24"/>
          <w:szCs w:val="24"/>
          <w:highlight w:val="none"/>
          <w:lang w:eastAsia="zh-CN"/>
        </w:rPr>
        <w:t>主要工作包括但不限于以下内容</w:t>
      </w:r>
      <w:r>
        <w:rPr>
          <w:rFonts w:hint="eastAsia" w:ascii="宋体" w:hAnsi="宋体" w:eastAsia="宋体" w:cs="宋体"/>
          <w:sz w:val="24"/>
          <w:szCs w:val="24"/>
          <w:highlight w:val="none"/>
        </w:rPr>
        <w:t>：</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2.1.1现场校核桥梁基本数据（桥梁基本状况卡片见《公路桥涵养护规范》（JTG</w:t>
      </w:r>
      <w:r>
        <w:rPr>
          <w:rFonts w:hint="eastAsia" w:ascii="宋体" w:hAnsi="宋体" w:cs="宋体"/>
          <w:sz w:val="24"/>
          <w:szCs w:val="24"/>
          <w:highlight w:val="none"/>
          <w:lang w:val="en-US" w:eastAsia="zh-CN"/>
        </w:rPr>
        <w:t>5120</w:t>
      </w:r>
      <w:r>
        <w:rPr>
          <w:rFonts w:hint="eastAsia" w:ascii="宋体" w:hAnsi="宋体" w:eastAsia="宋体" w:cs="宋体"/>
          <w:sz w:val="24"/>
          <w:szCs w:val="24"/>
          <w:highlight w:val="none"/>
        </w:rPr>
        <w:t>—20</w:t>
      </w:r>
      <w:r>
        <w:rPr>
          <w:rFonts w:hint="eastAsia" w:ascii="宋体" w:hAnsi="宋体" w:cs="宋体"/>
          <w:sz w:val="24"/>
          <w:szCs w:val="24"/>
          <w:highlight w:val="none"/>
          <w:lang w:val="en-US" w:eastAsia="zh-CN"/>
        </w:rPr>
        <w:t>21</w:t>
      </w:r>
      <w:r>
        <w:rPr>
          <w:rFonts w:hint="eastAsia" w:ascii="宋体" w:hAnsi="宋体" w:eastAsia="宋体" w:cs="宋体"/>
          <w:sz w:val="24"/>
          <w:szCs w:val="24"/>
          <w:highlight w:val="none"/>
        </w:rPr>
        <w:t>）附录A）。</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2.1.2当场填写“桥梁检查评定记录表”（见《公路桥梁技术状况评定标准》（JTG/T H21—2011）附录A），记录各部件缺损状况并做出技术状况评分。</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2.1.3 实地判断缺损原因，确定维修范围及方式。</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2.1.4 对难以判断损坏原因和程度的部件，应专项咨询论证并形成结论。</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2.1.5 对损坏严重，危及安全运行的危桥，提出处置的建议。</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2.2 桥面系构造的检查</w:t>
      </w:r>
      <w:r>
        <w:rPr>
          <w:rFonts w:hint="eastAsia" w:ascii="宋体" w:hAnsi="宋体" w:cs="宋体"/>
          <w:sz w:val="24"/>
          <w:szCs w:val="24"/>
          <w:highlight w:val="none"/>
          <w:lang w:eastAsia="zh-CN"/>
        </w:rPr>
        <w:t>，包括但不限于</w:t>
      </w:r>
      <w:r>
        <w:rPr>
          <w:rFonts w:hint="eastAsia" w:ascii="宋体" w:hAnsi="宋体" w:eastAsia="宋体" w:cs="宋体"/>
          <w:sz w:val="24"/>
          <w:szCs w:val="24"/>
          <w:highlight w:val="none"/>
        </w:rPr>
        <w:t>：</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2.2.1 桥面铺装层纵、横坡是否顺适，有无严重裂缝（龟裂，纵横裂缝）、坑槽、波浪、桥头跳车、防水层漏水。</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2.2.2 伸缩缝是否有异常变形、破损、脱落、漏水，是否造成明显跳车。</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2.2.3 护栏有无撞坏、断裂、错位、缺件、剥落、锈蚀等。</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2.2.4 桥面排水是否顺畅，泄水管是否完好、畅通，桥头排水沟功能是否完好，锥坡桥头护岸有无冲蚀、塌陷。</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2.2.5 桥上交通信号、标志、标线、照明设施是否损坏、老化、失效，是否需要更换。</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2.2.6 桥上的路用通信、供电线路及设备是否完好。</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2.3 钢筋混凝土和预应力混凝土梁桥的检查</w:t>
      </w:r>
      <w:r>
        <w:rPr>
          <w:rFonts w:hint="eastAsia" w:ascii="宋体" w:hAnsi="宋体" w:cs="宋体"/>
          <w:sz w:val="24"/>
          <w:szCs w:val="24"/>
          <w:highlight w:val="none"/>
          <w:lang w:eastAsia="zh-CN"/>
        </w:rPr>
        <w:t>，包括但不限于</w:t>
      </w:r>
      <w:r>
        <w:rPr>
          <w:rFonts w:hint="eastAsia" w:ascii="宋体" w:hAnsi="宋体" w:eastAsia="宋体" w:cs="宋体"/>
          <w:sz w:val="24"/>
          <w:szCs w:val="24"/>
          <w:highlight w:val="none"/>
        </w:rPr>
        <w:t>：</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2.3.1梁端头、底面是否损坏，箱形梁内是否有积水，通气是否良好。</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2.3.2 混凝土有无裂缝、渗水、表面风化、剥落、露筋和钢筋锈蚀，有无碱集料反应引起的整体龟裂现象。混凝土表面有无严重碳化。</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2.3.3 预应力钢束锚固区段混凝土有无开裂，沿预应筋的混凝土表面有无纵向裂缝。</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2.3.4 梁（板）式结构的跨中、支点及变截面处，悬臂端牛腿或中间铰部位，钢构的固结处和桁架节点部位，混凝土是否开裂、缺损和出现钢筋锈蚀。</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2.3.5 装配式梁桥应注意检查联结部位的缺损状况。</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2.3.5.1组合梁的桥面板与梁的结合部位及预制桥面板之间的接头处混凝土有无开裂、渗水。</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2.3.5.2横向联合构件是否开裂，连接钢板的焊缝有无锈蚀、断裂，边梁有无横移或向外倾斜。</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2.4跨线桥的检查：</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跨线桥的结构检查同其他一般公路桥梁。通道还应检查通道内有无积水，排水系统是否畅通。跨线桥下的道</w:t>
      </w:r>
      <w:r>
        <w:rPr>
          <w:rFonts w:hint="eastAsia" w:ascii="宋体" w:hAnsi="宋体" w:cs="宋体"/>
          <w:sz w:val="24"/>
          <w:szCs w:val="24"/>
          <w:highlight w:val="none"/>
          <w:lang w:eastAsia="zh-CN"/>
        </w:rPr>
        <w:t>路</w:t>
      </w:r>
      <w:r>
        <w:rPr>
          <w:rFonts w:hint="eastAsia" w:ascii="宋体" w:hAnsi="宋体" w:eastAsia="宋体" w:cs="宋体"/>
          <w:sz w:val="24"/>
          <w:szCs w:val="24"/>
          <w:highlight w:val="none"/>
        </w:rPr>
        <w:t>是否完好，有无非法占用情况等。</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2.5 支座的检查</w:t>
      </w:r>
      <w:r>
        <w:rPr>
          <w:rFonts w:hint="eastAsia" w:ascii="宋体" w:hAnsi="宋体" w:cs="宋体"/>
          <w:sz w:val="24"/>
          <w:szCs w:val="24"/>
          <w:highlight w:val="none"/>
          <w:lang w:eastAsia="zh-CN"/>
        </w:rPr>
        <w:t>，包括但不限于</w:t>
      </w:r>
      <w:r>
        <w:rPr>
          <w:rFonts w:hint="eastAsia" w:ascii="宋体" w:hAnsi="宋体" w:eastAsia="宋体" w:cs="宋体"/>
          <w:sz w:val="24"/>
          <w:szCs w:val="24"/>
          <w:highlight w:val="none"/>
        </w:rPr>
        <w:t>：</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2.5.1支座组件是否完好、清洁，有无断裂、错位、脱空。</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2.5.2 支承垫石是否有裂缝。</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2.5.3 橡胶支座是否老化、开裂，有无过大的剪切变形或压缩变形，各夹层钢板之间的橡胶层外凸是否均匀。</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2.5.4 四氟滑板支座是否脏污、老化，四氟乙烯板是否完好，橡胶块是否滑出钢板。</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2.5.5 盆式橡胶支座的固定螺栓是否剪断，螺母是否松动，钢盆外露部分是否锈蚀，防尘罩是否完好。</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2.5.6 支座是否丢失。</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2.6 墩台与基础的检查</w:t>
      </w:r>
      <w:r>
        <w:rPr>
          <w:rFonts w:hint="eastAsia" w:ascii="宋体" w:hAnsi="宋体" w:cs="宋体"/>
          <w:sz w:val="24"/>
          <w:szCs w:val="24"/>
          <w:highlight w:val="none"/>
          <w:lang w:eastAsia="zh-CN"/>
        </w:rPr>
        <w:t>，包括但不限于</w:t>
      </w:r>
      <w:r>
        <w:rPr>
          <w:rFonts w:hint="eastAsia" w:ascii="宋体" w:hAnsi="宋体" w:eastAsia="宋体" w:cs="宋体"/>
          <w:sz w:val="24"/>
          <w:szCs w:val="24"/>
          <w:highlight w:val="none"/>
        </w:rPr>
        <w:t>：</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2.6.1墩台及基础有无滑动、倾斜、下沉或冻拔。</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2.6.2 台背填土有无沉降或挤压隆起。</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2.6.3 混凝土墩台及帽梁有无冻胀、风化、开裂、剥落、露筋等。</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2.6.4 石砌墩台有无砌块断裂、通缝脱开、变形，砌体泄水孔是否堵塞，防水层是否损坏。</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2.6.5 墩台顶面是否清洁，伸缩缝处是否漏水。</w:t>
      </w:r>
    </w:p>
    <w:p>
      <w:pPr>
        <w:spacing w:line="360" w:lineRule="auto"/>
        <w:ind w:firstLine="240" w:firstLineChars="1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2.6.6 基础下是否发生不许可的冲刷或淘空现象，扩大基础的地基有无侵蚀。桩基顶段在水位涨落、干湿交替变化处有无冲刷磨损、颈缩、露筋，有无环状冻裂，是否受到污水、碱水或生物的腐蚀。</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2.7 调</w:t>
      </w:r>
      <w:r>
        <w:rPr>
          <w:rFonts w:hint="eastAsia" w:ascii="宋体" w:hAnsi="宋体" w:cs="宋体"/>
          <w:sz w:val="24"/>
          <w:szCs w:val="24"/>
          <w:highlight w:val="none"/>
          <w:lang w:eastAsia="zh-CN"/>
        </w:rPr>
        <w:t>治</w:t>
      </w:r>
      <w:r>
        <w:rPr>
          <w:rFonts w:hint="eastAsia" w:ascii="宋体" w:hAnsi="宋体" w:eastAsia="宋体" w:cs="宋体"/>
          <w:sz w:val="24"/>
          <w:szCs w:val="24"/>
          <w:highlight w:val="none"/>
        </w:rPr>
        <w:t>构造物是否完好，功能是否适用，桥位段河床是否有明显的冲淤或漂浮物堵塞现象。</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2.8桥梁检查中发现的各种缺损均应在现场用油漆等将其范围及日期标记清楚。发现三类以上桥梁及有严重缺损和难以判明损坏原因和程度的桥梁，应作影像记录，并附病害状况说明。同时，对桥梁、隧道安全控制区范围内的地质、地形、地貌、河道、进出口仰坡、左右边坡等涉及安全运营的情况应进行详细描述和图片记录。</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2.9 桥梁检查后应提交下列文件：</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2.9.1桥梁定期检查数据表。当天检查的桥梁现场记录，应在次日内整理成每座桥梁定期检查数据表。</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2.9.2 典型缺损和病害的照片及说明。缺损状况的描述应采用专业标准术语，说明缺损的部位、类型、性质、范围、数量和程度等。</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2.9.3 </w:t>
      </w:r>
      <w:r>
        <w:rPr>
          <w:rFonts w:hint="eastAsia" w:ascii="宋体" w:hAnsi="宋体" w:cs="宋体"/>
          <w:sz w:val="24"/>
          <w:szCs w:val="24"/>
          <w:highlight w:val="none"/>
          <w:lang w:eastAsia="zh-CN"/>
        </w:rPr>
        <w:t>三</w:t>
      </w:r>
      <w:r>
        <w:rPr>
          <w:rFonts w:hint="eastAsia" w:ascii="宋体" w:hAnsi="宋体" w:eastAsia="宋体" w:cs="宋体"/>
          <w:sz w:val="24"/>
          <w:szCs w:val="24"/>
          <w:highlight w:val="none"/>
        </w:rPr>
        <w:t>张总体照片。</w:t>
      </w:r>
      <w:r>
        <w:rPr>
          <w:rFonts w:hint="eastAsia" w:ascii="宋体" w:hAnsi="宋体" w:cs="宋体"/>
          <w:sz w:val="24"/>
          <w:szCs w:val="24"/>
          <w:highlight w:val="none"/>
          <w:lang w:eastAsia="zh-CN"/>
        </w:rPr>
        <w:t>两</w:t>
      </w:r>
      <w:r>
        <w:rPr>
          <w:rFonts w:hint="eastAsia" w:ascii="宋体" w:hAnsi="宋体" w:eastAsia="宋体" w:cs="宋体"/>
          <w:sz w:val="24"/>
          <w:szCs w:val="24"/>
          <w:highlight w:val="none"/>
        </w:rPr>
        <w:t>张桥面正面照片，一张桥梁上游侧立面照片。上下游桥梁结构或长度不一致，或起止桩号不一致还要有下游侧立面照片，并标注清楚。</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2.9.4 定期检查报告。</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2.9.5 根据检测结果，绘制并提交桥梁病害示意图。</w:t>
      </w:r>
    </w:p>
    <w:p>
      <w:pPr>
        <w:spacing w:line="360" w:lineRule="auto"/>
        <w:ind w:firstLine="241" w:firstLineChars="1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3.隧道检测</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3.1 检测采用步行方式，配备必要的检查工具或设备，进行目测或量测检查。检查时，应尽量靠近结构，依次检查各个结构部位，注意发现异常情况和原有异常情况的发展变化。主要工作</w:t>
      </w:r>
      <w:r>
        <w:rPr>
          <w:rFonts w:hint="eastAsia" w:ascii="宋体" w:hAnsi="宋体" w:cs="宋体"/>
          <w:sz w:val="24"/>
          <w:szCs w:val="24"/>
          <w:highlight w:val="none"/>
          <w:lang w:eastAsia="zh-CN"/>
        </w:rPr>
        <w:t>包括但不限于以下内容</w:t>
      </w:r>
      <w:r>
        <w:rPr>
          <w:rFonts w:hint="eastAsia" w:ascii="宋体" w:hAnsi="宋体" w:eastAsia="宋体" w:cs="宋体"/>
          <w:sz w:val="24"/>
          <w:szCs w:val="24"/>
          <w:highlight w:val="none"/>
        </w:rPr>
        <w:t>：</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3.1.1 检查结果及时填入“隧道定期检查记录表”（ 见《公路隧道养护技术规范》（JTG H12—2015）附录）。</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3.1.2检查数据及病害绘入“隧道展示图” （ 见《公路隧道养护技术规范》（JTG H12—2015）附录）。</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3.1.3 详细、准确的记录各类结构和机电设施及其它工程设施的基本技术状况，分析病害成因，给出判定结论。</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3.1.4 对需要进一步查明某些破损或病害详细情况的结构，提出专项检查的要求。</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3.2 土建结构检查的内容按《公路隧道养护技术规范》（JTG H12—2015）表4.4.5《定期检查内容表》及其相关规定执行。检查结果应当场填入“定期检查记录表”（附录A.0.2），将检查数据及 病害绘入“隧道展示图”（附录A.0.3），发现评定状况值为2以上的情况，应做影像记录，并详细、准确的记录缺损或病害状况，分析成因，对结构物的技术状况进行评定。</w:t>
      </w:r>
    </w:p>
    <w:p>
      <w:pPr>
        <w:spacing w:line="360" w:lineRule="auto"/>
        <w:ind w:firstLine="480" w:firstLineChars="200"/>
        <w:rPr>
          <w:rFonts w:hint="eastAsia" w:ascii="宋体" w:hAnsi="宋体" w:eastAsia="宋体" w:cs="宋体"/>
          <w:b/>
          <w:bCs/>
          <w:sz w:val="24"/>
          <w:szCs w:val="24"/>
          <w:highlight w:val="none"/>
        </w:rPr>
      </w:pPr>
      <w:r>
        <w:rPr>
          <w:rFonts w:hint="eastAsia" w:ascii="宋体" w:hAnsi="宋体" w:eastAsia="宋体" w:cs="宋体"/>
          <w:sz w:val="24"/>
          <w:szCs w:val="24"/>
          <w:highlight w:val="none"/>
        </w:rPr>
        <w:t>3.3 隧道检查中，对于有异常情况的结构，应在适当位置标记清楚。有严重缺损和难以判明损坏原因和程度的结构，应作影像记录，并附病害状况说明。检查结果尽可能量化。</w:t>
      </w:r>
      <w:r>
        <w:rPr>
          <w:rFonts w:hint="eastAsia" w:ascii="宋体" w:hAnsi="宋体" w:eastAsia="宋体" w:cs="宋体"/>
          <w:b w:val="0"/>
          <w:bCs w:val="0"/>
          <w:sz w:val="24"/>
          <w:szCs w:val="24"/>
          <w:highlight w:val="none"/>
        </w:rPr>
        <w:t>机电设施及其他工程设施，严格按照《公路隧道养护技术规范》（JTG H12—2015）规定执行，并按照附录C、附录D等规定标准进行技术状况评定。</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3.4 隧道检查后应提交下列文件：</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3.4.1隧道定期检查记录表。当天检查的隧道现场记录，应在次日内整理成每座隧道定期检查记录表。</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3.4.2 典型异常情况的照片及说明。异常情况的描述应采用专业标准术语，说明其部位、类型、性质、范围、数量和程度等。</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3.4.3 两张洞口照片。隧道起终点洞口正面照片各一张，并标注清楚。</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3.4.4 绘制隧道展示图。</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3.4.5 定期检查报告。</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3.5 隧道系统</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将检测数据导入陕西省普通干线公路</w:t>
      </w:r>
      <w:r>
        <w:rPr>
          <w:rFonts w:hint="eastAsia" w:ascii="宋体" w:hAnsi="宋体" w:cs="宋体"/>
          <w:sz w:val="24"/>
          <w:szCs w:val="24"/>
          <w:highlight w:val="none"/>
          <w:lang w:eastAsia="zh-CN"/>
        </w:rPr>
        <w:t>养护年报统计</w:t>
      </w:r>
      <w:r>
        <w:rPr>
          <w:rFonts w:hint="eastAsia" w:ascii="宋体" w:hAnsi="宋体" w:eastAsia="宋体" w:cs="宋体"/>
          <w:sz w:val="24"/>
          <w:szCs w:val="24"/>
          <w:highlight w:val="none"/>
        </w:rPr>
        <w:t>管理系统。</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3.6其它</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检测过程中，业主单位对检测质量将随机进行抽查。提交正式检测报告前，检测方应把病害情况、等级评定等有关问题向业主及时汇报，双方进行技术交流，必要时进行方案研讨。</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检测过程中，业主单位将派桥梁、隧道工程师现场跟随检测，对检测全过程进行检查督导。桥隧检测工作在桥隧所在地完成，要求检测单位加强与桥隧所在市</w:t>
      </w:r>
      <w:r>
        <w:rPr>
          <w:rFonts w:hint="eastAsia" w:ascii="宋体" w:hAnsi="宋体" w:cs="宋体"/>
          <w:sz w:val="24"/>
          <w:szCs w:val="24"/>
          <w:highlight w:val="none"/>
          <w:lang w:eastAsia="zh-CN"/>
        </w:rPr>
        <w:t>县交通运输</w:t>
      </w:r>
      <w:r>
        <w:rPr>
          <w:rFonts w:hint="eastAsia" w:ascii="宋体" w:hAnsi="宋体" w:eastAsia="宋体" w:cs="宋体"/>
          <w:sz w:val="24"/>
          <w:szCs w:val="24"/>
          <w:highlight w:val="none"/>
        </w:rPr>
        <w:t>局沟通，对有争议的评定结果要逐一说明情况，并附详细的病害图片说明。</w:t>
      </w:r>
    </w:p>
    <w:p>
      <w:pPr>
        <w:spacing w:line="360" w:lineRule="auto"/>
        <w:ind w:firstLine="241" w:firstLineChars="100"/>
        <w:rPr>
          <w:rFonts w:hint="eastAsia" w:ascii="宋体" w:hAnsi="宋体" w:eastAsia="宋体" w:cs="宋体"/>
          <w:b/>
          <w:bCs/>
          <w:sz w:val="24"/>
          <w:szCs w:val="24"/>
          <w:highlight w:val="none"/>
        </w:rPr>
      </w:pPr>
      <w:r>
        <w:rPr>
          <w:rFonts w:hint="eastAsia" w:ascii="宋体" w:hAnsi="宋体" w:cs="宋体"/>
          <w:b/>
          <w:bCs/>
          <w:sz w:val="24"/>
          <w:szCs w:val="24"/>
          <w:highlight w:val="none"/>
          <w:lang w:eastAsia="zh-CN"/>
        </w:rPr>
        <w:t>四、</w:t>
      </w:r>
      <w:r>
        <w:rPr>
          <w:rFonts w:hint="eastAsia" w:ascii="宋体" w:hAnsi="宋体" w:eastAsia="宋体" w:cs="宋体"/>
          <w:b/>
          <w:bCs/>
          <w:sz w:val="24"/>
          <w:szCs w:val="24"/>
          <w:highlight w:val="none"/>
        </w:rPr>
        <w:t>检测数据整理及检测报告编制</w:t>
      </w:r>
    </w:p>
    <w:p>
      <w:pPr>
        <w:spacing w:line="360" w:lineRule="auto"/>
        <w:ind w:firstLine="241" w:firstLineChars="1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1. 桥梁检测</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对业主集中指定的全省</w:t>
      </w:r>
      <w:r>
        <w:rPr>
          <w:rFonts w:hint="eastAsia" w:ascii="宋体" w:hAnsi="宋体" w:cs="宋体"/>
          <w:sz w:val="24"/>
          <w:szCs w:val="24"/>
          <w:highlight w:val="none"/>
          <w:lang w:eastAsia="zh-CN"/>
        </w:rPr>
        <w:t>新增省道</w:t>
      </w:r>
      <w:r>
        <w:rPr>
          <w:rFonts w:hint="eastAsia" w:ascii="宋体" w:hAnsi="宋体" w:eastAsia="宋体" w:cs="宋体"/>
          <w:sz w:val="24"/>
          <w:szCs w:val="24"/>
          <w:highlight w:val="none"/>
        </w:rPr>
        <w:t>公路桥梁按定期检查工作深度进行评定，按照业主要求的时间将检查评定数据导入陕西省</w:t>
      </w:r>
      <w:r>
        <w:rPr>
          <w:rFonts w:hint="eastAsia" w:ascii="宋体" w:hAnsi="宋体" w:cs="宋体"/>
          <w:sz w:val="24"/>
          <w:szCs w:val="24"/>
          <w:highlight w:val="none"/>
          <w:lang w:eastAsia="zh-CN"/>
        </w:rPr>
        <w:t>普通干线公路养护统计年报</w:t>
      </w:r>
      <w:r>
        <w:rPr>
          <w:rFonts w:hint="eastAsia" w:ascii="宋体" w:hAnsi="宋体" w:eastAsia="宋体" w:cs="宋体"/>
          <w:sz w:val="24"/>
          <w:szCs w:val="24"/>
          <w:highlight w:val="none"/>
        </w:rPr>
        <w:t>管理系统，对指定检查桥梁检查结果与陕西省公路</w:t>
      </w:r>
      <w:r>
        <w:rPr>
          <w:rFonts w:hint="eastAsia" w:ascii="宋体" w:hAnsi="宋体" w:cs="宋体"/>
          <w:sz w:val="24"/>
          <w:szCs w:val="24"/>
          <w:highlight w:val="none"/>
          <w:lang w:eastAsia="zh-CN"/>
        </w:rPr>
        <w:t>普通干线公路养护统计年报</w:t>
      </w:r>
      <w:r>
        <w:rPr>
          <w:rFonts w:hint="eastAsia" w:ascii="宋体" w:hAnsi="宋体" w:eastAsia="宋体" w:cs="宋体"/>
          <w:sz w:val="24"/>
          <w:szCs w:val="24"/>
          <w:highlight w:val="none"/>
        </w:rPr>
        <w:t>内的评定结果进行比对，针对指定检查的桥梁病害情况，逐一提出养护方案及桥梁病害的解决方案；汇总桥梁定期检查数据，进行数据整理分析，编制所检测桥梁总报告；对业主在合同期内不定期指定的桥梁技术状况进行及时复核，每座桥梁单独出具桥梁技术状况复核报告，并将复核结果导入</w:t>
      </w:r>
      <w:r>
        <w:rPr>
          <w:rFonts w:hint="eastAsia" w:ascii="宋体" w:hAnsi="宋体" w:cs="宋体"/>
          <w:sz w:val="24"/>
          <w:szCs w:val="24"/>
          <w:highlight w:val="none"/>
          <w:lang w:eastAsia="zh-CN"/>
        </w:rPr>
        <w:t>年报</w:t>
      </w:r>
      <w:r>
        <w:rPr>
          <w:rFonts w:hint="eastAsia" w:ascii="宋体" w:hAnsi="宋体" w:eastAsia="宋体" w:cs="宋体"/>
          <w:sz w:val="24"/>
          <w:szCs w:val="24"/>
          <w:highlight w:val="none"/>
        </w:rPr>
        <w:t>管理系统。</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本项目的桥梁检测应按《公路桥涵养护规范》（</w:t>
      </w:r>
      <w:r>
        <w:rPr>
          <w:rFonts w:hint="eastAsia" w:ascii="宋体" w:hAnsi="宋体" w:eastAsia="宋体" w:cs="宋体"/>
          <w:color w:val="auto"/>
          <w:sz w:val="24"/>
          <w:szCs w:val="24"/>
          <w:highlight w:val="none"/>
          <w:lang w:val="en-US" w:eastAsia="zh-CN"/>
        </w:rPr>
        <w:t>JTGH</w:t>
      </w:r>
      <w:r>
        <w:rPr>
          <w:rFonts w:hint="eastAsia" w:cs="宋体"/>
          <w:color w:val="auto"/>
          <w:sz w:val="24"/>
          <w:szCs w:val="24"/>
          <w:highlight w:val="none"/>
          <w:lang w:val="en-US" w:eastAsia="zh-CN"/>
        </w:rPr>
        <w:t>5120</w:t>
      </w:r>
      <w:r>
        <w:rPr>
          <w:rFonts w:hint="eastAsia" w:ascii="宋体" w:hAnsi="宋体" w:eastAsia="宋体" w:cs="宋体"/>
          <w:color w:val="auto"/>
          <w:sz w:val="24"/>
          <w:szCs w:val="24"/>
          <w:highlight w:val="none"/>
          <w:lang w:val="en-US" w:eastAsia="zh-CN"/>
        </w:rPr>
        <w:t>—20</w:t>
      </w:r>
      <w:r>
        <w:rPr>
          <w:rFonts w:hint="eastAsia" w:cs="宋体"/>
          <w:color w:val="auto"/>
          <w:sz w:val="24"/>
          <w:szCs w:val="24"/>
          <w:highlight w:val="none"/>
          <w:lang w:val="en-US" w:eastAsia="zh-CN"/>
        </w:rPr>
        <w:t>21</w:t>
      </w:r>
      <w:r>
        <w:rPr>
          <w:rFonts w:hint="eastAsia" w:ascii="宋体" w:hAnsi="宋体" w:eastAsia="宋体" w:cs="宋体"/>
          <w:sz w:val="24"/>
          <w:szCs w:val="24"/>
          <w:highlight w:val="none"/>
        </w:rPr>
        <w:t>）和《公路桥梁技术状况评定标准》（JTG/TH21—2011）定期检查的相关要求和标准执行。</w:t>
      </w:r>
    </w:p>
    <w:p>
      <w:pPr>
        <w:spacing w:line="360" w:lineRule="auto"/>
        <w:ind w:firstLine="241" w:firstLineChars="1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2. 隧道检测</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本项目的隧道检测应按《公路隧道养护技术规范》（JTG H12—2015）定期检查的相关要求和本规范要求达到的指标和标准，完成下列工作：</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2.1 原始记录</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2.1.1详细、准确的记录各类土建结构、机电设施、其它工程设施的基本技术状况，分析病害成因，给出判定结论， 填写“隧道定期检查记录表”（《公路隧道养护技术规范》（JTG H12—2015）附录）；</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2.1.2 绘制“隧道展示图” （《公路隧道养护技术规范》（JTG H12—2015）附录）</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2.1.3 提出实施专项检查的建议和采取处治措施的建议；</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2.1.4 其他。</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2.2 资料整理</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按项目分别进行汇总分析，提出隧道定期检查报告，内容应包括：</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对隧道技术状况和功能状态的评价；</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对隧道养护维修状况的评价及建议；</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需要实施专项检查的建议；</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需要采取处治措施的建议。</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此外，检查报告还应附检查记录表、隧道展示图以及其他有关检测记录资料。按照业主要求的时间将检查评定数据导入</w:t>
      </w:r>
      <w:r>
        <w:rPr>
          <w:rFonts w:hint="eastAsia" w:ascii="宋体" w:hAnsi="宋体" w:cs="宋体"/>
          <w:sz w:val="24"/>
          <w:szCs w:val="24"/>
          <w:highlight w:val="none"/>
          <w:lang w:eastAsia="zh-CN"/>
        </w:rPr>
        <w:t>普通干线公路养护统计年报</w:t>
      </w:r>
      <w:r>
        <w:rPr>
          <w:rFonts w:hint="eastAsia" w:ascii="宋体" w:hAnsi="宋体" w:eastAsia="宋体" w:cs="宋体"/>
          <w:sz w:val="24"/>
          <w:szCs w:val="24"/>
          <w:highlight w:val="none"/>
        </w:rPr>
        <w:t>管理系统。</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3. 根据桥梁隧道检测结果，计算技术状况指数。</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4. 资料提交方式</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桥梁按《公路桥涵养护规范》（JTGH11—2004）和本技术规范有关规定提交资料报告及各类检测报告，报告一律按正式打印文本交付外，还需将所有一切检测记录、中间分析资料及书面文本的底本均采用</w:t>
      </w:r>
      <w:r>
        <w:rPr>
          <w:rFonts w:hint="eastAsia" w:ascii="宋体" w:hAnsi="宋体" w:cs="宋体"/>
          <w:sz w:val="24"/>
          <w:szCs w:val="24"/>
          <w:highlight w:val="none"/>
          <w:lang w:eastAsia="zh-CN"/>
        </w:rPr>
        <w:t>硬盘</w:t>
      </w:r>
      <w:r>
        <w:rPr>
          <w:rFonts w:hint="eastAsia" w:ascii="宋体" w:hAnsi="宋体" w:eastAsia="宋体" w:cs="宋体"/>
          <w:sz w:val="24"/>
          <w:szCs w:val="24"/>
          <w:highlight w:val="none"/>
        </w:rPr>
        <w:t>记录交付。</w:t>
      </w:r>
      <w:r>
        <w:rPr>
          <w:rFonts w:hint="eastAsia" w:ascii="宋体" w:hAnsi="宋体" w:eastAsia="宋体" w:cs="宋体"/>
          <w:b/>
          <w:bCs/>
          <w:sz w:val="24"/>
          <w:szCs w:val="24"/>
          <w:highlight w:val="none"/>
        </w:rPr>
        <w:t>在提交的报告中需逐桥提供桥梁检测车现场作业照片</w:t>
      </w:r>
      <w:r>
        <w:rPr>
          <w:rFonts w:hint="eastAsia" w:ascii="宋体" w:hAnsi="宋体" w:eastAsia="宋体" w:cs="宋体"/>
          <w:sz w:val="24"/>
          <w:szCs w:val="24"/>
          <w:highlight w:val="none"/>
        </w:rPr>
        <w:t>。</w:t>
      </w:r>
      <w:r>
        <w:rPr>
          <w:rFonts w:hint="eastAsia" w:ascii="宋体" w:hAnsi="宋体" w:cs="宋体"/>
          <w:sz w:val="24"/>
          <w:szCs w:val="24"/>
          <w:highlight w:val="none"/>
          <w:lang w:eastAsia="zh-CN"/>
        </w:rPr>
        <w:t>成交</w:t>
      </w:r>
      <w:r>
        <w:rPr>
          <w:rFonts w:hint="eastAsia" w:ascii="宋体" w:hAnsi="宋体" w:eastAsia="宋体" w:cs="宋体"/>
          <w:sz w:val="24"/>
          <w:szCs w:val="24"/>
          <w:highlight w:val="none"/>
        </w:rPr>
        <w:t>单位提交8份报告和</w:t>
      </w:r>
      <w:r>
        <w:rPr>
          <w:rFonts w:hint="eastAsia" w:ascii="宋体" w:hAnsi="宋体" w:cs="宋体"/>
          <w:sz w:val="24"/>
          <w:szCs w:val="24"/>
          <w:highlight w:val="none"/>
          <w:lang w:val="en-US" w:eastAsia="zh-CN"/>
        </w:rPr>
        <w:t>1份</w:t>
      </w:r>
      <w:r>
        <w:rPr>
          <w:rFonts w:hint="eastAsia" w:ascii="宋体" w:hAnsi="宋体" w:eastAsia="宋体" w:cs="宋体"/>
          <w:sz w:val="24"/>
          <w:szCs w:val="24"/>
          <w:highlight w:val="none"/>
        </w:rPr>
        <w:t>电子文档</w:t>
      </w:r>
      <w:r>
        <w:rPr>
          <w:rFonts w:hint="eastAsia" w:ascii="宋体" w:hAnsi="宋体" w:cs="宋体"/>
          <w:sz w:val="24"/>
          <w:szCs w:val="24"/>
          <w:highlight w:val="none"/>
          <w:lang w:eastAsia="zh-CN"/>
        </w:rPr>
        <w:t>（具体按甲方要求）</w:t>
      </w:r>
      <w:r>
        <w:rPr>
          <w:rFonts w:hint="eastAsia" w:ascii="宋体" w:hAnsi="宋体" w:eastAsia="宋体" w:cs="宋体"/>
          <w:sz w:val="24"/>
          <w:szCs w:val="24"/>
          <w:highlight w:val="none"/>
        </w:rPr>
        <w:t>。</w:t>
      </w:r>
    </w:p>
    <w:p>
      <w:pPr>
        <w:spacing w:line="360" w:lineRule="auto"/>
        <w:ind w:firstLine="241" w:firstLineChars="100"/>
        <w:rPr>
          <w:rFonts w:hint="eastAsia" w:ascii="宋体" w:hAnsi="宋体" w:eastAsia="宋体" w:cs="宋体"/>
          <w:b/>
          <w:bCs/>
          <w:sz w:val="24"/>
          <w:szCs w:val="24"/>
          <w:highlight w:val="none"/>
        </w:rPr>
      </w:pPr>
      <w:r>
        <w:rPr>
          <w:rFonts w:hint="eastAsia" w:ascii="宋体" w:hAnsi="宋体" w:cs="宋体"/>
          <w:b/>
          <w:bCs/>
          <w:sz w:val="24"/>
          <w:szCs w:val="24"/>
          <w:highlight w:val="none"/>
          <w:lang w:eastAsia="zh-CN"/>
        </w:rPr>
        <w:t>五、</w:t>
      </w:r>
      <w:r>
        <w:rPr>
          <w:rFonts w:hint="eastAsia" w:ascii="宋体" w:hAnsi="宋体" w:eastAsia="宋体" w:cs="宋体"/>
          <w:b/>
          <w:bCs/>
          <w:sz w:val="24"/>
          <w:szCs w:val="24"/>
          <w:highlight w:val="none"/>
        </w:rPr>
        <w:t>报告编制基本格式</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桥梁检测单位应按照规范规定的检查方法，逐桥现场核查桥梁基本数据，核对“桥梁基本状况卡片”，当场填写“桥梁评定指标检查记录表”，逐孔逐部件对各类病害缺损进行检查量测拍照，绘制全桥病害展开示意图（标明病害位置、发展过程、量测数据等），实地判断损坏原因，确定维修范围及方式等。检查结束后应按照分层综合评定与单项指标控制相结合的方法进行评定，逐桥提交定期检查评定分析报告，并更新</w:t>
      </w:r>
      <w:r>
        <w:rPr>
          <w:rFonts w:hint="eastAsia" w:ascii="宋体" w:hAnsi="宋体" w:cs="宋体"/>
          <w:sz w:val="24"/>
          <w:szCs w:val="24"/>
          <w:highlight w:val="none"/>
          <w:lang w:eastAsia="zh-CN"/>
        </w:rPr>
        <w:t>年报</w:t>
      </w:r>
      <w:r>
        <w:rPr>
          <w:rFonts w:hint="eastAsia" w:ascii="宋体" w:hAnsi="宋体" w:eastAsia="宋体" w:cs="宋体"/>
          <w:sz w:val="24"/>
          <w:szCs w:val="24"/>
          <w:highlight w:val="none"/>
        </w:rPr>
        <w:t>管理系统。逐桥评定分析报告主要内容包括：</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（一）概述检测工作背景、主要内容和检测设备仪器。</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（二）逐桥说明路线桩号、长度、上下部结构形式、荷载等级、桥面系、主要材料构成等基本情况，附正侧面彩色照片。</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（三）逐桥详细说明结构病害检查检测情况：包括主次要部件组成划分、各部件权重取值；详细定性和定量描述逐孔逐构件部件技术状况以及损坏病害发展过程。附：各类病害缺损照片，全桥病害展开示意图等。</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（四）逐桥详细说明各构件、部件技术状况标度判定标准以及对比评定结果，说明上下部结构、桥面系、全桥总体技术状况评定计算过程以及评定结果。</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（五）逐桥提出小修保养、大中修加固方案对策建议，包括估算工程量和费用，交通管制措施等。</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隧道检测单位应按照规范规定的检查方法，逐隧现场核查隧道基本数据，核对“隧道基本状况卡片”，当场填写“隧道定期检查记录表”，对各类病害缺损进行检查量测拍照，判断损坏原因，绘制全隧病害展开示意图（标明病害位置、发展过程、量测数据等）。</w:t>
      </w:r>
      <w:r>
        <w:rPr>
          <w:rFonts w:hint="eastAsia" w:ascii="宋体" w:hAnsi="宋体" w:eastAsia="宋体" w:cs="宋体"/>
          <w:b/>
          <w:bCs/>
          <w:sz w:val="24"/>
          <w:szCs w:val="24"/>
          <w:highlight w:val="none"/>
        </w:rPr>
        <w:t>检查结束后应提交土建结构和机电及其它设施定期检查评定分析报告，</w:t>
      </w:r>
      <w:r>
        <w:rPr>
          <w:rFonts w:hint="eastAsia" w:ascii="宋体" w:hAnsi="宋体" w:eastAsia="宋体" w:cs="宋体"/>
          <w:sz w:val="24"/>
          <w:szCs w:val="24"/>
          <w:highlight w:val="none"/>
        </w:rPr>
        <w:t>并及时更新</w:t>
      </w:r>
      <w:r>
        <w:rPr>
          <w:rFonts w:hint="eastAsia" w:ascii="宋体" w:hAnsi="宋体" w:cs="宋体"/>
          <w:sz w:val="24"/>
          <w:szCs w:val="24"/>
          <w:highlight w:val="none"/>
          <w:lang w:eastAsia="zh-CN"/>
        </w:rPr>
        <w:t>养护年报</w:t>
      </w:r>
      <w:r>
        <w:rPr>
          <w:rFonts w:hint="eastAsia" w:ascii="宋体" w:hAnsi="宋体" w:eastAsia="宋体" w:cs="宋体"/>
          <w:sz w:val="24"/>
          <w:szCs w:val="24"/>
          <w:highlight w:val="none"/>
        </w:rPr>
        <w:t>管理系统。逐隧评定分析报告主要内容包括：</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（一）概述检测工作背景、主要内容和检测设备仪器。</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（二）逐隧说明路线桩号、长度、路面结构、主要材料构成等基本情况，附进出洞口彩色照片。</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三）逐隧详细说明洞口、洞门、衬砌、路面、检修道、排水系统、吊顶、内装等土建结构和机电及其它设施病害检查检测情况，详细定性和定量描述技术状况以及损坏病害发展过程，特别是外荷载作用、材料劣化和渗漏水方面，附：各类病害缺损照片，全隧病害展开示意图等。</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（四）逐隧详细说明技术状况判定标准以及对比评价功能状态，说明确定技术状况评定结果情况。</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（五）逐隧提出对策建议，包括小修保养、大中修加固方案以及估算工程量和费用，交通管制措施等。</w:t>
      </w:r>
    </w:p>
    <w:p>
      <w:pPr>
        <w:spacing w:line="360" w:lineRule="auto"/>
        <w:ind w:firstLine="240" w:firstLineChars="100"/>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3.</w:t>
      </w:r>
      <w:r>
        <w:rPr>
          <w:rFonts w:hint="eastAsia" w:ascii="宋体" w:hAnsi="宋体" w:eastAsia="宋体" w:cs="宋体"/>
          <w:sz w:val="24"/>
          <w:szCs w:val="24"/>
          <w:highlight w:val="none"/>
        </w:rPr>
        <w:t>其它要求</w:t>
      </w:r>
    </w:p>
    <w:p>
      <w:pPr>
        <w:spacing w:line="360" w:lineRule="auto"/>
        <w:ind w:firstLine="480" w:firstLineChars="200"/>
        <w:rPr>
          <w:rFonts w:hint="eastAsia" w:ascii="宋体" w:hAnsi="宋体" w:eastAsia="宋体" w:cs="宋体"/>
          <w:b w:val="0"/>
          <w:bCs w:val="0"/>
          <w:sz w:val="24"/>
          <w:szCs w:val="24"/>
          <w:highlight w:val="none"/>
        </w:rPr>
      </w:pPr>
      <w:r>
        <w:rPr>
          <w:rFonts w:hint="eastAsia" w:ascii="宋体" w:hAnsi="宋体" w:cs="宋体"/>
          <w:b w:val="0"/>
          <w:bCs w:val="0"/>
          <w:sz w:val="24"/>
          <w:szCs w:val="24"/>
          <w:highlight w:val="none"/>
          <w:lang w:val="en-US" w:eastAsia="zh-CN"/>
        </w:rPr>
        <w:t>3.1</w:t>
      </w:r>
      <w:r>
        <w:rPr>
          <w:rFonts w:hint="eastAsia" w:ascii="宋体" w:hAnsi="宋体" w:eastAsia="宋体" w:cs="宋体"/>
          <w:b w:val="0"/>
          <w:bCs w:val="0"/>
          <w:sz w:val="24"/>
          <w:szCs w:val="24"/>
          <w:highlight w:val="none"/>
        </w:rPr>
        <w:t>、检测单位完成相关报告编制工作后，还应以</w:t>
      </w:r>
      <w:r>
        <w:rPr>
          <w:rFonts w:hint="eastAsia" w:ascii="宋体" w:hAnsi="宋体" w:eastAsia="宋体" w:cs="宋体"/>
          <w:b w:val="0"/>
          <w:bCs w:val="0"/>
          <w:sz w:val="24"/>
          <w:szCs w:val="24"/>
          <w:highlight w:val="none"/>
          <w:lang w:eastAsia="zh-CN"/>
        </w:rPr>
        <w:t>市</w:t>
      </w:r>
      <w:r>
        <w:rPr>
          <w:rFonts w:hint="eastAsia" w:ascii="宋体" w:hAnsi="宋体" w:eastAsia="宋体" w:cs="宋体"/>
          <w:b w:val="0"/>
          <w:bCs w:val="0"/>
          <w:sz w:val="24"/>
          <w:szCs w:val="24"/>
          <w:highlight w:val="none"/>
        </w:rPr>
        <w:t>为单元</w:t>
      </w:r>
      <w:r>
        <w:rPr>
          <w:rFonts w:hint="eastAsia" w:ascii="宋体" w:hAnsi="宋体" w:eastAsia="宋体" w:cs="宋体"/>
          <w:b w:val="0"/>
          <w:bCs w:val="0"/>
          <w:sz w:val="24"/>
          <w:szCs w:val="24"/>
          <w:highlight w:val="none"/>
          <w:lang w:eastAsia="zh-CN"/>
        </w:rPr>
        <w:t>分别</w:t>
      </w:r>
      <w:r>
        <w:rPr>
          <w:rFonts w:hint="eastAsia" w:ascii="宋体" w:hAnsi="宋体" w:eastAsia="宋体" w:cs="宋体"/>
          <w:b w:val="0"/>
          <w:bCs w:val="0"/>
          <w:sz w:val="24"/>
          <w:szCs w:val="24"/>
          <w:highlight w:val="none"/>
        </w:rPr>
        <w:t>编制总报告、以县为单元提供分报告和拟提交评审验收的PPT汇报演示资料等，具体要求与</w:t>
      </w:r>
      <w:r>
        <w:rPr>
          <w:rFonts w:hint="eastAsia" w:ascii="宋体" w:hAnsi="宋体" w:eastAsia="宋体" w:cs="宋体"/>
          <w:b w:val="0"/>
          <w:bCs w:val="0"/>
          <w:sz w:val="24"/>
          <w:szCs w:val="24"/>
          <w:highlight w:val="none"/>
          <w:lang w:eastAsia="zh-CN"/>
        </w:rPr>
        <w:t>采购人</w:t>
      </w:r>
      <w:r>
        <w:rPr>
          <w:rFonts w:hint="eastAsia" w:ascii="宋体" w:hAnsi="宋体" w:eastAsia="宋体" w:cs="宋体"/>
          <w:b w:val="0"/>
          <w:bCs w:val="0"/>
          <w:sz w:val="24"/>
          <w:szCs w:val="24"/>
          <w:highlight w:val="none"/>
        </w:rPr>
        <w:t xml:space="preserve">业主沟通协调确定。 </w:t>
      </w:r>
    </w:p>
    <w:p>
      <w:pPr>
        <w:spacing w:line="360" w:lineRule="auto"/>
        <w:ind w:firstLine="480" w:firstLineChars="200"/>
        <w:rPr>
          <w:rFonts w:hint="eastAsia" w:ascii="宋体" w:hAnsi="宋体" w:eastAsia="宋体" w:cs="宋体"/>
          <w:b w:val="0"/>
          <w:bCs w:val="0"/>
          <w:sz w:val="24"/>
          <w:szCs w:val="24"/>
          <w:highlight w:val="none"/>
        </w:rPr>
      </w:pPr>
      <w:r>
        <w:rPr>
          <w:rFonts w:hint="eastAsia" w:ascii="宋体" w:hAnsi="宋体" w:cs="宋体"/>
          <w:b w:val="0"/>
          <w:bCs w:val="0"/>
          <w:sz w:val="24"/>
          <w:szCs w:val="24"/>
          <w:highlight w:val="none"/>
          <w:lang w:val="en-US" w:eastAsia="zh-CN"/>
        </w:rPr>
        <w:t>3.</w:t>
      </w:r>
      <w:r>
        <w:rPr>
          <w:rFonts w:hint="eastAsia" w:ascii="宋体" w:hAnsi="宋体" w:eastAsia="宋体" w:cs="宋体"/>
          <w:b w:val="0"/>
          <w:bCs w:val="0"/>
          <w:sz w:val="24"/>
          <w:szCs w:val="24"/>
          <w:highlight w:val="none"/>
        </w:rPr>
        <w:t>2、检测单位提供相关市</w:t>
      </w:r>
      <w:r>
        <w:rPr>
          <w:rFonts w:hint="eastAsia" w:ascii="宋体" w:hAnsi="宋体" w:cs="宋体"/>
          <w:b w:val="0"/>
          <w:bCs w:val="0"/>
          <w:sz w:val="24"/>
          <w:szCs w:val="24"/>
          <w:highlight w:val="none"/>
          <w:lang w:eastAsia="zh-CN"/>
        </w:rPr>
        <w:t>交通运输</w:t>
      </w:r>
      <w:r>
        <w:rPr>
          <w:rFonts w:hint="eastAsia" w:ascii="宋体" w:hAnsi="宋体" w:eastAsia="宋体" w:cs="宋体"/>
          <w:b w:val="0"/>
          <w:bCs w:val="0"/>
          <w:sz w:val="24"/>
          <w:szCs w:val="24"/>
          <w:highlight w:val="none"/>
        </w:rPr>
        <w:t>局对开展本项目工作情况的评价、所检查评定桥隧技术状况的意见和其它建议意见等（经各市</w:t>
      </w:r>
      <w:r>
        <w:rPr>
          <w:rFonts w:hint="eastAsia" w:ascii="宋体" w:hAnsi="宋体" w:cs="宋体"/>
          <w:b w:val="0"/>
          <w:bCs w:val="0"/>
          <w:sz w:val="24"/>
          <w:szCs w:val="24"/>
          <w:highlight w:val="none"/>
          <w:lang w:eastAsia="zh-CN"/>
        </w:rPr>
        <w:t>交通运输</w:t>
      </w:r>
      <w:r>
        <w:rPr>
          <w:rFonts w:hint="eastAsia" w:ascii="宋体" w:hAnsi="宋体" w:eastAsia="宋体" w:cs="宋体"/>
          <w:b w:val="0"/>
          <w:bCs w:val="0"/>
          <w:sz w:val="24"/>
          <w:szCs w:val="24"/>
          <w:highlight w:val="none"/>
        </w:rPr>
        <w:t>局桥梁工程师、分管科室负责人、分管领导签字并加盖单位公章）。</w:t>
      </w:r>
    </w:p>
    <w:p>
      <w:pPr>
        <w:spacing w:line="360" w:lineRule="auto"/>
        <w:ind w:firstLine="480" w:firstLineChars="200"/>
        <w:rPr>
          <w:rFonts w:hint="eastAsia" w:ascii="宋体" w:hAnsi="宋体" w:eastAsia="宋体" w:cs="宋体"/>
          <w:b w:val="0"/>
          <w:bCs w:val="0"/>
          <w:sz w:val="24"/>
          <w:szCs w:val="24"/>
          <w:highlight w:val="none"/>
        </w:rPr>
      </w:pPr>
      <w:r>
        <w:rPr>
          <w:rFonts w:hint="eastAsia" w:ascii="宋体" w:hAnsi="宋体" w:cs="宋体"/>
          <w:b w:val="0"/>
          <w:bCs w:val="0"/>
          <w:sz w:val="24"/>
          <w:szCs w:val="24"/>
          <w:highlight w:val="none"/>
          <w:lang w:val="en-US" w:eastAsia="zh-CN"/>
        </w:rPr>
        <w:t>3.</w:t>
      </w:r>
      <w:r>
        <w:rPr>
          <w:rFonts w:hint="eastAsia" w:ascii="宋体" w:hAnsi="宋体" w:eastAsia="宋体" w:cs="宋体"/>
          <w:b w:val="0"/>
          <w:bCs w:val="0"/>
          <w:sz w:val="24"/>
          <w:szCs w:val="24"/>
          <w:highlight w:val="none"/>
        </w:rPr>
        <w:t>3、在合同服务期限内</w:t>
      </w:r>
      <w:r>
        <w:rPr>
          <w:rFonts w:hint="eastAsia" w:ascii="宋体" w:hAnsi="宋体" w:cs="宋体"/>
          <w:b w:val="0"/>
          <w:bCs w:val="0"/>
          <w:sz w:val="24"/>
          <w:szCs w:val="24"/>
          <w:highlight w:val="none"/>
          <w:lang w:eastAsia="zh-CN"/>
        </w:rPr>
        <w:t>延长</w:t>
      </w:r>
      <w:r>
        <w:rPr>
          <w:rFonts w:hint="eastAsia" w:ascii="宋体" w:hAnsi="宋体" w:cs="宋体"/>
          <w:b w:val="0"/>
          <w:bCs w:val="0"/>
          <w:sz w:val="24"/>
          <w:szCs w:val="24"/>
          <w:highlight w:val="none"/>
          <w:lang w:val="en-US" w:eastAsia="zh-CN"/>
        </w:rPr>
        <w:t>6个月，</w:t>
      </w:r>
      <w:r>
        <w:rPr>
          <w:rFonts w:hint="eastAsia" w:ascii="宋体" w:hAnsi="宋体" w:eastAsia="宋体" w:cs="宋体"/>
          <w:b w:val="0"/>
          <w:bCs w:val="0"/>
          <w:sz w:val="24"/>
          <w:szCs w:val="24"/>
          <w:highlight w:val="none"/>
        </w:rPr>
        <w:t>各市通过经常性检查发现已经</w:t>
      </w:r>
      <w:r>
        <w:rPr>
          <w:rFonts w:hint="eastAsia" w:ascii="宋体" w:hAnsi="宋体" w:cs="宋体"/>
          <w:b w:val="0"/>
          <w:bCs w:val="0"/>
          <w:sz w:val="24"/>
          <w:szCs w:val="24"/>
          <w:highlight w:val="none"/>
          <w:lang w:eastAsia="zh-CN"/>
        </w:rPr>
        <w:t>成交</w:t>
      </w:r>
      <w:r>
        <w:rPr>
          <w:rFonts w:hint="eastAsia" w:ascii="宋体" w:hAnsi="宋体" w:eastAsia="宋体" w:cs="宋体"/>
          <w:b w:val="0"/>
          <w:bCs w:val="0"/>
          <w:sz w:val="24"/>
          <w:szCs w:val="24"/>
          <w:highlight w:val="none"/>
        </w:rPr>
        <w:t>人定期检查检测评定的桥梁或隧道，属于疑似四五类的，由</w:t>
      </w:r>
      <w:r>
        <w:rPr>
          <w:rFonts w:hint="eastAsia" w:ascii="宋体" w:hAnsi="宋体" w:cs="宋体"/>
          <w:b w:val="0"/>
          <w:bCs w:val="0"/>
          <w:sz w:val="24"/>
          <w:szCs w:val="24"/>
          <w:highlight w:val="none"/>
          <w:lang w:eastAsia="zh-CN"/>
        </w:rPr>
        <w:t>成交</w:t>
      </w:r>
      <w:r>
        <w:rPr>
          <w:rFonts w:hint="eastAsia" w:ascii="宋体" w:hAnsi="宋体" w:eastAsia="宋体" w:cs="宋体"/>
          <w:b w:val="0"/>
          <w:bCs w:val="0"/>
          <w:sz w:val="24"/>
          <w:szCs w:val="24"/>
          <w:highlight w:val="none"/>
        </w:rPr>
        <w:t>人进行现场复查，复查费用包含在本次招标供应商合同单价内，不单独计量支付。</w:t>
      </w:r>
    </w:p>
    <w:p>
      <w:pPr>
        <w:spacing w:line="360" w:lineRule="auto"/>
        <w:ind w:firstLine="480" w:firstLineChars="200"/>
        <w:rPr>
          <w:rFonts w:hint="eastAsia" w:ascii="宋体" w:hAnsi="宋体" w:eastAsia="宋体" w:cs="宋体"/>
          <w:b w:val="0"/>
          <w:bCs w:val="0"/>
          <w:sz w:val="24"/>
          <w:szCs w:val="24"/>
          <w:highlight w:val="none"/>
        </w:rPr>
      </w:pPr>
      <w:r>
        <w:rPr>
          <w:rFonts w:hint="eastAsia" w:ascii="宋体" w:hAnsi="宋体" w:cs="宋体"/>
          <w:b w:val="0"/>
          <w:bCs w:val="0"/>
          <w:sz w:val="24"/>
          <w:szCs w:val="24"/>
          <w:highlight w:val="none"/>
          <w:lang w:val="en-US" w:eastAsia="zh-CN"/>
        </w:rPr>
        <w:t>3.</w:t>
      </w:r>
      <w:r>
        <w:rPr>
          <w:rFonts w:hint="eastAsia" w:ascii="宋体" w:hAnsi="宋体" w:eastAsia="宋体" w:cs="宋体"/>
          <w:b w:val="0"/>
          <w:bCs w:val="0"/>
          <w:sz w:val="24"/>
          <w:szCs w:val="24"/>
          <w:highlight w:val="none"/>
        </w:rPr>
        <w:t>4、合同期限内可能存在的桥梁隧道需要进行特殊检查、荷载试验等专项检查检测的，中标人必须予以配合，费用另行协商解决。</w:t>
      </w:r>
    </w:p>
    <w:p>
      <w:pPr>
        <w:spacing w:line="360" w:lineRule="auto"/>
        <w:rPr>
          <w:rFonts w:hint="eastAsia" w:ascii="宋体" w:hAnsi="宋体" w:eastAsia="宋体" w:cs="宋体"/>
          <w:b/>
          <w:bCs/>
          <w:sz w:val="24"/>
          <w:szCs w:val="24"/>
          <w:highlight w:val="none"/>
        </w:rPr>
      </w:pPr>
      <w:r>
        <w:rPr>
          <w:rFonts w:hint="eastAsia" w:ascii="宋体" w:hAnsi="宋体" w:cs="宋体"/>
          <w:b/>
          <w:bCs/>
          <w:sz w:val="24"/>
          <w:szCs w:val="24"/>
          <w:highlight w:val="none"/>
          <w:lang w:eastAsia="zh-CN"/>
        </w:rPr>
        <w:t>六</w:t>
      </w:r>
      <w:r>
        <w:rPr>
          <w:rFonts w:hint="eastAsia" w:ascii="宋体" w:hAnsi="宋体" w:eastAsia="宋体" w:cs="宋体"/>
          <w:b/>
          <w:bCs/>
          <w:sz w:val="24"/>
          <w:szCs w:val="24"/>
          <w:highlight w:val="none"/>
        </w:rPr>
        <w:t>、工作量及报价清单说明</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工作量清单与供应商须知、合同条款、技术规范等文件结合起来查阅与理解。本招标文件工作量清单中给定项目的编号、细目名称、单位、数量不允许增删调整，否则将按废标处理。</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工作量清单中所列工程数量是估算的预计数量，仅作为投标的基础数据，不作为最终结算与支付的依据。实际支付按实际完成的工作量，由中标人按技术规范规定的计量方法，以业主认可的工程数量，按合同单价计算支付金额。</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本项目：</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（1）在实施过程中发生的工作量与工作量清单中开列的工作量可能会发生变化，但不论某一项工作量增加或减少多少均按承包人投标报价中的单价执行，不做任何调整，供应商在投标报价时应充分考虑。</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（2）在项目实施过程中，根据项目实际情况需要新增某个项目，而且该项目在原工作量清单中并未存在时，其单价参照类似投标单价执行。</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（3）供应商应充分考虑冬季作业要求和公路桥隧检测工作的特殊性，在报价中充分考虑检测现场交通拥堵效率降低以及停滞而发生的费用。</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除非合同另有规定，工作量清单中有标价的单价和总额价均已包括了为实施和完成合同项目所需的进出场、劳务、材料、搭建、机械、质检（自检）、安装、管理、保险、税费、利润等费用，以及合同明示或暗示的所有责任、义务和一般风险。</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第三方责任险中标人必须投保，投保额为100万元/次，次数不限，不单独报价，已包括在工作量清单的其他单价或总额价之中。</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5</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工作量清单中本合同项目的每一个细目，都需填入单价；对于没有填入单价或总额价的细目，其费用应视为已包括在工作量清单的其他单价或总额价之中，承包人必须按业主指令完成工作量清单中未填入单价或总额价的工程细目，但不能得到结算与支付。</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6</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符合合同条款规定的全部工作及费用应认为已被计入有标价的工作量清单所列各细目之中，未列细目不予计量的工作，其费用应视为已分摊在本合同项目的有关细目的单价或总额价之中。</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7</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工作量清单是和技术规范相对应的，因此，工作量清单中的工程细目的范围与计量等应与技术规范的范围、计量与支付条款结合起来理解或解释。</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8</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对符合要求的投标文件，在签订合同协议书前，如发生工作量清单中有计算方面的算术性差错，应按供应商须知的规定予以修正。</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9</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工作量清单中所列工作量的变动，丝毫不会降低或影响合同条款的效力，也不免除承包人按规定的标准进行检测和修复缺陷的责任。</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10 </w:t>
      </w:r>
      <w:r>
        <w:rPr>
          <w:rFonts w:hint="eastAsia" w:ascii="宋体" w:hAnsi="宋体" w:cs="宋体"/>
          <w:sz w:val="24"/>
          <w:szCs w:val="24"/>
          <w:highlight w:val="none"/>
          <w:lang w:val="en-US" w:eastAsia="zh-CN"/>
        </w:rPr>
        <w:t>.</w:t>
      </w:r>
      <w:r>
        <w:rPr>
          <w:rFonts w:hint="eastAsia" w:ascii="宋体" w:hAnsi="宋体" w:eastAsia="宋体" w:cs="宋体"/>
          <w:sz w:val="24"/>
          <w:szCs w:val="24"/>
          <w:highlight w:val="none"/>
        </w:rPr>
        <w:t>承包人用于本合同项目的驻地建设费用、交通管制费、标志及安全设施购置费，已包括在工作量清单的单价与总额价之中。</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11</w:t>
      </w:r>
      <w:r>
        <w:rPr>
          <w:rFonts w:hint="eastAsia" w:ascii="宋体" w:hAnsi="宋体" w:cs="宋体"/>
          <w:sz w:val="24"/>
          <w:szCs w:val="24"/>
          <w:highlight w:val="none"/>
          <w:lang w:val="en-US" w:eastAsia="zh-CN"/>
        </w:rPr>
        <w:t>.</w:t>
      </w:r>
      <w:r>
        <w:rPr>
          <w:rFonts w:hint="eastAsia" w:ascii="宋体" w:hAnsi="宋体" w:eastAsia="宋体" w:cs="宋体"/>
          <w:sz w:val="24"/>
          <w:szCs w:val="24"/>
          <w:highlight w:val="none"/>
        </w:rPr>
        <w:t>承包人用于本合同项目的各类装备的提供、运输、维护、拆卸、拼装等支付的费用，已包括在工作量清单的单价与总额价之中。</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12</w:t>
      </w:r>
      <w:r>
        <w:rPr>
          <w:rFonts w:hint="eastAsia" w:ascii="宋体" w:hAnsi="宋体" w:cs="宋体"/>
          <w:sz w:val="24"/>
          <w:szCs w:val="24"/>
          <w:highlight w:val="none"/>
          <w:lang w:val="en-US" w:eastAsia="zh-CN"/>
        </w:rPr>
        <w:t>.</w:t>
      </w:r>
      <w:r>
        <w:rPr>
          <w:rFonts w:hint="eastAsia" w:ascii="宋体" w:hAnsi="宋体" w:eastAsia="宋体" w:cs="宋体"/>
          <w:sz w:val="24"/>
          <w:szCs w:val="24"/>
          <w:highlight w:val="none"/>
        </w:rPr>
        <w:t>在工作量清单中标明的暂定金额归业主统筹使用，除合同另有规定外，应按合同条款的规定，结合项目具体情况，经业主批准后全部或部分地使用，或者根本不予动用。</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13</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检测水电、临时占地及开工前相关手续由承包人自行办理。</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14</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计量方法</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用于支付已完项目的计量方法，应按合同条件中相应章节的“费用与支付”条款的规定。</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15</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本项目中标单位的设施、设备、人员等费用应包含在单价中，不单独报价。</w:t>
      </w:r>
    </w:p>
    <w:p>
      <w:pPr>
        <w:rPr>
          <w:rFonts w:hint="eastAsia" w:ascii="宋体" w:hAnsi="宋体" w:cs="宋体"/>
          <w:sz w:val="32"/>
          <w:szCs w:val="32"/>
          <w:highlight w:val="none"/>
        </w:rPr>
      </w:pPr>
      <w:r>
        <w:rPr>
          <w:rFonts w:hint="eastAsia" w:ascii="宋体" w:hAnsi="宋体" w:cs="宋体"/>
          <w:sz w:val="32"/>
          <w:szCs w:val="32"/>
          <w:highlight w:val="none"/>
        </w:rPr>
        <w:br w:type="page"/>
      </w:r>
    </w:p>
    <w:p>
      <w:pPr>
        <w:pStyle w:val="4"/>
        <w:keepNext w:val="0"/>
        <w:keepLines w:val="0"/>
        <w:rPr>
          <w:rFonts w:ascii="宋体" w:hAnsi="宋体" w:cs="宋体"/>
          <w:highlight w:val="none"/>
        </w:rPr>
      </w:pPr>
      <w:r>
        <w:rPr>
          <w:rFonts w:hint="eastAsia" w:ascii="宋体" w:hAnsi="宋体" w:cs="宋体"/>
          <w:sz w:val="32"/>
          <w:szCs w:val="32"/>
          <w:highlight w:val="none"/>
        </w:rPr>
        <w:t>第四部分  商务及合同主要条款</w:t>
      </w:r>
      <w:bookmarkEnd w:id="57"/>
      <w:bookmarkEnd w:id="58"/>
      <w:bookmarkEnd w:id="59"/>
      <w:bookmarkEnd w:id="60"/>
      <w:bookmarkEnd w:id="61"/>
      <w:bookmarkEnd w:id="62"/>
      <w:bookmarkEnd w:id="63"/>
    </w:p>
    <w:p>
      <w:pPr>
        <w:spacing w:line="360" w:lineRule="auto"/>
        <w:ind w:firstLine="560" w:firstLineChars="200"/>
        <w:rPr>
          <w:rFonts w:ascii="宋体" w:hAnsi="宋体" w:cs="宋体"/>
          <w:sz w:val="28"/>
          <w:szCs w:val="28"/>
          <w:highlight w:val="none"/>
        </w:rPr>
      </w:pPr>
      <w:bookmarkStart w:id="64" w:name="_Toc13278"/>
      <w:bookmarkStart w:id="65" w:name="_Toc519156757"/>
      <w:r>
        <w:rPr>
          <w:rFonts w:hint="eastAsia" w:ascii="宋体" w:hAnsi="宋体" w:cs="宋体"/>
          <w:sz w:val="28"/>
          <w:szCs w:val="28"/>
          <w:highlight w:val="none"/>
        </w:rPr>
        <w:t>本表是对合同条款的具体补充和修改，如有矛盾，应以本资料表为准。</w:t>
      </w:r>
    </w:p>
    <w:tbl>
      <w:tblPr>
        <w:tblStyle w:val="23"/>
        <w:tblW w:w="9072" w:type="dxa"/>
        <w:tblInd w:w="59"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627"/>
        <w:gridCol w:w="844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627" w:type="dxa"/>
            <w:vAlign w:val="center"/>
          </w:tcPr>
          <w:p>
            <w:pPr>
              <w:spacing w:line="500" w:lineRule="exact"/>
              <w:jc w:val="center"/>
              <w:rPr>
                <w:rFonts w:ascii="宋体" w:hAnsi="宋体" w:cs="宋体"/>
                <w:sz w:val="24"/>
                <w:highlight w:val="none"/>
              </w:rPr>
            </w:pPr>
            <w:r>
              <w:rPr>
                <w:rFonts w:hint="eastAsia" w:ascii="宋体" w:hAnsi="宋体" w:cs="宋体"/>
                <w:sz w:val="24"/>
                <w:highlight w:val="none"/>
              </w:rPr>
              <w:t>序号</w:t>
            </w:r>
          </w:p>
        </w:tc>
        <w:tc>
          <w:tcPr>
            <w:tcW w:w="8445" w:type="dxa"/>
            <w:vAlign w:val="center"/>
          </w:tcPr>
          <w:p>
            <w:pPr>
              <w:spacing w:line="500" w:lineRule="exact"/>
              <w:jc w:val="center"/>
              <w:rPr>
                <w:rFonts w:ascii="宋体" w:hAnsi="宋体" w:cs="宋体"/>
                <w:b/>
                <w:sz w:val="24"/>
                <w:highlight w:val="none"/>
              </w:rPr>
            </w:pPr>
            <w:r>
              <w:rPr>
                <w:rFonts w:hint="eastAsia" w:ascii="宋体" w:hAnsi="宋体" w:cs="宋体"/>
                <w:b/>
                <w:sz w:val="24"/>
                <w:highlight w:val="none"/>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79" w:hRule="atLeast"/>
        </w:trPr>
        <w:tc>
          <w:tcPr>
            <w:tcW w:w="627" w:type="dxa"/>
            <w:vAlign w:val="center"/>
          </w:tcPr>
          <w:p>
            <w:pPr>
              <w:spacing w:line="500" w:lineRule="exact"/>
              <w:jc w:val="center"/>
              <w:rPr>
                <w:rFonts w:ascii="宋体" w:hAnsi="宋体" w:cs="宋体"/>
                <w:sz w:val="24"/>
                <w:highlight w:val="none"/>
              </w:rPr>
            </w:pPr>
            <w:r>
              <w:rPr>
                <w:rFonts w:hint="eastAsia" w:ascii="宋体" w:hAnsi="宋体" w:cs="宋体"/>
                <w:sz w:val="24"/>
                <w:highlight w:val="none"/>
              </w:rPr>
              <w:t>1</w:t>
            </w:r>
          </w:p>
        </w:tc>
        <w:tc>
          <w:tcPr>
            <w:tcW w:w="8445" w:type="dxa"/>
            <w:vAlign w:val="center"/>
          </w:tcPr>
          <w:p>
            <w:pPr>
              <w:spacing w:line="500" w:lineRule="exact"/>
              <w:rPr>
                <w:rFonts w:ascii="宋体" w:hAnsi="宋体" w:cs="宋体"/>
                <w:sz w:val="24"/>
                <w:highlight w:val="none"/>
              </w:rPr>
            </w:pPr>
            <w:r>
              <w:rPr>
                <w:rFonts w:hint="eastAsia" w:ascii="宋体" w:hAnsi="宋体" w:cs="宋体"/>
                <w:b/>
                <w:bCs/>
                <w:sz w:val="24"/>
                <w:highlight w:val="none"/>
              </w:rPr>
              <w:t>采购人（甲方）名称：</w:t>
            </w:r>
            <w:r>
              <w:rPr>
                <w:rFonts w:hint="eastAsia" w:ascii="宋体" w:hAnsi="宋体" w:cs="宋体"/>
                <w:sz w:val="24"/>
                <w:highlight w:val="none"/>
              </w:rPr>
              <w:t>陕西省公路局</w:t>
            </w:r>
          </w:p>
          <w:p>
            <w:pPr>
              <w:spacing w:line="500" w:lineRule="exact"/>
              <w:rPr>
                <w:rFonts w:ascii="宋体" w:hAnsi="宋体" w:cs="宋体"/>
                <w:sz w:val="24"/>
                <w:highlight w:val="none"/>
                <w:u w:val="single"/>
              </w:rPr>
            </w:pPr>
            <w:r>
              <w:rPr>
                <w:rFonts w:hint="eastAsia" w:ascii="宋体" w:hAnsi="宋体" w:cs="宋体"/>
                <w:b/>
                <w:bCs/>
                <w:sz w:val="24"/>
                <w:highlight w:val="none"/>
              </w:rPr>
              <w:t>地址：</w:t>
            </w:r>
            <w:r>
              <w:rPr>
                <w:rFonts w:hint="eastAsia" w:ascii="宋体" w:hAnsi="宋体" w:cs="宋体"/>
                <w:kern w:val="0"/>
                <w:sz w:val="24"/>
                <w:highlight w:val="none"/>
              </w:rPr>
              <w:t>西安市含光北路110号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45" w:hRule="atLeast"/>
        </w:trPr>
        <w:tc>
          <w:tcPr>
            <w:tcW w:w="627" w:type="dxa"/>
            <w:vAlign w:val="center"/>
          </w:tcPr>
          <w:p>
            <w:pPr>
              <w:spacing w:line="500" w:lineRule="exact"/>
              <w:jc w:val="center"/>
              <w:rPr>
                <w:rFonts w:ascii="宋体" w:hAnsi="宋体" w:cs="宋体"/>
                <w:sz w:val="24"/>
                <w:highlight w:val="none"/>
              </w:rPr>
            </w:pPr>
            <w:r>
              <w:rPr>
                <w:rFonts w:hint="eastAsia" w:ascii="宋体" w:hAnsi="宋体" w:cs="宋体"/>
                <w:sz w:val="24"/>
                <w:highlight w:val="none"/>
              </w:rPr>
              <w:t>2</w:t>
            </w:r>
          </w:p>
        </w:tc>
        <w:tc>
          <w:tcPr>
            <w:tcW w:w="8445" w:type="dxa"/>
            <w:vAlign w:val="center"/>
          </w:tcPr>
          <w:p>
            <w:pPr>
              <w:spacing w:line="500" w:lineRule="exact"/>
              <w:rPr>
                <w:rFonts w:ascii="宋体" w:hAnsi="宋体" w:cs="宋体"/>
                <w:sz w:val="24"/>
                <w:highlight w:val="none"/>
                <w:u w:val="single"/>
              </w:rPr>
            </w:pPr>
            <w:r>
              <w:rPr>
                <w:rFonts w:hint="eastAsia" w:ascii="宋体" w:hAnsi="宋体" w:cs="宋体"/>
                <w:b/>
                <w:bCs/>
                <w:sz w:val="24"/>
                <w:highlight w:val="none"/>
              </w:rPr>
              <w:t>供应商（乙方）：</w:t>
            </w:r>
            <w:r>
              <w:rPr>
                <w:rFonts w:hint="eastAsia" w:ascii="宋体" w:hAnsi="宋体" w:cs="宋体"/>
                <w:sz w:val="24"/>
                <w:highlight w:val="none"/>
              </w:rPr>
              <w:t>成交人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2" w:hRule="atLeast"/>
        </w:trPr>
        <w:tc>
          <w:tcPr>
            <w:tcW w:w="627" w:type="dxa"/>
            <w:vAlign w:val="center"/>
          </w:tcPr>
          <w:p>
            <w:pPr>
              <w:spacing w:line="500" w:lineRule="exact"/>
              <w:jc w:val="center"/>
              <w:rPr>
                <w:rFonts w:ascii="宋体" w:hAnsi="宋体" w:cs="宋体"/>
                <w:sz w:val="24"/>
                <w:highlight w:val="none"/>
              </w:rPr>
            </w:pPr>
            <w:r>
              <w:rPr>
                <w:rFonts w:hint="eastAsia" w:ascii="宋体" w:hAnsi="宋体" w:cs="宋体"/>
                <w:sz w:val="24"/>
                <w:highlight w:val="none"/>
              </w:rPr>
              <w:t>3</w:t>
            </w:r>
          </w:p>
        </w:tc>
        <w:tc>
          <w:tcPr>
            <w:tcW w:w="84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default" w:eastAsia="宋体"/>
                <w:highlight w:val="none"/>
                <w:lang w:val="en-US" w:eastAsia="zh-CN"/>
              </w:rPr>
            </w:pPr>
            <w:r>
              <w:rPr>
                <w:rFonts w:hint="eastAsia" w:ascii="宋体" w:hAnsi="宋体" w:cs="宋体"/>
                <w:b/>
                <w:bCs/>
                <w:sz w:val="24"/>
                <w:highlight w:val="none"/>
              </w:rPr>
              <w:t>服务期：</w:t>
            </w:r>
            <w:r>
              <w:rPr>
                <w:rFonts w:hint="eastAsia"/>
                <w:color w:val="333333"/>
                <w:sz w:val="24"/>
                <w:szCs w:val="24"/>
                <w:highlight w:val="none"/>
                <w:shd w:val="clear" w:color="auto" w:fill="FFFFFF"/>
                <w:lang w:val="en-US" w:eastAsia="zh-CN"/>
              </w:rPr>
              <w:t>合同签订后一年，从合同签订之日起2个月内（包含不利天气等因素）完成全部外业检测及报告编制工作并提交甲方，如有特殊情况，经甲方允许，时间可协商顺延。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627" w:type="dxa"/>
            <w:vAlign w:val="center"/>
          </w:tcPr>
          <w:p>
            <w:pPr>
              <w:spacing w:line="500" w:lineRule="exact"/>
              <w:jc w:val="center"/>
              <w:rPr>
                <w:rFonts w:ascii="宋体" w:hAnsi="宋体" w:cs="宋体"/>
                <w:sz w:val="24"/>
                <w:highlight w:val="none"/>
              </w:rPr>
            </w:pPr>
            <w:r>
              <w:rPr>
                <w:rFonts w:hint="eastAsia" w:ascii="宋体" w:hAnsi="宋体" w:cs="宋体"/>
                <w:sz w:val="24"/>
                <w:highlight w:val="none"/>
              </w:rPr>
              <w:t>4</w:t>
            </w:r>
          </w:p>
        </w:tc>
        <w:tc>
          <w:tcPr>
            <w:tcW w:w="8445" w:type="dxa"/>
            <w:vAlign w:val="center"/>
          </w:tcPr>
          <w:p>
            <w:pPr>
              <w:pStyle w:val="20"/>
              <w:shd w:val="clear" w:color="auto" w:fill="FFFFFF"/>
              <w:spacing w:beforeAutospacing="0" w:afterAutospacing="0" w:line="360" w:lineRule="auto"/>
              <w:rPr>
                <w:rFonts w:hint="eastAsia"/>
                <w:highlight w:val="none"/>
              </w:rPr>
            </w:pPr>
            <w:r>
              <w:rPr>
                <w:rFonts w:hint="eastAsia"/>
                <w:b/>
                <w:bCs/>
                <w:highlight w:val="none"/>
              </w:rPr>
              <w:t>1、结算单位：</w:t>
            </w:r>
            <w:r>
              <w:rPr>
                <w:rFonts w:hint="eastAsia"/>
                <w:highlight w:val="none"/>
              </w:rPr>
              <w:t>采购人结算，在付款前必须开具增值税发票给采购人。</w:t>
            </w:r>
          </w:p>
          <w:p>
            <w:pPr>
              <w:pStyle w:val="20"/>
              <w:shd w:val="clear" w:color="auto" w:fill="FFFFFF"/>
              <w:spacing w:beforeAutospacing="0" w:afterAutospacing="0" w:line="360" w:lineRule="auto"/>
              <w:rPr>
                <w:rFonts w:hint="eastAsia"/>
                <w:b/>
                <w:bCs/>
                <w:highlight w:val="none"/>
              </w:rPr>
            </w:pPr>
            <w:r>
              <w:rPr>
                <w:rFonts w:hint="eastAsia"/>
                <w:b/>
                <w:bCs/>
                <w:highlight w:val="none"/>
              </w:rPr>
              <w:t>2、付款方式：</w:t>
            </w:r>
          </w:p>
          <w:p>
            <w:pPr>
              <w:pStyle w:val="20"/>
              <w:shd w:val="clear" w:color="auto" w:fill="FFFFFF"/>
              <w:spacing w:beforeAutospacing="0" w:afterAutospacing="0" w:line="360" w:lineRule="auto"/>
              <w:ind w:firstLine="420"/>
              <w:rPr>
                <w:rFonts w:hint="eastAsia"/>
                <w:highlight w:val="none"/>
              </w:rPr>
            </w:pPr>
            <w:r>
              <w:rPr>
                <w:rFonts w:hint="eastAsia"/>
                <w:highlight w:val="none"/>
                <w:lang w:eastAsia="zh-CN"/>
              </w:rPr>
              <w:t>（</w:t>
            </w:r>
            <w:r>
              <w:rPr>
                <w:rFonts w:hint="eastAsia"/>
                <w:highlight w:val="none"/>
                <w:lang w:val="en-US" w:eastAsia="zh-CN"/>
              </w:rPr>
              <w:t>1</w:t>
            </w:r>
            <w:r>
              <w:rPr>
                <w:rFonts w:hint="eastAsia"/>
                <w:highlight w:val="none"/>
                <w:lang w:eastAsia="zh-CN"/>
              </w:rPr>
              <w:t>）</w:t>
            </w:r>
            <w:r>
              <w:rPr>
                <w:rFonts w:hint="eastAsia"/>
                <w:highlight w:val="none"/>
              </w:rPr>
              <w:t>合同签订前，乙方须向甲方缴纳合同总金额</w:t>
            </w:r>
            <w:r>
              <w:rPr>
                <w:rFonts w:hint="eastAsia"/>
                <w:highlight w:val="none"/>
                <w:lang w:val="en-US" w:eastAsia="zh-CN"/>
              </w:rPr>
              <w:t>5</w:t>
            </w:r>
            <w:r>
              <w:rPr>
                <w:rFonts w:hint="eastAsia"/>
                <w:highlight w:val="none"/>
              </w:rPr>
              <w:t>%的履约保证金，履约保证金待供应商履行完毕全部合同义务，并经</w:t>
            </w:r>
            <w:r>
              <w:rPr>
                <w:rFonts w:hint="eastAsia"/>
                <w:highlight w:val="none"/>
                <w:lang w:val="en-US" w:eastAsia="zh-CN"/>
              </w:rPr>
              <w:t>甲方</w:t>
            </w:r>
            <w:r>
              <w:rPr>
                <w:rFonts w:hint="eastAsia"/>
                <w:highlight w:val="none"/>
              </w:rPr>
              <w:t>验收合格，无任何纠纷后无息退还。</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2）合同签订后，甲方支付乙方合同总金额的60%；乙方完成外业检测及报告编制工作，甲方向乙方支付合同总金额的30%，乙方提交项目全部成果报告并经甲方确认后，甲方按照合同单价和乙方实际完成工作量计算并支付剩余合同金额。</w:t>
            </w:r>
          </w:p>
          <w:p>
            <w:pPr>
              <w:pStyle w:val="20"/>
              <w:shd w:val="clear" w:color="auto" w:fill="FFFFFF"/>
              <w:spacing w:beforeAutospacing="0" w:afterAutospacing="0" w:line="360" w:lineRule="auto"/>
              <w:ind w:firstLine="420"/>
              <w:rPr>
                <w:rFonts w:hint="eastAsia" w:ascii="宋体" w:hAnsi="宋体" w:eastAsia="宋体" w:cs="宋体"/>
                <w:highlight w:val="none"/>
              </w:rPr>
            </w:pPr>
            <w:r>
              <w:rPr>
                <w:rFonts w:hint="eastAsia" w:ascii="宋体" w:hAnsi="宋体" w:eastAsia="宋体" w:cs="宋体"/>
                <w:highlight w:val="none"/>
                <w:lang w:eastAsia="zh-CN"/>
              </w:rPr>
              <w:t>（</w:t>
            </w:r>
            <w:r>
              <w:rPr>
                <w:rFonts w:hint="eastAsia" w:ascii="宋体" w:hAnsi="宋体" w:eastAsia="宋体" w:cs="宋体"/>
                <w:highlight w:val="none"/>
                <w:lang w:val="en-US" w:eastAsia="zh-CN"/>
              </w:rPr>
              <w:t>3</w:t>
            </w:r>
            <w:r>
              <w:rPr>
                <w:rFonts w:hint="eastAsia" w:ascii="宋体" w:hAnsi="宋体" w:eastAsia="宋体" w:cs="宋体"/>
                <w:highlight w:val="none"/>
                <w:lang w:eastAsia="zh-CN"/>
              </w:rPr>
              <w:t>）</w:t>
            </w:r>
            <w:r>
              <w:rPr>
                <w:rFonts w:hint="eastAsia" w:ascii="宋体" w:hAnsi="宋体" w:eastAsia="宋体" w:cs="宋体"/>
                <w:highlight w:val="none"/>
              </w:rPr>
              <w:t>甲方每次付款前，乙方均应开具等额的税务发票，否则甲方有权拒绝付款，且不应承担迟延付款的责任。</w:t>
            </w:r>
          </w:p>
          <w:p>
            <w:pPr>
              <w:pStyle w:val="20"/>
              <w:shd w:val="clear" w:color="auto" w:fill="FFFFFF"/>
              <w:spacing w:beforeAutospacing="0" w:afterAutospacing="0" w:line="360" w:lineRule="auto"/>
              <w:ind w:firstLine="420"/>
              <w:rPr>
                <w:rFonts w:hint="eastAsia" w:ascii="宋体" w:hAnsi="宋体" w:eastAsia="宋体" w:cs="宋体"/>
                <w:highlight w:val="none"/>
              </w:rPr>
            </w:pPr>
            <w:r>
              <w:rPr>
                <w:rFonts w:hint="eastAsia" w:ascii="宋体" w:hAnsi="宋体" w:eastAsia="宋体" w:cs="宋体"/>
                <w:highlight w:val="none"/>
              </w:rPr>
              <w:t>（4）乙方超出任务书范围的工程量以及未通过甲方审查的工程量，甲方有权不予结算和支付相应款项。</w:t>
            </w:r>
          </w:p>
          <w:p>
            <w:pPr>
              <w:pStyle w:val="20"/>
              <w:shd w:val="clear" w:color="auto" w:fill="FFFFFF"/>
              <w:spacing w:beforeAutospacing="0" w:afterAutospacing="0" w:line="360" w:lineRule="auto"/>
              <w:ind w:firstLine="420"/>
              <w:rPr>
                <w:rFonts w:hint="eastAsia" w:ascii="宋体" w:hAnsi="宋体" w:eastAsia="宋体" w:cs="宋体"/>
                <w:highlight w:val="none"/>
              </w:rPr>
            </w:pPr>
            <w:r>
              <w:rPr>
                <w:rFonts w:hint="eastAsia" w:ascii="宋体" w:hAnsi="宋体" w:eastAsia="宋体" w:cs="宋体"/>
                <w:highlight w:val="none"/>
              </w:rPr>
              <w:t>（5）甲方有权在项目实施过程中，要求乙方对不满足质量要求的工作进行返工，工期不予顺延。</w:t>
            </w:r>
          </w:p>
          <w:p>
            <w:pPr>
              <w:pStyle w:val="20"/>
              <w:shd w:val="clear" w:color="auto" w:fill="FFFFFF"/>
              <w:spacing w:beforeAutospacing="0" w:afterAutospacing="0" w:line="360" w:lineRule="auto"/>
              <w:ind w:firstLine="420"/>
              <w:rPr>
                <w:rFonts w:hint="eastAsia" w:ascii="宋体" w:hAnsi="宋体" w:eastAsia="宋体" w:cs="宋体"/>
                <w:highlight w:val="none"/>
              </w:rPr>
            </w:pPr>
            <w:r>
              <w:rPr>
                <w:rFonts w:hint="eastAsia" w:ascii="宋体" w:hAnsi="宋体" w:eastAsia="宋体" w:cs="宋体"/>
                <w:highlight w:val="none"/>
              </w:rPr>
              <w:t>（6）检测费金额大于合同金额，应视为乙方可预见风险，按合同总价款支付乙方检测费；检测费金额小于合同金额，</w:t>
            </w:r>
            <w:r>
              <w:rPr>
                <w:rFonts w:hint="eastAsia" w:cs="宋体"/>
                <w:highlight w:val="none"/>
                <w:lang w:val="en-US" w:eastAsia="zh-CN"/>
              </w:rPr>
              <w:t>按单价测算据实结算</w:t>
            </w:r>
            <w:r>
              <w:rPr>
                <w:rFonts w:hint="eastAsia" w:ascii="宋体" w:hAnsi="宋体" w:eastAsia="宋体" w:cs="宋体"/>
                <w:highlight w:val="none"/>
              </w:rPr>
              <w:t>。</w:t>
            </w:r>
          </w:p>
          <w:p>
            <w:pPr>
              <w:pStyle w:val="20"/>
              <w:shd w:val="clear" w:color="auto" w:fill="FFFFFF"/>
              <w:spacing w:beforeAutospacing="0" w:afterAutospacing="0" w:line="360" w:lineRule="auto"/>
              <w:ind w:firstLine="420"/>
              <w:rPr>
                <w:rFonts w:hint="eastAsia" w:cs="宋体"/>
                <w:highlight w:val="none"/>
                <w:lang w:val="en-US" w:eastAsia="zh-CN"/>
              </w:rPr>
            </w:pPr>
            <w:r>
              <w:rPr>
                <w:rFonts w:hint="eastAsia" w:cs="宋体"/>
                <w:highlight w:val="none"/>
                <w:lang w:eastAsia="zh-CN"/>
              </w:rPr>
              <w:t>（</w:t>
            </w:r>
            <w:r>
              <w:rPr>
                <w:rFonts w:hint="eastAsia" w:cs="宋体"/>
                <w:highlight w:val="none"/>
                <w:lang w:val="en-US" w:eastAsia="zh-CN"/>
              </w:rPr>
              <w:t>7</w:t>
            </w:r>
            <w:r>
              <w:rPr>
                <w:rFonts w:hint="eastAsia" w:cs="宋体"/>
                <w:highlight w:val="none"/>
                <w:lang w:eastAsia="zh-CN"/>
              </w:rPr>
              <w:t>）</w:t>
            </w:r>
            <w:r>
              <w:rPr>
                <w:rFonts w:hint="eastAsia" w:cs="宋体"/>
                <w:highlight w:val="none"/>
                <w:lang w:val="en-US" w:eastAsia="zh-CN"/>
              </w:rPr>
              <w:t>未在规定期限内完成工作任务的，每顺延一天罚金合同金额0.5%。</w:t>
            </w:r>
          </w:p>
          <w:p>
            <w:pPr>
              <w:pStyle w:val="20"/>
              <w:shd w:val="clear" w:color="auto" w:fill="FFFFFF"/>
              <w:spacing w:beforeAutospacing="0" w:afterAutospacing="0" w:line="360" w:lineRule="auto"/>
              <w:ind w:firstLine="420"/>
              <w:rPr>
                <w:rFonts w:hint="eastAsia" w:cs="宋体"/>
                <w:highlight w:val="none"/>
                <w:lang w:val="en-US" w:eastAsia="zh-CN"/>
              </w:rPr>
            </w:pPr>
            <w:r>
              <w:rPr>
                <w:rFonts w:hint="eastAsia" w:cs="宋体"/>
                <w:highlight w:val="none"/>
                <w:lang w:val="en-US" w:eastAsia="zh-CN"/>
              </w:rPr>
              <w:t>（8）延期超过30天的，甲方有权解除合同，并要求乙方赔偿全部损失。</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627" w:type="dxa"/>
            <w:vAlign w:val="center"/>
          </w:tcPr>
          <w:p>
            <w:pPr>
              <w:spacing w:line="500" w:lineRule="exact"/>
              <w:jc w:val="center"/>
              <w:rPr>
                <w:rFonts w:ascii="宋体" w:hAnsi="宋体" w:cs="宋体"/>
                <w:sz w:val="24"/>
                <w:highlight w:val="none"/>
              </w:rPr>
            </w:pPr>
            <w:r>
              <w:rPr>
                <w:rFonts w:hint="eastAsia" w:ascii="宋体" w:hAnsi="宋体" w:cs="宋体"/>
                <w:sz w:val="24"/>
                <w:highlight w:val="none"/>
              </w:rPr>
              <w:t>5</w:t>
            </w:r>
          </w:p>
        </w:tc>
        <w:tc>
          <w:tcPr>
            <w:tcW w:w="8445" w:type="dxa"/>
            <w:vAlign w:val="center"/>
          </w:tcPr>
          <w:p>
            <w:pPr>
              <w:spacing w:line="500" w:lineRule="exact"/>
              <w:rPr>
                <w:rFonts w:ascii="宋体" w:hAnsi="宋体" w:cs="宋体"/>
                <w:b/>
                <w:bCs/>
                <w:sz w:val="24"/>
                <w:highlight w:val="none"/>
              </w:rPr>
            </w:pPr>
            <w:r>
              <w:rPr>
                <w:rFonts w:hint="eastAsia" w:ascii="宋体" w:hAnsi="宋体" w:cs="宋体"/>
                <w:b/>
                <w:bCs/>
                <w:sz w:val="24"/>
                <w:highlight w:val="none"/>
              </w:rPr>
              <w:t>质量保证：</w:t>
            </w:r>
          </w:p>
          <w:p>
            <w:pPr>
              <w:spacing w:line="500" w:lineRule="exact"/>
              <w:rPr>
                <w:rFonts w:ascii="宋体" w:hAnsi="宋体" w:cs="宋体"/>
                <w:sz w:val="24"/>
                <w:highlight w:val="none"/>
              </w:rPr>
            </w:pPr>
            <w:r>
              <w:rPr>
                <w:rFonts w:hint="eastAsia" w:ascii="宋体" w:hAnsi="宋体" w:cs="宋体"/>
                <w:sz w:val="24"/>
                <w:highlight w:val="none"/>
              </w:rPr>
              <w:t>（1）保证技术指标先进、质量性能可靠，全面满足采购要求。</w:t>
            </w:r>
          </w:p>
          <w:p>
            <w:pPr>
              <w:spacing w:line="500" w:lineRule="exact"/>
              <w:rPr>
                <w:rFonts w:ascii="宋体" w:hAnsi="宋体" w:cs="宋体"/>
                <w:sz w:val="24"/>
                <w:highlight w:val="none"/>
              </w:rPr>
            </w:pPr>
            <w:r>
              <w:rPr>
                <w:rFonts w:hint="eastAsia" w:ascii="宋体" w:hAnsi="宋体" w:cs="宋体"/>
                <w:sz w:val="24"/>
                <w:highlight w:val="none"/>
              </w:rPr>
              <w:t>（2）符合国家有关规范要求。</w:t>
            </w:r>
          </w:p>
          <w:p>
            <w:pPr>
              <w:spacing w:line="500" w:lineRule="exact"/>
              <w:rPr>
                <w:rFonts w:ascii="宋体" w:hAnsi="宋体" w:cs="宋体"/>
                <w:sz w:val="24"/>
                <w:highlight w:val="none"/>
              </w:rPr>
            </w:pPr>
            <w:r>
              <w:rPr>
                <w:rFonts w:hint="eastAsia" w:ascii="宋体" w:hAnsi="宋体" w:cs="宋体"/>
                <w:sz w:val="24"/>
                <w:highlight w:val="none"/>
              </w:rPr>
              <w:t>（3）供应商必须满足所有的参数要求，由此产生的风险由供应商自行承担。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8" w:hRule="atLeast"/>
        </w:trPr>
        <w:tc>
          <w:tcPr>
            <w:tcW w:w="627" w:type="dxa"/>
            <w:vAlign w:val="center"/>
          </w:tcPr>
          <w:p>
            <w:pPr>
              <w:spacing w:line="500" w:lineRule="exact"/>
              <w:jc w:val="center"/>
              <w:rPr>
                <w:rFonts w:ascii="宋体" w:hAnsi="宋体" w:cs="宋体"/>
                <w:sz w:val="24"/>
                <w:highlight w:val="none"/>
              </w:rPr>
            </w:pPr>
            <w:r>
              <w:rPr>
                <w:rFonts w:hint="eastAsia" w:ascii="宋体" w:hAnsi="宋体" w:cs="宋体"/>
                <w:sz w:val="24"/>
                <w:highlight w:val="none"/>
              </w:rPr>
              <w:t>6</w:t>
            </w:r>
          </w:p>
        </w:tc>
        <w:tc>
          <w:tcPr>
            <w:tcW w:w="8445" w:type="dxa"/>
            <w:vAlign w:val="center"/>
          </w:tcPr>
          <w:p>
            <w:pPr>
              <w:spacing w:line="500" w:lineRule="exact"/>
              <w:ind w:left="361" w:hanging="361" w:hangingChars="150"/>
              <w:rPr>
                <w:rFonts w:ascii="宋体" w:hAnsi="宋体" w:cs="宋体"/>
                <w:b/>
                <w:bCs/>
                <w:sz w:val="24"/>
                <w:highlight w:val="none"/>
              </w:rPr>
            </w:pPr>
            <w:r>
              <w:rPr>
                <w:rFonts w:hint="eastAsia" w:ascii="宋体" w:hAnsi="宋体" w:cs="宋体"/>
                <w:b/>
                <w:bCs/>
                <w:sz w:val="24"/>
                <w:highlight w:val="none"/>
              </w:rPr>
              <w:t>验收方式及验收依据：</w:t>
            </w:r>
          </w:p>
          <w:p>
            <w:pPr>
              <w:spacing w:line="500" w:lineRule="exact"/>
              <w:ind w:left="17" w:hanging="16" w:hangingChars="7"/>
              <w:rPr>
                <w:rFonts w:ascii="宋体" w:hAnsi="宋体" w:cs="宋体"/>
                <w:sz w:val="24"/>
                <w:highlight w:val="none"/>
              </w:rPr>
            </w:pPr>
            <w:r>
              <w:rPr>
                <w:rFonts w:hint="eastAsia" w:ascii="宋体" w:hAnsi="宋体" w:cs="宋体"/>
                <w:sz w:val="24"/>
                <w:highlight w:val="none"/>
              </w:rPr>
              <w:t>（1）由供应商进行自检合格后，准备验收文件，并书面通知采购人。</w:t>
            </w:r>
          </w:p>
          <w:p>
            <w:pPr>
              <w:spacing w:line="500" w:lineRule="exact"/>
              <w:ind w:left="17" w:hanging="16" w:hangingChars="7"/>
              <w:rPr>
                <w:rFonts w:ascii="宋体" w:hAnsi="宋体" w:cs="宋体"/>
                <w:sz w:val="24"/>
                <w:highlight w:val="none"/>
              </w:rPr>
            </w:pPr>
            <w:r>
              <w:rPr>
                <w:rFonts w:hint="eastAsia" w:ascii="宋体" w:hAnsi="宋体" w:cs="宋体"/>
                <w:sz w:val="24"/>
                <w:highlight w:val="none"/>
              </w:rPr>
              <w:t>（2）采购人确认供应商能够达到</w:t>
            </w:r>
            <w:r>
              <w:rPr>
                <w:rFonts w:hint="eastAsia" w:ascii="宋体" w:hAnsi="宋体" w:cs="宋体"/>
                <w:sz w:val="24"/>
                <w:highlight w:val="none"/>
                <w:lang w:val="en-US" w:eastAsia="zh-CN"/>
              </w:rPr>
              <w:t>合同履约</w:t>
            </w:r>
            <w:r>
              <w:rPr>
                <w:rFonts w:hint="eastAsia" w:ascii="宋体" w:hAnsi="宋体" w:cs="宋体"/>
                <w:sz w:val="24"/>
                <w:highlight w:val="none"/>
              </w:rPr>
              <w:t>要求后，组织供应商（必要时请有关专家）进行项目验收，验收合格后，填写项目验收单作为对项目的最终认可。</w:t>
            </w:r>
          </w:p>
          <w:p>
            <w:pPr>
              <w:spacing w:line="500" w:lineRule="exact"/>
              <w:ind w:left="17" w:hanging="16" w:hangingChars="7"/>
              <w:rPr>
                <w:rFonts w:hint="eastAsia" w:ascii="宋体" w:hAnsi="宋体" w:cs="宋体"/>
                <w:sz w:val="24"/>
                <w:highlight w:val="none"/>
              </w:rPr>
            </w:pPr>
            <w:r>
              <w:rPr>
                <w:rFonts w:hint="eastAsia" w:ascii="宋体" w:hAnsi="宋体" w:cs="宋体"/>
                <w:sz w:val="24"/>
                <w:highlight w:val="none"/>
              </w:rPr>
              <w:t>（3）供应商向采购人提交项目实施过程中的所有资料,以便采购人日后管理和维护该项目。</w:t>
            </w:r>
          </w:p>
          <w:p>
            <w:pPr>
              <w:pStyle w:val="2"/>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（4）成交单位提交的评价报告通过省局组织的技术审查</w:t>
            </w:r>
            <w:r>
              <w:rPr>
                <w:rFonts w:hint="eastAsia" w:ascii="宋体" w:hAnsi="宋体" w:cs="宋体"/>
                <w:color w:val="auto"/>
                <w:kern w:val="2"/>
                <w:sz w:val="24"/>
                <w:szCs w:val="24"/>
                <w:highlight w:val="none"/>
                <w:lang w:val="en-US" w:eastAsia="zh-CN" w:bidi="ar-SA"/>
              </w:rPr>
              <w:t>。</w:t>
            </w:r>
          </w:p>
          <w:p>
            <w:pPr>
              <w:spacing w:line="500" w:lineRule="exact"/>
              <w:ind w:left="17" w:hanging="16" w:hangingChars="7"/>
              <w:rPr>
                <w:rFonts w:ascii="宋体" w:hAnsi="宋体" w:cs="宋体"/>
                <w:sz w:val="24"/>
                <w:highlight w:val="none"/>
              </w:rPr>
            </w:pPr>
            <w:r>
              <w:rPr>
                <w:rFonts w:hint="eastAsia" w:ascii="宋体" w:hAnsi="宋体" w:cs="宋体"/>
                <w:sz w:val="24"/>
                <w:highlight w:val="none"/>
              </w:rPr>
              <w:t>（</w:t>
            </w:r>
            <w:r>
              <w:rPr>
                <w:rFonts w:hint="eastAsia" w:ascii="宋体" w:hAnsi="宋体" w:cs="宋体"/>
                <w:sz w:val="24"/>
                <w:highlight w:val="none"/>
                <w:lang w:val="en-US" w:eastAsia="zh-CN"/>
              </w:rPr>
              <w:t>5</w:t>
            </w:r>
            <w:r>
              <w:rPr>
                <w:rFonts w:hint="eastAsia" w:ascii="宋体" w:hAnsi="宋体" w:cs="宋体"/>
                <w:sz w:val="24"/>
                <w:highlight w:val="none"/>
              </w:rPr>
              <w:t>）验收依据</w:t>
            </w:r>
          </w:p>
          <w:p>
            <w:pPr>
              <w:spacing w:line="500" w:lineRule="exact"/>
              <w:ind w:left="17" w:hanging="16" w:hangingChars="7"/>
              <w:rPr>
                <w:rFonts w:ascii="宋体" w:hAnsi="宋体" w:cs="宋体"/>
                <w:sz w:val="24"/>
                <w:highlight w:val="none"/>
              </w:rPr>
            </w:pPr>
            <w:r>
              <w:rPr>
                <w:rFonts w:hint="eastAsia" w:ascii="宋体" w:hAnsi="宋体" w:cs="宋体"/>
                <w:sz w:val="24"/>
                <w:highlight w:val="none"/>
              </w:rPr>
              <w:t>①竞争性磋商文件、磋商响应文件、澄清表（函）；</w:t>
            </w:r>
          </w:p>
          <w:p>
            <w:pPr>
              <w:spacing w:line="500" w:lineRule="exact"/>
              <w:ind w:left="17" w:hanging="16" w:hangingChars="7"/>
              <w:rPr>
                <w:rFonts w:ascii="宋体" w:hAnsi="宋体" w:cs="宋体"/>
                <w:sz w:val="24"/>
                <w:highlight w:val="none"/>
              </w:rPr>
            </w:pPr>
            <w:r>
              <w:rPr>
                <w:rFonts w:hint="eastAsia" w:ascii="宋体" w:hAnsi="宋体" w:cs="宋体"/>
                <w:sz w:val="24"/>
                <w:highlight w:val="none"/>
              </w:rPr>
              <w:t>②本合同及附件文本；</w:t>
            </w:r>
          </w:p>
          <w:p>
            <w:pPr>
              <w:spacing w:line="500" w:lineRule="exact"/>
              <w:ind w:left="17" w:hanging="16" w:hangingChars="7"/>
              <w:rPr>
                <w:rFonts w:ascii="宋体" w:hAnsi="宋体" w:cs="宋体"/>
                <w:sz w:val="24"/>
                <w:highlight w:val="none"/>
              </w:rPr>
            </w:pPr>
            <w:r>
              <w:rPr>
                <w:rFonts w:hint="eastAsia" w:ascii="宋体" w:hAnsi="宋体" w:cs="宋体"/>
                <w:sz w:val="24"/>
                <w:highlight w:val="none"/>
              </w:rPr>
              <w:t>③国家相应的标准、规范。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8" w:hRule="atLeast"/>
        </w:trPr>
        <w:tc>
          <w:tcPr>
            <w:tcW w:w="627" w:type="dxa"/>
            <w:vAlign w:val="center"/>
          </w:tcPr>
          <w:p>
            <w:pPr>
              <w:spacing w:line="500" w:lineRule="exact"/>
              <w:jc w:val="center"/>
              <w:rPr>
                <w:rFonts w:ascii="宋体" w:hAnsi="宋体" w:cs="宋体"/>
                <w:sz w:val="24"/>
                <w:highlight w:val="none"/>
              </w:rPr>
            </w:pPr>
            <w:r>
              <w:rPr>
                <w:rFonts w:hint="eastAsia" w:ascii="宋体" w:hAnsi="宋体" w:cs="宋体"/>
                <w:sz w:val="24"/>
                <w:highlight w:val="none"/>
              </w:rPr>
              <w:t>7</w:t>
            </w:r>
          </w:p>
        </w:tc>
        <w:tc>
          <w:tcPr>
            <w:tcW w:w="8445" w:type="dxa"/>
            <w:vAlign w:val="center"/>
          </w:tcPr>
          <w:p>
            <w:pPr>
              <w:spacing w:line="500" w:lineRule="exact"/>
              <w:rPr>
                <w:rFonts w:ascii="宋体" w:hAnsi="宋体" w:cs="宋体"/>
                <w:b/>
                <w:bCs/>
                <w:sz w:val="24"/>
                <w:highlight w:val="none"/>
              </w:rPr>
            </w:pPr>
            <w:r>
              <w:rPr>
                <w:rFonts w:hint="eastAsia" w:ascii="宋体" w:hAnsi="宋体" w:cs="宋体"/>
                <w:b/>
                <w:bCs/>
                <w:sz w:val="24"/>
                <w:highlight w:val="none"/>
              </w:rPr>
              <w:t>保密：</w:t>
            </w:r>
          </w:p>
          <w:p>
            <w:pPr>
              <w:spacing w:line="500" w:lineRule="exact"/>
              <w:ind w:firstLine="420" w:firstLineChars="175"/>
              <w:rPr>
                <w:rFonts w:ascii="宋体" w:hAnsi="宋体" w:cs="宋体"/>
                <w:sz w:val="24"/>
                <w:highlight w:val="none"/>
              </w:rPr>
            </w:pPr>
            <w:r>
              <w:rPr>
                <w:rFonts w:hint="eastAsia" w:ascii="宋体" w:hAnsi="宋体" w:cs="宋体"/>
                <w:sz w:val="24"/>
                <w:highlight w:val="none"/>
              </w:rPr>
              <w:t>根据中华人民共和国民法典的有关规定，本项目的工作成果甲方拥有，未经甲方同意乙方不得给与本项目无关的第三方使用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8" w:hRule="atLeast"/>
        </w:trPr>
        <w:tc>
          <w:tcPr>
            <w:tcW w:w="627" w:type="dxa"/>
            <w:vAlign w:val="center"/>
          </w:tcPr>
          <w:p>
            <w:pPr>
              <w:spacing w:line="500" w:lineRule="exact"/>
              <w:jc w:val="center"/>
              <w:rPr>
                <w:rFonts w:ascii="宋体" w:hAnsi="宋体" w:cs="宋体"/>
                <w:sz w:val="24"/>
                <w:highlight w:val="none"/>
              </w:rPr>
            </w:pPr>
            <w:r>
              <w:rPr>
                <w:rFonts w:hint="eastAsia" w:ascii="宋体" w:hAnsi="宋体" w:cs="宋体"/>
                <w:sz w:val="24"/>
                <w:highlight w:val="none"/>
              </w:rPr>
              <w:t>8</w:t>
            </w:r>
          </w:p>
        </w:tc>
        <w:tc>
          <w:tcPr>
            <w:tcW w:w="8445" w:type="dxa"/>
            <w:vAlign w:val="center"/>
          </w:tcPr>
          <w:p>
            <w:pPr>
              <w:spacing w:line="500" w:lineRule="exact"/>
              <w:ind w:left="361" w:hanging="361" w:hangingChars="150"/>
              <w:rPr>
                <w:rFonts w:ascii="宋体" w:hAnsi="宋体" w:cs="宋体"/>
                <w:b/>
                <w:bCs/>
                <w:sz w:val="24"/>
                <w:highlight w:val="none"/>
              </w:rPr>
            </w:pPr>
            <w:r>
              <w:rPr>
                <w:rFonts w:hint="eastAsia" w:ascii="宋体" w:hAnsi="宋体" w:cs="宋体"/>
                <w:b/>
                <w:bCs/>
                <w:sz w:val="24"/>
                <w:highlight w:val="none"/>
              </w:rPr>
              <w:t>违约责任：</w:t>
            </w:r>
          </w:p>
          <w:p>
            <w:pPr>
              <w:spacing w:line="500" w:lineRule="exact"/>
              <w:ind w:firstLine="420" w:firstLineChars="175"/>
              <w:rPr>
                <w:rFonts w:hint="eastAsia" w:ascii="宋体" w:hAnsi="宋体" w:cs="宋体"/>
                <w:sz w:val="24"/>
                <w:szCs w:val="24"/>
                <w:highlight w:val="none"/>
                <w:lang w:eastAsia="zh-CN"/>
              </w:rPr>
            </w:pPr>
            <w:r>
              <w:rPr>
                <w:rFonts w:hint="eastAsia" w:ascii="宋体" w:hAnsi="宋体" w:cs="宋体"/>
                <w:sz w:val="24"/>
                <w:szCs w:val="24"/>
                <w:highlight w:val="none"/>
              </w:rPr>
              <w:t>根据中华人民共和国民法典的有关规定，本项目的工作成果甲方拥有，未经甲方同意乙方不得给与本项目无关的第三方使用</w:t>
            </w:r>
            <w:r>
              <w:rPr>
                <w:rFonts w:hint="eastAsia" w:ascii="宋体" w:hAnsi="宋体" w:cs="宋体"/>
                <w:sz w:val="24"/>
                <w:szCs w:val="24"/>
                <w:highlight w:val="none"/>
                <w:lang w:eastAsia="zh-CN"/>
              </w:rPr>
              <w:t>。</w:t>
            </w:r>
          </w:p>
          <w:p>
            <w:pPr>
              <w:spacing w:line="500" w:lineRule="exact"/>
              <w:ind w:firstLine="420" w:firstLineChars="175"/>
              <w:rPr>
                <w:rFonts w:ascii="宋体" w:hAnsi="宋体" w:cs="宋体"/>
                <w:sz w:val="24"/>
                <w:highlight w:val="none"/>
              </w:rPr>
            </w:pPr>
            <w:r>
              <w:rPr>
                <w:rFonts w:hint="eastAsia" w:ascii="宋体" w:hAnsi="宋体" w:cs="宋体"/>
                <w:sz w:val="24"/>
                <w:szCs w:val="24"/>
                <w:highlight w:val="none"/>
                <w:lang w:val="zh-CN"/>
              </w:rPr>
              <w:t>因财政年度拨款等政策影响，甲方向乙方支付全部合同价款不视为双方合同履约结束，乙方仍应按照合同约定，在合同履约期内完成全部工作内容，否则应视为乙方存在严重失信行为，甲方将上报省财政厅，将乙方列入信用“黑名单”，并</w:t>
            </w:r>
            <w:r>
              <w:rPr>
                <w:rFonts w:hint="eastAsia" w:ascii="宋体" w:hAnsi="宋体" w:cs="宋体"/>
                <w:sz w:val="24"/>
                <w:highlight w:val="none"/>
                <w:lang w:val="zh-CN"/>
              </w:rPr>
              <w:t>在“中国政府采购网”、“信用中国”等网站公示；同时甲方保留要求乙方退还合同价款、赔偿损失的权利。双方违约与赔偿按磋商文件第四章第一节第7款合同违约与赔偿规定执行。</w:t>
            </w:r>
          </w:p>
        </w:tc>
      </w:tr>
    </w:tbl>
    <w:p>
      <w:pPr>
        <w:jc w:val="left"/>
        <w:rPr>
          <w:rFonts w:hint="eastAsia" w:ascii="宋体" w:hAnsi="宋体" w:eastAsia="宋体" w:cs="宋体"/>
          <w:b/>
          <w:bCs/>
          <w:sz w:val="30"/>
          <w:szCs w:val="30"/>
          <w:highlight w:val="none"/>
        </w:rPr>
      </w:pPr>
      <w:r>
        <w:rPr>
          <w:rFonts w:hint="eastAsia" w:ascii="宋体" w:hAnsi="宋体" w:cs="宋体"/>
          <w:bCs/>
          <w:sz w:val="24"/>
          <w:highlight w:val="none"/>
        </w:rPr>
        <w:br w:type="page"/>
      </w:r>
      <w:bookmarkStart w:id="66" w:name="_Toc12426"/>
      <w:r>
        <w:rPr>
          <w:rFonts w:hint="eastAsia" w:ascii="宋体" w:hAnsi="宋体" w:eastAsia="宋体" w:cs="宋体"/>
          <w:b/>
          <w:bCs/>
          <w:sz w:val="30"/>
          <w:szCs w:val="30"/>
          <w:highlight w:val="none"/>
        </w:rPr>
        <w:t>采购合同                        合同编号：</w:t>
      </w:r>
    </w:p>
    <w:p>
      <w:pPr>
        <w:pStyle w:val="2"/>
        <w:rPr>
          <w:rFonts w:hint="eastAsia" w:ascii="宋体" w:hAnsi="宋体" w:eastAsia="宋体" w:cs="宋体"/>
          <w:bCs/>
          <w:sz w:val="30"/>
          <w:szCs w:val="30"/>
          <w:highlight w:val="none"/>
        </w:rPr>
      </w:pPr>
    </w:p>
    <w:p>
      <w:pPr>
        <w:pStyle w:val="2"/>
        <w:rPr>
          <w:rFonts w:hint="eastAsia" w:ascii="宋体" w:hAnsi="宋体" w:eastAsia="宋体" w:cs="宋体"/>
          <w:bCs/>
          <w:sz w:val="30"/>
          <w:szCs w:val="30"/>
          <w:highlight w:val="none"/>
        </w:rPr>
      </w:pPr>
    </w:p>
    <w:p>
      <w:pPr>
        <w:pStyle w:val="2"/>
        <w:rPr>
          <w:rFonts w:hint="eastAsia" w:ascii="宋体" w:hAnsi="宋体" w:eastAsia="宋体" w:cs="宋体"/>
          <w:highlight w:val="none"/>
        </w:rPr>
      </w:pPr>
    </w:p>
    <w:p>
      <w:pPr>
        <w:jc w:val="center"/>
        <w:rPr>
          <w:rFonts w:hint="eastAsia" w:ascii="宋体" w:hAnsi="宋体" w:eastAsia="宋体" w:cs="宋体"/>
          <w:b/>
          <w:bCs/>
          <w:sz w:val="44"/>
          <w:szCs w:val="44"/>
          <w:highlight w:val="none"/>
        </w:rPr>
      </w:pPr>
      <w:r>
        <w:rPr>
          <w:rFonts w:hint="eastAsia" w:ascii="宋体" w:hAnsi="宋体" w:eastAsia="宋体" w:cs="宋体"/>
          <w:b/>
          <w:bCs/>
          <w:sz w:val="44"/>
          <w:szCs w:val="44"/>
          <w:highlight w:val="none"/>
          <w:u w:val="single"/>
        </w:rPr>
        <w:t xml:space="preserve">                           </w:t>
      </w:r>
      <w:r>
        <w:rPr>
          <w:rFonts w:hint="eastAsia" w:ascii="宋体" w:hAnsi="宋体" w:eastAsia="宋体" w:cs="宋体"/>
          <w:b/>
          <w:bCs/>
          <w:sz w:val="44"/>
          <w:szCs w:val="44"/>
          <w:highlight w:val="none"/>
        </w:rPr>
        <w:t>采购项目</w:t>
      </w:r>
    </w:p>
    <w:p>
      <w:pPr>
        <w:rPr>
          <w:rFonts w:hint="eastAsia" w:ascii="宋体" w:hAnsi="宋体" w:eastAsia="宋体" w:cs="宋体"/>
          <w:highlight w:val="none"/>
        </w:rPr>
      </w:pPr>
    </w:p>
    <w:p>
      <w:pPr>
        <w:rPr>
          <w:rFonts w:hint="eastAsia" w:ascii="宋体" w:hAnsi="宋体" w:eastAsia="宋体" w:cs="宋体"/>
          <w:highlight w:val="none"/>
        </w:rPr>
      </w:pPr>
    </w:p>
    <w:p>
      <w:pPr>
        <w:pStyle w:val="2"/>
        <w:rPr>
          <w:rFonts w:hint="eastAsia" w:ascii="宋体" w:hAnsi="宋体" w:eastAsia="宋体" w:cs="宋体"/>
          <w:highlight w:val="none"/>
        </w:rPr>
      </w:pPr>
    </w:p>
    <w:p>
      <w:pPr>
        <w:pStyle w:val="2"/>
        <w:rPr>
          <w:rFonts w:hint="eastAsia" w:ascii="宋体" w:hAnsi="宋体" w:eastAsia="宋体" w:cs="宋体"/>
          <w:highlight w:val="none"/>
        </w:rPr>
      </w:pPr>
    </w:p>
    <w:p>
      <w:pPr>
        <w:rPr>
          <w:rFonts w:hint="eastAsia" w:ascii="宋体" w:hAnsi="宋体" w:eastAsia="宋体" w:cs="宋体"/>
          <w:highlight w:val="none"/>
        </w:rPr>
      </w:pPr>
    </w:p>
    <w:p>
      <w:pPr>
        <w:rPr>
          <w:rFonts w:hint="eastAsia" w:ascii="宋体" w:hAnsi="宋体" w:eastAsia="宋体" w:cs="宋体"/>
          <w:highlight w:val="none"/>
        </w:rPr>
      </w:pPr>
    </w:p>
    <w:p>
      <w:pPr>
        <w:jc w:val="center"/>
        <w:rPr>
          <w:rFonts w:hint="eastAsia" w:ascii="宋体" w:hAnsi="宋体" w:eastAsia="宋体" w:cs="宋体"/>
          <w:b/>
          <w:sz w:val="36"/>
          <w:szCs w:val="36"/>
          <w:highlight w:val="none"/>
        </w:rPr>
      </w:pPr>
      <w:r>
        <w:rPr>
          <w:rFonts w:hint="eastAsia" w:ascii="宋体" w:hAnsi="宋体" w:eastAsia="宋体" w:cs="宋体"/>
          <w:b/>
          <w:sz w:val="36"/>
          <w:szCs w:val="36"/>
          <w:highlight w:val="none"/>
        </w:rPr>
        <w:t xml:space="preserve"> </w:t>
      </w:r>
    </w:p>
    <w:p>
      <w:pPr>
        <w:pStyle w:val="2"/>
        <w:rPr>
          <w:rFonts w:hint="eastAsia" w:ascii="宋体" w:hAnsi="宋体" w:eastAsia="宋体" w:cs="宋体"/>
          <w:b w:val="0"/>
          <w:sz w:val="36"/>
          <w:szCs w:val="36"/>
          <w:highlight w:val="none"/>
        </w:rPr>
      </w:pPr>
    </w:p>
    <w:p>
      <w:pPr>
        <w:rPr>
          <w:rFonts w:hint="eastAsia" w:ascii="宋体" w:hAnsi="宋体" w:eastAsia="宋体" w:cs="宋体"/>
          <w:highlight w:val="none"/>
        </w:rPr>
      </w:pPr>
    </w:p>
    <w:p>
      <w:pPr>
        <w:jc w:val="center"/>
        <w:rPr>
          <w:rFonts w:hint="eastAsia" w:ascii="宋体" w:hAnsi="宋体" w:eastAsia="宋体" w:cs="宋体"/>
          <w:b/>
          <w:sz w:val="36"/>
          <w:szCs w:val="36"/>
          <w:highlight w:val="none"/>
        </w:rPr>
      </w:pPr>
    </w:p>
    <w:p>
      <w:pPr>
        <w:jc w:val="center"/>
        <w:rPr>
          <w:rFonts w:hint="eastAsia" w:ascii="宋体" w:hAnsi="宋体" w:eastAsia="宋体" w:cs="宋体"/>
          <w:b/>
          <w:sz w:val="36"/>
          <w:szCs w:val="36"/>
          <w:highlight w:val="none"/>
        </w:rPr>
      </w:pPr>
    </w:p>
    <w:p>
      <w:pPr>
        <w:jc w:val="center"/>
        <w:rPr>
          <w:rFonts w:hint="eastAsia" w:ascii="宋体" w:hAnsi="宋体" w:eastAsia="宋体" w:cs="宋体"/>
          <w:b/>
          <w:sz w:val="36"/>
          <w:szCs w:val="36"/>
          <w:highlight w:val="none"/>
        </w:rPr>
      </w:pPr>
    </w:p>
    <w:p>
      <w:pPr>
        <w:spacing w:before="158" w:beforeLines="50" w:line="360" w:lineRule="auto"/>
        <w:rPr>
          <w:rFonts w:hint="eastAsia" w:ascii="宋体" w:hAnsi="宋体" w:eastAsia="宋体" w:cs="宋体"/>
          <w:b/>
          <w:bCs/>
          <w:sz w:val="36"/>
          <w:szCs w:val="36"/>
          <w:highlight w:val="none"/>
        </w:rPr>
      </w:pPr>
    </w:p>
    <w:p>
      <w:pPr>
        <w:spacing w:before="158" w:beforeLines="50" w:line="360" w:lineRule="auto"/>
        <w:ind w:firstLine="1263" w:firstLineChars="393"/>
        <w:jc w:val="left"/>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采购人：</w:t>
      </w:r>
      <w:r>
        <w:rPr>
          <w:rFonts w:hint="eastAsia" w:ascii="宋体" w:hAnsi="宋体" w:eastAsia="宋体" w:cs="宋体"/>
          <w:sz w:val="32"/>
          <w:szCs w:val="32"/>
          <w:highlight w:val="none"/>
          <w:u w:val="single"/>
        </w:rPr>
        <w:t xml:space="preserve">                     </w:t>
      </w:r>
    </w:p>
    <w:p>
      <w:pPr>
        <w:spacing w:before="158" w:beforeLines="50" w:line="360" w:lineRule="auto"/>
        <w:ind w:firstLine="1263" w:firstLineChars="393"/>
        <w:jc w:val="left"/>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供应商：</w:t>
      </w:r>
      <w:r>
        <w:rPr>
          <w:rFonts w:hint="eastAsia" w:ascii="宋体" w:hAnsi="宋体" w:eastAsia="宋体" w:cs="宋体"/>
          <w:sz w:val="32"/>
          <w:szCs w:val="32"/>
          <w:highlight w:val="none"/>
          <w:u w:val="single"/>
        </w:rPr>
        <w:t xml:space="preserve">                     </w:t>
      </w:r>
    </w:p>
    <w:p>
      <w:pPr>
        <w:spacing w:line="560" w:lineRule="exact"/>
        <w:jc w:val="center"/>
        <w:rPr>
          <w:rFonts w:hint="eastAsia" w:ascii="宋体" w:hAnsi="宋体" w:eastAsia="宋体" w:cs="宋体"/>
          <w:b/>
          <w:bCs/>
          <w:sz w:val="36"/>
          <w:szCs w:val="36"/>
          <w:highlight w:val="none"/>
        </w:rPr>
      </w:pPr>
      <w:r>
        <w:rPr>
          <w:rFonts w:hint="eastAsia" w:ascii="宋体" w:hAnsi="宋体" w:eastAsia="宋体" w:cs="宋体"/>
          <w:b/>
          <w:bCs/>
          <w:sz w:val="32"/>
          <w:szCs w:val="32"/>
          <w:highlight w:val="none"/>
        </w:rPr>
        <w:t>二〇二</w:t>
      </w:r>
      <w:r>
        <w:rPr>
          <w:rFonts w:hint="eastAsia" w:ascii="宋体" w:hAnsi="宋体" w:eastAsia="宋体" w:cs="宋体"/>
          <w:b/>
          <w:bCs/>
          <w:sz w:val="32"/>
          <w:szCs w:val="32"/>
          <w:highlight w:val="none"/>
          <w:lang w:val="en-US" w:eastAsia="zh-CN"/>
        </w:rPr>
        <w:t>三</w:t>
      </w:r>
      <w:r>
        <w:rPr>
          <w:rFonts w:hint="eastAsia" w:ascii="宋体" w:hAnsi="宋体" w:eastAsia="宋体" w:cs="宋体"/>
          <w:b/>
          <w:bCs/>
          <w:sz w:val="32"/>
          <w:szCs w:val="32"/>
          <w:highlight w:val="none"/>
        </w:rPr>
        <w:t>年  月</w:t>
      </w:r>
      <w:r>
        <w:rPr>
          <w:rFonts w:hint="eastAsia" w:ascii="宋体" w:hAnsi="宋体" w:eastAsia="宋体" w:cs="宋体"/>
          <w:b/>
          <w:bCs/>
          <w:sz w:val="36"/>
          <w:szCs w:val="36"/>
          <w:highlight w:val="none"/>
        </w:rPr>
        <w:br w:type="page"/>
      </w:r>
      <w:r>
        <w:rPr>
          <w:rFonts w:hint="eastAsia" w:ascii="宋体" w:hAnsi="宋体" w:eastAsia="宋体" w:cs="宋体"/>
          <w:b/>
          <w:bCs/>
          <w:sz w:val="36"/>
          <w:szCs w:val="36"/>
          <w:highlight w:val="none"/>
          <w:lang w:eastAsia="zh-CN"/>
        </w:rPr>
        <w:t>合同协议书</w:t>
      </w:r>
    </w:p>
    <w:p>
      <w:pPr>
        <w:adjustRightInd w:val="0"/>
        <w:snapToGrid w:val="0"/>
        <w:spacing w:line="580" w:lineRule="exact"/>
        <w:ind w:firstLine="482" w:firstLineChars="200"/>
        <w:rPr>
          <w:rFonts w:hint="eastAsia" w:ascii="宋体" w:hAnsi="宋体" w:eastAsia="宋体" w:cs="宋体"/>
          <w:b/>
          <w:sz w:val="24"/>
          <w:szCs w:val="24"/>
          <w:highlight w:val="none"/>
          <w:u w:val="single"/>
        </w:rPr>
      </w:pPr>
      <w:r>
        <w:rPr>
          <w:rFonts w:hint="eastAsia" w:ascii="宋体" w:hAnsi="宋体" w:eastAsia="宋体" w:cs="宋体"/>
          <w:b/>
          <w:sz w:val="24"/>
          <w:szCs w:val="24"/>
          <w:highlight w:val="none"/>
        </w:rPr>
        <w:t>采购人（甲方）：</w:t>
      </w:r>
      <w:r>
        <w:rPr>
          <w:rFonts w:hint="eastAsia" w:ascii="宋体" w:hAnsi="宋体" w:eastAsia="宋体" w:cs="宋体"/>
          <w:b/>
          <w:sz w:val="24"/>
          <w:szCs w:val="24"/>
          <w:highlight w:val="none"/>
          <w:u w:val="single"/>
        </w:rPr>
        <w:t xml:space="preserve">   陕西省公路局        </w:t>
      </w:r>
    </w:p>
    <w:p>
      <w:pPr>
        <w:adjustRightInd w:val="0"/>
        <w:snapToGrid w:val="0"/>
        <w:spacing w:line="580" w:lineRule="exact"/>
        <w:ind w:firstLine="482" w:firstLineChars="200"/>
        <w:rPr>
          <w:rFonts w:hint="eastAsia" w:ascii="宋体" w:hAnsi="宋体" w:eastAsia="宋体" w:cs="宋体"/>
          <w:b/>
          <w:sz w:val="24"/>
          <w:szCs w:val="24"/>
          <w:highlight w:val="none"/>
          <w:u w:val="single"/>
        </w:rPr>
      </w:pPr>
      <w:r>
        <w:rPr>
          <w:rFonts w:hint="eastAsia" w:ascii="宋体" w:hAnsi="宋体" w:eastAsia="宋体" w:cs="宋体"/>
          <w:b/>
          <w:sz w:val="24"/>
          <w:szCs w:val="24"/>
          <w:highlight w:val="none"/>
        </w:rPr>
        <w:t>供应商（乙方）：</w:t>
      </w:r>
      <w:r>
        <w:rPr>
          <w:rFonts w:hint="eastAsia" w:ascii="宋体" w:hAnsi="宋体" w:eastAsia="宋体" w:cs="宋体"/>
          <w:b/>
          <w:sz w:val="24"/>
          <w:szCs w:val="24"/>
          <w:highlight w:val="none"/>
          <w:u w:val="single"/>
        </w:rPr>
        <w:t xml:space="preserve">                       </w:t>
      </w:r>
    </w:p>
    <w:p>
      <w:pPr>
        <w:adjustRightInd w:val="0"/>
        <w:snapToGrid w:val="0"/>
        <w:spacing w:line="580" w:lineRule="exact"/>
        <w:ind w:firstLine="480" w:firstLineChars="200"/>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根据《中华人民共和国民法典》及其他有关法律、法规，遵循平等、自愿、公平和诚信的原则，双方就下述项目范围与相关服务事项协商一致，订立本合同。</w:t>
      </w:r>
    </w:p>
    <w:p>
      <w:pPr>
        <w:spacing w:line="580" w:lineRule="exact"/>
        <w:rPr>
          <w:rFonts w:hint="eastAsia" w:ascii="宋体" w:hAnsi="宋体" w:eastAsia="宋体" w:cs="宋体"/>
          <w:b/>
          <w:sz w:val="24"/>
          <w:szCs w:val="24"/>
          <w:highlight w:val="none"/>
        </w:rPr>
      </w:pPr>
      <w:r>
        <w:rPr>
          <w:rFonts w:hint="eastAsia" w:ascii="宋体" w:hAnsi="宋体" w:eastAsia="宋体" w:cs="宋体"/>
          <w:b/>
          <w:sz w:val="24"/>
          <w:szCs w:val="24"/>
          <w:highlight w:val="none"/>
        </w:rPr>
        <w:t>一、项目概况</w:t>
      </w:r>
    </w:p>
    <w:p>
      <w:pPr>
        <w:adjustRightInd w:val="0"/>
        <w:snapToGrid w:val="0"/>
        <w:spacing w:line="360" w:lineRule="auto"/>
        <w:ind w:left="660" w:leftChars="200" w:hanging="240" w:hangingChars="100"/>
        <w:jc w:val="left"/>
        <w:rPr>
          <w:rFonts w:hint="eastAsia" w:ascii="宋体" w:hAnsi="宋体" w:eastAsia="宋体" w:cs="宋体"/>
          <w:b w:val="0"/>
          <w:bCs/>
          <w:sz w:val="24"/>
          <w:szCs w:val="24"/>
          <w:highlight w:val="none"/>
          <w:lang w:val="en-US" w:eastAsia="zh-CN"/>
        </w:rPr>
      </w:pPr>
      <w:r>
        <w:rPr>
          <w:rFonts w:hint="eastAsia" w:ascii="宋体" w:hAnsi="宋体" w:eastAsia="宋体" w:cs="宋体"/>
          <w:sz w:val="24"/>
          <w:szCs w:val="24"/>
          <w:highlight w:val="none"/>
        </w:rPr>
        <w:t>1. 项目名称：</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 xml:space="preserve">                             </w:t>
      </w:r>
    </w:p>
    <w:p>
      <w:pPr>
        <w:adjustRightInd w:val="0"/>
        <w:snapToGrid w:val="0"/>
        <w:spacing w:line="360" w:lineRule="auto"/>
        <w:ind w:left="660" w:leftChars="200" w:hanging="240" w:hangingChars="1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2. 项目地点：</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 xml:space="preserve">                             </w:t>
      </w:r>
    </w:p>
    <w:p>
      <w:pPr>
        <w:spacing w:line="580" w:lineRule="exact"/>
        <w:rPr>
          <w:rFonts w:hint="eastAsia" w:ascii="宋体" w:hAnsi="宋体" w:eastAsia="宋体" w:cs="宋体"/>
          <w:b/>
          <w:sz w:val="24"/>
          <w:szCs w:val="24"/>
          <w:highlight w:val="none"/>
        </w:rPr>
      </w:pPr>
      <w:r>
        <w:rPr>
          <w:rFonts w:hint="eastAsia" w:ascii="宋体" w:hAnsi="宋体" w:eastAsia="宋体" w:cs="宋体"/>
          <w:b/>
          <w:sz w:val="24"/>
          <w:szCs w:val="24"/>
          <w:highlight w:val="none"/>
        </w:rPr>
        <w:t>二、组成本合同的文件</w:t>
      </w:r>
    </w:p>
    <w:p>
      <w:pPr>
        <w:adjustRightInd w:val="0"/>
        <w:snapToGrid w:val="0"/>
        <w:spacing w:line="580" w:lineRule="exact"/>
        <w:ind w:firstLine="475" w:firstLineChars="198"/>
        <w:rPr>
          <w:rFonts w:hint="eastAsia" w:ascii="宋体" w:hAnsi="宋体" w:eastAsia="宋体" w:cs="宋体"/>
          <w:sz w:val="24"/>
          <w:szCs w:val="24"/>
          <w:highlight w:val="none"/>
        </w:rPr>
      </w:pPr>
      <w:r>
        <w:rPr>
          <w:rFonts w:hint="eastAsia" w:ascii="宋体" w:hAnsi="宋体" w:eastAsia="宋体" w:cs="宋体"/>
          <w:sz w:val="24"/>
          <w:szCs w:val="24"/>
          <w:highlight w:val="none"/>
        </w:rPr>
        <w:t>1. 协议书；</w:t>
      </w:r>
    </w:p>
    <w:p>
      <w:pPr>
        <w:adjustRightInd w:val="0"/>
        <w:snapToGrid w:val="0"/>
        <w:spacing w:line="580" w:lineRule="exact"/>
        <w:ind w:firstLine="475" w:firstLineChars="198"/>
        <w:rPr>
          <w:rFonts w:hint="eastAsia" w:ascii="宋体" w:hAnsi="宋体" w:eastAsia="宋体" w:cs="宋体"/>
          <w:sz w:val="24"/>
          <w:szCs w:val="24"/>
          <w:highlight w:val="none"/>
        </w:rPr>
      </w:pPr>
      <w:r>
        <w:rPr>
          <w:rFonts w:hint="eastAsia" w:ascii="宋体" w:hAnsi="宋体" w:eastAsia="宋体" w:cs="宋体"/>
          <w:sz w:val="24"/>
          <w:szCs w:val="24"/>
          <w:highlight w:val="none"/>
        </w:rPr>
        <w:t>2. 中标通知书、投标文件、招标文件、澄清、措施补充文件；</w:t>
      </w:r>
    </w:p>
    <w:p>
      <w:pPr>
        <w:adjustRightInd w:val="0"/>
        <w:snapToGrid w:val="0"/>
        <w:spacing w:line="58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 相关服务建议书；</w:t>
      </w:r>
    </w:p>
    <w:p>
      <w:pPr>
        <w:adjustRightInd w:val="0"/>
        <w:snapToGrid w:val="0"/>
        <w:spacing w:line="58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本合同签订后，双方依法签订的补充协议也是本合同文件的组成部分。</w:t>
      </w:r>
    </w:p>
    <w:p>
      <w:pPr>
        <w:spacing w:line="580" w:lineRule="exact"/>
        <w:rPr>
          <w:rFonts w:hint="eastAsia" w:ascii="宋体" w:hAnsi="宋体" w:eastAsia="宋体" w:cs="宋体"/>
          <w:b/>
          <w:sz w:val="24"/>
          <w:szCs w:val="24"/>
          <w:highlight w:val="none"/>
        </w:rPr>
      </w:pPr>
      <w:r>
        <w:rPr>
          <w:rFonts w:hint="eastAsia" w:ascii="宋体" w:hAnsi="宋体" w:eastAsia="宋体" w:cs="宋体"/>
          <w:b/>
          <w:sz w:val="24"/>
          <w:szCs w:val="24"/>
          <w:highlight w:val="none"/>
        </w:rPr>
        <w:t>三、合同金额</w:t>
      </w:r>
    </w:p>
    <w:p>
      <w:pPr>
        <w:adjustRightInd w:val="0"/>
        <w:snapToGrid w:val="0"/>
        <w:spacing w:line="580" w:lineRule="exact"/>
        <w:ind w:firstLine="475" w:firstLineChars="198"/>
        <w:rPr>
          <w:rFonts w:hint="default" w:ascii="宋体" w:hAnsi="宋体" w:eastAsia="宋体" w:cs="宋体"/>
          <w:sz w:val="24"/>
          <w:szCs w:val="24"/>
          <w:highlight w:val="none"/>
          <w:u w:val="none"/>
          <w:lang w:val="en-US" w:eastAsia="zh-CN"/>
        </w:rPr>
      </w:pPr>
      <w:r>
        <w:rPr>
          <w:rFonts w:hint="eastAsia" w:ascii="宋体" w:hAnsi="宋体" w:eastAsia="宋体" w:cs="宋体"/>
          <w:sz w:val="24"/>
          <w:szCs w:val="24"/>
          <w:highlight w:val="none"/>
        </w:rPr>
        <w:t xml:space="preserve">合同总价款（含税价）: </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元（小写：</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元）</w:t>
      </w: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检测单价</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u w:val="none"/>
          <w:lang w:val="en-US" w:eastAsia="zh-CN"/>
        </w:rPr>
        <w:t>元/延米。</w:t>
      </w:r>
    </w:p>
    <w:p>
      <w:pPr>
        <w:adjustRightInd w:val="0"/>
        <w:snapToGrid w:val="0"/>
        <w:spacing w:line="520" w:lineRule="exact"/>
        <w:ind w:firstLine="475" w:firstLineChars="198"/>
        <w:rPr>
          <w:rFonts w:hint="eastAsia" w:ascii="宋体" w:hAnsi="宋体" w:eastAsia="宋体" w:cs="宋体"/>
          <w:sz w:val="24"/>
          <w:szCs w:val="24"/>
          <w:highlight w:val="none"/>
        </w:rPr>
      </w:pPr>
      <w:r>
        <w:rPr>
          <w:rFonts w:hint="eastAsia" w:ascii="宋体" w:hAnsi="宋体" w:eastAsia="宋体" w:cs="宋体"/>
          <w:sz w:val="24"/>
          <w:szCs w:val="24"/>
          <w:highlight w:val="none"/>
        </w:rPr>
        <w:t>合同价格为含税价，供应商（中标人）提供服务所发生的一切税（包括增值税）费等都已包含于合同价款中。</w:t>
      </w:r>
    </w:p>
    <w:p>
      <w:pPr>
        <w:adjustRightInd w:val="0"/>
        <w:snapToGrid w:val="0"/>
        <w:spacing w:line="520" w:lineRule="exact"/>
        <w:rPr>
          <w:rFonts w:hint="eastAsia" w:ascii="宋体" w:hAnsi="宋体" w:eastAsia="宋体" w:cs="宋体"/>
          <w:b/>
          <w:sz w:val="24"/>
          <w:szCs w:val="24"/>
          <w:highlight w:val="none"/>
        </w:rPr>
      </w:pPr>
      <w:r>
        <w:rPr>
          <w:rFonts w:hint="eastAsia" w:ascii="宋体" w:hAnsi="宋体" w:eastAsia="宋体" w:cs="宋体"/>
          <w:b/>
          <w:sz w:val="24"/>
          <w:szCs w:val="24"/>
          <w:highlight w:val="none"/>
        </w:rPr>
        <w:t>四、结算方式</w:t>
      </w:r>
    </w:p>
    <w:p>
      <w:pPr>
        <w:adjustRightInd w:val="0"/>
        <w:snapToGrid w:val="0"/>
        <w:spacing w:line="520" w:lineRule="exact"/>
        <w:ind w:firstLine="475" w:firstLineChars="198"/>
        <w:rPr>
          <w:rFonts w:hint="eastAsia" w:ascii="宋体" w:hAnsi="宋体" w:eastAsia="宋体" w:cs="宋体"/>
          <w:sz w:val="24"/>
          <w:szCs w:val="24"/>
          <w:highlight w:val="none"/>
        </w:rPr>
      </w:pPr>
      <w:r>
        <w:rPr>
          <w:rFonts w:hint="eastAsia" w:ascii="宋体" w:hAnsi="宋体" w:eastAsia="宋体" w:cs="宋体"/>
          <w:sz w:val="24"/>
          <w:szCs w:val="24"/>
          <w:highlight w:val="none"/>
        </w:rPr>
        <w:t>1.结算单位：银行转账，由采购人负责结算。在付款前，供应商必须开具增值税发票给采购人。</w:t>
      </w:r>
    </w:p>
    <w:p>
      <w:pPr>
        <w:adjustRightInd w:val="0"/>
        <w:snapToGrid w:val="0"/>
        <w:spacing w:line="520" w:lineRule="exact"/>
        <w:ind w:firstLine="475" w:firstLineChars="198"/>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2.付款方式： </w:t>
      </w:r>
    </w:p>
    <w:p>
      <w:pPr>
        <w:pStyle w:val="20"/>
        <w:shd w:val="clear" w:color="auto" w:fill="FFFFFF"/>
        <w:spacing w:beforeAutospacing="0" w:afterAutospacing="0" w:line="360" w:lineRule="auto"/>
        <w:ind w:firstLine="420"/>
        <w:rPr>
          <w:rFonts w:hint="eastAsia"/>
          <w:highlight w:val="none"/>
        </w:rPr>
      </w:pPr>
      <w:r>
        <w:rPr>
          <w:rFonts w:hint="eastAsia"/>
          <w:highlight w:val="none"/>
          <w:lang w:eastAsia="zh-CN"/>
        </w:rPr>
        <w:t>（</w:t>
      </w:r>
      <w:r>
        <w:rPr>
          <w:rFonts w:hint="eastAsia"/>
          <w:highlight w:val="none"/>
          <w:lang w:val="en-US" w:eastAsia="zh-CN"/>
        </w:rPr>
        <w:t>1</w:t>
      </w:r>
      <w:r>
        <w:rPr>
          <w:rFonts w:hint="eastAsia"/>
          <w:highlight w:val="none"/>
          <w:lang w:eastAsia="zh-CN"/>
        </w:rPr>
        <w:t>）</w:t>
      </w:r>
      <w:r>
        <w:rPr>
          <w:rFonts w:hint="eastAsia"/>
          <w:highlight w:val="none"/>
        </w:rPr>
        <w:t>合同签订前，乙方须向甲方缴纳合同总金额</w:t>
      </w:r>
      <w:r>
        <w:rPr>
          <w:rFonts w:hint="eastAsia"/>
          <w:highlight w:val="none"/>
          <w:lang w:val="en-US" w:eastAsia="zh-CN"/>
        </w:rPr>
        <w:t>5</w:t>
      </w:r>
      <w:r>
        <w:rPr>
          <w:rFonts w:hint="eastAsia"/>
          <w:highlight w:val="none"/>
        </w:rPr>
        <w:t>%的履约保证金，履约保证金待供应商履行完毕全部合同义务，并经</w:t>
      </w:r>
      <w:r>
        <w:rPr>
          <w:rFonts w:hint="eastAsia"/>
          <w:highlight w:val="none"/>
          <w:lang w:val="en-US" w:eastAsia="zh-CN"/>
        </w:rPr>
        <w:t>甲方</w:t>
      </w:r>
      <w:r>
        <w:rPr>
          <w:rFonts w:hint="eastAsia"/>
          <w:highlight w:val="none"/>
        </w:rPr>
        <w:t>验收合格，无任何纠纷后无息退还。</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2）合同签订后，甲方支付乙方合同总金额的60%；乙方完成外业检测及报告编制工作，甲方向乙方支付合同总金额的30%，乙方提交项目全部成果报告并经甲方确认后，甲方按照合同单价和乙方实际完成工作量计算并支付剩余合同金额。</w:t>
      </w:r>
    </w:p>
    <w:p>
      <w:pPr>
        <w:pStyle w:val="20"/>
        <w:shd w:val="clear" w:color="auto" w:fill="FFFFFF"/>
        <w:spacing w:beforeAutospacing="0" w:afterAutospacing="0" w:line="360" w:lineRule="auto"/>
        <w:ind w:firstLine="420"/>
        <w:rPr>
          <w:rFonts w:hint="eastAsia" w:ascii="宋体" w:hAnsi="宋体" w:eastAsia="宋体" w:cs="宋体"/>
          <w:highlight w:val="none"/>
        </w:rPr>
      </w:pPr>
      <w:r>
        <w:rPr>
          <w:rFonts w:hint="eastAsia" w:ascii="宋体" w:hAnsi="宋体" w:eastAsia="宋体" w:cs="宋体"/>
          <w:highlight w:val="none"/>
          <w:lang w:eastAsia="zh-CN"/>
        </w:rPr>
        <w:t>（</w:t>
      </w:r>
      <w:r>
        <w:rPr>
          <w:rFonts w:hint="eastAsia" w:ascii="宋体" w:hAnsi="宋体" w:eastAsia="宋体" w:cs="宋体"/>
          <w:highlight w:val="none"/>
          <w:lang w:val="en-US" w:eastAsia="zh-CN"/>
        </w:rPr>
        <w:t>3</w:t>
      </w:r>
      <w:r>
        <w:rPr>
          <w:rFonts w:hint="eastAsia" w:ascii="宋体" w:hAnsi="宋体" w:eastAsia="宋体" w:cs="宋体"/>
          <w:highlight w:val="none"/>
          <w:lang w:eastAsia="zh-CN"/>
        </w:rPr>
        <w:t>）</w:t>
      </w:r>
      <w:r>
        <w:rPr>
          <w:rFonts w:hint="eastAsia" w:ascii="宋体" w:hAnsi="宋体" w:eastAsia="宋体" w:cs="宋体"/>
          <w:highlight w:val="none"/>
        </w:rPr>
        <w:t>甲方每次付款前，乙方均应开具等额的税务发票，否则甲方有权拒绝付款，且不应承担迟延付款的责任。</w:t>
      </w:r>
    </w:p>
    <w:p>
      <w:pPr>
        <w:pStyle w:val="20"/>
        <w:shd w:val="clear" w:color="auto" w:fill="FFFFFF"/>
        <w:spacing w:beforeAutospacing="0" w:afterAutospacing="0" w:line="360" w:lineRule="auto"/>
        <w:ind w:firstLine="420"/>
        <w:rPr>
          <w:rFonts w:hint="eastAsia" w:ascii="宋体" w:hAnsi="宋体" w:eastAsia="宋体" w:cs="宋体"/>
          <w:highlight w:val="none"/>
        </w:rPr>
      </w:pPr>
      <w:r>
        <w:rPr>
          <w:rFonts w:hint="eastAsia" w:ascii="宋体" w:hAnsi="宋体" w:eastAsia="宋体" w:cs="宋体"/>
          <w:highlight w:val="none"/>
        </w:rPr>
        <w:t>（4）乙方超出任务书范围的工程量以及未通过甲方审查的工程量，甲方有权不予结算和支付相应款项。</w:t>
      </w:r>
    </w:p>
    <w:p>
      <w:pPr>
        <w:pStyle w:val="20"/>
        <w:shd w:val="clear" w:color="auto" w:fill="FFFFFF"/>
        <w:spacing w:beforeAutospacing="0" w:afterAutospacing="0" w:line="360" w:lineRule="auto"/>
        <w:ind w:firstLine="420"/>
        <w:rPr>
          <w:rFonts w:hint="eastAsia" w:ascii="宋体" w:hAnsi="宋体" w:eastAsia="宋体" w:cs="宋体"/>
          <w:highlight w:val="none"/>
        </w:rPr>
      </w:pPr>
      <w:r>
        <w:rPr>
          <w:rFonts w:hint="eastAsia" w:ascii="宋体" w:hAnsi="宋体" w:eastAsia="宋体" w:cs="宋体"/>
          <w:highlight w:val="none"/>
        </w:rPr>
        <w:t>（5）甲方有权在项目实施过程中，要求乙方对不满足质量要求的工作进行返工，工期不予顺延。</w:t>
      </w:r>
    </w:p>
    <w:p>
      <w:pPr>
        <w:pStyle w:val="20"/>
        <w:shd w:val="clear" w:color="auto" w:fill="FFFFFF"/>
        <w:spacing w:beforeAutospacing="0" w:afterAutospacing="0" w:line="360" w:lineRule="auto"/>
        <w:ind w:firstLine="420"/>
        <w:rPr>
          <w:rFonts w:hint="eastAsia" w:ascii="宋体" w:hAnsi="宋体" w:eastAsia="宋体" w:cs="宋体"/>
          <w:highlight w:val="none"/>
        </w:rPr>
      </w:pPr>
      <w:r>
        <w:rPr>
          <w:rFonts w:hint="eastAsia" w:ascii="宋体" w:hAnsi="宋体" w:eastAsia="宋体" w:cs="宋体"/>
          <w:highlight w:val="none"/>
        </w:rPr>
        <w:t>（6）检测费金额大于合同金额，应视为乙方可预见风险，按合同总价款支付乙方检测费；检测费金额小于合同金额，</w:t>
      </w:r>
      <w:r>
        <w:rPr>
          <w:rFonts w:hint="eastAsia" w:cs="宋体"/>
          <w:highlight w:val="none"/>
          <w:lang w:val="en-US" w:eastAsia="zh-CN"/>
        </w:rPr>
        <w:t>按单价测算据实结算</w:t>
      </w:r>
      <w:r>
        <w:rPr>
          <w:rFonts w:hint="eastAsia" w:ascii="宋体" w:hAnsi="宋体" w:eastAsia="宋体" w:cs="宋体"/>
          <w:highlight w:val="none"/>
        </w:rPr>
        <w:t>。</w:t>
      </w:r>
    </w:p>
    <w:p>
      <w:pPr>
        <w:pStyle w:val="20"/>
        <w:shd w:val="clear" w:color="auto" w:fill="FFFFFF"/>
        <w:spacing w:beforeAutospacing="0" w:afterAutospacing="0" w:line="360" w:lineRule="auto"/>
        <w:ind w:firstLine="420"/>
        <w:rPr>
          <w:rFonts w:hint="eastAsia" w:cs="宋体"/>
          <w:highlight w:val="none"/>
          <w:lang w:val="en-US" w:eastAsia="zh-CN"/>
        </w:rPr>
      </w:pPr>
      <w:r>
        <w:rPr>
          <w:rFonts w:hint="eastAsia" w:cs="宋体"/>
          <w:highlight w:val="none"/>
          <w:lang w:eastAsia="zh-CN"/>
        </w:rPr>
        <w:t>（</w:t>
      </w:r>
      <w:r>
        <w:rPr>
          <w:rFonts w:hint="eastAsia" w:cs="宋体"/>
          <w:highlight w:val="none"/>
          <w:lang w:val="en-US" w:eastAsia="zh-CN"/>
        </w:rPr>
        <w:t>7</w:t>
      </w:r>
      <w:r>
        <w:rPr>
          <w:rFonts w:hint="eastAsia" w:cs="宋体"/>
          <w:highlight w:val="none"/>
          <w:lang w:eastAsia="zh-CN"/>
        </w:rPr>
        <w:t>）</w:t>
      </w:r>
      <w:r>
        <w:rPr>
          <w:rFonts w:hint="eastAsia" w:cs="宋体"/>
          <w:highlight w:val="none"/>
          <w:lang w:val="en-US" w:eastAsia="zh-CN"/>
        </w:rPr>
        <w:t>未在规定期限内完成工作任务的，每顺延一天罚金合同金额0.5%。</w:t>
      </w:r>
    </w:p>
    <w:p>
      <w:pPr>
        <w:pStyle w:val="20"/>
        <w:shd w:val="clear" w:color="auto" w:fill="FFFFFF"/>
        <w:spacing w:beforeAutospacing="0" w:afterAutospacing="0" w:line="360" w:lineRule="auto"/>
        <w:ind w:firstLine="480" w:firstLineChars="200"/>
        <w:rPr>
          <w:rFonts w:hint="eastAsia" w:cs="宋体"/>
          <w:highlight w:val="none"/>
          <w:lang w:val="en-US" w:eastAsia="zh-CN"/>
        </w:rPr>
      </w:pPr>
      <w:r>
        <w:rPr>
          <w:rFonts w:hint="eastAsia" w:cs="宋体"/>
          <w:highlight w:val="none"/>
          <w:lang w:val="en-US" w:eastAsia="zh-CN"/>
        </w:rPr>
        <w:t>（8）延期超过30天的，甲方有权解除合同，并要求乙方赔偿全部损失。</w:t>
      </w:r>
    </w:p>
    <w:p>
      <w:pPr>
        <w:pStyle w:val="20"/>
        <w:shd w:val="clear" w:color="auto" w:fill="FFFFFF"/>
        <w:spacing w:beforeAutospacing="0" w:afterAutospacing="0" w:line="360" w:lineRule="auto"/>
        <w:rPr>
          <w:rFonts w:hint="eastAsia" w:ascii="宋体" w:hAnsi="宋体" w:eastAsia="宋体" w:cs="宋体"/>
          <w:b/>
          <w:kern w:val="2"/>
          <w:sz w:val="24"/>
          <w:szCs w:val="24"/>
          <w:highlight w:val="none"/>
          <w:lang w:val="en-US" w:eastAsia="zh-CN" w:bidi="ar-SA"/>
        </w:rPr>
      </w:pPr>
      <w:r>
        <w:rPr>
          <w:rFonts w:hint="eastAsia" w:ascii="宋体" w:hAnsi="宋体" w:eastAsia="宋体" w:cs="宋体"/>
          <w:b/>
          <w:kern w:val="2"/>
          <w:sz w:val="24"/>
          <w:szCs w:val="24"/>
          <w:highlight w:val="none"/>
          <w:lang w:val="en-US" w:eastAsia="zh-CN" w:bidi="ar-SA"/>
        </w:rPr>
        <w:t>五、项目主要负责人</w:t>
      </w:r>
    </w:p>
    <w:p>
      <w:pPr>
        <w:adjustRightInd w:val="0"/>
        <w:snapToGrid w:val="0"/>
        <w:spacing w:line="520" w:lineRule="exact"/>
        <w:ind w:firstLine="475" w:firstLineChars="198"/>
        <w:rPr>
          <w:rFonts w:hint="eastAsia" w:ascii="宋体" w:hAnsi="宋体" w:eastAsia="宋体" w:cs="宋体"/>
          <w:sz w:val="24"/>
          <w:szCs w:val="24"/>
          <w:highlight w:val="none"/>
          <w:u w:val="single"/>
          <w:lang w:val="en-US" w:eastAsia="zh-CN"/>
        </w:rPr>
      </w:pPr>
      <w:r>
        <w:rPr>
          <w:rFonts w:hint="eastAsia" w:ascii="宋体" w:hAnsi="宋体" w:eastAsia="宋体" w:cs="宋体"/>
          <w:sz w:val="24"/>
          <w:szCs w:val="24"/>
          <w:highlight w:val="none"/>
          <w:lang w:val="en-US" w:eastAsia="zh-CN"/>
        </w:rPr>
        <w:t xml:space="preserve"> 项目经理：</w:t>
      </w:r>
      <w:r>
        <w:rPr>
          <w:rFonts w:hint="eastAsia" w:ascii="宋体" w:hAnsi="宋体" w:eastAsia="宋体" w:cs="宋体"/>
          <w:sz w:val="24"/>
          <w:szCs w:val="24"/>
          <w:highlight w:val="none"/>
          <w:u w:val="single"/>
          <w:lang w:val="en-US" w:eastAsia="zh-CN"/>
        </w:rPr>
        <w:t xml:space="preserve">            （职称） </w:t>
      </w:r>
    </w:p>
    <w:p>
      <w:pPr>
        <w:adjustRightInd w:val="0"/>
        <w:snapToGrid w:val="0"/>
        <w:spacing w:line="520" w:lineRule="exact"/>
        <w:ind w:firstLine="475" w:firstLineChars="198"/>
        <w:rPr>
          <w:rFonts w:hint="eastAsia" w:ascii="宋体" w:hAnsi="宋体" w:eastAsia="宋体" w:cs="宋体"/>
          <w:sz w:val="24"/>
          <w:szCs w:val="24"/>
          <w:highlight w:val="none"/>
          <w:u w:val="single"/>
          <w:lang w:val="en-US" w:eastAsia="zh-CN"/>
        </w:rPr>
      </w:pPr>
      <w:r>
        <w:rPr>
          <w:rFonts w:hint="eastAsia" w:ascii="宋体" w:hAnsi="宋体" w:eastAsia="宋体" w:cs="宋体"/>
          <w:sz w:val="24"/>
          <w:szCs w:val="24"/>
          <w:highlight w:val="none"/>
          <w:lang w:val="en-US" w:eastAsia="zh-CN"/>
        </w:rPr>
        <w:t>项目总工：</w:t>
      </w:r>
      <w:r>
        <w:rPr>
          <w:rFonts w:hint="eastAsia" w:ascii="宋体" w:hAnsi="宋体" w:eastAsia="宋体" w:cs="宋体"/>
          <w:sz w:val="24"/>
          <w:szCs w:val="24"/>
          <w:highlight w:val="none"/>
          <w:u w:val="single"/>
          <w:lang w:val="en-US" w:eastAsia="zh-CN"/>
        </w:rPr>
        <w:t xml:space="preserve">                 （职称） </w:t>
      </w:r>
    </w:p>
    <w:p>
      <w:pPr>
        <w:spacing w:line="520" w:lineRule="exact"/>
        <w:rPr>
          <w:rFonts w:hint="eastAsia" w:ascii="宋体" w:hAnsi="宋体" w:eastAsia="宋体" w:cs="宋体"/>
          <w:b/>
          <w:sz w:val="24"/>
          <w:szCs w:val="24"/>
          <w:highlight w:val="none"/>
        </w:rPr>
      </w:pPr>
      <w:r>
        <w:rPr>
          <w:rFonts w:hint="eastAsia" w:ascii="宋体" w:hAnsi="宋体" w:eastAsia="宋体" w:cs="宋体"/>
          <w:b/>
          <w:sz w:val="24"/>
          <w:szCs w:val="24"/>
          <w:highlight w:val="none"/>
          <w:lang w:eastAsia="zh-CN"/>
        </w:rPr>
        <w:t>六</w:t>
      </w:r>
      <w:r>
        <w:rPr>
          <w:rFonts w:hint="eastAsia" w:ascii="宋体" w:hAnsi="宋体" w:eastAsia="宋体" w:cs="宋体"/>
          <w:b/>
          <w:sz w:val="24"/>
          <w:szCs w:val="24"/>
          <w:highlight w:val="none"/>
        </w:rPr>
        <w:t xml:space="preserve">、服务期  </w:t>
      </w:r>
    </w:p>
    <w:p>
      <w:pPr>
        <w:adjustRightInd w:val="0"/>
        <w:snapToGrid w:val="0"/>
        <w:spacing w:line="520" w:lineRule="exact"/>
        <w:ind w:firstLine="475" w:firstLineChars="198"/>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u w:val="single"/>
          <w:lang w:val="en-US" w:eastAsia="zh-CN"/>
        </w:rPr>
        <w:t xml:space="preserve">                      </w:t>
      </w:r>
    </w:p>
    <w:p>
      <w:pPr>
        <w:spacing w:line="520" w:lineRule="exact"/>
        <w:rPr>
          <w:rFonts w:hint="eastAsia" w:ascii="宋体" w:hAnsi="宋体" w:eastAsia="宋体" w:cs="宋体"/>
          <w:b/>
          <w:sz w:val="24"/>
          <w:szCs w:val="24"/>
          <w:highlight w:val="none"/>
        </w:rPr>
      </w:pPr>
      <w:r>
        <w:rPr>
          <w:rFonts w:hint="eastAsia" w:ascii="宋体" w:hAnsi="宋体" w:eastAsia="宋体" w:cs="宋体"/>
          <w:b/>
          <w:sz w:val="24"/>
          <w:szCs w:val="24"/>
          <w:highlight w:val="none"/>
          <w:lang w:eastAsia="zh-CN"/>
        </w:rPr>
        <w:t>七</w:t>
      </w:r>
      <w:r>
        <w:rPr>
          <w:rFonts w:hint="eastAsia" w:ascii="宋体" w:hAnsi="宋体" w:eastAsia="宋体" w:cs="宋体"/>
          <w:b/>
          <w:sz w:val="24"/>
          <w:szCs w:val="24"/>
          <w:highlight w:val="none"/>
        </w:rPr>
        <w:t>、主要工作内容</w:t>
      </w:r>
    </w:p>
    <w:p>
      <w:pPr>
        <w:pStyle w:val="20"/>
        <w:shd w:val="clear" w:color="auto" w:fill="FFFFFF"/>
        <w:spacing w:beforeAutospacing="0" w:afterAutospacing="0" w:line="360" w:lineRule="auto"/>
        <w:ind w:firstLine="420"/>
        <w:rPr>
          <w:rFonts w:hint="default" w:ascii="宋体" w:hAnsi="宋体" w:eastAsia="宋体" w:cs="宋体"/>
          <w:highlight w:val="none"/>
          <w:lang w:val="en-US" w:eastAsia="zh-CN"/>
        </w:rPr>
      </w:pPr>
      <w:r>
        <w:rPr>
          <w:rFonts w:hint="eastAsia" w:ascii="宋体" w:hAnsi="宋体" w:eastAsia="宋体" w:cs="宋体"/>
          <w:highlight w:val="none"/>
          <w:lang w:val="en-US" w:eastAsia="zh-CN"/>
        </w:rPr>
        <w:t>按照采购人要求，完成新增普通省道危旧桥梁（隧) 技术状况评定，</w:t>
      </w:r>
      <w:r>
        <w:rPr>
          <w:rFonts w:hint="eastAsia" w:cs="宋体"/>
          <w:highlight w:val="none"/>
          <w:lang w:val="en-US" w:eastAsia="zh-CN"/>
        </w:rPr>
        <w:t>全面核查桥梁基础数据准确性，</w:t>
      </w:r>
      <w:r>
        <w:rPr>
          <w:rFonts w:hint="eastAsia" w:ascii="宋体" w:hAnsi="宋体" w:eastAsia="宋体" w:cs="宋体"/>
          <w:highlight w:val="none"/>
          <w:lang w:val="en-US" w:eastAsia="zh-CN"/>
        </w:rPr>
        <w:t>按照部颁最新《公路桥涵养护规范》《公路隧道养护技术规范》有关规定</w:t>
      </w:r>
      <w:r>
        <w:rPr>
          <w:rFonts w:hint="eastAsia" w:cs="宋体"/>
          <w:highlight w:val="none"/>
          <w:lang w:val="en-US" w:eastAsia="zh-CN"/>
        </w:rPr>
        <w:t>,</w:t>
      </w:r>
      <w:r>
        <w:rPr>
          <w:rFonts w:hint="eastAsia" w:ascii="宋体" w:hAnsi="宋体" w:eastAsia="宋体" w:cs="宋体"/>
          <w:highlight w:val="none"/>
          <w:lang w:val="en-US" w:eastAsia="zh-CN"/>
        </w:rPr>
        <w:t>通过定期检查形成一桥一报告、一隧一报告，并以各市县为单元形成评定分报告和全省总报告，更新补充上传养护</w:t>
      </w:r>
      <w:r>
        <w:rPr>
          <w:rFonts w:hint="eastAsia" w:cs="宋体"/>
          <w:highlight w:val="none"/>
          <w:lang w:val="en-US" w:eastAsia="zh-CN"/>
        </w:rPr>
        <w:t>统计</w:t>
      </w:r>
      <w:r>
        <w:rPr>
          <w:rFonts w:hint="eastAsia" w:ascii="宋体" w:hAnsi="宋体" w:eastAsia="宋体" w:cs="宋体"/>
          <w:highlight w:val="none"/>
          <w:lang w:val="en-US" w:eastAsia="zh-CN"/>
        </w:rPr>
        <w:t>年报</w:t>
      </w:r>
      <w:r>
        <w:rPr>
          <w:rFonts w:hint="eastAsia" w:cs="宋体"/>
          <w:highlight w:val="none"/>
          <w:lang w:val="en-US" w:eastAsia="zh-CN"/>
        </w:rPr>
        <w:t>系统</w:t>
      </w:r>
      <w:r>
        <w:rPr>
          <w:rFonts w:hint="eastAsia" w:ascii="宋体" w:hAnsi="宋体" w:eastAsia="宋体" w:cs="宋体"/>
          <w:highlight w:val="none"/>
          <w:lang w:val="en-US" w:eastAsia="zh-CN"/>
        </w:rPr>
        <w:t>，支撑养护决策和各市干线公路桥隧养护管理工作评价。</w:t>
      </w:r>
    </w:p>
    <w:p>
      <w:pPr>
        <w:pStyle w:val="2"/>
        <w:spacing w:line="360" w:lineRule="auto"/>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八、技术要求：</w:t>
      </w:r>
    </w:p>
    <w:p>
      <w:pPr>
        <w:pStyle w:val="2"/>
        <w:spacing w:line="360" w:lineRule="auto"/>
        <w:ind w:firstLine="480" w:firstLineChars="200"/>
        <w:rPr>
          <w:rFonts w:hint="eastAsia" w:ascii="宋体" w:hAnsi="宋体" w:eastAsia="宋体" w:cs="宋体"/>
          <w:b/>
          <w:sz w:val="24"/>
          <w:szCs w:val="24"/>
          <w:highlight w:val="none"/>
        </w:rPr>
      </w:pPr>
      <w:r>
        <w:rPr>
          <w:rFonts w:hint="eastAsia" w:ascii="宋体" w:hAnsi="宋体" w:eastAsia="宋体" w:cs="宋体"/>
          <w:color w:val="auto"/>
          <w:kern w:val="2"/>
          <w:sz w:val="24"/>
          <w:szCs w:val="24"/>
          <w:highlight w:val="none"/>
          <w:lang w:val="en-US" w:eastAsia="zh-CN" w:bidi="ar-SA"/>
        </w:rPr>
        <w:t>满足交通运输部、陕西省交通运输主管部门印发的规范性文件以及招标文件相关技术要求。</w:t>
      </w:r>
    </w:p>
    <w:p>
      <w:pPr>
        <w:spacing w:line="520" w:lineRule="exact"/>
        <w:rPr>
          <w:rFonts w:hint="eastAsia" w:ascii="宋体" w:hAnsi="宋体" w:eastAsia="宋体" w:cs="宋体"/>
          <w:b/>
          <w:sz w:val="24"/>
          <w:szCs w:val="24"/>
          <w:highlight w:val="none"/>
        </w:rPr>
      </w:pPr>
      <w:r>
        <w:rPr>
          <w:rFonts w:hint="eastAsia" w:ascii="宋体" w:hAnsi="宋体" w:eastAsia="宋体" w:cs="宋体"/>
          <w:b/>
          <w:sz w:val="24"/>
          <w:szCs w:val="24"/>
          <w:highlight w:val="none"/>
          <w:lang w:val="en-US" w:eastAsia="zh-CN"/>
        </w:rPr>
        <w:t>九、</w:t>
      </w:r>
      <w:r>
        <w:rPr>
          <w:rFonts w:hint="eastAsia" w:ascii="宋体" w:hAnsi="宋体" w:eastAsia="宋体" w:cs="宋体"/>
          <w:b/>
          <w:sz w:val="24"/>
          <w:szCs w:val="24"/>
          <w:highlight w:val="none"/>
        </w:rPr>
        <w:t>售后服务</w:t>
      </w:r>
    </w:p>
    <w:p>
      <w:pPr>
        <w:tabs>
          <w:tab w:val="left" w:pos="840"/>
        </w:tabs>
        <w:spacing w:line="52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技术支持和售后服务由供应商严格按投标文件及有关承诺执行，提供7*24小时电话咨询服务，出现问题时，2小时内电话响应，12小时内电话解决问题，如有需要48小时内到达故障现场解决问题。</w:t>
      </w:r>
    </w:p>
    <w:p>
      <w:pPr>
        <w:tabs>
          <w:tab w:val="left" w:pos="840"/>
        </w:tabs>
        <w:spacing w:line="520" w:lineRule="exact"/>
        <w:ind w:firstLine="480" w:firstLineChars="200"/>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售后服务联系方式：</w:t>
      </w:r>
      <w:r>
        <w:rPr>
          <w:rFonts w:hint="eastAsia" w:ascii="宋体" w:hAnsi="宋体" w:eastAsia="宋体" w:cs="宋体"/>
          <w:sz w:val="24"/>
          <w:szCs w:val="24"/>
          <w:highlight w:val="none"/>
          <w:u w:val="single"/>
        </w:rPr>
        <w:t xml:space="preserve">          </w:t>
      </w:r>
    </w:p>
    <w:p>
      <w:pPr>
        <w:tabs>
          <w:tab w:val="left" w:pos="840"/>
        </w:tabs>
        <w:spacing w:line="520" w:lineRule="exact"/>
        <w:ind w:firstLine="480" w:firstLineChars="200"/>
        <w:rPr>
          <w:rFonts w:hint="eastAsia" w:ascii="宋体" w:hAnsi="宋体" w:eastAsia="宋体" w:cs="宋体"/>
          <w:b/>
          <w:sz w:val="24"/>
          <w:szCs w:val="24"/>
          <w:highlight w:val="none"/>
        </w:rPr>
      </w:pPr>
      <w:r>
        <w:rPr>
          <w:rFonts w:hint="eastAsia" w:ascii="宋体" w:hAnsi="宋体" w:eastAsia="宋体" w:cs="宋体"/>
          <w:sz w:val="24"/>
          <w:szCs w:val="24"/>
          <w:highlight w:val="none"/>
        </w:rPr>
        <w:t>如供应商自身原因或不能履行售后服务义务，采购人有权委托第三方处理，由此产生的费用和风险由供应商承担，费用由采购人从履约保证金中直接扣除，不足部分仍由供应商承担。</w:t>
      </w:r>
    </w:p>
    <w:p>
      <w:pPr>
        <w:spacing w:line="520" w:lineRule="exact"/>
        <w:rPr>
          <w:rFonts w:hint="eastAsia" w:ascii="宋体" w:hAnsi="宋体" w:eastAsia="宋体" w:cs="宋体"/>
          <w:b/>
          <w:sz w:val="24"/>
          <w:szCs w:val="24"/>
          <w:highlight w:val="none"/>
        </w:rPr>
      </w:pPr>
      <w:r>
        <w:rPr>
          <w:rFonts w:hint="eastAsia" w:ascii="宋体" w:hAnsi="宋体" w:eastAsia="宋体" w:cs="宋体"/>
          <w:b/>
          <w:sz w:val="24"/>
          <w:szCs w:val="24"/>
          <w:highlight w:val="none"/>
          <w:lang w:eastAsia="zh-CN"/>
        </w:rPr>
        <w:t>十</w:t>
      </w:r>
      <w:r>
        <w:rPr>
          <w:rFonts w:hint="eastAsia" w:ascii="宋体" w:hAnsi="宋体" w:eastAsia="宋体" w:cs="宋体"/>
          <w:b/>
          <w:sz w:val="24"/>
          <w:szCs w:val="24"/>
          <w:highlight w:val="none"/>
        </w:rPr>
        <w:t>、验收</w:t>
      </w:r>
    </w:p>
    <w:p>
      <w:pPr>
        <w:tabs>
          <w:tab w:val="left" w:pos="840"/>
        </w:tabs>
        <w:spacing w:line="52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项目完成后，采购人组织相关人员和专家对有关报告进行技术审查，并按规定组织最终履约验收。技术审查、履约验收依据为本合同文本、招投标文件和国内相应的标准、规范等。审查、履约验收合格后，采购人填写终验收单。技术审查、验收不合格的限期整改，整改过程中产生的费用和货物发生的一切损失由投标人承担;整改超过二次的，采购人有权单方解除本合同，</w:t>
      </w:r>
      <w:r>
        <w:rPr>
          <w:rFonts w:hint="eastAsia" w:ascii="宋体" w:hAnsi="宋体" w:cs="宋体"/>
          <w:sz w:val="24"/>
          <w:szCs w:val="24"/>
          <w:highlight w:val="none"/>
          <w:lang w:val="en-US" w:eastAsia="zh-CN"/>
        </w:rPr>
        <w:t>供应商</w:t>
      </w:r>
      <w:r>
        <w:rPr>
          <w:rFonts w:hint="eastAsia" w:ascii="宋体" w:hAnsi="宋体" w:eastAsia="宋体" w:cs="宋体"/>
          <w:sz w:val="24"/>
          <w:szCs w:val="24"/>
          <w:highlight w:val="none"/>
        </w:rPr>
        <w:t>应无条件退还已收取的全部合同价款，并按合同总价10%向采购人支付违约金，违约金不足弥补采购人损失的，由</w:t>
      </w:r>
      <w:r>
        <w:rPr>
          <w:rFonts w:hint="eastAsia" w:ascii="宋体" w:hAnsi="宋体" w:cs="宋体"/>
          <w:sz w:val="24"/>
          <w:szCs w:val="24"/>
          <w:highlight w:val="none"/>
          <w:lang w:val="en-US" w:eastAsia="zh-CN"/>
        </w:rPr>
        <w:t>供应商</w:t>
      </w:r>
      <w:r>
        <w:rPr>
          <w:rFonts w:hint="eastAsia" w:ascii="宋体" w:hAnsi="宋体" w:eastAsia="宋体" w:cs="宋体"/>
          <w:sz w:val="24"/>
          <w:szCs w:val="24"/>
          <w:highlight w:val="none"/>
        </w:rPr>
        <w:t>负责赔偿。</w:t>
      </w:r>
    </w:p>
    <w:p>
      <w:pPr>
        <w:spacing w:line="520" w:lineRule="exact"/>
        <w:rPr>
          <w:rFonts w:hint="eastAsia" w:ascii="宋体" w:hAnsi="宋体" w:eastAsia="宋体" w:cs="宋体"/>
          <w:b/>
          <w:sz w:val="24"/>
          <w:szCs w:val="24"/>
          <w:highlight w:val="none"/>
        </w:rPr>
      </w:pPr>
      <w:r>
        <w:rPr>
          <w:rFonts w:hint="eastAsia" w:ascii="宋体" w:hAnsi="宋体" w:eastAsia="宋体" w:cs="宋体"/>
          <w:b/>
          <w:sz w:val="24"/>
          <w:szCs w:val="24"/>
          <w:highlight w:val="none"/>
        </w:rPr>
        <w:t>十</w:t>
      </w:r>
      <w:r>
        <w:rPr>
          <w:rFonts w:hint="eastAsia" w:ascii="宋体" w:hAnsi="宋体" w:eastAsia="宋体" w:cs="宋体"/>
          <w:b/>
          <w:sz w:val="24"/>
          <w:szCs w:val="24"/>
          <w:highlight w:val="none"/>
          <w:lang w:eastAsia="zh-CN"/>
        </w:rPr>
        <w:t>一</w:t>
      </w:r>
      <w:r>
        <w:rPr>
          <w:rFonts w:hint="eastAsia" w:ascii="宋体" w:hAnsi="宋体" w:eastAsia="宋体" w:cs="宋体"/>
          <w:b/>
          <w:sz w:val="24"/>
          <w:szCs w:val="24"/>
          <w:highlight w:val="none"/>
        </w:rPr>
        <w:t>、保密</w:t>
      </w:r>
    </w:p>
    <w:p>
      <w:pPr>
        <w:tabs>
          <w:tab w:val="left" w:pos="1080"/>
        </w:tabs>
        <w:spacing w:line="520" w:lineRule="exact"/>
        <w:ind w:firstLine="360" w:firstLineChars="15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对工作中了解到的采购人的技术、机密等进行严格保密，不得向他人泄漏。本合同的解除或终止不免除供应商应承担的保密义务。</w:t>
      </w:r>
    </w:p>
    <w:p>
      <w:pPr>
        <w:spacing w:line="520" w:lineRule="exact"/>
        <w:rPr>
          <w:rFonts w:hint="eastAsia" w:ascii="宋体" w:hAnsi="宋体" w:eastAsia="宋体" w:cs="宋体"/>
          <w:b/>
          <w:sz w:val="24"/>
          <w:szCs w:val="24"/>
          <w:highlight w:val="none"/>
        </w:rPr>
      </w:pPr>
      <w:r>
        <w:rPr>
          <w:rFonts w:hint="eastAsia" w:ascii="宋体" w:hAnsi="宋体" w:eastAsia="宋体" w:cs="宋体"/>
          <w:b/>
          <w:sz w:val="24"/>
          <w:szCs w:val="24"/>
          <w:highlight w:val="none"/>
        </w:rPr>
        <w:t>十</w:t>
      </w:r>
      <w:r>
        <w:rPr>
          <w:rFonts w:hint="eastAsia" w:ascii="宋体" w:hAnsi="宋体" w:eastAsia="宋体" w:cs="宋体"/>
          <w:b/>
          <w:sz w:val="24"/>
          <w:szCs w:val="24"/>
          <w:highlight w:val="none"/>
          <w:lang w:eastAsia="zh-CN"/>
        </w:rPr>
        <w:t>二</w:t>
      </w:r>
      <w:r>
        <w:rPr>
          <w:rFonts w:hint="eastAsia" w:ascii="宋体" w:hAnsi="宋体" w:eastAsia="宋体" w:cs="宋体"/>
          <w:b/>
          <w:sz w:val="24"/>
          <w:szCs w:val="24"/>
          <w:highlight w:val="none"/>
        </w:rPr>
        <w:t>、知识产权</w:t>
      </w:r>
    </w:p>
    <w:p>
      <w:pPr>
        <w:spacing w:line="52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供应商应对所供服务具有或已取得合法知识产权，供应商应保证所供服务不会出现因第三方提出侵犯其专利权、商标权或其它知识产权而引发法律或经济纠纷，否则由供应商负责解决并承担全部责任；如因此影响到采购人的正常使用，采购人有权单方解除本合同，供应商应无条件向采购人退回已收取的全部合同价款，给采购人造成损失的，由供应商一并赔偿。</w:t>
      </w:r>
    </w:p>
    <w:p>
      <w:pPr>
        <w:spacing w:line="520" w:lineRule="exact"/>
        <w:rPr>
          <w:rFonts w:hint="eastAsia" w:ascii="宋体" w:hAnsi="宋体" w:eastAsia="宋体" w:cs="宋体"/>
          <w:b/>
          <w:sz w:val="24"/>
          <w:szCs w:val="24"/>
          <w:highlight w:val="none"/>
        </w:rPr>
      </w:pPr>
      <w:r>
        <w:rPr>
          <w:rFonts w:hint="eastAsia" w:ascii="宋体" w:hAnsi="宋体" w:eastAsia="宋体" w:cs="宋体"/>
          <w:b/>
          <w:sz w:val="24"/>
          <w:szCs w:val="24"/>
          <w:highlight w:val="none"/>
        </w:rPr>
        <w:t>十</w:t>
      </w:r>
      <w:r>
        <w:rPr>
          <w:rFonts w:hint="eastAsia" w:ascii="宋体" w:hAnsi="宋体" w:eastAsia="宋体" w:cs="宋体"/>
          <w:b/>
          <w:sz w:val="24"/>
          <w:szCs w:val="24"/>
          <w:highlight w:val="none"/>
          <w:lang w:eastAsia="zh-CN"/>
        </w:rPr>
        <w:t>三</w:t>
      </w:r>
      <w:r>
        <w:rPr>
          <w:rFonts w:hint="eastAsia" w:ascii="宋体" w:hAnsi="宋体" w:eastAsia="宋体" w:cs="宋体"/>
          <w:b/>
          <w:sz w:val="24"/>
          <w:szCs w:val="24"/>
          <w:highlight w:val="none"/>
        </w:rPr>
        <w:t>、合同争议的解决</w:t>
      </w:r>
    </w:p>
    <w:p>
      <w:pPr>
        <w:spacing w:line="52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在执行本合同中发生的或与本合同有关的争端，双方应通过友好协商解决，经协商在30天内不能达成协议时，应向甲方所在地人民法院提请诉讼。</w:t>
      </w:r>
    </w:p>
    <w:p>
      <w:pPr>
        <w:spacing w:line="520" w:lineRule="exact"/>
        <w:jc w:val="left"/>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十</w:t>
      </w:r>
      <w:r>
        <w:rPr>
          <w:rFonts w:hint="eastAsia" w:ascii="宋体" w:hAnsi="宋体" w:eastAsia="宋体" w:cs="宋体"/>
          <w:b/>
          <w:bCs/>
          <w:sz w:val="24"/>
          <w:szCs w:val="24"/>
          <w:highlight w:val="none"/>
          <w:lang w:eastAsia="zh-CN"/>
        </w:rPr>
        <w:t>四</w:t>
      </w:r>
      <w:r>
        <w:rPr>
          <w:rFonts w:hint="eastAsia" w:ascii="宋体" w:hAnsi="宋体" w:eastAsia="宋体" w:cs="宋体"/>
          <w:b/>
          <w:bCs/>
          <w:sz w:val="24"/>
          <w:szCs w:val="24"/>
          <w:highlight w:val="none"/>
        </w:rPr>
        <w:t>、不可抗力情况下的免责约定</w:t>
      </w:r>
    </w:p>
    <w:p>
      <w:pPr>
        <w:spacing w:line="52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双方约定不可抗力情况指：双方不可预见、不可避免、不可克服的客观情况，但不包括双方的违约或疏忽。这些事件包括但不限于：战争、严重火灾、洪水、台风、地震等。</w:t>
      </w:r>
    </w:p>
    <w:p>
      <w:pPr>
        <w:spacing w:line="52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1、在合同有效期内，任何一方因不可抗力事件导致不能履行合同，则合同履行期可延长，其延长期与不可抗力影响期相同。</w:t>
      </w:r>
    </w:p>
    <w:p>
      <w:pPr>
        <w:spacing w:line="52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2、不可抗力事件发生后，应立即通知对方，并寄送有关权威机构出具的证明。</w:t>
      </w:r>
    </w:p>
    <w:p>
      <w:pPr>
        <w:spacing w:line="52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3、不可抗力事件延续60天以上，双方应通过友好协商，确定是否继续履行合同。</w:t>
      </w:r>
    </w:p>
    <w:p>
      <w:pPr>
        <w:spacing w:line="520" w:lineRule="exact"/>
        <w:rPr>
          <w:rFonts w:hint="eastAsia" w:ascii="宋体" w:hAnsi="宋体" w:eastAsia="宋体" w:cs="宋体"/>
          <w:b/>
          <w:sz w:val="24"/>
          <w:szCs w:val="24"/>
          <w:highlight w:val="none"/>
        </w:rPr>
      </w:pPr>
      <w:r>
        <w:rPr>
          <w:rFonts w:hint="eastAsia" w:ascii="宋体" w:hAnsi="宋体" w:eastAsia="宋体" w:cs="宋体"/>
          <w:b/>
          <w:sz w:val="24"/>
          <w:szCs w:val="24"/>
          <w:highlight w:val="none"/>
        </w:rPr>
        <w:t>十</w:t>
      </w:r>
      <w:r>
        <w:rPr>
          <w:rFonts w:hint="eastAsia" w:ascii="宋体" w:hAnsi="宋体" w:eastAsia="宋体" w:cs="宋体"/>
          <w:b/>
          <w:sz w:val="24"/>
          <w:szCs w:val="24"/>
          <w:highlight w:val="none"/>
          <w:lang w:eastAsia="zh-CN"/>
        </w:rPr>
        <w:t>五</w:t>
      </w:r>
      <w:r>
        <w:rPr>
          <w:rFonts w:hint="eastAsia" w:ascii="宋体" w:hAnsi="宋体" w:eastAsia="宋体" w:cs="宋体"/>
          <w:b/>
          <w:sz w:val="24"/>
          <w:szCs w:val="24"/>
          <w:highlight w:val="none"/>
        </w:rPr>
        <w:t>、违约责任</w:t>
      </w:r>
    </w:p>
    <w:p>
      <w:pPr>
        <w:spacing w:line="52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、甲乙双方必须遵守本合同并执行合同中的各项规定，保证本合同的正常履行。</w:t>
      </w:r>
    </w:p>
    <w:p>
      <w:pPr>
        <w:spacing w:line="520" w:lineRule="exact"/>
        <w:ind w:firstLine="480" w:firstLineChars="200"/>
        <w:rPr>
          <w:rFonts w:hint="eastAsia" w:ascii="宋体" w:hAnsi="宋体" w:cs="宋体"/>
          <w:color w:val="auto"/>
          <w:sz w:val="24"/>
          <w:highlight w:val="none"/>
          <w:lang w:val="en-US" w:eastAsia="zh-CN"/>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spacing w:line="500" w:lineRule="exact"/>
        <w:ind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3、</w:t>
      </w:r>
      <w:r>
        <w:rPr>
          <w:rFonts w:hint="eastAsia" w:ascii="宋体" w:hAnsi="宋体" w:cs="宋体"/>
          <w:color w:val="auto"/>
          <w:sz w:val="24"/>
          <w:highlight w:val="none"/>
        </w:rPr>
        <w:t>乙方完成的工作成果未通过甲方验收的，乙方应按照甲方的要求无条件进行修改，修改2次以上仍不合格，甲方有权</w:t>
      </w:r>
      <w:r>
        <w:rPr>
          <w:rFonts w:hint="eastAsia" w:ascii="宋体" w:hAnsi="宋体" w:cs="宋体"/>
          <w:color w:val="auto"/>
          <w:sz w:val="24"/>
          <w:highlight w:val="none"/>
          <w:lang w:val="en-US" w:eastAsia="zh-CN"/>
        </w:rPr>
        <w:t>单方面解除本合同，乙方应无条件退还已收取的全部合同价款，并按合同总价的10%向甲方支付违约金，违约金不足以弥补甲方损失的，乙方还应予以补足。</w:t>
      </w:r>
    </w:p>
    <w:p>
      <w:pPr>
        <w:spacing w:line="520" w:lineRule="exact"/>
        <w:ind w:firstLine="480" w:firstLineChars="200"/>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rPr>
        <w:t>、因省财政年度预算拨款等政策要求，甲方向乙方支付全部合同价款不视为双方合同履约结束，乙方仍应按照合同约定，完成全部工作内容，否则将视为乙方存在严重失信行为，甲方将上报省财政厅，将乙方列入信用“黑名单”，并在“中国政府采购网”、“信用中国”等网站公示；同时甲方保留要求乙方退还合同价款、赔偿损失的权利。</w:t>
      </w:r>
    </w:p>
    <w:p>
      <w:pPr>
        <w:spacing w:line="580" w:lineRule="exact"/>
        <w:rPr>
          <w:rFonts w:hint="eastAsia" w:ascii="宋体" w:hAnsi="宋体" w:eastAsia="宋体" w:cs="宋体"/>
          <w:b/>
          <w:sz w:val="24"/>
          <w:szCs w:val="24"/>
          <w:highlight w:val="none"/>
        </w:rPr>
      </w:pPr>
      <w:r>
        <w:rPr>
          <w:rFonts w:hint="eastAsia" w:ascii="宋体" w:hAnsi="宋体" w:eastAsia="宋体" w:cs="宋体"/>
          <w:b/>
          <w:sz w:val="24"/>
          <w:szCs w:val="24"/>
          <w:highlight w:val="none"/>
        </w:rPr>
        <w:t>十</w:t>
      </w:r>
      <w:r>
        <w:rPr>
          <w:rFonts w:hint="eastAsia" w:ascii="宋体" w:hAnsi="宋体" w:eastAsia="宋体" w:cs="宋体"/>
          <w:b/>
          <w:sz w:val="24"/>
          <w:szCs w:val="24"/>
          <w:highlight w:val="none"/>
          <w:lang w:eastAsia="zh-CN"/>
        </w:rPr>
        <w:t>六</w:t>
      </w:r>
      <w:r>
        <w:rPr>
          <w:rFonts w:hint="eastAsia" w:ascii="宋体" w:hAnsi="宋体" w:eastAsia="宋体" w:cs="宋体"/>
          <w:b/>
          <w:sz w:val="24"/>
          <w:szCs w:val="24"/>
          <w:highlight w:val="none"/>
        </w:rPr>
        <w:t>、其他</w:t>
      </w:r>
    </w:p>
    <w:p>
      <w:pPr>
        <w:tabs>
          <w:tab w:val="left" w:pos="980"/>
        </w:tabs>
        <w:kinsoku w:val="0"/>
        <w:spacing w:line="58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本合同一式</w:t>
      </w:r>
      <w:r>
        <w:rPr>
          <w:rFonts w:hint="eastAsia" w:ascii="宋体" w:hAnsi="宋体" w:eastAsia="宋体" w:cs="宋体"/>
          <w:sz w:val="24"/>
          <w:szCs w:val="24"/>
          <w:highlight w:val="none"/>
          <w:u w:val="single"/>
        </w:rPr>
        <w:t xml:space="preserve"> 八 </w:t>
      </w:r>
      <w:r>
        <w:rPr>
          <w:rFonts w:hint="eastAsia" w:ascii="宋体" w:hAnsi="宋体" w:eastAsia="宋体" w:cs="宋体"/>
          <w:sz w:val="24"/>
          <w:szCs w:val="24"/>
          <w:highlight w:val="none"/>
        </w:rPr>
        <w:t>份，具有同等法律效力，双方各执</w:t>
      </w:r>
      <w:r>
        <w:rPr>
          <w:rFonts w:hint="eastAsia" w:ascii="宋体" w:hAnsi="宋体" w:eastAsia="宋体" w:cs="宋体"/>
          <w:sz w:val="24"/>
          <w:szCs w:val="24"/>
          <w:highlight w:val="none"/>
          <w:u w:val="single"/>
        </w:rPr>
        <w:t>四</w:t>
      </w:r>
      <w:r>
        <w:rPr>
          <w:rFonts w:hint="eastAsia" w:ascii="宋体" w:hAnsi="宋体" w:eastAsia="宋体" w:cs="宋体"/>
          <w:sz w:val="24"/>
          <w:szCs w:val="24"/>
          <w:highlight w:val="none"/>
        </w:rPr>
        <w:t>份，双方签字盖章后生效。未尽事宜，双方协商解决。</w:t>
      </w:r>
    </w:p>
    <w:p>
      <w:pPr>
        <w:adjustRightInd w:val="0"/>
        <w:snapToGrid w:val="0"/>
        <w:spacing w:line="400" w:lineRule="exact"/>
        <w:ind w:firstLine="475" w:firstLineChars="198"/>
        <w:rPr>
          <w:rFonts w:hint="eastAsia" w:ascii="宋体" w:hAnsi="宋体" w:eastAsia="宋体" w:cs="宋体"/>
          <w:sz w:val="24"/>
          <w:szCs w:val="24"/>
          <w:highlight w:val="none"/>
        </w:rPr>
      </w:pPr>
    </w:p>
    <w:p>
      <w:pPr>
        <w:spacing w:line="600" w:lineRule="exact"/>
        <w:ind w:firstLine="480" w:firstLineChars="200"/>
        <w:rPr>
          <w:rFonts w:hint="eastAsia" w:ascii="宋体" w:hAnsi="宋体" w:eastAsia="宋体" w:cs="宋体"/>
          <w:sz w:val="24"/>
          <w:szCs w:val="24"/>
          <w:highlight w:val="none"/>
          <w:u w:val="single"/>
          <w:lang w:val="en-US" w:eastAsia="zh-CN"/>
        </w:rPr>
      </w:pPr>
      <w:r>
        <w:rPr>
          <w:rFonts w:hint="eastAsia" w:ascii="宋体" w:hAnsi="宋体" w:eastAsia="宋体" w:cs="宋体"/>
          <w:sz w:val="24"/>
          <w:szCs w:val="24"/>
          <w:highlight w:val="none"/>
        </w:rPr>
        <w:t>甲方：</w:t>
      </w:r>
      <w:r>
        <w:rPr>
          <w:rFonts w:hint="eastAsia" w:ascii="宋体" w:hAnsi="宋体" w:eastAsia="宋体" w:cs="宋体"/>
          <w:sz w:val="24"/>
          <w:szCs w:val="24"/>
          <w:highlight w:val="none"/>
          <w:u w:val="single"/>
        </w:rPr>
        <w:t>陕西省公路局</w:t>
      </w:r>
      <w:r>
        <w:rPr>
          <w:rFonts w:hint="eastAsia" w:ascii="宋体" w:hAnsi="宋体" w:eastAsia="宋体" w:cs="宋体"/>
          <w:sz w:val="24"/>
          <w:szCs w:val="24"/>
          <w:highlight w:val="none"/>
          <w:u w:val="none"/>
          <w:lang w:eastAsia="zh-CN"/>
        </w:rPr>
        <w:t>（</w:t>
      </w:r>
      <w:r>
        <w:rPr>
          <w:rFonts w:hint="eastAsia" w:ascii="宋体" w:hAnsi="宋体" w:eastAsia="宋体" w:cs="宋体"/>
          <w:sz w:val="24"/>
          <w:szCs w:val="24"/>
          <w:highlight w:val="none"/>
          <w:u w:val="none"/>
          <w:lang w:val="en-US" w:eastAsia="zh-CN"/>
        </w:rPr>
        <w:t>公章</w:t>
      </w:r>
      <w:r>
        <w:rPr>
          <w:rFonts w:hint="eastAsia" w:ascii="宋体" w:hAnsi="宋体" w:eastAsia="宋体" w:cs="宋体"/>
          <w:sz w:val="24"/>
          <w:szCs w:val="24"/>
          <w:highlight w:val="none"/>
          <w:u w:val="none"/>
          <w:lang w:eastAsia="zh-CN"/>
        </w:rPr>
        <w:t>）</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乙方：</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u w:val="none"/>
          <w:lang w:eastAsia="zh-CN"/>
        </w:rPr>
        <w:t>（</w:t>
      </w:r>
      <w:r>
        <w:rPr>
          <w:rFonts w:hint="eastAsia" w:ascii="宋体" w:hAnsi="宋体" w:eastAsia="宋体" w:cs="宋体"/>
          <w:sz w:val="24"/>
          <w:szCs w:val="24"/>
          <w:highlight w:val="none"/>
          <w:u w:val="none"/>
          <w:lang w:val="en-US" w:eastAsia="zh-CN"/>
        </w:rPr>
        <w:t>公章</w:t>
      </w:r>
      <w:r>
        <w:rPr>
          <w:rFonts w:hint="eastAsia" w:ascii="宋体" w:hAnsi="宋体" w:eastAsia="宋体" w:cs="宋体"/>
          <w:sz w:val="24"/>
          <w:szCs w:val="24"/>
          <w:highlight w:val="none"/>
          <w:u w:val="none"/>
          <w:lang w:eastAsia="zh-CN"/>
        </w:rPr>
        <w:t>）</w:t>
      </w:r>
    </w:p>
    <w:p>
      <w:pPr>
        <w:spacing w:line="600" w:lineRule="exact"/>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法定代表人</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法定代表人</w:t>
      </w:r>
    </w:p>
    <w:p>
      <w:pPr>
        <w:spacing w:line="600" w:lineRule="exact"/>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或其委托代理人：</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或其委托代理人：</w:t>
      </w:r>
      <w:r>
        <w:rPr>
          <w:rFonts w:hint="eastAsia" w:ascii="宋体" w:hAnsi="宋体" w:eastAsia="宋体" w:cs="宋体"/>
          <w:sz w:val="24"/>
          <w:szCs w:val="24"/>
          <w:highlight w:val="none"/>
          <w:u w:val="single"/>
          <w:lang w:val="en-US" w:eastAsia="zh-CN"/>
        </w:rPr>
        <w:t xml:space="preserve">            </w:t>
      </w:r>
    </w:p>
    <w:p>
      <w:pPr>
        <w:spacing w:line="6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年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 xml:space="preserve"> 月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 xml:space="preserve"> 日</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 xml:space="preserve">年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月</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 xml:space="preserve">   日</w:t>
      </w:r>
    </w:p>
    <w:p>
      <w:pPr>
        <w:rPr>
          <w:rFonts w:hint="eastAsia" w:ascii="宋体" w:hAnsi="宋体" w:cs="宋体"/>
          <w:b/>
          <w:bCs/>
          <w:sz w:val="24"/>
          <w:szCs w:val="24"/>
          <w:highlight w:val="none"/>
        </w:rPr>
      </w:pPr>
      <w:r>
        <w:rPr>
          <w:rFonts w:hint="eastAsia" w:ascii="宋体" w:hAnsi="宋体" w:cs="宋体"/>
          <w:b/>
          <w:bCs/>
          <w:sz w:val="24"/>
          <w:szCs w:val="24"/>
          <w:highlight w:val="none"/>
        </w:rPr>
        <w:br w:type="page"/>
      </w:r>
    </w:p>
    <w:p>
      <w:pPr>
        <w:spacing w:line="500" w:lineRule="exact"/>
        <w:jc w:val="center"/>
        <w:rPr>
          <w:rFonts w:ascii="宋体" w:hAnsi="宋体" w:cs="宋体"/>
          <w:sz w:val="24"/>
          <w:szCs w:val="24"/>
          <w:highlight w:val="none"/>
        </w:rPr>
      </w:pPr>
      <w:r>
        <w:rPr>
          <w:rFonts w:hint="eastAsia" w:ascii="宋体" w:hAnsi="宋体" w:cs="宋体"/>
          <w:b/>
          <w:bCs/>
          <w:sz w:val="24"/>
          <w:szCs w:val="24"/>
          <w:highlight w:val="none"/>
        </w:rPr>
        <w:t>廉政合同（格式）</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根据《关于在交通基础设施建设中加强廉政建设的若干意见》以及有关工程建设、廉政建设的规定，为做好工程建设中的党风廉政建设，保证工程建设高效优质，保证建设资金的安全和有效使用以及投资效益，陕西省公路局(以下简称“甲方”)和</w:t>
      </w:r>
      <w:r>
        <w:rPr>
          <w:rFonts w:hint="eastAsia" w:ascii="宋体" w:hAnsi="宋体" w:cs="宋体"/>
          <w:sz w:val="24"/>
          <w:szCs w:val="24"/>
          <w:highlight w:val="none"/>
          <w:u w:val="single"/>
        </w:rPr>
        <mc:AlternateContent>
          <mc:Choice Requires="wps">
            <w:drawing>
              <wp:anchor distT="0" distB="0" distL="114300" distR="114300" simplePos="0" relativeHeight="251660288" behindDoc="1" locked="0" layoutInCell="0" allowOverlap="1">
                <wp:simplePos x="0" y="0"/>
                <wp:positionH relativeFrom="page">
                  <wp:posOffset>1080770</wp:posOffset>
                </wp:positionH>
                <wp:positionV relativeFrom="paragraph">
                  <wp:posOffset>295275</wp:posOffset>
                </wp:positionV>
                <wp:extent cx="50165" cy="0"/>
                <wp:effectExtent l="0" t="0" r="0" b="0"/>
                <wp:wrapNone/>
                <wp:docPr id="1" name="任意多边形 1"/>
                <wp:cNvGraphicFramePr/>
                <a:graphic xmlns:a="http://schemas.openxmlformats.org/drawingml/2006/main">
                  <a:graphicData uri="http://schemas.microsoft.com/office/word/2010/wordprocessingShape">
                    <wps:wsp>
                      <wps:cNvSpPr/>
                      <wps:spPr>
                        <a:xfrm>
                          <a:off x="0" y="0"/>
                          <a:ext cx="50165" cy="0"/>
                        </a:xfrm>
                        <a:custGeom>
                          <a:avLst/>
                          <a:gdLst>
                            <a:gd name="A1" fmla="val 0"/>
                            <a:gd name="A2" fmla="val 0"/>
                          </a:gdLst>
                          <a:ahLst/>
                          <a:cxnLst>
                            <a:cxn ang="0">
                              <a:pos x="0" y="0"/>
                            </a:cxn>
                            <a:cxn ang="0">
                              <a:pos x="50165" y="0"/>
                            </a:cxn>
                          </a:cxnLst>
                          <a:rect l="0" t="0" r="0" b="0"/>
                          <a:pathLst>
                            <a:path w="79" h="1">
                              <a:moveTo>
                                <a:pt x="0" y="0"/>
                              </a:moveTo>
                              <a:lnTo>
                                <a:pt x="79" y="0"/>
                              </a:lnTo>
                            </a:path>
                          </a:pathLst>
                        </a:custGeom>
                        <a:noFill/>
                        <a:ln w="8890" cap="flat" cmpd="sng">
                          <a:solidFill>
                            <a:srgbClr val="000000"/>
                          </a:solidFill>
                          <a:prstDash val="solid"/>
                          <a:round/>
                          <a:headEnd type="none" w="med" len="med"/>
                          <a:tailEnd type="none" w="med" len="med"/>
                        </a:ln>
                        <a:effectLst/>
                      </wps:spPr>
                      <wps:bodyPr upright="1"/>
                    </wps:wsp>
                  </a:graphicData>
                </a:graphic>
              </wp:anchor>
            </w:drawing>
          </mc:Choice>
          <mc:Fallback>
            <w:pict>
              <v:shape id="_x0000_s1026" o:spid="_x0000_s1026" o:spt="100" style="position:absolute;left:0pt;margin-left:85.1pt;margin-top:23.25pt;height:0pt;width:3.95pt;mso-position-horizontal-relative:page;z-index:-251656192;mso-width-relative:page;mso-height-relative:page;" filled="f" stroked="t" coordsize="79,1" o:allowincell="f" o:gfxdata="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G/enfrZAAAACQEAAA8AAAAAAAAAAQAgAAAAIgAAAGRycy9kb3du&#10;cmV2LnhtbFBLAQIUABQAAAAIAIdO4kCLaYQicAIAAGQFAAAOAAAAAAAAAAEAIAAAACgBAABkcnMv&#10;ZTJvRG9jLnhtbFBLBQYAAAAABgAGAFkBAAAKBgAAAAA=&#10;" path="m0,0l79,0e">
                <v:path o:connectlocs="0,0;50165,0" o:connectangles="0,0"/>
                <v:fill on="f" focussize="0,0"/>
                <v:stroke weight="0.7pt" color="#000000" joinstyle="round"/>
                <v:imagedata o:title=""/>
                <o:lock v:ext="edit" aspectratio="f"/>
              </v:shape>
            </w:pict>
          </mc:Fallback>
        </mc:AlternateContent>
      </w:r>
      <w:r>
        <w:rPr>
          <w:rFonts w:hint="eastAsia" w:ascii="宋体" w:hAnsi="宋体" w:cs="宋体"/>
          <w:sz w:val="24"/>
          <w:szCs w:val="24"/>
          <w:highlight w:val="none"/>
        </w:rPr>
        <w:t>成交供应商</w:t>
      </w:r>
      <w:r>
        <w:rPr>
          <w:rFonts w:hint="eastAsia" w:ascii="宋体" w:hAnsi="宋体" w:cs="宋体"/>
          <w:sz w:val="24"/>
          <w:szCs w:val="24"/>
          <w:highlight w:val="none"/>
          <w:u w:val="single"/>
        </w:rPr>
        <w:t>（中标供应商名称）(</w:t>
      </w:r>
      <w:r>
        <w:rPr>
          <w:rFonts w:hint="eastAsia" w:ascii="宋体" w:hAnsi="宋体" w:cs="宋体"/>
          <w:sz w:val="24"/>
          <w:szCs w:val="24"/>
          <w:highlight w:val="none"/>
        </w:rPr>
        <w:t>以下简称“乙方”)，特订立如下合同。</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第一条 双方的权利和义务</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(一)严格遵守党的政策规定和国家有关法律法规及交通运输部的有关规定。</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(二)严格执行</w:t>
      </w:r>
      <w:r>
        <w:rPr>
          <w:rFonts w:hint="eastAsia" w:ascii="宋体" w:hAnsi="宋体" w:cs="宋体"/>
          <w:sz w:val="24"/>
          <w:szCs w:val="24"/>
          <w:highlight w:val="none"/>
          <w:u w:val="single"/>
        </w:rPr>
        <w:t>（项目名称）</w:t>
      </w:r>
      <w:r>
        <w:rPr>
          <w:rFonts w:hint="eastAsia" w:ascii="宋体" w:hAnsi="宋体" w:cs="宋体"/>
          <w:sz w:val="24"/>
          <w:szCs w:val="24"/>
          <w:highlight w:val="none"/>
        </w:rPr>
        <w:t>标段方案设计合同文件，自觉按合同办事。</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(三)双方的业务活动坚持公开、公正、诚信、透明的原则(法律认定的商业秘密和合同文件另有规定除外)，不得损害国家和集体利益，不得违反工程建设管理规章制度。</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(四)建立健全廉政制度，开展廉政教育，设立廉政告示牌，公布举报电话，监督并认真查处违法违纪行为。</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(五)发现对方在业务活动中有违反廉政规定的行为，有及时提醒对方纠正的权利和义务。</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(六)发现各方严重违反本合同义务条款的行为，有向其上级有关部门举报、建议给予处理并要求告知处理结果的权利。</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第二条甲方的义务</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(一)甲方及其工作人员不得索要或接受乙方的礼金、有价证券和贵重物品，不得在乙方报销任何应由甲方或甲方工作人员个人支付的费用等。</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(二)甲方工作人员不得参加乙方安排的超标准宴请和娱乐活动；不得接受乙方提供的通讯工具、交通工具和高档办公用品等。</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(三)甲方及其工作人员不得要求或者接受乙方为其住房装修、婚丧嫁娶活动、配偶子女及其亲属的工作安排以及出国出境、旅游等提供方便等。</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(四)不准向乙方和相关单位介绍或为配偶、子女、亲属参与同本方案设计合同有关的方案设计业务等活动。不得以任何理由要求乙方和相关单位在设计中使用某种产品、材料和设备。</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第三条乙方的义务</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(一)乙方不得以任何理由向甲方及其工作人员行贿或馈赠礼金、有价证券、贵重礼品。</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(二)乙方不得以任何名义为甲方及其工作人员报销应由甲方单位或个人支付的任何费用。</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(三)乙方不得以任何理由安排甲方工作人员参加超标准宴请及娱乐活动。</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(四)乙方不得为甲方单位和个人购置或提供通讯工具、交通工具和高档办公用品等。</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第四条违约责任</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(一)甲方及其工作人员违反本合同第一、二条，按管理权限，依据有关规定给予党纪、政纪或组织处理；涉嫌犯罪的，移交司法机关追究刑事责任；给乙方单位造成经济损失的，应予以赔偿。</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二)乙方及其工作人员违反本合同第一、三条，按管理权限，依据有关规定给予党纪、政纪或组织处理；给甲方单位造成经济损失的，应予以赔偿；情节严重的，甲方建议交通运输主管部门给予乙方一至三年内不得进入其主管的公路养建市场的处罚。</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第五条双方约定：本合同由双方或双方上级单位的纪检监察部门负责监督执行。</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第六条本合同有效期为甲乙双方签署之日起至《协议书》（即本次政府采购主合同）失效日止。</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第七条本合同作为</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u w:val="single"/>
        </w:rPr>
        <w:t>（项目名称）</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rPr>
        <w:t>标段方案设计合同的附件，与服务合同具有同等的法律效力，经合同双方签署后立即生效。</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第八条 本合同一式</w:t>
      </w:r>
      <w:r>
        <w:rPr>
          <w:rFonts w:hint="eastAsia" w:ascii="宋体" w:hAnsi="宋体" w:cs="宋体"/>
          <w:sz w:val="24"/>
          <w:szCs w:val="24"/>
          <w:highlight w:val="none"/>
          <w:u w:val="single"/>
        </w:rPr>
        <w:t xml:space="preserve"> 八 </w:t>
      </w:r>
      <w:r>
        <w:rPr>
          <w:rFonts w:hint="eastAsia" w:ascii="宋体" w:hAnsi="宋体" w:cs="宋体"/>
          <w:sz w:val="24"/>
          <w:szCs w:val="24"/>
          <w:highlight w:val="none"/>
        </w:rPr>
        <w:t>份，具有同等法律效力，双方各执四份，双方签字盖章后生效。</w:t>
      </w:r>
    </w:p>
    <w:p>
      <w:pPr>
        <w:spacing w:line="600" w:lineRule="exact"/>
        <w:ind w:firstLine="480" w:firstLineChars="200"/>
        <w:rPr>
          <w:rFonts w:ascii="宋体" w:hAnsi="宋体" w:cs="宋体"/>
          <w:sz w:val="24"/>
          <w:szCs w:val="24"/>
          <w:highlight w:val="none"/>
        </w:rPr>
      </w:pPr>
    </w:p>
    <w:p>
      <w:pPr>
        <w:spacing w:line="600" w:lineRule="exact"/>
        <w:ind w:firstLine="480" w:firstLineChars="200"/>
        <w:rPr>
          <w:rFonts w:hint="eastAsia" w:ascii="宋体" w:hAnsi="宋体" w:cs="宋体"/>
          <w:sz w:val="24"/>
          <w:szCs w:val="24"/>
          <w:highlight w:val="none"/>
          <w:u w:val="single"/>
          <w:lang w:val="en-US" w:eastAsia="zh-CN"/>
        </w:rPr>
      </w:pPr>
      <w:r>
        <w:rPr>
          <w:rFonts w:hint="eastAsia" w:ascii="宋体" w:hAnsi="宋体" w:cs="宋体"/>
          <w:sz w:val="24"/>
          <w:szCs w:val="24"/>
          <w:highlight w:val="none"/>
        </w:rPr>
        <w:t>甲方：</w:t>
      </w:r>
      <w:r>
        <w:rPr>
          <w:rFonts w:hint="eastAsia" w:ascii="宋体" w:hAnsi="宋体" w:cs="宋体"/>
          <w:sz w:val="24"/>
          <w:szCs w:val="24"/>
          <w:highlight w:val="none"/>
          <w:u w:val="single"/>
        </w:rPr>
        <w:t>陕西省公路局</w:t>
      </w:r>
      <w:r>
        <w:rPr>
          <w:rFonts w:hint="eastAsia" w:ascii="宋体" w:hAnsi="宋体" w:cs="宋体"/>
          <w:sz w:val="24"/>
          <w:szCs w:val="24"/>
          <w:highlight w:val="none"/>
          <w:u w:val="none"/>
          <w:lang w:eastAsia="zh-CN"/>
        </w:rPr>
        <w:t>（</w:t>
      </w:r>
      <w:r>
        <w:rPr>
          <w:rFonts w:hint="eastAsia" w:ascii="宋体" w:hAnsi="宋体" w:cs="宋体"/>
          <w:sz w:val="24"/>
          <w:szCs w:val="24"/>
          <w:highlight w:val="none"/>
          <w:u w:val="none"/>
          <w:lang w:val="en-US" w:eastAsia="zh-CN"/>
        </w:rPr>
        <w:t>公章</w:t>
      </w:r>
      <w:r>
        <w:rPr>
          <w:rFonts w:hint="eastAsia" w:ascii="宋体" w:hAnsi="宋体" w:cs="宋体"/>
          <w:sz w:val="24"/>
          <w:szCs w:val="24"/>
          <w:highlight w:val="none"/>
          <w:u w:val="none"/>
          <w:lang w:eastAsia="zh-CN"/>
        </w:rPr>
        <w:t>）</w:t>
      </w:r>
      <w:r>
        <w:rPr>
          <w:rFonts w:hint="eastAsia" w:ascii="宋体" w:hAnsi="宋体" w:cs="宋体"/>
          <w:sz w:val="24"/>
          <w:szCs w:val="24"/>
          <w:highlight w:val="none"/>
          <w:lang w:val="en-US" w:eastAsia="zh-CN"/>
        </w:rPr>
        <w:t xml:space="preserve">                </w:t>
      </w:r>
      <w:r>
        <w:rPr>
          <w:rFonts w:hint="eastAsia" w:ascii="宋体" w:hAnsi="宋体" w:cs="宋体"/>
          <w:sz w:val="24"/>
          <w:szCs w:val="24"/>
          <w:highlight w:val="none"/>
        </w:rPr>
        <w:t>乙方：</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u w:val="none"/>
          <w:lang w:eastAsia="zh-CN"/>
        </w:rPr>
        <w:t>（</w:t>
      </w:r>
      <w:r>
        <w:rPr>
          <w:rFonts w:hint="eastAsia" w:ascii="宋体" w:hAnsi="宋体" w:cs="宋体"/>
          <w:sz w:val="24"/>
          <w:szCs w:val="24"/>
          <w:highlight w:val="none"/>
          <w:u w:val="none"/>
          <w:lang w:val="en-US" w:eastAsia="zh-CN"/>
        </w:rPr>
        <w:t>公章</w:t>
      </w:r>
      <w:r>
        <w:rPr>
          <w:rFonts w:hint="eastAsia" w:ascii="宋体" w:hAnsi="宋体" w:cs="宋体"/>
          <w:sz w:val="24"/>
          <w:szCs w:val="24"/>
          <w:highlight w:val="none"/>
          <w:u w:val="none"/>
          <w:lang w:eastAsia="zh-CN"/>
        </w:rPr>
        <w:t>）</w:t>
      </w:r>
    </w:p>
    <w:p>
      <w:pPr>
        <w:spacing w:line="600" w:lineRule="exact"/>
        <w:ind w:firstLine="480" w:firstLineChars="200"/>
        <w:rPr>
          <w:rFonts w:hint="default" w:ascii="宋体" w:hAnsi="宋体" w:eastAsia="宋体" w:cs="宋体"/>
          <w:sz w:val="24"/>
          <w:szCs w:val="24"/>
          <w:highlight w:val="none"/>
          <w:lang w:val="en-US" w:eastAsia="zh-CN"/>
        </w:rPr>
      </w:pPr>
      <w:r>
        <w:rPr>
          <w:rFonts w:hint="eastAsia" w:ascii="宋体" w:hAnsi="宋体" w:cs="宋体"/>
          <w:sz w:val="24"/>
          <w:szCs w:val="24"/>
          <w:highlight w:val="none"/>
        </w:rPr>
        <w:t>法定代表人</w:t>
      </w:r>
      <w:r>
        <w:rPr>
          <w:rFonts w:hint="eastAsia" w:ascii="宋体" w:hAnsi="宋体" w:cs="宋体"/>
          <w:sz w:val="24"/>
          <w:szCs w:val="24"/>
          <w:highlight w:val="none"/>
          <w:lang w:val="en-US" w:eastAsia="zh-CN"/>
        </w:rPr>
        <w:t xml:space="preserve">                                </w:t>
      </w:r>
      <w:r>
        <w:rPr>
          <w:rFonts w:hint="eastAsia" w:ascii="宋体" w:hAnsi="宋体" w:cs="宋体"/>
          <w:sz w:val="24"/>
          <w:szCs w:val="24"/>
          <w:highlight w:val="none"/>
        </w:rPr>
        <w:t>法定代表人</w:t>
      </w:r>
    </w:p>
    <w:p>
      <w:pPr>
        <w:spacing w:line="600" w:lineRule="exact"/>
        <w:ind w:firstLine="480" w:firstLineChars="200"/>
        <w:rPr>
          <w:rFonts w:hint="default" w:ascii="宋体" w:hAnsi="宋体" w:eastAsia="宋体" w:cs="宋体"/>
          <w:sz w:val="24"/>
          <w:szCs w:val="24"/>
          <w:highlight w:val="none"/>
          <w:lang w:val="en-US" w:eastAsia="zh-CN"/>
        </w:rPr>
      </w:pPr>
      <w:r>
        <w:rPr>
          <w:rFonts w:hint="eastAsia" w:ascii="宋体" w:hAnsi="宋体" w:cs="宋体"/>
          <w:sz w:val="24"/>
          <w:szCs w:val="24"/>
          <w:highlight w:val="none"/>
        </w:rPr>
        <w:t>或其委托代理人：</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lang w:val="en-US" w:eastAsia="zh-CN"/>
        </w:rPr>
        <w:t xml:space="preserve">              </w:t>
      </w:r>
      <w:r>
        <w:rPr>
          <w:rFonts w:hint="eastAsia" w:ascii="宋体" w:hAnsi="宋体" w:cs="宋体"/>
          <w:sz w:val="24"/>
          <w:szCs w:val="24"/>
          <w:highlight w:val="none"/>
        </w:rPr>
        <w:t>或其委托代理人：</w:t>
      </w:r>
      <w:r>
        <w:rPr>
          <w:rFonts w:hint="eastAsia" w:ascii="宋体" w:hAnsi="宋体" w:cs="宋体"/>
          <w:sz w:val="24"/>
          <w:szCs w:val="24"/>
          <w:highlight w:val="none"/>
          <w:u w:val="single"/>
          <w:lang w:val="en-US" w:eastAsia="zh-CN"/>
        </w:rPr>
        <w:t xml:space="preserve">            </w:t>
      </w:r>
    </w:p>
    <w:p>
      <w:pPr>
        <w:spacing w:line="600" w:lineRule="exact"/>
        <w:ind w:firstLine="960" w:firstLineChars="400"/>
        <w:rPr>
          <w:rFonts w:ascii="宋体" w:hAnsi="宋体" w:cs="宋体"/>
          <w:sz w:val="24"/>
          <w:szCs w:val="24"/>
          <w:highlight w:val="none"/>
        </w:rPr>
      </w:pPr>
      <w:r>
        <w:rPr>
          <w:rFonts w:hint="eastAsia" w:ascii="宋体" w:hAnsi="宋体" w:cs="宋体"/>
          <w:sz w:val="24"/>
          <w:szCs w:val="24"/>
          <w:highlight w:val="none"/>
        </w:rPr>
        <w:t xml:space="preserve">年  </w:t>
      </w:r>
      <w:r>
        <w:rPr>
          <w:rFonts w:hint="eastAsia" w:ascii="宋体" w:hAnsi="宋体" w:cs="宋体"/>
          <w:sz w:val="24"/>
          <w:szCs w:val="24"/>
          <w:highlight w:val="none"/>
          <w:lang w:val="en-US" w:eastAsia="zh-CN"/>
        </w:rPr>
        <w:t xml:space="preserve"> </w:t>
      </w:r>
      <w:r>
        <w:rPr>
          <w:rFonts w:hint="eastAsia" w:ascii="宋体" w:hAnsi="宋体" w:cs="宋体"/>
          <w:sz w:val="24"/>
          <w:szCs w:val="24"/>
          <w:highlight w:val="none"/>
        </w:rPr>
        <w:t xml:space="preserve"> 月  </w:t>
      </w:r>
      <w:r>
        <w:rPr>
          <w:rFonts w:hint="eastAsia" w:ascii="宋体" w:hAnsi="宋体" w:cs="宋体"/>
          <w:sz w:val="24"/>
          <w:szCs w:val="24"/>
          <w:highlight w:val="none"/>
          <w:lang w:val="en-US" w:eastAsia="zh-CN"/>
        </w:rPr>
        <w:t xml:space="preserve">  </w:t>
      </w:r>
      <w:r>
        <w:rPr>
          <w:rFonts w:hint="eastAsia" w:ascii="宋体" w:hAnsi="宋体" w:cs="宋体"/>
          <w:sz w:val="24"/>
          <w:szCs w:val="24"/>
          <w:highlight w:val="none"/>
        </w:rPr>
        <w:t xml:space="preserve"> 日</w:t>
      </w:r>
      <w:r>
        <w:rPr>
          <w:rFonts w:hint="eastAsia" w:ascii="宋体" w:hAnsi="宋体" w:cs="宋体"/>
          <w:sz w:val="24"/>
          <w:szCs w:val="24"/>
          <w:highlight w:val="none"/>
          <w:lang w:val="en-US" w:eastAsia="zh-CN"/>
        </w:rPr>
        <w:t xml:space="preserve">                          </w:t>
      </w:r>
      <w:r>
        <w:rPr>
          <w:rFonts w:hint="eastAsia" w:ascii="宋体" w:hAnsi="宋体" w:cs="宋体"/>
          <w:sz w:val="24"/>
          <w:szCs w:val="24"/>
          <w:highlight w:val="none"/>
        </w:rPr>
        <w:t xml:space="preserve">年   </w:t>
      </w:r>
      <w:r>
        <w:rPr>
          <w:rFonts w:hint="eastAsia" w:ascii="宋体" w:hAnsi="宋体" w:cs="宋体"/>
          <w:sz w:val="24"/>
          <w:szCs w:val="24"/>
          <w:highlight w:val="none"/>
          <w:lang w:val="en-US" w:eastAsia="zh-CN"/>
        </w:rPr>
        <w:t xml:space="preserve"> </w:t>
      </w:r>
      <w:r>
        <w:rPr>
          <w:rFonts w:hint="eastAsia" w:ascii="宋体" w:hAnsi="宋体" w:cs="宋体"/>
          <w:sz w:val="24"/>
          <w:szCs w:val="24"/>
          <w:highlight w:val="none"/>
        </w:rPr>
        <w:t>月</w:t>
      </w:r>
      <w:r>
        <w:rPr>
          <w:rFonts w:hint="eastAsia" w:ascii="宋体" w:hAnsi="宋体" w:cs="宋体"/>
          <w:sz w:val="24"/>
          <w:szCs w:val="24"/>
          <w:highlight w:val="none"/>
          <w:lang w:val="en-US" w:eastAsia="zh-CN"/>
        </w:rPr>
        <w:t xml:space="preserve"> </w:t>
      </w:r>
      <w:r>
        <w:rPr>
          <w:rFonts w:hint="eastAsia" w:ascii="宋体" w:hAnsi="宋体" w:cs="宋体"/>
          <w:sz w:val="24"/>
          <w:szCs w:val="24"/>
          <w:highlight w:val="none"/>
        </w:rPr>
        <w:t xml:space="preserve">   日</w:t>
      </w:r>
    </w:p>
    <w:p>
      <w:pPr>
        <w:rPr>
          <w:rFonts w:hint="eastAsia" w:ascii="宋体" w:hAnsi="宋体" w:eastAsia="宋体" w:cs="宋体"/>
          <w:sz w:val="24"/>
          <w:szCs w:val="24"/>
          <w:highlight w:val="none"/>
        </w:rPr>
      </w:pPr>
    </w:p>
    <w:p>
      <w:pPr>
        <w:rPr>
          <w:rFonts w:hint="eastAsia" w:ascii="宋体" w:hAnsi="宋体" w:cs="宋体"/>
          <w:b/>
          <w:bCs/>
          <w:sz w:val="36"/>
          <w:szCs w:val="36"/>
          <w:highlight w:val="none"/>
        </w:rPr>
      </w:pPr>
      <w:bookmarkStart w:id="67" w:name="_Toc25300"/>
      <w:bookmarkStart w:id="68" w:name="_Toc20265"/>
      <w:bookmarkStart w:id="69" w:name="_Toc18360"/>
      <w:r>
        <w:rPr>
          <w:rFonts w:hint="eastAsia" w:ascii="宋体" w:hAnsi="宋体" w:cs="宋体"/>
          <w:b/>
          <w:bCs/>
          <w:sz w:val="36"/>
          <w:szCs w:val="36"/>
          <w:highlight w:val="none"/>
        </w:rPr>
        <w:br w:type="page"/>
      </w:r>
    </w:p>
    <w:p>
      <w:pPr>
        <w:spacing w:line="500" w:lineRule="exact"/>
        <w:jc w:val="center"/>
        <w:rPr>
          <w:rFonts w:hint="eastAsia" w:ascii="宋体" w:hAnsi="宋体" w:eastAsia="宋体" w:cs="宋体"/>
          <w:b/>
          <w:bCs/>
          <w:sz w:val="24"/>
          <w:szCs w:val="24"/>
          <w:highlight w:val="none"/>
          <w:lang w:eastAsia="zh-CN"/>
        </w:rPr>
      </w:pPr>
      <w:r>
        <w:rPr>
          <w:rFonts w:hint="eastAsia" w:ascii="宋体" w:hAnsi="宋体" w:cs="宋体"/>
          <w:b/>
          <w:bCs/>
          <w:sz w:val="24"/>
          <w:szCs w:val="24"/>
          <w:highlight w:val="none"/>
        </w:rPr>
        <w:t>安全生产合同</w:t>
      </w:r>
    </w:p>
    <w:p>
      <w:pPr>
        <w:spacing w:line="500" w:lineRule="exact"/>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为在本检测项目合同的实施过程中创造安全的工作环境，切实搞好本项目的安全管理工作、本项目</w:t>
      </w:r>
      <w:r>
        <w:rPr>
          <w:rFonts w:hint="eastAsia" w:ascii="宋体" w:hAnsi="宋体" w:cs="宋体"/>
          <w:sz w:val="24"/>
          <w:szCs w:val="24"/>
          <w:highlight w:val="none"/>
          <w:u w:val="single"/>
        </w:rPr>
        <w:t>陕西省公路局</w:t>
      </w:r>
      <w:r>
        <w:rPr>
          <w:rFonts w:hint="eastAsia" w:ascii="宋体" w:hAnsi="宋体" w:cs="宋体"/>
          <w:sz w:val="24"/>
          <w:szCs w:val="24"/>
          <w:highlight w:val="none"/>
        </w:rPr>
        <w:t>（以下筒称</w:t>
      </w:r>
      <w:r>
        <w:rPr>
          <w:rFonts w:hint="eastAsia" w:ascii="宋体" w:hAnsi="宋体" w:cs="宋体"/>
          <w:sz w:val="24"/>
          <w:szCs w:val="24"/>
          <w:highlight w:val="none"/>
          <w:lang w:eastAsia="zh-CN"/>
        </w:rPr>
        <w:t>“</w:t>
      </w:r>
      <w:r>
        <w:rPr>
          <w:rFonts w:hint="eastAsia" w:ascii="宋体" w:hAnsi="宋体" w:cs="宋体"/>
          <w:sz w:val="24"/>
          <w:szCs w:val="24"/>
          <w:highlight w:val="none"/>
        </w:rPr>
        <w:t>甲方</w:t>
      </w:r>
      <w:r>
        <w:rPr>
          <w:rFonts w:hint="eastAsia" w:ascii="宋体" w:hAnsi="宋体" w:cs="宋体"/>
          <w:sz w:val="24"/>
          <w:szCs w:val="24"/>
          <w:highlight w:val="none"/>
          <w:lang w:eastAsia="zh-CN"/>
        </w:rPr>
        <w:t>”</w:t>
      </w:r>
      <w:r>
        <w:rPr>
          <w:rFonts w:hint="eastAsia" w:ascii="宋体" w:hAnsi="宋体" w:cs="宋体"/>
          <w:sz w:val="24"/>
          <w:szCs w:val="24"/>
          <w:highlight w:val="none"/>
        </w:rPr>
        <w:t>）与</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u w:val="none"/>
          <w:lang w:val="en-US" w:eastAsia="zh-CN"/>
        </w:rPr>
        <w:t>（承包人全称，以下简称“乙方”）</w:t>
      </w:r>
      <w:r>
        <w:rPr>
          <w:rFonts w:hint="eastAsia" w:ascii="宋体" w:hAnsi="宋体" w:cs="宋体"/>
          <w:sz w:val="24"/>
          <w:szCs w:val="24"/>
          <w:highlight w:val="none"/>
        </w:rPr>
        <w:t>，特此签订安全生产合同：</w:t>
      </w:r>
    </w:p>
    <w:p>
      <w:pPr>
        <w:spacing w:line="500" w:lineRule="exact"/>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一、甲方职责</w:t>
      </w:r>
    </w:p>
    <w:p>
      <w:pPr>
        <w:spacing w:line="500" w:lineRule="exact"/>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1、严格遵守国家有关安全生产的法律法规，认真执行安全生产规定。</w:t>
      </w:r>
    </w:p>
    <w:p>
      <w:pPr>
        <w:spacing w:line="500" w:lineRule="exact"/>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2．按照</w:t>
      </w:r>
      <w:r>
        <w:rPr>
          <w:rFonts w:hint="eastAsia" w:ascii="宋体" w:hAnsi="宋体" w:cs="宋体"/>
          <w:sz w:val="24"/>
          <w:szCs w:val="24"/>
          <w:highlight w:val="none"/>
          <w:lang w:eastAsia="zh-CN"/>
        </w:rPr>
        <w:t>“</w:t>
      </w:r>
      <w:r>
        <w:rPr>
          <w:rFonts w:hint="eastAsia" w:ascii="宋体" w:hAnsi="宋体" w:cs="宋体"/>
          <w:sz w:val="24"/>
          <w:szCs w:val="24"/>
          <w:highlight w:val="none"/>
        </w:rPr>
        <w:t>安全第一、预防为主</w:t>
      </w:r>
      <w:r>
        <w:rPr>
          <w:rFonts w:hint="eastAsia" w:ascii="宋体" w:hAnsi="宋体" w:cs="宋体"/>
          <w:sz w:val="24"/>
          <w:szCs w:val="24"/>
          <w:highlight w:val="none"/>
          <w:lang w:eastAsia="zh-CN"/>
        </w:rPr>
        <w:t>”</w:t>
      </w:r>
      <w:r>
        <w:rPr>
          <w:rFonts w:hint="eastAsia" w:ascii="宋体" w:hAnsi="宋体" w:cs="宋体"/>
          <w:sz w:val="24"/>
          <w:szCs w:val="24"/>
          <w:highlight w:val="none"/>
        </w:rPr>
        <w:t>和坚持</w:t>
      </w:r>
      <w:r>
        <w:rPr>
          <w:rFonts w:hint="eastAsia" w:ascii="宋体" w:hAnsi="宋体" w:cs="宋体"/>
          <w:sz w:val="24"/>
          <w:szCs w:val="24"/>
          <w:highlight w:val="none"/>
          <w:lang w:eastAsia="zh-CN"/>
        </w:rPr>
        <w:t>“</w:t>
      </w:r>
      <w:r>
        <w:rPr>
          <w:rFonts w:hint="eastAsia" w:ascii="宋体" w:hAnsi="宋体" w:cs="宋体"/>
          <w:sz w:val="24"/>
          <w:szCs w:val="24"/>
          <w:highlight w:val="none"/>
        </w:rPr>
        <w:t>管生产必须管安全</w:t>
      </w:r>
      <w:r>
        <w:rPr>
          <w:rFonts w:hint="eastAsia" w:ascii="宋体" w:hAnsi="宋体" w:cs="宋体"/>
          <w:sz w:val="24"/>
          <w:szCs w:val="24"/>
          <w:highlight w:val="none"/>
          <w:lang w:eastAsia="zh-CN"/>
        </w:rPr>
        <w:t>”</w:t>
      </w:r>
      <w:r>
        <w:rPr>
          <w:rFonts w:hint="eastAsia" w:ascii="宋体" w:hAnsi="宋体" w:cs="宋体"/>
          <w:sz w:val="24"/>
          <w:szCs w:val="24"/>
          <w:highlight w:val="none"/>
        </w:rPr>
        <w:t>的原则进行安全生产管理，做到生产与安全工作同时计划、布置、检查。</w:t>
      </w:r>
    </w:p>
    <w:p>
      <w:pPr>
        <w:spacing w:line="500" w:lineRule="exact"/>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4、及时传达中央及地方有关安全生产的精神，监督乙方及时处理发现的各种安全隐息。</w:t>
      </w:r>
    </w:p>
    <w:p>
      <w:pPr>
        <w:spacing w:line="500" w:lineRule="exact"/>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二、乙方职责</w:t>
      </w:r>
    </w:p>
    <w:p>
      <w:pPr>
        <w:spacing w:line="500" w:lineRule="exact"/>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1、严格遵守国家有关安全生产法律法规，认真执行安全生产规定。</w:t>
      </w:r>
    </w:p>
    <w:p>
      <w:pPr>
        <w:spacing w:line="500" w:lineRule="exact"/>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2、坚持</w:t>
      </w:r>
      <w:r>
        <w:rPr>
          <w:rFonts w:hint="eastAsia" w:ascii="宋体" w:hAnsi="宋体" w:cs="宋体"/>
          <w:sz w:val="24"/>
          <w:szCs w:val="24"/>
          <w:highlight w:val="none"/>
          <w:lang w:eastAsia="zh-CN"/>
        </w:rPr>
        <w:t>“</w:t>
      </w:r>
      <w:r>
        <w:rPr>
          <w:rFonts w:hint="eastAsia" w:ascii="宋体" w:hAnsi="宋体" w:cs="宋体"/>
          <w:sz w:val="24"/>
          <w:szCs w:val="24"/>
          <w:highlight w:val="none"/>
        </w:rPr>
        <w:t>安全第一、预防为主</w:t>
      </w:r>
      <w:r>
        <w:rPr>
          <w:rFonts w:hint="eastAsia" w:ascii="宋体" w:hAnsi="宋体" w:cs="宋体"/>
          <w:sz w:val="24"/>
          <w:szCs w:val="24"/>
          <w:highlight w:val="none"/>
          <w:lang w:eastAsia="zh-CN"/>
        </w:rPr>
        <w:t>”</w:t>
      </w:r>
      <w:r>
        <w:rPr>
          <w:rFonts w:hint="eastAsia" w:ascii="宋体" w:hAnsi="宋体" w:cs="宋体"/>
          <w:sz w:val="24"/>
          <w:szCs w:val="24"/>
          <w:highlight w:val="none"/>
        </w:rPr>
        <w:t>和坚持</w:t>
      </w:r>
      <w:r>
        <w:rPr>
          <w:rFonts w:hint="eastAsia" w:ascii="宋体" w:hAnsi="宋体" w:cs="宋体"/>
          <w:sz w:val="24"/>
          <w:szCs w:val="24"/>
          <w:highlight w:val="none"/>
          <w:lang w:eastAsia="zh-CN"/>
        </w:rPr>
        <w:t>“</w:t>
      </w:r>
      <w:r>
        <w:rPr>
          <w:rFonts w:hint="eastAsia" w:ascii="宋体" w:hAnsi="宋体" w:cs="宋体"/>
          <w:sz w:val="24"/>
          <w:szCs w:val="24"/>
          <w:highlight w:val="none"/>
        </w:rPr>
        <w:t>管生产必须管安全</w:t>
      </w:r>
      <w:r>
        <w:rPr>
          <w:rFonts w:hint="eastAsia" w:ascii="宋体" w:hAnsi="宋体" w:cs="宋体"/>
          <w:sz w:val="24"/>
          <w:szCs w:val="24"/>
          <w:highlight w:val="none"/>
          <w:lang w:eastAsia="zh-CN"/>
        </w:rPr>
        <w:t>”</w:t>
      </w:r>
      <w:r>
        <w:rPr>
          <w:rFonts w:hint="eastAsia" w:ascii="宋体" w:hAnsi="宋体" w:cs="宋体"/>
          <w:sz w:val="24"/>
          <w:szCs w:val="24"/>
          <w:highlight w:val="none"/>
        </w:rPr>
        <w:t>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w:t>
      </w:r>
    </w:p>
    <w:p>
      <w:pPr>
        <w:spacing w:line="500" w:lineRule="exact"/>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3．建立健全安全生产责任制。从派往实施项目的项目负责人到生产工人（包括临时雇请的民工）的安全生产管理系统必须做到纵向到底，一环不漏；各职能部门、人员的安全生产责任制做到横向到边，人人有责。项目负责人是安全生产的第一责任人。现场设置的安全机构，应按合同配备安全员，专职负责所有员工的安全和治安保卫工作及预防事故的发生。安全机构人员，有权按有关规定发布指令，并采取措施防止事故发生。</w:t>
      </w:r>
    </w:p>
    <w:p>
      <w:pPr>
        <w:spacing w:line="500" w:lineRule="exact"/>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4．乙方在任何时候都应采取各种合理的预防措施，防止其员工发生任何违法、违禁、暴力或妨碍治安的行为。</w:t>
      </w:r>
    </w:p>
    <w:p>
      <w:pPr>
        <w:spacing w:line="500" w:lineRule="exact"/>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5．乙方参加检测的人员，必须接受安全技术教育，熟知和遵守本工种的各项安全技术操作规程，定期进行安全技术考核，合格者方准上岗操作。检测现场如出现特种作业无证操作现象时，项目负责人必须承担责任。</w:t>
      </w:r>
    </w:p>
    <w:p>
      <w:pPr>
        <w:spacing w:line="500" w:lineRule="exact"/>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6．对于易燃易爆的材料除应专门妥善保管之外，还应配备有足够的消防设施，所有检测人员都应熟悉消防设备的性能和使用方法；乙方不得将任何种类的爆炸物给予、易货或以其他方式转让给任何其他人，或允许、容忍上述同样行为。</w:t>
      </w:r>
    </w:p>
    <w:p>
      <w:pPr>
        <w:spacing w:line="500" w:lineRule="exact"/>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8．在现场的所有检测人员，必须按规定穿戴防护用品。不按规定穿戴防护用品的人员不得上岗。</w:t>
      </w:r>
    </w:p>
    <w:p>
      <w:pPr>
        <w:spacing w:line="500" w:lineRule="exact"/>
        <w:ind w:firstLine="480" w:firstLineChars="200"/>
        <w:jc w:val="left"/>
        <w:rPr>
          <w:rFonts w:hint="default" w:ascii="宋体" w:hAnsi="宋体" w:eastAsia="宋体" w:cs="宋体"/>
          <w:sz w:val="24"/>
          <w:szCs w:val="24"/>
          <w:highlight w:val="none"/>
          <w:lang w:val="en-US" w:eastAsia="zh-CN"/>
        </w:rPr>
      </w:pPr>
      <w:r>
        <w:rPr>
          <w:rFonts w:hint="eastAsia" w:ascii="宋体" w:hAnsi="宋体" w:cs="宋体"/>
          <w:sz w:val="24"/>
          <w:szCs w:val="24"/>
          <w:highlight w:val="none"/>
        </w:rPr>
        <w:t>9．所有</w:t>
      </w:r>
      <w:r>
        <w:rPr>
          <w:rFonts w:hint="eastAsia" w:ascii="宋体" w:hAnsi="宋体" w:cs="宋体"/>
          <w:sz w:val="24"/>
          <w:szCs w:val="24"/>
          <w:highlight w:val="none"/>
          <w:lang w:val="en-US" w:eastAsia="zh-CN"/>
        </w:rPr>
        <w:t>检测机具设备和高空作业的设备均应定期检查，并有安全员的签字记录，保证其经常处于完好状态；不合格的机具、</w:t>
      </w:r>
      <w:r>
        <w:rPr>
          <w:rFonts w:hint="eastAsia" w:ascii="宋体" w:hAnsi="宋体" w:cs="宋体"/>
          <w:sz w:val="24"/>
          <w:szCs w:val="24"/>
          <w:highlight w:val="none"/>
        </w:rPr>
        <w:t>设备和劳动保护用品严禁使用。</w:t>
      </w:r>
    </w:p>
    <w:p>
      <w:pPr>
        <w:spacing w:line="500" w:lineRule="exact"/>
        <w:ind w:firstLine="480" w:firstLineChars="200"/>
        <w:jc w:val="left"/>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10、检测中采用新技术、新工艺、新设备、新材料时，必须制定相应的安全技术措施，检测现场必须具有相关的安全标志牌。</w:t>
      </w:r>
    </w:p>
    <w:p>
      <w:pPr>
        <w:spacing w:line="500" w:lineRule="exact"/>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lang w:val="en-US" w:eastAsia="zh-CN"/>
        </w:rPr>
        <w:t>11、乙方必须</w:t>
      </w:r>
      <w:r>
        <w:rPr>
          <w:rFonts w:hint="eastAsia" w:ascii="宋体" w:hAnsi="宋体" w:cs="宋体"/>
          <w:sz w:val="24"/>
          <w:szCs w:val="24"/>
          <w:highlight w:val="none"/>
        </w:rPr>
        <w:t>按照本项目特点，制定本项目实施中的生产安全事故应急救援预案；</w:t>
      </w:r>
      <w:r>
        <w:rPr>
          <w:rFonts w:hint="eastAsia" w:ascii="宋体" w:hAnsi="宋体" w:cs="宋体"/>
          <w:sz w:val="24"/>
          <w:szCs w:val="24"/>
          <w:highlight w:val="none"/>
          <w:lang w:val="en-US" w:eastAsia="zh-CN"/>
        </w:rPr>
        <w:t>如果发生安全事故，</w:t>
      </w:r>
      <w:r>
        <w:rPr>
          <w:rFonts w:hint="eastAsia" w:ascii="宋体" w:hAnsi="宋体" w:cs="宋体"/>
          <w:sz w:val="24"/>
          <w:szCs w:val="24"/>
          <w:highlight w:val="none"/>
        </w:rPr>
        <w:t>应按照《国务院关于特大安全事故行政责任追究的规定》以及其它有关规定，及时上报有关部门，并坚持</w:t>
      </w:r>
      <w:r>
        <w:rPr>
          <w:rFonts w:hint="eastAsia" w:ascii="宋体" w:hAnsi="宋体" w:cs="宋体"/>
          <w:sz w:val="24"/>
          <w:szCs w:val="24"/>
          <w:highlight w:val="none"/>
          <w:lang w:eastAsia="zh-CN"/>
        </w:rPr>
        <w:t>“</w:t>
      </w:r>
      <w:r>
        <w:rPr>
          <w:rFonts w:hint="eastAsia" w:ascii="宋体" w:hAnsi="宋体" w:cs="宋体"/>
          <w:sz w:val="24"/>
          <w:szCs w:val="24"/>
          <w:highlight w:val="none"/>
        </w:rPr>
        <w:t>三不放过</w:t>
      </w:r>
      <w:r>
        <w:rPr>
          <w:rFonts w:hint="eastAsia" w:ascii="宋体" w:hAnsi="宋体" w:cs="宋体"/>
          <w:sz w:val="24"/>
          <w:szCs w:val="24"/>
          <w:highlight w:val="none"/>
          <w:lang w:eastAsia="zh-CN"/>
        </w:rPr>
        <w:t>”</w:t>
      </w:r>
      <w:r>
        <w:rPr>
          <w:rFonts w:hint="eastAsia" w:ascii="宋体" w:hAnsi="宋体" w:cs="宋体"/>
          <w:sz w:val="24"/>
          <w:szCs w:val="24"/>
          <w:highlight w:val="none"/>
        </w:rPr>
        <w:t>的原则，严肃处理相关责任人。</w:t>
      </w:r>
    </w:p>
    <w:p>
      <w:pPr>
        <w:spacing w:line="500" w:lineRule="exact"/>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三、违约责任</w:t>
      </w:r>
    </w:p>
    <w:p>
      <w:pPr>
        <w:spacing w:line="500" w:lineRule="exact"/>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如因甲方或乙方原因违约造成安全事故，将依法追究责任。</w:t>
      </w:r>
    </w:p>
    <w:p>
      <w:pPr>
        <w:spacing w:line="500" w:lineRule="exact"/>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本合同一式</w:t>
      </w:r>
      <w:r>
        <w:rPr>
          <w:rFonts w:hint="eastAsia" w:ascii="宋体" w:hAnsi="宋体" w:cs="宋体"/>
          <w:sz w:val="24"/>
          <w:szCs w:val="24"/>
          <w:highlight w:val="none"/>
          <w:u w:val="single"/>
        </w:rPr>
        <w:t>八</w:t>
      </w:r>
      <w:r>
        <w:rPr>
          <w:rFonts w:hint="eastAsia" w:ascii="宋体" w:hAnsi="宋体" w:cs="宋体"/>
          <w:sz w:val="24"/>
          <w:szCs w:val="24"/>
          <w:highlight w:val="none"/>
        </w:rPr>
        <w:t>份，具有同等法律效力，双方各执</w:t>
      </w:r>
      <w:r>
        <w:rPr>
          <w:rFonts w:hint="eastAsia" w:ascii="宋体" w:hAnsi="宋体" w:cs="宋体"/>
          <w:sz w:val="24"/>
          <w:szCs w:val="24"/>
          <w:highlight w:val="none"/>
          <w:u w:val="single"/>
        </w:rPr>
        <w:t>四</w:t>
      </w:r>
      <w:r>
        <w:rPr>
          <w:rFonts w:hint="eastAsia" w:ascii="宋体" w:hAnsi="宋体" w:cs="宋体"/>
          <w:sz w:val="24"/>
          <w:szCs w:val="24"/>
          <w:highlight w:val="none"/>
        </w:rPr>
        <w:t>份。由双方法定代表人或其授权的代理人签署与加盖公章后生效，全部项目竣工验收后失效。</w:t>
      </w:r>
    </w:p>
    <w:p>
      <w:pPr>
        <w:spacing w:line="500" w:lineRule="exact"/>
        <w:ind w:firstLine="480" w:firstLineChars="200"/>
        <w:jc w:val="left"/>
        <w:rPr>
          <w:rFonts w:hint="eastAsia" w:ascii="宋体" w:hAnsi="宋体" w:cs="宋体"/>
          <w:sz w:val="24"/>
          <w:szCs w:val="24"/>
          <w:highlight w:val="none"/>
        </w:rPr>
      </w:pPr>
    </w:p>
    <w:p>
      <w:pPr>
        <w:spacing w:line="500" w:lineRule="exact"/>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甲方：</w:t>
      </w:r>
    </w:p>
    <w:p>
      <w:pPr>
        <w:spacing w:line="500" w:lineRule="exact"/>
        <w:ind w:firstLine="480" w:firstLineChars="200"/>
        <w:jc w:val="left"/>
        <w:rPr>
          <w:rFonts w:hint="eastAsia" w:ascii="宋体" w:hAnsi="宋体" w:cs="宋体"/>
          <w:sz w:val="24"/>
          <w:szCs w:val="24"/>
          <w:highlight w:val="none"/>
          <w:u w:val="single"/>
        </w:rPr>
      </w:pPr>
      <w:r>
        <w:rPr>
          <w:rFonts w:hint="eastAsia" w:ascii="宋体" w:hAnsi="宋体" w:cs="宋体"/>
          <w:sz w:val="24"/>
          <w:szCs w:val="24"/>
          <w:highlight w:val="none"/>
        </w:rPr>
        <w:t>法定代表人或其委托代理人：</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u w:val="single"/>
        </w:rPr>
        <w:t>（签字）</w:t>
      </w:r>
    </w:p>
    <w:p>
      <w:pPr>
        <w:spacing w:line="500" w:lineRule="exact"/>
        <w:ind w:firstLine="7200" w:firstLineChars="3000"/>
        <w:jc w:val="left"/>
        <w:rPr>
          <w:rFonts w:hint="eastAsia" w:ascii="宋体" w:hAnsi="宋体" w:cs="宋体"/>
          <w:sz w:val="24"/>
          <w:szCs w:val="24"/>
          <w:highlight w:val="none"/>
        </w:rPr>
      </w:pPr>
      <w:r>
        <w:rPr>
          <w:rFonts w:hint="eastAsia" w:ascii="宋体" w:hAnsi="宋体" w:cs="宋体"/>
          <w:sz w:val="24"/>
          <w:szCs w:val="24"/>
          <w:highlight w:val="none"/>
        </w:rPr>
        <w:t>年</w:t>
      </w:r>
      <w:r>
        <w:rPr>
          <w:rFonts w:hint="eastAsia" w:ascii="宋体" w:hAnsi="宋体" w:cs="宋体"/>
          <w:sz w:val="24"/>
          <w:szCs w:val="24"/>
          <w:highlight w:val="none"/>
          <w:lang w:val="en-US" w:eastAsia="zh-CN"/>
        </w:rPr>
        <w:t xml:space="preserve">  </w:t>
      </w:r>
      <w:r>
        <w:rPr>
          <w:rFonts w:hint="eastAsia" w:ascii="宋体" w:hAnsi="宋体" w:cs="宋体"/>
          <w:sz w:val="24"/>
          <w:szCs w:val="24"/>
          <w:highlight w:val="none"/>
        </w:rPr>
        <w:t>月</w:t>
      </w:r>
      <w:r>
        <w:rPr>
          <w:rFonts w:hint="eastAsia" w:ascii="宋体" w:hAnsi="宋体" w:cs="宋体"/>
          <w:sz w:val="24"/>
          <w:szCs w:val="24"/>
          <w:highlight w:val="none"/>
          <w:lang w:val="en-US" w:eastAsia="zh-CN"/>
        </w:rPr>
        <w:t xml:space="preserve">  </w:t>
      </w:r>
      <w:r>
        <w:rPr>
          <w:rFonts w:hint="eastAsia" w:ascii="宋体" w:hAnsi="宋体" w:cs="宋体"/>
          <w:sz w:val="24"/>
          <w:szCs w:val="24"/>
          <w:highlight w:val="none"/>
        </w:rPr>
        <w:t>日</w:t>
      </w:r>
    </w:p>
    <w:p>
      <w:pPr>
        <w:spacing w:line="500" w:lineRule="exact"/>
        <w:ind w:firstLine="480" w:firstLineChars="200"/>
        <w:jc w:val="left"/>
        <w:rPr>
          <w:rFonts w:hint="eastAsia" w:ascii="宋体" w:hAnsi="宋体" w:cs="宋体"/>
          <w:sz w:val="24"/>
          <w:szCs w:val="24"/>
          <w:highlight w:val="none"/>
        </w:rPr>
      </w:pPr>
    </w:p>
    <w:p>
      <w:pPr>
        <w:spacing w:line="500" w:lineRule="exact"/>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lang w:val="en-US" w:eastAsia="zh-CN"/>
        </w:rPr>
        <w:t>乙</w:t>
      </w:r>
      <w:r>
        <w:rPr>
          <w:rFonts w:hint="eastAsia" w:ascii="宋体" w:hAnsi="宋体" w:cs="宋体"/>
          <w:sz w:val="24"/>
          <w:szCs w:val="24"/>
          <w:highlight w:val="none"/>
        </w:rPr>
        <w:t>方：</w:t>
      </w:r>
    </w:p>
    <w:p>
      <w:pPr>
        <w:spacing w:line="500" w:lineRule="exact"/>
        <w:ind w:firstLine="480" w:firstLineChars="200"/>
        <w:jc w:val="left"/>
        <w:rPr>
          <w:rFonts w:hint="eastAsia" w:ascii="宋体" w:hAnsi="宋体" w:cs="宋体"/>
          <w:sz w:val="24"/>
          <w:szCs w:val="24"/>
          <w:highlight w:val="none"/>
          <w:u w:val="single"/>
        </w:rPr>
      </w:pPr>
      <w:r>
        <w:rPr>
          <w:rFonts w:hint="eastAsia" w:ascii="宋体" w:hAnsi="宋体" w:cs="宋体"/>
          <w:sz w:val="24"/>
          <w:szCs w:val="24"/>
          <w:highlight w:val="none"/>
        </w:rPr>
        <w:t>法定代表人或其委托代理人：</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u w:val="single"/>
        </w:rPr>
        <w:t>（签字）</w:t>
      </w:r>
    </w:p>
    <w:p>
      <w:pPr>
        <w:spacing w:line="500" w:lineRule="exact"/>
        <w:ind w:firstLine="7200" w:firstLineChars="3000"/>
        <w:jc w:val="left"/>
        <w:rPr>
          <w:rFonts w:hint="eastAsia" w:ascii="宋体" w:hAnsi="宋体" w:cs="宋体"/>
          <w:sz w:val="24"/>
          <w:szCs w:val="24"/>
          <w:highlight w:val="none"/>
        </w:rPr>
      </w:pPr>
      <w:r>
        <w:rPr>
          <w:rFonts w:hint="eastAsia" w:ascii="宋体" w:hAnsi="宋体" w:cs="宋体"/>
          <w:sz w:val="24"/>
          <w:szCs w:val="24"/>
          <w:highlight w:val="none"/>
        </w:rPr>
        <w:t>年</w:t>
      </w:r>
      <w:r>
        <w:rPr>
          <w:rFonts w:hint="eastAsia" w:ascii="宋体" w:hAnsi="宋体" w:cs="宋体"/>
          <w:sz w:val="24"/>
          <w:szCs w:val="24"/>
          <w:highlight w:val="none"/>
          <w:lang w:val="en-US" w:eastAsia="zh-CN"/>
        </w:rPr>
        <w:t xml:space="preserve">  </w:t>
      </w:r>
      <w:r>
        <w:rPr>
          <w:rFonts w:hint="eastAsia" w:ascii="宋体" w:hAnsi="宋体" w:cs="宋体"/>
          <w:sz w:val="24"/>
          <w:szCs w:val="24"/>
          <w:highlight w:val="none"/>
        </w:rPr>
        <w:t>月</w:t>
      </w:r>
      <w:r>
        <w:rPr>
          <w:rFonts w:hint="eastAsia" w:ascii="宋体" w:hAnsi="宋体" w:cs="宋体"/>
          <w:sz w:val="24"/>
          <w:szCs w:val="24"/>
          <w:highlight w:val="none"/>
          <w:lang w:val="en-US" w:eastAsia="zh-CN"/>
        </w:rPr>
        <w:t xml:space="preserve">  </w:t>
      </w:r>
      <w:r>
        <w:rPr>
          <w:rFonts w:hint="eastAsia" w:ascii="宋体" w:hAnsi="宋体" w:cs="宋体"/>
          <w:sz w:val="24"/>
          <w:szCs w:val="24"/>
          <w:highlight w:val="none"/>
        </w:rPr>
        <w:t>日</w:t>
      </w:r>
    </w:p>
    <w:p>
      <w:pPr>
        <w:rPr>
          <w:rFonts w:hint="eastAsia" w:ascii="宋体" w:hAnsi="宋体" w:cs="宋体"/>
          <w:b/>
          <w:bCs/>
          <w:sz w:val="36"/>
          <w:szCs w:val="36"/>
          <w:highlight w:val="none"/>
        </w:rPr>
      </w:pPr>
      <w:r>
        <w:rPr>
          <w:rFonts w:hint="eastAsia" w:ascii="宋体" w:hAnsi="宋体" w:cs="宋体"/>
          <w:b/>
          <w:bCs/>
          <w:sz w:val="36"/>
          <w:szCs w:val="36"/>
          <w:highlight w:val="none"/>
        </w:rPr>
        <w:br w:type="page"/>
      </w:r>
    </w:p>
    <w:p>
      <w:pPr>
        <w:spacing w:line="360" w:lineRule="auto"/>
        <w:jc w:val="center"/>
        <w:outlineLvl w:val="0"/>
        <w:rPr>
          <w:rFonts w:ascii="宋体" w:hAnsi="宋体" w:cs="宋体"/>
          <w:highlight w:val="none"/>
        </w:rPr>
      </w:pPr>
      <w:r>
        <w:rPr>
          <w:rFonts w:hint="eastAsia" w:ascii="宋体" w:hAnsi="宋体" w:cs="宋体"/>
          <w:b/>
          <w:bCs/>
          <w:sz w:val="36"/>
          <w:szCs w:val="36"/>
          <w:highlight w:val="none"/>
        </w:rPr>
        <w:t>第五部分  评审办法</w:t>
      </w:r>
      <w:bookmarkEnd w:id="67"/>
      <w:bookmarkEnd w:id="68"/>
    </w:p>
    <w:p>
      <w:pPr>
        <w:rPr>
          <w:rFonts w:ascii="宋体" w:hAnsi="宋体" w:cs="宋体"/>
          <w:b/>
          <w:bCs/>
          <w:sz w:val="24"/>
          <w:highlight w:val="none"/>
        </w:rPr>
      </w:pPr>
      <w:bookmarkStart w:id="70" w:name="_Toc19907_WPSOffice_Level2"/>
      <w:bookmarkStart w:id="71" w:name="_Toc26333_WPSOffice_Level2"/>
      <w:bookmarkStart w:id="72" w:name="_Toc26628_WPSOffice_Level2"/>
      <w:r>
        <w:rPr>
          <w:rFonts w:hint="eastAsia" w:ascii="宋体" w:hAnsi="宋体" w:cs="宋体"/>
          <w:b/>
          <w:bCs/>
          <w:sz w:val="24"/>
          <w:highlight w:val="none"/>
        </w:rPr>
        <w:t>1.磋商方法</w:t>
      </w:r>
      <w:bookmarkEnd w:id="70"/>
      <w:bookmarkEnd w:id="71"/>
      <w:bookmarkEnd w:id="72"/>
    </w:p>
    <w:p>
      <w:pPr>
        <w:ind w:firstLine="480" w:firstLineChars="200"/>
        <w:rPr>
          <w:rFonts w:ascii="宋体" w:hAnsi="宋体" w:cs="宋体"/>
          <w:b/>
          <w:bCs/>
          <w:sz w:val="24"/>
          <w:highlight w:val="none"/>
        </w:rPr>
      </w:pPr>
      <w:r>
        <w:rPr>
          <w:rFonts w:hint="eastAsia" w:ascii="宋体" w:hAnsi="宋体" w:cs="宋体"/>
          <w:sz w:val="24"/>
          <w:highlight w:val="none"/>
        </w:rPr>
        <w:t>1.1磋商方法：按照《中华人民共和国政府采购法》、中华人民共和国2015年第658号国务院令--《中华人民共和国政府采购法实施条例》和中华人民共和国财政部</w:t>
      </w:r>
      <w:r>
        <w:rPr>
          <w:rFonts w:hint="eastAsia" w:ascii="宋体" w:hAnsi="宋体" w:cs="宋体"/>
          <w:kern w:val="0"/>
          <w:sz w:val="24"/>
          <w:highlight w:val="none"/>
        </w:rPr>
        <w:t>财库〔2014〕214号文件《政府采购竞争性磋商采购方式管理暂行办法》的规定</w:t>
      </w:r>
      <w:r>
        <w:rPr>
          <w:rFonts w:hint="eastAsia" w:ascii="宋体" w:hAnsi="宋体" w:cs="宋体"/>
          <w:sz w:val="24"/>
          <w:highlight w:val="none"/>
        </w:rPr>
        <w:t>，竞争性磋商小组采用综合评分法对提交最后报价的供应商的响应文件和最后报价进行综合评分，按照评审得分由高到低顺序推荐3名成交候选供应商。</w:t>
      </w:r>
    </w:p>
    <w:p>
      <w:pPr>
        <w:ind w:firstLine="480" w:firstLineChars="200"/>
        <w:rPr>
          <w:rFonts w:ascii="宋体" w:hAnsi="宋体" w:cs="宋体"/>
          <w:sz w:val="24"/>
          <w:highlight w:val="none"/>
        </w:rPr>
      </w:pPr>
      <w:r>
        <w:rPr>
          <w:rFonts w:hint="eastAsia" w:ascii="宋体" w:hAnsi="宋体" w:cs="宋体"/>
          <w:sz w:val="24"/>
          <w:highlight w:val="none"/>
        </w:rPr>
        <w:t>1.2磋商程序：采购代理机构宣布大会开始，宣布会场纪律，介绍参会人员情况，响应单位点到，查验响应文件密封情况，拆封响应文件，对响应单位资格审查，对响应文件的有效性、符合性审查，对参加磋商的磋商供应商分别进行磋商，磋商小组推荐1-3名供应商。</w:t>
      </w:r>
    </w:p>
    <w:p>
      <w:pPr>
        <w:rPr>
          <w:rFonts w:ascii="宋体" w:hAnsi="宋体" w:cs="宋体"/>
          <w:b/>
          <w:bCs/>
          <w:sz w:val="24"/>
          <w:highlight w:val="none"/>
        </w:rPr>
      </w:pPr>
      <w:bookmarkStart w:id="73" w:name="_Toc1671_WPSOffice_Level2"/>
      <w:bookmarkStart w:id="74" w:name="_Toc943_WPSOffice_Level2"/>
      <w:bookmarkStart w:id="75" w:name="_Toc18710_WPSOffice_Level2"/>
      <w:r>
        <w:rPr>
          <w:rFonts w:hint="eastAsia" w:ascii="宋体" w:hAnsi="宋体" w:cs="宋体"/>
          <w:b/>
          <w:bCs/>
          <w:sz w:val="24"/>
          <w:highlight w:val="none"/>
        </w:rPr>
        <w:t>2.磋商</w:t>
      </w:r>
      <w:bookmarkEnd w:id="73"/>
      <w:bookmarkEnd w:id="74"/>
      <w:bookmarkEnd w:id="75"/>
    </w:p>
    <w:p>
      <w:pPr>
        <w:ind w:firstLine="480" w:firstLineChars="200"/>
        <w:rPr>
          <w:rFonts w:ascii="宋体" w:hAnsi="宋体" w:cs="宋体"/>
          <w:sz w:val="24"/>
          <w:highlight w:val="none"/>
        </w:rPr>
      </w:pPr>
      <w:r>
        <w:rPr>
          <w:rFonts w:hint="eastAsia" w:ascii="宋体" w:hAnsi="宋体" w:cs="宋体"/>
          <w:sz w:val="24"/>
          <w:highlight w:val="none"/>
        </w:rPr>
        <w:t>2.1采购代理机构按竞争性磋商采购公告规定的时间、地点组织磋商；磋商大会由采购人代表、磋商小组成员、监督机构代表、磋商供应商代表及采购代理机构工作人员参加，参会代表应签名报到，以证明其出席；</w:t>
      </w:r>
    </w:p>
    <w:p>
      <w:pPr>
        <w:ind w:firstLine="480" w:firstLineChars="200"/>
        <w:rPr>
          <w:rFonts w:ascii="宋体" w:hAnsi="宋体" w:cs="宋体"/>
          <w:sz w:val="24"/>
          <w:highlight w:val="none"/>
        </w:rPr>
      </w:pPr>
      <w:r>
        <w:rPr>
          <w:rFonts w:hint="eastAsia" w:ascii="宋体" w:hAnsi="宋体" w:cs="宋体"/>
          <w:sz w:val="24"/>
          <w:highlight w:val="none"/>
        </w:rPr>
        <w:t>2.2为确保磋商工作公开、公平、公正，依法成立磋商小组。磋商小组由采购人及有关专家组成，其中技术、经济等方面的专家不少于磋商小组成员总数的三分之二，专家名单由有关人员在政府采购专家库中随机抽取，磋商小组成员应当遵守并履行下列责任和义务：</w:t>
      </w:r>
    </w:p>
    <w:p>
      <w:pPr>
        <w:ind w:firstLine="480" w:firstLineChars="200"/>
        <w:rPr>
          <w:rFonts w:ascii="宋体" w:hAnsi="宋体" w:cs="宋体"/>
          <w:sz w:val="24"/>
          <w:highlight w:val="none"/>
        </w:rPr>
      </w:pPr>
      <w:r>
        <w:rPr>
          <w:rFonts w:hint="eastAsia" w:ascii="宋体" w:hAnsi="宋体" w:cs="宋体"/>
          <w:sz w:val="24"/>
          <w:highlight w:val="none"/>
        </w:rPr>
        <w:t>2.2.1要严格遵守政府采购相关法律制度，依法履行各自职责，公正、客观、审慎地组织和参与评审工作；</w:t>
      </w:r>
    </w:p>
    <w:p>
      <w:pPr>
        <w:ind w:firstLine="480" w:firstLineChars="200"/>
        <w:rPr>
          <w:rFonts w:ascii="宋体" w:hAnsi="宋体" w:cs="宋体"/>
          <w:sz w:val="24"/>
          <w:highlight w:val="none"/>
        </w:rPr>
      </w:pPr>
      <w:r>
        <w:rPr>
          <w:rFonts w:hint="eastAsia" w:ascii="宋体" w:hAnsi="宋体" w:cs="宋体"/>
          <w:sz w:val="24"/>
          <w:highlight w:val="none"/>
        </w:rPr>
        <w:t>2.2.2对磋商响应文件进行资格性、符合性检查，并做出评价；</w:t>
      </w:r>
    </w:p>
    <w:p>
      <w:pPr>
        <w:ind w:firstLine="480" w:firstLineChars="200"/>
        <w:rPr>
          <w:rFonts w:ascii="宋体" w:hAnsi="宋体" w:cs="宋体"/>
          <w:sz w:val="24"/>
          <w:highlight w:val="none"/>
        </w:rPr>
      </w:pPr>
      <w:r>
        <w:rPr>
          <w:rFonts w:hint="eastAsia" w:ascii="宋体" w:hAnsi="宋体" w:cs="宋体"/>
          <w:sz w:val="24"/>
          <w:highlight w:val="none"/>
        </w:rPr>
        <w:t xml:space="preserve">2.2.3按竞争性磋商采购邀请书规定的评审方法和标准，进行比较和评价； </w:t>
      </w:r>
    </w:p>
    <w:p>
      <w:pPr>
        <w:ind w:firstLine="480" w:firstLineChars="200"/>
        <w:rPr>
          <w:rFonts w:ascii="宋体" w:hAnsi="宋体" w:cs="宋体"/>
          <w:sz w:val="24"/>
          <w:highlight w:val="none"/>
        </w:rPr>
      </w:pPr>
      <w:r>
        <w:rPr>
          <w:rFonts w:hint="eastAsia" w:ascii="宋体" w:hAnsi="宋体" w:cs="宋体"/>
          <w:sz w:val="24"/>
          <w:highlight w:val="none"/>
        </w:rPr>
        <w:t>2.2.4要求磋商供应商对磋商响应文件有关事项作出解释或澄清；</w:t>
      </w:r>
    </w:p>
    <w:p>
      <w:pPr>
        <w:ind w:firstLine="480" w:firstLineChars="200"/>
        <w:rPr>
          <w:rFonts w:ascii="宋体" w:hAnsi="宋体" w:cs="宋体"/>
          <w:sz w:val="24"/>
          <w:highlight w:val="none"/>
        </w:rPr>
      </w:pPr>
      <w:r>
        <w:rPr>
          <w:rFonts w:hint="eastAsia" w:ascii="宋体" w:hAnsi="宋体" w:cs="宋体"/>
          <w:sz w:val="24"/>
          <w:highlight w:val="none"/>
        </w:rPr>
        <w:t>2.2.5要依法独立评审，按照竞争性磋商采购邀请书的要求和评标标准进行评标，推荐成交候选供应商名单，对评审意见承担个人责任；</w:t>
      </w:r>
    </w:p>
    <w:p>
      <w:pPr>
        <w:ind w:firstLine="480" w:firstLineChars="200"/>
        <w:rPr>
          <w:rFonts w:ascii="宋体" w:hAnsi="宋体" w:cs="宋体"/>
          <w:sz w:val="24"/>
          <w:highlight w:val="none"/>
        </w:rPr>
      </w:pPr>
      <w:r>
        <w:rPr>
          <w:rFonts w:hint="eastAsia" w:ascii="宋体" w:hAnsi="宋体" w:cs="宋体"/>
          <w:sz w:val="24"/>
          <w:highlight w:val="none"/>
        </w:rPr>
        <w:t xml:space="preserve">2.2.6对需要共同认定的事项存在争议的，按照少数服从多数的原则做出结论。持不同意见的磋商小组成员应当在评审报告上签署不同意见并说明理由，否则视为同意； </w:t>
      </w:r>
    </w:p>
    <w:p>
      <w:pPr>
        <w:ind w:firstLine="480" w:firstLineChars="200"/>
        <w:rPr>
          <w:rFonts w:ascii="宋体" w:hAnsi="宋体" w:cs="宋体"/>
          <w:sz w:val="24"/>
          <w:highlight w:val="none"/>
        </w:rPr>
      </w:pPr>
      <w:r>
        <w:rPr>
          <w:rFonts w:hint="eastAsia" w:ascii="宋体" w:hAnsi="宋体" w:cs="宋体"/>
          <w:sz w:val="24"/>
          <w:highlight w:val="none"/>
        </w:rPr>
        <w:t>2.2.7对评审情况以及在评审过程中获悉的国家秘密、商业秘密负有保密责任；</w:t>
      </w:r>
    </w:p>
    <w:p>
      <w:pPr>
        <w:ind w:firstLine="480" w:firstLineChars="200"/>
        <w:rPr>
          <w:rFonts w:ascii="宋体" w:hAnsi="宋体" w:cs="宋体"/>
          <w:sz w:val="24"/>
          <w:highlight w:val="none"/>
        </w:rPr>
      </w:pPr>
      <w:r>
        <w:rPr>
          <w:rFonts w:hint="eastAsia" w:ascii="宋体" w:hAnsi="宋体" w:cs="宋体"/>
          <w:sz w:val="24"/>
          <w:highlight w:val="none"/>
        </w:rPr>
        <w:t>2.2.8配合财政部门的投诉处理工作；</w:t>
      </w:r>
    </w:p>
    <w:p>
      <w:pPr>
        <w:ind w:firstLine="480" w:firstLineChars="200"/>
        <w:rPr>
          <w:rFonts w:ascii="宋体" w:hAnsi="宋体" w:cs="宋体"/>
          <w:sz w:val="24"/>
          <w:highlight w:val="none"/>
        </w:rPr>
      </w:pPr>
      <w:r>
        <w:rPr>
          <w:rFonts w:hint="eastAsia" w:ascii="宋体" w:hAnsi="宋体" w:cs="宋体"/>
          <w:sz w:val="24"/>
          <w:highlight w:val="none"/>
        </w:rPr>
        <w:t>2.2.9配合采购人、采购代理机构答复磋商供应商提出的质疑。</w:t>
      </w:r>
    </w:p>
    <w:p>
      <w:pPr>
        <w:spacing w:line="360" w:lineRule="auto"/>
        <w:rPr>
          <w:rFonts w:ascii="宋体" w:hAnsi="宋体" w:cs="宋体"/>
          <w:b/>
          <w:bCs/>
          <w:sz w:val="24"/>
          <w:highlight w:val="none"/>
        </w:rPr>
      </w:pPr>
      <w:bookmarkStart w:id="76" w:name="_Toc5863_WPSOffice_Level2"/>
      <w:bookmarkStart w:id="77" w:name="_Toc16944_WPSOffice_Level2"/>
      <w:bookmarkStart w:id="78" w:name="_Toc31344_WPSOffice_Level2"/>
      <w:r>
        <w:rPr>
          <w:rFonts w:hint="eastAsia" w:ascii="宋体" w:hAnsi="宋体" w:cs="宋体"/>
          <w:b/>
          <w:bCs/>
          <w:sz w:val="24"/>
          <w:highlight w:val="none"/>
        </w:rPr>
        <w:t>3.磋商响应文件的初审</w:t>
      </w:r>
      <w:bookmarkEnd w:id="76"/>
      <w:bookmarkEnd w:id="77"/>
      <w:bookmarkEnd w:id="78"/>
    </w:p>
    <w:p>
      <w:pPr>
        <w:spacing w:line="360" w:lineRule="auto"/>
        <w:ind w:firstLine="480" w:firstLineChars="200"/>
        <w:rPr>
          <w:rFonts w:ascii="宋体" w:hAnsi="宋体" w:cs="宋体"/>
          <w:sz w:val="24"/>
          <w:highlight w:val="none"/>
        </w:rPr>
      </w:pPr>
      <w:r>
        <w:rPr>
          <w:rFonts w:hint="eastAsia" w:ascii="宋体" w:hAnsi="宋体" w:cs="宋体"/>
          <w:sz w:val="24"/>
          <w:highlight w:val="none"/>
        </w:rPr>
        <w:t>审查分为资格性检查和符合性检查。分别按照以下内容对响应文件进行检查，一项不合格即按照无效磋商处理。</w:t>
      </w:r>
    </w:p>
    <w:p>
      <w:pPr>
        <w:spacing w:line="360" w:lineRule="auto"/>
        <w:rPr>
          <w:rFonts w:ascii="宋体" w:hAnsi="宋体" w:cs="宋体"/>
          <w:sz w:val="24"/>
          <w:highlight w:val="none"/>
        </w:rPr>
      </w:pPr>
      <w:r>
        <w:rPr>
          <w:rFonts w:hint="eastAsia" w:ascii="宋体" w:hAnsi="宋体" w:cs="宋体"/>
          <w:sz w:val="24"/>
          <w:highlight w:val="none"/>
        </w:rPr>
        <w:t>响应文件审查合格的为实质性响应磋商文件要求的供应商。</w:t>
      </w:r>
    </w:p>
    <w:p>
      <w:pPr>
        <w:spacing w:line="360" w:lineRule="auto"/>
        <w:rPr>
          <w:rFonts w:hint="eastAsia" w:ascii="宋体" w:hAnsi="宋体" w:eastAsia="宋体" w:cs="宋体"/>
          <w:b/>
          <w:bCs/>
          <w:sz w:val="24"/>
          <w:highlight w:val="none"/>
          <w:lang w:eastAsia="zh-CN"/>
        </w:rPr>
      </w:pPr>
      <w:r>
        <w:rPr>
          <w:rFonts w:hint="eastAsia" w:ascii="宋体" w:hAnsi="宋体" w:cs="宋体"/>
          <w:b/>
          <w:bCs/>
          <w:sz w:val="24"/>
          <w:highlight w:val="none"/>
        </w:rPr>
        <w:t>3.1资格性检查</w:t>
      </w:r>
      <w:r>
        <w:rPr>
          <w:rFonts w:hint="eastAsia" w:ascii="宋体" w:hAnsi="宋体" w:cs="宋体"/>
          <w:b/>
          <w:bCs/>
          <w:sz w:val="24"/>
          <w:highlight w:val="none"/>
          <w:lang w:eastAsia="zh-CN"/>
        </w:rPr>
        <w:t>（</w:t>
      </w:r>
      <w:r>
        <w:rPr>
          <w:rFonts w:hint="eastAsia" w:ascii="宋体" w:hAnsi="宋体" w:cs="宋体"/>
          <w:b/>
          <w:bCs/>
          <w:sz w:val="24"/>
          <w:highlight w:val="none"/>
          <w:lang w:val="en-US" w:eastAsia="zh-CN"/>
        </w:rPr>
        <w:t>由采购人代表和2名代理机构工作人员组成资格审查小组，对供应商进行资格性审查</w:t>
      </w:r>
      <w:r>
        <w:rPr>
          <w:rFonts w:hint="eastAsia" w:ascii="宋体" w:hAnsi="宋体" w:cs="宋体"/>
          <w:b/>
          <w:bCs/>
          <w:sz w:val="24"/>
          <w:highlight w:val="none"/>
          <w:lang w:eastAsia="zh-CN"/>
        </w:rPr>
        <w:t>）</w:t>
      </w:r>
    </w:p>
    <w:p>
      <w:pPr>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（1）基本资格条件：</w:t>
      </w:r>
    </w:p>
    <w:p>
      <w:pPr>
        <w:pStyle w:val="20"/>
        <w:shd w:val="clear" w:color="auto" w:fill="FFFFFF"/>
        <w:spacing w:beforeAutospacing="0" w:afterAutospacing="0" w:line="360" w:lineRule="auto"/>
        <w:ind w:firstLine="420"/>
        <w:rPr>
          <w:highlight w:val="none"/>
        </w:rPr>
      </w:pPr>
      <w:r>
        <w:rPr>
          <w:rFonts w:hint="eastAsia"/>
          <w:highlight w:val="none"/>
        </w:rPr>
        <w:t xml:space="preserve">1、具有独立承担民事责任能力的法人、其他组织或自然人，提供合法有效的统一社会信用代码营业执照（事业单位提供事业单位法人证书，自然人提供身份证明）； </w:t>
      </w:r>
    </w:p>
    <w:p>
      <w:pPr>
        <w:pStyle w:val="20"/>
        <w:shd w:val="clear" w:color="auto" w:fill="FFFFFF"/>
        <w:spacing w:beforeAutospacing="0" w:afterAutospacing="0" w:line="360" w:lineRule="auto"/>
        <w:ind w:firstLine="420"/>
        <w:rPr>
          <w:rFonts w:hint="eastAsia"/>
          <w:highlight w:val="none"/>
          <w:lang w:eastAsia="zh-CN"/>
        </w:rPr>
      </w:pPr>
      <w:r>
        <w:rPr>
          <w:rFonts w:hint="eastAsia"/>
          <w:highlight w:val="none"/>
        </w:rPr>
        <w:t>2、财务状况报告：</w:t>
      </w:r>
      <w:r>
        <w:rPr>
          <w:rFonts w:hint="eastAsia"/>
          <w:highlight w:val="none"/>
          <w:lang w:eastAsia="zh-CN"/>
        </w:rPr>
        <w:t>提供具有财务审计资质单位出具的2021年度财务报告或</w:t>
      </w:r>
      <w:r>
        <w:rPr>
          <w:rFonts w:hint="eastAsia"/>
          <w:highlight w:val="none"/>
          <w:lang w:val="en-US" w:eastAsia="zh-CN"/>
        </w:rPr>
        <w:t>2022年度</w:t>
      </w:r>
      <w:r>
        <w:rPr>
          <w:rFonts w:hint="eastAsia"/>
          <w:highlight w:val="none"/>
          <w:lang w:eastAsia="zh-CN"/>
        </w:rPr>
        <w:t>财务报告</w:t>
      </w:r>
      <w:r>
        <w:rPr>
          <w:rFonts w:hint="eastAsia"/>
          <w:highlight w:val="none"/>
          <w:lang w:val="en-US" w:eastAsia="zh-CN"/>
        </w:rPr>
        <w:t>或</w:t>
      </w:r>
      <w:r>
        <w:rPr>
          <w:rFonts w:hint="eastAsia"/>
          <w:highlight w:val="none"/>
          <w:lang w:eastAsia="zh-CN"/>
        </w:rPr>
        <w:t>2022年7月1日至今其基本账户银行出具的资信证明，其他组织和自然人提供银行出具的资信证明或财务报表；</w:t>
      </w:r>
    </w:p>
    <w:p>
      <w:pPr>
        <w:pStyle w:val="20"/>
        <w:shd w:val="clear" w:color="auto" w:fill="FFFFFF"/>
        <w:spacing w:beforeAutospacing="0" w:afterAutospacing="0" w:line="360" w:lineRule="auto"/>
        <w:ind w:firstLine="420"/>
        <w:rPr>
          <w:highlight w:val="none"/>
        </w:rPr>
      </w:pPr>
      <w:r>
        <w:rPr>
          <w:rFonts w:hint="eastAsia"/>
          <w:highlight w:val="none"/>
        </w:rPr>
        <w:t xml:space="preserve">3、 社会保障资金缴纳证明：提供开标前六个月内任意时段已缴存的社会保障资金缴存单据或社保机构开具的社会保险参保缴费情况证明；依法不需要缴纳社会保障资金的应提供相关文件证明； </w:t>
      </w:r>
    </w:p>
    <w:p>
      <w:pPr>
        <w:pStyle w:val="20"/>
        <w:shd w:val="clear" w:color="auto" w:fill="FFFFFF"/>
        <w:spacing w:beforeAutospacing="0" w:afterAutospacing="0" w:line="360" w:lineRule="auto"/>
        <w:ind w:firstLine="420"/>
        <w:rPr>
          <w:highlight w:val="none"/>
        </w:rPr>
      </w:pPr>
      <w:r>
        <w:rPr>
          <w:rFonts w:hint="eastAsia"/>
          <w:highlight w:val="none"/>
        </w:rPr>
        <w:t>4、 税收缴纳证明：提供开标前六个月内任意时段已缴纳的完税凭证或税务机关开具的完税证明（任意税种）；依法免税的应提供相关文件证明，零纳税的提供申报表；</w:t>
      </w:r>
    </w:p>
    <w:p>
      <w:pPr>
        <w:pStyle w:val="20"/>
        <w:shd w:val="clear" w:color="auto" w:fill="FFFFFF"/>
        <w:spacing w:beforeAutospacing="0" w:afterAutospacing="0" w:line="360" w:lineRule="auto"/>
        <w:ind w:firstLine="420"/>
        <w:rPr>
          <w:highlight w:val="none"/>
        </w:rPr>
      </w:pPr>
      <w:r>
        <w:rPr>
          <w:rFonts w:hint="eastAsia"/>
          <w:highlight w:val="none"/>
        </w:rPr>
        <w:t>5、 提供具有履行本合同所必需的专业技术能力的声明；</w:t>
      </w:r>
    </w:p>
    <w:p>
      <w:pPr>
        <w:pStyle w:val="20"/>
        <w:shd w:val="clear" w:color="auto" w:fill="FFFFFF"/>
        <w:spacing w:beforeAutospacing="0" w:afterAutospacing="0" w:line="360" w:lineRule="auto"/>
        <w:ind w:firstLine="420"/>
        <w:rPr>
          <w:highlight w:val="none"/>
        </w:rPr>
      </w:pPr>
      <w:r>
        <w:rPr>
          <w:rFonts w:hint="eastAsia"/>
          <w:highlight w:val="none"/>
        </w:rPr>
        <w:t>6、 参加本次政府采购活动前3年内在经营活动中没有重大违纪的声明；</w:t>
      </w:r>
    </w:p>
    <w:p>
      <w:pPr>
        <w:pStyle w:val="20"/>
        <w:shd w:val="clear" w:color="auto" w:fill="FFFFFF"/>
        <w:spacing w:beforeAutospacing="0" w:afterAutospacing="0" w:line="360" w:lineRule="auto"/>
        <w:rPr>
          <w:b/>
          <w:bCs/>
          <w:highlight w:val="none"/>
        </w:rPr>
      </w:pPr>
      <w:r>
        <w:rPr>
          <w:rFonts w:hint="eastAsia"/>
          <w:b/>
          <w:bCs/>
          <w:highlight w:val="none"/>
        </w:rPr>
        <w:t>（2）特定资格条件：</w:t>
      </w:r>
    </w:p>
    <w:p>
      <w:pPr>
        <w:pStyle w:val="20"/>
        <w:shd w:val="clear" w:color="auto" w:fill="FFFFFF"/>
        <w:spacing w:beforeAutospacing="0" w:afterAutospacing="0" w:line="360" w:lineRule="auto"/>
        <w:ind w:firstLine="420"/>
        <w:rPr>
          <w:highlight w:val="none"/>
        </w:rPr>
      </w:pPr>
      <w:r>
        <w:rPr>
          <w:rFonts w:hint="eastAsia"/>
          <w:highlight w:val="none"/>
        </w:rPr>
        <w:t>7、法定代表人直接参加磋商的，须出具法定代表人身份证明书及身份证；授权代表参加磋商的，须出具法定代表人授权书及授权代表身份证；</w:t>
      </w:r>
    </w:p>
    <w:p>
      <w:pPr>
        <w:pStyle w:val="20"/>
        <w:shd w:val="clear" w:color="auto" w:fill="FFFFFF"/>
        <w:spacing w:beforeAutospacing="0" w:afterAutospacing="0" w:line="360" w:lineRule="auto"/>
        <w:ind w:firstLine="420"/>
        <w:rPr>
          <w:highlight w:val="none"/>
        </w:rPr>
      </w:pPr>
      <w:r>
        <w:rPr>
          <w:rFonts w:hint="eastAsia"/>
          <w:highlight w:val="none"/>
        </w:rPr>
        <w:t>8、磋商保证金缴纳凭证或担保机构出具的保函；</w:t>
      </w:r>
    </w:p>
    <w:p>
      <w:pPr>
        <w:pStyle w:val="20"/>
        <w:shd w:val="clear" w:color="auto" w:fill="FFFFFF"/>
        <w:spacing w:beforeAutospacing="0" w:afterAutospacing="0" w:line="360" w:lineRule="auto"/>
        <w:ind w:firstLine="420"/>
        <w:rPr>
          <w:rFonts w:hint="eastAsia" w:cs="宋体"/>
          <w:color w:val="333333"/>
          <w:highlight w:val="none"/>
          <w:shd w:val="clear" w:color="auto" w:fill="FFFFFF"/>
          <w:lang w:eastAsia="zh-CN"/>
        </w:rPr>
      </w:pPr>
      <w:r>
        <w:rPr>
          <w:rFonts w:hint="eastAsia"/>
          <w:highlight w:val="none"/>
        </w:rPr>
        <w:t>9、</w:t>
      </w:r>
      <w:r>
        <w:rPr>
          <w:rFonts w:hint="eastAsia" w:cs="宋体"/>
          <w:color w:val="333333"/>
          <w:highlight w:val="none"/>
          <w:shd w:val="clear" w:color="auto" w:fill="FFFFFF"/>
          <w:lang w:val="en-US" w:eastAsia="zh-CN"/>
        </w:rPr>
        <w:t>供应商须</w:t>
      </w:r>
      <w:r>
        <w:rPr>
          <w:rFonts w:hint="eastAsia" w:cs="宋体"/>
          <w:color w:val="333333"/>
          <w:highlight w:val="none"/>
          <w:shd w:val="clear" w:color="auto" w:fill="FFFFFF"/>
          <w:lang w:eastAsia="zh-CN"/>
        </w:rPr>
        <w:t>具有交通运输部质量监督机构颁发的公路工程试验检测综合甲级资质</w:t>
      </w:r>
      <w:r>
        <w:rPr>
          <w:rFonts w:hint="eastAsia" w:cs="宋体"/>
          <w:color w:val="333333"/>
          <w:highlight w:val="none"/>
          <w:shd w:val="clear" w:color="auto" w:fill="FFFFFF"/>
          <w:lang w:val="en-US" w:eastAsia="zh-CN"/>
        </w:rPr>
        <w:t>或桥梁工程试验检测专项类资质。同时供应商须具备有效的</w:t>
      </w:r>
      <w:r>
        <w:rPr>
          <w:rFonts w:hint="eastAsia" w:cs="宋体"/>
          <w:color w:val="333333"/>
          <w:highlight w:val="none"/>
          <w:shd w:val="clear" w:color="auto" w:fill="FFFFFF"/>
          <w:lang w:eastAsia="zh-CN"/>
        </w:rPr>
        <w:t>国家质量技术监督部门颁发的</w:t>
      </w:r>
      <w:r>
        <w:rPr>
          <w:rFonts w:hint="eastAsia" w:cs="宋体"/>
          <w:color w:val="333333"/>
          <w:highlight w:val="none"/>
          <w:shd w:val="clear" w:color="auto" w:fill="FFFFFF"/>
          <w:lang w:val="en-US" w:eastAsia="zh-CN"/>
        </w:rPr>
        <w:t>省部级以上</w:t>
      </w:r>
      <w:r>
        <w:rPr>
          <w:rFonts w:hint="eastAsia" w:cs="宋体"/>
          <w:color w:val="333333"/>
          <w:highlight w:val="none"/>
          <w:shd w:val="clear" w:color="auto" w:fill="FFFFFF"/>
          <w:lang w:eastAsia="zh-CN"/>
        </w:rPr>
        <w:t>计量认证CMA合格证书（具有</w:t>
      </w:r>
      <w:r>
        <w:rPr>
          <w:rFonts w:hint="eastAsia" w:cs="宋体"/>
          <w:color w:val="333333"/>
          <w:highlight w:val="none"/>
          <w:shd w:val="clear" w:color="auto" w:fill="FFFFFF"/>
          <w:lang w:val="en-US" w:eastAsia="zh-CN"/>
        </w:rPr>
        <w:t>桥梁、隧道检测能力</w:t>
      </w:r>
      <w:r>
        <w:rPr>
          <w:rFonts w:hint="eastAsia" w:cs="宋体"/>
          <w:color w:val="333333"/>
          <w:highlight w:val="none"/>
          <w:shd w:val="clear" w:color="auto" w:fill="FFFFFF"/>
          <w:lang w:eastAsia="zh-CN"/>
        </w:rPr>
        <w:t>），上述证书均须在有效期内。</w:t>
      </w:r>
    </w:p>
    <w:p>
      <w:pPr>
        <w:pStyle w:val="20"/>
        <w:shd w:val="clear" w:color="auto" w:fill="FFFFFF"/>
        <w:spacing w:beforeAutospacing="0" w:afterAutospacing="0" w:line="360" w:lineRule="auto"/>
        <w:ind w:firstLine="420"/>
        <w:rPr>
          <w:rFonts w:hint="eastAsia"/>
          <w:highlight w:val="none"/>
        </w:rPr>
      </w:pPr>
      <w:r>
        <w:rPr>
          <w:rFonts w:hint="eastAsia" w:cs="宋体"/>
          <w:color w:val="333333"/>
          <w:highlight w:val="none"/>
          <w:shd w:val="clear" w:color="auto" w:fill="FFFFFF"/>
          <w:lang w:val="en-US" w:eastAsia="zh-CN"/>
        </w:rPr>
        <w:t>10、</w:t>
      </w:r>
      <w:r>
        <w:rPr>
          <w:rFonts w:hint="eastAsia"/>
          <w:highlight w:val="none"/>
        </w:rPr>
        <w:t>供应商未被“信用中国”网站（www.creditchina.gov.cn）中列入失信被执行人和税收违法</w:t>
      </w:r>
      <w:r>
        <w:rPr>
          <w:rFonts w:hint="eastAsia"/>
          <w:highlight w:val="none"/>
          <w:lang w:val="en-US" w:eastAsia="zh-CN"/>
        </w:rPr>
        <w:t>黑</w:t>
      </w:r>
      <w:r>
        <w:rPr>
          <w:rFonts w:hint="eastAsia"/>
          <w:highlight w:val="none"/>
        </w:rPr>
        <w:t>名单，在中国政府采购网（www.ccgp.gov.cn）政府采购严重违法失信行为记录名单中未被财政部门禁止参加政府采购活动的供应商，未被省级及以上交通运输主管部门限制进入公路建养市场，且</w:t>
      </w:r>
      <w:r>
        <w:rPr>
          <w:rFonts w:hint="eastAsia"/>
          <w:highlight w:val="none"/>
          <w:lang w:val="en-US" w:eastAsia="zh-CN"/>
        </w:rPr>
        <w:t>不</w:t>
      </w:r>
      <w:r>
        <w:rPr>
          <w:rFonts w:hint="eastAsia"/>
          <w:highlight w:val="none"/>
        </w:rPr>
        <w:t>在处罚有效期内；</w:t>
      </w:r>
    </w:p>
    <w:p>
      <w:pPr>
        <w:spacing w:line="360" w:lineRule="auto"/>
        <w:ind w:firstLine="482" w:firstLineChars="200"/>
        <w:rPr>
          <w:rFonts w:hint="eastAsia" w:ascii="宋体" w:hAnsi="宋体" w:cs="宋体"/>
          <w:b/>
          <w:bCs/>
          <w:sz w:val="24"/>
          <w:highlight w:val="none"/>
        </w:rPr>
      </w:pPr>
      <w:r>
        <w:rPr>
          <w:rFonts w:hint="eastAsia" w:ascii="宋体" w:hAnsi="宋体" w:cs="宋体"/>
          <w:b/>
          <w:bCs/>
          <w:sz w:val="24"/>
          <w:highlight w:val="none"/>
        </w:rPr>
        <w:t>注：1、根据财库（2019）38号文件规定，以上资料通过互联网或者相关信息系统查询的，供应商可以不提供复印件，但须说明查询方法及查询地址；资料原件采购人有权备查，若不提供，其资格审查不通过；</w:t>
      </w:r>
    </w:p>
    <w:p>
      <w:pPr>
        <w:spacing w:line="360" w:lineRule="auto"/>
        <w:ind w:firstLine="482" w:firstLineChars="200"/>
        <w:rPr>
          <w:rFonts w:hint="eastAsia" w:ascii="宋体" w:hAnsi="宋体" w:cs="宋体"/>
          <w:b/>
          <w:bCs/>
          <w:sz w:val="24"/>
          <w:highlight w:val="none"/>
        </w:rPr>
      </w:pPr>
      <w:r>
        <w:rPr>
          <w:rFonts w:hint="eastAsia" w:ascii="宋体" w:hAnsi="宋体" w:cs="宋体"/>
          <w:b/>
          <w:bCs/>
          <w:sz w:val="24"/>
          <w:highlight w:val="none"/>
        </w:rPr>
        <w:t>2、分公司参与磋商，须提供总公司针对分公司参与本项目磋商的唯一授权函，否则按无效响应处理；</w:t>
      </w:r>
    </w:p>
    <w:p>
      <w:pPr>
        <w:spacing w:line="360" w:lineRule="auto"/>
        <w:ind w:left="368" w:leftChars="175"/>
        <w:rPr>
          <w:rFonts w:ascii="宋体" w:hAnsi="宋体" w:cs="宋体"/>
          <w:sz w:val="24"/>
          <w:highlight w:val="none"/>
        </w:rPr>
      </w:pPr>
      <w:r>
        <w:rPr>
          <w:rFonts w:hint="eastAsia" w:ascii="宋体" w:hAnsi="宋体" w:cs="宋体"/>
          <w:b/>
          <w:bCs/>
          <w:sz w:val="24"/>
          <w:highlight w:val="none"/>
        </w:rPr>
        <w:t>3、以上资料有1项不符合要求，资格审查不通过；</w:t>
      </w:r>
    </w:p>
    <w:p>
      <w:pPr>
        <w:spacing w:line="360" w:lineRule="auto"/>
        <w:rPr>
          <w:rFonts w:ascii="宋体" w:hAnsi="宋体" w:cs="宋体"/>
          <w:b/>
          <w:bCs/>
          <w:sz w:val="24"/>
          <w:highlight w:val="none"/>
        </w:rPr>
      </w:pPr>
      <w:r>
        <w:rPr>
          <w:rFonts w:hint="eastAsia" w:ascii="宋体" w:hAnsi="宋体" w:cs="宋体"/>
          <w:b/>
          <w:bCs/>
          <w:sz w:val="24"/>
          <w:highlight w:val="none"/>
        </w:rPr>
        <w:t>3.2符合性审查</w:t>
      </w:r>
    </w:p>
    <w:p>
      <w:pPr>
        <w:spacing w:line="360" w:lineRule="auto"/>
        <w:rPr>
          <w:rFonts w:ascii="宋体" w:hAnsi="宋体" w:cs="宋体"/>
          <w:sz w:val="24"/>
          <w:highlight w:val="none"/>
        </w:rPr>
      </w:pPr>
      <w:r>
        <w:rPr>
          <w:rFonts w:hint="eastAsia" w:ascii="宋体" w:hAnsi="宋体" w:cs="宋体"/>
          <w:sz w:val="24"/>
          <w:highlight w:val="none"/>
        </w:rPr>
        <w:t xml:space="preserve">  3.2.1磋商小组从响应文件的有效性、完整性和对磋商文件的响应程度进行初步审查，以确定其是否对磋商文件实质性内容作出响应（采购人可根据具体项目的情况对实质性要求作特别的具体规定）。初步审查按下表进行：</w:t>
      </w:r>
    </w:p>
    <w:tbl>
      <w:tblPr>
        <w:tblStyle w:val="23"/>
        <w:tblW w:w="838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1050"/>
        <w:gridCol w:w="3703"/>
        <w:gridCol w:w="363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523" w:hRule="atLeast"/>
          <w:jc w:val="center"/>
        </w:trPr>
        <w:tc>
          <w:tcPr>
            <w:tcW w:w="1050" w:type="dxa"/>
            <w:vMerge w:val="restart"/>
            <w:vAlign w:val="center"/>
          </w:tcPr>
          <w:p>
            <w:pPr>
              <w:tabs>
                <w:tab w:val="right" w:leader="dot" w:pos="9060"/>
              </w:tabs>
              <w:adjustRightInd w:val="0"/>
              <w:snapToGrid w:val="0"/>
              <w:spacing w:line="360" w:lineRule="auto"/>
              <w:jc w:val="center"/>
              <w:rPr>
                <w:rFonts w:ascii="宋体" w:hAnsi="宋体" w:cs="宋体"/>
                <w:kern w:val="0"/>
                <w:sz w:val="24"/>
                <w:highlight w:val="none"/>
              </w:rPr>
            </w:pPr>
            <w:r>
              <w:rPr>
                <w:rFonts w:hint="eastAsia" w:ascii="宋体" w:hAnsi="宋体" w:cs="宋体"/>
                <w:kern w:val="0"/>
                <w:sz w:val="24"/>
                <w:highlight w:val="none"/>
              </w:rPr>
              <w:t>有</w:t>
            </w:r>
          </w:p>
          <w:p>
            <w:pPr>
              <w:tabs>
                <w:tab w:val="right" w:leader="dot" w:pos="9060"/>
              </w:tabs>
              <w:adjustRightInd w:val="0"/>
              <w:snapToGrid w:val="0"/>
              <w:spacing w:line="360" w:lineRule="auto"/>
              <w:jc w:val="center"/>
              <w:rPr>
                <w:rFonts w:ascii="宋体" w:hAnsi="宋体" w:cs="宋体"/>
                <w:kern w:val="0"/>
                <w:sz w:val="24"/>
                <w:highlight w:val="none"/>
              </w:rPr>
            </w:pPr>
            <w:r>
              <w:rPr>
                <w:rFonts w:hint="eastAsia" w:ascii="宋体" w:hAnsi="宋体" w:cs="宋体"/>
                <w:kern w:val="0"/>
                <w:sz w:val="24"/>
                <w:highlight w:val="none"/>
              </w:rPr>
              <w:t>效</w:t>
            </w:r>
          </w:p>
          <w:p>
            <w:pPr>
              <w:tabs>
                <w:tab w:val="right" w:leader="dot" w:pos="9060"/>
              </w:tabs>
              <w:adjustRightInd w:val="0"/>
              <w:snapToGrid w:val="0"/>
              <w:spacing w:line="360" w:lineRule="auto"/>
              <w:jc w:val="center"/>
              <w:rPr>
                <w:rFonts w:ascii="宋体" w:hAnsi="宋体" w:cs="宋体"/>
                <w:kern w:val="0"/>
                <w:sz w:val="24"/>
                <w:highlight w:val="none"/>
              </w:rPr>
            </w:pPr>
            <w:r>
              <w:rPr>
                <w:rFonts w:hint="eastAsia" w:ascii="宋体" w:hAnsi="宋体" w:cs="宋体"/>
                <w:kern w:val="0"/>
                <w:sz w:val="24"/>
                <w:highlight w:val="none"/>
              </w:rPr>
              <w:t>性</w:t>
            </w:r>
          </w:p>
          <w:p>
            <w:pPr>
              <w:tabs>
                <w:tab w:val="right" w:leader="dot" w:pos="9060"/>
              </w:tabs>
              <w:adjustRightInd w:val="0"/>
              <w:snapToGrid w:val="0"/>
              <w:spacing w:line="360" w:lineRule="auto"/>
              <w:jc w:val="center"/>
              <w:rPr>
                <w:rFonts w:ascii="宋体" w:hAnsi="宋体" w:cs="宋体"/>
                <w:kern w:val="0"/>
                <w:sz w:val="24"/>
                <w:highlight w:val="none"/>
              </w:rPr>
            </w:pPr>
            <w:r>
              <w:rPr>
                <w:rFonts w:hint="eastAsia" w:ascii="宋体" w:hAnsi="宋体" w:cs="宋体"/>
                <w:kern w:val="0"/>
                <w:sz w:val="24"/>
                <w:highlight w:val="none"/>
              </w:rPr>
              <w:t>符</w:t>
            </w:r>
          </w:p>
          <w:p>
            <w:pPr>
              <w:tabs>
                <w:tab w:val="right" w:leader="dot" w:pos="9060"/>
              </w:tabs>
              <w:adjustRightInd w:val="0"/>
              <w:snapToGrid w:val="0"/>
              <w:spacing w:line="360" w:lineRule="auto"/>
              <w:jc w:val="center"/>
              <w:rPr>
                <w:rFonts w:ascii="宋体" w:hAnsi="宋体" w:cs="宋体"/>
                <w:kern w:val="0"/>
                <w:sz w:val="24"/>
                <w:highlight w:val="none"/>
              </w:rPr>
            </w:pPr>
            <w:r>
              <w:rPr>
                <w:rFonts w:hint="eastAsia" w:ascii="宋体" w:hAnsi="宋体" w:cs="宋体"/>
                <w:kern w:val="0"/>
                <w:sz w:val="24"/>
                <w:highlight w:val="none"/>
              </w:rPr>
              <w:t>合</w:t>
            </w:r>
          </w:p>
          <w:p>
            <w:pPr>
              <w:tabs>
                <w:tab w:val="right" w:leader="dot" w:pos="9060"/>
              </w:tabs>
              <w:adjustRightInd w:val="0"/>
              <w:snapToGrid w:val="0"/>
              <w:spacing w:line="360" w:lineRule="auto"/>
              <w:jc w:val="center"/>
              <w:rPr>
                <w:rFonts w:ascii="宋体" w:hAnsi="宋体" w:cs="宋体"/>
                <w:kern w:val="0"/>
                <w:sz w:val="24"/>
                <w:highlight w:val="none"/>
              </w:rPr>
            </w:pPr>
            <w:r>
              <w:rPr>
                <w:rFonts w:hint="eastAsia" w:ascii="宋体" w:hAnsi="宋体" w:cs="宋体"/>
                <w:kern w:val="0"/>
                <w:sz w:val="24"/>
                <w:highlight w:val="none"/>
              </w:rPr>
              <w:t>性</w:t>
            </w:r>
          </w:p>
          <w:p>
            <w:pPr>
              <w:tabs>
                <w:tab w:val="right" w:leader="dot" w:pos="9060"/>
              </w:tabs>
              <w:adjustRightInd w:val="0"/>
              <w:snapToGrid w:val="0"/>
              <w:spacing w:line="360" w:lineRule="auto"/>
              <w:jc w:val="center"/>
              <w:rPr>
                <w:rFonts w:ascii="宋体" w:hAnsi="宋体" w:cs="宋体"/>
                <w:kern w:val="0"/>
                <w:sz w:val="24"/>
                <w:highlight w:val="none"/>
              </w:rPr>
            </w:pPr>
            <w:r>
              <w:rPr>
                <w:rFonts w:hint="eastAsia" w:ascii="宋体" w:hAnsi="宋体" w:cs="宋体"/>
                <w:kern w:val="0"/>
                <w:sz w:val="24"/>
                <w:highlight w:val="none"/>
              </w:rPr>
              <w:t>评</w:t>
            </w:r>
          </w:p>
        </w:tc>
        <w:tc>
          <w:tcPr>
            <w:tcW w:w="3703" w:type="dxa"/>
            <w:vAlign w:val="center"/>
          </w:tcPr>
          <w:p>
            <w:pPr>
              <w:tabs>
                <w:tab w:val="right" w:leader="dot" w:pos="9060"/>
              </w:tabs>
              <w:adjustRightInd w:val="0"/>
              <w:snapToGrid w:val="0"/>
              <w:spacing w:line="360" w:lineRule="auto"/>
              <w:jc w:val="center"/>
              <w:rPr>
                <w:rFonts w:ascii="宋体" w:hAnsi="宋体" w:cs="宋体"/>
                <w:kern w:val="0"/>
                <w:sz w:val="24"/>
                <w:highlight w:val="none"/>
              </w:rPr>
            </w:pPr>
            <w:r>
              <w:rPr>
                <w:rFonts w:hint="eastAsia" w:ascii="宋体" w:hAnsi="宋体" w:cs="宋体"/>
                <w:kern w:val="0"/>
                <w:sz w:val="24"/>
                <w:highlight w:val="none"/>
              </w:rPr>
              <w:t>供应商名称</w:t>
            </w:r>
          </w:p>
        </w:tc>
        <w:tc>
          <w:tcPr>
            <w:tcW w:w="3632" w:type="dxa"/>
            <w:vAlign w:val="center"/>
          </w:tcPr>
          <w:p>
            <w:pPr>
              <w:tabs>
                <w:tab w:val="right" w:leader="dot" w:pos="9060"/>
              </w:tabs>
              <w:adjustRightInd w:val="0"/>
              <w:snapToGrid w:val="0"/>
              <w:spacing w:line="360" w:lineRule="auto"/>
              <w:jc w:val="center"/>
              <w:rPr>
                <w:rFonts w:ascii="宋体" w:hAnsi="宋体" w:cs="宋体"/>
                <w:kern w:val="0"/>
                <w:sz w:val="24"/>
                <w:highlight w:val="none"/>
              </w:rPr>
            </w:pPr>
            <w:r>
              <w:rPr>
                <w:rFonts w:hint="eastAsia" w:ascii="宋体" w:hAnsi="宋体" w:cs="宋体"/>
                <w:kern w:val="0"/>
                <w:sz w:val="24"/>
                <w:highlight w:val="none"/>
              </w:rPr>
              <w:t>与营业执照、公章名称一致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523" w:hRule="atLeast"/>
          <w:jc w:val="center"/>
        </w:trPr>
        <w:tc>
          <w:tcPr>
            <w:tcW w:w="1050" w:type="dxa"/>
            <w:vMerge w:val="continue"/>
            <w:vAlign w:val="center"/>
          </w:tcPr>
          <w:p>
            <w:pPr>
              <w:tabs>
                <w:tab w:val="right" w:leader="dot" w:pos="9060"/>
              </w:tabs>
              <w:adjustRightInd w:val="0"/>
              <w:snapToGrid w:val="0"/>
              <w:spacing w:line="360" w:lineRule="auto"/>
              <w:jc w:val="center"/>
              <w:rPr>
                <w:rFonts w:ascii="宋体" w:hAnsi="宋体" w:cs="宋体"/>
                <w:kern w:val="0"/>
                <w:sz w:val="24"/>
                <w:highlight w:val="none"/>
              </w:rPr>
            </w:pPr>
          </w:p>
        </w:tc>
        <w:tc>
          <w:tcPr>
            <w:tcW w:w="3703" w:type="dxa"/>
            <w:vAlign w:val="center"/>
          </w:tcPr>
          <w:p>
            <w:pPr>
              <w:tabs>
                <w:tab w:val="right" w:leader="dot" w:pos="9060"/>
              </w:tabs>
              <w:adjustRightInd w:val="0"/>
              <w:snapToGrid w:val="0"/>
              <w:spacing w:line="360" w:lineRule="auto"/>
              <w:jc w:val="center"/>
              <w:rPr>
                <w:rFonts w:ascii="宋体" w:hAnsi="宋体" w:cs="宋体"/>
                <w:kern w:val="0"/>
                <w:sz w:val="24"/>
                <w:highlight w:val="none"/>
              </w:rPr>
            </w:pPr>
            <w:r>
              <w:rPr>
                <w:rFonts w:hint="eastAsia" w:ascii="宋体" w:hAnsi="宋体" w:cs="宋体"/>
                <w:kern w:val="0"/>
                <w:sz w:val="24"/>
                <w:highlight w:val="none"/>
              </w:rPr>
              <w:t>响应文件签字、盖章</w:t>
            </w:r>
          </w:p>
        </w:tc>
        <w:tc>
          <w:tcPr>
            <w:tcW w:w="3632" w:type="dxa"/>
            <w:vAlign w:val="center"/>
          </w:tcPr>
          <w:p>
            <w:pPr>
              <w:tabs>
                <w:tab w:val="right" w:leader="dot" w:pos="9060"/>
              </w:tabs>
              <w:adjustRightInd w:val="0"/>
              <w:snapToGrid w:val="0"/>
              <w:spacing w:line="360" w:lineRule="auto"/>
              <w:jc w:val="center"/>
              <w:rPr>
                <w:rFonts w:ascii="宋体" w:hAnsi="宋体" w:cs="宋体"/>
                <w:kern w:val="0"/>
                <w:sz w:val="24"/>
                <w:highlight w:val="none"/>
              </w:rPr>
            </w:pPr>
            <w:r>
              <w:rPr>
                <w:rFonts w:hint="eastAsia" w:ascii="宋体" w:hAnsi="宋体" w:cs="宋体"/>
                <w:kern w:val="0"/>
                <w:sz w:val="24"/>
                <w:highlight w:val="none"/>
              </w:rPr>
              <w:t>符合磋商文件要求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523" w:hRule="atLeast"/>
          <w:jc w:val="center"/>
        </w:trPr>
        <w:tc>
          <w:tcPr>
            <w:tcW w:w="1050" w:type="dxa"/>
            <w:vMerge w:val="continue"/>
            <w:vAlign w:val="center"/>
          </w:tcPr>
          <w:p>
            <w:pPr>
              <w:tabs>
                <w:tab w:val="right" w:leader="dot" w:pos="9060"/>
              </w:tabs>
              <w:adjustRightInd w:val="0"/>
              <w:snapToGrid w:val="0"/>
              <w:spacing w:line="360" w:lineRule="auto"/>
              <w:jc w:val="center"/>
              <w:rPr>
                <w:rFonts w:ascii="宋体" w:hAnsi="宋体" w:cs="宋体"/>
                <w:kern w:val="0"/>
                <w:sz w:val="24"/>
                <w:highlight w:val="none"/>
              </w:rPr>
            </w:pPr>
          </w:p>
        </w:tc>
        <w:tc>
          <w:tcPr>
            <w:tcW w:w="3703" w:type="dxa"/>
            <w:vAlign w:val="center"/>
          </w:tcPr>
          <w:p>
            <w:pPr>
              <w:spacing w:line="360" w:lineRule="auto"/>
              <w:jc w:val="center"/>
              <w:rPr>
                <w:rFonts w:ascii="宋体" w:hAnsi="宋体" w:cs="宋体"/>
                <w:kern w:val="0"/>
                <w:sz w:val="24"/>
                <w:highlight w:val="none"/>
              </w:rPr>
            </w:pPr>
            <w:r>
              <w:rPr>
                <w:rFonts w:hint="eastAsia" w:ascii="宋体" w:hAnsi="宋体" w:cs="宋体"/>
                <w:kern w:val="0"/>
                <w:sz w:val="24"/>
                <w:highlight w:val="none"/>
              </w:rPr>
              <w:t>响应文件的有效期</w:t>
            </w:r>
          </w:p>
        </w:tc>
        <w:tc>
          <w:tcPr>
            <w:tcW w:w="3632" w:type="dxa"/>
            <w:vAlign w:val="center"/>
          </w:tcPr>
          <w:p>
            <w:pPr>
              <w:jc w:val="center"/>
              <w:rPr>
                <w:rFonts w:ascii="宋体" w:hAnsi="宋体" w:cs="宋体"/>
                <w:kern w:val="0"/>
                <w:sz w:val="24"/>
                <w:highlight w:val="none"/>
              </w:rPr>
            </w:pPr>
            <w:r>
              <w:rPr>
                <w:rFonts w:hint="eastAsia" w:ascii="宋体" w:hAnsi="宋体" w:cs="宋体"/>
                <w:kern w:val="0"/>
                <w:sz w:val="24"/>
                <w:highlight w:val="none"/>
              </w:rPr>
              <w:t>自磋商响应文件递交截止之日起不少于90个日历日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523" w:hRule="atLeast"/>
          <w:jc w:val="center"/>
        </w:trPr>
        <w:tc>
          <w:tcPr>
            <w:tcW w:w="1050" w:type="dxa"/>
            <w:vMerge w:val="continue"/>
            <w:vAlign w:val="center"/>
          </w:tcPr>
          <w:p>
            <w:pPr>
              <w:tabs>
                <w:tab w:val="right" w:leader="dot" w:pos="9060"/>
              </w:tabs>
              <w:adjustRightInd w:val="0"/>
              <w:snapToGrid w:val="0"/>
              <w:spacing w:line="360" w:lineRule="auto"/>
              <w:jc w:val="center"/>
              <w:rPr>
                <w:rFonts w:ascii="宋体" w:hAnsi="宋体" w:cs="宋体"/>
                <w:kern w:val="0"/>
                <w:sz w:val="24"/>
                <w:highlight w:val="none"/>
              </w:rPr>
            </w:pPr>
          </w:p>
        </w:tc>
        <w:tc>
          <w:tcPr>
            <w:tcW w:w="3703" w:type="dxa"/>
            <w:vAlign w:val="center"/>
          </w:tcPr>
          <w:p>
            <w:pPr>
              <w:tabs>
                <w:tab w:val="right" w:leader="dot" w:pos="9060"/>
              </w:tabs>
              <w:adjustRightInd w:val="0"/>
              <w:snapToGrid w:val="0"/>
              <w:spacing w:line="360" w:lineRule="auto"/>
              <w:jc w:val="center"/>
              <w:rPr>
                <w:rFonts w:ascii="宋体" w:hAnsi="宋体" w:cs="宋体"/>
                <w:kern w:val="0"/>
                <w:sz w:val="24"/>
                <w:highlight w:val="none"/>
              </w:rPr>
            </w:pPr>
            <w:r>
              <w:rPr>
                <w:rFonts w:hint="eastAsia" w:ascii="宋体" w:hAnsi="宋体" w:cs="宋体"/>
                <w:kern w:val="0"/>
                <w:sz w:val="24"/>
                <w:highlight w:val="none"/>
              </w:rPr>
              <w:t>磋商报价</w:t>
            </w:r>
          </w:p>
        </w:tc>
        <w:tc>
          <w:tcPr>
            <w:tcW w:w="3632" w:type="dxa"/>
            <w:vAlign w:val="center"/>
          </w:tcPr>
          <w:p>
            <w:pPr>
              <w:tabs>
                <w:tab w:val="right" w:leader="dot" w:pos="9060"/>
              </w:tabs>
              <w:adjustRightInd w:val="0"/>
              <w:snapToGrid w:val="0"/>
              <w:spacing w:line="360" w:lineRule="auto"/>
              <w:jc w:val="center"/>
              <w:rPr>
                <w:rFonts w:ascii="宋体" w:hAnsi="宋体" w:cs="宋体"/>
                <w:kern w:val="0"/>
                <w:sz w:val="24"/>
                <w:highlight w:val="none"/>
              </w:rPr>
            </w:pPr>
            <w:r>
              <w:rPr>
                <w:rFonts w:hint="eastAsia" w:ascii="宋体" w:hAnsi="宋体" w:cs="宋体"/>
                <w:kern w:val="0"/>
                <w:sz w:val="24"/>
                <w:highlight w:val="none"/>
              </w:rPr>
              <w:t>未超过采购预算，无选择性报价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523" w:hRule="atLeast"/>
          <w:jc w:val="center"/>
        </w:trPr>
        <w:tc>
          <w:tcPr>
            <w:tcW w:w="1050" w:type="dxa"/>
            <w:vMerge w:val="continue"/>
            <w:vAlign w:val="center"/>
          </w:tcPr>
          <w:p>
            <w:pPr>
              <w:tabs>
                <w:tab w:val="right" w:leader="dot" w:pos="9060"/>
              </w:tabs>
              <w:adjustRightInd w:val="0"/>
              <w:snapToGrid w:val="0"/>
              <w:spacing w:line="360" w:lineRule="auto"/>
              <w:jc w:val="center"/>
              <w:rPr>
                <w:rFonts w:ascii="宋体" w:hAnsi="宋体" w:cs="宋体"/>
                <w:kern w:val="0"/>
                <w:sz w:val="24"/>
                <w:highlight w:val="none"/>
              </w:rPr>
            </w:pPr>
          </w:p>
        </w:tc>
        <w:tc>
          <w:tcPr>
            <w:tcW w:w="3703" w:type="dxa"/>
            <w:vAlign w:val="center"/>
          </w:tcPr>
          <w:p>
            <w:pPr>
              <w:tabs>
                <w:tab w:val="right" w:leader="dot" w:pos="9060"/>
              </w:tabs>
              <w:adjustRightInd w:val="0"/>
              <w:snapToGrid w:val="0"/>
              <w:spacing w:line="360" w:lineRule="auto"/>
              <w:jc w:val="center"/>
              <w:rPr>
                <w:rFonts w:ascii="宋体" w:hAnsi="宋体" w:cs="宋体"/>
                <w:kern w:val="0"/>
                <w:sz w:val="24"/>
                <w:highlight w:val="none"/>
              </w:rPr>
            </w:pPr>
            <w:r>
              <w:rPr>
                <w:rFonts w:hint="eastAsia" w:ascii="宋体" w:hAnsi="宋体" w:cs="宋体"/>
                <w:kern w:val="0"/>
                <w:sz w:val="24"/>
                <w:highlight w:val="none"/>
              </w:rPr>
              <w:t>磋商内容</w:t>
            </w:r>
          </w:p>
        </w:tc>
        <w:tc>
          <w:tcPr>
            <w:tcW w:w="3632" w:type="dxa"/>
            <w:vAlign w:val="center"/>
          </w:tcPr>
          <w:p>
            <w:pPr>
              <w:tabs>
                <w:tab w:val="right" w:leader="dot" w:pos="9060"/>
              </w:tabs>
              <w:adjustRightInd w:val="0"/>
              <w:snapToGrid w:val="0"/>
              <w:spacing w:line="360" w:lineRule="auto"/>
              <w:jc w:val="center"/>
              <w:rPr>
                <w:rFonts w:ascii="宋体" w:hAnsi="宋体" w:cs="宋体"/>
                <w:kern w:val="0"/>
                <w:sz w:val="24"/>
                <w:highlight w:val="none"/>
              </w:rPr>
            </w:pPr>
            <w:r>
              <w:rPr>
                <w:rFonts w:hint="eastAsia" w:ascii="宋体" w:hAnsi="宋体" w:cs="宋体"/>
                <w:kern w:val="0"/>
                <w:sz w:val="24"/>
                <w:highlight w:val="none"/>
              </w:rPr>
              <w:t>符合磋商文件规定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523" w:hRule="atLeast"/>
          <w:jc w:val="center"/>
        </w:trPr>
        <w:tc>
          <w:tcPr>
            <w:tcW w:w="1050" w:type="dxa"/>
            <w:vMerge w:val="continue"/>
            <w:vAlign w:val="center"/>
          </w:tcPr>
          <w:p>
            <w:pPr>
              <w:tabs>
                <w:tab w:val="right" w:leader="dot" w:pos="9060"/>
              </w:tabs>
              <w:adjustRightInd w:val="0"/>
              <w:snapToGrid w:val="0"/>
              <w:spacing w:line="360" w:lineRule="auto"/>
              <w:jc w:val="center"/>
              <w:rPr>
                <w:rFonts w:ascii="宋体" w:hAnsi="宋体" w:cs="宋体"/>
                <w:kern w:val="0"/>
                <w:sz w:val="24"/>
                <w:highlight w:val="none"/>
              </w:rPr>
            </w:pPr>
          </w:p>
        </w:tc>
        <w:tc>
          <w:tcPr>
            <w:tcW w:w="3703" w:type="dxa"/>
            <w:vAlign w:val="center"/>
          </w:tcPr>
          <w:p>
            <w:pPr>
              <w:tabs>
                <w:tab w:val="right" w:leader="dot" w:pos="9060"/>
              </w:tabs>
              <w:adjustRightInd w:val="0"/>
              <w:snapToGrid w:val="0"/>
              <w:spacing w:line="360" w:lineRule="auto"/>
              <w:jc w:val="center"/>
              <w:rPr>
                <w:rFonts w:ascii="宋体" w:hAnsi="宋体" w:cs="宋体"/>
                <w:kern w:val="0"/>
                <w:sz w:val="24"/>
                <w:highlight w:val="none"/>
              </w:rPr>
            </w:pPr>
            <w:r>
              <w:rPr>
                <w:rFonts w:hint="eastAsia" w:ascii="宋体" w:hAnsi="宋体" w:cs="宋体"/>
                <w:kern w:val="0"/>
                <w:sz w:val="24"/>
                <w:highlight w:val="none"/>
              </w:rPr>
              <w:t>服务期</w:t>
            </w:r>
          </w:p>
        </w:tc>
        <w:tc>
          <w:tcPr>
            <w:tcW w:w="3632" w:type="dxa"/>
            <w:vAlign w:val="center"/>
          </w:tcPr>
          <w:p>
            <w:pPr>
              <w:tabs>
                <w:tab w:val="right" w:leader="dot" w:pos="9060"/>
              </w:tabs>
              <w:adjustRightInd w:val="0"/>
              <w:snapToGrid w:val="0"/>
              <w:spacing w:line="360" w:lineRule="auto"/>
              <w:jc w:val="center"/>
              <w:rPr>
                <w:rFonts w:ascii="宋体" w:hAnsi="宋体" w:cs="宋体"/>
                <w:kern w:val="0"/>
                <w:sz w:val="24"/>
                <w:highlight w:val="none"/>
              </w:rPr>
            </w:pPr>
            <w:r>
              <w:rPr>
                <w:rFonts w:hint="eastAsia" w:ascii="宋体" w:hAnsi="宋体" w:cs="宋体"/>
                <w:kern w:val="0"/>
                <w:sz w:val="24"/>
                <w:highlight w:val="none"/>
              </w:rPr>
              <w:t>满足磋商文件规定</w:t>
            </w:r>
          </w:p>
        </w:tc>
      </w:tr>
    </w:tbl>
    <w:p>
      <w:pPr>
        <w:rPr>
          <w:rFonts w:ascii="宋体" w:hAnsi="宋体" w:cs="宋体"/>
          <w:sz w:val="24"/>
          <w:highlight w:val="none"/>
        </w:rPr>
      </w:pPr>
      <w:r>
        <w:rPr>
          <w:rFonts w:hint="eastAsia" w:ascii="宋体" w:hAnsi="宋体" w:cs="宋体"/>
          <w:sz w:val="24"/>
          <w:highlight w:val="none"/>
        </w:rPr>
        <w:t>说明：以上各项有1项不合格，评审不予通过，作为未实质性响应磋商文件。在资格性、符合性检查时，审查未通过的，不得进入后续评审环节。</w:t>
      </w:r>
    </w:p>
    <w:p>
      <w:pPr>
        <w:ind w:firstLine="480" w:firstLineChars="200"/>
        <w:rPr>
          <w:rFonts w:ascii="宋体" w:hAnsi="宋体" w:cs="宋体"/>
          <w:sz w:val="24"/>
          <w:highlight w:val="none"/>
        </w:rPr>
      </w:pPr>
      <w:r>
        <w:rPr>
          <w:rFonts w:hint="eastAsia" w:ascii="宋体" w:hAnsi="宋体" w:cs="宋体"/>
          <w:sz w:val="24"/>
          <w:highlight w:val="none"/>
        </w:rPr>
        <w:t>3.2.2有下列情形之一的，视为供应商串通投标，磋商小组应当认定其响应文件无效：</w:t>
      </w:r>
    </w:p>
    <w:p>
      <w:pPr>
        <w:ind w:firstLine="480" w:firstLineChars="200"/>
        <w:rPr>
          <w:rFonts w:ascii="宋体" w:hAnsi="宋体" w:cs="宋体"/>
          <w:sz w:val="24"/>
          <w:highlight w:val="none"/>
        </w:rPr>
      </w:pPr>
      <w:r>
        <w:rPr>
          <w:rFonts w:hint="eastAsia" w:ascii="宋体" w:hAnsi="宋体" w:cs="宋体"/>
          <w:sz w:val="24"/>
          <w:highlight w:val="none"/>
        </w:rPr>
        <w:t>3.2.2.1不同供应商的响应文件由同一单位或者个人编制；</w:t>
      </w:r>
    </w:p>
    <w:p>
      <w:pPr>
        <w:rPr>
          <w:rFonts w:ascii="宋体" w:hAnsi="宋体" w:cs="宋体"/>
          <w:sz w:val="24"/>
          <w:highlight w:val="none"/>
        </w:rPr>
      </w:pPr>
      <w:r>
        <w:rPr>
          <w:rFonts w:hint="eastAsia" w:ascii="宋体" w:hAnsi="宋体" w:cs="宋体"/>
          <w:sz w:val="24"/>
          <w:highlight w:val="none"/>
        </w:rPr>
        <w:t xml:space="preserve">不同供应商委托同一单位或者个人办理磋商事宜； </w:t>
      </w:r>
    </w:p>
    <w:p>
      <w:pPr>
        <w:ind w:firstLine="480" w:firstLineChars="200"/>
        <w:rPr>
          <w:rFonts w:ascii="宋体" w:hAnsi="宋体" w:cs="宋体"/>
          <w:sz w:val="24"/>
          <w:highlight w:val="none"/>
        </w:rPr>
      </w:pPr>
      <w:r>
        <w:rPr>
          <w:rFonts w:hint="eastAsia" w:ascii="宋体" w:hAnsi="宋体" w:cs="宋体"/>
          <w:sz w:val="24"/>
          <w:highlight w:val="none"/>
        </w:rPr>
        <w:t>3.2.2.3不同供应商的响应文件载明的项目管理成员或者联系人员为同一人；</w:t>
      </w:r>
    </w:p>
    <w:p>
      <w:pPr>
        <w:ind w:firstLine="480" w:firstLineChars="200"/>
        <w:rPr>
          <w:rFonts w:ascii="宋体" w:hAnsi="宋体" w:cs="宋体"/>
          <w:sz w:val="24"/>
          <w:highlight w:val="none"/>
        </w:rPr>
      </w:pPr>
      <w:r>
        <w:rPr>
          <w:rFonts w:hint="eastAsia" w:ascii="宋体" w:hAnsi="宋体" w:cs="宋体"/>
          <w:sz w:val="24"/>
          <w:highlight w:val="none"/>
        </w:rPr>
        <w:t>3.2.2.4不同供应商的响应文件异常一致或者磋商报价呈规律性差异；</w:t>
      </w:r>
    </w:p>
    <w:p>
      <w:pPr>
        <w:ind w:firstLine="480" w:firstLineChars="200"/>
        <w:rPr>
          <w:rFonts w:ascii="宋体" w:hAnsi="宋体" w:cs="宋体"/>
          <w:sz w:val="24"/>
          <w:highlight w:val="none"/>
        </w:rPr>
      </w:pPr>
      <w:r>
        <w:rPr>
          <w:rFonts w:hint="eastAsia" w:ascii="宋体" w:hAnsi="宋体" w:cs="宋体"/>
          <w:sz w:val="24"/>
          <w:highlight w:val="none"/>
        </w:rPr>
        <w:t>3.2.2.5不同供应商的响应文件相互混装；</w:t>
      </w:r>
    </w:p>
    <w:p>
      <w:pPr>
        <w:ind w:firstLine="480" w:firstLineChars="200"/>
        <w:rPr>
          <w:rFonts w:ascii="宋体" w:hAnsi="宋体" w:cs="宋体"/>
          <w:sz w:val="24"/>
          <w:highlight w:val="none"/>
        </w:rPr>
      </w:pPr>
      <w:r>
        <w:rPr>
          <w:rFonts w:hint="eastAsia" w:ascii="宋体" w:hAnsi="宋体" w:cs="宋体"/>
          <w:sz w:val="24"/>
          <w:highlight w:val="none"/>
        </w:rPr>
        <w:t>3.2.2.6不同供应商的磋商保证金从同一单位或者个人的账户转出。</w:t>
      </w:r>
    </w:p>
    <w:p>
      <w:pPr>
        <w:ind w:firstLine="480" w:firstLineChars="200"/>
        <w:rPr>
          <w:rFonts w:ascii="宋体" w:hAnsi="宋体" w:cs="宋体"/>
          <w:sz w:val="24"/>
          <w:highlight w:val="none"/>
        </w:rPr>
      </w:pPr>
      <w:r>
        <w:rPr>
          <w:rFonts w:hint="eastAsia" w:ascii="宋体" w:hAnsi="宋体" w:cs="宋体"/>
          <w:sz w:val="24"/>
          <w:highlight w:val="none"/>
        </w:rPr>
        <w:t>3.2.3出现下列情况之一者（但不限于），磋商小组应按无效响应文件处理：</w:t>
      </w:r>
    </w:p>
    <w:p>
      <w:pPr>
        <w:ind w:firstLine="480" w:firstLineChars="200"/>
        <w:rPr>
          <w:rFonts w:ascii="宋体" w:hAnsi="宋体" w:cs="宋体"/>
          <w:sz w:val="24"/>
          <w:highlight w:val="none"/>
        </w:rPr>
      </w:pPr>
      <w:r>
        <w:rPr>
          <w:rFonts w:hint="eastAsia" w:ascii="宋体" w:hAnsi="宋体" w:cs="宋体"/>
          <w:sz w:val="24"/>
          <w:highlight w:val="none"/>
        </w:rPr>
        <w:t>3.2.3.1供应商的磋商报价超过采购预算的；</w:t>
      </w:r>
    </w:p>
    <w:p>
      <w:pPr>
        <w:ind w:firstLine="480" w:firstLineChars="200"/>
        <w:rPr>
          <w:rFonts w:ascii="宋体" w:hAnsi="宋体" w:cs="宋体"/>
          <w:sz w:val="24"/>
          <w:highlight w:val="none"/>
        </w:rPr>
      </w:pPr>
      <w:r>
        <w:rPr>
          <w:rFonts w:hint="eastAsia" w:ascii="宋体" w:hAnsi="宋体" w:cs="宋体"/>
          <w:sz w:val="24"/>
          <w:highlight w:val="none"/>
        </w:rPr>
        <w:t>3.2.3.2供应商未经过正常渠道购买磋商文件，或供应商名称与购买磋商文件时登记的供应商名称不符的；</w:t>
      </w:r>
    </w:p>
    <w:p>
      <w:pPr>
        <w:ind w:firstLine="480" w:firstLineChars="200"/>
        <w:rPr>
          <w:rFonts w:ascii="宋体" w:hAnsi="宋体" w:cs="宋体"/>
          <w:sz w:val="24"/>
          <w:highlight w:val="none"/>
        </w:rPr>
      </w:pPr>
      <w:r>
        <w:rPr>
          <w:rFonts w:hint="eastAsia" w:ascii="宋体" w:hAnsi="宋体" w:cs="宋体"/>
          <w:sz w:val="24"/>
          <w:highlight w:val="none"/>
        </w:rPr>
        <w:t>3.2.3.3供应商不具备资格条件的；</w:t>
      </w:r>
    </w:p>
    <w:p>
      <w:pPr>
        <w:ind w:firstLine="480" w:firstLineChars="200"/>
        <w:rPr>
          <w:rFonts w:ascii="宋体" w:hAnsi="宋体" w:cs="宋体"/>
          <w:sz w:val="24"/>
          <w:highlight w:val="none"/>
        </w:rPr>
      </w:pPr>
      <w:r>
        <w:rPr>
          <w:rFonts w:hint="eastAsia" w:ascii="宋体" w:hAnsi="宋体" w:cs="宋体"/>
          <w:sz w:val="24"/>
          <w:highlight w:val="none"/>
        </w:rPr>
        <w:t>3.2.3.4实质性内容不满足或未响应的（包括但不限于：服务期、付款方式、主要技术指标等）；</w:t>
      </w:r>
    </w:p>
    <w:p>
      <w:pPr>
        <w:ind w:firstLine="480" w:firstLineChars="200"/>
        <w:rPr>
          <w:rFonts w:ascii="宋体" w:hAnsi="宋体" w:cs="宋体"/>
          <w:sz w:val="24"/>
          <w:highlight w:val="none"/>
        </w:rPr>
      </w:pPr>
      <w:r>
        <w:rPr>
          <w:rFonts w:hint="eastAsia" w:ascii="宋体" w:hAnsi="宋体" w:cs="宋体"/>
          <w:sz w:val="24"/>
          <w:highlight w:val="none"/>
        </w:rPr>
        <w:t>3.2.3.5响应文件的有效性和符合性不符合要求的；</w:t>
      </w:r>
    </w:p>
    <w:p>
      <w:pPr>
        <w:ind w:firstLine="480" w:firstLineChars="200"/>
        <w:rPr>
          <w:rFonts w:ascii="宋体" w:hAnsi="宋体" w:cs="宋体"/>
          <w:sz w:val="24"/>
          <w:highlight w:val="none"/>
        </w:rPr>
      </w:pPr>
      <w:r>
        <w:rPr>
          <w:rFonts w:hint="eastAsia" w:ascii="宋体" w:hAnsi="宋体" w:cs="宋体"/>
          <w:sz w:val="24"/>
          <w:highlight w:val="none"/>
        </w:rPr>
        <w:t>3.2.3.6供应商未按磋商文件要求的签字、加盖公章的；</w:t>
      </w:r>
    </w:p>
    <w:p>
      <w:pPr>
        <w:ind w:firstLine="480" w:firstLineChars="200"/>
        <w:rPr>
          <w:rFonts w:ascii="宋体" w:hAnsi="宋体" w:cs="宋体"/>
          <w:sz w:val="24"/>
          <w:highlight w:val="none"/>
        </w:rPr>
      </w:pPr>
      <w:r>
        <w:rPr>
          <w:rFonts w:hint="eastAsia" w:ascii="宋体" w:hAnsi="宋体" w:cs="宋体"/>
          <w:sz w:val="24"/>
          <w:highlight w:val="none"/>
        </w:rPr>
        <w:t>3.2.3.7响应文件有涂改，涂改处未按磋商文件要求签字的；</w:t>
      </w:r>
    </w:p>
    <w:p>
      <w:pPr>
        <w:ind w:firstLine="480" w:firstLineChars="200"/>
        <w:rPr>
          <w:rFonts w:ascii="宋体" w:hAnsi="宋体" w:cs="宋体"/>
          <w:sz w:val="24"/>
          <w:highlight w:val="none"/>
        </w:rPr>
      </w:pPr>
      <w:r>
        <w:rPr>
          <w:rFonts w:hint="eastAsia" w:ascii="宋体" w:hAnsi="宋体" w:cs="宋体"/>
          <w:sz w:val="24"/>
          <w:highlight w:val="none"/>
        </w:rPr>
        <w:t>3.2.3.8无磋商有效期或有效期不符合磋商文件要求的；</w:t>
      </w:r>
    </w:p>
    <w:p>
      <w:pPr>
        <w:ind w:firstLine="480" w:firstLineChars="200"/>
        <w:rPr>
          <w:rFonts w:ascii="宋体" w:hAnsi="宋体" w:cs="宋体"/>
          <w:sz w:val="24"/>
          <w:highlight w:val="none"/>
        </w:rPr>
      </w:pPr>
      <w:r>
        <w:rPr>
          <w:rFonts w:hint="eastAsia" w:ascii="宋体" w:hAnsi="宋体" w:cs="宋体"/>
          <w:sz w:val="24"/>
          <w:highlight w:val="none"/>
        </w:rPr>
        <w:t>3.2.3.9供应商针对同一项目递交两份或多份内容不同的响应文件，未书面声明哪一份是有效的或出现选择性报价的；</w:t>
      </w:r>
    </w:p>
    <w:p>
      <w:pPr>
        <w:ind w:firstLine="480" w:firstLineChars="200"/>
        <w:rPr>
          <w:rFonts w:ascii="宋体" w:hAnsi="宋体" w:cs="宋体"/>
          <w:sz w:val="24"/>
          <w:highlight w:val="none"/>
        </w:rPr>
      </w:pPr>
      <w:r>
        <w:rPr>
          <w:rFonts w:hint="eastAsia" w:ascii="宋体" w:hAnsi="宋体" w:cs="宋体"/>
          <w:sz w:val="24"/>
          <w:highlight w:val="none"/>
        </w:rPr>
        <w:t>3.2.3.10提供虚假资质、虚假证明（包括第三方提供的虚假证明）、出现虚假应答的，除按无效响应文件处理外，还将按照政府采购的有关规定进行处罚；</w:t>
      </w:r>
    </w:p>
    <w:p>
      <w:pPr>
        <w:ind w:firstLine="480" w:firstLineChars="200"/>
        <w:rPr>
          <w:rFonts w:ascii="宋体" w:hAnsi="宋体" w:cs="宋体"/>
          <w:sz w:val="24"/>
          <w:highlight w:val="none"/>
        </w:rPr>
      </w:pPr>
      <w:r>
        <w:rPr>
          <w:rFonts w:hint="eastAsia" w:ascii="宋体" w:hAnsi="宋体" w:cs="宋体"/>
          <w:sz w:val="24"/>
          <w:highlight w:val="none"/>
        </w:rPr>
        <w:t>3.2.3.11响应文件附加了采购人难以接受的条件或条款的；</w:t>
      </w:r>
    </w:p>
    <w:p>
      <w:pPr>
        <w:ind w:firstLine="480" w:firstLineChars="200"/>
        <w:rPr>
          <w:rFonts w:ascii="宋体" w:hAnsi="宋体" w:cs="宋体"/>
          <w:sz w:val="24"/>
          <w:highlight w:val="none"/>
        </w:rPr>
      </w:pPr>
      <w:r>
        <w:rPr>
          <w:rFonts w:hint="eastAsia" w:ascii="宋体" w:hAnsi="宋体" w:cs="宋体"/>
          <w:sz w:val="24"/>
          <w:highlight w:val="none"/>
        </w:rPr>
        <w:t>3.2.3.12供应商前期参与了本次项目方案设计的；</w:t>
      </w:r>
    </w:p>
    <w:p>
      <w:pPr>
        <w:ind w:firstLine="480" w:firstLineChars="200"/>
        <w:rPr>
          <w:rFonts w:ascii="宋体" w:hAnsi="宋体" w:cs="宋体"/>
          <w:sz w:val="24"/>
          <w:highlight w:val="none"/>
        </w:rPr>
      </w:pPr>
      <w:r>
        <w:rPr>
          <w:rFonts w:hint="eastAsia" w:ascii="宋体" w:hAnsi="宋体" w:cs="宋体"/>
          <w:sz w:val="24"/>
          <w:highlight w:val="none"/>
        </w:rPr>
        <w:t>3.2.3.13在政府采购或其它重大项目履约过程中有不良记录，未能按期履约的；</w:t>
      </w:r>
    </w:p>
    <w:p>
      <w:pPr>
        <w:ind w:firstLine="480" w:firstLineChars="200"/>
        <w:rPr>
          <w:rFonts w:ascii="宋体" w:hAnsi="宋体" w:cs="宋体"/>
          <w:sz w:val="24"/>
          <w:highlight w:val="none"/>
        </w:rPr>
      </w:pPr>
      <w:r>
        <w:rPr>
          <w:rFonts w:hint="eastAsia" w:ascii="宋体" w:hAnsi="宋体" w:cs="宋体"/>
          <w:sz w:val="24"/>
          <w:highlight w:val="none"/>
        </w:rPr>
        <w:t>3.2.3.14磋商报价与市场价格偏离较大、低于成本、磋商小组认为形成不正当竞争的，且在规定时间内无法提供有效书面证明；</w:t>
      </w:r>
    </w:p>
    <w:p>
      <w:pPr>
        <w:ind w:firstLine="480" w:firstLineChars="200"/>
        <w:rPr>
          <w:rFonts w:ascii="宋体" w:hAnsi="宋体" w:cs="宋体"/>
          <w:sz w:val="24"/>
          <w:highlight w:val="none"/>
        </w:rPr>
      </w:pPr>
      <w:r>
        <w:rPr>
          <w:rFonts w:hint="eastAsia" w:ascii="宋体" w:hAnsi="宋体" w:cs="宋体"/>
          <w:sz w:val="24"/>
          <w:highlight w:val="none"/>
        </w:rPr>
        <w:t>3.2.3.15报价子目出现漏项或报价数量与磋商文件要求不符的；</w:t>
      </w:r>
    </w:p>
    <w:p>
      <w:pPr>
        <w:ind w:firstLine="480" w:firstLineChars="200"/>
        <w:rPr>
          <w:rFonts w:ascii="宋体" w:hAnsi="宋体" w:cs="宋体"/>
          <w:sz w:val="24"/>
          <w:highlight w:val="none"/>
        </w:rPr>
      </w:pPr>
      <w:r>
        <w:rPr>
          <w:rFonts w:hint="eastAsia" w:ascii="宋体" w:hAnsi="宋体" w:cs="宋体"/>
          <w:sz w:val="24"/>
          <w:highlight w:val="none"/>
        </w:rPr>
        <w:t>3.2.3.16磋商项目的技术参数与磋商文件要求出现重大负偏差的或技术指标有漏项的；</w:t>
      </w:r>
    </w:p>
    <w:p>
      <w:pPr>
        <w:ind w:firstLine="480" w:firstLineChars="200"/>
        <w:rPr>
          <w:rFonts w:ascii="宋体" w:hAnsi="宋体" w:cs="宋体"/>
          <w:sz w:val="24"/>
          <w:highlight w:val="none"/>
        </w:rPr>
      </w:pPr>
      <w:r>
        <w:rPr>
          <w:rFonts w:hint="eastAsia" w:ascii="宋体" w:hAnsi="宋体" w:cs="宋体"/>
          <w:sz w:val="24"/>
          <w:highlight w:val="none"/>
        </w:rPr>
        <w:t>3.2.3.17提供虚假技术参数；</w:t>
      </w:r>
    </w:p>
    <w:p>
      <w:pPr>
        <w:ind w:firstLine="480" w:firstLineChars="200"/>
        <w:rPr>
          <w:rFonts w:ascii="宋体" w:hAnsi="宋体" w:cs="宋体"/>
          <w:sz w:val="24"/>
          <w:highlight w:val="none"/>
        </w:rPr>
      </w:pPr>
      <w:r>
        <w:rPr>
          <w:rFonts w:hint="eastAsia" w:ascii="宋体" w:hAnsi="宋体" w:cs="宋体"/>
          <w:sz w:val="24"/>
          <w:highlight w:val="none"/>
        </w:rPr>
        <w:t>3.2.3.18供应商未按磋商文件要求提交磋商保证金的；</w:t>
      </w:r>
    </w:p>
    <w:p>
      <w:pPr>
        <w:ind w:firstLine="480" w:firstLineChars="200"/>
        <w:rPr>
          <w:rFonts w:ascii="宋体" w:hAnsi="宋体" w:cs="宋体"/>
          <w:sz w:val="20"/>
          <w:szCs w:val="20"/>
          <w:highlight w:val="none"/>
        </w:rPr>
      </w:pPr>
      <w:r>
        <w:rPr>
          <w:rFonts w:hint="eastAsia" w:ascii="宋体" w:hAnsi="宋体" w:cs="宋体"/>
          <w:sz w:val="24"/>
          <w:highlight w:val="none"/>
        </w:rPr>
        <w:t>3.2.3.19不符合法律、法规和磋商文件中规定的其他无效情形</w:t>
      </w:r>
      <w:r>
        <w:rPr>
          <w:rFonts w:hint="eastAsia" w:ascii="宋体" w:hAnsi="宋体" w:cs="宋体"/>
          <w:szCs w:val="21"/>
          <w:highlight w:val="none"/>
        </w:rPr>
        <w:t>。</w:t>
      </w:r>
    </w:p>
    <w:p>
      <w:pPr>
        <w:rPr>
          <w:rFonts w:ascii="宋体" w:hAnsi="宋体" w:cs="宋体"/>
          <w:b/>
          <w:bCs/>
          <w:sz w:val="24"/>
          <w:highlight w:val="none"/>
        </w:rPr>
      </w:pPr>
      <w:bookmarkStart w:id="79" w:name="_Toc18885_WPSOffice_Level2"/>
      <w:bookmarkStart w:id="80" w:name="_Toc15430_WPSOffice_Level2"/>
      <w:bookmarkStart w:id="81" w:name="_Toc28358_WPSOffice_Level2"/>
      <w:r>
        <w:rPr>
          <w:rFonts w:hint="eastAsia" w:ascii="宋体" w:hAnsi="宋体" w:cs="宋体"/>
          <w:b/>
          <w:bCs/>
          <w:sz w:val="24"/>
          <w:highlight w:val="none"/>
        </w:rPr>
        <w:t>4.磋商澄清</w:t>
      </w:r>
      <w:bookmarkEnd w:id="79"/>
      <w:bookmarkEnd w:id="80"/>
      <w:bookmarkEnd w:id="81"/>
    </w:p>
    <w:p>
      <w:pPr>
        <w:ind w:firstLine="480" w:firstLineChars="200"/>
        <w:rPr>
          <w:rFonts w:ascii="宋体" w:hAnsi="宋体" w:cs="宋体"/>
          <w:sz w:val="24"/>
          <w:highlight w:val="none"/>
        </w:rPr>
      </w:pPr>
      <w:r>
        <w:rPr>
          <w:rFonts w:hint="eastAsia" w:ascii="宋体" w:hAnsi="宋体" w:cs="宋体"/>
          <w:sz w:val="24"/>
          <w:highlight w:val="none"/>
        </w:rPr>
        <w:t>4.1磋商小组有权就磋商响应文件中含混之处向上述步骤初审合格的磋商供应商提出询问或澄清要求；磋商供应商将有关询标澄清、补正、说明的内容应以书面形式提交；</w:t>
      </w:r>
    </w:p>
    <w:p>
      <w:pPr>
        <w:ind w:firstLine="480" w:firstLineChars="200"/>
        <w:rPr>
          <w:rFonts w:ascii="宋体" w:hAnsi="宋体" w:cs="宋体"/>
          <w:sz w:val="24"/>
          <w:highlight w:val="none"/>
        </w:rPr>
      </w:pPr>
      <w:r>
        <w:rPr>
          <w:rFonts w:hint="eastAsia" w:ascii="宋体" w:hAnsi="宋体" w:cs="宋体"/>
          <w:sz w:val="24"/>
          <w:highlight w:val="none"/>
        </w:rPr>
        <w:t>4.2竞争性磋商公告、磋商响应文件作为磋商的依据，澄清、补正、说明的内容只作为磋商参考。磋商澄清时磋商供应商只作说明和解释，不得借此对磋商报价、交货期、主要技术指标等实质性内容做任何修改；如澄清、补正、说明的内容与磋商响应文件内容有重大相悖或矛盾，将被认定为无效文件；</w:t>
      </w:r>
    </w:p>
    <w:p>
      <w:pPr>
        <w:ind w:firstLine="480" w:firstLineChars="200"/>
        <w:rPr>
          <w:rFonts w:ascii="宋体" w:hAnsi="宋体" w:cs="宋体"/>
          <w:sz w:val="24"/>
          <w:highlight w:val="none"/>
        </w:rPr>
      </w:pPr>
      <w:r>
        <w:rPr>
          <w:rFonts w:hint="eastAsia" w:ascii="宋体" w:hAnsi="宋体" w:cs="宋体"/>
          <w:sz w:val="24"/>
          <w:highlight w:val="none"/>
        </w:rPr>
        <w:t>4.3磋商供应商对磋商响应文件的澄清不得改变磋商报价及实质内容。</w:t>
      </w:r>
    </w:p>
    <w:p>
      <w:pPr>
        <w:rPr>
          <w:rFonts w:ascii="宋体" w:hAnsi="宋体" w:cs="宋体"/>
          <w:sz w:val="24"/>
          <w:highlight w:val="none"/>
        </w:rPr>
      </w:pPr>
      <w:r>
        <w:rPr>
          <w:rFonts w:hint="eastAsia" w:ascii="宋体" w:hAnsi="宋体" w:cs="宋体"/>
          <w:sz w:val="24"/>
          <w:highlight w:val="none"/>
        </w:rPr>
        <w:t>磋商时，磋商响应文件中出现下列情况，修正原则为：</w:t>
      </w:r>
    </w:p>
    <w:p>
      <w:pPr>
        <w:ind w:firstLine="480" w:firstLineChars="200"/>
        <w:rPr>
          <w:rFonts w:ascii="宋体" w:hAnsi="宋体" w:cs="宋体"/>
          <w:sz w:val="24"/>
          <w:highlight w:val="none"/>
        </w:rPr>
      </w:pPr>
      <w:r>
        <w:rPr>
          <w:rFonts w:hint="eastAsia" w:ascii="宋体" w:hAnsi="宋体" w:cs="宋体"/>
          <w:sz w:val="24"/>
          <w:highlight w:val="none"/>
        </w:rPr>
        <w:t>4.3.1磋商响应文件中响应报价表内容与磋商响应文件中明细内容不一致的，以响应报价表为准；</w:t>
      </w:r>
    </w:p>
    <w:p>
      <w:pPr>
        <w:ind w:firstLine="480" w:firstLineChars="200"/>
        <w:rPr>
          <w:rFonts w:ascii="宋体" w:hAnsi="宋体" w:cs="宋体"/>
          <w:sz w:val="24"/>
          <w:highlight w:val="none"/>
        </w:rPr>
      </w:pPr>
      <w:r>
        <w:rPr>
          <w:rFonts w:hint="eastAsia" w:ascii="宋体" w:hAnsi="宋体" w:cs="宋体"/>
          <w:sz w:val="24"/>
          <w:highlight w:val="none"/>
        </w:rPr>
        <w:t>4.3.2磋商报价的大写金额和小写金额不一致的，以大写金额为准；</w:t>
      </w:r>
    </w:p>
    <w:p>
      <w:pPr>
        <w:ind w:firstLine="480" w:firstLineChars="200"/>
        <w:rPr>
          <w:rFonts w:ascii="宋体" w:hAnsi="宋体" w:cs="宋体"/>
          <w:sz w:val="24"/>
          <w:highlight w:val="none"/>
        </w:rPr>
      </w:pPr>
      <w:r>
        <w:rPr>
          <w:rFonts w:hint="eastAsia" w:ascii="宋体" w:hAnsi="宋体" w:cs="宋体"/>
          <w:sz w:val="24"/>
          <w:highlight w:val="none"/>
        </w:rPr>
        <w:t>4.3.3总价金额与按单价汇总金额不一致的，以单价金额计算结果为准；</w:t>
      </w:r>
    </w:p>
    <w:p>
      <w:pPr>
        <w:ind w:firstLine="480" w:firstLineChars="200"/>
        <w:rPr>
          <w:rFonts w:ascii="宋体" w:hAnsi="宋体" w:cs="宋体"/>
          <w:sz w:val="24"/>
          <w:highlight w:val="none"/>
        </w:rPr>
      </w:pPr>
      <w:r>
        <w:rPr>
          <w:rFonts w:hint="eastAsia" w:ascii="宋体" w:hAnsi="宋体" w:cs="宋体"/>
          <w:sz w:val="24"/>
          <w:highlight w:val="none"/>
        </w:rPr>
        <w:t>4.3.4单价金额小数点有明显错位的，以总价为准，并修改单价；</w:t>
      </w:r>
    </w:p>
    <w:p>
      <w:pPr>
        <w:ind w:firstLine="480" w:firstLineChars="200"/>
        <w:rPr>
          <w:rFonts w:ascii="宋体" w:hAnsi="宋体" w:cs="宋体"/>
          <w:sz w:val="24"/>
          <w:highlight w:val="none"/>
        </w:rPr>
      </w:pPr>
      <w:r>
        <w:rPr>
          <w:rFonts w:hint="eastAsia" w:ascii="宋体" w:hAnsi="宋体" w:cs="宋体"/>
          <w:sz w:val="24"/>
          <w:highlight w:val="none"/>
        </w:rPr>
        <w:t>4.3.5磋商响应文件正本与副本不一致的，以正本为准；</w:t>
      </w:r>
    </w:p>
    <w:p>
      <w:pPr>
        <w:ind w:firstLine="480" w:firstLineChars="200"/>
        <w:rPr>
          <w:rFonts w:ascii="宋体" w:hAnsi="宋体" w:cs="宋体"/>
          <w:sz w:val="24"/>
          <w:highlight w:val="none"/>
        </w:rPr>
      </w:pPr>
      <w:r>
        <w:rPr>
          <w:rFonts w:hint="eastAsia" w:ascii="宋体" w:hAnsi="宋体" w:cs="宋体"/>
          <w:sz w:val="24"/>
          <w:highlight w:val="none"/>
        </w:rPr>
        <w:t>4.3.6多处内容交叉不符时，以磋商小组成员会评审结果为准；</w:t>
      </w:r>
    </w:p>
    <w:p>
      <w:pPr>
        <w:ind w:firstLine="480" w:firstLineChars="200"/>
        <w:rPr>
          <w:rFonts w:ascii="宋体" w:hAnsi="宋体" w:cs="宋体"/>
          <w:sz w:val="24"/>
          <w:highlight w:val="none"/>
        </w:rPr>
      </w:pPr>
      <w:r>
        <w:rPr>
          <w:rFonts w:hint="eastAsia" w:ascii="宋体" w:hAnsi="宋体" w:cs="宋体"/>
          <w:sz w:val="24"/>
          <w:highlight w:val="none"/>
        </w:rPr>
        <w:t>4.3.7文字与图表不符时以文字为准；</w:t>
      </w:r>
    </w:p>
    <w:p>
      <w:pPr>
        <w:rPr>
          <w:rFonts w:ascii="宋体" w:hAnsi="宋体" w:cs="宋体"/>
          <w:sz w:val="24"/>
          <w:highlight w:val="none"/>
        </w:rPr>
      </w:pPr>
      <w:r>
        <w:rPr>
          <w:rFonts w:hint="eastAsia" w:ascii="宋体" w:hAnsi="宋体" w:cs="宋体"/>
          <w:sz w:val="24"/>
          <w:highlight w:val="none"/>
        </w:rPr>
        <w:t>按上述修正错误的原则及方法调整或修正磋商响应文件的报价，磋商供应商同意后，调整后的报价对磋商供应商起约束作用。如果磋商供应商不接受修正后的报价，则其磋商活动将被拒绝，并且其磋商保证金也将被没收。</w:t>
      </w:r>
    </w:p>
    <w:p>
      <w:pPr>
        <w:rPr>
          <w:rFonts w:ascii="宋体" w:hAnsi="宋体" w:cs="宋体"/>
          <w:b/>
          <w:bCs/>
          <w:sz w:val="24"/>
          <w:highlight w:val="none"/>
        </w:rPr>
      </w:pPr>
      <w:bookmarkStart w:id="82" w:name="_Toc22022_WPSOffice_Level2"/>
      <w:bookmarkStart w:id="83" w:name="_Toc14855_WPSOffice_Level2"/>
      <w:bookmarkStart w:id="84" w:name="_Toc12107_WPSOffice_Level2"/>
      <w:r>
        <w:rPr>
          <w:rFonts w:hint="eastAsia" w:ascii="宋体" w:hAnsi="宋体" w:cs="宋体"/>
          <w:b/>
          <w:bCs/>
          <w:sz w:val="24"/>
          <w:highlight w:val="none"/>
        </w:rPr>
        <w:t>5.评审方法及内容</w:t>
      </w:r>
      <w:bookmarkEnd w:id="82"/>
      <w:bookmarkEnd w:id="83"/>
      <w:bookmarkEnd w:id="84"/>
    </w:p>
    <w:p>
      <w:pPr>
        <w:ind w:firstLine="480" w:firstLineChars="200"/>
        <w:rPr>
          <w:rFonts w:hint="eastAsia" w:ascii="宋体" w:hAnsi="宋体" w:eastAsia="宋体" w:cs="宋体"/>
          <w:sz w:val="24"/>
          <w:highlight w:val="none"/>
          <w:lang w:val="en-US" w:eastAsia="zh-CN"/>
        </w:rPr>
      </w:pPr>
      <w:r>
        <w:rPr>
          <w:rFonts w:hint="eastAsia" w:ascii="宋体" w:hAnsi="宋体" w:cs="宋体"/>
          <w:sz w:val="24"/>
          <w:highlight w:val="none"/>
        </w:rPr>
        <w:t>5.1采用综合评分法：二次报价为最终报价，最终报价后按照磋商文件中规定的各项因素进行综合评审后，按照综合得分由高到低的顺序，磋商小组对供应商进行排名。</w:t>
      </w:r>
      <w:r>
        <w:rPr>
          <w:rFonts w:hint="eastAsia" w:ascii="宋体" w:hAnsi="宋体" w:eastAsia="宋体" w:cs="宋体"/>
          <w:sz w:val="24"/>
          <w:highlight w:val="none"/>
          <w:lang w:val="en-US" w:eastAsia="zh-CN"/>
        </w:rPr>
        <w:t>评标结果按评审后得分由高到低顺序排列。得分相同的，按磋商报价由低到高顺序排列。得分且磋商报价相同的按照评审因素的技术部分评审得分由高到低的顺序排列。</w:t>
      </w:r>
    </w:p>
    <w:p>
      <w:pPr>
        <w:ind w:firstLine="480" w:firstLineChars="200"/>
        <w:rPr>
          <w:rFonts w:ascii="宋体" w:hAnsi="宋体" w:cs="宋体"/>
          <w:sz w:val="24"/>
          <w:highlight w:val="none"/>
        </w:rPr>
      </w:pPr>
      <w:r>
        <w:rPr>
          <w:rFonts w:hint="eastAsia" w:ascii="宋体" w:hAnsi="宋体" w:cs="宋体"/>
          <w:sz w:val="24"/>
          <w:highlight w:val="none"/>
        </w:rPr>
        <w:t>5</w:t>
      </w:r>
      <w:r>
        <w:rPr>
          <w:rFonts w:hint="eastAsia" w:ascii="宋体" w:hAnsi="宋体" w:cs="宋体"/>
          <w:sz w:val="24"/>
          <w:highlight w:val="none"/>
          <w:lang w:val="en-US" w:eastAsia="zh-CN"/>
        </w:rPr>
        <w:t>.2</w:t>
      </w:r>
      <w:r>
        <w:rPr>
          <w:rFonts w:hint="eastAsia" w:ascii="宋体" w:hAnsi="宋体" w:cs="宋体"/>
          <w:sz w:val="24"/>
          <w:highlight w:val="none"/>
        </w:rPr>
        <w:t>当一个供应商的综合得分在多个标包同时排名第一时，仅保留最终报价较大标包的成交资格，最终报价较小标包各供应商排序依次递增；若在多个标包排名第一且最终报价相同的，按标包次序获得成交资格，其他标包按此规则依次调整各标包推荐排名。</w:t>
      </w:r>
    </w:p>
    <w:p>
      <w:pPr>
        <w:ind w:firstLine="480" w:firstLineChars="200"/>
        <w:rPr>
          <w:rFonts w:ascii="宋体" w:hAnsi="宋体" w:cs="宋体"/>
          <w:sz w:val="24"/>
          <w:highlight w:val="none"/>
        </w:rPr>
      </w:pPr>
      <w:r>
        <w:rPr>
          <w:rFonts w:hint="eastAsia" w:ascii="宋体" w:hAnsi="宋体" w:cs="宋体"/>
          <w:sz w:val="24"/>
          <w:highlight w:val="none"/>
        </w:rPr>
        <w:t>5.</w:t>
      </w:r>
      <w:r>
        <w:rPr>
          <w:rFonts w:hint="eastAsia" w:ascii="宋体" w:hAnsi="宋体" w:cs="宋体"/>
          <w:sz w:val="24"/>
          <w:highlight w:val="none"/>
          <w:lang w:val="en-US" w:eastAsia="zh-CN"/>
        </w:rPr>
        <w:t>3</w:t>
      </w:r>
      <w:r>
        <w:rPr>
          <w:rFonts w:hint="eastAsia" w:ascii="宋体" w:hAnsi="宋体" w:cs="宋体"/>
          <w:sz w:val="24"/>
          <w:highlight w:val="none"/>
        </w:rPr>
        <w:t>磋商小组根据以下内容进行综合比较，自主打分，以标段为单位分别推荐成交候选3名供应商；磋商小组根据磋商结果写出磋商意见。</w:t>
      </w:r>
    </w:p>
    <w:p>
      <w:pPr>
        <w:ind w:firstLine="480" w:firstLineChars="200"/>
        <w:rPr>
          <w:rFonts w:ascii="宋体" w:hAnsi="宋体" w:cs="宋体"/>
          <w:sz w:val="24"/>
          <w:highlight w:val="none"/>
        </w:rPr>
      </w:pPr>
      <w:r>
        <w:rPr>
          <w:rFonts w:hint="eastAsia" w:ascii="宋体" w:hAnsi="宋体" w:cs="宋体"/>
          <w:sz w:val="24"/>
          <w:highlight w:val="none"/>
        </w:rPr>
        <w:t>5.</w:t>
      </w:r>
      <w:r>
        <w:rPr>
          <w:rFonts w:hint="eastAsia" w:ascii="宋体" w:hAnsi="宋体" w:cs="宋体"/>
          <w:sz w:val="24"/>
          <w:highlight w:val="none"/>
          <w:lang w:val="en-US" w:eastAsia="zh-CN"/>
        </w:rPr>
        <w:t>4</w:t>
      </w:r>
      <w:r>
        <w:rPr>
          <w:rFonts w:hint="eastAsia" w:ascii="宋体" w:hAnsi="宋体" w:cs="宋体"/>
          <w:sz w:val="24"/>
          <w:highlight w:val="none"/>
        </w:rPr>
        <w:t>评审指标分值构成（总计100分）</w:t>
      </w:r>
    </w:p>
    <w:p>
      <w:pPr>
        <w:pStyle w:val="10"/>
        <w:spacing w:line="360" w:lineRule="auto"/>
        <w:ind w:firstLine="0"/>
        <w:jc w:val="center"/>
        <w:rPr>
          <w:rFonts w:ascii="宋体" w:hAnsi="宋体" w:eastAsia="宋体" w:cs="宋体"/>
          <w:b/>
          <w:sz w:val="32"/>
          <w:szCs w:val="32"/>
          <w:highlight w:val="none"/>
        </w:rPr>
      </w:pPr>
      <w:bookmarkStart w:id="85" w:name="_Toc19224_WPSOffice_Level2"/>
      <w:bookmarkStart w:id="86" w:name="_Toc5721_WPSOffice_Level2"/>
      <w:bookmarkStart w:id="87" w:name="_Toc30254_WPSOffice_Level2"/>
      <w:r>
        <w:rPr>
          <w:rFonts w:hint="eastAsia" w:ascii="宋体" w:hAnsi="宋体" w:eastAsia="宋体" w:cs="宋体"/>
          <w:b/>
          <w:sz w:val="32"/>
          <w:szCs w:val="32"/>
          <w:highlight w:val="none"/>
        </w:rPr>
        <w:t>评审因素及权重分值表</w:t>
      </w:r>
    </w:p>
    <w:tbl>
      <w:tblPr>
        <w:tblStyle w:val="23"/>
        <w:tblW w:w="4998"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021"/>
        <w:gridCol w:w="1292"/>
        <w:gridCol w:w="697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9" w:hRule="atLeast"/>
        </w:trPr>
        <w:tc>
          <w:tcPr>
            <w:tcW w:w="550" w:type="pc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评分项</w:t>
            </w:r>
          </w:p>
        </w:tc>
        <w:tc>
          <w:tcPr>
            <w:tcW w:w="696" w:type="pc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sz w:val="24"/>
                <w:szCs w:val="24"/>
                <w:highlight w:val="none"/>
              </w:rPr>
              <w:t>评审要素及分值</w:t>
            </w:r>
          </w:p>
        </w:tc>
        <w:tc>
          <w:tcPr>
            <w:tcW w:w="3753" w:type="pct"/>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评分标准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550" w:type="pc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报价</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kern w:val="0"/>
                <w:sz w:val="24"/>
                <w:szCs w:val="24"/>
                <w:highlight w:val="none"/>
              </w:rPr>
              <w:t>（10分）</w:t>
            </w:r>
          </w:p>
        </w:tc>
        <w:tc>
          <w:tcPr>
            <w:tcW w:w="696" w:type="pc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sz w:val="24"/>
                <w:szCs w:val="24"/>
                <w:highlight w:val="none"/>
                <w:lang w:eastAsia="zh-CN"/>
              </w:rPr>
            </w:pPr>
            <w:r>
              <w:rPr>
                <w:rFonts w:hint="eastAsia" w:ascii="宋体" w:hAnsi="宋体" w:eastAsia="宋体" w:cs="宋体"/>
                <w:b w:val="0"/>
                <w:bCs/>
                <w:sz w:val="24"/>
                <w:szCs w:val="24"/>
                <w:highlight w:val="none"/>
                <w:lang w:eastAsia="zh-CN"/>
              </w:rPr>
              <w:t>报价</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sz w:val="24"/>
                <w:szCs w:val="24"/>
                <w:highlight w:val="none"/>
                <w:lang w:eastAsia="zh-CN"/>
              </w:rPr>
              <w:t>（</w:t>
            </w:r>
            <w:r>
              <w:rPr>
                <w:rFonts w:hint="eastAsia" w:ascii="宋体" w:hAnsi="宋体" w:eastAsia="宋体" w:cs="宋体"/>
                <w:b w:val="0"/>
                <w:bCs/>
                <w:sz w:val="24"/>
                <w:szCs w:val="24"/>
                <w:highlight w:val="none"/>
                <w:lang w:val="en-US" w:eastAsia="zh-CN"/>
              </w:rPr>
              <w:t>10分）</w:t>
            </w:r>
          </w:p>
        </w:tc>
        <w:tc>
          <w:tcPr>
            <w:tcW w:w="3753" w:type="pct"/>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采用低价优先法计算即满足招标文件要求且投标价格最低的投标报价为评标基准价，其价格为10分。其他供应商的价格分按照下列公式计算：投标报价得分＝（评标基准价/投标报价）×1</w:t>
            </w:r>
            <w:r>
              <w:rPr>
                <w:rFonts w:hint="eastAsia" w:ascii="宋体" w:hAnsi="宋体" w:eastAsia="宋体" w:cs="宋体"/>
                <w:b w:val="0"/>
                <w:bCs/>
                <w:sz w:val="24"/>
                <w:szCs w:val="24"/>
                <w:highlight w:val="none"/>
                <w:lang w:val="en-US" w:eastAsia="zh-CN"/>
              </w:rPr>
              <w:t>0</w:t>
            </w:r>
            <w:r>
              <w:rPr>
                <w:rFonts w:hint="eastAsia" w:ascii="宋体" w:hAnsi="宋体" w:eastAsia="宋体" w:cs="宋体"/>
                <w:b w:val="0"/>
                <w:bCs/>
                <w:sz w:val="24"/>
                <w:szCs w:val="24"/>
                <w:highlight w:val="none"/>
              </w:rPr>
              <w:t>%×100。</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sz w:val="24"/>
                <w:szCs w:val="24"/>
                <w:highlight w:val="none"/>
              </w:rPr>
              <w:t>符合招标文件规定的小微企业、监狱企业、残疾人福利性单位优惠条件的供应商，价格给予</w:t>
            </w:r>
            <w:r>
              <w:rPr>
                <w:rFonts w:hint="eastAsia" w:ascii="宋体" w:hAnsi="宋体" w:eastAsia="宋体" w:cs="宋体"/>
                <w:b w:val="0"/>
                <w:bCs/>
                <w:sz w:val="24"/>
                <w:szCs w:val="24"/>
                <w:highlight w:val="none"/>
                <w:lang w:val="en-US" w:eastAsia="zh-CN"/>
              </w:rPr>
              <w:t>10</w:t>
            </w:r>
            <w:r>
              <w:rPr>
                <w:rFonts w:hint="eastAsia" w:ascii="宋体" w:hAnsi="宋体" w:eastAsia="宋体" w:cs="宋体"/>
                <w:b w:val="0"/>
                <w:bCs/>
                <w:sz w:val="24"/>
                <w:szCs w:val="24"/>
                <w:highlight w:val="none"/>
              </w:rPr>
              <w:t>%的扣除，用扣除后的价格参与评审以上政策同时具备的仅对其进行一次</w:t>
            </w:r>
            <w:r>
              <w:rPr>
                <w:rFonts w:hint="eastAsia" w:ascii="宋体" w:hAnsi="宋体" w:eastAsia="宋体" w:cs="宋体"/>
                <w:b w:val="0"/>
                <w:bCs/>
                <w:sz w:val="24"/>
                <w:szCs w:val="24"/>
                <w:highlight w:val="none"/>
                <w:lang w:val="en-US" w:eastAsia="zh-CN"/>
              </w:rPr>
              <w:t>10</w:t>
            </w:r>
            <w:r>
              <w:rPr>
                <w:rFonts w:hint="eastAsia" w:ascii="宋体" w:hAnsi="宋体" w:eastAsia="宋体" w:cs="宋体"/>
                <w:b w:val="0"/>
                <w:bCs/>
                <w:sz w:val="24"/>
                <w:szCs w:val="24"/>
                <w:highlight w:val="none"/>
              </w:rPr>
              <w:t>%的价格扣除，不重复扣除。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51" w:hRule="atLeast"/>
        </w:trPr>
        <w:tc>
          <w:tcPr>
            <w:tcW w:w="550"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技术</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部分</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sz w:val="24"/>
                <w:szCs w:val="24"/>
                <w:highlight w:val="none"/>
              </w:rPr>
              <w:t>（</w:t>
            </w:r>
            <w:r>
              <w:rPr>
                <w:rFonts w:hint="eastAsia" w:ascii="宋体" w:hAnsi="宋体" w:eastAsia="宋体" w:cs="宋体"/>
                <w:b w:val="0"/>
                <w:bCs/>
                <w:color w:val="auto"/>
                <w:sz w:val="24"/>
                <w:szCs w:val="24"/>
                <w:highlight w:val="none"/>
                <w:lang w:val="en-US" w:eastAsia="zh-CN"/>
              </w:rPr>
              <w:t>50</w:t>
            </w:r>
            <w:r>
              <w:rPr>
                <w:rFonts w:hint="eastAsia" w:ascii="宋体" w:hAnsi="宋体" w:eastAsia="宋体" w:cs="宋体"/>
                <w:b w:val="0"/>
                <w:bCs/>
                <w:color w:val="auto"/>
                <w:sz w:val="24"/>
                <w:szCs w:val="24"/>
                <w:highlight w:val="none"/>
              </w:rPr>
              <w:t>分）</w:t>
            </w:r>
          </w:p>
        </w:tc>
        <w:tc>
          <w:tcPr>
            <w:tcW w:w="696" w:type="pct"/>
            <w:vMerge w:val="restar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项目</w:t>
            </w:r>
            <w:r>
              <w:rPr>
                <w:rFonts w:hint="eastAsia" w:ascii="宋体" w:hAnsi="宋体" w:eastAsia="宋体" w:cs="宋体"/>
                <w:b w:val="0"/>
                <w:bCs/>
                <w:sz w:val="24"/>
                <w:szCs w:val="24"/>
                <w:highlight w:val="none"/>
                <w:lang w:eastAsia="zh-CN"/>
              </w:rPr>
              <w:t>组织实</w:t>
            </w:r>
            <w:r>
              <w:rPr>
                <w:rFonts w:hint="eastAsia" w:ascii="宋体" w:hAnsi="宋体" w:eastAsia="宋体" w:cs="宋体"/>
                <w:b w:val="0"/>
                <w:bCs/>
                <w:sz w:val="24"/>
                <w:szCs w:val="24"/>
                <w:highlight w:val="none"/>
              </w:rPr>
              <w:t>施方案</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color w:val="auto"/>
                <w:kern w:val="0"/>
                <w:sz w:val="24"/>
                <w:szCs w:val="24"/>
                <w:highlight w:val="none"/>
              </w:rPr>
            </w:pPr>
            <w:r>
              <w:rPr>
                <w:rFonts w:hint="eastAsia" w:ascii="宋体" w:hAnsi="宋体" w:eastAsia="宋体" w:cs="宋体"/>
                <w:b w:val="0"/>
                <w:bCs/>
                <w:sz w:val="24"/>
                <w:szCs w:val="24"/>
                <w:highlight w:val="none"/>
                <w:lang w:eastAsia="zh-CN"/>
              </w:rPr>
              <w:t>（</w:t>
            </w:r>
            <w:r>
              <w:rPr>
                <w:rFonts w:hint="eastAsia" w:ascii="宋体" w:hAnsi="宋体" w:eastAsia="宋体" w:cs="宋体"/>
                <w:b w:val="0"/>
                <w:bCs/>
                <w:sz w:val="24"/>
                <w:szCs w:val="24"/>
                <w:highlight w:val="none"/>
                <w:lang w:val="en-US" w:eastAsia="zh-CN"/>
              </w:rPr>
              <w:t>50分）</w:t>
            </w:r>
          </w:p>
        </w:tc>
        <w:tc>
          <w:tcPr>
            <w:tcW w:w="3753" w:type="pct"/>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1、</w:t>
            </w:r>
            <w:r>
              <w:rPr>
                <w:rFonts w:hint="eastAsia" w:ascii="宋体" w:hAnsi="宋体" w:eastAsia="宋体" w:cs="宋体"/>
                <w:b w:val="0"/>
                <w:bCs/>
                <w:color w:val="auto"/>
                <w:sz w:val="24"/>
                <w:szCs w:val="24"/>
                <w:highlight w:val="none"/>
              </w:rPr>
              <w:t>对项目</w:t>
            </w:r>
            <w:r>
              <w:rPr>
                <w:rFonts w:hint="eastAsia" w:ascii="宋体" w:hAnsi="宋体" w:eastAsia="宋体" w:cs="宋体"/>
                <w:b w:val="0"/>
                <w:bCs/>
                <w:color w:val="auto"/>
                <w:sz w:val="24"/>
                <w:szCs w:val="24"/>
                <w:highlight w:val="none"/>
                <w:lang w:eastAsia="zh-CN"/>
              </w:rPr>
              <w:t>实施总体思路、</w:t>
            </w:r>
            <w:r>
              <w:rPr>
                <w:rFonts w:hint="eastAsia" w:ascii="宋体" w:hAnsi="宋体" w:eastAsia="宋体" w:cs="宋体"/>
                <w:b w:val="0"/>
                <w:bCs/>
                <w:color w:val="auto"/>
                <w:sz w:val="24"/>
                <w:szCs w:val="24"/>
                <w:highlight w:val="none"/>
              </w:rPr>
              <w:t>任务</w:t>
            </w:r>
            <w:r>
              <w:rPr>
                <w:rFonts w:hint="eastAsia" w:ascii="宋体" w:hAnsi="宋体" w:eastAsia="宋体" w:cs="宋体"/>
                <w:b w:val="0"/>
                <w:bCs/>
                <w:color w:val="auto"/>
                <w:sz w:val="24"/>
                <w:szCs w:val="24"/>
                <w:highlight w:val="none"/>
                <w:lang w:eastAsia="zh-CN"/>
              </w:rPr>
              <w:t>的</w:t>
            </w:r>
            <w:r>
              <w:rPr>
                <w:rFonts w:hint="eastAsia" w:ascii="宋体" w:hAnsi="宋体" w:eastAsia="宋体" w:cs="宋体"/>
                <w:b w:val="0"/>
                <w:bCs/>
                <w:color w:val="auto"/>
                <w:sz w:val="24"/>
                <w:szCs w:val="24"/>
                <w:highlight w:val="none"/>
              </w:rPr>
              <w:t>理解</w:t>
            </w:r>
            <w:r>
              <w:rPr>
                <w:rFonts w:hint="eastAsia" w:ascii="宋体" w:hAnsi="宋体" w:eastAsia="宋体" w:cs="宋体"/>
                <w:b w:val="0"/>
                <w:bCs/>
                <w:color w:val="auto"/>
                <w:sz w:val="24"/>
                <w:szCs w:val="24"/>
                <w:highlight w:val="none"/>
                <w:lang w:eastAsia="zh-CN"/>
              </w:rPr>
              <w:t>程度</w:t>
            </w:r>
            <w:r>
              <w:rPr>
                <w:rFonts w:hint="eastAsia" w:ascii="宋体" w:hAnsi="宋体" w:eastAsia="宋体" w:cs="宋体"/>
                <w:b w:val="0"/>
                <w:bCs/>
                <w:color w:val="auto"/>
                <w:sz w:val="24"/>
                <w:szCs w:val="24"/>
                <w:highlight w:val="none"/>
              </w:rPr>
              <w:t>及检测分析评价方法，准确、合理、操作性</w:t>
            </w:r>
            <w:r>
              <w:rPr>
                <w:rFonts w:hint="eastAsia" w:ascii="宋体" w:hAnsi="宋体" w:eastAsia="宋体" w:cs="宋体"/>
                <w:b w:val="0"/>
                <w:bCs/>
                <w:color w:val="auto"/>
                <w:sz w:val="24"/>
                <w:szCs w:val="24"/>
                <w:highlight w:val="none"/>
                <w:lang w:val="en-US" w:eastAsia="zh-CN"/>
              </w:rPr>
              <w:t>一般，得6分；</w:t>
            </w:r>
            <w:r>
              <w:rPr>
                <w:rFonts w:hint="eastAsia" w:ascii="宋体" w:hAnsi="宋体" w:eastAsia="宋体" w:cs="宋体"/>
                <w:b w:val="0"/>
                <w:bCs/>
                <w:color w:val="auto"/>
                <w:sz w:val="24"/>
                <w:szCs w:val="24"/>
                <w:highlight w:val="none"/>
              </w:rPr>
              <w:t>准确、合理、操作性</w:t>
            </w:r>
            <w:r>
              <w:rPr>
                <w:rFonts w:hint="eastAsia" w:ascii="宋体" w:hAnsi="宋体" w:eastAsia="宋体" w:cs="宋体"/>
                <w:b w:val="0"/>
                <w:bCs/>
                <w:color w:val="auto"/>
                <w:sz w:val="24"/>
                <w:szCs w:val="24"/>
                <w:highlight w:val="none"/>
                <w:lang w:val="en-US" w:eastAsia="zh-CN"/>
              </w:rPr>
              <w:t>较好，得6-8分，</w:t>
            </w:r>
            <w:r>
              <w:rPr>
                <w:rFonts w:hint="eastAsia" w:ascii="宋体" w:hAnsi="宋体" w:eastAsia="宋体" w:cs="宋体"/>
                <w:b w:val="0"/>
                <w:bCs/>
                <w:color w:val="auto"/>
                <w:sz w:val="24"/>
                <w:szCs w:val="24"/>
                <w:highlight w:val="none"/>
              </w:rPr>
              <w:t>准确、合理、操作性</w:t>
            </w:r>
            <w:r>
              <w:rPr>
                <w:rFonts w:hint="eastAsia" w:ascii="宋体" w:hAnsi="宋体" w:eastAsia="宋体" w:cs="宋体"/>
                <w:b w:val="0"/>
                <w:bCs/>
                <w:color w:val="auto"/>
                <w:sz w:val="24"/>
                <w:szCs w:val="24"/>
                <w:highlight w:val="none"/>
                <w:lang w:val="en-US" w:eastAsia="zh-CN"/>
              </w:rPr>
              <w:t>强，得8-10分。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3" w:hRule="atLeast"/>
        </w:trPr>
        <w:tc>
          <w:tcPr>
            <w:tcW w:w="55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color w:val="auto"/>
                <w:kern w:val="0"/>
                <w:sz w:val="24"/>
                <w:szCs w:val="24"/>
                <w:highlight w:val="none"/>
              </w:rPr>
            </w:pPr>
          </w:p>
        </w:tc>
        <w:tc>
          <w:tcPr>
            <w:tcW w:w="696" w:type="pct"/>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b w:val="0"/>
                <w:bCs/>
                <w:color w:val="auto"/>
                <w:kern w:val="0"/>
                <w:sz w:val="24"/>
                <w:szCs w:val="24"/>
                <w:highlight w:val="none"/>
              </w:rPr>
            </w:pPr>
          </w:p>
        </w:tc>
        <w:tc>
          <w:tcPr>
            <w:tcW w:w="3753" w:type="pct"/>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2、</w:t>
            </w:r>
            <w:r>
              <w:rPr>
                <w:rFonts w:hint="eastAsia" w:ascii="宋体" w:hAnsi="宋体" w:eastAsia="宋体" w:cs="宋体"/>
                <w:b w:val="0"/>
                <w:bCs/>
                <w:color w:val="auto"/>
                <w:sz w:val="24"/>
                <w:szCs w:val="24"/>
                <w:highlight w:val="none"/>
              </w:rPr>
              <w:t>各类桥</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隧</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主次部位及权重划分情况赋分，划分</w:t>
            </w:r>
            <w:r>
              <w:rPr>
                <w:rFonts w:hint="eastAsia" w:ascii="宋体" w:hAnsi="宋体" w:eastAsia="宋体" w:cs="宋体"/>
                <w:b w:val="0"/>
                <w:bCs/>
                <w:color w:val="auto"/>
                <w:sz w:val="24"/>
                <w:szCs w:val="24"/>
                <w:highlight w:val="none"/>
                <w:lang w:val="en-US" w:eastAsia="zh-CN"/>
              </w:rPr>
              <w:t>合理性一般，得6分；</w:t>
            </w:r>
            <w:r>
              <w:rPr>
                <w:rFonts w:hint="eastAsia" w:ascii="宋体" w:hAnsi="宋体" w:eastAsia="宋体" w:cs="宋体"/>
                <w:b w:val="0"/>
                <w:bCs/>
                <w:color w:val="auto"/>
                <w:sz w:val="24"/>
                <w:szCs w:val="24"/>
                <w:highlight w:val="none"/>
              </w:rPr>
              <w:t>划分</w:t>
            </w:r>
            <w:r>
              <w:rPr>
                <w:rFonts w:hint="eastAsia" w:ascii="宋体" w:hAnsi="宋体" w:eastAsia="宋体" w:cs="宋体"/>
                <w:b w:val="0"/>
                <w:bCs/>
                <w:color w:val="auto"/>
                <w:sz w:val="24"/>
                <w:szCs w:val="24"/>
                <w:highlight w:val="none"/>
                <w:lang w:val="en-US" w:eastAsia="zh-CN"/>
              </w:rPr>
              <w:t>合理性较好，得6-8分；</w:t>
            </w:r>
            <w:r>
              <w:rPr>
                <w:rFonts w:hint="eastAsia" w:ascii="宋体" w:hAnsi="宋体" w:eastAsia="宋体" w:cs="宋体"/>
                <w:b w:val="0"/>
                <w:bCs/>
                <w:color w:val="auto"/>
                <w:sz w:val="24"/>
                <w:szCs w:val="24"/>
                <w:highlight w:val="none"/>
              </w:rPr>
              <w:t>划分</w:t>
            </w:r>
            <w:r>
              <w:rPr>
                <w:rFonts w:hint="eastAsia" w:ascii="宋体" w:hAnsi="宋体" w:eastAsia="宋体" w:cs="宋体"/>
                <w:b w:val="0"/>
                <w:bCs/>
                <w:color w:val="auto"/>
                <w:sz w:val="24"/>
                <w:szCs w:val="24"/>
                <w:highlight w:val="none"/>
                <w:lang w:val="en-US" w:eastAsia="zh-CN"/>
              </w:rPr>
              <w:t>合理性</w:t>
            </w:r>
            <w:r>
              <w:rPr>
                <w:rFonts w:hint="eastAsia" w:ascii="宋体" w:hAnsi="宋体" w:eastAsia="宋体" w:cs="宋体"/>
                <w:b w:val="0"/>
                <w:bCs/>
                <w:color w:val="auto"/>
                <w:sz w:val="24"/>
                <w:szCs w:val="24"/>
                <w:highlight w:val="none"/>
              </w:rPr>
              <w:t>准确</w:t>
            </w:r>
            <w:r>
              <w:rPr>
                <w:rFonts w:hint="eastAsia" w:ascii="宋体" w:hAnsi="宋体" w:eastAsia="宋体" w:cs="宋体"/>
                <w:b w:val="0"/>
                <w:bCs/>
                <w:color w:val="auto"/>
                <w:sz w:val="24"/>
                <w:szCs w:val="24"/>
                <w:highlight w:val="none"/>
                <w:lang w:val="en-US" w:eastAsia="zh-CN"/>
              </w:rPr>
              <w:t>，得8-10分。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44" w:hRule="atLeast"/>
        </w:trPr>
        <w:tc>
          <w:tcPr>
            <w:tcW w:w="55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color w:val="auto"/>
                <w:kern w:val="0"/>
                <w:sz w:val="24"/>
                <w:szCs w:val="24"/>
                <w:highlight w:val="none"/>
              </w:rPr>
            </w:pPr>
          </w:p>
        </w:tc>
        <w:tc>
          <w:tcPr>
            <w:tcW w:w="696" w:type="pct"/>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b w:val="0"/>
                <w:bCs/>
                <w:color w:val="auto"/>
                <w:kern w:val="0"/>
                <w:sz w:val="24"/>
                <w:szCs w:val="24"/>
                <w:highlight w:val="none"/>
              </w:rPr>
            </w:pPr>
          </w:p>
        </w:tc>
        <w:tc>
          <w:tcPr>
            <w:tcW w:w="3753" w:type="pct"/>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3、针对本项目的</w:t>
            </w:r>
            <w:r>
              <w:rPr>
                <w:rFonts w:hint="eastAsia" w:ascii="宋体" w:hAnsi="宋体" w:eastAsia="宋体" w:cs="宋体"/>
                <w:b w:val="0"/>
                <w:bCs/>
                <w:color w:val="auto"/>
                <w:sz w:val="24"/>
                <w:szCs w:val="24"/>
                <w:highlight w:val="none"/>
              </w:rPr>
              <w:t>重、难点及关键技术对策分析</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重、难点及关键技术对策分析满足基本要求得</w:t>
            </w:r>
            <w:r>
              <w:rPr>
                <w:rFonts w:hint="eastAsia" w:ascii="宋体" w:hAnsi="宋体" w:eastAsia="宋体" w:cs="宋体"/>
                <w:b w:val="0"/>
                <w:bCs/>
                <w:color w:val="auto"/>
                <w:sz w:val="24"/>
                <w:szCs w:val="24"/>
                <w:highlight w:val="none"/>
                <w:lang w:val="en-US" w:eastAsia="zh-CN"/>
              </w:rPr>
              <w:t>6</w:t>
            </w:r>
            <w:r>
              <w:rPr>
                <w:rFonts w:hint="eastAsia" w:ascii="宋体" w:hAnsi="宋体" w:eastAsia="宋体" w:cs="宋体"/>
                <w:b w:val="0"/>
                <w:bCs/>
                <w:color w:val="auto"/>
                <w:sz w:val="24"/>
                <w:szCs w:val="24"/>
                <w:highlight w:val="none"/>
              </w:rPr>
              <w:t>分</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重、难点及关键技术对策分析较准确，措施较具体，针对性较强，对策措施较有效、可行，</w:t>
            </w:r>
            <w:r>
              <w:rPr>
                <w:rFonts w:hint="eastAsia" w:ascii="宋体" w:hAnsi="宋体" w:eastAsia="宋体" w:cs="宋体"/>
                <w:b w:val="0"/>
                <w:bCs/>
                <w:color w:val="auto"/>
                <w:sz w:val="24"/>
                <w:szCs w:val="24"/>
                <w:highlight w:val="none"/>
                <w:lang w:val="en-US" w:eastAsia="zh-CN"/>
              </w:rPr>
              <w:t>得6-8</w:t>
            </w:r>
            <w:r>
              <w:rPr>
                <w:rFonts w:hint="eastAsia" w:ascii="宋体" w:hAnsi="宋体" w:eastAsia="宋体" w:cs="宋体"/>
                <w:b w:val="0"/>
                <w:bCs/>
                <w:color w:val="auto"/>
                <w:sz w:val="24"/>
                <w:szCs w:val="24"/>
                <w:highlight w:val="none"/>
              </w:rPr>
              <w:t>分；重、难点及关键技术对策分析准确，措施具体，针对性强，对策措施有效、可行，计</w:t>
            </w:r>
            <w:r>
              <w:rPr>
                <w:rFonts w:hint="eastAsia" w:ascii="宋体" w:hAnsi="宋体" w:eastAsia="宋体" w:cs="宋体"/>
                <w:b w:val="0"/>
                <w:bCs/>
                <w:color w:val="auto"/>
                <w:sz w:val="24"/>
                <w:szCs w:val="24"/>
                <w:highlight w:val="none"/>
                <w:lang w:val="en-US" w:eastAsia="zh-CN"/>
              </w:rPr>
              <w:t>8</w:t>
            </w:r>
            <w:r>
              <w:rPr>
                <w:rFonts w:hint="eastAsia" w:ascii="宋体" w:hAnsi="宋体" w:eastAsia="宋体" w:cs="宋体"/>
                <w:b w:val="0"/>
                <w:bCs/>
                <w:color w:val="auto"/>
                <w:sz w:val="24"/>
                <w:szCs w:val="24"/>
                <w:highlight w:val="none"/>
              </w:rPr>
              <w:t>-10 分</w:t>
            </w:r>
            <w:r>
              <w:rPr>
                <w:rFonts w:hint="eastAsia" w:ascii="宋体" w:hAnsi="宋体" w:eastAsia="宋体" w:cs="宋体"/>
                <w:b w:val="0"/>
                <w:bCs/>
                <w:color w:val="auto"/>
                <w:sz w:val="24"/>
                <w:szCs w:val="24"/>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5" w:hRule="atLeast"/>
        </w:trPr>
        <w:tc>
          <w:tcPr>
            <w:tcW w:w="55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color w:val="auto"/>
                <w:kern w:val="0"/>
                <w:sz w:val="24"/>
                <w:szCs w:val="24"/>
                <w:highlight w:val="none"/>
              </w:rPr>
            </w:pPr>
          </w:p>
        </w:tc>
        <w:tc>
          <w:tcPr>
            <w:tcW w:w="696" w:type="pct"/>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b w:val="0"/>
                <w:bCs/>
                <w:color w:val="auto"/>
                <w:kern w:val="0"/>
                <w:sz w:val="24"/>
                <w:szCs w:val="24"/>
                <w:highlight w:val="none"/>
              </w:rPr>
            </w:pPr>
          </w:p>
        </w:tc>
        <w:tc>
          <w:tcPr>
            <w:tcW w:w="3753" w:type="pct"/>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4、</w:t>
            </w:r>
            <w:r>
              <w:rPr>
                <w:rFonts w:hint="eastAsia" w:ascii="宋体" w:hAnsi="宋体" w:eastAsia="宋体" w:cs="宋体"/>
                <w:b w:val="0"/>
                <w:bCs/>
                <w:color w:val="auto"/>
                <w:sz w:val="24"/>
                <w:szCs w:val="24"/>
                <w:highlight w:val="none"/>
              </w:rPr>
              <w:t>工作</w:t>
            </w:r>
            <w:r>
              <w:rPr>
                <w:rFonts w:hint="eastAsia" w:ascii="宋体" w:hAnsi="宋体" w:eastAsia="宋体" w:cs="宋体"/>
                <w:b w:val="0"/>
                <w:bCs/>
                <w:color w:val="auto"/>
                <w:sz w:val="24"/>
                <w:szCs w:val="24"/>
                <w:highlight w:val="none"/>
                <w:lang w:eastAsia="zh-CN"/>
              </w:rPr>
              <w:t>内容、工作方案及</w:t>
            </w:r>
            <w:r>
              <w:rPr>
                <w:rFonts w:hint="eastAsia" w:ascii="宋体" w:hAnsi="宋体" w:eastAsia="宋体" w:cs="宋体"/>
                <w:b w:val="0"/>
                <w:bCs/>
                <w:color w:val="auto"/>
                <w:sz w:val="24"/>
                <w:szCs w:val="24"/>
                <w:highlight w:val="none"/>
              </w:rPr>
              <w:t>进度计划安排</w:t>
            </w:r>
            <w:r>
              <w:rPr>
                <w:rFonts w:hint="eastAsia" w:ascii="宋体" w:hAnsi="宋体" w:eastAsia="宋体" w:cs="宋体"/>
                <w:b w:val="0"/>
                <w:bCs/>
                <w:color w:val="auto"/>
                <w:sz w:val="24"/>
                <w:szCs w:val="24"/>
                <w:highlight w:val="none"/>
                <w:lang w:eastAsia="zh-CN"/>
              </w:rPr>
              <w:t>的</w:t>
            </w:r>
            <w:r>
              <w:rPr>
                <w:rFonts w:hint="eastAsia" w:ascii="宋体" w:hAnsi="宋体" w:eastAsia="宋体" w:cs="宋体"/>
                <w:b w:val="0"/>
                <w:bCs/>
                <w:color w:val="auto"/>
                <w:sz w:val="24"/>
                <w:szCs w:val="24"/>
                <w:highlight w:val="none"/>
              </w:rPr>
              <w:t>科学</w:t>
            </w:r>
            <w:r>
              <w:rPr>
                <w:rFonts w:hint="eastAsia" w:ascii="宋体" w:hAnsi="宋体" w:eastAsia="宋体" w:cs="宋体"/>
                <w:b w:val="0"/>
                <w:bCs/>
                <w:color w:val="auto"/>
                <w:sz w:val="24"/>
                <w:szCs w:val="24"/>
                <w:highlight w:val="none"/>
                <w:lang w:eastAsia="zh-CN"/>
              </w:rPr>
              <w:t>性</w:t>
            </w:r>
            <w:r>
              <w:rPr>
                <w:rFonts w:hint="eastAsia" w:ascii="宋体" w:hAnsi="宋体" w:eastAsia="宋体" w:cs="宋体"/>
                <w:b w:val="0"/>
                <w:bCs/>
                <w:color w:val="auto"/>
                <w:sz w:val="24"/>
                <w:szCs w:val="24"/>
                <w:highlight w:val="none"/>
              </w:rPr>
              <w:t>、合理</w:t>
            </w:r>
            <w:r>
              <w:rPr>
                <w:rFonts w:hint="eastAsia" w:ascii="宋体" w:hAnsi="宋体" w:eastAsia="宋体" w:cs="宋体"/>
                <w:b w:val="0"/>
                <w:bCs/>
                <w:color w:val="auto"/>
                <w:sz w:val="24"/>
                <w:szCs w:val="24"/>
                <w:highlight w:val="none"/>
                <w:lang w:val="en-US" w:eastAsia="zh-CN"/>
              </w:rPr>
              <w:t>性，</w:t>
            </w:r>
            <w:r>
              <w:rPr>
                <w:rFonts w:hint="eastAsia" w:ascii="宋体" w:hAnsi="宋体" w:eastAsia="宋体" w:cs="宋体"/>
                <w:b w:val="0"/>
                <w:bCs/>
                <w:color w:val="auto"/>
                <w:sz w:val="24"/>
                <w:szCs w:val="24"/>
                <w:highlight w:val="none"/>
              </w:rPr>
              <w:t>进度计划科学、合理可行，考虑充分的计</w:t>
            </w:r>
            <w:r>
              <w:rPr>
                <w:rFonts w:hint="eastAsia" w:ascii="宋体" w:hAnsi="宋体" w:eastAsia="宋体" w:cs="宋体"/>
                <w:b w:val="0"/>
                <w:bCs/>
                <w:color w:val="auto"/>
                <w:sz w:val="24"/>
                <w:szCs w:val="24"/>
                <w:highlight w:val="none"/>
                <w:lang w:val="en-US" w:eastAsia="zh-CN"/>
              </w:rPr>
              <w:t>4-5</w:t>
            </w:r>
            <w:r>
              <w:rPr>
                <w:rFonts w:hint="eastAsia" w:ascii="宋体" w:hAnsi="宋体" w:eastAsia="宋体" w:cs="宋体"/>
                <w:b w:val="0"/>
                <w:bCs/>
                <w:color w:val="auto"/>
                <w:sz w:val="24"/>
                <w:szCs w:val="24"/>
                <w:highlight w:val="none"/>
              </w:rPr>
              <w:t>分；进度计划可行性欠缺的计</w:t>
            </w:r>
            <w:r>
              <w:rPr>
                <w:rFonts w:hint="eastAsia" w:ascii="宋体" w:hAnsi="宋体" w:eastAsia="宋体" w:cs="宋体"/>
                <w:b w:val="0"/>
                <w:bCs/>
                <w:color w:val="auto"/>
                <w:sz w:val="24"/>
                <w:szCs w:val="24"/>
                <w:highlight w:val="none"/>
                <w:lang w:val="en-US" w:eastAsia="zh-CN"/>
              </w:rPr>
              <w:t>3-4</w:t>
            </w:r>
            <w:r>
              <w:rPr>
                <w:rFonts w:hint="eastAsia" w:ascii="宋体" w:hAnsi="宋体" w:eastAsia="宋体" w:cs="宋体"/>
                <w:b w:val="0"/>
                <w:bCs/>
                <w:color w:val="auto"/>
                <w:sz w:val="24"/>
                <w:szCs w:val="24"/>
                <w:highlight w:val="none"/>
              </w:rPr>
              <w:t>分；进度计划不便于操作的</w:t>
            </w:r>
            <w:r>
              <w:rPr>
                <w:rFonts w:hint="eastAsia" w:ascii="宋体" w:hAnsi="宋体" w:cs="宋体"/>
                <w:b w:val="0"/>
                <w:bCs/>
                <w:color w:val="auto"/>
                <w:sz w:val="24"/>
                <w:szCs w:val="24"/>
                <w:highlight w:val="none"/>
                <w:lang w:val="en-US" w:eastAsia="zh-CN"/>
              </w:rPr>
              <w:t>得</w:t>
            </w:r>
            <w:r>
              <w:rPr>
                <w:rFonts w:hint="eastAsia" w:ascii="宋体" w:hAnsi="宋体" w:eastAsia="宋体" w:cs="宋体"/>
                <w:b w:val="0"/>
                <w:bCs/>
                <w:color w:val="auto"/>
                <w:sz w:val="24"/>
                <w:szCs w:val="24"/>
                <w:highlight w:val="none"/>
                <w:lang w:val="en-US" w:eastAsia="zh-CN"/>
              </w:rPr>
              <w:t>3</w:t>
            </w:r>
            <w:r>
              <w:rPr>
                <w:rFonts w:hint="eastAsia" w:ascii="宋体" w:hAnsi="宋体" w:eastAsia="宋体" w:cs="宋体"/>
                <w:b w:val="0"/>
                <w:bCs/>
                <w:color w:val="auto"/>
                <w:sz w:val="24"/>
                <w:szCs w:val="24"/>
                <w:highlight w:val="none"/>
              </w:rPr>
              <w:t>分</w:t>
            </w:r>
            <w:r>
              <w:rPr>
                <w:rFonts w:hint="eastAsia" w:ascii="宋体" w:hAnsi="宋体" w:eastAsia="宋体" w:cs="宋体"/>
                <w:b w:val="0"/>
                <w:bCs/>
                <w:color w:val="auto"/>
                <w:sz w:val="24"/>
                <w:szCs w:val="24"/>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3" w:hRule="atLeast"/>
        </w:trPr>
        <w:tc>
          <w:tcPr>
            <w:tcW w:w="55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color w:val="auto"/>
                <w:kern w:val="0"/>
                <w:sz w:val="24"/>
                <w:szCs w:val="24"/>
                <w:highlight w:val="none"/>
              </w:rPr>
            </w:pPr>
          </w:p>
        </w:tc>
        <w:tc>
          <w:tcPr>
            <w:tcW w:w="696" w:type="pct"/>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b w:val="0"/>
                <w:bCs/>
                <w:color w:val="auto"/>
                <w:kern w:val="0"/>
                <w:sz w:val="24"/>
                <w:szCs w:val="24"/>
                <w:highlight w:val="none"/>
              </w:rPr>
            </w:pPr>
          </w:p>
        </w:tc>
        <w:tc>
          <w:tcPr>
            <w:tcW w:w="3753" w:type="pct"/>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5、</w:t>
            </w:r>
            <w:r>
              <w:rPr>
                <w:rFonts w:hint="eastAsia" w:ascii="宋体" w:hAnsi="宋体" w:eastAsia="宋体" w:cs="宋体"/>
                <w:b w:val="0"/>
                <w:bCs/>
                <w:color w:val="auto"/>
                <w:sz w:val="24"/>
                <w:szCs w:val="24"/>
                <w:highlight w:val="none"/>
              </w:rPr>
              <w:t>项目组织机构及主要人员分工等安排，人员配置完整，合理，机构运行高效</w:t>
            </w:r>
            <w:r>
              <w:rPr>
                <w:rFonts w:hint="eastAsia" w:ascii="宋体" w:hAnsi="宋体" w:eastAsia="宋体" w:cs="宋体"/>
                <w:b w:val="0"/>
                <w:bCs/>
                <w:color w:val="auto"/>
                <w:sz w:val="24"/>
                <w:szCs w:val="24"/>
                <w:highlight w:val="none"/>
                <w:lang w:val="en-US" w:eastAsia="zh-CN"/>
              </w:rPr>
              <w:t>方面，</w:t>
            </w:r>
            <w:r>
              <w:rPr>
                <w:rFonts w:hint="eastAsia" w:ascii="宋体" w:hAnsi="宋体" w:cs="宋体"/>
                <w:b w:val="0"/>
                <w:bCs/>
                <w:color w:val="auto"/>
                <w:sz w:val="24"/>
                <w:szCs w:val="24"/>
                <w:highlight w:val="none"/>
                <w:lang w:val="en-US" w:eastAsia="zh-CN"/>
              </w:rPr>
              <w:t>人员组织</w:t>
            </w:r>
            <w:r>
              <w:rPr>
                <w:rFonts w:hint="eastAsia" w:ascii="宋体" w:hAnsi="宋体" w:eastAsia="宋体" w:cs="宋体"/>
                <w:b w:val="0"/>
                <w:bCs/>
                <w:color w:val="auto"/>
                <w:sz w:val="24"/>
                <w:szCs w:val="24"/>
                <w:highlight w:val="none"/>
              </w:rPr>
              <w:t>科学、合理可行，考虑充分的计</w:t>
            </w:r>
            <w:r>
              <w:rPr>
                <w:rFonts w:hint="eastAsia" w:ascii="宋体" w:hAnsi="宋体" w:eastAsia="宋体" w:cs="宋体"/>
                <w:b w:val="0"/>
                <w:bCs/>
                <w:color w:val="auto"/>
                <w:sz w:val="24"/>
                <w:szCs w:val="24"/>
                <w:highlight w:val="none"/>
                <w:lang w:val="en-US" w:eastAsia="zh-CN"/>
              </w:rPr>
              <w:t>4-5</w:t>
            </w:r>
            <w:r>
              <w:rPr>
                <w:rFonts w:hint="eastAsia" w:ascii="宋体" w:hAnsi="宋体" w:eastAsia="宋体" w:cs="宋体"/>
                <w:b w:val="0"/>
                <w:bCs/>
                <w:color w:val="auto"/>
                <w:sz w:val="24"/>
                <w:szCs w:val="24"/>
                <w:highlight w:val="none"/>
              </w:rPr>
              <w:t>分；</w:t>
            </w:r>
            <w:r>
              <w:rPr>
                <w:rFonts w:hint="eastAsia" w:ascii="宋体" w:hAnsi="宋体" w:cs="宋体"/>
                <w:b w:val="0"/>
                <w:bCs/>
                <w:color w:val="auto"/>
                <w:sz w:val="24"/>
                <w:szCs w:val="24"/>
                <w:highlight w:val="none"/>
                <w:lang w:val="en-US" w:eastAsia="zh-CN"/>
              </w:rPr>
              <w:t>人员组织</w:t>
            </w:r>
            <w:r>
              <w:rPr>
                <w:rFonts w:hint="eastAsia" w:ascii="宋体" w:hAnsi="宋体" w:eastAsia="宋体" w:cs="宋体"/>
                <w:b w:val="0"/>
                <w:bCs/>
                <w:color w:val="auto"/>
                <w:sz w:val="24"/>
                <w:szCs w:val="24"/>
                <w:highlight w:val="none"/>
              </w:rPr>
              <w:t>可行性欠缺的计</w:t>
            </w:r>
            <w:r>
              <w:rPr>
                <w:rFonts w:hint="eastAsia" w:ascii="宋体" w:hAnsi="宋体" w:eastAsia="宋体" w:cs="宋体"/>
                <w:b w:val="0"/>
                <w:bCs/>
                <w:color w:val="auto"/>
                <w:sz w:val="24"/>
                <w:szCs w:val="24"/>
                <w:highlight w:val="none"/>
                <w:lang w:val="en-US" w:eastAsia="zh-CN"/>
              </w:rPr>
              <w:t>3-4</w:t>
            </w:r>
            <w:r>
              <w:rPr>
                <w:rFonts w:hint="eastAsia" w:ascii="宋体" w:hAnsi="宋体" w:eastAsia="宋体" w:cs="宋体"/>
                <w:b w:val="0"/>
                <w:bCs/>
                <w:color w:val="auto"/>
                <w:sz w:val="24"/>
                <w:szCs w:val="24"/>
                <w:highlight w:val="none"/>
              </w:rPr>
              <w:t>分；</w:t>
            </w:r>
            <w:r>
              <w:rPr>
                <w:rFonts w:hint="eastAsia" w:ascii="宋体" w:hAnsi="宋体" w:cs="宋体"/>
                <w:b w:val="0"/>
                <w:bCs/>
                <w:color w:val="auto"/>
                <w:sz w:val="24"/>
                <w:szCs w:val="24"/>
                <w:highlight w:val="none"/>
                <w:lang w:val="en-US" w:eastAsia="zh-CN"/>
              </w:rPr>
              <w:t>人员组织</w:t>
            </w:r>
            <w:r>
              <w:rPr>
                <w:rFonts w:hint="eastAsia" w:ascii="宋体" w:hAnsi="宋体" w:eastAsia="宋体" w:cs="宋体"/>
                <w:b w:val="0"/>
                <w:bCs/>
                <w:color w:val="auto"/>
                <w:sz w:val="24"/>
                <w:szCs w:val="24"/>
                <w:highlight w:val="none"/>
              </w:rPr>
              <w:t>不便于操作的</w:t>
            </w:r>
            <w:r>
              <w:rPr>
                <w:rFonts w:hint="eastAsia" w:ascii="宋体" w:hAnsi="宋体" w:cs="宋体"/>
                <w:b w:val="0"/>
                <w:bCs/>
                <w:color w:val="auto"/>
                <w:sz w:val="24"/>
                <w:szCs w:val="24"/>
                <w:highlight w:val="none"/>
                <w:lang w:val="en-US" w:eastAsia="zh-CN"/>
              </w:rPr>
              <w:t>得</w:t>
            </w:r>
            <w:r>
              <w:rPr>
                <w:rFonts w:hint="eastAsia" w:ascii="宋体" w:hAnsi="宋体" w:eastAsia="宋体" w:cs="宋体"/>
                <w:b w:val="0"/>
                <w:bCs/>
                <w:color w:val="auto"/>
                <w:sz w:val="24"/>
                <w:szCs w:val="24"/>
                <w:highlight w:val="none"/>
                <w:lang w:val="en-US" w:eastAsia="zh-CN"/>
              </w:rPr>
              <w:t>3</w:t>
            </w:r>
            <w:r>
              <w:rPr>
                <w:rFonts w:hint="eastAsia" w:ascii="宋体" w:hAnsi="宋体" w:eastAsia="宋体" w:cs="宋体"/>
                <w:b w:val="0"/>
                <w:bCs/>
                <w:color w:val="auto"/>
                <w:sz w:val="24"/>
                <w:szCs w:val="24"/>
                <w:highlight w:val="none"/>
              </w:rPr>
              <w:t>分</w:t>
            </w:r>
            <w:r>
              <w:rPr>
                <w:rFonts w:hint="eastAsia" w:ascii="宋体" w:hAnsi="宋体" w:eastAsia="宋体" w:cs="宋体"/>
                <w:b w:val="0"/>
                <w:bCs/>
                <w:color w:val="auto"/>
                <w:sz w:val="24"/>
                <w:szCs w:val="24"/>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4" w:hRule="atLeast"/>
        </w:trPr>
        <w:tc>
          <w:tcPr>
            <w:tcW w:w="55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color w:val="auto"/>
                <w:kern w:val="0"/>
                <w:sz w:val="24"/>
                <w:szCs w:val="24"/>
                <w:highlight w:val="none"/>
              </w:rPr>
            </w:pPr>
          </w:p>
        </w:tc>
        <w:tc>
          <w:tcPr>
            <w:tcW w:w="696" w:type="pct"/>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b w:val="0"/>
                <w:bCs/>
                <w:color w:val="auto"/>
                <w:kern w:val="0"/>
                <w:sz w:val="24"/>
                <w:szCs w:val="24"/>
                <w:highlight w:val="none"/>
              </w:rPr>
            </w:pPr>
          </w:p>
        </w:tc>
        <w:tc>
          <w:tcPr>
            <w:tcW w:w="3753" w:type="pct"/>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6、</w:t>
            </w:r>
            <w:r>
              <w:rPr>
                <w:rFonts w:hint="eastAsia" w:ascii="宋体" w:hAnsi="宋体" w:eastAsia="宋体" w:cs="宋体"/>
                <w:b w:val="0"/>
                <w:bCs/>
                <w:color w:val="auto"/>
                <w:sz w:val="24"/>
                <w:szCs w:val="24"/>
                <w:highlight w:val="none"/>
              </w:rPr>
              <w:t>质量安全保证措施，质量安全保证措施科学、合理可行，考虑充分的计</w:t>
            </w:r>
            <w:r>
              <w:rPr>
                <w:rFonts w:hint="eastAsia" w:ascii="宋体" w:hAnsi="宋体" w:eastAsia="宋体" w:cs="宋体"/>
                <w:b w:val="0"/>
                <w:bCs/>
                <w:color w:val="auto"/>
                <w:sz w:val="24"/>
                <w:szCs w:val="24"/>
                <w:highlight w:val="none"/>
                <w:lang w:val="en-US" w:eastAsia="zh-CN"/>
              </w:rPr>
              <w:t>4-5</w:t>
            </w:r>
            <w:r>
              <w:rPr>
                <w:rFonts w:hint="eastAsia" w:ascii="宋体" w:hAnsi="宋体" w:eastAsia="宋体" w:cs="宋体"/>
                <w:b w:val="0"/>
                <w:bCs/>
                <w:color w:val="auto"/>
                <w:sz w:val="24"/>
                <w:szCs w:val="24"/>
                <w:highlight w:val="none"/>
              </w:rPr>
              <w:t>分；质量安全保证措施可行性欠缺的计</w:t>
            </w:r>
            <w:r>
              <w:rPr>
                <w:rFonts w:hint="eastAsia" w:ascii="宋体" w:hAnsi="宋体" w:eastAsia="宋体" w:cs="宋体"/>
                <w:b w:val="0"/>
                <w:bCs/>
                <w:color w:val="auto"/>
                <w:sz w:val="24"/>
                <w:szCs w:val="24"/>
                <w:highlight w:val="none"/>
                <w:lang w:val="en-US" w:eastAsia="zh-CN"/>
              </w:rPr>
              <w:t>3-4</w:t>
            </w:r>
            <w:r>
              <w:rPr>
                <w:rFonts w:hint="eastAsia" w:ascii="宋体" w:hAnsi="宋体" w:eastAsia="宋体" w:cs="宋体"/>
                <w:b w:val="0"/>
                <w:bCs/>
                <w:color w:val="auto"/>
                <w:sz w:val="24"/>
                <w:szCs w:val="24"/>
                <w:highlight w:val="none"/>
              </w:rPr>
              <w:t>分；质量安全保证措施不便于操作的</w:t>
            </w:r>
            <w:r>
              <w:rPr>
                <w:rFonts w:hint="eastAsia" w:ascii="宋体" w:hAnsi="宋体" w:cs="宋体"/>
                <w:b w:val="0"/>
                <w:bCs/>
                <w:color w:val="auto"/>
                <w:sz w:val="24"/>
                <w:szCs w:val="24"/>
                <w:highlight w:val="none"/>
                <w:lang w:val="en-US" w:eastAsia="zh-CN"/>
              </w:rPr>
              <w:t>得</w:t>
            </w:r>
            <w:r>
              <w:rPr>
                <w:rFonts w:hint="eastAsia" w:ascii="宋体" w:hAnsi="宋体" w:eastAsia="宋体" w:cs="宋体"/>
                <w:b w:val="0"/>
                <w:bCs/>
                <w:color w:val="auto"/>
                <w:sz w:val="24"/>
                <w:szCs w:val="24"/>
                <w:highlight w:val="none"/>
                <w:lang w:val="en-US" w:eastAsia="zh-CN"/>
              </w:rPr>
              <w:t>3</w:t>
            </w:r>
            <w:r>
              <w:rPr>
                <w:rFonts w:hint="eastAsia" w:ascii="宋体" w:hAnsi="宋体" w:eastAsia="宋体" w:cs="宋体"/>
                <w:b w:val="0"/>
                <w:bCs/>
                <w:color w:val="auto"/>
                <w:sz w:val="24"/>
                <w:szCs w:val="24"/>
                <w:highlight w:val="none"/>
              </w:rPr>
              <w:t>分</w:t>
            </w:r>
            <w:r>
              <w:rPr>
                <w:rFonts w:hint="eastAsia" w:ascii="宋体" w:hAnsi="宋体" w:eastAsia="宋体" w:cs="宋体"/>
                <w:b w:val="0"/>
                <w:bCs/>
                <w:color w:val="auto"/>
                <w:sz w:val="24"/>
                <w:szCs w:val="24"/>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8" w:hRule="atLeast"/>
        </w:trPr>
        <w:tc>
          <w:tcPr>
            <w:tcW w:w="55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color w:val="auto"/>
                <w:kern w:val="0"/>
                <w:sz w:val="24"/>
                <w:szCs w:val="24"/>
                <w:highlight w:val="none"/>
              </w:rPr>
            </w:pPr>
          </w:p>
        </w:tc>
        <w:tc>
          <w:tcPr>
            <w:tcW w:w="696" w:type="pct"/>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b w:val="0"/>
                <w:bCs/>
                <w:color w:val="auto"/>
                <w:kern w:val="0"/>
                <w:sz w:val="24"/>
                <w:szCs w:val="24"/>
                <w:highlight w:val="none"/>
              </w:rPr>
            </w:pPr>
          </w:p>
        </w:tc>
        <w:tc>
          <w:tcPr>
            <w:tcW w:w="3753" w:type="pct"/>
            <w:tcBorders>
              <w:left w:val="single" w:color="auto" w:sz="4" w:space="0"/>
            </w:tcBorders>
            <w:noWrap w:val="0"/>
            <w:vAlign w:val="center"/>
          </w:tcPr>
          <w:p>
            <w:pPr>
              <w:keepNext w:val="0"/>
              <w:keepLines w:val="0"/>
              <w:pageBreakBefore w:val="0"/>
              <w:widowControl w:val="0"/>
              <w:tabs>
                <w:tab w:val="left" w:pos="846"/>
              </w:tabs>
              <w:kinsoku/>
              <w:wordWrap/>
              <w:overflowPunct/>
              <w:topLinePunct w:val="0"/>
              <w:autoSpaceDE/>
              <w:autoSpaceDN/>
              <w:bidi w:val="0"/>
              <w:adjustRightInd/>
              <w:snapToGrid/>
              <w:spacing w:line="288" w:lineRule="auto"/>
              <w:jc w:val="left"/>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7、</w:t>
            </w:r>
            <w:r>
              <w:rPr>
                <w:rFonts w:hint="eastAsia" w:ascii="宋体" w:hAnsi="宋体" w:eastAsia="宋体" w:cs="宋体"/>
                <w:b w:val="0"/>
                <w:bCs/>
                <w:color w:val="auto"/>
                <w:sz w:val="24"/>
                <w:szCs w:val="24"/>
                <w:highlight w:val="none"/>
              </w:rPr>
              <w:t>对本项目合理化建议，合理化建议科学、合理可行，考虑充分的计</w:t>
            </w:r>
            <w:r>
              <w:rPr>
                <w:rFonts w:hint="eastAsia" w:ascii="宋体" w:hAnsi="宋体" w:eastAsia="宋体" w:cs="宋体"/>
                <w:b w:val="0"/>
                <w:bCs/>
                <w:color w:val="auto"/>
                <w:sz w:val="24"/>
                <w:szCs w:val="24"/>
                <w:highlight w:val="none"/>
                <w:lang w:val="en-US" w:eastAsia="zh-CN"/>
              </w:rPr>
              <w:t>4-5</w:t>
            </w:r>
            <w:r>
              <w:rPr>
                <w:rFonts w:hint="eastAsia" w:ascii="宋体" w:hAnsi="宋体" w:eastAsia="宋体" w:cs="宋体"/>
                <w:b w:val="0"/>
                <w:bCs/>
                <w:color w:val="auto"/>
                <w:sz w:val="24"/>
                <w:szCs w:val="24"/>
                <w:highlight w:val="none"/>
              </w:rPr>
              <w:t>分；合理化建议可行性欠缺的计</w:t>
            </w:r>
            <w:r>
              <w:rPr>
                <w:rFonts w:hint="eastAsia" w:ascii="宋体" w:hAnsi="宋体" w:eastAsia="宋体" w:cs="宋体"/>
                <w:b w:val="0"/>
                <w:bCs/>
                <w:color w:val="auto"/>
                <w:sz w:val="24"/>
                <w:szCs w:val="24"/>
                <w:highlight w:val="none"/>
                <w:lang w:val="en-US" w:eastAsia="zh-CN"/>
              </w:rPr>
              <w:t>3-4</w:t>
            </w:r>
            <w:r>
              <w:rPr>
                <w:rFonts w:hint="eastAsia" w:ascii="宋体" w:hAnsi="宋体" w:eastAsia="宋体" w:cs="宋体"/>
                <w:b w:val="0"/>
                <w:bCs/>
                <w:color w:val="auto"/>
                <w:sz w:val="24"/>
                <w:szCs w:val="24"/>
                <w:highlight w:val="none"/>
              </w:rPr>
              <w:t>分；合理化建议不便于操作的</w:t>
            </w:r>
            <w:r>
              <w:rPr>
                <w:rFonts w:hint="eastAsia" w:ascii="宋体" w:hAnsi="宋体" w:cs="宋体"/>
                <w:b w:val="0"/>
                <w:bCs/>
                <w:color w:val="auto"/>
                <w:sz w:val="24"/>
                <w:szCs w:val="24"/>
                <w:highlight w:val="none"/>
                <w:lang w:val="en-US" w:eastAsia="zh-CN"/>
              </w:rPr>
              <w:t>得</w:t>
            </w:r>
            <w:r>
              <w:rPr>
                <w:rFonts w:hint="eastAsia" w:ascii="宋体" w:hAnsi="宋体" w:eastAsia="宋体" w:cs="宋体"/>
                <w:b w:val="0"/>
                <w:bCs/>
                <w:color w:val="auto"/>
                <w:sz w:val="24"/>
                <w:szCs w:val="24"/>
                <w:highlight w:val="none"/>
                <w:lang w:val="en-US" w:eastAsia="zh-CN"/>
              </w:rPr>
              <w:t>3</w:t>
            </w:r>
            <w:r>
              <w:rPr>
                <w:rFonts w:hint="eastAsia" w:ascii="宋体" w:hAnsi="宋体" w:eastAsia="宋体" w:cs="宋体"/>
                <w:b w:val="0"/>
                <w:bCs/>
                <w:color w:val="auto"/>
                <w:sz w:val="24"/>
                <w:szCs w:val="24"/>
                <w:highlight w:val="none"/>
              </w:rPr>
              <w:t>分</w:t>
            </w:r>
            <w:r>
              <w:rPr>
                <w:rFonts w:hint="eastAsia" w:ascii="宋体" w:hAnsi="宋体" w:eastAsia="宋体" w:cs="宋体"/>
                <w:b w:val="0"/>
                <w:bCs/>
                <w:color w:val="auto"/>
                <w:sz w:val="24"/>
                <w:szCs w:val="24"/>
                <w:highlight w:val="none"/>
                <w:lang w:val="en-US" w:eastAsia="zh-CN"/>
              </w:rPr>
              <w:t>。</w:t>
            </w:r>
            <w:bookmarkStart w:id="129" w:name="_GoBack"/>
            <w:bookmarkEnd w:id="129"/>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8" w:hRule="atLeast"/>
        </w:trPr>
        <w:tc>
          <w:tcPr>
            <w:tcW w:w="550"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商务</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部分</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w:t>
            </w:r>
            <w:r>
              <w:rPr>
                <w:rFonts w:hint="eastAsia" w:ascii="宋体" w:hAnsi="宋体" w:eastAsia="宋体" w:cs="宋体"/>
                <w:b w:val="0"/>
                <w:bCs/>
                <w:color w:val="auto"/>
                <w:sz w:val="24"/>
                <w:szCs w:val="24"/>
                <w:highlight w:val="none"/>
                <w:lang w:val="en-US" w:eastAsia="zh-CN"/>
              </w:rPr>
              <w:t>40</w:t>
            </w:r>
            <w:r>
              <w:rPr>
                <w:rFonts w:hint="eastAsia" w:ascii="宋体" w:hAnsi="宋体" w:eastAsia="宋体" w:cs="宋体"/>
                <w:b w:val="0"/>
                <w:bCs/>
                <w:color w:val="auto"/>
                <w:sz w:val="24"/>
                <w:szCs w:val="24"/>
                <w:highlight w:val="none"/>
              </w:rPr>
              <w:t>分)</w:t>
            </w:r>
          </w:p>
        </w:tc>
        <w:tc>
          <w:tcPr>
            <w:tcW w:w="696" w:type="pct"/>
            <w:vMerge w:val="restar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项目人员组成</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sz w:val="24"/>
                <w:szCs w:val="24"/>
                <w:highlight w:val="none"/>
                <w:lang w:eastAsia="zh-CN"/>
              </w:rPr>
              <w:t>（</w:t>
            </w:r>
            <w:r>
              <w:rPr>
                <w:rFonts w:hint="eastAsia" w:ascii="宋体" w:hAnsi="宋体" w:eastAsia="宋体" w:cs="宋体"/>
                <w:b w:val="0"/>
                <w:bCs/>
                <w:sz w:val="24"/>
                <w:szCs w:val="24"/>
                <w:highlight w:val="none"/>
                <w:lang w:val="en-US" w:eastAsia="zh-CN"/>
              </w:rPr>
              <w:t>18分）</w:t>
            </w:r>
          </w:p>
        </w:tc>
        <w:tc>
          <w:tcPr>
            <w:tcW w:w="3753" w:type="pct"/>
            <w:tcBorders>
              <w:left w:val="single" w:color="auto" w:sz="4" w:space="0"/>
            </w:tcBorders>
            <w:noWrap w:val="0"/>
            <w:vAlign w:val="center"/>
          </w:tcPr>
          <w:p>
            <w:pPr>
              <w:pStyle w:val="12"/>
              <w:keepNext w:val="0"/>
              <w:keepLines w:val="0"/>
              <w:pageBreakBefore w:val="0"/>
              <w:widowControl w:val="0"/>
              <w:numPr>
                <w:ilvl w:val="0"/>
                <w:numId w:val="4"/>
              </w:numPr>
              <w:kinsoku/>
              <w:wordWrap/>
              <w:overflowPunct/>
              <w:topLinePunct w:val="0"/>
              <w:autoSpaceDE/>
              <w:autoSpaceDN/>
              <w:bidi w:val="0"/>
              <w:adjustRightInd/>
              <w:snapToGrid/>
              <w:spacing w:line="288" w:lineRule="auto"/>
              <w:textAlignment w:val="auto"/>
              <w:rPr>
                <w:rFonts w:hint="eastAsia" w:ascii="宋体" w:hAnsi="宋体" w:eastAsia="宋体" w:cs="宋体"/>
                <w:b w:val="0"/>
                <w:bCs/>
                <w:sz w:val="24"/>
                <w:szCs w:val="24"/>
                <w:highlight w:val="none"/>
                <w:lang w:val="en-US" w:eastAsia="zh-CN"/>
              </w:rPr>
            </w:pPr>
            <w:r>
              <w:rPr>
                <w:rFonts w:hint="eastAsia" w:ascii="宋体" w:hAnsi="宋体" w:eastAsia="宋体" w:cs="宋体"/>
                <w:b w:val="0"/>
                <w:bCs/>
                <w:sz w:val="24"/>
                <w:szCs w:val="24"/>
                <w:highlight w:val="none"/>
              </w:rPr>
              <w:t>项目负责人，1人，具有公路专业高级及以上职称，</w:t>
            </w:r>
            <w:r>
              <w:rPr>
                <w:rFonts w:hint="eastAsia" w:ascii="宋体" w:hAnsi="宋体" w:eastAsia="宋体" w:cs="宋体"/>
                <w:b w:val="0"/>
                <w:bCs/>
                <w:color w:val="auto"/>
                <w:sz w:val="24"/>
                <w:szCs w:val="24"/>
                <w:highlight w:val="none"/>
              </w:rPr>
              <w:t>从事</w:t>
            </w:r>
            <w:r>
              <w:rPr>
                <w:rFonts w:hint="eastAsia" w:ascii="宋体" w:hAnsi="宋体" w:eastAsia="宋体" w:cs="宋体"/>
                <w:b w:val="0"/>
                <w:bCs/>
                <w:color w:val="auto"/>
                <w:sz w:val="24"/>
                <w:szCs w:val="24"/>
                <w:highlight w:val="none"/>
                <w:lang w:val="en-US" w:eastAsia="zh-CN"/>
              </w:rPr>
              <w:t>桥隧</w:t>
            </w:r>
            <w:r>
              <w:rPr>
                <w:rFonts w:hint="eastAsia" w:ascii="宋体" w:hAnsi="宋体" w:eastAsia="宋体" w:cs="宋体"/>
                <w:b w:val="0"/>
                <w:bCs/>
                <w:color w:val="auto"/>
                <w:sz w:val="24"/>
                <w:szCs w:val="24"/>
                <w:highlight w:val="none"/>
              </w:rPr>
              <w:t>检测工作10年及以上，</w:t>
            </w:r>
            <w:r>
              <w:rPr>
                <w:rFonts w:hint="eastAsia" w:ascii="宋体" w:hAnsi="宋体" w:eastAsia="宋体" w:cs="宋体"/>
                <w:b w:val="0"/>
                <w:bCs/>
                <w:color w:val="auto"/>
                <w:sz w:val="24"/>
                <w:szCs w:val="24"/>
                <w:highlight w:val="none"/>
                <w:lang w:eastAsia="zh-CN"/>
              </w:rPr>
              <w:t>全部满足得</w:t>
            </w:r>
            <w:r>
              <w:rPr>
                <w:rFonts w:hint="eastAsia" w:ascii="宋体" w:hAnsi="宋体" w:eastAsia="宋体" w:cs="宋体"/>
                <w:b w:val="0"/>
                <w:bCs/>
                <w:color w:val="auto"/>
                <w:sz w:val="24"/>
                <w:szCs w:val="24"/>
                <w:highlight w:val="none"/>
                <w:lang w:val="en-US" w:eastAsia="zh-CN"/>
              </w:rPr>
              <w:t>1分，不满足得0分；</w:t>
            </w:r>
            <w:r>
              <w:rPr>
                <w:rFonts w:hint="eastAsia" w:ascii="宋体" w:hAnsi="宋体" w:eastAsia="宋体" w:cs="宋体"/>
                <w:b w:val="0"/>
                <w:bCs/>
                <w:sz w:val="24"/>
                <w:szCs w:val="24"/>
                <w:highlight w:val="none"/>
              </w:rPr>
              <w:t>持有交通运输部颁发的公路专业试验检测</w:t>
            </w:r>
            <w:r>
              <w:rPr>
                <w:rFonts w:hint="eastAsia" w:ascii="宋体" w:hAnsi="宋体" w:eastAsia="宋体" w:cs="宋体"/>
                <w:b w:val="0"/>
                <w:bCs/>
                <w:sz w:val="24"/>
                <w:szCs w:val="24"/>
                <w:highlight w:val="none"/>
                <w:lang w:val="en-US" w:eastAsia="zh-CN"/>
              </w:rPr>
              <w:t>或</w:t>
            </w:r>
            <w:r>
              <w:rPr>
                <w:rFonts w:hint="eastAsia" w:ascii="宋体" w:hAnsi="宋体" w:eastAsia="宋体" w:cs="宋体"/>
                <w:b w:val="0"/>
                <w:bCs/>
                <w:sz w:val="24"/>
                <w:szCs w:val="24"/>
                <w:highlight w:val="none"/>
              </w:rPr>
              <w:t>桥梁专业试验检测工程师资格证书，</w:t>
            </w:r>
            <w:r>
              <w:rPr>
                <w:rFonts w:hint="eastAsia" w:ascii="宋体" w:hAnsi="宋体" w:eastAsia="宋体" w:cs="宋体"/>
                <w:b w:val="0"/>
                <w:bCs/>
                <w:sz w:val="24"/>
                <w:szCs w:val="24"/>
                <w:highlight w:val="none"/>
                <w:lang w:eastAsia="zh-CN"/>
              </w:rPr>
              <w:t>得</w:t>
            </w:r>
            <w:r>
              <w:rPr>
                <w:rFonts w:hint="eastAsia" w:ascii="宋体" w:hAnsi="宋体" w:eastAsia="宋体" w:cs="宋体"/>
                <w:b w:val="0"/>
                <w:bCs/>
                <w:sz w:val="24"/>
                <w:szCs w:val="24"/>
                <w:highlight w:val="none"/>
                <w:lang w:val="en-US" w:eastAsia="zh-CN"/>
              </w:rPr>
              <w:t>1分，不满足得0分；</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288" w:lineRule="auto"/>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sz w:val="24"/>
                <w:szCs w:val="24"/>
                <w:highlight w:val="none"/>
              </w:rPr>
              <w:t>20</w:t>
            </w:r>
            <w:r>
              <w:rPr>
                <w:rFonts w:hint="eastAsia" w:ascii="宋体" w:hAnsi="宋体" w:eastAsia="宋体" w:cs="宋体"/>
                <w:b w:val="0"/>
                <w:bCs/>
                <w:sz w:val="24"/>
                <w:szCs w:val="24"/>
                <w:highlight w:val="none"/>
                <w:lang w:val="en-US" w:eastAsia="zh-CN"/>
              </w:rPr>
              <w:t>20</w:t>
            </w:r>
            <w:r>
              <w:rPr>
                <w:rFonts w:hint="eastAsia" w:ascii="宋体" w:hAnsi="宋体" w:eastAsia="宋体" w:cs="宋体"/>
                <w:b w:val="0"/>
                <w:bCs/>
                <w:sz w:val="24"/>
                <w:szCs w:val="24"/>
                <w:highlight w:val="none"/>
              </w:rPr>
              <w:t>年</w:t>
            </w:r>
            <w:r>
              <w:rPr>
                <w:rFonts w:hint="eastAsia" w:ascii="宋体" w:hAnsi="宋体" w:eastAsia="宋体" w:cs="宋体"/>
                <w:b w:val="0"/>
                <w:bCs/>
                <w:sz w:val="24"/>
                <w:szCs w:val="24"/>
                <w:highlight w:val="none"/>
                <w:lang w:val="en-US" w:eastAsia="zh-CN"/>
              </w:rPr>
              <w:t>1月1日至投标截止日，</w:t>
            </w:r>
            <w:r>
              <w:rPr>
                <w:rFonts w:hint="eastAsia" w:ascii="宋体" w:hAnsi="宋体" w:eastAsia="宋体" w:cs="宋体"/>
                <w:b w:val="0"/>
                <w:bCs/>
                <w:sz w:val="24"/>
                <w:szCs w:val="24"/>
                <w:highlight w:val="none"/>
              </w:rPr>
              <w:t>至少担任过</w:t>
            </w:r>
            <w:r>
              <w:rPr>
                <w:rFonts w:hint="eastAsia" w:ascii="宋体" w:hAnsi="宋体" w:eastAsia="宋体" w:cs="宋体"/>
                <w:b w:val="0"/>
                <w:bCs/>
                <w:sz w:val="24"/>
                <w:szCs w:val="24"/>
                <w:highlight w:val="none"/>
                <w:lang w:eastAsia="zh-CN"/>
              </w:rPr>
              <w:t>普通</w:t>
            </w:r>
            <w:r>
              <w:rPr>
                <w:rFonts w:hint="eastAsia" w:ascii="宋体" w:hAnsi="宋体" w:eastAsia="宋体" w:cs="宋体"/>
                <w:b w:val="0"/>
                <w:bCs/>
                <w:sz w:val="24"/>
                <w:szCs w:val="24"/>
                <w:highlight w:val="none"/>
              </w:rPr>
              <w:t>国省</w:t>
            </w:r>
            <w:r>
              <w:rPr>
                <w:rFonts w:hint="eastAsia" w:ascii="宋体" w:hAnsi="宋体" w:eastAsia="宋体" w:cs="宋体"/>
                <w:b w:val="0"/>
                <w:bCs/>
                <w:sz w:val="24"/>
                <w:szCs w:val="24"/>
                <w:highlight w:val="none"/>
                <w:lang w:eastAsia="zh-CN"/>
              </w:rPr>
              <w:t>道</w:t>
            </w:r>
            <w:r>
              <w:rPr>
                <w:rFonts w:hint="eastAsia" w:ascii="宋体" w:hAnsi="宋体" w:eastAsia="宋体" w:cs="宋体"/>
                <w:b w:val="0"/>
                <w:bCs/>
                <w:sz w:val="24"/>
                <w:szCs w:val="24"/>
                <w:highlight w:val="none"/>
                <w:lang w:val="en-US" w:eastAsia="zh-CN"/>
              </w:rPr>
              <w:t>300</w:t>
            </w:r>
            <w:r>
              <w:rPr>
                <w:rFonts w:hint="eastAsia" w:ascii="宋体" w:hAnsi="宋体" w:eastAsia="宋体" w:cs="宋体"/>
                <w:b w:val="0"/>
                <w:bCs/>
                <w:sz w:val="24"/>
                <w:szCs w:val="24"/>
                <w:highlight w:val="none"/>
              </w:rPr>
              <w:t>座</w:t>
            </w:r>
            <w:r>
              <w:rPr>
                <w:rFonts w:hint="eastAsia" w:ascii="宋体" w:hAnsi="宋体" w:eastAsia="宋体" w:cs="宋体"/>
                <w:b w:val="0"/>
                <w:bCs/>
                <w:sz w:val="24"/>
                <w:szCs w:val="24"/>
                <w:highlight w:val="none"/>
                <w:lang w:eastAsia="zh-CN"/>
              </w:rPr>
              <w:t>运营</w:t>
            </w:r>
            <w:r>
              <w:rPr>
                <w:rFonts w:hint="eastAsia" w:ascii="宋体" w:hAnsi="宋体" w:eastAsia="宋体" w:cs="宋体"/>
                <w:b w:val="0"/>
                <w:bCs/>
                <w:sz w:val="24"/>
                <w:szCs w:val="24"/>
                <w:highlight w:val="none"/>
              </w:rPr>
              <w:t>桥</w:t>
            </w:r>
            <w:r>
              <w:rPr>
                <w:rFonts w:hint="eastAsia" w:ascii="宋体" w:hAnsi="宋体" w:eastAsia="宋体" w:cs="宋体"/>
                <w:b w:val="0"/>
                <w:bCs/>
                <w:sz w:val="24"/>
                <w:szCs w:val="24"/>
                <w:highlight w:val="none"/>
                <w:lang w:eastAsia="zh-CN"/>
              </w:rPr>
              <w:t>（隧）</w:t>
            </w:r>
            <w:r>
              <w:rPr>
                <w:rFonts w:hint="eastAsia" w:ascii="宋体" w:hAnsi="宋体" w:eastAsia="宋体" w:cs="宋体"/>
                <w:b w:val="0"/>
                <w:bCs/>
                <w:sz w:val="24"/>
                <w:szCs w:val="24"/>
                <w:highlight w:val="none"/>
              </w:rPr>
              <w:t>定</w:t>
            </w:r>
            <w:r>
              <w:rPr>
                <w:rFonts w:hint="eastAsia" w:ascii="宋体" w:hAnsi="宋体" w:eastAsia="宋体" w:cs="宋体"/>
                <w:b w:val="0"/>
                <w:bCs/>
                <w:sz w:val="24"/>
                <w:szCs w:val="24"/>
                <w:highlight w:val="none"/>
                <w:lang w:val="en-US" w:eastAsia="zh-CN"/>
              </w:rPr>
              <w:t>检</w:t>
            </w:r>
            <w:r>
              <w:rPr>
                <w:rFonts w:hint="eastAsia" w:ascii="宋体" w:hAnsi="宋体" w:eastAsia="宋体" w:cs="宋体"/>
                <w:b w:val="0"/>
                <w:bCs/>
                <w:sz w:val="24"/>
                <w:szCs w:val="24"/>
                <w:highlight w:val="none"/>
              </w:rPr>
              <w:t>项目负责人，得</w:t>
            </w:r>
            <w:r>
              <w:rPr>
                <w:rFonts w:hint="eastAsia" w:ascii="宋体" w:hAnsi="宋体" w:eastAsia="宋体" w:cs="宋体"/>
                <w:b w:val="0"/>
                <w:bCs/>
                <w:sz w:val="24"/>
                <w:szCs w:val="24"/>
                <w:highlight w:val="none"/>
                <w:lang w:val="en-US" w:eastAsia="zh-CN"/>
              </w:rPr>
              <w:t>2分</w:t>
            </w:r>
            <w:r>
              <w:rPr>
                <w:rFonts w:hint="eastAsia" w:ascii="宋体" w:hAnsi="宋体" w:eastAsia="宋体" w:cs="宋体"/>
                <w:b w:val="0"/>
                <w:bCs/>
                <w:sz w:val="24"/>
                <w:szCs w:val="24"/>
                <w:highlight w:val="none"/>
              </w:rPr>
              <w:t>，不满足得0分</w:t>
            </w:r>
            <w:r>
              <w:rPr>
                <w:rFonts w:hint="eastAsia" w:ascii="宋体" w:hAnsi="宋体" w:eastAsia="宋体" w:cs="宋体"/>
                <w:b w:val="0"/>
                <w:bCs/>
                <w:sz w:val="24"/>
                <w:szCs w:val="24"/>
                <w:highlight w:val="none"/>
                <w:lang w:eastAsia="zh-CN"/>
              </w:rPr>
              <w:t>；</w:t>
            </w:r>
            <w:r>
              <w:rPr>
                <w:rFonts w:hint="eastAsia" w:ascii="宋体" w:hAnsi="宋体" w:eastAsia="宋体" w:cs="宋体"/>
                <w:b w:val="0"/>
                <w:bCs/>
                <w:sz w:val="24"/>
                <w:szCs w:val="24"/>
                <w:highlight w:val="none"/>
              </w:rPr>
              <w:t>每增加</w:t>
            </w:r>
            <w:r>
              <w:rPr>
                <w:rFonts w:hint="eastAsia" w:ascii="宋体" w:hAnsi="宋体" w:eastAsia="宋体" w:cs="宋体"/>
                <w:b w:val="0"/>
                <w:bCs/>
                <w:sz w:val="24"/>
                <w:szCs w:val="24"/>
                <w:highlight w:val="none"/>
                <w:lang w:val="en-US" w:eastAsia="zh-CN"/>
              </w:rPr>
              <w:t>100</w:t>
            </w:r>
            <w:r>
              <w:rPr>
                <w:rFonts w:hint="eastAsia" w:ascii="宋体" w:hAnsi="宋体" w:eastAsia="宋体" w:cs="宋体"/>
                <w:b w:val="0"/>
                <w:bCs/>
                <w:sz w:val="24"/>
                <w:szCs w:val="24"/>
                <w:highlight w:val="none"/>
              </w:rPr>
              <w:t>座</w:t>
            </w:r>
            <w:r>
              <w:rPr>
                <w:rFonts w:hint="eastAsia" w:ascii="宋体" w:hAnsi="宋体" w:eastAsia="宋体" w:cs="宋体"/>
                <w:b w:val="0"/>
                <w:bCs/>
                <w:sz w:val="24"/>
                <w:szCs w:val="24"/>
                <w:highlight w:val="none"/>
                <w:lang w:eastAsia="zh-CN"/>
              </w:rPr>
              <w:t>普通国省道</w:t>
            </w:r>
            <w:r>
              <w:rPr>
                <w:rFonts w:hint="eastAsia" w:ascii="宋体" w:hAnsi="宋体" w:eastAsia="宋体" w:cs="宋体"/>
                <w:b w:val="0"/>
                <w:bCs/>
                <w:sz w:val="24"/>
                <w:szCs w:val="24"/>
                <w:highlight w:val="none"/>
              </w:rPr>
              <w:t>桥梁</w:t>
            </w:r>
            <w:r>
              <w:rPr>
                <w:rFonts w:hint="eastAsia" w:ascii="宋体" w:hAnsi="宋体" w:eastAsia="宋体" w:cs="宋体"/>
                <w:b w:val="0"/>
                <w:bCs/>
                <w:sz w:val="24"/>
                <w:szCs w:val="24"/>
                <w:highlight w:val="none"/>
                <w:lang w:eastAsia="zh-CN"/>
              </w:rPr>
              <w:t>定检</w:t>
            </w:r>
            <w:r>
              <w:rPr>
                <w:rFonts w:hint="eastAsia" w:ascii="宋体" w:hAnsi="宋体" w:eastAsia="宋体" w:cs="宋体"/>
                <w:b w:val="0"/>
                <w:bCs/>
                <w:sz w:val="24"/>
                <w:szCs w:val="24"/>
                <w:highlight w:val="none"/>
              </w:rPr>
              <w:t>加</w:t>
            </w:r>
            <w:r>
              <w:rPr>
                <w:rFonts w:hint="eastAsia" w:ascii="宋体" w:hAnsi="宋体" w:eastAsia="宋体" w:cs="宋体"/>
                <w:b w:val="0"/>
                <w:bCs/>
                <w:sz w:val="24"/>
                <w:szCs w:val="24"/>
                <w:highlight w:val="none"/>
                <w:lang w:val="en-US" w:eastAsia="zh-CN"/>
              </w:rPr>
              <w:t>0.5</w:t>
            </w:r>
            <w:r>
              <w:rPr>
                <w:rFonts w:hint="eastAsia" w:ascii="宋体" w:hAnsi="宋体" w:eastAsia="宋体" w:cs="宋体"/>
                <w:b w:val="0"/>
                <w:bCs/>
                <w:sz w:val="24"/>
                <w:szCs w:val="24"/>
                <w:highlight w:val="none"/>
              </w:rPr>
              <w:t>分，最多加2分，满分</w:t>
            </w:r>
            <w:r>
              <w:rPr>
                <w:rFonts w:hint="eastAsia" w:ascii="宋体" w:hAnsi="宋体" w:eastAsia="宋体" w:cs="宋体"/>
                <w:b w:val="0"/>
                <w:bCs/>
                <w:sz w:val="24"/>
                <w:szCs w:val="24"/>
                <w:highlight w:val="none"/>
                <w:lang w:val="en-US" w:eastAsia="zh-CN"/>
              </w:rPr>
              <w:t>6</w:t>
            </w:r>
            <w:r>
              <w:rPr>
                <w:rFonts w:hint="eastAsia" w:ascii="宋体" w:hAnsi="宋体" w:eastAsia="宋体" w:cs="宋体"/>
                <w:b w:val="0"/>
                <w:bCs/>
                <w:sz w:val="24"/>
                <w:szCs w:val="24"/>
                <w:highlight w:val="none"/>
              </w:rPr>
              <w:t>分</w:t>
            </w:r>
            <w:r>
              <w:rPr>
                <w:rFonts w:hint="eastAsia" w:ascii="宋体" w:hAnsi="宋体" w:eastAsia="宋体" w:cs="宋体"/>
                <w:b w:val="0"/>
                <w:bCs/>
                <w:sz w:val="24"/>
                <w:szCs w:val="24"/>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3" w:hRule="atLeast"/>
        </w:trPr>
        <w:tc>
          <w:tcPr>
            <w:tcW w:w="55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color w:val="auto"/>
                <w:sz w:val="24"/>
                <w:szCs w:val="24"/>
                <w:highlight w:val="none"/>
              </w:rPr>
            </w:pPr>
          </w:p>
        </w:tc>
        <w:tc>
          <w:tcPr>
            <w:tcW w:w="696" w:type="pct"/>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color w:val="auto"/>
                <w:sz w:val="24"/>
                <w:szCs w:val="24"/>
                <w:highlight w:val="none"/>
              </w:rPr>
            </w:pPr>
          </w:p>
        </w:tc>
        <w:tc>
          <w:tcPr>
            <w:tcW w:w="3753" w:type="pct"/>
            <w:tcBorders>
              <w:left w:val="single" w:color="auto" w:sz="4" w:space="0"/>
            </w:tcBorders>
            <w:noWrap w:val="0"/>
            <w:vAlign w:val="center"/>
          </w:tcPr>
          <w:p>
            <w:pPr>
              <w:pStyle w:val="12"/>
              <w:keepNext w:val="0"/>
              <w:keepLines w:val="0"/>
              <w:pageBreakBefore w:val="0"/>
              <w:widowControl w:val="0"/>
              <w:numPr>
                <w:ilvl w:val="0"/>
                <w:numId w:val="4"/>
              </w:numPr>
              <w:kinsoku/>
              <w:wordWrap/>
              <w:overflowPunct/>
              <w:topLinePunct w:val="0"/>
              <w:autoSpaceDE/>
              <w:autoSpaceDN/>
              <w:bidi w:val="0"/>
              <w:adjustRightInd/>
              <w:snapToGrid/>
              <w:spacing w:line="288" w:lineRule="auto"/>
              <w:ind w:left="0" w:leftChars="0" w:firstLine="0" w:firstLineChars="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sz w:val="24"/>
                <w:szCs w:val="24"/>
                <w:highlight w:val="none"/>
              </w:rPr>
              <w:t>技术负责人，1人，具有</w:t>
            </w:r>
            <w:r>
              <w:rPr>
                <w:rFonts w:hint="eastAsia" w:ascii="宋体" w:hAnsi="宋体" w:eastAsia="宋体" w:cs="宋体"/>
                <w:b w:val="0"/>
                <w:bCs/>
                <w:sz w:val="24"/>
                <w:szCs w:val="24"/>
                <w:highlight w:val="none"/>
                <w:lang w:eastAsia="zh-CN"/>
              </w:rPr>
              <w:t>桥梁</w:t>
            </w:r>
            <w:r>
              <w:rPr>
                <w:rFonts w:hint="eastAsia" w:ascii="宋体" w:hAnsi="宋体" w:eastAsia="宋体" w:cs="宋体"/>
                <w:b w:val="0"/>
                <w:bCs/>
                <w:sz w:val="24"/>
                <w:szCs w:val="24"/>
                <w:highlight w:val="none"/>
              </w:rPr>
              <w:t>专业高级及以上职称，</w:t>
            </w:r>
            <w:r>
              <w:rPr>
                <w:rFonts w:hint="eastAsia" w:ascii="宋体" w:hAnsi="宋体" w:eastAsia="宋体" w:cs="宋体"/>
                <w:b w:val="0"/>
                <w:bCs/>
                <w:color w:val="auto"/>
                <w:sz w:val="24"/>
                <w:szCs w:val="24"/>
                <w:highlight w:val="none"/>
              </w:rPr>
              <w:t>从事</w:t>
            </w:r>
            <w:r>
              <w:rPr>
                <w:rFonts w:hint="eastAsia" w:ascii="宋体" w:hAnsi="宋体" w:eastAsia="宋体" w:cs="宋体"/>
                <w:b w:val="0"/>
                <w:bCs/>
                <w:color w:val="auto"/>
                <w:sz w:val="24"/>
                <w:szCs w:val="24"/>
                <w:highlight w:val="none"/>
                <w:lang w:val="en-US" w:eastAsia="zh-CN"/>
              </w:rPr>
              <w:t>桥隧</w:t>
            </w:r>
            <w:r>
              <w:rPr>
                <w:rFonts w:hint="eastAsia" w:ascii="宋体" w:hAnsi="宋体" w:eastAsia="宋体" w:cs="宋体"/>
                <w:b w:val="0"/>
                <w:bCs/>
                <w:color w:val="auto"/>
                <w:sz w:val="24"/>
                <w:szCs w:val="24"/>
                <w:highlight w:val="none"/>
              </w:rPr>
              <w:t>检测工作</w:t>
            </w:r>
            <w:r>
              <w:rPr>
                <w:rFonts w:hint="eastAsia" w:ascii="宋体" w:hAnsi="宋体" w:eastAsia="宋体" w:cs="宋体"/>
                <w:b w:val="0"/>
                <w:bCs/>
                <w:color w:val="auto"/>
                <w:sz w:val="24"/>
                <w:szCs w:val="24"/>
                <w:highlight w:val="none"/>
                <w:lang w:val="en-US" w:eastAsia="zh-CN"/>
              </w:rPr>
              <w:t>10</w:t>
            </w:r>
            <w:r>
              <w:rPr>
                <w:rFonts w:hint="eastAsia" w:ascii="宋体" w:hAnsi="宋体" w:eastAsia="宋体" w:cs="宋体"/>
                <w:b w:val="0"/>
                <w:bCs/>
                <w:color w:val="auto"/>
                <w:sz w:val="24"/>
                <w:szCs w:val="24"/>
                <w:highlight w:val="none"/>
              </w:rPr>
              <w:t>年及以上，</w:t>
            </w:r>
            <w:r>
              <w:rPr>
                <w:rFonts w:hint="eastAsia" w:ascii="宋体" w:hAnsi="宋体" w:eastAsia="宋体" w:cs="宋体"/>
                <w:b w:val="0"/>
                <w:bCs/>
                <w:color w:val="auto"/>
                <w:sz w:val="24"/>
                <w:szCs w:val="24"/>
                <w:highlight w:val="none"/>
                <w:lang w:eastAsia="zh-CN"/>
              </w:rPr>
              <w:t>全部满足得</w:t>
            </w:r>
            <w:r>
              <w:rPr>
                <w:rFonts w:hint="eastAsia" w:ascii="宋体" w:hAnsi="宋体" w:eastAsia="宋体" w:cs="宋体"/>
                <w:b w:val="0"/>
                <w:bCs/>
                <w:color w:val="auto"/>
                <w:sz w:val="24"/>
                <w:szCs w:val="24"/>
                <w:highlight w:val="none"/>
                <w:lang w:val="en-US" w:eastAsia="zh-CN"/>
              </w:rPr>
              <w:t>1分，不满足得0分；</w:t>
            </w:r>
            <w:r>
              <w:rPr>
                <w:rFonts w:hint="eastAsia" w:ascii="宋体" w:hAnsi="宋体" w:eastAsia="宋体" w:cs="宋体"/>
                <w:b w:val="0"/>
                <w:bCs/>
                <w:sz w:val="24"/>
                <w:szCs w:val="24"/>
                <w:highlight w:val="none"/>
              </w:rPr>
              <w:t>持有交通运输部颁发的桥梁专业试验检测工程师资格证书，</w:t>
            </w:r>
            <w:r>
              <w:rPr>
                <w:rFonts w:hint="eastAsia" w:ascii="宋体" w:hAnsi="宋体" w:eastAsia="宋体" w:cs="宋体"/>
                <w:b w:val="0"/>
                <w:bCs/>
                <w:sz w:val="24"/>
                <w:szCs w:val="24"/>
                <w:highlight w:val="none"/>
                <w:lang w:eastAsia="zh-CN"/>
              </w:rPr>
              <w:t>得</w:t>
            </w:r>
            <w:r>
              <w:rPr>
                <w:rFonts w:hint="eastAsia" w:ascii="宋体" w:hAnsi="宋体" w:eastAsia="宋体" w:cs="宋体"/>
                <w:b w:val="0"/>
                <w:bCs/>
                <w:sz w:val="24"/>
                <w:szCs w:val="24"/>
                <w:highlight w:val="none"/>
                <w:lang w:val="en-US" w:eastAsia="zh-CN"/>
              </w:rPr>
              <w:t>1分，不满足得0分；</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288" w:lineRule="auto"/>
              <w:ind w:leftChars="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sz w:val="24"/>
                <w:szCs w:val="24"/>
                <w:highlight w:val="none"/>
              </w:rPr>
              <w:t>20</w:t>
            </w:r>
            <w:r>
              <w:rPr>
                <w:rFonts w:hint="eastAsia" w:ascii="宋体" w:hAnsi="宋体" w:eastAsia="宋体" w:cs="宋体"/>
                <w:b w:val="0"/>
                <w:bCs/>
                <w:sz w:val="24"/>
                <w:szCs w:val="24"/>
                <w:highlight w:val="none"/>
                <w:lang w:val="en-US" w:eastAsia="zh-CN"/>
              </w:rPr>
              <w:t>20</w:t>
            </w:r>
            <w:r>
              <w:rPr>
                <w:rFonts w:hint="eastAsia" w:ascii="宋体" w:hAnsi="宋体" w:eastAsia="宋体" w:cs="宋体"/>
                <w:b w:val="0"/>
                <w:bCs/>
                <w:sz w:val="24"/>
                <w:szCs w:val="24"/>
                <w:highlight w:val="none"/>
              </w:rPr>
              <w:t>年</w:t>
            </w:r>
            <w:r>
              <w:rPr>
                <w:rFonts w:hint="eastAsia" w:ascii="宋体" w:hAnsi="宋体" w:eastAsia="宋体" w:cs="宋体"/>
                <w:b w:val="0"/>
                <w:bCs/>
                <w:sz w:val="24"/>
                <w:szCs w:val="24"/>
                <w:highlight w:val="none"/>
                <w:lang w:val="en-US" w:eastAsia="zh-CN"/>
              </w:rPr>
              <w:t>1月1日至投标截止日，</w:t>
            </w:r>
            <w:r>
              <w:rPr>
                <w:rFonts w:hint="eastAsia" w:ascii="宋体" w:hAnsi="宋体" w:eastAsia="宋体" w:cs="宋体"/>
                <w:b w:val="0"/>
                <w:bCs/>
                <w:sz w:val="24"/>
                <w:szCs w:val="24"/>
                <w:highlight w:val="none"/>
              </w:rPr>
              <w:t>至少担任过</w:t>
            </w:r>
            <w:r>
              <w:rPr>
                <w:rFonts w:hint="eastAsia" w:ascii="宋体" w:hAnsi="宋体" w:eastAsia="宋体" w:cs="宋体"/>
                <w:b w:val="0"/>
                <w:bCs/>
                <w:sz w:val="24"/>
                <w:szCs w:val="24"/>
                <w:highlight w:val="none"/>
                <w:lang w:eastAsia="zh-CN"/>
              </w:rPr>
              <w:t>普通</w:t>
            </w:r>
            <w:r>
              <w:rPr>
                <w:rFonts w:hint="eastAsia" w:ascii="宋体" w:hAnsi="宋体" w:eastAsia="宋体" w:cs="宋体"/>
                <w:b w:val="0"/>
                <w:bCs/>
                <w:sz w:val="24"/>
                <w:szCs w:val="24"/>
                <w:highlight w:val="none"/>
              </w:rPr>
              <w:t>国省</w:t>
            </w:r>
            <w:r>
              <w:rPr>
                <w:rFonts w:hint="eastAsia" w:ascii="宋体" w:hAnsi="宋体" w:eastAsia="宋体" w:cs="宋体"/>
                <w:b w:val="0"/>
                <w:bCs/>
                <w:sz w:val="24"/>
                <w:szCs w:val="24"/>
                <w:highlight w:val="none"/>
                <w:lang w:eastAsia="zh-CN"/>
              </w:rPr>
              <w:t>道</w:t>
            </w:r>
            <w:r>
              <w:rPr>
                <w:rFonts w:hint="eastAsia" w:ascii="宋体" w:hAnsi="宋体" w:eastAsia="宋体" w:cs="宋体"/>
                <w:b w:val="0"/>
                <w:bCs/>
                <w:sz w:val="24"/>
                <w:szCs w:val="24"/>
                <w:highlight w:val="none"/>
                <w:lang w:val="en-US" w:eastAsia="zh-CN"/>
              </w:rPr>
              <w:t>300</w:t>
            </w:r>
            <w:r>
              <w:rPr>
                <w:rFonts w:hint="eastAsia" w:ascii="宋体" w:hAnsi="宋体" w:eastAsia="宋体" w:cs="宋体"/>
                <w:b w:val="0"/>
                <w:bCs/>
                <w:sz w:val="24"/>
                <w:szCs w:val="24"/>
                <w:highlight w:val="none"/>
              </w:rPr>
              <w:t>座桥</w:t>
            </w:r>
            <w:r>
              <w:rPr>
                <w:rFonts w:hint="eastAsia" w:ascii="宋体" w:hAnsi="宋体" w:eastAsia="宋体" w:cs="宋体"/>
                <w:b w:val="0"/>
                <w:bCs/>
                <w:sz w:val="24"/>
                <w:szCs w:val="24"/>
                <w:highlight w:val="none"/>
                <w:lang w:eastAsia="zh-CN"/>
              </w:rPr>
              <w:t>（隧）</w:t>
            </w:r>
            <w:r>
              <w:rPr>
                <w:rFonts w:hint="eastAsia" w:ascii="宋体" w:hAnsi="宋体" w:eastAsia="宋体" w:cs="宋体"/>
                <w:b w:val="0"/>
                <w:bCs/>
                <w:sz w:val="24"/>
                <w:szCs w:val="24"/>
                <w:highlight w:val="none"/>
              </w:rPr>
              <w:t>定</w:t>
            </w:r>
            <w:r>
              <w:rPr>
                <w:rFonts w:hint="eastAsia" w:ascii="宋体" w:hAnsi="宋体" w:eastAsia="宋体" w:cs="宋体"/>
                <w:b w:val="0"/>
                <w:bCs/>
                <w:sz w:val="24"/>
                <w:szCs w:val="24"/>
                <w:highlight w:val="none"/>
                <w:lang w:val="en-US" w:eastAsia="zh-CN"/>
              </w:rPr>
              <w:t>检</w:t>
            </w:r>
            <w:r>
              <w:rPr>
                <w:rFonts w:hint="eastAsia" w:ascii="宋体" w:hAnsi="宋体" w:eastAsia="宋体" w:cs="宋体"/>
                <w:b w:val="0"/>
                <w:bCs/>
                <w:sz w:val="24"/>
                <w:szCs w:val="24"/>
                <w:highlight w:val="none"/>
              </w:rPr>
              <w:t>项目技术负责人，得</w:t>
            </w:r>
            <w:r>
              <w:rPr>
                <w:rFonts w:hint="eastAsia" w:ascii="宋体" w:hAnsi="宋体" w:eastAsia="宋体" w:cs="宋体"/>
                <w:b w:val="0"/>
                <w:bCs/>
                <w:sz w:val="24"/>
                <w:szCs w:val="24"/>
                <w:highlight w:val="none"/>
                <w:lang w:val="en-US" w:eastAsia="zh-CN"/>
              </w:rPr>
              <w:t>2分</w:t>
            </w:r>
            <w:r>
              <w:rPr>
                <w:rFonts w:hint="eastAsia" w:ascii="宋体" w:hAnsi="宋体" w:eastAsia="宋体" w:cs="宋体"/>
                <w:b w:val="0"/>
                <w:bCs/>
                <w:sz w:val="24"/>
                <w:szCs w:val="24"/>
                <w:highlight w:val="none"/>
              </w:rPr>
              <w:t>，不满足得0分</w:t>
            </w:r>
            <w:r>
              <w:rPr>
                <w:rFonts w:hint="eastAsia" w:ascii="宋体" w:hAnsi="宋体" w:eastAsia="宋体" w:cs="宋体"/>
                <w:b w:val="0"/>
                <w:bCs/>
                <w:sz w:val="24"/>
                <w:szCs w:val="24"/>
                <w:highlight w:val="none"/>
                <w:lang w:eastAsia="zh-CN"/>
              </w:rPr>
              <w:t>；</w:t>
            </w:r>
            <w:r>
              <w:rPr>
                <w:rFonts w:hint="eastAsia" w:ascii="宋体" w:hAnsi="宋体" w:eastAsia="宋体" w:cs="宋体"/>
                <w:b w:val="0"/>
                <w:bCs/>
                <w:sz w:val="24"/>
                <w:szCs w:val="24"/>
                <w:highlight w:val="none"/>
              </w:rPr>
              <w:t>每增加</w:t>
            </w:r>
            <w:r>
              <w:rPr>
                <w:rFonts w:hint="eastAsia" w:ascii="宋体" w:hAnsi="宋体" w:eastAsia="宋体" w:cs="宋体"/>
                <w:b w:val="0"/>
                <w:bCs/>
                <w:sz w:val="24"/>
                <w:szCs w:val="24"/>
                <w:highlight w:val="none"/>
                <w:lang w:val="en-US" w:eastAsia="zh-CN"/>
              </w:rPr>
              <w:t>100</w:t>
            </w:r>
            <w:r>
              <w:rPr>
                <w:rFonts w:hint="eastAsia" w:ascii="宋体" w:hAnsi="宋体" w:eastAsia="宋体" w:cs="宋体"/>
                <w:b w:val="0"/>
                <w:bCs/>
                <w:sz w:val="24"/>
                <w:szCs w:val="24"/>
                <w:highlight w:val="none"/>
              </w:rPr>
              <w:t>座</w:t>
            </w:r>
            <w:r>
              <w:rPr>
                <w:rFonts w:hint="eastAsia" w:ascii="宋体" w:hAnsi="宋体" w:eastAsia="宋体" w:cs="宋体"/>
                <w:b w:val="0"/>
                <w:bCs/>
                <w:sz w:val="24"/>
                <w:szCs w:val="24"/>
                <w:highlight w:val="none"/>
                <w:lang w:eastAsia="zh-CN"/>
              </w:rPr>
              <w:t>普通国省道</w:t>
            </w:r>
            <w:r>
              <w:rPr>
                <w:rFonts w:hint="eastAsia" w:ascii="宋体" w:hAnsi="宋体" w:eastAsia="宋体" w:cs="宋体"/>
                <w:b w:val="0"/>
                <w:bCs/>
                <w:sz w:val="24"/>
                <w:szCs w:val="24"/>
                <w:highlight w:val="none"/>
              </w:rPr>
              <w:t>桥梁</w:t>
            </w:r>
            <w:r>
              <w:rPr>
                <w:rFonts w:hint="eastAsia" w:ascii="宋体" w:hAnsi="宋体" w:eastAsia="宋体" w:cs="宋体"/>
                <w:b w:val="0"/>
                <w:bCs/>
                <w:sz w:val="24"/>
                <w:szCs w:val="24"/>
                <w:highlight w:val="none"/>
                <w:lang w:eastAsia="zh-CN"/>
              </w:rPr>
              <w:t>定检</w:t>
            </w:r>
            <w:r>
              <w:rPr>
                <w:rFonts w:hint="eastAsia" w:ascii="宋体" w:hAnsi="宋体" w:eastAsia="宋体" w:cs="宋体"/>
                <w:b w:val="0"/>
                <w:bCs/>
                <w:sz w:val="24"/>
                <w:szCs w:val="24"/>
                <w:highlight w:val="none"/>
              </w:rPr>
              <w:t>加</w:t>
            </w:r>
            <w:r>
              <w:rPr>
                <w:rFonts w:hint="eastAsia" w:ascii="宋体" w:hAnsi="宋体" w:eastAsia="宋体" w:cs="宋体"/>
                <w:b w:val="0"/>
                <w:bCs/>
                <w:sz w:val="24"/>
                <w:szCs w:val="24"/>
                <w:highlight w:val="none"/>
                <w:lang w:val="en-US" w:eastAsia="zh-CN"/>
              </w:rPr>
              <w:t>0.5</w:t>
            </w:r>
            <w:r>
              <w:rPr>
                <w:rFonts w:hint="eastAsia" w:ascii="宋体" w:hAnsi="宋体" w:eastAsia="宋体" w:cs="宋体"/>
                <w:b w:val="0"/>
                <w:bCs/>
                <w:sz w:val="24"/>
                <w:szCs w:val="24"/>
                <w:highlight w:val="none"/>
              </w:rPr>
              <w:t>分，最多加</w:t>
            </w:r>
            <w:r>
              <w:rPr>
                <w:rFonts w:hint="eastAsia" w:ascii="宋体" w:hAnsi="宋体" w:eastAsia="宋体" w:cs="宋体"/>
                <w:b w:val="0"/>
                <w:bCs/>
                <w:sz w:val="24"/>
                <w:szCs w:val="24"/>
                <w:highlight w:val="none"/>
                <w:lang w:val="en-US" w:eastAsia="zh-CN"/>
              </w:rPr>
              <w:t>2</w:t>
            </w:r>
            <w:r>
              <w:rPr>
                <w:rFonts w:hint="eastAsia" w:ascii="宋体" w:hAnsi="宋体" w:eastAsia="宋体" w:cs="宋体"/>
                <w:b w:val="0"/>
                <w:bCs/>
                <w:sz w:val="24"/>
                <w:szCs w:val="24"/>
                <w:highlight w:val="none"/>
              </w:rPr>
              <w:t>分。满分</w:t>
            </w:r>
            <w:r>
              <w:rPr>
                <w:rFonts w:hint="eastAsia" w:ascii="宋体" w:hAnsi="宋体" w:eastAsia="宋体" w:cs="宋体"/>
                <w:b w:val="0"/>
                <w:bCs/>
                <w:sz w:val="24"/>
                <w:szCs w:val="24"/>
                <w:highlight w:val="none"/>
                <w:lang w:val="en-US" w:eastAsia="zh-CN"/>
              </w:rPr>
              <w:t>6</w:t>
            </w:r>
            <w:r>
              <w:rPr>
                <w:rFonts w:hint="eastAsia" w:ascii="宋体" w:hAnsi="宋体" w:eastAsia="宋体" w:cs="宋体"/>
                <w:b w:val="0"/>
                <w:bCs/>
                <w:sz w:val="24"/>
                <w:szCs w:val="24"/>
                <w:highlight w:val="none"/>
              </w:rPr>
              <w:t>分</w:t>
            </w:r>
            <w:r>
              <w:rPr>
                <w:rFonts w:hint="eastAsia" w:ascii="宋体" w:hAnsi="宋体" w:eastAsia="宋体" w:cs="宋体"/>
                <w:b w:val="0"/>
                <w:bCs/>
                <w:sz w:val="24"/>
                <w:szCs w:val="24"/>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03" w:hRule="atLeast"/>
        </w:trPr>
        <w:tc>
          <w:tcPr>
            <w:tcW w:w="55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color w:val="auto"/>
                <w:sz w:val="24"/>
                <w:szCs w:val="24"/>
                <w:highlight w:val="none"/>
              </w:rPr>
            </w:pPr>
          </w:p>
        </w:tc>
        <w:tc>
          <w:tcPr>
            <w:tcW w:w="696" w:type="pct"/>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color w:val="auto"/>
                <w:sz w:val="24"/>
                <w:szCs w:val="24"/>
                <w:highlight w:val="none"/>
              </w:rPr>
            </w:pPr>
          </w:p>
        </w:tc>
        <w:tc>
          <w:tcPr>
            <w:tcW w:w="3753" w:type="pct"/>
            <w:tcBorders>
              <w:left w:val="single" w:color="auto" w:sz="4" w:space="0"/>
            </w:tcBorders>
            <w:noWrap w:val="0"/>
            <w:vAlign w:val="center"/>
          </w:tcPr>
          <w:p>
            <w:pPr>
              <w:pStyle w:val="1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sz w:val="24"/>
                <w:szCs w:val="24"/>
                <w:highlight w:val="none"/>
                <w:lang w:val="en-US" w:eastAsia="zh-CN"/>
              </w:rPr>
              <w:t>3、</w:t>
            </w:r>
            <w:r>
              <w:rPr>
                <w:rFonts w:hint="eastAsia" w:ascii="宋体" w:hAnsi="宋体" w:eastAsia="宋体" w:cs="宋体"/>
                <w:b w:val="0"/>
                <w:bCs/>
                <w:sz w:val="24"/>
                <w:szCs w:val="24"/>
                <w:highlight w:val="none"/>
              </w:rPr>
              <w:t>检测工程师，</w:t>
            </w:r>
            <w:r>
              <w:rPr>
                <w:rFonts w:hint="eastAsia" w:ascii="宋体" w:hAnsi="宋体" w:eastAsia="宋体" w:cs="宋体"/>
                <w:b w:val="0"/>
                <w:bCs/>
                <w:sz w:val="24"/>
                <w:szCs w:val="24"/>
                <w:highlight w:val="none"/>
                <w:lang w:eastAsia="zh-CN"/>
              </w:rPr>
              <w:t>至少</w:t>
            </w:r>
            <w:r>
              <w:rPr>
                <w:rFonts w:hint="eastAsia" w:ascii="宋体" w:hAnsi="宋体" w:eastAsia="宋体" w:cs="宋体"/>
                <w:b w:val="0"/>
                <w:bCs/>
                <w:sz w:val="24"/>
                <w:szCs w:val="24"/>
                <w:highlight w:val="none"/>
                <w:lang w:val="en-US" w:eastAsia="zh-CN"/>
              </w:rPr>
              <w:t>8</w:t>
            </w:r>
            <w:r>
              <w:rPr>
                <w:rFonts w:hint="eastAsia" w:ascii="宋体" w:hAnsi="宋体" w:eastAsia="宋体" w:cs="宋体"/>
                <w:b w:val="0"/>
                <w:bCs/>
                <w:sz w:val="24"/>
                <w:szCs w:val="24"/>
                <w:highlight w:val="none"/>
              </w:rPr>
              <w:t>人，</w:t>
            </w:r>
            <w:r>
              <w:rPr>
                <w:rFonts w:hint="eastAsia" w:ascii="宋体" w:hAnsi="宋体" w:eastAsia="宋体" w:cs="宋体"/>
                <w:b w:val="0"/>
                <w:bCs/>
                <w:sz w:val="24"/>
                <w:szCs w:val="24"/>
                <w:highlight w:val="none"/>
                <w:lang w:eastAsia="zh-CN"/>
              </w:rPr>
              <w:t>桥梁</w:t>
            </w:r>
            <w:r>
              <w:rPr>
                <w:rFonts w:hint="eastAsia" w:ascii="宋体" w:hAnsi="宋体" w:eastAsia="宋体" w:cs="宋体"/>
                <w:b w:val="0"/>
                <w:bCs/>
                <w:sz w:val="24"/>
                <w:szCs w:val="24"/>
                <w:highlight w:val="none"/>
              </w:rPr>
              <w:t>专业中级</w:t>
            </w:r>
            <w:r>
              <w:rPr>
                <w:rFonts w:hint="eastAsia" w:ascii="宋体" w:hAnsi="宋体" w:eastAsia="宋体" w:cs="宋体"/>
                <w:b w:val="0"/>
                <w:bCs/>
                <w:sz w:val="24"/>
                <w:szCs w:val="24"/>
                <w:highlight w:val="none"/>
                <w:lang w:eastAsia="zh-CN"/>
              </w:rPr>
              <w:t>或</w:t>
            </w:r>
            <w:r>
              <w:rPr>
                <w:rFonts w:hint="eastAsia" w:ascii="宋体" w:hAnsi="宋体" w:eastAsia="宋体" w:cs="宋体"/>
                <w:b w:val="0"/>
                <w:bCs/>
                <w:sz w:val="24"/>
                <w:szCs w:val="24"/>
                <w:highlight w:val="none"/>
              </w:rPr>
              <w:t>以上职称，</w:t>
            </w:r>
            <w:r>
              <w:rPr>
                <w:rFonts w:hint="eastAsia" w:ascii="宋体" w:hAnsi="宋体" w:eastAsia="宋体" w:cs="宋体"/>
                <w:b w:val="0"/>
                <w:bCs/>
                <w:sz w:val="24"/>
                <w:szCs w:val="24"/>
                <w:highlight w:val="none"/>
                <w:lang w:eastAsia="zh-CN"/>
              </w:rPr>
              <w:t>均</w:t>
            </w:r>
            <w:r>
              <w:rPr>
                <w:rFonts w:hint="eastAsia" w:ascii="宋体" w:hAnsi="宋体" w:eastAsia="宋体" w:cs="宋体"/>
                <w:b w:val="0"/>
                <w:bCs/>
                <w:sz w:val="24"/>
                <w:szCs w:val="24"/>
                <w:highlight w:val="none"/>
              </w:rPr>
              <w:t>持有交通运输部颁发的桥梁专业试验检测工程师资格证书，全部满足得</w:t>
            </w:r>
            <w:r>
              <w:rPr>
                <w:rFonts w:hint="eastAsia" w:ascii="宋体" w:hAnsi="宋体" w:eastAsia="宋体" w:cs="宋体"/>
                <w:b w:val="0"/>
                <w:bCs/>
                <w:sz w:val="24"/>
                <w:szCs w:val="24"/>
                <w:highlight w:val="none"/>
                <w:lang w:val="en-US" w:eastAsia="zh-CN"/>
              </w:rPr>
              <w:t>4</w:t>
            </w:r>
            <w:r>
              <w:rPr>
                <w:rFonts w:hint="eastAsia" w:ascii="宋体" w:hAnsi="宋体" w:eastAsia="宋体" w:cs="宋体"/>
                <w:b w:val="0"/>
                <w:bCs/>
                <w:sz w:val="24"/>
                <w:szCs w:val="24"/>
                <w:highlight w:val="none"/>
              </w:rPr>
              <w:t>分，不全部满足得0分。每增加同条件人员1人加</w:t>
            </w:r>
            <w:r>
              <w:rPr>
                <w:rFonts w:hint="eastAsia" w:ascii="宋体" w:hAnsi="宋体" w:eastAsia="宋体" w:cs="宋体"/>
                <w:b w:val="0"/>
                <w:bCs/>
                <w:sz w:val="24"/>
                <w:szCs w:val="24"/>
                <w:highlight w:val="none"/>
                <w:lang w:val="en-US" w:eastAsia="zh-CN"/>
              </w:rPr>
              <w:t>0.5</w:t>
            </w:r>
            <w:r>
              <w:rPr>
                <w:rFonts w:hint="eastAsia" w:ascii="宋体" w:hAnsi="宋体" w:eastAsia="宋体" w:cs="宋体"/>
                <w:b w:val="0"/>
                <w:bCs/>
                <w:sz w:val="24"/>
                <w:szCs w:val="24"/>
                <w:highlight w:val="none"/>
              </w:rPr>
              <w:t>分，最多加</w:t>
            </w:r>
            <w:r>
              <w:rPr>
                <w:rFonts w:hint="eastAsia" w:ascii="宋体" w:hAnsi="宋体" w:eastAsia="宋体" w:cs="宋体"/>
                <w:b w:val="0"/>
                <w:bCs/>
                <w:sz w:val="24"/>
                <w:szCs w:val="24"/>
                <w:highlight w:val="none"/>
                <w:lang w:val="en-US" w:eastAsia="zh-CN"/>
              </w:rPr>
              <w:t>2</w:t>
            </w:r>
            <w:r>
              <w:rPr>
                <w:rFonts w:hint="eastAsia" w:ascii="宋体" w:hAnsi="宋体" w:eastAsia="宋体" w:cs="宋体"/>
                <w:b w:val="0"/>
                <w:bCs/>
                <w:sz w:val="24"/>
                <w:szCs w:val="24"/>
                <w:highlight w:val="none"/>
              </w:rPr>
              <w:t>分。满分</w:t>
            </w:r>
            <w:r>
              <w:rPr>
                <w:rFonts w:hint="eastAsia" w:ascii="宋体" w:hAnsi="宋体" w:eastAsia="宋体" w:cs="宋体"/>
                <w:b w:val="0"/>
                <w:bCs/>
                <w:sz w:val="24"/>
                <w:szCs w:val="24"/>
                <w:highlight w:val="none"/>
                <w:lang w:val="en-US" w:eastAsia="zh-CN"/>
              </w:rPr>
              <w:t>6</w:t>
            </w:r>
            <w:r>
              <w:rPr>
                <w:rFonts w:hint="eastAsia" w:ascii="宋体" w:hAnsi="宋体" w:eastAsia="宋体" w:cs="宋体"/>
                <w:b w:val="0"/>
                <w:bCs/>
                <w:sz w:val="24"/>
                <w:szCs w:val="24"/>
                <w:highlight w:val="none"/>
              </w:rPr>
              <w:t>分</w:t>
            </w:r>
            <w:r>
              <w:rPr>
                <w:rFonts w:hint="eastAsia" w:ascii="宋体" w:hAnsi="宋体" w:eastAsia="宋体" w:cs="宋体"/>
                <w:b w:val="0"/>
                <w:bCs/>
                <w:sz w:val="24"/>
                <w:szCs w:val="24"/>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03" w:hRule="atLeast"/>
        </w:trPr>
        <w:tc>
          <w:tcPr>
            <w:tcW w:w="55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color w:val="auto"/>
                <w:sz w:val="24"/>
                <w:szCs w:val="24"/>
                <w:highlight w:val="none"/>
              </w:rPr>
            </w:pPr>
          </w:p>
        </w:tc>
        <w:tc>
          <w:tcPr>
            <w:tcW w:w="696" w:type="pct"/>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color w:val="auto"/>
                <w:sz w:val="24"/>
                <w:szCs w:val="24"/>
                <w:highlight w:val="none"/>
              </w:rPr>
            </w:pPr>
          </w:p>
        </w:tc>
        <w:tc>
          <w:tcPr>
            <w:tcW w:w="3753" w:type="pct"/>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kern w:val="2"/>
                <w:sz w:val="24"/>
                <w:szCs w:val="24"/>
                <w:highlight w:val="none"/>
                <w:lang w:val="en-US" w:eastAsia="zh-CN" w:bidi="ar-SA"/>
              </w:rPr>
            </w:pPr>
            <w:r>
              <w:rPr>
                <w:rFonts w:hint="eastAsia" w:ascii="宋体" w:hAnsi="宋体" w:eastAsia="宋体" w:cs="宋体"/>
                <w:b w:val="0"/>
                <w:bCs/>
                <w:kern w:val="2"/>
                <w:sz w:val="24"/>
                <w:szCs w:val="24"/>
                <w:highlight w:val="none"/>
                <w:lang w:val="en-US" w:eastAsia="zh-CN" w:bidi="ar-SA"/>
              </w:rPr>
              <w:t>备注：</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kern w:val="2"/>
                <w:sz w:val="24"/>
                <w:szCs w:val="24"/>
                <w:highlight w:val="none"/>
                <w:lang w:val="en-US" w:eastAsia="zh-CN" w:bidi="ar-SA"/>
              </w:rPr>
            </w:pPr>
            <w:r>
              <w:rPr>
                <w:rFonts w:hint="eastAsia" w:ascii="宋体" w:hAnsi="宋体" w:eastAsia="宋体" w:cs="宋体"/>
                <w:b w:val="0"/>
                <w:bCs/>
                <w:kern w:val="2"/>
                <w:sz w:val="24"/>
                <w:szCs w:val="24"/>
                <w:highlight w:val="none"/>
                <w:lang w:val="en-US" w:eastAsia="zh-CN" w:bidi="ar-SA"/>
              </w:rPr>
              <w:t>1.所有试验检测人员资格证书，需在《公路水运工程试验检测管理信息系统》（www.jtsyjc.net）中能够有效查询，无法查询的视为无效响应。</w:t>
            </w:r>
          </w:p>
          <w:p>
            <w:pPr>
              <w:pStyle w:val="1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kern w:val="2"/>
                <w:sz w:val="24"/>
                <w:szCs w:val="24"/>
                <w:highlight w:val="none"/>
                <w:lang w:val="en-US" w:eastAsia="zh-CN" w:bidi="ar-SA"/>
              </w:rPr>
            </w:pPr>
            <w:r>
              <w:rPr>
                <w:rFonts w:hint="eastAsia" w:ascii="宋体" w:hAnsi="宋体" w:eastAsia="宋体" w:cs="宋体"/>
                <w:b w:val="0"/>
                <w:bCs/>
                <w:kern w:val="2"/>
                <w:sz w:val="24"/>
                <w:szCs w:val="24"/>
                <w:highlight w:val="none"/>
                <w:lang w:val="en-US" w:eastAsia="zh-CN" w:bidi="ar-SA"/>
              </w:rPr>
              <w:t>2.提供相关人员证明材料（身份证、社会保险缴纳证明、学历证、职称、注册的试验检测资格等证书复印件）。</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z w:val="24"/>
                <w:szCs w:val="24"/>
                <w:highlight w:val="none"/>
                <w:lang w:val="en-US"/>
              </w:rPr>
            </w:pPr>
            <w:r>
              <w:rPr>
                <w:rFonts w:hint="eastAsia" w:ascii="宋体" w:hAnsi="宋体" w:eastAsia="宋体" w:cs="宋体"/>
                <w:b w:val="0"/>
                <w:bCs/>
                <w:kern w:val="2"/>
                <w:sz w:val="24"/>
                <w:szCs w:val="24"/>
                <w:highlight w:val="none"/>
                <w:lang w:val="en-US" w:eastAsia="zh-CN" w:bidi="ar-SA"/>
              </w:rPr>
              <w:t>3.人员业绩需提供有效证明文件，包括但不限于合同协议书或履约证明或验收文件等材料的复印件；相同业绩不重复加分。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55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color w:val="auto"/>
                <w:sz w:val="24"/>
                <w:szCs w:val="24"/>
                <w:highlight w:val="none"/>
              </w:rPr>
            </w:pPr>
          </w:p>
        </w:tc>
        <w:tc>
          <w:tcPr>
            <w:tcW w:w="696"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业绩及设备</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sz w:val="24"/>
                <w:szCs w:val="24"/>
                <w:highlight w:val="none"/>
                <w:lang w:eastAsia="zh-CN"/>
              </w:rPr>
              <w:t>（</w:t>
            </w:r>
            <w:r>
              <w:rPr>
                <w:rFonts w:hint="eastAsia" w:ascii="宋体" w:hAnsi="宋体" w:eastAsia="宋体" w:cs="宋体"/>
                <w:b w:val="0"/>
                <w:bCs/>
                <w:sz w:val="24"/>
                <w:szCs w:val="24"/>
                <w:highlight w:val="none"/>
                <w:lang w:val="en-US" w:eastAsia="zh-CN"/>
              </w:rPr>
              <w:t>22分）</w:t>
            </w:r>
          </w:p>
        </w:tc>
        <w:tc>
          <w:tcPr>
            <w:tcW w:w="3753" w:type="pct"/>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1、</w:t>
            </w:r>
            <w:r>
              <w:rPr>
                <w:rFonts w:hint="eastAsia" w:ascii="宋体" w:hAnsi="宋体" w:eastAsia="宋体" w:cs="宋体"/>
                <w:b w:val="0"/>
                <w:bCs/>
                <w:color w:val="auto"/>
                <w:sz w:val="24"/>
                <w:szCs w:val="24"/>
                <w:highlight w:val="none"/>
              </w:rPr>
              <w:t>供应商</w:t>
            </w:r>
            <w:r>
              <w:rPr>
                <w:rFonts w:hint="eastAsia" w:ascii="宋体" w:hAnsi="宋体" w:eastAsia="宋体" w:cs="宋体"/>
                <w:b w:val="0"/>
                <w:bCs/>
                <w:color w:val="auto"/>
                <w:sz w:val="24"/>
                <w:szCs w:val="24"/>
                <w:highlight w:val="none"/>
                <w:lang w:eastAsia="zh-CN"/>
              </w:rPr>
              <w:t>20</w:t>
            </w:r>
            <w:r>
              <w:rPr>
                <w:rFonts w:hint="eastAsia" w:ascii="宋体" w:hAnsi="宋体" w:eastAsia="宋体" w:cs="宋体"/>
                <w:b w:val="0"/>
                <w:bCs/>
                <w:color w:val="auto"/>
                <w:sz w:val="24"/>
                <w:szCs w:val="24"/>
                <w:highlight w:val="none"/>
                <w:lang w:val="en-US" w:eastAsia="zh-CN"/>
              </w:rPr>
              <w:t>20</w:t>
            </w:r>
            <w:r>
              <w:rPr>
                <w:rFonts w:hint="eastAsia" w:ascii="宋体" w:hAnsi="宋体" w:eastAsia="宋体" w:cs="宋体"/>
                <w:b w:val="0"/>
                <w:bCs/>
                <w:color w:val="auto"/>
                <w:sz w:val="24"/>
                <w:szCs w:val="24"/>
                <w:highlight w:val="none"/>
                <w:lang w:eastAsia="zh-CN"/>
              </w:rPr>
              <w:t>年1月1日至投标截止日</w:t>
            </w:r>
            <w:r>
              <w:rPr>
                <w:rFonts w:hint="eastAsia" w:ascii="宋体" w:hAnsi="宋体" w:eastAsia="宋体" w:cs="宋体"/>
                <w:b w:val="0"/>
                <w:bCs/>
                <w:color w:val="auto"/>
                <w:sz w:val="24"/>
                <w:szCs w:val="24"/>
                <w:highlight w:val="none"/>
              </w:rPr>
              <w:t>完成</w:t>
            </w:r>
            <w:r>
              <w:rPr>
                <w:rFonts w:hint="eastAsia" w:ascii="宋体" w:hAnsi="宋体" w:eastAsia="宋体" w:cs="宋体"/>
                <w:b w:val="0"/>
                <w:bCs/>
                <w:sz w:val="24"/>
                <w:szCs w:val="24"/>
                <w:highlight w:val="none"/>
                <w:lang w:eastAsia="zh-CN"/>
              </w:rPr>
              <w:t>普通</w:t>
            </w:r>
            <w:r>
              <w:rPr>
                <w:rFonts w:hint="eastAsia" w:ascii="宋体" w:hAnsi="宋体" w:eastAsia="宋体" w:cs="宋体"/>
                <w:b w:val="0"/>
                <w:bCs/>
                <w:sz w:val="24"/>
                <w:szCs w:val="24"/>
                <w:highlight w:val="none"/>
              </w:rPr>
              <w:t>国省</w:t>
            </w:r>
            <w:r>
              <w:rPr>
                <w:rFonts w:hint="eastAsia" w:ascii="宋体" w:hAnsi="宋体" w:eastAsia="宋体" w:cs="宋体"/>
                <w:b w:val="0"/>
                <w:bCs/>
                <w:sz w:val="24"/>
                <w:szCs w:val="24"/>
                <w:highlight w:val="none"/>
                <w:lang w:eastAsia="zh-CN"/>
              </w:rPr>
              <w:t>道</w:t>
            </w:r>
            <w:r>
              <w:rPr>
                <w:rFonts w:hint="eastAsia" w:ascii="宋体" w:hAnsi="宋体" w:eastAsia="宋体" w:cs="宋体"/>
                <w:b w:val="0"/>
                <w:bCs/>
                <w:color w:val="auto"/>
                <w:sz w:val="24"/>
                <w:szCs w:val="24"/>
                <w:highlight w:val="none"/>
                <w:lang w:val="en-US" w:eastAsia="zh-CN"/>
              </w:rPr>
              <w:t>300</w:t>
            </w:r>
            <w:r>
              <w:rPr>
                <w:rFonts w:hint="eastAsia" w:ascii="宋体" w:hAnsi="宋体" w:eastAsia="宋体" w:cs="宋体"/>
                <w:b w:val="0"/>
                <w:bCs/>
                <w:color w:val="auto"/>
                <w:sz w:val="24"/>
                <w:szCs w:val="24"/>
                <w:highlight w:val="none"/>
              </w:rPr>
              <w:t>座公路桥梁</w:t>
            </w:r>
            <w:r>
              <w:rPr>
                <w:rFonts w:hint="eastAsia" w:ascii="宋体" w:hAnsi="宋体" w:eastAsia="宋体" w:cs="宋体"/>
                <w:b w:val="0"/>
                <w:bCs/>
                <w:color w:val="auto"/>
                <w:sz w:val="24"/>
                <w:szCs w:val="24"/>
                <w:highlight w:val="none"/>
                <w:lang w:eastAsia="zh-CN"/>
              </w:rPr>
              <w:t>（隧道）</w:t>
            </w:r>
            <w:r>
              <w:rPr>
                <w:rFonts w:hint="eastAsia" w:ascii="宋体" w:hAnsi="宋体" w:eastAsia="宋体" w:cs="宋体"/>
                <w:b w:val="0"/>
                <w:bCs/>
                <w:color w:val="auto"/>
                <w:sz w:val="24"/>
                <w:szCs w:val="24"/>
                <w:highlight w:val="none"/>
              </w:rPr>
              <w:t>定期检查项目，得</w:t>
            </w:r>
            <w:r>
              <w:rPr>
                <w:rFonts w:hint="eastAsia" w:ascii="宋体" w:hAnsi="宋体" w:eastAsia="宋体" w:cs="宋体"/>
                <w:b w:val="0"/>
                <w:bCs/>
                <w:color w:val="auto"/>
                <w:sz w:val="24"/>
                <w:szCs w:val="24"/>
                <w:highlight w:val="none"/>
                <w:lang w:val="en-US" w:eastAsia="zh-CN"/>
              </w:rPr>
              <w:t>10</w:t>
            </w:r>
            <w:r>
              <w:rPr>
                <w:rFonts w:hint="eastAsia" w:ascii="宋体" w:hAnsi="宋体" w:eastAsia="宋体" w:cs="宋体"/>
                <w:b w:val="0"/>
                <w:bCs/>
                <w:color w:val="auto"/>
                <w:sz w:val="24"/>
                <w:szCs w:val="24"/>
                <w:highlight w:val="none"/>
              </w:rPr>
              <w:t>分，不全部满足得0分。每增加</w:t>
            </w:r>
            <w:r>
              <w:rPr>
                <w:rFonts w:hint="eastAsia" w:ascii="宋体" w:hAnsi="宋体" w:eastAsia="宋体" w:cs="宋体"/>
                <w:b w:val="0"/>
                <w:bCs/>
                <w:color w:val="auto"/>
                <w:sz w:val="24"/>
                <w:szCs w:val="24"/>
                <w:highlight w:val="none"/>
                <w:lang w:val="en-US" w:eastAsia="zh-CN"/>
              </w:rPr>
              <w:t>100</w:t>
            </w:r>
            <w:r>
              <w:rPr>
                <w:rFonts w:hint="eastAsia" w:ascii="宋体" w:hAnsi="宋体" w:eastAsia="宋体" w:cs="宋体"/>
                <w:b w:val="0"/>
                <w:bCs/>
                <w:color w:val="auto"/>
                <w:sz w:val="24"/>
                <w:szCs w:val="24"/>
                <w:highlight w:val="none"/>
              </w:rPr>
              <w:t>座</w:t>
            </w:r>
            <w:r>
              <w:rPr>
                <w:rFonts w:hint="eastAsia" w:ascii="宋体" w:hAnsi="宋体" w:eastAsia="宋体" w:cs="宋体"/>
                <w:b w:val="0"/>
                <w:bCs/>
                <w:color w:val="auto"/>
                <w:sz w:val="24"/>
                <w:szCs w:val="24"/>
                <w:highlight w:val="none"/>
                <w:lang w:eastAsia="zh-CN"/>
              </w:rPr>
              <w:t>普通国省道</w:t>
            </w:r>
            <w:r>
              <w:rPr>
                <w:rFonts w:hint="eastAsia" w:ascii="宋体" w:hAnsi="宋体" w:eastAsia="宋体" w:cs="宋体"/>
                <w:b w:val="0"/>
                <w:bCs/>
                <w:color w:val="auto"/>
                <w:sz w:val="24"/>
                <w:szCs w:val="24"/>
                <w:highlight w:val="none"/>
              </w:rPr>
              <w:t>桥梁加</w:t>
            </w:r>
            <w:r>
              <w:rPr>
                <w:rFonts w:hint="eastAsia" w:ascii="宋体" w:hAnsi="宋体" w:eastAsia="宋体" w:cs="宋体"/>
                <w:b w:val="0"/>
                <w:bCs/>
                <w:color w:val="auto"/>
                <w:sz w:val="24"/>
                <w:szCs w:val="24"/>
                <w:highlight w:val="none"/>
                <w:lang w:val="en-US" w:eastAsia="zh-CN"/>
              </w:rPr>
              <w:t>0.5</w:t>
            </w:r>
            <w:r>
              <w:rPr>
                <w:rFonts w:hint="eastAsia" w:ascii="宋体" w:hAnsi="宋体" w:eastAsia="宋体" w:cs="宋体"/>
                <w:b w:val="0"/>
                <w:bCs/>
                <w:color w:val="auto"/>
                <w:sz w:val="24"/>
                <w:szCs w:val="24"/>
                <w:highlight w:val="none"/>
              </w:rPr>
              <w:t>分，最多加</w:t>
            </w:r>
            <w:r>
              <w:rPr>
                <w:rFonts w:hint="eastAsia" w:ascii="宋体" w:hAnsi="宋体" w:eastAsia="宋体" w:cs="宋体"/>
                <w:b w:val="0"/>
                <w:bCs/>
                <w:color w:val="auto"/>
                <w:sz w:val="24"/>
                <w:szCs w:val="24"/>
                <w:highlight w:val="none"/>
                <w:lang w:val="en-US" w:eastAsia="zh-CN"/>
              </w:rPr>
              <w:t>6</w:t>
            </w:r>
            <w:r>
              <w:rPr>
                <w:rFonts w:hint="eastAsia" w:ascii="宋体" w:hAnsi="宋体" w:eastAsia="宋体" w:cs="宋体"/>
                <w:b w:val="0"/>
                <w:bCs/>
                <w:color w:val="auto"/>
                <w:sz w:val="24"/>
                <w:szCs w:val="24"/>
                <w:highlight w:val="none"/>
              </w:rPr>
              <w:t>分</w:t>
            </w:r>
            <w:r>
              <w:rPr>
                <w:rFonts w:hint="eastAsia" w:ascii="宋体" w:hAnsi="宋体" w:eastAsia="宋体" w:cs="宋体"/>
                <w:b w:val="0"/>
                <w:bCs/>
                <w:color w:val="auto"/>
                <w:sz w:val="24"/>
                <w:szCs w:val="24"/>
                <w:highlight w:val="none"/>
                <w:lang w:eastAsia="zh-CN"/>
              </w:rPr>
              <w:t>，满分</w:t>
            </w:r>
            <w:r>
              <w:rPr>
                <w:rFonts w:hint="eastAsia" w:ascii="宋体" w:hAnsi="宋体" w:eastAsia="宋体" w:cs="宋体"/>
                <w:b w:val="0"/>
                <w:bCs/>
                <w:color w:val="auto"/>
                <w:sz w:val="24"/>
                <w:szCs w:val="24"/>
                <w:highlight w:val="none"/>
                <w:lang w:val="en-US" w:eastAsia="zh-CN"/>
              </w:rPr>
              <w:t>16分。</w:t>
            </w:r>
          </w:p>
          <w:p>
            <w:pPr>
              <w:pStyle w:val="12"/>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注：1.业绩需提供有效证明文件，包括但不限于合同协议书或履约证明或验收文件等材料的复印件；2.相同业绩不重复加分</w:t>
            </w:r>
            <w:r>
              <w:rPr>
                <w:rFonts w:hint="eastAsia" w:hAnsi="宋体" w:cs="宋体"/>
                <w:b w:val="0"/>
                <w:bCs/>
                <w:color w:val="auto"/>
                <w:sz w:val="24"/>
                <w:szCs w:val="24"/>
                <w:highlight w:val="none"/>
                <w:lang w:val="en-US" w:eastAsia="zh-CN"/>
              </w:rPr>
              <w:t>,时间以项目验收或履约证明或批复的时间为准。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3" w:hRule="atLeast"/>
        </w:trPr>
        <w:tc>
          <w:tcPr>
            <w:tcW w:w="550" w:type="pct"/>
            <w:vMerge w:val="continue"/>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color w:val="auto"/>
                <w:sz w:val="24"/>
                <w:szCs w:val="24"/>
                <w:highlight w:val="none"/>
              </w:rPr>
            </w:pPr>
          </w:p>
        </w:tc>
        <w:tc>
          <w:tcPr>
            <w:tcW w:w="69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color w:val="auto"/>
                <w:sz w:val="24"/>
                <w:szCs w:val="24"/>
                <w:highlight w:val="none"/>
              </w:rPr>
            </w:pPr>
          </w:p>
        </w:tc>
        <w:tc>
          <w:tcPr>
            <w:tcW w:w="3753" w:type="pc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sz w:val="24"/>
                <w:szCs w:val="24"/>
                <w:highlight w:val="none"/>
                <w:lang w:val="en-US" w:eastAsia="zh-CN"/>
              </w:rPr>
              <w:t>2.</w:t>
            </w:r>
            <w:r>
              <w:rPr>
                <w:rFonts w:hint="eastAsia" w:ascii="宋体" w:hAnsi="宋体" w:eastAsia="宋体" w:cs="宋体"/>
                <w:b w:val="0"/>
                <w:bCs/>
                <w:color w:val="auto"/>
                <w:kern w:val="2"/>
                <w:sz w:val="24"/>
                <w:szCs w:val="24"/>
                <w:highlight w:val="none"/>
                <w:lang w:val="en-US" w:eastAsia="zh-CN" w:bidi="ar-SA"/>
              </w:rPr>
              <w:t>供应商投入本项目的桥梁检测车、隧道检查举高车至少各1台，且必须为自有，满足得3分，不满足得0分。其他设备满足得3分，每少1台，扣0.5分，最多扣3分（见招标文件拟投入关键设备附表）。满分6分。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88" w:lineRule="auto"/>
              <w:textAlignment w:val="auto"/>
              <w:rPr>
                <w:rFonts w:hint="eastAsia" w:ascii="宋体" w:hAnsi="宋体" w:eastAsia="宋体" w:cs="宋体"/>
                <w:b w:val="0"/>
                <w:bCs/>
                <w:sz w:val="24"/>
                <w:szCs w:val="24"/>
                <w:highlight w:val="none"/>
                <w:lang w:val="en-US"/>
              </w:rPr>
            </w:pPr>
            <w:r>
              <w:rPr>
                <w:rFonts w:hint="eastAsia" w:ascii="宋体" w:hAnsi="宋体" w:eastAsia="宋体" w:cs="宋体"/>
                <w:b w:val="0"/>
                <w:bCs/>
                <w:color w:val="auto"/>
                <w:kern w:val="2"/>
                <w:sz w:val="24"/>
                <w:szCs w:val="24"/>
                <w:highlight w:val="none"/>
                <w:lang w:val="en-US" w:eastAsia="zh-CN" w:bidi="ar-SA"/>
              </w:rPr>
              <w:t>注：</w:t>
            </w:r>
            <w:r>
              <w:rPr>
                <w:rFonts w:hint="eastAsia" w:ascii="宋体" w:hAnsi="宋体" w:eastAsia="宋体" w:cs="宋体"/>
                <w:b w:val="0"/>
                <w:bCs w:val="0"/>
                <w:color w:val="auto"/>
                <w:sz w:val="24"/>
                <w:szCs w:val="24"/>
                <w:highlight w:val="none"/>
                <w:lang w:val="en-US" w:eastAsia="zh-CN"/>
              </w:rPr>
              <w:t>提供检测车、检查举高车的原始发票扫描件或产权证明材料</w:t>
            </w:r>
            <w:r>
              <w:rPr>
                <w:rFonts w:hint="eastAsia" w:ascii="宋体" w:hAnsi="宋体" w:eastAsia="宋体" w:cs="宋体"/>
                <w:b w:val="0"/>
                <w:bCs/>
                <w:color w:val="auto"/>
                <w:kern w:val="2"/>
                <w:sz w:val="24"/>
                <w:szCs w:val="24"/>
                <w:highlight w:val="none"/>
                <w:lang w:val="en-US" w:eastAsia="zh-CN" w:bidi="ar-SA"/>
              </w:rPr>
              <w:t>，必须为自有设备，否则按不满足对待。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22" w:hRule="atLeast"/>
        </w:trPr>
        <w:tc>
          <w:tcPr>
            <w:tcW w:w="5000"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1、各评委独立打分。</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2、评委打分超过得分界限或未按本表规定赋分时，该评委的打分无效，不计入汇总分。</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lang w:val="en-US" w:eastAsia="zh-CN"/>
              </w:rPr>
              <w:t>3</w:t>
            </w:r>
            <w:r>
              <w:rPr>
                <w:rFonts w:hint="eastAsia" w:ascii="宋体" w:hAnsi="宋体" w:eastAsia="宋体" w:cs="宋体"/>
                <w:b w:val="0"/>
                <w:bCs/>
                <w:sz w:val="24"/>
                <w:szCs w:val="24"/>
                <w:highlight w:val="none"/>
              </w:rPr>
              <w:t>、各种计算采用插入法，最终结果数字保留二位小数，第三位“四舍五入”。</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sz w:val="24"/>
                <w:szCs w:val="24"/>
                <w:highlight w:val="none"/>
                <w:lang w:val="en-US" w:eastAsia="zh-CN"/>
              </w:rPr>
            </w:pPr>
            <w:r>
              <w:rPr>
                <w:rFonts w:hint="eastAsia" w:ascii="宋体" w:hAnsi="宋体" w:eastAsia="宋体" w:cs="宋体"/>
                <w:b w:val="0"/>
                <w:bCs/>
                <w:sz w:val="24"/>
                <w:szCs w:val="24"/>
                <w:highlight w:val="none"/>
                <w:lang w:val="en-US" w:eastAsia="zh-CN"/>
              </w:rPr>
              <w:t>4</w:t>
            </w:r>
            <w:r>
              <w:rPr>
                <w:rFonts w:hint="eastAsia" w:ascii="宋体" w:hAnsi="宋体" w:eastAsia="宋体" w:cs="宋体"/>
                <w:b w:val="0"/>
                <w:bCs/>
                <w:sz w:val="24"/>
                <w:szCs w:val="24"/>
                <w:highlight w:val="none"/>
              </w:rPr>
              <w:t>、按照综合得分由高到低的顺序，</w:t>
            </w:r>
            <w:r>
              <w:rPr>
                <w:rFonts w:hint="eastAsia" w:ascii="宋体" w:hAnsi="宋体" w:eastAsia="宋体" w:cs="宋体"/>
                <w:b w:val="0"/>
                <w:bCs/>
                <w:sz w:val="24"/>
                <w:szCs w:val="24"/>
                <w:highlight w:val="none"/>
                <w:lang w:val="en-US" w:eastAsia="zh-CN"/>
              </w:rPr>
              <w:t>磋商小组</w:t>
            </w:r>
            <w:r>
              <w:rPr>
                <w:rFonts w:hint="eastAsia" w:ascii="宋体" w:hAnsi="宋体" w:eastAsia="宋体" w:cs="宋体"/>
                <w:b w:val="0"/>
                <w:bCs/>
                <w:sz w:val="24"/>
                <w:szCs w:val="24"/>
                <w:highlight w:val="none"/>
              </w:rPr>
              <w:t>对供应商进行排名。如最终得分相同时，则取</w:t>
            </w:r>
            <w:r>
              <w:rPr>
                <w:rFonts w:hint="eastAsia" w:ascii="宋体" w:hAnsi="宋体" w:eastAsia="宋体" w:cs="宋体"/>
                <w:b w:val="0"/>
                <w:bCs/>
                <w:sz w:val="24"/>
                <w:szCs w:val="24"/>
                <w:highlight w:val="none"/>
                <w:lang w:val="en-US" w:eastAsia="zh-CN"/>
              </w:rPr>
              <w:t>最终</w:t>
            </w:r>
            <w:r>
              <w:rPr>
                <w:rFonts w:hint="eastAsia" w:ascii="宋体" w:hAnsi="宋体" w:eastAsia="宋体" w:cs="宋体"/>
                <w:b w:val="0"/>
                <w:bCs/>
                <w:sz w:val="24"/>
                <w:szCs w:val="24"/>
                <w:highlight w:val="none"/>
              </w:rPr>
              <w:t>报价较低的优先；</w:t>
            </w:r>
            <w:r>
              <w:rPr>
                <w:rFonts w:hint="eastAsia" w:ascii="宋体" w:hAnsi="宋体" w:eastAsia="宋体" w:cs="宋体"/>
                <w:b w:val="0"/>
                <w:bCs/>
                <w:sz w:val="24"/>
                <w:szCs w:val="24"/>
                <w:highlight w:val="none"/>
                <w:lang w:val="en-US" w:eastAsia="zh-CN"/>
              </w:rPr>
              <w:t>得分相同的，按磋商报价由低到高顺序排列。得分且磋商报价相同的按照评审因素的技术部分评审得分由高到低的顺序排列。</w:t>
            </w:r>
          </w:p>
          <w:p>
            <w:pPr>
              <w:pStyle w:val="1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sz w:val="24"/>
                <w:szCs w:val="24"/>
                <w:highlight w:val="none"/>
                <w:lang w:val="en-US" w:eastAsia="zh-CN"/>
              </w:rPr>
              <w:t>5、</w:t>
            </w:r>
            <w:r>
              <w:rPr>
                <w:rFonts w:hint="eastAsia" w:ascii="宋体" w:hAnsi="宋体" w:eastAsia="宋体" w:cs="宋体"/>
                <w:b w:val="0"/>
                <w:bCs/>
                <w:sz w:val="24"/>
                <w:szCs w:val="24"/>
                <w:highlight w:val="none"/>
              </w:rPr>
              <w:t>当一个供应商的综合得分在多个</w:t>
            </w:r>
            <w:r>
              <w:rPr>
                <w:rFonts w:hint="eastAsia" w:ascii="宋体" w:hAnsi="宋体" w:eastAsia="宋体" w:cs="宋体"/>
                <w:b w:val="0"/>
                <w:bCs/>
                <w:sz w:val="24"/>
                <w:szCs w:val="24"/>
                <w:highlight w:val="none"/>
                <w:lang w:val="en-US" w:eastAsia="zh-CN"/>
              </w:rPr>
              <w:t>标包</w:t>
            </w:r>
            <w:r>
              <w:rPr>
                <w:rFonts w:hint="eastAsia" w:ascii="宋体" w:hAnsi="宋体" w:eastAsia="宋体" w:cs="宋体"/>
                <w:b w:val="0"/>
                <w:bCs/>
                <w:sz w:val="24"/>
                <w:szCs w:val="24"/>
                <w:highlight w:val="none"/>
              </w:rPr>
              <w:t>同时排名第一时，仅保留</w:t>
            </w:r>
            <w:r>
              <w:rPr>
                <w:rFonts w:hint="eastAsia" w:ascii="宋体" w:hAnsi="宋体" w:eastAsia="宋体" w:cs="宋体"/>
                <w:b w:val="0"/>
                <w:bCs/>
                <w:sz w:val="24"/>
                <w:szCs w:val="24"/>
                <w:highlight w:val="none"/>
                <w:lang w:val="en-US" w:eastAsia="zh-CN"/>
              </w:rPr>
              <w:t>最终</w:t>
            </w:r>
            <w:r>
              <w:rPr>
                <w:rFonts w:hint="eastAsia" w:ascii="宋体" w:hAnsi="宋体" w:eastAsia="宋体" w:cs="宋体"/>
                <w:b w:val="0"/>
                <w:bCs/>
                <w:sz w:val="24"/>
                <w:szCs w:val="24"/>
                <w:highlight w:val="none"/>
              </w:rPr>
              <w:t>报价较大</w:t>
            </w:r>
            <w:r>
              <w:rPr>
                <w:rFonts w:hint="eastAsia" w:ascii="宋体" w:hAnsi="宋体" w:eastAsia="宋体" w:cs="宋体"/>
                <w:b w:val="0"/>
                <w:bCs/>
                <w:sz w:val="24"/>
                <w:szCs w:val="24"/>
                <w:highlight w:val="none"/>
                <w:lang w:val="en-US" w:eastAsia="zh-CN"/>
              </w:rPr>
              <w:t>标包</w:t>
            </w:r>
            <w:r>
              <w:rPr>
                <w:rFonts w:hint="eastAsia" w:ascii="宋体" w:hAnsi="宋体" w:eastAsia="宋体" w:cs="宋体"/>
                <w:b w:val="0"/>
                <w:bCs/>
                <w:sz w:val="24"/>
                <w:szCs w:val="24"/>
                <w:highlight w:val="none"/>
              </w:rPr>
              <w:t>的</w:t>
            </w:r>
            <w:r>
              <w:rPr>
                <w:rFonts w:hint="eastAsia" w:ascii="宋体" w:hAnsi="宋体" w:eastAsia="宋体" w:cs="宋体"/>
                <w:b w:val="0"/>
                <w:bCs/>
                <w:sz w:val="24"/>
                <w:szCs w:val="24"/>
                <w:highlight w:val="none"/>
                <w:lang w:val="en-US" w:eastAsia="zh-CN"/>
              </w:rPr>
              <w:t>成交</w:t>
            </w:r>
            <w:r>
              <w:rPr>
                <w:rFonts w:hint="eastAsia" w:ascii="宋体" w:hAnsi="宋体" w:eastAsia="宋体" w:cs="宋体"/>
                <w:b w:val="0"/>
                <w:bCs/>
                <w:sz w:val="24"/>
                <w:szCs w:val="24"/>
                <w:highlight w:val="none"/>
              </w:rPr>
              <w:t>资格，</w:t>
            </w:r>
            <w:r>
              <w:rPr>
                <w:rFonts w:hint="eastAsia" w:ascii="宋体" w:hAnsi="宋体" w:eastAsia="宋体" w:cs="宋体"/>
                <w:b w:val="0"/>
                <w:bCs/>
                <w:sz w:val="24"/>
                <w:szCs w:val="24"/>
                <w:highlight w:val="none"/>
                <w:lang w:val="en-US" w:eastAsia="zh-CN"/>
              </w:rPr>
              <w:t>最终</w:t>
            </w:r>
            <w:r>
              <w:rPr>
                <w:rFonts w:hint="eastAsia" w:ascii="宋体" w:hAnsi="宋体" w:eastAsia="宋体" w:cs="宋体"/>
                <w:b w:val="0"/>
                <w:bCs/>
                <w:sz w:val="24"/>
                <w:szCs w:val="24"/>
                <w:highlight w:val="none"/>
              </w:rPr>
              <w:t>报价较小标</w:t>
            </w:r>
            <w:r>
              <w:rPr>
                <w:rFonts w:hint="eastAsia" w:ascii="宋体" w:hAnsi="宋体" w:eastAsia="宋体" w:cs="宋体"/>
                <w:b w:val="0"/>
                <w:bCs/>
                <w:sz w:val="24"/>
                <w:szCs w:val="24"/>
                <w:highlight w:val="none"/>
                <w:lang w:val="en-US" w:eastAsia="zh-CN"/>
              </w:rPr>
              <w:t>包</w:t>
            </w:r>
            <w:r>
              <w:rPr>
                <w:rFonts w:hint="eastAsia" w:ascii="宋体" w:hAnsi="宋体" w:eastAsia="宋体" w:cs="宋体"/>
                <w:b w:val="0"/>
                <w:bCs/>
                <w:sz w:val="24"/>
                <w:szCs w:val="24"/>
                <w:highlight w:val="none"/>
              </w:rPr>
              <w:t>各供应商排序依次递增；若在多个标包排名第一且</w:t>
            </w:r>
            <w:r>
              <w:rPr>
                <w:rFonts w:hint="eastAsia" w:ascii="宋体" w:hAnsi="宋体" w:eastAsia="宋体" w:cs="宋体"/>
                <w:b w:val="0"/>
                <w:bCs/>
                <w:sz w:val="24"/>
                <w:szCs w:val="24"/>
                <w:highlight w:val="none"/>
                <w:lang w:val="en-US" w:eastAsia="zh-CN"/>
              </w:rPr>
              <w:t>最终</w:t>
            </w:r>
            <w:r>
              <w:rPr>
                <w:rFonts w:hint="eastAsia" w:ascii="宋体" w:hAnsi="宋体" w:eastAsia="宋体" w:cs="宋体"/>
                <w:b w:val="0"/>
                <w:bCs/>
                <w:sz w:val="24"/>
                <w:szCs w:val="24"/>
                <w:highlight w:val="none"/>
              </w:rPr>
              <w:t>报价相同的，按标包次序获得</w:t>
            </w:r>
            <w:r>
              <w:rPr>
                <w:rFonts w:hint="eastAsia" w:ascii="宋体" w:hAnsi="宋体" w:eastAsia="宋体" w:cs="宋体"/>
                <w:b w:val="0"/>
                <w:bCs/>
                <w:sz w:val="24"/>
                <w:szCs w:val="24"/>
                <w:highlight w:val="none"/>
                <w:lang w:val="en-US" w:eastAsia="zh-CN"/>
              </w:rPr>
              <w:t>成交</w:t>
            </w:r>
            <w:r>
              <w:rPr>
                <w:rFonts w:hint="eastAsia" w:ascii="宋体" w:hAnsi="宋体" w:eastAsia="宋体" w:cs="宋体"/>
                <w:b w:val="0"/>
                <w:bCs/>
                <w:sz w:val="24"/>
                <w:szCs w:val="24"/>
                <w:highlight w:val="none"/>
              </w:rPr>
              <w:t>资格，其他标包按此规则依次调整各标包推荐排名</w:t>
            </w:r>
            <w:r>
              <w:rPr>
                <w:rFonts w:hint="eastAsia" w:ascii="宋体" w:hAnsi="宋体" w:eastAsia="宋体" w:cs="宋体"/>
                <w:b w:val="0"/>
                <w:bCs/>
                <w:sz w:val="24"/>
                <w:szCs w:val="24"/>
                <w:highlight w:val="none"/>
                <w:lang w:eastAsia="zh-CN"/>
              </w:rPr>
              <w:t>。</w:t>
            </w:r>
          </w:p>
        </w:tc>
      </w:tr>
    </w:tbl>
    <w:p>
      <w:pPr>
        <w:rPr>
          <w:rFonts w:hint="eastAsia" w:ascii="宋体" w:hAnsi="宋体" w:cs="宋体"/>
          <w:b/>
          <w:bCs/>
          <w:sz w:val="24"/>
          <w:highlight w:val="none"/>
        </w:rPr>
      </w:pPr>
    </w:p>
    <w:p>
      <w:pPr>
        <w:rPr>
          <w:rFonts w:ascii="宋体" w:hAnsi="宋体" w:cs="宋体"/>
          <w:sz w:val="24"/>
          <w:highlight w:val="none"/>
        </w:rPr>
      </w:pPr>
      <w:r>
        <w:rPr>
          <w:rFonts w:hint="eastAsia" w:ascii="宋体" w:hAnsi="宋体" w:cs="宋体"/>
          <w:b/>
          <w:bCs/>
          <w:sz w:val="24"/>
          <w:highlight w:val="none"/>
        </w:rPr>
        <w:t>6.政策性价格优惠折扣规定</w:t>
      </w:r>
      <w:bookmarkEnd w:id="85"/>
      <w:bookmarkEnd w:id="86"/>
      <w:bookmarkEnd w:id="87"/>
    </w:p>
    <w:p>
      <w:pPr>
        <w:ind w:firstLine="480" w:firstLineChars="200"/>
        <w:rPr>
          <w:rFonts w:ascii="宋体" w:hAnsi="宋体" w:cs="宋体"/>
          <w:sz w:val="24"/>
          <w:highlight w:val="none"/>
        </w:rPr>
      </w:pPr>
      <w:r>
        <w:rPr>
          <w:rFonts w:hint="eastAsia" w:ascii="宋体" w:hAnsi="宋体" w:cs="宋体"/>
          <w:sz w:val="24"/>
          <w:highlight w:val="none"/>
        </w:rPr>
        <w:t>经初审并磋商之后，对于所有满足磋商文件全部实质性要求并按照规定提交了最终报价的响应文件，按照以下规则进行评审价格的确定。</w:t>
      </w:r>
    </w:p>
    <w:p>
      <w:pPr>
        <w:rPr>
          <w:rFonts w:ascii="宋体" w:hAnsi="宋体" w:cs="宋体"/>
          <w:sz w:val="24"/>
          <w:highlight w:val="none"/>
        </w:rPr>
      </w:pPr>
      <w:r>
        <w:rPr>
          <w:rFonts w:hint="eastAsia" w:ascii="宋体" w:hAnsi="宋体" w:cs="宋体"/>
          <w:sz w:val="24"/>
          <w:highlight w:val="none"/>
        </w:rPr>
        <w:t>6.1磋商供应商为小型和微型企业（含联合体）、监狱企业、残疾人福利性单位的评审价计算规则：</w:t>
      </w:r>
    </w:p>
    <w:p>
      <w:pPr>
        <w:rPr>
          <w:rFonts w:ascii="宋体" w:hAnsi="宋体" w:cs="宋体"/>
          <w:sz w:val="24"/>
          <w:highlight w:val="none"/>
        </w:rPr>
      </w:pPr>
      <w:r>
        <w:rPr>
          <w:rFonts w:hint="eastAsia" w:ascii="宋体" w:hAnsi="宋体" w:cs="宋体"/>
          <w:sz w:val="24"/>
          <w:highlight w:val="none"/>
        </w:rPr>
        <w:t>6.1.1本办法所称中小企业（含中型、小型、微型企业，下同）应当同时符合以下条件：</w:t>
      </w:r>
    </w:p>
    <w:p>
      <w:pPr>
        <w:rPr>
          <w:rFonts w:ascii="宋体" w:hAnsi="宋体" w:cs="宋体"/>
          <w:sz w:val="24"/>
          <w:highlight w:val="none"/>
        </w:rPr>
      </w:pPr>
      <w:r>
        <w:rPr>
          <w:rFonts w:hint="eastAsia" w:ascii="宋体" w:hAnsi="宋体" w:cs="宋体"/>
          <w:sz w:val="24"/>
          <w:highlight w:val="none"/>
        </w:rPr>
        <w:t>6.1.1.1符合中小企业划分标准；</w:t>
      </w:r>
    </w:p>
    <w:p>
      <w:pPr>
        <w:rPr>
          <w:rFonts w:ascii="宋体" w:hAnsi="宋体" w:cs="宋体"/>
          <w:sz w:val="24"/>
          <w:highlight w:val="none"/>
        </w:rPr>
      </w:pPr>
      <w:r>
        <w:rPr>
          <w:rFonts w:hint="eastAsia" w:ascii="宋体" w:hAnsi="宋体" w:cs="宋体"/>
          <w:sz w:val="24"/>
          <w:highlight w:val="none"/>
        </w:rPr>
        <w:t>6.1.1.2提供本企业承担的服务，或者提供其他中小企业承担的服务。本项所称服务不包括使用大型企业的服务。</w:t>
      </w:r>
    </w:p>
    <w:p>
      <w:pPr>
        <w:rPr>
          <w:rFonts w:ascii="宋体" w:hAnsi="宋体" w:cs="宋体"/>
          <w:sz w:val="24"/>
          <w:highlight w:val="none"/>
        </w:rPr>
      </w:pPr>
      <w:r>
        <w:rPr>
          <w:rFonts w:hint="eastAsia" w:ascii="宋体" w:hAnsi="宋体" w:cs="宋体"/>
          <w:sz w:val="24"/>
          <w:highlight w:val="none"/>
        </w:rPr>
        <w:t>6.1.2本规定所称中小企业划分标准，是指国务院有关部门根据企业从业人员、营业收入、资产总额等指标制定的中小企业划型标准（工信部联企业〔2011〕300号）；</w:t>
      </w:r>
    </w:p>
    <w:p>
      <w:pPr>
        <w:rPr>
          <w:rFonts w:ascii="宋体" w:hAnsi="宋体" w:cs="宋体"/>
          <w:sz w:val="24"/>
          <w:highlight w:val="none"/>
        </w:rPr>
      </w:pPr>
      <w:r>
        <w:rPr>
          <w:rFonts w:hint="eastAsia" w:ascii="宋体" w:hAnsi="宋体" w:cs="宋体"/>
          <w:sz w:val="24"/>
          <w:highlight w:val="none"/>
        </w:rPr>
        <w:t>6.1.3小型、微型企业提供有中型企业承担服务的，视同为中型企业；小型、微型、中型企业提供有大型企业承担服务的，视同为大型企业。</w:t>
      </w:r>
    </w:p>
    <w:p>
      <w:pPr>
        <w:rPr>
          <w:rFonts w:ascii="宋体" w:hAnsi="宋体" w:cs="宋体"/>
          <w:sz w:val="24"/>
          <w:highlight w:val="none"/>
        </w:rPr>
      </w:pPr>
      <w:r>
        <w:rPr>
          <w:rFonts w:hint="eastAsia" w:ascii="宋体" w:hAnsi="宋体" w:cs="宋体"/>
          <w:sz w:val="24"/>
          <w:highlight w:val="none"/>
        </w:rPr>
        <w:t>6.1.4本办法所称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rPr>
          <w:rFonts w:ascii="宋体" w:hAnsi="宋体" w:cs="宋体"/>
          <w:sz w:val="24"/>
          <w:highlight w:val="none"/>
        </w:rPr>
      </w:pPr>
      <w:r>
        <w:rPr>
          <w:rFonts w:hint="eastAsia" w:ascii="宋体" w:hAnsi="宋体" w:cs="宋体"/>
          <w:sz w:val="24"/>
          <w:highlight w:val="none"/>
        </w:rPr>
        <w:t>6.1.5残疾人福利性单位磋商应当同时符合以下条件：</w:t>
      </w:r>
    </w:p>
    <w:p>
      <w:pPr>
        <w:rPr>
          <w:rFonts w:ascii="宋体" w:hAnsi="宋体" w:cs="宋体"/>
          <w:sz w:val="24"/>
          <w:highlight w:val="none"/>
        </w:rPr>
      </w:pPr>
      <w:r>
        <w:rPr>
          <w:rFonts w:hint="eastAsia" w:ascii="宋体" w:hAnsi="宋体" w:cs="宋体"/>
          <w:sz w:val="24"/>
          <w:highlight w:val="none"/>
        </w:rPr>
        <w:t>6.1.5.1符合（财库[2017]141号）文件规定的残疾人福利性单位，提供本单位承担的服务（以下简称产品）。</w:t>
      </w:r>
    </w:p>
    <w:p>
      <w:pPr>
        <w:rPr>
          <w:rFonts w:ascii="宋体" w:hAnsi="宋体" w:cs="宋体"/>
          <w:sz w:val="24"/>
          <w:highlight w:val="none"/>
        </w:rPr>
      </w:pPr>
      <w:r>
        <w:rPr>
          <w:rFonts w:hint="eastAsia" w:ascii="宋体" w:hAnsi="宋体" w:cs="宋体"/>
          <w:sz w:val="24"/>
          <w:highlight w:val="none"/>
        </w:rPr>
        <w:t>6.1.5.2参加磋商时，须提供《残疾人福利性单位声明函》，并对声明的真实性负责。</w:t>
      </w:r>
    </w:p>
    <w:p>
      <w:pPr>
        <w:rPr>
          <w:rFonts w:ascii="宋体" w:hAnsi="宋体" w:cs="宋体"/>
          <w:sz w:val="24"/>
          <w:highlight w:val="none"/>
        </w:rPr>
      </w:pPr>
      <w:r>
        <w:rPr>
          <w:rFonts w:hint="eastAsia" w:ascii="宋体" w:hAnsi="宋体" w:cs="宋体"/>
          <w:sz w:val="24"/>
          <w:highlight w:val="none"/>
        </w:rPr>
        <w:t>以上提供声明函，供应商对其真实性负责，如有事实不符的，将依照《政府采购法》第七十七条第一款的规定追究法律责任。</w:t>
      </w:r>
    </w:p>
    <w:p>
      <w:pPr>
        <w:rPr>
          <w:rFonts w:ascii="宋体" w:hAnsi="宋体" w:cs="宋体"/>
          <w:sz w:val="24"/>
          <w:highlight w:val="none"/>
        </w:rPr>
      </w:pPr>
      <w:r>
        <w:rPr>
          <w:rFonts w:hint="eastAsia" w:ascii="宋体" w:hAnsi="宋体" w:cs="宋体"/>
          <w:sz w:val="24"/>
          <w:highlight w:val="none"/>
        </w:rPr>
        <w:t>6.1.6评审价的计算：</w:t>
      </w:r>
    </w:p>
    <w:p>
      <w:pPr>
        <w:rPr>
          <w:rFonts w:ascii="宋体" w:hAnsi="宋体" w:cs="宋体"/>
          <w:sz w:val="24"/>
          <w:highlight w:val="none"/>
        </w:rPr>
      </w:pPr>
      <w:r>
        <w:rPr>
          <w:rFonts w:hint="eastAsia" w:ascii="宋体" w:hAnsi="宋体" w:cs="宋体"/>
          <w:sz w:val="24"/>
          <w:highlight w:val="none"/>
        </w:rPr>
        <w:t>6.1.6.1供应商为非联合体的情况：</w:t>
      </w:r>
    </w:p>
    <w:p>
      <w:pPr>
        <w:ind w:firstLine="480" w:firstLineChars="200"/>
        <w:rPr>
          <w:rFonts w:ascii="宋体" w:hAnsi="宋体" w:cs="宋体"/>
          <w:sz w:val="24"/>
          <w:highlight w:val="none"/>
        </w:rPr>
      </w:pPr>
      <w:r>
        <w:rPr>
          <w:rFonts w:hint="eastAsia" w:ascii="宋体" w:hAnsi="宋体" w:cs="宋体"/>
          <w:sz w:val="24"/>
          <w:highlight w:val="none"/>
        </w:rPr>
        <w:t>小型企业、微型企业、监狱企业、残疾人福利性单位，其评审价=磋商最终报价*（1-</w:t>
      </w:r>
      <w:r>
        <w:rPr>
          <w:rFonts w:hint="eastAsia" w:ascii="宋体" w:hAnsi="宋体" w:cs="宋体"/>
          <w:sz w:val="24"/>
          <w:highlight w:val="none"/>
          <w:lang w:val="en-US" w:eastAsia="zh-CN"/>
        </w:rPr>
        <w:t>10</w:t>
      </w:r>
      <w:r>
        <w:rPr>
          <w:rFonts w:hint="eastAsia" w:ascii="宋体" w:hAnsi="宋体" w:cs="宋体"/>
          <w:sz w:val="24"/>
          <w:highlight w:val="none"/>
        </w:rPr>
        <w:t>%）；</w:t>
      </w:r>
    </w:p>
    <w:p>
      <w:pPr>
        <w:rPr>
          <w:rFonts w:ascii="宋体" w:hAnsi="宋体" w:cs="宋体"/>
          <w:sz w:val="24"/>
          <w:highlight w:val="none"/>
        </w:rPr>
      </w:pPr>
      <w:r>
        <w:rPr>
          <w:rFonts w:hint="eastAsia" w:ascii="宋体" w:hAnsi="宋体" w:cs="宋体"/>
          <w:sz w:val="24"/>
          <w:highlight w:val="none"/>
        </w:rPr>
        <w:t>6.1.6.2供应商为联合体报价且联合协议中约定小型、微型企业、监狱企业、残疾人福利性单位的协议合同金额占到联合体协议合同总金额30％以上的，按照以下规则进行评审价计算：其评审价=磋商最后报价*（1-</w:t>
      </w:r>
      <w:r>
        <w:rPr>
          <w:rFonts w:hint="eastAsia" w:ascii="宋体" w:hAnsi="宋体" w:cs="宋体"/>
          <w:sz w:val="24"/>
          <w:highlight w:val="none"/>
          <w:lang w:val="en-US" w:eastAsia="zh-CN"/>
        </w:rPr>
        <w:t>4</w:t>
      </w:r>
      <w:r>
        <w:rPr>
          <w:rFonts w:hint="eastAsia" w:ascii="宋体" w:hAnsi="宋体" w:cs="宋体"/>
          <w:sz w:val="24"/>
          <w:highlight w:val="none"/>
        </w:rPr>
        <w:t>%）；</w:t>
      </w:r>
    </w:p>
    <w:p>
      <w:pPr>
        <w:rPr>
          <w:rFonts w:ascii="宋体" w:hAnsi="宋体" w:cs="宋体"/>
          <w:sz w:val="24"/>
          <w:highlight w:val="none"/>
        </w:rPr>
      </w:pPr>
      <w:r>
        <w:rPr>
          <w:rFonts w:hint="eastAsia" w:ascii="宋体" w:hAnsi="宋体" w:cs="宋体"/>
          <w:sz w:val="24"/>
          <w:highlight w:val="none"/>
        </w:rPr>
        <w:t>6.1.6.3磋商服务涉及提供的所有磋商产品进入“节能产品政府采购清单” （且产品的国家节能产品认证证书在有效期内）的，其评审价=非节能产品最终报价+节能产品最终报价*（1-3%）；</w:t>
      </w:r>
    </w:p>
    <w:p>
      <w:pPr>
        <w:rPr>
          <w:rFonts w:ascii="宋体" w:hAnsi="宋体" w:cs="宋体"/>
          <w:sz w:val="24"/>
          <w:highlight w:val="none"/>
        </w:rPr>
      </w:pPr>
      <w:r>
        <w:rPr>
          <w:rFonts w:hint="eastAsia" w:ascii="宋体" w:hAnsi="宋体" w:cs="宋体"/>
          <w:sz w:val="24"/>
          <w:highlight w:val="none"/>
        </w:rPr>
        <w:t>6.1.6.4磋商服务涉及提供的所有磋商产品进入“环境标志产品政府采购清单”（且产品的中国环境标志产品认证证书在有效期内）的，其评审价=非环境标志产品最终报价+环境标志产品最终报价*（1-3%）；</w:t>
      </w:r>
    </w:p>
    <w:p>
      <w:pPr>
        <w:rPr>
          <w:rFonts w:ascii="宋体" w:hAnsi="宋体" w:cs="宋体"/>
          <w:b/>
          <w:bCs/>
          <w:sz w:val="32"/>
          <w:szCs w:val="32"/>
          <w:highlight w:val="none"/>
        </w:rPr>
      </w:pPr>
      <w:r>
        <w:rPr>
          <w:rFonts w:hint="eastAsia" w:ascii="宋体" w:hAnsi="宋体" w:cs="宋体"/>
          <w:sz w:val="24"/>
          <w:highlight w:val="none"/>
        </w:rPr>
        <w:t>6.2对于不享受以上政策性优惠价格调整的，其评审价=供应商提交的磋商最终报价。</w:t>
      </w:r>
    </w:p>
    <w:p>
      <w:pPr>
        <w:rPr>
          <w:rFonts w:ascii="宋体" w:hAnsi="宋体" w:cs="宋体"/>
          <w:b/>
          <w:bCs/>
          <w:sz w:val="36"/>
          <w:szCs w:val="36"/>
          <w:highlight w:val="none"/>
        </w:rPr>
      </w:pPr>
      <w:r>
        <w:rPr>
          <w:rFonts w:hint="eastAsia" w:ascii="宋体" w:hAnsi="宋体" w:cs="宋体"/>
          <w:b/>
          <w:bCs/>
          <w:sz w:val="36"/>
          <w:szCs w:val="36"/>
          <w:highlight w:val="none"/>
        </w:rPr>
        <w:br w:type="page"/>
      </w:r>
    </w:p>
    <w:p>
      <w:pPr>
        <w:spacing w:line="360" w:lineRule="auto"/>
        <w:jc w:val="center"/>
        <w:outlineLvl w:val="0"/>
        <w:rPr>
          <w:rFonts w:ascii="宋体" w:hAnsi="宋体" w:cs="宋体"/>
          <w:b/>
          <w:sz w:val="36"/>
          <w:szCs w:val="36"/>
          <w:highlight w:val="none"/>
        </w:rPr>
      </w:pPr>
      <w:bookmarkStart w:id="88" w:name="_Toc1884"/>
      <w:r>
        <w:rPr>
          <w:rFonts w:hint="eastAsia" w:ascii="宋体" w:hAnsi="宋体" w:cs="宋体"/>
          <w:b/>
          <w:bCs/>
          <w:sz w:val="36"/>
          <w:szCs w:val="36"/>
          <w:highlight w:val="none"/>
        </w:rPr>
        <w:t>第六部分  竞争性磋商响应文件格式</w:t>
      </w:r>
      <w:bookmarkEnd w:id="64"/>
      <w:bookmarkEnd w:id="65"/>
      <w:bookmarkEnd w:id="66"/>
      <w:bookmarkEnd w:id="69"/>
      <w:bookmarkEnd w:id="88"/>
    </w:p>
    <w:p>
      <w:pPr>
        <w:spacing w:line="360" w:lineRule="auto"/>
        <w:ind w:firstLine="723" w:firstLineChars="200"/>
        <w:jc w:val="center"/>
        <w:rPr>
          <w:rFonts w:ascii="宋体" w:hAnsi="宋体" w:cs="宋体"/>
          <w:b/>
          <w:sz w:val="36"/>
          <w:szCs w:val="36"/>
          <w:highlight w:val="none"/>
        </w:rPr>
      </w:pPr>
    </w:p>
    <w:p>
      <w:pPr>
        <w:adjustRightInd w:val="0"/>
        <w:snapToGrid w:val="0"/>
        <w:spacing w:line="360" w:lineRule="auto"/>
        <w:ind w:right="600"/>
        <w:jc w:val="right"/>
        <w:rPr>
          <w:rFonts w:ascii="宋体" w:hAnsi="宋体" w:cs="宋体"/>
          <w:b/>
          <w:sz w:val="28"/>
          <w:szCs w:val="28"/>
          <w:highlight w:val="none"/>
        </w:rPr>
      </w:pPr>
      <w:bookmarkStart w:id="89" w:name="_Toc25996_WPSOffice_Level1"/>
      <w:bookmarkStart w:id="90" w:name="_Toc5592_WPSOffice_Level1"/>
      <w:bookmarkStart w:id="91" w:name="_Toc10930_WPSOffice_Level1"/>
      <w:r>
        <w:rPr>
          <w:rFonts w:hint="eastAsia" w:ascii="宋体" w:hAnsi="宋体" w:cs="宋体"/>
          <w:b/>
          <w:sz w:val="28"/>
          <w:szCs w:val="28"/>
          <w:highlight w:val="none"/>
        </w:rPr>
        <w:t xml:space="preserve"> </w:t>
      </w:r>
      <w:bookmarkStart w:id="92" w:name="_Toc31490_WPSOffice_Level2"/>
      <w:bookmarkStart w:id="93" w:name="_Toc5255_WPSOffice_Level3"/>
      <w:bookmarkStart w:id="94" w:name="_Toc32126_WPSOffice_Level2"/>
      <w:r>
        <w:rPr>
          <w:rFonts w:hint="eastAsia" w:ascii="宋体" w:hAnsi="宋体" w:cs="宋体"/>
          <w:b/>
          <w:sz w:val="28"/>
          <w:szCs w:val="28"/>
          <w:highlight w:val="none"/>
        </w:rPr>
        <w:t>（正本或副本）</w:t>
      </w:r>
      <w:bookmarkEnd w:id="92"/>
      <w:bookmarkEnd w:id="93"/>
      <w:bookmarkEnd w:id="94"/>
    </w:p>
    <w:p>
      <w:pPr>
        <w:wordWrap w:val="0"/>
        <w:spacing w:line="360" w:lineRule="auto"/>
        <w:ind w:right="980"/>
        <w:rPr>
          <w:rFonts w:ascii="宋体" w:hAnsi="宋体" w:cs="宋体"/>
          <w:b/>
          <w:sz w:val="28"/>
          <w:szCs w:val="28"/>
          <w:highlight w:val="none"/>
        </w:rPr>
      </w:pPr>
      <w:bookmarkStart w:id="95" w:name="_Toc20551_WPSOffice_Level3"/>
      <w:r>
        <w:rPr>
          <w:rFonts w:hint="eastAsia" w:ascii="宋体" w:hAnsi="宋体" w:cs="宋体"/>
          <w:b/>
          <w:sz w:val="28"/>
          <w:szCs w:val="28"/>
          <w:highlight w:val="none"/>
        </w:rPr>
        <w:t>项目编号:</w:t>
      </w:r>
      <w:bookmarkEnd w:id="95"/>
      <w:r>
        <w:rPr>
          <w:rFonts w:hint="eastAsia" w:ascii="宋体" w:hAnsi="宋体" w:cs="宋体"/>
          <w:b/>
          <w:sz w:val="28"/>
          <w:szCs w:val="28"/>
          <w:highlight w:val="none"/>
        </w:rPr>
        <w:t xml:space="preserve">                 </w:t>
      </w:r>
    </w:p>
    <w:p>
      <w:pPr>
        <w:spacing w:line="360" w:lineRule="auto"/>
        <w:rPr>
          <w:rFonts w:ascii="宋体" w:hAnsi="宋体" w:cs="宋体"/>
          <w:b/>
          <w:sz w:val="24"/>
          <w:highlight w:val="none"/>
        </w:rPr>
      </w:pPr>
    </w:p>
    <w:p>
      <w:pPr>
        <w:adjustRightInd w:val="0"/>
        <w:snapToGrid w:val="0"/>
        <w:spacing w:line="360" w:lineRule="auto"/>
        <w:jc w:val="center"/>
        <w:rPr>
          <w:rFonts w:ascii="宋体" w:hAnsi="宋体" w:cs="宋体"/>
          <w:bCs/>
          <w:sz w:val="48"/>
          <w:szCs w:val="48"/>
          <w:highlight w:val="none"/>
        </w:rPr>
      </w:pPr>
      <w:r>
        <w:rPr>
          <w:rFonts w:hint="eastAsia" w:ascii="宋体" w:hAnsi="宋体" w:cs="宋体"/>
          <w:bCs/>
          <w:sz w:val="48"/>
          <w:szCs w:val="48"/>
          <w:highlight w:val="none"/>
          <w:u w:val="single"/>
        </w:rPr>
        <w:t xml:space="preserve">                          </w:t>
      </w:r>
      <w:bookmarkStart w:id="96" w:name="_Toc23337_WPSOffice_Level2"/>
      <w:bookmarkStart w:id="97" w:name="_Toc21042_WPSOffice_Level2"/>
      <w:bookmarkStart w:id="98" w:name="_Toc12882_WPSOffice_Level2"/>
      <w:r>
        <w:rPr>
          <w:rFonts w:hint="eastAsia" w:ascii="宋体" w:hAnsi="宋体" w:cs="宋体"/>
          <w:bCs/>
          <w:sz w:val="48"/>
          <w:szCs w:val="48"/>
          <w:highlight w:val="none"/>
        </w:rPr>
        <w:t>项目</w:t>
      </w:r>
      <w:bookmarkEnd w:id="96"/>
      <w:bookmarkEnd w:id="97"/>
      <w:bookmarkEnd w:id="98"/>
    </w:p>
    <w:p>
      <w:pPr>
        <w:adjustRightInd w:val="0"/>
        <w:snapToGrid w:val="0"/>
        <w:spacing w:line="360" w:lineRule="auto"/>
        <w:jc w:val="center"/>
        <w:rPr>
          <w:rFonts w:ascii="宋体" w:hAnsi="宋体" w:cs="宋体"/>
          <w:bCs/>
          <w:sz w:val="48"/>
          <w:szCs w:val="48"/>
          <w:highlight w:val="none"/>
        </w:rPr>
      </w:pPr>
    </w:p>
    <w:p>
      <w:pPr>
        <w:adjustRightInd w:val="0"/>
        <w:snapToGrid w:val="0"/>
        <w:spacing w:line="360" w:lineRule="auto"/>
        <w:jc w:val="center"/>
        <w:rPr>
          <w:rFonts w:ascii="宋体" w:hAnsi="宋体" w:cs="宋体"/>
          <w:bCs/>
          <w:sz w:val="48"/>
          <w:szCs w:val="48"/>
          <w:highlight w:val="none"/>
        </w:rPr>
      </w:pPr>
    </w:p>
    <w:p>
      <w:pPr>
        <w:adjustRightInd w:val="0"/>
        <w:snapToGrid w:val="0"/>
        <w:spacing w:line="360" w:lineRule="auto"/>
        <w:jc w:val="center"/>
        <w:rPr>
          <w:rFonts w:ascii="宋体" w:hAnsi="宋体" w:cs="宋体"/>
          <w:bCs/>
          <w:sz w:val="48"/>
          <w:szCs w:val="48"/>
          <w:highlight w:val="none"/>
        </w:rPr>
      </w:pPr>
    </w:p>
    <w:p>
      <w:pPr>
        <w:adjustRightInd w:val="0"/>
        <w:snapToGrid w:val="0"/>
        <w:spacing w:line="360" w:lineRule="auto"/>
        <w:jc w:val="center"/>
        <w:rPr>
          <w:rFonts w:ascii="宋体" w:hAnsi="宋体" w:cs="宋体"/>
          <w:b/>
          <w:sz w:val="48"/>
          <w:szCs w:val="48"/>
          <w:highlight w:val="none"/>
        </w:rPr>
      </w:pPr>
      <w:bookmarkStart w:id="99" w:name="_Toc708_WPSOffice_Level2"/>
      <w:bookmarkStart w:id="100" w:name="_Toc18421_WPSOffice_Level2"/>
      <w:bookmarkStart w:id="101" w:name="_Toc8413_WPSOffice_Level2"/>
      <w:r>
        <w:rPr>
          <w:rFonts w:hint="eastAsia" w:ascii="宋体" w:hAnsi="宋体" w:cs="宋体"/>
          <w:b/>
          <w:sz w:val="48"/>
          <w:szCs w:val="48"/>
          <w:highlight w:val="none"/>
        </w:rPr>
        <w:t>竞争性磋商响应文件</w:t>
      </w:r>
      <w:bookmarkEnd w:id="99"/>
      <w:bookmarkEnd w:id="100"/>
      <w:bookmarkEnd w:id="101"/>
    </w:p>
    <w:p>
      <w:pPr>
        <w:adjustRightInd w:val="0"/>
        <w:snapToGrid w:val="0"/>
        <w:spacing w:line="360" w:lineRule="auto"/>
        <w:jc w:val="center"/>
        <w:rPr>
          <w:rFonts w:hint="eastAsia" w:ascii="宋体" w:hAnsi="宋体" w:eastAsia="宋体" w:cs="宋体"/>
          <w:b/>
          <w:sz w:val="30"/>
          <w:highlight w:val="none"/>
          <w:lang w:eastAsia="zh-CN"/>
        </w:rPr>
      </w:pPr>
      <w:r>
        <w:rPr>
          <w:rFonts w:hint="eastAsia" w:ascii="宋体" w:hAnsi="宋体" w:cs="宋体"/>
          <w:b/>
          <w:sz w:val="30"/>
          <w:highlight w:val="none"/>
          <w:lang w:eastAsia="zh-CN"/>
        </w:rPr>
        <w:t>（第</w:t>
      </w:r>
      <w:r>
        <w:rPr>
          <w:rFonts w:hint="eastAsia" w:ascii="宋体" w:hAnsi="宋体" w:cs="宋体"/>
          <w:b/>
          <w:sz w:val="30"/>
          <w:highlight w:val="none"/>
          <w:lang w:val="en-US" w:eastAsia="zh-CN"/>
        </w:rPr>
        <w:t>X包</w:t>
      </w:r>
      <w:r>
        <w:rPr>
          <w:rFonts w:hint="eastAsia" w:ascii="宋体" w:hAnsi="宋体" w:cs="宋体"/>
          <w:b/>
          <w:sz w:val="30"/>
          <w:highlight w:val="none"/>
          <w:lang w:eastAsia="zh-CN"/>
        </w:rPr>
        <w:t>）</w:t>
      </w:r>
    </w:p>
    <w:p>
      <w:pPr>
        <w:adjustRightInd w:val="0"/>
        <w:snapToGrid w:val="0"/>
        <w:spacing w:line="360" w:lineRule="auto"/>
        <w:rPr>
          <w:rFonts w:ascii="宋体" w:hAnsi="宋体" w:cs="宋体"/>
          <w:b/>
          <w:sz w:val="30"/>
          <w:highlight w:val="none"/>
        </w:rPr>
      </w:pPr>
    </w:p>
    <w:p>
      <w:pPr>
        <w:pStyle w:val="15"/>
        <w:rPr>
          <w:rFonts w:ascii="宋体" w:hAnsi="宋体" w:cs="宋体"/>
          <w:b/>
          <w:sz w:val="30"/>
          <w:highlight w:val="none"/>
        </w:rPr>
      </w:pPr>
    </w:p>
    <w:p>
      <w:pPr>
        <w:pStyle w:val="15"/>
        <w:rPr>
          <w:rFonts w:ascii="宋体" w:hAnsi="宋体" w:cs="宋体"/>
          <w:b/>
          <w:sz w:val="30"/>
          <w:highlight w:val="none"/>
        </w:rPr>
      </w:pPr>
    </w:p>
    <w:p>
      <w:pPr>
        <w:pStyle w:val="15"/>
        <w:rPr>
          <w:rFonts w:ascii="宋体" w:hAnsi="宋体" w:cs="宋体"/>
          <w:b/>
          <w:sz w:val="30"/>
          <w:highlight w:val="none"/>
        </w:rPr>
      </w:pPr>
    </w:p>
    <w:p>
      <w:pPr>
        <w:ind w:firstLine="1506" w:firstLineChars="500"/>
        <w:rPr>
          <w:rFonts w:ascii="宋体" w:hAnsi="宋体" w:cs="宋体"/>
          <w:b/>
          <w:sz w:val="30"/>
          <w:szCs w:val="30"/>
          <w:highlight w:val="none"/>
        </w:rPr>
      </w:pPr>
      <w:r>
        <w:rPr>
          <w:rFonts w:hint="eastAsia" w:ascii="宋体" w:hAnsi="宋体" w:cs="宋体"/>
          <w:b/>
          <w:sz w:val="30"/>
          <w:szCs w:val="30"/>
          <w:highlight w:val="none"/>
        </w:rPr>
        <w:t>供应商名称：</w:t>
      </w:r>
      <w:r>
        <w:rPr>
          <w:rFonts w:hint="eastAsia" w:ascii="宋体" w:hAnsi="宋体" w:cs="宋体"/>
          <w:b/>
          <w:sz w:val="30"/>
          <w:szCs w:val="30"/>
          <w:highlight w:val="none"/>
          <w:u w:val="single"/>
        </w:rPr>
        <w:t xml:space="preserve">                   </w:t>
      </w:r>
      <w:r>
        <w:rPr>
          <w:rFonts w:hint="eastAsia" w:ascii="宋体" w:hAnsi="宋体" w:cs="宋体"/>
          <w:b/>
          <w:sz w:val="30"/>
          <w:szCs w:val="30"/>
          <w:highlight w:val="none"/>
        </w:rPr>
        <w:t>（公章）</w:t>
      </w:r>
    </w:p>
    <w:p>
      <w:pPr>
        <w:ind w:firstLine="1506" w:firstLineChars="500"/>
        <w:rPr>
          <w:rFonts w:ascii="宋体" w:hAnsi="宋体" w:cs="宋体"/>
          <w:b/>
          <w:sz w:val="30"/>
          <w:szCs w:val="30"/>
          <w:highlight w:val="none"/>
        </w:rPr>
      </w:pPr>
      <w:r>
        <w:rPr>
          <w:rFonts w:hint="eastAsia" w:ascii="宋体" w:hAnsi="宋体" w:cs="宋体"/>
          <w:b/>
          <w:sz w:val="30"/>
          <w:szCs w:val="30"/>
          <w:highlight w:val="none"/>
        </w:rPr>
        <w:t>法定代表人</w:t>
      </w:r>
    </w:p>
    <w:p>
      <w:pPr>
        <w:ind w:firstLine="1506" w:firstLineChars="500"/>
        <w:rPr>
          <w:rFonts w:ascii="宋体" w:hAnsi="宋体" w:cs="宋体"/>
          <w:b/>
          <w:sz w:val="30"/>
          <w:szCs w:val="30"/>
          <w:highlight w:val="none"/>
        </w:rPr>
      </w:pPr>
      <w:r>
        <w:rPr>
          <w:rFonts w:hint="eastAsia" w:ascii="宋体" w:hAnsi="宋体" w:cs="宋体"/>
          <w:b/>
          <w:sz w:val="30"/>
          <w:szCs w:val="30"/>
          <w:highlight w:val="none"/>
        </w:rPr>
        <w:t>或授权代表：</w:t>
      </w:r>
      <w:r>
        <w:rPr>
          <w:rFonts w:hint="eastAsia" w:ascii="宋体" w:hAnsi="宋体" w:cs="宋体"/>
          <w:b/>
          <w:sz w:val="30"/>
          <w:szCs w:val="30"/>
          <w:highlight w:val="none"/>
          <w:u w:val="single"/>
        </w:rPr>
        <w:t xml:space="preserve">                   </w:t>
      </w:r>
      <w:r>
        <w:rPr>
          <w:rFonts w:hint="eastAsia" w:ascii="宋体" w:hAnsi="宋体" w:cs="宋体"/>
          <w:b/>
          <w:sz w:val="30"/>
          <w:szCs w:val="30"/>
          <w:highlight w:val="none"/>
        </w:rPr>
        <w:t>（签字或盖章）</w:t>
      </w:r>
    </w:p>
    <w:p>
      <w:pPr>
        <w:ind w:firstLine="1506" w:firstLineChars="500"/>
        <w:rPr>
          <w:rFonts w:ascii="宋体" w:hAnsi="宋体" w:cs="宋体"/>
          <w:b/>
          <w:sz w:val="30"/>
          <w:szCs w:val="30"/>
          <w:highlight w:val="none"/>
        </w:rPr>
      </w:pPr>
      <w:r>
        <w:rPr>
          <w:rFonts w:hint="eastAsia" w:ascii="宋体" w:hAnsi="宋体" w:cs="宋体"/>
          <w:b/>
          <w:sz w:val="30"/>
          <w:szCs w:val="30"/>
          <w:highlight w:val="none"/>
        </w:rPr>
        <w:t>日      期：</w:t>
      </w:r>
      <w:r>
        <w:rPr>
          <w:rFonts w:hint="eastAsia" w:ascii="宋体" w:hAnsi="宋体" w:cs="宋体"/>
          <w:b/>
          <w:sz w:val="30"/>
          <w:szCs w:val="30"/>
          <w:highlight w:val="none"/>
          <w:u w:val="single"/>
        </w:rPr>
        <w:t xml:space="preserve">      </w:t>
      </w:r>
      <w:r>
        <w:rPr>
          <w:rFonts w:hint="eastAsia" w:ascii="宋体" w:hAnsi="宋体" w:cs="宋体"/>
          <w:b/>
          <w:sz w:val="30"/>
          <w:szCs w:val="30"/>
          <w:highlight w:val="none"/>
        </w:rPr>
        <w:t>年</w:t>
      </w:r>
      <w:r>
        <w:rPr>
          <w:rFonts w:hint="eastAsia" w:ascii="宋体" w:hAnsi="宋体" w:cs="宋体"/>
          <w:b/>
          <w:sz w:val="30"/>
          <w:szCs w:val="30"/>
          <w:highlight w:val="none"/>
          <w:u w:val="single"/>
        </w:rPr>
        <w:t xml:space="preserve">      </w:t>
      </w:r>
      <w:r>
        <w:rPr>
          <w:rFonts w:hint="eastAsia" w:ascii="宋体" w:hAnsi="宋体" w:cs="宋体"/>
          <w:b/>
          <w:sz w:val="30"/>
          <w:szCs w:val="30"/>
          <w:highlight w:val="none"/>
        </w:rPr>
        <w:t>月</w:t>
      </w:r>
      <w:r>
        <w:rPr>
          <w:rFonts w:hint="eastAsia" w:ascii="宋体" w:hAnsi="宋体" w:cs="宋体"/>
          <w:b/>
          <w:sz w:val="30"/>
          <w:szCs w:val="30"/>
          <w:highlight w:val="none"/>
          <w:u w:val="single"/>
        </w:rPr>
        <w:t xml:space="preserve">     </w:t>
      </w:r>
      <w:r>
        <w:rPr>
          <w:rFonts w:hint="eastAsia" w:ascii="宋体" w:hAnsi="宋体" w:cs="宋体"/>
          <w:b/>
          <w:sz w:val="30"/>
          <w:szCs w:val="30"/>
          <w:highlight w:val="none"/>
        </w:rPr>
        <w:t>日</w:t>
      </w:r>
    </w:p>
    <w:p>
      <w:pPr>
        <w:pStyle w:val="51"/>
        <w:ind w:firstLine="0" w:firstLineChars="0"/>
        <w:rPr>
          <w:rFonts w:ascii="宋体" w:hAnsi="宋体" w:cs="宋体"/>
          <w:highlight w:val="none"/>
        </w:rPr>
      </w:pPr>
    </w:p>
    <w:p>
      <w:pPr>
        <w:pStyle w:val="51"/>
        <w:ind w:firstLine="0" w:firstLineChars="0"/>
        <w:rPr>
          <w:rFonts w:ascii="宋体" w:hAnsi="宋体" w:cs="宋体"/>
          <w:highlight w:val="none"/>
        </w:rPr>
      </w:pPr>
    </w:p>
    <w:p>
      <w:pPr>
        <w:pStyle w:val="51"/>
        <w:ind w:firstLine="0" w:firstLineChars="0"/>
        <w:rPr>
          <w:rFonts w:ascii="宋体" w:hAnsi="宋体" w:cs="宋体"/>
          <w:highlight w:val="none"/>
        </w:rPr>
      </w:pPr>
    </w:p>
    <w:p>
      <w:pPr>
        <w:pStyle w:val="51"/>
        <w:ind w:firstLine="0" w:firstLineChars="0"/>
        <w:rPr>
          <w:rFonts w:ascii="宋体" w:hAnsi="宋体" w:cs="宋体"/>
          <w:highlight w:val="none"/>
        </w:rPr>
      </w:pPr>
    </w:p>
    <w:p>
      <w:pPr>
        <w:spacing w:line="360" w:lineRule="auto"/>
        <w:ind w:left="221" w:hanging="221" w:hangingChars="50"/>
        <w:jc w:val="center"/>
        <w:rPr>
          <w:rFonts w:ascii="宋体" w:hAnsi="宋体" w:cs="宋体"/>
          <w:b/>
          <w:bCs/>
          <w:sz w:val="44"/>
          <w:szCs w:val="44"/>
          <w:highlight w:val="none"/>
        </w:rPr>
      </w:pPr>
      <w:r>
        <w:rPr>
          <w:rFonts w:hint="eastAsia" w:ascii="宋体" w:hAnsi="宋体" w:cs="宋体"/>
          <w:b/>
          <w:bCs/>
          <w:sz w:val="44"/>
          <w:szCs w:val="44"/>
          <w:highlight w:val="none"/>
        </w:rPr>
        <w:t>目      录</w:t>
      </w:r>
    </w:p>
    <w:p>
      <w:pPr>
        <w:spacing w:line="360" w:lineRule="auto"/>
        <w:ind w:left="420"/>
        <w:rPr>
          <w:rFonts w:ascii="宋体" w:hAnsi="宋体" w:cs="宋体"/>
          <w:sz w:val="36"/>
          <w:szCs w:val="36"/>
          <w:highlight w:val="none"/>
        </w:rPr>
      </w:pPr>
    </w:p>
    <w:p>
      <w:pPr>
        <w:numPr>
          <w:ilvl w:val="0"/>
          <w:numId w:val="5"/>
        </w:numPr>
        <w:spacing w:line="360" w:lineRule="auto"/>
        <w:ind w:firstLine="638" w:firstLineChars="228"/>
        <w:rPr>
          <w:rFonts w:ascii="宋体" w:hAnsi="宋体" w:cs="宋体"/>
          <w:sz w:val="28"/>
          <w:szCs w:val="28"/>
          <w:highlight w:val="none"/>
        </w:rPr>
      </w:pPr>
      <w:r>
        <w:rPr>
          <w:rFonts w:hint="eastAsia" w:ascii="宋体" w:hAnsi="宋体" w:cs="宋体"/>
          <w:sz w:val="28"/>
          <w:szCs w:val="28"/>
          <w:highlight w:val="none"/>
        </w:rPr>
        <w:t>磋商函…………………………………………（页码）</w:t>
      </w:r>
    </w:p>
    <w:p>
      <w:pPr>
        <w:numPr>
          <w:ilvl w:val="0"/>
          <w:numId w:val="5"/>
        </w:numPr>
        <w:spacing w:line="360" w:lineRule="auto"/>
        <w:ind w:firstLine="638" w:firstLineChars="228"/>
        <w:rPr>
          <w:rFonts w:ascii="宋体" w:hAnsi="宋体" w:cs="宋体"/>
          <w:sz w:val="28"/>
          <w:szCs w:val="28"/>
          <w:highlight w:val="none"/>
        </w:rPr>
      </w:pPr>
      <w:r>
        <w:rPr>
          <w:rFonts w:hint="eastAsia" w:ascii="宋体" w:hAnsi="宋体" w:cs="宋体"/>
          <w:sz w:val="28"/>
          <w:szCs w:val="28"/>
          <w:highlight w:val="none"/>
        </w:rPr>
        <w:t>法定代表人证明书……………………………（页码）</w:t>
      </w:r>
    </w:p>
    <w:p>
      <w:pPr>
        <w:numPr>
          <w:ilvl w:val="0"/>
          <w:numId w:val="5"/>
        </w:numPr>
        <w:spacing w:line="360" w:lineRule="auto"/>
        <w:ind w:firstLine="638" w:firstLineChars="228"/>
        <w:rPr>
          <w:rFonts w:ascii="宋体" w:hAnsi="宋体" w:cs="宋体"/>
          <w:sz w:val="28"/>
          <w:szCs w:val="28"/>
          <w:highlight w:val="none"/>
        </w:rPr>
      </w:pPr>
      <w:r>
        <w:rPr>
          <w:rFonts w:hint="eastAsia" w:ascii="宋体" w:hAnsi="宋体" w:cs="宋体"/>
          <w:sz w:val="28"/>
          <w:szCs w:val="28"/>
          <w:highlight w:val="none"/>
        </w:rPr>
        <w:t>法人授权委托书………………………………（页码）</w:t>
      </w:r>
    </w:p>
    <w:p>
      <w:pPr>
        <w:numPr>
          <w:ilvl w:val="0"/>
          <w:numId w:val="5"/>
        </w:numPr>
        <w:spacing w:line="360" w:lineRule="auto"/>
        <w:ind w:firstLine="638" w:firstLineChars="228"/>
        <w:rPr>
          <w:rFonts w:ascii="宋体" w:hAnsi="宋体" w:cs="宋体"/>
          <w:sz w:val="28"/>
          <w:szCs w:val="28"/>
          <w:highlight w:val="none"/>
        </w:rPr>
      </w:pPr>
      <w:r>
        <w:rPr>
          <w:rFonts w:hint="eastAsia" w:ascii="宋体" w:hAnsi="宋体" w:cs="宋体"/>
          <w:sz w:val="28"/>
          <w:szCs w:val="28"/>
          <w:highlight w:val="none"/>
        </w:rPr>
        <w:t>报价表…………………………………………（页码）</w:t>
      </w:r>
    </w:p>
    <w:p>
      <w:pPr>
        <w:numPr>
          <w:ilvl w:val="0"/>
          <w:numId w:val="5"/>
        </w:numPr>
        <w:spacing w:line="360" w:lineRule="auto"/>
        <w:ind w:firstLine="638" w:firstLineChars="228"/>
        <w:rPr>
          <w:rFonts w:ascii="宋体" w:hAnsi="宋体" w:cs="宋体"/>
          <w:sz w:val="28"/>
          <w:szCs w:val="28"/>
          <w:highlight w:val="none"/>
        </w:rPr>
      </w:pPr>
      <w:r>
        <w:rPr>
          <w:rFonts w:hint="eastAsia" w:ascii="宋体" w:hAnsi="宋体" w:cs="宋体"/>
          <w:sz w:val="28"/>
          <w:szCs w:val="28"/>
          <w:highlight w:val="none"/>
        </w:rPr>
        <w:t>近</w:t>
      </w:r>
      <w:r>
        <w:rPr>
          <w:rFonts w:hint="eastAsia" w:ascii="宋体" w:hAnsi="宋体" w:cs="宋体"/>
          <w:sz w:val="28"/>
          <w:szCs w:val="28"/>
          <w:highlight w:val="none"/>
          <w:lang w:val="en-US" w:eastAsia="zh-CN"/>
        </w:rPr>
        <w:t>三</w:t>
      </w:r>
      <w:r>
        <w:rPr>
          <w:rFonts w:hint="eastAsia" w:ascii="宋体" w:hAnsi="宋体" w:cs="宋体"/>
          <w:sz w:val="28"/>
          <w:szCs w:val="28"/>
          <w:highlight w:val="none"/>
        </w:rPr>
        <w:t>年承接的类似项目情况表………………（页码）</w:t>
      </w:r>
    </w:p>
    <w:p>
      <w:pPr>
        <w:numPr>
          <w:ilvl w:val="0"/>
          <w:numId w:val="5"/>
        </w:numPr>
        <w:spacing w:line="360" w:lineRule="auto"/>
        <w:ind w:firstLine="638" w:firstLineChars="228"/>
        <w:rPr>
          <w:rFonts w:ascii="宋体" w:hAnsi="宋体" w:cs="宋体"/>
          <w:sz w:val="28"/>
          <w:szCs w:val="28"/>
          <w:highlight w:val="none"/>
        </w:rPr>
      </w:pPr>
      <w:r>
        <w:rPr>
          <w:rFonts w:hint="eastAsia" w:ascii="宋体" w:hAnsi="宋体" w:cs="宋体"/>
          <w:sz w:val="28"/>
          <w:szCs w:val="28"/>
          <w:highlight w:val="none"/>
        </w:rPr>
        <w:t>技术组织方案…………………………………（页码）</w:t>
      </w:r>
    </w:p>
    <w:p>
      <w:pPr>
        <w:pStyle w:val="7"/>
        <w:ind w:firstLine="1192" w:firstLineChars="426"/>
        <w:rPr>
          <w:rFonts w:ascii="宋体" w:hAnsi="宋体" w:eastAsia="宋体" w:cs="宋体"/>
          <w:b w:val="0"/>
          <w:bCs w:val="0"/>
          <w:highlight w:val="none"/>
        </w:rPr>
      </w:pPr>
      <w:r>
        <w:rPr>
          <w:rFonts w:hint="eastAsia" w:ascii="宋体" w:hAnsi="宋体" w:eastAsia="宋体" w:cs="宋体"/>
          <w:b w:val="0"/>
          <w:bCs w:val="0"/>
          <w:highlight w:val="none"/>
        </w:rPr>
        <w:t>增加二级目录…………………………………（页码）</w:t>
      </w:r>
    </w:p>
    <w:p>
      <w:pPr>
        <w:numPr>
          <w:ilvl w:val="0"/>
          <w:numId w:val="5"/>
        </w:numPr>
        <w:spacing w:line="360" w:lineRule="auto"/>
        <w:ind w:firstLine="638" w:firstLineChars="228"/>
        <w:rPr>
          <w:rFonts w:ascii="宋体" w:hAnsi="宋体" w:cs="宋体"/>
          <w:sz w:val="28"/>
          <w:szCs w:val="28"/>
          <w:highlight w:val="none"/>
        </w:rPr>
      </w:pPr>
      <w:r>
        <w:rPr>
          <w:rFonts w:hint="eastAsia" w:ascii="宋体" w:hAnsi="宋体" w:cs="宋体"/>
          <w:sz w:val="28"/>
          <w:szCs w:val="28"/>
          <w:highlight w:val="none"/>
        </w:rPr>
        <w:t>技术和商务响应说明…………………………（页码）</w:t>
      </w:r>
    </w:p>
    <w:p>
      <w:pPr>
        <w:numPr>
          <w:ilvl w:val="0"/>
          <w:numId w:val="5"/>
        </w:numPr>
        <w:spacing w:line="360" w:lineRule="auto"/>
        <w:ind w:firstLine="638" w:firstLineChars="228"/>
        <w:rPr>
          <w:rFonts w:ascii="宋体" w:hAnsi="宋体" w:cs="宋体"/>
          <w:sz w:val="28"/>
          <w:szCs w:val="28"/>
          <w:highlight w:val="none"/>
        </w:rPr>
      </w:pPr>
      <w:r>
        <w:rPr>
          <w:rFonts w:hint="eastAsia" w:ascii="宋体" w:hAnsi="宋体" w:cs="宋体"/>
          <w:sz w:val="28"/>
          <w:szCs w:val="28"/>
          <w:highlight w:val="none"/>
        </w:rPr>
        <w:t>资格证明文件…………………………………（页码）</w:t>
      </w:r>
    </w:p>
    <w:p>
      <w:pPr>
        <w:pStyle w:val="7"/>
        <w:ind w:firstLine="1192" w:firstLineChars="426"/>
        <w:rPr>
          <w:rFonts w:ascii="宋体" w:hAnsi="宋体" w:eastAsia="宋体" w:cs="宋体"/>
          <w:b w:val="0"/>
          <w:bCs w:val="0"/>
          <w:highlight w:val="none"/>
        </w:rPr>
      </w:pPr>
      <w:r>
        <w:rPr>
          <w:rFonts w:hint="eastAsia" w:ascii="宋体" w:hAnsi="宋体" w:eastAsia="宋体" w:cs="宋体"/>
          <w:b w:val="0"/>
          <w:bCs w:val="0"/>
          <w:highlight w:val="none"/>
        </w:rPr>
        <w:t>增加二级目录…………………………………（页码）</w:t>
      </w:r>
    </w:p>
    <w:p>
      <w:pPr>
        <w:numPr>
          <w:ilvl w:val="0"/>
          <w:numId w:val="5"/>
        </w:numPr>
        <w:spacing w:line="360" w:lineRule="auto"/>
        <w:ind w:firstLine="638" w:firstLineChars="228"/>
        <w:rPr>
          <w:rFonts w:ascii="宋体" w:hAnsi="宋体" w:cs="宋体"/>
          <w:sz w:val="28"/>
          <w:szCs w:val="28"/>
          <w:highlight w:val="none"/>
        </w:rPr>
      </w:pPr>
      <w:r>
        <w:rPr>
          <w:rFonts w:hint="eastAsia" w:ascii="宋体" w:hAnsi="宋体" w:cs="宋体"/>
          <w:sz w:val="28"/>
          <w:szCs w:val="28"/>
          <w:highlight w:val="none"/>
        </w:rPr>
        <w:t>其他资料………………………………………（页码）</w:t>
      </w:r>
    </w:p>
    <w:p>
      <w:pPr>
        <w:spacing w:line="360" w:lineRule="auto"/>
        <w:jc w:val="center"/>
        <w:outlineLvl w:val="1"/>
        <w:rPr>
          <w:rFonts w:ascii="宋体" w:hAnsi="宋体" w:cs="宋体"/>
          <w:b/>
          <w:bCs/>
          <w:sz w:val="24"/>
          <w:highlight w:val="none"/>
        </w:rPr>
      </w:pPr>
      <w:r>
        <w:rPr>
          <w:rFonts w:hint="eastAsia" w:ascii="宋体" w:hAnsi="宋体" w:cs="宋体"/>
          <w:bCs/>
          <w:sz w:val="30"/>
          <w:szCs w:val="30"/>
          <w:highlight w:val="none"/>
        </w:rPr>
        <w:br w:type="page"/>
      </w:r>
      <w:bookmarkEnd w:id="89"/>
      <w:bookmarkEnd w:id="90"/>
      <w:bookmarkEnd w:id="91"/>
      <w:bookmarkStart w:id="102" w:name="_Toc14777"/>
      <w:r>
        <w:rPr>
          <w:rFonts w:hint="eastAsia" w:ascii="宋体" w:hAnsi="宋体" w:cs="宋体"/>
          <w:bCs/>
          <w:sz w:val="28"/>
          <w:szCs w:val="28"/>
          <w:highlight w:val="none"/>
        </w:rPr>
        <w:t>一、</w:t>
      </w:r>
      <w:r>
        <w:rPr>
          <w:rFonts w:hint="eastAsia" w:ascii="宋体" w:hAnsi="宋体" w:cs="宋体"/>
          <w:b/>
          <w:bCs/>
          <w:sz w:val="28"/>
          <w:szCs w:val="28"/>
          <w:highlight w:val="none"/>
        </w:rPr>
        <w:t>磋商函</w:t>
      </w:r>
      <w:bookmarkEnd w:id="102"/>
    </w:p>
    <w:p>
      <w:pPr>
        <w:spacing w:line="360" w:lineRule="auto"/>
        <w:rPr>
          <w:rFonts w:ascii="宋体" w:hAnsi="宋体" w:cs="宋体"/>
          <w:sz w:val="24"/>
          <w:szCs w:val="24"/>
          <w:highlight w:val="none"/>
        </w:rPr>
      </w:pPr>
      <w:r>
        <w:rPr>
          <w:rFonts w:hint="eastAsia" w:ascii="宋体" w:hAnsi="宋体" w:cs="宋体"/>
          <w:sz w:val="24"/>
          <w:szCs w:val="24"/>
          <w:highlight w:val="none"/>
          <w:lang w:eastAsia="zh-CN"/>
        </w:rPr>
        <w:t>陕西正宇信工程项目管理有限公司</w:t>
      </w:r>
      <w:r>
        <w:rPr>
          <w:rFonts w:hint="eastAsia" w:ascii="宋体" w:hAnsi="宋体" w:cs="宋体"/>
          <w:sz w:val="24"/>
          <w:szCs w:val="24"/>
          <w:highlight w:val="none"/>
        </w:rPr>
        <w:t>：</w:t>
      </w:r>
    </w:p>
    <w:p>
      <w:pPr>
        <w:autoSpaceDE w:val="0"/>
        <w:autoSpaceDN w:val="0"/>
        <w:adjustRightInd w:val="0"/>
        <w:spacing w:line="360" w:lineRule="auto"/>
        <w:ind w:left="19" w:leftChars="9" w:firstLine="700" w:firstLineChars="292"/>
        <w:rPr>
          <w:rFonts w:ascii="宋体" w:hAnsi="宋体" w:cs="宋体"/>
          <w:sz w:val="24"/>
          <w:szCs w:val="24"/>
          <w:highlight w:val="none"/>
        </w:rPr>
      </w:pPr>
      <w:r>
        <w:rPr>
          <w:rFonts w:hint="eastAsia" w:ascii="宋体" w:hAnsi="宋体" w:cs="宋体"/>
          <w:sz w:val="24"/>
          <w:szCs w:val="24"/>
          <w:highlight w:val="none"/>
          <w:lang w:val="zh-CN"/>
        </w:rPr>
        <w:t>经我单位详细研究，我们决定参加</w:t>
      </w:r>
      <w:r>
        <w:rPr>
          <w:rFonts w:hint="eastAsia" w:ascii="宋体" w:hAnsi="宋体" w:cs="宋体"/>
          <w:sz w:val="24"/>
          <w:szCs w:val="24"/>
          <w:highlight w:val="none"/>
          <w:u w:val="single"/>
        </w:rPr>
        <w:t xml:space="preserve">  项目名称：  项目编号：</w:t>
      </w:r>
      <w:r>
        <w:rPr>
          <w:rFonts w:hint="eastAsia" w:ascii="宋体" w:hAnsi="宋体" w:cs="宋体"/>
          <w:sz w:val="24"/>
          <w:szCs w:val="24"/>
          <w:highlight w:val="none"/>
          <w:u w:val="single"/>
          <w:lang w:val="en-US" w:eastAsia="zh-CN"/>
        </w:rPr>
        <w:t xml:space="preserve"> 包号：</w:t>
      </w:r>
      <w:r>
        <w:rPr>
          <w:rFonts w:hint="eastAsia" w:ascii="宋体" w:hAnsi="宋体" w:cs="宋体"/>
          <w:sz w:val="24"/>
          <w:szCs w:val="24"/>
          <w:highlight w:val="none"/>
          <w:u w:val="single"/>
        </w:rPr>
        <w:t xml:space="preserve"> </w:t>
      </w:r>
      <w:r>
        <w:rPr>
          <w:rFonts w:hint="eastAsia" w:ascii="宋体" w:hAnsi="宋体" w:cs="宋体"/>
          <w:sz w:val="24"/>
          <w:szCs w:val="24"/>
          <w:highlight w:val="none"/>
        </w:rPr>
        <w:t>磋商</w:t>
      </w:r>
      <w:r>
        <w:rPr>
          <w:rFonts w:hint="eastAsia" w:ascii="宋体" w:hAnsi="宋体" w:cs="宋体"/>
          <w:sz w:val="24"/>
          <w:szCs w:val="24"/>
          <w:highlight w:val="none"/>
          <w:lang w:val="zh-CN"/>
        </w:rPr>
        <w:t>。为此，我方郑重声明以下诸点，并负法律责任。</w:t>
      </w:r>
    </w:p>
    <w:p>
      <w:pPr>
        <w:autoSpaceDE w:val="0"/>
        <w:autoSpaceDN w:val="0"/>
        <w:adjustRightInd w:val="0"/>
        <w:snapToGrid w:val="0"/>
        <w:spacing w:line="360" w:lineRule="auto"/>
        <w:ind w:firstLine="629"/>
        <w:rPr>
          <w:rFonts w:ascii="宋体" w:hAnsi="宋体" w:cs="宋体"/>
          <w:sz w:val="24"/>
          <w:szCs w:val="24"/>
          <w:highlight w:val="none"/>
        </w:rPr>
      </w:pPr>
      <w:r>
        <w:rPr>
          <w:rFonts w:hint="eastAsia" w:ascii="宋体" w:hAnsi="宋体" w:cs="宋体"/>
          <w:sz w:val="24"/>
          <w:szCs w:val="24"/>
          <w:highlight w:val="none"/>
        </w:rPr>
        <w:t>1</w:t>
      </w:r>
      <w:r>
        <w:rPr>
          <w:rFonts w:hint="eastAsia" w:ascii="宋体" w:hAnsi="宋体" w:cs="宋体"/>
          <w:sz w:val="24"/>
          <w:szCs w:val="24"/>
          <w:highlight w:val="none"/>
          <w:lang w:val="zh-CN"/>
        </w:rPr>
        <w:t>、愿意按照竞争性磋商采购文件中的一切要求，提供磋商技术服务，完成合同的责任和义务。</w:t>
      </w:r>
    </w:p>
    <w:p>
      <w:pPr>
        <w:autoSpaceDE w:val="0"/>
        <w:autoSpaceDN w:val="0"/>
        <w:adjustRightInd w:val="0"/>
        <w:snapToGrid w:val="0"/>
        <w:spacing w:line="360" w:lineRule="auto"/>
        <w:ind w:firstLine="629"/>
        <w:rPr>
          <w:rFonts w:ascii="宋体" w:hAnsi="宋体" w:cs="宋体"/>
          <w:sz w:val="24"/>
          <w:szCs w:val="24"/>
          <w:highlight w:val="none"/>
        </w:rPr>
      </w:pPr>
      <w:r>
        <w:rPr>
          <w:rFonts w:hint="eastAsia" w:ascii="宋体" w:hAnsi="宋体" w:cs="宋体"/>
          <w:sz w:val="24"/>
          <w:szCs w:val="24"/>
          <w:highlight w:val="none"/>
        </w:rPr>
        <w:t>2</w:t>
      </w:r>
      <w:r>
        <w:rPr>
          <w:rFonts w:hint="eastAsia" w:ascii="宋体" w:hAnsi="宋体" w:cs="宋体"/>
          <w:sz w:val="24"/>
          <w:szCs w:val="24"/>
          <w:highlight w:val="none"/>
          <w:lang w:val="zh-CN"/>
        </w:rPr>
        <w:t>、按竞争性磋商采购文件的规定，我公司的第一次磋商总报价为：人民币（</w:t>
      </w:r>
      <w:r>
        <w:rPr>
          <w:rFonts w:hint="eastAsia" w:ascii="宋体" w:hAnsi="宋体" w:cs="宋体"/>
          <w:sz w:val="24"/>
          <w:szCs w:val="24"/>
          <w:highlight w:val="none"/>
          <w:u w:val="single"/>
          <w:lang w:val="zh-CN"/>
        </w:rPr>
        <w:t>大写）：（￥：元）</w:t>
      </w:r>
      <w:r>
        <w:rPr>
          <w:rFonts w:hint="eastAsia" w:ascii="宋体" w:hAnsi="宋体" w:cs="宋体"/>
          <w:sz w:val="24"/>
          <w:szCs w:val="24"/>
          <w:highlight w:val="none"/>
          <w:lang w:val="zh-CN"/>
        </w:rPr>
        <w:t>，并对其后的磋商报价负法律责任。</w:t>
      </w:r>
    </w:p>
    <w:p>
      <w:pPr>
        <w:autoSpaceDE w:val="0"/>
        <w:autoSpaceDN w:val="0"/>
        <w:adjustRightInd w:val="0"/>
        <w:snapToGrid w:val="0"/>
        <w:spacing w:line="360" w:lineRule="auto"/>
        <w:ind w:firstLine="629"/>
        <w:rPr>
          <w:rFonts w:ascii="宋体" w:hAnsi="宋体" w:cs="宋体"/>
          <w:sz w:val="24"/>
          <w:szCs w:val="24"/>
          <w:highlight w:val="none"/>
        </w:rPr>
      </w:pPr>
      <w:r>
        <w:rPr>
          <w:rFonts w:hint="eastAsia" w:ascii="宋体" w:hAnsi="宋体" w:cs="宋体"/>
          <w:sz w:val="24"/>
          <w:szCs w:val="24"/>
          <w:highlight w:val="none"/>
        </w:rPr>
        <w:t>3</w:t>
      </w:r>
      <w:r>
        <w:rPr>
          <w:rFonts w:hint="eastAsia" w:ascii="宋体" w:hAnsi="宋体" w:cs="宋体"/>
          <w:sz w:val="24"/>
          <w:szCs w:val="24"/>
          <w:highlight w:val="none"/>
          <w:lang w:val="zh-CN"/>
        </w:rPr>
        <w:t>、我方提交的磋商响应文件正本一份、副本二份、电子标书一份。</w:t>
      </w:r>
    </w:p>
    <w:p>
      <w:pPr>
        <w:autoSpaceDE w:val="0"/>
        <w:autoSpaceDN w:val="0"/>
        <w:adjustRightInd w:val="0"/>
        <w:snapToGrid w:val="0"/>
        <w:spacing w:line="360" w:lineRule="auto"/>
        <w:ind w:firstLine="629"/>
        <w:rPr>
          <w:rFonts w:ascii="宋体" w:hAnsi="宋体" w:cs="宋体"/>
          <w:sz w:val="24"/>
          <w:szCs w:val="24"/>
          <w:highlight w:val="none"/>
        </w:rPr>
      </w:pPr>
      <w:r>
        <w:rPr>
          <w:rFonts w:hint="eastAsia" w:ascii="宋体" w:hAnsi="宋体" w:cs="宋体"/>
          <w:sz w:val="24"/>
          <w:szCs w:val="24"/>
          <w:highlight w:val="none"/>
        </w:rPr>
        <w:t>4</w:t>
      </w:r>
      <w:r>
        <w:rPr>
          <w:rFonts w:hint="eastAsia" w:ascii="宋体" w:hAnsi="宋体" w:cs="宋体"/>
          <w:sz w:val="24"/>
          <w:szCs w:val="24"/>
          <w:highlight w:val="none"/>
          <w:lang w:val="zh-CN"/>
        </w:rPr>
        <w:t>、我方已详细阅读了竞争性磋商采购文件，完全理解并放弃提出含糊不清或易形成歧义的表述和资料。</w:t>
      </w:r>
    </w:p>
    <w:p>
      <w:pPr>
        <w:autoSpaceDE w:val="0"/>
        <w:autoSpaceDN w:val="0"/>
        <w:adjustRightInd w:val="0"/>
        <w:snapToGrid w:val="0"/>
        <w:spacing w:line="360" w:lineRule="auto"/>
        <w:ind w:firstLine="629"/>
        <w:rPr>
          <w:rFonts w:ascii="宋体" w:hAnsi="宋体" w:cs="宋体"/>
          <w:sz w:val="24"/>
          <w:szCs w:val="24"/>
          <w:highlight w:val="none"/>
        </w:rPr>
      </w:pPr>
      <w:r>
        <w:rPr>
          <w:rFonts w:hint="eastAsia" w:ascii="宋体" w:hAnsi="宋体" w:cs="宋体"/>
          <w:sz w:val="24"/>
          <w:szCs w:val="24"/>
          <w:highlight w:val="none"/>
        </w:rPr>
        <w:t>5</w:t>
      </w:r>
      <w:r>
        <w:rPr>
          <w:rFonts w:hint="eastAsia" w:ascii="宋体" w:hAnsi="宋体" w:cs="宋体"/>
          <w:sz w:val="24"/>
          <w:szCs w:val="24"/>
          <w:highlight w:val="none"/>
          <w:lang w:val="zh-CN"/>
        </w:rPr>
        <w:t>、磋商后在规定的有效期内撤回磋商，我方愿接受政府采购的有关处罚决定。</w:t>
      </w:r>
    </w:p>
    <w:p>
      <w:pPr>
        <w:autoSpaceDE w:val="0"/>
        <w:autoSpaceDN w:val="0"/>
        <w:adjustRightInd w:val="0"/>
        <w:snapToGrid w:val="0"/>
        <w:spacing w:line="360" w:lineRule="auto"/>
        <w:ind w:firstLine="629"/>
        <w:rPr>
          <w:rFonts w:ascii="宋体" w:hAnsi="宋体" w:cs="宋体"/>
          <w:sz w:val="24"/>
          <w:szCs w:val="24"/>
          <w:highlight w:val="none"/>
        </w:rPr>
      </w:pPr>
      <w:r>
        <w:rPr>
          <w:rFonts w:hint="eastAsia" w:ascii="宋体" w:hAnsi="宋体" w:cs="宋体"/>
          <w:sz w:val="24"/>
          <w:szCs w:val="24"/>
          <w:highlight w:val="none"/>
        </w:rPr>
        <w:t>6</w:t>
      </w:r>
      <w:r>
        <w:rPr>
          <w:rFonts w:hint="eastAsia" w:ascii="宋体" w:hAnsi="宋体" w:cs="宋体"/>
          <w:sz w:val="24"/>
          <w:szCs w:val="24"/>
          <w:highlight w:val="none"/>
          <w:lang w:val="zh-CN"/>
        </w:rPr>
        <w:t>、同意向贵方提供可能要求的，与本次磋商有关的任何证据或资料，且尊重磋商小组的评审结论和结果。我们完全理解最低磋商报价不作为成交的唯一条件，且尊重磋商小组的评审结论和成交结果。</w:t>
      </w:r>
    </w:p>
    <w:p>
      <w:pPr>
        <w:autoSpaceDE w:val="0"/>
        <w:autoSpaceDN w:val="0"/>
        <w:adjustRightInd w:val="0"/>
        <w:snapToGrid w:val="0"/>
        <w:spacing w:line="360" w:lineRule="auto"/>
        <w:ind w:firstLine="629"/>
        <w:rPr>
          <w:rFonts w:ascii="宋体" w:hAnsi="宋体" w:cs="宋体"/>
          <w:sz w:val="24"/>
          <w:szCs w:val="24"/>
          <w:highlight w:val="none"/>
        </w:rPr>
      </w:pPr>
      <w:r>
        <w:rPr>
          <w:rFonts w:hint="eastAsia" w:ascii="宋体" w:hAnsi="宋体" w:cs="宋体"/>
          <w:sz w:val="24"/>
          <w:szCs w:val="24"/>
          <w:highlight w:val="none"/>
        </w:rPr>
        <w:t>7</w:t>
      </w:r>
      <w:r>
        <w:rPr>
          <w:rFonts w:hint="eastAsia" w:ascii="宋体" w:hAnsi="宋体" w:cs="宋体"/>
          <w:sz w:val="24"/>
          <w:szCs w:val="24"/>
          <w:highlight w:val="none"/>
          <w:lang w:val="zh-CN"/>
        </w:rPr>
        <w:t>、我方的磋商响应文件在磋商后有效期为</w:t>
      </w:r>
      <w:r>
        <w:rPr>
          <w:rFonts w:hint="eastAsia" w:ascii="宋体" w:hAnsi="宋体" w:cs="宋体"/>
          <w:sz w:val="24"/>
          <w:szCs w:val="24"/>
          <w:highlight w:val="none"/>
        </w:rPr>
        <w:t>90</w:t>
      </w:r>
      <w:r>
        <w:rPr>
          <w:rFonts w:hint="eastAsia" w:ascii="宋体" w:hAnsi="宋体" w:cs="宋体"/>
          <w:sz w:val="24"/>
          <w:szCs w:val="24"/>
          <w:highlight w:val="none"/>
          <w:lang w:val="zh-CN"/>
        </w:rPr>
        <w:t>个日历天，若我方成交，磋商响应文件有效期延长至合同执行完毕。</w:t>
      </w:r>
    </w:p>
    <w:p>
      <w:pPr>
        <w:autoSpaceDE w:val="0"/>
        <w:autoSpaceDN w:val="0"/>
        <w:adjustRightInd w:val="0"/>
        <w:snapToGrid w:val="0"/>
        <w:spacing w:line="360" w:lineRule="auto"/>
        <w:ind w:firstLine="629"/>
        <w:rPr>
          <w:rFonts w:ascii="宋体" w:hAnsi="宋体" w:cs="宋体"/>
          <w:sz w:val="24"/>
          <w:szCs w:val="24"/>
          <w:highlight w:val="none"/>
        </w:rPr>
      </w:pPr>
      <w:r>
        <w:rPr>
          <w:rFonts w:hint="eastAsia" w:ascii="宋体" w:hAnsi="宋体" w:cs="宋体"/>
          <w:sz w:val="24"/>
          <w:szCs w:val="24"/>
          <w:highlight w:val="none"/>
        </w:rPr>
        <w:t>8</w:t>
      </w:r>
      <w:r>
        <w:rPr>
          <w:rFonts w:hint="eastAsia" w:ascii="宋体" w:hAnsi="宋体" w:cs="宋体"/>
          <w:sz w:val="24"/>
          <w:szCs w:val="24"/>
          <w:highlight w:val="none"/>
          <w:lang w:val="zh-CN"/>
        </w:rPr>
        <w:t>、有关于本磋商采购文件的函电，请按下列地址联系。</w:t>
      </w:r>
    </w:p>
    <w:p>
      <w:pPr>
        <w:autoSpaceDE w:val="0"/>
        <w:autoSpaceDN w:val="0"/>
        <w:adjustRightInd w:val="0"/>
        <w:spacing w:line="360" w:lineRule="auto"/>
        <w:ind w:firstLine="1440" w:firstLineChars="600"/>
        <w:rPr>
          <w:rFonts w:ascii="宋体" w:hAnsi="宋体" w:cs="宋体"/>
          <w:sz w:val="24"/>
          <w:szCs w:val="24"/>
          <w:highlight w:val="none"/>
          <w:lang w:val="zh-CN"/>
        </w:rPr>
      </w:pPr>
    </w:p>
    <w:p>
      <w:pPr>
        <w:wordWrap w:val="0"/>
        <w:autoSpaceDE w:val="0"/>
        <w:autoSpaceDN w:val="0"/>
        <w:adjustRightInd w:val="0"/>
        <w:spacing w:line="360" w:lineRule="auto"/>
        <w:ind w:firstLine="1440" w:firstLineChars="600"/>
        <w:jc w:val="right"/>
        <w:rPr>
          <w:rFonts w:ascii="宋体" w:hAnsi="宋体" w:cs="宋体"/>
          <w:sz w:val="24"/>
          <w:szCs w:val="24"/>
          <w:highlight w:val="none"/>
          <w:u w:val="single"/>
        </w:rPr>
      </w:pPr>
      <w:r>
        <w:rPr>
          <w:rFonts w:hint="eastAsia" w:ascii="宋体" w:hAnsi="宋体" w:cs="宋体"/>
          <w:sz w:val="24"/>
          <w:szCs w:val="24"/>
          <w:highlight w:val="none"/>
          <w:lang w:val="zh-CN"/>
        </w:rPr>
        <w:t>供应商</w:t>
      </w:r>
      <w:r>
        <w:rPr>
          <w:rFonts w:hint="eastAsia" w:ascii="宋体" w:hAnsi="宋体" w:cs="宋体"/>
          <w:sz w:val="24"/>
          <w:szCs w:val="24"/>
          <w:highlight w:val="none"/>
        </w:rPr>
        <w:t>名称</w:t>
      </w:r>
      <w:r>
        <w:rPr>
          <w:rFonts w:hint="eastAsia" w:ascii="宋体" w:hAnsi="宋体" w:cs="宋体"/>
          <w:sz w:val="24"/>
          <w:szCs w:val="24"/>
          <w:highlight w:val="none"/>
          <w:lang w:val="zh-CN"/>
        </w:rPr>
        <w:t>（印章）：</w:t>
      </w:r>
      <w:r>
        <w:rPr>
          <w:rFonts w:hint="eastAsia" w:ascii="宋体" w:hAnsi="宋体" w:cs="宋体"/>
          <w:sz w:val="24"/>
          <w:szCs w:val="24"/>
          <w:highlight w:val="none"/>
        </w:rPr>
        <w:t xml:space="preserve"> </w:t>
      </w:r>
      <w:r>
        <w:rPr>
          <w:rFonts w:hint="eastAsia" w:ascii="宋体" w:hAnsi="宋体" w:cs="宋体"/>
          <w:sz w:val="24"/>
          <w:szCs w:val="24"/>
          <w:highlight w:val="none"/>
          <w:u w:val="single"/>
        </w:rPr>
        <w:t xml:space="preserve">                      </w:t>
      </w:r>
    </w:p>
    <w:p>
      <w:pPr>
        <w:wordWrap w:val="0"/>
        <w:autoSpaceDE w:val="0"/>
        <w:autoSpaceDN w:val="0"/>
        <w:adjustRightInd w:val="0"/>
        <w:spacing w:line="360" w:lineRule="auto"/>
        <w:ind w:firstLine="1440" w:firstLineChars="600"/>
        <w:jc w:val="right"/>
        <w:rPr>
          <w:rFonts w:ascii="宋体" w:hAnsi="宋体" w:cs="宋体"/>
          <w:sz w:val="24"/>
          <w:szCs w:val="24"/>
          <w:highlight w:val="none"/>
          <w:u w:val="single"/>
        </w:rPr>
      </w:pPr>
      <w:r>
        <w:rPr>
          <w:rFonts w:hint="eastAsia" w:ascii="宋体" w:hAnsi="宋体" w:cs="宋体"/>
          <w:sz w:val="24"/>
          <w:szCs w:val="24"/>
          <w:highlight w:val="none"/>
        </w:rPr>
        <w:t>法定代表人或委托代理人（签字或盖章）</w:t>
      </w:r>
      <w:r>
        <w:rPr>
          <w:rFonts w:hint="eastAsia" w:ascii="宋体" w:hAnsi="宋体" w:cs="宋体"/>
          <w:sz w:val="24"/>
          <w:szCs w:val="24"/>
          <w:highlight w:val="none"/>
          <w:lang w:val="zh-CN"/>
        </w:rPr>
        <w:t>：</w:t>
      </w:r>
      <w:r>
        <w:rPr>
          <w:rFonts w:hint="eastAsia" w:ascii="宋体" w:hAnsi="宋体" w:cs="宋体"/>
          <w:sz w:val="24"/>
          <w:szCs w:val="24"/>
          <w:highlight w:val="none"/>
        </w:rPr>
        <w:t xml:space="preserve"> </w:t>
      </w:r>
      <w:r>
        <w:rPr>
          <w:rFonts w:hint="eastAsia" w:ascii="宋体" w:hAnsi="宋体" w:cs="宋体"/>
          <w:sz w:val="24"/>
          <w:szCs w:val="24"/>
          <w:highlight w:val="none"/>
          <w:u w:val="single"/>
        </w:rPr>
        <w:t xml:space="preserve">              </w:t>
      </w:r>
    </w:p>
    <w:p>
      <w:pPr>
        <w:pStyle w:val="51"/>
        <w:spacing w:line="360" w:lineRule="auto"/>
        <w:ind w:firstLine="3600" w:firstLineChars="1500"/>
        <w:jc w:val="right"/>
        <w:rPr>
          <w:rFonts w:ascii="宋体" w:hAnsi="宋体" w:cs="宋体"/>
          <w:sz w:val="24"/>
          <w:szCs w:val="24"/>
          <w:highlight w:val="none"/>
          <w:lang w:val="zh-CN"/>
        </w:rPr>
      </w:pPr>
      <w:r>
        <w:rPr>
          <w:rFonts w:hint="eastAsia" w:ascii="宋体" w:hAnsi="宋体" w:cs="宋体"/>
          <w:sz w:val="24"/>
          <w:szCs w:val="24"/>
          <w:highlight w:val="none"/>
          <w:u w:val="single"/>
        </w:rPr>
        <w:t xml:space="preserve">     </w:t>
      </w:r>
      <w:r>
        <w:rPr>
          <w:rFonts w:hint="eastAsia" w:ascii="宋体" w:hAnsi="宋体" w:cs="宋体"/>
          <w:sz w:val="24"/>
          <w:szCs w:val="24"/>
          <w:highlight w:val="none"/>
          <w:lang w:val="zh-CN"/>
        </w:rPr>
        <w:t>年</w:t>
      </w:r>
      <w:r>
        <w:rPr>
          <w:rFonts w:hint="eastAsia" w:ascii="宋体" w:hAnsi="宋体" w:cs="宋体"/>
          <w:sz w:val="24"/>
          <w:szCs w:val="24"/>
          <w:highlight w:val="none"/>
          <w:u w:val="single"/>
        </w:rPr>
        <w:t xml:space="preserve">     </w:t>
      </w:r>
      <w:r>
        <w:rPr>
          <w:rFonts w:hint="eastAsia" w:ascii="宋体" w:hAnsi="宋体" w:cs="宋体"/>
          <w:sz w:val="24"/>
          <w:szCs w:val="24"/>
          <w:highlight w:val="none"/>
          <w:lang w:val="zh-CN"/>
        </w:rPr>
        <w:t>月</w:t>
      </w:r>
      <w:r>
        <w:rPr>
          <w:rFonts w:hint="eastAsia" w:ascii="宋体" w:hAnsi="宋体" w:cs="宋体"/>
          <w:sz w:val="24"/>
          <w:szCs w:val="24"/>
          <w:highlight w:val="none"/>
          <w:u w:val="single"/>
        </w:rPr>
        <w:t xml:space="preserve">     </w:t>
      </w:r>
      <w:r>
        <w:rPr>
          <w:rFonts w:hint="eastAsia" w:ascii="宋体" w:hAnsi="宋体" w:cs="宋体"/>
          <w:sz w:val="24"/>
          <w:szCs w:val="24"/>
          <w:highlight w:val="none"/>
          <w:lang w:val="zh-CN"/>
        </w:rPr>
        <w:t>日</w:t>
      </w:r>
    </w:p>
    <w:p>
      <w:pPr>
        <w:pStyle w:val="51"/>
        <w:ind w:firstLine="3150" w:firstLineChars="1500"/>
        <w:rPr>
          <w:rFonts w:ascii="宋体" w:hAnsi="宋体" w:cs="宋体"/>
          <w:szCs w:val="21"/>
          <w:highlight w:val="none"/>
          <w:lang w:val="zh-CN"/>
        </w:rPr>
      </w:pPr>
    </w:p>
    <w:p>
      <w:pPr>
        <w:pStyle w:val="51"/>
        <w:ind w:firstLine="3150" w:firstLineChars="1500"/>
        <w:rPr>
          <w:rFonts w:ascii="宋体" w:hAnsi="宋体" w:cs="宋体"/>
          <w:szCs w:val="21"/>
          <w:highlight w:val="none"/>
          <w:lang w:val="zh-CN"/>
        </w:rPr>
      </w:pPr>
    </w:p>
    <w:p>
      <w:pPr>
        <w:rPr>
          <w:rFonts w:hint="eastAsia" w:ascii="宋体" w:hAnsi="宋体" w:cs="宋体"/>
          <w:b/>
          <w:bCs/>
          <w:sz w:val="28"/>
          <w:szCs w:val="28"/>
          <w:highlight w:val="none"/>
        </w:rPr>
      </w:pPr>
      <w:bookmarkStart w:id="103" w:name="_Toc27570"/>
      <w:bookmarkStart w:id="104" w:name="_Toc28933_WPSOffice_Level2"/>
      <w:r>
        <w:rPr>
          <w:rFonts w:hint="eastAsia" w:ascii="宋体" w:hAnsi="宋体" w:cs="宋体"/>
          <w:b/>
          <w:bCs/>
          <w:sz w:val="28"/>
          <w:szCs w:val="28"/>
          <w:highlight w:val="none"/>
        </w:rPr>
        <w:br w:type="page"/>
      </w:r>
    </w:p>
    <w:p>
      <w:pPr>
        <w:jc w:val="center"/>
        <w:outlineLvl w:val="1"/>
        <w:rPr>
          <w:rFonts w:ascii="宋体" w:hAnsi="宋体" w:cs="宋体"/>
          <w:b/>
          <w:bCs/>
          <w:sz w:val="28"/>
          <w:szCs w:val="28"/>
          <w:highlight w:val="none"/>
        </w:rPr>
      </w:pPr>
      <w:r>
        <w:rPr>
          <w:rFonts w:hint="eastAsia" w:ascii="宋体" w:hAnsi="宋体" w:cs="宋体"/>
          <w:b/>
          <w:bCs/>
          <w:sz w:val="28"/>
          <w:szCs w:val="28"/>
          <w:highlight w:val="none"/>
        </w:rPr>
        <w:t>二、法定代表人证明书</w:t>
      </w:r>
      <w:bookmarkEnd w:id="103"/>
      <w:bookmarkEnd w:id="104"/>
    </w:p>
    <w:p>
      <w:pPr>
        <w:spacing w:line="440" w:lineRule="exact"/>
        <w:rPr>
          <w:rFonts w:ascii="宋体" w:hAnsi="宋体" w:cs="宋体"/>
          <w:sz w:val="24"/>
          <w:szCs w:val="24"/>
          <w:highlight w:val="none"/>
        </w:rPr>
      </w:pPr>
    </w:p>
    <w:p>
      <w:pPr>
        <w:spacing w:line="360" w:lineRule="auto"/>
        <w:rPr>
          <w:color w:val="000000"/>
          <w:sz w:val="24"/>
          <w:szCs w:val="24"/>
          <w:highlight w:val="none"/>
        </w:rPr>
      </w:pPr>
      <w:r>
        <w:rPr>
          <w:rFonts w:hint="eastAsia"/>
          <w:color w:val="000000"/>
          <w:sz w:val="24"/>
          <w:szCs w:val="24"/>
          <w:highlight w:val="none"/>
        </w:rPr>
        <w:t>供应商</w:t>
      </w:r>
      <w:r>
        <w:rPr>
          <w:color w:val="000000"/>
          <w:sz w:val="24"/>
          <w:szCs w:val="24"/>
          <w:highlight w:val="none"/>
        </w:rPr>
        <w:t>名称：</w:t>
      </w:r>
      <w:r>
        <w:rPr>
          <w:color w:val="000000"/>
          <w:sz w:val="24"/>
          <w:szCs w:val="24"/>
          <w:highlight w:val="none"/>
          <w:u w:val="single"/>
        </w:rPr>
        <w:t xml:space="preserve">                            </w:t>
      </w:r>
      <w:r>
        <w:rPr>
          <w:color w:val="000000"/>
          <w:sz w:val="24"/>
          <w:szCs w:val="24"/>
          <w:highlight w:val="none"/>
        </w:rPr>
        <w:t xml:space="preserve"> </w:t>
      </w:r>
    </w:p>
    <w:p>
      <w:pPr>
        <w:spacing w:line="360" w:lineRule="auto"/>
        <w:rPr>
          <w:color w:val="000000"/>
          <w:sz w:val="24"/>
          <w:szCs w:val="24"/>
          <w:highlight w:val="none"/>
        </w:rPr>
      </w:pPr>
      <w:r>
        <w:rPr>
          <w:color w:val="000000"/>
          <w:sz w:val="24"/>
          <w:szCs w:val="24"/>
          <w:highlight w:val="none"/>
        </w:rPr>
        <w:t>单位性质：</w:t>
      </w:r>
      <w:r>
        <w:rPr>
          <w:color w:val="000000"/>
          <w:sz w:val="24"/>
          <w:szCs w:val="24"/>
          <w:highlight w:val="none"/>
          <w:u w:val="single"/>
        </w:rPr>
        <w:t xml:space="preserve">                               </w:t>
      </w:r>
      <w:r>
        <w:rPr>
          <w:color w:val="000000"/>
          <w:sz w:val="24"/>
          <w:szCs w:val="24"/>
          <w:highlight w:val="none"/>
        </w:rPr>
        <w:t xml:space="preserve"> </w:t>
      </w:r>
    </w:p>
    <w:p>
      <w:pPr>
        <w:spacing w:line="360" w:lineRule="auto"/>
        <w:rPr>
          <w:color w:val="000000"/>
          <w:sz w:val="24"/>
          <w:szCs w:val="24"/>
          <w:highlight w:val="none"/>
        </w:rPr>
      </w:pPr>
      <w:r>
        <w:rPr>
          <w:color w:val="000000"/>
          <w:sz w:val="24"/>
          <w:szCs w:val="24"/>
          <w:highlight w:val="none"/>
        </w:rPr>
        <w:t>地址：</w:t>
      </w:r>
      <w:r>
        <w:rPr>
          <w:color w:val="000000"/>
          <w:sz w:val="24"/>
          <w:szCs w:val="24"/>
          <w:highlight w:val="none"/>
          <w:u w:val="single"/>
        </w:rPr>
        <w:t xml:space="preserve">                                   </w:t>
      </w:r>
    </w:p>
    <w:p>
      <w:pPr>
        <w:spacing w:line="360" w:lineRule="auto"/>
        <w:rPr>
          <w:color w:val="000000"/>
          <w:sz w:val="24"/>
          <w:szCs w:val="24"/>
          <w:highlight w:val="none"/>
        </w:rPr>
      </w:pPr>
      <w:r>
        <w:rPr>
          <w:color w:val="000000"/>
          <w:sz w:val="24"/>
          <w:szCs w:val="24"/>
          <w:highlight w:val="none"/>
        </w:rPr>
        <w:t>成立时间：</w:t>
      </w:r>
      <w:r>
        <w:rPr>
          <w:color w:val="000000"/>
          <w:sz w:val="24"/>
          <w:szCs w:val="24"/>
          <w:highlight w:val="none"/>
          <w:u w:val="single"/>
        </w:rPr>
        <w:t xml:space="preserve">         </w:t>
      </w:r>
      <w:r>
        <w:rPr>
          <w:color w:val="000000"/>
          <w:sz w:val="24"/>
          <w:szCs w:val="24"/>
          <w:highlight w:val="none"/>
        </w:rPr>
        <w:t xml:space="preserve"> 年</w:t>
      </w:r>
      <w:r>
        <w:rPr>
          <w:color w:val="000000"/>
          <w:sz w:val="24"/>
          <w:szCs w:val="24"/>
          <w:highlight w:val="none"/>
          <w:u w:val="single"/>
        </w:rPr>
        <w:t xml:space="preserve">       </w:t>
      </w:r>
      <w:r>
        <w:rPr>
          <w:color w:val="000000"/>
          <w:sz w:val="24"/>
          <w:szCs w:val="24"/>
          <w:highlight w:val="none"/>
        </w:rPr>
        <w:t xml:space="preserve"> 月</w:t>
      </w:r>
      <w:r>
        <w:rPr>
          <w:color w:val="000000"/>
          <w:sz w:val="24"/>
          <w:szCs w:val="24"/>
          <w:highlight w:val="none"/>
          <w:u w:val="single"/>
        </w:rPr>
        <w:t xml:space="preserve">       </w:t>
      </w:r>
      <w:r>
        <w:rPr>
          <w:color w:val="000000"/>
          <w:sz w:val="24"/>
          <w:szCs w:val="24"/>
          <w:highlight w:val="none"/>
        </w:rPr>
        <w:t xml:space="preserve"> 日</w:t>
      </w:r>
    </w:p>
    <w:p>
      <w:pPr>
        <w:spacing w:line="360" w:lineRule="auto"/>
        <w:rPr>
          <w:color w:val="000000"/>
          <w:sz w:val="24"/>
          <w:szCs w:val="24"/>
          <w:highlight w:val="none"/>
        </w:rPr>
      </w:pPr>
      <w:r>
        <w:rPr>
          <w:color w:val="000000"/>
          <w:sz w:val="24"/>
          <w:szCs w:val="24"/>
          <w:highlight w:val="none"/>
        </w:rPr>
        <w:t>经营期限：</w:t>
      </w:r>
      <w:r>
        <w:rPr>
          <w:color w:val="000000"/>
          <w:sz w:val="24"/>
          <w:szCs w:val="24"/>
          <w:highlight w:val="none"/>
          <w:u w:val="single"/>
        </w:rPr>
        <w:t xml:space="preserve">                               </w:t>
      </w:r>
    </w:p>
    <w:p>
      <w:pPr>
        <w:spacing w:line="360" w:lineRule="auto"/>
        <w:rPr>
          <w:color w:val="000000"/>
          <w:sz w:val="24"/>
          <w:szCs w:val="24"/>
          <w:highlight w:val="none"/>
        </w:rPr>
      </w:pPr>
      <w:r>
        <w:rPr>
          <w:color w:val="000000"/>
          <w:sz w:val="24"/>
          <w:szCs w:val="24"/>
          <w:highlight w:val="none"/>
        </w:rPr>
        <w:t>姓名：</w:t>
      </w:r>
      <w:r>
        <w:rPr>
          <w:color w:val="000000"/>
          <w:sz w:val="24"/>
          <w:szCs w:val="24"/>
          <w:highlight w:val="none"/>
          <w:u w:val="single"/>
        </w:rPr>
        <w:t xml:space="preserve">  </w:t>
      </w:r>
      <w:r>
        <w:rPr>
          <w:rFonts w:hint="eastAsia"/>
          <w:bCs/>
          <w:color w:val="000000"/>
          <w:sz w:val="24"/>
          <w:szCs w:val="24"/>
          <w:highlight w:val="none"/>
          <w:u w:val="single"/>
        </w:rPr>
        <w:t xml:space="preserve">     </w:t>
      </w:r>
      <w:r>
        <w:rPr>
          <w:color w:val="000000"/>
          <w:sz w:val="24"/>
          <w:szCs w:val="24"/>
          <w:highlight w:val="none"/>
          <w:u w:val="single"/>
        </w:rPr>
        <w:t xml:space="preserve">  </w:t>
      </w:r>
      <w:r>
        <w:rPr>
          <w:color w:val="000000"/>
          <w:sz w:val="24"/>
          <w:szCs w:val="24"/>
          <w:highlight w:val="none"/>
        </w:rPr>
        <w:t xml:space="preserve"> 性别：</w:t>
      </w:r>
      <w:r>
        <w:rPr>
          <w:color w:val="000000"/>
          <w:sz w:val="24"/>
          <w:szCs w:val="24"/>
          <w:highlight w:val="none"/>
          <w:u w:val="single"/>
        </w:rPr>
        <w:t xml:space="preserve">     </w:t>
      </w:r>
      <w:r>
        <w:rPr>
          <w:color w:val="000000"/>
          <w:sz w:val="24"/>
          <w:szCs w:val="24"/>
          <w:highlight w:val="none"/>
        </w:rPr>
        <w:t xml:space="preserve"> 年龄：</w:t>
      </w:r>
      <w:r>
        <w:rPr>
          <w:color w:val="000000"/>
          <w:sz w:val="24"/>
          <w:szCs w:val="24"/>
          <w:highlight w:val="none"/>
          <w:u w:val="single"/>
        </w:rPr>
        <w:t xml:space="preserve">        </w:t>
      </w:r>
      <w:r>
        <w:rPr>
          <w:color w:val="000000"/>
          <w:sz w:val="24"/>
          <w:szCs w:val="24"/>
          <w:highlight w:val="none"/>
        </w:rPr>
        <w:t>职务：</w:t>
      </w:r>
      <w:r>
        <w:rPr>
          <w:color w:val="000000"/>
          <w:sz w:val="24"/>
          <w:szCs w:val="24"/>
          <w:highlight w:val="none"/>
          <w:u w:val="single"/>
        </w:rPr>
        <w:t xml:space="preserve">        </w:t>
      </w:r>
    </w:p>
    <w:p>
      <w:pPr>
        <w:spacing w:line="360" w:lineRule="auto"/>
        <w:rPr>
          <w:color w:val="000000"/>
          <w:sz w:val="24"/>
          <w:szCs w:val="24"/>
          <w:highlight w:val="none"/>
        </w:rPr>
      </w:pPr>
      <w:r>
        <w:rPr>
          <w:color w:val="000000"/>
          <w:sz w:val="24"/>
          <w:szCs w:val="24"/>
          <w:highlight w:val="none"/>
        </w:rPr>
        <w:t>系</w:t>
      </w:r>
      <w:r>
        <w:rPr>
          <w:color w:val="000000"/>
          <w:sz w:val="24"/>
          <w:szCs w:val="24"/>
          <w:highlight w:val="none"/>
          <w:u w:val="single"/>
        </w:rPr>
        <w:t xml:space="preserve">                             </w:t>
      </w:r>
      <w:r>
        <w:rPr>
          <w:color w:val="000000"/>
          <w:sz w:val="24"/>
          <w:szCs w:val="24"/>
          <w:highlight w:val="none"/>
        </w:rPr>
        <w:t xml:space="preserve"> (</w:t>
      </w:r>
      <w:r>
        <w:rPr>
          <w:rFonts w:hint="eastAsia"/>
          <w:color w:val="000000"/>
          <w:sz w:val="24"/>
          <w:szCs w:val="24"/>
          <w:highlight w:val="none"/>
        </w:rPr>
        <w:t>供应商</w:t>
      </w:r>
      <w:r>
        <w:rPr>
          <w:color w:val="000000"/>
          <w:sz w:val="24"/>
          <w:szCs w:val="24"/>
          <w:highlight w:val="none"/>
        </w:rPr>
        <w:t>名称)的法定代表人。</w:t>
      </w:r>
    </w:p>
    <w:p>
      <w:pPr>
        <w:spacing w:line="360" w:lineRule="auto"/>
        <w:ind w:firstLine="480" w:firstLineChars="200"/>
        <w:rPr>
          <w:color w:val="000000"/>
          <w:sz w:val="24"/>
          <w:szCs w:val="24"/>
          <w:highlight w:val="none"/>
        </w:rPr>
      </w:pPr>
      <w:r>
        <w:rPr>
          <w:color w:val="000000"/>
          <w:sz w:val="24"/>
          <w:szCs w:val="24"/>
          <w:highlight w:val="none"/>
        </w:rPr>
        <w:t>特此证明。</w:t>
      </w:r>
    </w:p>
    <w:p>
      <w:pPr>
        <w:spacing w:line="360" w:lineRule="auto"/>
        <w:rPr>
          <w:color w:val="000000"/>
          <w:sz w:val="24"/>
          <w:szCs w:val="24"/>
          <w:highlight w:val="none"/>
        </w:rPr>
      </w:pPr>
      <w:r>
        <w:rPr>
          <w:color w:val="000000"/>
          <w:sz w:val="24"/>
          <w:szCs w:val="24"/>
          <w:highlight w:val="none"/>
        </w:rPr>
        <w:t xml:space="preserve">                           </w:t>
      </w:r>
      <w:r>
        <w:rPr>
          <w:rFonts w:hint="eastAsia"/>
          <w:color w:val="000000"/>
          <w:sz w:val="24"/>
          <w:szCs w:val="24"/>
          <w:highlight w:val="none"/>
        </w:rPr>
        <w:t>供应商</w:t>
      </w:r>
      <w:r>
        <w:rPr>
          <w:color w:val="000000"/>
          <w:sz w:val="24"/>
          <w:szCs w:val="24"/>
          <w:highlight w:val="none"/>
        </w:rPr>
        <w:t>：</w:t>
      </w:r>
      <w:r>
        <w:rPr>
          <w:color w:val="000000"/>
          <w:sz w:val="24"/>
          <w:szCs w:val="24"/>
          <w:highlight w:val="none"/>
          <w:u w:val="single"/>
        </w:rPr>
        <w:t xml:space="preserve">              </w:t>
      </w:r>
      <w:r>
        <w:rPr>
          <w:rFonts w:hint="eastAsia"/>
          <w:color w:val="000000"/>
          <w:sz w:val="24"/>
          <w:szCs w:val="24"/>
          <w:highlight w:val="none"/>
          <w:u w:val="single"/>
        </w:rPr>
        <w:t xml:space="preserve">   </w:t>
      </w:r>
      <w:r>
        <w:rPr>
          <w:color w:val="000000"/>
          <w:sz w:val="24"/>
          <w:szCs w:val="24"/>
          <w:highlight w:val="none"/>
          <w:u w:val="single"/>
        </w:rPr>
        <w:t xml:space="preserve">   </w:t>
      </w:r>
      <w:r>
        <w:rPr>
          <w:color w:val="000000"/>
          <w:sz w:val="24"/>
          <w:szCs w:val="24"/>
          <w:highlight w:val="none"/>
        </w:rPr>
        <w:t>(盖章)</w:t>
      </w:r>
    </w:p>
    <w:p>
      <w:pPr>
        <w:spacing w:line="360" w:lineRule="auto"/>
        <w:ind w:firstLine="4418" w:firstLineChars="1841"/>
        <w:jc w:val="left"/>
        <w:rPr>
          <w:color w:val="000000"/>
          <w:sz w:val="24"/>
          <w:szCs w:val="24"/>
          <w:highlight w:val="none"/>
        </w:rPr>
      </w:pPr>
      <w:r>
        <w:rPr>
          <w:color w:val="000000"/>
          <w:sz w:val="24"/>
          <w:szCs w:val="24"/>
          <w:highlight w:val="none"/>
        </w:rPr>
        <w:t xml:space="preserve"> </w:t>
      </w:r>
      <w:r>
        <w:rPr>
          <w:color w:val="000000"/>
          <w:sz w:val="24"/>
          <w:szCs w:val="24"/>
          <w:highlight w:val="none"/>
          <w:u w:val="single"/>
        </w:rPr>
        <w:t xml:space="preserve">      </w:t>
      </w:r>
      <w:r>
        <w:rPr>
          <w:color w:val="000000"/>
          <w:sz w:val="24"/>
          <w:szCs w:val="24"/>
          <w:highlight w:val="none"/>
        </w:rPr>
        <w:t>年</w:t>
      </w:r>
      <w:r>
        <w:rPr>
          <w:color w:val="000000"/>
          <w:sz w:val="24"/>
          <w:szCs w:val="24"/>
          <w:highlight w:val="none"/>
          <w:u w:val="single"/>
        </w:rPr>
        <w:t xml:space="preserve">      </w:t>
      </w:r>
      <w:r>
        <w:rPr>
          <w:color w:val="000000"/>
          <w:sz w:val="24"/>
          <w:szCs w:val="24"/>
          <w:highlight w:val="none"/>
        </w:rPr>
        <w:t>月</w:t>
      </w:r>
      <w:r>
        <w:rPr>
          <w:color w:val="000000"/>
          <w:sz w:val="24"/>
          <w:szCs w:val="24"/>
          <w:highlight w:val="none"/>
          <w:u w:val="single"/>
        </w:rPr>
        <w:t xml:space="preserve">   </w:t>
      </w:r>
      <w:r>
        <w:rPr>
          <w:color w:val="000000"/>
          <w:sz w:val="24"/>
          <w:szCs w:val="24"/>
          <w:highlight w:val="none"/>
        </w:rPr>
        <w:t xml:space="preserve"> 日</w:t>
      </w:r>
    </w:p>
    <w:p>
      <w:pPr>
        <w:topLinePunct/>
        <w:spacing w:line="440" w:lineRule="exact"/>
        <w:rPr>
          <w:rFonts w:eastAsia="黑体"/>
          <w:color w:val="000000"/>
          <w:sz w:val="24"/>
          <w:szCs w:val="24"/>
          <w:highlight w:val="none"/>
        </w:rPr>
      </w:pPr>
    </w:p>
    <w:tbl>
      <w:tblPr>
        <w:tblStyle w:val="24"/>
        <w:tblW w:w="9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0" w:hRule="atLeast"/>
        </w:trPr>
        <w:tc>
          <w:tcPr>
            <w:tcW w:w="9300" w:type="dxa"/>
            <w:vAlign w:val="center"/>
          </w:tcPr>
          <w:p>
            <w:pPr>
              <w:overflowPunct w:val="0"/>
              <w:spacing w:line="360" w:lineRule="auto"/>
              <w:jc w:val="center"/>
              <w:rPr>
                <w:rFonts w:ascii="宋体" w:hAnsi="宋体" w:cs="宋体"/>
                <w:sz w:val="24"/>
                <w:szCs w:val="24"/>
                <w:highlight w:val="none"/>
              </w:rPr>
            </w:pPr>
            <w:r>
              <w:rPr>
                <w:rFonts w:hint="eastAsia" w:ascii="宋体" w:hAnsi="宋体" w:cs="宋体"/>
                <w:sz w:val="24"/>
                <w:szCs w:val="24"/>
                <w:highlight w:val="none"/>
              </w:rPr>
              <w:t>法定代表人身份证复印件</w:t>
            </w:r>
          </w:p>
          <w:p>
            <w:pPr>
              <w:topLinePunct/>
              <w:spacing w:line="440" w:lineRule="exact"/>
              <w:jc w:val="center"/>
              <w:rPr>
                <w:rFonts w:eastAsia="黑体"/>
                <w:color w:val="000000"/>
                <w:sz w:val="24"/>
                <w:szCs w:val="24"/>
                <w:highlight w:val="none"/>
              </w:rPr>
            </w:pPr>
            <w:r>
              <w:rPr>
                <w:rFonts w:hint="eastAsia" w:ascii="宋体" w:hAnsi="宋体" w:cs="宋体"/>
                <w:sz w:val="24"/>
                <w:szCs w:val="24"/>
                <w:highlight w:val="none"/>
              </w:rPr>
              <w:t>（正、反面）</w:t>
            </w:r>
          </w:p>
        </w:tc>
      </w:tr>
    </w:tbl>
    <w:p>
      <w:pPr>
        <w:topLinePunct/>
        <w:spacing w:line="440" w:lineRule="exact"/>
        <w:rPr>
          <w:rFonts w:ascii="宋体" w:hAnsi="宋体" w:cs="宋体"/>
          <w:sz w:val="24"/>
          <w:highlight w:val="none"/>
        </w:rPr>
      </w:pPr>
    </w:p>
    <w:p>
      <w:pPr>
        <w:overflowPunct w:val="0"/>
        <w:spacing w:line="360" w:lineRule="auto"/>
        <w:jc w:val="center"/>
        <w:outlineLvl w:val="1"/>
        <w:rPr>
          <w:rFonts w:ascii="宋体" w:hAnsi="宋体" w:cs="宋体"/>
          <w:b/>
          <w:bCs/>
          <w:sz w:val="28"/>
          <w:szCs w:val="28"/>
          <w:highlight w:val="none"/>
        </w:rPr>
      </w:pPr>
    </w:p>
    <w:p>
      <w:pPr>
        <w:overflowPunct w:val="0"/>
        <w:spacing w:line="360" w:lineRule="auto"/>
        <w:jc w:val="center"/>
        <w:outlineLvl w:val="1"/>
        <w:rPr>
          <w:rFonts w:ascii="宋体" w:hAnsi="宋体" w:cs="宋体"/>
          <w:b/>
          <w:bCs/>
          <w:sz w:val="28"/>
          <w:szCs w:val="28"/>
          <w:highlight w:val="none"/>
        </w:rPr>
      </w:pPr>
    </w:p>
    <w:p>
      <w:pPr>
        <w:rPr>
          <w:rFonts w:hint="eastAsia" w:ascii="宋体" w:hAnsi="宋体" w:cs="宋体"/>
          <w:b/>
          <w:bCs/>
          <w:sz w:val="28"/>
          <w:szCs w:val="28"/>
          <w:highlight w:val="none"/>
        </w:rPr>
      </w:pPr>
      <w:bookmarkStart w:id="105" w:name="_Toc16330"/>
      <w:r>
        <w:rPr>
          <w:rFonts w:hint="eastAsia" w:ascii="宋体" w:hAnsi="宋体" w:cs="宋体"/>
          <w:b/>
          <w:bCs/>
          <w:sz w:val="28"/>
          <w:szCs w:val="28"/>
          <w:highlight w:val="none"/>
        </w:rPr>
        <w:br w:type="page"/>
      </w:r>
    </w:p>
    <w:p>
      <w:pPr>
        <w:overflowPunct w:val="0"/>
        <w:spacing w:line="360" w:lineRule="auto"/>
        <w:jc w:val="center"/>
        <w:outlineLvl w:val="1"/>
        <w:rPr>
          <w:rFonts w:ascii="宋体" w:hAnsi="宋体" w:cs="宋体"/>
          <w:b/>
          <w:bCs/>
          <w:sz w:val="28"/>
          <w:szCs w:val="28"/>
          <w:highlight w:val="none"/>
        </w:rPr>
      </w:pPr>
      <w:r>
        <w:rPr>
          <w:rFonts w:hint="eastAsia" w:ascii="宋体" w:hAnsi="宋体" w:cs="宋体"/>
          <w:b/>
          <w:bCs/>
          <w:sz w:val="28"/>
          <w:szCs w:val="28"/>
          <w:highlight w:val="none"/>
        </w:rPr>
        <w:t>三、法人授权委托书</w:t>
      </w:r>
      <w:bookmarkEnd w:id="105"/>
    </w:p>
    <w:p>
      <w:pPr>
        <w:overflowPunct w:val="0"/>
        <w:spacing w:line="480" w:lineRule="auto"/>
        <w:ind w:left="109" w:leftChars="52" w:firstLine="600" w:firstLineChars="250"/>
        <w:rPr>
          <w:rFonts w:ascii="宋体" w:hAnsi="宋体" w:cs="宋体"/>
          <w:sz w:val="24"/>
          <w:szCs w:val="24"/>
          <w:highlight w:val="none"/>
        </w:rPr>
      </w:pPr>
      <w:r>
        <w:rPr>
          <w:rFonts w:hint="eastAsia" w:ascii="宋体" w:hAnsi="宋体" w:cs="宋体"/>
          <w:sz w:val="24"/>
          <w:szCs w:val="24"/>
          <w:highlight w:val="none"/>
        </w:rPr>
        <w:t>本授权委托书声明：我（法定代表人姓名）系注册于</w:t>
      </w:r>
      <w:r>
        <w:rPr>
          <w:rFonts w:hint="eastAsia" w:ascii="宋体" w:hAnsi="宋体" w:cs="宋体"/>
          <w:sz w:val="24"/>
          <w:szCs w:val="24"/>
          <w:highlight w:val="none"/>
          <w:u w:val="single"/>
        </w:rPr>
        <w:t xml:space="preserve">  （供应商地址）     </w:t>
      </w:r>
      <w:r>
        <w:rPr>
          <w:rFonts w:hint="eastAsia" w:ascii="宋体" w:hAnsi="宋体" w:cs="宋体"/>
          <w:sz w:val="24"/>
          <w:szCs w:val="24"/>
          <w:highlight w:val="none"/>
        </w:rPr>
        <w:t>的</w:t>
      </w:r>
      <w:r>
        <w:rPr>
          <w:rFonts w:hint="eastAsia" w:ascii="宋体" w:hAnsi="宋体" w:cs="宋体"/>
          <w:sz w:val="24"/>
          <w:szCs w:val="24"/>
          <w:highlight w:val="none"/>
          <w:u w:val="single"/>
        </w:rPr>
        <w:t xml:space="preserve">        （供应商名称）</w:t>
      </w:r>
      <w:r>
        <w:rPr>
          <w:rFonts w:hint="eastAsia" w:ascii="宋体" w:hAnsi="宋体" w:cs="宋体"/>
          <w:sz w:val="24"/>
          <w:szCs w:val="24"/>
          <w:highlight w:val="none"/>
        </w:rPr>
        <w:t>的法定代表人，现授权（被授权人姓名、职务）为我公司合法代理人，就签署</w:t>
      </w:r>
      <w:r>
        <w:rPr>
          <w:rFonts w:hint="eastAsia" w:ascii="宋体" w:hAnsi="宋体" w:cs="宋体"/>
          <w:sz w:val="24"/>
          <w:szCs w:val="24"/>
          <w:highlight w:val="none"/>
          <w:u w:val="single"/>
        </w:rPr>
        <w:t xml:space="preserve">  （项目名称）（采购编号）</w:t>
      </w:r>
      <w:r>
        <w:rPr>
          <w:rFonts w:hint="eastAsia" w:ascii="宋体" w:hAnsi="宋体" w:cs="宋体"/>
          <w:sz w:val="24"/>
          <w:szCs w:val="24"/>
          <w:highlight w:val="none"/>
          <w:u w:val="single"/>
          <w:lang w:eastAsia="zh-CN"/>
        </w:rPr>
        <w:t>（</w:t>
      </w:r>
      <w:r>
        <w:rPr>
          <w:rFonts w:hint="eastAsia" w:ascii="宋体" w:hAnsi="宋体" w:cs="宋体"/>
          <w:sz w:val="24"/>
          <w:szCs w:val="24"/>
          <w:highlight w:val="none"/>
          <w:u w:val="single"/>
          <w:lang w:val="en-US" w:eastAsia="zh-CN"/>
        </w:rPr>
        <w:t>包号</w:t>
      </w:r>
      <w:r>
        <w:rPr>
          <w:rFonts w:hint="eastAsia" w:ascii="宋体" w:hAnsi="宋体" w:cs="宋体"/>
          <w:sz w:val="24"/>
          <w:szCs w:val="24"/>
          <w:highlight w:val="none"/>
          <w:u w:val="single"/>
          <w:lang w:eastAsia="zh-CN"/>
        </w:rPr>
        <w:t>）</w:t>
      </w:r>
      <w:r>
        <w:rPr>
          <w:rFonts w:hint="eastAsia" w:ascii="宋体" w:hAnsi="宋体" w:cs="宋体"/>
          <w:sz w:val="24"/>
          <w:szCs w:val="24"/>
          <w:highlight w:val="none"/>
          <w:u w:val="single"/>
        </w:rPr>
        <w:t xml:space="preserve">     </w:t>
      </w:r>
      <w:r>
        <w:rPr>
          <w:rFonts w:hint="eastAsia" w:ascii="宋体" w:hAnsi="宋体" w:cs="宋体"/>
          <w:sz w:val="24"/>
          <w:szCs w:val="24"/>
          <w:highlight w:val="none"/>
        </w:rPr>
        <w:t>磋商活动相关文件及合同，以本公司名义处理一切与之有关的事宜。</w:t>
      </w:r>
    </w:p>
    <w:p>
      <w:pPr>
        <w:overflowPunct w:val="0"/>
        <w:spacing w:line="360" w:lineRule="auto"/>
        <w:ind w:left="109" w:leftChars="51" w:hanging="2"/>
        <w:rPr>
          <w:rFonts w:ascii="宋体" w:hAnsi="宋体" w:cs="宋体"/>
          <w:sz w:val="24"/>
          <w:szCs w:val="24"/>
          <w:highlight w:val="none"/>
        </w:rPr>
      </w:pPr>
      <w:r>
        <w:rPr>
          <w:rFonts w:hint="eastAsia" w:ascii="宋体" w:hAnsi="宋体" w:cs="宋体"/>
          <w:sz w:val="24"/>
          <w:szCs w:val="24"/>
          <w:highlight w:val="none"/>
        </w:rPr>
        <w:t xml:space="preserve">  代理人无转委托权，特此委托。</w:t>
      </w:r>
    </w:p>
    <w:p>
      <w:pPr>
        <w:overflowPunct w:val="0"/>
        <w:spacing w:line="480" w:lineRule="auto"/>
        <w:rPr>
          <w:rFonts w:ascii="宋体" w:hAnsi="宋体" w:cs="宋体"/>
          <w:sz w:val="24"/>
          <w:szCs w:val="24"/>
          <w:highlight w:val="none"/>
        </w:rPr>
      </w:pPr>
      <w:r>
        <w:rPr>
          <w:rFonts w:hint="eastAsia" w:ascii="宋体" w:hAnsi="宋体" w:cs="宋体"/>
          <w:sz w:val="24"/>
          <w:szCs w:val="24"/>
          <w:highlight w:val="none"/>
        </w:rPr>
        <w:t>法人代表（签字或盖章）：             被授权人（签字）：</w:t>
      </w:r>
    </w:p>
    <w:p>
      <w:pPr>
        <w:overflowPunct w:val="0"/>
        <w:spacing w:line="480" w:lineRule="auto"/>
        <w:rPr>
          <w:rFonts w:ascii="宋体" w:hAnsi="宋体" w:cs="宋体"/>
          <w:sz w:val="24"/>
          <w:szCs w:val="24"/>
          <w:highlight w:val="none"/>
        </w:rPr>
      </w:pPr>
      <w:r>
        <w:rPr>
          <w:rFonts w:hint="eastAsia" w:ascii="宋体" w:hAnsi="宋体" w:cs="宋体"/>
          <w:sz w:val="24"/>
          <w:szCs w:val="24"/>
          <w:highlight w:val="none"/>
        </w:rPr>
        <w:t>职    务：                           职    务：</w:t>
      </w:r>
    </w:p>
    <w:p>
      <w:pPr>
        <w:overflowPunct w:val="0"/>
        <w:spacing w:line="480" w:lineRule="auto"/>
        <w:rPr>
          <w:rFonts w:ascii="宋体" w:hAnsi="宋体" w:cs="宋体"/>
          <w:sz w:val="24"/>
          <w:szCs w:val="24"/>
          <w:highlight w:val="none"/>
        </w:rPr>
      </w:pPr>
      <w:r>
        <w:rPr>
          <w:rFonts w:hint="eastAsia" w:ascii="宋体" w:hAnsi="宋体" w:cs="宋体"/>
          <w:sz w:val="24"/>
          <w:szCs w:val="24"/>
          <w:highlight w:val="none"/>
        </w:rPr>
        <w:t>身份证号：                           身份证号：</w:t>
      </w:r>
    </w:p>
    <w:p>
      <w:pPr>
        <w:overflowPunct w:val="0"/>
        <w:spacing w:line="480" w:lineRule="auto"/>
        <w:ind w:firstLine="240" w:firstLineChars="100"/>
        <w:rPr>
          <w:rFonts w:ascii="宋体" w:hAnsi="宋体" w:cs="宋体"/>
          <w:bCs/>
          <w:sz w:val="24"/>
          <w:szCs w:val="24"/>
          <w:highlight w:val="none"/>
        </w:rPr>
      </w:pPr>
      <w:r>
        <w:rPr>
          <w:rFonts w:hint="eastAsia" w:ascii="宋体" w:hAnsi="宋体" w:cs="宋体"/>
          <w:sz w:val="24"/>
          <w:szCs w:val="24"/>
          <w:highlight w:val="none"/>
        </w:rPr>
        <w:t>附：法定代表人、被授权人身份证复印件。</w:t>
      </w:r>
    </w:p>
    <w:tbl>
      <w:tblPr>
        <w:tblStyle w:val="23"/>
        <w:tblW w:w="9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90"/>
        <w:gridCol w:w="4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4" w:hRule="atLeast"/>
        </w:trPr>
        <w:tc>
          <w:tcPr>
            <w:tcW w:w="4790" w:type="dxa"/>
            <w:tcBorders>
              <w:top w:val="single" w:color="auto" w:sz="4" w:space="0"/>
              <w:left w:val="single" w:color="auto" w:sz="4" w:space="0"/>
              <w:right w:val="single" w:color="auto" w:sz="4" w:space="0"/>
            </w:tcBorders>
            <w:vAlign w:val="center"/>
          </w:tcPr>
          <w:p>
            <w:pPr>
              <w:overflowPunct w:val="0"/>
              <w:spacing w:line="360" w:lineRule="auto"/>
              <w:jc w:val="center"/>
              <w:rPr>
                <w:rFonts w:ascii="宋体" w:hAnsi="宋体" w:cs="宋体"/>
                <w:sz w:val="24"/>
                <w:szCs w:val="24"/>
                <w:highlight w:val="none"/>
              </w:rPr>
            </w:pPr>
            <w:r>
              <w:rPr>
                <w:rFonts w:hint="eastAsia" w:ascii="宋体" w:hAnsi="宋体" w:cs="宋体"/>
                <w:sz w:val="24"/>
                <w:szCs w:val="24"/>
                <w:highlight w:val="none"/>
              </w:rPr>
              <w:t>法定代表人身份证复印件</w:t>
            </w:r>
          </w:p>
          <w:p>
            <w:pPr>
              <w:overflowPunct w:val="0"/>
              <w:spacing w:line="360" w:lineRule="auto"/>
              <w:jc w:val="center"/>
              <w:rPr>
                <w:rFonts w:ascii="宋体" w:hAnsi="宋体" w:cs="宋体"/>
                <w:sz w:val="24"/>
                <w:szCs w:val="24"/>
                <w:highlight w:val="none"/>
              </w:rPr>
            </w:pPr>
            <w:r>
              <w:rPr>
                <w:rFonts w:hint="eastAsia" w:ascii="宋体" w:hAnsi="宋体" w:cs="宋体"/>
                <w:sz w:val="24"/>
                <w:szCs w:val="24"/>
                <w:highlight w:val="none"/>
              </w:rPr>
              <w:t>（正、反面）</w:t>
            </w:r>
          </w:p>
        </w:tc>
        <w:tc>
          <w:tcPr>
            <w:tcW w:w="4790" w:type="dxa"/>
            <w:tcBorders>
              <w:left w:val="single" w:color="auto" w:sz="4" w:space="0"/>
            </w:tcBorders>
            <w:vAlign w:val="center"/>
          </w:tcPr>
          <w:p>
            <w:pPr>
              <w:overflowPunct w:val="0"/>
              <w:spacing w:line="360" w:lineRule="auto"/>
              <w:jc w:val="center"/>
              <w:rPr>
                <w:rFonts w:ascii="宋体" w:hAnsi="宋体" w:cs="宋体"/>
                <w:sz w:val="24"/>
                <w:szCs w:val="24"/>
                <w:highlight w:val="none"/>
              </w:rPr>
            </w:pPr>
            <w:r>
              <w:rPr>
                <w:rFonts w:hint="eastAsia" w:ascii="宋体" w:hAnsi="宋体" w:cs="宋体"/>
                <w:sz w:val="24"/>
                <w:szCs w:val="24"/>
                <w:highlight w:val="none"/>
              </w:rPr>
              <w:t>被授权人身份证复印件</w:t>
            </w:r>
          </w:p>
          <w:p>
            <w:pPr>
              <w:overflowPunct w:val="0"/>
              <w:spacing w:line="360" w:lineRule="auto"/>
              <w:jc w:val="center"/>
              <w:rPr>
                <w:rFonts w:ascii="宋体" w:hAnsi="宋体" w:cs="宋体"/>
                <w:sz w:val="24"/>
                <w:szCs w:val="24"/>
                <w:highlight w:val="none"/>
              </w:rPr>
            </w:pPr>
            <w:r>
              <w:rPr>
                <w:rFonts w:hint="eastAsia" w:ascii="宋体" w:hAnsi="宋体" w:cs="宋体"/>
                <w:sz w:val="24"/>
                <w:szCs w:val="24"/>
                <w:highlight w:val="none"/>
              </w:rPr>
              <w:t>（正、反面）</w:t>
            </w:r>
          </w:p>
        </w:tc>
      </w:tr>
    </w:tbl>
    <w:p>
      <w:pPr>
        <w:overflowPunct w:val="0"/>
        <w:spacing w:line="360" w:lineRule="auto"/>
        <w:rPr>
          <w:rFonts w:ascii="宋体" w:hAnsi="宋体" w:cs="宋体"/>
          <w:sz w:val="24"/>
          <w:szCs w:val="24"/>
          <w:highlight w:val="none"/>
        </w:rPr>
      </w:pPr>
      <w:r>
        <w:rPr>
          <w:rFonts w:hint="eastAsia" w:ascii="宋体" w:hAnsi="宋体" w:cs="宋体"/>
          <w:sz w:val="24"/>
          <w:szCs w:val="24"/>
          <w:highlight w:val="none"/>
        </w:rPr>
        <w:t>（本授权的有效期为磋商之日起90个日历日）</w:t>
      </w:r>
    </w:p>
    <w:p>
      <w:pPr>
        <w:spacing w:line="480" w:lineRule="auto"/>
        <w:ind w:firstLine="3360" w:firstLineChars="1400"/>
        <w:rPr>
          <w:rFonts w:ascii="宋体" w:hAnsi="宋体" w:cs="宋体"/>
          <w:sz w:val="24"/>
          <w:szCs w:val="24"/>
          <w:highlight w:val="none"/>
        </w:rPr>
      </w:pPr>
      <w:r>
        <w:rPr>
          <w:rFonts w:hint="eastAsia" w:ascii="宋体" w:hAnsi="宋体" w:cs="宋体"/>
          <w:sz w:val="24"/>
          <w:szCs w:val="24"/>
          <w:highlight w:val="none"/>
        </w:rPr>
        <w:t>供应商名称：</w:t>
      </w:r>
      <w:r>
        <w:rPr>
          <w:rFonts w:hint="eastAsia" w:ascii="宋体" w:hAnsi="宋体" w:cs="宋体"/>
          <w:sz w:val="24"/>
          <w:szCs w:val="24"/>
          <w:highlight w:val="none"/>
          <w:u w:val="single"/>
        </w:rPr>
        <w:t xml:space="preserve">                </w:t>
      </w:r>
      <w:r>
        <w:rPr>
          <w:rFonts w:hint="eastAsia" w:ascii="宋体" w:hAnsi="宋体" w:cs="宋体"/>
          <w:sz w:val="24"/>
          <w:szCs w:val="24"/>
          <w:highlight w:val="none"/>
        </w:rPr>
        <w:t>（盖章）</w:t>
      </w:r>
    </w:p>
    <w:p>
      <w:pPr>
        <w:pStyle w:val="51"/>
        <w:spacing w:before="156" w:beforeLines="50"/>
        <w:ind w:firstLine="3360" w:firstLineChars="1400"/>
        <w:rPr>
          <w:rFonts w:ascii="宋体" w:hAnsi="宋体" w:cs="宋体"/>
          <w:sz w:val="28"/>
          <w:szCs w:val="28"/>
          <w:highlight w:val="none"/>
        </w:rPr>
      </w:pPr>
      <w:r>
        <w:rPr>
          <w:rFonts w:hint="eastAsia" w:ascii="宋体" w:hAnsi="宋体" w:cs="宋体"/>
          <w:sz w:val="24"/>
          <w:szCs w:val="24"/>
          <w:highlight w:val="none"/>
        </w:rPr>
        <w:t>日        期：</w:t>
      </w:r>
      <w:r>
        <w:rPr>
          <w:rFonts w:hint="eastAsia" w:ascii="宋体" w:hAnsi="宋体" w:cs="宋体"/>
          <w:sz w:val="24"/>
          <w:szCs w:val="24"/>
          <w:highlight w:val="none"/>
          <w:u w:val="single"/>
        </w:rPr>
        <w:t xml:space="preserve">      </w:t>
      </w:r>
      <w:r>
        <w:rPr>
          <w:rFonts w:hint="eastAsia" w:ascii="宋体" w:hAnsi="宋体" w:cs="宋体"/>
          <w:sz w:val="24"/>
          <w:szCs w:val="24"/>
          <w:highlight w:val="none"/>
        </w:rPr>
        <w:t>年</w:t>
      </w:r>
      <w:r>
        <w:rPr>
          <w:rFonts w:hint="eastAsia" w:ascii="宋体" w:hAnsi="宋体" w:cs="宋体"/>
          <w:sz w:val="24"/>
          <w:szCs w:val="24"/>
          <w:highlight w:val="none"/>
          <w:u w:val="single"/>
        </w:rPr>
        <w:t xml:space="preserve">     </w:t>
      </w:r>
      <w:r>
        <w:rPr>
          <w:rFonts w:hint="eastAsia" w:ascii="宋体" w:hAnsi="宋体" w:cs="宋体"/>
          <w:sz w:val="24"/>
          <w:szCs w:val="24"/>
          <w:highlight w:val="none"/>
        </w:rPr>
        <w:t>月</w:t>
      </w:r>
      <w:r>
        <w:rPr>
          <w:rFonts w:hint="eastAsia" w:ascii="宋体" w:hAnsi="宋体" w:cs="宋体"/>
          <w:sz w:val="24"/>
          <w:szCs w:val="24"/>
          <w:highlight w:val="none"/>
          <w:u w:val="single"/>
        </w:rPr>
        <w:t xml:space="preserve">     </w:t>
      </w:r>
      <w:r>
        <w:rPr>
          <w:rFonts w:hint="eastAsia" w:ascii="宋体" w:hAnsi="宋体" w:cs="宋体"/>
          <w:sz w:val="24"/>
          <w:szCs w:val="24"/>
          <w:highlight w:val="none"/>
        </w:rPr>
        <w:t>日</w:t>
      </w:r>
    </w:p>
    <w:p>
      <w:pPr>
        <w:pStyle w:val="51"/>
        <w:ind w:firstLine="0" w:firstLineChars="0"/>
        <w:rPr>
          <w:rFonts w:ascii="宋体" w:hAnsi="宋体" w:cs="宋体"/>
          <w:szCs w:val="21"/>
          <w:highlight w:val="none"/>
        </w:rPr>
      </w:pPr>
    </w:p>
    <w:p>
      <w:pPr>
        <w:rPr>
          <w:rFonts w:ascii="宋体" w:hAnsi="宋体" w:cs="宋体"/>
          <w:b/>
          <w:bCs/>
          <w:sz w:val="28"/>
          <w:szCs w:val="28"/>
          <w:highlight w:val="none"/>
        </w:rPr>
      </w:pPr>
      <w:bookmarkStart w:id="106" w:name="_Toc14632_WPSOffice_Level2"/>
      <w:bookmarkStart w:id="107" w:name="_Toc25286_WPSOffice_Level2"/>
      <w:bookmarkStart w:id="108" w:name="_Toc11134_WPSOffice_Level2"/>
      <w:bookmarkStart w:id="109" w:name="_Toc14480_WPSOffice_Level2"/>
      <w:bookmarkStart w:id="110" w:name="_Toc17888_WPSOffice_Level2"/>
      <w:bookmarkStart w:id="111" w:name="_Toc22997_WPSOffice_Level2"/>
      <w:bookmarkStart w:id="112" w:name="_Toc13894_WPSOffice_Level2"/>
      <w:r>
        <w:rPr>
          <w:rFonts w:hint="eastAsia" w:ascii="宋体" w:hAnsi="宋体" w:cs="宋体"/>
          <w:b/>
          <w:bCs/>
          <w:sz w:val="28"/>
          <w:szCs w:val="28"/>
          <w:highlight w:val="none"/>
        </w:rPr>
        <w:br w:type="page"/>
      </w:r>
    </w:p>
    <w:p>
      <w:pPr>
        <w:overflowPunct w:val="0"/>
        <w:spacing w:line="360" w:lineRule="auto"/>
        <w:jc w:val="center"/>
        <w:outlineLvl w:val="1"/>
        <w:rPr>
          <w:rFonts w:hint="eastAsia" w:ascii="宋体" w:hAnsi="宋体" w:eastAsia="宋体" w:cs="宋体"/>
          <w:b/>
          <w:bCs/>
          <w:sz w:val="28"/>
          <w:szCs w:val="28"/>
          <w:highlight w:val="none"/>
          <w:lang w:eastAsia="zh-CN"/>
        </w:rPr>
      </w:pPr>
      <w:bookmarkStart w:id="113" w:name="_Toc30190"/>
      <w:r>
        <w:rPr>
          <w:rFonts w:hint="eastAsia" w:ascii="宋体" w:hAnsi="宋体" w:cs="宋体"/>
          <w:b/>
          <w:bCs/>
          <w:sz w:val="28"/>
          <w:szCs w:val="28"/>
          <w:highlight w:val="none"/>
        </w:rPr>
        <w:t>四、</w:t>
      </w:r>
      <w:bookmarkEnd w:id="106"/>
      <w:bookmarkEnd w:id="107"/>
      <w:bookmarkEnd w:id="108"/>
      <w:bookmarkEnd w:id="109"/>
      <w:bookmarkEnd w:id="110"/>
      <w:bookmarkEnd w:id="111"/>
      <w:bookmarkEnd w:id="112"/>
      <w:bookmarkEnd w:id="113"/>
      <w:bookmarkStart w:id="114" w:name="_Toc10990"/>
      <w:r>
        <w:rPr>
          <w:rFonts w:hint="eastAsia" w:ascii="宋体" w:hAnsi="宋体" w:cs="宋体"/>
          <w:b/>
          <w:bCs/>
          <w:sz w:val="28"/>
          <w:szCs w:val="28"/>
          <w:highlight w:val="none"/>
        </w:rPr>
        <w:t>报价表</w:t>
      </w:r>
      <w:r>
        <w:rPr>
          <w:rFonts w:hint="eastAsia" w:ascii="宋体" w:hAnsi="宋体" w:cs="宋体"/>
          <w:b/>
          <w:bCs/>
          <w:sz w:val="28"/>
          <w:szCs w:val="28"/>
          <w:highlight w:val="none"/>
          <w:lang w:eastAsia="zh-CN"/>
        </w:rPr>
        <w:t>（</w:t>
      </w:r>
      <w:r>
        <w:rPr>
          <w:rFonts w:hint="eastAsia" w:ascii="宋体" w:hAnsi="宋体" w:cs="宋体"/>
          <w:b/>
          <w:bCs/>
          <w:sz w:val="28"/>
          <w:szCs w:val="28"/>
          <w:highlight w:val="none"/>
          <w:lang w:val="en-US" w:eastAsia="zh-CN"/>
        </w:rPr>
        <w:t>第一次</w:t>
      </w:r>
      <w:r>
        <w:rPr>
          <w:rFonts w:hint="eastAsia" w:ascii="宋体" w:hAnsi="宋体" w:cs="宋体"/>
          <w:b/>
          <w:bCs/>
          <w:sz w:val="28"/>
          <w:szCs w:val="28"/>
          <w:highlight w:val="none"/>
          <w:lang w:eastAsia="zh-CN"/>
        </w:rPr>
        <w:t>）</w:t>
      </w:r>
    </w:p>
    <w:p>
      <w:pPr>
        <w:overflowPunct w:val="0"/>
        <w:spacing w:line="360" w:lineRule="auto"/>
        <w:jc w:val="both"/>
        <w:rPr>
          <w:rFonts w:hint="default" w:ascii="仿宋" w:hAnsi="仿宋" w:eastAsia="仿宋" w:cs="仿宋"/>
          <w:sz w:val="24"/>
          <w:highlight w:val="none"/>
          <w:lang w:val="en-US" w:eastAsia="zh-CN"/>
        </w:rPr>
      </w:pPr>
      <w:r>
        <w:rPr>
          <w:rFonts w:hint="eastAsia" w:ascii="宋体" w:hAnsi="宋体" w:eastAsia="宋体" w:cs="宋体"/>
          <w:sz w:val="24"/>
          <w:highlight w:val="none"/>
          <w:lang w:eastAsia="zh-CN"/>
        </w:rPr>
        <w:t>合同包</w:t>
      </w:r>
      <w:r>
        <w:rPr>
          <w:rFonts w:hint="eastAsia" w:ascii="宋体" w:hAnsi="宋体" w:eastAsia="宋体" w:cs="宋体"/>
          <w:sz w:val="24"/>
          <w:highlight w:val="none"/>
          <w:lang w:val="en-US" w:eastAsia="zh-CN"/>
        </w:rPr>
        <w:t xml:space="preserve">1 </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4"/>
        <w:gridCol w:w="1874"/>
        <w:gridCol w:w="1153"/>
        <w:gridCol w:w="1350"/>
        <w:gridCol w:w="1583"/>
        <w:gridCol w:w="1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1854" w:type="dxa"/>
            <w:noWrap w:val="0"/>
            <w:vAlign w:val="center"/>
          </w:tcPr>
          <w:p>
            <w:pPr>
              <w:widowControl/>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包</w:t>
            </w:r>
          </w:p>
        </w:tc>
        <w:tc>
          <w:tcPr>
            <w:tcW w:w="1874" w:type="dxa"/>
            <w:noWrap w:val="0"/>
            <w:vAlign w:val="center"/>
          </w:tcPr>
          <w:p>
            <w:pPr>
              <w:widowControl/>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类别</w:t>
            </w:r>
          </w:p>
        </w:tc>
        <w:tc>
          <w:tcPr>
            <w:tcW w:w="1153" w:type="dxa"/>
            <w:noWrap w:val="0"/>
            <w:vAlign w:val="center"/>
          </w:tcPr>
          <w:p>
            <w:pPr>
              <w:widowControl/>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单位</w:t>
            </w:r>
          </w:p>
        </w:tc>
        <w:tc>
          <w:tcPr>
            <w:tcW w:w="1350" w:type="dxa"/>
            <w:noWrap w:val="0"/>
            <w:vAlign w:val="center"/>
          </w:tcPr>
          <w:p>
            <w:pPr>
              <w:widowControl/>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数量</w:t>
            </w:r>
          </w:p>
        </w:tc>
        <w:tc>
          <w:tcPr>
            <w:tcW w:w="1583" w:type="dxa"/>
            <w:noWrap w:val="0"/>
            <w:vAlign w:val="center"/>
          </w:tcPr>
          <w:p>
            <w:pPr>
              <w:widowControl/>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单价</w:t>
            </w:r>
          </w:p>
          <w:p>
            <w:pPr>
              <w:widowControl/>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（元/延米）</w:t>
            </w:r>
          </w:p>
        </w:tc>
        <w:tc>
          <w:tcPr>
            <w:tcW w:w="1443" w:type="dxa"/>
            <w:noWrap w:val="0"/>
            <w:vAlign w:val="center"/>
          </w:tcPr>
          <w:p>
            <w:pPr>
              <w:widowControl/>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9" w:hRule="atLeast"/>
        </w:trPr>
        <w:tc>
          <w:tcPr>
            <w:tcW w:w="1854" w:type="dxa"/>
            <w:noWrap w:val="0"/>
            <w:vAlign w:val="center"/>
          </w:tcPr>
          <w:p>
            <w:pPr>
              <w:widowControl/>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JC1</w:t>
            </w:r>
          </w:p>
        </w:tc>
        <w:tc>
          <w:tcPr>
            <w:tcW w:w="1874" w:type="dxa"/>
            <w:noWrap w:val="0"/>
            <w:vAlign w:val="center"/>
          </w:tcPr>
          <w:p>
            <w:pPr>
              <w:widowControl/>
              <w:jc w:val="both"/>
              <w:rPr>
                <w:rFonts w:hint="eastAsia" w:ascii="宋体" w:hAnsi="宋体" w:eastAsia="宋体" w:cs="宋体"/>
                <w:sz w:val="24"/>
                <w:szCs w:val="24"/>
                <w:highlight w:val="none"/>
                <w:lang w:val="en-US" w:eastAsia="zh-CN"/>
              </w:rPr>
            </w:pPr>
            <w:r>
              <w:rPr>
                <w:rFonts w:hint="eastAsia"/>
                <w:color w:val="333333"/>
                <w:sz w:val="24"/>
                <w:szCs w:val="24"/>
                <w:highlight w:val="none"/>
                <w:shd w:val="clear" w:color="auto" w:fill="FFFFFF"/>
                <w:lang w:val="en-US" w:eastAsia="zh-CN"/>
              </w:rPr>
              <w:t>西安、铜川、榆林、延安、渭南、韩城</w:t>
            </w:r>
          </w:p>
        </w:tc>
        <w:tc>
          <w:tcPr>
            <w:tcW w:w="1153" w:type="dxa"/>
            <w:noWrap w:val="0"/>
            <w:vAlign w:val="center"/>
          </w:tcPr>
          <w:p>
            <w:pPr>
              <w:widowControl/>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座/</w:t>
            </w:r>
            <w:r>
              <w:rPr>
                <w:rFonts w:hint="eastAsia" w:ascii="宋体" w:hAnsi="宋体" w:eastAsia="宋体" w:cs="宋体"/>
                <w:sz w:val="24"/>
                <w:szCs w:val="24"/>
                <w:highlight w:val="none"/>
              </w:rPr>
              <w:t>延米</w:t>
            </w:r>
          </w:p>
        </w:tc>
        <w:tc>
          <w:tcPr>
            <w:tcW w:w="1350" w:type="dxa"/>
            <w:noWrap w:val="0"/>
            <w:vAlign w:val="center"/>
          </w:tcPr>
          <w:p>
            <w:pPr>
              <w:widowControl/>
              <w:jc w:val="center"/>
              <w:rPr>
                <w:rFonts w:hint="eastAsia" w:ascii="宋体" w:hAnsi="宋体" w:eastAsia="宋体" w:cs="宋体"/>
                <w:sz w:val="24"/>
                <w:szCs w:val="24"/>
                <w:highlight w:val="none"/>
                <w:lang w:val="en-US" w:eastAsia="zh-CN"/>
              </w:rPr>
            </w:pPr>
            <w:r>
              <w:rPr>
                <w:rFonts w:hint="eastAsia" w:cs="宋体"/>
                <w:i w:val="0"/>
                <w:iCs w:val="0"/>
                <w:caps w:val="0"/>
                <w:color w:val="333333"/>
                <w:spacing w:val="0"/>
                <w:sz w:val="24"/>
                <w:szCs w:val="24"/>
                <w:highlight w:val="none"/>
                <w:vertAlign w:val="baseline"/>
                <w:lang w:val="en-US" w:eastAsia="zh-CN"/>
              </w:rPr>
              <w:t>284</w:t>
            </w:r>
            <w:r>
              <w:rPr>
                <w:rFonts w:hint="eastAsia" w:ascii="宋体" w:hAnsi="宋体" w:eastAsia="宋体" w:cs="宋体"/>
                <w:i w:val="0"/>
                <w:iCs w:val="0"/>
                <w:caps w:val="0"/>
                <w:color w:val="333333"/>
                <w:spacing w:val="0"/>
                <w:sz w:val="24"/>
                <w:szCs w:val="24"/>
                <w:highlight w:val="none"/>
                <w:vertAlign w:val="baseline"/>
              </w:rPr>
              <w:t>/</w:t>
            </w:r>
            <w:r>
              <w:rPr>
                <w:rFonts w:hint="eastAsia" w:cs="宋体"/>
                <w:i w:val="0"/>
                <w:iCs w:val="0"/>
                <w:caps w:val="0"/>
                <w:color w:val="333333"/>
                <w:spacing w:val="0"/>
                <w:sz w:val="24"/>
                <w:szCs w:val="24"/>
                <w:highlight w:val="none"/>
                <w:vertAlign w:val="baseline"/>
                <w:lang w:val="en-US" w:eastAsia="zh-CN"/>
              </w:rPr>
              <w:t>12832</w:t>
            </w:r>
          </w:p>
        </w:tc>
        <w:tc>
          <w:tcPr>
            <w:tcW w:w="1583" w:type="dxa"/>
            <w:noWrap w:val="0"/>
            <w:vAlign w:val="center"/>
          </w:tcPr>
          <w:p>
            <w:pPr>
              <w:widowControl/>
              <w:jc w:val="center"/>
              <w:rPr>
                <w:rFonts w:hint="eastAsia" w:ascii="宋体" w:hAnsi="宋体" w:eastAsia="宋体" w:cs="宋体"/>
                <w:sz w:val="24"/>
                <w:szCs w:val="24"/>
                <w:highlight w:val="none"/>
              </w:rPr>
            </w:pPr>
          </w:p>
        </w:tc>
        <w:tc>
          <w:tcPr>
            <w:tcW w:w="1443" w:type="dxa"/>
            <w:noWrap w:val="0"/>
            <w:vAlign w:val="center"/>
          </w:tcPr>
          <w:p>
            <w:pPr>
              <w:widowControl/>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trPr>
        <w:tc>
          <w:tcPr>
            <w:tcW w:w="1854" w:type="dxa"/>
            <w:noWrap w:val="0"/>
            <w:vAlign w:val="center"/>
          </w:tcPr>
          <w:p>
            <w:pPr>
              <w:widowControl/>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总报价（元）</w:t>
            </w:r>
          </w:p>
        </w:tc>
        <w:tc>
          <w:tcPr>
            <w:tcW w:w="7403" w:type="dxa"/>
            <w:gridSpan w:val="5"/>
            <w:noWrap w:val="0"/>
            <w:vAlign w:val="center"/>
          </w:tcPr>
          <w:p>
            <w:pPr>
              <w:widowControl/>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大写：</w:t>
            </w:r>
          </w:p>
          <w:p>
            <w:pPr>
              <w:widowControl/>
              <w:jc w:val="both"/>
              <w:rPr>
                <w:rFonts w:hint="eastAsia" w:ascii="宋体" w:hAnsi="宋体" w:eastAsia="宋体" w:cs="宋体"/>
                <w:sz w:val="24"/>
                <w:szCs w:val="24"/>
                <w:highlight w:val="none"/>
              </w:rPr>
            </w:pPr>
          </w:p>
          <w:p>
            <w:pPr>
              <w:widowControl/>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trPr>
        <w:tc>
          <w:tcPr>
            <w:tcW w:w="1854" w:type="dxa"/>
            <w:noWrap w:val="0"/>
            <w:vAlign w:val="center"/>
          </w:tcPr>
          <w:p>
            <w:pPr>
              <w:widowControl/>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服务期</w:t>
            </w:r>
          </w:p>
        </w:tc>
        <w:tc>
          <w:tcPr>
            <w:tcW w:w="7403" w:type="dxa"/>
            <w:gridSpan w:val="5"/>
            <w:noWrap w:val="0"/>
            <w:vAlign w:val="center"/>
          </w:tcPr>
          <w:p>
            <w:pPr>
              <w:widowControl/>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7" w:hRule="atLeast"/>
        </w:trPr>
        <w:tc>
          <w:tcPr>
            <w:tcW w:w="9257" w:type="dxa"/>
            <w:gridSpan w:val="6"/>
            <w:noWrap w:val="0"/>
            <w:vAlign w:val="center"/>
          </w:tcPr>
          <w:p>
            <w:pPr>
              <w:widowControl/>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说明：</w:t>
            </w:r>
          </w:p>
          <w:p>
            <w:pPr>
              <w:widowControl/>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1.本报价为供应商完成磋商项目所需的全部费用（包括劳务费、国家按现行税收政策征收的一切税费等）。</w:t>
            </w:r>
          </w:p>
          <w:p>
            <w:pPr>
              <w:widowControl/>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2.磋商报价以元为单位，保留小数点后两位，大小写不一致时，以大写为准。</w:t>
            </w:r>
          </w:p>
        </w:tc>
      </w:tr>
    </w:tbl>
    <w:p>
      <w:pPr>
        <w:pStyle w:val="2"/>
        <w:rPr>
          <w:rFonts w:ascii="仿宋" w:hAnsi="仿宋" w:eastAsia="仿宋" w:cs="仿宋"/>
          <w:sz w:val="24"/>
          <w:highlight w:val="none"/>
        </w:rPr>
      </w:pPr>
    </w:p>
    <w:p>
      <w:pPr>
        <w:overflowPunct w:val="0"/>
        <w:spacing w:line="360" w:lineRule="auto"/>
        <w:jc w:val="center"/>
        <w:rPr>
          <w:rFonts w:ascii="仿宋" w:hAnsi="仿宋" w:eastAsia="仿宋" w:cs="仿宋"/>
          <w:sz w:val="24"/>
          <w:highlight w:val="none"/>
        </w:rPr>
      </w:pPr>
    </w:p>
    <w:p>
      <w:pPr>
        <w:overflowPunct w:val="0"/>
        <w:spacing w:line="360" w:lineRule="auto"/>
        <w:jc w:val="center"/>
        <w:rPr>
          <w:rFonts w:hint="eastAsia" w:ascii="宋体" w:hAnsi="宋体" w:eastAsia="宋体" w:cs="宋体"/>
          <w:sz w:val="24"/>
          <w:szCs w:val="24"/>
          <w:highlight w:val="none"/>
        </w:rPr>
      </w:pPr>
    </w:p>
    <w:p>
      <w:pPr>
        <w:spacing w:line="480" w:lineRule="auto"/>
        <w:ind w:firstLine="3600" w:firstLineChars="1500"/>
        <w:rPr>
          <w:rFonts w:hint="eastAsia" w:ascii="宋体" w:hAnsi="宋体" w:eastAsia="宋体" w:cs="宋体"/>
          <w:sz w:val="24"/>
          <w:szCs w:val="24"/>
          <w:highlight w:val="none"/>
        </w:rPr>
      </w:pPr>
      <w:r>
        <w:rPr>
          <w:rFonts w:hint="eastAsia" w:ascii="宋体" w:hAnsi="宋体" w:eastAsia="宋体" w:cs="宋体"/>
          <w:sz w:val="24"/>
          <w:szCs w:val="24"/>
          <w:highlight w:val="none"/>
        </w:rPr>
        <w:t>供应商名称：</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（盖章）</w:t>
      </w:r>
    </w:p>
    <w:p>
      <w:pPr>
        <w:spacing w:line="360" w:lineRule="auto"/>
        <w:ind w:firstLine="3600" w:firstLineChars="1500"/>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w:t>
      </w:r>
    </w:p>
    <w:p>
      <w:pPr>
        <w:spacing w:line="360" w:lineRule="auto"/>
        <w:ind w:firstLine="3600" w:firstLineChars="1500"/>
        <w:rPr>
          <w:rFonts w:hint="eastAsia" w:ascii="宋体" w:hAnsi="宋体" w:eastAsia="宋体" w:cs="宋体"/>
          <w:sz w:val="24"/>
          <w:szCs w:val="24"/>
          <w:highlight w:val="none"/>
        </w:rPr>
      </w:pPr>
      <w:r>
        <w:rPr>
          <w:rFonts w:hint="eastAsia" w:ascii="宋体" w:hAnsi="宋体" w:eastAsia="宋体" w:cs="宋体"/>
          <w:sz w:val="24"/>
          <w:szCs w:val="24"/>
          <w:highlight w:val="none"/>
        </w:rPr>
        <w:t>或委托代理人：</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w:t>
      </w:r>
      <w:r>
        <w:rPr>
          <w:rFonts w:hint="eastAsia" w:ascii="宋体" w:hAnsi="宋体" w:cs="宋体"/>
          <w:sz w:val="24"/>
          <w:szCs w:val="24"/>
          <w:highlight w:val="none"/>
        </w:rPr>
        <w:t>签字或盖章</w:t>
      </w:r>
      <w:r>
        <w:rPr>
          <w:rFonts w:hint="eastAsia" w:ascii="宋体" w:hAnsi="宋体" w:eastAsia="宋体" w:cs="宋体"/>
          <w:sz w:val="24"/>
          <w:szCs w:val="24"/>
          <w:highlight w:val="none"/>
        </w:rPr>
        <w:t>)</w:t>
      </w:r>
    </w:p>
    <w:p>
      <w:pPr>
        <w:ind w:firstLine="3600" w:firstLineChars="1500"/>
        <w:rPr>
          <w:rFonts w:hint="eastAsia" w:ascii="宋体" w:hAnsi="宋体" w:eastAsia="宋体" w:cs="宋体"/>
          <w:b/>
          <w:bCs/>
          <w:sz w:val="24"/>
          <w:szCs w:val="24"/>
          <w:highlight w:val="none"/>
        </w:rPr>
      </w:pPr>
      <w:r>
        <w:rPr>
          <w:rFonts w:hint="eastAsia" w:ascii="宋体" w:hAnsi="宋体" w:eastAsia="宋体" w:cs="宋体"/>
          <w:sz w:val="24"/>
          <w:szCs w:val="24"/>
          <w:highlight w:val="none"/>
        </w:rPr>
        <w:t>日        期：</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日</w:t>
      </w:r>
    </w:p>
    <w:p>
      <w:pPr>
        <w:pStyle w:val="51"/>
        <w:spacing w:before="156" w:beforeLines="50"/>
        <w:ind w:firstLine="2520" w:firstLineChars="900"/>
        <w:rPr>
          <w:rFonts w:ascii="宋体" w:hAnsi="宋体" w:cs="宋体"/>
          <w:color w:val="auto"/>
          <w:sz w:val="28"/>
          <w:szCs w:val="28"/>
          <w:highlight w:val="none"/>
        </w:rPr>
      </w:pPr>
    </w:p>
    <w:p>
      <w:pPr>
        <w:overflowPunct w:val="0"/>
        <w:spacing w:line="360" w:lineRule="auto"/>
        <w:jc w:val="center"/>
        <w:outlineLvl w:val="1"/>
        <w:rPr>
          <w:rFonts w:hint="eastAsia" w:ascii="宋体" w:hAnsi="宋体" w:cs="宋体"/>
          <w:b/>
          <w:bCs/>
          <w:sz w:val="28"/>
          <w:szCs w:val="28"/>
          <w:highlight w:val="none"/>
        </w:rPr>
      </w:pPr>
      <w:r>
        <w:rPr>
          <w:rFonts w:hint="eastAsia" w:ascii="宋体" w:hAnsi="宋体" w:cs="宋体"/>
          <w:b/>
          <w:bCs/>
          <w:sz w:val="28"/>
          <w:szCs w:val="28"/>
          <w:highlight w:val="none"/>
        </w:rPr>
        <w:br w:type="page"/>
      </w:r>
    </w:p>
    <w:p>
      <w:pPr>
        <w:overflowPunct w:val="0"/>
        <w:spacing w:line="360" w:lineRule="auto"/>
        <w:jc w:val="center"/>
        <w:rPr>
          <w:rFonts w:hint="default" w:ascii="宋体" w:hAnsi="宋体" w:eastAsia="宋体" w:cs="宋体"/>
          <w:sz w:val="24"/>
          <w:highlight w:val="none"/>
          <w:lang w:val="en-US" w:eastAsia="zh-CN"/>
        </w:rPr>
      </w:pPr>
      <w:r>
        <w:rPr>
          <w:rFonts w:hint="eastAsia" w:ascii="宋体" w:hAnsi="宋体" w:cs="宋体"/>
          <w:b/>
          <w:bCs/>
          <w:sz w:val="28"/>
          <w:szCs w:val="28"/>
          <w:highlight w:val="none"/>
          <w:lang w:val="en-US" w:eastAsia="zh-CN"/>
        </w:rPr>
        <w:t>报价表（第一次）</w:t>
      </w:r>
    </w:p>
    <w:p>
      <w:pPr>
        <w:overflowPunct w:val="0"/>
        <w:spacing w:line="360" w:lineRule="auto"/>
        <w:jc w:val="both"/>
        <w:rPr>
          <w:rFonts w:hint="default" w:ascii="仿宋" w:hAnsi="仿宋" w:eastAsia="仿宋" w:cs="仿宋"/>
          <w:sz w:val="24"/>
          <w:highlight w:val="none"/>
          <w:lang w:val="en-US" w:eastAsia="zh-CN"/>
        </w:rPr>
      </w:pPr>
      <w:r>
        <w:rPr>
          <w:rFonts w:hint="eastAsia" w:ascii="宋体" w:hAnsi="宋体" w:eastAsia="宋体" w:cs="宋体"/>
          <w:sz w:val="24"/>
          <w:highlight w:val="none"/>
          <w:lang w:eastAsia="zh-CN"/>
        </w:rPr>
        <w:t>合同包</w:t>
      </w:r>
      <w:r>
        <w:rPr>
          <w:rFonts w:hint="eastAsia" w:ascii="宋体" w:hAnsi="宋体" w:cs="宋体"/>
          <w:sz w:val="24"/>
          <w:highlight w:val="none"/>
          <w:lang w:val="en-US" w:eastAsia="zh-CN"/>
        </w:rPr>
        <w:t>2</w:t>
      </w:r>
      <w:r>
        <w:rPr>
          <w:rFonts w:hint="eastAsia" w:ascii="宋体" w:hAnsi="宋体" w:eastAsia="宋体" w:cs="宋体"/>
          <w:sz w:val="24"/>
          <w:highlight w:val="none"/>
          <w:lang w:val="en-US" w:eastAsia="zh-CN"/>
        </w:rPr>
        <w:t xml:space="preserve"> </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6"/>
        <w:gridCol w:w="1562"/>
        <w:gridCol w:w="1190"/>
        <w:gridCol w:w="1494"/>
        <w:gridCol w:w="1511"/>
        <w:gridCol w:w="1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trPr>
        <w:tc>
          <w:tcPr>
            <w:tcW w:w="1846" w:type="dxa"/>
            <w:noWrap w:val="0"/>
            <w:vAlign w:val="center"/>
          </w:tcPr>
          <w:p>
            <w:pPr>
              <w:widowControl/>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包</w:t>
            </w:r>
          </w:p>
        </w:tc>
        <w:tc>
          <w:tcPr>
            <w:tcW w:w="1562" w:type="dxa"/>
            <w:noWrap w:val="0"/>
            <w:vAlign w:val="center"/>
          </w:tcPr>
          <w:p>
            <w:pPr>
              <w:widowControl/>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类别</w:t>
            </w:r>
          </w:p>
        </w:tc>
        <w:tc>
          <w:tcPr>
            <w:tcW w:w="1190" w:type="dxa"/>
            <w:noWrap w:val="0"/>
            <w:vAlign w:val="center"/>
          </w:tcPr>
          <w:p>
            <w:pPr>
              <w:widowControl/>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单位</w:t>
            </w:r>
          </w:p>
        </w:tc>
        <w:tc>
          <w:tcPr>
            <w:tcW w:w="1494" w:type="dxa"/>
            <w:noWrap w:val="0"/>
            <w:vAlign w:val="center"/>
          </w:tcPr>
          <w:p>
            <w:pPr>
              <w:widowControl/>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数量</w:t>
            </w:r>
          </w:p>
        </w:tc>
        <w:tc>
          <w:tcPr>
            <w:tcW w:w="1511" w:type="dxa"/>
            <w:noWrap w:val="0"/>
            <w:vAlign w:val="center"/>
          </w:tcPr>
          <w:p>
            <w:pPr>
              <w:widowControl/>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单价</w:t>
            </w:r>
          </w:p>
          <w:p>
            <w:pPr>
              <w:widowControl/>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（元/延米）</w:t>
            </w:r>
          </w:p>
        </w:tc>
        <w:tc>
          <w:tcPr>
            <w:tcW w:w="1614" w:type="dxa"/>
            <w:noWrap w:val="0"/>
            <w:vAlign w:val="center"/>
          </w:tcPr>
          <w:p>
            <w:pPr>
              <w:widowControl/>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3" w:hRule="atLeast"/>
        </w:trPr>
        <w:tc>
          <w:tcPr>
            <w:tcW w:w="1846" w:type="dxa"/>
            <w:noWrap w:val="0"/>
            <w:vAlign w:val="center"/>
          </w:tcPr>
          <w:p>
            <w:pPr>
              <w:widowControl/>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JC2</w:t>
            </w:r>
          </w:p>
        </w:tc>
        <w:tc>
          <w:tcPr>
            <w:tcW w:w="1562" w:type="dxa"/>
            <w:noWrap w:val="0"/>
            <w:vAlign w:val="center"/>
          </w:tcPr>
          <w:p>
            <w:pPr>
              <w:widowControl/>
              <w:jc w:val="center"/>
              <w:rPr>
                <w:rFonts w:hint="eastAsia" w:ascii="宋体" w:hAnsi="宋体" w:eastAsia="宋体" w:cs="宋体"/>
                <w:sz w:val="24"/>
                <w:szCs w:val="24"/>
                <w:highlight w:val="none"/>
                <w:lang w:val="en-US" w:eastAsia="zh-CN"/>
              </w:rPr>
            </w:pPr>
            <w:r>
              <w:rPr>
                <w:rFonts w:hint="eastAsia"/>
                <w:color w:val="333333"/>
                <w:sz w:val="24"/>
                <w:szCs w:val="24"/>
                <w:highlight w:val="none"/>
                <w:shd w:val="clear" w:color="auto" w:fill="FFFFFF"/>
                <w:lang w:val="en-US" w:eastAsia="zh-CN"/>
              </w:rPr>
              <w:t>宝鸡、咸阳、汉中、安康、商洛</w:t>
            </w:r>
          </w:p>
        </w:tc>
        <w:tc>
          <w:tcPr>
            <w:tcW w:w="1190" w:type="dxa"/>
            <w:noWrap w:val="0"/>
            <w:vAlign w:val="center"/>
          </w:tcPr>
          <w:p>
            <w:pPr>
              <w:widowControl/>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座/</w:t>
            </w:r>
            <w:r>
              <w:rPr>
                <w:rFonts w:hint="eastAsia" w:ascii="宋体" w:hAnsi="宋体" w:eastAsia="宋体" w:cs="宋体"/>
                <w:sz w:val="24"/>
                <w:szCs w:val="24"/>
                <w:highlight w:val="none"/>
              </w:rPr>
              <w:t>延米</w:t>
            </w:r>
          </w:p>
        </w:tc>
        <w:tc>
          <w:tcPr>
            <w:tcW w:w="1494" w:type="dxa"/>
            <w:noWrap w:val="0"/>
            <w:vAlign w:val="center"/>
          </w:tcPr>
          <w:p>
            <w:pPr>
              <w:widowControl/>
              <w:jc w:val="center"/>
              <w:rPr>
                <w:rFonts w:hint="eastAsia" w:ascii="宋体" w:hAnsi="宋体" w:eastAsia="宋体" w:cs="宋体"/>
                <w:sz w:val="24"/>
                <w:szCs w:val="24"/>
                <w:highlight w:val="none"/>
                <w:lang w:val="en-US" w:eastAsia="zh-CN"/>
              </w:rPr>
            </w:pPr>
            <w:r>
              <w:rPr>
                <w:rFonts w:hint="eastAsia" w:ascii="Times New Roman" w:hAnsi="Times New Roman" w:cs="宋体"/>
                <w:i w:val="0"/>
                <w:iCs w:val="0"/>
                <w:caps w:val="0"/>
                <w:color w:val="333333"/>
                <w:spacing w:val="0"/>
                <w:kern w:val="2"/>
                <w:sz w:val="24"/>
                <w:szCs w:val="24"/>
                <w:highlight w:val="none"/>
                <w:vertAlign w:val="baseline"/>
                <w:lang w:val="en-US" w:eastAsia="zh-CN" w:bidi="ar-SA"/>
              </w:rPr>
              <w:t>359</w:t>
            </w:r>
            <w:r>
              <w:rPr>
                <w:rFonts w:hint="eastAsia" w:ascii="Times New Roman" w:hAnsi="Times New Roman" w:eastAsia="宋体" w:cs="宋体"/>
                <w:i w:val="0"/>
                <w:iCs w:val="0"/>
                <w:caps w:val="0"/>
                <w:color w:val="333333"/>
                <w:spacing w:val="0"/>
                <w:kern w:val="2"/>
                <w:sz w:val="24"/>
                <w:szCs w:val="24"/>
                <w:highlight w:val="none"/>
                <w:vertAlign w:val="baseline"/>
                <w:lang w:val="en-US" w:eastAsia="zh-CN" w:bidi="ar-SA"/>
              </w:rPr>
              <w:t>/</w:t>
            </w:r>
            <w:r>
              <w:rPr>
                <w:rFonts w:hint="eastAsia" w:ascii="Times New Roman" w:hAnsi="Times New Roman" w:cs="宋体"/>
                <w:i w:val="0"/>
                <w:iCs w:val="0"/>
                <w:caps w:val="0"/>
                <w:color w:val="333333"/>
                <w:spacing w:val="0"/>
                <w:kern w:val="2"/>
                <w:sz w:val="24"/>
                <w:szCs w:val="24"/>
                <w:highlight w:val="none"/>
                <w:vertAlign w:val="baseline"/>
                <w:lang w:val="en-US" w:eastAsia="zh-CN" w:bidi="ar-SA"/>
              </w:rPr>
              <w:t>11707</w:t>
            </w:r>
          </w:p>
        </w:tc>
        <w:tc>
          <w:tcPr>
            <w:tcW w:w="1511" w:type="dxa"/>
            <w:noWrap w:val="0"/>
            <w:vAlign w:val="center"/>
          </w:tcPr>
          <w:p>
            <w:pPr>
              <w:widowControl/>
              <w:jc w:val="center"/>
              <w:rPr>
                <w:rFonts w:hint="eastAsia" w:ascii="宋体" w:hAnsi="宋体" w:eastAsia="宋体" w:cs="宋体"/>
                <w:sz w:val="24"/>
                <w:szCs w:val="24"/>
                <w:highlight w:val="none"/>
              </w:rPr>
            </w:pPr>
          </w:p>
        </w:tc>
        <w:tc>
          <w:tcPr>
            <w:tcW w:w="1614" w:type="dxa"/>
            <w:noWrap w:val="0"/>
            <w:vAlign w:val="center"/>
          </w:tcPr>
          <w:p>
            <w:pPr>
              <w:widowControl/>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6" w:hRule="atLeast"/>
        </w:trPr>
        <w:tc>
          <w:tcPr>
            <w:tcW w:w="1846" w:type="dxa"/>
            <w:noWrap w:val="0"/>
            <w:vAlign w:val="center"/>
          </w:tcPr>
          <w:p>
            <w:pPr>
              <w:widowControl/>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总报价（元）</w:t>
            </w:r>
          </w:p>
        </w:tc>
        <w:tc>
          <w:tcPr>
            <w:tcW w:w="7371" w:type="dxa"/>
            <w:gridSpan w:val="5"/>
            <w:noWrap w:val="0"/>
            <w:vAlign w:val="center"/>
          </w:tcPr>
          <w:p>
            <w:pPr>
              <w:widowControl/>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大写：</w:t>
            </w:r>
          </w:p>
          <w:p>
            <w:pPr>
              <w:widowControl/>
              <w:jc w:val="both"/>
              <w:rPr>
                <w:rFonts w:hint="eastAsia" w:ascii="宋体" w:hAnsi="宋体" w:eastAsia="宋体" w:cs="宋体"/>
                <w:sz w:val="24"/>
                <w:szCs w:val="24"/>
                <w:highlight w:val="none"/>
              </w:rPr>
            </w:pPr>
          </w:p>
          <w:p>
            <w:pPr>
              <w:widowControl/>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1846" w:type="dxa"/>
            <w:noWrap w:val="0"/>
            <w:vAlign w:val="center"/>
          </w:tcPr>
          <w:p>
            <w:pPr>
              <w:widowControl/>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服务期</w:t>
            </w:r>
          </w:p>
        </w:tc>
        <w:tc>
          <w:tcPr>
            <w:tcW w:w="7371" w:type="dxa"/>
            <w:gridSpan w:val="5"/>
            <w:noWrap w:val="0"/>
            <w:vAlign w:val="center"/>
          </w:tcPr>
          <w:p>
            <w:pPr>
              <w:widowControl/>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9217" w:type="dxa"/>
            <w:gridSpan w:val="6"/>
            <w:noWrap w:val="0"/>
            <w:vAlign w:val="center"/>
          </w:tcPr>
          <w:p>
            <w:pPr>
              <w:widowControl/>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说明：</w:t>
            </w:r>
          </w:p>
          <w:p>
            <w:pPr>
              <w:widowControl/>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1.本报价为供应商完成磋商项目所需的全部费用（包括劳务费、国家按现行税收政策征收的一切税费等）。</w:t>
            </w:r>
          </w:p>
          <w:p>
            <w:pPr>
              <w:widowControl/>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2.磋商报价以元为单位，保留小数点后两位，大小写不一致时，以大写为准。</w:t>
            </w:r>
          </w:p>
        </w:tc>
      </w:tr>
    </w:tbl>
    <w:p>
      <w:pPr>
        <w:pStyle w:val="2"/>
        <w:rPr>
          <w:rFonts w:ascii="仿宋" w:hAnsi="仿宋" w:eastAsia="仿宋" w:cs="仿宋"/>
          <w:sz w:val="24"/>
          <w:highlight w:val="none"/>
        </w:rPr>
      </w:pPr>
    </w:p>
    <w:p>
      <w:pPr>
        <w:overflowPunct w:val="0"/>
        <w:spacing w:line="360" w:lineRule="auto"/>
        <w:jc w:val="center"/>
        <w:rPr>
          <w:rFonts w:ascii="仿宋" w:hAnsi="仿宋" w:eastAsia="仿宋" w:cs="仿宋"/>
          <w:sz w:val="24"/>
          <w:highlight w:val="none"/>
        </w:rPr>
      </w:pPr>
    </w:p>
    <w:p>
      <w:pPr>
        <w:overflowPunct w:val="0"/>
        <w:spacing w:line="360" w:lineRule="auto"/>
        <w:jc w:val="center"/>
        <w:rPr>
          <w:rFonts w:hint="eastAsia" w:ascii="宋体" w:hAnsi="宋体" w:eastAsia="宋体" w:cs="宋体"/>
          <w:sz w:val="24"/>
          <w:szCs w:val="24"/>
          <w:highlight w:val="none"/>
        </w:rPr>
      </w:pPr>
    </w:p>
    <w:p>
      <w:pPr>
        <w:spacing w:line="480" w:lineRule="auto"/>
        <w:ind w:firstLine="3600" w:firstLineChars="1500"/>
        <w:rPr>
          <w:rFonts w:hint="eastAsia" w:ascii="宋体" w:hAnsi="宋体" w:eastAsia="宋体" w:cs="宋体"/>
          <w:sz w:val="24"/>
          <w:szCs w:val="24"/>
          <w:highlight w:val="none"/>
        </w:rPr>
      </w:pPr>
      <w:r>
        <w:rPr>
          <w:rFonts w:hint="eastAsia" w:ascii="宋体" w:hAnsi="宋体" w:eastAsia="宋体" w:cs="宋体"/>
          <w:sz w:val="24"/>
          <w:szCs w:val="24"/>
          <w:highlight w:val="none"/>
        </w:rPr>
        <w:t>供应商名称：</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（盖章）</w:t>
      </w:r>
    </w:p>
    <w:p>
      <w:pPr>
        <w:spacing w:line="360" w:lineRule="auto"/>
        <w:ind w:firstLine="3600" w:firstLineChars="1500"/>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w:t>
      </w:r>
    </w:p>
    <w:p>
      <w:pPr>
        <w:spacing w:line="360" w:lineRule="auto"/>
        <w:ind w:firstLine="3600" w:firstLineChars="1500"/>
        <w:rPr>
          <w:rFonts w:hint="eastAsia" w:ascii="宋体" w:hAnsi="宋体" w:eastAsia="宋体" w:cs="宋体"/>
          <w:sz w:val="24"/>
          <w:szCs w:val="24"/>
          <w:highlight w:val="none"/>
        </w:rPr>
      </w:pPr>
      <w:r>
        <w:rPr>
          <w:rFonts w:hint="eastAsia" w:ascii="宋体" w:hAnsi="宋体" w:eastAsia="宋体" w:cs="宋体"/>
          <w:sz w:val="24"/>
          <w:szCs w:val="24"/>
          <w:highlight w:val="none"/>
        </w:rPr>
        <w:t>或委托代理人：</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w:t>
      </w:r>
      <w:r>
        <w:rPr>
          <w:rFonts w:hint="eastAsia" w:ascii="宋体" w:hAnsi="宋体" w:cs="宋体"/>
          <w:sz w:val="24"/>
          <w:szCs w:val="24"/>
          <w:highlight w:val="none"/>
        </w:rPr>
        <w:t>签字或盖章</w:t>
      </w:r>
      <w:r>
        <w:rPr>
          <w:rFonts w:hint="eastAsia" w:ascii="宋体" w:hAnsi="宋体" w:eastAsia="宋体" w:cs="宋体"/>
          <w:sz w:val="24"/>
          <w:szCs w:val="24"/>
          <w:highlight w:val="none"/>
        </w:rPr>
        <w:t>)</w:t>
      </w:r>
    </w:p>
    <w:p>
      <w:pPr>
        <w:ind w:firstLine="3600" w:firstLineChars="1500"/>
        <w:rPr>
          <w:rFonts w:hint="eastAsia" w:ascii="宋体" w:hAnsi="宋体" w:eastAsia="宋体" w:cs="宋体"/>
          <w:b/>
          <w:bCs/>
          <w:sz w:val="24"/>
          <w:szCs w:val="24"/>
          <w:highlight w:val="none"/>
        </w:rPr>
      </w:pPr>
      <w:r>
        <w:rPr>
          <w:rFonts w:hint="eastAsia" w:ascii="宋体" w:hAnsi="宋体" w:eastAsia="宋体" w:cs="宋体"/>
          <w:sz w:val="24"/>
          <w:szCs w:val="24"/>
          <w:highlight w:val="none"/>
        </w:rPr>
        <w:t>日        期：</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日</w:t>
      </w:r>
    </w:p>
    <w:p>
      <w:pPr>
        <w:ind w:firstLine="4578" w:firstLineChars="1900"/>
        <w:rPr>
          <w:rFonts w:hint="eastAsia" w:ascii="宋体" w:hAnsi="宋体" w:eastAsia="宋体" w:cs="宋体"/>
          <w:b/>
          <w:bCs/>
          <w:sz w:val="24"/>
          <w:szCs w:val="24"/>
          <w:highlight w:val="none"/>
        </w:rPr>
      </w:pPr>
    </w:p>
    <w:p>
      <w:pPr>
        <w:overflowPunct w:val="0"/>
        <w:spacing w:line="360" w:lineRule="auto"/>
        <w:jc w:val="center"/>
        <w:outlineLvl w:val="1"/>
        <w:rPr>
          <w:rFonts w:hint="eastAsia" w:ascii="宋体" w:hAnsi="宋体" w:cs="宋体"/>
          <w:b/>
          <w:bCs/>
          <w:sz w:val="28"/>
          <w:szCs w:val="28"/>
          <w:highlight w:val="none"/>
        </w:rPr>
      </w:pPr>
    </w:p>
    <w:p>
      <w:pPr>
        <w:overflowPunct w:val="0"/>
        <w:spacing w:line="360" w:lineRule="auto"/>
        <w:jc w:val="center"/>
        <w:outlineLvl w:val="1"/>
        <w:rPr>
          <w:rFonts w:hint="eastAsia" w:ascii="宋体" w:hAnsi="宋体" w:cs="宋体"/>
          <w:b/>
          <w:bCs/>
          <w:sz w:val="28"/>
          <w:szCs w:val="28"/>
          <w:highlight w:val="none"/>
        </w:rPr>
      </w:pPr>
    </w:p>
    <w:p>
      <w:pP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br w:type="page"/>
      </w:r>
    </w:p>
    <w:p>
      <w:pPr>
        <w:jc w:val="center"/>
        <w:outlineLvl w:val="1"/>
        <w:rPr>
          <w:rFonts w:ascii="宋体" w:hAnsi="宋体" w:cs="宋体"/>
          <w:b/>
          <w:bCs/>
          <w:sz w:val="28"/>
          <w:szCs w:val="28"/>
          <w:highlight w:val="none"/>
        </w:rPr>
      </w:pPr>
      <w:r>
        <w:rPr>
          <w:rFonts w:hint="eastAsia" w:ascii="宋体" w:hAnsi="宋体" w:cs="宋体"/>
          <w:b/>
          <w:bCs/>
          <w:sz w:val="28"/>
          <w:szCs w:val="28"/>
          <w:highlight w:val="none"/>
        </w:rPr>
        <w:t>五、近</w:t>
      </w:r>
      <w:r>
        <w:rPr>
          <w:rFonts w:hint="eastAsia" w:ascii="宋体" w:hAnsi="宋体" w:cs="宋体"/>
          <w:b/>
          <w:bCs/>
          <w:sz w:val="28"/>
          <w:szCs w:val="28"/>
          <w:highlight w:val="none"/>
          <w:lang w:val="en-US" w:eastAsia="zh-CN"/>
        </w:rPr>
        <w:t>三</w:t>
      </w:r>
      <w:r>
        <w:rPr>
          <w:rFonts w:hint="eastAsia" w:ascii="宋体" w:hAnsi="宋体" w:cs="宋体"/>
          <w:b/>
          <w:bCs/>
          <w:sz w:val="28"/>
          <w:szCs w:val="28"/>
          <w:highlight w:val="none"/>
        </w:rPr>
        <w:t>年承接的类似项目情况表</w:t>
      </w:r>
      <w:bookmarkEnd w:id="114"/>
    </w:p>
    <w:p>
      <w:pPr>
        <w:keepNext/>
        <w:keepLines/>
        <w:jc w:val="center"/>
        <w:rPr>
          <w:rFonts w:ascii="宋体" w:hAnsi="宋体" w:cs="宋体"/>
          <w:b/>
          <w:bCs/>
          <w:sz w:val="24"/>
          <w:szCs w:val="24"/>
          <w:highlight w:val="none"/>
        </w:rPr>
      </w:pPr>
      <w:r>
        <w:rPr>
          <w:rFonts w:hint="eastAsia" w:ascii="宋体" w:hAnsi="宋体" w:cs="宋体"/>
          <w:b/>
          <w:bCs/>
          <w:sz w:val="24"/>
          <w:szCs w:val="24"/>
          <w:highlight w:val="none"/>
        </w:rPr>
        <w:t>1、业绩统计表</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3"/>
        <w:gridCol w:w="3316"/>
        <w:gridCol w:w="2280"/>
        <w:gridCol w:w="2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1243" w:type="dxa"/>
            <w:noWrap w:val="0"/>
            <w:vAlign w:val="center"/>
          </w:tcPr>
          <w:p>
            <w:pPr>
              <w:keepNext/>
              <w:keepLines/>
              <w:spacing w:line="416" w:lineRule="auto"/>
              <w:jc w:val="center"/>
              <w:rPr>
                <w:rFonts w:hint="eastAsia" w:ascii="宋体" w:hAnsi="宋体" w:eastAsia="宋体" w:cs="宋体"/>
                <w:sz w:val="24"/>
                <w:szCs w:val="24"/>
                <w:highlight w:val="none"/>
              </w:rPr>
            </w:pPr>
            <w:bookmarkStart w:id="115" w:name="_Toc11643"/>
            <w:r>
              <w:rPr>
                <w:rFonts w:hint="eastAsia" w:ascii="宋体" w:hAnsi="宋体" w:eastAsia="宋体" w:cs="宋体"/>
                <w:sz w:val="24"/>
                <w:szCs w:val="24"/>
                <w:highlight w:val="none"/>
              </w:rPr>
              <w:t>序号</w:t>
            </w:r>
            <w:bookmarkEnd w:id="115"/>
          </w:p>
        </w:tc>
        <w:tc>
          <w:tcPr>
            <w:tcW w:w="3316" w:type="dxa"/>
            <w:noWrap w:val="0"/>
            <w:vAlign w:val="center"/>
          </w:tcPr>
          <w:p>
            <w:pPr>
              <w:keepNext/>
              <w:keepLines/>
              <w:spacing w:line="416" w:lineRule="auto"/>
              <w:jc w:val="center"/>
              <w:rPr>
                <w:rFonts w:hint="eastAsia" w:ascii="宋体" w:hAnsi="宋体" w:eastAsia="宋体" w:cs="宋体"/>
                <w:sz w:val="24"/>
                <w:szCs w:val="24"/>
                <w:highlight w:val="none"/>
              </w:rPr>
            </w:pPr>
            <w:bookmarkStart w:id="116" w:name="_Toc8421"/>
            <w:r>
              <w:rPr>
                <w:rFonts w:hint="eastAsia" w:ascii="宋体" w:hAnsi="宋体" w:eastAsia="宋体" w:cs="宋体"/>
                <w:sz w:val="24"/>
                <w:szCs w:val="24"/>
                <w:highlight w:val="none"/>
              </w:rPr>
              <w:t>业绩名称</w:t>
            </w:r>
            <w:bookmarkEnd w:id="116"/>
          </w:p>
        </w:tc>
        <w:tc>
          <w:tcPr>
            <w:tcW w:w="2280" w:type="dxa"/>
            <w:noWrap w:val="0"/>
            <w:vAlign w:val="center"/>
          </w:tcPr>
          <w:p>
            <w:pPr>
              <w:keepNext/>
              <w:keepLines/>
              <w:spacing w:line="416" w:lineRule="auto"/>
              <w:jc w:val="center"/>
              <w:rPr>
                <w:rFonts w:hint="eastAsia" w:ascii="宋体" w:hAnsi="宋体" w:eastAsia="宋体" w:cs="宋体"/>
                <w:sz w:val="24"/>
                <w:szCs w:val="24"/>
                <w:highlight w:val="none"/>
              </w:rPr>
            </w:pPr>
            <w:bookmarkStart w:id="117" w:name="_Toc24868"/>
            <w:r>
              <w:rPr>
                <w:rFonts w:hint="eastAsia" w:ascii="宋体" w:hAnsi="宋体" w:eastAsia="宋体" w:cs="宋体"/>
                <w:sz w:val="24"/>
                <w:szCs w:val="24"/>
                <w:highlight w:val="none"/>
              </w:rPr>
              <w:t>执行时间</w:t>
            </w:r>
            <w:bookmarkEnd w:id="117"/>
          </w:p>
        </w:tc>
        <w:tc>
          <w:tcPr>
            <w:tcW w:w="2281" w:type="dxa"/>
            <w:noWrap w:val="0"/>
            <w:vAlign w:val="center"/>
          </w:tcPr>
          <w:p>
            <w:pPr>
              <w:keepNext/>
              <w:keepLines/>
              <w:spacing w:line="416" w:lineRule="auto"/>
              <w:jc w:val="center"/>
              <w:rPr>
                <w:rFonts w:hint="eastAsia" w:ascii="宋体" w:hAnsi="宋体" w:eastAsia="宋体" w:cs="宋体"/>
                <w:sz w:val="24"/>
                <w:szCs w:val="24"/>
                <w:highlight w:val="none"/>
              </w:rPr>
            </w:pPr>
            <w:bookmarkStart w:id="118" w:name="_Toc30689"/>
            <w:r>
              <w:rPr>
                <w:rFonts w:hint="eastAsia" w:ascii="宋体" w:hAnsi="宋体" w:eastAsia="宋体" w:cs="宋体"/>
                <w:sz w:val="24"/>
                <w:szCs w:val="24"/>
                <w:highlight w:val="none"/>
              </w:rPr>
              <w:t>备注</w:t>
            </w:r>
            <w:bookmarkEnd w:id="1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1243" w:type="dxa"/>
            <w:noWrap w:val="0"/>
            <w:vAlign w:val="center"/>
          </w:tcPr>
          <w:p>
            <w:pPr>
              <w:keepNext/>
              <w:keepLines/>
              <w:spacing w:line="416" w:lineRule="auto"/>
              <w:rPr>
                <w:rFonts w:hint="eastAsia" w:ascii="宋体" w:hAnsi="宋体" w:eastAsia="宋体" w:cs="宋体"/>
                <w:sz w:val="24"/>
                <w:szCs w:val="24"/>
                <w:highlight w:val="none"/>
              </w:rPr>
            </w:pPr>
          </w:p>
        </w:tc>
        <w:tc>
          <w:tcPr>
            <w:tcW w:w="3316" w:type="dxa"/>
            <w:noWrap w:val="0"/>
            <w:vAlign w:val="center"/>
          </w:tcPr>
          <w:p>
            <w:pPr>
              <w:keepNext/>
              <w:keepLines/>
              <w:spacing w:line="416" w:lineRule="auto"/>
              <w:rPr>
                <w:rFonts w:hint="eastAsia" w:ascii="宋体" w:hAnsi="宋体" w:eastAsia="宋体" w:cs="宋体"/>
                <w:sz w:val="24"/>
                <w:szCs w:val="24"/>
                <w:highlight w:val="none"/>
              </w:rPr>
            </w:pPr>
          </w:p>
        </w:tc>
        <w:tc>
          <w:tcPr>
            <w:tcW w:w="2280" w:type="dxa"/>
            <w:noWrap w:val="0"/>
            <w:vAlign w:val="center"/>
          </w:tcPr>
          <w:p>
            <w:pPr>
              <w:keepNext/>
              <w:keepLines/>
              <w:spacing w:line="416" w:lineRule="auto"/>
              <w:rPr>
                <w:rFonts w:hint="eastAsia" w:ascii="宋体" w:hAnsi="宋体" w:eastAsia="宋体" w:cs="宋体"/>
                <w:sz w:val="24"/>
                <w:szCs w:val="24"/>
                <w:highlight w:val="none"/>
              </w:rPr>
            </w:pPr>
          </w:p>
        </w:tc>
        <w:tc>
          <w:tcPr>
            <w:tcW w:w="2281" w:type="dxa"/>
            <w:noWrap w:val="0"/>
            <w:vAlign w:val="center"/>
          </w:tcPr>
          <w:p>
            <w:pPr>
              <w:keepNext/>
              <w:keepLines/>
              <w:spacing w:line="416" w:lineRule="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1243" w:type="dxa"/>
            <w:noWrap w:val="0"/>
            <w:vAlign w:val="center"/>
          </w:tcPr>
          <w:p>
            <w:pPr>
              <w:keepNext/>
              <w:keepLines/>
              <w:spacing w:line="416" w:lineRule="auto"/>
              <w:rPr>
                <w:rFonts w:hint="eastAsia" w:ascii="宋体" w:hAnsi="宋体" w:eastAsia="宋体" w:cs="宋体"/>
                <w:sz w:val="24"/>
                <w:szCs w:val="24"/>
                <w:highlight w:val="none"/>
              </w:rPr>
            </w:pPr>
          </w:p>
        </w:tc>
        <w:tc>
          <w:tcPr>
            <w:tcW w:w="3316" w:type="dxa"/>
            <w:noWrap w:val="0"/>
            <w:vAlign w:val="center"/>
          </w:tcPr>
          <w:p>
            <w:pPr>
              <w:keepNext/>
              <w:keepLines/>
              <w:spacing w:line="416" w:lineRule="auto"/>
              <w:rPr>
                <w:rFonts w:hint="eastAsia" w:ascii="宋体" w:hAnsi="宋体" w:eastAsia="宋体" w:cs="宋体"/>
                <w:sz w:val="24"/>
                <w:szCs w:val="24"/>
                <w:highlight w:val="none"/>
              </w:rPr>
            </w:pPr>
          </w:p>
        </w:tc>
        <w:tc>
          <w:tcPr>
            <w:tcW w:w="2280" w:type="dxa"/>
            <w:noWrap w:val="0"/>
            <w:vAlign w:val="center"/>
          </w:tcPr>
          <w:p>
            <w:pPr>
              <w:keepNext/>
              <w:keepLines/>
              <w:spacing w:line="416" w:lineRule="auto"/>
              <w:rPr>
                <w:rFonts w:hint="eastAsia" w:ascii="宋体" w:hAnsi="宋体" w:eastAsia="宋体" w:cs="宋体"/>
                <w:sz w:val="24"/>
                <w:szCs w:val="24"/>
                <w:highlight w:val="none"/>
              </w:rPr>
            </w:pPr>
          </w:p>
        </w:tc>
        <w:tc>
          <w:tcPr>
            <w:tcW w:w="2281" w:type="dxa"/>
            <w:noWrap w:val="0"/>
            <w:vAlign w:val="center"/>
          </w:tcPr>
          <w:p>
            <w:pPr>
              <w:keepNext/>
              <w:keepLines/>
              <w:spacing w:line="416" w:lineRule="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1243" w:type="dxa"/>
            <w:noWrap w:val="0"/>
            <w:vAlign w:val="center"/>
          </w:tcPr>
          <w:p>
            <w:pPr>
              <w:keepNext/>
              <w:keepLines/>
              <w:spacing w:line="416" w:lineRule="auto"/>
              <w:rPr>
                <w:rFonts w:hint="eastAsia" w:ascii="宋体" w:hAnsi="宋体" w:eastAsia="宋体" w:cs="宋体"/>
                <w:sz w:val="24"/>
                <w:szCs w:val="24"/>
                <w:highlight w:val="none"/>
              </w:rPr>
            </w:pPr>
          </w:p>
        </w:tc>
        <w:tc>
          <w:tcPr>
            <w:tcW w:w="3316" w:type="dxa"/>
            <w:noWrap w:val="0"/>
            <w:vAlign w:val="center"/>
          </w:tcPr>
          <w:p>
            <w:pPr>
              <w:keepNext/>
              <w:keepLines/>
              <w:spacing w:line="416" w:lineRule="auto"/>
              <w:rPr>
                <w:rFonts w:hint="eastAsia" w:ascii="宋体" w:hAnsi="宋体" w:eastAsia="宋体" w:cs="宋体"/>
                <w:sz w:val="24"/>
                <w:szCs w:val="24"/>
                <w:highlight w:val="none"/>
              </w:rPr>
            </w:pPr>
          </w:p>
        </w:tc>
        <w:tc>
          <w:tcPr>
            <w:tcW w:w="2280" w:type="dxa"/>
            <w:noWrap w:val="0"/>
            <w:vAlign w:val="center"/>
          </w:tcPr>
          <w:p>
            <w:pPr>
              <w:keepNext/>
              <w:keepLines/>
              <w:spacing w:line="416" w:lineRule="auto"/>
              <w:rPr>
                <w:rFonts w:hint="eastAsia" w:ascii="宋体" w:hAnsi="宋体" w:eastAsia="宋体" w:cs="宋体"/>
                <w:sz w:val="24"/>
                <w:szCs w:val="24"/>
                <w:highlight w:val="none"/>
              </w:rPr>
            </w:pPr>
          </w:p>
        </w:tc>
        <w:tc>
          <w:tcPr>
            <w:tcW w:w="2281" w:type="dxa"/>
            <w:noWrap w:val="0"/>
            <w:vAlign w:val="center"/>
          </w:tcPr>
          <w:p>
            <w:pPr>
              <w:keepNext/>
              <w:keepLines/>
              <w:spacing w:line="416" w:lineRule="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1243" w:type="dxa"/>
            <w:noWrap w:val="0"/>
            <w:vAlign w:val="center"/>
          </w:tcPr>
          <w:p>
            <w:pPr>
              <w:keepNext/>
              <w:keepLines/>
              <w:spacing w:line="416" w:lineRule="auto"/>
              <w:rPr>
                <w:rFonts w:hint="eastAsia" w:ascii="宋体" w:hAnsi="宋体" w:eastAsia="宋体" w:cs="宋体"/>
                <w:sz w:val="24"/>
                <w:szCs w:val="24"/>
                <w:highlight w:val="none"/>
              </w:rPr>
            </w:pPr>
          </w:p>
        </w:tc>
        <w:tc>
          <w:tcPr>
            <w:tcW w:w="3316" w:type="dxa"/>
            <w:noWrap w:val="0"/>
            <w:vAlign w:val="center"/>
          </w:tcPr>
          <w:p>
            <w:pPr>
              <w:keepNext/>
              <w:keepLines/>
              <w:spacing w:line="416" w:lineRule="auto"/>
              <w:rPr>
                <w:rFonts w:hint="eastAsia" w:ascii="宋体" w:hAnsi="宋体" w:eastAsia="宋体" w:cs="宋体"/>
                <w:sz w:val="24"/>
                <w:szCs w:val="24"/>
                <w:highlight w:val="none"/>
              </w:rPr>
            </w:pPr>
          </w:p>
        </w:tc>
        <w:tc>
          <w:tcPr>
            <w:tcW w:w="2280" w:type="dxa"/>
            <w:noWrap w:val="0"/>
            <w:vAlign w:val="center"/>
          </w:tcPr>
          <w:p>
            <w:pPr>
              <w:keepNext/>
              <w:keepLines/>
              <w:spacing w:line="416" w:lineRule="auto"/>
              <w:rPr>
                <w:rFonts w:hint="eastAsia" w:ascii="宋体" w:hAnsi="宋体" w:eastAsia="宋体" w:cs="宋体"/>
                <w:sz w:val="24"/>
                <w:szCs w:val="24"/>
                <w:highlight w:val="none"/>
              </w:rPr>
            </w:pPr>
          </w:p>
        </w:tc>
        <w:tc>
          <w:tcPr>
            <w:tcW w:w="2281" w:type="dxa"/>
            <w:noWrap w:val="0"/>
            <w:vAlign w:val="center"/>
          </w:tcPr>
          <w:p>
            <w:pPr>
              <w:keepNext/>
              <w:keepLines/>
              <w:spacing w:line="416" w:lineRule="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1243" w:type="dxa"/>
            <w:noWrap w:val="0"/>
            <w:vAlign w:val="center"/>
          </w:tcPr>
          <w:p>
            <w:pPr>
              <w:keepNext/>
              <w:keepLines/>
              <w:spacing w:line="416" w:lineRule="auto"/>
              <w:rPr>
                <w:rFonts w:hint="eastAsia" w:ascii="宋体" w:hAnsi="宋体" w:eastAsia="宋体" w:cs="宋体"/>
                <w:sz w:val="24"/>
                <w:szCs w:val="24"/>
                <w:highlight w:val="none"/>
              </w:rPr>
            </w:pPr>
          </w:p>
        </w:tc>
        <w:tc>
          <w:tcPr>
            <w:tcW w:w="3316" w:type="dxa"/>
            <w:noWrap w:val="0"/>
            <w:vAlign w:val="center"/>
          </w:tcPr>
          <w:p>
            <w:pPr>
              <w:keepNext/>
              <w:keepLines/>
              <w:spacing w:line="416" w:lineRule="auto"/>
              <w:rPr>
                <w:rFonts w:hint="eastAsia" w:ascii="宋体" w:hAnsi="宋体" w:eastAsia="宋体" w:cs="宋体"/>
                <w:sz w:val="24"/>
                <w:szCs w:val="24"/>
                <w:highlight w:val="none"/>
              </w:rPr>
            </w:pPr>
          </w:p>
        </w:tc>
        <w:tc>
          <w:tcPr>
            <w:tcW w:w="2280" w:type="dxa"/>
            <w:noWrap w:val="0"/>
            <w:vAlign w:val="center"/>
          </w:tcPr>
          <w:p>
            <w:pPr>
              <w:keepNext/>
              <w:keepLines/>
              <w:spacing w:line="416" w:lineRule="auto"/>
              <w:rPr>
                <w:rFonts w:hint="eastAsia" w:ascii="宋体" w:hAnsi="宋体" w:eastAsia="宋体" w:cs="宋体"/>
                <w:sz w:val="24"/>
                <w:szCs w:val="24"/>
                <w:highlight w:val="none"/>
              </w:rPr>
            </w:pPr>
          </w:p>
        </w:tc>
        <w:tc>
          <w:tcPr>
            <w:tcW w:w="2281" w:type="dxa"/>
            <w:noWrap w:val="0"/>
            <w:vAlign w:val="center"/>
          </w:tcPr>
          <w:p>
            <w:pPr>
              <w:keepNext/>
              <w:keepLines/>
              <w:spacing w:line="416" w:lineRule="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1243" w:type="dxa"/>
            <w:noWrap w:val="0"/>
            <w:vAlign w:val="center"/>
          </w:tcPr>
          <w:p>
            <w:pPr>
              <w:keepNext/>
              <w:keepLines/>
              <w:spacing w:line="416" w:lineRule="auto"/>
              <w:rPr>
                <w:rFonts w:hint="eastAsia" w:ascii="宋体" w:hAnsi="宋体" w:eastAsia="宋体" w:cs="宋体"/>
                <w:sz w:val="24"/>
                <w:szCs w:val="24"/>
                <w:highlight w:val="none"/>
              </w:rPr>
            </w:pPr>
          </w:p>
        </w:tc>
        <w:tc>
          <w:tcPr>
            <w:tcW w:w="3316" w:type="dxa"/>
            <w:noWrap w:val="0"/>
            <w:vAlign w:val="center"/>
          </w:tcPr>
          <w:p>
            <w:pPr>
              <w:keepNext/>
              <w:keepLines/>
              <w:spacing w:line="416" w:lineRule="auto"/>
              <w:rPr>
                <w:rFonts w:hint="eastAsia" w:ascii="宋体" w:hAnsi="宋体" w:eastAsia="宋体" w:cs="宋体"/>
                <w:sz w:val="24"/>
                <w:szCs w:val="24"/>
                <w:highlight w:val="none"/>
              </w:rPr>
            </w:pPr>
          </w:p>
        </w:tc>
        <w:tc>
          <w:tcPr>
            <w:tcW w:w="2280" w:type="dxa"/>
            <w:noWrap w:val="0"/>
            <w:vAlign w:val="center"/>
          </w:tcPr>
          <w:p>
            <w:pPr>
              <w:keepNext/>
              <w:keepLines/>
              <w:spacing w:line="416" w:lineRule="auto"/>
              <w:rPr>
                <w:rFonts w:hint="eastAsia" w:ascii="宋体" w:hAnsi="宋体" w:eastAsia="宋体" w:cs="宋体"/>
                <w:sz w:val="24"/>
                <w:szCs w:val="24"/>
                <w:highlight w:val="none"/>
              </w:rPr>
            </w:pPr>
          </w:p>
        </w:tc>
        <w:tc>
          <w:tcPr>
            <w:tcW w:w="2281" w:type="dxa"/>
            <w:noWrap w:val="0"/>
            <w:vAlign w:val="center"/>
          </w:tcPr>
          <w:p>
            <w:pPr>
              <w:keepNext/>
              <w:keepLines/>
              <w:spacing w:line="416" w:lineRule="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1243" w:type="dxa"/>
            <w:noWrap w:val="0"/>
            <w:vAlign w:val="center"/>
          </w:tcPr>
          <w:p>
            <w:pPr>
              <w:keepNext/>
              <w:keepLines/>
              <w:spacing w:line="416" w:lineRule="auto"/>
              <w:rPr>
                <w:rFonts w:hint="eastAsia" w:ascii="宋体" w:hAnsi="宋体" w:eastAsia="宋体" w:cs="宋体"/>
                <w:sz w:val="24"/>
                <w:szCs w:val="24"/>
                <w:highlight w:val="none"/>
              </w:rPr>
            </w:pPr>
          </w:p>
        </w:tc>
        <w:tc>
          <w:tcPr>
            <w:tcW w:w="3316" w:type="dxa"/>
            <w:noWrap w:val="0"/>
            <w:vAlign w:val="center"/>
          </w:tcPr>
          <w:p>
            <w:pPr>
              <w:keepNext/>
              <w:keepLines/>
              <w:spacing w:line="416" w:lineRule="auto"/>
              <w:rPr>
                <w:rFonts w:hint="eastAsia" w:ascii="宋体" w:hAnsi="宋体" w:eastAsia="宋体" w:cs="宋体"/>
                <w:sz w:val="24"/>
                <w:szCs w:val="24"/>
                <w:highlight w:val="none"/>
              </w:rPr>
            </w:pPr>
          </w:p>
        </w:tc>
        <w:tc>
          <w:tcPr>
            <w:tcW w:w="2280" w:type="dxa"/>
            <w:noWrap w:val="0"/>
            <w:vAlign w:val="center"/>
          </w:tcPr>
          <w:p>
            <w:pPr>
              <w:keepNext/>
              <w:keepLines/>
              <w:spacing w:line="416" w:lineRule="auto"/>
              <w:rPr>
                <w:rFonts w:hint="eastAsia" w:ascii="宋体" w:hAnsi="宋体" w:eastAsia="宋体" w:cs="宋体"/>
                <w:sz w:val="24"/>
                <w:szCs w:val="24"/>
                <w:highlight w:val="none"/>
              </w:rPr>
            </w:pPr>
          </w:p>
        </w:tc>
        <w:tc>
          <w:tcPr>
            <w:tcW w:w="2281" w:type="dxa"/>
            <w:noWrap w:val="0"/>
            <w:vAlign w:val="center"/>
          </w:tcPr>
          <w:p>
            <w:pPr>
              <w:keepNext/>
              <w:keepLines/>
              <w:spacing w:line="416" w:lineRule="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243" w:type="dxa"/>
            <w:noWrap w:val="0"/>
            <w:vAlign w:val="center"/>
          </w:tcPr>
          <w:p>
            <w:pPr>
              <w:keepNext/>
              <w:keepLines/>
              <w:spacing w:line="416" w:lineRule="auto"/>
              <w:rPr>
                <w:rFonts w:hint="eastAsia" w:ascii="宋体" w:hAnsi="宋体" w:eastAsia="宋体" w:cs="宋体"/>
                <w:sz w:val="24"/>
                <w:szCs w:val="24"/>
                <w:highlight w:val="none"/>
              </w:rPr>
            </w:pPr>
          </w:p>
        </w:tc>
        <w:tc>
          <w:tcPr>
            <w:tcW w:w="3316" w:type="dxa"/>
            <w:noWrap w:val="0"/>
            <w:vAlign w:val="center"/>
          </w:tcPr>
          <w:p>
            <w:pPr>
              <w:keepNext/>
              <w:keepLines/>
              <w:spacing w:line="416" w:lineRule="auto"/>
              <w:rPr>
                <w:rFonts w:hint="eastAsia" w:ascii="宋体" w:hAnsi="宋体" w:eastAsia="宋体" w:cs="宋体"/>
                <w:sz w:val="24"/>
                <w:szCs w:val="24"/>
                <w:highlight w:val="none"/>
              </w:rPr>
            </w:pPr>
          </w:p>
        </w:tc>
        <w:tc>
          <w:tcPr>
            <w:tcW w:w="2280" w:type="dxa"/>
            <w:noWrap w:val="0"/>
            <w:vAlign w:val="center"/>
          </w:tcPr>
          <w:p>
            <w:pPr>
              <w:keepNext/>
              <w:keepLines/>
              <w:spacing w:line="416" w:lineRule="auto"/>
              <w:rPr>
                <w:rFonts w:hint="eastAsia" w:ascii="宋体" w:hAnsi="宋体" w:eastAsia="宋体" w:cs="宋体"/>
                <w:sz w:val="24"/>
                <w:szCs w:val="24"/>
                <w:highlight w:val="none"/>
              </w:rPr>
            </w:pPr>
          </w:p>
        </w:tc>
        <w:tc>
          <w:tcPr>
            <w:tcW w:w="2281" w:type="dxa"/>
            <w:noWrap w:val="0"/>
            <w:vAlign w:val="center"/>
          </w:tcPr>
          <w:p>
            <w:pPr>
              <w:keepNext/>
              <w:keepLines/>
              <w:spacing w:line="416" w:lineRule="auto"/>
              <w:rPr>
                <w:rFonts w:hint="eastAsia" w:ascii="宋体" w:hAnsi="宋体" w:eastAsia="宋体" w:cs="宋体"/>
                <w:sz w:val="24"/>
                <w:szCs w:val="24"/>
                <w:highlight w:val="none"/>
              </w:rPr>
            </w:pPr>
          </w:p>
        </w:tc>
      </w:tr>
    </w:tbl>
    <w:p>
      <w:pPr>
        <w:pStyle w:val="5"/>
        <w:jc w:val="both"/>
        <w:rPr>
          <w:rFonts w:ascii="宋体" w:hAnsi="宋体" w:cs="宋体"/>
          <w:sz w:val="24"/>
          <w:szCs w:val="24"/>
          <w:highlight w:val="none"/>
        </w:rPr>
      </w:pPr>
    </w:p>
    <w:p>
      <w:pPr>
        <w:rPr>
          <w:rFonts w:ascii="宋体" w:hAnsi="宋体" w:cs="宋体"/>
          <w:sz w:val="24"/>
          <w:szCs w:val="24"/>
          <w:highlight w:val="none"/>
        </w:rPr>
      </w:pPr>
    </w:p>
    <w:p>
      <w:pPr>
        <w:spacing w:line="480" w:lineRule="auto"/>
        <w:ind w:firstLine="2520" w:firstLineChars="1050"/>
        <w:rPr>
          <w:rFonts w:ascii="宋体" w:hAnsi="宋体" w:cs="宋体"/>
          <w:sz w:val="24"/>
          <w:szCs w:val="24"/>
          <w:highlight w:val="none"/>
        </w:rPr>
      </w:pPr>
      <w:r>
        <w:rPr>
          <w:rFonts w:hint="eastAsia" w:ascii="宋体" w:hAnsi="宋体" w:cs="宋体"/>
          <w:sz w:val="24"/>
          <w:szCs w:val="24"/>
          <w:highlight w:val="none"/>
        </w:rPr>
        <w:t>供应商名称：</w:t>
      </w:r>
      <w:r>
        <w:rPr>
          <w:rFonts w:hint="eastAsia" w:ascii="宋体" w:hAnsi="宋体" w:cs="宋体"/>
          <w:sz w:val="24"/>
          <w:szCs w:val="24"/>
          <w:highlight w:val="none"/>
          <w:u w:val="single"/>
        </w:rPr>
        <w:t xml:space="preserve">                    </w:t>
      </w:r>
      <w:r>
        <w:rPr>
          <w:rFonts w:hint="eastAsia" w:ascii="宋体" w:hAnsi="宋体" w:cs="宋体"/>
          <w:sz w:val="24"/>
          <w:szCs w:val="24"/>
          <w:highlight w:val="none"/>
        </w:rPr>
        <w:t>（盖章）</w:t>
      </w:r>
    </w:p>
    <w:p>
      <w:pPr>
        <w:spacing w:line="360" w:lineRule="auto"/>
        <w:ind w:firstLine="2520" w:firstLineChars="1050"/>
        <w:rPr>
          <w:rFonts w:ascii="宋体" w:hAnsi="宋体" w:cs="宋体"/>
          <w:sz w:val="24"/>
          <w:szCs w:val="24"/>
          <w:highlight w:val="none"/>
        </w:rPr>
      </w:pPr>
      <w:r>
        <w:rPr>
          <w:rFonts w:hint="eastAsia" w:ascii="宋体" w:hAnsi="宋体" w:cs="宋体"/>
          <w:sz w:val="24"/>
          <w:szCs w:val="24"/>
          <w:highlight w:val="none"/>
        </w:rPr>
        <w:t>法定代表人</w:t>
      </w:r>
    </w:p>
    <w:p>
      <w:pPr>
        <w:spacing w:line="360" w:lineRule="auto"/>
        <w:ind w:firstLine="2520" w:firstLineChars="1050"/>
        <w:rPr>
          <w:rFonts w:ascii="宋体" w:hAnsi="宋体" w:cs="宋体"/>
          <w:sz w:val="24"/>
          <w:szCs w:val="24"/>
          <w:highlight w:val="none"/>
        </w:rPr>
      </w:pPr>
      <w:r>
        <w:rPr>
          <w:rFonts w:hint="eastAsia" w:ascii="宋体" w:hAnsi="宋体" w:cs="宋体"/>
          <w:sz w:val="24"/>
          <w:szCs w:val="24"/>
          <w:highlight w:val="none"/>
        </w:rPr>
        <w:t>或委托代理人：</w:t>
      </w:r>
      <w:r>
        <w:rPr>
          <w:rFonts w:hint="eastAsia" w:ascii="宋体" w:hAnsi="宋体" w:cs="宋体"/>
          <w:sz w:val="24"/>
          <w:szCs w:val="24"/>
          <w:highlight w:val="none"/>
          <w:u w:val="single"/>
        </w:rPr>
        <w:t xml:space="preserve">                </w:t>
      </w:r>
      <w:r>
        <w:rPr>
          <w:rFonts w:hint="eastAsia" w:ascii="宋体" w:hAnsi="宋体" w:cs="宋体"/>
          <w:sz w:val="24"/>
          <w:szCs w:val="24"/>
          <w:highlight w:val="none"/>
        </w:rPr>
        <w:t>(签字或盖章)</w:t>
      </w:r>
    </w:p>
    <w:p>
      <w:pPr>
        <w:pStyle w:val="51"/>
        <w:spacing w:before="156" w:beforeLines="50"/>
        <w:ind w:firstLine="2520" w:firstLineChars="1050"/>
        <w:rPr>
          <w:rFonts w:ascii="宋体" w:hAnsi="宋体" w:cs="宋体"/>
          <w:sz w:val="24"/>
          <w:szCs w:val="24"/>
          <w:highlight w:val="none"/>
        </w:rPr>
      </w:pPr>
      <w:r>
        <w:rPr>
          <w:rFonts w:hint="eastAsia" w:ascii="宋体" w:hAnsi="宋体" w:cs="宋体"/>
          <w:sz w:val="24"/>
          <w:szCs w:val="24"/>
          <w:highlight w:val="none"/>
        </w:rPr>
        <w:t>日        期：</w:t>
      </w:r>
      <w:r>
        <w:rPr>
          <w:rFonts w:hint="eastAsia" w:ascii="宋体" w:hAnsi="宋体" w:cs="宋体"/>
          <w:sz w:val="24"/>
          <w:szCs w:val="24"/>
          <w:highlight w:val="none"/>
          <w:u w:val="single"/>
        </w:rPr>
        <w:t xml:space="preserve">      </w:t>
      </w:r>
      <w:r>
        <w:rPr>
          <w:rFonts w:hint="eastAsia" w:ascii="宋体" w:hAnsi="宋体" w:cs="宋体"/>
          <w:sz w:val="24"/>
          <w:szCs w:val="24"/>
          <w:highlight w:val="none"/>
        </w:rPr>
        <w:t>年</w:t>
      </w:r>
      <w:r>
        <w:rPr>
          <w:rFonts w:hint="eastAsia" w:ascii="宋体" w:hAnsi="宋体" w:cs="宋体"/>
          <w:sz w:val="24"/>
          <w:szCs w:val="24"/>
          <w:highlight w:val="none"/>
          <w:u w:val="single"/>
        </w:rPr>
        <w:t xml:space="preserve">     </w:t>
      </w:r>
      <w:r>
        <w:rPr>
          <w:rFonts w:hint="eastAsia" w:ascii="宋体" w:hAnsi="宋体" w:cs="宋体"/>
          <w:sz w:val="24"/>
          <w:szCs w:val="24"/>
          <w:highlight w:val="none"/>
        </w:rPr>
        <w:t>月</w:t>
      </w:r>
      <w:r>
        <w:rPr>
          <w:rFonts w:hint="eastAsia" w:ascii="宋体" w:hAnsi="宋体" w:cs="宋体"/>
          <w:sz w:val="24"/>
          <w:szCs w:val="24"/>
          <w:highlight w:val="none"/>
          <w:u w:val="single"/>
        </w:rPr>
        <w:t xml:space="preserve">     </w:t>
      </w:r>
      <w:r>
        <w:rPr>
          <w:rFonts w:hint="eastAsia" w:ascii="宋体" w:hAnsi="宋体" w:cs="宋体"/>
          <w:sz w:val="24"/>
          <w:szCs w:val="24"/>
          <w:highlight w:val="none"/>
        </w:rPr>
        <w:t>日</w:t>
      </w:r>
    </w:p>
    <w:p>
      <w:pPr>
        <w:pStyle w:val="5"/>
        <w:rPr>
          <w:rFonts w:ascii="宋体" w:hAnsi="宋体" w:cs="宋体"/>
          <w:highlight w:val="none"/>
        </w:rPr>
      </w:pPr>
    </w:p>
    <w:p>
      <w:pPr>
        <w:rPr>
          <w:rFonts w:ascii="宋体" w:hAnsi="宋体" w:cs="宋体"/>
          <w:highlight w:val="none"/>
        </w:rPr>
      </w:pPr>
    </w:p>
    <w:p>
      <w:pPr>
        <w:jc w:val="center"/>
        <w:rPr>
          <w:rFonts w:ascii="宋体" w:hAnsi="宋体" w:cs="宋体"/>
          <w:b/>
          <w:sz w:val="24"/>
          <w:highlight w:val="none"/>
        </w:rPr>
      </w:pPr>
      <w:r>
        <w:rPr>
          <w:rFonts w:hint="eastAsia" w:ascii="宋体" w:hAnsi="宋体" w:cs="宋体"/>
          <w:b/>
          <w:sz w:val="24"/>
          <w:highlight w:val="none"/>
        </w:rPr>
        <w:br w:type="page"/>
      </w:r>
      <w:r>
        <w:rPr>
          <w:rFonts w:hint="eastAsia" w:ascii="宋体" w:hAnsi="宋体" w:cs="宋体"/>
          <w:b/>
          <w:sz w:val="24"/>
          <w:highlight w:val="none"/>
        </w:rPr>
        <w:t>2、</w:t>
      </w:r>
      <w:r>
        <w:rPr>
          <w:rFonts w:hint="eastAsia" w:ascii="宋体" w:hAnsi="宋体" w:cs="宋体"/>
          <w:b/>
          <w:sz w:val="24"/>
          <w:highlight w:val="none"/>
          <w:lang w:val="en-US" w:eastAsia="zh-CN"/>
        </w:rPr>
        <w:t>业绩</w:t>
      </w:r>
      <w:r>
        <w:rPr>
          <w:rFonts w:hint="eastAsia" w:ascii="宋体" w:hAnsi="宋体" w:cs="宋体"/>
          <w:b/>
          <w:sz w:val="24"/>
          <w:highlight w:val="none"/>
        </w:rPr>
        <w:t>项目证明附表</w:t>
      </w:r>
    </w:p>
    <w:p>
      <w:pPr>
        <w:pStyle w:val="51"/>
        <w:spacing w:before="156" w:beforeLines="50"/>
        <w:rPr>
          <w:rFonts w:ascii="宋体" w:hAnsi="宋体" w:cs="宋体"/>
          <w:kern w:val="0"/>
          <w:szCs w:val="21"/>
          <w:highlight w:val="none"/>
        </w:rPr>
      </w:pPr>
    </w:p>
    <w:tbl>
      <w:tblPr>
        <w:tblStyle w:val="23"/>
        <w:tblpPr w:leftFromText="180" w:rightFromText="180" w:vertAnchor="text" w:horzAnchor="page" w:tblpX="1800" w:tblpY="-236"/>
        <w:tblOverlap w:val="never"/>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4"/>
        <w:gridCol w:w="6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2414" w:type="dxa"/>
            <w:vAlign w:val="center"/>
          </w:tcPr>
          <w:p>
            <w:pPr>
              <w:jc w:val="center"/>
              <w:rPr>
                <w:rFonts w:ascii="宋体" w:hAnsi="宋体" w:cs="宋体"/>
                <w:sz w:val="24"/>
                <w:highlight w:val="none"/>
              </w:rPr>
            </w:pPr>
            <w:r>
              <w:rPr>
                <w:rFonts w:hint="eastAsia" w:ascii="宋体" w:hAnsi="宋体" w:cs="宋体"/>
                <w:sz w:val="24"/>
                <w:highlight w:val="none"/>
              </w:rPr>
              <w:t>项目名称</w:t>
            </w:r>
          </w:p>
        </w:tc>
        <w:tc>
          <w:tcPr>
            <w:tcW w:w="6105" w:type="dxa"/>
            <w:vAlign w:val="center"/>
          </w:tcPr>
          <w:p>
            <w:pPr>
              <w:jc w:val="left"/>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2414" w:type="dxa"/>
            <w:vAlign w:val="center"/>
          </w:tcPr>
          <w:p>
            <w:pPr>
              <w:jc w:val="center"/>
              <w:rPr>
                <w:rFonts w:ascii="宋体" w:hAnsi="宋体" w:cs="宋体"/>
                <w:sz w:val="24"/>
                <w:highlight w:val="none"/>
              </w:rPr>
            </w:pPr>
            <w:r>
              <w:rPr>
                <w:rFonts w:hint="eastAsia" w:ascii="宋体" w:hAnsi="宋体" w:cs="宋体"/>
                <w:sz w:val="24"/>
                <w:highlight w:val="none"/>
              </w:rPr>
              <w:t>项目所在地</w:t>
            </w:r>
          </w:p>
        </w:tc>
        <w:tc>
          <w:tcPr>
            <w:tcW w:w="6105" w:type="dxa"/>
            <w:vAlign w:val="center"/>
          </w:tcPr>
          <w:p>
            <w:pPr>
              <w:jc w:val="left"/>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2414" w:type="dxa"/>
            <w:vAlign w:val="center"/>
          </w:tcPr>
          <w:p>
            <w:pPr>
              <w:jc w:val="center"/>
              <w:rPr>
                <w:rFonts w:ascii="宋体" w:hAnsi="宋体" w:cs="宋体"/>
                <w:sz w:val="24"/>
                <w:highlight w:val="none"/>
              </w:rPr>
            </w:pPr>
            <w:r>
              <w:rPr>
                <w:rFonts w:hint="eastAsia" w:ascii="宋体" w:hAnsi="宋体" w:cs="宋体"/>
                <w:sz w:val="24"/>
                <w:highlight w:val="none"/>
              </w:rPr>
              <w:t>发包人名称</w:t>
            </w:r>
          </w:p>
        </w:tc>
        <w:tc>
          <w:tcPr>
            <w:tcW w:w="6105" w:type="dxa"/>
            <w:vAlign w:val="center"/>
          </w:tcPr>
          <w:p>
            <w:pPr>
              <w:jc w:val="left"/>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2414" w:type="dxa"/>
            <w:vAlign w:val="center"/>
          </w:tcPr>
          <w:p>
            <w:pPr>
              <w:jc w:val="center"/>
              <w:rPr>
                <w:rFonts w:ascii="宋体" w:hAnsi="宋体" w:cs="宋体"/>
                <w:sz w:val="24"/>
                <w:highlight w:val="none"/>
              </w:rPr>
            </w:pPr>
            <w:r>
              <w:rPr>
                <w:rFonts w:hint="eastAsia" w:ascii="宋体" w:hAnsi="宋体" w:cs="宋体"/>
                <w:sz w:val="24"/>
                <w:highlight w:val="none"/>
              </w:rPr>
              <w:t>发包人地址</w:t>
            </w:r>
          </w:p>
        </w:tc>
        <w:tc>
          <w:tcPr>
            <w:tcW w:w="6105" w:type="dxa"/>
            <w:vAlign w:val="center"/>
          </w:tcPr>
          <w:p>
            <w:pPr>
              <w:jc w:val="left"/>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2414" w:type="dxa"/>
            <w:vAlign w:val="center"/>
          </w:tcPr>
          <w:p>
            <w:pPr>
              <w:jc w:val="center"/>
              <w:rPr>
                <w:rFonts w:ascii="宋体" w:hAnsi="宋体" w:cs="宋体"/>
                <w:sz w:val="24"/>
                <w:highlight w:val="none"/>
              </w:rPr>
            </w:pPr>
            <w:r>
              <w:rPr>
                <w:rFonts w:hint="eastAsia" w:ascii="宋体" w:hAnsi="宋体" w:cs="宋体"/>
                <w:sz w:val="24"/>
                <w:highlight w:val="none"/>
              </w:rPr>
              <w:t>发包人联系电话</w:t>
            </w:r>
          </w:p>
        </w:tc>
        <w:tc>
          <w:tcPr>
            <w:tcW w:w="6105" w:type="dxa"/>
            <w:vAlign w:val="center"/>
          </w:tcPr>
          <w:p>
            <w:pPr>
              <w:jc w:val="left"/>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2414" w:type="dxa"/>
            <w:vAlign w:val="center"/>
          </w:tcPr>
          <w:p>
            <w:pPr>
              <w:jc w:val="center"/>
              <w:rPr>
                <w:rFonts w:ascii="宋体" w:hAnsi="宋体" w:cs="宋体"/>
                <w:sz w:val="24"/>
                <w:highlight w:val="none"/>
              </w:rPr>
            </w:pPr>
            <w:r>
              <w:rPr>
                <w:rFonts w:hint="eastAsia" w:ascii="宋体" w:hAnsi="宋体" w:cs="宋体"/>
                <w:sz w:val="24"/>
                <w:highlight w:val="none"/>
              </w:rPr>
              <w:t>合同价格</w:t>
            </w:r>
          </w:p>
        </w:tc>
        <w:tc>
          <w:tcPr>
            <w:tcW w:w="6105" w:type="dxa"/>
            <w:vAlign w:val="center"/>
          </w:tcPr>
          <w:p>
            <w:pPr>
              <w:jc w:val="left"/>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2414" w:type="dxa"/>
            <w:vAlign w:val="center"/>
          </w:tcPr>
          <w:p>
            <w:pPr>
              <w:jc w:val="center"/>
              <w:rPr>
                <w:rFonts w:ascii="宋体" w:hAnsi="宋体" w:cs="宋体"/>
                <w:sz w:val="24"/>
                <w:highlight w:val="none"/>
              </w:rPr>
            </w:pPr>
            <w:r>
              <w:rPr>
                <w:rFonts w:hint="eastAsia" w:ascii="宋体" w:hAnsi="宋体" w:cs="宋体"/>
                <w:sz w:val="24"/>
                <w:highlight w:val="none"/>
              </w:rPr>
              <w:t>项目执行日期</w:t>
            </w:r>
          </w:p>
        </w:tc>
        <w:tc>
          <w:tcPr>
            <w:tcW w:w="6105" w:type="dxa"/>
            <w:vAlign w:val="center"/>
          </w:tcPr>
          <w:p>
            <w:pPr>
              <w:jc w:val="left"/>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1" w:hRule="atLeast"/>
        </w:trPr>
        <w:tc>
          <w:tcPr>
            <w:tcW w:w="2414" w:type="dxa"/>
            <w:vAlign w:val="center"/>
          </w:tcPr>
          <w:p>
            <w:pPr>
              <w:jc w:val="center"/>
              <w:rPr>
                <w:rFonts w:ascii="宋体" w:hAnsi="宋体" w:cs="宋体"/>
                <w:sz w:val="24"/>
                <w:highlight w:val="none"/>
              </w:rPr>
            </w:pPr>
            <w:r>
              <w:rPr>
                <w:rFonts w:hint="eastAsia" w:ascii="宋体" w:hAnsi="宋体" w:cs="宋体"/>
                <w:sz w:val="24"/>
                <w:highlight w:val="none"/>
              </w:rPr>
              <w:t>承担的工作</w:t>
            </w:r>
          </w:p>
        </w:tc>
        <w:tc>
          <w:tcPr>
            <w:tcW w:w="6105" w:type="dxa"/>
            <w:vAlign w:val="center"/>
          </w:tcPr>
          <w:p>
            <w:pPr>
              <w:jc w:val="left"/>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2414" w:type="dxa"/>
            <w:vAlign w:val="center"/>
          </w:tcPr>
          <w:p>
            <w:pPr>
              <w:jc w:val="center"/>
              <w:rPr>
                <w:rFonts w:ascii="宋体" w:hAnsi="宋体" w:cs="宋体"/>
                <w:sz w:val="24"/>
                <w:highlight w:val="none"/>
              </w:rPr>
            </w:pPr>
            <w:r>
              <w:rPr>
                <w:rFonts w:hint="eastAsia" w:ascii="宋体" w:hAnsi="宋体" w:cs="宋体"/>
                <w:sz w:val="24"/>
                <w:highlight w:val="none"/>
              </w:rPr>
              <w:t>工程质量</w:t>
            </w:r>
          </w:p>
        </w:tc>
        <w:tc>
          <w:tcPr>
            <w:tcW w:w="6105" w:type="dxa"/>
            <w:vAlign w:val="center"/>
          </w:tcPr>
          <w:p>
            <w:pPr>
              <w:jc w:val="left"/>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2414" w:type="dxa"/>
            <w:vAlign w:val="center"/>
          </w:tcPr>
          <w:p>
            <w:pPr>
              <w:jc w:val="center"/>
              <w:rPr>
                <w:rFonts w:ascii="宋体" w:hAnsi="宋体" w:cs="宋体"/>
                <w:sz w:val="24"/>
                <w:highlight w:val="none"/>
              </w:rPr>
            </w:pPr>
            <w:r>
              <w:rPr>
                <w:rFonts w:hint="eastAsia" w:ascii="宋体" w:hAnsi="宋体" w:cs="宋体"/>
                <w:sz w:val="24"/>
                <w:highlight w:val="none"/>
              </w:rPr>
              <w:t>项目负责人</w:t>
            </w:r>
          </w:p>
        </w:tc>
        <w:tc>
          <w:tcPr>
            <w:tcW w:w="6105" w:type="dxa"/>
            <w:vAlign w:val="center"/>
          </w:tcPr>
          <w:p>
            <w:pPr>
              <w:jc w:val="left"/>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2414" w:type="dxa"/>
            <w:vAlign w:val="center"/>
          </w:tcPr>
          <w:p>
            <w:pPr>
              <w:jc w:val="center"/>
              <w:rPr>
                <w:rFonts w:ascii="宋体" w:hAnsi="宋体" w:cs="宋体"/>
                <w:sz w:val="24"/>
                <w:highlight w:val="none"/>
              </w:rPr>
            </w:pPr>
            <w:r>
              <w:rPr>
                <w:rFonts w:hint="eastAsia" w:ascii="宋体" w:hAnsi="宋体" w:cs="宋体"/>
                <w:sz w:val="24"/>
                <w:highlight w:val="none"/>
              </w:rPr>
              <w:t>备注</w:t>
            </w:r>
          </w:p>
        </w:tc>
        <w:tc>
          <w:tcPr>
            <w:tcW w:w="6105" w:type="dxa"/>
            <w:vAlign w:val="center"/>
          </w:tcPr>
          <w:p>
            <w:pPr>
              <w:jc w:val="left"/>
              <w:rPr>
                <w:rFonts w:ascii="宋体" w:hAnsi="宋体" w:cs="宋体"/>
                <w:sz w:val="24"/>
                <w:highlight w:val="none"/>
              </w:rPr>
            </w:pPr>
          </w:p>
        </w:tc>
      </w:tr>
    </w:tbl>
    <w:p>
      <w:pPr>
        <w:pStyle w:val="51"/>
        <w:spacing w:before="156" w:beforeLines="50"/>
        <w:rPr>
          <w:rFonts w:ascii="宋体" w:hAnsi="宋体" w:cs="宋体"/>
          <w:kern w:val="0"/>
          <w:szCs w:val="21"/>
          <w:highlight w:val="none"/>
        </w:rPr>
      </w:pPr>
      <w:r>
        <w:rPr>
          <w:rFonts w:hint="eastAsia" w:ascii="宋体" w:hAnsi="宋体" w:cs="宋体"/>
          <w:kern w:val="0"/>
          <w:szCs w:val="21"/>
          <w:highlight w:val="none"/>
        </w:rPr>
        <w:t>注：1、本表可复制，一个业绩附一张表。</w:t>
      </w:r>
    </w:p>
    <w:p>
      <w:pPr>
        <w:pStyle w:val="51"/>
        <w:spacing w:before="156" w:beforeLines="50"/>
        <w:rPr>
          <w:rFonts w:ascii="宋体" w:hAnsi="宋体" w:cs="宋体"/>
          <w:sz w:val="24"/>
          <w:highlight w:val="none"/>
        </w:rPr>
      </w:pPr>
      <w:r>
        <w:rPr>
          <w:rFonts w:hint="eastAsia" w:ascii="宋体" w:hAnsi="宋体" w:cs="宋体"/>
          <w:kern w:val="0"/>
          <w:szCs w:val="21"/>
          <w:highlight w:val="none"/>
        </w:rPr>
        <w:t>2、附合同或批复文件资料的复印件（加盖供应商公章）</w:t>
      </w:r>
    </w:p>
    <w:p>
      <w:pPr>
        <w:rPr>
          <w:rFonts w:ascii="宋体" w:hAnsi="宋体" w:cs="宋体"/>
          <w:b/>
          <w:bCs/>
          <w:sz w:val="28"/>
          <w:szCs w:val="28"/>
          <w:highlight w:val="none"/>
        </w:rPr>
      </w:pPr>
      <w:r>
        <w:rPr>
          <w:rFonts w:hint="eastAsia" w:ascii="宋体" w:hAnsi="宋体" w:cs="宋体"/>
          <w:b/>
          <w:bCs/>
          <w:sz w:val="28"/>
          <w:szCs w:val="28"/>
          <w:highlight w:val="none"/>
        </w:rPr>
        <w:br w:type="page"/>
      </w:r>
    </w:p>
    <w:p>
      <w:pPr>
        <w:pStyle w:val="11"/>
        <w:spacing w:before="120"/>
        <w:ind w:left="0" w:right="34"/>
        <w:jc w:val="center"/>
        <w:outlineLvl w:val="1"/>
        <w:rPr>
          <w:rFonts w:ascii="宋体" w:hAnsi="宋体" w:cs="宋体"/>
          <w:highlight w:val="none"/>
        </w:rPr>
      </w:pPr>
      <w:bookmarkStart w:id="119" w:name="_Toc31129"/>
      <w:r>
        <w:rPr>
          <w:rFonts w:hint="eastAsia" w:ascii="宋体" w:hAnsi="宋体" w:cs="宋体"/>
          <w:b/>
          <w:bCs/>
          <w:kern w:val="2"/>
          <w:sz w:val="28"/>
          <w:szCs w:val="28"/>
          <w:highlight w:val="none"/>
        </w:rPr>
        <w:t>六、技术组织方案</w:t>
      </w:r>
      <w:bookmarkEnd w:id="119"/>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格式自定，参照磋商文件第五部分《评审办法》各条款的要求，结合第三部分《磋商要求及说明》编制磋商响应方案，包括但不限于以下内容：</w:t>
      </w:r>
    </w:p>
    <w:p>
      <w:pPr>
        <w:ind w:firstLine="480" w:firstLineChars="200"/>
        <w:rPr>
          <w:rFonts w:hint="eastAsia" w:ascii="宋体" w:hAnsi="宋体" w:eastAsia="宋体" w:cs="宋体"/>
          <w:kern w:val="2"/>
          <w:sz w:val="24"/>
          <w:highlight w:val="none"/>
          <w:lang w:val="en-US" w:eastAsia="zh-CN" w:bidi="ar-SA"/>
        </w:rPr>
      </w:pPr>
      <w:r>
        <w:rPr>
          <w:rFonts w:hint="eastAsia" w:ascii="宋体" w:hAnsi="宋体" w:eastAsia="宋体" w:cs="宋体"/>
          <w:color w:val="auto"/>
          <w:sz w:val="24"/>
          <w:szCs w:val="24"/>
          <w:highlight w:val="none"/>
        </w:rPr>
        <w:t>6.1</w:t>
      </w:r>
      <w:r>
        <w:rPr>
          <w:rFonts w:hint="eastAsia" w:ascii="宋体" w:hAnsi="宋体" w:eastAsia="宋体" w:cs="宋体"/>
          <w:kern w:val="2"/>
          <w:sz w:val="24"/>
          <w:highlight w:val="none"/>
          <w:lang w:val="en-US" w:eastAsia="zh-CN" w:bidi="ar-SA"/>
        </w:rPr>
        <w:t>对项目任务理解以及检测分析评价方法</w:t>
      </w:r>
    </w:p>
    <w:p>
      <w:pPr>
        <w:ind w:firstLine="480" w:firstLineChars="200"/>
        <w:rPr>
          <w:rFonts w:hint="eastAsia" w:ascii="宋体" w:hAnsi="宋体" w:eastAsia="宋体" w:cs="宋体"/>
          <w:kern w:val="2"/>
          <w:sz w:val="24"/>
          <w:highlight w:val="none"/>
          <w:lang w:val="en-US" w:eastAsia="zh-CN" w:bidi="ar-SA"/>
        </w:rPr>
      </w:pPr>
      <w:r>
        <w:rPr>
          <w:rFonts w:hint="eastAsia" w:ascii="宋体" w:hAnsi="宋体" w:eastAsia="宋体" w:cs="宋体"/>
          <w:kern w:val="2"/>
          <w:sz w:val="24"/>
          <w:highlight w:val="none"/>
          <w:lang w:val="en-US" w:eastAsia="zh-CN" w:bidi="ar-SA"/>
        </w:rPr>
        <w:t>6.2各类桥梁主次部位及权重划分准确性</w:t>
      </w:r>
    </w:p>
    <w:p>
      <w:pPr>
        <w:ind w:firstLine="480" w:firstLineChars="200"/>
        <w:rPr>
          <w:rFonts w:hint="eastAsia" w:ascii="宋体" w:hAnsi="宋体" w:eastAsia="宋体" w:cs="宋体"/>
          <w:kern w:val="2"/>
          <w:sz w:val="24"/>
          <w:highlight w:val="none"/>
          <w:lang w:val="en-US" w:eastAsia="zh-CN" w:bidi="ar-SA"/>
        </w:rPr>
      </w:pPr>
      <w:r>
        <w:rPr>
          <w:rFonts w:hint="eastAsia" w:ascii="宋体" w:hAnsi="宋体" w:eastAsia="宋体" w:cs="宋体"/>
          <w:kern w:val="2"/>
          <w:sz w:val="24"/>
          <w:highlight w:val="none"/>
          <w:lang w:val="en-US" w:eastAsia="zh-CN" w:bidi="ar-SA"/>
        </w:rPr>
        <w:t>6.3项目重点、难点理解及关键技术对策措施</w:t>
      </w:r>
    </w:p>
    <w:p>
      <w:pPr>
        <w:ind w:firstLine="480" w:firstLineChars="200"/>
        <w:rPr>
          <w:rFonts w:hint="eastAsia" w:ascii="宋体" w:hAnsi="宋体" w:eastAsia="宋体" w:cs="宋体"/>
          <w:kern w:val="2"/>
          <w:sz w:val="24"/>
          <w:highlight w:val="none"/>
          <w:lang w:val="en-US" w:eastAsia="zh-CN" w:bidi="ar-SA"/>
        </w:rPr>
      </w:pPr>
      <w:r>
        <w:rPr>
          <w:rFonts w:hint="eastAsia" w:ascii="宋体" w:hAnsi="宋体" w:eastAsia="宋体" w:cs="宋体"/>
          <w:kern w:val="2"/>
          <w:sz w:val="24"/>
          <w:highlight w:val="none"/>
          <w:lang w:val="en-US" w:eastAsia="zh-CN" w:bidi="ar-SA"/>
        </w:rPr>
        <w:t>6.4工作进度计划合理性</w:t>
      </w:r>
    </w:p>
    <w:p>
      <w:pPr>
        <w:ind w:firstLine="480" w:firstLineChars="200"/>
        <w:rPr>
          <w:rFonts w:hint="eastAsia" w:ascii="宋体" w:hAnsi="宋体" w:eastAsia="宋体" w:cs="宋体"/>
          <w:kern w:val="2"/>
          <w:sz w:val="24"/>
          <w:highlight w:val="none"/>
          <w:lang w:val="en-US" w:eastAsia="zh-CN" w:bidi="ar-SA"/>
        </w:rPr>
      </w:pPr>
      <w:r>
        <w:rPr>
          <w:rFonts w:hint="eastAsia" w:ascii="宋体" w:hAnsi="宋体" w:eastAsia="宋体" w:cs="宋体"/>
          <w:kern w:val="2"/>
          <w:sz w:val="24"/>
          <w:highlight w:val="none"/>
          <w:lang w:val="en-US" w:eastAsia="zh-CN" w:bidi="ar-SA"/>
        </w:rPr>
        <w:t>6.5项目组织机构及主要人员分工等安排合理性</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kern w:val="2"/>
          <w:sz w:val="24"/>
          <w:highlight w:val="none"/>
          <w:lang w:val="en-US" w:eastAsia="zh-CN" w:bidi="ar-SA"/>
        </w:rPr>
        <w:t>6.6质量安全保证措施针对性</w:t>
      </w:r>
    </w:p>
    <w:p>
      <w:pPr>
        <w:spacing w:line="360" w:lineRule="auto"/>
        <w:ind w:firstLine="448" w:firstLineChars="187"/>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6.</w:t>
      </w:r>
      <w:r>
        <w:rPr>
          <w:rFonts w:hint="eastAsia" w:ascii="宋体" w:hAnsi="宋体" w:eastAsia="宋体" w:cs="宋体"/>
          <w:color w:val="auto"/>
          <w:sz w:val="24"/>
          <w:szCs w:val="24"/>
          <w:highlight w:val="none"/>
          <w:lang w:val="en-US" w:eastAsia="zh-CN"/>
        </w:rPr>
        <w:t>7人员配置</w:t>
      </w:r>
    </w:p>
    <w:p>
      <w:pPr>
        <w:spacing w:line="360" w:lineRule="auto"/>
        <w:ind w:firstLine="448" w:firstLineChars="18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 xml:space="preserve"> 其他有关本次采购的说明</w:t>
      </w:r>
    </w:p>
    <w:p>
      <w:pPr>
        <w:spacing w:line="360" w:lineRule="auto"/>
        <w:ind w:firstLine="448" w:firstLineChars="18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注意：供应商应确保上述材料的真实性、有效性及合法性，否则，由此引起的任何责任都由供应商自行承担。</w:t>
      </w:r>
    </w:p>
    <w:p>
      <w:pPr>
        <w:pStyle w:val="52"/>
        <w:ind w:firstLine="0" w:firstLineChars="0"/>
        <w:jc w:val="center"/>
        <w:rPr>
          <w:rFonts w:hint="eastAsia" w:ascii="宋体" w:hAnsi="宋体" w:eastAsia="宋体" w:cs="宋体"/>
          <w:b/>
          <w:bCs/>
          <w:sz w:val="28"/>
          <w:szCs w:val="28"/>
          <w:highlight w:val="none"/>
        </w:rPr>
      </w:pPr>
      <w:r>
        <w:rPr>
          <w:rFonts w:hint="eastAsia" w:cs="宋体"/>
          <w:highlight w:val="none"/>
        </w:rPr>
        <w:br w:type="page"/>
      </w:r>
      <w:r>
        <w:rPr>
          <w:rFonts w:hint="eastAsia" w:ascii="宋体" w:hAnsi="宋体" w:eastAsia="宋体" w:cs="宋体"/>
          <w:b/>
          <w:bCs/>
          <w:sz w:val="28"/>
          <w:szCs w:val="28"/>
          <w:highlight w:val="none"/>
        </w:rPr>
        <w:t>1.拟派项目负责人简历表</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0"/>
        <w:gridCol w:w="2340"/>
        <w:gridCol w:w="4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2520" w:type="dxa"/>
            <w:noWrap w:val="0"/>
            <w:vAlign w:val="center"/>
          </w:tcPr>
          <w:p>
            <w:pPr>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姓       名</w:t>
            </w:r>
          </w:p>
        </w:tc>
        <w:tc>
          <w:tcPr>
            <w:tcW w:w="2340" w:type="dxa"/>
            <w:noWrap w:val="0"/>
            <w:vAlign w:val="center"/>
          </w:tcPr>
          <w:p>
            <w:pPr>
              <w:jc w:val="center"/>
              <w:rPr>
                <w:rFonts w:hint="eastAsia" w:ascii="宋体" w:hAnsi="宋体" w:eastAsia="宋体" w:cs="宋体"/>
                <w:b w:val="0"/>
                <w:bCs w:val="0"/>
                <w:sz w:val="24"/>
                <w:szCs w:val="24"/>
                <w:highlight w:val="none"/>
              </w:rPr>
            </w:pPr>
          </w:p>
        </w:tc>
        <w:tc>
          <w:tcPr>
            <w:tcW w:w="4518" w:type="dxa"/>
            <w:noWrap w:val="0"/>
            <w:vAlign w:val="center"/>
          </w:tcPr>
          <w:p>
            <w:pPr>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曾经担任过的相关项目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2520" w:type="dxa"/>
            <w:noWrap w:val="0"/>
            <w:vAlign w:val="center"/>
          </w:tcPr>
          <w:p>
            <w:pPr>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性       别</w:t>
            </w:r>
          </w:p>
        </w:tc>
        <w:tc>
          <w:tcPr>
            <w:tcW w:w="2340" w:type="dxa"/>
            <w:noWrap w:val="0"/>
            <w:vAlign w:val="center"/>
          </w:tcPr>
          <w:p>
            <w:pPr>
              <w:jc w:val="center"/>
              <w:rPr>
                <w:rFonts w:hint="eastAsia" w:ascii="宋体" w:hAnsi="宋体" w:eastAsia="宋体" w:cs="宋体"/>
                <w:b w:val="0"/>
                <w:bCs w:val="0"/>
                <w:sz w:val="24"/>
                <w:szCs w:val="24"/>
                <w:highlight w:val="none"/>
              </w:rPr>
            </w:pPr>
          </w:p>
        </w:tc>
        <w:tc>
          <w:tcPr>
            <w:tcW w:w="4518" w:type="dxa"/>
            <w:vMerge w:val="restart"/>
            <w:noWrap w:val="0"/>
            <w:vAlign w:val="center"/>
          </w:tcPr>
          <w:p>
            <w:pPr>
              <w:jc w:val="center"/>
              <w:rPr>
                <w:rFonts w:hint="eastAsia" w:ascii="宋体" w:hAnsi="宋体" w:eastAsia="宋体" w:cs="宋体"/>
                <w:b w:val="0"/>
                <w:bCs w:val="0"/>
                <w:sz w:val="24"/>
                <w:szCs w:val="24"/>
                <w:highlight w:val="none"/>
              </w:rPr>
            </w:pPr>
          </w:p>
          <w:p>
            <w:pPr>
              <w:jc w:val="center"/>
              <w:rPr>
                <w:rFonts w:hint="eastAsia" w:ascii="宋体" w:hAnsi="宋体" w:eastAsia="宋体" w:cs="宋体"/>
                <w:b w:val="0"/>
                <w:bCs w:val="0"/>
                <w:sz w:val="24"/>
                <w:szCs w:val="24"/>
                <w:highlight w:val="none"/>
              </w:rPr>
            </w:pPr>
          </w:p>
          <w:p>
            <w:pPr>
              <w:jc w:val="center"/>
              <w:rPr>
                <w:rFonts w:hint="eastAsia" w:ascii="宋体" w:hAnsi="宋体" w:eastAsia="宋体" w:cs="宋体"/>
                <w:b w:val="0"/>
                <w:bCs w:val="0"/>
                <w:sz w:val="24"/>
                <w:szCs w:val="24"/>
                <w:highlight w:val="none"/>
              </w:rPr>
            </w:pPr>
          </w:p>
          <w:p>
            <w:pPr>
              <w:jc w:val="center"/>
              <w:rPr>
                <w:rFonts w:hint="eastAsia" w:ascii="宋体" w:hAnsi="宋体" w:eastAsia="宋体" w:cs="宋体"/>
                <w:b w:val="0"/>
                <w:bCs w:val="0"/>
                <w:sz w:val="24"/>
                <w:szCs w:val="24"/>
                <w:highlight w:val="none"/>
              </w:rPr>
            </w:pPr>
          </w:p>
          <w:p>
            <w:pPr>
              <w:jc w:val="center"/>
              <w:rPr>
                <w:rFonts w:hint="eastAsia" w:ascii="宋体" w:hAnsi="宋体" w:eastAsia="宋体" w:cs="宋体"/>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2520" w:type="dxa"/>
            <w:noWrap w:val="0"/>
            <w:vAlign w:val="center"/>
          </w:tcPr>
          <w:p>
            <w:pPr>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年       龄</w:t>
            </w:r>
          </w:p>
        </w:tc>
        <w:tc>
          <w:tcPr>
            <w:tcW w:w="2340" w:type="dxa"/>
            <w:noWrap w:val="0"/>
            <w:vAlign w:val="center"/>
          </w:tcPr>
          <w:p>
            <w:pPr>
              <w:jc w:val="center"/>
              <w:rPr>
                <w:rFonts w:hint="eastAsia" w:ascii="宋体" w:hAnsi="宋体" w:eastAsia="宋体" w:cs="宋体"/>
                <w:b w:val="0"/>
                <w:bCs w:val="0"/>
                <w:sz w:val="24"/>
                <w:szCs w:val="24"/>
                <w:highlight w:val="none"/>
              </w:rPr>
            </w:pPr>
          </w:p>
        </w:tc>
        <w:tc>
          <w:tcPr>
            <w:tcW w:w="4518" w:type="dxa"/>
            <w:vMerge w:val="continue"/>
            <w:noWrap w:val="0"/>
            <w:vAlign w:val="center"/>
          </w:tcPr>
          <w:p>
            <w:pPr>
              <w:jc w:val="center"/>
              <w:rPr>
                <w:rFonts w:hint="eastAsia" w:ascii="宋体" w:hAnsi="宋体" w:eastAsia="宋体" w:cs="宋体"/>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2520" w:type="dxa"/>
            <w:noWrap w:val="0"/>
            <w:vAlign w:val="center"/>
          </w:tcPr>
          <w:p>
            <w:pPr>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职       务</w:t>
            </w:r>
          </w:p>
        </w:tc>
        <w:tc>
          <w:tcPr>
            <w:tcW w:w="2340" w:type="dxa"/>
            <w:noWrap w:val="0"/>
            <w:vAlign w:val="center"/>
          </w:tcPr>
          <w:p>
            <w:pPr>
              <w:jc w:val="center"/>
              <w:rPr>
                <w:rFonts w:hint="eastAsia" w:ascii="宋体" w:hAnsi="宋体" w:eastAsia="宋体" w:cs="宋体"/>
                <w:b w:val="0"/>
                <w:bCs w:val="0"/>
                <w:sz w:val="24"/>
                <w:szCs w:val="24"/>
                <w:highlight w:val="none"/>
              </w:rPr>
            </w:pPr>
          </w:p>
        </w:tc>
        <w:tc>
          <w:tcPr>
            <w:tcW w:w="4518" w:type="dxa"/>
            <w:vMerge w:val="continue"/>
            <w:noWrap w:val="0"/>
            <w:vAlign w:val="center"/>
          </w:tcPr>
          <w:p>
            <w:pPr>
              <w:jc w:val="center"/>
              <w:rPr>
                <w:rFonts w:hint="eastAsia" w:ascii="宋体" w:hAnsi="宋体" w:eastAsia="宋体" w:cs="宋体"/>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2520" w:type="dxa"/>
            <w:noWrap w:val="0"/>
            <w:vAlign w:val="center"/>
          </w:tcPr>
          <w:p>
            <w:pPr>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职       称</w:t>
            </w:r>
          </w:p>
        </w:tc>
        <w:tc>
          <w:tcPr>
            <w:tcW w:w="2340" w:type="dxa"/>
            <w:noWrap w:val="0"/>
            <w:vAlign w:val="center"/>
          </w:tcPr>
          <w:p>
            <w:pPr>
              <w:jc w:val="center"/>
              <w:rPr>
                <w:rFonts w:hint="eastAsia" w:ascii="宋体" w:hAnsi="宋体" w:eastAsia="宋体" w:cs="宋体"/>
                <w:b w:val="0"/>
                <w:bCs w:val="0"/>
                <w:sz w:val="24"/>
                <w:szCs w:val="24"/>
                <w:highlight w:val="none"/>
              </w:rPr>
            </w:pPr>
          </w:p>
        </w:tc>
        <w:tc>
          <w:tcPr>
            <w:tcW w:w="4518" w:type="dxa"/>
            <w:vMerge w:val="continue"/>
            <w:noWrap w:val="0"/>
            <w:vAlign w:val="center"/>
          </w:tcPr>
          <w:p>
            <w:pPr>
              <w:jc w:val="center"/>
              <w:rPr>
                <w:rFonts w:hint="eastAsia" w:ascii="宋体" w:hAnsi="宋体" w:eastAsia="宋体" w:cs="宋体"/>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2520" w:type="dxa"/>
            <w:noWrap w:val="0"/>
            <w:vAlign w:val="center"/>
          </w:tcPr>
          <w:p>
            <w:pPr>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毕 业 学 校</w:t>
            </w:r>
          </w:p>
        </w:tc>
        <w:tc>
          <w:tcPr>
            <w:tcW w:w="2340" w:type="dxa"/>
            <w:noWrap w:val="0"/>
            <w:vAlign w:val="center"/>
          </w:tcPr>
          <w:p>
            <w:pPr>
              <w:jc w:val="center"/>
              <w:rPr>
                <w:rFonts w:hint="eastAsia" w:ascii="宋体" w:hAnsi="宋体" w:eastAsia="宋体" w:cs="宋体"/>
                <w:b w:val="0"/>
                <w:bCs w:val="0"/>
                <w:sz w:val="24"/>
                <w:szCs w:val="24"/>
                <w:highlight w:val="none"/>
              </w:rPr>
            </w:pPr>
          </w:p>
        </w:tc>
        <w:tc>
          <w:tcPr>
            <w:tcW w:w="4518" w:type="dxa"/>
            <w:vMerge w:val="continue"/>
            <w:noWrap w:val="0"/>
            <w:vAlign w:val="center"/>
          </w:tcPr>
          <w:p>
            <w:pPr>
              <w:jc w:val="center"/>
              <w:rPr>
                <w:rFonts w:hint="eastAsia" w:ascii="宋体" w:hAnsi="宋体" w:eastAsia="宋体" w:cs="宋体"/>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2520" w:type="dxa"/>
            <w:noWrap w:val="0"/>
            <w:vAlign w:val="center"/>
          </w:tcPr>
          <w:p>
            <w:pPr>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毕 业 时 间</w:t>
            </w:r>
          </w:p>
        </w:tc>
        <w:tc>
          <w:tcPr>
            <w:tcW w:w="2340" w:type="dxa"/>
            <w:noWrap w:val="0"/>
            <w:vAlign w:val="center"/>
          </w:tcPr>
          <w:p>
            <w:pPr>
              <w:jc w:val="center"/>
              <w:rPr>
                <w:rFonts w:hint="eastAsia" w:ascii="宋体" w:hAnsi="宋体" w:eastAsia="宋体" w:cs="宋体"/>
                <w:b w:val="0"/>
                <w:bCs w:val="0"/>
                <w:sz w:val="24"/>
                <w:szCs w:val="24"/>
                <w:highlight w:val="none"/>
              </w:rPr>
            </w:pPr>
          </w:p>
        </w:tc>
        <w:tc>
          <w:tcPr>
            <w:tcW w:w="4518" w:type="dxa"/>
            <w:vMerge w:val="continue"/>
            <w:noWrap w:val="0"/>
            <w:vAlign w:val="center"/>
          </w:tcPr>
          <w:p>
            <w:pPr>
              <w:jc w:val="center"/>
              <w:rPr>
                <w:rFonts w:hint="eastAsia" w:ascii="宋体" w:hAnsi="宋体" w:eastAsia="宋体" w:cs="宋体"/>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2520" w:type="dxa"/>
            <w:noWrap w:val="0"/>
            <w:vAlign w:val="center"/>
          </w:tcPr>
          <w:p>
            <w:pPr>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工 作 年 限</w:t>
            </w:r>
          </w:p>
        </w:tc>
        <w:tc>
          <w:tcPr>
            <w:tcW w:w="2340" w:type="dxa"/>
            <w:noWrap w:val="0"/>
            <w:vAlign w:val="center"/>
          </w:tcPr>
          <w:p>
            <w:pPr>
              <w:jc w:val="center"/>
              <w:rPr>
                <w:rFonts w:hint="eastAsia" w:ascii="宋体" w:hAnsi="宋体" w:eastAsia="宋体" w:cs="宋体"/>
                <w:b w:val="0"/>
                <w:bCs w:val="0"/>
                <w:sz w:val="24"/>
                <w:szCs w:val="24"/>
                <w:highlight w:val="none"/>
              </w:rPr>
            </w:pPr>
          </w:p>
        </w:tc>
        <w:tc>
          <w:tcPr>
            <w:tcW w:w="4518" w:type="dxa"/>
            <w:vMerge w:val="continue"/>
            <w:noWrap w:val="0"/>
            <w:vAlign w:val="center"/>
          </w:tcPr>
          <w:p>
            <w:pPr>
              <w:jc w:val="center"/>
              <w:rPr>
                <w:rFonts w:hint="eastAsia" w:ascii="宋体" w:hAnsi="宋体" w:eastAsia="宋体" w:cs="宋体"/>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2520" w:type="dxa"/>
            <w:noWrap w:val="0"/>
            <w:vAlign w:val="center"/>
          </w:tcPr>
          <w:p>
            <w:pPr>
              <w:jc w:val="center"/>
              <w:rPr>
                <w:rFonts w:hint="eastAsia" w:ascii="宋体" w:hAnsi="宋体" w:eastAsia="宋体" w:cs="宋体"/>
                <w:b w:val="0"/>
                <w:bCs w:val="0"/>
                <w:spacing w:val="-20"/>
                <w:sz w:val="24"/>
                <w:szCs w:val="24"/>
                <w:highlight w:val="none"/>
              </w:rPr>
            </w:pPr>
            <w:r>
              <w:rPr>
                <w:rFonts w:hint="eastAsia" w:ascii="宋体" w:hAnsi="宋体" w:eastAsia="宋体" w:cs="宋体"/>
                <w:b w:val="0"/>
                <w:bCs w:val="0"/>
                <w:spacing w:val="-20"/>
                <w:sz w:val="24"/>
                <w:szCs w:val="24"/>
                <w:highlight w:val="none"/>
              </w:rPr>
              <w:t>专业技术资格证书</w:t>
            </w:r>
          </w:p>
        </w:tc>
        <w:tc>
          <w:tcPr>
            <w:tcW w:w="2340" w:type="dxa"/>
            <w:noWrap w:val="0"/>
            <w:vAlign w:val="center"/>
          </w:tcPr>
          <w:p>
            <w:pPr>
              <w:jc w:val="center"/>
              <w:rPr>
                <w:rFonts w:hint="eastAsia" w:ascii="宋体" w:hAnsi="宋体" w:eastAsia="宋体" w:cs="宋体"/>
                <w:b w:val="0"/>
                <w:bCs w:val="0"/>
                <w:sz w:val="24"/>
                <w:szCs w:val="24"/>
                <w:highlight w:val="none"/>
              </w:rPr>
            </w:pPr>
          </w:p>
        </w:tc>
        <w:tc>
          <w:tcPr>
            <w:tcW w:w="4518" w:type="dxa"/>
            <w:vMerge w:val="continue"/>
            <w:noWrap w:val="0"/>
            <w:vAlign w:val="center"/>
          </w:tcPr>
          <w:p>
            <w:pPr>
              <w:jc w:val="center"/>
              <w:rPr>
                <w:rFonts w:hint="eastAsia" w:ascii="宋体" w:hAnsi="宋体" w:eastAsia="宋体" w:cs="宋体"/>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2520" w:type="dxa"/>
            <w:noWrap w:val="0"/>
            <w:vAlign w:val="center"/>
          </w:tcPr>
          <w:p>
            <w:pPr>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联 系 电 话</w:t>
            </w:r>
          </w:p>
        </w:tc>
        <w:tc>
          <w:tcPr>
            <w:tcW w:w="2340" w:type="dxa"/>
            <w:noWrap w:val="0"/>
            <w:vAlign w:val="center"/>
          </w:tcPr>
          <w:p>
            <w:pPr>
              <w:jc w:val="center"/>
              <w:rPr>
                <w:rFonts w:hint="eastAsia" w:ascii="宋体" w:hAnsi="宋体" w:eastAsia="宋体" w:cs="宋体"/>
                <w:b w:val="0"/>
                <w:bCs w:val="0"/>
                <w:sz w:val="24"/>
                <w:szCs w:val="24"/>
                <w:highlight w:val="none"/>
              </w:rPr>
            </w:pPr>
          </w:p>
        </w:tc>
        <w:tc>
          <w:tcPr>
            <w:tcW w:w="4518" w:type="dxa"/>
            <w:vMerge w:val="continue"/>
            <w:noWrap w:val="0"/>
            <w:vAlign w:val="center"/>
          </w:tcPr>
          <w:p>
            <w:pPr>
              <w:jc w:val="center"/>
              <w:rPr>
                <w:rFonts w:hint="eastAsia" w:ascii="宋体" w:hAnsi="宋体" w:eastAsia="宋体" w:cs="宋体"/>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8" w:hRule="atLeast"/>
          <w:jc w:val="center"/>
        </w:trPr>
        <w:tc>
          <w:tcPr>
            <w:tcW w:w="2520" w:type="dxa"/>
            <w:noWrap w:val="0"/>
            <w:vAlign w:val="center"/>
          </w:tcPr>
          <w:p>
            <w:pPr>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拟在本项目中</w:t>
            </w:r>
          </w:p>
          <w:p>
            <w:pPr>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担任主要工作</w:t>
            </w:r>
          </w:p>
        </w:tc>
        <w:tc>
          <w:tcPr>
            <w:tcW w:w="6858" w:type="dxa"/>
            <w:gridSpan w:val="2"/>
            <w:noWrap w:val="0"/>
            <w:vAlign w:val="center"/>
          </w:tcPr>
          <w:p>
            <w:pPr>
              <w:jc w:val="center"/>
              <w:rPr>
                <w:rFonts w:hint="eastAsia" w:ascii="宋体" w:hAnsi="宋体" w:eastAsia="宋体" w:cs="宋体"/>
                <w:b w:val="0"/>
                <w:bCs w:val="0"/>
                <w:sz w:val="24"/>
                <w:szCs w:val="24"/>
                <w:highlight w:val="none"/>
              </w:rPr>
            </w:pPr>
          </w:p>
          <w:p>
            <w:pPr>
              <w:jc w:val="center"/>
              <w:rPr>
                <w:rFonts w:hint="eastAsia" w:ascii="宋体" w:hAnsi="宋体" w:eastAsia="宋体" w:cs="宋体"/>
                <w:b w:val="0"/>
                <w:bCs w:val="0"/>
                <w:sz w:val="24"/>
                <w:szCs w:val="24"/>
                <w:highlight w:val="none"/>
              </w:rPr>
            </w:pP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注：1.本表须附身份证、社会保险缴纳证明、学历证、注册证、职称、试验检测资格等证书复印件并加盖公章。</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所有试验检测人员资格证书，需在《公路水运工程试验检测管理信息系统》（www.jtsyjc.net）中能够有效查询，附截图。</w:t>
      </w:r>
    </w:p>
    <w:p>
      <w:pPr>
        <w:spacing w:line="360" w:lineRule="auto"/>
        <w:ind w:firstLine="3360" w:firstLineChars="14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供应商名称：</w:t>
      </w:r>
      <w:r>
        <w:rPr>
          <w:rFonts w:hint="eastAsia" w:ascii="宋体" w:hAnsi="宋体" w:eastAsia="宋体" w:cs="宋体"/>
          <w:b w:val="0"/>
          <w:bCs w:val="0"/>
          <w:sz w:val="24"/>
          <w:szCs w:val="24"/>
          <w:highlight w:val="none"/>
          <w:u w:val="single"/>
        </w:rPr>
        <w:t xml:space="preserve">               </w:t>
      </w:r>
      <w:r>
        <w:rPr>
          <w:rFonts w:hint="eastAsia" w:ascii="宋体" w:hAnsi="宋体" w:eastAsia="宋体" w:cs="宋体"/>
          <w:b w:val="0"/>
          <w:bCs w:val="0"/>
          <w:sz w:val="24"/>
          <w:szCs w:val="24"/>
          <w:highlight w:val="none"/>
        </w:rPr>
        <w:t>（盖章）</w:t>
      </w:r>
    </w:p>
    <w:p>
      <w:pPr>
        <w:spacing w:line="360" w:lineRule="auto"/>
        <w:ind w:firstLine="3360" w:firstLineChars="14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法定代表人</w:t>
      </w:r>
    </w:p>
    <w:p>
      <w:pPr>
        <w:spacing w:line="360" w:lineRule="auto"/>
        <w:ind w:firstLine="3360" w:firstLineChars="14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或委托代理人：</w:t>
      </w:r>
      <w:r>
        <w:rPr>
          <w:rFonts w:hint="eastAsia" w:ascii="宋体" w:hAnsi="宋体" w:eastAsia="宋体" w:cs="宋体"/>
          <w:b w:val="0"/>
          <w:bCs w:val="0"/>
          <w:sz w:val="24"/>
          <w:szCs w:val="24"/>
          <w:highlight w:val="none"/>
          <w:u w:val="single"/>
        </w:rPr>
        <w:t xml:space="preserve">                </w:t>
      </w:r>
      <w:r>
        <w:rPr>
          <w:rFonts w:hint="eastAsia" w:ascii="宋体" w:hAnsi="宋体" w:eastAsia="宋体" w:cs="宋体"/>
          <w:b w:val="0"/>
          <w:bCs w:val="0"/>
          <w:sz w:val="24"/>
          <w:szCs w:val="24"/>
          <w:highlight w:val="none"/>
        </w:rPr>
        <w:t>(签字)</w:t>
      </w:r>
    </w:p>
    <w:p>
      <w:pPr>
        <w:pStyle w:val="37"/>
        <w:spacing w:before="158" w:beforeLines="50"/>
        <w:ind w:firstLine="3360" w:firstLineChars="14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日        期：</w:t>
      </w:r>
      <w:r>
        <w:rPr>
          <w:rFonts w:hint="eastAsia" w:ascii="宋体" w:hAnsi="宋体" w:eastAsia="宋体" w:cs="宋体"/>
          <w:b w:val="0"/>
          <w:bCs w:val="0"/>
          <w:sz w:val="24"/>
          <w:szCs w:val="24"/>
          <w:highlight w:val="none"/>
          <w:u w:val="single"/>
        </w:rPr>
        <w:t xml:space="preserve">      </w:t>
      </w:r>
      <w:r>
        <w:rPr>
          <w:rFonts w:hint="eastAsia" w:ascii="宋体" w:hAnsi="宋体" w:eastAsia="宋体" w:cs="宋体"/>
          <w:b w:val="0"/>
          <w:bCs w:val="0"/>
          <w:sz w:val="24"/>
          <w:szCs w:val="24"/>
          <w:highlight w:val="none"/>
        </w:rPr>
        <w:t>年</w:t>
      </w:r>
      <w:r>
        <w:rPr>
          <w:rFonts w:hint="eastAsia" w:ascii="宋体" w:hAnsi="宋体" w:eastAsia="宋体" w:cs="宋体"/>
          <w:b w:val="0"/>
          <w:bCs w:val="0"/>
          <w:sz w:val="24"/>
          <w:szCs w:val="24"/>
          <w:highlight w:val="none"/>
          <w:u w:val="single"/>
        </w:rPr>
        <w:t xml:space="preserve">     </w:t>
      </w:r>
      <w:r>
        <w:rPr>
          <w:rFonts w:hint="eastAsia" w:ascii="宋体" w:hAnsi="宋体" w:eastAsia="宋体" w:cs="宋体"/>
          <w:b w:val="0"/>
          <w:bCs w:val="0"/>
          <w:sz w:val="24"/>
          <w:szCs w:val="24"/>
          <w:highlight w:val="none"/>
        </w:rPr>
        <w:t>月</w:t>
      </w:r>
      <w:r>
        <w:rPr>
          <w:rFonts w:hint="eastAsia" w:ascii="宋体" w:hAnsi="宋体" w:eastAsia="宋体" w:cs="宋体"/>
          <w:b w:val="0"/>
          <w:bCs w:val="0"/>
          <w:sz w:val="24"/>
          <w:szCs w:val="24"/>
          <w:highlight w:val="none"/>
          <w:u w:val="single"/>
        </w:rPr>
        <w:t xml:space="preserve">     </w:t>
      </w:r>
      <w:r>
        <w:rPr>
          <w:rFonts w:hint="eastAsia" w:ascii="宋体" w:hAnsi="宋体" w:eastAsia="宋体" w:cs="宋体"/>
          <w:b w:val="0"/>
          <w:bCs w:val="0"/>
          <w:sz w:val="24"/>
          <w:szCs w:val="24"/>
          <w:highlight w:val="none"/>
        </w:rPr>
        <w:t>日</w:t>
      </w:r>
    </w:p>
    <w:p>
      <w:pPr>
        <w:pStyle w:val="52"/>
        <w:ind w:firstLine="0" w:firstLineChars="0"/>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br w:type="page"/>
      </w:r>
      <w:r>
        <w:rPr>
          <w:rFonts w:hint="eastAsia" w:ascii="宋体" w:hAnsi="宋体" w:eastAsia="宋体" w:cs="宋体"/>
          <w:b/>
          <w:bCs/>
          <w:sz w:val="28"/>
          <w:szCs w:val="28"/>
          <w:highlight w:val="none"/>
        </w:rPr>
        <w:t>2.拟派技术负责人简历表</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0"/>
        <w:gridCol w:w="2340"/>
        <w:gridCol w:w="4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2520" w:type="dxa"/>
            <w:noWrap w:val="0"/>
            <w:vAlign w:val="center"/>
          </w:tcPr>
          <w:p>
            <w:pPr>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姓       名</w:t>
            </w:r>
          </w:p>
        </w:tc>
        <w:tc>
          <w:tcPr>
            <w:tcW w:w="2340" w:type="dxa"/>
            <w:noWrap w:val="0"/>
            <w:vAlign w:val="center"/>
          </w:tcPr>
          <w:p>
            <w:pPr>
              <w:jc w:val="center"/>
              <w:rPr>
                <w:rFonts w:hint="eastAsia" w:ascii="宋体" w:hAnsi="宋体" w:eastAsia="宋体" w:cs="宋体"/>
                <w:b w:val="0"/>
                <w:bCs w:val="0"/>
                <w:sz w:val="24"/>
                <w:szCs w:val="24"/>
                <w:highlight w:val="none"/>
              </w:rPr>
            </w:pPr>
          </w:p>
        </w:tc>
        <w:tc>
          <w:tcPr>
            <w:tcW w:w="4518" w:type="dxa"/>
            <w:noWrap w:val="0"/>
            <w:vAlign w:val="center"/>
          </w:tcPr>
          <w:p>
            <w:pPr>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曾经担任过的相关项目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2520" w:type="dxa"/>
            <w:noWrap w:val="0"/>
            <w:vAlign w:val="center"/>
          </w:tcPr>
          <w:p>
            <w:pPr>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性       别</w:t>
            </w:r>
          </w:p>
        </w:tc>
        <w:tc>
          <w:tcPr>
            <w:tcW w:w="2340" w:type="dxa"/>
            <w:noWrap w:val="0"/>
            <w:vAlign w:val="center"/>
          </w:tcPr>
          <w:p>
            <w:pPr>
              <w:jc w:val="center"/>
              <w:rPr>
                <w:rFonts w:hint="eastAsia" w:ascii="宋体" w:hAnsi="宋体" w:eastAsia="宋体" w:cs="宋体"/>
                <w:b w:val="0"/>
                <w:bCs w:val="0"/>
                <w:sz w:val="24"/>
                <w:szCs w:val="24"/>
                <w:highlight w:val="none"/>
              </w:rPr>
            </w:pPr>
          </w:p>
        </w:tc>
        <w:tc>
          <w:tcPr>
            <w:tcW w:w="4518" w:type="dxa"/>
            <w:vMerge w:val="restart"/>
            <w:noWrap w:val="0"/>
            <w:vAlign w:val="center"/>
          </w:tcPr>
          <w:p>
            <w:pPr>
              <w:jc w:val="center"/>
              <w:rPr>
                <w:rFonts w:hint="eastAsia" w:ascii="宋体" w:hAnsi="宋体" w:eastAsia="宋体" w:cs="宋体"/>
                <w:b w:val="0"/>
                <w:bCs w:val="0"/>
                <w:sz w:val="24"/>
                <w:szCs w:val="24"/>
                <w:highlight w:val="none"/>
              </w:rPr>
            </w:pPr>
          </w:p>
          <w:p>
            <w:pPr>
              <w:jc w:val="center"/>
              <w:rPr>
                <w:rFonts w:hint="eastAsia" w:ascii="宋体" w:hAnsi="宋体" w:eastAsia="宋体" w:cs="宋体"/>
                <w:b w:val="0"/>
                <w:bCs w:val="0"/>
                <w:sz w:val="24"/>
                <w:szCs w:val="24"/>
                <w:highlight w:val="none"/>
              </w:rPr>
            </w:pPr>
          </w:p>
          <w:p>
            <w:pPr>
              <w:jc w:val="center"/>
              <w:rPr>
                <w:rFonts w:hint="eastAsia" w:ascii="宋体" w:hAnsi="宋体" w:eastAsia="宋体" w:cs="宋体"/>
                <w:b w:val="0"/>
                <w:bCs w:val="0"/>
                <w:sz w:val="24"/>
                <w:szCs w:val="24"/>
                <w:highlight w:val="none"/>
              </w:rPr>
            </w:pPr>
          </w:p>
          <w:p>
            <w:pPr>
              <w:jc w:val="center"/>
              <w:rPr>
                <w:rFonts w:hint="eastAsia" w:ascii="宋体" w:hAnsi="宋体" w:eastAsia="宋体" w:cs="宋体"/>
                <w:b w:val="0"/>
                <w:bCs w:val="0"/>
                <w:sz w:val="24"/>
                <w:szCs w:val="24"/>
                <w:highlight w:val="none"/>
              </w:rPr>
            </w:pPr>
          </w:p>
          <w:p>
            <w:pPr>
              <w:jc w:val="center"/>
              <w:rPr>
                <w:rFonts w:hint="eastAsia" w:ascii="宋体" w:hAnsi="宋体" w:eastAsia="宋体" w:cs="宋体"/>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2520" w:type="dxa"/>
            <w:noWrap w:val="0"/>
            <w:vAlign w:val="center"/>
          </w:tcPr>
          <w:p>
            <w:pPr>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年       龄</w:t>
            </w:r>
          </w:p>
        </w:tc>
        <w:tc>
          <w:tcPr>
            <w:tcW w:w="2340" w:type="dxa"/>
            <w:noWrap w:val="0"/>
            <w:vAlign w:val="center"/>
          </w:tcPr>
          <w:p>
            <w:pPr>
              <w:jc w:val="center"/>
              <w:rPr>
                <w:rFonts w:hint="eastAsia" w:ascii="宋体" w:hAnsi="宋体" w:eastAsia="宋体" w:cs="宋体"/>
                <w:b w:val="0"/>
                <w:bCs w:val="0"/>
                <w:sz w:val="24"/>
                <w:szCs w:val="24"/>
                <w:highlight w:val="none"/>
              </w:rPr>
            </w:pPr>
          </w:p>
        </w:tc>
        <w:tc>
          <w:tcPr>
            <w:tcW w:w="4518" w:type="dxa"/>
            <w:vMerge w:val="continue"/>
            <w:noWrap w:val="0"/>
            <w:vAlign w:val="center"/>
          </w:tcPr>
          <w:p>
            <w:pPr>
              <w:jc w:val="center"/>
              <w:rPr>
                <w:rFonts w:hint="eastAsia" w:ascii="宋体" w:hAnsi="宋体" w:eastAsia="宋体" w:cs="宋体"/>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2520" w:type="dxa"/>
            <w:noWrap w:val="0"/>
            <w:vAlign w:val="center"/>
          </w:tcPr>
          <w:p>
            <w:pPr>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职       务</w:t>
            </w:r>
          </w:p>
        </w:tc>
        <w:tc>
          <w:tcPr>
            <w:tcW w:w="2340" w:type="dxa"/>
            <w:noWrap w:val="0"/>
            <w:vAlign w:val="center"/>
          </w:tcPr>
          <w:p>
            <w:pPr>
              <w:jc w:val="center"/>
              <w:rPr>
                <w:rFonts w:hint="eastAsia" w:ascii="宋体" w:hAnsi="宋体" w:eastAsia="宋体" w:cs="宋体"/>
                <w:b w:val="0"/>
                <w:bCs w:val="0"/>
                <w:sz w:val="24"/>
                <w:szCs w:val="24"/>
                <w:highlight w:val="none"/>
              </w:rPr>
            </w:pPr>
          </w:p>
        </w:tc>
        <w:tc>
          <w:tcPr>
            <w:tcW w:w="4518" w:type="dxa"/>
            <w:vMerge w:val="continue"/>
            <w:noWrap w:val="0"/>
            <w:vAlign w:val="center"/>
          </w:tcPr>
          <w:p>
            <w:pPr>
              <w:jc w:val="center"/>
              <w:rPr>
                <w:rFonts w:hint="eastAsia" w:ascii="宋体" w:hAnsi="宋体" w:eastAsia="宋体" w:cs="宋体"/>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2520" w:type="dxa"/>
            <w:noWrap w:val="0"/>
            <w:vAlign w:val="center"/>
          </w:tcPr>
          <w:p>
            <w:pPr>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职       称</w:t>
            </w:r>
          </w:p>
        </w:tc>
        <w:tc>
          <w:tcPr>
            <w:tcW w:w="2340" w:type="dxa"/>
            <w:noWrap w:val="0"/>
            <w:vAlign w:val="center"/>
          </w:tcPr>
          <w:p>
            <w:pPr>
              <w:jc w:val="center"/>
              <w:rPr>
                <w:rFonts w:hint="eastAsia" w:ascii="宋体" w:hAnsi="宋体" w:eastAsia="宋体" w:cs="宋体"/>
                <w:b w:val="0"/>
                <w:bCs w:val="0"/>
                <w:sz w:val="24"/>
                <w:szCs w:val="24"/>
                <w:highlight w:val="none"/>
              </w:rPr>
            </w:pPr>
          </w:p>
        </w:tc>
        <w:tc>
          <w:tcPr>
            <w:tcW w:w="4518" w:type="dxa"/>
            <w:vMerge w:val="continue"/>
            <w:noWrap w:val="0"/>
            <w:vAlign w:val="center"/>
          </w:tcPr>
          <w:p>
            <w:pPr>
              <w:jc w:val="center"/>
              <w:rPr>
                <w:rFonts w:hint="eastAsia" w:ascii="宋体" w:hAnsi="宋体" w:eastAsia="宋体" w:cs="宋体"/>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2520" w:type="dxa"/>
            <w:noWrap w:val="0"/>
            <w:vAlign w:val="center"/>
          </w:tcPr>
          <w:p>
            <w:pPr>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毕 业 学 校</w:t>
            </w:r>
          </w:p>
        </w:tc>
        <w:tc>
          <w:tcPr>
            <w:tcW w:w="2340" w:type="dxa"/>
            <w:noWrap w:val="0"/>
            <w:vAlign w:val="center"/>
          </w:tcPr>
          <w:p>
            <w:pPr>
              <w:jc w:val="center"/>
              <w:rPr>
                <w:rFonts w:hint="eastAsia" w:ascii="宋体" w:hAnsi="宋体" w:eastAsia="宋体" w:cs="宋体"/>
                <w:b w:val="0"/>
                <w:bCs w:val="0"/>
                <w:sz w:val="24"/>
                <w:szCs w:val="24"/>
                <w:highlight w:val="none"/>
              </w:rPr>
            </w:pPr>
          </w:p>
        </w:tc>
        <w:tc>
          <w:tcPr>
            <w:tcW w:w="4518" w:type="dxa"/>
            <w:vMerge w:val="continue"/>
            <w:noWrap w:val="0"/>
            <w:vAlign w:val="center"/>
          </w:tcPr>
          <w:p>
            <w:pPr>
              <w:jc w:val="center"/>
              <w:rPr>
                <w:rFonts w:hint="eastAsia" w:ascii="宋体" w:hAnsi="宋体" w:eastAsia="宋体" w:cs="宋体"/>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2520" w:type="dxa"/>
            <w:noWrap w:val="0"/>
            <w:vAlign w:val="center"/>
          </w:tcPr>
          <w:p>
            <w:pPr>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毕 业 时 间</w:t>
            </w:r>
          </w:p>
        </w:tc>
        <w:tc>
          <w:tcPr>
            <w:tcW w:w="2340" w:type="dxa"/>
            <w:noWrap w:val="0"/>
            <w:vAlign w:val="center"/>
          </w:tcPr>
          <w:p>
            <w:pPr>
              <w:jc w:val="center"/>
              <w:rPr>
                <w:rFonts w:hint="eastAsia" w:ascii="宋体" w:hAnsi="宋体" w:eastAsia="宋体" w:cs="宋体"/>
                <w:b w:val="0"/>
                <w:bCs w:val="0"/>
                <w:sz w:val="24"/>
                <w:szCs w:val="24"/>
                <w:highlight w:val="none"/>
              </w:rPr>
            </w:pPr>
          </w:p>
        </w:tc>
        <w:tc>
          <w:tcPr>
            <w:tcW w:w="4518" w:type="dxa"/>
            <w:vMerge w:val="continue"/>
            <w:noWrap w:val="0"/>
            <w:vAlign w:val="center"/>
          </w:tcPr>
          <w:p>
            <w:pPr>
              <w:jc w:val="center"/>
              <w:rPr>
                <w:rFonts w:hint="eastAsia" w:ascii="宋体" w:hAnsi="宋体" w:eastAsia="宋体" w:cs="宋体"/>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2520" w:type="dxa"/>
            <w:noWrap w:val="0"/>
            <w:vAlign w:val="center"/>
          </w:tcPr>
          <w:p>
            <w:pPr>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工 作 年 限</w:t>
            </w:r>
          </w:p>
        </w:tc>
        <w:tc>
          <w:tcPr>
            <w:tcW w:w="2340" w:type="dxa"/>
            <w:noWrap w:val="0"/>
            <w:vAlign w:val="center"/>
          </w:tcPr>
          <w:p>
            <w:pPr>
              <w:jc w:val="center"/>
              <w:rPr>
                <w:rFonts w:hint="eastAsia" w:ascii="宋体" w:hAnsi="宋体" w:eastAsia="宋体" w:cs="宋体"/>
                <w:b w:val="0"/>
                <w:bCs w:val="0"/>
                <w:sz w:val="24"/>
                <w:szCs w:val="24"/>
                <w:highlight w:val="none"/>
              </w:rPr>
            </w:pPr>
          </w:p>
        </w:tc>
        <w:tc>
          <w:tcPr>
            <w:tcW w:w="4518" w:type="dxa"/>
            <w:vMerge w:val="continue"/>
            <w:noWrap w:val="0"/>
            <w:vAlign w:val="center"/>
          </w:tcPr>
          <w:p>
            <w:pPr>
              <w:jc w:val="center"/>
              <w:rPr>
                <w:rFonts w:hint="eastAsia" w:ascii="宋体" w:hAnsi="宋体" w:eastAsia="宋体" w:cs="宋体"/>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2520" w:type="dxa"/>
            <w:noWrap w:val="0"/>
            <w:vAlign w:val="center"/>
          </w:tcPr>
          <w:p>
            <w:pPr>
              <w:jc w:val="center"/>
              <w:rPr>
                <w:rFonts w:hint="eastAsia" w:ascii="宋体" w:hAnsi="宋体" w:eastAsia="宋体" w:cs="宋体"/>
                <w:b w:val="0"/>
                <w:bCs w:val="0"/>
                <w:spacing w:val="-20"/>
                <w:sz w:val="24"/>
                <w:szCs w:val="24"/>
                <w:highlight w:val="none"/>
              </w:rPr>
            </w:pPr>
            <w:r>
              <w:rPr>
                <w:rFonts w:hint="eastAsia" w:ascii="宋体" w:hAnsi="宋体" w:eastAsia="宋体" w:cs="宋体"/>
                <w:b w:val="0"/>
                <w:bCs w:val="0"/>
                <w:spacing w:val="-20"/>
                <w:sz w:val="24"/>
                <w:szCs w:val="24"/>
                <w:highlight w:val="none"/>
              </w:rPr>
              <w:t>专业技术资格证书</w:t>
            </w:r>
          </w:p>
        </w:tc>
        <w:tc>
          <w:tcPr>
            <w:tcW w:w="2340" w:type="dxa"/>
            <w:noWrap w:val="0"/>
            <w:vAlign w:val="center"/>
          </w:tcPr>
          <w:p>
            <w:pPr>
              <w:jc w:val="center"/>
              <w:rPr>
                <w:rFonts w:hint="eastAsia" w:ascii="宋体" w:hAnsi="宋体" w:eastAsia="宋体" w:cs="宋体"/>
                <w:b w:val="0"/>
                <w:bCs w:val="0"/>
                <w:sz w:val="24"/>
                <w:szCs w:val="24"/>
                <w:highlight w:val="none"/>
              </w:rPr>
            </w:pPr>
          </w:p>
        </w:tc>
        <w:tc>
          <w:tcPr>
            <w:tcW w:w="4518" w:type="dxa"/>
            <w:vMerge w:val="continue"/>
            <w:noWrap w:val="0"/>
            <w:vAlign w:val="center"/>
          </w:tcPr>
          <w:p>
            <w:pPr>
              <w:jc w:val="center"/>
              <w:rPr>
                <w:rFonts w:hint="eastAsia" w:ascii="宋体" w:hAnsi="宋体" w:eastAsia="宋体" w:cs="宋体"/>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2520" w:type="dxa"/>
            <w:noWrap w:val="0"/>
            <w:vAlign w:val="center"/>
          </w:tcPr>
          <w:p>
            <w:pPr>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联 系 电 话</w:t>
            </w:r>
          </w:p>
        </w:tc>
        <w:tc>
          <w:tcPr>
            <w:tcW w:w="2340" w:type="dxa"/>
            <w:noWrap w:val="0"/>
            <w:vAlign w:val="center"/>
          </w:tcPr>
          <w:p>
            <w:pPr>
              <w:jc w:val="center"/>
              <w:rPr>
                <w:rFonts w:hint="eastAsia" w:ascii="宋体" w:hAnsi="宋体" w:eastAsia="宋体" w:cs="宋体"/>
                <w:b w:val="0"/>
                <w:bCs w:val="0"/>
                <w:sz w:val="24"/>
                <w:szCs w:val="24"/>
                <w:highlight w:val="none"/>
              </w:rPr>
            </w:pPr>
          </w:p>
        </w:tc>
        <w:tc>
          <w:tcPr>
            <w:tcW w:w="4518" w:type="dxa"/>
            <w:vMerge w:val="continue"/>
            <w:noWrap w:val="0"/>
            <w:vAlign w:val="center"/>
          </w:tcPr>
          <w:p>
            <w:pPr>
              <w:jc w:val="center"/>
              <w:rPr>
                <w:rFonts w:hint="eastAsia" w:ascii="宋体" w:hAnsi="宋体" w:eastAsia="宋体" w:cs="宋体"/>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8" w:hRule="atLeast"/>
          <w:jc w:val="center"/>
        </w:trPr>
        <w:tc>
          <w:tcPr>
            <w:tcW w:w="2520" w:type="dxa"/>
            <w:noWrap w:val="0"/>
            <w:vAlign w:val="center"/>
          </w:tcPr>
          <w:p>
            <w:pPr>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拟在本项目中</w:t>
            </w:r>
          </w:p>
          <w:p>
            <w:pPr>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担任主要工作</w:t>
            </w:r>
          </w:p>
        </w:tc>
        <w:tc>
          <w:tcPr>
            <w:tcW w:w="6858" w:type="dxa"/>
            <w:gridSpan w:val="2"/>
            <w:noWrap w:val="0"/>
            <w:vAlign w:val="center"/>
          </w:tcPr>
          <w:p>
            <w:pPr>
              <w:jc w:val="center"/>
              <w:rPr>
                <w:rFonts w:hint="eastAsia" w:ascii="宋体" w:hAnsi="宋体" w:eastAsia="宋体" w:cs="宋体"/>
                <w:b w:val="0"/>
                <w:bCs w:val="0"/>
                <w:sz w:val="24"/>
                <w:szCs w:val="24"/>
                <w:highlight w:val="none"/>
              </w:rPr>
            </w:pPr>
          </w:p>
          <w:p>
            <w:pPr>
              <w:jc w:val="center"/>
              <w:rPr>
                <w:rFonts w:hint="eastAsia" w:ascii="宋体" w:hAnsi="宋体" w:eastAsia="宋体" w:cs="宋体"/>
                <w:b w:val="0"/>
                <w:bCs w:val="0"/>
                <w:sz w:val="24"/>
                <w:szCs w:val="24"/>
                <w:highlight w:val="none"/>
              </w:rPr>
            </w:pPr>
          </w:p>
        </w:tc>
      </w:tr>
    </w:tbl>
    <w:p>
      <w:pPr>
        <w:spacing w:line="360" w:lineRule="auto"/>
        <w:ind w:firstLine="470" w:firstLineChars="196"/>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注：1.本表须附身份证、社会保险缴纳证明、学历证、注册证、职称、试验检测资格等证书复印件并加盖公章。</w:t>
      </w:r>
    </w:p>
    <w:p>
      <w:pPr>
        <w:spacing w:line="360" w:lineRule="auto"/>
        <w:ind w:firstLine="470" w:firstLineChars="196"/>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2.所有试验检测人员资格证书，需在《公路水运工程试验检测管理信息系统》（www.jtsyjc.net）中能够有效查询，附截图。</w:t>
      </w:r>
    </w:p>
    <w:p>
      <w:pPr>
        <w:spacing w:line="480" w:lineRule="auto"/>
        <w:ind w:firstLine="3360" w:firstLineChars="14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供应商名称：</w:t>
      </w:r>
      <w:r>
        <w:rPr>
          <w:rFonts w:hint="eastAsia" w:ascii="宋体" w:hAnsi="宋体" w:eastAsia="宋体" w:cs="宋体"/>
          <w:b w:val="0"/>
          <w:bCs w:val="0"/>
          <w:sz w:val="24"/>
          <w:szCs w:val="24"/>
          <w:highlight w:val="none"/>
          <w:u w:val="single"/>
        </w:rPr>
        <w:t xml:space="preserve">               </w:t>
      </w:r>
      <w:r>
        <w:rPr>
          <w:rFonts w:hint="eastAsia" w:ascii="宋体" w:hAnsi="宋体" w:eastAsia="宋体" w:cs="宋体"/>
          <w:b w:val="0"/>
          <w:bCs w:val="0"/>
          <w:sz w:val="24"/>
          <w:szCs w:val="24"/>
          <w:highlight w:val="none"/>
        </w:rPr>
        <w:t>（盖章）</w:t>
      </w:r>
    </w:p>
    <w:p>
      <w:pPr>
        <w:spacing w:line="360" w:lineRule="auto"/>
        <w:ind w:firstLine="3360" w:firstLineChars="14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法定代表人</w:t>
      </w:r>
    </w:p>
    <w:p>
      <w:pPr>
        <w:spacing w:line="360" w:lineRule="auto"/>
        <w:ind w:firstLine="3360" w:firstLineChars="14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或委托代理人：</w:t>
      </w:r>
      <w:r>
        <w:rPr>
          <w:rFonts w:hint="eastAsia" w:ascii="宋体" w:hAnsi="宋体" w:eastAsia="宋体" w:cs="宋体"/>
          <w:b w:val="0"/>
          <w:bCs w:val="0"/>
          <w:sz w:val="24"/>
          <w:szCs w:val="24"/>
          <w:highlight w:val="none"/>
          <w:u w:val="single"/>
        </w:rPr>
        <w:t xml:space="preserve">                </w:t>
      </w:r>
      <w:r>
        <w:rPr>
          <w:rFonts w:hint="eastAsia" w:ascii="宋体" w:hAnsi="宋体" w:eastAsia="宋体" w:cs="宋体"/>
          <w:b w:val="0"/>
          <w:bCs w:val="0"/>
          <w:sz w:val="24"/>
          <w:szCs w:val="24"/>
          <w:highlight w:val="none"/>
        </w:rPr>
        <w:t>(签字)</w:t>
      </w:r>
    </w:p>
    <w:p>
      <w:pPr>
        <w:pStyle w:val="37"/>
        <w:spacing w:before="158" w:beforeLines="50"/>
        <w:ind w:firstLine="3360" w:firstLineChars="14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日        期：</w:t>
      </w:r>
      <w:r>
        <w:rPr>
          <w:rFonts w:hint="eastAsia" w:ascii="宋体" w:hAnsi="宋体" w:eastAsia="宋体" w:cs="宋体"/>
          <w:b w:val="0"/>
          <w:bCs w:val="0"/>
          <w:sz w:val="24"/>
          <w:szCs w:val="24"/>
          <w:highlight w:val="none"/>
          <w:u w:val="single"/>
        </w:rPr>
        <w:t xml:space="preserve">      </w:t>
      </w:r>
      <w:r>
        <w:rPr>
          <w:rFonts w:hint="eastAsia" w:ascii="宋体" w:hAnsi="宋体" w:eastAsia="宋体" w:cs="宋体"/>
          <w:b w:val="0"/>
          <w:bCs w:val="0"/>
          <w:sz w:val="24"/>
          <w:szCs w:val="24"/>
          <w:highlight w:val="none"/>
        </w:rPr>
        <w:t>年</w:t>
      </w:r>
      <w:r>
        <w:rPr>
          <w:rFonts w:hint="eastAsia" w:ascii="宋体" w:hAnsi="宋体" w:eastAsia="宋体" w:cs="宋体"/>
          <w:b w:val="0"/>
          <w:bCs w:val="0"/>
          <w:sz w:val="24"/>
          <w:szCs w:val="24"/>
          <w:highlight w:val="none"/>
          <w:u w:val="single"/>
        </w:rPr>
        <w:t xml:space="preserve">     </w:t>
      </w:r>
      <w:r>
        <w:rPr>
          <w:rFonts w:hint="eastAsia" w:ascii="宋体" w:hAnsi="宋体" w:eastAsia="宋体" w:cs="宋体"/>
          <w:b w:val="0"/>
          <w:bCs w:val="0"/>
          <w:sz w:val="24"/>
          <w:szCs w:val="24"/>
          <w:highlight w:val="none"/>
        </w:rPr>
        <w:t>月</w:t>
      </w:r>
      <w:r>
        <w:rPr>
          <w:rFonts w:hint="eastAsia" w:ascii="宋体" w:hAnsi="宋体" w:eastAsia="宋体" w:cs="宋体"/>
          <w:b w:val="0"/>
          <w:bCs w:val="0"/>
          <w:sz w:val="24"/>
          <w:szCs w:val="24"/>
          <w:highlight w:val="none"/>
          <w:u w:val="single"/>
        </w:rPr>
        <w:t xml:space="preserve">     </w:t>
      </w:r>
      <w:r>
        <w:rPr>
          <w:rFonts w:hint="eastAsia" w:ascii="宋体" w:hAnsi="宋体" w:eastAsia="宋体" w:cs="宋体"/>
          <w:b w:val="0"/>
          <w:bCs w:val="0"/>
          <w:sz w:val="24"/>
          <w:szCs w:val="24"/>
          <w:highlight w:val="none"/>
        </w:rPr>
        <w:t>日</w:t>
      </w:r>
    </w:p>
    <w:p>
      <w:pPr>
        <w:spacing w:line="360" w:lineRule="auto"/>
        <w:jc w:val="center"/>
        <w:rPr>
          <w:rFonts w:hint="eastAsia" w:ascii="宋体" w:hAnsi="宋体" w:eastAsia="宋体" w:cs="宋体"/>
          <w:b/>
          <w:bCs/>
          <w:sz w:val="28"/>
          <w:szCs w:val="28"/>
          <w:highlight w:val="none"/>
        </w:rPr>
      </w:pPr>
      <w:r>
        <w:rPr>
          <w:rFonts w:hint="eastAsia" w:ascii="宋体" w:hAnsi="宋体" w:eastAsia="宋体" w:cs="宋体"/>
          <w:b w:val="0"/>
          <w:bCs w:val="0"/>
          <w:sz w:val="24"/>
          <w:szCs w:val="24"/>
          <w:highlight w:val="none"/>
        </w:rPr>
        <w:br w:type="page"/>
      </w:r>
      <w:r>
        <w:rPr>
          <w:rFonts w:hint="eastAsia" w:ascii="宋体" w:hAnsi="宋体" w:eastAsia="宋体" w:cs="宋体"/>
          <w:b/>
          <w:bCs/>
          <w:sz w:val="28"/>
          <w:szCs w:val="28"/>
          <w:highlight w:val="none"/>
        </w:rPr>
        <w:t>3.拟派项目组人员一览表</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
        <w:gridCol w:w="1575"/>
        <w:gridCol w:w="945"/>
        <w:gridCol w:w="945"/>
        <w:gridCol w:w="1050"/>
        <w:gridCol w:w="1575"/>
        <w:gridCol w:w="2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jc w:val="center"/>
        </w:trPr>
        <w:tc>
          <w:tcPr>
            <w:tcW w:w="894" w:type="dxa"/>
            <w:noWrap w:val="0"/>
            <w:vAlign w:val="center"/>
          </w:tcPr>
          <w:p>
            <w:pPr>
              <w:tabs>
                <w:tab w:val="left" w:pos="0"/>
              </w:tabs>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序号</w:t>
            </w:r>
          </w:p>
        </w:tc>
        <w:tc>
          <w:tcPr>
            <w:tcW w:w="1575" w:type="dxa"/>
            <w:noWrap w:val="0"/>
            <w:vAlign w:val="center"/>
          </w:tcPr>
          <w:p>
            <w:pPr>
              <w:tabs>
                <w:tab w:val="left" w:pos="0"/>
              </w:tabs>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姓名</w:t>
            </w:r>
          </w:p>
        </w:tc>
        <w:tc>
          <w:tcPr>
            <w:tcW w:w="945" w:type="dxa"/>
            <w:noWrap w:val="0"/>
            <w:vAlign w:val="center"/>
          </w:tcPr>
          <w:p>
            <w:pPr>
              <w:tabs>
                <w:tab w:val="left" w:pos="0"/>
              </w:tabs>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性别</w:t>
            </w:r>
          </w:p>
        </w:tc>
        <w:tc>
          <w:tcPr>
            <w:tcW w:w="945" w:type="dxa"/>
            <w:noWrap w:val="0"/>
            <w:vAlign w:val="center"/>
          </w:tcPr>
          <w:p>
            <w:pPr>
              <w:tabs>
                <w:tab w:val="left" w:pos="0"/>
              </w:tabs>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工作年限</w:t>
            </w:r>
          </w:p>
        </w:tc>
        <w:tc>
          <w:tcPr>
            <w:tcW w:w="1050" w:type="dxa"/>
            <w:noWrap w:val="0"/>
            <w:vAlign w:val="center"/>
          </w:tcPr>
          <w:p>
            <w:pPr>
              <w:tabs>
                <w:tab w:val="left" w:pos="0"/>
              </w:tabs>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专业</w:t>
            </w:r>
          </w:p>
        </w:tc>
        <w:tc>
          <w:tcPr>
            <w:tcW w:w="1575" w:type="dxa"/>
            <w:noWrap w:val="0"/>
            <w:vAlign w:val="center"/>
          </w:tcPr>
          <w:p>
            <w:pPr>
              <w:tabs>
                <w:tab w:val="left" w:pos="0"/>
              </w:tabs>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职称或资格证书</w:t>
            </w:r>
          </w:p>
        </w:tc>
        <w:tc>
          <w:tcPr>
            <w:tcW w:w="2193" w:type="dxa"/>
            <w:noWrap w:val="0"/>
            <w:vAlign w:val="center"/>
          </w:tcPr>
          <w:p>
            <w:pPr>
              <w:tabs>
                <w:tab w:val="left" w:pos="0"/>
              </w:tabs>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拟在本项目中担任的工作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894" w:type="dxa"/>
            <w:noWrap w:val="0"/>
            <w:vAlign w:val="top"/>
          </w:tcPr>
          <w:p>
            <w:pPr>
              <w:tabs>
                <w:tab w:val="left" w:pos="0"/>
              </w:tabs>
              <w:spacing w:line="360" w:lineRule="auto"/>
              <w:rPr>
                <w:rFonts w:hint="eastAsia" w:ascii="宋体" w:hAnsi="宋体" w:eastAsia="宋体" w:cs="宋体"/>
                <w:b w:val="0"/>
                <w:bCs w:val="0"/>
                <w:sz w:val="24"/>
                <w:szCs w:val="24"/>
                <w:highlight w:val="none"/>
              </w:rPr>
            </w:pPr>
          </w:p>
        </w:tc>
        <w:tc>
          <w:tcPr>
            <w:tcW w:w="1575" w:type="dxa"/>
            <w:noWrap w:val="0"/>
            <w:vAlign w:val="top"/>
          </w:tcPr>
          <w:p>
            <w:pPr>
              <w:tabs>
                <w:tab w:val="left" w:pos="0"/>
              </w:tabs>
              <w:spacing w:line="360" w:lineRule="auto"/>
              <w:rPr>
                <w:rFonts w:hint="eastAsia" w:ascii="宋体" w:hAnsi="宋体" w:eastAsia="宋体" w:cs="宋体"/>
                <w:b w:val="0"/>
                <w:bCs w:val="0"/>
                <w:sz w:val="24"/>
                <w:szCs w:val="24"/>
                <w:highlight w:val="none"/>
              </w:rPr>
            </w:pPr>
          </w:p>
        </w:tc>
        <w:tc>
          <w:tcPr>
            <w:tcW w:w="945" w:type="dxa"/>
            <w:noWrap w:val="0"/>
            <w:vAlign w:val="top"/>
          </w:tcPr>
          <w:p>
            <w:pPr>
              <w:tabs>
                <w:tab w:val="left" w:pos="0"/>
              </w:tabs>
              <w:spacing w:line="360" w:lineRule="auto"/>
              <w:rPr>
                <w:rFonts w:hint="eastAsia" w:ascii="宋体" w:hAnsi="宋体" w:eastAsia="宋体" w:cs="宋体"/>
                <w:b w:val="0"/>
                <w:bCs w:val="0"/>
                <w:sz w:val="24"/>
                <w:szCs w:val="24"/>
                <w:highlight w:val="none"/>
              </w:rPr>
            </w:pPr>
          </w:p>
        </w:tc>
        <w:tc>
          <w:tcPr>
            <w:tcW w:w="945" w:type="dxa"/>
            <w:noWrap w:val="0"/>
            <w:vAlign w:val="top"/>
          </w:tcPr>
          <w:p>
            <w:pPr>
              <w:tabs>
                <w:tab w:val="left" w:pos="0"/>
              </w:tabs>
              <w:spacing w:line="360" w:lineRule="auto"/>
              <w:rPr>
                <w:rFonts w:hint="eastAsia" w:ascii="宋体" w:hAnsi="宋体" w:eastAsia="宋体" w:cs="宋体"/>
                <w:b w:val="0"/>
                <w:bCs w:val="0"/>
                <w:sz w:val="24"/>
                <w:szCs w:val="24"/>
                <w:highlight w:val="none"/>
              </w:rPr>
            </w:pPr>
          </w:p>
        </w:tc>
        <w:tc>
          <w:tcPr>
            <w:tcW w:w="1050" w:type="dxa"/>
            <w:noWrap w:val="0"/>
            <w:vAlign w:val="top"/>
          </w:tcPr>
          <w:p>
            <w:pPr>
              <w:tabs>
                <w:tab w:val="left" w:pos="0"/>
              </w:tabs>
              <w:spacing w:line="360" w:lineRule="auto"/>
              <w:rPr>
                <w:rFonts w:hint="eastAsia" w:ascii="宋体" w:hAnsi="宋体" w:eastAsia="宋体" w:cs="宋体"/>
                <w:b w:val="0"/>
                <w:bCs w:val="0"/>
                <w:sz w:val="24"/>
                <w:szCs w:val="24"/>
                <w:highlight w:val="none"/>
              </w:rPr>
            </w:pPr>
          </w:p>
        </w:tc>
        <w:tc>
          <w:tcPr>
            <w:tcW w:w="1575" w:type="dxa"/>
            <w:noWrap w:val="0"/>
            <w:vAlign w:val="top"/>
          </w:tcPr>
          <w:p>
            <w:pPr>
              <w:tabs>
                <w:tab w:val="left" w:pos="0"/>
              </w:tabs>
              <w:spacing w:line="360" w:lineRule="auto"/>
              <w:rPr>
                <w:rFonts w:hint="eastAsia" w:ascii="宋体" w:hAnsi="宋体" w:eastAsia="宋体" w:cs="宋体"/>
                <w:b w:val="0"/>
                <w:bCs w:val="0"/>
                <w:sz w:val="24"/>
                <w:szCs w:val="24"/>
                <w:highlight w:val="none"/>
              </w:rPr>
            </w:pPr>
          </w:p>
        </w:tc>
        <w:tc>
          <w:tcPr>
            <w:tcW w:w="2193" w:type="dxa"/>
            <w:noWrap w:val="0"/>
            <w:vAlign w:val="top"/>
          </w:tcPr>
          <w:p>
            <w:pPr>
              <w:tabs>
                <w:tab w:val="left" w:pos="0"/>
              </w:tabs>
              <w:spacing w:line="360" w:lineRule="auto"/>
              <w:rPr>
                <w:rFonts w:hint="eastAsia" w:ascii="宋体" w:hAnsi="宋体" w:eastAsia="宋体" w:cs="宋体"/>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894" w:type="dxa"/>
            <w:noWrap w:val="0"/>
            <w:vAlign w:val="top"/>
          </w:tcPr>
          <w:p>
            <w:pPr>
              <w:tabs>
                <w:tab w:val="left" w:pos="0"/>
              </w:tabs>
              <w:spacing w:line="360" w:lineRule="auto"/>
              <w:rPr>
                <w:rFonts w:hint="eastAsia" w:ascii="宋体" w:hAnsi="宋体" w:eastAsia="宋体" w:cs="宋体"/>
                <w:b w:val="0"/>
                <w:bCs w:val="0"/>
                <w:sz w:val="24"/>
                <w:szCs w:val="24"/>
                <w:highlight w:val="none"/>
              </w:rPr>
            </w:pPr>
          </w:p>
        </w:tc>
        <w:tc>
          <w:tcPr>
            <w:tcW w:w="1575" w:type="dxa"/>
            <w:noWrap w:val="0"/>
            <w:vAlign w:val="top"/>
          </w:tcPr>
          <w:p>
            <w:pPr>
              <w:tabs>
                <w:tab w:val="left" w:pos="0"/>
              </w:tabs>
              <w:spacing w:line="360" w:lineRule="auto"/>
              <w:rPr>
                <w:rFonts w:hint="eastAsia" w:ascii="宋体" w:hAnsi="宋体" w:eastAsia="宋体" w:cs="宋体"/>
                <w:b w:val="0"/>
                <w:bCs w:val="0"/>
                <w:sz w:val="24"/>
                <w:szCs w:val="24"/>
                <w:highlight w:val="none"/>
              </w:rPr>
            </w:pPr>
          </w:p>
        </w:tc>
        <w:tc>
          <w:tcPr>
            <w:tcW w:w="945" w:type="dxa"/>
            <w:noWrap w:val="0"/>
            <w:vAlign w:val="top"/>
          </w:tcPr>
          <w:p>
            <w:pPr>
              <w:tabs>
                <w:tab w:val="left" w:pos="0"/>
              </w:tabs>
              <w:spacing w:line="360" w:lineRule="auto"/>
              <w:rPr>
                <w:rFonts w:hint="eastAsia" w:ascii="宋体" w:hAnsi="宋体" w:eastAsia="宋体" w:cs="宋体"/>
                <w:b w:val="0"/>
                <w:bCs w:val="0"/>
                <w:sz w:val="24"/>
                <w:szCs w:val="24"/>
                <w:highlight w:val="none"/>
              </w:rPr>
            </w:pPr>
          </w:p>
        </w:tc>
        <w:tc>
          <w:tcPr>
            <w:tcW w:w="945" w:type="dxa"/>
            <w:noWrap w:val="0"/>
            <w:vAlign w:val="top"/>
          </w:tcPr>
          <w:p>
            <w:pPr>
              <w:tabs>
                <w:tab w:val="left" w:pos="0"/>
              </w:tabs>
              <w:spacing w:line="360" w:lineRule="auto"/>
              <w:rPr>
                <w:rFonts w:hint="eastAsia" w:ascii="宋体" w:hAnsi="宋体" w:eastAsia="宋体" w:cs="宋体"/>
                <w:b w:val="0"/>
                <w:bCs w:val="0"/>
                <w:sz w:val="24"/>
                <w:szCs w:val="24"/>
                <w:highlight w:val="none"/>
              </w:rPr>
            </w:pPr>
          </w:p>
        </w:tc>
        <w:tc>
          <w:tcPr>
            <w:tcW w:w="1050" w:type="dxa"/>
            <w:noWrap w:val="0"/>
            <w:vAlign w:val="top"/>
          </w:tcPr>
          <w:p>
            <w:pPr>
              <w:tabs>
                <w:tab w:val="left" w:pos="0"/>
              </w:tabs>
              <w:spacing w:line="360" w:lineRule="auto"/>
              <w:rPr>
                <w:rFonts w:hint="eastAsia" w:ascii="宋体" w:hAnsi="宋体" w:eastAsia="宋体" w:cs="宋体"/>
                <w:b w:val="0"/>
                <w:bCs w:val="0"/>
                <w:sz w:val="24"/>
                <w:szCs w:val="24"/>
                <w:highlight w:val="none"/>
              </w:rPr>
            </w:pPr>
          </w:p>
        </w:tc>
        <w:tc>
          <w:tcPr>
            <w:tcW w:w="1575" w:type="dxa"/>
            <w:noWrap w:val="0"/>
            <w:vAlign w:val="top"/>
          </w:tcPr>
          <w:p>
            <w:pPr>
              <w:tabs>
                <w:tab w:val="left" w:pos="0"/>
              </w:tabs>
              <w:spacing w:line="360" w:lineRule="auto"/>
              <w:rPr>
                <w:rFonts w:hint="eastAsia" w:ascii="宋体" w:hAnsi="宋体" w:eastAsia="宋体" w:cs="宋体"/>
                <w:b w:val="0"/>
                <w:bCs w:val="0"/>
                <w:sz w:val="24"/>
                <w:szCs w:val="24"/>
                <w:highlight w:val="none"/>
              </w:rPr>
            </w:pPr>
          </w:p>
        </w:tc>
        <w:tc>
          <w:tcPr>
            <w:tcW w:w="2193" w:type="dxa"/>
            <w:noWrap w:val="0"/>
            <w:vAlign w:val="top"/>
          </w:tcPr>
          <w:p>
            <w:pPr>
              <w:tabs>
                <w:tab w:val="left" w:pos="0"/>
              </w:tabs>
              <w:spacing w:line="360" w:lineRule="auto"/>
              <w:rPr>
                <w:rFonts w:hint="eastAsia" w:ascii="宋体" w:hAnsi="宋体" w:eastAsia="宋体" w:cs="宋体"/>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894" w:type="dxa"/>
            <w:noWrap w:val="0"/>
            <w:vAlign w:val="top"/>
          </w:tcPr>
          <w:p>
            <w:pPr>
              <w:tabs>
                <w:tab w:val="left" w:pos="0"/>
              </w:tabs>
              <w:spacing w:line="360" w:lineRule="auto"/>
              <w:rPr>
                <w:rFonts w:hint="eastAsia" w:ascii="宋体" w:hAnsi="宋体" w:eastAsia="宋体" w:cs="宋体"/>
                <w:b w:val="0"/>
                <w:bCs w:val="0"/>
                <w:sz w:val="24"/>
                <w:szCs w:val="24"/>
                <w:highlight w:val="none"/>
              </w:rPr>
            </w:pPr>
          </w:p>
        </w:tc>
        <w:tc>
          <w:tcPr>
            <w:tcW w:w="1575" w:type="dxa"/>
            <w:noWrap w:val="0"/>
            <w:vAlign w:val="top"/>
          </w:tcPr>
          <w:p>
            <w:pPr>
              <w:tabs>
                <w:tab w:val="left" w:pos="0"/>
              </w:tabs>
              <w:spacing w:line="360" w:lineRule="auto"/>
              <w:rPr>
                <w:rFonts w:hint="eastAsia" w:ascii="宋体" w:hAnsi="宋体" w:eastAsia="宋体" w:cs="宋体"/>
                <w:b w:val="0"/>
                <w:bCs w:val="0"/>
                <w:sz w:val="24"/>
                <w:szCs w:val="24"/>
                <w:highlight w:val="none"/>
              </w:rPr>
            </w:pPr>
          </w:p>
        </w:tc>
        <w:tc>
          <w:tcPr>
            <w:tcW w:w="945" w:type="dxa"/>
            <w:noWrap w:val="0"/>
            <w:vAlign w:val="top"/>
          </w:tcPr>
          <w:p>
            <w:pPr>
              <w:tabs>
                <w:tab w:val="left" w:pos="0"/>
              </w:tabs>
              <w:spacing w:line="360" w:lineRule="auto"/>
              <w:rPr>
                <w:rFonts w:hint="eastAsia" w:ascii="宋体" w:hAnsi="宋体" w:eastAsia="宋体" w:cs="宋体"/>
                <w:b w:val="0"/>
                <w:bCs w:val="0"/>
                <w:sz w:val="24"/>
                <w:szCs w:val="24"/>
                <w:highlight w:val="none"/>
              </w:rPr>
            </w:pPr>
          </w:p>
        </w:tc>
        <w:tc>
          <w:tcPr>
            <w:tcW w:w="945" w:type="dxa"/>
            <w:noWrap w:val="0"/>
            <w:vAlign w:val="top"/>
          </w:tcPr>
          <w:p>
            <w:pPr>
              <w:tabs>
                <w:tab w:val="left" w:pos="0"/>
              </w:tabs>
              <w:spacing w:line="360" w:lineRule="auto"/>
              <w:rPr>
                <w:rFonts w:hint="eastAsia" w:ascii="宋体" w:hAnsi="宋体" w:eastAsia="宋体" w:cs="宋体"/>
                <w:b w:val="0"/>
                <w:bCs w:val="0"/>
                <w:sz w:val="24"/>
                <w:szCs w:val="24"/>
                <w:highlight w:val="none"/>
              </w:rPr>
            </w:pPr>
          </w:p>
        </w:tc>
        <w:tc>
          <w:tcPr>
            <w:tcW w:w="1050" w:type="dxa"/>
            <w:noWrap w:val="0"/>
            <w:vAlign w:val="top"/>
          </w:tcPr>
          <w:p>
            <w:pPr>
              <w:tabs>
                <w:tab w:val="left" w:pos="0"/>
              </w:tabs>
              <w:spacing w:line="360" w:lineRule="auto"/>
              <w:rPr>
                <w:rFonts w:hint="eastAsia" w:ascii="宋体" w:hAnsi="宋体" w:eastAsia="宋体" w:cs="宋体"/>
                <w:b w:val="0"/>
                <w:bCs w:val="0"/>
                <w:sz w:val="24"/>
                <w:szCs w:val="24"/>
                <w:highlight w:val="none"/>
              </w:rPr>
            </w:pPr>
          </w:p>
        </w:tc>
        <w:tc>
          <w:tcPr>
            <w:tcW w:w="1575" w:type="dxa"/>
            <w:noWrap w:val="0"/>
            <w:vAlign w:val="top"/>
          </w:tcPr>
          <w:p>
            <w:pPr>
              <w:tabs>
                <w:tab w:val="left" w:pos="0"/>
              </w:tabs>
              <w:spacing w:line="360" w:lineRule="auto"/>
              <w:rPr>
                <w:rFonts w:hint="eastAsia" w:ascii="宋体" w:hAnsi="宋体" w:eastAsia="宋体" w:cs="宋体"/>
                <w:b w:val="0"/>
                <w:bCs w:val="0"/>
                <w:sz w:val="24"/>
                <w:szCs w:val="24"/>
                <w:highlight w:val="none"/>
              </w:rPr>
            </w:pPr>
          </w:p>
        </w:tc>
        <w:tc>
          <w:tcPr>
            <w:tcW w:w="2193" w:type="dxa"/>
            <w:noWrap w:val="0"/>
            <w:vAlign w:val="top"/>
          </w:tcPr>
          <w:p>
            <w:pPr>
              <w:tabs>
                <w:tab w:val="left" w:pos="0"/>
              </w:tabs>
              <w:spacing w:line="360" w:lineRule="auto"/>
              <w:rPr>
                <w:rFonts w:hint="eastAsia" w:ascii="宋体" w:hAnsi="宋体" w:eastAsia="宋体" w:cs="宋体"/>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894" w:type="dxa"/>
            <w:noWrap w:val="0"/>
            <w:vAlign w:val="top"/>
          </w:tcPr>
          <w:p>
            <w:pPr>
              <w:tabs>
                <w:tab w:val="left" w:pos="0"/>
              </w:tabs>
              <w:spacing w:line="360" w:lineRule="auto"/>
              <w:rPr>
                <w:rFonts w:hint="eastAsia" w:ascii="宋体" w:hAnsi="宋体" w:eastAsia="宋体" w:cs="宋体"/>
                <w:b w:val="0"/>
                <w:bCs w:val="0"/>
                <w:sz w:val="24"/>
                <w:szCs w:val="24"/>
                <w:highlight w:val="none"/>
              </w:rPr>
            </w:pPr>
          </w:p>
        </w:tc>
        <w:tc>
          <w:tcPr>
            <w:tcW w:w="1575" w:type="dxa"/>
            <w:noWrap w:val="0"/>
            <w:vAlign w:val="top"/>
          </w:tcPr>
          <w:p>
            <w:pPr>
              <w:tabs>
                <w:tab w:val="left" w:pos="0"/>
              </w:tabs>
              <w:spacing w:line="360" w:lineRule="auto"/>
              <w:rPr>
                <w:rFonts w:hint="eastAsia" w:ascii="宋体" w:hAnsi="宋体" w:eastAsia="宋体" w:cs="宋体"/>
                <w:b w:val="0"/>
                <w:bCs w:val="0"/>
                <w:sz w:val="24"/>
                <w:szCs w:val="24"/>
                <w:highlight w:val="none"/>
              </w:rPr>
            </w:pPr>
          </w:p>
        </w:tc>
        <w:tc>
          <w:tcPr>
            <w:tcW w:w="945" w:type="dxa"/>
            <w:noWrap w:val="0"/>
            <w:vAlign w:val="top"/>
          </w:tcPr>
          <w:p>
            <w:pPr>
              <w:tabs>
                <w:tab w:val="left" w:pos="0"/>
              </w:tabs>
              <w:spacing w:line="360" w:lineRule="auto"/>
              <w:rPr>
                <w:rFonts w:hint="eastAsia" w:ascii="宋体" w:hAnsi="宋体" w:eastAsia="宋体" w:cs="宋体"/>
                <w:b w:val="0"/>
                <w:bCs w:val="0"/>
                <w:sz w:val="24"/>
                <w:szCs w:val="24"/>
                <w:highlight w:val="none"/>
              </w:rPr>
            </w:pPr>
          </w:p>
        </w:tc>
        <w:tc>
          <w:tcPr>
            <w:tcW w:w="945" w:type="dxa"/>
            <w:noWrap w:val="0"/>
            <w:vAlign w:val="top"/>
          </w:tcPr>
          <w:p>
            <w:pPr>
              <w:tabs>
                <w:tab w:val="left" w:pos="0"/>
              </w:tabs>
              <w:spacing w:line="360" w:lineRule="auto"/>
              <w:rPr>
                <w:rFonts w:hint="eastAsia" w:ascii="宋体" w:hAnsi="宋体" w:eastAsia="宋体" w:cs="宋体"/>
                <w:b w:val="0"/>
                <w:bCs w:val="0"/>
                <w:sz w:val="24"/>
                <w:szCs w:val="24"/>
                <w:highlight w:val="none"/>
              </w:rPr>
            </w:pPr>
          </w:p>
        </w:tc>
        <w:tc>
          <w:tcPr>
            <w:tcW w:w="1050" w:type="dxa"/>
            <w:noWrap w:val="0"/>
            <w:vAlign w:val="top"/>
          </w:tcPr>
          <w:p>
            <w:pPr>
              <w:tabs>
                <w:tab w:val="left" w:pos="0"/>
              </w:tabs>
              <w:spacing w:line="360" w:lineRule="auto"/>
              <w:rPr>
                <w:rFonts w:hint="eastAsia" w:ascii="宋体" w:hAnsi="宋体" w:eastAsia="宋体" w:cs="宋体"/>
                <w:b w:val="0"/>
                <w:bCs w:val="0"/>
                <w:sz w:val="24"/>
                <w:szCs w:val="24"/>
                <w:highlight w:val="none"/>
              </w:rPr>
            </w:pPr>
          </w:p>
        </w:tc>
        <w:tc>
          <w:tcPr>
            <w:tcW w:w="1575" w:type="dxa"/>
            <w:noWrap w:val="0"/>
            <w:vAlign w:val="top"/>
          </w:tcPr>
          <w:p>
            <w:pPr>
              <w:tabs>
                <w:tab w:val="left" w:pos="0"/>
              </w:tabs>
              <w:spacing w:line="360" w:lineRule="auto"/>
              <w:rPr>
                <w:rFonts w:hint="eastAsia" w:ascii="宋体" w:hAnsi="宋体" w:eastAsia="宋体" w:cs="宋体"/>
                <w:b w:val="0"/>
                <w:bCs w:val="0"/>
                <w:sz w:val="24"/>
                <w:szCs w:val="24"/>
                <w:highlight w:val="none"/>
              </w:rPr>
            </w:pPr>
          </w:p>
        </w:tc>
        <w:tc>
          <w:tcPr>
            <w:tcW w:w="2193" w:type="dxa"/>
            <w:noWrap w:val="0"/>
            <w:vAlign w:val="top"/>
          </w:tcPr>
          <w:p>
            <w:pPr>
              <w:tabs>
                <w:tab w:val="left" w:pos="0"/>
              </w:tabs>
              <w:spacing w:line="360" w:lineRule="auto"/>
              <w:rPr>
                <w:rFonts w:hint="eastAsia" w:ascii="宋体" w:hAnsi="宋体" w:eastAsia="宋体" w:cs="宋体"/>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894" w:type="dxa"/>
            <w:noWrap w:val="0"/>
            <w:vAlign w:val="top"/>
          </w:tcPr>
          <w:p>
            <w:pPr>
              <w:tabs>
                <w:tab w:val="left" w:pos="0"/>
              </w:tabs>
              <w:spacing w:line="360" w:lineRule="auto"/>
              <w:rPr>
                <w:rFonts w:hint="eastAsia" w:ascii="宋体" w:hAnsi="宋体" w:eastAsia="宋体" w:cs="宋体"/>
                <w:b w:val="0"/>
                <w:bCs w:val="0"/>
                <w:sz w:val="24"/>
                <w:szCs w:val="24"/>
                <w:highlight w:val="none"/>
              </w:rPr>
            </w:pPr>
          </w:p>
        </w:tc>
        <w:tc>
          <w:tcPr>
            <w:tcW w:w="1575" w:type="dxa"/>
            <w:noWrap w:val="0"/>
            <w:vAlign w:val="top"/>
          </w:tcPr>
          <w:p>
            <w:pPr>
              <w:tabs>
                <w:tab w:val="left" w:pos="0"/>
              </w:tabs>
              <w:spacing w:line="360" w:lineRule="auto"/>
              <w:rPr>
                <w:rFonts w:hint="eastAsia" w:ascii="宋体" w:hAnsi="宋体" w:eastAsia="宋体" w:cs="宋体"/>
                <w:b w:val="0"/>
                <w:bCs w:val="0"/>
                <w:sz w:val="24"/>
                <w:szCs w:val="24"/>
                <w:highlight w:val="none"/>
              </w:rPr>
            </w:pPr>
          </w:p>
        </w:tc>
        <w:tc>
          <w:tcPr>
            <w:tcW w:w="945" w:type="dxa"/>
            <w:noWrap w:val="0"/>
            <w:vAlign w:val="top"/>
          </w:tcPr>
          <w:p>
            <w:pPr>
              <w:tabs>
                <w:tab w:val="left" w:pos="0"/>
              </w:tabs>
              <w:spacing w:line="360" w:lineRule="auto"/>
              <w:rPr>
                <w:rFonts w:hint="eastAsia" w:ascii="宋体" w:hAnsi="宋体" w:eastAsia="宋体" w:cs="宋体"/>
                <w:b w:val="0"/>
                <w:bCs w:val="0"/>
                <w:sz w:val="24"/>
                <w:szCs w:val="24"/>
                <w:highlight w:val="none"/>
              </w:rPr>
            </w:pPr>
          </w:p>
        </w:tc>
        <w:tc>
          <w:tcPr>
            <w:tcW w:w="945" w:type="dxa"/>
            <w:noWrap w:val="0"/>
            <w:vAlign w:val="top"/>
          </w:tcPr>
          <w:p>
            <w:pPr>
              <w:tabs>
                <w:tab w:val="left" w:pos="0"/>
              </w:tabs>
              <w:spacing w:line="360" w:lineRule="auto"/>
              <w:rPr>
                <w:rFonts w:hint="eastAsia" w:ascii="宋体" w:hAnsi="宋体" w:eastAsia="宋体" w:cs="宋体"/>
                <w:b w:val="0"/>
                <w:bCs w:val="0"/>
                <w:sz w:val="24"/>
                <w:szCs w:val="24"/>
                <w:highlight w:val="none"/>
              </w:rPr>
            </w:pPr>
          </w:p>
        </w:tc>
        <w:tc>
          <w:tcPr>
            <w:tcW w:w="1050" w:type="dxa"/>
            <w:noWrap w:val="0"/>
            <w:vAlign w:val="top"/>
          </w:tcPr>
          <w:p>
            <w:pPr>
              <w:tabs>
                <w:tab w:val="left" w:pos="0"/>
              </w:tabs>
              <w:spacing w:line="360" w:lineRule="auto"/>
              <w:rPr>
                <w:rFonts w:hint="eastAsia" w:ascii="宋体" w:hAnsi="宋体" w:eastAsia="宋体" w:cs="宋体"/>
                <w:b w:val="0"/>
                <w:bCs w:val="0"/>
                <w:sz w:val="24"/>
                <w:szCs w:val="24"/>
                <w:highlight w:val="none"/>
              </w:rPr>
            </w:pPr>
          </w:p>
        </w:tc>
        <w:tc>
          <w:tcPr>
            <w:tcW w:w="1575" w:type="dxa"/>
            <w:noWrap w:val="0"/>
            <w:vAlign w:val="top"/>
          </w:tcPr>
          <w:p>
            <w:pPr>
              <w:tabs>
                <w:tab w:val="left" w:pos="0"/>
              </w:tabs>
              <w:spacing w:line="360" w:lineRule="auto"/>
              <w:rPr>
                <w:rFonts w:hint="eastAsia" w:ascii="宋体" w:hAnsi="宋体" w:eastAsia="宋体" w:cs="宋体"/>
                <w:b w:val="0"/>
                <w:bCs w:val="0"/>
                <w:sz w:val="24"/>
                <w:szCs w:val="24"/>
                <w:highlight w:val="none"/>
              </w:rPr>
            </w:pPr>
          </w:p>
        </w:tc>
        <w:tc>
          <w:tcPr>
            <w:tcW w:w="2193" w:type="dxa"/>
            <w:noWrap w:val="0"/>
            <w:vAlign w:val="top"/>
          </w:tcPr>
          <w:p>
            <w:pPr>
              <w:tabs>
                <w:tab w:val="left" w:pos="0"/>
              </w:tabs>
              <w:spacing w:line="360" w:lineRule="auto"/>
              <w:rPr>
                <w:rFonts w:hint="eastAsia" w:ascii="宋体" w:hAnsi="宋体" w:eastAsia="宋体" w:cs="宋体"/>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894" w:type="dxa"/>
            <w:noWrap w:val="0"/>
            <w:vAlign w:val="top"/>
          </w:tcPr>
          <w:p>
            <w:pPr>
              <w:tabs>
                <w:tab w:val="left" w:pos="0"/>
              </w:tabs>
              <w:spacing w:line="360" w:lineRule="auto"/>
              <w:rPr>
                <w:rFonts w:hint="eastAsia" w:ascii="宋体" w:hAnsi="宋体" w:eastAsia="宋体" w:cs="宋体"/>
                <w:b w:val="0"/>
                <w:bCs w:val="0"/>
                <w:sz w:val="24"/>
                <w:szCs w:val="24"/>
                <w:highlight w:val="none"/>
              </w:rPr>
            </w:pPr>
          </w:p>
        </w:tc>
        <w:tc>
          <w:tcPr>
            <w:tcW w:w="1575" w:type="dxa"/>
            <w:noWrap w:val="0"/>
            <w:vAlign w:val="top"/>
          </w:tcPr>
          <w:p>
            <w:pPr>
              <w:tabs>
                <w:tab w:val="left" w:pos="0"/>
              </w:tabs>
              <w:spacing w:line="360" w:lineRule="auto"/>
              <w:rPr>
                <w:rFonts w:hint="eastAsia" w:ascii="宋体" w:hAnsi="宋体" w:eastAsia="宋体" w:cs="宋体"/>
                <w:b w:val="0"/>
                <w:bCs w:val="0"/>
                <w:sz w:val="24"/>
                <w:szCs w:val="24"/>
                <w:highlight w:val="none"/>
              </w:rPr>
            </w:pPr>
          </w:p>
        </w:tc>
        <w:tc>
          <w:tcPr>
            <w:tcW w:w="945" w:type="dxa"/>
            <w:noWrap w:val="0"/>
            <w:vAlign w:val="top"/>
          </w:tcPr>
          <w:p>
            <w:pPr>
              <w:tabs>
                <w:tab w:val="left" w:pos="0"/>
              </w:tabs>
              <w:spacing w:line="360" w:lineRule="auto"/>
              <w:rPr>
                <w:rFonts w:hint="eastAsia" w:ascii="宋体" w:hAnsi="宋体" w:eastAsia="宋体" w:cs="宋体"/>
                <w:b w:val="0"/>
                <w:bCs w:val="0"/>
                <w:sz w:val="24"/>
                <w:szCs w:val="24"/>
                <w:highlight w:val="none"/>
              </w:rPr>
            </w:pPr>
          </w:p>
        </w:tc>
        <w:tc>
          <w:tcPr>
            <w:tcW w:w="945" w:type="dxa"/>
            <w:noWrap w:val="0"/>
            <w:vAlign w:val="top"/>
          </w:tcPr>
          <w:p>
            <w:pPr>
              <w:tabs>
                <w:tab w:val="left" w:pos="0"/>
              </w:tabs>
              <w:spacing w:line="360" w:lineRule="auto"/>
              <w:rPr>
                <w:rFonts w:hint="eastAsia" w:ascii="宋体" w:hAnsi="宋体" w:eastAsia="宋体" w:cs="宋体"/>
                <w:b w:val="0"/>
                <w:bCs w:val="0"/>
                <w:sz w:val="24"/>
                <w:szCs w:val="24"/>
                <w:highlight w:val="none"/>
              </w:rPr>
            </w:pPr>
          </w:p>
        </w:tc>
        <w:tc>
          <w:tcPr>
            <w:tcW w:w="1050" w:type="dxa"/>
            <w:noWrap w:val="0"/>
            <w:vAlign w:val="top"/>
          </w:tcPr>
          <w:p>
            <w:pPr>
              <w:tabs>
                <w:tab w:val="left" w:pos="0"/>
              </w:tabs>
              <w:spacing w:line="360" w:lineRule="auto"/>
              <w:rPr>
                <w:rFonts w:hint="eastAsia" w:ascii="宋体" w:hAnsi="宋体" w:eastAsia="宋体" w:cs="宋体"/>
                <w:b w:val="0"/>
                <w:bCs w:val="0"/>
                <w:sz w:val="24"/>
                <w:szCs w:val="24"/>
                <w:highlight w:val="none"/>
              </w:rPr>
            </w:pPr>
          </w:p>
        </w:tc>
        <w:tc>
          <w:tcPr>
            <w:tcW w:w="1575" w:type="dxa"/>
            <w:noWrap w:val="0"/>
            <w:vAlign w:val="top"/>
          </w:tcPr>
          <w:p>
            <w:pPr>
              <w:tabs>
                <w:tab w:val="left" w:pos="0"/>
              </w:tabs>
              <w:spacing w:line="360" w:lineRule="auto"/>
              <w:rPr>
                <w:rFonts w:hint="eastAsia" w:ascii="宋体" w:hAnsi="宋体" w:eastAsia="宋体" w:cs="宋体"/>
                <w:b w:val="0"/>
                <w:bCs w:val="0"/>
                <w:sz w:val="24"/>
                <w:szCs w:val="24"/>
                <w:highlight w:val="none"/>
              </w:rPr>
            </w:pPr>
          </w:p>
        </w:tc>
        <w:tc>
          <w:tcPr>
            <w:tcW w:w="2193" w:type="dxa"/>
            <w:noWrap w:val="0"/>
            <w:vAlign w:val="top"/>
          </w:tcPr>
          <w:p>
            <w:pPr>
              <w:tabs>
                <w:tab w:val="left" w:pos="0"/>
              </w:tabs>
              <w:spacing w:line="360" w:lineRule="auto"/>
              <w:rPr>
                <w:rFonts w:hint="eastAsia" w:ascii="宋体" w:hAnsi="宋体" w:eastAsia="宋体" w:cs="宋体"/>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894" w:type="dxa"/>
            <w:noWrap w:val="0"/>
            <w:vAlign w:val="top"/>
          </w:tcPr>
          <w:p>
            <w:pPr>
              <w:tabs>
                <w:tab w:val="left" w:pos="0"/>
              </w:tabs>
              <w:spacing w:line="360" w:lineRule="auto"/>
              <w:rPr>
                <w:rFonts w:hint="eastAsia" w:ascii="宋体" w:hAnsi="宋体" w:eastAsia="宋体" w:cs="宋体"/>
                <w:b w:val="0"/>
                <w:bCs w:val="0"/>
                <w:sz w:val="24"/>
                <w:szCs w:val="24"/>
                <w:highlight w:val="none"/>
              </w:rPr>
            </w:pPr>
          </w:p>
        </w:tc>
        <w:tc>
          <w:tcPr>
            <w:tcW w:w="1575" w:type="dxa"/>
            <w:noWrap w:val="0"/>
            <w:vAlign w:val="top"/>
          </w:tcPr>
          <w:p>
            <w:pPr>
              <w:tabs>
                <w:tab w:val="left" w:pos="0"/>
              </w:tabs>
              <w:spacing w:line="360" w:lineRule="auto"/>
              <w:rPr>
                <w:rFonts w:hint="eastAsia" w:ascii="宋体" w:hAnsi="宋体" w:eastAsia="宋体" w:cs="宋体"/>
                <w:b w:val="0"/>
                <w:bCs w:val="0"/>
                <w:sz w:val="24"/>
                <w:szCs w:val="24"/>
                <w:highlight w:val="none"/>
              </w:rPr>
            </w:pPr>
          </w:p>
        </w:tc>
        <w:tc>
          <w:tcPr>
            <w:tcW w:w="945" w:type="dxa"/>
            <w:noWrap w:val="0"/>
            <w:vAlign w:val="top"/>
          </w:tcPr>
          <w:p>
            <w:pPr>
              <w:tabs>
                <w:tab w:val="left" w:pos="0"/>
              </w:tabs>
              <w:spacing w:line="360" w:lineRule="auto"/>
              <w:rPr>
                <w:rFonts w:hint="eastAsia" w:ascii="宋体" w:hAnsi="宋体" w:eastAsia="宋体" w:cs="宋体"/>
                <w:b w:val="0"/>
                <w:bCs w:val="0"/>
                <w:sz w:val="24"/>
                <w:szCs w:val="24"/>
                <w:highlight w:val="none"/>
              </w:rPr>
            </w:pPr>
          </w:p>
        </w:tc>
        <w:tc>
          <w:tcPr>
            <w:tcW w:w="945" w:type="dxa"/>
            <w:noWrap w:val="0"/>
            <w:vAlign w:val="top"/>
          </w:tcPr>
          <w:p>
            <w:pPr>
              <w:tabs>
                <w:tab w:val="left" w:pos="0"/>
              </w:tabs>
              <w:spacing w:line="360" w:lineRule="auto"/>
              <w:rPr>
                <w:rFonts w:hint="eastAsia" w:ascii="宋体" w:hAnsi="宋体" w:eastAsia="宋体" w:cs="宋体"/>
                <w:b w:val="0"/>
                <w:bCs w:val="0"/>
                <w:sz w:val="24"/>
                <w:szCs w:val="24"/>
                <w:highlight w:val="none"/>
              </w:rPr>
            </w:pPr>
          </w:p>
        </w:tc>
        <w:tc>
          <w:tcPr>
            <w:tcW w:w="1050" w:type="dxa"/>
            <w:noWrap w:val="0"/>
            <w:vAlign w:val="top"/>
          </w:tcPr>
          <w:p>
            <w:pPr>
              <w:tabs>
                <w:tab w:val="left" w:pos="0"/>
              </w:tabs>
              <w:spacing w:line="360" w:lineRule="auto"/>
              <w:rPr>
                <w:rFonts w:hint="eastAsia" w:ascii="宋体" w:hAnsi="宋体" w:eastAsia="宋体" w:cs="宋体"/>
                <w:b w:val="0"/>
                <w:bCs w:val="0"/>
                <w:sz w:val="24"/>
                <w:szCs w:val="24"/>
                <w:highlight w:val="none"/>
              </w:rPr>
            </w:pPr>
          </w:p>
        </w:tc>
        <w:tc>
          <w:tcPr>
            <w:tcW w:w="1575" w:type="dxa"/>
            <w:noWrap w:val="0"/>
            <w:vAlign w:val="top"/>
          </w:tcPr>
          <w:p>
            <w:pPr>
              <w:tabs>
                <w:tab w:val="left" w:pos="0"/>
              </w:tabs>
              <w:spacing w:line="360" w:lineRule="auto"/>
              <w:rPr>
                <w:rFonts w:hint="eastAsia" w:ascii="宋体" w:hAnsi="宋体" w:eastAsia="宋体" w:cs="宋体"/>
                <w:b w:val="0"/>
                <w:bCs w:val="0"/>
                <w:sz w:val="24"/>
                <w:szCs w:val="24"/>
                <w:highlight w:val="none"/>
              </w:rPr>
            </w:pPr>
          </w:p>
        </w:tc>
        <w:tc>
          <w:tcPr>
            <w:tcW w:w="2193" w:type="dxa"/>
            <w:noWrap w:val="0"/>
            <w:vAlign w:val="top"/>
          </w:tcPr>
          <w:p>
            <w:pPr>
              <w:tabs>
                <w:tab w:val="left" w:pos="0"/>
              </w:tabs>
              <w:spacing w:line="360" w:lineRule="auto"/>
              <w:rPr>
                <w:rFonts w:hint="eastAsia" w:ascii="宋体" w:hAnsi="宋体" w:eastAsia="宋体" w:cs="宋体"/>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894" w:type="dxa"/>
            <w:noWrap w:val="0"/>
            <w:vAlign w:val="top"/>
          </w:tcPr>
          <w:p>
            <w:pPr>
              <w:tabs>
                <w:tab w:val="left" w:pos="0"/>
              </w:tabs>
              <w:spacing w:line="360" w:lineRule="auto"/>
              <w:rPr>
                <w:rFonts w:hint="eastAsia" w:ascii="宋体" w:hAnsi="宋体" w:eastAsia="宋体" w:cs="宋体"/>
                <w:b w:val="0"/>
                <w:bCs w:val="0"/>
                <w:sz w:val="24"/>
                <w:szCs w:val="24"/>
                <w:highlight w:val="none"/>
              </w:rPr>
            </w:pPr>
          </w:p>
        </w:tc>
        <w:tc>
          <w:tcPr>
            <w:tcW w:w="1575" w:type="dxa"/>
            <w:noWrap w:val="0"/>
            <w:vAlign w:val="top"/>
          </w:tcPr>
          <w:p>
            <w:pPr>
              <w:tabs>
                <w:tab w:val="left" w:pos="0"/>
              </w:tabs>
              <w:spacing w:line="360" w:lineRule="auto"/>
              <w:rPr>
                <w:rFonts w:hint="eastAsia" w:ascii="宋体" w:hAnsi="宋体" w:eastAsia="宋体" w:cs="宋体"/>
                <w:b w:val="0"/>
                <w:bCs w:val="0"/>
                <w:sz w:val="24"/>
                <w:szCs w:val="24"/>
                <w:highlight w:val="none"/>
              </w:rPr>
            </w:pPr>
          </w:p>
        </w:tc>
        <w:tc>
          <w:tcPr>
            <w:tcW w:w="945" w:type="dxa"/>
            <w:noWrap w:val="0"/>
            <w:vAlign w:val="top"/>
          </w:tcPr>
          <w:p>
            <w:pPr>
              <w:tabs>
                <w:tab w:val="left" w:pos="0"/>
              </w:tabs>
              <w:spacing w:line="360" w:lineRule="auto"/>
              <w:rPr>
                <w:rFonts w:hint="eastAsia" w:ascii="宋体" w:hAnsi="宋体" w:eastAsia="宋体" w:cs="宋体"/>
                <w:b w:val="0"/>
                <w:bCs w:val="0"/>
                <w:sz w:val="24"/>
                <w:szCs w:val="24"/>
                <w:highlight w:val="none"/>
              </w:rPr>
            </w:pPr>
          </w:p>
        </w:tc>
        <w:tc>
          <w:tcPr>
            <w:tcW w:w="945" w:type="dxa"/>
            <w:noWrap w:val="0"/>
            <w:vAlign w:val="top"/>
          </w:tcPr>
          <w:p>
            <w:pPr>
              <w:tabs>
                <w:tab w:val="left" w:pos="0"/>
              </w:tabs>
              <w:spacing w:line="360" w:lineRule="auto"/>
              <w:rPr>
                <w:rFonts w:hint="eastAsia" w:ascii="宋体" w:hAnsi="宋体" w:eastAsia="宋体" w:cs="宋体"/>
                <w:b w:val="0"/>
                <w:bCs w:val="0"/>
                <w:sz w:val="24"/>
                <w:szCs w:val="24"/>
                <w:highlight w:val="none"/>
              </w:rPr>
            </w:pPr>
          </w:p>
        </w:tc>
        <w:tc>
          <w:tcPr>
            <w:tcW w:w="1050" w:type="dxa"/>
            <w:noWrap w:val="0"/>
            <w:vAlign w:val="top"/>
          </w:tcPr>
          <w:p>
            <w:pPr>
              <w:tabs>
                <w:tab w:val="left" w:pos="0"/>
              </w:tabs>
              <w:spacing w:line="360" w:lineRule="auto"/>
              <w:rPr>
                <w:rFonts w:hint="eastAsia" w:ascii="宋体" w:hAnsi="宋体" w:eastAsia="宋体" w:cs="宋体"/>
                <w:b w:val="0"/>
                <w:bCs w:val="0"/>
                <w:sz w:val="24"/>
                <w:szCs w:val="24"/>
                <w:highlight w:val="none"/>
              </w:rPr>
            </w:pPr>
          </w:p>
        </w:tc>
        <w:tc>
          <w:tcPr>
            <w:tcW w:w="1575" w:type="dxa"/>
            <w:noWrap w:val="0"/>
            <w:vAlign w:val="top"/>
          </w:tcPr>
          <w:p>
            <w:pPr>
              <w:tabs>
                <w:tab w:val="left" w:pos="0"/>
              </w:tabs>
              <w:spacing w:line="360" w:lineRule="auto"/>
              <w:rPr>
                <w:rFonts w:hint="eastAsia" w:ascii="宋体" w:hAnsi="宋体" w:eastAsia="宋体" w:cs="宋体"/>
                <w:b w:val="0"/>
                <w:bCs w:val="0"/>
                <w:sz w:val="24"/>
                <w:szCs w:val="24"/>
                <w:highlight w:val="none"/>
              </w:rPr>
            </w:pPr>
          </w:p>
        </w:tc>
        <w:tc>
          <w:tcPr>
            <w:tcW w:w="2193" w:type="dxa"/>
            <w:noWrap w:val="0"/>
            <w:vAlign w:val="top"/>
          </w:tcPr>
          <w:p>
            <w:pPr>
              <w:tabs>
                <w:tab w:val="left" w:pos="0"/>
              </w:tabs>
              <w:spacing w:line="360" w:lineRule="auto"/>
              <w:rPr>
                <w:rFonts w:hint="eastAsia" w:ascii="宋体" w:hAnsi="宋体" w:eastAsia="宋体" w:cs="宋体"/>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894" w:type="dxa"/>
            <w:noWrap w:val="0"/>
            <w:vAlign w:val="top"/>
          </w:tcPr>
          <w:p>
            <w:pPr>
              <w:tabs>
                <w:tab w:val="left" w:pos="0"/>
              </w:tabs>
              <w:spacing w:line="360" w:lineRule="auto"/>
              <w:rPr>
                <w:rFonts w:hint="eastAsia" w:ascii="宋体" w:hAnsi="宋体" w:eastAsia="宋体" w:cs="宋体"/>
                <w:b w:val="0"/>
                <w:bCs w:val="0"/>
                <w:sz w:val="24"/>
                <w:szCs w:val="24"/>
                <w:highlight w:val="none"/>
              </w:rPr>
            </w:pPr>
          </w:p>
        </w:tc>
        <w:tc>
          <w:tcPr>
            <w:tcW w:w="1575" w:type="dxa"/>
            <w:noWrap w:val="0"/>
            <w:vAlign w:val="top"/>
          </w:tcPr>
          <w:p>
            <w:pPr>
              <w:tabs>
                <w:tab w:val="left" w:pos="0"/>
              </w:tabs>
              <w:spacing w:line="360" w:lineRule="auto"/>
              <w:rPr>
                <w:rFonts w:hint="eastAsia" w:ascii="宋体" w:hAnsi="宋体" w:eastAsia="宋体" w:cs="宋体"/>
                <w:b w:val="0"/>
                <w:bCs w:val="0"/>
                <w:sz w:val="24"/>
                <w:szCs w:val="24"/>
                <w:highlight w:val="none"/>
              </w:rPr>
            </w:pPr>
          </w:p>
        </w:tc>
        <w:tc>
          <w:tcPr>
            <w:tcW w:w="945" w:type="dxa"/>
            <w:noWrap w:val="0"/>
            <w:vAlign w:val="top"/>
          </w:tcPr>
          <w:p>
            <w:pPr>
              <w:tabs>
                <w:tab w:val="left" w:pos="0"/>
              </w:tabs>
              <w:spacing w:line="360" w:lineRule="auto"/>
              <w:rPr>
                <w:rFonts w:hint="eastAsia" w:ascii="宋体" w:hAnsi="宋体" w:eastAsia="宋体" w:cs="宋体"/>
                <w:b w:val="0"/>
                <w:bCs w:val="0"/>
                <w:sz w:val="24"/>
                <w:szCs w:val="24"/>
                <w:highlight w:val="none"/>
              </w:rPr>
            </w:pPr>
          </w:p>
        </w:tc>
        <w:tc>
          <w:tcPr>
            <w:tcW w:w="945" w:type="dxa"/>
            <w:noWrap w:val="0"/>
            <w:vAlign w:val="top"/>
          </w:tcPr>
          <w:p>
            <w:pPr>
              <w:tabs>
                <w:tab w:val="left" w:pos="0"/>
              </w:tabs>
              <w:spacing w:line="360" w:lineRule="auto"/>
              <w:rPr>
                <w:rFonts w:hint="eastAsia" w:ascii="宋体" w:hAnsi="宋体" w:eastAsia="宋体" w:cs="宋体"/>
                <w:b w:val="0"/>
                <w:bCs w:val="0"/>
                <w:sz w:val="24"/>
                <w:szCs w:val="24"/>
                <w:highlight w:val="none"/>
              </w:rPr>
            </w:pPr>
          </w:p>
        </w:tc>
        <w:tc>
          <w:tcPr>
            <w:tcW w:w="1050" w:type="dxa"/>
            <w:noWrap w:val="0"/>
            <w:vAlign w:val="top"/>
          </w:tcPr>
          <w:p>
            <w:pPr>
              <w:tabs>
                <w:tab w:val="left" w:pos="0"/>
              </w:tabs>
              <w:spacing w:line="360" w:lineRule="auto"/>
              <w:rPr>
                <w:rFonts w:hint="eastAsia" w:ascii="宋体" w:hAnsi="宋体" w:eastAsia="宋体" w:cs="宋体"/>
                <w:b w:val="0"/>
                <w:bCs w:val="0"/>
                <w:sz w:val="24"/>
                <w:szCs w:val="24"/>
                <w:highlight w:val="none"/>
              </w:rPr>
            </w:pPr>
          </w:p>
        </w:tc>
        <w:tc>
          <w:tcPr>
            <w:tcW w:w="1575" w:type="dxa"/>
            <w:noWrap w:val="0"/>
            <w:vAlign w:val="top"/>
          </w:tcPr>
          <w:p>
            <w:pPr>
              <w:tabs>
                <w:tab w:val="left" w:pos="0"/>
              </w:tabs>
              <w:spacing w:line="360" w:lineRule="auto"/>
              <w:rPr>
                <w:rFonts w:hint="eastAsia" w:ascii="宋体" w:hAnsi="宋体" w:eastAsia="宋体" w:cs="宋体"/>
                <w:b w:val="0"/>
                <w:bCs w:val="0"/>
                <w:sz w:val="24"/>
                <w:szCs w:val="24"/>
                <w:highlight w:val="none"/>
              </w:rPr>
            </w:pPr>
          </w:p>
        </w:tc>
        <w:tc>
          <w:tcPr>
            <w:tcW w:w="2193" w:type="dxa"/>
            <w:noWrap w:val="0"/>
            <w:vAlign w:val="top"/>
          </w:tcPr>
          <w:p>
            <w:pPr>
              <w:tabs>
                <w:tab w:val="left" w:pos="0"/>
              </w:tabs>
              <w:spacing w:line="360" w:lineRule="auto"/>
              <w:rPr>
                <w:rFonts w:hint="eastAsia" w:ascii="宋体" w:hAnsi="宋体" w:eastAsia="宋体" w:cs="宋体"/>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894" w:type="dxa"/>
            <w:noWrap w:val="0"/>
            <w:vAlign w:val="top"/>
          </w:tcPr>
          <w:p>
            <w:pPr>
              <w:tabs>
                <w:tab w:val="left" w:pos="0"/>
              </w:tabs>
              <w:spacing w:line="360" w:lineRule="auto"/>
              <w:rPr>
                <w:rFonts w:hint="eastAsia" w:ascii="宋体" w:hAnsi="宋体" w:eastAsia="宋体" w:cs="宋体"/>
                <w:b w:val="0"/>
                <w:bCs w:val="0"/>
                <w:sz w:val="24"/>
                <w:szCs w:val="24"/>
                <w:highlight w:val="none"/>
              </w:rPr>
            </w:pPr>
          </w:p>
        </w:tc>
        <w:tc>
          <w:tcPr>
            <w:tcW w:w="1575" w:type="dxa"/>
            <w:noWrap w:val="0"/>
            <w:vAlign w:val="top"/>
          </w:tcPr>
          <w:p>
            <w:pPr>
              <w:tabs>
                <w:tab w:val="left" w:pos="0"/>
              </w:tabs>
              <w:spacing w:line="360" w:lineRule="auto"/>
              <w:rPr>
                <w:rFonts w:hint="eastAsia" w:ascii="宋体" w:hAnsi="宋体" w:eastAsia="宋体" w:cs="宋体"/>
                <w:b w:val="0"/>
                <w:bCs w:val="0"/>
                <w:sz w:val="24"/>
                <w:szCs w:val="24"/>
                <w:highlight w:val="none"/>
              </w:rPr>
            </w:pPr>
          </w:p>
        </w:tc>
        <w:tc>
          <w:tcPr>
            <w:tcW w:w="945" w:type="dxa"/>
            <w:noWrap w:val="0"/>
            <w:vAlign w:val="top"/>
          </w:tcPr>
          <w:p>
            <w:pPr>
              <w:tabs>
                <w:tab w:val="left" w:pos="0"/>
              </w:tabs>
              <w:spacing w:line="360" w:lineRule="auto"/>
              <w:rPr>
                <w:rFonts w:hint="eastAsia" w:ascii="宋体" w:hAnsi="宋体" w:eastAsia="宋体" w:cs="宋体"/>
                <w:b w:val="0"/>
                <w:bCs w:val="0"/>
                <w:sz w:val="24"/>
                <w:szCs w:val="24"/>
                <w:highlight w:val="none"/>
              </w:rPr>
            </w:pPr>
          </w:p>
        </w:tc>
        <w:tc>
          <w:tcPr>
            <w:tcW w:w="945" w:type="dxa"/>
            <w:noWrap w:val="0"/>
            <w:vAlign w:val="top"/>
          </w:tcPr>
          <w:p>
            <w:pPr>
              <w:tabs>
                <w:tab w:val="left" w:pos="0"/>
              </w:tabs>
              <w:spacing w:line="360" w:lineRule="auto"/>
              <w:rPr>
                <w:rFonts w:hint="eastAsia" w:ascii="宋体" w:hAnsi="宋体" w:eastAsia="宋体" w:cs="宋体"/>
                <w:b w:val="0"/>
                <w:bCs w:val="0"/>
                <w:sz w:val="24"/>
                <w:szCs w:val="24"/>
                <w:highlight w:val="none"/>
              </w:rPr>
            </w:pPr>
          </w:p>
        </w:tc>
        <w:tc>
          <w:tcPr>
            <w:tcW w:w="1050" w:type="dxa"/>
            <w:noWrap w:val="0"/>
            <w:vAlign w:val="top"/>
          </w:tcPr>
          <w:p>
            <w:pPr>
              <w:tabs>
                <w:tab w:val="left" w:pos="0"/>
              </w:tabs>
              <w:spacing w:line="360" w:lineRule="auto"/>
              <w:rPr>
                <w:rFonts w:hint="eastAsia" w:ascii="宋体" w:hAnsi="宋体" w:eastAsia="宋体" w:cs="宋体"/>
                <w:b w:val="0"/>
                <w:bCs w:val="0"/>
                <w:sz w:val="24"/>
                <w:szCs w:val="24"/>
                <w:highlight w:val="none"/>
              </w:rPr>
            </w:pPr>
          </w:p>
        </w:tc>
        <w:tc>
          <w:tcPr>
            <w:tcW w:w="1575" w:type="dxa"/>
            <w:noWrap w:val="0"/>
            <w:vAlign w:val="top"/>
          </w:tcPr>
          <w:p>
            <w:pPr>
              <w:tabs>
                <w:tab w:val="left" w:pos="0"/>
              </w:tabs>
              <w:spacing w:line="360" w:lineRule="auto"/>
              <w:rPr>
                <w:rFonts w:hint="eastAsia" w:ascii="宋体" w:hAnsi="宋体" w:eastAsia="宋体" w:cs="宋体"/>
                <w:b w:val="0"/>
                <w:bCs w:val="0"/>
                <w:sz w:val="24"/>
                <w:szCs w:val="24"/>
                <w:highlight w:val="none"/>
              </w:rPr>
            </w:pPr>
          </w:p>
        </w:tc>
        <w:tc>
          <w:tcPr>
            <w:tcW w:w="2193" w:type="dxa"/>
            <w:noWrap w:val="0"/>
            <w:vAlign w:val="top"/>
          </w:tcPr>
          <w:p>
            <w:pPr>
              <w:tabs>
                <w:tab w:val="left" w:pos="0"/>
              </w:tabs>
              <w:spacing w:line="360" w:lineRule="auto"/>
              <w:rPr>
                <w:rFonts w:hint="eastAsia" w:ascii="宋体" w:hAnsi="宋体" w:eastAsia="宋体" w:cs="宋体"/>
                <w:b w:val="0"/>
                <w:bCs w:val="0"/>
                <w:sz w:val="24"/>
                <w:szCs w:val="24"/>
                <w:highlight w:val="none"/>
              </w:rPr>
            </w:pPr>
          </w:p>
        </w:tc>
      </w:tr>
    </w:tbl>
    <w:p>
      <w:pPr>
        <w:spacing w:line="360" w:lineRule="auto"/>
        <w:ind w:firstLine="470" w:firstLineChars="196"/>
        <w:rPr>
          <w:rFonts w:hint="eastAsia" w:ascii="宋体" w:hAnsi="宋体" w:eastAsia="宋体" w:cs="宋体"/>
          <w:b w:val="0"/>
          <w:bCs w:val="0"/>
          <w:sz w:val="24"/>
          <w:szCs w:val="24"/>
          <w:highlight w:val="none"/>
        </w:rPr>
      </w:pPr>
      <w:r>
        <w:rPr>
          <w:rFonts w:hint="eastAsia" w:ascii="宋体" w:hAnsi="宋体" w:eastAsia="宋体" w:cs="宋体"/>
          <w:b w:val="0"/>
          <w:bCs w:val="0"/>
          <w:color w:val="auto"/>
          <w:sz w:val="24"/>
          <w:szCs w:val="24"/>
          <w:highlight w:val="none"/>
        </w:rPr>
        <w:t>注：</w:t>
      </w:r>
      <w:r>
        <w:rPr>
          <w:rFonts w:hint="eastAsia" w:ascii="宋体" w:hAnsi="宋体" w:eastAsia="宋体" w:cs="宋体"/>
          <w:b w:val="0"/>
          <w:bCs w:val="0"/>
          <w:sz w:val="24"/>
          <w:szCs w:val="24"/>
          <w:highlight w:val="none"/>
        </w:rPr>
        <w:t>1.本表须附身份证、社会保险缴纳证明、学历证、注册证、职称、试验检测资格等证书复印件并加盖公章。</w:t>
      </w:r>
    </w:p>
    <w:p>
      <w:pPr>
        <w:spacing w:line="360" w:lineRule="auto"/>
        <w:ind w:firstLine="470" w:firstLineChars="196"/>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2.所有试验检测人员资格证书，需在《公路水运工程试验检测管理信息系统》（www.jtsyjc.net）中能够有效查询，附截图。</w:t>
      </w:r>
    </w:p>
    <w:p>
      <w:pPr>
        <w:spacing w:line="360" w:lineRule="auto"/>
        <w:ind w:firstLine="470" w:firstLineChars="196"/>
        <w:rPr>
          <w:rFonts w:hint="eastAsia" w:ascii="宋体" w:hAnsi="宋体" w:eastAsia="宋体" w:cs="宋体"/>
          <w:b w:val="0"/>
          <w:bCs w:val="0"/>
          <w:color w:val="auto"/>
          <w:sz w:val="24"/>
          <w:szCs w:val="24"/>
          <w:highlight w:val="none"/>
          <w:lang w:val="en-US"/>
        </w:rPr>
      </w:pPr>
    </w:p>
    <w:p>
      <w:pPr>
        <w:spacing w:line="480" w:lineRule="auto"/>
        <w:ind w:firstLine="3600" w:firstLineChars="1500"/>
        <w:rPr>
          <w:rFonts w:hint="eastAsia" w:ascii="宋体" w:hAnsi="宋体" w:eastAsia="宋体" w:cs="宋体"/>
          <w:sz w:val="24"/>
          <w:szCs w:val="24"/>
          <w:highlight w:val="none"/>
        </w:rPr>
      </w:pPr>
      <w:r>
        <w:rPr>
          <w:rFonts w:hint="eastAsia" w:ascii="宋体" w:hAnsi="宋体" w:eastAsia="宋体" w:cs="宋体"/>
          <w:sz w:val="24"/>
          <w:szCs w:val="24"/>
          <w:highlight w:val="none"/>
        </w:rPr>
        <w:t>供应商名称：</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（盖章）</w:t>
      </w:r>
    </w:p>
    <w:p>
      <w:pPr>
        <w:spacing w:line="360" w:lineRule="auto"/>
        <w:ind w:firstLine="3600" w:firstLineChars="1500"/>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w:t>
      </w:r>
    </w:p>
    <w:p>
      <w:pPr>
        <w:spacing w:line="360" w:lineRule="auto"/>
        <w:ind w:firstLine="3600" w:firstLineChars="1500"/>
        <w:rPr>
          <w:rFonts w:hint="eastAsia" w:ascii="宋体" w:hAnsi="宋体" w:eastAsia="宋体" w:cs="宋体"/>
          <w:sz w:val="24"/>
          <w:szCs w:val="24"/>
          <w:highlight w:val="none"/>
        </w:rPr>
      </w:pPr>
      <w:r>
        <w:rPr>
          <w:rFonts w:hint="eastAsia" w:ascii="宋体" w:hAnsi="宋体" w:eastAsia="宋体" w:cs="宋体"/>
          <w:sz w:val="24"/>
          <w:szCs w:val="24"/>
          <w:highlight w:val="none"/>
        </w:rPr>
        <w:t>或委托代理人：</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w:t>
      </w:r>
      <w:r>
        <w:rPr>
          <w:rFonts w:hint="eastAsia" w:ascii="宋体" w:hAnsi="宋体" w:cs="宋体"/>
          <w:sz w:val="24"/>
          <w:szCs w:val="24"/>
          <w:highlight w:val="none"/>
        </w:rPr>
        <w:t>签字或盖章</w:t>
      </w:r>
      <w:r>
        <w:rPr>
          <w:rFonts w:hint="eastAsia" w:ascii="宋体" w:hAnsi="宋体" w:eastAsia="宋体" w:cs="宋体"/>
          <w:sz w:val="24"/>
          <w:szCs w:val="24"/>
          <w:highlight w:val="none"/>
        </w:rPr>
        <w:t>)</w:t>
      </w:r>
    </w:p>
    <w:p>
      <w:pPr>
        <w:ind w:firstLine="3600" w:firstLineChars="1500"/>
        <w:rPr>
          <w:rFonts w:hint="eastAsia" w:ascii="宋体" w:hAnsi="宋体" w:eastAsia="宋体" w:cs="宋体"/>
          <w:b/>
          <w:bCs/>
          <w:sz w:val="24"/>
          <w:szCs w:val="24"/>
          <w:highlight w:val="none"/>
        </w:rPr>
      </w:pPr>
      <w:r>
        <w:rPr>
          <w:rFonts w:hint="eastAsia" w:ascii="宋体" w:hAnsi="宋体" w:eastAsia="宋体" w:cs="宋体"/>
          <w:sz w:val="24"/>
          <w:szCs w:val="24"/>
          <w:highlight w:val="none"/>
        </w:rPr>
        <w:t>日        期：</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日</w:t>
      </w:r>
    </w:p>
    <w:p>
      <w:pPr>
        <w:overflowPunct w:val="0"/>
        <w:spacing w:line="360" w:lineRule="auto"/>
        <w:jc w:val="both"/>
        <w:outlineLvl w:val="1"/>
        <w:rPr>
          <w:rFonts w:ascii="宋体" w:hAnsi="宋体" w:cs="宋体"/>
          <w:sz w:val="24"/>
          <w:highlight w:val="none"/>
        </w:rPr>
      </w:pPr>
    </w:p>
    <w:p>
      <w:pPr>
        <w:spacing w:line="360" w:lineRule="auto"/>
        <w:jc w:val="center"/>
        <w:rPr>
          <w:rFonts w:hint="eastAsia" w:ascii="宋体" w:hAnsi="宋体" w:eastAsia="宋体" w:cs="宋体"/>
          <w:b/>
          <w:bCs/>
          <w:sz w:val="28"/>
          <w:szCs w:val="28"/>
          <w:highlight w:val="none"/>
        </w:rPr>
      </w:pPr>
      <w:bookmarkStart w:id="120" w:name="_Toc10437"/>
      <w:r>
        <w:rPr>
          <w:rFonts w:hint="eastAsia" w:ascii="宋体" w:hAnsi="宋体" w:eastAsia="宋体" w:cs="宋体"/>
          <w:b/>
          <w:bCs/>
          <w:sz w:val="28"/>
          <w:szCs w:val="28"/>
          <w:highlight w:val="none"/>
          <w:lang w:val="en-US" w:eastAsia="zh-CN"/>
        </w:rPr>
        <w:t>4、</w:t>
      </w:r>
      <w:r>
        <w:rPr>
          <w:rFonts w:hint="eastAsia" w:ascii="宋体" w:hAnsi="宋体" w:eastAsia="宋体" w:cs="宋体"/>
          <w:b/>
          <w:bCs/>
          <w:sz w:val="28"/>
          <w:szCs w:val="28"/>
          <w:highlight w:val="none"/>
        </w:rPr>
        <w:t>拟投入关键仪器、设备</w:t>
      </w:r>
    </w:p>
    <w:tbl>
      <w:tblPr>
        <w:tblStyle w:val="23"/>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5"/>
        <w:gridCol w:w="3595"/>
        <w:gridCol w:w="1666"/>
        <w:gridCol w:w="1554"/>
        <w:gridCol w:w="1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71" w:type="pct"/>
            <w:vAlign w:val="center"/>
          </w:tcPr>
          <w:p>
            <w:pPr>
              <w:spacing w:line="300" w:lineRule="auto"/>
              <w:jc w:val="center"/>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序号</w:t>
            </w:r>
          </w:p>
        </w:tc>
        <w:tc>
          <w:tcPr>
            <w:tcW w:w="1936" w:type="pct"/>
            <w:vAlign w:val="center"/>
          </w:tcPr>
          <w:p>
            <w:pPr>
              <w:spacing w:line="300" w:lineRule="auto"/>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仪器及设备名称</w:t>
            </w:r>
          </w:p>
        </w:tc>
        <w:tc>
          <w:tcPr>
            <w:tcW w:w="897" w:type="pct"/>
            <w:vAlign w:val="center"/>
          </w:tcPr>
          <w:p>
            <w:pPr>
              <w:spacing w:line="300" w:lineRule="auto"/>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设备型号</w:t>
            </w:r>
          </w:p>
        </w:tc>
        <w:tc>
          <w:tcPr>
            <w:tcW w:w="837" w:type="pct"/>
            <w:vAlign w:val="center"/>
          </w:tcPr>
          <w:p>
            <w:pPr>
              <w:spacing w:line="300" w:lineRule="auto"/>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拟投入设备数量</w:t>
            </w:r>
          </w:p>
        </w:tc>
        <w:tc>
          <w:tcPr>
            <w:tcW w:w="857" w:type="pct"/>
            <w:vAlign w:val="center"/>
          </w:tcPr>
          <w:p>
            <w:pPr>
              <w:spacing w:line="300" w:lineRule="auto"/>
              <w:jc w:val="center"/>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lang w:val="en-US" w:eastAsia="zh-CN"/>
              </w:rPr>
              <w:t>最低数量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71" w:type="pct"/>
            <w:vAlign w:val="center"/>
          </w:tcPr>
          <w:p>
            <w:pPr>
              <w:spacing w:line="300" w:lineRule="auto"/>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w:t>
            </w:r>
          </w:p>
        </w:tc>
        <w:tc>
          <w:tcPr>
            <w:tcW w:w="1936" w:type="pct"/>
            <w:vAlign w:val="center"/>
          </w:tcPr>
          <w:p>
            <w:pPr>
              <w:spacing w:line="30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桥梁检测作业车</w:t>
            </w:r>
          </w:p>
        </w:tc>
        <w:tc>
          <w:tcPr>
            <w:tcW w:w="897" w:type="pct"/>
            <w:vAlign w:val="center"/>
          </w:tcPr>
          <w:p>
            <w:pPr>
              <w:spacing w:line="300" w:lineRule="auto"/>
              <w:jc w:val="center"/>
              <w:rPr>
                <w:rFonts w:hint="eastAsia" w:ascii="宋体" w:hAnsi="宋体" w:eastAsia="宋体" w:cs="宋体"/>
                <w:sz w:val="24"/>
                <w:szCs w:val="24"/>
                <w:highlight w:val="none"/>
              </w:rPr>
            </w:pPr>
          </w:p>
        </w:tc>
        <w:tc>
          <w:tcPr>
            <w:tcW w:w="837" w:type="pct"/>
            <w:vAlign w:val="center"/>
          </w:tcPr>
          <w:p>
            <w:pPr>
              <w:spacing w:line="300" w:lineRule="auto"/>
              <w:jc w:val="center"/>
              <w:rPr>
                <w:rFonts w:hint="eastAsia" w:ascii="宋体" w:hAnsi="宋体" w:eastAsia="宋体" w:cs="宋体"/>
                <w:sz w:val="24"/>
                <w:szCs w:val="24"/>
                <w:highlight w:val="none"/>
              </w:rPr>
            </w:pPr>
          </w:p>
        </w:tc>
        <w:tc>
          <w:tcPr>
            <w:tcW w:w="857" w:type="pct"/>
            <w:vAlign w:val="center"/>
          </w:tcPr>
          <w:p>
            <w:pPr>
              <w:spacing w:line="300" w:lineRule="auto"/>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71" w:type="pct"/>
            <w:vAlign w:val="center"/>
          </w:tcPr>
          <w:p>
            <w:pPr>
              <w:spacing w:line="300" w:lineRule="auto"/>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w:t>
            </w:r>
          </w:p>
        </w:tc>
        <w:tc>
          <w:tcPr>
            <w:tcW w:w="1936" w:type="pct"/>
            <w:vAlign w:val="center"/>
          </w:tcPr>
          <w:p>
            <w:pPr>
              <w:spacing w:line="300" w:lineRule="auto"/>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钢筋位置/保护层厚度测试仪</w:t>
            </w:r>
          </w:p>
        </w:tc>
        <w:tc>
          <w:tcPr>
            <w:tcW w:w="897" w:type="pct"/>
            <w:vAlign w:val="center"/>
          </w:tcPr>
          <w:p>
            <w:pPr>
              <w:spacing w:line="300" w:lineRule="auto"/>
              <w:jc w:val="center"/>
              <w:rPr>
                <w:rFonts w:hint="eastAsia" w:ascii="宋体" w:hAnsi="宋体" w:eastAsia="宋体" w:cs="宋体"/>
                <w:sz w:val="24"/>
                <w:szCs w:val="24"/>
                <w:highlight w:val="none"/>
              </w:rPr>
            </w:pPr>
          </w:p>
        </w:tc>
        <w:tc>
          <w:tcPr>
            <w:tcW w:w="837" w:type="pct"/>
            <w:vAlign w:val="center"/>
          </w:tcPr>
          <w:p>
            <w:pPr>
              <w:spacing w:line="300" w:lineRule="auto"/>
              <w:jc w:val="center"/>
              <w:rPr>
                <w:rFonts w:hint="eastAsia" w:ascii="宋体" w:hAnsi="宋体" w:eastAsia="宋体" w:cs="宋体"/>
                <w:sz w:val="24"/>
                <w:szCs w:val="24"/>
                <w:highlight w:val="none"/>
              </w:rPr>
            </w:pPr>
          </w:p>
        </w:tc>
        <w:tc>
          <w:tcPr>
            <w:tcW w:w="857" w:type="pct"/>
            <w:vAlign w:val="center"/>
          </w:tcPr>
          <w:p>
            <w:pPr>
              <w:spacing w:line="30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71" w:type="pct"/>
            <w:vAlign w:val="center"/>
          </w:tcPr>
          <w:p>
            <w:pPr>
              <w:spacing w:line="300" w:lineRule="auto"/>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w:t>
            </w:r>
          </w:p>
        </w:tc>
        <w:tc>
          <w:tcPr>
            <w:tcW w:w="1936" w:type="pct"/>
            <w:vAlign w:val="center"/>
          </w:tcPr>
          <w:p>
            <w:pPr>
              <w:spacing w:line="30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钢筋锈蚀测定仪</w:t>
            </w:r>
          </w:p>
        </w:tc>
        <w:tc>
          <w:tcPr>
            <w:tcW w:w="897" w:type="pct"/>
            <w:vAlign w:val="center"/>
          </w:tcPr>
          <w:p>
            <w:pPr>
              <w:spacing w:line="300" w:lineRule="auto"/>
              <w:jc w:val="center"/>
              <w:rPr>
                <w:rFonts w:hint="eastAsia" w:ascii="宋体" w:hAnsi="宋体" w:eastAsia="宋体" w:cs="宋体"/>
                <w:sz w:val="24"/>
                <w:szCs w:val="24"/>
                <w:highlight w:val="none"/>
              </w:rPr>
            </w:pPr>
          </w:p>
        </w:tc>
        <w:tc>
          <w:tcPr>
            <w:tcW w:w="837" w:type="pct"/>
            <w:vAlign w:val="center"/>
          </w:tcPr>
          <w:p>
            <w:pPr>
              <w:spacing w:line="300" w:lineRule="auto"/>
              <w:jc w:val="center"/>
              <w:rPr>
                <w:rFonts w:hint="eastAsia" w:ascii="宋体" w:hAnsi="宋体" w:eastAsia="宋体" w:cs="宋体"/>
                <w:sz w:val="24"/>
                <w:szCs w:val="24"/>
                <w:highlight w:val="none"/>
              </w:rPr>
            </w:pPr>
          </w:p>
        </w:tc>
        <w:tc>
          <w:tcPr>
            <w:tcW w:w="857" w:type="pct"/>
            <w:vAlign w:val="center"/>
          </w:tcPr>
          <w:p>
            <w:pPr>
              <w:spacing w:line="30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71" w:type="pct"/>
            <w:vAlign w:val="center"/>
          </w:tcPr>
          <w:p>
            <w:pPr>
              <w:spacing w:line="300" w:lineRule="auto"/>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w:t>
            </w:r>
          </w:p>
        </w:tc>
        <w:tc>
          <w:tcPr>
            <w:tcW w:w="1936" w:type="pct"/>
            <w:vAlign w:val="center"/>
          </w:tcPr>
          <w:p>
            <w:pPr>
              <w:spacing w:line="30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非金属超声波检测仪</w:t>
            </w:r>
          </w:p>
        </w:tc>
        <w:tc>
          <w:tcPr>
            <w:tcW w:w="897" w:type="pct"/>
            <w:vAlign w:val="center"/>
          </w:tcPr>
          <w:p>
            <w:pPr>
              <w:spacing w:line="300" w:lineRule="auto"/>
              <w:jc w:val="center"/>
              <w:rPr>
                <w:rFonts w:hint="eastAsia" w:ascii="宋体" w:hAnsi="宋体" w:eastAsia="宋体" w:cs="宋体"/>
                <w:sz w:val="24"/>
                <w:szCs w:val="24"/>
                <w:highlight w:val="none"/>
              </w:rPr>
            </w:pPr>
          </w:p>
        </w:tc>
        <w:tc>
          <w:tcPr>
            <w:tcW w:w="837" w:type="pct"/>
            <w:vAlign w:val="center"/>
          </w:tcPr>
          <w:p>
            <w:pPr>
              <w:spacing w:line="300" w:lineRule="auto"/>
              <w:jc w:val="center"/>
              <w:rPr>
                <w:rFonts w:hint="eastAsia" w:ascii="宋体" w:hAnsi="宋体" w:eastAsia="宋体" w:cs="宋体"/>
                <w:sz w:val="24"/>
                <w:szCs w:val="24"/>
                <w:highlight w:val="none"/>
              </w:rPr>
            </w:pPr>
          </w:p>
        </w:tc>
        <w:tc>
          <w:tcPr>
            <w:tcW w:w="857" w:type="pct"/>
            <w:vAlign w:val="center"/>
          </w:tcPr>
          <w:p>
            <w:pPr>
              <w:spacing w:line="30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71" w:type="pct"/>
            <w:vAlign w:val="center"/>
          </w:tcPr>
          <w:p>
            <w:pPr>
              <w:spacing w:line="300" w:lineRule="auto"/>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w:t>
            </w:r>
          </w:p>
        </w:tc>
        <w:tc>
          <w:tcPr>
            <w:tcW w:w="1936" w:type="pct"/>
            <w:vAlign w:val="center"/>
          </w:tcPr>
          <w:p>
            <w:pPr>
              <w:spacing w:line="300" w:lineRule="auto"/>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裂缝宽度（深度）观测仪</w:t>
            </w:r>
          </w:p>
        </w:tc>
        <w:tc>
          <w:tcPr>
            <w:tcW w:w="897" w:type="pct"/>
            <w:vAlign w:val="center"/>
          </w:tcPr>
          <w:p>
            <w:pPr>
              <w:spacing w:line="300" w:lineRule="auto"/>
              <w:jc w:val="center"/>
              <w:rPr>
                <w:rFonts w:hint="eastAsia" w:ascii="宋体" w:hAnsi="宋体" w:eastAsia="宋体" w:cs="宋体"/>
                <w:sz w:val="24"/>
                <w:szCs w:val="24"/>
                <w:highlight w:val="none"/>
              </w:rPr>
            </w:pPr>
          </w:p>
        </w:tc>
        <w:tc>
          <w:tcPr>
            <w:tcW w:w="837" w:type="pct"/>
            <w:vAlign w:val="center"/>
          </w:tcPr>
          <w:p>
            <w:pPr>
              <w:spacing w:line="300" w:lineRule="auto"/>
              <w:jc w:val="center"/>
              <w:rPr>
                <w:rFonts w:hint="eastAsia" w:ascii="宋体" w:hAnsi="宋体" w:eastAsia="宋体" w:cs="宋体"/>
                <w:sz w:val="24"/>
                <w:szCs w:val="24"/>
                <w:highlight w:val="none"/>
              </w:rPr>
            </w:pPr>
          </w:p>
        </w:tc>
        <w:tc>
          <w:tcPr>
            <w:tcW w:w="857" w:type="pct"/>
            <w:vAlign w:val="center"/>
          </w:tcPr>
          <w:p>
            <w:pPr>
              <w:spacing w:line="30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3台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71" w:type="pct"/>
            <w:vAlign w:val="center"/>
          </w:tcPr>
          <w:p>
            <w:pPr>
              <w:spacing w:line="300" w:lineRule="auto"/>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w:t>
            </w:r>
          </w:p>
        </w:tc>
        <w:tc>
          <w:tcPr>
            <w:tcW w:w="1936" w:type="pct"/>
            <w:vAlign w:val="center"/>
          </w:tcPr>
          <w:p>
            <w:pPr>
              <w:spacing w:line="30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混凝土回弹仪</w:t>
            </w:r>
          </w:p>
        </w:tc>
        <w:tc>
          <w:tcPr>
            <w:tcW w:w="897" w:type="pct"/>
            <w:vAlign w:val="center"/>
          </w:tcPr>
          <w:p>
            <w:pPr>
              <w:spacing w:line="300" w:lineRule="auto"/>
              <w:jc w:val="center"/>
              <w:rPr>
                <w:rFonts w:hint="eastAsia" w:ascii="宋体" w:hAnsi="宋体" w:eastAsia="宋体" w:cs="宋体"/>
                <w:sz w:val="24"/>
                <w:szCs w:val="24"/>
                <w:highlight w:val="none"/>
              </w:rPr>
            </w:pPr>
          </w:p>
        </w:tc>
        <w:tc>
          <w:tcPr>
            <w:tcW w:w="837" w:type="pct"/>
            <w:vAlign w:val="center"/>
          </w:tcPr>
          <w:p>
            <w:pPr>
              <w:spacing w:line="300" w:lineRule="auto"/>
              <w:jc w:val="center"/>
              <w:rPr>
                <w:rFonts w:hint="eastAsia" w:ascii="宋体" w:hAnsi="宋体" w:eastAsia="宋体" w:cs="宋体"/>
                <w:sz w:val="24"/>
                <w:szCs w:val="24"/>
                <w:highlight w:val="none"/>
              </w:rPr>
            </w:pPr>
          </w:p>
        </w:tc>
        <w:tc>
          <w:tcPr>
            <w:tcW w:w="857" w:type="pct"/>
            <w:vAlign w:val="center"/>
          </w:tcPr>
          <w:p>
            <w:pPr>
              <w:spacing w:line="30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71" w:type="pct"/>
            <w:vAlign w:val="center"/>
          </w:tcPr>
          <w:p>
            <w:pPr>
              <w:spacing w:line="300" w:lineRule="auto"/>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w:t>
            </w:r>
          </w:p>
        </w:tc>
        <w:tc>
          <w:tcPr>
            <w:tcW w:w="1936" w:type="pct"/>
            <w:vAlign w:val="center"/>
          </w:tcPr>
          <w:p>
            <w:pPr>
              <w:spacing w:line="30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混凝土碳化测试仪</w:t>
            </w:r>
          </w:p>
        </w:tc>
        <w:tc>
          <w:tcPr>
            <w:tcW w:w="897" w:type="pct"/>
            <w:vAlign w:val="center"/>
          </w:tcPr>
          <w:p>
            <w:pPr>
              <w:spacing w:line="300" w:lineRule="auto"/>
              <w:jc w:val="center"/>
              <w:rPr>
                <w:rFonts w:hint="eastAsia" w:ascii="宋体" w:hAnsi="宋体" w:eastAsia="宋体" w:cs="宋体"/>
                <w:sz w:val="24"/>
                <w:szCs w:val="24"/>
                <w:highlight w:val="none"/>
              </w:rPr>
            </w:pPr>
          </w:p>
        </w:tc>
        <w:tc>
          <w:tcPr>
            <w:tcW w:w="837" w:type="pct"/>
            <w:vAlign w:val="center"/>
          </w:tcPr>
          <w:p>
            <w:pPr>
              <w:spacing w:line="300" w:lineRule="auto"/>
              <w:jc w:val="center"/>
              <w:rPr>
                <w:rFonts w:hint="eastAsia" w:ascii="宋体" w:hAnsi="宋体" w:eastAsia="宋体" w:cs="宋体"/>
                <w:sz w:val="24"/>
                <w:szCs w:val="24"/>
                <w:highlight w:val="none"/>
              </w:rPr>
            </w:pPr>
          </w:p>
        </w:tc>
        <w:tc>
          <w:tcPr>
            <w:tcW w:w="857" w:type="pct"/>
            <w:vAlign w:val="center"/>
          </w:tcPr>
          <w:p>
            <w:pPr>
              <w:spacing w:line="30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71" w:type="pct"/>
            <w:vAlign w:val="center"/>
          </w:tcPr>
          <w:p>
            <w:pPr>
              <w:spacing w:line="300" w:lineRule="auto"/>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w:t>
            </w:r>
          </w:p>
        </w:tc>
        <w:tc>
          <w:tcPr>
            <w:tcW w:w="1936" w:type="pct"/>
            <w:vAlign w:val="center"/>
          </w:tcPr>
          <w:p>
            <w:pPr>
              <w:spacing w:line="30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水准仪</w:t>
            </w:r>
          </w:p>
        </w:tc>
        <w:tc>
          <w:tcPr>
            <w:tcW w:w="897" w:type="pct"/>
            <w:vAlign w:val="center"/>
          </w:tcPr>
          <w:p>
            <w:pPr>
              <w:spacing w:line="300" w:lineRule="auto"/>
              <w:jc w:val="center"/>
              <w:rPr>
                <w:rFonts w:hint="eastAsia" w:ascii="宋体" w:hAnsi="宋体" w:eastAsia="宋体" w:cs="宋体"/>
                <w:sz w:val="24"/>
                <w:szCs w:val="24"/>
                <w:highlight w:val="none"/>
              </w:rPr>
            </w:pPr>
          </w:p>
        </w:tc>
        <w:tc>
          <w:tcPr>
            <w:tcW w:w="837" w:type="pct"/>
            <w:vAlign w:val="center"/>
          </w:tcPr>
          <w:p>
            <w:pPr>
              <w:spacing w:line="300" w:lineRule="auto"/>
              <w:jc w:val="center"/>
              <w:rPr>
                <w:rFonts w:hint="eastAsia" w:ascii="宋体" w:hAnsi="宋体" w:eastAsia="宋体" w:cs="宋体"/>
                <w:sz w:val="24"/>
                <w:szCs w:val="24"/>
                <w:highlight w:val="none"/>
              </w:rPr>
            </w:pPr>
          </w:p>
        </w:tc>
        <w:tc>
          <w:tcPr>
            <w:tcW w:w="857" w:type="pct"/>
            <w:vAlign w:val="center"/>
          </w:tcPr>
          <w:p>
            <w:pPr>
              <w:spacing w:line="30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71" w:type="pct"/>
            <w:vAlign w:val="center"/>
          </w:tcPr>
          <w:p>
            <w:pPr>
              <w:spacing w:line="300" w:lineRule="auto"/>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w:t>
            </w:r>
          </w:p>
        </w:tc>
        <w:tc>
          <w:tcPr>
            <w:tcW w:w="1936" w:type="pct"/>
            <w:vAlign w:val="center"/>
          </w:tcPr>
          <w:p>
            <w:pPr>
              <w:spacing w:line="30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经纬仪（或全站仪）</w:t>
            </w:r>
          </w:p>
        </w:tc>
        <w:tc>
          <w:tcPr>
            <w:tcW w:w="897" w:type="pct"/>
            <w:vAlign w:val="center"/>
          </w:tcPr>
          <w:p>
            <w:pPr>
              <w:spacing w:line="300" w:lineRule="auto"/>
              <w:jc w:val="center"/>
              <w:rPr>
                <w:rFonts w:hint="eastAsia" w:ascii="宋体" w:hAnsi="宋体" w:eastAsia="宋体" w:cs="宋体"/>
                <w:sz w:val="24"/>
                <w:szCs w:val="24"/>
                <w:highlight w:val="none"/>
              </w:rPr>
            </w:pPr>
          </w:p>
        </w:tc>
        <w:tc>
          <w:tcPr>
            <w:tcW w:w="837" w:type="pct"/>
            <w:vAlign w:val="center"/>
          </w:tcPr>
          <w:p>
            <w:pPr>
              <w:spacing w:line="300" w:lineRule="auto"/>
              <w:jc w:val="center"/>
              <w:rPr>
                <w:rFonts w:hint="eastAsia" w:ascii="宋体" w:hAnsi="宋体" w:eastAsia="宋体" w:cs="宋体"/>
                <w:sz w:val="24"/>
                <w:szCs w:val="24"/>
                <w:highlight w:val="none"/>
              </w:rPr>
            </w:pPr>
          </w:p>
        </w:tc>
        <w:tc>
          <w:tcPr>
            <w:tcW w:w="857" w:type="pct"/>
            <w:vAlign w:val="center"/>
          </w:tcPr>
          <w:p>
            <w:pPr>
              <w:spacing w:line="30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71" w:type="pct"/>
            <w:vAlign w:val="center"/>
          </w:tcPr>
          <w:p>
            <w:pPr>
              <w:spacing w:line="300" w:lineRule="auto"/>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w:t>
            </w:r>
          </w:p>
        </w:tc>
        <w:tc>
          <w:tcPr>
            <w:tcW w:w="1936" w:type="pct"/>
            <w:vAlign w:val="center"/>
          </w:tcPr>
          <w:p>
            <w:pPr>
              <w:spacing w:line="30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隧道高空作业车</w:t>
            </w:r>
          </w:p>
        </w:tc>
        <w:tc>
          <w:tcPr>
            <w:tcW w:w="897" w:type="pct"/>
            <w:vAlign w:val="center"/>
          </w:tcPr>
          <w:p>
            <w:pPr>
              <w:spacing w:line="300" w:lineRule="auto"/>
              <w:jc w:val="center"/>
              <w:rPr>
                <w:rFonts w:hint="eastAsia" w:ascii="宋体" w:hAnsi="宋体" w:eastAsia="宋体" w:cs="宋体"/>
                <w:sz w:val="24"/>
                <w:szCs w:val="24"/>
                <w:highlight w:val="none"/>
              </w:rPr>
            </w:pPr>
          </w:p>
        </w:tc>
        <w:tc>
          <w:tcPr>
            <w:tcW w:w="837" w:type="pct"/>
            <w:vAlign w:val="center"/>
          </w:tcPr>
          <w:p>
            <w:pPr>
              <w:spacing w:line="300" w:lineRule="auto"/>
              <w:jc w:val="center"/>
              <w:rPr>
                <w:rFonts w:hint="eastAsia" w:ascii="宋体" w:hAnsi="宋体" w:eastAsia="宋体" w:cs="宋体"/>
                <w:sz w:val="24"/>
                <w:szCs w:val="24"/>
                <w:highlight w:val="none"/>
              </w:rPr>
            </w:pPr>
          </w:p>
        </w:tc>
        <w:tc>
          <w:tcPr>
            <w:tcW w:w="857" w:type="pct"/>
            <w:vAlign w:val="center"/>
          </w:tcPr>
          <w:p>
            <w:pPr>
              <w:spacing w:line="30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71" w:type="pct"/>
            <w:vAlign w:val="center"/>
          </w:tcPr>
          <w:p>
            <w:pPr>
              <w:spacing w:line="30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N</w:t>
            </w:r>
          </w:p>
        </w:tc>
        <w:tc>
          <w:tcPr>
            <w:tcW w:w="1936" w:type="pct"/>
            <w:vAlign w:val="center"/>
          </w:tcPr>
          <w:p>
            <w:pPr>
              <w:spacing w:line="30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w:t>
            </w:r>
          </w:p>
        </w:tc>
        <w:tc>
          <w:tcPr>
            <w:tcW w:w="897" w:type="pct"/>
            <w:vAlign w:val="center"/>
          </w:tcPr>
          <w:p>
            <w:pPr>
              <w:spacing w:line="300" w:lineRule="auto"/>
              <w:jc w:val="center"/>
              <w:rPr>
                <w:rFonts w:hint="eastAsia" w:ascii="宋体" w:hAnsi="宋体" w:eastAsia="宋体" w:cs="宋体"/>
                <w:sz w:val="24"/>
                <w:szCs w:val="24"/>
                <w:highlight w:val="none"/>
              </w:rPr>
            </w:pPr>
          </w:p>
        </w:tc>
        <w:tc>
          <w:tcPr>
            <w:tcW w:w="837" w:type="pct"/>
            <w:vAlign w:val="center"/>
          </w:tcPr>
          <w:p>
            <w:pPr>
              <w:spacing w:line="300" w:lineRule="auto"/>
              <w:jc w:val="center"/>
              <w:rPr>
                <w:rFonts w:hint="eastAsia" w:ascii="宋体" w:hAnsi="宋体" w:eastAsia="宋体" w:cs="宋体"/>
                <w:sz w:val="24"/>
                <w:szCs w:val="24"/>
                <w:highlight w:val="none"/>
              </w:rPr>
            </w:pPr>
          </w:p>
        </w:tc>
        <w:tc>
          <w:tcPr>
            <w:tcW w:w="857" w:type="pct"/>
          </w:tcPr>
          <w:p>
            <w:pPr>
              <w:spacing w:line="300" w:lineRule="auto"/>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71" w:type="pct"/>
            <w:vAlign w:val="center"/>
          </w:tcPr>
          <w:p>
            <w:pPr>
              <w:spacing w:line="300" w:lineRule="auto"/>
              <w:jc w:val="center"/>
              <w:rPr>
                <w:rFonts w:hint="eastAsia" w:ascii="宋体" w:hAnsi="宋体" w:eastAsia="宋体" w:cs="宋体"/>
                <w:sz w:val="24"/>
                <w:szCs w:val="24"/>
                <w:highlight w:val="none"/>
              </w:rPr>
            </w:pPr>
          </w:p>
        </w:tc>
        <w:tc>
          <w:tcPr>
            <w:tcW w:w="1936" w:type="pct"/>
            <w:vAlign w:val="center"/>
          </w:tcPr>
          <w:p>
            <w:pPr>
              <w:spacing w:line="300" w:lineRule="auto"/>
              <w:jc w:val="center"/>
              <w:rPr>
                <w:rFonts w:hint="eastAsia" w:ascii="宋体" w:hAnsi="宋体" w:eastAsia="宋体" w:cs="宋体"/>
                <w:sz w:val="24"/>
                <w:szCs w:val="24"/>
                <w:highlight w:val="none"/>
              </w:rPr>
            </w:pPr>
          </w:p>
        </w:tc>
        <w:tc>
          <w:tcPr>
            <w:tcW w:w="897" w:type="pct"/>
            <w:vAlign w:val="center"/>
          </w:tcPr>
          <w:p>
            <w:pPr>
              <w:spacing w:line="300" w:lineRule="auto"/>
              <w:jc w:val="center"/>
              <w:rPr>
                <w:rFonts w:hint="eastAsia" w:ascii="宋体" w:hAnsi="宋体" w:eastAsia="宋体" w:cs="宋体"/>
                <w:sz w:val="24"/>
                <w:szCs w:val="24"/>
                <w:highlight w:val="none"/>
              </w:rPr>
            </w:pPr>
          </w:p>
        </w:tc>
        <w:tc>
          <w:tcPr>
            <w:tcW w:w="837" w:type="pct"/>
            <w:vAlign w:val="center"/>
          </w:tcPr>
          <w:p>
            <w:pPr>
              <w:spacing w:line="300" w:lineRule="auto"/>
              <w:jc w:val="center"/>
              <w:rPr>
                <w:rFonts w:hint="eastAsia" w:ascii="宋体" w:hAnsi="宋体" w:eastAsia="宋体" w:cs="宋体"/>
                <w:sz w:val="24"/>
                <w:szCs w:val="24"/>
                <w:highlight w:val="none"/>
              </w:rPr>
            </w:pPr>
          </w:p>
        </w:tc>
        <w:tc>
          <w:tcPr>
            <w:tcW w:w="857" w:type="pct"/>
          </w:tcPr>
          <w:p>
            <w:pPr>
              <w:spacing w:line="300" w:lineRule="auto"/>
              <w:jc w:val="center"/>
              <w:rPr>
                <w:rFonts w:hint="eastAsia" w:ascii="宋体" w:hAnsi="宋体" w:eastAsia="宋体" w:cs="宋体"/>
                <w:sz w:val="24"/>
                <w:szCs w:val="24"/>
                <w:highlight w:val="none"/>
              </w:rPr>
            </w:pPr>
          </w:p>
        </w:tc>
      </w:tr>
    </w:tbl>
    <w:p>
      <w:pPr>
        <w:spacing w:line="240" w:lineRule="exact"/>
        <w:rPr>
          <w:rFonts w:ascii="仿宋" w:hAnsi="仿宋" w:eastAsia="仿宋" w:cs="仿宋"/>
          <w:sz w:val="28"/>
          <w:szCs w:val="28"/>
          <w:highlight w:val="none"/>
        </w:rPr>
      </w:pPr>
    </w:p>
    <w:p>
      <w:pPr>
        <w:overflowPunct w:val="0"/>
        <w:spacing w:line="360" w:lineRule="auto"/>
        <w:jc w:val="left"/>
        <w:rPr>
          <w:rFonts w:ascii="仿宋" w:hAnsi="仿宋" w:eastAsia="仿宋" w:cs="仿宋"/>
          <w:highlight w:val="none"/>
        </w:rPr>
      </w:pPr>
      <w:r>
        <w:rPr>
          <w:rFonts w:hint="eastAsia" w:ascii="宋体" w:hAnsi="宋体" w:eastAsia="宋体" w:cs="宋体"/>
          <w:b/>
          <w:bCs/>
          <w:highlight w:val="none"/>
        </w:rPr>
        <w:t>注：</w:t>
      </w:r>
      <w:r>
        <w:rPr>
          <w:rFonts w:hint="eastAsia" w:ascii="宋体" w:hAnsi="宋体" w:eastAsia="宋体" w:cs="宋体"/>
          <w:b/>
          <w:bCs/>
          <w:highlight w:val="none"/>
          <w:lang w:val="en-US" w:eastAsia="zh-CN"/>
        </w:rPr>
        <w:t>桥梁检测车须为自有设备并附相关设备购买发票</w:t>
      </w:r>
      <w:r>
        <w:rPr>
          <w:rFonts w:hint="eastAsia" w:ascii="宋体" w:hAnsi="宋体" w:eastAsia="宋体" w:cs="宋体"/>
          <w:highlight w:val="none"/>
        </w:rPr>
        <w:t>。</w:t>
      </w:r>
    </w:p>
    <w:p>
      <w:pPr>
        <w:snapToGrid w:val="0"/>
        <w:spacing w:line="300" w:lineRule="auto"/>
        <w:ind w:firstLine="2520" w:firstLineChars="1200"/>
        <w:rPr>
          <w:rFonts w:ascii="仿宋" w:hAnsi="仿宋" w:eastAsia="仿宋" w:cs="仿宋"/>
          <w:highlight w:val="none"/>
        </w:rPr>
      </w:pPr>
    </w:p>
    <w:p>
      <w:pPr>
        <w:spacing w:line="360" w:lineRule="auto"/>
        <w:jc w:val="center"/>
        <w:rPr>
          <w:rFonts w:ascii="仿宋" w:hAnsi="仿宋" w:eastAsia="仿宋" w:cs="仿宋"/>
          <w:highlight w:val="none"/>
        </w:rPr>
      </w:pPr>
    </w:p>
    <w:p>
      <w:pPr>
        <w:spacing w:line="360" w:lineRule="auto"/>
        <w:ind w:firstLine="3360" w:firstLineChars="1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供应商名称：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（盖章）</w:t>
      </w:r>
    </w:p>
    <w:p>
      <w:pPr>
        <w:spacing w:line="360" w:lineRule="auto"/>
        <w:ind w:firstLine="3360" w:firstLineChars="1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w:t>
      </w:r>
    </w:p>
    <w:p>
      <w:pPr>
        <w:spacing w:line="360" w:lineRule="auto"/>
        <w:ind w:firstLine="3360" w:firstLineChars="1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或委托代理人：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(签字或盖章)</w:t>
      </w:r>
    </w:p>
    <w:p>
      <w:pPr>
        <w:rPr>
          <w:rFonts w:hint="eastAsia" w:ascii="宋体" w:hAnsi="宋体" w:cs="宋体"/>
          <w:b/>
          <w:bCs/>
          <w:sz w:val="28"/>
          <w:szCs w:val="28"/>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日        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cs="宋体"/>
          <w:b/>
          <w:bCs/>
          <w:sz w:val="28"/>
          <w:szCs w:val="28"/>
          <w:highlight w:val="none"/>
        </w:rPr>
        <w:br w:type="page"/>
      </w:r>
    </w:p>
    <w:p>
      <w:pPr>
        <w:overflowPunct w:val="0"/>
        <w:spacing w:line="360" w:lineRule="auto"/>
        <w:jc w:val="center"/>
        <w:outlineLvl w:val="1"/>
        <w:rPr>
          <w:rFonts w:hint="eastAsia" w:ascii="宋体" w:hAnsi="宋体" w:eastAsia="宋体" w:cs="宋体"/>
          <w:sz w:val="24"/>
          <w:szCs w:val="24"/>
          <w:highlight w:val="none"/>
        </w:rPr>
      </w:pPr>
      <w:r>
        <w:rPr>
          <w:rFonts w:hint="eastAsia" w:ascii="宋体" w:hAnsi="宋体" w:cs="宋体"/>
          <w:b/>
          <w:bCs/>
          <w:sz w:val="28"/>
          <w:szCs w:val="28"/>
          <w:highlight w:val="none"/>
        </w:rPr>
        <w:t>七、技术和商务响应说明</w:t>
      </w:r>
      <w:bookmarkEnd w:id="120"/>
    </w:p>
    <w:p>
      <w:pPr>
        <w:pStyle w:val="11"/>
        <w:spacing w:before="120" w:line="360" w:lineRule="auto"/>
        <w:ind w:left="0" w:right="34"/>
        <w:jc w:val="center"/>
        <w:rPr>
          <w:rFonts w:hint="eastAsia" w:ascii="宋体" w:hAnsi="宋体" w:eastAsia="宋体" w:cs="宋体"/>
          <w:b/>
          <w:bCs w:val="0"/>
          <w:color w:val="auto"/>
          <w:sz w:val="24"/>
          <w:szCs w:val="24"/>
          <w:highlight w:val="none"/>
          <w:lang w:val="en-US" w:eastAsia="zh-CN"/>
        </w:rPr>
      </w:pPr>
      <w:bookmarkStart w:id="121" w:name="_Toc23847"/>
      <w:r>
        <w:rPr>
          <w:rFonts w:hint="eastAsia" w:ascii="宋体" w:hAnsi="宋体" w:eastAsia="宋体" w:cs="宋体"/>
          <w:b/>
          <w:bCs w:val="0"/>
          <w:color w:val="auto"/>
          <w:sz w:val="24"/>
          <w:szCs w:val="24"/>
          <w:highlight w:val="none"/>
          <w:lang w:val="en-US" w:eastAsia="zh-CN"/>
        </w:rPr>
        <w:t>1、商务偏离表</w:t>
      </w:r>
    </w:p>
    <w:tbl>
      <w:tblPr>
        <w:tblStyle w:val="24"/>
        <w:tblW w:w="94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7"/>
        <w:gridCol w:w="1887"/>
        <w:gridCol w:w="1888"/>
        <w:gridCol w:w="1888"/>
        <w:gridCol w:w="1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887" w:type="dxa"/>
            <w:noWrap w:val="0"/>
            <w:vAlign w:val="center"/>
          </w:tcPr>
          <w:p>
            <w:pPr>
              <w:spacing w:line="360" w:lineRule="auto"/>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序号</w:t>
            </w:r>
          </w:p>
        </w:tc>
        <w:tc>
          <w:tcPr>
            <w:tcW w:w="1887" w:type="dxa"/>
            <w:noWrap w:val="0"/>
            <w:vAlign w:val="center"/>
          </w:tcPr>
          <w:p>
            <w:pPr>
              <w:spacing w:line="360" w:lineRule="auto"/>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磋商</w:t>
            </w:r>
            <w:r>
              <w:rPr>
                <w:rFonts w:hint="eastAsia" w:ascii="宋体" w:hAnsi="宋体" w:eastAsia="宋体" w:cs="宋体"/>
                <w:b/>
                <w:bCs/>
                <w:sz w:val="24"/>
                <w:szCs w:val="24"/>
                <w:highlight w:val="none"/>
              </w:rPr>
              <w:t>要求</w:t>
            </w:r>
          </w:p>
        </w:tc>
        <w:tc>
          <w:tcPr>
            <w:tcW w:w="1888" w:type="dxa"/>
            <w:noWrap w:val="0"/>
            <w:vAlign w:val="center"/>
          </w:tcPr>
          <w:p>
            <w:pPr>
              <w:spacing w:line="360" w:lineRule="auto"/>
              <w:jc w:val="center"/>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磋商内容</w:t>
            </w:r>
          </w:p>
        </w:tc>
        <w:tc>
          <w:tcPr>
            <w:tcW w:w="1888" w:type="dxa"/>
            <w:noWrap w:val="0"/>
            <w:vAlign w:val="center"/>
          </w:tcPr>
          <w:p>
            <w:pPr>
              <w:spacing w:line="360" w:lineRule="auto"/>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偏离</w:t>
            </w:r>
          </w:p>
        </w:tc>
        <w:tc>
          <w:tcPr>
            <w:tcW w:w="1888" w:type="dxa"/>
            <w:noWrap w:val="0"/>
            <w:vAlign w:val="center"/>
          </w:tcPr>
          <w:p>
            <w:pPr>
              <w:spacing w:line="360" w:lineRule="auto"/>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887" w:type="dxa"/>
            <w:noWrap w:val="0"/>
            <w:vAlign w:val="center"/>
          </w:tcPr>
          <w:p>
            <w:pPr>
              <w:spacing w:line="360" w:lineRule="auto"/>
              <w:jc w:val="center"/>
              <w:rPr>
                <w:rFonts w:hint="eastAsia" w:ascii="宋体" w:hAnsi="宋体" w:eastAsia="宋体" w:cs="宋体"/>
                <w:sz w:val="24"/>
                <w:szCs w:val="24"/>
                <w:highlight w:val="none"/>
              </w:rPr>
            </w:pPr>
          </w:p>
        </w:tc>
        <w:tc>
          <w:tcPr>
            <w:tcW w:w="1887" w:type="dxa"/>
            <w:noWrap w:val="0"/>
            <w:vAlign w:val="center"/>
          </w:tcPr>
          <w:p>
            <w:pPr>
              <w:spacing w:line="360" w:lineRule="auto"/>
              <w:jc w:val="center"/>
              <w:rPr>
                <w:rFonts w:hint="eastAsia" w:ascii="宋体" w:hAnsi="宋体" w:eastAsia="宋体" w:cs="宋体"/>
                <w:sz w:val="24"/>
                <w:szCs w:val="24"/>
                <w:highlight w:val="none"/>
              </w:rPr>
            </w:pPr>
          </w:p>
        </w:tc>
        <w:tc>
          <w:tcPr>
            <w:tcW w:w="1888" w:type="dxa"/>
            <w:noWrap w:val="0"/>
            <w:vAlign w:val="center"/>
          </w:tcPr>
          <w:p>
            <w:pPr>
              <w:spacing w:line="360" w:lineRule="auto"/>
              <w:jc w:val="center"/>
              <w:rPr>
                <w:rFonts w:hint="eastAsia" w:ascii="宋体" w:hAnsi="宋体" w:eastAsia="宋体" w:cs="宋体"/>
                <w:sz w:val="24"/>
                <w:szCs w:val="24"/>
                <w:highlight w:val="none"/>
              </w:rPr>
            </w:pPr>
          </w:p>
        </w:tc>
        <w:tc>
          <w:tcPr>
            <w:tcW w:w="1888" w:type="dxa"/>
            <w:noWrap w:val="0"/>
            <w:vAlign w:val="center"/>
          </w:tcPr>
          <w:p>
            <w:pPr>
              <w:spacing w:line="360" w:lineRule="auto"/>
              <w:jc w:val="center"/>
              <w:rPr>
                <w:rFonts w:hint="eastAsia" w:ascii="宋体" w:hAnsi="宋体" w:eastAsia="宋体" w:cs="宋体"/>
                <w:sz w:val="24"/>
                <w:szCs w:val="24"/>
                <w:highlight w:val="none"/>
              </w:rPr>
            </w:pPr>
          </w:p>
        </w:tc>
        <w:tc>
          <w:tcPr>
            <w:tcW w:w="1888" w:type="dxa"/>
            <w:noWrap w:val="0"/>
            <w:vAlign w:val="center"/>
          </w:tcPr>
          <w:p>
            <w:pPr>
              <w:spacing w:line="360" w:lineRule="auto"/>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887" w:type="dxa"/>
            <w:noWrap w:val="0"/>
            <w:vAlign w:val="center"/>
          </w:tcPr>
          <w:p>
            <w:pPr>
              <w:spacing w:line="360" w:lineRule="auto"/>
              <w:jc w:val="center"/>
              <w:rPr>
                <w:rFonts w:hint="eastAsia" w:ascii="宋体" w:hAnsi="宋体" w:eastAsia="宋体" w:cs="宋体"/>
                <w:sz w:val="24"/>
                <w:szCs w:val="24"/>
                <w:highlight w:val="none"/>
              </w:rPr>
            </w:pPr>
          </w:p>
        </w:tc>
        <w:tc>
          <w:tcPr>
            <w:tcW w:w="1887" w:type="dxa"/>
            <w:noWrap w:val="0"/>
            <w:vAlign w:val="center"/>
          </w:tcPr>
          <w:p>
            <w:pPr>
              <w:spacing w:line="360" w:lineRule="auto"/>
              <w:jc w:val="center"/>
              <w:rPr>
                <w:rFonts w:hint="eastAsia" w:ascii="宋体" w:hAnsi="宋体" w:eastAsia="宋体" w:cs="宋体"/>
                <w:sz w:val="24"/>
                <w:szCs w:val="24"/>
                <w:highlight w:val="none"/>
              </w:rPr>
            </w:pPr>
          </w:p>
        </w:tc>
        <w:tc>
          <w:tcPr>
            <w:tcW w:w="1888" w:type="dxa"/>
            <w:noWrap w:val="0"/>
            <w:vAlign w:val="center"/>
          </w:tcPr>
          <w:p>
            <w:pPr>
              <w:spacing w:line="360" w:lineRule="auto"/>
              <w:jc w:val="center"/>
              <w:rPr>
                <w:rFonts w:hint="eastAsia" w:ascii="宋体" w:hAnsi="宋体" w:eastAsia="宋体" w:cs="宋体"/>
                <w:sz w:val="24"/>
                <w:szCs w:val="24"/>
                <w:highlight w:val="none"/>
              </w:rPr>
            </w:pPr>
          </w:p>
        </w:tc>
        <w:tc>
          <w:tcPr>
            <w:tcW w:w="1888" w:type="dxa"/>
            <w:noWrap w:val="0"/>
            <w:vAlign w:val="center"/>
          </w:tcPr>
          <w:p>
            <w:pPr>
              <w:spacing w:line="360" w:lineRule="auto"/>
              <w:jc w:val="center"/>
              <w:rPr>
                <w:rFonts w:hint="eastAsia" w:ascii="宋体" w:hAnsi="宋体" w:eastAsia="宋体" w:cs="宋体"/>
                <w:sz w:val="24"/>
                <w:szCs w:val="24"/>
                <w:highlight w:val="none"/>
              </w:rPr>
            </w:pPr>
          </w:p>
        </w:tc>
        <w:tc>
          <w:tcPr>
            <w:tcW w:w="1888" w:type="dxa"/>
            <w:noWrap w:val="0"/>
            <w:vAlign w:val="center"/>
          </w:tcPr>
          <w:p>
            <w:pPr>
              <w:spacing w:line="360" w:lineRule="auto"/>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887" w:type="dxa"/>
            <w:tcBorders>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szCs w:val="24"/>
                <w:highlight w:val="none"/>
              </w:rPr>
            </w:pPr>
          </w:p>
        </w:tc>
        <w:tc>
          <w:tcPr>
            <w:tcW w:w="1887" w:type="dxa"/>
            <w:tcBorders>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szCs w:val="24"/>
                <w:highlight w:val="none"/>
              </w:rPr>
            </w:pPr>
          </w:p>
        </w:tc>
        <w:tc>
          <w:tcPr>
            <w:tcW w:w="1888" w:type="dxa"/>
            <w:tcBorders>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szCs w:val="24"/>
                <w:highlight w:val="none"/>
              </w:rPr>
            </w:pPr>
          </w:p>
        </w:tc>
        <w:tc>
          <w:tcPr>
            <w:tcW w:w="1888" w:type="dxa"/>
            <w:tcBorders>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szCs w:val="24"/>
                <w:highlight w:val="none"/>
              </w:rPr>
            </w:pPr>
          </w:p>
        </w:tc>
        <w:tc>
          <w:tcPr>
            <w:tcW w:w="1888" w:type="dxa"/>
            <w:tcBorders>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8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szCs w:val="24"/>
                <w:highlight w:val="none"/>
              </w:rPr>
            </w:pPr>
          </w:p>
        </w:tc>
        <w:tc>
          <w:tcPr>
            <w:tcW w:w="18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szCs w:val="24"/>
                <w:highlight w:val="none"/>
              </w:rPr>
            </w:pPr>
          </w:p>
        </w:tc>
        <w:tc>
          <w:tcPr>
            <w:tcW w:w="18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szCs w:val="24"/>
                <w:highlight w:val="none"/>
              </w:rPr>
            </w:pPr>
          </w:p>
        </w:tc>
        <w:tc>
          <w:tcPr>
            <w:tcW w:w="18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szCs w:val="24"/>
                <w:highlight w:val="none"/>
              </w:rPr>
            </w:pPr>
          </w:p>
        </w:tc>
        <w:tc>
          <w:tcPr>
            <w:tcW w:w="18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8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szCs w:val="24"/>
                <w:highlight w:val="none"/>
              </w:rPr>
            </w:pPr>
          </w:p>
        </w:tc>
        <w:tc>
          <w:tcPr>
            <w:tcW w:w="18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szCs w:val="24"/>
                <w:highlight w:val="none"/>
              </w:rPr>
            </w:pPr>
          </w:p>
        </w:tc>
        <w:tc>
          <w:tcPr>
            <w:tcW w:w="18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szCs w:val="24"/>
                <w:highlight w:val="none"/>
              </w:rPr>
            </w:pPr>
          </w:p>
        </w:tc>
        <w:tc>
          <w:tcPr>
            <w:tcW w:w="18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szCs w:val="24"/>
                <w:highlight w:val="none"/>
              </w:rPr>
            </w:pPr>
          </w:p>
        </w:tc>
        <w:tc>
          <w:tcPr>
            <w:tcW w:w="18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8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szCs w:val="24"/>
                <w:highlight w:val="none"/>
              </w:rPr>
            </w:pPr>
          </w:p>
        </w:tc>
        <w:tc>
          <w:tcPr>
            <w:tcW w:w="18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szCs w:val="24"/>
                <w:highlight w:val="none"/>
              </w:rPr>
            </w:pPr>
          </w:p>
        </w:tc>
        <w:tc>
          <w:tcPr>
            <w:tcW w:w="18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szCs w:val="24"/>
                <w:highlight w:val="none"/>
              </w:rPr>
            </w:pPr>
          </w:p>
        </w:tc>
        <w:tc>
          <w:tcPr>
            <w:tcW w:w="18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szCs w:val="24"/>
                <w:highlight w:val="none"/>
              </w:rPr>
            </w:pPr>
          </w:p>
        </w:tc>
        <w:tc>
          <w:tcPr>
            <w:tcW w:w="18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887" w:type="dxa"/>
            <w:tcBorders>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szCs w:val="24"/>
                <w:highlight w:val="none"/>
              </w:rPr>
            </w:pPr>
          </w:p>
        </w:tc>
        <w:tc>
          <w:tcPr>
            <w:tcW w:w="1887" w:type="dxa"/>
            <w:tcBorders>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szCs w:val="24"/>
                <w:highlight w:val="none"/>
              </w:rPr>
            </w:pPr>
          </w:p>
        </w:tc>
        <w:tc>
          <w:tcPr>
            <w:tcW w:w="1888" w:type="dxa"/>
            <w:tcBorders>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szCs w:val="24"/>
                <w:highlight w:val="none"/>
              </w:rPr>
            </w:pPr>
          </w:p>
        </w:tc>
        <w:tc>
          <w:tcPr>
            <w:tcW w:w="1888" w:type="dxa"/>
            <w:tcBorders>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szCs w:val="24"/>
                <w:highlight w:val="none"/>
              </w:rPr>
            </w:pPr>
          </w:p>
        </w:tc>
        <w:tc>
          <w:tcPr>
            <w:tcW w:w="1888" w:type="dxa"/>
            <w:tcBorders>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8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szCs w:val="24"/>
                <w:highlight w:val="none"/>
              </w:rPr>
            </w:pPr>
          </w:p>
        </w:tc>
        <w:tc>
          <w:tcPr>
            <w:tcW w:w="18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szCs w:val="24"/>
                <w:highlight w:val="none"/>
              </w:rPr>
            </w:pPr>
          </w:p>
        </w:tc>
        <w:tc>
          <w:tcPr>
            <w:tcW w:w="18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szCs w:val="24"/>
                <w:highlight w:val="none"/>
              </w:rPr>
            </w:pPr>
          </w:p>
        </w:tc>
        <w:tc>
          <w:tcPr>
            <w:tcW w:w="18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szCs w:val="24"/>
                <w:highlight w:val="none"/>
              </w:rPr>
            </w:pPr>
          </w:p>
        </w:tc>
        <w:tc>
          <w:tcPr>
            <w:tcW w:w="18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szCs w:val="24"/>
                <w:highlight w:val="none"/>
              </w:rPr>
            </w:pPr>
          </w:p>
        </w:tc>
      </w:tr>
    </w:tbl>
    <w:p>
      <w:pPr>
        <w:pStyle w:val="11"/>
        <w:spacing w:before="120" w:line="360" w:lineRule="auto"/>
        <w:ind w:left="0" w:right="34"/>
        <w:jc w:val="both"/>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1.供应商须按照磋商文件“第四部分  商务及合同主要条款”表格部分逐条填写。如实填写该表，如有隐瞒，后果由供应商自负。</w:t>
      </w:r>
    </w:p>
    <w:p>
      <w:pPr>
        <w:pStyle w:val="11"/>
        <w:spacing w:before="120" w:line="360" w:lineRule="auto"/>
        <w:ind w:left="0" w:right="34"/>
        <w:jc w:val="both"/>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2.此表可增加，偏离内容填写“正偏离”、“负偏离”或“无偏离”。</w:t>
      </w:r>
    </w:p>
    <w:p>
      <w:pPr>
        <w:pStyle w:val="11"/>
        <w:spacing w:before="120" w:line="360" w:lineRule="auto"/>
        <w:ind w:left="0" w:right="34"/>
        <w:jc w:val="both"/>
        <w:rPr>
          <w:rFonts w:hint="eastAsia" w:ascii="宋体" w:hAnsi="宋体" w:eastAsia="宋体" w:cs="宋体"/>
          <w:bCs/>
          <w:color w:val="auto"/>
          <w:sz w:val="24"/>
          <w:szCs w:val="24"/>
          <w:highlight w:val="none"/>
        </w:rPr>
      </w:pPr>
    </w:p>
    <w:p>
      <w:pPr>
        <w:pStyle w:val="15"/>
        <w:spacing w:line="360" w:lineRule="auto"/>
        <w:rPr>
          <w:rFonts w:hint="eastAsia" w:ascii="宋体" w:hAnsi="宋体" w:eastAsia="宋体" w:cs="宋体"/>
          <w:color w:val="auto"/>
          <w:sz w:val="24"/>
          <w:szCs w:val="24"/>
          <w:highlight w:val="none"/>
        </w:rPr>
      </w:pPr>
    </w:p>
    <w:p>
      <w:pPr>
        <w:spacing w:line="360" w:lineRule="auto"/>
        <w:ind w:firstLine="3360" w:firstLineChars="1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供应商名称：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（盖章）</w:t>
      </w:r>
    </w:p>
    <w:p>
      <w:pPr>
        <w:spacing w:line="360" w:lineRule="auto"/>
        <w:ind w:firstLine="3360" w:firstLineChars="1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w:t>
      </w:r>
    </w:p>
    <w:p>
      <w:pPr>
        <w:spacing w:line="360" w:lineRule="auto"/>
        <w:ind w:firstLine="3360" w:firstLineChars="1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或委托代理人：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(签字或盖章)</w:t>
      </w:r>
    </w:p>
    <w:p>
      <w:pPr>
        <w:keepNext/>
        <w:keepLines/>
        <w:widowControl/>
        <w:tabs>
          <w:tab w:val="left" w:pos="720"/>
        </w:tabs>
        <w:spacing w:line="360" w:lineRule="auto"/>
        <w:jc w:val="center"/>
        <w:rPr>
          <w:rFonts w:hint="eastAsia" w:ascii="宋体" w:hAnsi="宋体" w:eastAsia="宋体" w:cs="宋体"/>
          <w:b/>
          <w:color w:val="auto"/>
          <w:kern w:val="0"/>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日        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spacing w:line="360" w:lineRule="auto"/>
        <w:jc w:val="both"/>
        <w:rPr>
          <w:rFonts w:hint="eastAsia" w:ascii="宋体" w:hAnsi="宋体" w:eastAsia="宋体" w:cs="宋体"/>
          <w:b/>
          <w:bCs/>
          <w:color w:val="auto"/>
          <w:sz w:val="24"/>
          <w:szCs w:val="24"/>
          <w:highlight w:val="none"/>
        </w:rPr>
      </w:pPr>
    </w:p>
    <w:p>
      <w:pPr>
        <w:spacing w:line="360" w:lineRule="auto"/>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br w:type="page"/>
      </w:r>
      <w:r>
        <w:rPr>
          <w:rFonts w:hint="eastAsia" w:ascii="宋体" w:hAnsi="宋体" w:eastAsia="宋体" w:cs="宋体"/>
          <w:b/>
          <w:bCs/>
          <w:color w:val="auto"/>
          <w:sz w:val="24"/>
          <w:szCs w:val="24"/>
          <w:highlight w:val="none"/>
          <w:lang w:val="en-US" w:eastAsia="zh-CN"/>
        </w:rPr>
        <w:t>2、技术偏离表</w:t>
      </w:r>
    </w:p>
    <w:p>
      <w:pPr>
        <w:spacing w:line="360" w:lineRule="auto"/>
        <w:jc w:val="center"/>
        <w:rPr>
          <w:rFonts w:hint="eastAsia" w:ascii="宋体" w:hAnsi="宋体" w:eastAsia="宋体" w:cs="宋体"/>
          <w:sz w:val="24"/>
          <w:szCs w:val="24"/>
          <w:highlight w:val="none"/>
        </w:rPr>
      </w:pPr>
      <w:r>
        <w:rPr>
          <w:rFonts w:hint="eastAsia" w:ascii="宋体" w:hAnsi="宋体" w:eastAsia="宋体" w:cs="宋体"/>
          <w:bCs/>
          <w:color w:val="auto"/>
          <w:sz w:val="24"/>
          <w:szCs w:val="24"/>
          <w:highlight w:val="none"/>
        </w:rPr>
        <w:t>（格式自拟，可参考偏离表形式或文字形式表述）</w:t>
      </w:r>
    </w:p>
    <w:tbl>
      <w:tblPr>
        <w:tblStyle w:val="23"/>
        <w:tblW w:w="90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960"/>
        <w:gridCol w:w="2792"/>
        <w:gridCol w:w="2658"/>
        <w:gridCol w:w="26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20" w:hRule="atLeast"/>
          <w:jc w:val="center"/>
        </w:trPr>
        <w:tc>
          <w:tcPr>
            <w:tcW w:w="960" w:type="dxa"/>
            <w:noWrap w:val="0"/>
            <w:vAlign w:val="center"/>
          </w:tcPr>
          <w:p>
            <w:pPr>
              <w:spacing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序号</w:t>
            </w:r>
          </w:p>
        </w:tc>
        <w:tc>
          <w:tcPr>
            <w:tcW w:w="2792" w:type="dxa"/>
            <w:noWrap w:val="0"/>
            <w:vAlign w:val="center"/>
          </w:tcPr>
          <w:p>
            <w:pPr>
              <w:spacing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磋商</w:t>
            </w:r>
            <w:r>
              <w:rPr>
                <w:rFonts w:hint="eastAsia" w:ascii="宋体" w:hAnsi="宋体" w:eastAsia="宋体" w:cs="宋体"/>
                <w:b/>
                <w:bCs/>
                <w:color w:val="auto"/>
                <w:sz w:val="24"/>
                <w:szCs w:val="24"/>
                <w:highlight w:val="none"/>
              </w:rPr>
              <w:t>文件</w:t>
            </w:r>
            <w:r>
              <w:rPr>
                <w:rFonts w:hint="eastAsia" w:ascii="宋体" w:hAnsi="宋体" w:eastAsia="宋体" w:cs="宋体"/>
                <w:b/>
                <w:bCs/>
                <w:color w:val="auto"/>
                <w:sz w:val="24"/>
                <w:szCs w:val="24"/>
                <w:highlight w:val="none"/>
                <w:lang w:val="en-US" w:eastAsia="zh-CN"/>
              </w:rPr>
              <w:t>服务</w:t>
            </w:r>
            <w:r>
              <w:rPr>
                <w:rFonts w:hint="eastAsia" w:ascii="宋体" w:hAnsi="宋体" w:eastAsia="宋体" w:cs="宋体"/>
                <w:b/>
                <w:bCs/>
                <w:color w:val="auto"/>
                <w:sz w:val="24"/>
                <w:szCs w:val="24"/>
                <w:highlight w:val="none"/>
              </w:rPr>
              <w:t>要求</w:t>
            </w:r>
          </w:p>
        </w:tc>
        <w:tc>
          <w:tcPr>
            <w:tcW w:w="2658" w:type="dxa"/>
            <w:noWrap w:val="0"/>
            <w:vAlign w:val="center"/>
          </w:tcPr>
          <w:p>
            <w:pPr>
              <w:spacing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磋商</w:t>
            </w:r>
            <w:r>
              <w:rPr>
                <w:rFonts w:hint="eastAsia" w:ascii="宋体" w:hAnsi="宋体" w:eastAsia="宋体" w:cs="宋体"/>
                <w:b/>
                <w:bCs/>
                <w:color w:val="auto"/>
                <w:sz w:val="24"/>
                <w:szCs w:val="24"/>
                <w:highlight w:val="none"/>
              </w:rPr>
              <w:t>文件</w:t>
            </w:r>
            <w:r>
              <w:rPr>
                <w:rFonts w:hint="eastAsia" w:ascii="宋体" w:hAnsi="宋体" w:eastAsia="宋体" w:cs="宋体"/>
                <w:b/>
                <w:bCs/>
                <w:color w:val="auto"/>
                <w:sz w:val="24"/>
                <w:szCs w:val="24"/>
                <w:highlight w:val="none"/>
                <w:lang w:val="en-US" w:eastAsia="zh-CN"/>
              </w:rPr>
              <w:t>服务</w:t>
            </w:r>
            <w:r>
              <w:rPr>
                <w:rFonts w:hint="eastAsia" w:ascii="宋体" w:hAnsi="宋体" w:eastAsia="宋体" w:cs="宋体"/>
                <w:b/>
                <w:bCs/>
                <w:color w:val="auto"/>
                <w:sz w:val="24"/>
                <w:szCs w:val="24"/>
                <w:highlight w:val="none"/>
              </w:rPr>
              <w:t>响应</w:t>
            </w:r>
          </w:p>
        </w:tc>
        <w:tc>
          <w:tcPr>
            <w:tcW w:w="2628" w:type="dxa"/>
            <w:noWrap w:val="0"/>
            <w:vAlign w:val="center"/>
          </w:tcPr>
          <w:p>
            <w:pPr>
              <w:spacing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偏离情况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69" w:hRule="atLeast"/>
          <w:jc w:val="center"/>
        </w:trPr>
        <w:tc>
          <w:tcPr>
            <w:tcW w:w="960" w:type="dxa"/>
            <w:noWrap w:val="0"/>
            <w:vAlign w:val="top"/>
          </w:tcPr>
          <w:p>
            <w:pPr>
              <w:spacing w:line="360" w:lineRule="auto"/>
              <w:jc w:val="center"/>
              <w:rPr>
                <w:rFonts w:hint="eastAsia" w:ascii="宋体" w:hAnsi="宋体" w:eastAsia="宋体" w:cs="宋体"/>
                <w:color w:val="auto"/>
                <w:sz w:val="24"/>
                <w:szCs w:val="24"/>
                <w:highlight w:val="none"/>
              </w:rPr>
            </w:pPr>
          </w:p>
        </w:tc>
        <w:tc>
          <w:tcPr>
            <w:tcW w:w="2792" w:type="dxa"/>
            <w:noWrap w:val="0"/>
            <w:vAlign w:val="top"/>
          </w:tcPr>
          <w:p>
            <w:pPr>
              <w:spacing w:line="360" w:lineRule="auto"/>
              <w:jc w:val="center"/>
              <w:rPr>
                <w:rFonts w:hint="eastAsia" w:ascii="宋体" w:hAnsi="宋体" w:eastAsia="宋体" w:cs="宋体"/>
                <w:color w:val="auto"/>
                <w:sz w:val="24"/>
                <w:szCs w:val="24"/>
                <w:highlight w:val="none"/>
              </w:rPr>
            </w:pPr>
          </w:p>
        </w:tc>
        <w:tc>
          <w:tcPr>
            <w:tcW w:w="2658" w:type="dxa"/>
            <w:noWrap w:val="0"/>
            <w:vAlign w:val="top"/>
          </w:tcPr>
          <w:p>
            <w:pPr>
              <w:spacing w:line="360" w:lineRule="auto"/>
              <w:jc w:val="center"/>
              <w:rPr>
                <w:rFonts w:hint="eastAsia" w:ascii="宋体" w:hAnsi="宋体" w:eastAsia="宋体" w:cs="宋体"/>
                <w:color w:val="auto"/>
                <w:sz w:val="24"/>
                <w:szCs w:val="24"/>
                <w:highlight w:val="none"/>
              </w:rPr>
            </w:pPr>
          </w:p>
        </w:tc>
        <w:tc>
          <w:tcPr>
            <w:tcW w:w="2628" w:type="dxa"/>
            <w:noWrap w:val="0"/>
            <w:vAlign w:val="top"/>
          </w:tcPr>
          <w:p>
            <w:pPr>
              <w:spacing w:line="360" w:lineRule="auto"/>
              <w:jc w:val="center"/>
              <w:rPr>
                <w:rFonts w:hint="eastAsia" w:ascii="宋体" w:hAnsi="宋体" w:eastAsia="宋体" w:cs="宋体"/>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69" w:hRule="atLeast"/>
          <w:jc w:val="center"/>
        </w:trPr>
        <w:tc>
          <w:tcPr>
            <w:tcW w:w="960" w:type="dxa"/>
            <w:noWrap w:val="0"/>
            <w:vAlign w:val="top"/>
          </w:tcPr>
          <w:p>
            <w:pPr>
              <w:spacing w:line="360" w:lineRule="auto"/>
              <w:jc w:val="center"/>
              <w:rPr>
                <w:rFonts w:hint="eastAsia" w:ascii="宋体" w:hAnsi="宋体" w:eastAsia="宋体" w:cs="宋体"/>
                <w:color w:val="auto"/>
                <w:sz w:val="24"/>
                <w:szCs w:val="24"/>
                <w:highlight w:val="none"/>
              </w:rPr>
            </w:pPr>
          </w:p>
        </w:tc>
        <w:tc>
          <w:tcPr>
            <w:tcW w:w="2792" w:type="dxa"/>
            <w:noWrap w:val="0"/>
            <w:vAlign w:val="top"/>
          </w:tcPr>
          <w:p>
            <w:pPr>
              <w:spacing w:line="360" w:lineRule="auto"/>
              <w:jc w:val="center"/>
              <w:rPr>
                <w:rFonts w:hint="eastAsia" w:ascii="宋体" w:hAnsi="宋体" w:eastAsia="宋体" w:cs="宋体"/>
                <w:color w:val="auto"/>
                <w:sz w:val="24"/>
                <w:szCs w:val="24"/>
                <w:highlight w:val="none"/>
              </w:rPr>
            </w:pPr>
          </w:p>
        </w:tc>
        <w:tc>
          <w:tcPr>
            <w:tcW w:w="2658" w:type="dxa"/>
            <w:noWrap w:val="0"/>
            <w:vAlign w:val="top"/>
          </w:tcPr>
          <w:p>
            <w:pPr>
              <w:spacing w:line="360" w:lineRule="auto"/>
              <w:jc w:val="center"/>
              <w:rPr>
                <w:rFonts w:hint="eastAsia" w:ascii="宋体" w:hAnsi="宋体" w:eastAsia="宋体" w:cs="宋体"/>
                <w:color w:val="auto"/>
                <w:sz w:val="24"/>
                <w:szCs w:val="24"/>
                <w:highlight w:val="none"/>
              </w:rPr>
            </w:pPr>
          </w:p>
        </w:tc>
        <w:tc>
          <w:tcPr>
            <w:tcW w:w="2628" w:type="dxa"/>
            <w:noWrap w:val="0"/>
            <w:vAlign w:val="top"/>
          </w:tcPr>
          <w:p>
            <w:pPr>
              <w:spacing w:line="360" w:lineRule="auto"/>
              <w:jc w:val="center"/>
              <w:rPr>
                <w:rFonts w:hint="eastAsia" w:ascii="宋体" w:hAnsi="宋体" w:eastAsia="宋体" w:cs="宋体"/>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69" w:hRule="atLeast"/>
          <w:jc w:val="center"/>
        </w:trPr>
        <w:tc>
          <w:tcPr>
            <w:tcW w:w="960" w:type="dxa"/>
            <w:noWrap w:val="0"/>
            <w:vAlign w:val="top"/>
          </w:tcPr>
          <w:p>
            <w:pPr>
              <w:spacing w:line="360" w:lineRule="auto"/>
              <w:jc w:val="center"/>
              <w:rPr>
                <w:rFonts w:hint="eastAsia" w:ascii="宋体" w:hAnsi="宋体" w:eastAsia="宋体" w:cs="宋体"/>
                <w:color w:val="auto"/>
                <w:sz w:val="24"/>
                <w:szCs w:val="24"/>
                <w:highlight w:val="none"/>
              </w:rPr>
            </w:pPr>
          </w:p>
        </w:tc>
        <w:tc>
          <w:tcPr>
            <w:tcW w:w="2792" w:type="dxa"/>
            <w:noWrap w:val="0"/>
            <w:vAlign w:val="top"/>
          </w:tcPr>
          <w:p>
            <w:pPr>
              <w:spacing w:line="360" w:lineRule="auto"/>
              <w:jc w:val="center"/>
              <w:rPr>
                <w:rFonts w:hint="eastAsia" w:ascii="宋体" w:hAnsi="宋体" w:eastAsia="宋体" w:cs="宋体"/>
                <w:color w:val="auto"/>
                <w:sz w:val="24"/>
                <w:szCs w:val="24"/>
                <w:highlight w:val="none"/>
              </w:rPr>
            </w:pPr>
          </w:p>
        </w:tc>
        <w:tc>
          <w:tcPr>
            <w:tcW w:w="2658" w:type="dxa"/>
            <w:noWrap w:val="0"/>
            <w:vAlign w:val="top"/>
          </w:tcPr>
          <w:p>
            <w:pPr>
              <w:spacing w:line="360" w:lineRule="auto"/>
              <w:jc w:val="center"/>
              <w:rPr>
                <w:rFonts w:hint="eastAsia" w:ascii="宋体" w:hAnsi="宋体" w:eastAsia="宋体" w:cs="宋体"/>
                <w:color w:val="auto"/>
                <w:sz w:val="24"/>
                <w:szCs w:val="24"/>
                <w:highlight w:val="none"/>
              </w:rPr>
            </w:pPr>
          </w:p>
        </w:tc>
        <w:tc>
          <w:tcPr>
            <w:tcW w:w="2628" w:type="dxa"/>
            <w:noWrap w:val="0"/>
            <w:vAlign w:val="top"/>
          </w:tcPr>
          <w:p>
            <w:pPr>
              <w:spacing w:line="360" w:lineRule="auto"/>
              <w:jc w:val="center"/>
              <w:rPr>
                <w:rFonts w:hint="eastAsia" w:ascii="宋体" w:hAnsi="宋体" w:eastAsia="宋体" w:cs="宋体"/>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69" w:hRule="atLeast"/>
          <w:jc w:val="center"/>
        </w:trPr>
        <w:tc>
          <w:tcPr>
            <w:tcW w:w="960" w:type="dxa"/>
            <w:noWrap w:val="0"/>
            <w:vAlign w:val="top"/>
          </w:tcPr>
          <w:p>
            <w:pPr>
              <w:spacing w:line="360" w:lineRule="auto"/>
              <w:jc w:val="center"/>
              <w:rPr>
                <w:rFonts w:hint="eastAsia" w:ascii="宋体" w:hAnsi="宋体" w:eastAsia="宋体" w:cs="宋体"/>
                <w:color w:val="auto"/>
                <w:sz w:val="24"/>
                <w:szCs w:val="24"/>
                <w:highlight w:val="none"/>
              </w:rPr>
            </w:pPr>
          </w:p>
        </w:tc>
        <w:tc>
          <w:tcPr>
            <w:tcW w:w="2792" w:type="dxa"/>
            <w:noWrap w:val="0"/>
            <w:vAlign w:val="top"/>
          </w:tcPr>
          <w:p>
            <w:pPr>
              <w:spacing w:line="360" w:lineRule="auto"/>
              <w:jc w:val="center"/>
              <w:rPr>
                <w:rFonts w:hint="eastAsia" w:ascii="宋体" w:hAnsi="宋体" w:eastAsia="宋体" w:cs="宋体"/>
                <w:color w:val="auto"/>
                <w:sz w:val="24"/>
                <w:szCs w:val="24"/>
                <w:highlight w:val="none"/>
              </w:rPr>
            </w:pPr>
          </w:p>
        </w:tc>
        <w:tc>
          <w:tcPr>
            <w:tcW w:w="2658" w:type="dxa"/>
            <w:noWrap w:val="0"/>
            <w:vAlign w:val="top"/>
          </w:tcPr>
          <w:p>
            <w:pPr>
              <w:spacing w:line="360" w:lineRule="auto"/>
              <w:jc w:val="center"/>
              <w:rPr>
                <w:rFonts w:hint="eastAsia" w:ascii="宋体" w:hAnsi="宋体" w:eastAsia="宋体" w:cs="宋体"/>
                <w:color w:val="auto"/>
                <w:sz w:val="24"/>
                <w:szCs w:val="24"/>
                <w:highlight w:val="none"/>
              </w:rPr>
            </w:pPr>
          </w:p>
        </w:tc>
        <w:tc>
          <w:tcPr>
            <w:tcW w:w="2628" w:type="dxa"/>
            <w:noWrap w:val="0"/>
            <w:vAlign w:val="top"/>
          </w:tcPr>
          <w:p>
            <w:pPr>
              <w:spacing w:line="360" w:lineRule="auto"/>
              <w:jc w:val="center"/>
              <w:rPr>
                <w:rFonts w:hint="eastAsia" w:ascii="宋体" w:hAnsi="宋体" w:eastAsia="宋体" w:cs="宋体"/>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69" w:hRule="atLeast"/>
          <w:jc w:val="center"/>
        </w:trPr>
        <w:tc>
          <w:tcPr>
            <w:tcW w:w="960" w:type="dxa"/>
            <w:noWrap w:val="0"/>
            <w:vAlign w:val="top"/>
          </w:tcPr>
          <w:p>
            <w:pPr>
              <w:spacing w:line="360" w:lineRule="auto"/>
              <w:jc w:val="center"/>
              <w:rPr>
                <w:rFonts w:hint="eastAsia" w:ascii="宋体" w:hAnsi="宋体" w:eastAsia="宋体" w:cs="宋体"/>
                <w:color w:val="auto"/>
                <w:sz w:val="24"/>
                <w:szCs w:val="24"/>
                <w:highlight w:val="none"/>
              </w:rPr>
            </w:pPr>
          </w:p>
        </w:tc>
        <w:tc>
          <w:tcPr>
            <w:tcW w:w="2792" w:type="dxa"/>
            <w:noWrap w:val="0"/>
            <w:vAlign w:val="top"/>
          </w:tcPr>
          <w:p>
            <w:pPr>
              <w:spacing w:line="360" w:lineRule="auto"/>
              <w:jc w:val="center"/>
              <w:rPr>
                <w:rFonts w:hint="eastAsia" w:ascii="宋体" w:hAnsi="宋体" w:eastAsia="宋体" w:cs="宋体"/>
                <w:color w:val="auto"/>
                <w:sz w:val="24"/>
                <w:szCs w:val="24"/>
                <w:highlight w:val="none"/>
              </w:rPr>
            </w:pPr>
          </w:p>
        </w:tc>
        <w:tc>
          <w:tcPr>
            <w:tcW w:w="2658" w:type="dxa"/>
            <w:noWrap w:val="0"/>
            <w:vAlign w:val="top"/>
          </w:tcPr>
          <w:p>
            <w:pPr>
              <w:spacing w:line="360" w:lineRule="auto"/>
              <w:jc w:val="center"/>
              <w:rPr>
                <w:rFonts w:hint="eastAsia" w:ascii="宋体" w:hAnsi="宋体" w:eastAsia="宋体" w:cs="宋体"/>
                <w:color w:val="auto"/>
                <w:sz w:val="24"/>
                <w:szCs w:val="24"/>
                <w:highlight w:val="none"/>
              </w:rPr>
            </w:pPr>
          </w:p>
        </w:tc>
        <w:tc>
          <w:tcPr>
            <w:tcW w:w="2628" w:type="dxa"/>
            <w:noWrap w:val="0"/>
            <w:vAlign w:val="top"/>
          </w:tcPr>
          <w:p>
            <w:pPr>
              <w:spacing w:line="360" w:lineRule="auto"/>
              <w:jc w:val="center"/>
              <w:rPr>
                <w:rFonts w:hint="eastAsia" w:ascii="宋体" w:hAnsi="宋体" w:eastAsia="宋体" w:cs="宋体"/>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69" w:hRule="atLeast"/>
          <w:jc w:val="center"/>
        </w:trPr>
        <w:tc>
          <w:tcPr>
            <w:tcW w:w="960" w:type="dxa"/>
            <w:noWrap w:val="0"/>
            <w:vAlign w:val="top"/>
          </w:tcPr>
          <w:p>
            <w:pPr>
              <w:spacing w:line="360" w:lineRule="auto"/>
              <w:jc w:val="center"/>
              <w:rPr>
                <w:rFonts w:hint="eastAsia" w:ascii="宋体" w:hAnsi="宋体" w:eastAsia="宋体" w:cs="宋体"/>
                <w:color w:val="auto"/>
                <w:sz w:val="24"/>
                <w:szCs w:val="24"/>
                <w:highlight w:val="none"/>
              </w:rPr>
            </w:pPr>
          </w:p>
        </w:tc>
        <w:tc>
          <w:tcPr>
            <w:tcW w:w="2792" w:type="dxa"/>
            <w:noWrap w:val="0"/>
            <w:vAlign w:val="top"/>
          </w:tcPr>
          <w:p>
            <w:pPr>
              <w:spacing w:line="360" w:lineRule="auto"/>
              <w:jc w:val="center"/>
              <w:rPr>
                <w:rFonts w:hint="eastAsia" w:ascii="宋体" w:hAnsi="宋体" w:eastAsia="宋体" w:cs="宋体"/>
                <w:color w:val="auto"/>
                <w:sz w:val="24"/>
                <w:szCs w:val="24"/>
                <w:highlight w:val="none"/>
              </w:rPr>
            </w:pPr>
          </w:p>
        </w:tc>
        <w:tc>
          <w:tcPr>
            <w:tcW w:w="2658" w:type="dxa"/>
            <w:noWrap w:val="0"/>
            <w:vAlign w:val="top"/>
          </w:tcPr>
          <w:p>
            <w:pPr>
              <w:spacing w:line="360" w:lineRule="auto"/>
              <w:jc w:val="center"/>
              <w:rPr>
                <w:rFonts w:hint="eastAsia" w:ascii="宋体" w:hAnsi="宋体" w:eastAsia="宋体" w:cs="宋体"/>
                <w:color w:val="auto"/>
                <w:sz w:val="24"/>
                <w:szCs w:val="24"/>
                <w:highlight w:val="none"/>
              </w:rPr>
            </w:pPr>
          </w:p>
        </w:tc>
        <w:tc>
          <w:tcPr>
            <w:tcW w:w="2628" w:type="dxa"/>
            <w:noWrap w:val="0"/>
            <w:vAlign w:val="top"/>
          </w:tcPr>
          <w:p>
            <w:pPr>
              <w:spacing w:line="360" w:lineRule="auto"/>
              <w:jc w:val="center"/>
              <w:rPr>
                <w:rFonts w:hint="eastAsia" w:ascii="宋体" w:hAnsi="宋体" w:eastAsia="宋体" w:cs="宋体"/>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69" w:hRule="atLeast"/>
          <w:jc w:val="center"/>
        </w:trPr>
        <w:tc>
          <w:tcPr>
            <w:tcW w:w="960" w:type="dxa"/>
            <w:noWrap w:val="0"/>
            <w:vAlign w:val="top"/>
          </w:tcPr>
          <w:p>
            <w:pPr>
              <w:spacing w:line="360" w:lineRule="auto"/>
              <w:jc w:val="center"/>
              <w:rPr>
                <w:rFonts w:hint="eastAsia" w:ascii="宋体" w:hAnsi="宋体" w:eastAsia="宋体" w:cs="宋体"/>
                <w:color w:val="auto"/>
                <w:sz w:val="24"/>
                <w:szCs w:val="24"/>
                <w:highlight w:val="none"/>
              </w:rPr>
            </w:pPr>
          </w:p>
        </w:tc>
        <w:tc>
          <w:tcPr>
            <w:tcW w:w="2792" w:type="dxa"/>
            <w:noWrap w:val="0"/>
            <w:vAlign w:val="top"/>
          </w:tcPr>
          <w:p>
            <w:pPr>
              <w:spacing w:line="360" w:lineRule="auto"/>
              <w:jc w:val="center"/>
              <w:rPr>
                <w:rFonts w:hint="eastAsia" w:ascii="宋体" w:hAnsi="宋体" w:eastAsia="宋体" w:cs="宋体"/>
                <w:color w:val="auto"/>
                <w:sz w:val="24"/>
                <w:szCs w:val="24"/>
                <w:highlight w:val="none"/>
              </w:rPr>
            </w:pPr>
          </w:p>
        </w:tc>
        <w:tc>
          <w:tcPr>
            <w:tcW w:w="2658" w:type="dxa"/>
            <w:noWrap w:val="0"/>
            <w:vAlign w:val="top"/>
          </w:tcPr>
          <w:p>
            <w:pPr>
              <w:spacing w:line="360" w:lineRule="auto"/>
              <w:jc w:val="center"/>
              <w:rPr>
                <w:rFonts w:hint="eastAsia" w:ascii="宋体" w:hAnsi="宋体" w:eastAsia="宋体" w:cs="宋体"/>
                <w:color w:val="auto"/>
                <w:sz w:val="24"/>
                <w:szCs w:val="24"/>
                <w:highlight w:val="none"/>
              </w:rPr>
            </w:pPr>
          </w:p>
        </w:tc>
        <w:tc>
          <w:tcPr>
            <w:tcW w:w="2628" w:type="dxa"/>
            <w:noWrap w:val="0"/>
            <w:vAlign w:val="top"/>
          </w:tcPr>
          <w:p>
            <w:pPr>
              <w:spacing w:line="360" w:lineRule="auto"/>
              <w:jc w:val="center"/>
              <w:rPr>
                <w:rFonts w:hint="eastAsia" w:ascii="宋体" w:hAnsi="宋体" w:eastAsia="宋体" w:cs="宋体"/>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700" w:hRule="atLeast"/>
          <w:jc w:val="center"/>
        </w:trPr>
        <w:tc>
          <w:tcPr>
            <w:tcW w:w="960" w:type="dxa"/>
            <w:noWrap w:val="0"/>
            <w:vAlign w:val="top"/>
          </w:tcPr>
          <w:p>
            <w:pPr>
              <w:spacing w:line="360" w:lineRule="auto"/>
              <w:jc w:val="center"/>
              <w:rPr>
                <w:rFonts w:hint="eastAsia" w:ascii="宋体" w:hAnsi="宋体" w:eastAsia="宋体" w:cs="宋体"/>
                <w:color w:val="auto"/>
                <w:sz w:val="24"/>
                <w:szCs w:val="24"/>
                <w:highlight w:val="none"/>
              </w:rPr>
            </w:pPr>
          </w:p>
        </w:tc>
        <w:tc>
          <w:tcPr>
            <w:tcW w:w="2792" w:type="dxa"/>
            <w:noWrap w:val="0"/>
            <w:vAlign w:val="top"/>
          </w:tcPr>
          <w:p>
            <w:pPr>
              <w:spacing w:line="360" w:lineRule="auto"/>
              <w:jc w:val="center"/>
              <w:rPr>
                <w:rFonts w:hint="eastAsia" w:ascii="宋体" w:hAnsi="宋体" w:eastAsia="宋体" w:cs="宋体"/>
                <w:color w:val="auto"/>
                <w:sz w:val="24"/>
                <w:szCs w:val="24"/>
                <w:highlight w:val="none"/>
              </w:rPr>
            </w:pPr>
          </w:p>
        </w:tc>
        <w:tc>
          <w:tcPr>
            <w:tcW w:w="2658" w:type="dxa"/>
            <w:noWrap w:val="0"/>
            <w:vAlign w:val="top"/>
          </w:tcPr>
          <w:p>
            <w:pPr>
              <w:spacing w:line="360" w:lineRule="auto"/>
              <w:jc w:val="center"/>
              <w:rPr>
                <w:rFonts w:hint="eastAsia" w:ascii="宋体" w:hAnsi="宋体" w:eastAsia="宋体" w:cs="宋体"/>
                <w:color w:val="auto"/>
                <w:sz w:val="24"/>
                <w:szCs w:val="24"/>
                <w:highlight w:val="none"/>
              </w:rPr>
            </w:pPr>
          </w:p>
        </w:tc>
        <w:tc>
          <w:tcPr>
            <w:tcW w:w="2628" w:type="dxa"/>
            <w:noWrap w:val="0"/>
            <w:vAlign w:val="top"/>
          </w:tcPr>
          <w:p>
            <w:pPr>
              <w:spacing w:line="360" w:lineRule="auto"/>
              <w:jc w:val="center"/>
              <w:rPr>
                <w:rFonts w:hint="eastAsia" w:ascii="宋体" w:hAnsi="宋体" w:eastAsia="宋体" w:cs="宋体"/>
                <w:color w:val="auto"/>
                <w:sz w:val="24"/>
                <w:szCs w:val="24"/>
                <w:highlight w:val="none"/>
              </w:rPr>
            </w:pPr>
          </w:p>
        </w:tc>
      </w:tr>
    </w:tbl>
    <w:p>
      <w:pPr>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注：1、所有</w:t>
      </w:r>
      <w:r>
        <w:rPr>
          <w:rFonts w:hint="eastAsia" w:ascii="宋体" w:hAnsi="宋体" w:eastAsia="宋体" w:cs="宋体"/>
          <w:color w:val="auto"/>
          <w:sz w:val="24"/>
          <w:szCs w:val="24"/>
          <w:highlight w:val="none"/>
          <w:lang w:val="en-US" w:eastAsia="zh-CN"/>
        </w:rPr>
        <w:t>技术</w:t>
      </w:r>
      <w:r>
        <w:rPr>
          <w:rFonts w:hint="eastAsia" w:ascii="宋体" w:hAnsi="宋体" w:eastAsia="宋体" w:cs="宋体"/>
          <w:color w:val="auto"/>
          <w:sz w:val="24"/>
          <w:szCs w:val="24"/>
          <w:highlight w:val="none"/>
        </w:rPr>
        <w:t>条款须列明偏离情况。对于有偏离的（包含正、负偏离）必须具体指出技术指标项目，无偏离条款须填写“无偏离”。正偏离需提供佐证材料并列明页码范围</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视为有效</w:t>
      </w:r>
      <w:r>
        <w:rPr>
          <w:rFonts w:hint="eastAsia" w:ascii="宋体" w:hAnsi="宋体" w:eastAsia="宋体" w:cs="宋体"/>
          <w:color w:val="auto"/>
          <w:sz w:val="24"/>
          <w:szCs w:val="24"/>
          <w:highlight w:val="none"/>
          <w:lang w:eastAsia="zh-CN"/>
        </w:rPr>
        <w:t>。</w:t>
      </w:r>
    </w:p>
    <w:p>
      <w:pPr>
        <w:spacing w:line="360" w:lineRule="auto"/>
        <w:ind w:firstLine="3360" w:firstLineChars="1400"/>
        <w:rPr>
          <w:rFonts w:hint="eastAsia" w:ascii="宋体" w:hAnsi="宋体" w:eastAsia="宋体" w:cs="宋体"/>
          <w:color w:val="auto"/>
          <w:sz w:val="24"/>
          <w:szCs w:val="24"/>
          <w:highlight w:val="none"/>
        </w:rPr>
      </w:pPr>
    </w:p>
    <w:p>
      <w:pPr>
        <w:spacing w:line="360" w:lineRule="auto"/>
        <w:ind w:firstLine="3360" w:firstLineChars="1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供应商名称：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（盖章）</w:t>
      </w:r>
    </w:p>
    <w:p>
      <w:pPr>
        <w:spacing w:line="360" w:lineRule="auto"/>
        <w:ind w:firstLine="3360" w:firstLineChars="1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w:t>
      </w:r>
    </w:p>
    <w:p>
      <w:pPr>
        <w:spacing w:line="360" w:lineRule="auto"/>
        <w:ind w:firstLine="3360" w:firstLineChars="1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或委托代理人：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(签字或盖章)</w:t>
      </w:r>
    </w:p>
    <w:p>
      <w:pPr>
        <w:keepNext/>
        <w:keepLines/>
        <w:widowControl/>
        <w:tabs>
          <w:tab w:val="left" w:pos="720"/>
        </w:tabs>
        <w:spacing w:line="360" w:lineRule="auto"/>
        <w:jc w:val="center"/>
        <w:rPr>
          <w:rFonts w:hint="eastAsia" w:ascii="宋体" w:hAnsi="宋体" w:eastAsia="宋体" w:cs="宋体"/>
          <w:b/>
          <w:color w:val="auto"/>
          <w:kern w:val="0"/>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日        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rPr>
          <w:rFonts w:hint="eastAsia" w:ascii="仿宋" w:hAnsi="仿宋" w:eastAsia="仿宋" w:cs="仿宋"/>
          <w:b/>
          <w:bCs/>
          <w:sz w:val="28"/>
          <w:szCs w:val="28"/>
          <w:highlight w:val="none"/>
        </w:rPr>
      </w:pPr>
    </w:p>
    <w:p>
      <w:pPr>
        <w:rPr>
          <w:rFonts w:hint="eastAsia" w:ascii="宋体" w:hAnsi="宋体" w:cs="宋体"/>
          <w:b/>
          <w:bCs/>
          <w:sz w:val="28"/>
          <w:szCs w:val="28"/>
          <w:highlight w:val="none"/>
        </w:rPr>
      </w:pPr>
      <w:r>
        <w:rPr>
          <w:rFonts w:hint="eastAsia" w:ascii="宋体" w:hAnsi="宋体" w:cs="宋体"/>
          <w:b/>
          <w:bCs/>
          <w:sz w:val="28"/>
          <w:szCs w:val="28"/>
          <w:highlight w:val="none"/>
        </w:rPr>
        <w:br w:type="page"/>
      </w:r>
    </w:p>
    <w:p>
      <w:pPr>
        <w:overflowPunct w:val="0"/>
        <w:spacing w:line="360" w:lineRule="auto"/>
        <w:jc w:val="center"/>
        <w:outlineLvl w:val="1"/>
        <w:rPr>
          <w:rFonts w:ascii="宋体" w:hAnsi="宋体" w:cs="宋体"/>
          <w:highlight w:val="none"/>
        </w:rPr>
      </w:pPr>
      <w:r>
        <w:rPr>
          <w:rFonts w:hint="eastAsia" w:ascii="宋体" w:hAnsi="宋体" w:cs="宋体"/>
          <w:b/>
          <w:bCs/>
          <w:sz w:val="28"/>
          <w:szCs w:val="28"/>
          <w:highlight w:val="none"/>
        </w:rPr>
        <w:t>八、资格证明文件</w:t>
      </w:r>
      <w:bookmarkEnd w:id="121"/>
    </w:p>
    <w:p>
      <w:pPr>
        <w:overflowPunct w:val="0"/>
        <w:spacing w:line="360" w:lineRule="auto"/>
        <w:jc w:val="center"/>
        <w:rPr>
          <w:rFonts w:ascii="宋体" w:hAnsi="宋体" w:cs="宋体"/>
          <w:b/>
          <w:bCs/>
          <w:sz w:val="24"/>
          <w:highlight w:val="none"/>
        </w:rPr>
      </w:pPr>
      <w:r>
        <w:rPr>
          <w:rFonts w:hint="eastAsia" w:ascii="宋体" w:hAnsi="宋体" w:cs="宋体"/>
          <w:b/>
          <w:bCs/>
          <w:sz w:val="28"/>
          <w:szCs w:val="28"/>
          <w:highlight w:val="none"/>
        </w:rPr>
        <w:t>供应商情况表</w:t>
      </w:r>
    </w:p>
    <w:tbl>
      <w:tblPr>
        <w:tblStyle w:val="23"/>
        <w:tblW w:w="9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1"/>
        <w:gridCol w:w="1644"/>
        <w:gridCol w:w="1294"/>
        <w:gridCol w:w="372"/>
        <w:gridCol w:w="968"/>
        <w:gridCol w:w="902"/>
        <w:gridCol w:w="361"/>
        <w:gridCol w:w="1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981" w:type="dxa"/>
          </w:tcPr>
          <w:p>
            <w:pPr>
              <w:overflowPunct w:val="0"/>
              <w:spacing w:line="400" w:lineRule="atLeast"/>
              <w:jc w:val="center"/>
              <w:rPr>
                <w:rFonts w:ascii="宋体" w:hAnsi="宋体" w:cs="宋体"/>
                <w:sz w:val="24"/>
                <w:highlight w:val="none"/>
              </w:rPr>
            </w:pPr>
            <w:r>
              <w:rPr>
                <w:rFonts w:hint="eastAsia" w:ascii="宋体" w:hAnsi="宋体" w:cs="宋体"/>
                <w:sz w:val="24"/>
                <w:highlight w:val="none"/>
              </w:rPr>
              <w:t>单位名称</w:t>
            </w:r>
          </w:p>
        </w:tc>
        <w:tc>
          <w:tcPr>
            <w:tcW w:w="7051" w:type="dxa"/>
            <w:gridSpan w:val="7"/>
          </w:tcPr>
          <w:p>
            <w:pPr>
              <w:overflowPunct w:val="0"/>
              <w:spacing w:line="400" w:lineRule="atLeast"/>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981" w:type="dxa"/>
          </w:tcPr>
          <w:p>
            <w:pPr>
              <w:overflowPunct w:val="0"/>
              <w:spacing w:line="400" w:lineRule="atLeast"/>
              <w:jc w:val="center"/>
              <w:rPr>
                <w:rFonts w:ascii="宋体" w:hAnsi="宋体" w:cs="宋体"/>
                <w:sz w:val="24"/>
                <w:highlight w:val="none"/>
              </w:rPr>
            </w:pPr>
            <w:r>
              <w:rPr>
                <w:rFonts w:hint="eastAsia" w:ascii="宋体" w:hAnsi="宋体" w:cs="宋体"/>
                <w:sz w:val="24"/>
                <w:highlight w:val="none"/>
              </w:rPr>
              <w:t>营业执照编号</w:t>
            </w:r>
          </w:p>
        </w:tc>
        <w:tc>
          <w:tcPr>
            <w:tcW w:w="3310" w:type="dxa"/>
            <w:gridSpan w:val="3"/>
          </w:tcPr>
          <w:p>
            <w:pPr>
              <w:overflowPunct w:val="0"/>
              <w:spacing w:line="400" w:lineRule="atLeast"/>
              <w:jc w:val="center"/>
              <w:rPr>
                <w:rFonts w:ascii="宋体" w:hAnsi="宋体" w:cs="宋体"/>
                <w:sz w:val="24"/>
                <w:highlight w:val="none"/>
              </w:rPr>
            </w:pPr>
          </w:p>
        </w:tc>
        <w:tc>
          <w:tcPr>
            <w:tcW w:w="1870" w:type="dxa"/>
            <w:gridSpan w:val="2"/>
          </w:tcPr>
          <w:p>
            <w:pPr>
              <w:overflowPunct w:val="0"/>
              <w:spacing w:line="400" w:lineRule="atLeast"/>
              <w:jc w:val="center"/>
              <w:rPr>
                <w:rFonts w:ascii="宋体" w:hAnsi="宋体" w:cs="宋体"/>
                <w:sz w:val="24"/>
                <w:highlight w:val="none"/>
              </w:rPr>
            </w:pPr>
            <w:r>
              <w:rPr>
                <w:rFonts w:hint="eastAsia" w:ascii="宋体" w:hAnsi="宋体" w:cs="宋体"/>
                <w:sz w:val="24"/>
                <w:highlight w:val="none"/>
              </w:rPr>
              <w:t>注册日期</w:t>
            </w:r>
          </w:p>
        </w:tc>
        <w:tc>
          <w:tcPr>
            <w:tcW w:w="1871" w:type="dxa"/>
            <w:gridSpan w:val="2"/>
          </w:tcPr>
          <w:p>
            <w:pPr>
              <w:overflowPunct w:val="0"/>
              <w:spacing w:line="400" w:lineRule="atLeast"/>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981" w:type="dxa"/>
          </w:tcPr>
          <w:p>
            <w:pPr>
              <w:overflowPunct w:val="0"/>
              <w:spacing w:line="400" w:lineRule="atLeast"/>
              <w:jc w:val="center"/>
              <w:rPr>
                <w:rFonts w:ascii="宋体" w:hAnsi="宋体" w:cs="宋体"/>
                <w:sz w:val="24"/>
                <w:highlight w:val="none"/>
              </w:rPr>
            </w:pPr>
            <w:r>
              <w:rPr>
                <w:rFonts w:hint="eastAsia" w:ascii="宋体" w:hAnsi="宋体" w:cs="宋体"/>
                <w:sz w:val="24"/>
                <w:highlight w:val="none"/>
              </w:rPr>
              <w:t>营业地址</w:t>
            </w:r>
          </w:p>
        </w:tc>
        <w:tc>
          <w:tcPr>
            <w:tcW w:w="3310" w:type="dxa"/>
            <w:gridSpan w:val="3"/>
          </w:tcPr>
          <w:p>
            <w:pPr>
              <w:overflowPunct w:val="0"/>
              <w:spacing w:line="400" w:lineRule="atLeast"/>
              <w:jc w:val="center"/>
              <w:rPr>
                <w:rFonts w:ascii="宋体" w:hAnsi="宋体" w:cs="宋体"/>
                <w:sz w:val="24"/>
                <w:highlight w:val="none"/>
              </w:rPr>
            </w:pPr>
          </w:p>
        </w:tc>
        <w:tc>
          <w:tcPr>
            <w:tcW w:w="1870" w:type="dxa"/>
            <w:gridSpan w:val="2"/>
          </w:tcPr>
          <w:p>
            <w:pPr>
              <w:overflowPunct w:val="0"/>
              <w:spacing w:line="400" w:lineRule="atLeast"/>
              <w:jc w:val="center"/>
              <w:rPr>
                <w:rFonts w:ascii="宋体" w:hAnsi="宋体" w:cs="宋体"/>
                <w:sz w:val="24"/>
                <w:highlight w:val="none"/>
              </w:rPr>
            </w:pPr>
            <w:r>
              <w:rPr>
                <w:rFonts w:hint="eastAsia" w:ascii="宋体" w:hAnsi="宋体" w:cs="宋体"/>
                <w:sz w:val="24"/>
                <w:highlight w:val="none"/>
              </w:rPr>
              <w:t>注册资金</w:t>
            </w:r>
          </w:p>
        </w:tc>
        <w:tc>
          <w:tcPr>
            <w:tcW w:w="1871" w:type="dxa"/>
            <w:gridSpan w:val="2"/>
          </w:tcPr>
          <w:p>
            <w:pPr>
              <w:overflowPunct w:val="0"/>
              <w:spacing w:line="400" w:lineRule="atLeast"/>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981" w:type="dxa"/>
          </w:tcPr>
          <w:p>
            <w:pPr>
              <w:overflowPunct w:val="0"/>
              <w:spacing w:line="400" w:lineRule="atLeast"/>
              <w:jc w:val="center"/>
              <w:rPr>
                <w:rFonts w:ascii="宋体" w:hAnsi="宋体" w:cs="宋体"/>
                <w:sz w:val="24"/>
                <w:highlight w:val="none"/>
              </w:rPr>
            </w:pPr>
            <w:r>
              <w:rPr>
                <w:rFonts w:hint="eastAsia" w:ascii="宋体" w:hAnsi="宋体" w:cs="宋体"/>
                <w:sz w:val="24"/>
                <w:highlight w:val="none"/>
              </w:rPr>
              <w:t>法定代表人</w:t>
            </w:r>
          </w:p>
        </w:tc>
        <w:tc>
          <w:tcPr>
            <w:tcW w:w="1644" w:type="dxa"/>
          </w:tcPr>
          <w:p>
            <w:pPr>
              <w:overflowPunct w:val="0"/>
              <w:spacing w:line="400" w:lineRule="atLeast"/>
              <w:jc w:val="center"/>
              <w:rPr>
                <w:rFonts w:ascii="宋体" w:hAnsi="宋体" w:cs="宋体"/>
                <w:sz w:val="24"/>
                <w:highlight w:val="none"/>
              </w:rPr>
            </w:pPr>
          </w:p>
        </w:tc>
        <w:tc>
          <w:tcPr>
            <w:tcW w:w="1294" w:type="dxa"/>
          </w:tcPr>
          <w:p>
            <w:pPr>
              <w:overflowPunct w:val="0"/>
              <w:spacing w:line="400" w:lineRule="atLeast"/>
              <w:jc w:val="center"/>
              <w:rPr>
                <w:rFonts w:ascii="宋体" w:hAnsi="宋体" w:cs="宋体"/>
                <w:sz w:val="24"/>
                <w:highlight w:val="none"/>
              </w:rPr>
            </w:pPr>
            <w:r>
              <w:rPr>
                <w:rFonts w:hint="eastAsia" w:ascii="宋体" w:hAnsi="宋体" w:cs="宋体"/>
                <w:sz w:val="24"/>
                <w:highlight w:val="none"/>
              </w:rPr>
              <w:t>手机</w:t>
            </w:r>
          </w:p>
        </w:tc>
        <w:tc>
          <w:tcPr>
            <w:tcW w:w="1340" w:type="dxa"/>
            <w:gridSpan w:val="2"/>
          </w:tcPr>
          <w:p>
            <w:pPr>
              <w:overflowPunct w:val="0"/>
              <w:spacing w:line="400" w:lineRule="atLeast"/>
              <w:jc w:val="center"/>
              <w:rPr>
                <w:rFonts w:ascii="宋体" w:hAnsi="宋体" w:cs="宋体"/>
                <w:sz w:val="24"/>
                <w:highlight w:val="none"/>
              </w:rPr>
            </w:pPr>
          </w:p>
        </w:tc>
        <w:tc>
          <w:tcPr>
            <w:tcW w:w="1263" w:type="dxa"/>
            <w:gridSpan w:val="2"/>
          </w:tcPr>
          <w:p>
            <w:pPr>
              <w:overflowPunct w:val="0"/>
              <w:spacing w:line="400" w:lineRule="atLeast"/>
              <w:jc w:val="center"/>
              <w:rPr>
                <w:rFonts w:ascii="宋体" w:hAnsi="宋体" w:cs="宋体"/>
                <w:sz w:val="24"/>
                <w:highlight w:val="none"/>
              </w:rPr>
            </w:pPr>
            <w:r>
              <w:rPr>
                <w:rFonts w:hint="eastAsia" w:ascii="宋体" w:hAnsi="宋体" w:cs="宋体"/>
                <w:sz w:val="24"/>
                <w:highlight w:val="none"/>
              </w:rPr>
              <w:t>座机</w:t>
            </w:r>
          </w:p>
        </w:tc>
        <w:tc>
          <w:tcPr>
            <w:tcW w:w="1510" w:type="dxa"/>
          </w:tcPr>
          <w:p>
            <w:pPr>
              <w:overflowPunct w:val="0"/>
              <w:spacing w:line="400" w:lineRule="atLeast"/>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981" w:type="dxa"/>
          </w:tcPr>
          <w:p>
            <w:pPr>
              <w:overflowPunct w:val="0"/>
              <w:spacing w:line="400" w:lineRule="atLeast"/>
              <w:jc w:val="center"/>
              <w:rPr>
                <w:rFonts w:ascii="宋体" w:hAnsi="宋体" w:cs="宋体"/>
                <w:sz w:val="24"/>
                <w:highlight w:val="none"/>
              </w:rPr>
            </w:pPr>
            <w:r>
              <w:rPr>
                <w:rFonts w:hint="eastAsia" w:ascii="宋体" w:hAnsi="宋体" w:cs="宋体"/>
                <w:sz w:val="24"/>
                <w:highlight w:val="none"/>
              </w:rPr>
              <w:t>授权代表人</w:t>
            </w:r>
          </w:p>
        </w:tc>
        <w:tc>
          <w:tcPr>
            <w:tcW w:w="1644" w:type="dxa"/>
          </w:tcPr>
          <w:p>
            <w:pPr>
              <w:overflowPunct w:val="0"/>
              <w:spacing w:line="400" w:lineRule="atLeast"/>
              <w:jc w:val="center"/>
              <w:rPr>
                <w:rFonts w:ascii="宋体" w:hAnsi="宋体" w:cs="宋体"/>
                <w:sz w:val="24"/>
                <w:highlight w:val="none"/>
              </w:rPr>
            </w:pPr>
          </w:p>
        </w:tc>
        <w:tc>
          <w:tcPr>
            <w:tcW w:w="1294" w:type="dxa"/>
          </w:tcPr>
          <w:p>
            <w:pPr>
              <w:overflowPunct w:val="0"/>
              <w:spacing w:line="400" w:lineRule="atLeast"/>
              <w:jc w:val="center"/>
              <w:rPr>
                <w:rFonts w:ascii="宋体" w:hAnsi="宋体" w:cs="宋体"/>
                <w:sz w:val="24"/>
                <w:highlight w:val="none"/>
              </w:rPr>
            </w:pPr>
            <w:r>
              <w:rPr>
                <w:rFonts w:hint="eastAsia" w:ascii="宋体" w:hAnsi="宋体" w:cs="宋体"/>
                <w:sz w:val="24"/>
                <w:highlight w:val="none"/>
              </w:rPr>
              <w:t>手机</w:t>
            </w:r>
          </w:p>
        </w:tc>
        <w:tc>
          <w:tcPr>
            <w:tcW w:w="1340" w:type="dxa"/>
            <w:gridSpan w:val="2"/>
          </w:tcPr>
          <w:p>
            <w:pPr>
              <w:overflowPunct w:val="0"/>
              <w:spacing w:line="400" w:lineRule="atLeast"/>
              <w:jc w:val="center"/>
              <w:rPr>
                <w:rFonts w:ascii="宋体" w:hAnsi="宋体" w:cs="宋体"/>
                <w:sz w:val="24"/>
                <w:highlight w:val="none"/>
              </w:rPr>
            </w:pPr>
          </w:p>
        </w:tc>
        <w:tc>
          <w:tcPr>
            <w:tcW w:w="1263" w:type="dxa"/>
            <w:gridSpan w:val="2"/>
          </w:tcPr>
          <w:p>
            <w:pPr>
              <w:overflowPunct w:val="0"/>
              <w:spacing w:line="400" w:lineRule="atLeast"/>
              <w:jc w:val="center"/>
              <w:rPr>
                <w:rFonts w:ascii="宋体" w:hAnsi="宋体" w:cs="宋体"/>
                <w:sz w:val="24"/>
                <w:highlight w:val="none"/>
              </w:rPr>
            </w:pPr>
            <w:r>
              <w:rPr>
                <w:rFonts w:hint="eastAsia" w:ascii="宋体" w:hAnsi="宋体" w:cs="宋体"/>
                <w:sz w:val="24"/>
                <w:highlight w:val="none"/>
              </w:rPr>
              <w:t>座机</w:t>
            </w:r>
          </w:p>
        </w:tc>
        <w:tc>
          <w:tcPr>
            <w:tcW w:w="1510" w:type="dxa"/>
          </w:tcPr>
          <w:p>
            <w:pPr>
              <w:overflowPunct w:val="0"/>
              <w:spacing w:line="400" w:lineRule="atLeast"/>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981" w:type="dxa"/>
          </w:tcPr>
          <w:p>
            <w:pPr>
              <w:overflowPunct w:val="0"/>
              <w:spacing w:line="400" w:lineRule="atLeast"/>
              <w:jc w:val="center"/>
              <w:rPr>
                <w:rFonts w:ascii="宋体" w:hAnsi="宋体" w:cs="宋体"/>
                <w:sz w:val="24"/>
                <w:highlight w:val="none"/>
              </w:rPr>
            </w:pPr>
            <w:r>
              <w:rPr>
                <w:rFonts w:hint="eastAsia" w:ascii="宋体" w:hAnsi="宋体" w:cs="宋体"/>
                <w:sz w:val="24"/>
                <w:highlight w:val="none"/>
              </w:rPr>
              <w:t>企业基本户开户行</w:t>
            </w:r>
          </w:p>
        </w:tc>
        <w:tc>
          <w:tcPr>
            <w:tcW w:w="7051" w:type="dxa"/>
            <w:gridSpan w:val="7"/>
          </w:tcPr>
          <w:p>
            <w:pPr>
              <w:overflowPunct w:val="0"/>
              <w:spacing w:line="400" w:lineRule="atLeast"/>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981" w:type="dxa"/>
          </w:tcPr>
          <w:p>
            <w:pPr>
              <w:overflowPunct w:val="0"/>
              <w:spacing w:line="400" w:lineRule="atLeast"/>
              <w:jc w:val="center"/>
              <w:rPr>
                <w:rFonts w:ascii="宋体" w:hAnsi="宋体" w:cs="宋体"/>
                <w:sz w:val="24"/>
                <w:highlight w:val="none"/>
              </w:rPr>
            </w:pPr>
            <w:r>
              <w:rPr>
                <w:rFonts w:hint="eastAsia" w:ascii="宋体" w:hAnsi="宋体" w:cs="宋体"/>
                <w:sz w:val="24"/>
                <w:highlight w:val="none"/>
              </w:rPr>
              <w:t>账号</w:t>
            </w:r>
          </w:p>
        </w:tc>
        <w:tc>
          <w:tcPr>
            <w:tcW w:w="7051" w:type="dxa"/>
            <w:gridSpan w:val="7"/>
          </w:tcPr>
          <w:p>
            <w:pPr>
              <w:overflowPunct w:val="0"/>
              <w:spacing w:line="400" w:lineRule="atLeast"/>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jc w:val="center"/>
        </w:trPr>
        <w:tc>
          <w:tcPr>
            <w:tcW w:w="1981" w:type="dxa"/>
            <w:vAlign w:val="center"/>
          </w:tcPr>
          <w:p>
            <w:pPr>
              <w:overflowPunct w:val="0"/>
              <w:spacing w:line="400" w:lineRule="atLeast"/>
              <w:jc w:val="center"/>
              <w:rPr>
                <w:rFonts w:ascii="宋体" w:hAnsi="宋体" w:cs="宋体"/>
                <w:sz w:val="24"/>
                <w:highlight w:val="none"/>
              </w:rPr>
            </w:pPr>
            <w:r>
              <w:rPr>
                <w:rFonts w:hint="eastAsia" w:ascii="宋体" w:hAnsi="宋体" w:cs="宋体"/>
                <w:sz w:val="24"/>
                <w:highlight w:val="none"/>
              </w:rPr>
              <w:t>主要营业范围</w:t>
            </w:r>
          </w:p>
        </w:tc>
        <w:tc>
          <w:tcPr>
            <w:tcW w:w="7051" w:type="dxa"/>
            <w:gridSpan w:val="7"/>
          </w:tcPr>
          <w:p>
            <w:pPr>
              <w:overflowPunct w:val="0"/>
              <w:spacing w:line="400" w:lineRule="atLeast"/>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0" w:hRule="atLeast"/>
          <w:jc w:val="center"/>
        </w:trPr>
        <w:tc>
          <w:tcPr>
            <w:tcW w:w="1981" w:type="dxa"/>
            <w:vAlign w:val="center"/>
          </w:tcPr>
          <w:p>
            <w:pPr>
              <w:overflowPunct w:val="0"/>
              <w:spacing w:line="400" w:lineRule="atLeast"/>
              <w:jc w:val="center"/>
              <w:rPr>
                <w:rFonts w:ascii="宋体" w:hAnsi="宋体" w:cs="宋体"/>
                <w:sz w:val="24"/>
                <w:highlight w:val="none"/>
              </w:rPr>
            </w:pPr>
            <w:r>
              <w:rPr>
                <w:rFonts w:hint="eastAsia" w:ascii="宋体" w:hAnsi="宋体" w:cs="宋体"/>
                <w:sz w:val="24"/>
                <w:highlight w:val="none"/>
              </w:rPr>
              <w:t>关联企业关系</w:t>
            </w:r>
          </w:p>
        </w:tc>
        <w:tc>
          <w:tcPr>
            <w:tcW w:w="7051" w:type="dxa"/>
            <w:gridSpan w:val="7"/>
            <w:vAlign w:val="center"/>
          </w:tcPr>
          <w:p>
            <w:pPr>
              <w:topLinePunct/>
              <w:spacing w:line="400" w:lineRule="atLeast"/>
              <w:jc w:val="left"/>
              <w:rPr>
                <w:rFonts w:ascii="宋体" w:hAnsi="宋体" w:cs="宋体"/>
                <w:sz w:val="24"/>
                <w:highlight w:val="none"/>
              </w:rPr>
            </w:pPr>
            <w:r>
              <w:rPr>
                <w:rFonts w:hint="eastAsia" w:ascii="宋体" w:hAnsi="宋体" w:cs="宋体"/>
                <w:sz w:val="24"/>
                <w:highlight w:val="none"/>
              </w:rPr>
              <w:t>供应商应提供关联企业情况，包括：</w:t>
            </w:r>
          </w:p>
          <w:p>
            <w:pPr>
              <w:topLinePunct/>
              <w:spacing w:line="400" w:lineRule="atLeast"/>
              <w:jc w:val="left"/>
              <w:rPr>
                <w:rFonts w:ascii="宋体" w:hAnsi="宋体" w:cs="宋体"/>
                <w:sz w:val="24"/>
                <w:highlight w:val="none"/>
              </w:rPr>
            </w:pPr>
            <w:r>
              <w:rPr>
                <w:rFonts w:hint="eastAsia" w:ascii="宋体" w:hAnsi="宋体" w:cs="宋体"/>
                <w:sz w:val="24"/>
                <w:highlight w:val="none"/>
              </w:rPr>
              <w:t>（1）供应商的所有股东名称及相应股权（出资额）比例；如供应商为上市公司，供应商应提供股权占公司股份总数5%以上的所有股东名称及相应股权比例；</w:t>
            </w:r>
          </w:p>
          <w:p>
            <w:pPr>
              <w:numPr>
                <w:ilvl w:val="0"/>
                <w:numId w:val="7"/>
              </w:numPr>
              <w:topLinePunct/>
              <w:spacing w:line="400" w:lineRule="atLeast"/>
              <w:jc w:val="left"/>
              <w:rPr>
                <w:rFonts w:ascii="宋体" w:hAnsi="宋体" w:cs="宋体"/>
                <w:sz w:val="24"/>
                <w:highlight w:val="none"/>
              </w:rPr>
            </w:pPr>
            <w:r>
              <w:rPr>
                <w:rFonts w:hint="eastAsia" w:ascii="宋体" w:hAnsi="宋体" w:cs="宋体"/>
                <w:sz w:val="24"/>
                <w:highlight w:val="none"/>
              </w:rPr>
              <w:t>供应商投资（控股）或管理的下属企业名称、持有股权（出资额）比例；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1981" w:type="dxa"/>
            <w:vAlign w:val="center"/>
          </w:tcPr>
          <w:p>
            <w:pPr>
              <w:overflowPunct w:val="0"/>
              <w:spacing w:line="400" w:lineRule="atLeast"/>
              <w:jc w:val="center"/>
              <w:rPr>
                <w:rFonts w:ascii="宋体" w:hAnsi="宋体" w:cs="宋体"/>
                <w:sz w:val="24"/>
                <w:highlight w:val="none"/>
              </w:rPr>
            </w:pPr>
            <w:r>
              <w:rPr>
                <w:rFonts w:hint="eastAsia" w:ascii="宋体" w:hAnsi="宋体" w:cs="宋体"/>
                <w:sz w:val="24"/>
                <w:highlight w:val="none"/>
              </w:rPr>
              <w:t>备注</w:t>
            </w:r>
          </w:p>
        </w:tc>
        <w:tc>
          <w:tcPr>
            <w:tcW w:w="7051" w:type="dxa"/>
            <w:gridSpan w:val="7"/>
          </w:tcPr>
          <w:p>
            <w:pPr>
              <w:overflowPunct w:val="0"/>
              <w:spacing w:line="400" w:lineRule="atLeast"/>
              <w:jc w:val="center"/>
              <w:rPr>
                <w:rFonts w:ascii="宋体" w:hAnsi="宋体" w:cs="宋体"/>
                <w:sz w:val="24"/>
                <w:highlight w:val="none"/>
              </w:rPr>
            </w:pPr>
          </w:p>
        </w:tc>
      </w:tr>
    </w:tbl>
    <w:p>
      <w:pPr>
        <w:overflowPunct w:val="0"/>
        <w:spacing w:line="360" w:lineRule="auto"/>
        <w:rPr>
          <w:rFonts w:ascii="宋体" w:hAnsi="宋体" w:cs="宋体"/>
          <w:highlight w:val="none"/>
        </w:rPr>
      </w:pPr>
      <w:r>
        <w:rPr>
          <w:rFonts w:hint="eastAsia" w:ascii="宋体" w:hAnsi="宋体" w:cs="宋体"/>
          <w:highlight w:val="none"/>
        </w:rPr>
        <w:t>后附资料：</w:t>
      </w:r>
    </w:p>
    <w:p>
      <w:pPr>
        <w:pStyle w:val="20"/>
        <w:shd w:val="clear" w:color="auto" w:fill="FFFFFF"/>
        <w:spacing w:beforeAutospacing="0" w:afterAutospacing="0" w:line="360" w:lineRule="auto"/>
        <w:rPr>
          <w:b/>
          <w:bCs/>
          <w:highlight w:val="none"/>
        </w:rPr>
      </w:pPr>
      <w:r>
        <w:rPr>
          <w:rFonts w:hint="eastAsia"/>
          <w:b/>
          <w:bCs/>
          <w:highlight w:val="none"/>
        </w:rPr>
        <w:t>（1）基本资格条件证明资料：</w:t>
      </w:r>
    </w:p>
    <w:p>
      <w:pPr>
        <w:pStyle w:val="20"/>
        <w:shd w:val="clear" w:color="auto" w:fill="FFFFFF"/>
        <w:spacing w:beforeAutospacing="0" w:afterAutospacing="0" w:line="360" w:lineRule="auto"/>
        <w:ind w:firstLine="420"/>
        <w:rPr>
          <w:highlight w:val="none"/>
        </w:rPr>
      </w:pPr>
      <w:r>
        <w:rPr>
          <w:rFonts w:hint="eastAsia"/>
          <w:highlight w:val="none"/>
        </w:rPr>
        <w:t xml:space="preserve">1、具有独立承担民事责任能力的法人、其他组织或自然人，提供合法有效的统一社会信用代码营业执照（事业单位提供事业单位法人证书，自然人提供身份证明）； </w:t>
      </w:r>
    </w:p>
    <w:p>
      <w:pPr>
        <w:pStyle w:val="20"/>
        <w:shd w:val="clear" w:color="auto" w:fill="FFFFFF"/>
        <w:spacing w:beforeAutospacing="0" w:afterAutospacing="0" w:line="360" w:lineRule="auto"/>
        <w:ind w:firstLine="420"/>
        <w:rPr>
          <w:rFonts w:hint="eastAsia"/>
          <w:highlight w:val="none"/>
          <w:lang w:eastAsia="zh-CN"/>
        </w:rPr>
      </w:pPr>
      <w:r>
        <w:rPr>
          <w:rFonts w:hint="eastAsia"/>
          <w:highlight w:val="none"/>
        </w:rPr>
        <w:t>2、财务状况报告：</w:t>
      </w:r>
      <w:r>
        <w:rPr>
          <w:rFonts w:hint="eastAsia"/>
          <w:highlight w:val="none"/>
          <w:lang w:eastAsia="zh-CN"/>
        </w:rPr>
        <w:t>提供具有财务审计资质单位出具的2021年度财务报告或</w:t>
      </w:r>
      <w:r>
        <w:rPr>
          <w:rFonts w:hint="eastAsia"/>
          <w:highlight w:val="none"/>
          <w:lang w:val="en-US" w:eastAsia="zh-CN"/>
        </w:rPr>
        <w:t>2022年度</w:t>
      </w:r>
      <w:r>
        <w:rPr>
          <w:rFonts w:hint="eastAsia"/>
          <w:highlight w:val="none"/>
          <w:lang w:eastAsia="zh-CN"/>
        </w:rPr>
        <w:t>财务报告</w:t>
      </w:r>
      <w:r>
        <w:rPr>
          <w:rFonts w:hint="eastAsia"/>
          <w:highlight w:val="none"/>
          <w:lang w:val="en-US" w:eastAsia="zh-CN"/>
        </w:rPr>
        <w:t>或</w:t>
      </w:r>
      <w:r>
        <w:rPr>
          <w:rFonts w:hint="eastAsia"/>
          <w:highlight w:val="none"/>
          <w:lang w:eastAsia="zh-CN"/>
        </w:rPr>
        <w:t>2022年7月1日至今其基本账户银行出具的资信证明，其他组织和自然人提供银行出具的资信证明或财务报表；</w:t>
      </w:r>
    </w:p>
    <w:p>
      <w:pPr>
        <w:pStyle w:val="20"/>
        <w:shd w:val="clear" w:color="auto" w:fill="FFFFFF"/>
        <w:spacing w:beforeAutospacing="0" w:afterAutospacing="0" w:line="360" w:lineRule="auto"/>
        <w:ind w:firstLine="420"/>
        <w:rPr>
          <w:highlight w:val="none"/>
        </w:rPr>
      </w:pPr>
      <w:r>
        <w:rPr>
          <w:rFonts w:hint="eastAsia"/>
          <w:highlight w:val="none"/>
        </w:rPr>
        <w:t xml:space="preserve">3、 社会保障资金缴纳证明：提供开标前六个月内任意时段已缴存的社会保障资金缴存单据或社保机构开具的社会保险参保缴费情况证明；依法不需要缴纳社会保障资金的应提供相关文件证明； </w:t>
      </w:r>
    </w:p>
    <w:p>
      <w:pPr>
        <w:pStyle w:val="20"/>
        <w:shd w:val="clear" w:color="auto" w:fill="FFFFFF"/>
        <w:spacing w:beforeAutospacing="0" w:afterAutospacing="0" w:line="360" w:lineRule="auto"/>
        <w:ind w:firstLine="420"/>
        <w:rPr>
          <w:highlight w:val="none"/>
        </w:rPr>
      </w:pPr>
      <w:r>
        <w:rPr>
          <w:rFonts w:hint="eastAsia"/>
          <w:highlight w:val="none"/>
        </w:rPr>
        <w:t>4、 税收缴纳证明：提供开标前六个月内任意时段已缴纳的完税凭证或税务机关开具的完税证明（任意税种）；依法免税的应提供相关文件证明，零纳税的提供申报表；</w:t>
      </w:r>
    </w:p>
    <w:p>
      <w:pPr>
        <w:pStyle w:val="20"/>
        <w:shd w:val="clear" w:color="auto" w:fill="FFFFFF"/>
        <w:spacing w:beforeAutospacing="0" w:afterAutospacing="0" w:line="360" w:lineRule="auto"/>
        <w:ind w:firstLine="420"/>
        <w:rPr>
          <w:highlight w:val="none"/>
        </w:rPr>
      </w:pPr>
      <w:r>
        <w:rPr>
          <w:rFonts w:hint="eastAsia"/>
          <w:highlight w:val="none"/>
        </w:rPr>
        <w:t>5、 提供具有履行本合同所必需的专业技术能力的声明；</w:t>
      </w:r>
    </w:p>
    <w:p>
      <w:pPr>
        <w:pStyle w:val="20"/>
        <w:shd w:val="clear" w:color="auto" w:fill="FFFFFF"/>
        <w:spacing w:beforeAutospacing="0" w:afterAutospacing="0" w:line="360" w:lineRule="auto"/>
        <w:ind w:firstLine="420"/>
        <w:rPr>
          <w:highlight w:val="none"/>
        </w:rPr>
      </w:pPr>
      <w:r>
        <w:rPr>
          <w:rFonts w:hint="eastAsia"/>
          <w:highlight w:val="none"/>
        </w:rPr>
        <w:t>6、 参加本次政府采购活动前3年内在经营活动中没有重大违纪的声明；</w:t>
      </w:r>
    </w:p>
    <w:p>
      <w:pPr>
        <w:pStyle w:val="20"/>
        <w:shd w:val="clear" w:color="auto" w:fill="FFFFFF"/>
        <w:spacing w:beforeAutospacing="0" w:afterAutospacing="0" w:line="360" w:lineRule="auto"/>
        <w:rPr>
          <w:b/>
          <w:bCs/>
          <w:highlight w:val="none"/>
        </w:rPr>
      </w:pPr>
      <w:r>
        <w:rPr>
          <w:rFonts w:hint="eastAsia"/>
          <w:b/>
          <w:bCs/>
          <w:highlight w:val="none"/>
        </w:rPr>
        <w:t>（2）特定资格条件证明资料：</w:t>
      </w:r>
    </w:p>
    <w:p>
      <w:pPr>
        <w:pStyle w:val="20"/>
        <w:shd w:val="clear" w:color="auto" w:fill="FFFFFF"/>
        <w:spacing w:beforeAutospacing="0" w:afterAutospacing="0" w:line="360" w:lineRule="auto"/>
        <w:ind w:firstLine="420"/>
        <w:rPr>
          <w:highlight w:val="none"/>
        </w:rPr>
      </w:pPr>
      <w:r>
        <w:rPr>
          <w:rFonts w:hint="eastAsia"/>
          <w:highlight w:val="none"/>
        </w:rPr>
        <w:t>7、法定代表人直接参加磋商的，须出具法定代表人身份证明书及身份证；授权代表参加磋商的，须出具法定代表人授权书及授权代表身份证；</w:t>
      </w:r>
    </w:p>
    <w:p>
      <w:pPr>
        <w:pStyle w:val="20"/>
        <w:shd w:val="clear" w:color="auto" w:fill="FFFFFF"/>
        <w:spacing w:beforeAutospacing="0" w:afterAutospacing="0" w:line="360" w:lineRule="auto"/>
        <w:ind w:firstLine="420"/>
        <w:rPr>
          <w:highlight w:val="none"/>
        </w:rPr>
      </w:pPr>
      <w:r>
        <w:rPr>
          <w:rFonts w:hint="eastAsia"/>
          <w:highlight w:val="none"/>
        </w:rPr>
        <w:t>8、磋商保证金缴纳凭证或担保机构出具的保函；</w:t>
      </w:r>
    </w:p>
    <w:p>
      <w:pPr>
        <w:pStyle w:val="20"/>
        <w:shd w:val="clear" w:color="auto" w:fill="FFFFFF"/>
        <w:spacing w:beforeAutospacing="0" w:afterAutospacing="0" w:line="360" w:lineRule="auto"/>
        <w:ind w:firstLine="420"/>
        <w:rPr>
          <w:rFonts w:hint="eastAsia" w:cs="宋体"/>
          <w:color w:val="333333"/>
          <w:highlight w:val="none"/>
          <w:shd w:val="clear" w:color="auto" w:fill="FFFFFF"/>
          <w:lang w:eastAsia="zh-CN"/>
        </w:rPr>
      </w:pPr>
      <w:r>
        <w:rPr>
          <w:rFonts w:hint="eastAsia"/>
          <w:highlight w:val="none"/>
        </w:rPr>
        <w:t>9、</w:t>
      </w:r>
      <w:r>
        <w:rPr>
          <w:rFonts w:hint="eastAsia" w:cs="宋体"/>
          <w:color w:val="333333"/>
          <w:highlight w:val="none"/>
          <w:shd w:val="clear" w:color="auto" w:fill="FFFFFF"/>
          <w:lang w:val="en-US" w:eastAsia="zh-CN"/>
        </w:rPr>
        <w:t>供应商须</w:t>
      </w:r>
      <w:r>
        <w:rPr>
          <w:rFonts w:hint="eastAsia" w:cs="宋体"/>
          <w:color w:val="333333"/>
          <w:highlight w:val="none"/>
          <w:shd w:val="clear" w:color="auto" w:fill="FFFFFF"/>
          <w:lang w:eastAsia="zh-CN"/>
        </w:rPr>
        <w:t>具有交通运输部质量监督机构颁发的公路工程试验检测综合甲级资质</w:t>
      </w:r>
      <w:r>
        <w:rPr>
          <w:rFonts w:hint="eastAsia" w:cs="宋体"/>
          <w:color w:val="333333"/>
          <w:highlight w:val="none"/>
          <w:shd w:val="clear" w:color="auto" w:fill="FFFFFF"/>
          <w:lang w:val="en-US" w:eastAsia="zh-CN"/>
        </w:rPr>
        <w:t>或桥梁工程试验检测专项类资质。同时供应商须具备有效的</w:t>
      </w:r>
      <w:r>
        <w:rPr>
          <w:rFonts w:hint="eastAsia" w:cs="宋体"/>
          <w:color w:val="333333"/>
          <w:highlight w:val="none"/>
          <w:shd w:val="clear" w:color="auto" w:fill="FFFFFF"/>
          <w:lang w:eastAsia="zh-CN"/>
        </w:rPr>
        <w:t>国家质量技术监督部门颁发的</w:t>
      </w:r>
      <w:r>
        <w:rPr>
          <w:rFonts w:hint="eastAsia" w:cs="宋体"/>
          <w:color w:val="333333"/>
          <w:highlight w:val="none"/>
          <w:shd w:val="clear" w:color="auto" w:fill="FFFFFF"/>
          <w:lang w:val="en-US" w:eastAsia="zh-CN"/>
        </w:rPr>
        <w:t>省部级以上</w:t>
      </w:r>
      <w:r>
        <w:rPr>
          <w:rFonts w:hint="eastAsia" w:cs="宋体"/>
          <w:color w:val="333333"/>
          <w:highlight w:val="none"/>
          <w:shd w:val="clear" w:color="auto" w:fill="FFFFFF"/>
          <w:lang w:eastAsia="zh-CN"/>
        </w:rPr>
        <w:t>计量认证CMA合格证书（具有</w:t>
      </w:r>
      <w:r>
        <w:rPr>
          <w:rFonts w:hint="eastAsia" w:cs="宋体"/>
          <w:color w:val="333333"/>
          <w:highlight w:val="none"/>
          <w:shd w:val="clear" w:color="auto" w:fill="FFFFFF"/>
          <w:lang w:val="en-US" w:eastAsia="zh-CN"/>
        </w:rPr>
        <w:t>桥梁、隧道检测能力</w:t>
      </w:r>
      <w:r>
        <w:rPr>
          <w:rFonts w:hint="eastAsia" w:cs="宋体"/>
          <w:color w:val="333333"/>
          <w:highlight w:val="none"/>
          <w:shd w:val="clear" w:color="auto" w:fill="FFFFFF"/>
          <w:lang w:eastAsia="zh-CN"/>
        </w:rPr>
        <w:t>），上述证书均须在有效期内。</w:t>
      </w:r>
    </w:p>
    <w:p>
      <w:pPr>
        <w:pStyle w:val="20"/>
        <w:shd w:val="clear" w:color="auto" w:fill="FFFFFF"/>
        <w:spacing w:beforeAutospacing="0" w:afterAutospacing="0" w:line="360" w:lineRule="auto"/>
        <w:ind w:firstLine="420"/>
        <w:rPr>
          <w:highlight w:val="none"/>
        </w:rPr>
      </w:pPr>
      <w:r>
        <w:rPr>
          <w:rFonts w:hint="eastAsia" w:cs="宋体"/>
          <w:color w:val="333333"/>
          <w:highlight w:val="none"/>
          <w:shd w:val="clear" w:color="auto" w:fill="FFFFFF"/>
          <w:lang w:val="en-US" w:eastAsia="zh-CN"/>
        </w:rPr>
        <w:t>10、</w:t>
      </w:r>
      <w:r>
        <w:rPr>
          <w:rFonts w:hint="eastAsia"/>
          <w:highlight w:val="none"/>
        </w:rPr>
        <w:t>供应商未被“信用中国”网站（www.creditchina.gov.cn）中列入失信被执行人和税收违法</w:t>
      </w:r>
      <w:r>
        <w:rPr>
          <w:rFonts w:hint="eastAsia"/>
          <w:highlight w:val="none"/>
          <w:lang w:val="en-US" w:eastAsia="zh-CN"/>
        </w:rPr>
        <w:t>黑</w:t>
      </w:r>
      <w:r>
        <w:rPr>
          <w:rFonts w:hint="eastAsia"/>
          <w:highlight w:val="none"/>
        </w:rPr>
        <w:t>名单，在中国政府采购网（www.ccgp.gov.cn）政府采购严重违法失信行为记录名单中未被财政部门禁止参加政府采购活动的供应商，未被省级及以上交通运输主管部门限制进入公路建养市场，且</w:t>
      </w:r>
      <w:r>
        <w:rPr>
          <w:rFonts w:hint="eastAsia"/>
          <w:highlight w:val="none"/>
          <w:lang w:val="en-US" w:eastAsia="zh-CN"/>
        </w:rPr>
        <w:t>不</w:t>
      </w:r>
      <w:r>
        <w:rPr>
          <w:rFonts w:hint="eastAsia"/>
          <w:highlight w:val="none"/>
        </w:rPr>
        <w:t xml:space="preserve">在处罚有效期内； </w:t>
      </w:r>
    </w:p>
    <w:p>
      <w:pPr>
        <w:pStyle w:val="20"/>
        <w:shd w:val="clear" w:color="auto" w:fill="FFFFFF"/>
        <w:spacing w:beforeAutospacing="0" w:afterAutospacing="0" w:line="360" w:lineRule="auto"/>
        <w:ind w:firstLine="482" w:firstLineChars="200"/>
        <w:rPr>
          <w:rFonts w:hint="eastAsia"/>
          <w:b/>
          <w:bCs/>
          <w:highlight w:val="none"/>
        </w:rPr>
      </w:pPr>
      <w:r>
        <w:rPr>
          <w:rFonts w:hint="eastAsia"/>
          <w:b/>
          <w:bCs/>
          <w:highlight w:val="none"/>
        </w:rPr>
        <w:t>注：1、根据财库（2019）38号文件规定，以上资料通过互联网或者相关信息系统查询的，供应商可以不提供复印件，但须说明查询方法及查询地址；资料原件采购人有权备查，若不提供，其资格审查不通过；</w:t>
      </w:r>
    </w:p>
    <w:p>
      <w:pPr>
        <w:pStyle w:val="20"/>
        <w:shd w:val="clear" w:color="auto" w:fill="FFFFFF"/>
        <w:spacing w:beforeAutospacing="0" w:afterAutospacing="0" w:line="360" w:lineRule="auto"/>
        <w:ind w:firstLine="482" w:firstLineChars="200"/>
        <w:rPr>
          <w:rFonts w:hint="eastAsia"/>
          <w:b/>
          <w:bCs/>
          <w:highlight w:val="none"/>
        </w:rPr>
      </w:pPr>
      <w:r>
        <w:rPr>
          <w:rFonts w:hint="eastAsia"/>
          <w:b/>
          <w:bCs/>
          <w:highlight w:val="none"/>
        </w:rPr>
        <w:t>2、分公司参与磋商，须提供总公司针对分公司参与本项目磋商的唯一授权函，否则按无效响应处理；</w:t>
      </w:r>
    </w:p>
    <w:p>
      <w:pPr>
        <w:pStyle w:val="20"/>
        <w:shd w:val="clear" w:color="auto" w:fill="FFFFFF"/>
        <w:spacing w:beforeAutospacing="0" w:afterAutospacing="0" w:line="360" w:lineRule="auto"/>
        <w:ind w:firstLine="482" w:firstLineChars="200"/>
        <w:rPr>
          <w:highlight w:val="none"/>
        </w:rPr>
      </w:pPr>
      <w:r>
        <w:rPr>
          <w:rFonts w:hint="eastAsia"/>
          <w:b/>
          <w:bCs/>
          <w:highlight w:val="none"/>
        </w:rPr>
        <w:t>3、以上资料有1项不符合要求，资格审查不通过；</w:t>
      </w:r>
      <w:r>
        <w:rPr>
          <w:rFonts w:hint="eastAsia"/>
          <w:highlight w:val="none"/>
        </w:rPr>
        <w:br w:type="page"/>
      </w:r>
      <w:r>
        <w:rPr>
          <w:rFonts w:hint="eastAsia"/>
          <w:bCs/>
          <w:highlight w:val="none"/>
        </w:rPr>
        <w:t>附</w:t>
      </w:r>
      <w:r>
        <w:rPr>
          <w:rFonts w:hint="eastAsia"/>
          <w:highlight w:val="none"/>
        </w:rPr>
        <w:t>件</w:t>
      </w:r>
      <w:r>
        <w:rPr>
          <w:rFonts w:hint="eastAsia"/>
          <w:bCs/>
          <w:highlight w:val="none"/>
        </w:rPr>
        <w:t>1：</w:t>
      </w:r>
    </w:p>
    <w:p>
      <w:pPr>
        <w:widowControl/>
        <w:spacing w:before="156" w:beforeLines="50" w:after="156" w:afterLines="50" w:line="500" w:lineRule="exact"/>
        <w:jc w:val="center"/>
        <w:rPr>
          <w:rFonts w:ascii="宋体" w:hAnsi="宋体" w:cs="宋体"/>
          <w:b/>
          <w:kern w:val="0"/>
          <w:sz w:val="24"/>
          <w:szCs w:val="24"/>
          <w:highlight w:val="none"/>
        </w:rPr>
      </w:pPr>
      <w:r>
        <w:rPr>
          <w:rFonts w:hint="eastAsia" w:ascii="宋体" w:hAnsi="宋体" w:cs="宋体"/>
          <w:b/>
          <w:kern w:val="0"/>
          <w:sz w:val="24"/>
          <w:szCs w:val="24"/>
          <w:highlight w:val="none"/>
        </w:rPr>
        <w:t>参加政府采购活动前3年内在经营活动中</w:t>
      </w:r>
    </w:p>
    <w:p>
      <w:pPr>
        <w:widowControl/>
        <w:spacing w:before="156" w:beforeLines="50" w:after="156" w:afterLines="50" w:line="500" w:lineRule="exact"/>
        <w:jc w:val="center"/>
        <w:rPr>
          <w:rFonts w:ascii="宋体" w:hAnsi="宋体" w:cs="宋体"/>
          <w:b/>
          <w:kern w:val="0"/>
          <w:sz w:val="24"/>
          <w:szCs w:val="24"/>
          <w:highlight w:val="none"/>
        </w:rPr>
      </w:pPr>
      <w:r>
        <w:rPr>
          <w:rFonts w:hint="eastAsia" w:ascii="宋体" w:hAnsi="宋体" w:cs="宋体"/>
          <w:b/>
          <w:kern w:val="0"/>
          <w:sz w:val="24"/>
          <w:szCs w:val="24"/>
          <w:highlight w:val="none"/>
        </w:rPr>
        <w:t>没有重大违法纪录的书面声明</w:t>
      </w:r>
    </w:p>
    <w:p>
      <w:pPr>
        <w:pStyle w:val="20"/>
        <w:wordWrap w:val="0"/>
        <w:spacing w:beforeAutospacing="0" w:afterAutospacing="0" w:line="560" w:lineRule="exact"/>
        <w:ind w:firstLine="420"/>
        <w:rPr>
          <w:sz w:val="24"/>
          <w:szCs w:val="24"/>
          <w:highlight w:val="none"/>
          <w:u w:val="single"/>
          <w:shd w:val="clear" w:color="auto" w:fill="FFFFFF"/>
        </w:rPr>
      </w:pPr>
      <w:r>
        <w:rPr>
          <w:rFonts w:hint="eastAsia"/>
          <w:sz w:val="24"/>
          <w:szCs w:val="24"/>
          <w:highlight w:val="none"/>
          <w:u w:val="single"/>
          <w:shd w:val="clear" w:color="auto" w:fill="FFFFFF"/>
        </w:rPr>
        <w:t xml:space="preserve">      （采购人）           ：</w:t>
      </w:r>
    </w:p>
    <w:p>
      <w:pPr>
        <w:pStyle w:val="20"/>
        <w:wordWrap w:val="0"/>
        <w:spacing w:beforeAutospacing="0" w:afterAutospacing="0" w:line="560" w:lineRule="exact"/>
        <w:ind w:firstLine="420"/>
        <w:rPr>
          <w:sz w:val="24"/>
          <w:szCs w:val="24"/>
          <w:highlight w:val="none"/>
        </w:rPr>
      </w:pPr>
      <w:r>
        <w:rPr>
          <w:rFonts w:hint="eastAsia"/>
          <w:sz w:val="24"/>
          <w:szCs w:val="24"/>
          <w:highlight w:val="none"/>
          <w:shd w:val="clear" w:color="auto" w:fill="FFFFFF"/>
        </w:rPr>
        <w:t>我方作为项目名称</w:t>
      </w:r>
      <w:r>
        <w:rPr>
          <w:rFonts w:hint="eastAsia"/>
          <w:sz w:val="24"/>
          <w:szCs w:val="24"/>
          <w:highlight w:val="none"/>
          <w:u w:val="single"/>
          <w:shd w:val="clear" w:color="auto" w:fill="FFFFFF"/>
        </w:rPr>
        <w:t xml:space="preserve">             </w:t>
      </w:r>
      <w:r>
        <w:rPr>
          <w:rFonts w:hint="eastAsia"/>
          <w:sz w:val="24"/>
          <w:szCs w:val="24"/>
          <w:highlight w:val="none"/>
          <w:shd w:val="clear" w:color="auto" w:fill="FFFFFF"/>
        </w:rPr>
        <w:t>（项目编号：</w:t>
      </w:r>
      <w:r>
        <w:rPr>
          <w:rFonts w:hint="eastAsia"/>
          <w:i/>
          <w:iCs/>
          <w:sz w:val="24"/>
          <w:szCs w:val="24"/>
          <w:highlight w:val="none"/>
          <w:u w:val="single"/>
          <w:shd w:val="clear" w:color="auto" w:fill="FFFFFF"/>
        </w:rPr>
        <w:t xml:space="preserve">          </w:t>
      </w:r>
      <w:r>
        <w:rPr>
          <w:rFonts w:hint="eastAsia"/>
          <w:sz w:val="24"/>
          <w:szCs w:val="24"/>
          <w:highlight w:val="none"/>
          <w:shd w:val="clear" w:color="auto" w:fill="FFFFFF"/>
        </w:rPr>
        <w:t xml:space="preserve">）的供应商，在此郑重声明： </w:t>
      </w:r>
    </w:p>
    <w:p>
      <w:pPr>
        <w:pStyle w:val="20"/>
        <w:wordWrap w:val="0"/>
        <w:spacing w:beforeAutospacing="0" w:afterAutospacing="0" w:line="560" w:lineRule="exact"/>
        <w:ind w:firstLine="720" w:firstLineChars="300"/>
        <w:rPr>
          <w:sz w:val="24"/>
          <w:szCs w:val="24"/>
          <w:highlight w:val="none"/>
        </w:rPr>
      </w:pPr>
      <w:r>
        <w:rPr>
          <w:rFonts w:hint="eastAsia"/>
          <w:sz w:val="24"/>
          <w:szCs w:val="24"/>
          <w:highlight w:val="none"/>
          <w:shd w:val="clear" w:color="auto" w:fill="FFFFFF"/>
        </w:rPr>
        <w:t>在参加本次政府采购活动前3年内的经营活动中</w:t>
      </w:r>
      <w:r>
        <w:rPr>
          <w:rFonts w:hint="eastAsia"/>
          <w:sz w:val="24"/>
          <w:szCs w:val="24"/>
          <w:highlight w:val="none"/>
          <w:u w:val="single"/>
          <w:shd w:val="clear" w:color="auto" w:fill="FFFFFF"/>
        </w:rPr>
        <w:t xml:space="preserve">          </w:t>
      </w:r>
      <w:r>
        <w:rPr>
          <w:rFonts w:hint="eastAsia"/>
          <w:sz w:val="24"/>
          <w:szCs w:val="24"/>
          <w:highlight w:val="none"/>
          <w:shd w:val="clear" w:color="auto" w:fill="FFFFFF"/>
        </w:rPr>
        <w:t xml:space="preserve">（填“没有”或“有”）重大违法记录。供应商在参加政府采购活动前3年内因违法经营被禁止在一定期限内参加政府采购活动，期限届满的，可以参加政府采购活动，但应提供期限届满的证明材料。 </w:t>
      </w:r>
    </w:p>
    <w:p>
      <w:pPr>
        <w:pStyle w:val="20"/>
        <w:wordWrap w:val="0"/>
        <w:spacing w:beforeAutospacing="0" w:afterAutospacing="0" w:line="560" w:lineRule="exact"/>
        <w:ind w:firstLine="420"/>
        <w:rPr>
          <w:sz w:val="24"/>
          <w:szCs w:val="24"/>
          <w:highlight w:val="none"/>
        </w:rPr>
      </w:pPr>
      <w:r>
        <w:rPr>
          <w:rFonts w:hint="eastAsia"/>
          <w:sz w:val="24"/>
          <w:szCs w:val="24"/>
          <w:highlight w:val="none"/>
          <w:shd w:val="clear" w:color="auto" w:fill="FFFFFF"/>
        </w:rPr>
        <w:t xml:space="preserve">如有不实，我方将无条件地退出本项目的采购活动，并遵照《政府采购法》有关“提供虚假材料的规定”接受处罚。 </w:t>
      </w:r>
    </w:p>
    <w:p>
      <w:pPr>
        <w:pStyle w:val="20"/>
        <w:wordWrap w:val="0"/>
        <w:spacing w:beforeAutospacing="0" w:afterAutospacing="0" w:line="560" w:lineRule="exact"/>
        <w:ind w:firstLine="420"/>
        <w:rPr>
          <w:sz w:val="24"/>
          <w:szCs w:val="24"/>
          <w:highlight w:val="none"/>
          <w:shd w:val="clear" w:color="auto" w:fill="FFFFFF"/>
        </w:rPr>
      </w:pPr>
      <w:r>
        <w:rPr>
          <w:rFonts w:hint="eastAsia"/>
          <w:sz w:val="24"/>
          <w:szCs w:val="24"/>
          <w:highlight w:val="none"/>
          <w:shd w:val="clear" w:color="auto" w:fill="FFFFFF"/>
        </w:rPr>
        <w:t>特此声明！</w:t>
      </w:r>
    </w:p>
    <w:p>
      <w:pPr>
        <w:spacing w:line="480" w:lineRule="auto"/>
        <w:ind w:firstLine="3360" w:firstLineChars="1400"/>
        <w:rPr>
          <w:rFonts w:ascii="宋体" w:hAnsi="宋体" w:cs="宋体"/>
          <w:sz w:val="24"/>
          <w:szCs w:val="24"/>
          <w:highlight w:val="none"/>
        </w:rPr>
      </w:pPr>
      <w:r>
        <w:rPr>
          <w:rFonts w:hint="eastAsia" w:ascii="宋体" w:hAnsi="宋体" w:cs="宋体"/>
          <w:sz w:val="24"/>
          <w:szCs w:val="24"/>
          <w:highlight w:val="none"/>
        </w:rPr>
        <w:t>供应商名称：</w:t>
      </w:r>
      <w:r>
        <w:rPr>
          <w:rFonts w:hint="eastAsia" w:ascii="宋体" w:hAnsi="宋体" w:cs="宋体"/>
          <w:sz w:val="24"/>
          <w:szCs w:val="24"/>
          <w:highlight w:val="none"/>
          <w:u w:val="single"/>
        </w:rPr>
        <w:t xml:space="preserve">                     </w:t>
      </w:r>
      <w:r>
        <w:rPr>
          <w:rFonts w:hint="eastAsia" w:ascii="宋体" w:hAnsi="宋体" w:cs="宋体"/>
          <w:sz w:val="24"/>
          <w:szCs w:val="24"/>
          <w:highlight w:val="none"/>
        </w:rPr>
        <w:t>（盖章）</w:t>
      </w:r>
    </w:p>
    <w:p>
      <w:pPr>
        <w:spacing w:line="360" w:lineRule="auto"/>
        <w:ind w:firstLine="3360" w:firstLineChars="1400"/>
        <w:rPr>
          <w:rFonts w:ascii="宋体" w:hAnsi="宋体" w:cs="宋体"/>
          <w:sz w:val="24"/>
          <w:szCs w:val="24"/>
          <w:highlight w:val="none"/>
        </w:rPr>
      </w:pPr>
      <w:r>
        <w:rPr>
          <w:rFonts w:hint="eastAsia" w:ascii="宋体" w:hAnsi="宋体" w:cs="宋体"/>
          <w:sz w:val="24"/>
          <w:szCs w:val="24"/>
          <w:highlight w:val="none"/>
        </w:rPr>
        <w:t>法定代表人</w:t>
      </w:r>
    </w:p>
    <w:p>
      <w:pPr>
        <w:spacing w:line="360" w:lineRule="auto"/>
        <w:ind w:firstLine="3360" w:firstLineChars="1400"/>
        <w:rPr>
          <w:rFonts w:ascii="宋体" w:hAnsi="宋体" w:cs="宋体"/>
          <w:sz w:val="24"/>
          <w:szCs w:val="24"/>
          <w:highlight w:val="none"/>
        </w:rPr>
      </w:pPr>
      <w:r>
        <w:rPr>
          <w:rFonts w:hint="eastAsia" w:ascii="宋体" w:hAnsi="宋体" w:cs="宋体"/>
          <w:sz w:val="24"/>
          <w:szCs w:val="24"/>
          <w:highlight w:val="none"/>
        </w:rPr>
        <w:t>或委托代理人：</w:t>
      </w:r>
      <w:r>
        <w:rPr>
          <w:rFonts w:hint="eastAsia" w:ascii="宋体" w:hAnsi="宋体" w:cs="宋体"/>
          <w:sz w:val="24"/>
          <w:szCs w:val="24"/>
          <w:highlight w:val="none"/>
          <w:u w:val="single"/>
        </w:rPr>
        <w:t xml:space="preserve">                </w:t>
      </w:r>
      <w:r>
        <w:rPr>
          <w:rFonts w:hint="eastAsia" w:ascii="宋体" w:hAnsi="宋体" w:cs="宋体"/>
          <w:sz w:val="24"/>
          <w:szCs w:val="24"/>
          <w:highlight w:val="none"/>
        </w:rPr>
        <w:t>(签字或盖章)</w:t>
      </w:r>
    </w:p>
    <w:p>
      <w:pPr>
        <w:pStyle w:val="51"/>
        <w:spacing w:before="156" w:beforeLines="50"/>
        <w:ind w:firstLine="3360" w:firstLineChars="1400"/>
        <w:rPr>
          <w:rFonts w:ascii="宋体" w:hAnsi="宋体" w:cs="宋体"/>
          <w:sz w:val="24"/>
          <w:szCs w:val="24"/>
          <w:highlight w:val="none"/>
        </w:rPr>
      </w:pPr>
      <w:r>
        <w:rPr>
          <w:rFonts w:hint="eastAsia" w:ascii="宋体" w:hAnsi="宋体" w:cs="宋体"/>
          <w:sz w:val="24"/>
          <w:szCs w:val="24"/>
          <w:highlight w:val="none"/>
        </w:rPr>
        <w:t>日        期：</w:t>
      </w:r>
      <w:r>
        <w:rPr>
          <w:rFonts w:hint="eastAsia" w:ascii="宋体" w:hAnsi="宋体" w:cs="宋体"/>
          <w:sz w:val="24"/>
          <w:szCs w:val="24"/>
          <w:highlight w:val="none"/>
          <w:u w:val="single"/>
        </w:rPr>
        <w:t xml:space="preserve">      </w:t>
      </w:r>
      <w:r>
        <w:rPr>
          <w:rFonts w:hint="eastAsia" w:ascii="宋体" w:hAnsi="宋体" w:cs="宋体"/>
          <w:sz w:val="24"/>
          <w:szCs w:val="24"/>
          <w:highlight w:val="none"/>
        </w:rPr>
        <w:t>年</w:t>
      </w:r>
      <w:r>
        <w:rPr>
          <w:rFonts w:hint="eastAsia" w:ascii="宋体" w:hAnsi="宋体" w:cs="宋体"/>
          <w:sz w:val="24"/>
          <w:szCs w:val="24"/>
          <w:highlight w:val="none"/>
          <w:u w:val="single"/>
        </w:rPr>
        <w:t xml:space="preserve">     </w:t>
      </w:r>
      <w:r>
        <w:rPr>
          <w:rFonts w:hint="eastAsia" w:ascii="宋体" w:hAnsi="宋体" w:cs="宋体"/>
          <w:sz w:val="24"/>
          <w:szCs w:val="24"/>
          <w:highlight w:val="none"/>
        </w:rPr>
        <w:t>月</w:t>
      </w:r>
      <w:r>
        <w:rPr>
          <w:rFonts w:hint="eastAsia" w:ascii="宋体" w:hAnsi="宋体" w:cs="宋体"/>
          <w:sz w:val="24"/>
          <w:szCs w:val="24"/>
          <w:highlight w:val="none"/>
          <w:u w:val="single"/>
        </w:rPr>
        <w:t xml:space="preserve">     </w:t>
      </w:r>
      <w:r>
        <w:rPr>
          <w:rFonts w:hint="eastAsia" w:ascii="宋体" w:hAnsi="宋体" w:cs="宋体"/>
          <w:sz w:val="24"/>
          <w:szCs w:val="24"/>
          <w:highlight w:val="none"/>
        </w:rPr>
        <w:t>日</w:t>
      </w:r>
    </w:p>
    <w:p>
      <w:pPr>
        <w:pStyle w:val="11"/>
        <w:overflowPunct w:val="0"/>
        <w:spacing w:before="120"/>
        <w:ind w:left="2167" w:right="1470" w:hanging="697"/>
        <w:jc w:val="center"/>
        <w:rPr>
          <w:rFonts w:ascii="宋体" w:hAnsi="宋体" w:cs="宋体"/>
          <w:sz w:val="24"/>
          <w:szCs w:val="24"/>
          <w:highlight w:val="none"/>
        </w:rPr>
      </w:pPr>
    </w:p>
    <w:p>
      <w:pPr>
        <w:rPr>
          <w:rFonts w:ascii="宋体" w:hAnsi="宋体" w:cs="宋体"/>
          <w:bCs/>
          <w:sz w:val="24"/>
          <w:highlight w:val="none"/>
        </w:rPr>
      </w:pPr>
      <w:r>
        <w:rPr>
          <w:rFonts w:hint="eastAsia" w:ascii="宋体" w:hAnsi="宋体" w:cs="宋体"/>
          <w:bCs/>
          <w:sz w:val="24"/>
          <w:highlight w:val="none"/>
        </w:rPr>
        <w:br w:type="page"/>
      </w:r>
    </w:p>
    <w:p>
      <w:pPr>
        <w:overflowPunct w:val="0"/>
        <w:adjustRightInd w:val="0"/>
        <w:snapToGrid w:val="0"/>
        <w:spacing w:line="440" w:lineRule="exact"/>
        <w:jc w:val="left"/>
        <w:rPr>
          <w:rFonts w:ascii="宋体" w:hAnsi="宋体" w:cs="宋体"/>
          <w:sz w:val="24"/>
          <w:highlight w:val="none"/>
        </w:rPr>
      </w:pPr>
      <w:r>
        <w:rPr>
          <w:rFonts w:hint="eastAsia" w:ascii="宋体" w:hAnsi="宋体" w:cs="宋体"/>
          <w:bCs/>
          <w:sz w:val="24"/>
          <w:highlight w:val="none"/>
        </w:rPr>
        <w:t>附</w:t>
      </w:r>
      <w:r>
        <w:rPr>
          <w:rFonts w:hint="eastAsia" w:ascii="宋体" w:hAnsi="宋体" w:cs="宋体"/>
          <w:sz w:val="24"/>
          <w:highlight w:val="none"/>
        </w:rPr>
        <w:t>件</w:t>
      </w:r>
      <w:r>
        <w:rPr>
          <w:rFonts w:hint="eastAsia" w:ascii="宋体" w:hAnsi="宋体" w:cs="宋体"/>
          <w:bCs/>
          <w:sz w:val="24"/>
          <w:highlight w:val="none"/>
        </w:rPr>
        <w:t>2：</w:t>
      </w:r>
    </w:p>
    <w:p>
      <w:pPr>
        <w:spacing w:line="480" w:lineRule="auto"/>
        <w:jc w:val="center"/>
        <w:rPr>
          <w:rFonts w:ascii="宋体" w:hAnsi="宋体" w:cs="宋体"/>
          <w:b/>
          <w:sz w:val="24"/>
          <w:szCs w:val="24"/>
          <w:highlight w:val="none"/>
        </w:rPr>
      </w:pPr>
      <w:r>
        <w:rPr>
          <w:rFonts w:hint="eastAsia" w:ascii="宋体" w:hAnsi="宋体" w:cs="宋体"/>
          <w:b/>
          <w:sz w:val="24"/>
          <w:szCs w:val="24"/>
          <w:highlight w:val="none"/>
        </w:rPr>
        <w:t>拒绝商业贿赂承诺书</w:t>
      </w:r>
    </w:p>
    <w:p>
      <w:pPr>
        <w:overflowPunct w:val="0"/>
        <w:spacing w:line="480" w:lineRule="auto"/>
        <w:ind w:firstLine="496" w:firstLineChars="200"/>
        <w:rPr>
          <w:rFonts w:ascii="宋体" w:hAnsi="宋体" w:cs="宋体"/>
          <w:spacing w:val="4"/>
          <w:sz w:val="24"/>
          <w:szCs w:val="24"/>
          <w:highlight w:val="none"/>
        </w:rPr>
      </w:pPr>
      <w:r>
        <w:rPr>
          <w:rFonts w:hint="eastAsia" w:ascii="宋体" w:hAnsi="宋体" w:cs="宋体"/>
          <w:spacing w:val="4"/>
          <w:sz w:val="24"/>
          <w:szCs w:val="24"/>
          <w:highlight w:val="none"/>
        </w:rPr>
        <w:t>为响应党中央、国务院关于治理政府采购领域商业贿赂行为的号召，我公司在此庄严承诺：</w:t>
      </w:r>
    </w:p>
    <w:p>
      <w:pPr>
        <w:overflowPunct w:val="0"/>
        <w:spacing w:line="480" w:lineRule="auto"/>
        <w:ind w:firstLine="496" w:firstLineChars="200"/>
        <w:rPr>
          <w:rFonts w:ascii="宋体" w:hAnsi="宋体" w:cs="宋体"/>
          <w:spacing w:val="4"/>
          <w:sz w:val="24"/>
          <w:szCs w:val="24"/>
          <w:highlight w:val="none"/>
        </w:rPr>
      </w:pPr>
      <w:r>
        <w:rPr>
          <w:rFonts w:hint="eastAsia" w:ascii="宋体" w:hAnsi="宋体" w:cs="宋体"/>
          <w:spacing w:val="4"/>
          <w:sz w:val="24"/>
          <w:szCs w:val="24"/>
          <w:highlight w:val="none"/>
        </w:rPr>
        <w:t>1、在参与政府采购活动中遵纪守法、诚信经营、公平竞标。</w:t>
      </w:r>
    </w:p>
    <w:p>
      <w:pPr>
        <w:overflowPunct w:val="0"/>
        <w:spacing w:line="480" w:lineRule="auto"/>
        <w:ind w:firstLine="496" w:firstLineChars="200"/>
        <w:rPr>
          <w:rFonts w:ascii="宋体" w:hAnsi="宋体" w:cs="宋体"/>
          <w:spacing w:val="4"/>
          <w:sz w:val="24"/>
          <w:szCs w:val="24"/>
          <w:highlight w:val="none"/>
        </w:rPr>
      </w:pPr>
      <w:r>
        <w:rPr>
          <w:rFonts w:hint="eastAsia" w:ascii="宋体" w:hAnsi="宋体" w:cs="宋体"/>
          <w:spacing w:val="4"/>
          <w:sz w:val="24"/>
          <w:szCs w:val="24"/>
          <w:highlight w:val="none"/>
        </w:rPr>
        <w:t>2、不向政府采购人、采购代理机构和政府采购评审专家进行任何形式的商业贿赂以谋取交易机会。</w:t>
      </w:r>
    </w:p>
    <w:p>
      <w:pPr>
        <w:overflowPunct w:val="0"/>
        <w:spacing w:line="480" w:lineRule="auto"/>
        <w:ind w:firstLine="496" w:firstLineChars="200"/>
        <w:rPr>
          <w:rFonts w:ascii="宋体" w:hAnsi="宋体" w:cs="宋体"/>
          <w:spacing w:val="4"/>
          <w:sz w:val="24"/>
          <w:szCs w:val="24"/>
          <w:highlight w:val="none"/>
        </w:rPr>
      </w:pPr>
      <w:r>
        <w:rPr>
          <w:rFonts w:hint="eastAsia" w:ascii="宋体" w:hAnsi="宋体" w:cs="宋体"/>
          <w:spacing w:val="4"/>
          <w:sz w:val="24"/>
          <w:szCs w:val="24"/>
          <w:highlight w:val="none"/>
        </w:rPr>
        <w:t>3、不向政府采购代理机构和采购人提供虚假资质证明文件或采用虚假应标方式参与政府采购市场竞争并谋取成交、成交。</w:t>
      </w:r>
    </w:p>
    <w:p>
      <w:pPr>
        <w:overflowPunct w:val="0"/>
        <w:spacing w:line="480" w:lineRule="auto"/>
        <w:ind w:firstLine="496" w:firstLineChars="200"/>
        <w:rPr>
          <w:rFonts w:ascii="宋体" w:hAnsi="宋体" w:cs="宋体"/>
          <w:spacing w:val="4"/>
          <w:sz w:val="24"/>
          <w:szCs w:val="24"/>
          <w:highlight w:val="none"/>
        </w:rPr>
      </w:pPr>
      <w:r>
        <w:rPr>
          <w:rFonts w:hint="eastAsia" w:ascii="宋体" w:hAnsi="宋体" w:cs="宋体"/>
          <w:spacing w:val="4"/>
          <w:sz w:val="24"/>
          <w:szCs w:val="24"/>
          <w:highlight w:val="none"/>
        </w:rPr>
        <w:t>4、不采取“围标、陪标”等商业欺诈手段获得政府采购订单。</w:t>
      </w:r>
    </w:p>
    <w:p>
      <w:pPr>
        <w:overflowPunct w:val="0"/>
        <w:spacing w:line="480" w:lineRule="auto"/>
        <w:ind w:firstLine="496" w:firstLineChars="200"/>
        <w:rPr>
          <w:rFonts w:ascii="宋体" w:hAnsi="宋体" w:cs="宋体"/>
          <w:spacing w:val="4"/>
          <w:sz w:val="24"/>
          <w:szCs w:val="24"/>
          <w:highlight w:val="none"/>
        </w:rPr>
      </w:pPr>
      <w:r>
        <w:rPr>
          <w:rFonts w:hint="eastAsia" w:ascii="宋体" w:hAnsi="宋体" w:cs="宋体"/>
          <w:spacing w:val="4"/>
          <w:sz w:val="24"/>
          <w:szCs w:val="24"/>
          <w:highlight w:val="none"/>
        </w:rPr>
        <w:t>5、不采取不正当手段诋毁、排挤其他供应商。</w:t>
      </w:r>
    </w:p>
    <w:p>
      <w:pPr>
        <w:overflowPunct w:val="0"/>
        <w:spacing w:line="480" w:lineRule="auto"/>
        <w:ind w:firstLine="496" w:firstLineChars="200"/>
        <w:rPr>
          <w:rFonts w:ascii="宋体" w:hAnsi="宋体" w:cs="宋体"/>
          <w:spacing w:val="4"/>
          <w:sz w:val="24"/>
          <w:szCs w:val="24"/>
          <w:highlight w:val="none"/>
        </w:rPr>
      </w:pPr>
      <w:r>
        <w:rPr>
          <w:rFonts w:hint="eastAsia" w:ascii="宋体" w:hAnsi="宋体" w:cs="宋体"/>
          <w:spacing w:val="4"/>
          <w:sz w:val="24"/>
          <w:szCs w:val="24"/>
          <w:highlight w:val="none"/>
        </w:rPr>
        <w:t>6、不在提供商品和服务时“偷梁换柱、以次充好”损害采购人的合法权益。</w:t>
      </w:r>
    </w:p>
    <w:p>
      <w:pPr>
        <w:overflowPunct w:val="0"/>
        <w:spacing w:line="480" w:lineRule="auto"/>
        <w:ind w:firstLine="496" w:firstLineChars="200"/>
        <w:rPr>
          <w:rFonts w:ascii="宋体" w:hAnsi="宋体" w:cs="宋体"/>
          <w:spacing w:val="4"/>
          <w:sz w:val="24"/>
          <w:szCs w:val="24"/>
          <w:highlight w:val="none"/>
        </w:rPr>
      </w:pPr>
      <w:r>
        <w:rPr>
          <w:rFonts w:hint="eastAsia" w:ascii="宋体" w:hAnsi="宋体" w:cs="宋体"/>
          <w:spacing w:val="4"/>
          <w:sz w:val="24"/>
          <w:szCs w:val="24"/>
          <w:highlight w:val="none"/>
        </w:rPr>
        <w:t>7、不与采购人、采购代理机构、政府采购评审专家或其它供应商恶意串通，进行质疑和投诉，维护政府采购市场秩序。</w:t>
      </w:r>
    </w:p>
    <w:p>
      <w:pPr>
        <w:overflowPunct w:val="0"/>
        <w:spacing w:line="480" w:lineRule="auto"/>
        <w:ind w:firstLine="496" w:firstLineChars="200"/>
        <w:rPr>
          <w:rFonts w:ascii="宋体" w:hAnsi="宋体" w:cs="宋体"/>
          <w:spacing w:val="4"/>
          <w:sz w:val="24"/>
          <w:szCs w:val="24"/>
          <w:highlight w:val="none"/>
        </w:rPr>
      </w:pPr>
      <w:r>
        <w:rPr>
          <w:rFonts w:hint="eastAsia" w:ascii="宋体" w:hAnsi="宋体" w:cs="宋体"/>
          <w:spacing w:val="4"/>
          <w:sz w:val="24"/>
          <w:szCs w:val="24"/>
          <w:highlight w:val="none"/>
        </w:rPr>
        <w:t>8、尊重和接受政府采购监督管理部门的监督和政府采购代理机构招标采购要求，承担因违约行为给采购人造成的损失。</w:t>
      </w:r>
    </w:p>
    <w:p>
      <w:pPr>
        <w:overflowPunct w:val="0"/>
        <w:spacing w:line="480" w:lineRule="auto"/>
        <w:ind w:firstLine="496" w:firstLineChars="200"/>
        <w:rPr>
          <w:rFonts w:ascii="宋体" w:hAnsi="宋体" w:cs="宋体"/>
          <w:b/>
          <w:bCs/>
          <w:sz w:val="24"/>
          <w:szCs w:val="24"/>
          <w:highlight w:val="none"/>
        </w:rPr>
      </w:pPr>
      <w:r>
        <w:rPr>
          <w:rFonts w:hint="eastAsia" w:ascii="宋体" w:hAnsi="宋体" w:cs="宋体"/>
          <w:spacing w:val="4"/>
          <w:sz w:val="24"/>
          <w:szCs w:val="24"/>
          <w:highlight w:val="none"/>
        </w:rPr>
        <w:t>9、不发生其他有悖于政府采购公开、公平、公正和诚信原则的行为。</w:t>
      </w:r>
    </w:p>
    <w:p>
      <w:pPr>
        <w:overflowPunct w:val="0"/>
        <w:spacing w:line="360" w:lineRule="auto"/>
        <w:jc w:val="center"/>
        <w:outlineLvl w:val="0"/>
        <w:rPr>
          <w:rFonts w:ascii="宋体" w:hAnsi="宋体" w:cs="宋体"/>
          <w:b/>
          <w:bCs/>
          <w:sz w:val="24"/>
          <w:szCs w:val="24"/>
          <w:highlight w:val="none"/>
        </w:rPr>
      </w:pPr>
    </w:p>
    <w:p>
      <w:pPr>
        <w:spacing w:line="480" w:lineRule="auto"/>
        <w:ind w:firstLine="3360" w:firstLineChars="1400"/>
        <w:rPr>
          <w:rFonts w:ascii="宋体" w:hAnsi="宋体" w:cs="宋体"/>
          <w:sz w:val="24"/>
          <w:szCs w:val="24"/>
          <w:highlight w:val="none"/>
        </w:rPr>
      </w:pPr>
      <w:r>
        <w:rPr>
          <w:rFonts w:hint="eastAsia" w:ascii="宋体" w:hAnsi="宋体" w:cs="宋体"/>
          <w:sz w:val="24"/>
          <w:szCs w:val="24"/>
          <w:highlight w:val="none"/>
        </w:rPr>
        <w:t>供应商名称：</w:t>
      </w:r>
      <w:r>
        <w:rPr>
          <w:rFonts w:hint="eastAsia" w:ascii="宋体" w:hAnsi="宋体" w:cs="宋体"/>
          <w:sz w:val="24"/>
          <w:szCs w:val="24"/>
          <w:highlight w:val="none"/>
          <w:u w:val="single"/>
        </w:rPr>
        <w:t xml:space="preserve">                     </w:t>
      </w:r>
      <w:r>
        <w:rPr>
          <w:rFonts w:hint="eastAsia" w:ascii="宋体" w:hAnsi="宋体" w:cs="宋体"/>
          <w:sz w:val="24"/>
          <w:szCs w:val="24"/>
          <w:highlight w:val="none"/>
        </w:rPr>
        <w:t>（盖章）</w:t>
      </w:r>
    </w:p>
    <w:p>
      <w:pPr>
        <w:spacing w:line="360" w:lineRule="auto"/>
        <w:ind w:firstLine="3360" w:firstLineChars="1400"/>
        <w:rPr>
          <w:rFonts w:ascii="宋体" w:hAnsi="宋体" w:cs="宋体"/>
          <w:sz w:val="24"/>
          <w:szCs w:val="24"/>
          <w:highlight w:val="none"/>
        </w:rPr>
      </w:pPr>
      <w:r>
        <w:rPr>
          <w:rFonts w:hint="eastAsia" w:ascii="宋体" w:hAnsi="宋体" w:cs="宋体"/>
          <w:sz w:val="24"/>
          <w:szCs w:val="24"/>
          <w:highlight w:val="none"/>
        </w:rPr>
        <w:t>法定代表人</w:t>
      </w:r>
    </w:p>
    <w:p>
      <w:pPr>
        <w:spacing w:line="360" w:lineRule="auto"/>
        <w:ind w:firstLine="3360" w:firstLineChars="1400"/>
        <w:rPr>
          <w:rFonts w:ascii="宋体" w:hAnsi="宋体" w:cs="宋体"/>
          <w:sz w:val="24"/>
          <w:szCs w:val="24"/>
          <w:highlight w:val="none"/>
        </w:rPr>
      </w:pPr>
      <w:r>
        <w:rPr>
          <w:rFonts w:hint="eastAsia" w:ascii="宋体" w:hAnsi="宋体" w:cs="宋体"/>
          <w:sz w:val="24"/>
          <w:szCs w:val="24"/>
          <w:highlight w:val="none"/>
        </w:rPr>
        <w:t>或委托代理人：</w:t>
      </w:r>
      <w:r>
        <w:rPr>
          <w:rFonts w:hint="eastAsia" w:ascii="宋体" w:hAnsi="宋体" w:cs="宋体"/>
          <w:sz w:val="24"/>
          <w:szCs w:val="24"/>
          <w:highlight w:val="none"/>
          <w:u w:val="single"/>
        </w:rPr>
        <w:t xml:space="preserve">                </w:t>
      </w:r>
      <w:r>
        <w:rPr>
          <w:rFonts w:hint="eastAsia" w:ascii="宋体" w:hAnsi="宋体" w:cs="宋体"/>
          <w:sz w:val="24"/>
          <w:szCs w:val="24"/>
          <w:highlight w:val="none"/>
        </w:rPr>
        <w:t>(签字或盖章)</w:t>
      </w:r>
    </w:p>
    <w:p>
      <w:pPr>
        <w:pStyle w:val="51"/>
        <w:spacing w:before="156" w:beforeLines="50"/>
        <w:ind w:firstLine="3360" w:firstLineChars="1400"/>
        <w:rPr>
          <w:rFonts w:ascii="宋体" w:hAnsi="宋体" w:cs="宋体"/>
          <w:sz w:val="24"/>
          <w:szCs w:val="24"/>
          <w:highlight w:val="none"/>
        </w:rPr>
      </w:pPr>
      <w:r>
        <w:rPr>
          <w:rFonts w:hint="eastAsia" w:ascii="宋体" w:hAnsi="宋体" w:cs="宋体"/>
          <w:sz w:val="24"/>
          <w:szCs w:val="24"/>
          <w:highlight w:val="none"/>
        </w:rPr>
        <w:t>日        期：</w:t>
      </w:r>
      <w:r>
        <w:rPr>
          <w:rFonts w:hint="eastAsia" w:ascii="宋体" w:hAnsi="宋体" w:cs="宋体"/>
          <w:sz w:val="24"/>
          <w:szCs w:val="24"/>
          <w:highlight w:val="none"/>
          <w:u w:val="single"/>
        </w:rPr>
        <w:t xml:space="preserve">      </w:t>
      </w:r>
      <w:r>
        <w:rPr>
          <w:rFonts w:hint="eastAsia" w:ascii="宋体" w:hAnsi="宋体" w:cs="宋体"/>
          <w:sz w:val="24"/>
          <w:szCs w:val="24"/>
          <w:highlight w:val="none"/>
        </w:rPr>
        <w:t>年</w:t>
      </w:r>
      <w:r>
        <w:rPr>
          <w:rFonts w:hint="eastAsia" w:ascii="宋体" w:hAnsi="宋体" w:cs="宋体"/>
          <w:sz w:val="24"/>
          <w:szCs w:val="24"/>
          <w:highlight w:val="none"/>
          <w:u w:val="single"/>
        </w:rPr>
        <w:t xml:space="preserve">     </w:t>
      </w:r>
      <w:r>
        <w:rPr>
          <w:rFonts w:hint="eastAsia" w:ascii="宋体" w:hAnsi="宋体" w:cs="宋体"/>
          <w:sz w:val="24"/>
          <w:szCs w:val="24"/>
          <w:highlight w:val="none"/>
        </w:rPr>
        <w:t>月</w:t>
      </w:r>
      <w:r>
        <w:rPr>
          <w:rFonts w:hint="eastAsia" w:ascii="宋体" w:hAnsi="宋体" w:cs="宋体"/>
          <w:sz w:val="24"/>
          <w:szCs w:val="24"/>
          <w:highlight w:val="none"/>
          <w:u w:val="single"/>
        </w:rPr>
        <w:t xml:space="preserve">     </w:t>
      </w:r>
      <w:r>
        <w:rPr>
          <w:rFonts w:hint="eastAsia" w:ascii="宋体" w:hAnsi="宋体" w:cs="宋体"/>
          <w:sz w:val="24"/>
          <w:szCs w:val="24"/>
          <w:highlight w:val="none"/>
        </w:rPr>
        <w:t>日</w:t>
      </w:r>
    </w:p>
    <w:p>
      <w:pPr>
        <w:pStyle w:val="51"/>
        <w:ind w:firstLine="0" w:firstLineChars="0"/>
        <w:rPr>
          <w:rFonts w:ascii="宋体" w:hAnsi="宋体" w:cs="宋体"/>
          <w:sz w:val="24"/>
          <w:highlight w:val="none"/>
        </w:rPr>
      </w:pPr>
      <w:r>
        <w:rPr>
          <w:rFonts w:hint="eastAsia" w:ascii="宋体" w:hAnsi="宋体" w:cs="宋体"/>
          <w:b/>
          <w:sz w:val="44"/>
          <w:szCs w:val="44"/>
          <w:highlight w:val="none"/>
        </w:rPr>
        <w:br w:type="page"/>
      </w:r>
      <w:r>
        <w:rPr>
          <w:rFonts w:hint="eastAsia" w:ascii="宋体" w:hAnsi="宋体" w:cs="宋体"/>
          <w:sz w:val="24"/>
          <w:highlight w:val="none"/>
        </w:rPr>
        <w:t>附件3</w:t>
      </w:r>
    </w:p>
    <w:p>
      <w:pPr>
        <w:adjustRightInd w:val="0"/>
        <w:snapToGrid w:val="0"/>
        <w:spacing w:line="360" w:lineRule="auto"/>
        <w:jc w:val="center"/>
        <w:rPr>
          <w:rFonts w:ascii="宋体" w:hAnsi="宋体" w:cs="宋体"/>
          <w:b/>
          <w:sz w:val="24"/>
          <w:szCs w:val="24"/>
          <w:highlight w:val="none"/>
        </w:rPr>
      </w:pPr>
      <w:bookmarkStart w:id="122" w:name="_Toc18229_WPSOffice_Level2"/>
      <w:bookmarkStart w:id="123" w:name="_Toc28871_WPSOffice_Level3"/>
      <w:bookmarkStart w:id="124" w:name="_Toc29320_WPSOffice_Level2"/>
      <w:r>
        <w:rPr>
          <w:rFonts w:hint="eastAsia" w:ascii="宋体" w:hAnsi="宋体" w:cs="宋体"/>
          <w:b/>
          <w:sz w:val="24"/>
          <w:szCs w:val="24"/>
          <w:highlight w:val="none"/>
        </w:rPr>
        <w:t>履行合同所必需的设备和专业技术能力的说明及承诺</w:t>
      </w:r>
      <w:bookmarkEnd w:id="122"/>
      <w:bookmarkEnd w:id="123"/>
      <w:bookmarkEnd w:id="124"/>
    </w:p>
    <w:p>
      <w:pPr>
        <w:pStyle w:val="12"/>
        <w:adjustRightInd w:val="0"/>
        <w:snapToGrid w:val="0"/>
        <w:spacing w:line="720" w:lineRule="exact"/>
        <w:jc w:val="center"/>
        <w:rPr>
          <w:rFonts w:hAnsi="宋体" w:cs="宋体"/>
          <w:b/>
          <w:sz w:val="24"/>
          <w:szCs w:val="24"/>
          <w:highlight w:val="none"/>
        </w:rPr>
      </w:pPr>
    </w:p>
    <w:p>
      <w:pPr>
        <w:spacing w:line="720" w:lineRule="exact"/>
        <w:rPr>
          <w:rFonts w:ascii="宋体" w:hAnsi="宋体" w:cs="宋体"/>
          <w:spacing w:val="4"/>
          <w:sz w:val="24"/>
          <w:szCs w:val="24"/>
          <w:highlight w:val="none"/>
          <w:u w:val="single"/>
        </w:rPr>
      </w:pPr>
      <w:r>
        <w:rPr>
          <w:rFonts w:hint="eastAsia" w:ascii="宋体" w:hAnsi="宋体" w:cs="宋体"/>
          <w:spacing w:val="4"/>
          <w:sz w:val="24"/>
          <w:szCs w:val="24"/>
          <w:highlight w:val="none"/>
          <w:u w:val="single"/>
        </w:rPr>
        <w:t xml:space="preserve">     （采购人名称）    ：</w:t>
      </w:r>
    </w:p>
    <w:p>
      <w:pPr>
        <w:pStyle w:val="12"/>
        <w:adjustRightInd w:val="0"/>
        <w:snapToGrid w:val="0"/>
        <w:spacing w:line="720" w:lineRule="exact"/>
        <w:rPr>
          <w:rFonts w:hAnsi="宋体" w:cs="宋体"/>
          <w:spacing w:val="4"/>
          <w:sz w:val="24"/>
          <w:szCs w:val="24"/>
          <w:highlight w:val="none"/>
        </w:rPr>
      </w:pPr>
      <w:r>
        <w:rPr>
          <w:rFonts w:hint="eastAsia" w:hAnsi="宋体" w:cs="宋体"/>
          <w:spacing w:val="4"/>
          <w:sz w:val="24"/>
          <w:szCs w:val="24"/>
          <w:highlight w:val="none"/>
        </w:rPr>
        <w:t xml:space="preserve">   </w:t>
      </w:r>
      <w:r>
        <w:rPr>
          <w:rFonts w:hint="eastAsia" w:hAnsi="宋体" w:cs="宋体"/>
          <w:spacing w:val="4"/>
          <w:sz w:val="24"/>
          <w:szCs w:val="24"/>
          <w:highlight w:val="none"/>
          <w:u w:val="single"/>
        </w:rPr>
        <w:t xml:space="preserve">      （供应商名称）    </w:t>
      </w:r>
      <w:r>
        <w:rPr>
          <w:rFonts w:hint="eastAsia" w:hAnsi="宋体" w:cs="宋体"/>
          <w:spacing w:val="4"/>
          <w:sz w:val="24"/>
          <w:szCs w:val="24"/>
          <w:highlight w:val="none"/>
        </w:rPr>
        <w:t xml:space="preserve"> 于</w:t>
      </w:r>
      <w:r>
        <w:rPr>
          <w:rFonts w:hint="eastAsia" w:hAnsi="宋体" w:cs="宋体"/>
          <w:spacing w:val="4"/>
          <w:sz w:val="24"/>
          <w:szCs w:val="24"/>
          <w:highlight w:val="none"/>
          <w:u w:val="single"/>
        </w:rPr>
        <w:t xml:space="preserve">     </w:t>
      </w:r>
      <w:r>
        <w:rPr>
          <w:rFonts w:hint="eastAsia" w:hAnsi="宋体" w:cs="宋体"/>
          <w:spacing w:val="4"/>
          <w:sz w:val="24"/>
          <w:szCs w:val="24"/>
          <w:highlight w:val="none"/>
        </w:rPr>
        <w:t>年</w:t>
      </w:r>
      <w:r>
        <w:rPr>
          <w:rFonts w:hint="eastAsia" w:hAnsi="宋体" w:cs="宋体"/>
          <w:spacing w:val="4"/>
          <w:sz w:val="24"/>
          <w:szCs w:val="24"/>
          <w:highlight w:val="none"/>
          <w:u w:val="single"/>
        </w:rPr>
        <w:t xml:space="preserve">    </w:t>
      </w:r>
      <w:r>
        <w:rPr>
          <w:rFonts w:hint="eastAsia" w:hAnsi="宋体" w:cs="宋体"/>
          <w:spacing w:val="4"/>
          <w:sz w:val="24"/>
          <w:szCs w:val="24"/>
          <w:highlight w:val="none"/>
        </w:rPr>
        <w:t>月</w:t>
      </w:r>
      <w:r>
        <w:rPr>
          <w:rFonts w:hint="eastAsia" w:hAnsi="宋体" w:cs="宋体"/>
          <w:spacing w:val="4"/>
          <w:sz w:val="24"/>
          <w:szCs w:val="24"/>
          <w:highlight w:val="none"/>
          <w:u w:val="single"/>
        </w:rPr>
        <w:t xml:space="preserve">   </w:t>
      </w:r>
      <w:r>
        <w:rPr>
          <w:rFonts w:hint="eastAsia" w:hAnsi="宋体" w:cs="宋体"/>
          <w:spacing w:val="4"/>
          <w:sz w:val="24"/>
          <w:szCs w:val="24"/>
          <w:highlight w:val="none"/>
        </w:rPr>
        <w:t>日在中华人民共和国境内</w:t>
      </w:r>
      <w:r>
        <w:rPr>
          <w:rFonts w:hint="eastAsia" w:hAnsi="宋体" w:cs="宋体"/>
          <w:spacing w:val="4"/>
          <w:sz w:val="24"/>
          <w:szCs w:val="24"/>
          <w:highlight w:val="none"/>
          <w:u w:val="single"/>
        </w:rPr>
        <w:t xml:space="preserve">               （详细注册地址）     </w:t>
      </w:r>
      <w:r>
        <w:rPr>
          <w:rFonts w:hint="eastAsia" w:hAnsi="宋体" w:cs="宋体"/>
          <w:spacing w:val="4"/>
          <w:sz w:val="24"/>
          <w:szCs w:val="24"/>
          <w:highlight w:val="none"/>
        </w:rPr>
        <w:t>合法注册并经营，公司主营业务为</w:t>
      </w:r>
      <w:r>
        <w:rPr>
          <w:rFonts w:hint="eastAsia" w:hAnsi="宋体" w:cs="宋体"/>
          <w:spacing w:val="4"/>
          <w:sz w:val="24"/>
          <w:szCs w:val="24"/>
          <w:highlight w:val="none"/>
          <w:u w:val="single"/>
        </w:rPr>
        <w:t xml:space="preserve">                          </w:t>
      </w:r>
      <w:r>
        <w:rPr>
          <w:rFonts w:hint="eastAsia" w:hAnsi="宋体" w:cs="宋体"/>
          <w:spacing w:val="4"/>
          <w:sz w:val="24"/>
          <w:szCs w:val="24"/>
          <w:highlight w:val="none"/>
        </w:rPr>
        <w:t>，营业（生产经营）面积为</w:t>
      </w:r>
      <w:r>
        <w:rPr>
          <w:rFonts w:hint="eastAsia" w:hAnsi="宋体" w:cs="宋体"/>
          <w:spacing w:val="4"/>
          <w:sz w:val="24"/>
          <w:szCs w:val="24"/>
          <w:highlight w:val="none"/>
          <w:u w:val="single"/>
        </w:rPr>
        <w:t xml:space="preserve">             </w:t>
      </w:r>
      <w:r>
        <w:rPr>
          <w:rFonts w:hint="eastAsia" w:hAnsi="宋体" w:cs="宋体"/>
          <w:spacing w:val="4"/>
          <w:sz w:val="24"/>
          <w:szCs w:val="24"/>
          <w:highlight w:val="none"/>
        </w:rPr>
        <w:t xml:space="preserve"> ，现有员工数量为</w:t>
      </w:r>
      <w:r>
        <w:rPr>
          <w:rFonts w:hint="eastAsia" w:hAnsi="宋体" w:cs="宋体"/>
          <w:spacing w:val="4"/>
          <w:sz w:val="24"/>
          <w:szCs w:val="24"/>
          <w:highlight w:val="none"/>
          <w:u w:val="single"/>
        </w:rPr>
        <w:t xml:space="preserve">         </w:t>
      </w:r>
      <w:r>
        <w:rPr>
          <w:rFonts w:hint="eastAsia" w:hAnsi="宋体" w:cs="宋体"/>
          <w:spacing w:val="4"/>
          <w:sz w:val="24"/>
          <w:szCs w:val="24"/>
          <w:highlight w:val="none"/>
        </w:rPr>
        <w:t>，其中与履行本合同相关的专业技术人员有（</w:t>
      </w:r>
      <w:r>
        <w:rPr>
          <w:rFonts w:hint="eastAsia" w:hAnsi="宋体" w:cs="宋体"/>
          <w:spacing w:val="4"/>
          <w:sz w:val="24"/>
          <w:szCs w:val="24"/>
          <w:highlight w:val="none"/>
          <w:u w:val="single"/>
        </w:rPr>
        <w:t xml:space="preserve">             专业能力、数量        </w:t>
      </w:r>
      <w:r>
        <w:rPr>
          <w:rFonts w:hint="eastAsia" w:hAnsi="宋体" w:cs="宋体"/>
          <w:spacing w:val="4"/>
          <w:sz w:val="24"/>
          <w:szCs w:val="24"/>
          <w:highlight w:val="none"/>
        </w:rPr>
        <w:t>），拟投入本合同相关的主要设备有（</w:t>
      </w:r>
      <w:r>
        <w:rPr>
          <w:rFonts w:hint="eastAsia" w:hAnsi="宋体" w:cs="宋体"/>
          <w:spacing w:val="4"/>
          <w:sz w:val="24"/>
          <w:szCs w:val="24"/>
          <w:highlight w:val="none"/>
          <w:u w:val="single"/>
        </w:rPr>
        <w:t xml:space="preserve">             设备型号、数量        </w:t>
      </w:r>
      <w:r>
        <w:rPr>
          <w:rFonts w:hint="eastAsia" w:hAnsi="宋体" w:cs="宋体"/>
          <w:spacing w:val="4"/>
          <w:sz w:val="24"/>
          <w:szCs w:val="24"/>
          <w:highlight w:val="none"/>
        </w:rPr>
        <w:t>）。</w:t>
      </w:r>
    </w:p>
    <w:p>
      <w:pPr>
        <w:pStyle w:val="12"/>
        <w:adjustRightInd w:val="0"/>
        <w:snapToGrid w:val="0"/>
        <w:spacing w:line="720" w:lineRule="exact"/>
        <w:rPr>
          <w:rFonts w:hAnsi="宋体" w:cs="宋体"/>
          <w:spacing w:val="4"/>
          <w:sz w:val="24"/>
          <w:szCs w:val="24"/>
          <w:highlight w:val="none"/>
        </w:rPr>
      </w:pPr>
      <w:r>
        <w:rPr>
          <w:rFonts w:hint="eastAsia" w:hAnsi="宋体" w:cs="宋体"/>
          <w:spacing w:val="4"/>
          <w:sz w:val="24"/>
          <w:szCs w:val="24"/>
          <w:highlight w:val="none"/>
        </w:rPr>
        <w:t>我公司郑重承诺，我公司具有履行本合同所必需的设备和专业技术能力，合同履约中将无条件增加相关设备、人员，直至满足项目需求。</w:t>
      </w:r>
    </w:p>
    <w:p>
      <w:pPr>
        <w:pStyle w:val="12"/>
        <w:adjustRightInd w:val="0"/>
        <w:snapToGrid w:val="0"/>
        <w:spacing w:line="720" w:lineRule="exact"/>
        <w:rPr>
          <w:rFonts w:hAnsi="宋体" w:cs="宋体"/>
          <w:spacing w:val="4"/>
          <w:sz w:val="24"/>
          <w:szCs w:val="24"/>
          <w:highlight w:val="none"/>
        </w:rPr>
      </w:pPr>
    </w:p>
    <w:p>
      <w:pPr>
        <w:spacing w:line="480" w:lineRule="auto"/>
        <w:ind w:firstLine="3360" w:firstLineChars="1400"/>
        <w:rPr>
          <w:rFonts w:ascii="宋体" w:hAnsi="宋体" w:cs="宋体"/>
          <w:sz w:val="24"/>
          <w:szCs w:val="24"/>
          <w:highlight w:val="none"/>
        </w:rPr>
      </w:pPr>
      <w:r>
        <w:rPr>
          <w:rFonts w:hint="eastAsia" w:ascii="宋体" w:hAnsi="宋体" w:cs="宋体"/>
          <w:sz w:val="24"/>
          <w:szCs w:val="24"/>
          <w:highlight w:val="none"/>
        </w:rPr>
        <w:t>供应商名称：</w:t>
      </w:r>
      <w:r>
        <w:rPr>
          <w:rFonts w:hint="eastAsia" w:ascii="宋体" w:hAnsi="宋体" w:cs="宋体"/>
          <w:sz w:val="24"/>
          <w:szCs w:val="24"/>
          <w:highlight w:val="none"/>
          <w:u w:val="single"/>
        </w:rPr>
        <w:t xml:space="preserve">                      </w:t>
      </w:r>
      <w:r>
        <w:rPr>
          <w:rFonts w:hint="eastAsia" w:ascii="宋体" w:hAnsi="宋体" w:cs="宋体"/>
          <w:sz w:val="24"/>
          <w:szCs w:val="24"/>
          <w:highlight w:val="none"/>
        </w:rPr>
        <w:t>（盖章）</w:t>
      </w:r>
    </w:p>
    <w:p>
      <w:pPr>
        <w:spacing w:line="360" w:lineRule="auto"/>
        <w:ind w:firstLine="3360" w:firstLineChars="1400"/>
        <w:rPr>
          <w:rFonts w:ascii="宋体" w:hAnsi="宋体" w:cs="宋体"/>
          <w:sz w:val="24"/>
          <w:szCs w:val="24"/>
          <w:highlight w:val="none"/>
        </w:rPr>
      </w:pPr>
      <w:r>
        <w:rPr>
          <w:rFonts w:hint="eastAsia" w:ascii="宋体" w:hAnsi="宋体" w:cs="宋体"/>
          <w:sz w:val="24"/>
          <w:szCs w:val="24"/>
          <w:highlight w:val="none"/>
        </w:rPr>
        <w:t>法定代表人</w:t>
      </w:r>
    </w:p>
    <w:p>
      <w:pPr>
        <w:spacing w:line="360" w:lineRule="auto"/>
        <w:ind w:firstLine="3360" w:firstLineChars="1400"/>
        <w:rPr>
          <w:rFonts w:ascii="宋体" w:hAnsi="宋体" w:cs="宋体"/>
          <w:sz w:val="24"/>
          <w:szCs w:val="24"/>
          <w:highlight w:val="none"/>
        </w:rPr>
      </w:pPr>
      <w:r>
        <w:rPr>
          <w:rFonts w:hint="eastAsia" w:ascii="宋体" w:hAnsi="宋体" w:cs="宋体"/>
          <w:sz w:val="24"/>
          <w:szCs w:val="24"/>
          <w:highlight w:val="none"/>
        </w:rPr>
        <w:t>或委托代理人：</w:t>
      </w:r>
      <w:r>
        <w:rPr>
          <w:rFonts w:hint="eastAsia" w:ascii="宋体" w:hAnsi="宋体" w:cs="宋体"/>
          <w:sz w:val="24"/>
          <w:szCs w:val="24"/>
          <w:highlight w:val="none"/>
          <w:u w:val="single"/>
        </w:rPr>
        <w:t xml:space="preserve">                </w:t>
      </w:r>
      <w:r>
        <w:rPr>
          <w:rFonts w:hint="eastAsia" w:ascii="宋体" w:hAnsi="宋体" w:cs="宋体"/>
          <w:sz w:val="24"/>
          <w:szCs w:val="24"/>
          <w:highlight w:val="none"/>
        </w:rPr>
        <w:t>(签字或盖章)</w:t>
      </w:r>
    </w:p>
    <w:p>
      <w:pPr>
        <w:pStyle w:val="51"/>
        <w:spacing w:before="156" w:beforeLines="50"/>
        <w:ind w:firstLine="3360" w:firstLineChars="1400"/>
        <w:rPr>
          <w:rFonts w:ascii="宋体" w:hAnsi="宋体" w:cs="宋体"/>
          <w:sz w:val="24"/>
          <w:szCs w:val="24"/>
          <w:highlight w:val="none"/>
        </w:rPr>
      </w:pPr>
      <w:r>
        <w:rPr>
          <w:rFonts w:hint="eastAsia" w:ascii="宋体" w:hAnsi="宋体" w:cs="宋体"/>
          <w:sz w:val="24"/>
          <w:szCs w:val="24"/>
          <w:highlight w:val="none"/>
        </w:rPr>
        <w:t>日        期：</w:t>
      </w:r>
      <w:r>
        <w:rPr>
          <w:rFonts w:hint="eastAsia" w:ascii="宋体" w:hAnsi="宋体" w:cs="宋体"/>
          <w:sz w:val="24"/>
          <w:szCs w:val="24"/>
          <w:highlight w:val="none"/>
          <w:u w:val="single"/>
        </w:rPr>
        <w:t xml:space="preserve">      </w:t>
      </w:r>
      <w:r>
        <w:rPr>
          <w:rFonts w:hint="eastAsia" w:ascii="宋体" w:hAnsi="宋体" w:cs="宋体"/>
          <w:sz w:val="24"/>
          <w:szCs w:val="24"/>
          <w:highlight w:val="none"/>
        </w:rPr>
        <w:t>年</w:t>
      </w:r>
      <w:r>
        <w:rPr>
          <w:rFonts w:hint="eastAsia" w:ascii="宋体" w:hAnsi="宋体" w:cs="宋体"/>
          <w:sz w:val="24"/>
          <w:szCs w:val="24"/>
          <w:highlight w:val="none"/>
          <w:u w:val="single"/>
        </w:rPr>
        <w:t xml:space="preserve">     </w:t>
      </w:r>
      <w:r>
        <w:rPr>
          <w:rFonts w:hint="eastAsia" w:ascii="宋体" w:hAnsi="宋体" w:cs="宋体"/>
          <w:sz w:val="24"/>
          <w:szCs w:val="24"/>
          <w:highlight w:val="none"/>
        </w:rPr>
        <w:t>月</w:t>
      </w:r>
      <w:r>
        <w:rPr>
          <w:rFonts w:hint="eastAsia" w:ascii="宋体" w:hAnsi="宋体" w:cs="宋体"/>
          <w:sz w:val="24"/>
          <w:szCs w:val="24"/>
          <w:highlight w:val="none"/>
          <w:u w:val="single"/>
        </w:rPr>
        <w:t xml:space="preserve">     </w:t>
      </w:r>
      <w:r>
        <w:rPr>
          <w:rFonts w:hint="eastAsia" w:ascii="宋体" w:hAnsi="宋体" w:cs="宋体"/>
          <w:sz w:val="24"/>
          <w:szCs w:val="24"/>
          <w:highlight w:val="none"/>
        </w:rPr>
        <w:t>日</w:t>
      </w:r>
    </w:p>
    <w:p>
      <w:pPr>
        <w:pStyle w:val="51"/>
        <w:spacing w:before="156" w:beforeLines="50"/>
        <w:ind w:firstLine="3360" w:firstLineChars="1400"/>
        <w:rPr>
          <w:rFonts w:ascii="宋体" w:hAnsi="宋体" w:cs="宋体"/>
          <w:sz w:val="24"/>
          <w:highlight w:val="none"/>
        </w:rPr>
      </w:pPr>
      <w:r>
        <w:rPr>
          <w:rFonts w:hint="eastAsia" w:ascii="宋体" w:hAnsi="宋体" w:cs="宋体"/>
          <w:sz w:val="24"/>
          <w:highlight w:val="none"/>
        </w:rPr>
        <w:br w:type="page"/>
      </w:r>
    </w:p>
    <w:p>
      <w:pPr>
        <w:pStyle w:val="51"/>
        <w:spacing w:before="156" w:beforeLines="50"/>
        <w:ind w:firstLine="0" w:firstLineChars="0"/>
        <w:rPr>
          <w:rFonts w:ascii="宋体" w:hAnsi="宋体" w:cs="宋体"/>
          <w:sz w:val="24"/>
          <w:highlight w:val="none"/>
        </w:rPr>
      </w:pPr>
      <w:r>
        <w:rPr>
          <w:rFonts w:hint="eastAsia" w:ascii="宋体" w:hAnsi="宋体" w:cs="宋体"/>
          <w:sz w:val="24"/>
          <w:highlight w:val="none"/>
        </w:rPr>
        <w:t>附件4</w:t>
      </w:r>
    </w:p>
    <w:p>
      <w:pPr>
        <w:pStyle w:val="51"/>
        <w:spacing w:before="156" w:beforeLines="50"/>
        <w:ind w:firstLine="0" w:firstLineChars="0"/>
        <w:jc w:val="center"/>
        <w:rPr>
          <w:rFonts w:ascii="宋体" w:hAnsi="宋体" w:cs="宋体"/>
          <w:b/>
          <w:bCs/>
          <w:sz w:val="32"/>
          <w:szCs w:val="32"/>
          <w:highlight w:val="none"/>
        </w:rPr>
      </w:pPr>
      <w:r>
        <w:rPr>
          <w:rFonts w:hint="eastAsia" w:ascii="宋体" w:hAnsi="宋体" w:cs="宋体"/>
          <w:b/>
          <w:bCs/>
          <w:sz w:val="32"/>
          <w:szCs w:val="32"/>
          <w:highlight w:val="none"/>
        </w:rPr>
        <w:t>无围标、串标行为承诺书</w:t>
      </w:r>
    </w:p>
    <w:p>
      <w:pPr>
        <w:pStyle w:val="51"/>
        <w:spacing w:line="600" w:lineRule="exact"/>
        <w:ind w:firstLine="480"/>
        <w:rPr>
          <w:rFonts w:ascii="宋体" w:hAnsi="宋体" w:cs="宋体"/>
          <w:sz w:val="24"/>
          <w:highlight w:val="none"/>
        </w:rPr>
      </w:pPr>
      <w:r>
        <w:rPr>
          <w:rFonts w:hint="eastAsia" w:ascii="宋体" w:hAnsi="宋体" w:cs="宋体"/>
          <w:sz w:val="24"/>
          <w:highlight w:val="none"/>
        </w:rPr>
        <w:t>本公司郑董承诺：我公司自觉遵守《中华人民共和国政府采购法》、《中华人民共和国政府采购法实施条例》、《中华人民共和国招标投标法》和《中华人民共和国招标投标法实施条例》以及政府采购、招投标管理的有关规定。我公司在参加本次项目（项目名称：</w:t>
      </w:r>
      <w:r>
        <w:rPr>
          <w:rFonts w:hint="eastAsia" w:ascii="宋体" w:hAnsi="宋体" w:cs="宋体"/>
          <w:sz w:val="24"/>
          <w:highlight w:val="none"/>
          <w:u w:val="single"/>
        </w:rPr>
        <w:t xml:space="preserve">      </w:t>
      </w:r>
      <w:r>
        <w:rPr>
          <w:rFonts w:hint="eastAsia" w:ascii="宋体" w:hAnsi="宋体" w:cs="宋体"/>
          <w:sz w:val="24"/>
          <w:highlight w:val="none"/>
        </w:rPr>
        <w:t>，项目编号：</w:t>
      </w:r>
      <w:r>
        <w:rPr>
          <w:rFonts w:hint="eastAsia" w:ascii="宋体" w:hAnsi="宋体" w:cs="宋体"/>
          <w:sz w:val="24"/>
          <w:highlight w:val="none"/>
          <w:u w:val="single"/>
        </w:rPr>
        <w:t xml:space="preserve">        </w:t>
      </w:r>
      <w:r>
        <w:rPr>
          <w:rFonts w:hint="eastAsia" w:ascii="宋体" w:hAnsi="宋体" w:cs="宋体"/>
          <w:sz w:val="24"/>
          <w:highlight w:val="none"/>
        </w:rPr>
        <w:t>）活动中，无以下围标、串标行为：</w:t>
      </w:r>
    </w:p>
    <w:p>
      <w:pPr>
        <w:pStyle w:val="51"/>
        <w:spacing w:line="600" w:lineRule="exact"/>
        <w:ind w:firstLineChars="175"/>
        <w:rPr>
          <w:rFonts w:ascii="宋体" w:hAnsi="宋体" w:cs="宋体"/>
          <w:sz w:val="24"/>
          <w:highlight w:val="none"/>
        </w:rPr>
      </w:pPr>
      <w:r>
        <w:rPr>
          <w:rFonts w:hint="eastAsia" w:ascii="宋体" w:hAnsi="宋体" w:cs="宋体"/>
          <w:sz w:val="24"/>
          <w:highlight w:val="none"/>
        </w:rPr>
        <w:t>1）不同供应商的投标（响应）文件由同一单位或者个人编制；</w:t>
      </w:r>
    </w:p>
    <w:p>
      <w:pPr>
        <w:pStyle w:val="51"/>
        <w:spacing w:line="600" w:lineRule="exact"/>
        <w:ind w:firstLineChars="175"/>
        <w:rPr>
          <w:rFonts w:ascii="宋体" w:hAnsi="宋体" w:cs="宋体"/>
          <w:sz w:val="24"/>
          <w:highlight w:val="none"/>
        </w:rPr>
      </w:pPr>
      <w:r>
        <w:rPr>
          <w:rFonts w:hint="eastAsia" w:ascii="宋体" w:hAnsi="宋体" w:cs="宋体"/>
          <w:sz w:val="24"/>
          <w:highlight w:val="none"/>
        </w:rPr>
        <w:t>2）不同供应商委托同一单位或者个人办理投标（谈判、磋商）事宜；</w:t>
      </w:r>
    </w:p>
    <w:p>
      <w:pPr>
        <w:pStyle w:val="51"/>
        <w:spacing w:line="600" w:lineRule="exact"/>
        <w:ind w:firstLineChars="175"/>
        <w:rPr>
          <w:rFonts w:ascii="宋体" w:hAnsi="宋体" w:cs="宋体"/>
          <w:sz w:val="24"/>
          <w:highlight w:val="none"/>
        </w:rPr>
      </w:pPr>
      <w:r>
        <w:rPr>
          <w:rFonts w:hint="eastAsia" w:ascii="宋体" w:hAnsi="宋体" w:cs="宋体"/>
          <w:sz w:val="24"/>
          <w:highlight w:val="none"/>
        </w:rPr>
        <w:t>3）不同供应商的投标（响应）文件载明的项目管理成员或者联系人员为同一人；</w:t>
      </w:r>
    </w:p>
    <w:p>
      <w:pPr>
        <w:pStyle w:val="51"/>
        <w:spacing w:line="600" w:lineRule="exact"/>
        <w:ind w:firstLineChars="175"/>
        <w:rPr>
          <w:rFonts w:ascii="宋体" w:hAnsi="宋体" w:cs="宋体"/>
          <w:sz w:val="24"/>
          <w:highlight w:val="none"/>
        </w:rPr>
      </w:pPr>
      <w:r>
        <w:rPr>
          <w:rFonts w:hint="eastAsia" w:ascii="宋体" w:hAnsi="宋体" w:cs="宋体"/>
          <w:sz w:val="24"/>
          <w:highlight w:val="none"/>
        </w:rPr>
        <w:t>4）不同供应商的投标（响应）文件异常一致或者投标（响应）报价呈规律性差异；</w:t>
      </w:r>
    </w:p>
    <w:p>
      <w:pPr>
        <w:pStyle w:val="51"/>
        <w:spacing w:line="600" w:lineRule="exact"/>
        <w:ind w:firstLineChars="175"/>
        <w:rPr>
          <w:rFonts w:ascii="宋体" w:hAnsi="宋体" w:cs="宋体"/>
          <w:sz w:val="24"/>
          <w:highlight w:val="none"/>
        </w:rPr>
      </w:pPr>
      <w:r>
        <w:rPr>
          <w:rFonts w:hint="eastAsia" w:ascii="宋体" w:hAnsi="宋体" w:cs="宋体"/>
          <w:sz w:val="24"/>
          <w:highlight w:val="none"/>
        </w:rPr>
        <w:t>5）不同供应商的投标（响应）文件相互混装；</w:t>
      </w:r>
    </w:p>
    <w:p>
      <w:pPr>
        <w:pStyle w:val="51"/>
        <w:spacing w:line="600" w:lineRule="exact"/>
        <w:ind w:firstLineChars="175"/>
        <w:rPr>
          <w:rFonts w:ascii="宋体" w:hAnsi="宋体" w:cs="宋体"/>
          <w:sz w:val="24"/>
          <w:highlight w:val="none"/>
        </w:rPr>
      </w:pPr>
      <w:r>
        <w:rPr>
          <w:rFonts w:hint="eastAsia" w:ascii="宋体" w:hAnsi="宋体" w:cs="宋体"/>
          <w:sz w:val="24"/>
          <w:highlight w:val="none"/>
        </w:rPr>
        <w:t>6）不同供应商的投标（谈判、磋商）保证金从同一单位或者个人的账户转出；</w:t>
      </w:r>
    </w:p>
    <w:p>
      <w:pPr>
        <w:pStyle w:val="51"/>
        <w:spacing w:line="600" w:lineRule="exact"/>
        <w:ind w:firstLineChars="175"/>
        <w:rPr>
          <w:rFonts w:ascii="宋体" w:hAnsi="宋体" w:cs="宋体"/>
          <w:sz w:val="24"/>
          <w:highlight w:val="none"/>
        </w:rPr>
      </w:pPr>
      <w:r>
        <w:rPr>
          <w:rFonts w:hint="eastAsia" w:ascii="宋体" w:hAnsi="宋体" w:cs="宋体"/>
          <w:sz w:val="24"/>
          <w:highlight w:val="none"/>
        </w:rPr>
        <w:t>7）不同供应商的单位负责人为同一人或者存在直接控股、管理关系的不同供应商，参加同一合同项下的政府采购活动；</w:t>
      </w:r>
    </w:p>
    <w:p>
      <w:pPr>
        <w:pStyle w:val="51"/>
        <w:spacing w:line="600" w:lineRule="exact"/>
        <w:ind w:firstLineChars="175"/>
        <w:rPr>
          <w:rFonts w:ascii="宋体" w:hAnsi="宋体" w:cs="宋体"/>
          <w:sz w:val="24"/>
          <w:highlight w:val="none"/>
        </w:rPr>
      </w:pPr>
      <w:r>
        <w:rPr>
          <w:rFonts w:hint="eastAsia" w:ascii="宋体" w:hAnsi="宋体" w:cs="宋体"/>
          <w:sz w:val="24"/>
          <w:highlight w:val="none"/>
        </w:rPr>
        <w:t>8）法律法规界定的其他围标串标行为。</w:t>
      </w:r>
    </w:p>
    <w:p>
      <w:pPr>
        <w:pStyle w:val="51"/>
        <w:spacing w:line="600" w:lineRule="exact"/>
        <w:ind w:firstLine="0" w:firstLineChars="0"/>
        <w:rPr>
          <w:rFonts w:ascii="宋体" w:hAnsi="宋体" w:cs="宋体"/>
          <w:sz w:val="24"/>
          <w:highlight w:val="none"/>
        </w:rPr>
      </w:pPr>
      <w:r>
        <w:rPr>
          <w:rFonts w:hint="eastAsia" w:ascii="宋体" w:hAnsi="宋体" w:cs="宋体"/>
          <w:sz w:val="24"/>
          <w:highlight w:val="none"/>
        </w:rPr>
        <w:t>如有发现我公司存在围标、串标行为，我公司愿承担一切法律责任。</w:t>
      </w:r>
    </w:p>
    <w:p>
      <w:pPr>
        <w:pStyle w:val="51"/>
        <w:spacing w:line="600" w:lineRule="exact"/>
        <w:ind w:firstLine="0" w:firstLineChars="0"/>
        <w:rPr>
          <w:rFonts w:ascii="宋体" w:hAnsi="宋体" w:cs="宋体"/>
          <w:sz w:val="24"/>
          <w:highlight w:val="none"/>
        </w:rPr>
      </w:pPr>
      <w:r>
        <w:rPr>
          <w:rFonts w:hint="eastAsia" w:ascii="宋体" w:hAnsi="宋体" w:cs="宋体"/>
          <w:sz w:val="24"/>
          <w:highlight w:val="none"/>
        </w:rPr>
        <w:t>特此承诺！</w:t>
      </w:r>
    </w:p>
    <w:p>
      <w:pPr>
        <w:pStyle w:val="51"/>
        <w:spacing w:line="600" w:lineRule="exact"/>
        <w:ind w:firstLine="0" w:firstLineChars="0"/>
        <w:rPr>
          <w:rFonts w:ascii="宋体" w:hAnsi="宋体" w:cs="宋体"/>
          <w:sz w:val="24"/>
          <w:highlight w:val="none"/>
        </w:rPr>
      </w:pPr>
      <w:r>
        <w:rPr>
          <w:rFonts w:hint="eastAsia" w:ascii="宋体" w:hAnsi="宋体" w:cs="宋体"/>
          <w:sz w:val="24"/>
          <w:highlight w:val="none"/>
        </w:rPr>
        <w:t>注：以上格式不得修改。</w:t>
      </w:r>
    </w:p>
    <w:p>
      <w:pPr>
        <w:spacing w:line="480" w:lineRule="auto"/>
        <w:ind w:firstLine="3360" w:firstLineChars="1400"/>
        <w:rPr>
          <w:rFonts w:ascii="宋体" w:hAnsi="宋体" w:cs="宋体"/>
          <w:sz w:val="24"/>
          <w:highlight w:val="none"/>
        </w:rPr>
      </w:pPr>
      <w:r>
        <w:rPr>
          <w:rFonts w:hint="eastAsia" w:ascii="宋体" w:hAnsi="宋体" w:cs="宋体"/>
          <w:sz w:val="24"/>
          <w:highlight w:val="none"/>
        </w:rPr>
        <w:t>供应商名称：</w:t>
      </w:r>
      <w:r>
        <w:rPr>
          <w:rFonts w:hint="eastAsia" w:ascii="宋体" w:hAnsi="宋体" w:cs="宋体"/>
          <w:sz w:val="24"/>
          <w:highlight w:val="none"/>
          <w:u w:val="single"/>
        </w:rPr>
        <w:t xml:space="preserve">                      </w:t>
      </w:r>
      <w:r>
        <w:rPr>
          <w:rFonts w:hint="eastAsia" w:ascii="宋体" w:hAnsi="宋体" w:cs="宋体"/>
          <w:sz w:val="24"/>
          <w:highlight w:val="none"/>
        </w:rPr>
        <w:t>（盖章）</w:t>
      </w:r>
    </w:p>
    <w:p>
      <w:pPr>
        <w:spacing w:line="360" w:lineRule="auto"/>
        <w:ind w:firstLine="3360" w:firstLineChars="1400"/>
        <w:rPr>
          <w:rFonts w:ascii="宋体" w:hAnsi="宋体" w:cs="宋体"/>
          <w:sz w:val="24"/>
          <w:highlight w:val="none"/>
        </w:rPr>
      </w:pPr>
      <w:r>
        <w:rPr>
          <w:rFonts w:hint="eastAsia" w:ascii="宋体" w:hAnsi="宋体" w:cs="宋体"/>
          <w:sz w:val="24"/>
          <w:highlight w:val="none"/>
        </w:rPr>
        <w:t>法定代表人</w:t>
      </w:r>
    </w:p>
    <w:p>
      <w:pPr>
        <w:spacing w:line="360" w:lineRule="auto"/>
        <w:ind w:firstLine="3360" w:firstLineChars="1400"/>
        <w:rPr>
          <w:rFonts w:ascii="宋体" w:hAnsi="宋体" w:cs="宋体"/>
          <w:sz w:val="24"/>
          <w:highlight w:val="none"/>
        </w:rPr>
      </w:pPr>
      <w:r>
        <w:rPr>
          <w:rFonts w:hint="eastAsia" w:ascii="宋体" w:hAnsi="宋体" w:cs="宋体"/>
          <w:sz w:val="24"/>
          <w:highlight w:val="none"/>
        </w:rPr>
        <w:t>或委托代理人：</w:t>
      </w:r>
      <w:r>
        <w:rPr>
          <w:rFonts w:hint="eastAsia" w:ascii="宋体" w:hAnsi="宋体" w:cs="宋体"/>
          <w:sz w:val="24"/>
          <w:highlight w:val="none"/>
          <w:u w:val="single"/>
        </w:rPr>
        <w:t xml:space="preserve">                </w:t>
      </w:r>
      <w:r>
        <w:rPr>
          <w:rFonts w:hint="eastAsia" w:ascii="宋体" w:hAnsi="宋体" w:cs="宋体"/>
          <w:sz w:val="24"/>
          <w:highlight w:val="none"/>
        </w:rPr>
        <w:t>(签字或盖章)</w:t>
      </w:r>
    </w:p>
    <w:p>
      <w:pPr>
        <w:pStyle w:val="51"/>
        <w:spacing w:before="156" w:beforeLines="50"/>
        <w:ind w:firstLine="3360" w:firstLineChars="1400"/>
        <w:rPr>
          <w:rFonts w:ascii="宋体" w:hAnsi="宋体" w:cs="宋体"/>
          <w:sz w:val="24"/>
          <w:highlight w:val="none"/>
        </w:rPr>
      </w:pPr>
      <w:r>
        <w:rPr>
          <w:rFonts w:hint="eastAsia" w:ascii="宋体" w:hAnsi="宋体" w:cs="宋体"/>
          <w:sz w:val="24"/>
          <w:highlight w:val="none"/>
        </w:rPr>
        <w:t>日        期：</w:t>
      </w:r>
      <w:r>
        <w:rPr>
          <w:rFonts w:hint="eastAsia" w:ascii="宋体" w:hAnsi="宋体" w:cs="宋体"/>
          <w:sz w:val="24"/>
          <w:highlight w:val="none"/>
          <w:u w:val="single"/>
        </w:rPr>
        <w:t xml:space="preserve">      </w:t>
      </w:r>
      <w:r>
        <w:rPr>
          <w:rFonts w:hint="eastAsia" w:ascii="宋体" w:hAnsi="宋体" w:cs="宋体"/>
          <w:sz w:val="24"/>
          <w:highlight w:val="none"/>
        </w:rPr>
        <w:t>年</w:t>
      </w:r>
      <w:r>
        <w:rPr>
          <w:rFonts w:hint="eastAsia" w:ascii="宋体" w:hAnsi="宋体" w:cs="宋体"/>
          <w:sz w:val="24"/>
          <w:highlight w:val="none"/>
          <w:u w:val="single"/>
        </w:rPr>
        <w:t xml:space="preserve">     </w:t>
      </w:r>
      <w:r>
        <w:rPr>
          <w:rFonts w:hint="eastAsia" w:ascii="宋体" w:hAnsi="宋体" w:cs="宋体"/>
          <w:sz w:val="24"/>
          <w:highlight w:val="none"/>
        </w:rPr>
        <w:t>月</w:t>
      </w:r>
      <w:r>
        <w:rPr>
          <w:rFonts w:hint="eastAsia" w:ascii="宋体" w:hAnsi="宋体" w:cs="宋体"/>
          <w:sz w:val="24"/>
          <w:highlight w:val="none"/>
          <w:u w:val="single"/>
        </w:rPr>
        <w:t xml:space="preserve">     </w:t>
      </w:r>
      <w:r>
        <w:rPr>
          <w:rFonts w:hint="eastAsia" w:ascii="宋体" w:hAnsi="宋体" w:cs="宋体"/>
          <w:sz w:val="24"/>
          <w:highlight w:val="none"/>
        </w:rPr>
        <w:t>日</w:t>
      </w:r>
    </w:p>
    <w:p>
      <w:pPr>
        <w:rPr>
          <w:rFonts w:ascii="宋体" w:hAnsi="宋体" w:cs="宋体"/>
          <w:sz w:val="24"/>
          <w:highlight w:val="none"/>
        </w:rPr>
      </w:pPr>
      <w:r>
        <w:rPr>
          <w:rFonts w:hint="eastAsia" w:ascii="宋体" w:hAnsi="宋体" w:cs="宋体"/>
          <w:sz w:val="24"/>
          <w:highlight w:val="none"/>
        </w:rPr>
        <w:br w:type="page"/>
      </w:r>
    </w:p>
    <w:p>
      <w:pPr>
        <w:pStyle w:val="51"/>
        <w:spacing w:before="156" w:beforeLines="50"/>
        <w:ind w:firstLine="0" w:firstLineChars="0"/>
        <w:rPr>
          <w:rFonts w:ascii="宋体" w:hAnsi="宋体" w:cs="宋体"/>
          <w:sz w:val="24"/>
          <w:highlight w:val="none"/>
        </w:rPr>
      </w:pPr>
      <w:r>
        <w:rPr>
          <w:rFonts w:hint="eastAsia" w:ascii="宋体" w:hAnsi="宋体" w:cs="宋体"/>
          <w:sz w:val="24"/>
          <w:highlight w:val="none"/>
        </w:rPr>
        <w:t>附件5</w:t>
      </w:r>
    </w:p>
    <w:p>
      <w:pPr>
        <w:pStyle w:val="51"/>
        <w:spacing w:before="156" w:beforeLines="50" w:after="156" w:afterLines="50"/>
        <w:ind w:firstLine="0" w:firstLineChars="0"/>
        <w:jc w:val="center"/>
        <w:rPr>
          <w:rFonts w:ascii="宋体" w:hAnsi="宋体" w:cs="宋体"/>
          <w:b/>
          <w:bCs/>
          <w:sz w:val="24"/>
          <w:szCs w:val="24"/>
          <w:highlight w:val="none"/>
        </w:rPr>
      </w:pPr>
      <w:r>
        <w:rPr>
          <w:rFonts w:hint="eastAsia" w:ascii="宋体" w:hAnsi="宋体" w:cs="宋体"/>
          <w:b/>
          <w:bCs/>
          <w:sz w:val="24"/>
          <w:szCs w:val="24"/>
          <w:highlight w:val="none"/>
        </w:rPr>
        <w:t>未被省级及以上交通运输主管部门</w:t>
      </w:r>
    </w:p>
    <w:p>
      <w:pPr>
        <w:pStyle w:val="51"/>
        <w:spacing w:before="156" w:beforeLines="50" w:after="156" w:afterLines="50"/>
        <w:ind w:firstLine="0" w:firstLineChars="0"/>
        <w:jc w:val="center"/>
        <w:rPr>
          <w:rFonts w:ascii="宋体" w:hAnsi="宋体" w:cs="宋体"/>
          <w:b/>
          <w:bCs/>
          <w:sz w:val="24"/>
          <w:szCs w:val="24"/>
          <w:highlight w:val="none"/>
        </w:rPr>
      </w:pPr>
      <w:r>
        <w:rPr>
          <w:rFonts w:hint="eastAsia" w:ascii="宋体" w:hAnsi="宋体" w:cs="宋体"/>
          <w:b/>
          <w:bCs/>
          <w:sz w:val="24"/>
          <w:szCs w:val="24"/>
          <w:highlight w:val="none"/>
        </w:rPr>
        <w:t>限制进入公路建养市场承诺</w:t>
      </w:r>
    </w:p>
    <w:p>
      <w:pPr>
        <w:pStyle w:val="51"/>
        <w:spacing w:before="156" w:beforeLines="50"/>
        <w:ind w:firstLine="560"/>
        <w:rPr>
          <w:rFonts w:ascii="宋体" w:hAnsi="宋体" w:cs="宋体"/>
          <w:sz w:val="24"/>
          <w:szCs w:val="24"/>
          <w:highlight w:val="none"/>
        </w:rPr>
      </w:pPr>
      <w:r>
        <w:rPr>
          <w:rFonts w:hint="eastAsia" w:ascii="宋体" w:hAnsi="宋体" w:cs="宋体"/>
          <w:sz w:val="24"/>
          <w:szCs w:val="24"/>
          <w:highlight w:val="none"/>
        </w:rPr>
        <w:t>根据本项目特定资格条件要求，我单位</w:t>
      </w:r>
      <w:r>
        <w:rPr>
          <w:rFonts w:hint="eastAsia" w:ascii="宋体" w:hAnsi="宋体" w:cs="宋体"/>
          <w:sz w:val="24"/>
          <w:szCs w:val="24"/>
          <w:highlight w:val="none"/>
          <w:u w:val="single"/>
        </w:rPr>
        <w:t xml:space="preserve">    </w:t>
      </w:r>
      <w:r>
        <w:rPr>
          <w:rFonts w:hint="eastAsia" w:ascii="宋体" w:hAnsi="宋体" w:cs="宋体"/>
          <w:sz w:val="24"/>
          <w:szCs w:val="24"/>
          <w:highlight w:val="none"/>
        </w:rPr>
        <w:t>（有/无）被省级及以上交通运输主管部门限制进入公路建养市场；目前处于</w:t>
      </w:r>
      <w:r>
        <w:rPr>
          <w:rFonts w:hint="eastAsia" w:ascii="宋体" w:hAnsi="宋体" w:cs="宋体"/>
          <w:sz w:val="24"/>
          <w:szCs w:val="24"/>
          <w:highlight w:val="none"/>
          <w:u w:val="single"/>
        </w:rPr>
        <w:t xml:space="preserve">    </w:t>
      </w:r>
      <w:r>
        <w:rPr>
          <w:rFonts w:hint="eastAsia" w:ascii="宋体" w:hAnsi="宋体" w:cs="宋体"/>
          <w:sz w:val="24"/>
          <w:szCs w:val="24"/>
          <w:highlight w:val="none"/>
        </w:rPr>
        <w:t>（限制/未限制）进入公路建养市场状态。</w:t>
      </w:r>
    </w:p>
    <w:p>
      <w:pPr>
        <w:pStyle w:val="51"/>
        <w:spacing w:before="156" w:beforeLines="50"/>
        <w:ind w:firstLine="560"/>
        <w:rPr>
          <w:rFonts w:ascii="宋体" w:hAnsi="宋体" w:cs="宋体"/>
          <w:sz w:val="24"/>
          <w:szCs w:val="24"/>
          <w:highlight w:val="none"/>
        </w:rPr>
      </w:pPr>
      <w:r>
        <w:rPr>
          <w:rFonts w:hint="eastAsia" w:ascii="宋体" w:hAnsi="宋体" w:cs="宋体"/>
          <w:sz w:val="24"/>
          <w:szCs w:val="24"/>
          <w:highlight w:val="none"/>
          <w:shd w:val="clear" w:color="auto" w:fill="FFFFFF"/>
        </w:rPr>
        <w:t>如有不实，我方将无条件地退出本项目的采购活动，无条件赔偿对采购人造成的损失，并遵照《政府采购法》有关“提供虚假材料的规定”接受处罚。</w:t>
      </w:r>
    </w:p>
    <w:p>
      <w:pPr>
        <w:pStyle w:val="51"/>
        <w:spacing w:before="156" w:beforeLines="50"/>
        <w:ind w:firstLine="560"/>
        <w:rPr>
          <w:rFonts w:ascii="宋体" w:hAnsi="宋体" w:cs="宋体"/>
          <w:sz w:val="24"/>
          <w:szCs w:val="24"/>
          <w:highlight w:val="none"/>
        </w:rPr>
      </w:pPr>
      <w:r>
        <w:rPr>
          <w:rFonts w:hint="eastAsia" w:ascii="宋体" w:hAnsi="宋体" w:cs="宋体"/>
          <w:sz w:val="24"/>
          <w:szCs w:val="24"/>
          <w:highlight w:val="none"/>
        </w:rPr>
        <w:t>特此承诺。</w:t>
      </w:r>
    </w:p>
    <w:p>
      <w:pPr>
        <w:spacing w:line="480" w:lineRule="auto"/>
        <w:ind w:firstLine="2707" w:firstLineChars="1128"/>
        <w:rPr>
          <w:rFonts w:ascii="宋体" w:hAnsi="宋体" w:cs="宋体"/>
          <w:sz w:val="24"/>
          <w:szCs w:val="24"/>
          <w:highlight w:val="none"/>
        </w:rPr>
      </w:pPr>
    </w:p>
    <w:p>
      <w:pPr>
        <w:spacing w:line="480" w:lineRule="auto"/>
        <w:ind w:firstLine="2707" w:firstLineChars="1128"/>
        <w:rPr>
          <w:rFonts w:ascii="宋体" w:hAnsi="宋体" w:cs="宋体"/>
          <w:sz w:val="24"/>
          <w:szCs w:val="24"/>
          <w:highlight w:val="none"/>
        </w:rPr>
      </w:pPr>
      <w:r>
        <w:rPr>
          <w:rFonts w:hint="eastAsia" w:ascii="宋体" w:hAnsi="宋体" w:cs="宋体"/>
          <w:sz w:val="24"/>
          <w:szCs w:val="24"/>
          <w:highlight w:val="none"/>
        </w:rPr>
        <w:t>供应商名称：</w:t>
      </w:r>
      <w:r>
        <w:rPr>
          <w:rFonts w:hint="eastAsia" w:ascii="宋体" w:hAnsi="宋体" w:cs="宋体"/>
          <w:sz w:val="24"/>
          <w:szCs w:val="24"/>
          <w:highlight w:val="none"/>
          <w:u w:val="single"/>
        </w:rPr>
        <w:t xml:space="preserve">                     </w:t>
      </w:r>
      <w:r>
        <w:rPr>
          <w:rFonts w:hint="eastAsia" w:ascii="宋体" w:hAnsi="宋体" w:cs="宋体"/>
          <w:sz w:val="24"/>
          <w:szCs w:val="24"/>
          <w:highlight w:val="none"/>
        </w:rPr>
        <w:t>（盖章）</w:t>
      </w:r>
    </w:p>
    <w:p>
      <w:pPr>
        <w:spacing w:line="360" w:lineRule="auto"/>
        <w:ind w:firstLine="2707" w:firstLineChars="1128"/>
        <w:rPr>
          <w:rFonts w:ascii="宋体" w:hAnsi="宋体" w:cs="宋体"/>
          <w:sz w:val="24"/>
          <w:szCs w:val="24"/>
          <w:highlight w:val="none"/>
        </w:rPr>
      </w:pPr>
      <w:r>
        <w:rPr>
          <w:rFonts w:hint="eastAsia" w:ascii="宋体" w:hAnsi="宋体" w:cs="宋体"/>
          <w:sz w:val="24"/>
          <w:szCs w:val="24"/>
          <w:highlight w:val="none"/>
        </w:rPr>
        <w:t>法定代表人</w:t>
      </w:r>
    </w:p>
    <w:p>
      <w:pPr>
        <w:spacing w:line="360" w:lineRule="auto"/>
        <w:ind w:firstLine="2707" w:firstLineChars="1128"/>
        <w:rPr>
          <w:rFonts w:ascii="宋体" w:hAnsi="宋体" w:cs="宋体"/>
          <w:sz w:val="24"/>
          <w:szCs w:val="24"/>
          <w:highlight w:val="none"/>
        </w:rPr>
      </w:pPr>
      <w:r>
        <w:rPr>
          <w:rFonts w:hint="eastAsia" w:ascii="宋体" w:hAnsi="宋体" w:cs="宋体"/>
          <w:sz w:val="24"/>
          <w:szCs w:val="24"/>
          <w:highlight w:val="none"/>
        </w:rPr>
        <w:t>或委托代理人：</w:t>
      </w:r>
      <w:r>
        <w:rPr>
          <w:rFonts w:hint="eastAsia" w:ascii="宋体" w:hAnsi="宋体" w:cs="宋体"/>
          <w:sz w:val="24"/>
          <w:szCs w:val="24"/>
          <w:highlight w:val="none"/>
          <w:u w:val="single"/>
        </w:rPr>
        <w:t xml:space="preserve">                </w:t>
      </w:r>
      <w:r>
        <w:rPr>
          <w:rFonts w:hint="eastAsia" w:ascii="宋体" w:hAnsi="宋体" w:cs="宋体"/>
          <w:sz w:val="24"/>
          <w:szCs w:val="24"/>
          <w:highlight w:val="none"/>
        </w:rPr>
        <w:t>(签字或盖章)</w:t>
      </w:r>
    </w:p>
    <w:p>
      <w:pPr>
        <w:pStyle w:val="51"/>
        <w:spacing w:before="156" w:beforeLines="50"/>
        <w:ind w:firstLine="2707" w:firstLineChars="1128"/>
        <w:rPr>
          <w:rFonts w:ascii="宋体" w:hAnsi="宋体" w:cs="宋体"/>
          <w:sz w:val="24"/>
          <w:szCs w:val="24"/>
          <w:highlight w:val="none"/>
        </w:rPr>
      </w:pPr>
      <w:r>
        <w:rPr>
          <w:rFonts w:hint="eastAsia" w:ascii="宋体" w:hAnsi="宋体" w:cs="宋体"/>
          <w:sz w:val="24"/>
          <w:szCs w:val="24"/>
          <w:highlight w:val="none"/>
        </w:rPr>
        <w:t>日        期：</w:t>
      </w:r>
      <w:r>
        <w:rPr>
          <w:rFonts w:hint="eastAsia" w:ascii="宋体" w:hAnsi="宋体" w:cs="宋体"/>
          <w:sz w:val="24"/>
          <w:szCs w:val="24"/>
          <w:highlight w:val="none"/>
          <w:u w:val="single"/>
        </w:rPr>
        <w:t xml:space="preserve">      </w:t>
      </w:r>
      <w:r>
        <w:rPr>
          <w:rFonts w:hint="eastAsia" w:ascii="宋体" w:hAnsi="宋体" w:cs="宋体"/>
          <w:sz w:val="24"/>
          <w:szCs w:val="24"/>
          <w:highlight w:val="none"/>
        </w:rPr>
        <w:t>年</w:t>
      </w:r>
      <w:r>
        <w:rPr>
          <w:rFonts w:hint="eastAsia" w:ascii="宋体" w:hAnsi="宋体" w:cs="宋体"/>
          <w:sz w:val="24"/>
          <w:szCs w:val="24"/>
          <w:highlight w:val="none"/>
          <w:u w:val="single"/>
        </w:rPr>
        <w:t xml:space="preserve">     </w:t>
      </w:r>
      <w:r>
        <w:rPr>
          <w:rFonts w:hint="eastAsia" w:ascii="宋体" w:hAnsi="宋体" w:cs="宋体"/>
          <w:sz w:val="24"/>
          <w:szCs w:val="24"/>
          <w:highlight w:val="none"/>
        </w:rPr>
        <w:t>月</w:t>
      </w:r>
      <w:r>
        <w:rPr>
          <w:rFonts w:hint="eastAsia" w:ascii="宋体" w:hAnsi="宋体" w:cs="宋体"/>
          <w:sz w:val="24"/>
          <w:szCs w:val="24"/>
          <w:highlight w:val="none"/>
          <w:u w:val="single"/>
        </w:rPr>
        <w:t xml:space="preserve">     </w:t>
      </w:r>
      <w:r>
        <w:rPr>
          <w:rFonts w:hint="eastAsia" w:ascii="宋体" w:hAnsi="宋体" w:cs="宋体"/>
          <w:sz w:val="24"/>
          <w:szCs w:val="24"/>
          <w:highlight w:val="none"/>
        </w:rPr>
        <w:t>日</w:t>
      </w:r>
    </w:p>
    <w:p>
      <w:pPr>
        <w:rPr>
          <w:rFonts w:ascii="宋体" w:hAnsi="宋体" w:cs="宋体"/>
          <w:b/>
          <w:bCs/>
          <w:sz w:val="28"/>
          <w:szCs w:val="28"/>
          <w:highlight w:val="none"/>
        </w:rPr>
      </w:pPr>
    </w:p>
    <w:p>
      <w:pPr>
        <w:rPr>
          <w:highlight w:val="none"/>
        </w:rPr>
      </w:pPr>
      <w:r>
        <w:rPr>
          <w:rFonts w:hint="eastAsia" w:ascii="宋体" w:hAnsi="宋体" w:cs="宋体"/>
          <w:b/>
          <w:bCs/>
          <w:sz w:val="28"/>
          <w:szCs w:val="28"/>
          <w:highlight w:val="none"/>
        </w:rPr>
        <w:br w:type="page"/>
      </w:r>
    </w:p>
    <w:p>
      <w:pPr>
        <w:pStyle w:val="11"/>
        <w:spacing w:before="120"/>
        <w:ind w:left="0" w:right="34"/>
        <w:jc w:val="center"/>
        <w:outlineLvl w:val="1"/>
        <w:rPr>
          <w:rFonts w:ascii="宋体" w:hAnsi="宋体" w:cs="宋体"/>
          <w:b/>
          <w:bCs/>
          <w:kern w:val="2"/>
          <w:sz w:val="28"/>
          <w:szCs w:val="28"/>
          <w:highlight w:val="none"/>
        </w:rPr>
      </w:pPr>
      <w:bookmarkStart w:id="125" w:name="_Toc1"/>
      <w:r>
        <w:rPr>
          <w:rFonts w:hint="eastAsia" w:ascii="宋体" w:hAnsi="宋体" w:cs="宋体"/>
          <w:b/>
          <w:bCs/>
          <w:kern w:val="2"/>
          <w:sz w:val="28"/>
          <w:szCs w:val="28"/>
          <w:highlight w:val="none"/>
        </w:rPr>
        <w:t>九、其他资料</w:t>
      </w:r>
      <w:bookmarkEnd w:id="125"/>
    </w:p>
    <w:p>
      <w:pPr>
        <w:pStyle w:val="11"/>
        <w:spacing w:line="360" w:lineRule="auto"/>
        <w:ind w:left="0" w:right="34" w:firstLine="480" w:firstLineChars="200"/>
        <w:rPr>
          <w:rFonts w:ascii="宋体" w:hAnsi="宋体" w:cs="宋体"/>
          <w:bCs/>
          <w:highlight w:val="none"/>
        </w:rPr>
      </w:pPr>
      <w:bookmarkStart w:id="126" w:name="_Toc19196"/>
      <w:r>
        <w:rPr>
          <w:rFonts w:hint="eastAsia" w:ascii="宋体" w:hAnsi="宋体" w:cs="宋体"/>
          <w:highlight w:val="none"/>
        </w:rPr>
        <w:t>凡</w:t>
      </w:r>
      <w:r>
        <w:rPr>
          <w:rFonts w:hint="eastAsia" w:ascii="宋体" w:hAnsi="宋体" w:cs="宋体"/>
          <w:bCs/>
          <w:highlight w:val="none"/>
        </w:rPr>
        <w:t>满足政府采购相关优惠政策的供应商自行根据相关政策规定提供相应声明函或品目范围内产品有效认证证书，如供应商不符合要求无需提供。</w:t>
      </w:r>
    </w:p>
    <w:p>
      <w:pPr>
        <w:spacing w:line="360" w:lineRule="auto"/>
        <w:jc w:val="left"/>
        <w:rPr>
          <w:rFonts w:ascii="宋体" w:hAnsi="宋体" w:cs="宋体"/>
          <w:sz w:val="28"/>
          <w:szCs w:val="28"/>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1）《国务院办公厅关于建立政府强制采购节能产品制度的通知》（国办发〔2007〕51号）；（2）《财政部、司法部关于政府采购支持监狱企业发展有关问题的通知》（财库〔2014〕68号）；（3）残疾人福利性单位应符合《财政部、民政部、中国残疾人联合会关于促进残疾人就业政府采购政策的通知》（财库〔2017〕141号）；（4）陕西省财政厅关于印发《陕西省中小企业政府采购信用融资办法》（陕财办采〔2018〕23号）；（5）《财政部发展改革委生态环境部市场监管总局关于调整优化节能产品、环境标志产品政府采购执行机制的通知》（财库〔2019〕9号）；（6）《市场监督总局关于发布参与实施政府采购节能产品、环境标志产品认证机构名录的公告》—2019年第16号；（7）《关于印发环境标志产品政府采购品目清单的通知》（财库〔2019〕18号）；（8）《关于印发节能产品政府采购品目清单的通知》（财库〔2019〕19号）；（9）《陕西省财政厅关于加快推进我省中小企业政府采购信用融资工作的通知》（陕财办采〔2020〕15号）；（10）《政府采购促进中小企业发展管办法》（财库〔2020〕46号）；（11）《财政部 农业农村部 国家乡村振兴局关于运用政府采购政策支持乡村产业振兴的通知》（财库〔2021〕19号）；（12）《关于进一步加强政府绿色采购有关问题的通知》（陕财办采〔2021〕29号）；（13）《陕西省财政厅关于进一步加大政府采购支持中小企业力度的通知》（陕财办采〔2022〕5号）；（14）其他需要落实的政府采购政策。</w:t>
      </w:r>
      <w:r>
        <w:rPr>
          <w:rFonts w:hint="eastAsia" w:ascii="宋体" w:hAnsi="宋体" w:cs="宋体"/>
          <w:b/>
          <w:bCs/>
          <w:sz w:val="36"/>
          <w:szCs w:val="36"/>
          <w:highlight w:val="none"/>
        </w:rPr>
        <w:br w:type="page"/>
      </w:r>
      <w:r>
        <w:rPr>
          <w:rFonts w:hint="eastAsia" w:ascii="宋体" w:hAnsi="宋体" w:cs="宋体"/>
          <w:sz w:val="24"/>
          <w:highlight w:val="none"/>
        </w:rPr>
        <w:t>附件6：</w:t>
      </w:r>
    </w:p>
    <w:p>
      <w:pPr>
        <w:jc w:val="center"/>
        <w:rPr>
          <w:rFonts w:ascii="宋体" w:hAnsi="宋体" w:cs="宋体"/>
          <w:b/>
          <w:bCs/>
          <w:sz w:val="30"/>
          <w:szCs w:val="30"/>
          <w:highlight w:val="none"/>
        </w:rPr>
      </w:pPr>
      <w:bookmarkStart w:id="127" w:name="OLE_LINK14"/>
      <w:bookmarkStart w:id="128" w:name="OLE_LINK13"/>
      <w:r>
        <w:rPr>
          <w:rFonts w:hint="eastAsia" w:ascii="宋体" w:hAnsi="宋体" w:cs="宋体"/>
          <w:b/>
          <w:bCs/>
          <w:sz w:val="30"/>
          <w:szCs w:val="30"/>
          <w:highlight w:val="none"/>
        </w:rPr>
        <w:t>中小企业声明函（服务）</w:t>
      </w:r>
    </w:p>
    <w:p>
      <w:pPr>
        <w:pStyle w:val="8"/>
        <w:ind w:firstLine="0"/>
        <w:jc w:val="center"/>
        <w:rPr>
          <w:rFonts w:ascii="宋体" w:hAnsi="宋体" w:cs="宋体"/>
          <w:spacing w:val="6"/>
          <w:sz w:val="24"/>
          <w:szCs w:val="24"/>
          <w:highlight w:val="none"/>
        </w:rPr>
      </w:pPr>
      <w:r>
        <w:rPr>
          <w:rFonts w:hint="eastAsia" w:ascii="宋体" w:hAnsi="宋体" w:cs="宋体"/>
          <w:b/>
          <w:bCs/>
          <w:sz w:val="24"/>
          <w:szCs w:val="24"/>
          <w:highlight w:val="none"/>
        </w:rPr>
        <w:t>（注：符合中小企业划型标准的企业请提供本函，不符合的不提供本函）</w:t>
      </w:r>
    </w:p>
    <w:p>
      <w:pPr>
        <w:rPr>
          <w:rFonts w:ascii="宋体" w:hAnsi="宋体" w:cs="宋体"/>
          <w:sz w:val="24"/>
          <w:szCs w:val="24"/>
          <w:highlight w:val="none"/>
        </w:rPr>
      </w:pPr>
      <w:r>
        <w:rPr>
          <w:rFonts w:hint="eastAsia" w:ascii="宋体" w:hAnsi="宋体" w:cs="宋体"/>
          <w:sz w:val="24"/>
          <w:szCs w:val="24"/>
          <w:highlight w:val="none"/>
        </w:rPr>
        <w:t>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ind w:firstLine="480" w:firstLineChars="200"/>
        <w:rPr>
          <w:rFonts w:ascii="宋体" w:hAnsi="宋体" w:cs="宋体"/>
          <w:sz w:val="24"/>
          <w:szCs w:val="24"/>
          <w:highlight w:val="none"/>
        </w:rPr>
      </w:pPr>
      <w:r>
        <w:rPr>
          <w:rFonts w:hint="eastAsia" w:ascii="宋体" w:hAnsi="宋体" w:cs="宋体"/>
          <w:sz w:val="24"/>
          <w:szCs w:val="24"/>
          <w:highlight w:val="none"/>
        </w:rPr>
        <w:t>1、</w:t>
      </w:r>
      <w:r>
        <w:rPr>
          <w:rFonts w:hint="eastAsia" w:ascii="宋体" w:hAnsi="宋体" w:cs="宋体"/>
          <w:sz w:val="24"/>
          <w:szCs w:val="24"/>
          <w:highlight w:val="none"/>
          <w:u w:val="single"/>
        </w:rPr>
        <w:t xml:space="preserve">（标的名称） </w:t>
      </w:r>
      <w:r>
        <w:rPr>
          <w:rFonts w:hint="eastAsia" w:ascii="宋体" w:hAnsi="宋体" w:cs="宋体"/>
          <w:sz w:val="24"/>
          <w:szCs w:val="24"/>
          <w:highlight w:val="none"/>
        </w:rPr>
        <w:t>，属于</w:t>
      </w:r>
      <w:r>
        <w:rPr>
          <w:rFonts w:hint="eastAsia" w:ascii="宋体" w:hAnsi="宋体" w:cs="宋体"/>
          <w:sz w:val="24"/>
          <w:szCs w:val="24"/>
          <w:highlight w:val="none"/>
          <w:u w:val="single"/>
        </w:rPr>
        <w:t>（采购文件中明确的所属行业）</w:t>
      </w:r>
      <w:r>
        <w:rPr>
          <w:rFonts w:hint="eastAsia" w:ascii="宋体" w:hAnsi="宋体" w:cs="宋体"/>
          <w:sz w:val="24"/>
          <w:szCs w:val="24"/>
          <w:highlight w:val="none"/>
        </w:rPr>
        <w:t>；承建（承接）企业为</w:t>
      </w:r>
      <w:r>
        <w:rPr>
          <w:rFonts w:hint="eastAsia" w:ascii="宋体" w:hAnsi="宋体" w:cs="宋体"/>
          <w:sz w:val="24"/>
          <w:szCs w:val="24"/>
          <w:highlight w:val="none"/>
          <w:u w:val="single"/>
        </w:rPr>
        <w:t>（企业名称）</w:t>
      </w:r>
      <w:r>
        <w:rPr>
          <w:rFonts w:hint="eastAsia" w:ascii="宋体" w:hAnsi="宋体" w:cs="宋体"/>
          <w:sz w:val="24"/>
          <w:szCs w:val="24"/>
          <w:highlight w:val="none"/>
        </w:rPr>
        <w:t>，从业人员</w:t>
      </w:r>
      <w:r>
        <w:rPr>
          <w:rFonts w:hint="eastAsia" w:ascii="宋体" w:hAnsi="宋体" w:cs="宋体"/>
          <w:sz w:val="24"/>
          <w:szCs w:val="24"/>
          <w:highlight w:val="none"/>
          <w:u w:val="single"/>
        </w:rPr>
        <w:t xml:space="preserve">  </w:t>
      </w:r>
      <w:r>
        <w:rPr>
          <w:rFonts w:hint="eastAsia" w:ascii="宋体" w:hAnsi="宋体" w:cs="宋体"/>
          <w:sz w:val="24"/>
          <w:szCs w:val="24"/>
          <w:highlight w:val="none"/>
        </w:rPr>
        <w:t>人，营业收入为</w:t>
      </w:r>
      <w:r>
        <w:rPr>
          <w:rFonts w:hint="eastAsia" w:ascii="宋体" w:hAnsi="宋体" w:cs="宋体"/>
          <w:sz w:val="24"/>
          <w:szCs w:val="24"/>
          <w:highlight w:val="none"/>
          <w:u w:val="single"/>
        </w:rPr>
        <w:t xml:space="preserve">   </w:t>
      </w:r>
      <w:r>
        <w:rPr>
          <w:rFonts w:hint="eastAsia" w:ascii="宋体" w:hAnsi="宋体" w:cs="宋体"/>
          <w:sz w:val="24"/>
          <w:szCs w:val="24"/>
          <w:highlight w:val="none"/>
        </w:rPr>
        <w:t>万元</w:t>
      </w:r>
      <w:r>
        <w:rPr>
          <w:rStyle w:val="33"/>
          <w:rFonts w:hint="eastAsia" w:ascii="宋体" w:hAnsi="宋体" w:cs="宋体"/>
          <w:sz w:val="24"/>
          <w:szCs w:val="24"/>
          <w:highlight w:val="none"/>
        </w:rPr>
        <w:footnoteReference w:id="0"/>
      </w:r>
      <w:r>
        <w:rPr>
          <w:rFonts w:hint="eastAsia" w:ascii="宋体" w:hAnsi="宋体" w:cs="宋体"/>
          <w:sz w:val="24"/>
          <w:szCs w:val="24"/>
          <w:highlight w:val="none"/>
        </w:rPr>
        <w:t>，资产总额为</w:t>
      </w:r>
      <w:r>
        <w:rPr>
          <w:rFonts w:hint="eastAsia" w:ascii="宋体" w:hAnsi="宋体" w:cs="宋体"/>
          <w:sz w:val="24"/>
          <w:szCs w:val="24"/>
          <w:highlight w:val="none"/>
          <w:u w:val="single"/>
        </w:rPr>
        <w:t xml:space="preserve">  </w:t>
      </w:r>
      <w:r>
        <w:rPr>
          <w:rFonts w:hint="eastAsia" w:ascii="宋体" w:hAnsi="宋体" w:cs="宋体"/>
          <w:sz w:val="24"/>
          <w:szCs w:val="24"/>
          <w:highlight w:val="none"/>
        </w:rPr>
        <w:t>万元，属于</w:t>
      </w:r>
      <w:r>
        <w:rPr>
          <w:rFonts w:hint="eastAsia" w:ascii="宋体" w:hAnsi="宋体" w:cs="宋体"/>
          <w:sz w:val="24"/>
          <w:szCs w:val="24"/>
          <w:highlight w:val="none"/>
          <w:u w:val="single"/>
        </w:rPr>
        <w:t>（中型企业、小型企业、微型企业）</w:t>
      </w:r>
      <w:r>
        <w:rPr>
          <w:rFonts w:hint="eastAsia" w:ascii="宋体" w:hAnsi="宋体" w:cs="宋体"/>
          <w:sz w:val="24"/>
          <w:szCs w:val="24"/>
          <w:highlight w:val="none"/>
        </w:rPr>
        <w:t>；</w:t>
      </w:r>
    </w:p>
    <w:p>
      <w:pPr>
        <w:ind w:firstLine="480" w:firstLineChars="200"/>
        <w:rPr>
          <w:rFonts w:ascii="宋体" w:hAnsi="宋体" w:cs="宋体"/>
          <w:sz w:val="24"/>
          <w:szCs w:val="24"/>
          <w:highlight w:val="none"/>
        </w:rPr>
      </w:pPr>
      <w:r>
        <w:rPr>
          <w:rFonts w:hint="eastAsia" w:ascii="宋体" w:hAnsi="宋体" w:cs="宋体"/>
          <w:sz w:val="24"/>
          <w:szCs w:val="24"/>
          <w:highlight w:val="none"/>
        </w:rPr>
        <w:t>2、</w:t>
      </w:r>
      <w:r>
        <w:rPr>
          <w:rFonts w:hint="eastAsia" w:ascii="宋体" w:hAnsi="宋体" w:cs="宋体"/>
          <w:sz w:val="24"/>
          <w:szCs w:val="24"/>
          <w:highlight w:val="none"/>
          <w:u w:val="single"/>
        </w:rPr>
        <w:t>（标的名称）</w:t>
      </w:r>
      <w:r>
        <w:rPr>
          <w:rFonts w:hint="eastAsia" w:ascii="宋体" w:hAnsi="宋体" w:cs="宋体"/>
          <w:sz w:val="24"/>
          <w:szCs w:val="24"/>
          <w:highlight w:val="none"/>
        </w:rPr>
        <w:t xml:space="preserve"> ，属于</w:t>
      </w:r>
      <w:r>
        <w:rPr>
          <w:rFonts w:hint="eastAsia" w:ascii="宋体" w:hAnsi="宋体" w:cs="宋体"/>
          <w:sz w:val="24"/>
          <w:szCs w:val="24"/>
          <w:highlight w:val="none"/>
          <w:u w:val="single"/>
        </w:rPr>
        <w:t>（采购文件中明确的所属行业）</w:t>
      </w:r>
      <w:r>
        <w:rPr>
          <w:rFonts w:hint="eastAsia" w:ascii="宋体" w:hAnsi="宋体" w:cs="宋体"/>
          <w:sz w:val="24"/>
          <w:szCs w:val="24"/>
          <w:highlight w:val="none"/>
        </w:rPr>
        <w:t>；承建（承接）企业为</w:t>
      </w:r>
      <w:r>
        <w:rPr>
          <w:rFonts w:hint="eastAsia" w:ascii="宋体" w:hAnsi="宋体" w:cs="宋体"/>
          <w:sz w:val="24"/>
          <w:szCs w:val="24"/>
          <w:highlight w:val="none"/>
          <w:u w:val="single"/>
        </w:rPr>
        <w:t>（企业名称）</w:t>
      </w:r>
      <w:r>
        <w:rPr>
          <w:rFonts w:hint="eastAsia" w:ascii="宋体" w:hAnsi="宋体" w:cs="宋体"/>
          <w:sz w:val="24"/>
          <w:szCs w:val="24"/>
          <w:highlight w:val="none"/>
        </w:rPr>
        <w:t>，从业人员</w:t>
      </w:r>
      <w:r>
        <w:rPr>
          <w:rFonts w:hint="eastAsia" w:ascii="宋体" w:hAnsi="宋体" w:cs="宋体"/>
          <w:sz w:val="24"/>
          <w:szCs w:val="24"/>
          <w:highlight w:val="none"/>
          <w:u w:val="single"/>
        </w:rPr>
        <w:t xml:space="preserve">  </w:t>
      </w:r>
      <w:r>
        <w:rPr>
          <w:rFonts w:hint="eastAsia" w:ascii="宋体" w:hAnsi="宋体" w:cs="宋体"/>
          <w:sz w:val="24"/>
          <w:szCs w:val="24"/>
          <w:highlight w:val="none"/>
        </w:rPr>
        <w:t>人，营业收入为</w:t>
      </w:r>
      <w:r>
        <w:rPr>
          <w:rFonts w:hint="eastAsia" w:ascii="宋体" w:hAnsi="宋体" w:cs="宋体"/>
          <w:sz w:val="24"/>
          <w:szCs w:val="24"/>
          <w:highlight w:val="none"/>
          <w:u w:val="single"/>
        </w:rPr>
        <w:t xml:space="preserve">   </w:t>
      </w:r>
      <w:r>
        <w:rPr>
          <w:rFonts w:hint="eastAsia" w:ascii="宋体" w:hAnsi="宋体" w:cs="宋体"/>
          <w:sz w:val="24"/>
          <w:szCs w:val="24"/>
          <w:highlight w:val="none"/>
        </w:rPr>
        <w:t>万元，资产总额为</w:t>
      </w:r>
      <w:r>
        <w:rPr>
          <w:rFonts w:hint="eastAsia" w:ascii="宋体" w:hAnsi="宋体" w:cs="宋体"/>
          <w:sz w:val="24"/>
          <w:szCs w:val="24"/>
          <w:highlight w:val="none"/>
          <w:u w:val="single"/>
        </w:rPr>
        <w:t xml:space="preserve">  </w:t>
      </w:r>
      <w:r>
        <w:rPr>
          <w:rFonts w:hint="eastAsia" w:ascii="宋体" w:hAnsi="宋体" w:cs="宋体"/>
          <w:sz w:val="24"/>
          <w:szCs w:val="24"/>
          <w:highlight w:val="none"/>
        </w:rPr>
        <w:t>万元，属于</w:t>
      </w:r>
      <w:r>
        <w:rPr>
          <w:rFonts w:hint="eastAsia" w:ascii="宋体" w:hAnsi="宋体" w:cs="宋体"/>
          <w:sz w:val="24"/>
          <w:szCs w:val="24"/>
          <w:highlight w:val="none"/>
          <w:u w:val="single"/>
        </w:rPr>
        <w:t>（中型企业、小型企业、微型企业）</w:t>
      </w:r>
      <w:r>
        <w:rPr>
          <w:rFonts w:hint="eastAsia" w:ascii="宋体" w:hAnsi="宋体" w:cs="宋体"/>
          <w:sz w:val="24"/>
          <w:szCs w:val="24"/>
          <w:highlight w:val="none"/>
        </w:rPr>
        <w:t>；</w:t>
      </w:r>
    </w:p>
    <w:p>
      <w:pPr>
        <w:ind w:firstLine="480" w:firstLineChars="200"/>
        <w:rPr>
          <w:rFonts w:ascii="宋体" w:hAnsi="宋体" w:cs="宋体"/>
          <w:sz w:val="24"/>
          <w:szCs w:val="24"/>
          <w:highlight w:val="none"/>
        </w:rPr>
      </w:pPr>
      <w:r>
        <w:rPr>
          <w:rFonts w:hint="eastAsia" w:ascii="宋体" w:hAnsi="宋体" w:cs="宋体"/>
          <w:sz w:val="24"/>
          <w:szCs w:val="24"/>
          <w:highlight w:val="none"/>
        </w:rPr>
        <w:t xml:space="preserve">…… </w:t>
      </w:r>
    </w:p>
    <w:p>
      <w:pPr>
        <w:ind w:firstLine="480" w:firstLineChars="200"/>
        <w:rPr>
          <w:rFonts w:ascii="宋体" w:hAnsi="宋体" w:cs="宋体"/>
          <w:sz w:val="24"/>
          <w:szCs w:val="24"/>
          <w:highlight w:val="none"/>
        </w:rPr>
      </w:pPr>
      <w:r>
        <w:rPr>
          <w:rFonts w:hint="eastAsia" w:ascii="宋体" w:hAnsi="宋体" w:cs="宋体"/>
          <w:sz w:val="24"/>
          <w:szCs w:val="24"/>
          <w:highlight w:val="none"/>
        </w:rPr>
        <w:t xml:space="preserve">以上企业，不属于大企业的分支机构，不存在控股股东 为大企业的情形，也不存在与大企业的负责人为同一人的情 形。 </w:t>
      </w:r>
    </w:p>
    <w:p>
      <w:pPr>
        <w:ind w:firstLine="480" w:firstLineChars="200"/>
        <w:rPr>
          <w:rFonts w:ascii="宋体" w:hAnsi="宋体" w:cs="宋体"/>
          <w:sz w:val="24"/>
          <w:szCs w:val="24"/>
          <w:highlight w:val="none"/>
        </w:rPr>
      </w:pPr>
      <w:r>
        <w:rPr>
          <w:rFonts w:hint="eastAsia" w:ascii="宋体" w:hAnsi="宋体" w:cs="宋体"/>
          <w:sz w:val="24"/>
          <w:szCs w:val="24"/>
          <w:highlight w:val="none"/>
        </w:rPr>
        <w:t xml:space="preserve">本企业对上述声明内容的真实性负责。如有虚假，将依 法承担相应责任。 </w:t>
      </w:r>
    </w:p>
    <w:p>
      <w:pPr>
        <w:ind w:firstLine="3600" w:firstLineChars="1500"/>
        <w:rPr>
          <w:rFonts w:ascii="宋体" w:hAnsi="宋体" w:cs="宋体"/>
          <w:sz w:val="24"/>
          <w:szCs w:val="24"/>
          <w:highlight w:val="none"/>
        </w:rPr>
      </w:pPr>
      <w:r>
        <w:rPr>
          <w:rFonts w:hint="eastAsia" w:ascii="宋体" w:hAnsi="宋体" w:cs="宋体"/>
          <w:sz w:val="24"/>
          <w:szCs w:val="24"/>
          <w:highlight w:val="none"/>
        </w:rPr>
        <w:t xml:space="preserve">企业名称（盖章）： </w:t>
      </w:r>
    </w:p>
    <w:p>
      <w:pPr>
        <w:ind w:firstLine="3600" w:firstLineChars="1500"/>
        <w:rPr>
          <w:rFonts w:ascii="宋体" w:hAnsi="宋体" w:cs="宋体"/>
          <w:sz w:val="24"/>
          <w:szCs w:val="24"/>
          <w:highlight w:val="none"/>
        </w:rPr>
      </w:pPr>
      <w:r>
        <w:rPr>
          <w:rFonts w:hint="eastAsia" w:ascii="宋体" w:hAnsi="宋体" w:cs="宋体"/>
          <w:sz w:val="24"/>
          <w:szCs w:val="24"/>
          <w:highlight w:val="none"/>
        </w:rPr>
        <w:t xml:space="preserve">日 期： </w:t>
      </w:r>
    </w:p>
    <w:p>
      <w:pPr>
        <w:spacing w:line="360" w:lineRule="auto"/>
        <w:jc w:val="left"/>
        <w:rPr>
          <w:rFonts w:ascii="宋体" w:hAnsi="宋体" w:cs="宋体"/>
          <w:sz w:val="30"/>
          <w:szCs w:val="30"/>
          <w:highlight w:val="none"/>
        </w:rPr>
      </w:pPr>
      <w:r>
        <w:rPr>
          <w:rFonts w:hint="eastAsia" w:ascii="宋体" w:hAnsi="宋体" w:cs="宋体"/>
          <w:sz w:val="28"/>
          <w:szCs w:val="28"/>
          <w:highlight w:val="none"/>
        </w:rPr>
        <w:br w:type="page"/>
      </w:r>
      <w:r>
        <w:rPr>
          <w:rFonts w:hint="eastAsia" w:ascii="宋体" w:hAnsi="宋体" w:cs="宋体"/>
          <w:sz w:val="24"/>
          <w:highlight w:val="none"/>
        </w:rPr>
        <w:t>附件7：</w:t>
      </w:r>
    </w:p>
    <w:p>
      <w:pPr>
        <w:spacing w:before="156" w:beforeLines="50" w:after="156" w:afterLines="50" w:line="500" w:lineRule="exact"/>
        <w:jc w:val="center"/>
        <w:rPr>
          <w:rFonts w:ascii="宋体" w:hAnsi="宋体" w:cs="宋体"/>
          <w:b/>
          <w:spacing w:val="6"/>
          <w:sz w:val="30"/>
          <w:szCs w:val="30"/>
          <w:highlight w:val="none"/>
        </w:rPr>
      </w:pPr>
      <w:r>
        <w:rPr>
          <w:rFonts w:hint="eastAsia" w:ascii="宋体" w:hAnsi="宋体" w:cs="宋体"/>
          <w:b/>
          <w:spacing w:val="6"/>
          <w:sz w:val="30"/>
          <w:szCs w:val="30"/>
          <w:highlight w:val="none"/>
        </w:rPr>
        <w:t>残疾人福利性单位声明函</w:t>
      </w:r>
    </w:p>
    <w:bookmarkEnd w:id="127"/>
    <w:bookmarkEnd w:id="128"/>
    <w:p>
      <w:pPr>
        <w:spacing w:line="588" w:lineRule="exact"/>
        <w:ind w:firstLine="504" w:firstLineChars="200"/>
        <w:rPr>
          <w:rFonts w:ascii="宋体" w:hAnsi="宋体" w:cs="宋体"/>
          <w:spacing w:val="6"/>
          <w:sz w:val="24"/>
          <w:szCs w:val="24"/>
          <w:highlight w:val="none"/>
        </w:rPr>
      </w:pPr>
      <w:r>
        <w:rPr>
          <w:rFonts w:hint="eastAsia" w:ascii="宋体" w:hAnsi="宋体" w:cs="宋体"/>
          <w:spacing w:val="6"/>
          <w:sz w:val="24"/>
          <w:szCs w:val="24"/>
          <w:highlight w:val="none"/>
        </w:rPr>
        <w:t>本单位郑重声明，根据《财政部 民政部 中国残疾人联合会关于促进残疾人就业政府采购政策的通知》（财库</w:t>
      </w:r>
      <w:r>
        <w:rPr>
          <w:rFonts w:hint="eastAsia" w:ascii="宋体" w:hAnsi="宋体" w:cs="宋体"/>
          <w:sz w:val="24"/>
          <w:szCs w:val="24"/>
          <w:highlight w:val="none"/>
        </w:rPr>
        <w:t>〔2017〕 141</w:t>
      </w:r>
      <w:r>
        <w:rPr>
          <w:rFonts w:hint="eastAsia" w:ascii="宋体" w:hAnsi="宋体" w:cs="宋体"/>
          <w:spacing w:val="6"/>
          <w:sz w:val="24"/>
          <w:szCs w:val="24"/>
          <w:highlight w:val="none"/>
        </w:rPr>
        <w:t>号）的规定，本单位为符合条件的残疾人福利性单位，且本单位参加</w:t>
      </w:r>
      <w:r>
        <w:rPr>
          <w:rFonts w:hint="eastAsia" w:ascii="宋体" w:hAnsi="宋体" w:cs="宋体"/>
          <w:spacing w:val="6"/>
          <w:sz w:val="24"/>
          <w:szCs w:val="24"/>
          <w:highlight w:val="none"/>
          <w:u w:val="single"/>
        </w:rPr>
        <w:t xml:space="preserve">     </w:t>
      </w:r>
      <w:r>
        <w:rPr>
          <w:rFonts w:hint="eastAsia" w:ascii="宋体" w:hAnsi="宋体" w:cs="宋体"/>
          <w:spacing w:val="6"/>
          <w:sz w:val="24"/>
          <w:szCs w:val="24"/>
          <w:highlight w:val="none"/>
        </w:rPr>
        <w:t>单位的</w:t>
      </w:r>
      <w:r>
        <w:rPr>
          <w:rFonts w:hint="eastAsia" w:ascii="宋体" w:hAnsi="宋体" w:cs="宋体"/>
          <w:spacing w:val="6"/>
          <w:sz w:val="24"/>
          <w:szCs w:val="24"/>
          <w:highlight w:val="none"/>
          <w:u w:val="single"/>
        </w:rPr>
        <w:t>______</w:t>
      </w:r>
      <w:r>
        <w:rPr>
          <w:rFonts w:hint="eastAsia" w:ascii="宋体" w:hAnsi="宋体" w:cs="宋体"/>
          <w:spacing w:val="6"/>
          <w:sz w:val="24"/>
          <w:szCs w:val="24"/>
          <w:highlight w:val="none"/>
        </w:rPr>
        <w:t>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cs="宋体"/>
          <w:spacing w:val="6"/>
          <w:sz w:val="24"/>
          <w:szCs w:val="24"/>
          <w:highlight w:val="none"/>
        </w:rPr>
      </w:pPr>
      <w:r>
        <w:rPr>
          <w:rFonts w:hint="eastAsia" w:ascii="宋体" w:hAnsi="宋体" w:cs="宋体"/>
          <w:spacing w:val="6"/>
          <w:sz w:val="24"/>
          <w:szCs w:val="24"/>
          <w:highlight w:val="none"/>
        </w:rPr>
        <w:t>本单位对上述声明的真实性负责。如有虚假，将依法承担相应责任。</w:t>
      </w:r>
    </w:p>
    <w:p>
      <w:pPr>
        <w:spacing w:line="336" w:lineRule="auto"/>
        <w:ind w:firstLine="504" w:firstLineChars="200"/>
        <w:rPr>
          <w:rFonts w:ascii="宋体" w:hAnsi="宋体" w:cs="宋体"/>
          <w:spacing w:val="6"/>
          <w:sz w:val="24"/>
          <w:szCs w:val="24"/>
          <w:highlight w:val="none"/>
        </w:rPr>
      </w:pPr>
      <w:r>
        <w:rPr>
          <w:rFonts w:hint="eastAsia" w:ascii="宋体" w:hAnsi="宋体" w:cs="宋体"/>
          <w:spacing w:val="6"/>
          <w:sz w:val="24"/>
          <w:szCs w:val="24"/>
          <w:highlight w:val="none"/>
        </w:rPr>
        <w:t xml:space="preserve">              </w:t>
      </w:r>
    </w:p>
    <w:p>
      <w:pPr>
        <w:pStyle w:val="8"/>
        <w:rPr>
          <w:rFonts w:ascii="宋体" w:hAnsi="宋体" w:cs="宋体"/>
          <w:spacing w:val="6"/>
          <w:sz w:val="24"/>
          <w:szCs w:val="24"/>
          <w:highlight w:val="none"/>
        </w:rPr>
      </w:pPr>
    </w:p>
    <w:p>
      <w:pPr>
        <w:pStyle w:val="8"/>
        <w:rPr>
          <w:rFonts w:ascii="宋体" w:hAnsi="宋体" w:cs="宋体"/>
          <w:spacing w:val="6"/>
          <w:sz w:val="24"/>
          <w:szCs w:val="24"/>
          <w:highlight w:val="none"/>
        </w:rPr>
      </w:pPr>
    </w:p>
    <w:p>
      <w:pPr>
        <w:spacing w:line="500" w:lineRule="exact"/>
        <w:ind w:firstLine="2640" w:firstLineChars="1100"/>
        <w:rPr>
          <w:rFonts w:ascii="宋体" w:hAnsi="宋体" w:cs="宋体"/>
          <w:sz w:val="24"/>
          <w:szCs w:val="24"/>
          <w:highlight w:val="none"/>
        </w:rPr>
      </w:pPr>
      <w:r>
        <w:rPr>
          <w:rFonts w:hint="eastAsia" w:ascii="宋体" w:hAnsi="宋体" w:cs="宋体"/>
          <w:sz w:val="24"/>
          <w:szCs w:val="24"/>
          <w:highlight w:val="none"/>
        </w:rPr>
        <w:t>供应商名称：</w:t>
      </w:r>
      <w:r>
        <w:rPr>
          <w:rFonts w:hint="eastAsia" w:ascii="宋体" w:hAnsi="宋体" w:cs="宋体"/>
          <w:sz w:val="24"/>
          <w:szCs w:val="24"/>
          <w:highlight w:val="none"/>
          <w:u w:val="single"/>
        </w:rPr>
        <w:t xml:space="preserve">                       </w:t>
      </w:r>
      <w:r>
        <w:rPr>
          <w:rFonts w:hint="eastAsia" w:ascii="宋体" w:hAnsi="宋体" w:cs="宋体"/>
          <w:sz w:val="24"/>
          <w:szCs w:val="24"/>
          <w:highlight w:val="none"/>
        </w:rPr>
        <w:t>（盖章）</w:t>
      </w:r>
    </w:p>
    <w:p>
      <w:pPr>
        <w:pStyle w:val="51"/>
        <w:spacing w:line="500" w:lineRule="exact"/>
        <w:ind w:firstLine="2640" w:firstLineChars="1100"/>
        <w:rPr>
          <w:rFonts w:ascii="宋体" w:hAnsi="宋体" w:cs="宋体"/>
          <w:sz w:val="24"/>
          <w:szCs w:val="24"/>
          <w:highlight w:val="none"/>
        </w:rPr>
      </w:pPr>
      <w:r>
        <w:rPr>
          <w:rFonts w:hint="eastAsia" w:ascii="宋体" w:hAnsi="宋体" w:cs="宋体"/>
          <w:sz w:val="24"/>
          <w:szCs w:val="24"/>
          <w:highlight w:val="none"/>
        </w:rPr>
        <w:t>日        期：</w:t>
      </w:r>
      <w:r>
        <w:rPr>
          <w:rFonts w:hint="eastAsia" w:ascii="宋体" w:hAnsi="宋体" w:cs="宋体"/>
          <w:sz w:val="24"/>
          <w:szCs w:val="24"/>
          <w:highlight w:val="none"/>
          <w:u w:val="single"/>
        </w:rPr>
        <w:t xml:space="preserve">      </w:t>
      </w:r>
      <w:r>
        <w:rPr>
          <w:rFonts w:hint="eastAsia" w:ascii="宋体" w:hAnsi="宋体" w:cs="宋体"/>
          <w:sz w:val="24"/>
          <w:szCs w:val="24"/>
          <w:highlight w:val="none"/>
        </w:rPr>
        <w:t>年</w:t>
      </w:r>
      <w:r>
        <w:rPr>
          <w:rFonts w:hint="eastAsia" w:ascii="宋体" w:hAnsi="宋体" w:cs="宋体"/>
          <w:sz w:val="24"/>
          <w:szCs w:val="24"/>
          <w:highlight w:val="none"/>
          <w:u w:val="single"/>
        </w:rPr>
        <w:t xml:space="preserve">     </w:t>
      </w:r>
      <w:r>
        <w:rPr>
          <w:rFonts w:hint="eastAsia" w:ascii="宋体" w:hAnsi="宋体" w:cs="宋体"/>
          <w:sz w:val="24"/>
          <w:szCs w:val="24"/>
          <w:highlight w:val="none"/>
        </w:rPr>
        <w:t>月</w:t>
      </w:r>
      <w:r>
        <w:rPr>
          <w:rFonts w:hint="eastAsia" w:ascii="宋体" w:hAnsi="宋体" w:cs="宋体"/>
          <w:sz w:val="24"/>
          <w:szCs w:val="24"/>
          <w:highlight w:val="none"/>
          <w:u w:val="single"/>
        </w:rPr>
        <w:t xml:space="preserve">     </w:t>
      </w:r>
      <w:r>
        <w:rPr>
          <w:rFonts w:hint="eastAsia" w:ascii="宋体" w:hAnsi="宋体" w:cs="宋体"/>
          <w:sz w:val="24"/>
          <w:szCs w:val="24"/>
          <w:highlight w:val="none"/>
        </w:rPr>
        <w:t>日</w:t>
      </w:r>
    </w:p>
    <w:p>
      <w:pPr>
        <w:spacing w:line="336" w:lineRule="auto"/>
        <w:ind w:firstLine="480" w:firstLineChars="200"/>
        <w:rPr>
          <w:rFonts w:ascii="宋体" w:hAnsi="宋体" w:cs="宋体"/>
          <w:sz w:val="24"/>
          <w:szCs w:val="24"/>
          <w:highlight w:val="none"/>
        </w:rPr>
      </w:pPr>
    </w:p>
    <w:p>
      <w:pPr>
        <w:pStyle w:val="8"/>
        <w:ind w:firstLine="0"/>
        <w:rPr>
          <w:rFonts w:ascii="宋体" w:hAnsi="宋体" w:cs="宋体"/>
          <w:sz w:val="24"/>
          <w:szCs w:val="24"/>
          <w:highlight w:val="none"/>
        </w:rPr>
      </w:pPr>
    </w:p>
    <w:p>
      <w:pPr>
        <w:spacing w:line="336" w:lineRule="auto"/>
        <w:ind w:firstLine="480" w:firstLineChars="200"/>
        <w:rPr>
          <w:rFonts w:ascii="宋体" w:hAnsi="宋体" w:cs="宋体"/>
          <w:sz w:val="24"/>
          <w:szCs w:val="24"/>
          <w:highlight w:val="none"/>
        </w:rPr>
      </w:pPr>
      <w:r>
        <w:rPr>
          <w:rFonts w:hint="eastAsia" w:ascii="宋体" w:hAnsi="宋体" w:cs="宋体"/>
          <w:sz w:val="24"/>
          <w:szCs w:val="24"/>
          <w:highlight w:val="none"/>
        </w:rPr>
        <w:t>备注：1.填写前请认真阅读《财政部民政部中国残疾人联合会关于促进残疾人就业政府采购政采的通知》(财库〔2017〕141号)相关规定。</w:t>
      </w:r>
      <w:bookmarkEnd w:id="126"/>
    </w:p>
    <w:p>
      <w:pPr>
        <w:pStyle w:val="7"/>
        <w:rPr>
          <w:rFonts w:ascii="宋体" w:hAnsi="宋体" w:eastAsia="宋体" w:cs="宋体"/>
          <w:sz w:val="24"/>
          <w:szCs w:val="24"/>
          <w:highlight w:val="none"/>
        </w:rPr>
        <w:sectPr>
          <w:type w:val="continuous"/>
          <w:pgSz w:w="11906" w:h="16838"/>
          <w:pgMar w:top="1417" w:right="1417" w:bottom="1417" w:left="1417" w:header="850" w:footer="992" w:gutter="0"/>
          <w:pgNumType w:fmt="decimal"/>
          <w:cols w:space="0" w:num="1"/>
          <w:docGrid w:type="lines" w:linePitch="312" w:charSpace="0"/>
        </w:sectPr>
      </w:pPr>
    </w:p>
    <w:p>
      <w:pPr>
        <w:pStyle w:val="7"/>
        <w:rPr>
          <w:rFonts w:ascii="宋体" w:hAnsi="宋体" w:eastAsia="宋体" w:cs="宋体"/>
          <w:sz w:val="24"/>
          <w:szCs w:val="24"/>
          <w:highlight w:val="none"/>
        </w:rPr>
      </w:pPr>
    </w:p>
    <w:p>
      <w:pPr>
        <w:pStyle w:val="7"/>
        <w:rPr>
          <w:rFonts w:ascii="宋体" w:hAnsi="宋体" w:eastAsia="宋体" w:cs="宋体"/>
          <w:highlight w:val="none"/>
        </w:rPr>
      </w:pPr>
    </w:p>
    <w:sectPr>
      <w:type w:val="continuous"/>
      <w:pgSz w:w="11906" w:h="16838"/>
      <w:pgMar w:top="1417" w:right="1417" w:bottom="1417" w:left="1417" w:header="850" w:footer="992" w:gutter="0"/>
      <w:pgNumType w:fmt="decimal"/>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Menlo">
    <w:altName w:val="Courier New"/>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99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5"/>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99</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99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5"/>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99</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99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5"/>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99</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line="324" w:lineRule="auto"/>
      </w:pPr>
      <w:r>
        <w:separator/>
      </w:r>
    </w:p>
  </w:footnote>
  <w:footnote w:type="continuationSeparator" w:id="3">
    <w:p>
      <w:pPr>
        <w:spacing w:line="324" w:lineRule="auto"/>
      </w:pPr>
      <w:r>
        <w:continuationSeparator/>
      </w:r>
    </w:p>
  </w:footnote>
  <w:footnote w:id="0">
    <w:p>
      <w:pPr>
        <w:pStyle w:val="18"/>
        <w:rPr>
          <w:rFonts w:ascii="宋体" w:hAnsi="宋体" w:cs="宋体"/>
          <w:sz w:val="21"/>
          <w:szCs w:val="21"/>
        </w:rPr>
      </w:pPr>
      <w:r>
        <w:rPr>
          <w:rStyle w:val="33"/>
          <w:rFonts w:hint="eastAsia" w:ascii="宋体" w:hAnsi="宋体" w:cs="宋体"/>
          <w:sz w:val="21"/>
          <w:szCs w:val="21"/>
        </w:rPr>
        <w:footnoteRef/>
      </w:r>
      <w:r>
        <w:rPr>
          <w:rFonts w:hint="eastAsia" w:ascii="宋体" w:hAnsi="宋体" w:cs="宋体"/>
          <w:sz w:val="21"/>
          <w:szCs w:val="21"/>
        </w:rPr>
        <w:t xml:space="preserve">  从业人员、营业收入、资产总额填报上一年度数据，无上一年度数据的新成立企业可不填报。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double" w:color="auto" w:sz="8" w:space="1"/>
      </w:pBdr>
      <w:rPr>
        <w:rFonts w:hint="eastAsia" w:eastAsia="宋体"/>
        <w:sz w:val="21"/>
        <w:lang w:eastAsia="zh-CN"/>
      </w:rPr>
    </w:pPr>
    <w:r>
      <w:rPr>
        <w:sz w:val="2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-267335</wp:posOffset>
              </wp:positionV>
              <wp:extent cx="377190" cy="28067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77190" cy="2806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PAGE  \* MERGEFORMAT </w:instrText>
                          </w:r>
                          <w:r>
                            <w:rPr>
                              <w:rFonts w:hint="eastAsia" w:ascii="宋体" w:hAnsi="宋体" w:cs="宋体"/>
                              <w:sz w:val="24"/>
                            </w:rPr>
                            <w:fldChar w:fldCharType="separate"/>
                          </w:r>
                          <w:r>
                            <w:rPr>
                              <w:rFonts w:ascii="宋体" w:hAnsi="宋体" w:cs="宋体"/>
                              <w:sz w:val="24"/>
                            </w:rPr>
                            <w:t>20</w:t>
                          </w:r>
                          <w:r>
                            <w:rPr>
                              <w:rFonts w:hint="eastAsia" w:ascii="宋体" w:hAnsi="宋体" w:cs="宋体"/>
                              <w:sz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21.05pt;height:22.1pt;width:29.7pt;mso-position-horizontal:outside;mso-position-horizontal-relative:margin;z-index:251659264;mso-width-relative:page;mso-height-relative:page;" filled="f" stroked="f" coordsize="21600,21600" o:gfxdata="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o53KS1AAAAAUBAAAPAAAAAAAAAAEAIAAAACIAAABkcnMvZG93bnJldi54bWxQSwEC&#10;FAAUAAAACACHTuJAxXwBvTECAABVBAAADgAAAAAAAAABACAAAAAjAQAAZHJzL2Uyb0RvYy54bWxQ&#10;SwUGAAAAAAYABgBZAQAAxgUAAAAA&#10;">
              <v:fill on="f" focussize="0,0"/>
              <v:stroke on="f" weight="0.5pt"/>
              <v:imagedata o:title=""/>
              <o:lock v:ext="edit" aspectratio="f"/>
              <v:textbox inset="0mm,0mm,0mm,0mm">
                <w:txbxContent>
                  <w:p>
                    <w:pPr>
                      <w:jc w:val="center"/>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PAGE  \* MERGEFORMAT </w:instrText>
                    </w:r>
                    <w:r>
                      <w:rPr>
                        <w:rFonts w:hint="eastAsia" w:ascii="宋体" w:hAnsi="宋体" w:cs="宋体"/>
                        <w:sz w:val="24"/>
                      </w:rPr>
                      <w:fldChar w:fldCharType="separate"/>
                    </w:r>
                    <w:r>
                      <w:rPr>
                        <w:rFonts w:ascii="宋体" w:hAnsi="宋体" w:cs="宋体"/>
                        <w:sz w:val="24"/>
                      </w:rPr>
                      <w:t>20</w:t>
                    </w:r>
                    <w:r>
                      <w:rPr>
                        <w:rFonts w:hint="eastAsia" w:ascii="宋体" w:hAnsi="宋体" w:cs="宋体"/>
                        <w:sz w:val="24"/>
                      </w:rPr>
                      <w:fldChar w:fldCharType="end"/>
                    </w:r>
                  </w:p>
                </w:txbxContent>
              </v:textbox>
            </v:shape>
          </w:pict>
        </mc:Fallback>
      </mc:AlternateContent>
    </w:r>
    <w:r>
      <w:rPr>
        <w:rFonts w:hint="eastAsia"/>
        <w:sz w:val="21"/>
        <w:lang w:eastAsia="zh-CN"/>
      </w:rPr>
      <w:t>陕西省公路局新增普通省道危旧桥梁（隧) 技术状况评定项目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rPr>
        <w:rFonts w:hint="eastAsia"/>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jc w:val="both"/>
      <w:rPr>
        <w:rFonts w:hint="eastAsia" w:eastAsia="宋体"/>
        <w:lang w:eastAsia="zh-CN"/>
      </w:rPr>
    </w:pPr>
    <w:r>
      <w:rPr>
        <w:sz w:val="21"/>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-267335</wp:posOffset>
              </wp:positionV>
              <wp:extent cx="377190" cy="280670"/>
              <wp:effectExtent l="0" t="0" r="0" b="0"/>
              <wp:wrapNone/>
              <wp:docPr id="4" name="文本框 4"/>
              <wp:cNvGraphicFramePr/>
              <a:graphic xmlns:a="http://schemas.openxmlformats.org/drawingml/2006/main">
                <a:graphicData uri="http://schemas.microsoft.com/office/word/2010/wordprocessingShape">
                  <wps:wsp>
                    <wps:cNvSpPr txBox="1"/>
                    <wps:spPr>
                      <a:xfrm>
                        <a:off x="0" y="0"/>
                        <a:ext cx="377190" cy="2806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ascii="宋体" w:hAnsi="宋体" w:cs="宋体"/>
                              <w:sz w:val="24"/>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21.05pt;height:22.1pt;width:29.7pt;mso-position-horizontal:outside;mso-position-horizontal-relative:margin;z-index:251660288;mso-width-relative:page;mso-height-relative:page;" filled="f" stroked="f" coordsize="21600,21600" o:gfxdata="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6OdyktQAAAAFAQAADwAAAAAAAAABACAAAAAiAAAAZHJzL2Rvd25yZXYueG1sUEsB&#10;AhQAFAAAAAgAh07iQNcRBDoyAgAAVQQAAA4AAAAAAAAAAQAgAAAAIwEAAGRycy9lMm9Eb2MueG1s&#10;UEsFBgAAAAAGAAYAWQEAAMcFAAAAAA==&#10;">
              <v:fill on="f" focussize="0,0"/>
              <v:stroke on="f" weight="0.5pt"/>
              <v:imagedata o:title=""/>
              <o:lock v:ext="edit" aspectratio="f"/>
              <v:textbox inset="0mm,0mm,0mm,0mm">
                <w:txbxContent>
                  <w:p>
                    <w:pPr>
                      <w:jc w:val="center"/>
                      <w:rPr>
                        <w:rFonts w:ascii="宋体" w:hAnsi="宋体" w:cs="宋体"/>
                        <w:sz w:val="24"/>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91C095"/>
    <w:multiLevelType w:val="singleLevel"/>
    <w:tmpl w:val="A091C095"/>
    <w:lvl w:ilvl="0" w:tentative="0">
      <w:start w:val="1"/>
      <w:numFmt w:val="decimal"/>
      <w:suff w:val="nothing"/>
      <w:lvlText w:val="%1、"/>
      <w:lvlJc w:val="left"/>
    </w:lvl>
  </w:abstractNum>
  <w:abstractNum w:abstractNumId="1">
    <w:nsid w:val="BAF19013"/>
    <w:multiLevelType w:val="singleLevel"/>
    <w:tmpl w:val="BAF19013"/>
    <w:lvl w:ilvl="0" w:tentative="0">
      <w:start w:val="3"/>
      <w:numFmt w:val="chineseCounting"/>
      <w:suff w:val="space"/>
      <w:lvlText w:val="第%1部分"/>
      <w:lvlJc w:val="left"/>
      <w:rPr>
        <w:rFonts w:hint="eastAsia"/>
      </w:rPr>
    </w:lvl>
  </w:abstractNum>
  <w:abstractNum w:abstractNumId="2">
    <w:nsid w:val="DC79730A"/>
    <w:multiLevelType w:val="singleLevel"/>
    <w:tmpl w:val="DC79730A"/>
    <w:lvl w:ilvl="0" w:tentative="0">
      <w:start w:val="1"/>
      <w:numFmt w:val="decimal"/>
      <w:suff w:val="nothing"/>
      <w:lvlText w:val="%1、"/>
      <w:lvlJc w:val="left"/>
    </w:lvl>
  </w:abstractNum>
  <w:abstractNum w:abstractNumId="3">
    <w:nsid w:val="E554838F"/>
    <w:multiLevelType w:val="singleLevel"/>
    <w:tmpl w:val="E554838F"/>
    <w:lvl w:ilvl="0" w:tentative="0">
      <w:start w:val="2"/>
      <w:numFmt w:val="decimal"/>
      <w:lvlText w:val="%1."/>
      <w:lvlJc w:val="left"/>
      <w:pPr>
        <w:tabs>
          <w:tab w:val="left" w:pos="312"/>
        </w:tabs>
      </w:pPr>
    </w:lvl>
  </w:abstractNum>
  <w:abstractNum w:abstractNumId="4">
    <w:nsid w:val="0000000A"/>
    <w:multiLevelType w:val="singleLevel"/>
    <w:tmpl w:val="0000000A"/>
    <w:lvl w:ilvl="0" w:tentative="0">
      <w:start w:val="1"/>
      <w:numFmt w:val="chineseCounting"/>
      <w:suff w:val="nothing"/>
      <w:lvlText w:val="%1、"/>
      <w:lvlJc w:val="left"/>
      <w:pPr>
        <w:ind w:left="0" w:firstLine="420"/>
      </w:pPr>
      <w:rPr>
        <w:rFonts w:hint="eastAsia"/>
      </w:rPr>
    </w:lvl>
  </w:abstractNum>
  <w:abstractNum w:abstractNumId="5">
    <w:nsid w:val="52973A80"/>
    <w:multiLevelType w:val="multilevel"/>
    <w:tmpl w:val="52973A80"/>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6">
    <w:nsid w:val="7FE5E24B"/>
    <w:multiLevelType w:val="singleLevel"/>
    <w:tmpl w:val="7FE5E24B"/>
    <w:lvl w:ilvl="0" w:tentative="0">
      <w:start w:val="2"/>
      <w:numFmt w:val="decimal"/>
      <w:suff w:val="nothing"/>
      <w:lvlText w:val="（%1）"/>
      <w:lvlJc w:val="left"/>
    </w:lvl>
  </w:abstractNum>
  <w:num w:numId="1">
    <w:abstractNumId w:val="0"/>
  </w:num>
  <w:num w:numId="2">
    <w:abstractNumId w:val="5"/>
  </w:num>
  <w:num w:numId="3">
    <w:abstractNumId w:val="1"/>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footnotePr>
    <w:footnote w:id="2"/>
    <w:footnote w:id="3"/>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JkNmEwODUxZTlhY2U2ZTM0OTI0ZDY1ZmQzYTAyZjYifQ=="/>
  </w:docVars>
  <w:rsids>
    <w:rsidRoot w:val="1D430C9A"/>
    <w:rsid w:val="000606E0"/>
    <w:rsid w:val="00064D80"/>
    <w:rsid w:val="000663EB"/>
    <w:rsid w:val="000B09F1"/>
    <w:rsid w:val="000B45EB"/>
    <w:rsid w:val="000D6B6D"/>
    <w:rsid w:val="00181808"/>
    <w:rsid w:val="001D558E"/>
    <w:rsid w:val="00270737"/>
    <w:rsid w:val="00273A5E"/>
    <w:rsid w:val="002E467B"/>
    <w:rsid w:val="00302431"/>
    <w:rsid w:val="00313DE3"/>
    <w:rsid w:val="00314786"/>
    <w:rsid w:val="00316D72"/>
    <w:rsid w:val="00354C98"/>
    <w:rsid w:val="003751BF"/>
    <w:rsid w:val="003879B7"/>
    <w:rsid w:val="003904F5"/>
    <w:rsid w:val="003A629C"/>
    <w:rsid w:val="003C133E"/>
    <w:rsid w:val="003D113E"/>
    <w:rsid w:val="003D2BA4"/>
    <w:rsid w:val="003F273A"/>
    <w:rsid w:val="0046206D"/>
    <w:rsid w:val="004806A7"/>
    <w:rsid w:val="00494AC7"/>
    <w:rsid w:val="004C7800"/>
    <w:rsid w:val="00503216"/>
    <w:rsid w:val="00524F09"/>
    <w:rsid w:val="00530F4F"/>
    <w:rsid w:val="005358A0"/>
    <w:rsid w:val="005813A7"/>
    <w:rsid w:val="005843C1"/>
    <w:rsid w:val="006109F6"/>
    <w:rsid w:val="006110DA"/>
    <w:rsid w:val="00633E10"/>
    <w:rsid w:val="00642AA2"/>
    <w:rsid w:val="0068087E"/>
    <w:rsid w:val="006F33C1"/>
    <w:rsid w:val="006F47BE"/>
    <w:rsid w:val="00720FDA"/>
    <w:rsid w:val="0078389E"/>
    <w:rsid w:val="00795D84"/>
    <w:rsid w:val="007D4D45"/>
    <w:rsid w:val="00801FE0"/>
    <w:rsid w:val="00823515"/>
    <w:rsid w:val="008363EB"/>
    <w:rsid w:val="00844BCE"/>
    <w:rsid w:val="00862354"/>
    <w:rsid w:val="00867C2E"/>
    <w:rsid w:val="008C00D2"/>
    <w:rsid w:val="008E2A73"/>
    <w:rsid w:val="008E2EC1"/>
    <w:rsid w:val="008E4834"/>
    <w:rsid w:val="00930D4C"/>
    <w:rsid w:val="009B2E73"/>
    <w:rsid w:val="009B63DC"/>
    <w:rsid w:val="009D2D4F"/>
    <w:rsid w:val="009F237B"/>
    <w:rsid w:val="00A80990"/>
    <w:rsid w:val="00A8105F"/>
    <w:rsid w:val="00A81212"/>
    <w:rsid w:val="00AD29BF"/>
    <w:rsid w:val="00AD7564"/>
    <w:rsid w:val="00AE34B8"/>
    <w:rsid w:val="00AF17AF"/>
    <w:rsid w:val="00B011D4"/>
    <w:rsid w:val="00B1290A"/>
    <w:rsid w:val="00B64C47"/>
    <w:rsid w:val="00B70EC8"/>
    <w:rsid w:val="00B74EDA"/>
    <w:rsid w:val="00B761EE"/>
    <w:rsid w:val="00B8708B"/>
    <w:rsid w:val="00BB2BEC"/>
    <w:rsid w:val="00C22657"/>
    <w:rsid w:val="00C42CB2"/>
    <w:rsid w:val="00C46873"/>
    <w:rsid w:val="00C615DB"/>
    <w:rsid w:val="00CA7EEA"/>
    <w:rsid w:val="00CD015E"/>
    <w:rsid w:val="00CD2094"/>
    <w:rsid w:val="00CF799D"/>
    <w:rsid w:val="00D23BA1"/>
    <w:rsid w:val="00D34EAF"/>
    <w:rsid w:val="00DD641D"/>
    <w:rsid w:val="00E77A02"/>
    <w:rsid w:val="00F377F5"/>
    <w:rsid w:val="00FC3CC6"/>
    <w:rsid w:val="01045447"/>
    <w:rsid w:val="01252ACE"/>
    <w:rsid w:val="01536131"/>
    <w:rsid w:val="01866D85"/>
    <w:rsid w:val="01AA08C4"/>
    <w:rsid w:val="01C56903"/>
    <w:rsid w:val="01CC7B1A"/>
    <w:rsid w:val="02192CFC"/>
    <w:rsid w:val="023B3A91"/>
    <w:rsid w:val="02A46CD8"/>
    <w:rsid w:val="02F73FA3"/>
    <w:rsid w:val="02FC0103"/>
    <w:rsid w:val="02FD43A7"/>
    <w:rsid w:val="03237D8F"/>
    <w:rsid w:val="037A05EF"/>
    <w:rsid w:val="03845953"/>
    <w:rsid w:val="03A046E8"/>
    <w:rsid w:val="03F4586D"/>
    <w:rsid w:val="04360B53"/>
    <w:rsid w:val="04453AE7"/>
    <w:rsid w:val="04AF3BCC"/>
    <w:rsid w:val="04ED2BAF"/>
    <w:rsid w:val="056A57AD"/>
    <w:rsid w:val="057F0951"/>
    <w:rsid w:val="058B3AC1"/>
    <w:rsid w:val="05BF7430"/>
    <w:rsid w:val="05F01481"/>
    <w:rsid w:val="06146A1E"/>
    <w:rsid w:val="061A36C4"/>
    <w:rsid w:val="061B7265"/>
    <w:rsid w:val="06210052"/>
    <w:rsid w:val="06290185"/>
    <w:rsid w:val="063C1F3F"/>
    <w:rsid w:val="065C6C3B"/>
    <w:rsid w:val="06B724C4"/>
    <w:rsid w:val="06F10667"/>
    <w:rsid w:val="070126B0"/>
    <w:rsid w:val="074F5961"/>
    <w:rsid w:val="075158F5"/>
    <w:rsid w:val="07A05BC5"/>
    <w:rsid w:val="07AA1A95"/>
    <w:rsid w:val="07C43454"/>
    <w:rsid w:val="0811405C"/>
    <w:rsid w:val="081D70C4"/>
    <w:rsid w:val="08260B6D"/>
    <w:rsid w:val="08A12645"/>
    <w:rsid w:val="08B76218"/>
    <w:rsid w:val="08DB2E5F"/>
    <w:rsid w:val="08FC1C91"/>
    <w:rsid w:val="09516158"/>
    <w:rsid w:val="095430D3"/>
    <w:rsid w:val="096663B9"/>
    <w:rsid w:val="0980761B"/>
    <w:rsid w:val="099E501D"/>
    <w:rsid w:val="09A339B8"/>
    <w:rsid w:val="09D60E05"/>
    <w:rsid w:val="0A113632"/>
    <w:rsid w:val="0A4C1215"/>
    <w:rsid w:val="0A546A76"/>
    <w:rsid w:val="0A704F8E"/>
    <w:rsid w:val="0AD86877"/>
    <w:rsid w:val="0AF44D83"/>
    <w:rsid w:val="0B455BC1"/>
    <w:rsid w:val="0B5249B2"/>
    <w:rsid w:val="0B621497"/>
    <w:rsid w:val="0B7871AD"/>
    <w:rsid w:val="0B926209"/>
    <w:rsid w:val="0BBC4E0D"/>
    <w:rsid w:val="0BE67401"/>
    <w:rsid w:val="0C177D5B"/>
    <w:rsid w:val="0C1F42D9"/>
    <w:rsid w:val="0C2B6FA8"/>
    <w:rsid w:val="0C3B6140"/>
    <w:rsid w:val="0CF372A7"/>
    <w:rsid w:val="0D4A4E78"/>
    <w:rsid w:val="0DBA7538"/>
    <w:rsid w:val="0E351FFE"/>
    <w:rsid w:val="0E4C7D38"/>
    <w:rsid w:val="0E643FFC"/>
    <w:rsid w:val="0EAF45E2"/>
    <w:rsid w:val="0EE95AC5"/>
    <w:rsid w:val="0F071505"/>
    <w:rsid w:val="0F47375F"/>
    <w:rsid w:val="0F8137F3"/>
    <w:rsid w:val="0FA22032"/>
    <w:rsid w:val="0FCF699F"/>
    <w:rsid w:val="0FD915EF"/>
    <w:rsid w:val="0FE3250F"/>
    <w:rsid w:val="0FF93F24"/>
    <w:rsid w:val="102F2198"/>
    <w:rsid w:val="10434B08"/>
    <w:rsid w:val="106F2BD6"/>
    <w:rsid w:val="10AD317A"/>
    <w:rsid w:val="10EB7046"/>
    <w:rsid w:val="116A615C"/>
    <w:rsid w:val="11757BC4"/>
    <w:rsid w:val="11A85B1E"/>
    <w:rsid w:val="11BD496A"/>
    <w:rsid w:val="11BF21FB"/>
    <w:rsid w:val="11EA0C9B"/>
    <w:rsid w:val="11FC3C7B"/>
    <w:rsid w:val="1247009D"/>
    <w:rsid w:val="1266777C"/>
    <w:rsid w:val="128F0A11"/>
    <w:rsid w:val="12AC7FC8"/>
    <w:rsid w:val="1302412A"/>
    <w:rsid w:val="13024558"/>
    <w:rsid w:val="13087347"/>
    <w:rsid w:val="139167AE"/>
    <w:rsid w:val="139E1399"/>
    <w:rsid w:val="13D81F3E"/>
    <w:rsid w:val="13FA1DFA"/>
    <w:rsid w:val="14205579"/>
    <w:rsid w:val="14C22DEA"/>
    <w:rsid w:val="14CB3EEF"/>
    <w:rsid w:val="14D15D6E"/>
    <w:rsid w:val="15170E24"/>
    <w:rsid w:val="1531100D"/>
    <w:rsid w:val="15354668"/>
    <w:rsid w:val="15555CD1"/>
    <w:rsid w:val="15656FD9"/>
    <w:rsid w:val="15717DF8"/>
    <w:rsid w:val="157F25D9"/>
    <w:rsid w:val="15945CD9"/>
    <w:rsid w:val="15C50A2D"/>
    <w:rsid w:val="15C5684D"/>
    <w:rsid w:val="15F454D1"/>
    <w:rsid w:val="163D6558"/>
    <w:rsid w:val="16B66ABA"/>
    <w:rsid w:val="16D27B4D"/>
    <w:rsid w:val="171544FC"/>
    <w:rsid w:val="172B1713"/>
    <w:rsid w:val="172D673C"/>
    <w:rsid w:val="17442198"/>
    <w:rsid w:val="1758228A"/>
    <w:rsid w:val="1784546E"/>
    <w:rsid w:val="179F3595"/>
    <w:rsid w:val="17E3707E"/>
    <w:rsid w:val="182C617B"/>
    <w:rsid w:val="185D08B0"/>
    <w:rsid w:val="187F1E74"/>
    <w:rsid w:val="1892264A"/>
    <w:rsid w:val="18C5462B"/>
    <w:rsid w:val="18D24B4F"/>
    <w:rsid w:val="18F0290D"/>
    <w:rsid w:val="19554ADE"/>
    <w:rsid w:val="19917C33"/>
    <w:rsid w:val="1A03288D"/>
    <w:rsid w:val="1A5D7BED"/>
    <w:rsid w:val="1A683EC9"/>
    <w:rsid w:val="1B412DDB"/>
    <w:rsid w:val="1B4B3E74"/>
    <w:rsid w:val="1B574CFA"/>
    <w:rsid w:val="1B5F0E5F"/>
    <w:rsid w:val="1BE62635"/>
    <w:rsid w:val="1C1510D9"/>
    <w:rsid w:val="1C470F4E"/>
    <w:rsid w:val="1CC911A4"/>
    <w:rsid w:val="1D0F777A"/>
    <w:rsid w:val="1D430C9A"/>
    <w:rsid w:val="1D626E2E"/>
    <w:rsid w:val="1D700F6F"/>
    <w:rsid w:val="1D93532D"/>
    <w:rsid w:val="1DB45A97"/>
    <w:rsid w:val="1DE22D7E"/>
    <w:rsid w:val="1DED215B"/>
    <w:rsid w:val="1DF52E86"/>
    <w:rsid w:val="1E6D231E"/>
    <w:rsid w:val="1E951529"/>
    <w:rsid w:val="1EBA0A28"/>
    <w:rsid w:val="1EC4435D"/>
    <w:rsid w:val="1EFA1067"/>
    <w:rsid w:val="1F1D7EFB"/>
    <w:rsid w:val="1F671D94"/>
    <w:rsid w:val="203524B2"/>
    <w:rsid w:val="20E71860"/>
    <w:rsid w:val="20EF01BF"/>
    <w:rsid w:val="210C3CF1"/>
    <w:rsid w:val="21520F3D"/>
    <w:rsid w:val="220F6AD4"/>
    <w:rsid w:val="224A0A05"/>
    <w:rsid w:val="22537328"/>
    <w:rsid w:val="22554CE2"/>
    <w:rsid w:val="22F86123"/>
    <w:rsid w:val="233F461F"/>
    <w:rsid w:val="23400765"/>
    <w:rsid w:val="23E510A8"/>
    <w:rsid w:val="23E76108"/>
    <w:rsid w:val="24DC2D42"/>
    <w:rsid w:val="250110FD"/>
    <w:rsid w:val="25050C41"/>
    <w:rsid w:val="25081C09"/>
    <w:rsid w:val="25222626"/>
    <w:rsid w:val="25805C98"/>
    <w:rsid w:val="258069C4"/>
    <w:rsid w:val="26B10EEC"/>
    <w:rsid w:val="27206FF3"/>
    <w:rsid w:val="272E63C0"/>
    <w:rsid w:val="27362A0D"/>
    <w:rsid w:val="27C07A36"/>
    <w:rsid w:val="27C36125"/>
    <w:rsid w:val="27EA5975"/>
    <w:rsid w:val="27EE00B2"/>
    <w:rsid w:val="280A30D8"/>
    <w:rsid w:val="28130531"/>
    <w:rsid w:val="283A7439"/>
    <w:rsid w:val="285E2188"/>
    <w:rsid w:val="29B81AC5"/>
    <w:rsid w:val="29E024EF"/>
    <w:rsid w:val="29FB2613"/>
    <w:rsid w:val="2A083926"/>
    <w:rsid w:val="2A3D5D1D"/>
    <w:rsid w:val="2A504E9E"/>
    <w:rsid w:val="2A5D4C10"/>
    <w:rsid w:val="2A6515E9"/>
    <w:rsid w:val="2A742AF1"/>
    <w:rsid w:val="2A897471"/>
    <w:rsid w:val="2AAE1CEF"/>
    <w:rsid w:val="2AAE3BA5"/>
    <w:rsid w:val="2AB13026"/>
    <w:rsid w:val="2B2433BC"/>
    <w:rsid w:val="2B4D20BD"/>
    <w:rsid w:val="2B4D6442"/>
    <w:rsid w:val="2B646BD3"/>
    <w:rsid w:val="2B7011CC"/>
    <w:rsid w:val="2B7D5E3F"/>
    <w:rsid w:val="2B94011A"/>
    <w:rsid w:val="2BAB2DF3"/>
    <w:rsid w:val="2BAD3446"/>
    <w:rsid w:val="2BF41C0F"/>
    <w:rsid w:val="2C2D11D9"/>
    <w:rsid w:val="2C93440D"/>
    <w:rsid w:val="2D46629B"/>
    <w:rsid w:val="2DA02AEE"/>
    <w:rsid w:val="2DA2364E"/>
    <w:rsid w:val="2E065AC9"/>
    <w:rsid w:val="2E3B6CE1"/>
    <w:rsid w:val="2E714C76"/>
    <w:rsid w:val="2E8631C7"/>
    <w:rsid w:val="2EB96873"/>
    <w:rsid w:val="2EDC4A29"/>
    <w:rsid w:val="2F36384D"/>
    <w:rsid w:val="2FCF34F1"/>
    <w:rsid w:val="2FEA4960"/>
    <w:rsid w:val="30C84F69"/>
    <w:rsid w:val="3147679F"/>
    <w:rsid w:val="316A69FC"/>
    <w:rsid w:val="317D2139"/>
    <w:rsid w:val="31B03F69"/>
    <w:rsid w:val="31B460C7"/>
    <w:rsid w:val="31DE3D94"/>
    <w:rsid w:val="3203390A"/>
    <w:rsid w:val="32F06D78"/>
    <w:rsid w:val="336F172F"/>
    <w:rsid w:val="33F81AD3"/>
    <w:rsid w:val="34265336"/>
    <w:rsid w:val="346577B1"/>
    <w:rsid w:val="34787B3C"/>
    <w:rsid w:val="34B6433D"/>
    <w:rsid w:val="34D03D1A"/>
    <w:rsid w:val="352A0698"/>
    <w:rsid w:val="35520842"/>
    <w:rsid w:val="35780DDC"/>
    <w:rsid w:val="35D6489B"/>
    <w:rsid w:val="363140B7"/>
    <w:rsid w:val="3636283A"/>
    <w:rsid w:val="363C697E"/>
    <w:rsid w:val="366C6368"/>
    <w:rsid w:val="36790645"/>
    <w:rsid w:val="36E623F3"/>
    <w:rsid w:val="36E717E3"/>
    <w:rsid w:val="36F80606"/>
    <w:rsid w:val="370E39E7"/>
    <w:rsid w:val="37144EF0"/>
    <w:rsid w:val="37805DBC"/>
    <w:rsid w:val="37994E74"/>
    <w:rsid w:val="37C37E07"/>
    <w:rsid w:val="37CB12D1"/>
    <w:rsid w:val="37DA47BD"/>
    <w:rsid w:val="37F13918"/>
    <w:rsid w:val="382349FC"/>
    <w:rsid w:val="383C50A7"/>
    <w:rsid w:val="3840288C"/>
    <w:rsid w:val="386C3059"/>
    <w:rsid w:val="387146B2"/>
    <w:rsid w:val="38AE6905"/>
    <w:rsid w:val="38E37C94"/>
    <w:rsid w:val="390D1203"/>
    <w:rsid w:val="393C48A6"/>
    <w:rsid w:val="395064D7"/>
    <w:rsid w:val="395C54B3"/>
    <w:rsid w:val="39792763"/>
    <w:rsid w:val="399702D7"/>
    <w:rsid w:val="39C741EF"/>
    <w:rsid w:val="39CD5D7A"/>
    <w:rsid w:val="39FF76A3"/>
    <w:rsid w:val="3A075AB2"/>
    <w:rsid w:val="3A957CCA"/>
    <w:rsid w:val="3A971EE4"/>
    <w:rsid w:val="3AA041F3"/>
    <w:rsid w:val="3AB94708"/>
    <w:rsid w:val="3AD05471"/>
    <w:rsid w:val="3AD1309B"/>
    <w:rsid w:val="3B3311D2"/>
    <w:rsid w:val="3B3427EC"/>
    <w:rsid w:val="3B776E20"/>
    <w:rsid w:val="3B8842BA"/>
    <w:rsid w:val="3BC57165"/>
    <w:rsid w:val="3BE36EDC"/>
    <w:rsid w:val="3C2459F9"/>
    <w:rsid w:val="3C2D6CC3"/>
    <w:rsid w:val="3C5454E9"/>
    <w:rsid w:val="3C607FBD"/>
    <w:rsid w:val="3CCC53D6"/>
    <w:rsid w:val="3CFA2005"/>
    <w:rsid w:val="3D034652"/>
    <w:rsid w:val="3D143CBF"/>
    <w:rsid w:val="3D3A68F6"/>
    <w:rsid w:val="3D9E2D68"/>
    <w:rsid w:val="3DD746E6"/>
    <w:rsid w:val="3E377C01"/>
    <w:rsid w:val="3E993BCD"/>
    <w:rsid w:val="3EB84C95"/>
    <w:rsid w:val="3ED6383C"/>
    <w:rsid w:val="3F2F44DC"/>
    <w:rsid w:val="3F5044B0"/>
    <w:rsid w:val="3F5C3CA3"/>
    <w:rsid w:val="3F7E1CC5"/>
    <w:rsid w:val="3F7F61DD"/>
    <w:rsid w:val="3F8A16A0"/>
    <w:rsid w:val="3FC43048"/>
    <w:rsid w:val="414E03CA"/>
    <w:rsid w:val="418A03E7"/>
    <w:rsid w:val="41973A76"/>
    <w:rsid w:val="420B77E3"/>
    <w:rsid w:val="421E3C19"/>
    <w:rsid w:val="423510C4"/>
    <w:rsid w:val="423D4533"/>
    <w:rsid w:val="42BD5C6F"/>
    <w:rsid w:val="433E3844"/>
    <w:rsid w:val="4351680C"/>
    <w:rsid w:val="43922F17"/>
    <w:rsid w:val="43AC52D1"/>
    <w:rsid w:val="43D07720"/>
    <w:rsid w:val="44006FBE"/>
    <w:rsid w:val="440E3056"/>
    <w:rsid w:val="441A73E3"/>
    <w:rsid w:val="44327881"/>
    <w:rsid w:val="44585ECD"/>
    <w:rsid w:val="446B2A68"/>
    <w:rsid w:val="44D91B57"/>
    <w:rsid w:val="44DF26CC"/>
    <w:rsid w:val="44E071F1"/>
    <w:rsid w:val="44E14F36"/>
    <w:rsid w:val="453552AE"/>
    <w:rsid w:val="456478DF"/>
    <w:rsid w:val="45701BBB"/>
    <w:rsid w:val="45F54868"/>
    <w:rsid w:val="45F6538F"/>
    <w:rsid w:val="461C2E4C"/>
    <w:rsid w:val="46355639"/>
    <w:rsid w:val="4636795A"/>
    <w:rsid w:val="46374AB3"/>
    <w:rsid w:val="468E1525"/>
    <w:rsid w:val="46C22735"/>
    <w:rsid w:val="46C4187D"/>
    <w:rsid w:val="46C600EE"/>
    <w:rsid w:val="46CC4CFB"/>
    <w:rsid w:val="46CE4EDF"/>
    <w:rsid w:val="46F8572A"/>
    <w:rsid w:val="47262AD8"/>
    <w:rsid w:val="47743CD8"/>
    <w:rsid w:val="477C2CCF"/>
    <w:rsid w:val="478B76C7"/>
    <w:rsid w:val="47B74F96"/>
    <w:rsid w:val="47F13651"/>
    <w:rsid w:val="482F6CA4"/>
    <w:rsid w:val="4897520F"/>
    <w:rsid w:val="48A12EDF"/>
    <w:rsid w:val="48B41C37"/>
    <w:rsid w:val="48B86779"/>
    <w:rsid w:val="4905004E"/>
    <w:rsid w:val="49180694"/>
    <w:rsid w:val="495908CE"/>
    <w:rsid w:val="496A5C71"/>
    <w:rsid w:val="496B0798"/>
    <w:rsid w:val="4A08418E"/>
    <w:rsid w:val="4A2E6630"/>
    <w:rsid w:val="4A3A55A8"/>
    <w:rsid w:val="4A996BF8"/>
    <w:rsid w:val="4AD31DBF"/>
    <w:rsid w:val="4AEE5522"/>
    <w:rsid w:val="4AFC34C3"/>
    <w:rsid w:val="4B02570D"/>
    <w:rsid w:val="4B0C351D"/>
    <w:rsid w:val="4B3A4DAF"/>
    <w:rsid w:val="4B5111B0"/>
    <w:rsid w:val="4BB40900"/>
    <w:rsid w:val="4BC0726E"/>
    <w:rsid w:val="4BC55554"/>
    <w:rsid w:val="4C0716A5"/>
    <w:rsid w:val="4C3C5605"/>
    <w:rsid w:val="4C632680"/>
    <w:rsid w:val="4C67533C"/>
    <w:rsid w:val="4C943D65"/>
    <w:rsid w:val="4C9D4D06"/>
    <w:rsid w:val="4CCF375F"/>
    <w:rsid w:val="4D106251"/>
    <w:rsid w:val="4D1C2DE8"/>
    <w:rsid w:val="4D4D4043"/>
    <w:rsid w:val="4D4D44BF"/>
    <w:rsid w:val="4D52254E"/>
    <w:rsid w:val="4DAB1B4C"/>
    <w:rsid w:val="4DF93962"/>
    <w:rsid w:val="4E0D5706"/>
    <w:rsid w:val="4E2B2C34"/>
    <w:rsid w:val="4E570FA1"/>
    <w:rsid w:val="4E5E3842"/>
    <w:rsid w:val="4EA23BF2"/>
    <w:rsid w:val="4EDB6F5A"/>
    <w:rsid w:val="4F3A5808"/>
    <w:rsid w:val="4FDE5E7E"/>
    <w:rsid w:val="507F5F46"/>
    <w:rsid w:val="50EA2BC8"/>
    <w:rsid w:val="50F71FCA"/>
    <w:rsid w:val="50FA633D"/>
    <w:rsid w:val="51333673"/>
    <w:rsid w:val="515E3B4B"/>
    <w:rsid w:val="523D6C6C"/>
    <w:rsid w:val="5257393D"/>
    <w:rsid w:val="52BA6C4D"/>
    <w:rsid w:val="533A528D"/>
    <w:rsid w:val="534C096F"/>
    <w:rsid w:val="53C453D6"/>
    <w:rsid w:val="5427146D"/>
    <w:rsid w:val="54361AD5"/>
    <w:rsid w:val="546C7D98"/>
    <w:rsid w:val="54FC59F8"/>
    <w:rsid w:val="55125CF2"/>
    <w:rsid w:val="55CC50AA"/>
    <w:rsid w:val="55F612F8"/>
    <w:rsid w:val="5603730B"/>
    <w:rsid w:val="563F385F"/>
    <w:rsid w:val="566A6B44"/>
    <w:rsid w:val="5706326E"/>
    <w:rsid w:val="57212C51"/>
    <w:rsid w:val="57CE56E8"/>
    <w:rsid w:val="58496195"/>
    <w:rsid w:val="58B232E7"/>
    <w:rsid w:val="59390302"/>
    <w:rsid w:val="59CC60BF"/>
    <w:rsid w:val="59D625D1"/>
    <w:rsid w:val="59E051FD"/>
    <w:rsid w:val="5A09543B"/>
    <w:rsid w:val="5A3F1FDF"/>
    <w:rsid w:val="5A780072"/>
    <w:rsid w:val="5ADE40E2"/>
    <w:rsid w:val="5B3A26EB"/>
    <w:rsid w:val="5B3A5FDD"/>
    <w:rsid w:val="5BB259B9"/>
    <w:rsid w:val="5BE807A6"/>
    <w:rsid w:val="5BF67614"/>
    <w:rsid w:val="5C094C0A"/>
    <w:rsid w:val="5C720C3B"/>
    <w:rsid w:val="5CD6233D"/>
    <w:rsid w:val="5CEA44E5"/>
    <w:rsid w:val="5CEF513D"/>
    <w:rsid w:val="5D207216"/>
    <w:rsid w:val="5D2E7461"/>
    <w:rsid w:val="5D382A54"/>
    <w:rsid w:val="5D861A03"/>
    <w:rsid w:val="5E2809D3"/>
    <w:rsid w:val="5E954298"/>
    <w:rsid w:val="5F6E1D89"/>
    <w:rsid w:val="5F935322"/>
    <w:rsid w:val="5FA849EA"/>
    <w:rsid w:val="603E5D5C"/>
    <w:rsid w:val="604D2254"/>
    <w:rsid w:val="60666BBA"/>
    <w:rsid w:val="606747BD"/>
    <w:rsid w:val="60AE7E03"/>
    <w:rsid w:val="61383147"/>
    <w:rsid w:val="6147550C"/>
    <w:rsid w:val="615118C0"/>
    <w:rsid w:val="615A79AD"/>
    <w:rsid w:val="615D312C"/>
    <w:rsid w:val="61975710"/>
    <w:rsid w:val="619F5FF9"/>
    <w:rsid w:val="61A31705"/>
    <w:rsid w:val="61B572D3"/>
    <w:rsid w:val="61BB2E6F"/>
    <w:rsid w:val="61DD03AC"/>
    <w:rsid w:val="621815F3"/>
    <w:rsid w:val="62207580"/>
    <w:rsid w:val="622B0EBC"/>
    <w:rsid w:val="62F40771"/>
    <w:rsid w:val="642B3000"/>
    <w:rsid w:val="647F6BFD"/>
    <w:rsid w:val="649232E4"/>
    <w:rsid w:val="64944067"/>
    <w:rsid w:val="65287273"/>
    <w:rsid w:val="653410AB"/>
    <w:rsid w:val="655E7374"/>
    <w:rsid w:val="6583387D"/>
    <w:rsid w:val="65DC088D"/>
    <w:rsid w:val="65E41CD6"/>
    <w:rsid w:val="66661763"/>
    <w:rsid w:val="666912EA"/>
    <w:rsid w:val="66B95412"/>
    <w:rsid w:val="66BE109A"/>
    <w:rsid w:val="66E33546"/>
    <w:rsid w:val="672D4B02"/>
    <w:rsid w:val="67556203"/>
    <w:rsid w:val="675D0D3E"/>
    <w:rsid w:val="67C023A9"/>
    <w:rsid w:val="684F144A"/>
    <w:rsid w:val="69441F59"/>
    <w:rsid w:val="69595145"/>
    <w:rsid w:val="69F64CA2"/>
    <w:rsid w:val="6A074548"/>
    <w:rsid w:val="6A202E0E"/>
    <w:rsid w:val="6A5D04A6"/>
    <w:rsid w:val="6A9E0AB3"/>
    <w:rsid w:val="6AC16BAF"/>
    <w:rsid w:val="6AD24D53"/>
    <w:rsid w:val="6AFC3351"/>
    <w:rsid w:val="6B240CF9"/>
    <w:rsid w:val="6B432C95"/>
    <w:rsid w:val="6BE925E5"/>
    <w:rsid w:val="6CA83EC1"/>
    <w:rsid w:val="6CD27A01"/>
    <w:rsid w:val="6CFA7BA6"/>
    <w:rsid w:val="6D2F2079"/>
    <w:rsid w:val="6D535020"/>
    <w:rsid w:val="6DB2482E"/>
    <w:rsid w:val="6E4D364C"/>
    <w:rsid w:val="6E8B5C0E"/>
    <w:rsid w:val="6EAF6FD4"/>
    <w:rsid w:val="6EDF2CCA"/>
    <w:rsid w:val="6EE72A81"/>
    <w:rsid w:val="6F0B544B"/>
    <w:rsid w:val="6F704FDC"/>
    <w:rsid w:val="7046087A"/>
    <w:rsid w:val="706C2349"/>
    <w:rsid w:val="70E43D4B"/>
    <w:rsid w:val="70F70F4B"/>
    <w:rsid w:val="7108272D"/>
    <w:rsid w:val="710E7B69"/>
    <w:rsid w:val="711406A9"/>
    <w:rsid w:val="71204960"/>
    <w:rsid w:val="715D62AC"/>
    <w:rsid w:val="7163412E"/>
    <w:rsid w:val="717F15BA"/>
    <w:rsid w:val="71BB412E"/>
    <w:rsid w:val="72091DAC"/>
    <w:rsid w:val="720C12DE"/>
    <w:rsid w:val="723759E0"/>
    <w:rsid w:val="73D40D51"/>
    <w:rsid w:val="742B26F7"/>
    <w:rsid w:val="7468094B"/>
    <w:rsid w:val="750077C1"/>
    <w:rsid w:val="754A0558"/>
    <w:rsid w:val="7579478F"/>
    <w:rsid w:val="75886F6D"/>
    <w:rsid w:val="75E547A4"/>
    <w:rsid w:val="75E714D5"/>
    <w:rsid w:val="75F6249E"/>
    <w:rsid w:val="76A25F20"/>
    <w:rsid w:val="76CD0850"/>
    <w:rsid w:val="76CE56FD"/>
    <w:rsid w:val="7721755F"/>
    <w:rsid w:val="777D3A5E"/>
    <w:rsid w:val="77F91913"/>
    <w:rsid w:val="787E02EC"/>
    <w:rsid w:val="78822A3D"/>
    <w:rsid w:val="789B2DF1"/>
    <w:rsid w:val="78BB362A"/>
    <w:rsid w:val="78C80574"/>
    <w:rsid w:val="78DF5D86"/>
    <w:rsid w:val="79382EFB"/>
    <w:rsid w:val="793C0D53"/>
    <w:rsid w:val="794618FB"/>
    <w:rsid w:val="796B01E8"/>
    <w:rsid w:val="799704B7"/>
    <w:rsid w:val="79C8172F"/>
    <w:rsid w:val="7A011395"/>
    <w:rsid w:val="7A6C0DDC"/>
    <w:rsid w:val="7A7C5C0E"/>
    <w:rsid w:val="7B496CAD"/>
    <w:rsid w:val="7B906736"/>
    <w:rsid w:val="7BD1147B"/>
    <w:rsid w:val="7BE50D46"/>
    <w:rsid w:val="7BE66B0D"/>
    <w:rsid w:val="7C015B92"/>
    <w:rsid w:val="7C0A5428"/>
    <w:rsid w:val="7C117F2D"/>
    <w:rsid w:val="7C320D82"/>
    <w:rsid w:val="7C4107AB"/>
    <w:rsid w:val="7C546423"/>
    <w:rsid w:val="7C6856F9"/>
    <w:rsid w:val="7CA41372"/>
    <w:rsid w:val="7CE9797D"/>
    <w:rsid w:val="7D35612F"/>
    <w:rsid w:val="7D4A535C"/>
    <w:rsid w:val="7D6E49BA"/>
    <w:rsid w:val="7D7A5AF0"/>
    <w:rsid w:val="7E1846B6"/>
    <w:rsid w:val="7E610324"/>
    <w:rsid w:val="7EE95625"/>
    <w:rsid w:val="7F732E24"/>
    <w:rsid w:val="7F8B2B4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semiHidden="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99"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0" w:name="HTML Preformatted"/>
    <w:lsdException w:qFormat="1" w:unhideWhenUsed="0" w:uiPriority="0" w:semiHidden="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24" w:lineRule="auto"/>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line="360" w:lineRule="auto"/>
      <w:jc w:val="center"/>
      <w:outlineLvl w:val="0"/>
    </w:pPr>
    <w:rPr>
      <w:b/>
      <w:bCs/>
      <w:kern w:val="44"/>
      <w:sz w:val="30"/>
      <w:szCs w:val="44"/>
    </w:rPr>
  </w:style>
  <w:style w:type="paragraph" w:styleId="5">
    <w:name w:val="heading 2"/>
    <w:basedOn w:val="1"/>
    <w:next w:val="1"/>
    <w:unhideWhenUsed/>
    <w:qFormat/>
    <w:uiPriority w:val="0"/>
    <w:pPr>
      <w:keepNext/>
      <w:keepLines/>
      <w:spacing w:line="360" w:lineRule="auto"/>
      <w:jc w:val="center"/>
      <w:outlineLvl w:val="1"/>
    </w:pPr>
    <w:rPr>
      <w:rFonts w:ascii="Arial" w:hAnsi="Arial"/>
      <w:b/>
      <w:bCs/>
      <w:sz w:val="28"/>
      <w:szCs w:val="32"/>
    </w:rPr>
  </w:style>
  <w:style w:type="paragraph" w:styleId="6">
    <w:name w:val="heading 3"/>
    <w:basedOn w:val="1"/>
    <w:next w:val="1"/>
    <w:qFormat/>
    <w:uiPriority w:val="0"/>
    <w:pPr>
      <w:keepNext/>
      <w:keepLines/>
      <w:widowControl/>
      <w:tabs>
        <w:tab w:val="left" w:pos="3229"/>
      </w:tabs>
      <w:spacing w:before="120" w:after="120" w:line="360" w:lineRule="auto"/>
      <w:ind w:left="3229" w:hanging="709"/>
      <w:jc w:val="center"/>
      <w:outlineLvl w:val="2"/>
    </w:pPr>
    <w:rPr>
      <w:b/>
      <w:kern w:val="0"/>
      <w:sz w:val="32"/>
      <w:szCs w:val="20"/>
    </w:rPr>
  </w:style>
  <w:style w:type="paragraph" w:styleId="7">
    <w:name w:val="heading 4"/>
    <w:basedOn w:val="1"/>
    <w:next w:val="1"/>
    <w:qFormat/>
    <w:uiPriority w:val="0"/>
    <w:pPr>
      <w:keepNext/>
      <w:keepLines/>
      <w:spacing w:line="376" w:lineRule="auto"/>
      <w:outlineLvl w:val="3"/>
    </w:pPr>
    <w:rPr>
      <w:rFonts w:ascii="Arial" w:hAnsi="Arial" w:eastAsia="黑体"/>
      <w:b/>
      <w:bCs/>
      <w:sz w:val="28"/>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rPr>
      <w:color w:val="993300"/>
      <w:sz w:val="24"/>
    </w:rPr>
  </w:style>
  <w:style w:type="paragraph" w:styleId="3">
    <w:name w:val="toc 9"/>
    <w:basedOn w:val="1"/>
    <w:next w:val="1"/>
    <w:qFormat/>
    <w:uiPriority w:val="0"/>
    <w:pPr>
      <w:wordWrap w:val="0"/>
      <w:ind w:left="2975"/>
    </w:pPr>
    <w:rPr>
      <w:rFonts w:ascii="Times New Roman" w:hAnsi="Times New Roman"/>
    </w:rPr>
  </w:style>
  <w:style w:type="paragraph" w:styleId="8">
    <w:name w:val="Normal Indent"/>
    <w:basedOn w:val="1"/>
    <w:qFormat/>
    <w:uiPriority w:val="0"/>
    <w:pPr>
      <w:ind w:firstLine="420"/>
    </w:pPr>
    <w:rPr>
      <w:szCs w:val="20"/>
    </w:rPr>
  </w:style>
  <w:style w:type="paragraph" w:styleId="9">
    <w:name w:val="annotation text"/>
    <w:basedOn w:val="1"/>
    <w:qFormat/>
    <w:uiPriority w:val="0"/>
    <w:pPr>
      <w:jc w:val="left"/>
    </w:pPr>
  </w:style>
  <w:style w:type="paragraph" w:styleId="10">
    <w:name w:val="Body Text Indent"/>
    <w:basedOn w:val="1"/>
    <w:qFormat/>
    <w:uiPriority w:val="0"/>
    <w:pPr>
      <w:tabs>
        <w:tab w:val="left" w:pos="8640"/>
      </w:tabs>
      <w:ind w:firstLine="420"/>
    </w:pPr>
    <w:rPr>
      <w:rFonts w:ascii="楷体_GB2312" w:eastAsia="楷体_GB2312"/>
      <w:color w:val="000000"/>
      <w:sz w:val="28"/>
    </w:rPr>
  </w:style>
  <w:style w:type="paragraph" w:styleId="11">
    <w:name w:val="Block Text"/>
    <w:basedOn w:val="1"/>
    <w:qFormat/>
    <w:uiPriority w:val="0"/>
    <w:pPr>
      <w:adjustRightInd w:val="0"/>
      <w:ind w:left="420" w:right="33"/>
      <w:jc w:val="left"/>
      <w:textAlignment w:val="baseline"/>
    </w:pPr>
    <w:rPr>
      <w:kern w:val="0"/>
      <w:sz w:val="24"/>
    </w:rPr>
  </w:style>
  <w:style w:type="paragraph" w:styleId="12">
    <w:name w:val="Plain Text"/>
    <w:basedOn w:val="1"/>
    <w:next w:val="1"/>
    <w:link w:val="38"/>
    <w:qFormat/>
    <w:uiPriority w:val="0"/>
    <w:rPr>
      <w:rFonts w:ascii="宋体" w:hAnsi="Courier New" w:cs="Courier New"/>
      <w:szCs w:val="21"/>
    </w:rPr>
  </w:style>
  <w:style w:type="paragraph" w:styleId="13">
    <w:name w:val="Date"/>
    <w:basedOn w:val="1"/>
    <w:next w:val="1"/>
    <w:qFormat/>
    <w:uiPriority w:val="0"/>
    <w:rPr>
      <w:sz w:val="24"/>
      <w:szCs w:val="20"/>
    </w:rPr>
  </w:style>
  <w:style w:type="paragraph" w:styleId="14">
    <w:name w:val="Balloon Text"/>
    <w:basedOn w:val="1"/>
    <w:link w:val="55"/>
    <w:qFormat/>
    <w:uiPriority w:val="0"/>
    <w:pPr>
      <w:spacing w:line="240" w:lineRule="auto"/>
    </w:pPr>
    <w:rPr>
      <w:sz w:val="18"/>
      <w:szCs w:val="18"/>
    </w:rPr>
  </w:style>
  <w:style w:type="paragraph" w:styleId="15">
    <w:name w:val="footer"/>
    <w:basedOn w:val="1"/>
    <w:next w:val="2"/>
    <w:link w:val="56"/>
    <w:qFormat/>
    <w:uiPriority w:val="0"/>
    <w:pPr>
      <w:tabs>
        <w:tab w:val="center" w:pos="4153"/>
        <w:tab w:val="right" w:pos="8306"/>
      </w:tabs>
      <w:snapToGrid w:val="0"/>
      <w:jc w:val="left"/>
    </w:pPr>
    <w:rPr>
      <w:sz w:val="18"/>
      <w:szCs w:val="18"/>
    </w:rPr>
  </w:style>
  <w:style w:type="paragraph" w:styleId="16">
    <w:name w:val="header"/>
    <w:basedOn w:val="1"/>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7">
    <w:name w:val="toc 1"/>
    <w:basedOn w:val="1"/>
    <w:next w:val="1"/>
    <w:qFormat/>
    <w:uiPriority w:val="39"/>
  </w:style>
  <w:style w:type="paragraph" w:styleId="18">
    <w:name w:val="footnote text"/>
    <w:basedOn w:val="1"/>
    <w:qFormat/>
    <w:uiPriority w:val="0"/>
    <w:pPr>
      <w:adjustRightInd w:val="0"/>
      <w:snapToGrid w:val="0"/>
      <w:spacing w:line="420" w:lineRule="atLeast"/>
      <w:ind w:firstLine="454"/>
      <w:jc w:val="left"/>
      <w:textAlignment w:val="baseline"/>
    </w:pPr>
    <w:rPr>
      <w:kern w:val="0"/>
      <w:sz w:val="18"/>
      <w:szCs w:val="20"/>
    </w:rPr>
  </w:style>
  <w:style w:type="paragraph" w:styleId="19">
    <w:name w:val="toc 2"/>
    <w:basedOn w:val="1"/>
    <w:next w:val="1"/>
    <w:qFormat/>
    <w:uiPriority w:val="39"/>
    <w:pPr>
      <w:ind w:left="420" w:leftChars="200"/>
    </w:pPr>
  </w:style>
  <w:style w:type="paragraph" w:styleId="20">
    <w:name w:val="Normal (Web)"/>
    <w:basedOn w:val="1"/>
    <w:qFormat/>
    <w:uiPriority w:val="0"/>
    <w:pPr>
      <w:widowControl/>
      <w:spacing w:beforeAutospacing="1" w:afterAutospacing="1" w:line="240" w:lineRule="auto"/>
      <w:jc w:val="left"/>
    </w:pPr>
    <w:rPr>
      <w:rFonts w:ascii="宋体" w:hAnsi="宋体" w:cs="宋体"/>
      <w:kern w:val="0"/>
      <w:sz w:val="24"/>
    </w:rPr>
  </w:style>
  <w:style w:type="paragraph" w:styleId="21">
    <w:name w:val="Body Text First Indent"/>
    <w:basedOn w:val="2"/>
    <w:qFormat/>
    <w:uiPriority w:val="99"/>
    <w:pPr>
      <w:ind w:firstLine="420" w:firstLineChars="100"/>
    </w:pPr>
  </w:style>
  <w:style w:type="paragraph" w:styleId="22">
    <w:name w:val="Body Text First Indent 2"/>
    <w:basedOn w:val="10"/>
    <w:next w:val="1"/>
    <w:qFormat/>
    <w:uiPriority w:val="0"/>
    <w:pPr>
      <w:ind w:firstLine="200" w:firstLineChars="200"/>
    </w:p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basedOn w:val="25"/>
    <w:qFormat/>
    <w:uiPriority w:val="0"/>
    <w:rPr>
      <w:b/>
    </w:rPr>
  </w:style>
  <w:style w:type="character" w:styleId="27">
    <w:name w:val="page number"/>
    <w:basedOn w:val="25"/>
    <w:qFormat/>
    <w:uiPriority w:val="0"/>
  </w:style>
  <w:style w:type="character" w:styleId="28">
    <w:name w:val="FollowedHyperlink"/>
    <w:basedOn w:val="25"/>
    <w:qFormat/>
    <w:uiPriority w:val="0"/>
    <w:rPr>
      <w:color w:val="555555"/>
      <w:u w:val="none"/>
    </w:rPr>
  </w:style>
  <w:style w:type="character" w:styleId="29">
    <w:name w:val="Emphasis"/>
    <w:basedOn w:val="25"/>
    <w:qFormat/>
    <w:uiPriority w:val="0"/>
  </w:style>
  <w:style w:type="character" w:styleId="30">
    <w:name w:val="HTML Definition"/>
    <w:basedOn w:val="25"/>
    <w:qFormat/>
    <w:uiPriority w:val="0"/>
    <w:rPr>
      <w:i/>
    </w:rPr>
  </w:style>
  <w:style w:type="character" w:styleId="31">
    <w:name w:val="Hyperlink"/>
    <w:basedOn w:val="25"/>
    <w:qFormat/>
    <w:uiPriority w:val="99"/>
    <w:rPr>
      <w:rFonts w:hint="eastAsia" w:ascii="宋体" w:hAnsi="宋体" w:eastAsia="宋体" w:cs="宋体"/>
      <w:color w:val="000000"/>
      <w:sz w:val="18"/>
      <w:szCs w:val="18"/>
      <w:u w:val="none"/>
    </w:rPr>
  </w:style>
  <w:style w:type="character" w:styleId="32">
    <w:name w:val="HTML Code"/>
    <w:basedOn w:val="25"/>
    <w:qFormat/>
    <w:uiPriority w:val="0"/>
    <w:rPr>
      <w:rFonts w:hint="default" w:ascii="Menlo" w:hAnsi="Menlo" w:eastAsia="Menlo" w:cs="Menlo"/>
      <w:color w:val="C7254E"/>
      <w:sz w:val="21"/>
      <w:szCs w:val="21"/>
      <w:shd w:val="clear" w:color="auto" w:fill="F9F2F4"/>
    </w:rPr>
  </w:style>
  <w:style w:type="character" w:styleId="33">
    <w:name w:val="footnote reference"/>
    <w:basedOn w:val="25"/>
    <w:qFormat/>
    <w:uiPriority w:val="0"/>
    <w:rPr>
      <w:vertAlign w:val="superscript"/>
    </w:rPr>
  </w:style>
  <w:style w:type="character" w:styleId="34">
    <w:name w:val="HTML Keyboard"/>
    <w:basedOn w:val="25"/>
    <w:qFormat/>
    <w:uiPriority w:val="0"/>
    <w:rPr>
      <w:rFonts w:ascii="Menlo" w:hAnsi="Menlo" w:eastAsia="Menlo" w:cs="Menlo"/>
      <w:color w:val="FFFFFF"/>
      <w:sz w:val="21"/>
      <w:szCs w:val="21"/>
      <w:shd w:val="clear" w:color="auto" w:fill="333333"/>
    </w:rPr>
  </w:style>
  <w:style w:type="character" w:styleId="35">
    <w:name w:val="HTML Sample"/>
    <w:basedOn w:val="25"/>
    <w:qFormat/>
    <w:uiPriority w:val="0"/>
    <w:rPr>
      <w:rFonts w:hint="default" w:ascii="Menlo" w:hAnsi="Menlo" w:eastAsia="Menlo" w:cs="Menlo"/>
      <w:sz w:val="21"/>
      <w:szCs w:val="21"/>
    </w:rPr>
  </w:style>
  <w:style w:type="paragraph" w:customStyle="1" w:styleId="36">
    <w:name w:val="09正文_wh"/>
    <w:qFormat/>
    <w:uiPriority w:val="0"/>
    <w:pPr>
      <w:spacing w:line="300" w:lineRule="auto"/>
      <w:ind w:firstLine="200" w:firstLineChars="200"/>
      <w:jc w:val="both"/>
    </w:pPr>
    <w:rPr>
      <w:rFonts w:ascii="Times New Roman" w:hAnsi="Times New Roman" w:eastAsia="宋体" w:cs="Times New Roman"/>
      <w:sz w:val="28"/>
      <w:szCs w:val="22"/>
      <w:lang w:val="en-US" w:eastAsia="zh-CN" w:bidi="ar-SA"/>
    </w:rPr>
  </w:style>
  <w:style w:type="paragraph" w:customStyle="1" w:styleId="37">
    <w:name w:val="列出段落1"/>
    <w:basedOn w:val="1"/>
    <w:qFormat/>
    <w:uiPriority w:val="34"/>
    <w:pPr>
      <w:ind w:firstLine="420" w:firstLineChars="200"/>
    </w:pPr>
  </w:style>
  <w:style w:type="character" w:customStyle="1" w:styleId="38">
    <w:name w:val="纯文本 Char"/>
    <w:link w:val="12"/>
    <w:qFormat/>
    <w:locked/>
    <w:uiPriority w:val="0"/>
    <w:rPr>
      <w:rFonts w:ascii="宋体" w:hAnsi="Courier New" w:cs="Courier New"/>
      <w:kern w:val="2"/>
      <w:sz w:val="21"/>
      <w:szCs w:val="21"/>
    </w:rPr>
  </w:style>
  <w:style w:type="paragraph" w:customStyle="1" w:styleId="39">
    <w:name w:val="WPSOffice手动目录 1"/>
    <w:qFormat/>
    <w:uiPriority w:val="0"/>
    <w:rPr>
      <w:rFonts w:ascii="Times New Roman" w:hAnsi="Times New Roman" w:eastAsia="宋体" w:cs="Times New Roman"/>
      <w:lang w:val="en-US" w:eastAsia="zh-CN" w:bidi="ar-SA"/>
    </w:rPr>
  </w:style>
  <w:style w:type="paragraph" w:customStyle="1" w:styleId="40">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41">
    <w:name w:val="hour_am"/>
    <w:basedOn w:val="25"/>
    <w:qFormat/>
    <w:uiPriority w:val="0"/>
  </w:style>
  <w:style w:type="character" w:customStyle="1" w:styleId="42">
    <w:name w:val="old"/>
    <w:basedOn w:val="25"/>
    <w:qFormat/>
    <w:uiPriority w:val="0"/>
    <w:rPr>
      <w:color w:val="999999"/>
    </w:rPr>
  </w:style>
  <w:style w:type="character" w:customStyle="1" w:styleId="43">
    <w:name w:val="tmpztreemove_arrow"/>
    <w:basedOn w:val="25"/>
    <w:qFormat/>
    <w:uiPriority w:val="0"/>
    <w:rPr>
      <w:shd w:val="clear" w:color="auto" w:fill="FFFFFF"/>
    </w:rPr>
  </w:style>
  <w:style w:type="character" w:customStyle="1" w:styleId="44">
    <w:name w:val="hover3"/>
    <w:basedOn w:val="25"/>
    <w:qFormat/>
    <w:uiPriority w:val="0"/>
    <w:rPr>
      <w:shd w:val="clear" w:color="auto" w:fill="EEEEEE"/>
    </w:rPr>
  </w:style>
  <w:style w:type="character" w:customStyle="1" w:styleId="45">
    <w:name w:val="glyphicon4"/>
    <w:basedOn w:val="25"/>
    <w:qFormat/>
    <w:uiPriority w:val="0"/>
  </w:style>
  <w:style w:type="character" w:customStyle="1" w:styleId="46">
    <w:name w:val="hour_pm"/>
    <w:basedOn w:val="25"/>
    <w:qFormat/>
    <w:uiPriority w:val="0"/>
  </w:style>
  <w:style w:type="character" w:customStyle="1" w:styleId="47">
    <w:name w:val="button"/>
    <w:basedOn w:val="25"/>
    <w:qFormat/>
    <w:uiPriority w:val="0"/>
  </w:style>
  <w:style w:type="paragraph" w:customStyle="1" w:styleId="48">
    <w:name w:val="样式1"/>
    <w:basedOn w:val="1"/>
    <w:qFormat/>
    <w:uiPriority w:val="0"/>
    <w:pPr>
      <w:adjustRightInd w:val="0"/>
      <w:textAlignment w:val="baseline"/>
    </w:pPr>
    <w:rPr>
      <w:rFonts w:ascii="宋体" w:hAnsi="宋体"/>
      <w:kern w:val="0"/>
      <w:szCs w:val="21"/>
    </w:rPr>
  </w:style>
  <w:style w:type="character" w:customStyle="1" w:styleId="49">
    <w:name w:val="indent"/>
    <w:basedOn w:val="25"/>
    <w:qFormat/>
    <w:uiPriority w:val="0"/>
  </w:style>
  <w:style w:type="paragraph" w:customStyle="1" w:styleId="50">
    <w:name w:val="p0"/>
    <w:basedOn w:val="1"/>
    <w:qFormat/>
    <w:uiPriority w:val="0"/>
    <w:pPr>
      <w:widowControl/>
    </w:pPr>
    <w:rPr>
      <w:kern w:val="0"/>
      <w:szCs w:val="21"/>
    </w:rPr>
  </w:style>
  <w:style w:type="paragraph" w:customStyle="1" w:styleId="51">
    <w:name w:val="列出段落11"/>
    <w:basedOn w:val="1"/>
    <w:qFormat/>
    <w:uiPriority w:val="34"/>
    <w:pPr>
      <w:ind w:firstLine="420" w:firstLineChars="200"/>
    </w:pPr>
    <w:rPr>
      <w:rFonts w:ascii="Calibri" w:hAnsi="Calibri"/>
      <w:szCs w:val="22"/>
    </w:rPr>
  </w:style>
  <w:style w:type="paragraph" w:customStyle="1" w:styleId="52">
    <w:name w:val="正文自定"/>
    <w:basedOn w:val="1"/>
    <w:qFormat/>
    <w:uiPriority w:val="0"/>
    <w:pPr>
      <w:tabs>
        <w:tab w:val="left" w:pos="7665"/>
      </w:tabs>
      <w:spacing w:line="360" w:lineRule="auto"/>
      <w:ind w:firstLine="480" w:firstLineChars="200"/>
    </w:pPr>
    <w:rPr>
      <w:rFonts w:ascii="宋体" w:hAnsi="宋体"/>
      <w:sz w:val="24"/>
    </w:rPr>
  </w:style>
  <w:style w:type="paragraph" w:customStyle="1" w:styleId="53">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54">
    <w:name w:val="title1"/>
    <w:basedOn w:val="1"/>
    <w:qFormat/>
    <w:uiPriority w:val="0"/>
    <w:pPr>
      <w:spacing w:before="150"/>
      <w:jc w:val="left"/>
    </w:pPr>
    <w:rPr>
      <w:b/>
      <w:kern w:val="0"/>
      <w:sz w:val="22"/>
      <w:szCs w:val="22"/>
    </w:rPr>
  </w:style>
  <w:style w:type="character" w:customStyle="1" w:styleId="55">
    <w:name w:val="批注框文本 Char"/>
    <w:basedOn w:val="25"/>
    <w:link w:val="14"/>
    <w:qFormat/>
    <w:uiPriority w:val="0"/>
    <w:rPr>
      <w:kern w:val="2"/>
      <w:sz w:val="18"/>
      <w:szCs w:val="18"/>
    </w:rPr>
  </w:style>
  <w:style w:type="character" w:customStyle="1" w:styleId="56">
    <w:name w:val="页脚 Char"/>
    <w:link w:val="15"/>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1.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3.xml"/><Relationship Id="rId10" Type="http://schemas.openxmlformats.org/officeDocument/2006/relationships/footer" Target="footer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oc\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AC33C9-7B87-48F4-B9DA-6A807A2BA3B4}">
  <ds:schemaRefs/>
</ds:datastoreItem>
</file>

<file path=docProps/app.xml><?xml version="1.0" encoding="utf-8"?>
<Properties xmlns="http://schemas.openxmlformats.org/officeDocument/2006/extended-properties" xmlns:vt="http://schemas.openxmlformats.org/officeDocument/2006/docPropsVTypes">
  <Template>0</Template>
  <Pages>88</Pages>
  <Words>45944</Words>
  <Characters>48799</Characters>
  <Lines>376</Lines>
  <Paragraphs>106</Paragraphs>
  <TotalTime>1</TotalTime>
  <ScaleCrop>false</ScaleCrop>
  <LinksUpToDate>false</LinksUpToDate>
  <CharactersWithSpaces>51726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2021-07-06T08:20:00Z</dcterms:created>
  <dc:creator>不言、不语</dc:creator>
  <cp:lastModifiedBy>晓 </cp:lastModifiedBy>
  <cp:lastPrinted>2021-07-08T07:31:00Z</cp:lastPrinted>
  <dcterms:modified xsi:type="dcterms:W3CDTF">2023-07-05T08:25:22Z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C240E774300E4D70B3AD158385FE5449_13</vt:lpwstr>
  </property>
</Properties>
</file>