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line="360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分项报价表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7"/>
        <w:tblW w:w="95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36"/>
        <w:gridCol w:w="1626"/>
        <w:gridCol w:w="1313"/>
        <w:gridCol w:w="1632"/>
        <w:gridCol w:w="159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货物\内容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综合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单价</w:t>
            </w:r>
          </w:p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合计（元）</w:t>
            </w: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39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2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/>
              <w:keepLines/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5"/>
        <w:spacing w:before="0" w:beforeAutospacing="0" w:after="0" w:afterAutospacing="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  <w:highlight w:val="none"/>
        </w:rPr>
        <w:t>注：结算时，各项综合单价应以首次总报价和最终总报价的下浮比例同比例下浮。</w:t>
      </w:r>
    </w:p>
    <w:p>
      <w:pPr>
        <w:spacing w:line="480" w:lineRule="auto"/>
        <w:ind w:right="-161" w:firstLine="2640" w:firstLineChars="1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pStyle w:val="4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4282E"/>
    <w:rsid w:val="1794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2023-08-03T04:46:00Z</dcterms:created>
  <dc:creator>王岗</dc:creator>
  <cp:lastModifiedBy>王岗</cp:lastModifiedBy>
  <dcterms:modified xsi:type="dcterms:W3CDTF">2023-08-03T04:46:42Z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