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85019468"/>
      <w:bookmarkStart w:id="1" w:name="_Toc102769683"/>
      <w:bookmarkStart w:id="2" w:name="_Toc27391"/>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233435994"/>
      <w:bookmarkStart w:id="4" w:name="_Toc497551834"/>
      <w:bookmarkStart w:id="5" w:name="_Toc497711599"/>
      <w:bookmarkStart w:id="6" w:name="_Toc497546932"/>
      <w:bookmarkStart w:id="7" w:name="_Toc497712147"/>
      <w:bookmarkStart w:id="8" w:name="_Toc492955473"/>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ascii="仿宋" w:hAnsi="仿宋" w:eastAsia="仿宋" w:cs="仿宋"/>
          <w:sz w:val="24"/>
          <w:szCs w:val="24"/>
        </w:rPr>
      </w:pPr>
      <w:r>
        <w:rPr>
          <w:rFonts w:hint="eastAsia" w:ascii="仿宋" w:hAnsi="仿宋" w:eastAsia="仿宋" w:cs="仿宋"/>
          <w:sz w:val="24"/>
          <w:szCs w:val="24"/>
        </w:rPr>
        <w:t>1</w:t>
      </w:r>
      <w:bookmarkStart w:id="28" w:name="_GoBack"/>
      <w:bookmarkEnd w:id="28"/>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ascii="仿宋" w:hAnsi="仿宋" w:eastAsia="仿宋" w:cs="仿宋"/>
          <w:sz w:val="24"/>
          <w:szCs w:val="24"/>
        </w:rPr>
      </w:pPr>
      <w:r>
        <w:rPr>
          <w:rFonts w:hint="eastAsia" w:ascii="仿宋" w:hAnsi="仿宋" w:eastAsia="仿宋" w:cs="仿宋"/>
          <w:sz w:val="24"/>
          <w:szCs w:val="24"/>
        </w:rPr>
        <w:t>2、具有良好的商业信誉和健全的财务会计制度（提供</w:t>
      </w:r>
      <w:r>
        <w:rPr>
          <w:rFonts w:ascii="仿宋" w:hAnsi="仿宋" w:eastAsia="仿宋" w:cs="仿宋"/>
          <w:sz w:val="24"/>
          <w:szCs w:val="24"/>
        </w:rPr>
        <w:t>202</w:t>
      </w:r>
      <w:r>
        <w:rPr>
          <w:rFonts w:hint="eastAsia" w:ascii="仿宋" w:hAnsi="仿宋" w:eastAsia="仿宋" w:cs="仿宋"/>
          <w:sz w:val="24"/>
          <w:szCs w:val="24"/>
          <w:lang w:val="en-US" w:eastAsia="zh-CN"/>
        </w:rPr>
        <w:t>2</w:t>
      </w:r>
      <w:r>
        <w:rPr>
          <w:rFonts w:ascii="仿宋" w:hAnsi="仿宋" w:eastAsia="仿宋" w:cs="仿宋"/>
          <w:sz w:val="24"/>
          <w:szCs w:val="24"/>
        </w:rPr>
        <w:t>年度</w:t>
      </w:r>
      <w:r>
        <w:rPr>
          <w:rFonts w:hint="eastAsia" w:ascii="仿宋" w:hAnsi="仿宋" w:eastAsia="仿宋" w:cs="仿宋"/>
          <w:sz w:val="24"/>
          <w:szCs w:val="24"/>
          <w:lang w:val="en-US" w:eastAsia="zh-CN"/>
        </w:rPr>
        <w:t>财务审计报告</w:t>
      </w:r>
      <w:r>
        <w:rPr>
          <w:rFonts w:hint="eastAsia" w:ascii="仿宋" w:hAnsi="仿宋" w:eastAsia="仿宋" w:cs="仿宋"/>
          <w:sz w:val="24"/>
          <w:szCs w:val="24"/>
        </w:rPr>
        <w:t>或开标前近</w:t>
      </w:r>
      <w:r>
        <w:rPr>
          <w:rFonts w:ascii="仿宋" w:hAnsi="仿宋" w:eastAsia="仿宋" w:cs="仿宋"/>
          <w:sz w:val="24"/>
          <w:szCs w:val="24"/>
        </w:rPr>
        <w:t>12</w:t>
      </w:r>
      <w:r>
        <w:rPr>
          <w:rFonts w:hint="eastAsia" w:ascii="仿宋" w:hAnsi="仿宋" w:eastAsia="仿宋" w:cs="仿宋"/>
          <w:sz w:val="24"/>
          <w:szCs w:val="24"/>
        </w:rPr>
        <w:t>个月内的银行资信证明或财政部门认可的政府采购专业担保机构出具的担保函）；</w:t>
      </w:r>
    </w:p>
    <w:p>
      <w:pPr>
        <w:spacing w:line="360" w:lineRule="auto"/>
        <w:rPr>
          <w:rFonts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pPr>
        <w:spacing w:line="360" w:lineRule="auto"/>
        <w:rPr>
          <w:rFonts w:ascii="仿宋" w:hAnsi="仿宋" w:eastAsia="仿宋" w:cs="仿宋"/>
          <w:sz w:val="24"/>
          <w:szCs w:val="24"/>
        </w:rPr>
      </w:pPr>
      <w:r>
        <w:rPr>
          <w:rFonts w:hint="eastAsia" w:ascii="仿宋" w:hAnsi="仿宋" w:eastAsia="仿宋" w:cs="仿宋"/>
          <w:sz w:val="24"/>
          <w:szCs w:val="24"/>
        </w:rPr>
        <w:t>4、具有依法缴纳税收和社会保障资金的良好记录（同时提供投标截止时间前</w:t>
      </w:r>
      <w:r>
        <w:rPr>
          <w:rFonts w:ascii="仿宋" w:hAnsi="仿宋" w:eastAsia="仿宋" w:cs="仿宋"/>
          <w:sz w:val="24"/>
          <w:szCs w:val="24"/>
        </w:rPr>
        <w:t>12</w:t>
      </w:r>
      <w:r>
        <w:rPr>
          <w:rFonts w:hint="eastAsia" w:ascii="仿宋" w:hAnsi="仿宋" w:eastAsia="仿宋" w:cs="仿宋"/>
          <w:sz w:val="24"/>
          <w:szCs w:val="24"/>
        </w:rPr>
        <w:t>个月内缴存的任意时段的社保及税收缴纳证明；依法不需要缴纳的应提供相关证明文件)；</w:t>
      </w:r>
    </w:p>
    <w:p>
      <w:pPr>
        <w:spacing w:line="360" w:lineRule="auto"/>
        <w:rPr>
          <w:rFonts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法定代表（负责）人参加的，须提供本人身份证复印件加盖公章并出示身份证原件；法定代表（负责）人授权他人参加的，须提供法定代表（负责）人委托授权书原件，并出示被授权代表的身份证原件及复印件</w:t>
      </w:r>
      <w:r>
        <w:rPr>
          <w:rFonts w:hint="eastAsia" w:ascii="仿宋" w:hAnsi="仿宋" w:eastAsia="仿宋" w:cs="仿宋"/>
          <w:sz w:val="24"/>
          <w:szCs w:val="24"/>
        </w:rPr>
        <w:t>；</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、本项目不接受联合体投标。</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ascii="仿宋" w:hAnsi="仿宋" w:eastAsia="仿宋"/>
          <w:bCs/>
          <w:iCs/>
          <w:sz w:val="24"/>
          <w:szCs w:val="24"/>
        </w:rPr>
      </w:pPr>
      <w:bookmarkStart w:id="10" w:name="_Toc105617039"/>
      <w:bookmarkStart w:id="11" w:name="_Toc27116"/>
      <w:r>
        <w:rPr>
          <w:rFonts w:hint="eastAsia" w:ascii="仿宋" w:hAnsi="仿宋" w:eastAsia="仿宋"/>
          <w:bCs/>
          <w:i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10"/>
      <w:bookmarkEnd w:id="11"/>
    </w:p>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hint="eastAsia" w:ascii="仿宋" w:hAnsi="仿宋" w:eastAsia="仿宋" w:cs="Times New Roman"/>
          <w:b/>
          <w:bCs w:val="0"/>
          <w:iCs/>
          <w:sz w:val="24"/>
          <w:szCs w:val="24"/>
        </w:rPr>
      </w:pPr>
      <w:bookmarkStart w:id="12" w:name="_Toc3387"/>
      <w:bookmarkStart w:id="13" w:name="_Toc102769686"/>
      <w:bookmarkStart w:id="14" w:name="_Toc85019471"/>
      <w:bookmarkStart w:id="15" w:name="_Toc428"/>
      <w:r>
        <w:rPr>
          <w:rFonts w:hint="eastAsia" w:ascii="仿宋" w:hAnsi="仿宋" w:eastAsia="仿宋" w:cs="Times New Roman"/>
          <w:b/>
          <w:bCs w:val="0"/>
          <w:iCs/>
          <w:sz w:val="24"/>
          <w:szCs w:val="24"/>
        </w:rPr>
        <w:t>具有良好的商业信誉和健全的财务会计制度（提供202</w:t>
      </w:r>
      <w:r>
        <w:rPr>
          <w:rFonts w:hint="eastAsia" w:ascii="仿宋" w:hAnsi="仿宋" w:eastAsia="仿宋" w:cs="Times New Roman"/>
          <w:b/>
          <w:bCs w:val="0"/>
          <w:iCs/>
          <w:sz w:val="24"/>
          <w:szCs w:val="24"/>
          <w:lang w:val="en-US" w:eastAsia="zh-CN"/>
        </w:rPr>
        <w:t>2</w:t>
      </w:r>
      <w:r>
        <w:rPr>
          <w:rFonts w:hint="eastAsia" w:ascii="仿宋" w:hAnsi="仿宋" w:eastAsia="仿宋" w:cs="Times New Roman"/>
          <w:b/>
          <w:bCs w:val="0"/>
          <w:iCs/>
          <w:sz w:val="24"/>
          <w:szCs w:val="24"/>
        </w:rPr>
        <w:t>年度</w:t>
      </w:r>
      <w:r>
        <w:rPr>
          <w:rFonts w:hint="eastAsia" w:ascii="仿宋" w:hAnsi="仿宋" w:eastAsia="仿宋" w:cs="Times New Roman"/>
          <w:b/>
          <w:bCs w:val="0"/>
          <w:iCs/>
          <w:sz w:val="24"/>
          <w:szCs w:val="24"/>
          <w:lang w:val="en-US" w:eastAsia="zh-CN"/>
        </w:rPr>
        <w:t>财务审计报告</w:t>
      </w:r>
      <w:r>
        <w:rPr>
          <w:rFonts w:hint="eastAsia" w:ascii="仿宋" w:hAnsi="仿宋" w:eastAsia="仿宋" w:cs="Times New Roman"/>
          <w:b/>
          <w:bCs w:val="0"/>
          <w:iCs/>
          <w:sz w:val="24"/>
          <w:szCs w:val="24"/>
        </w:rPr>
        <w:t>或开标前近12个月内的银行资信证明或财政部门认可的政府采购专业担保机构出具的担保函）</w:t>
      </w:r>
      <w:bookmarkEnd w:id="12"/>
    </w:p>
    <w:p>
      <w:pPr>
        <w:bidi w:val="0"/>
        <w:rPr>
          <w:rFonts w:ascii="仿宋" w:hAnsi="仿宋" w:eastAsia="仿宋"/>
          <w:bCs/>
          <w:iCs/>
          <w:szCs w:val="24"/>
        </w:rPr>
      </w:pPr>
      <w:r>
        <w:br w:type="page"/>
      </w:r>
    </w:p>
    <w:p>
      <w:pPr>
        <w:pStyle w:val="4"/>
        <w:spacing w:line="240" w:lineRule="auto"/>
        <w:rPr>
          <w:rFonts w:ascii="仿宋" w:hAnsi="仿宋" w:eastAsia="仿宋"/>
          <w:b/>
          <w:bCs w:val="0"/>
          <w:iCs/>
          <w:sz w:val="24"/>
          <w:szCs w:val="24"/>
        </w:rPr>
      </w:pPr>
      <w:bookmarkStart w:id="16" w:name="_Toc14970"/>
      <w:bookmarkStart w:id="17" w:name="_Toc105617042"/>
      <w:r>
        <w:rPr>
          <w:rFonts w:hint="eastAsia" w:ascii="仿宋" w:hAnsi="仿宋" w:eastAsia="仿宋"/>
          <w:b/>
          <w:bCs w:val="0"/>
          <w:iCs/>
          <w:sz w:val="24"/>
          <w:szCs w:val="24"/>
        </w:rPr>
        <w:t>具有履行合同所必需的设备和专业技术能力</w:t>
      </w:r>
      <w:bookmarkEnd w:id="16"/>
      <w:bookmarkEnd w:id="17"/>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3"/>
    <w:bookmarkEnd w:id="14"/>
    <w:bookmarkEnd w:id="15"/>
    <w:p>
      <w:pPr>
        <w:pStyle w:val="4"/>
        <w:spacing w:line="240" w:lineRule="auto"/>
        <w:rPr>
          <w:rFonts w:ascii="仿宋" w:hAnsi="仿宋" w:eastAsia="仿宋"/>
          <w:b/>
          <w:bCs w:val="0"/>
          <w:iCs/>
          <w:sz w:val="24"/>
          <w:szCs w:val="24"/>
        </w:rPr>
      </w:pPr>
      <w:bookmarkStart w:id="18" w:name="_Toc105617043"/>
      <w:bookmarkStart w:id="19" w:name="_Toc18157"/>
      <w:bookmarkStart w:id="20" w:name="_Toc85019473"/>
      <w:bookmarkStart w:id="21" w:name="_Toc85019472"/>
      <w:r>
        <w:rPr>
          <w:rFonts w:hint="eastAsia" w:ascii="仿宋" w:hAnsi="仿宋" w:eastAsia="仿宋"/>
          <w:b/>
          <w:bCs w:val="0"/>
          <w:iCs/>
          <w:sz w:val="24"/>
          <w:szCs w:val="24"/>
        </w:rPr>
        <w:t>具有依法缴纳税收和社会保障资金的良好记录</w:t>
      </w:r>
      <w:bookmarkEnd w:id="18"/>
      <w:bookmarkEnd w:id="19"/>
    </w:p>
    <w:p>
      <w:pPr>
        <w:rPr>
          <w:rFonts w:ascii="仿宋" w:hAnsi="仿宋" w:eastAsia="仿宋"/>
          <w:bCs/>
          <w:iCs/>
          <w:sz w:val="24"/>
          <w:szCs w:val="24"/>
        </w:rPr>
      </w:pPr>
      <w:r>
        <w:rPr>
          <w:rFonts w:hint="eastAsia" w:ascii="仿宋" w:hAnsi="仿宋" w:eastAsia="仿宋"/>
          <w:bCs/>
          <w:iCs/>
          <w:sz w:val="24"/>
          <w:szCs w:val="24"/>
        </w:rPr>
        <w:t>同时提供投标截止时间前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pPr>
        <w:rPr>
          <w:rFonts w:ascii="仿宋" w:hAnsi="仿宋" w:eastAsia="仿宋"/>
        </w:rPr>
      </w:pPr>
    </w:p>
    <w:bookmarkEnd w:id="20"/>
    <w:p>
      <w:pPr>
        <w:pStyle w:val="4"/>
        <w:spacing w:line="240" w:lineRule="auto"/>
        <w:rPr>
          <w:rFonts w:ascii="仿宋" w:hAnsi="仿宋" w:eastAsia="仿宋"/>
          <w:b w:val="0"/>
          <w:bCs/>
          <w:iCs/>
          <w:sz w:val="24"/>
          <w:szCs w:val="24"/>
        </w:rPr>
      </w:pPr>
      <w:r>
        <w:rPr>
          <w:rFonts w:ascii="仿宋" w:hAnsi="仿宋" w:eastAsia="仿宋"/>
        </w:rPr>
        <w:br w:type="page"/>
      </w:r>
      <w:bookmarkEnd w:id="21"/>
      <w:bookmarkStart w:id="22" w:name="_Toc105617044"/>
      <w:bookmarkStart w:id="23" w:name="_Toc6131"/>
      <w:r>
        <w:rPr>
          <w:rFonts w:hint="eastAsia" w:ascii="仿宋" w:hAnsi="仿宋" w:eastAsia="仿宋"/>
          <w:b/>
          <w:bCs w:val="0"/>
          <w:iCs/>
          <w:sz w:val="24"/>
          <w:szCs w:val="24"/>
        </w:rPr>
        <w:t>参加政府采购活动前三年内，在经营活动中没有重大违法记录</w:t>
      </w:r>
      <w:bookmarkEnd w:id="22"/>
      <w:bookmarkEnd w:id="23"/>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rPr>
        <w:t>西安工业大学：</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4" w:name="_Toc26863"/>
      <w:bookmarkStart w:id="25" w:name="_Toc105617045"/>
      <w:r>
        <w:rPr>
          <w:rFonts w:hint="eastAsia" w:ascii="仿宋" w:hAnsi="仿宋" w:eastAsia="仿宋"/>
          <w:b/>
          <w:bCs w:val="0"/>
          <w:iCs/>
          <w:sz w:val="24"/>
          <w:szCs w:val="24"/>
        </w:rPr>
        <w:t>法定代表（负责）人参加的，须提供本人身份证复印件加盖公章并出示身份证原件；法定代表（负责）人授权他人参加的，须提供法定代表（负责）人委托授权书原件，并出示被授权代表的身份证原件及复印件</w:t>
      </w:r>
      <w:bookmarkEnd w:id="24"/>
      <w:bookmarkEnd w:id="25"/>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ascii="仿宋" w:hAnsi="仿宋" w:eastAsia="仿宋"/>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p>
    <w:p>
      <w:pPr>
        <w:pStyle w:val="2"/>
        <w:rPr>
          <w:rFonts w:ascii="仿宋" w:hAnsi="仿宋" w:eastAsia="仿宋"/>
        </w:rPr>
      </w:pP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ascii="仿宋" w:hAnsi="仿宋" w:eastAsia="仿宋"/>
          <w:b/>
          <w:bCs w:val="0"/>
          <w:iCs/>
          <w:sz w:val="24"/>
          <w:szCs w:val="24"/>
        </w:rPr>
      </w:pPr>
      <w:bookmarkStart w:id="26" w:name="_Toc105617047"/>
      <w:bookmarkStart w:id="27" w:name="_Toc22607"/>
      <w:r>
        <w:rPr>
          <w:rFonts w:hint="eastAsia" w:ascii="仿宋" w:hAnsi="仿宋" w:eastAsia="仿宋"/>
          <w:b/>
          <w:bCs w:val="0"/>
          <w:iCs/>
          <w:sz w:val="24"/>
          <w:szCs w:val="24"/>
        </w:rPr>
        <w:t>本项目不接受联合体投标</w:t>
      </w:r>
      <w:bookmarkEnd w:id="26"/>
      <w:bookmarkEnd w:id="27"/>
    </w:p>
    <w:p>
      <w:pPr>
        <w:pStyle w:val="5"/>
        <w:wordWrap w:val="0"/>
        <w:spacing w:before="0" w:beforeAutospacing="0" w:after="0" w:afterAutospacing="0" w:line="360" w:lineRule="auto"/>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致：西安工业大学</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1YmU2NWU5OGEzMzVkNTcwYmJiYmJmMTAxOWFjNDQifQ=="/>
  </w:docVars>
  <w:rsids>
    <w:rsidRoot w:val="486F273F"/>
    <w:rsid w:val="486F273F"/>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1799</Words>
  <Characters>1824</Characters>
  <Lines>0</Lines>
  <Paragraphs>0</Paragraphs>
  <TotalTime>1</TotalTime>
  <ScaleCrop>false</ScaleCrop>
  <LinksUpToDate>false</LinksUpToDate>
  <CharactersWithSpaces>2454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2023-07-12T08:54:23Z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F8A8DF1BFD67441683E2C28521FEE55D_11</vt:lpwstr>
  </property>
</Properties>
</file>