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default" w:ascii="仿宋" w:hAnsi="仿宋" w:eastAsia="仿宋" w:cs="仿宋_GB231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_GB2312"/>
          <w:lang w:val="en-US" w:eastAsia="zh-CN"/>
        </w:rPr>
        <w:t>分项报价表</w:t>
      </w:r>
    </w:p>
    <w:p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6"/>
        <w:gridCol w:w="1418"/>
        <w:gridCol w:w="1275"/>
        <w:gridCol w:w="1843"/>
        <w:gridCol w:w="1701"/>
        <w:gridCol w:w="186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22" w:type="dxa"/>
            <w:gridSpan w:val="4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合计金额</w:t>
            </w:r>
          </w:p>
        </w:tc>
        <w:tc>
          <w:tcPr>
            <w:tcW w:w="357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ascii="仿宋" w:hAnsi="仿宋" w:eastAsia="仿宋"/>
          <w:color w:val="0D0D0D"/>
          <w:sz w:val="24"/>
          <w:szCs w:val="22"/>
        </w:rPr>
      </w:pPr>
      <w:r>
        <w:rPr>
          <w:rFonts w:hint="eastAsia" w:ascii="仿宋" w:hAnsi="仿宋" w:eastAsia="仿宋"/>
          <w:color w:val="0D0D0D"/>
          <w:sz w:val="24"/>
          <w:szCs w:val="22"/>
        </w:rPr>
        <w:t>1.如果按单价计算的结果与总价不一致，以单价为准修正总价。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 w:ascii="仿宋" w:hAnsi="仿宋" w:eastAsia="仿宋"/>
          <w:color w:val="0D0D0D"/>
          <w:sz w:val="24"/>
          <w:szCs w:val="22"/>
        </w:rPr>
        <w:t>2.上表中合计金额应与开标一览表中的</w:t>
      </w:r>
      <w:r>
        <w:rPr>
          <w:rFonts w:hint="eastAsia" w:ascii="仿宋" w:hAnsi="仿宋" w:eastAsia="仿宋"/>
          <w:color w:val="0D0D0D"/>
          <w:sz w:val="24"/>
          <w:szCs w:val="22"/>
          <w:lang w:val="en-US" w:eastAsia="zh-CN"/>
        </w:rPr>
        <w:t>单价合计</w:t>
      </w:r>
      <w:r>
        <w:rPr>
          <w:rFonts w:hint="eastAsia" w:ascii="仿宋" w:hAnsi="仿宋" w:eastAsia="仿宋"/>
          <w:color w:val="0D0D0D"/>
          <w:sz w:val="24"/>
          <w:szCs w:val="22"/>
        </w:rPr>
        <w:t>保持一致，且不得超出</w:t>
      </w:r>
      <w:r>
        <w:rPr>
          <w:rFonts w:hint="eastAsia" w:ascii="仿宋" w:hAnsi="仿宋" w:eastAsia="仿宋"/>
          <w:color w:val="0D0D0D"/>
          <w:sz w:val="24"/>
          <w:szCs w:val="22"/>
          <w:lang w:val="en-US" w:eastAsia="zh-CN"/>
        </w:rPr>
        <w:t>单价限价</w:t>
      </w:r>
      <w:r>
        <w:rPr>
          <w:rFonts w:hint="eastAsia" w:ascii="仿宋" w:hAnsi="仿宋" w:eastAsia="仿宋"/>
          <w:color w:val="0D0D0D"/>
          <w:sz w:val="24"/>
          <w:szCs w:val="22"/>
        </w:rPr>
        <w:t>及最高限价。</w:t>
      </w:r>
    </w:p>
    <w:p>
      <w:pPr>
        <w:numPr>
          <w:ilvl w:val="0"/>
          <w:numId w:val="0"/>
        </w:numPr>
        <w:bidi w:val="0"/>
        <w:rPr>
          <w:rFonts w:hint="default"/>
          <w:lang w:val="en-US" w:eastAsia="zh-CN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89A38DC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129</Words>
  <Characters>133</Characters>
  <Lines>0</Lines>
  <Paragraphs>0</Paragraphs>
  <TotalTime>0</TotalTime>
  <ScaleCrop>false</ScaleCrop>
  <LinksUpToDate>false</LinksUpToDate>
  <CharactersWithSpaces>263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2023-07-12T09:00:02Z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0BF67E5BA58A4F0BA1BAA1359136C02D_11</vt:lpwstr>
  </property>
</Properties>
</file>