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72" w:firstLineChars="196"/>
        <w:rPr>
          <w:rFonts w:hint="eastAsia" w:ascii="宋体" w:hAnsi="宋体" w:cs="宋体"/>
          <w:b/>
          <w:bCs/>
          <w:sz w:val="24"/>
        </w:rPr>
      </w:pPr>
      <w:r>
        <w:rPr>
          <w:rFonts w:hint="eastAsia" w:ascii="宋体" w:hAnsi="宋体" w:cs="宋体"/>
          <w:b/>
          <w:bCs/>
          <w:sz w:val="24"/>
        </w:rPr>
        <w:t>一、项目概况</w:t>
      </w:r>
    </w:p>
    <w:p>
      <w:pPr>
        <w:spacing w:line="360" w:lineRule="auto"/>
        <w:ind w:firstLine="470" w:firstLineChars="196"/>
        <w:rPr>
          <w:rFonts w:hint="eastAsia" w:ascii="宋体" w:hAnsi="宋体" w:cs="宋体"/>
          <w:bCs/>
          <w:sz w:val="24"/>
        </w:rPr>
      </w:pPr>
      <w:r>
        <w:rPr>
          <w:rFonts w:hint="eastAsia" w:ascii="宋体" w:hAnsi="宋体" w:cs="宋体"/>
          <w:bCs/>
          <w:sz w:val="24"/>
        </w:rPr>
        <w:t>该建筑1979年建成并投入使用，钢拱架-钢筋混凝土混合结构，落地三角拱型，单层，建筑使用功能为展厅，屋架采用三铰钢栱架结构，跨度70m，建筑长230m，宽62m，总建筑面积约17000 ㎡。现依据建筑物实际情况及近三年检测情况对18榀拱架结构变形进行受力、变形、表面温度长期监测；对屋面面板、山墙与钢结构连接处、5榀钢拱架进行全面检测；对水位及孔隙水压力长期监测。</w:t>
      </w:r>
    </w:p>
    <w:p>
      <w:pPr>
        <w:spacing w:line="360" w:lineRule="auto"/>
        <w:ind w:firstLine="472" w:firstLineChars="196"/>
        <w:rPr>
          <w:rFonts w:hint="eastAsia" w:ascii="宋体" w:hAnsi="宋体" w:cs="宋体"/>
          <w:b/>
          <w:bCs/>
          <w:sz w:val="24"/>
        </w:rPr>
      </w:pPr>
      <w:r>
        <w:rPr>
          <w:rFonts w:hint="eastAsia" w:ascii="宋体" w:hAnsi="宋体" w:cs="宋体"/>
          <w:b/>
          <w:bCs/>
          <w:sz w:val="24"/>
        </w:rPr>
        <w:t>二、检测内容：</w:t>
      </w:r>
    </w:p>
    <w:tbl>
      <w:tblPr>
        <w:tblStyle w:val="3"/>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69" w:type="dxa"/>
            <w:noWrap w:val="0"/>
            <w:vAlign w:val="center"/>
          </w:tcPr>
          <w:p>
            <w:pPr>
              <w:spacing w:line="360" w:lineRule="auto"/>
              <w:jc w:val="center"/>
              <w:rPr>
                <w:b/>
                <w:sz w:val="24"/>
              </w:rPr>
            </w:pPr>
            <w:r>
              <w:rPr>
                <w:rFonts w:hint="eastAsia"/>
                <w:b/>
                <w:sz w:val="24"/>
              </w:rPr>
              <w:t>项目</w:t>
            </w:r>
          </w:p>
        </w:tc>
        <w:tc>
          <w:tcPr>
            <w:tcW w:w="7371" w:type="dxa"/>
            <w:noWrap w:val="0"/>
            <w:vAlign w:val="center"/>
          </w:tcPr>
          <w:p>
            <w:pPr>
              <w:spacing w:line="360" w:lineRule="auto"/>
              <w:ind w:firstLine="482" w:firstLineChars="200"/>
              <w:jc w:val="center"/>
              <w:rPr>
                <w:rFonts w:ascii="宋体" w:hAnsi="宋体"/>
                <w:b/>
                <w:color w:val="000000"/>
                <w:sz w:val="24"/>
              </w:rPr>
            </w:pPr>
            <w:r>
              <w:rPr>
                <w:rFonts w:hint="eastAsia" w:ascii="宋体" w:hAnsi="宋体"/>
                <w:b/>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69" w:type="dxa"/>
            <w:noWrap w:val="0"/>
            <w:vAlign w:val="center"/>
          </w:tcPr>
          <w:p>
            <w:pPr>
              <w:spacing w:line="360" w:lineRule="auto"/>
              <w:jc w:val="center"/>
              <w:rPr>
                <w:rFonts w:hint="eastAsia"/>
                <w:sz w:val="24"/>
              </w:rPr>
            </w:pPr>
            <w:r>
              <w:rPr>
                <w:rFonts w:hint="eastAsia"/>
                <w:sz w:val="24"/>
              </w:rPr>
              <w:t>准备工作</w:t>
            </w:r>
          </w:p>
          <w:p>
            <w:pPr>
              <w:spacing w:line="360" w:lineRule="auto"/>
              <w:jc w:val="center"/>
              <w:rPr>
                <w:sz w:val="24"/>
              </w:rPr>
            </w:pPr>
            <w:r>
              <w:rPr>
                <w:rFonts w:hint="eastAsia"/>
                <w:sz w:val="24"/>
              </w:rPr>
              <w:t>（</w:t>
            </w:r>
            <w:r>
              <w:rPr>
                <w:rFonts w:hint="eastAsia" w:ascii="宋体" w:hAnsi="宋体"/>
                <w:b/>
                <w:color w:val="000000"/>
                <w:sz w:val="24"/>
              </w:rPr>
              <w:t>资料调查</w:t>
            </w:r>
            <w:r>
              <w:rPr>
                <w:rFonts w:hint="eastAsia"/>
                <w:sz w:val="24"/>
              </w:rPr>
              <w:t>）</w:t>
            </w:r>
          </w:p>
        </w:tc>
        <w:tc>
          <w:tcPr>
            <w:tcW w:w="7371" w:type="dxa"/>
            <w:noWrap w:val="0"/>
            <w:vAlign w:val="center"/>
          </w:tcPr>
          <w:p>
            <w:pPr>
              <w:adjustRightInd w:val="0"/>
              <w:snapToGrid w:val="0"/>
              <w:spacing w:line="360" w:lineRule="auto"/>
              <w:rPr>
                <w:rFonts w:ascii="宋体" w:hAnsi="宋体"/>
                <w:color w:val="000000"/>
                <w:sz w:val="24"/>
              </w:rPr>
            </w:pPr>
            <w:r>
              <w:rPr>
                <w:rFonts w:hint="eastAsia" w:ascii="宋体" w:hAnsi="宋体"/>
                <w:color w:val="000000"/>
                <w:sz w:val="24"/>
              </w:rPr>
              <w:t>⑴查阅建筑结构原设计图和竣工图。</w:t>
            </w:r>
          </w:p>
          <w:p>
            <w:pPr>
              <w:adjustRightInd w:val="0"/>
              <w:snapToGrid w:val="0"/>
              <w:spacing w:line="360" w:lineRule="auto"/>
              <w:rPr>
                <w:rFonts w:ascii="宋体" w:hAnsi="宋体"/>
                <w:color w:val="000000"/>
                <w:sz w:val="24"/>
              </w:rPr>
            </w:pPr>
            <w:r>
              <w:rPr>
                <w:rFonts w:hint="eastAsia" w:ascii="宋体" w:hAnsi="宋体"/>
                <w:color w:val="000000"/>
                <w:sz w:val="24"/>
              </w:rPr>
              <w:t>⑵查阅临近工程地质报吿。</w:t>
            </w:r>
          </w:p>
          <w:p>
            <w:pPr>
              <w:adjustRightInd w:val="0"/>
              <w:snapToGrid w:val="0"/>
              <w:spacing w:line="360" w:lineRule="auto"/>
              <w:rPr>
                <w:rFonts w:ascii="宋体" w:hAnsi="宋体"/>
                <w:color w:val="000000"/>
                <w:sz w:val="24"/>
              </w:rPr>
            </w:pPr>
            <w:r>
              <w:rPr>
                <w:rFonts w:hint="eastAsia" w:ascii="宋体" w:hAnsi="宋体"/>
                <w:color w:val="000000"/>
                <w:sz w:val="24"/>
              </w:rPr>
              <w:t>⑶查阅历次加固修复资料。</w:t>
            </w:r>
          </w:p>
          <w:p>
            <w:pPr>
              <w:adjustRightInd w:val="0"/>
              <w:snapToGrid w:val="0"/>
              <w:spacing w:line="360" w:lineRule="auto"/>
              <w:rPr>
                <w:rFonts w:ascii="宋体" w:hAnsi="宋体"/>
                <w:color w:val="000000"/>
                <w:sz w:val="24"/>
              </w:rPr>
            </w:pPr>
            <w:r>
              <w:rPr>
                <w:rFonts w:hint="eastAsia" w:ascii="宋体" w:hAnsi="宋体"/>
                <w:color w:val="000000"/>
                <w:sz w:val="24"/>
              </w:rPr>
              <w:t>⑷查阅相关改造资料。</w:t>
            </w:r>
          </w:p>
          <w:p>
            <w:pPr>
              <w:adjustRightInd w:val="0"/>
              <w:snapToGrid w:val="0"/>
              <w:spacing w:line="360" w:lineRule="auto"/>
              <w:rPr>
                <w:rFonts w:ascii="宋体" w:hAnsi="宋体"/>
                <w:color w:val="000000"/>
                <w:sz w:val="24"/>
              </w:rPr>
            </w:pPr>
            <w:r>
              <w:rPr>
                <w:rFonts w:hint="eastAsia" w:ascii="宋体" w:hAnsi="宋体"/>
                <w:color w:val="000000"/>
                <w:sz w:val="24"/>
              </w:rPr>
              <w:t>⑸查阅相关检测资料。</w:t>
            </w:r>
          </w:p>
          <w:p>
            <w:pPr>
              <w:adjustRightInd w:val="0"/>
              <w:snapToGrid w:val="0"/>
              <w:spacing w:line="360" w:lineRule="auto"/>
              <w:rPr>
                <w:rFonts w:ascii="宋体" w:hAnsi="宋体"/>
                <w:color w:val="000000"/>
                <w:sz w:val="24"/>
              </w:rPr>
            </w:pPr>
            <w:r>
              <w:rPr>
                <w:rFonts w:hint="eastAsia" w:ascii="宋体" w:hAnsi="宋体"/>
                <w:color w:val="000000"/>
                <w:sz w:val="24"/>
              </w:rPr>
              <w:t>⑹查阅观测记录等技术资料。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69" w:type="dxa"/>
            <w:noWrap w:val="0"/>
            <w:vAlign w:val="center"/>
          </w:tcPr>
          <w:p>
            <w:pPr>
              <w:adjustRightInd w:val="0"/>
              <w:snapToGrid w:val="0"/>
              <w:spacing w:line="360" w:lineRule="auto"/>
              <w:jc w:val="center"/>
              <w:rPr>
                <w:rFonts w:ascii="宋体" w:hAnsi="宋体"/>
                <w:b/>
                <w:color w:val="000000"/>
                <w:sz w:val="24"/>
              </w:rPr>
            </w:pPr>
            <w:r>
              <w:rPr>
                <w:rFonts w:hint="eastAsia" w:ascii="宋体" w:hAnsi="宋体"/>
                <w:b/>
                <w:color w:val="000000"/>
                <w:sz w:val="24"/>
              </w:rPr>
              <w:t>主体结构检测</w:t>
            </w:r>
          </w:p>
        </w:tc>
        <w:tc>
          <w:tcPr>
            <w:tcW w:w="7371" w:type="dxa"/>
            <w:noWrap w:val="0"/>
            <w:vAlign w:val="center"/>
          </w:tcPr>
          <w:p>
            <w:pPr>
              <w:adjustRightInd w:val="0"/>
              <w:snapToGrid w:val="0"/>
              <w:spacing w:line="360" w:lineRule="auto"/>
              <w:rPr>
                <w:rFonts w:ascii="宋体" w:hAnsi="宋体"/>
                <w:color w:val="000000"/>
                <w:sz w:val="24"/>
              </w:rPr>
            </w:pPr>
            <w:r>
              <w:rPr>
                <w:rFonts w:hint="eastAsia" w:ascii="宋体" w:hAnsi="宋体"/>
                <w:color w:val="000000"/>
                <w:sz w:val="24"/>
              </w:rPr>
              <w:t>⑴核查建筑结构布置和支撑布置、结构构件的主要几何尺寸和节点现状等。</w:t>
            </w:r>
          </w:p>
          <w:p>
            <w:pPr>
              <w:adjustRightInd w:val="0"/>
              <w:snapToGrid w:val="0"/>
              <w:spacing w:line="360" w:lineRule="auto"/>
              <w:rPr>
                <w:rFonts w:ascii="宋体" w:hAnsi="宋体"/>
                <w:color w:val="000000"/>
                <w:sz w:val="24"/>
              </w:rPr>
            </w:pPr>
            <w:r>
              <w:rPr>
                <w:rFonts w:hint="eastAsia" w:ascii="宋体" w:hAnsi="宋体"/>
                <w:color w:val="000000"/>
                <w:sz w:val="24"/>
              </w:rPr>
              <w:t>⑵调查各类荷载及作用，包括屋面积灰（雪）荷载等。</w:t>
            </w:r>
          </w:p>
          <w:p>
            <w:pPr>
              <w:adjustRightInd w:val="0"/>
              <w:snapToGrid w:val="0"/>
              <w:spacing w:line="360" w:lineRule="auto"/>
              <w:rPr>
                <w:rFonts w:ascii="宋体" w:hAnsi="宋体"/>
                <w:color w:val="000000"/>
                <w:kern w:val="13"/>
                <w:sz w:val="24"/>
              </w:rPr>
            </w:pPr>
            <w:r>
              <w:rPr>
                <w:rFonts w:hint="eastAsia" w:ascii="宋体" w:hAnsi="宋体"/>
                <w:color w:val="000000"/>
                <w:sz w:val="24"/>
              </w:rPr>
              <w:t>⑶对3、4、14、16、20轴拱架结构进行相关布置核查，核查建筑结构布置、支座现状、结构构件几何尺寸等；检测构建的缺损、裂缝、锈蚀情况；</w:t>
            </w:r>
            <w:r>
              <w:rPr>
                <w:rFonts w:hint="eastAsia" w:ascii="宋体" w:hAnsi="宋体"/>
                <w:color w:val="000000"/>
                <w:kern w:val="13"/>
                <w:sz w:val="24"/>
              </w:rPr>
              <w:t>⑺对钢构件防腐及防火涂层厚度进行抽检。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69" w:type="dxa"/>
            <w:noWrap w:val="0"/>
            <w:vAlign w:val="center"/>
          </w:tcPr>
          <w:p>
            <w:pPr>
              <w:adjustRightInd w:val="0"/>
              <w:snapToGrid w:val="0"/>
              <w:spacing w:line="360" w:lineRule="auto"/>
              <w:jc w:val="center"/>
              <w:rPr>
                <w:rFonts w:ascii="宋体" w:hAnsi="宋体"/>
                <w:b/>
                <w:color w:val="000000"/>
                <w:sz w:val="24"/>
              </w:rPr>
            </w:pPr>
            <w:r>
              <w:rPr>
                <w:rFonts w:hint="eastAsia" w:ascii="宋体" w:hAnsi="宋体"/>
                <w:b/>
                <w:color w:val="000000"/>
                <w:sz w:val="24"/>
              </w:rPr>
              <w:t>维护结构检测</w:t>
            </w:r>
          </w:p>
        </w:tc>
        <w:tc>
          <w:tcPr>
            <w:tcW w:w="7371" w:type="dxa"/>
            <w:noWrap w:val="0"/>
            <w:vAlign w:val="center"/>
          </w:tcPr>
          <w:p>
            <w:pPr>
              <w:adjustRightInd w:val="0"/>
              <w:snapToGrid w:val="0"/>
              <w:spacing w:line="360" w:lineRule="auto"/>
              <w:rPr>
                <w:rFonts w:ascii="宋体" w:hAnsi="宋体"/>
                <w:color w:val="000000"/>
                <w:sz w:val="24"/>
              </w:rPr>
            </w:pPr>
            <w:r>
              <w:rPr>
                <w:rFonts w:hint="eastAsia" w:ascii="宋体" w:hAnsi="宋体"/>
                <w:color w:val="000000"/>
                <w:sz w:val="24"/>
              </w:rPr>
              <w:t>维护结构现状检测，包括裂缝分布的位置、裂缝长度、宽度等普查。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69" w:type="dxa"/>
            <w:noWrap w:val="0"/>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结构杆件的受力、变形及结构整体动力特性监测</w:t>
            </w:r>
          </w:p>
        </w:tc>
        <w:tc>
          <w:tcPr>
            <w:tcW w:w="7371" w:type="dxa"/>
            <w:noWrap w:val="0"/>
            <w:vAlign w:val="center"/>
          </w:tcPr>
          <w:p>
            <w:pPr>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⑴对18榀拱架结构杆件的受力、变形监测，每榀点位不少于10处，总数不少于180处；拱角节点受力监测点每榀不少于4处；灵敏度不低于1微米，标距150mm。变形检测时，18榀拱架每榀点位不少于3处，总数不少于54处，精度不小于±0.1mm。要求实时监测。</w:t>
            </w:r>
          </w:p>
          <w:p>
            <w:pPr>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⑵拱架结构挠度测量，中间16榀拱架每榀不少于5处，精度不小于0.5mm。</w:t>
            </w:r>
          </w:p>
          <w:p>
            <w:pPr>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⑶</w:t>
            </w:r>
            <w:r>
              <w:rPr>
                <w:rFonts w:ascii="宋体" w:hAnsi="宋体"/>
                <w:color w:val="000000"/>
                <w:kern w:val="0"/>
                <w:sz w:val="24"/>
              </w:rPr>
              <w:t>杆件温度监测</w:t>
            </w:r>
            <w:r>
              <w:rPr>
                <w:rFonts w:hint="eastAsia" w:ascii="宋体" w:hAnsi="宋体"/>
                <w:color w:val="000000"/>
                <w:kern w:val="0"/>
                <w:sz w:val="24"/>
              </w:rPr>
              <w:t>，</w:t>
            </w:r>
            <w:r>
              <w:rPr>
                <w:rFonts w:ascii="宋体" w:hAnsi="宋体"/>
                <w:color w:val="000000"/>
                <w:kern w:val="0"/>
                <w:sz w:val="24"/>
              </w:rPr>
              <w:t>点数不少于</w:t>
            </w:r>
            <w:r>
              <w:rPr>
                <w:rFonts w:hint="eastAsia" w:ascii="宋体" w:hAnsi="宋体"/>
                <w:color w:val="000000"/>
                <w:kern w:val="0"/>
                <w:sz w:val="24"/>
              </w:rPr>
              <w:t>18处，实时监测。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269" w:type="dxa"/>
            <w:noWrap w:val="0"/>
            <w:vAlign w:val="center"/>
          </w:tcPr>
          <w:p>
            <w:pPr>
              <w:spacing w:line="360" w:lineRule="auto"/>
              <w:jc w:val="center"/>
              <w:rPr>
                <w:rFonts w:ascii="宋体" w:hAnsi="宋体"/>
                <w:b/>
                <w:color w:val="000000"/>
                <w:sz w:val="24"/>
              </w:rPr>
            </w:pPr>
            <w:r>
              <w:rPr>
                <w:rFonts w:hint="eastAsia" w:ascii="宋体" w:hAnsi="宋体"/>
                <w:b/>
                <w:color w:val="000000"/>
                <w:sz w:val="24"/>
              </w:rPr>
              <w:t>水位监测</w:t>
            </w:r>
          </w:p>
        </w:tc>
        <w:tc>
          <w:tcPr>
            <w:tcW w:w="7371" w:type="dxa"/>
            <w:noWrap w:val="0"/>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对地下水位进行长期检测，监测点不少于2处，深度大于15米，精度及灵敏度不低于1%全量程。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69" w:type="dxa"/>
            <w:noWrap w:val="0"/>
            <w:vAlign w:val="center"/>
          </w:tcPr>
          <w:p>
            <w:pPr>
              <w:spacing w:line="360" w:lineRule="auto"/>
              <w:jc w:val="center"/>
              <w:rPr>
                <w:rFonts w:ascii="宋体" w:hAnsi="宋体"/>
                <w:b/>
                <w:color w:val="000000"/>
                <w:sz w:val="24"/>
              </w:rPr>
            </w:pPr>
            <w:r>
              <w:rPr>
                <w:rFonts w:hint="eastAsia" w:ascii="宋体" w:hAnsi="宋体"/>
                <w:b/>
                <w:color w:val="000000"/>
                <w:sz w:val="24"/>
              </w:rPr>
              <w:t>地基土孔隙水压力监测</w:t>
            </w:r>
          </w:p>
        </w:tc>
        <w:tc>
          <w:tcPr>
            <w:tcW w:w="7371" w:type="dxa"/>
            <w:noWrap w:val="0"/>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根据地形等情况对不同深度的孔隙水压力进行长期检测，点位不少于4处，每孔点数不少于6处，灵敏度及精度不低于1%全量程。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69" w:type="dxa"/>
            <w:noWrap w:val="0"/>
            <w:vAlign w:val="center"/>
          </w:tcPr>
          <w:p>
            <w:pPr>
              <w:adjustRightInd w:val="0"/>
              <w:snapToGrid w:val="0"/>
              <w:spacing w:line="360" w:lineRule="auto"/>
              <w:jc w:val="center"/>
              <w:rPr>
                <w:rFonts w:ascii="宋体" w:hAnsi="宋体"/>
                <w:b/>
                <w:color w:val="000000"/>
                <w:sz w:val="24"/>
              </w:rPr>
            </w:pPr>
            <w:r>
              <w:rPr>
                <w:rFonts w:hint="eastAsia" w:ascii="宋体" w:hAnsi="宋体"/>
                <w:b/>
                <w:color w:val="000000"/>
                <w:sz w:val="24"/>
              </w:rPr>
              <w:t>结构验算复核（计算分析）</w:t>
            </w:r>
          </w:p>
        </w:tc>
        <w:tc>
          <w:tcPr>
            <w:tcW w:w="7371" w:type="dxa"/>
            <w:noWrap w:val="0"/>
            <w:vAlign w:val="center"/>
          </w:tcPr>
          <w:p>
            <w:pPr>
              <w:adjustRightInd w:val="0"/>
              <w:snapToGrid w:val="0"/>
              <w:spacing w:line="360" w:lineRule="auto"/>
              <w:rPr>
                <w:rFonts w:ascii="宋体" w:hAnsi="宋体"/>
                <w:color w:val="000000"/>
                <w:sz w:val="24"/>
              </w:rPr>
            </w:pPr>
            <w:r>
              <w:rPr>
                <w:rFonts w:hint="eastAsia" w:ascii="宋体" w:hAnsi="宋体"/>
                <w:color w:val="000000"/>
                <w:sz w:val="24"/>
              </w:rPr>
              <w:t>建筑结构力学分析应遵守国家现行有关标准和规范的要求，并考虑钢桁架拱支座的实际不均匀沉降状况，计算简图根据结构的实际受力和构造状况确定，荷载取值和荷载效应组合根据荷载规范确定或根据实际情况按规范的取值和组合原则确定，材料强度和构件几何尺寸取用实测值，对</w:t>
            </w:r>
            <w:r>
              <w:rPr>
                <w:rFonts w:ascii="宋体" w:hAnsi="宋体"/>
                <w:color w:val="000000"/>
                <w:sz w:val="24"/>
              </w:rPr>
              <w:t>1</w:t>
            </w:r>
            <w:r>
              <w:rPr>
                <w:rFonts w:hint="eastAsia" w:ascii="宋体" w:hAnsi="宋体"/>
                <w:color w:val="000000"/>
                <w:sz w:val="24"/>
              </w:rPr>
              <w:t>号展厅的结构安全性进行建模验算、复核、分析。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69" w:type="dxa"/>
            <w:noWrap w:val="0"/>
            <w:vAlign w:val="center"/>
          </w:tcPr>
          <w:p>
            <w:pPr>
              <w:adjustRightInd w:val="0"/>
              <w:snapToGrid w:val="0"/>
              <w:spacing w:line="360" w:lineRule="auto"/>
              <w:jc w:val="center"/>
              <w:rPr>
                <w:rFonts w:ascii="宋体" w:hAnsi="宋体"/>
                <w:b/>
                <w:color w:val="000000"/>
                <w:sz w:val="24"/>
              </w:rPr>
            </w:pPr>
            <w:r>
              <w:rPr>
                <w:rFonts w:hint="eastAsia" w:ascii="宋体" w:hAnsi="宋体"/>
                <w:b/>
                <w:color w:val="000000"/>
                <w:sz w:val="24"/>
              </w:rPr>
              <w:t>鉴定资料应达到的目的（深度标准）</w:t>
            </w:r>
          </w:p>
        </w:tc>
        <w:tc>
          <w:tcPr>
            <w:tcW w:w="7371" w:type="dxa"/>
            <w:noWrap w:val="0"/>
            <w:vAlign w:val="center"/>
          </w:tcPr>
          <w:p>
            <w:pPr>
              <w:adjustRightInd w:val="0"/>
              <w:snapToGrid w:val="0"/>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）针对该建筑钢结构腐蚀性，对现状是否处理提出建议；</w:t>
            </w:r>
          </w:p>
          <w:p>
            <w:pPr>
              <w:adjustRightInd w:val="0"/>
              <w:snapToGrid w:val="0"/>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）了解地下水位实时变化，应统计每日变化，报告需提供每周变化数据及最终分析；</w:t>
            </w:r>
          </w:p>
          <w:p>
            <w:pPr>
              <w:adjustRightInd w:val="0"/>
              <w:snapToGrid w:val="0"/>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）对地下水孔隙水压力变化实时监测</w:t>
            </w:r>
          </w:p>
          <w:p>
            <w:pPr>
              <w:adjustRightInd w:val="0"/>
              <w:snapToGrid w:val="0"/>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）对钢结构变形、表面温度、应力实时监测，应统计每日变化，报告需提供每周变化数据及最终分析；</w:t>
            </w:r>
          </w:p>
          <w:p>
            <w:pPr>
              <w:adjustRightInd w:val="0"/>
              <w:snapToGrid w:val="0"/>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）对该建筑按现行规范下安全性进行评定；</w:t>
            </w:r>
          </w:p>
          <w:p>
            <w:pPr>
              <w:adjustRightInd w:val="0"/>
              <w:snapToGrid w:val="0"/>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）针对该建筑现状，如需处理，提出合理建议。</w:t>
            </w:r>
          </w:p>
        </w:tc>
      </w:tr>
    </w:tbl>
    <w:p>
      <w:pPr>
        <w:numPr>
          <w:ilvl w:val="0"/>
          <w:numId w:val="1"/>
        </w:numPr>
        <w:adjustRightInd w:val="0"/>
        <w:snapToGrid w:val="0"/>
        <w:spacing w:line="360" w:lineRule="auto"/>
        <w:ind w:firstLine="480"/>
        <w:rPr>
          <w:rFonts w:hint="eastAsia" w:ascii="宋体" w:hAnsi="宋体"/>
          <w:color w:val="000000"/>
          <w:sz w:val="24"/>
        </w:rPr>
      </w:pPr>
      <w:r>
        <w:rPr>
          <w:rFonts w:hint="eastAsia" w:ascii="宋体" w:hAnsi="宋体"/>
          <w:b/>
          <w:bCs/>
          <w:color w:val="000000"/>
          <w:sz w:val="24"/>
        </w:rPr>
        <w:t>质量要求：</w:t>
      </w:r>
      <w:r>
        <w:rPr>
          <w:rFonts w:hint="eastAsia" w:ascii="宋体" w:hAnsi="宋体"/>
          <w:color w:val="000000"/>
          <w:sz w:val="24"/>
        </w:rPr>
        <w:t>符合国家、行业相关规范。</w:t>
      </w: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四</w:t>
      </w:r>
      <w:r>
        <w:rPr>
          <w:rFonts w:hint="eastAsia" w:ascii="宋体" w:hAnsi="宋体"/>
          <w:b/>
          <w:bCs/>
          <w:color w:val="000000"/>
          <w:sz w:val="24"/>
        </w:rPr>
        <w:t>、其他要求：</w:t>
      </w:r>
      <w:r>
        <w:rPr>
          <w:rFonts w:hint="eastAsia" w:ascii="宋体" w:hAnsi="宋体"/>
          <w:color w:val="000000"/>
          <w:sz w:val="24"/>
        </w:rPr>
        <w:t>进行检测时需充分考虑展厅不闭馆的检测方案。</w:t>
      </w:r>
    </w:p>
    <w:p>
      <w:pPr>
        <w:ind w:firstLine="482" w:firstLineChars="200"/>
        <w:rPr>
          <w:rFonts w:ascii="宋体" w:hAnsi="宋体"/>
          <w:b/>
          <w:sz w:val="24"/>
        </w:rPr>
      </w:pPr>
      <w:r>
        <w:rPr>
          <w:rFonts w:hint="eastAsia" w:ascii="宋体" w:hAnsi="宋体"/>
          <w:b/>
          <w:sz w:val="24"/>
        </w:rPr>
        <w:t>五</w:t>
      </w:r>
      <w:r>
        <w:rPr>
          <w:rFonts w:ascii="宋体" w:hAnsi="宋体"/>
          <w:b/>
          <w:sz w:val="24"/>
        </w:rPr>
        <w:t>、</w:t>
      </w:r>
      <w:r>
        <w:rPr>
          <w:rFonts w:hint="eastAsia" w:ascii="宋体" w:hAnsi="宋体"/>
          <w:b/>
          <w:sz w:val="24"/>
        </w:rPr>
        <w:t>商务要求</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、付款方式：</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（1）合同签订后，人员进场，支付合同总价的30%作为预付款。</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（2）待所有检测完成、收到检测报告后且经甲方验收合格后，一次性支付剩余合同款。</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2、服务期：</w:t>
      </w:r>
      <w:r>
        <w:rPr>
          <w:rFonts w:hint="eastAsia" w:ascii="宋体" w:hAnsi="宋体" w:cs="Helvetica"/>
          <w:kern w:val="0"/>
          <w:sz w:val="24"/>
          <w:szCs w:val="21"/>
        </w:rPr>
        <w:t>现场设备安装不超过20天，每半年出具一次监测报告（纸质版6份，电子版1份），监测完成后出具检测报告不超过30天，且施工期间需保证正常参观秩序；服务期限一年</w:t>
      </w:r>
      <w:r>
        <w:rPr>
          <w:rFonts w:hint="eastAsia" w:ascii="宋体" w:hAnsi="宋体"/>
          <w:color w:val="000000"/>
          <w:sz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471F"/>
    <w:multiLevelType w:val="singleLevel"/>
    <w:tmpl w:val="99BA471F"/>
    <w:lvl w:ilvl="0" w:tentative="0">
      <w:start w:val="3"/>
      <w:numFmt w:val="chineseCounting"/>
      <w:suff w:val="nothing"/>
      <w:lvlText w:val="%1、"/>
      <w:lvlJc w:val="left"/>
      <w:pPr>
        <w:ind w:left="-6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NjU3ZjZiMThlY2Y5NTBhZmNkMzIwZjQ0NDYzZTUifQ=="/>
  </w:docVars>
  <w:rsids>
    <w:rsidRoot w:val="18E73A1B"/>
    <w:rsid w:val="18E7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2023-06-28T09:00:00Z</dcterms:created>
  <dc:creator>谢婷婷</dc:creator>
  <cp:lastModifiedBy>谢婷婷</cp:lastModifiedBy>
  <dcterms:modified xsi:type="dcterms:W3CDTF">2023-06-28T09:00:49Z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E78ADB74D8044903BCD865FB4E0B93C2</vt:lpwstr>
  </property>
</Properties>
</file>