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cs="宋体"/>
          <w:b/>
          <w:sz w:val="30"/>
        </w:rPr>
      </w:pPr>
      <w:bookmarkStart w:id="0" w:name="OLE_LINK9"/>
      <w:r>
        <w:rPr>
          <w:rFonts w:hint="eastAsia" w:ascii="宋体" w:hAnsi="宋体" w:cs="宋体"/>
          <w:b/>
          <w:sz w:val="30"/>
        </w:rPr>
        <w:t>政府采购项目</w:t>
      </w:r>
    </w:p>
    <w:p>
      <w:pPr>
        <w:adjustRightInd w:val="0"/>
        <w:snapToGrid w:val="0"/>
        <w:spacing w:line="360" w:lineRule="auto"/>
        <w:jc w:val="left"/>
        <w:rPr>
          <w:rFonts w:hint="default" w:ascii="宋体" w:hAnsi="宋体" w:eastAsia="宋体" w:cs="宋体"/>
          <w:b/>
          <w:bCs/>
          <w:sz w:val="30"/>
          <w:lang w:val="en-US" w:eastAsia="zh-CN"/>
        </w:rPr>
      </w:pPr>
      <w:r>
        <w:rPr>
          <w:rFonts w:hint="eastAsia" w:ascii="宋体" w:hAnsi="宋体" w:cs="宋体"/>
          <w:b/>
          <w:sz w:val="30"/>
        </w:rPr>
        <w:t>项目编号：</w:t>
      </w:r>
      <w:r>
        <w:rPr>
          <w:rFonts w:hint="eastAsia" w:ascii="宋体" w:hAnsi="宋体" w:cs="宋体"/>
          <w:b/>
          <w:bCs/>
          <w:kern w:val="0"/>
          <w:sz w:val="24"/>
          <w:szCs w:val="24"/>
          <w:lang w:eastAsia="zh-CN"/>
        </w:rPr>
        <w:t>SXWZ2023ZB-YXY-055R</w:t>
      </w:r>
    </w:p>
    <w:p>
      <w:pPr>
        <w:adjustRightInd w:val="0"/>
        <w:snapToGrid w:val="0"/>
        <w:spacing w:line="360" w:lineRule="auto"/>
        <w:jc w:val="left"/>
        <w:rPr>
          <w:rFonts w:ascii="宋体" w:hAnsi="宋体" w:cs="宋体"/>
          <w:b/>
          <w:sz w:val="30"/>
        </w:rPr>
      </w:pPr>
    </w:p>
    <w:p>
      <w:pPr>
        <w:adjustRightInd w:val="0"/>
        <w:snapToGrid w:val="0"/>
        <w:spacing w:line="360" w:lineRule="auto"/>
        <w:jc w:val="center"/>
        <w:rPr>
          <w:rFonts w:ascii="宋体" w:hAnsi="宋体" w:cs="宋体"/>
          <w:b/>
          <w:sz w:val="40"/>
          <w:szCs w:val="32"/>
        </w:rPr>
      </w:pPr>
    </w:p>
    <w:p>
      <w:pPr>
        <w:adjustRightInd w:val="0"/>
        <w:snapToGrid w:val="0"/>
        <w:spacing w:line="360" w:lineRule="auto"/>
        <w:jc w:val="center"/>
        <w:rPr>
          <w:rFonts w:hint="default" w:ascii="宋体" w:hAnsi="宋体" w:eastAsia="宋体" w:cs="宋体"/>
          <w:b/>
          <w:sz w:val="30"/>
          <w:lang w:val="en-US" w:eastAsia="zh-CN"/>
        </w:rPr>
      </w:pPr>
      <w:r>
        <w:rPr>
          <w:rFonts w:hint="eastAsia" w:ascii="宋体" w:hAnsi="宋体" w:cs="宋体"/>
          <w:b/>
          <w:sz w:val="52"/>
          <w:szCs w:val="52"/>
          <w:lang w:eastAsia="zh-CN"/>
        </w:rPr>
        <w:t>西安医学院未央校区汽车充电桩安装工程项目</w:t>
      </w:r>
      <w:r>
        <w:rPr>
          <w:rFonts w:hint="eastAsia" w:ascii="宋体" w:hAnsi="宋体" w:cs="宋体"/>
          <w:b/>
          <w:sz w:val="52"/>
          <w:szCs w:val="52"/>
          <w:lang w:val="en-US" w:eastAsia="zh-CN"/>
        </w:rPr>
        <w:t>（四次）</w:t>
      </w:r>
    </w:p>
    <w:p>
      <w:pPr>
        <w:adjustRightInd w:val="0"/>
        <w:snapToGrid w:val="0"/>
        <w:spacing w:line="360" w:lineRule="auto"/>
        <w:jc w:val="left"/>
        <w:rPr>
          <w:rFonts w:ascii="宋体" w:hAnsi="宋体" w:cs="宋体"/>
          <w:b/>
          <w:sz w:val="52"/>
          <w:szCs w:val="52"/>
        </w:rPr>
      </w:pPr>
      <w:r>
        <w:rPr>
          <w:rFonts w:hint="eastAsia" w:ascii="宋体" w:hAnsi="宋体" w:cs="宋体"/>
        </w:rPr>
        <w:drawing>
          <wp:anchor distT="0" distB="0" distL="114300" distR="114300" simplePos="0" relativeHeight="251660288" behindDoc="1" locked="0" layoutInCell="1" allowOverlap="1">
            <wp:simplePos x="0" y="0"/>
            <wp:positionH relativeFrom="column">
              <wp:posOffset>1568450</wp:posOffset>
            </wp:positionH>
            <wp:positionV relativeFrom="paragraph">
              <wp:posOffset>305435</wp:posOffset>
            </wp:positionV>
            <wp:extent cx="2312670" cy="1447800"/>
            <wp:effectExtent l="19050" t="0" r="0" b="0"/>
            <wp:wrapTight wrapText="bothSides">
              <wp:wrapPolygon>
                <wp:start x="-178" y="0"/>
                <wp:lineTo x="-178" y="21316"/>
                <wp:lineTo x="21529" y="21316"/>
                <wp:lineTo x="21529" y="0"/>
                <wp:lineTo x="-178" y="0"/>
              </wp:wrapPolygon>
            </wp:wrapTight>
            <wp:docPr id="3"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图标"/>
                    <pic:cNvPicPr>
                      <a:picLocks noChangeAspect="1" noChangeArrowheads="1"/>
                    </pic:cNvPicPr>
                  </pic:nvPicPr>
                  <pic:blipFill>
                    <a:blip r:embed="rId19"/>
                    <a:srcRect/>
                    <a:stretch>
                      <a:fillRect/>
                    </a:stretch>
                  </pic:blipFill>
                  <pic:spPr>
                    <a:xfrm>
                      <a:off x="0" y="0"/>
                      <a:ext cx="2312670" cy="1447800"/>
                    </a:xfrm>
                    <a:prstGeom prst="rect">
                      <a:avLst/>
                    </a:prstGeom>
                    <a:noFill/>
                    <a:ln w="9525">
                      <a:noFill/>
                      <a:miter lim="800000"/>
                      <a:headEnd/>
                      <a:tailEnd/>
                    </a:ln>
                  </pic:spPr>
                </pic:pic>
              </a:graphicData>
            </a:graphic>
          </wp:anchor>
        </w:drawing>
      </w:r>
    </w:p>
    <w:p>
      <w:pPr>
        <w:adjustRightInd w:val="0"/>
        <w:snapToGrid w:val="0"/>
        <w:spacing w:line="360" w:lineRule="auto"/>
        <w:jc w:val="left"/>
        <w:rPr>
          <w:rFonts w:ascii="宋体" w:hAnsi="宋体" w:cs="宋体"/>
          <w:b/>
          <w:sz w:val="52"/>
          <w:szCs w:val="52"/>
        </w:rPr>
      </w:pPr>
    </w:p>
    <w:p>
      <w:pPr>
        <w:adjustRightInd w:val="0"/>
        <w:snapToGrid w:val="0"/>
        <w:spacing w:line="360" w:lineRule="auto"/>
        <w:jc w:val="left"/>
        <w:rPr>
          <w:rFonts w:ascii="宋体" w:hAnsi="宋体" w:cs="宋体"/>
          <w:b/>
          <w:sz w:val="52"/>
          <w:szCs w:val="52"/>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rPr>
          <w:rFonts w:ascii="宋体" w:hAnsi="宋体" w:cs="宋体"/>
          <w:b/>
          <w:sz w:val="30"/>
        </w:rPr>
      </w:pPr>
      <w:r>
        <w:rPr>
          <w:rFonts w:hint="eastAsia" w:ascii="宋体" w:hAnsi="宋体" w:cs="宋体"/>
          <w:b/>
          <w:sz w:val="72"/>
          <w:szCs w:val="72"/>
        </w:rPr>
        <w:t>竞争性磋商文件</w:t>
      </w:r>
    </w:p>
    <w:p>
      <w:pPr>
        <w:adjustRightInd w:val="0"/>
        <w:snapToGrid w:val="0"/>
        <w:spacing w:line="360" w:lineRule="auto"/>
        <w:rPr>
          <w:rFonts w:ascii="宋体" w:hAnsi="宋体" w:cs="宋体"/>
          <w:b/>
          <w:sz w:val="30"/>
        </w:rPr>
      </w:pPr>
    </w:p>
    <w:p>
      <w:pPr>
        <w:adjustRightInd w:val="0"/>
        <w:snapToGrid w:val="0"/>
        <w:spacing w:line="360" w:lineRule="auto"/>
        <w:rPr>
          <w:rFonts w:ascii="宋体" w:hAnsi="宋体" w:cs="宋体"/>
          <w:b/>
          <w:sz w:val="30"/>
        </w:rPr>
      </w:pPr>
    </w:p>
    <w:p>
      <w:pPr>
        <w:adjustRightInd w:val="0"/>
        <w:snapToGrid w:val="0"/>
        <w:spacing w:line="360" w:lineRule="auto"/>
        <w:ind w:firstLine="1606" w:firstLineChars="500"/>
        <w:rPr>
          <w:rFonts w:ascii="宋体" w:hAnsi="宋体" w:cs="宋体"/>
          <w:b/>
          <w:sz w:val="32"/>
          <w:szCs w:val="32"/>
        </w:rPr>
      </w:pPr>
      <w:r>
        <w:rPr>
          <w:rFonts w:hint="eastAsia" w:ascii="宋体" w:hAnsi="宋体" w:cs="宋体"/>
          <w:b/>
          <w:sz w:val="32"/>
          <w:szCs w:val="32"/>
        </w:rPr>
        <w:t>采   购   人：西安医学院</w:t>
      </w: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采购代理机构：陕西万泽招标有限公司</w:t>
      </w:r>
    </w:p>
    <w:p>
      <w:pPr>
        <w:adjustRightInd w:val="0"/>
        <w:snapToGrid w:val="0"/>
        <w:spacing w:line="360" w:lineRule="auto"/>
        <w:jc w:val="center"/>
        <w:rPr>
          <w:rFonts w:ascii="宋体" w:hAnsi="宋体" w:cs="宋体"/>
          <w:b/>
          <w:color w:val="FF0000"/>
          <w:sz w:val="32"/>
          <w:szCs w:val="32"/>
        </w:rPr>
      </w:pPr>
      <w:r>
        <w:rPr>
          <w:rFonts w:hint="eastAsia" w:ascii="宋体" w:hAnsi="宋体" w:cs="宋体"/>
          <w:b/>
          <w:sz w:val="32"/>
          <w:szCs w:val="32"/>
        </w:rPr>
        <w:t>二〇二</w:t>
      </w:r>
      <w:r>
        <w:rPr>
          <w:rFonts w:hint="eastAsia" w:ascii="宋体" w:hAnsi="宋体" w:cs="宋体"/>
          <w:b/>
          <w:sz w:val="32"/>
          <w:szCs w:val="32"/>
          <w:lang w:eastAsia="zh-CN"/>
        </w:rPr>
        <w:t>三</w:t>
      </w:r>
      <w:r>
        <w:rPr>
          <w:rFonts w:hint="eastAsia" w:ascii="宋体" w:hAnsi="宋体" w:cs="宋体"/>
          <w:b/>
          <w:sz w:val="32"/>
          <w:szCs w:val="32"/>
        </w:rPr>
        <w:t>年</w:t>
      </w:r>
      <w:r>
        <w:rPr>
          <w:rFonts w:hint="eastAsia" w:ascii="宋体" w:hAnsi="宋体" w:cs="宋体"/>
          <w:b/>
          <w:sz w:val="32"/>
          <w:szCs w:val="32"/>
          <w:lang w:eastAsia="zh-CN"/>
        </w:rPr>
        <w:t>六</w:t>
      </w:r>
      <w:r>
        <w:rPr>
          <w:rFonts w:hint="eastAsia" w:ascii="宋体" w:hAnsi="宋体" w:cs="宋体"/>
          <w:b/>
          <w:sz w:val="32"/>
          <w:szCs w:val="32"/>
        </w:rPr>
        <w:t>月</w:t>
      </w:r>
    </w:p>
    <w:p>
      <w:pPr>
        <w:adjustRightInd w:val="0"/>
        <w:snapToGrid w:val="0"/>
        <w:spacing w:line="600" w:lineRule="auto"/>
        <w:rPr>
          <w:rFonts w:ascii="宋体" w:hAnsi="宋体" w:cs="宋体"/>
          <w:b/>
          <w:sz w:val="36"/>
          <w:szCs w:val="36"/>
        </w:rPr>
        <w:sectPr>
          <w:headerReference r:id="rId4" w:type="first"/>
          <w:headerReference r:id="rId3" w:type="default"/>
          <w:footerReference r:id="rId5" w:type="default"/>
          <w:pgSz w:w="11906" w:h="16838"/>
          <w:pgMar w:top="1440" w:right="1486" w:bottom="1440" w:left="1800" w:header="851" w:footer="992" w:gutter="0"/>
          <w:pgNumType w:start="1"/>
          <w:cols w:space="720" w:num="1"/>
          <w:docGrid w:type="lines" w:linePitch="312" w:charSpace="0"/>
        </w:sectPr>
      </w:pPr>
    </w:p>
    <w:p>
      <w:pPr>
        <w:pStyle w:val="19"/>
        <w:tabs>
          <w:tab w:val="right" w:leader="dot" w:pos="8306"/>
        </w:tabs>
        <w:spacing w:line="360" w:lineRule="auto"/>
        <w:jc w:val="center"/>
        <w:rPr>
          <w:rFonts w:ascii="宋体" w:hAnsi="宋体" w:cs="宋体"/>
          <w:b/>
          <w:bCs/>
          <w:sz w:val="40"/>
          <w:szCs w:val="40"/>
        </w:rPr>
      </w:pPr>
      <w:r>
        <w:rPr>
          <w:rFonts w:hint="eastAsia" w:ascii="宋体" w:hAnsi="宋体" w:cs="宋体"/>
          <w:b/>
          <w:bCs/>
          <w:sz w:val="40"/>
          <w:szCs w:val="40"/>
        </w:rPr>
        <w:t>目  录</w:t>
      </w:r>
    </w:p>
    <w:p>
      <w:pPr>
        <w:pStyle w:val="19"/>
        <w:tabs>
          <w:tab w:val="right" w:leader="dot" w:pos="8306"/>
        </w:tabs>
      </w:pPr>
      <w:r>
        <w:rPr>
          <w:sz w:val="24"/>
          <w:szCs w:val="24"/>
        </w:rPr>
        <w:fldChar w:fldCharType="begin"/>
      </w:r>
      <w:r>
        <w:rPr>
          <w:sz w:val="24"/>
          <w:szCs w:val="24"/>
        </w:rPr>
        <w:instrText xml:space="preserve">TOC \o "1-2" \h \u </w:instrText>
      </w:r>
      <w:r>
        <w:rPr>
          <w:sz w:val="24"/>
          <w:szCs w:val="24"/>
        </w:rPr>
        <w:fldChar w:fldCharType="separate"/>
      </w:r>
      <w:r>
        <w:rPr>
          <w:szCs w:val="24"/>
        </w:rPr>
        <w:fldChar w:fldCharType="begin"/>
      </w:r>
      <w:r>
        <w:rPr>
          <w:szCs w:val="24"/>
        </w:rPr>
        <w:instrText xml:space="preserve"> HYPERLINK \l _Toc10097 </w:instrText>
      </w:r>
      <w:r>
        <w:rPr>
          <w:szCs w:val="24"/>
        </w:rPr>
        <w:fldChar w:fldCharType="separate"/>
      </w:r>
      <w:r>
        <w:rPr>
          <w:rFonts w:hint="eastAsia" w:ascii="宋体" w:hAnsi="宋体" w:cs="宋体"/>
        </w:rPr>
        <w:t>第一部分 竞争性磋商公告</w:t>
      </w:r>
      <w:r>
        <w:tab/>
      </w:r>
      <w:r>
        <w:fldChar w:fldCharType="begin"/>
      </w:r>
      <w:r>
        <w:instrText xml:space="preserve"> PAGEREF _Toc10097 \h </w:instrText>
      </w:r>
      <w:r>
        <w:fldChar w:fldCharType="separate"/>
      </w:r>
      <w:r>
        <w:t>3</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_Toc18647 </w:instrText>
      </w:r>
      <w:r>
        <w:rPr>
          <w:szCs w:val="24"/>
        </w:rPr>
        <w:fldChar w:fldCharType="separate"/>
      </w:r>
      <w:r>
        <w:rPr>
          <w:rFonts w:hint="eastAsia" w:ascii="宋体" w:hAnsi="宋体" w:cs="宋体"/>
        </w:rPr>
        <w:t>第二部分 供应商须知前附表</w:t>
      </w:r>
      <w:r>
        <w:tab/>
      </w:r>
      <w:r>
        <w:fldChar w:fldCharType="begin"/>
      </w:r>
      <w:r>
        <w:instrText xml:space="preserve"> PAGEREF _Toc18647 \h </w:instrText>
      </w:r>
      <w:r>
        <w:fldChar w:fldCharType="separate"/>
      </w:r>
      <w:r>
        <w:t>6</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_Toc5240 </w:instrText>
      </w:r>
      <w:r>
        <w:rPr>
          <w:szCs w:val="24"/>
        </w:rPr>
        <w:fldChar w:fldCharType="separate"/>
      </w:r>
      <w:r>
        <w:rPr>
          <w:rFonts w:hint="eastAsia" w:ascii="宋体" w:hAnsi="宋体" w:cs="宋体"/>
        </w:rPr>
        <w:t>第三部分 供应商须知</w:t>
      </w:r>
      <w:r>
        <w:tab/>
      </w:r>
      <w:r>
        <w:fldChar w:fldCharType="begin"/>
      </w:r>
      <w:r>
        <w:instrText xml:space="preserve"> PAGEREF _Toc5240 \h </w:instrText>
      </w:r>
      <w:r>
        <w:fldChar w:fldCharType="separate"/>
      </w:r>
      <w:r>
        <w:t>11</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_Toc5773 </w:instrText>
      </w:r>
      <w:r>
        <w:rPr>
          <w:szCs w:val="24"/>
        </w:rPr>
        <w:fldChar w:fldCharType="separate"/>
      </w:r>
      <w:r>
        <w:rPr>
          <w:rFonts w:hint="eastAsia" w:ascii="宋体" w:hAnsi="宋体" w:cs="Times New Roman"/>
          <w:bCs/>
          <w:kern w:val="0"/>
          <w:szCs w:val="28"/>
        </w:rPr>
        <w:t xml:space="preserve">一、 </w:t>
      </w:r>
      <w:r>
        <w:rPr>
          <w:rFonts w:hint="eastAsia" w:ascii="宋体" w:hAnsi="宋体" w:cs="宋体"/>
          <w:bCs/>
          <w:kern w:val="0"/>
          <w:szCs w:val="28"/>
        </w:rPr>
        <w:t>总则</w:t>
      </w:r>
      <w:r>
        <w:tab/>
      </w:r>
      <w:r>
        <w:fldChar w:fldCharType="begin"/>
      </w:r>
      <w:r>
        <w:instrText xml:space="preserve"> PAGEREF _Toc5773 \h </w:instrText>
      </w:r>
      <w:r>
        <w:fldChar w:fldCharType="separate"/>
      </w:r>
      <w:r>
        <w:t>11</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_Toc17426 </w:instrText>
      </w:r>
      <w:r>
        <w:rPr>
          <w:szCs w:val="24"/>
        </w:rPr>
        <w:fldChar w:fldCharType="separate"/>
      </w:r>
      <w:r>
        <w:rPr>
          <w:rFonts w:hint="eastAsia" w:ascii="宋体" w:hAnsi="宋体" w:cs="Times New Roman"/>
          <w:bCs/>
          <w:kern w:val="0"/>
          <w:szCs w:val="28"/>
        </w:rPr>
        <w:t xml:space="preserve">二、 </w:t>
      </w:r>
      <w:r>
        <w:rPr>
          <w:rFonts w:hint="eastAsia" w:ascii="宋体" w:hAnsi="宋体" w:cs="宋体"/>
          <w:bCs/>
          <w:kern w:val="0"/>
          <w:szCs w:val="28"/>
        </w:rPr>
        <w:t>竞争性磋商文件</w:t>
      </w:r>
      <w:r>
        <w:tab/>
      </w:r>
      <w:r>
        <w:fldChar w:fldCharType="begin"/>
      </w:r>
      <w:r>
        <w:instrText xml:space="preserve"> PAGEREF _Toc17426 \h </w:instrText>
      </w:r>
      <w:r>
        <w:fldChar w:fldCharType="separate"/>
      </w:r>
      <w:r>
        <w:t>15</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_Toc24128 </w:instrText>
      </w:r>
      <w:r>
        <w:rPr>
          <w:szCs w:val="24"/>
        </w:rPr>
        <w:fldChar w:fldCharType="separate"/>
      </w:r>
      <w:r>
        <w:rPr>
          <w:rFonts w:hint="eastAsia" w:ascii="宋体" w:hAnsi="宋体" w:cs="Times New Roman"/>
          <w:bCs/>
          <w:kern w:val="0"/>
          <w:szCs w:val="28"/>
        </w:rPr>
        <w:t xml:space="preserve">三、 </w:t>
      </w:r>
      <w:r>
        <w:rPr>
          <w:rFonts w:hint="eastAsia" w:ascii="宋体" w:hAnsi="宋体" w:cs="宋体"/>
          <w:bCs/>
          <w:kern w:val="0"/>
          <w:szCs w:val="28"/>
        </w:rPr>
        <w:t>磋商响应文件</w:t>
      </w:r>
      <w:r>
        <w:tab/>
      </w:r>
      <w:r>
        <w:fldChar w:fldCharType="begin"/>
      </w:r>
      <w:r>
        <w:instrText xml:space="preserve"> PAGEREF _Toc24128 \h </w:instrText>
      </w:r>
      <w:r>
        <w:fldChar w:fldCharType="separate"/>
      </w:r>
      <w:r>
        <w:t>17</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_Toc15468 </w:instrText>
      </w:r>
      <w:r>
        <w:rPr>
          <w:szCs w:val="24"/>
        </w:rPr>
        <w:fldChar w:fldCharType="separate"/>
      </w:r>
      <w:r>
        <w:rPr>
          <w:rFonts w:hint="eastAsia" w:ascii="宋体" w:hAnsi="宋体" w:cs="Times New Roman"/>
          <w:bCs/>
          <w:kern w:val="0"/>
          <w:szCs w:val="28"/>
        </w:rPr>
        <w:t xml:space="preserve">四、 </w:t>
      </w:r>
      <w:r>
        <w:rPr>
          <w:rFonts w:hint="eastAsia" w:ascii="宋体" w:hAnsi="宋体" w:cs="宋体"/>
          <w:bCs/>
          <w:kern w:val="0"/>
          <w:szCs w:val="28"/>
        </w:rPr>
        <w:t>磋商响应文件的递交</w:t>
      </w:r>
      <w:r>
        <w:tab/>
      </w:r>
      <w:r>
        <w:fldChar w:fldCharType="begin"/>
      </w:r>
      <w:r>
        <w:instrText xml:space="preserve"> PAGEREF _Toc15468 \h </w:instrText>
      </w:r>
      <w:r>
        <w:fldChar w:fldCharType="separate"/>
      </w:r>
      <w:r>
        <w:t>21</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_Toc27153 </w:instrText>
      </w:r>
      <w:r>
        <w:rPr>
          <w:szCs w:val="24"/>
        </w:rPr>
        <w:fldChar w:fldCharType="separate"/>
      </w:r>
      <w:r>
        <w:rPr>
          <w:rFonts w:hint="eastAsia" w:ascii="宋体" w:hAnsi="宋体" w:cs="Times New Roman"/>
          <w:bCs/>
          <w:kern w:val="0"/>
          <w:szCs w:val="28"/>
        </w:rPr>
        <w:t xml:space="preserve">五、 </w:t>
      </w:r>
      <w:r>
        <w:rPr>
          <w:rFonts w:hint="eastAsia" w:ascii="宋体" w:hAnsi="宋体" w:cs="宋体"/>
          <w:bCs/>
          <w:kern w:val="0"/>
          <w:szCs w:val="28"/>
        </w:rPr>
        <w:t>磋商、评审、定标</w:t>
      </w:r>
      <w:r>
        <w:tab/>
      </w:r>
      <w:r>
        <w:fldChar w:fldCharType="begin"/>
      </w:r>
      <w:r>
        <w:instrText xml:space="preserve"> PAGEREF _Toc27153 \h </w:instrText>
      </w:r>
      <w:r>
        <w:fldChar w:fldCharType="separate"/>
      </w:r>
      <w:r>
        <w:t>21</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_Toc7065 </w:instrText>
      </w:r>
      <w:r>
        <w:rPr>
          <w:szCs w:val="24"/>
        </w:rPr>
        <w:fldChar w:fldCharType="separate"/>
      </w:r>
      <w:r>
        <w:rPr>
          <w:rFonts w:hint="eastAsia" w:ascii="宋体" w:hAnsi="宋体" w:cs="Times New Roman"/>
          <w:bCs/>
          <w:kern w:val="0"/>
          <w:szCs w:val="28"/>
        </w:rPr>
        <w:t xml:space="preserve">六、 </w:t>
      </w:r>
      <w:r>
        <w:rPr>
          <w:rFonts w:hint="eastAsia" w:ascii="宋体" w:hAnsi="宋体" w:cs="宋体"/>
          <w:bCs/>
          <w:kern w:val="0"/>
          <w:szCs w:val="28"/>
        </w:rPr>
        <w:t>签订合同</w:t>
      </w:r>
      <w:r>
        <w:tab/>
      </w:r>
      <w:r>
        <w:fldChar w:fldCharType="begin"/>
      </w:r>
      <w:r>
        <w:instrText xml:space="preserve"> PAGEREF _Toc7065 \h </w:instrText>
      </w:r>
      <w:r>
        <w:fldChar w:fldCharType="separate"/>
      </w:r>
      <w:r>
        <w:t>25</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_Toc24264 </w:instrText>
      </w:r>
      <w:r>
        <w:rPr>
          <w:szCs w:val="24"/>
        </w:rPr>
        <w:fldChar w:fldCharType="separate"/>
      </w:r>
      <w:r>
        <w:rPr>
          <w:rFonts w:hint="eastAsia" w:ascii="宋体" w:hAnsi="宋体" w:cs="Times New Roman"/>
          <w:bCs/>
          <w:kern w:val="0"/>
          <w:szCs w:val="28"/>
        </w:rPr>
        <w:t xml:space="preserve">七、 </w:t>
      </w:r>
      <w:r>
        <w:rPr>
          <w:rFonts w:hint="eastAsia" w:ascii="宋体" w:hAnsi="宋体" w:cs="宋体"/>
          <w:bCs/>
          <w:kern w:val="0"/>
          <w:szCs w:val="28"/>
        </w:rPr>
        <w:t>代理服务费</w:t>
      </w:r>
      <w:r>
        <w:tab/>
      </w:r>
      <w:r>
        <w:fldChar w:fldCharType="begin"/>
      </w:r>
      <w:r>
        <w:instrText xml:space="preserve"> PAGEREF _Toc24264 \h </w:instrText>
      </w:r>
      <w:r>
        <w:fldChar w:fldCharType="separate"/>
      </w:r>
      <w:r>
        <w:t>25</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_Toc14419 </w:instrText>
      </w:r>
      <w:r>
        <w:rPr>
          <w:szCs w:val="24"/>
        </w:rPr>
        <w:fldChar w:fldCharType="separate"/>
      </w:r>
      <w:r>
        <w:rPr>
          <w:rFonts w:hint="eastAsia" w:ascii="宋体" w:hAnsi="宋体" w:cs="Times New Roman"/>
          <w:bCs/>
          <w:kern w:val="0"/>
          <w:szCs w:val="28"/>
        </w:rPr>
        <w:t xml:space="preserve">八、 </w:t>
      </w:r>
      <w:r>
        <w:rPr>
          <w:rFonts w:hint="eastAsia" w:ascii="宋体" w:hAnsi="宋体" w:cs="宋体"/>
          <w:bCs/>
          <w:kern w:val="0"/>
          <w:szCs w:val="28"/>
        </w:rPr>
        <w:t>质疑和投诉</w:t>
      </w:r>
      <w:r>
        <w:tab/>
      </w:r>
      <w:r>
        <w:fldChar w:fldCharType="begin"/>
      </w:r>
      <w:r>
        <w:instrText xml:space="preserve"> PAGEREF _Toc14419 \h </w:instrText>
      </w:r>
      <w:r>
        <w:fldChar w:fldCharType="separate"/>
      </w:r>
      <w:r>
        <w:t>25</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_Toc793 </w:instrText>
      </w:r>
      <w:r>
        <w:rPr>
          <w:szCs w:val="24"/>
        </w:rPr>
        <w:fldChar w:fldCharType="separate"/>
      </w:r>
      <w:r>
        <w:rPr>
          <w:rFonts w:hint="eastAsia"/>
        </w:rPr>
        <w:t>第四部分 评审标准</w:t>
      </w:r>
      <w:r>
        <w:tab/>
      </w:r>
      <w:r>
        <w:fldChar w:fldCharType="begin"/>
      </w:r>
      <w:r>
        <w:instrText xml:space="preserve"> PAGEREF _Toc793 \h </w:instrText>
      </w:r>
      <w:r>
        <w:fldChar w:fldCharType="separate"/>
      </w:r>
      <w:r>
        <w:t>27</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_Toc6786 </w:instrText>
      </w:r>
      <w:r>
        <w:rPr>
          <w:szCs w:val="24"/>
        </w:rPr>
        <w:fldChar w:fldCharType="separate"/>
      </w:r>
      <w:r>
        <w:rPr>
          <w:rFonts w:ascii="宋体" w:hAnsi="宋体" w:cs="宋体"/>
        </w:rPr>
        <w:t>第五部</w:t>
      </w:r>
      <w:r>
        <w:rPr>
          <w:rFonts w:hint="eastAsia" w:ascii="宋体" w:hAnsi="宋体" w:cs="宋体"/>
        </w:rPr>
        <w:t>分 采购要求</w:t>
      </w:r>
      <w:r>
        <w:tab/>
      </w:r>
      <w:r>
        <w:fldChar w:fldCharType="begin"/>
      </w:r>
      <w:r>
        <w:instrText xml:space="preserve"> PAGEREF _Toc6786 \h </w:instrText>
      </w:r>
      <w:r>
        <w:fldChar w:fldCharType="separate"/>
      </w:r>
      <w:r>
        <w:t>31</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_Toc13124 </w:instrText>
      </w:r>
      <w:r>
        <w:rPr>
          <w:szCs w:val="24"/>
        </w:rPr>
        <w:fldChar w:fldCharType="separate"/>
      </w:r>
      <w:r>
        <w:rPr>
          <w:rFonts w:hint="eastAsia"/>
        </w:rPr>
        <w:t xml:space="preserve">第六部分 </w:t>
      </w:r>
      <w:r>
        <w:t>合同专用条款</w:t>
      </w:r>
      <w:r>
        <w:tab/>
      </w:r>
      <w:r>
        <w:fldChar w:fldCharType="begin"/>
      </w:r>
      <w:r>
        <w:instrText xml:space="preserve"> PAGEREF _Toc13124 \h </w:instrText>
      </w:r>
      <w:r>
        <w:fldChar w:fldCharType="separate"/>
      </w:r>
      <w:r>
        <w:t>43</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_Toc14713 </w:instrText>
      </w:r>
      <w:r>
        <w:rPr>
          <w:szCs w:val="24"/>
        </w:rPr>
        <w:fldChar w:fldCharType="separate"/>
      </w:r>
      <w:r>
        <w:rPr>
          <w:rFonts w:hint="eastAsia" w:ascii="宋体" w:hAnsi="宋体" w:cs="宋体"/>
        </w:rPr>
        <w:t>第七部分 磋商响应文件格式</w:t>
      </w:r>
      <w:r>
        <w:tab/>
      </w:r>
      <w:r>
        <w:fldChar w:fldCharType="begin"/>
      </w:r>
      <w:r>
        <w:instrText xml:space="preserve"> PAGEREF _Toc14713 \h </w:instrText>
      </w:r>
      <w:r>
        <w:fldChar w:fldCharType="separate"/>
      </w:r>
      <w:r>
        <w:t>51</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_Toc11547 </w:instrText>
      </w:r>
      <w:r>
        <w:rPr>
          <w:szCs w:val="24"/>
        </w:rPr>
        <w:fldChar w:fldCharType="separate"/>
      </w:r>
      <w:r>
        <w:rPr>
          <w:rFonts w:hint="eastAsia"/>
        </w:rPr>
        <w:t>第一章  响应函</w:t>
      </w:r>
      <w:r>
        <w:tab/>
      </w:r>
      <w:r>
        <w:fldChar w:fldCharType="begin"/>
      </w:r>
      <w:r>
        <w:instrText xml:space="preserve"> PAGEREF _Toc11547 \h </w:instrText>
      </w:r>
      <w:r>
        <w:fldChar w:fldCharType="separate"/>
      </w:r>
      <w:r>
        <w:t>53</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_Toc6242 </w:instrText>
      </w:r>
      <w:r>
        <w:rPr>
          <w:szCs w:val="24"/>
        </w:rPr>
        <w:fldChar w:fldCharType="separate"/>
      </w:r>
      <w:r>
        <w:rPr>
          <w:rFonts w:hint="eastAsia" w:ascii="宋体" w:hAnsi="宋体" w:cs="宋体"/>
        </w:rPr>
        <w:t>第二</w:t>
      </w:r>
      <w:r>
        <w:rPr>
          <w:rFonts w:hint="eastAsia"/>
        </w:rPr>
        <w:t xml:space="preserve">章  </w:t>
      </w:r>
      <w:r>
        <w:rPr>
          <w:rFonts w:hint="eastAsia" w:ascii="宋体" w:hAnsi="宋体" w:cs="宋体"/>
        </w:rPr>
        <w:t>磋商一览表</w:t>
      </w:r>
      <w:r>
        <w:tab/>
      </w:r>
      <w:r>
        <w:fldChar w:fldCharType="begin"/>
      </w:r>
      <w:r>
        <w:instrText xml:space="preserve"> PAGEREF _Toc6242 \h </w:instrText>
      </w:r>
      <w:r>
        <w:fldChar w:fldCharType="separate"/>
      </w:r>
      <w:r>
        <w:t>54</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_Toc14651 </w:instrText>
      </w:r>
      <w:r>
        <w:rPr>
          <w:szCs w:val="24"/>
        </w:rPr>
        <w:fldChar w:fldCharType="separate"/>
      </w:r>
      <w:r>
        <w:rPr>
          <w:rFonts w:hint="eastAsia"/>
        </w:rPr>
        <w:t>第</w:t>
      </w:r>
      <w:r>
        <w:rPr>
          <w:rFonts w:hint="eastAsia"/>
          <w:lang w:eastAsia="zh-CN"/>
        </w:rPr>
        <w:t>三</w:t>
      </w:r>
      <w:r>
        <w:rPr>
          <w:rFonts w:hint="eastAsia"/>
        </w:rPr>
        <w:t>章</w:t>
      </w:r>
      <w:r>
        <w:rPr>
          <w:rFonts w:hint="eastAsia"/>
          <w:lang w:val="en-US" w:eastAsia="zh-CN"/>
        </w:rPr>
        <w:t xml:space="preserve"> </w:t>
      </w:r>
      <w:r>
        <w:rPr>
          <w:rFonts w:hint="eastAsia"/>
        </w:rPr>
        <w:t xml:space="preserve"> </w:t>
      </w:r>
      <w:r>
        <w:rPr>
          <w:rFonts w:hint="eastAsia"/>
          <w:lang w:val="en-US" w:eastAsia="zh-CN"/>
        </w:rPr>
        <w:t>工程量清单报价表</w:t>
      </w:r>
      <w:r>
        <w:tab/>
      </w:r>
      <w:r>
        <w:fldChar w:fldCharType="begin"/>
      </w:r>
      <w:r>
        <w:instrText xml:space="preserve"> PAGEREF _Toc14651 \h </w:instrText>
      </w:r>
      <w:r>
        <w:fldChar w:fldCharType="separate"/>
      </w:r>
      <w:r>
        <w:t>55</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_Toc20247 </w:instrText>
      </w:r>
      <w:r>
        <w:rPr>
          <w:szCs w:val="24"/>
        </w:rPr>
        <w:fldChar w:fldCharType="separate"/>
      </w:r>
      <w:r>
        <w:rPr>
          <w:rFonts w:hint="eastAsia"/>
          <w:szCs w:val="32"/>
        </w:rPr>
        <w:t>第</w:t>
      </w:r>
      <w:r>
        <w:rPr>
          <w:rFonts w:hint="eastAsia"/>
          <w:szCs w:val="32"/>
          <w:lang w:val="en-US" w:eastAsia="zh-CN"/>
        </w:rPr>
        <w:t>四</w:t>
      </w:r>
      <w:r>
        <w:rPr>
          <w:rFonts w:hint="eastAsia"/>
          <w:szCs w:val="32"/>
        </w:rPr>
        <w:t>章  磋商保证金</w:t>
      </w:r>
      <w:r>
        <w:tab/>
      </w:r>
      <w:r>
        <w:fldChar w:fldCharType="begin"/>
      </w:r>
      <w:r>
        <w:instrText xml:space="preserve"> PAGEREF _Toc20247 \h </w:instrText>
      </w:r>
      <w:r>
        <w:fldChar w:fldCharType="separate"/>
      </w:r>
      <w:r>
        <w:t>58</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_Toc763 </w:instrText>
      </w:r>
      <w:r>
        <w:rPr>
          <w:szCs w:val="24"/>
        </w:rPr>
        <w:fldChar w:fldCharType="separate"/>
      </w:r>
      <w:r>
        <w:rPr>
          <w:rFonts w:hint="eastAsia"/>
        </w:rPr>
        <w:t>第</w:t>
      </w:r>
      <w:r>
        <w:rPr>
          <w:rFonts w:hint="eastAsia"/>
          <w:lang w:val="en-US" w:eastAsia="zh-CN"/>
        </w:rPr>
        <w:t>五</w:t>
      </w:r>
      <w:r>
        <w:rPr>
          <w:rFonts w:hint="eastAsia"/>
        </w:rPr>
        <w:t>章  供应商资质证明资料</w:t>
      </w:r>
      <w:r>
        <w:tab/>
      </w:r>
      <w:r>
        <w:fldChar w:fldCharType="begin"/>
      </w:r>
      <w:r>
        <w:instrText xml:space="preserve"> PAGEREF _Toc763 \h </w:instrText>
      </w:r>
      <w:r>
        <w:fldChar w:fldCharType="separate"/>
      </w:r>
      <w:r>
        <w:t>59</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_Toc10967 </w:instrText>
      </w:r>
      <w:r>
        <w:rPr>
          <w:szCs w:val="24"/>
        </w:rPr>
        <w:fldChar w:fldCharType="separate"/>
      </w:r>
      <w:r>
        <w:rPr>
          <w:rFonts w:hint="eastAsia"/>
        </w:rPr>
        <w:t>第六章  商务和技术响应偏离表</w:t>
      </w:r>
      <w:r>
        <w:tab/>
      </w:r>
      <w:r>
        <w:fldChar w:fldCharType="begin"/>
      </w:r>
      <w:r>
        <w:instrText xml:space="preserve"> PAGEREF _Toc10967 \h </w:instrText>
      </w:r>
      <w:r>
        <w:fldChar w:fldCharType="separate"/>
      </w:r>
      <w:r>
        <w:t>67</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_Toc15581 </w:instrText>
      </w:r>
      <w:r>
        <w:rPr>
          <w:szCs w:val="24"/>
        </w:rPr>
        <w:fldChar w:fldCharType="separate"/>
      </w:r>
      <w:r>
        <w:rPr>
          <w:rFonts w:hint="eastAsia" w:asciiTheme="minorEastAsia" w:hAnsiTheme="minorEastAsia" w:eastAsiaTheme="minorEastAsia" w:cstheme="minorEastAsia"/>
          <w:szCs w:val="36"/>
        </w:rPr>
        <w:t>第</w:t>
      </w:r>
      <w:r>
        <w:rPr>
          <w:rFonts w:hint="eastAsia" w:asciiTheme="minorEastAsia" w:hAnsiTheme="minorEastAsia" w:eastAsiaTheme="minorEastAsia" w:cstheme="minorEastAsia"/>
          <w:szCs w:val="36"/>
          <w:lang w:val="en-US" w:eastAsia="zh-CN"/>
        </w:rPr>
        <w:t>七</w:t>
      </w:r>
      <w:r>
        <w:rPr>
          <w:rFonts w:hint="eastAsia" w:asciiTheme="minorEastAsia" w:hAnsiTheme="minorEastAsia" w:eastAsiaTheme="minorEastAsia" w:cstheme="minorEastAsia"/>
          <w:szCs w:val="36"/>
        </w:rPr>
        <w:t>章  施工组织方案</w:t>
      </w:r>
      <w:r>
        <w:tab/>
      </w:r>
      <w:r>
        <w:fldChar w:fldCharType="begin"/>
      </w:r>
      <w:r>
        <w:instrText xml:space="preserve"> PAGEREF _Toc15581 \h </w:instrText>
      </w:r>
      <w:r>
        <w:fldChar w:fldCharType="separate"/>
      </w:r>
      <w:r>
        <w:t>69</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_Toc11628 </w:instrText>
      </w:r>
      <w:r>
        <w:rPr>
          <w:szCs w:val="24"/>
        </w:rPr>
        <w:fldChar w:fldCharType="separate"/>
      </w:r>
      <w:r>
        <w:rPr>
          <w:rFonts w:hint="eastAsia"/>
          <w:lang w:val="en-US" w:eastAsia="zh-CN"/>
        </w:rPr>
        <w:t>第八章</w:t>
      </w:r>
      <w:r>
        <w:rPr>
          <w:rFonts w:hint="eastAsia"/>
        </w:rPr>
        <w:t xml:space="preserve"> 主要设备</w:t>
      </w:r>
      <w:r>
        <w:rPr>
          <w:rFonts w:hint="eastAsia"/>
          <w:lang w:val="en-US" w:eastAsia="zh-CN"/>
        </w:rPr>
        <w:t>技术支持资料</w:t>
      </w:r>
      <w:r>
        <w:tab/>
      </w:r>
      <w:r>
        <w:fldChar w:fldCharType="begin"/>
      </w:r>
      <w:r>
        <w:instrText xml:space="preserve"> PAGEREF _Toc11628 \h </w:instrText>
      </w:r>
      <w:r>
        <w:fldChar w:fldCharType="separate"/>
      </w:r>
      <w:r>
        <w:t>70</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_Toc23945 </w:instrText>
      </w:r>
      <w:r>
        <w:rPr>
          <w:szCs w:val="24"/>
        </w:rPr>
        <w:fldChar w:fldCharType="separate"/>
      </w:r>
      <w:r>
        <w:rPr>
          <w:rFonts w:hint="eastAsia"/>
          <w:lang w:val="en-US" w:eastAsia="zh-CN"/>
        </w:rPr>
        <w:t xml:space="preserve">第九章 </w:t>
      </w:r>
      <w:r>
        <w:rPr>
          <w:rFonts w:hint="eastAsia"/>
        </w:rPr>
        <w:t>供应商业绩一览表</w:t>
      </w:r>
      <w:r>
        <w:tab/>
      </w:r>
      <w:r>
        <w:fldChar w:fldCharType="begin"/>
      </w:r>
      <w:r>
        <w:instrText xml:space="preserve"> PAGEREF _Toc23945 \h </w:instrText>
      </w:r>
      <w:r>
        <w:fldChar w:fldCharType="separate"/>
      </w:r>
      <w:r>
        <w:t>71</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_Toc24982 </w:instrText>
      </w:r>
      <w:r>
        <w:rPr>
          <w:szCs w:val="24"/>
        </w:rPr>
        <w:fldChar w:fldCharType="separate"/>
      </w:r>
      <w:r>
        <w:rPr>
          <w:rFonts w:hint="eastAsia"/>
        </w:rPr>
        <w:t>第十章  供应商认为有必要说明的其他问题</w:t>
      </w:r>
      <w:r>
        <w:tab/>
      </w:r>
      <w:r>
        <w:fldChar w:fldCharType="begin"/>
      </w:r>
      <w:r>
        <w:instrText xml:space="preserve"> PAGEREF _Toc24982 \h </w:instrText>
      </w:r>
      <w:r>
        <w:fldChar w:fldCharType="separate"/>
      </w:r>
      <w:r>
        <w:t>72</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_Toc17413 </w:instrText>
      </w:r>
      <w:r>
        <w:rPr>
          <w:szCs w:val="24"/>
        </w:rPr>
        <w:fldChar w:fldCharType="separate"/>
      </w:r>
      <w:r>
        <w:rPr>
          <w:rFonts w:hint="eastAsia" w:asciiTheme="minorEastAsia" w:hAnsiTheme="minorEastAsia" w:eastAsiaTheme="minorEastAsia" w:cstheme="minorEastAsia"/>
        </w:rPr>
        <w:t>第十</w:t>
      </w: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 xml:space="preserve">章  </w:t>
      </w:r>
      <w:r>
        <w:rPr>
          <w:rFonts w:hint="eastAsia"/>
          <w:szCs w:val="30"/>
        </w:rPr>
        <w:t>供应商承诺书</w:t>
      </w:r>
      <w:r>
        <w:tab/>
      </w:r>
      <w:r>
        <w:fldChar w:fldCharType="begin"/>
      </w:r>
      <w:r>
        <w:instrText xml:space="preserve"> PAGEREF _Toc17413 \h </w:instrText>
      </w:r>
      <w:r>
        <w:fldChar w:fldCharType="separate"/>
      </w:r>
      <w:r>
        <w:t>73</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_Toc8370 </w:instrText>
      </w:r>
      <w:r>
        <w:rPr>
          <w:szCs w:val="24"/>
        </w:rPr>
        <w:fldChar w:fldCharType="separate"/>
      </w:r>
      <w:r>
        <w:rPr>
          <w:rFonts w:hint="eastAsia" w:ascii="宋体" w:hAnsi="宋体" w:cs="宋体"/>
        </w:rPr>
        <w:t>附件一：封袋正面标识式样</w:t>
      </w:r>
      <w:r>
        <w:tab/>
      </w:r>
      <w:r>
        <w:fldChar w:fldCharType="begin"/>
      </w:r>
      <w:r>
        <w:instrText xml:space="preserve"> PAGEREF _Toc8370 \h </w:instrText>
      </w:r>
      <w:r>
        <w:fldChar w:fldCharType="separate"/>
      </w:r>
      <w:r>
        <w:t>76</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_Toc2221 </w:instrText>
      </w:r>
      <w:r>
        <w:rPr>
          <w:szCs w:val="24"/>
        </w:rPr>
        <w:fldChar w:fldCharType="separate"/>
      </w:r>
      <w:r>
        <w:rPr>
          <w:rFonts w:hint="eastAsia" w:ascii="宋体" w:hAnsi="宋体" w:cs="宋体"/>
        </w:rPr>
        <w:t>附件二、中小企业申明</w:t>
      </w:r>
      <w:r>
        <w:tab/>
      </w:r>
      <w:r>
        <w:fldChar w:fldCharType="begin"/>
      </w:r>
      <w:r>
        <w:instrText xml:space="preserve"> PAGEREF _Toc2221 \h </w:instrText>
      </w:r>
      <w:r>
        <w:fldChar w:fldCharType="separate"/>
      </w:r>
      <w:r>
        <w:t>78</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_Toc30947 </w:instrText>
      </w:r>
      <w:r>
        <w:rPr>
          <w:szCs w:val="24"/>
        </w:rPr>
        <w:fldChar w:fldCharType="separate"/>
      </w:r>
      <w:r>
        <w:rPr>
          <w:rFonts w:hint="eastAsia"/>
        </w:rPr>
        <w:t>附件三、残疾人福利性单位声明</w:t>
      </w:r>
      <w:r>
        <w:tab/>
      </w:r>
      <w:r>
        <w:fldChar w:fldCharType="begin"/>
      </w:r>
      <w:r>
        <w:instrText xml:space="preserve"> PAGEREF _Toc30947 \h </w:instrText>
      </w:r>
      <w:r>
        <w:fldChar w:fldCharType="separate"/>
      </w:r>
      <w:r>
        <w:t>79</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_Toc2363 </w:instrText>
      </w:r>
      <w:r>
        <w:rPr>
          <w:szCs w:val="24"/>
        </w:rPr>
        <w:fldChar w:fldCharType="separate"/>
      </w:r>
      <w:r>
        <w:rPr>
          <w:rFonts w:hint="eastAsia"/>
        </w:rPr>
        <w:t>附件四、监狱企业证明文件</w:t>
      </w:r>
      <w:r>
        <w:tab/>
      </w:r>
      <w:r>
        <w:fldChar w:fldCharType="begin"/>
      </w:r>
      <w:r>
        <w:instrText xml:space="preserve"> PAGEREF _Toc2363 \h </w:instrText>
      </w:r>
      <w:r>
        <w:fldChar w:fldCharType="separate"/>
      </w:r>
      <w:r>
        <w:t>80</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_Toc26872 </w:instrText>
      </w:r>
      <w:r>
        <w:rPr>
          <w:szCs w:val="24"/>
        </w:rPr>
        <w:fldChar w:fldCharType="separate"/>
      </w:r>
      <w:r>
        <w:rPr>
          <w:rFonts w:hint="eastAsia" w:ascii="宋体" w:hAnsi="宋体" w:cs="宋体"/>
        </w:rPr>
        <w:t>附件五、“节能产品”，“环境标志产品”证明材料</w:t>
      </w:r>
      <w:r>
        <w:tab/>
      </w:r>
      <w:r>
        <w:fldChar w:fldCharType="begin"/>
      </w:r>
      <w:r>
        <w:instrText xml:space="preserve"> PAGEREF _Toc26872 \h </w:instrText>
      </w:r>
      <w:r>
        <w:fldChar w:fldCharType="separate"/>
      </w:r>
      <w:r>
        <w:t>81</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_Toc15461 </w:instrText>
      </w:r>
      <w:r>
        <w:rPr>
          <w:szCs w:val="24"/>
        </w:rPr>
        <w:fldChar w:fldCharType="separate"/>
      </w:r>
      <w:r>
        <w:rPr>
          <w:rFonts w:hint="eastAsia"/>
        </w:rPr>
        <w:t>附件六、质疑函范本</w:t>
      </w:r>
      <w:r>
        <w:tab/>
      </w:r>
      <w:r>
        <w:fldChar w:fldCharType="begin"/>
      </w:r>
      <w:r>
        <w:instrText xml:space="preserve"> PAGEREF _Toc15461 \h </w:instrText>
      </w:r>
      <w:r>
        <w:fldChar w:fldCharType="separate"/>
      </w:r>
      <w:r>
        <w:t>82</w:t>
      </w:r>
      <w:r>
        <w:fldChar w:fldCharType="end"/>
      </w:r>
      <w:r>
        <w:rPr>
          <w:szCs w:val="24"/>
        </w:rPr>
        <w:fldChar w:fldCharType="end"/>
      </w:r>
    </w:p>
    <w:p>
      <w:pPr>
        <w:pStyle w:val="20"/>
        <w:tabs>
          <w:tab w:val="right" w:leader="dot" w:pos="8306"/>
        </w:tabs>
      </w:pPr>
      <w:r>
        <w:rPr>
          <w:szCs w:val="24"/>
        </w:rPr>
        <w:fldChar w:fldCharType="begin"/>
      </w:r>
      <w:r>
        <w:rPr>
          <w:szCs w:val="24"/>
        </w:rPr>
        <w:instrText xml:space="preserve"> HYPERLINK \l _Toc15205 </w:instrText>
      </w:r>
      <w:r>
        <w:rPr>
          <w:szCs w:val="24"/>
        </w:rPr>
        <w:fldChar w:fldCharType="separate"/>
      </w:r>
      <w:r>
        <w:rPr>
          <w:rFonts w:hint="eastAsia" w:ascii="宋体" w:hAnsi="宋体" w:cs="宋体"/>
        </w:rPr>
        <w:t>附件七：保证金退还账户信息确认表</w:t>
      </w:r>
      <w:r>
        <w:tab/>
      </w:r>
      <w:r>
        <w:fldChar w:fldCharType="begin"/>
      </w:r>
      <w:r>
        <w:instrText xml:space="preserve"> PAGEREF _Toc15205 \h </w:instrText>
      </w:r>
      <w:r>
        <w:fldChar w:fldCharType="separate"/>
      </w:r>
      <w:r>
        <w:t>84</w:t>
      </w:r>
      <w:r>
        <w:fldChar w:fldCharType="end"/>
      </w:r>
      <w:r>
        <w:rPr>
          <w:szCs w:val="24"/>
        </w:rPr>
        <w:fldChar w:fldCharType="end"/>
      </w:r>
    </w:p>
    <w:p>
      <w:pPr>
        <w:rPr>
          <w:sz w:val="24"/>
          <w:szCs w:val="24"/>
        </w:rPr>
        <w:sectPr>
          <w:footerReference r:id="rId6" w:type="default"/>
          <w:pgSz w:w="11906" w:h="16838"/>
          <w:pgMar w:top="1440" w:right="1800" w:bottom="1440" w:left="1800" w:header="851" w:footer="992" w:gutter="0"/>
          <w:cols w:space="720" w:num="1"/>
          <w:docGrid w:type="lines" w:linePitch="312" w:charSpace="0"/>
        </w:sectPr>
      </w:pPr>
      <w:r>
        <w:rPr>
          <w:szCs w:val="24"/>
        </w:rPr>
        <w:fldChar w:fldCharType="end"/>
      </w:r>
    </w:p>
    <w:p>
      <w:pPr>
        <w:pStyle w:val="3"/>
        <w:rPr>
          <w:rFonts w:ascii="宋体" w:hAnsi="宋体" w:cs="宋体"/>
        </w:rPr>
      </w:pPr>
      <w:bookmarkStart w:id="1" w:name="_Toc26575"/>
      <w:bookmarkStart w:id="2" w:name="_Toc27507"/>
      <w:bookmarkStart w:id="3" w:name="_Toc10097"/>
      <w:bookmarkStart w:id="4" w:name="_Toc27511"/>
      <w:r>
        <w:rPr>
          <w:rFonts w:hint="eastAsia" w:ascii="宋体" w:hAnsi="宋体" w:cs="宋体"/>
        </w:rPr>
        <w:t>第一部分 竞争性磋商公告</w:t>
      </w:r>
      <w:bookmarkEnd w:id="1"/>
      <w:bookmarkEnd w:id="2"/>
      <w:bookmarkEnd w:id="3"/>
      <w:bookmarkEnd w:id="4"/>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陕西万泽招标有限公司受西安医学院的委托，经政府采购管理部门批准，就</w:t>
      </w:r>
      <w:r>
        <w:rPr>
          <w:rFonts w:hint="eastAsia" w:ascii="宋体" w:hAnsi="宋体" w:cs="宋体"/>
          <w:kern w:val="0"/>
          <w:sz w:val="24"/>
          <w:szCs w:val="24"/>
          <w:lang w:eastAsia="zh-CN"/>
        </w:rPr>
        <w:t>西安医学院未央校区汽车充电桩安装工程项目</w:t>
      </w:r>
      <w:r>
        <w:rPr>
          <w:rFonts w:hint="eastAsia" w:ascii="宋体" w:hAnsi="宋体" w:cs="宋体"/>
          <w:kern w:val="0"/>
          <w:sz w:val="24"/>
          <w:szCs w:val="24"/>
          <w:lang w:val="en-US" w:eastAsia="zh-CN"/>
        </w:rPr>
        <w:t>（四次）</w:t>
      </w:r>
      <w:r>
        <w:rPr>
          <w:rFonts w:hint="eastAsia" w:ascii="宋体" w:hAnsi="宋体" w:cs="宋体"/>
          <w:kern w:val="0"/>
          <w:sz w:val="24"/>
          <w:szCs w:val="24"/>
        </w:rPr>
        <w:t>进行竞争性磋商，欢迎符合资格条件的、有能力提供本次项目所需货物</w:t>
      </w:r>
      <w:r>
        <w:rPr>
          <w:rFonts w:hint="eastAsia" w:ascii="宋体" w:hAnsi="宋体" w:cs="宋体"/>
          <w:kern w:val="0"/>
          <w:sz w:val="24"/>
          <w:szCs w:val="24"/>
          <w:lang w:eastAsia="zh-CN"/>
        </w:rPr>
        <w:t>、</w:t>
      </w:r>
      <w:r>
        <w:rPr>
          <w:rFonts w:hint="eastAsia" w:ascii="宋体" w:hAnsi="宋体" w:cs="宋体"/>
          <w:kern w:val="0"/>
          <w:sz w:val="24"/>
          <w:szCs w:val="24"/>
        </w:rPr>
        <w:t>服务</w:t>
      </w:r>
      <w:r>
        <w:rPr>
          <w:rFonts w:hint="eastAsia" w:asciiTheme="minorEastAsia" w:hAnsiTheme="minorEastAsia" w:cstheme="minorEastAsia"/>
          <w:kern w:val="0"/>
          <w:sz w:val="24"/>
          <w:szCs w:val="24"/>
        </w:rPr>
        <w:t>或工程</w:t>
      </w:r>
      <w:r>
        <w:rPr>
          <w:rFonts w:hint="eastAsia" w:ascii="宋体" w:hAnsi="宋体" w:cs="宋体"/>
          <w:kern w:val="0"/>
          <w:sz w:val="24"/>
          <w:szCs w:val="24"/>
        </w:rPr>
        <w:t>的</w:t>
      </w:r>
      <w:r>
        <w:rPr>
          <w:rFonts w:hint="eastAsia" w:ascii="宋体" w:hAnsi="宋体" w:cs="宋体"/>
          <w:kern w:val="0"/>
          <w:sz w:val="24"/>
          <w:szCs w:val="24"/>
          <w:lang w:val="en-US" w:eastAsia="zh-CN"/>
        </w:rPr>
        <w:t>供应商</w:t>
      </w:r>
      <w:r>
        <w:rPr>
          <w:rFonts w:hint="eastAsia" w:ascii="宋体" w:hAnsi="宋体" w:cs="宋体"/>
          <w:kern w:val="0"/>
          <w:sz w:val="24"/>
          <w:szCs w:val="24"/>
        </w:rPr>
        <w:t>参加磋商。</w:t>
      </w:r>
    </w:p>
    <w:p>
      <w:pPr>
        <w:widowControl/>
        <w:numPr>
          <w:ilvl w:val="0"/>
          <w:numId w:val="2"/>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西安医学院未央校区汽车充电桩安装工程项目</w:t>
      </w:r>
      <w:r>
        <w:rPr>
          <w:rFonts w:hint="eastAsia" w:ascii="宋体" w:hAnsi="宋体" w:cs="宋体"/>
          <w:kern w:val="0"/>
          <w:sz w:val="24"/>
          <w:szCs w:val="24"/>
          <w:lang w:val="en-US" w:eastAsia="zh-CN"/>
        </w:rPr>
        <w:t>（四次）</w:t>
      </w:r>
    </w:p>
    <w:p>
      <w:pPr>
        <w:widowControl/>
        <w:numPr>
          <w:ilvl w:val="0"/>
          <w:numId w:val="2"/>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w:t>
      </w:r>
      <w:r>
        <w:rPr>
          <w:rFonts w:hint="eastAsia" w:ascii="宋体" w:hAnsi="宋体" w:cs="宋体"/>
          <w:kern w:val="0"/>
          <w:sz w:val="24"/>
          <w:szCs w:val="24"/>
          <w:lang w:eastAsia="zh-CN"/>
        </w:rPr>
        <w:t>SXWZ2023ZB-YXY-055R</w:t>
      </w:r>
    </w:p>
    <w:p>
      <w:pPr>
        <w:widowControl/>
        <w:numPr>
          <w:ilvl w:val="0"/>
          <w:numId w:val="2"/>
        </w:numPr>
        <w:wordWrap w:val="0"/>
        <w:snapToGrid w:val="0"/>
        <w:spacing w:line="360" w:lineRule="auto"/>
        <w:ind w:firstLine="480" w:firstLineChars="200"/>
        <w:jc w:val="left"/>
        <w:rPr>
          <w:rFonts w:ascii="宋体" w:hAnsi="宋体" w:cs="宋体"/>
          <w:kern w:val="0"/>
          <w:sz w:val="24"/>
          <w:szCs w:val="24"/>
        </w:rPr>
      </w:pPr>
      <w:bookmarkStart w:id="5" w:name="OLE_LINK2"/>
      <w:r>
        <w:rPr>
          <w:rFonts w:hint="eastAsia" w:ascii="宋体" w:hAnsi="宋体" w:cs="宋体"/>
          <w:kern w:val="0"/>
          <w:sz w:val="24"/>
          <w:szCs w:val="24"/>
        </w:rPr>
        <w:t>采购人名称：西安医学院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址：西安市未央区辛王路1号</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联系方式：029-86177468</w:t>
      </w:r>
    </w:p>
    <w:bookmarkEnd w:id="5"/>
    <w:p>
      <w:pPr>
        <w:widowControl/>
        <w:numPr>
          <w:ilvl w:val="0"/>
          <w:numId w:val="2"/>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采购代理机构名称：陕西万泽招标有限公司</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址：西安市莲湖区西关正街英达大厦1507室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采购内容和要求：</w:t>
      </w:r>
    </w:p>
    <w:p>
      <w:pPr>
        <w:pStyle w:val="7"/>
        <w:spacing w:line="360" w:lineRule="auto"/>
        <w:ind w:left="958" w:leftChars="456" w:firstLine="0"/>
        <w:rPr>
          <w:rFonts w:hint="eastAsia" w:ascii="宋体" w:hAnsi="宋体" w:cs="宋体"/>
          <w:kern w:val="0"/>
          <w:sz w:val="24"/>
          <w:szCs w:val="24"/>
          <w:lang w:eastAsia="zh-CN"/>
        </w:rPr>
      </w:pPr>
      <w:r>
        <w:rPr>
          <w:rFonts w:hint="eastAsia" w:ascii="宋体" w:hAnsi="宋体" w:cs="宋体"/>
          <w:kern w:val="0"/>
          <w:sz w:val="24"/>
          <w:szCs w:val="24"/>
        </w:rPr>
        <w:t>采购内容：</w:t>
      </w:r>
      <w:r>
        <w:rPr>
          <w:rFonts w:hint="eastAsia" w:ascii="宋体" w:hAnsi="宋体" w:cs="宋体"/>
          <w:kern w:val="0"/>
          <w:sz w:val="24"/>
          <w:szCs w:val="24"/>
          <w:lang w:eastAsia="zh-CN"/>
        </w:rPr>
        <w:t>未央校区汽车充电桩安装工程</w:t>
      </w:r>
    </w:p>
    <w:p>
      <w:pPr>
        <w:pStyle w:val="7"/>
        <w:spacing w:line="360" w:lineRule="auto"/>
        <w:ind w:left="958" w:leftChars="456" w:firstLine="0"/>
        <w:rPr>
          <w:rFonts w:ascii="宋体" w:hAnsi="宋体" w:cs="宋体"/>
          <w:sz w:val="24"/>
          <w:szCs w:val="24"/>
        </w:rPr>
      </w:pPr>
      <w:r>
        <w:rPr>
          <w:rFonts w:hint="eastAsia" w:ascii="宋体" w:hAnsi="宋体" w:cs="宋体"/>
          <w:kern w:val="0"/>
          <w:sz w:val="24"/>
          <w:szCs w:val="24"/>
        </w:rPr>
        <w:t>项目预算：</w:t>
      </w:r>
      <w:r>
        <w:rPr>
          <w:rFonts w:hint="eastAsia" w:ascii="宋体" w:hAnsi="宋体" w:cs="宋体"/>
          <w:sz w:val="24"/>
          <w:szCs w:val="24"/>
          <w:lang w:val="en-US" w:eastAsia="zh-CN"/>
        </w:rPr>
        <w:t>78</w:t>
      </w:r>
      <w:r>
        <w:rPr>
          <w:rFonts w:hint="eastAsia" w:ascii="宋体" w:hAnsi="宋体" w:cs="宋体"/>
          <w:sz w:val="24"/>
          <w:szCs w:val="24"/>
        </w:rPr>
        <w:t>0000.00元</w:t>
      </w:r>
    </w:p>
    <w:p>
      <w:pPr>
        <w:pStyle w:val="7"/>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17"/>
        <w:ind w:firstLine="960" w:firstLineChars="400"/>
      </w:pPr>
      <w:r>
        <w:rPr>
          <w:rFonts w:hint="eastAsia" w:ascii="宋体" w:hAnsi="宋体" w:cs="宋体"/>
          <w:sz w:val="24"/>
          <w:szCs w:val="24"/>
        </w:rPr>
        <w:t>项目性质：财政资金</w:t>
      </w:r>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供应商资质要求：</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3"/>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w:t>
      </w:r>
      <w:r>
        <w:rPr>
          <w:rFonts w:hint="eastAsia" w:ascii="宋体" w:hAnsi="宋体" w:cs="宋体"/>
          <w:bCs/>
          <w:kern w:val="0"/>
          <w:sz w:val="24"/>
          <w:szCs w:val="24"/>
          <w:lang w:val="en-US" w:eastAsia="zh-CN"/>
        </w:rPr>
        <w:t>1</w:t>
      </w:r>
      <w:r>
        <w:rPr>
          <w:rFonts w:hint="eastAsia" w:ascii="宋体" w:hAnsi="宋体" w:cs="宋体"/>
          <w:bCs/>
          <w:kern w:val="0"/>
          <w:sz w:val="24"/>
          <w:szCs w:val="24"/>
        </w:rPr>
        <w:t>年或202</w:t>
      </w:r>
      <w:r>
        <w:rPr>
          <w:rFonts w:hint="eastAsia" w:ascii="宋体" w:hAnsi="宋体" w:cs="宋体"/>
          <w:bCs/>
          <w:kern w:val="0"/>
          <w:sz w:val="24"/>
          <w:szCs w:val="24"/>
          <w:lang w:val="en-US" w:eastAsia="zh-CN"/>
        </w:rPr>
        <w:t>2</w:t>
      </w:r>
      <w:r>
        <w:rPr>
          <w:rFonts w:hint="eastAsia" w:ascii="宋体" w:hAnsi="宋体" w:cs="宋体"/>
          <w:bCs/>
          <w:kern w:val="0"/>
          <w:sz w:val="24"/>
          <w:szCs w:val="24"/>
        </w:rPr>
        <w:t>年财务审计报告，或在开标日期前六个月内其基本开户银行出具的资信证明；</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3"/>
        </w:numPr>
        <w:snapToGrid w:val="0"/>
        <w:spacing w:line="360" w:lineRule="auto"/>
        <w:ind w:firstLine="567"/>
        <w:jc w:val="left"/>
        <w:rPr>
          <w:rFonts w:ascii="宋体" w:hAnsi="宋体" w:cs="宋体"/>
          <w:kern w:val="0"/>
          <w:sz w:val="24"/>
          <w:szCs w:val="24"/>
        </w:rPr>
      </w:pPr>
      <w:r>
        <w:rPr>
          <w:rFonts w:hint="eastAsia" w:ascii="宋体" w:hAnsi="宋体" w:cs="宋体"/>
          <w:bCs/>
          <w:kern w:val="0"/>
          <w:sz w:val="24"/>
          <w:szCs w:val="24"/>
        </w:rPr>
        <w:t>非法定代表人参加磋商的，须提供法定代表人授权委托书及被授权人身份证原件；法定代表人参加磋商时,只须提供法定代表人身份证原件；</w:t>
      </w:r>
    </w:p>
    <w:p>
      <w:pPr>
        <w:snapToGrid w:val="0"/>
        <w:spacing w:line="360" w:lineRule="auto"/>
        <w:ind w:left="7" w:firstLine="559" w:firstLineChars="233"/>
        <w:jc w:val="left"/>
        <w:textAlignment w:val="baseline"/>
        <w:rPr>
          <w:rFonts w:ascii="宋体" w:hAnsi="宋体" w:cs="宋体"/>
          <w:bCs/>
          <w:kern w:val="0"/>
          <w:sz w:val="24"/>
          <w:szCs w:val="24"/>
          <w:highlight w:val="yellow"/>
        </w:rPr>
      </w:pPr>
      <w:r>
        <w:rPr>
          <w:rFonts w:hint="eastAsia" w:ascii="宋体" w:hAnsi="宋体" w:cs="宋体"/>
          <w:bCs/>
          <w:kern w:val="0"/>
          <w:sz w:val="24"/>
          <w:szCs w:val="24"/>
          <w:highlight w:val="none"/>
        </w:rPr>
        <w:t>7、供应商须提供：建设行政主管部门颁发的</w:t>
      </w:r>
      <w:r>
        <w:rPr>
          <w:rFonts w:hint="eastAsia" w:ascii="宋体" w:hAnsi="宋体" w:cs="宋体"/>
          <w:bCs/>
          <w:kern w:val="0"/>
          <w:sz w:val="24"/>
          <w:szCs w:val="24"/>
          <w:highlight w:val="none"/>
          <w:lang w:val="en-US" w:eastAsia="zh-CN"/>
        </w:rPr>
        <w:t>电力工程施工总承包三级（含三级）及以上资质或机电工程施工总承包三级（含三级）及以上资质</w:t>
      </w:r>
      <w:r>
        <w:rPr>
          <w:rFonts w:hint="eastAsia" w:ascii="宋体" w:hAnsi="宋体" w:cs="宋体"/>
          <w:bCs/>
          <w:kern w:val="0"/>
          <w:sz w:val="24"/>
          <w:szCs w:val="24"/>
          <w:highlight w:val="none"/>
        </w:rPr>
        <w:t>，且具备有效的安全生产许可证；</w:t>
      </w:r>
    </w:p>
    <w:p>
      <w:pPr>
        <w:snapToGrid w:val="0"/>
        <w:spacing w:line="360" w:lineRule="auto"/>
        <w:ind w:left="7" w:firstLine="559" w:firstLineChars="233"/>
        <w:jc w:val="left"/>
        <w:textAlignment w:val="baseline"/>
        <w:rPr>
          <w:rFonts w:ascii="宋体" w:hAnsi="宋体" w:cs="宋体"/>
          <w:bCs/>
          <w:kern w:val="0"/>
          <w:sz w:val="24"/>
          <w:szCs w:val="24"/>
        </w:rPr>
      </w:pPr>
      <w:r>
        <w:rPr>
          <w:rFonts w:hint="eastAsia" w:ascii="宋体" w:hAnsi="宋体" w:cs="宋体"/>
          <w:bCs/>
          <w:kern w:val="0"/>
          <w:sz w:val="24"/>
          <w:szCs w:val="24"/>
        </w:rPr>
        <w:t>8、项目经理需具备</w:t>
      </w:r>
      <w:r>
        <w:rPr>
          <w:rFonts w:hint="eastAsia" w:ascii="宋体" w:hAnsi="宋体" w:cs="宋体"/>
          <w:bCs/>
          <w:kern w:val="0"/>
          <w:sz w:val="24"/>
          <w:szCs w:val="24"/>
          <w:lang w:val="en-US" w:eastAsia="zh-CN"/>
        </w:rPr>
        <w:t>机电工程</w:t>
      </w:r>
      <w:r>
        <w:rPr>
          <w:rFonts w:hint="eastAsia" w:ascii="宋体" w:hAnsi="宋体" w:cs="宋体"/>
          <w:bCs/>
          <w:kern w:val="0"/>
          <w:sz w:val="24"/>
          <w:szCs w:val="24"/>
        </w:rPr>
        <w:t>专业贰级及以上(含贰级)注册建造师证书和安全生产考核合格证（B证），且无在建工程（并提供项目经理社保缴纳证明）；</w:t>
      </w:r>
    </w:p>
    <w:p>
      <w:r>
        <w:rPr>
          <w:rFonts w:hint="eastAsia" w:ascii="宋体" w:hAnsi="宋体" w:cs="宋体"/>
          <w:bCs/>
          <w:kern w:val="0"/>
          <w:sz w:val="24"/>
          <w:szCs w:val="24"/>
        </w:rPr>
        <w:t xml:space="preserve">    9、外省企业为陕西省或西安市“建筑市场监管与诚信信息一体化平台”入库企业；</w:t>
      </w:r>
    </w:p>
    <w:p>
      <w:pPr>
        <w:numPr>
          <w:ilvl w:val="0"/>
          <w:numId w:val="0"/>
        </w:numPr>
        <w:snapToGrid w:val="0"/>
        <w:spacing w:line="360" w:lineRule="auto"/>
        <w:ind w:firstLine="480" w:firstLineChars="200"/>
        <w:jc w:val="left"/>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10、本项目专门面向中小企业采购，供应商应提供中小企业声明函。</w:t>
      </w:r>
    </w:p>
    <w:p>
      <w:pPr>
        <w:numPr>
          <w:ilvl w:val="0"/>
          <w:numId w:val="0"/>
        </w:numPr>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lang w:val="en-US" w:eastAsia="zh-CN"/>
        </w:rPr>
        <w:t>11、</w:t>
      </w:r>
      <w:r>
        <w:rPr>
          <w:rFonts w:hint="eastAsia" w:ascii="宋体" w:hAnsi="宋体" w:cs="宋体"/>
          <w:bCs/>
          <w:kern w:val="0"/>
          <w:sz w:val="24"/>
          <w:szCs w:val="24"/>
        </w:rPr>
        <w:t>本项目不接受联合体磋商。</w:t>
      </w:r>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采购项目需要落实的政府采购政策：</w:t>
      </w:r>
    </w:p>
    <w:p>
      <w:pPr>
        <w:snapToGrid w:val="0"/>
        <w:spacing w:line="360" w:lineRule="auto"/>
        <w:ind w:left="7" w:firstLine="559" w:firstLineChars="233"/>
        <w:jc w:val="left"/>
        <w:rPr>
          <w:rFonts w:ascii="宋体" w:hAnsi="宋体" w:cs="宋体"/>
          <w:bCs/>
          <w:kern w:val="0"/>
          <w:sz w:val="24"/>
          <w:szCs w:val="24"/>
          <w:highlight w:val="yellow"/>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w:t>
      </w:r>
      <w:r>
        <w:rPr>
          <w:rFonts w:hint="eastAsia" w:ascii="宋体" w:hAnsi="宋体" w:cs="宋体"/>
          <w:kern w:val="0"/>
          <w:sz w:val="24"/>
          <w:szCs w:val="24"/>
          <w:highlight w:val="none"/>
        </w:rPr>
        <w:t>落实相关政策，具体详见磋商文</w:t>
      </w:r>
      <w:r>
        <w:rPr>
          <w:rFonts w:hint="eastAsia" w:ascii="宋体" w:hAnsi="宋体" w:cs="宋体"/>
          <w:bCs/>
          <w:kern w:val="0"/>
          <w:sz w:val="24"/>
          <w:szCs w:val="24"/>
          <w:highlight w:val="none"/>
        </w:rPr>
        <w:t>件。</w:t>
      </w:r>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竞争性磋商文件发售：</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sz w:val="24"/>
          <w:highlight w:val="none"/>
        </w:rPr>
        <w:t>发售时间：</w:t>
      </w:r>
      <w:r>
        <w:rPr>
          <w:rFonts w:hint="eastAsia" w:ascii="宋体" w:hAnsi="宋体" w:cs="宋体"/>
          <w:b/>
          <w:bCs/>
          <w:color w:val="000000" w:themeColor="text1"/>
          <w:sz w:val="24"/>
          <w:highlight w:val="none"/>
          <w14:textFill>
            <w14:solidFill>
              <w14:schemeClr w14:val="tx1"/>
            </w14:solidFill>
          </w14:textFill>
        </w:rPr>
        <w:t>202</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年0</w:t>
      </w:r>
      <w:r>
        <w:rPr>
          <w:rFonts w:hint="eastAsia" w:ascii="宋体" w:hAnsi="宋体" w:cs="宋体"/>
          <w:b/>
          <w:bCs/>
          <w:color w:val="000000" w:themeColor="text1"/>
          <w:sz w:val="24"/>
          <w:highlight w:val="none"/>
          <w:lang w:val="en-US" w:eastAsia="zh-CN"/>
          <w14:textFill>
            <w14:solidFill>
              <w14:schemeClr w14:val="tx1"/>
            </w14:solidFill>
          </w14:textFill>
        </w:rPr>
        <w:t>6月01日</w:t>
      </w:r>
      <w:r>
        <w:rPr>
          <w:rFonts w:hint="eastAsia" w:ascii="宋体" w:hAnsi="宋体" w:cs="宋体"/>
          <w:b/>
          <w:bCs/>
          <w:color w:val="000000" w:themeColor="text1"/>
          <w:sz w:val="24"/>
          <w:highlight w:val="none"/>
          <w14:textFill>
            <w14:solidFill>
              <w14:schemeClr w14:val="tx1"/>
            </w14:solidFill>
          </w14:textFill>
        </w:rPr>
        <w:t>至202</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年</w:t>
      </w:r>
      <w:r>
        <w:rPr>
          <w:rFonts w:hint="eastAsia" w:ascii="宋体" w:hAnsi="宋体" w:cs="宋体"/>
          <w:b/>
          <w:bCs/>
          <w:color w:val="000000" w:themeColor="text1"/>
          <w:sz w:val="24"/>
          <w:highlight w:val="none"/>
          <w:lang w:val="en-US" w:eastAsia="zh-CN"/>
          <w14:textFill>
            <w14:solidFill>
              <w14:schemeClr w14:val="tx1"/>
            </w14:solidFill>
          </w14:textFill>
        </w:rPr>
        <w:t>06</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08</w:t>
      </w:r>
      <w:r>
        <w:rPr>
          <w:rFonts w:hint="eastAsia" w:ascii="宋体" w:hAnsi="宋体" w:cs="宋体"/>
          <w:b/>
          <w:bCs/>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止</w:t>
      </w:r>
      <w:r>
        <w:rPr>
          <w:rFonts w:hint="eastAsia" w:ascii="宋体" w:hAnsi="宋体" w:cs="宋体"/>
          <w:color w:val="000000" w:themeColor="text1"/>
          <w:sz w:val="24"/>
          <w:szCs w:val="24"/>
          <w:highlight w:val="none"/>
          <w14:textFill>
            <w14:solidFill>
              <w14:schemeClr w14:val="tx1"/>
            </w14:solidFill>
          </w14:textFill>
        </w:rPr>
        <w:t>。</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2、发售地点：西安市莲湖区西关正街英达大厦1507室。</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3、文件售价：¥500元/套，售后不退，谢绝邮寄。</w:t>
      </w:r>
    </w:p>
    <w:p>
      <w:pPr>
        <w:widowControl/>
        <w:tabs>
          <w:tab w:val="left" w:pos="1620"/>
        </w:tabs>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w:t>
      </w:r>
      <w:r>
        <w:rPr>
          <w:rFonts w:hint="eastAsia" w:asciiTheme="minorEastAsia" w:hAnsiTheme="minorEastAsia" w:cstheme="minorEastAsia"/>
          <w:kern w:val="0"/>
          <w:sz w:val="24"/>
          <w:szCs w:val="24"/>
          <w:highlight w:val="none"/>
        </w:rPr>
        <w:t>供应商领取标书时，请携带单位介绍信及经办人身份证原件及复印件加盖公章。</w:t>
      </w:r>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磋商响应文件递交截止时间及磋商时间和地点：</w:t>
      </w:r>
    </w:p>
    <w:p>
      <w:pPr>
        <w:widowControl/>
        <w:tabs>
          <w:tab w:val="left" w:pos="0"/>
        </w:tabs>
        <w:wordWrap w:val="0"/>
        <w:snapToGrid w:val="0"/>
        <w:spacing w:line="300" w:lineRule="auto"/>
        <w:ind w:firstLine="480" w:firstLineChars="20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kern w:val="0"/>
          <w:sz w:val="24"/>
          <w:szCs w:val="24"/>
          <w:highlight w:val="none"/>
        </w:rPr>
        <w:t>1、磋商响应文件递交截止时间：</w:t>
      </w:r>
      <w:r>
        <w:rPr>
          <w:rFonts w:hint="eastAsia" w:ascii="宋体" w:hAnsi="宋体" w:cs="宋体"/>
          <w:b/>
          <w:bCs/>
          <w:color w:val="000000" w:themeColor="text1"/>
          <w:kern w:val="0"/>
          <w:sz w:val="24"/>
          <w:szCs w:val="24"/>
          <w:highlight w:val="none"/>
          <w:lang w:eastAsia="zh-CN"/>
          <w14:textFill>
            <w14:solidFill>
              <w14:schemeClr w14:val="tx1"/>
            </w14:solidFill>
          </w14:textFill>
        </w:rPr>
        <w:t>202</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
          <w:bCs/>
          <w:color w:val="000000" w:themeColor="text1"/>
          <w:kern w:val="0"/>
          <w:sz w:val="24"/>
          <w:szCs w:val="24"/>
          <w:highlight w:val="none"/>
          <w:lang w:eastAsia="zh-CN"/>
          <w14:textFill>
            <w14:solidFill>
              <w14:schemeClr w14:val="tx1"/>
            </w14:solidFill>
          </w14:textFill>
        </w:rPr>
        <w:t>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06</w:t>
      </w:r>
      <w:r>
        <w:rPr>
          <w:rFonts w:hint="eastAsia" w:ascii="宋体" w:hAnsi="宋体" w:cs="宋体"/>
          <w:b/>
          <w:bCs/>
          <w:color w:val="000000" w:themeColor="text1"/>
          <w:kern w:val="0"/>
          <w:sz w:val="24"/>
          <w:szCs w:val="24"/>
          <w:highlight w:val="none"/>
          <w:lang w:eastAsia="zh-CN"/>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13</w:t>
      </w:r>
      <w:r>
        <w:rPr>
          <w:rFonts w:hint="eastAsia" w:ascii="宋体" w:hAnsi="宋体" w:cs="宋体"/>
          <w:b/>
          <w:bCs/>
          <w:color w:val="000000" w:themeColor="text1"/>
          <w:kern w:val="0"/>
          <w:sz w:val="24"/>
          <w:szCs w:val="24"/>
          <w:highlight w:val="none"/>
          <w:lang w:eastAsia="zh-CN"/>
          <w14:textFill>
            <w14:solidFill>
              <w14:schemeClr w14:val="tx1"/>
            </w14:solidFill>
          </w14:textFill>
        </w:rPr>
        <w:t>日</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14</w:t>
      </w:r>
      <w:r>
        <w:rPr>
          <w:rFonts w:hint="eastAsia" w:ascii="宋体" w:hAnsi="宋体" w:cs="宋体"/>
          <w:b/>
          <w:bCs/>
          <w:color w:val="000000" w:themeColor="text1"/>
          <w:kern w:val="0"/>
          <w:sz w:val="24"/>
          <w:szCs w:val="24"/>
          <w:highlight w:val="none"/>
          <w:lang w:eastAsia="zh-CN"/>
          <w14:textFill>
            <w14:solidFill>
              <w14:schemeClr w14:val="tx1"/>
            </w14:solidFill>
          </w14:textFill>
        </w:rPr>
        <w:t>:30</w:t>
      </w:r>
    </w:p>
    <w:p>
      <w:pPr>
        <w:widowControl/>
        <w:tabs>
          <w:tab w:val="left" w:pos="0"/>
        </w:tabs>
        <w:wordWrap w:val="0"/>
        <w:snapToGrid w:val="0"/>
        <w:spacing w:line="300" w:lineRule="auto"/>
        <w:ind w:firstLine="480" w:firstLineChars="20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2、磋商时间：</w:t>
      </w:r>
      <w:r>
        <w:rPr>
          <w:rFonts w:hint="eastAsia" w:ascii="宋体" w:hAnsi="宋体" w:cs="宋体"/>
          <w:b/>
          <w:bCs/>
          <w:color w:val="000000" w:themeColor="text1"/>
          <w:kern w:val="0"/>
          <w:sz w:val="24"/>
          <w:szCs w:val="24"/>
          <w:highlight w:val="none"/>
          <w:lang w:eastAsia="zh-CN"/>
          <w14:textFill>
            <w14:solidFill>
              <w14:schemeClr w14:val="tx1"/>
            </w14:solidFill>
          </w14:textFill>
        </w:rPr>
        <w:t>202</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
          <w:bCs/>
          <w:color w:val="000000" w:themeColor="text1"/>
          <w:kern w:val="0"/>
          <w:sz w:val="24"/>
          <w:szCs w:val="24"/>
          <w:highlight w:val="none"/>
          <w:lang w:eastAsia="zh-CN"/>
          <w14:textFill>
            <w14:solidFill>
              <w14:schemeClr w14:val="tx1"/>
            </w14:solidFill>
          </w14:textFill>
        </w:rPr>
        <w:t>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06</w:t>
      </w:r>
      <w:r>
        <w:rPr>
          <w:rFonts w:hint="eastAsia" w:ascii="宋体" w:hAnsi="宋体" w:cs="宋体"/>
          <w:b/>
          <w:bCs/>
          <w:color w:val="000000" w:themeColor="text1"/>
          <w:kern w:val="0"/>
          <w:sz w:val="24"/>
          <w:szCs w:val="24"/>
          <w:highlight w:val="none"/>
          <w:lang w:eastAsia="zh-CN"/>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13</w:t>
      </w:r>
      <w:r>
        <w:rPr>
          <w:rFonts w:hint="eastAsia" w:ascii="宋体" w:hAnsi="宋体" w:cs="宋体"/>
          <w:b/>
          <w:bCs/>
          <w:color w:val="000000" w:themeColor="text1"/>
          <w:kern w:val="0"/>
          <w:sz w:val="24"/>
          <w:szCs w:val="24"/>
          <w:highlight w:val="none"/>
          <w:lang w:eastAsia="zh-CN"/>
          <w14:textFill>
            <w14:solidFill>
              <w14:schemeClr w14:val="tx1"/>
            </w14:solidFill>
          </w14:textFill>
        </w:rPr>
        <w:t>日</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14</w:t>
      </w:r>
      <w:r>
        <w:rPr>
          <w:rFonts w:hint="eastAsia" w:ascii="宋体" w:hAnsi="宋体" w:cs="宋体"/>
          <w:b/>
          <w:bCs/>
          <w:color w:val="000000" w:themeColor="text1"/>
          <w:kern w:val="0"/>
          <w:sz w:val="24"/>
          <w:szCs w:val="24"/>
          <w:highlight w:val="none"/>
          <w:lang w:eastAsia="zh-CN"/>
          <w14:textFill>
            <w14:solidFill>
              <w14:schemeClr w14:val="tx1"/>
            </w14:solidFill>
          </w14:textFill>
        </w:rPr>
        <w:t>:30</w:t>
      </w:r>
    </w:p>
    <w:p>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3、磋商地点：西安市莲湖区西关正街英达大厦1503会议室。</w:t>
      </w:r>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其它应说明的事项： </w:t>
      </w:r>
    </w:p>
    <w:p>
      <w:pPr>
        <w:widowControl/>
        <w:wordWrap w:val="0"/>
        <w:snapToGrid w:val="0"/>
        <w:spacing w:line="30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1、采购项目联系人：崔方明</w:t>
      </w:r>
      <w:r>
        <w:rPr>
          <w:rFonts w:hint="eastAsia" w:ascii="宋体" w:hAnsi="宋体" w:cs="宋体"/>
          <w:kern w:val="0"/>
          <w:sz w:val="24"/>
          <w:szCs w:val="24"/>
          <w:lang w:val="en-US" w:eastAsia="zh-CN"/>
        </w:rPr>
        <w:t xml:space="preserve"> </w:t>
      </w:r>
      <w:r>
        <w:rPr>
          <w:rFonts w:hint="eastAsia" w:ascii="宋体" w:hAnsi="宋体" w:cs="宋体"/>
          <w:kern w:val="0"/>
          <w:sz w:val="24"/>
          <w:szCs w:val="24"/>
        </w:rPr>
        <w:t>许芳芳</w:t>
      </w:r>
      <w:r>
        <w:rPr>
          <w:rFonts w:hint="eastAsia" w:ascii="宋体" w:hAnsi="宋体" w:cs="宋体"/>
          <w:kern w:val="0"/>
          <w:sz w:val="24"/>
          <w:szCs w:val="24"/>
          <w:lang w:val="en-US" w:eastAsia="zh-CN"/>
        </w:rPr>
        <w:t xml:space="preserve"> 赵志文 刘嘉辉</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联系方式（电话/传真）：029-88319689-804</w:t>
      </w:r>
      <w:r>
        <w:rPr>
          <w:rFonts w:hint="eastAsia" w:ascii="宋体" w:hAnsi="宋体" w:cs="宋体"/>
          <w:kern w:val="0"/>
          <w:sz w:val="24"/>
          <w:szCs w:val="24"/>
          <w:lang w:val="en-US" w:eastAsia="zh-CN"/>
        </w:rPr>
        <w:t>/</w:t>
      </w:r>
      <w:r>
        <w:rPr>
          <w:rFonts w:hint="eastAsia" w:ascii="宋体" w:hAnsi="宋体" w:cs="宋体"/>
          <w:kern w:val="0"/>
          <w:sz w:val="24"/>
          <w:szCs w:val="24"/>
        </w:rPr>
        <w:t>811</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2、采购代理机构开户名称：陕西万泽招标有限公司</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账      号：211011580000015489</w:t>
      </w:r>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竞争性磋商公告的公告期限为3个工作日。</w:t>
      </w:r>
    </w:p>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pPr>
        <w:widowControl/>
        <w:tabs>
          <w:tab w:val="left" w:pos="1620"/>
        </w:tabs>
        <w:snapToGrid w:val="0"/>
        <w:spacing w:line="300" w:lineRule="auto"/>
        <w:ind w:firstLine="420" w:firstLineChars="175"/>
        <w:jc w:val="right"/>
        <w:rPr>
          <w:rFonts w:ascii="宋体" w:hAnsi="宋体" w:cs="宋体"/>
          <w:kern w:val="0"/>
          <w:sz w:val="24"/>
          <w:szCs w:val="24"/>
          <w:highlight w:val="yellow"/>
        </w:rPr>
      </w:pPr>
      <w:r>
        <w:rPr>
          <w:rFonts w:hint="eastAsia" w:ascii="宋体" w:hAnsi="宋体" w:cs="宋体"/>
          <w:kern w:val="0"/>
          <w:sz w:val="24"/>
          <w:szCs w:val="24"/>
          <w:highlight w:val="none"/>
        </w:rPr>
        <w:t xml:space="preserve"> 202</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06</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01</w:t>
      </w:r>
      <w:r>
        <w:rPr>
          <w:rFonts w:hint="eastAsia" w:ascii="宋体" w:hAnsi="宋体" w:cs="宋体"/>
          <w:kern w:val="0"/>
          <w:sz w:val="24"/>
          <w:szCs w:val="24"/>
          <w:highlight w:val="none"/>
        </w:rPr>
        <w:t>日</w:t>
      </w:r>
    </w:p>
    <w:p>
      <w:pPr>
        <w:pStyle w:val="3"/>
        <w:keepLines w:val="0"/>
        <w:spacing w:line="312" w:lineRule="auto"/>
        <w:ind w:firstLine="562" w:firstLineChars="175"/>
        <w:rPr>
          <w:rFonts w:ascii="宋体" w:hAnsi="宋体" w:cs="宋体"/>
        </w:rPr>
        <w:sectPr>
          <w:footerReference r:id="rId7" w:type="default"/>
          <w:pgSz w:w="11906" w:h="16838"/>
          <w:pgMar w:top="1440" w:right="1286" w:bottom="1440" w:left="1800" w:header="851" w:footer="992" w:gutter="0"/>
          <w:cols w:space="720" w:num="1"/>
          <w:docGrid w:type="lines" w:linePitch="312" w:charSpace="0"/>
        </w:sectPr>
      </w:pPr>
    </w:p>
    <w:p>
      <w:pPr>
        <w:pStyle w:val="3"/>
        <w:rPr>
          <w:rFonts w:ascii="宋体" w:hAnsi="宋体" w:cs="宋体"/>
        </w:rPr>
      </w:pPr>
      <w:bookmarkStart w:id="6" w:name="_Toc31083"/>
      <w:bookmarkStart w:id="7" w:name="_Toc30089"/>
      <w:bookmarkStart w:id="8" w:name="_Toc18647"/>
      <w:bookmarkStart w:id="9" w:name="_Toc2880"/>
      <w:bookmarkStart w:id="10" w:name="_Toc438048787"/>
      <w:r>
        <w:rPr>
          <w:rFonts w:hint="eastAsia" w:ascii="宋体" w:hAnsi="宋体" w:cs="宋体"/>
        </w:rPr>
        <w:t>第二部分 供应商须知前附表</w:t>
      </w:r>
      <w:bookmarkEnd w:id="6"/>
      <w:bookmarkEnd w:id="7"/>
      <w:bookmarkEnd w:id="8"/>
      <w:bookmarkEnd w:id="9"/>
      <w:bookmarkEnd w:id="10"/>
    </w:p>
    <w:tbl>
      <w:tblPr>
        <w:tblStyle w:val="25"/>
        <w:tblpPr w:leftFromText="180" w:rightFromText="180" w:vertAnchor="text" w:horzAnchor="page" w:tblpX="1582" w:tblpY="309"/>
        <w:tblOverlap w:val="never"/>
        <w:tblW w:w="89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9"/>
        <w:gridCol w:w="1062"/>
        <w:gridCol w:w="7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 w:hRule="atLeast"/>
        </w:trPr>
        <w:tc>
          <w:tcPr>
            <w:tcW w:w="499" w:type="dxa"/>
          </w:tcPr>
          <w:p>
            <w:pPr>
              <w:spacing w:before="156" w:beforeLines="50"/>
              <w:jc w:val="center"/>
              <w:rPr>
                <w:rFonts w:ascii="宋体" w:hAnsi="宋体" w:cs="宋体"/>
                <w:b/>
                <w:szCs w:val="21"/>
              </w:rPr>
            </w:pPr>
            <w:r>
              <w:rPr>
                <w:rFonts w:hint="eastAsia" w:ascii="宋体" w:hAnsi="宋体" w:cs="宋体"/>
                <w:b/>
                <w:szCs w:val="21"/>
              </w:rPr>
              <w:t>序号</w:t>
            </w:r>
          </w:p>
        </w:tc>
        <w:tc>
          <w:tcPr>
            <w:tcW w:w="1062" w:type="dxa"/>
            <w:vAlign w:val="center"/>
          </w:tcPr>
          <w:p>
            <w:pPr>
              <w:spacing w:before="156" w:beforeLines="50"/>
              <w:jc w:val="center"/>
              <w:rPr>
                <w:rFonts w:ascii="宋体" w:hAnsi="宋体" w:cs="宋体"/>
                <w:b/>
                <w:szCs w:val="21"/>
              </w:rPr>
            </w:pPr>
            <w:r>
              <w:rPr>
                <w:rFonts w:hint="eastAsia" w:ascii="宋体" w:hAnsi="宋体" w:cs="宋体"/>
                <w:b/>
                <w:szCs w:val="21"/>
              </w:rPr>
              <w:t>条款</w:t>
            </w:r>
          </w:p>
        </w:tc>
        <w:tc>
          <w:tcPr>
            <w:tcW w:w="7359" w:type="dxa"/>
          </w:tcPr>
          <w:p>
            <w:pPr>
              <w:spacing w:before="156" w:beforeLines="50"/>
              <w:jc w:val="center"/>
              <w:rPr>
                <w:rFonts w:ascii="宋体" w:hAns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499" w:type="dxa"/>
          </w:tcPr>
          <w:p>
            <w:pPr>
              <w:spacing w:before="156" w:beforeLines="50"/>
              <w:jc w:val="center"/>
              <w:rPr>
                <w:rFonts w:ascii="宋体" w:hAnsi="宋体" w:cs="宋体"/>
                <w:b/>
                <w:szCs w:val="21"/>
              </w:rPr>
            </w:pPr>
            <w:r>
              <w:rPr>
                <w:rFonts w:hint="eastAsia" w:ascii="宋体" w:hAnsi="宋体" w:cs="宋体"/>
                <w:b/>
                <w:szCs w:val="21"/>
              </w:rPr>
              <w:t>1</w:t>
            </w:r>
          </w:p>
        </w:tc>
        <w:tc>
          <w:tcPr>
            <w:tcW w:w="1062" w:type="dxa"/>
            <w:vAlign w:val="center"/>
          </w:tcPr>
          <w:p>
            <w:pPr>
              <w:spacing w:line="360" w:lineRule="auto"/>
              <w:rPr>
                <w:rFonts w:ascii="宋体" w:hAnsi="宋体" w:cs="宋体"/>
                <w:szCs w:val="21"/>
              </w:rPr>
            </w:pPr>
            <w:r>
              <w:rPr>
                <w:rFonts w:hint="eastAsia" w:ascii="宋体" w:hAnsi="宋体" w:cs="宋体"/>
                <w:szCs w:val="21"/>
              </w:rPr>
              <w:t>项 目</w:t>
            </w:r>
          </w:p>
          <w:p>
            <w:pPr>
              <w:spacing w:line="360" w:lineRule="auto"/>
              <w:rPr>
                <w:rFonts w:ascii="宋体" w:hAnsi="宋体" w:cs="宋体"/>
                <w:szCs w:val="21"/>
              </w:rPr>
            </w:pPr>
            <w:r>
              <w:rPr>
                <w:rFonts w:hint="eastAsia" w:ascii="宋体" w:hAnsi="宋体" w:cs="宋体"/>
                <w:szCs w:val="21"/>
              </w:rPr>
              <w:t>名 称</w:t>
            </w:r>
          </w:p>
        </w:tc>
        <w:tc>
          <w:tcPr>
            <w:tcW w:w="7359"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eastAsia="zh-CN"/>
              </w:rPr>
              <w:t>西安医学院未央校区汽车充电桩安装工程项目</w:t>
            </w:r>
            <w:r>
              <w:rPr>
                <w:rFonts w:hint="eastAsia" w:ascii="宋体" w:hAnsi="宋体" w:cs="宋体"/>
                <w:szCs w:val="21"/>
                <w:lang w:val="en-US" w:eastAsia="zh-CN"/>
              </w:rPr>
              <w:t>（四次）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tcPr>
          <w:p>
            <w:pPr>
              <w:spacing w:before="156" w:beforeLines="50"/>
              <w:jc w:val="center"/>
              <w:rPr>
                <w:rFonts w:ascii="宋体" w:hAnsi="宋体" w:cs="宋体"/>
                <w:b/>
                <w:szCs w:val="21"/>
              </w:rPr>
            </w:pPr>
            <w:r>
              <w:rPr>
                <w:rFonts w:hint="eastAsia" w:ascii="宋体" w:hAnsi="宋体" w:cs="宋体"/>
                <w:b/>
                <w:szCs w:val="21"/>
              </w:rPr>
              <w:t>2</w:t>
            </w:r>
          </w:p>
        </w:tc>
        <w:tc>
          <w:tcPr>
            <w:tcW w:w="1062" w:type="dxa"/>
            <w:vAlign w:val="center"/>
          </w:tcPr>
          <w:p>
            <w:pPr>
              <w:widowControl/>
              <w:wordWrap w:val="0"/>
              <w:spacing w:line="360" w:lineRule="auto"/>
              <w:jc w:val="left"/>
              <w:rPr>
                <w:rFonts w:ascii="宋体" w:hAnsi="宋体" w:cs="宋体"/>
                <w:szCs w:val="21"/>
              </w:rPr>
            </w:pPr>
            <w:r>
              <w:rPr>
                <w:rFonts w:hint="eastAsia" w:ascii="宋体" w:hAnsi="宋体" w:cs="宋体"/>
                <w:szCs w:val="21"/>
              </w:rPr>
              <w:t>采 购人</w:t>
            </w:r>
          </w:p>
        </w:tc>
        <w:tc>
          <w:tcPr>
            <w:tcW w:w="7359" w:type="dxa"/>
            <w:vAlign w:val="center"/>
          </w:tcPr>
          <w:p>
            <w:pPr>
              <w:widowControl/>
              <w:wordWrap w:val="0"/>
              <w:spacing w:line="360" w:lineRule="auto"/>
              <w:jc w:val="left"/>
              <w:rPr>
                <w:rFonts w:ascii="宋体" w:hAnsi="宋体" w:cs="宋体"/>
                <w:szCs w:val="21"/>
              </w:rPr>
            </w:pPr>
            <w:r>
              <w:rPr>
                <w:rFonts w:hint="eastAsia" w:ascii="宋体" w:hAnsi="宋体" w:cs="宋体"/>
                <w:szCs w:val="21"/>
              </w:rPr>
              <w:t>采购人名称：西安医学院</w:t>
            </w:r>
          </w:p>
          <w:p>
            <w:pPr>
              <w:widowControl/>
              <w:wordWrap w:val="0"/>
              <w:spacing w:line="360" w:lineRule="auto"/>
              <w:jc w:val="left"/>
              <w:rPr>
                <w:rFonts w:ascii="宋体" w:hAnsi="宋体" w:cs="宋体"/>
                <w:szCs w:val="21"/>
              </w:rPr>
            </w:pPr>
            <w:r>
              <w:rPr>
                <w:rFonts w:hint="eastAsia" w:ascii="宋体" w:hAnsi="宋体" w:cs="宋体"/>
                <w:szCs w:val="21"/>
              </w:rPr>
              <w:t>地    址：西安市未央区辛王路1号</w:t>
            </w:r>
          </w:p>
          <w:p>
            <w:pPr>
              <w:pStyle w:val="6"/>
              <w:rPr>
                <w:rFonts w:hint="default" w:ascii="宋体" w:hAnsi="宋体" w:cs="宋体"/>
                <w:b w:val="0"/>
                <w:sz w:val="21"/>
                <w:szCs w:val="21"/>
              </w:rPr>
            </w:pPr>
            <w:r>
              <w:rPr>
                <w:rFonts w:ascii="宋体" w:hAnsi="宋体" w:cs="宋体"/>
                <w:b w:val="0"/>
                <w:sz w:val="21"/>
                <w:szCs w:val="21"/>
              </w:rPr>
              <w:t>联 系 人：苏老师</w:t>
            </w:r>
          </w:p>
          <w:p>
            <w:pPr>
              <w:widowControl/>
              <w:wordWrap w:val="0"/>
              <w:spacing w:line="360" w:lineRule="auto"/>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499" w:type="dxa"/>
            <w:tcBorders>
              <w:top w:val="single" w:color="auto" w:sz="4" w:space="0"/>
            </w:tcBorders>
          </w:tcPr>
          <w:p>
            <w:pPr>
              <w:spacing w:before="156" w:beforeLines="50"/>
              <w:jc w:val="center"/>
              <w:rPr>
                <w:rFonts w:ascii="宋体" w:hAnsi="宋体" w:cs="宋体"/>
                <w:b/>
                <w:szCs w:val="21"/>
              </w:rPr>
            </w:pPr>
            <w:r>
              <w:rPr>
                <w:rFonts w:hint="eastAsia" w:ascii="宋体" w:hAnsi="宋体" w:cs="宋体"/>
                <w:b/>
                <w:szCs w:val="21"/>
              </w:rPr>
              <w:t>3</w:t>
            </w:r>
          </w:p>
        </w:tc>
        <w:tc>
          <w:tcPr>
            <w:tcW w:w="1062"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 购</w:t>
            </w:r>
          </w:p>
          <w:p>
            <w:pPr>
              <w:spacing w:line="360" w:lineRule="auto"/>
              <w:rPr>
                <w:rFonts w:ascii="宋体" w:hAnsi="宋体" w:cs="宋体"/>
                <w:szCs w:val="21"/>
              </w:rPr>
            </w:pPr>
            <w:r>
              <w:rPr>
                <w:rFonts w:hint="eastAsia" w:ascii="宋体" w:hAnsi="宋体" w:cs="宋体"/>
                <w:szCs w:val="21"/>
              </w:rPr>
              <w:t>代理机构</w:t>
            </w:r>
          </w:p>
        </w:tc>
        <w:tc>
          <w:tcPr>
            <w:tcW w:w="7359"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址：西安市莲湖区西关正街英达大厦1507室</w:t>
            </w:r>
          </w:p>
          <w:p>
            <w:pPr>
              <w:spacing w:line="360" w:lineRule="auto"/>
              <w:jc w:val="left"/>
              <w:rPr>
                <w:rFonts w:hint="eastAsia" w:ascii="宋体" w:hAnsi="宋体" w:eastAsia="宋体" w:cs="宋体"/>
                <w:szCs w:val="21"/>
                <w:lang w:eastAsia="zh-CN"/>
              </w:rPr>
            </w:pPr>
            <w:r>
              <w:rPr>
                <w:rFonts w:hint="eastAsia" w:ascii="宋体" w:hAnsi="宋体" w:cs="宋体"/>
                <w:szCs w:val="21"/>
              </w:rPr>
              <w:t>联   系   人：崔方明</w:t>
            </w:r>
            <w:r>
              <w:rPr>
                <w:rFonts w:hint="eastAsia" w:ascii="宋体" w:hAnsi="宋体" w:cs="宋体"/>
                <w:szCs w:val="21"/>
                <w:lang w:val="en-US" w:eastAsia="zh-CN"/>
              </w:rPr>
              <w:t xml:space="preserve"> </w:t>
            </w:r>
            <w:r>
              <w:rPr>
                <w:rFonts w:hint="eastAsia" w:ascii="宋体" w:hAnsi="宋体" w:cs="宋体"/>
                <w:szCs w:val="21"/>
              </w:rPr>
              <w:t>许芳芳</w:t>
            </w:r>
            <w:r>
              <w:rPr>
                <w:rFonts w:hint="eastAsia" w:ascii="宋体" w:hAnsi="宋体" w:cs="宋体"/>
                <w:szCs w:val="21"/>
                <w:lang w:val="en-US" w:eastAsia="zh-CN"/>
              </w:rPr>
              <w:t xml:space="preserve"> </w:t>
            </w:r>
            <w:r>
              <w:rPr>
                <w:rFonts w:hint="eastAsia" w:ascii="宋体" w:hAnsi="宋体" w:cs="宋体"/>
                <w:szCs w:val="21"/>
                <w:lang w:eastAsia="zh-CN"/>
              </w:rPr>
              <w:t>赵志文</w:t>
            </w:r>
            <w:r>
              <w:rPr>
                <w:rFonts w:hint="eastAsia" w:ascii="宋体" w:hAnsi="宋体" w:cs="宋体"/>
                <w:szCs w:val="21"/>
                <w:lang w:val="en-US" w:eastAsia="zh-CN"/>
              </w:rPr>
              <w:t xml:space="preserve"> </w:t>
            </w:r>
            <w:r>
              <w:rPr>
                <w:rFonts w:hint="eastAsia" w:ascii="宋体" w:hAnsi="宋体" w:cs="宋体"/>
                <w:szCs w:val="21"/>
                <w:lang w:eastAsia="zh-CN"/>
              </w:rPr>
              <w:t>刘嘉辉</w:t>
            </w:r>
          </w:p>
          <w:p>
            <w:pPr>
              <w:spacing w:line="360" w:lineRule="auto"/>
              <w:jc w:val="left"/>
              <w:rPr>
                <w:rFonts w:ascii="宋体" w:hAnsi="宋体" w:cs="宋体"/>
                <w:szCs w:val="21"/>
              </w:rPr>
            </w:pPr>
            <w:r>
              <w:rPr>
                <w:rFonts w:hint="eastAsia" w:ascii="宋体" w:hAnsi="宋体" w:cs="宋体"/>
                <w:szCs w:val="21"/>
              </w:rPr>
              <w:t>电        话：029-88319689-804/811</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4</w:t>
            </w:r>
          </w:p>
        </w:tc>
        <w:tc>
          <w:tcPr>
            <w:tcW w:w="1062" w:type="dxa"/>
            <w:vAlign w:val="center"/>
          </w:tcPr>
          <w:p>
            <w:pPr>
              <w:spacing w:line="360" w:lineRule="auto"/>
              <w:rPr>
                <w:rFonts w:ascii="宋体" w:hAnsi="宋体" w:cs="宋体"/>
                <w:szCs w:val="21"/>
              </w:rPr>
            </w:pPr>
            <w:r>
              <w:rPr>
                <w:rFonts w:hint="eastAsia" w:ascii="宋体" w:hAnsi="宋体" w:cs="宋体"/>
                <w:szCs w:val="21"/>
              </w:rPr>
              <w:t>联合体形式</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 xml:space="preserve">不接受联合体磋商。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5</w:t>
            </w:r>
          </w:p>
        </w:tc>
        <w:tc>
          <w:tcPr>
            <w:tcW w:w="1062" w:type="dxa"/>
            <w:vAlign w:val="center"/>
          </w:tcPr>
          <w:p>
            <w:pPr>
              <w:pStyle w:val="89"/>
              <w:ind w:left="38"/>
              <w:jc w:val="center"/>
              <w:rPr>
                <w:sz w:val="21"/>
                <w:szCs w:val="21"/>
                <w:lang w:val="zh-CN"/>
              </w:rPr>
            </w:pPr>
            <w:r>
              <w:rPr>
                <w:rFonts w:hint="eastAsia"/>
                <w:sz w:val="21"/>
                <w:szCs w:val="21"/>
                <w:lang w:val="zh-CN"/>
              </w:rPr>
              <w:t>资金来源</w:t>
            </w:r>
          </w:p>
        </w:tc>
        <w:tc>
          <w:tcPr>
            <w:tcW w:w="7359" w:type="dxa"/>
            <w:vAlign w:val="center"/>
          </w:tcPr>
          <w:p>
            <w:pPr>
              <w:spacing w:line="360" w:lineRule="auto"/>
              <w:ind w:firstLine="105" w:firstLineChars="50"/>
              <w:rPr>
                <w:rFonts w:ascii="宋体" w:hAnsi="宋体"/>
              </w:rPr>
            </w:pPr>
            <w:r>
              <w:rPr>
                <w:rFonts w:hint="eastAsia" w:ascii="宋体" w:hAnsi="宋体"/>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1"/>
                <w:sz w:val="14"/>
                <w:szCs w:val="21"/>
              </w:rPr>
              <w:instrText xml:space="preserve">√</w:instrText>
            </w:r>
            <w:r>
              <w:rPr>
                <w:rFonts w:hint="eastAsia" w:ascii="宋体" w:hAnsi="宋体"/>
                <w:szCs w:val="21"/>
              </w:rPr>
              <w:instrText xml:space="preserve">)</w:instrText>
            </w:r>
            <w:r>
              <w:rPr>
                <w:rFonts w:ascii="宋体" w:hAnsi="宋体"/>
                <w:szCs w:val="21"/>
              </w:rPr>
              <w:fldChar w:fldCharType="end"/>
            </w:r>
            <w:r>
              <w:rPr>
                <w:rFonts w:hint="eastAsia" w:ascii="宋体" w:hAnsi="宋体"/>
                <w:szCs w:val="21"/>
              </w:rPr>
              <w:t xml:space="preserve"> </w:t>
            </w:r>
            <w:r>
              <w:rPr>
                <w:rFonts w:hint="eastAsia" w:ascii="宋体" w:hAnsi="宋体"/>
              </w:rPr>
              <w:t>财政预算</w:t>
            </w:r>
          </w:p>
          <w:p>
            <w:pPr>
              <w:spacing w:line="360" w:lineRule="auto"/>
              <w:ind w:firstLine="210" w:firstLineChars="100"/>
              <w:rPr>
                <w:rFonts w:ascii="宋体" w:hAnsi="宋体"/>
              </w:rPr>
            </w:pPr>
            <w:r>
              <w:rPr>
                <w:rFonts w:hint="eastAsia"/>
                <w:szCs w:val="21"/>
              </w:rPr>
              <w:t xml:space="preserve">□ </w:t>
            </w:r>
            <w:r>
              <w:rPr>
                <w:rFonts w:hint="eastAsia" w:ascii="宋体" w:hAnsi="宋体"/>
              </w:rPr>
              <w:t xml:space="preserve">单位自筹 </w:t>
            </w:r>
          </w:p>
          <w:p>
            <w:pPr>
              <w:spacing w:line="360" w:lineRule="auto"/>
              <w:ind w:firstLine="210" w:firstLineChars="100"/>
              <w:rPr>
                <w:rFonts w:ascii="宋体" w:hAnsi="宋体"/>
              </w:rPr>
            </w:pPr>
            <w:r>
              <w:rPr>
                <w:rFonts w:hint="eastAsia"/>
                <w:szCs w:val="21"/>
              </w:rPr>
              <w:t xml:space="preserve">□ </w:t>
            </w:r>
            <w:r>
              <w:rPr>
                <w:rFonts w:hint="eastAsia" w:ascii="宋体" w:hAnsi="宋体"/>
              </w:rPr>
              <w:t>财政预算和单位自筹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6</w:t>
            </w:r>
          </w:p>
        </w:tc>
        <w:tc>
          <w:tcPr>
            <w:tcW w:w="1062" w:type="dxa"/>
            <w:vAlign w:val="center"/>
          </w:tcPr>
          <w:p>
            <w:pPr>
              <w:spacing w:line="360" w:lineRule="auto"/>
              <w:rPr>
                <w:rFonts w:ascii="宋体" w:hAnsi="宋体" w:cs="宋体"/>
                <w:szCs w:val="21"/>
              </w:rPr>
            </w:pPr>
            <w:r>
              <w:rPr>
                <w:rFonts w:hint="eastAsia" w:ascii="宋体" w:hAnsi="宋体" w:cs="宋体"/>
                <w:szCs w:val="21"/>
              </w:rPr>
              <w:t>备 选</w:t>
            </w:r>
          </w:p>
          <w:p>
            <w:pPr>
              <w:spacing w:line="360" w:lineRule="auto"/>
              <w:rPr>
                <w:rFonts w:ascii="宋体" w:hAnsi="宋体" w:cs="宋体"/>
                <w:szCs w:val="21"/>
              </w:rPr>
            </w:pPr>
            <w:r>
              <w:rPr>
                <w:rFonts w:hint="eastAsia" w:ascii="宋体" w:hAnsi="宋体" w:cs="宋体"/>
                <w:szCs w:val="21"/>
              </w:rPr>
              <w:t>方 案</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7</w:t>
            </w:r>
          </w:p>
        </w:tc>
        <w:tc>
          <w:tcPr>
            <w:tcW w:w="1062" w:type="dxa"/>
            <w:vAlign w:val="center"/>
          </w:tcPr>
          <w:p>
            <w:pPr>
              <w:spacing w:line="360" w:lineRule="auto"/>
              <w:rPr>
                <w:rFonts w:ascii="宋体" w:hAnsi="宋体" w:cs="宋体"/>
                <w:szCs w:val="21"/>
              </w:rPr>
            </w:pPr>
            <w:r>
              <w:rPr>
                <w:rFonts w:hint="eastAsia" w:asciiTheme="minorEastAsia" w:hAnsiTheme="minorEastAsia" w:cstheme="minorEastAsia"/>
                <w:szCs w:val="21"/>
              </w:rPr>
              <w:t>标段</w:t>
            </w:r>
          </w:p>
        </w:tc>
        <w:tc>
          <w:tcPr>
            <w:tcW w:w="7359" w:type="dxa"/>
            <w:vAlign w:val="center"/>
          </w:tcPr>
          <w:p>
            <w:pPr>
              <w:spacing w:line="360" w:lineRule="auto"/>
              <w:rPr>
                <w:rFonts w:ascii="宋体" w:hAnsi="宋体" w:cs="宋体"/>
                <w:szCs w:val="21"/>
              </w:rPr>
            </w:pPr>
            <w:r>
              <w:rPr>
                <w:rFonts w:hint="eastAsia" w:ascii="宋体" w:hAnsi="宋体" w:cs="宋体"/>
                <w:szCs w:val="21"/>
              </w:rPr>
              <w:t>本次采购不分标段，投标人可根据自身的资质情况和经营范围对本项目进行投标，不得自行分解或只对本次项目中的品目进行不完全投标，任何不完全的投标将按无效投标处理。</w:t>
            </w:r>
            <w:r>
              <w:rPr>
                <w:rFonts w:hint="eastAsia" w:asciiTheme="minorEastAsia" w:hAnsiTheme="minorEastAsia" w:cstheme="minor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8</w:t>
            </w:r>
          </w:p>
        </w:tc>
        <w:tc>
          <w:tcPr>
            <w:tcW w:w="1062" w:type="dxa"/>
            <w:vAlign w:val="center"/>
          </w:tcPr>
          <w:p>
            <w:pPr>
              <w:pStyle w:val="89"/>
              <w:ind w:left="96"/>
              <w:rPr>
                <w:sz w:val="21"/>
                <w:szCs w:val="21"/>
              </w:rPr>
            </w:pPr>
            <w:r>
              <w:rPr>
                <w:rFonts w:hint="eastAsia"/>
                <w:sz w:val="21"/>
                <w:szCs w:val="21"/>
              </w:rPr>
              <w:t>工期</w:t>
            </w:r>
          </w:p>
        </w:tc>
        <w:tc>
          <w:tcPr>
            <w:tcW w:w="7359" w:type="dxa"/>
            <w:vAlign w:val="center"/>
          </w:tcPr>
          <w:p>
            <w:pPr>
              <w:pStyle w:val="89"/>
              <w:spacing w:line="360" w:lineRule="auto"/>
              <w:rPr>
                <w:color w:val="000000"/>
                <w:sz w:val="21"/>
                <w:szCs w:val="21"/>
                <w:lang w:val="zh-CN"/>
              </w:rPr>
            </w:pPr>
            <w:r>
              <w:rPr>
                <w:rFonts w:hint="eastAsia"/>
                <w:color w:val="000000" w:themeColor="text1"/>
                <w:sz w:val="21"/>
                <w:szCs w:val="21"/>
                <w:lang w:val="zh-CN"/>
                <w14:textFill>
                  <w14:solidFill>
                    <w14:schemeClr w14:val="tx1"/>
                  </w14:solidFill>
                </w14:textFill>
              </w:rPr>
              <w:t>自合同签订之日起</w:t>
            </w:r>
            <w:r>
              <w:rPr>
                <w:rFonts w:hint="eastAsia"/>
                <w:color w:val="000000" w:themeColor="text1"/>
                <w:sz w:val="21"/>
                <w:szCs w:val="21"/>
                <w14:textFill>
                  <w14:solidFill>
                    <w14:schemeClr w14:val="tx1"/>
                  </w14:solidFill>
                </w14:textFill>
              </w:rPr>
              <w:t>30</w:t>
            </w:r>
            <w:r>
              <w:rPr>
                <w:rFonts w:hint="eastAsia"/>
                <w:color w:val="000000" w:themeColor="text1"/>
                <w:sz w:val="21"/>
                <w:szCs w:val="21"/>
                <w:lang w:val="zh-CN"/>
                <w14:textFill>
                  <w14:solidFill>
                    <w14:schemeClr w14:val="tx1"/>
                  </w14:solidFill>
                </w14:textFill>
              </w:rPr>
              <w:t>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9</w:t>
            </w:r>
          </w:p>
        </w:tc>
        <w:tc>
          <w:tcPr>
            <w:tcW w:w="1062" w:type="dxa"/>
            <w:vAlign w:val="center"/>
          </w:tcPr>
          <w:p>
            <w:pPr>
              <w:pStyle w:val="89"/>
              <w:ind w:left="96"/>
              <w:rPr>
                <w:color w:val="000000"/>
                <w:sz w:val="21"/>
                <w:szCs w:val="21"/>
                <w:lang w:val="zh-CN"/>
              </w:rPr>
            </w:pPr>
            <w:r>
              <w:rPr>
                <w:rFonts w:hint="eastAsia"/>
                <w:color w:val="000000"/>
                <w:sz w:val="21"/>
                <w:szCs w:val="21"/>
                <w:lang w:val="zh-CN"/>
              </w:rPr>
              <w:t>服务地点</w:t>
            </w:r>
          </w:p>
        </w:tc>
        <w:tc>
          <w:tcPr>
            <w:tcW w:w="7359" w:type="dxa"/>
            <w:vAlign w:val="center"/>
          </w:tcPr>
          <w:p>
            <w:pPr>
              <w:pStyle w:val="89"/>
              <w:spacing w:line="360" w:lineRule="auto"/>
              <w:rPr>
                <w:color w:val="000000"/>
                <w:sz w:val="21"/>
                <w:szCs w:val="21"/>
                <w:lang w:val="zh-CN"/>
              </w:rPr>
            </w:pPr>
            <w:r>
              <w:rPr>
                <w:rFonts w:hint="eastAsia"/>
                <w:color w:val="000000"/>
                <w:sz w:val="21"/>
                <w:szCs w:val="21"/>
                <w:lang w:val="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10</w:t>
            </w:r>
          </w:p>
        </w:tc>
        <w:tc>
          <w:tcPr>
            <w:tcW w:w="1062" w:type="dxa"/>
            <w:vAlign w:val="center"/>
          </w:tcPr>
          <w:p>
            <w:pPr>
              <w:spacing w:line="360" w:lineRule="auto"/>
              <w:rPr>
                <w:rFonts w:ascii="宋体" w:hAnsi="宋体" w:cs="宋体"/>
                <w:szCs w:val="21"/>
              </w:rPr>
            </w:pPr>
            <w:r>
              <w:rPr>
                <w:rFonts w:hint="eastAsia" w:ascii="宋体" w:hAnsi="宋体" w:cs="宋体"/>
                <w:szCs w:val="21"/>
              </w:rPr>
              <w:t>磋 商</w:t>
            </w:r>
          </w:p>
          <w:p>
            <w:pPr>
              <w:spacing w:line="360" w:lineRule="auto"/>
              <w:rPr>
                <w:rFonts w:ascii="宋体" w:hAnsi="宋体" w:cs="宋体"/>
                <w:szCs w:val="21"/>
              </w:rPr>
            </w:pPr>
            <w:r>
              <w:rPr>
                <w:rFonts w:hint="eastAsia" w:ascii="宋体" w:hAnsi="宋体" w:cs="宋体"/>
                <w:szCs w:val="21"/>
              </w:rPr>
              <w:t>有效期</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自磋商响应文件递交截止之日起90日历日。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499" w:type="dxa"/>
            <w:vAlign w:val="center"/>
          </w:tcPr>
          <w:p>
            <w:pPr>
              <w:jc w:val="center"/>
              <w:rPr>
                <w:rFonts w:ascii="宋体" w:hAnsi="宋体" w:cs="宋体"/>
                <w:szCs w:val="21"/>
              </w:rPr>
            </w:pPr>
            <w:r>
              <w:rPr>
                <w:rFonts w:hint="eastAsia" w:ascii="宋体" w:hAnsi="宋体" w:cs="宋体"/>
                <w:szCs w:val="21"/>
              </w:rPr>
              <w:t>11</w:t>
            </w:r>
          </w:p>
        </w:tc>
        <w:tc>
          <w:tcPr>
            <w:tcW w:w="1062" w:type="dxa"/>
            <w:vAlign w:val="center"/>
          </w:tcPr>
          <w:p>
            <w:pPr>
              <w:jc w:val="left"/>
              <w:rPr>
                <w:rFonts w:ascii="宋体" w:hAnsi="宋体" w:cs="宋体"/>
                <w:szCs w:val="21"/>
              </w:rPr>
            </w:pPr>
            <w:r>
              <w:rPr>
                <w:rFonts w:hint="eastAsia" w:ascii="宋体" w:hAnsi="宋体" w:cs="宋体"/>
                <w:szCs w:val="21"/>
              </w:rPr>
              <w:t>资 格</w:t>
            </w:r>
          </w:p>
          <w:p>
            <w:pPr>
              <w:jc w:val="left"/>
              <w:rPr>
                <w:rFonts w:ascii="宋体" w:hAnsi="宋体" w:cs="宋体"/>
                <w:szCs w:val="21"/>
              </w:rPr>
            </w:pPr>
            <w:r>
              <w:rPr>
                <w:rFonts w:hint="eastAsia" w:ascii="宋体" w:hAnsi="宋体" w:cs="宋体"/>
                <w:szCs w:val="21"/>
              </w:rPr>
              <w:t>要 求</w:t>
            </w:r>
          </w:p>
        </w:tc>
        <w:tc>
          <w:tcPr>
            <w:tcW w:w="7359" w:type="dxa"/>
          </w:tcPr>
          <w:p>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提供复印件加盖供应商鲜章。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w:t>
            </w:r>
            <w:r>
              <w:rPr>
                <w:rFonts w:hint="eastAsia" w:ascii="宋体" w:hAnsi="宋体" w:cs="宋体"/>
                <w:bCs/>
                <w:kern w:val="0"/>
                <w:szCs w:val="21"/>
                <w:lang w:val="en-US" w:eastAsia="zh-CN"/>
              </w:rPr>
              <w:t>1</w:t>
            </w:r>
            <w:r>
              <w:rPr>
                <w:rFonts w:hint="eastAsia" w:ascii="宋体" w:hAnsi="宋体" w:cs="宋体"/>
                <w:bCs/>
                <w:kern w:val="0"/>
                <w:szCs w:val="21"/>
              </w:rPr>
              <w:t>年或202</w:t>
            </w:r>
            <w:r>
              <w:rPr>
                <w:rFonts w:hint="eastAsia" w:ascii="宋体" w:hAnsi="宋体" w:cs="宋体"/>
                <w:bCs/>
                <w:kern w:val="0"/>
                <w:szCs w:val="21"/>
                <w:lang w:val="en-US" w:eastAsia="zh-CN"/>
              </w:rPr>
              <w:t>2</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5、供应商信誉证明：提供在参加政府采购活动前3年内在经营活动中没有重大违法记录，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adjustRightInd w:val="0"/>
              <w:snapToGrid w:val="0"/>
              <w:spacing w:line="360" w:lineRule="auto"/>
              <w:ind w:firstLine="420" w:firstLineChars="200"/>
              <w:rPr>
                <w:bCs/>
              </w:rPr>
            </w:pPr>
            <w:r>
              <w:rPr>
                <w:rFonts w:hint="eastAsia" w:ascii="宋体" w:hAnsi="宋体" w:cs="宋体"/>
                <w:bCs/>
                <w:kern w:val="0"/>
                <w:szCs w:val="21"/>
              </w:rPr>
              <w:t>6、</w:t>
            </w:r>
            <w:r>
              <w:rPr>
                <w:rFonts w:hint="eastAsia" w:ascii="宋体" w:hAnsi="宋体" w:cs="宋体"/>
                <w:b/>
                <w:kern w:val="0"/>
                <w:szCs w:val="21"/>
              </w:rPr>
              <w:t>非法定代表人参加磋商的，须提供法定代表人授权委托书及被授权人身份证原件；法定代表人参加磋商时,只须提供法定代表人身份证原件；</w:t>
            </w:r>
          </w:p>
          <w:p>
            <w:pPr>
              <w:snapToGrid w:val="0"/>
              <w:spacing w:line="360" w:lineRule="auto"/>
              <w:ind w:firstLine="420" w:firstLineChars="200"/>
              <w:jc w:val="left"/>
              <w:textAlignment w:val="baseline"/>
              <w:rPr>
                <w:rFonts w:ascii="宋体" w:hAnsi="宋体" w:cs="宋体"/>
                <w:bCs/>
                <w:kern w:val="0"/>
                <w:sz w:val="21"/>
                <w:szCs w:val="21"/>
                <w:highlight w:val="yellow"/>
              </w:rPr>
            </w:pPr>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、供应商须提供：建设行政主管部门颁发的</w:t>
            </w:r>
            <w:r>
              <w:rPr>
                <w:rFonts w:hint="eastAsia" w:ascii="宋体" w:hAnsi="宋体" w:cs="宋体"/>
                <w:bCs/>
                <w:kern w:val="0"/>
                <w:szCs w:val="21"/>
                <w:highlight w:val="none"/>
                <w:lang w:val="en-US" w:eastAsia="zh-CN"/>
              </w:rPr>
              <w:t>电力工程施工总承包三级（含三级）及以上资质或机电工程施工总承包三级（含三级）</w:t>
            </w:r>
            <w:bookmarkStart w:id="307" w:name="_GoBack"/>
            <w:bookmarkEnd w:id="307"/>
            <w:r>
              <w:rPr>
                <w:rFonts w:hint="eastAsia" w:ascii="宋体" w:hAnsi="宋体" w:cs="宋体"/>
                <w:bCs/>
                <w:kern w:val="0"/>
                <w:szCs w:val="21"/>
                <w:highlight w:val="none"/>
                <w:lang w:val="en-US" w:eastAsia="zh-CN"/>
              </w:rPr>
              <w:t>及以上资质</w:t>
            </w:r>
            <w:r>
              <w:rPr>
                <w:rFonts w:hint="eastAsia" w:ascii="宋体" w:hAnsi="宋体" w:cs="宋体"/>
                <w:bCs/>
                <w:kern w:val="0"/>
                <w:szCs w:val="21"/>
                <w:highlight w:val="none"/>
              </w:rPr>
              <w:t>，且具备有效的安全生产许可证；</w:t>
            </w:r>
            <w:r>
              <w:rPr>
                <w:rFonts w:hint="eastAsia" w:cstheme="minorBidi"/>
                <w:b/>
                <w:bCs/>
                <w:sz w:val="21"/>
                <w:szCs w:val="21"/>
                <w:highlight w:val="none"/>
              </w:rPr>
              <w:t>提供复印件加盖供应商鲜章。</w:t>
            </w:r>
          </w:p>
          <w:p>
            <w:pPr>
              <w:snapToGrid w:val="0"/>
              <w:spacing w:line="360" w:lineRule="auto"/>
              <w:ind w:firstLine="420" w:firstLineChars="200"/>
              <w:jc w:val="left"/>
              <w:textAlignment w:val="baseline"/>
              <w:rPr>
                <w:rFonts w:ascii="宋体" w:hAnsi="宋体" w:cs="宋体"/>
                <w:bCs/>
                <w:kern w:val="0"/>
                <w:sz w:val="21"/>
                <w:szCs w:val="21"/>
              </w:rPr>
            </w:pPr>
            <w:r>
              <w:rPr>
                <w:rFonts w:hint="eastAsia" w:ascii="宋体" w:hAnsi="宋体" w:cs="宋体"/>
                <w:bCs/>
                <w:kern w:val="0"/>
                <w:sz w:val="21"/>
                <w:szCs w:val="21"/>
                <w:lang w:val="en-US" w:eastAsia="zh-CN"/>
              </w:rPr>
              <w:t>8、</w:t>
            </w:r>
            <w:r>
              <w:rPr>
                <w:rFonts w:hint="eastAsia" w:ascii="宋体" w:hAnsi="宋体" w:cs="宋体"/>
                <w:bCs/>
                <w:kern w:val="0"/>
                <w:sz w:val="21"/>
                <w:szCs w:val="21"/>
              </w:rPr>
              <w:t>项目经理需具备</w:t>
            </w:r>
            <w:r>
              <w:rPr>
                <w:rFonts w:hint="eastAsia" w:ascii="宋体" w:hAnsi="宋体" w:cs="宋体"/>
                <w:bCs/>
                <w:kern w:val="0"/>
                <w:sz w:val="21"/>
                <w:szCs w:val="21"/>
                <w:lang w:val="en-US" w:eastAsia="zh-CN"/>
              </w:rPr>
              <w:t>机电工程</w:t>
            </w:r>
            <w:r>
              <w:rPr>
                <w:rFonts w:hint="eastAsia" w:ascii="宋体" w:hAnsi="宋体" w:cs="宋体"/>
                <w:bCs/>
                <w:kern w:val="0"/>
                <w:sz w:val="21"/>
                <w:szCs w:val="21"/>
              </w:rPr>
              <w:t>专业贰级及以上(含贰级)注册建造师证书和安全生产考核合格证（B证），且无在建工程（并提供项目经理社保缴纳证明）；</w:t>
            </w:r>
            <w:r>
              <w:rPr>
                <w:rFonts w:hint="eastAsia" w:cstheme="minorBidi"/>
                <w:b/>
                <w:bCs/>
                <w:sz w:val="21"/>
                <w:szCs w:val="21"/>
              </w:rPr>
              <w:t>提供复印件加盖供应商鲜章。</w:t>
            </w:r>
          </w:p>
          <w:p>
            <w:pPr>
              <w:rPr>
                <w:sz w:val="21"/>
                <w:szCs w:val="21"/>
              </w:rPr>
            </w:pPr>
            <w:r>
              <w:rPr>
                <w:rFonts w:hint="eastAsia" w:ascii="宋体" w:hAnsi="宋体" w:cs="宋体"/>
                <w:bCs/>
                <w:kern w:val="0"/>
                <w:sz w:val="21"/>
                <w:szCs w:val="21"/>
              </w:rPr>
              <w:t xml:space="preserve"> </w:t>
            </w:r>
            <w:r>
              <w:rPr>
                <w:rFonts w:hint="eastAsia" w:ascii="宋体" w:hAnsi="宋体" w:cs="宋体"/>
                <w:bCs/>
                <w:kern w:val="0"/>
                <w:sz w:val="21"/>
                <w:szCs w:val="21"/>
                <w:lang w:val="en-US" w:eastAsia="zh-CN"/>
              </w:rPr>
              <w:t xml:space="preserve">   9、</w:t>
            </w:r>
            <w:r>
              <w:rPr>
                <w:rFonts w:hint="eastAsia" w:ascii="宋体" w:hAnsi="宋体" w:cs="宋体"/>
                <w:bCs/>
                <w:kern w:val="0"/>
                <w:sz w:val="21"/>
                <w:szCs w:val="21"/>
              </w:rPr>
              <w:t>外省企业为陕西省或西安市“建筑市场监管与诚信信息一体化平台”入库企业；</w:t>
            </w:r>
            <w:r>
              <w:rPr>
                <w:rFonts w:hint="eastAsia" w:cstheme="minorBidi"/>
                <w:b/>
                <w:bCs/>
                <w:sz w:val="21"/>
                <w:szCs w:val="21"/>
              </w:rPr>
              <w:t>提供复印件加盖供应商鲜章。</w:t>
            </w:r>
          </w:p>
          <w:p>
            <w:pPr>
              <w:snapToGrid w:val="0"/>
              <w:spacing w:line="360" w:lineRule="auto"/>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10、</w:t>
            </w:r>
            <w:r>
              <w:rPr>
                <w:rFonts w:hint="eastAsia" w:ascii="宋体" w:hAnsi="宋体" w:eastAsia="宋体" w:cs="宋体"/>
                <w:b w:val="0"/>
                <w:bCs w:val="0"/>
                <w:szCs w:val="21"/>
              </w:rPr>
              <w:t>本项目专门面向中小企业采购，供应商应提供中小企业声明函</w:t>
            </w:r>
            <w:r>
              <w:rPr>
                <w:rFonts w:hint="eastAsia" w:ascii="宋体" w:hAnsi="宋体" w:eastAsia="宋体" w:cs="宋体"/>
                <w:b w:val="0"/>
                <w:bCs w:val="0"/>
                <w:szCs w:val="21"/>
                <w:lang w:eastAsia="zh-CN"/>
              </w:rPr>
              <w:t>；</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snapToGrid w:val="0"/>
              <w:spacing w:line="360" w:lineRule="auto"/>
              <w:ind w:firstLine="420" w:firstLineChars="200"/>
              <w:jc w:val="left"/>
              <w:rPr>
                <w:rFonts w:ascii="宋体" w:hAnsi="宋体" w:cs="宋体"/>
                <w:bCs/>
                <w:kern w:val="0"/>
                <w:sz w:val="24"/>
                <w:szCs w:val="24"/>
              </w:rPr>
            </w:pPr>
            <w:r>
              <w:rPr>
                <w:rFonts w:hint="eastAsia" w:ascii="宋体" w:hAnsi="宋体" w:cs="宋体"/>
                <w:bCs/>
                <w:kern w:val="0"/>
                <w:sz w:val="21"/>
                <w:szCs w:val="21"/>
                <w:lang w:val="en-US" w:eastAsia="zh-CN"/>
              </w:rPr>
              <w:t>11、</w:t>
            </w:r>
            <w:r>
              <w:rPr>
                <w:rFonts w:hint="eastAsia" w:ascii="宋体" w:hAnsi="宋体" w:cs="宋体"/>
                <w:bCs/>
                <w:kern w:val="0"/>
                <w:sz w:val="21"/>
                <w:szCs w:val="21"/>
              </w:rPr>
              <w:t>本项目不接受联合体磋商。</w:t>
            </w:r>
          </w:p>
          <w:p>
            <w:pPr>
              <w:adjustRightInd w:val="0"/>
              <w:snapToGrid w:val="0"/>
              <w:spacing w:line="360" w:lineRule="auto"/>
              <w:rPr>
                <w:rFonts w:asciiTheme="minorEastAsia" w:hAnsiTheme="minorEastAsia" w:eastAsiaTheme="minorEastAsia" w:cstheme="minorEastAsia"/>
                <w:b/>
                <w:bCs/>
                <w:szCs w:val="21"/>
              </w:rPr>
            </w:pPr>
            <w:r>
              <w:rPr>
                <w:rFonts w:hint="eastAsia" w:ascii="宋体" w:hAnsi="宋体" w:cs="宋体"/>
                <w:bCs/>
                <w:kern w:val="0"/>
                <w:szCs w:val="21"/>
              </w:rPr>
              <w:t xml:space="preserve"> </w:t>
            </w:r>
            <w:r>
              <w:rPr>
                <w:rFonts w:hint="eastAsia" w:ascii="宋体" w:hAnsi="宋体"/>
                <w:b/>
                <w:bCs/>
                <w:sz w:val="22"/>
              </w:rPr>
              <w:t>注</w:t>
            </w:r>
            <w:r>
              <w:rPr>
                <w:rFonts w:hint="eastAsia" w:asciiTheme="minorEastAsia" w:hAnsiTheme="minorEastAsia" w:eastAsiaTheme="minorEastAsia" w:cstheme="minorEastAsia"/>
                <w:b/>
                <w:bCs/>
                <w:szCs w:val="21"/>
              </w:rPr>
              <w:t>：</w:t>
            </w:r>
          </w:p>
          <w:p>
            <w:pPr>
              <w:pStyle w:val="7"/>
              <w:spacing w:line="360" w:lineRule="auto"/>
              <w:ind w:firstLine="422" w:firstLineChars="200"/>
              <w:rPr>
                <w:rFonts w:asciiTheme="minorEastAsia" w:hAnsiTheme="minorEastAsia" w:eastAsiaTheme="minorEastAsia" w:cstheme="minorEastAsia"/>
                <w:b/>
                <w:bCs/>
                <w:szCs w:val="21"/>
              </w:rPr>
            </w:pPr>
            <w:r>
              <w:rPr>
                <w:rFonts w:cs="Calibri" w:eastAsiaTheme="minorEastAsia"/>
                <w:b/>
                <w:bCs/>
                <w:szCs w:val="21"/>
              </w:rPr>
              <w:t>①</w:t>
            </w:r>
            <w:r>
              <w:rPr>
                <w:rFonts w:hint="eastAsia" w:asciiTheme="minorEastAsia" w:hAnsiTheme="minorEastAsia" w:eastAsiaTheme="minorEastAsia" w:cstheme="minorEastAsia"/>
                <w:b/>
                <w:bCs/>
                <w:szCs w:val="21"/>
              </w:rPr>
              <w:t>供应商应在响应文件正本中附按照上述要求须提供的资格证明文件（身份证原件除外），作为资格审查的依据，资审时凡有一项不合格者，均按无效磋商处理。</w:t>
            </w:r>
          </w:p>
          <w:p>
            <w:pPr>
              <w:pStyle w:val="7"/>
              <w:spacing w:line="360" w:lineRule="auto"/>
              <w:ind w:firstLine="422" w:firstLineChars="200"/>
            </w:pPr>
            <w:r>
              <w:rPr>
                <w:rFonts w:cs="Calibri" w:eastAsiaTheme="minorEastAsia"/>
                <w:b/>
                <w:bCs/>
                <w:szCs w:val="21"/>
              </w:rPr>
              <w:t>②</w:t>
            </w:r>
            <w:r>
              <w:rPr>
                <w:rFonts w:hint="eastAsia" w:asciiTheme="minorEastAsia" w:hAnsiTheme="minorEastAsia" w:eastAsiaTheme="minorEastAsia" w:cstheme="minorEastAsia"/>
                <w:b/>
                <w:bCs/>
                <w:szCs w:val="21"/>
              </w:rPr>
              <w:t>供应商自行承担所提供资格证明文件原件及其复印件的真实性、合法性及有效性，由于供应商未在响应文件中提供或所提供证明材料不合格的，将按无效响应处理。（如供应商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12</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宋体" w:hAnsi="宋体" w:cs="宋体"/>
                <w:szCs w:val="21"/>
              </w:rPr>
            </w:pPr>
            <w:r>
              <w:rPr>
                <w:rFonts w:hint="eastAsia" w:ascii="宋体" w:hAnsi="宋体" w:cs="宋体"/>
                <w:color w:val="000000"/>
                <w:szCs w:val="21"/>
              </w:rPr>
              <w:t>保证金</w:t>
            </w:r>
          </w:p>
        </w:tc>
        <w:tc>
          <w:tcPr>
            <w:tcW w:w="7359" w:type="dxa"/>
          </w:tcPr>
          <w:p>
            <w:pPr>
              <w:spacing w:line="360" w:lineRule="auto"/>
              <w:jc w:val="left"/>
              <w:rPr>
                <w:rFonts w:ascii="宋体" w:hAnsi="宋体" w:cs="宋体"/>
                <w:szCs w:val="21"/>
              </w:rPr>
            </w:pPr>
            <w:r>
              <w:rPr>
                <w:rFonts w:hint="eastAsia" w:ascii="宋体" w:hAnsi="宋体" w:cs="宋体"/>
                <w:color w:val="000000"/>
                <w:szCs w:val="21"/>
              </w:rPr>
              <w:t>磋商保证金为</w:t>
            </w:r>
            <w:r>
              <w:rPr>
                <w:rFonts w:hint="eastAsia" w:ascii="宋体" w:hAnsi="宋体" w:cs="宋体"/>
                <w:szCs w:val="21"/>
              </w:rPr>
              <w:t>:</w:t>
            </w:r>
            <w:r>
              <w:rPr>
                <w:rFonts w:hint="eastAsia" w:ascii="宋体" w:hAnsi="宋体" w:cs="宋体"/>
                <w:b/>
                <w:bCs/>
                <w:color w:val="000000"/>
                <w:szCs w:val="21"/>
              </w:rPr>
              <w:t>人</w:t>
            </w:r>
            <w:r>
              <w:rPr>
                <w:rFonts w:hint="eastAsia" w:ascii="宋体" w:hAnsi="宋体" w:cs="宋体"/>
                <w:b/>
                <w:bCs/>
                <w:szCs w:val="21"/>
              </w:rPr>
              <w:t>民币</w:t>
            </w:r>
            <w:r>
              <w:rPr>
                <w:rFonts w:hint="eastAsia" w:ascii="宋体" w:hAnsi="宋体" w:cs="宋体"/>
                <w:b/>
                <w:bCs/>
                <w:szCs w:val="21"/>
                <w:lang w:eastAsia="zh-CN"/>
              </w:rPr>
              <w:t>壹万</w:t>
            </w:r>
            <w:r>
              <w:rPr>
                <w:rFonts w:hint="eastAsia" w:ascii="宋体" w:hAnsi="宋体" w:cs="宋体"/>
                <w:b/>
                <w:bCs/>
                <w:szCs w:val="21"/>
              </w:rPr>
              <w:t>伍仟元整（</w:t>
            </w:r>
            <w:r>
              <w:rPr>
                <w:rFonts w:hint="eastAsia" w:ascii="宋体" w:hAnsi="宋体" w:cs="宋体"/>
                <w:b/>
                <w:bCs/>
                <w:szCs w:val="21"/>
                <w:lang w:val="en-US" w:eastAsia="zh-CN"/>
              </w:rPr>
              <w:t>1</w:t>
            </w:r>
            <w:r>
              <w:rPr>
                <w:rFonts w:hint="eastAsia" w:ascii="宋体" w:hAnsi="宋体" w:cs="宋体"/>
                <w:b/>
                <w:bCs/>
                <w:szCs w:val="21"/>
              </w:rPr>
              <w:t>5000元）</w:t>
            </w:r>
          </w:p>
          <w:p>
            <w:pPr>
              <w:spacing w:line="360" w:lineRule="auto"/>
              <w:ind w:firstLine="422" w:firstLineChars="200"/>
              <w:jc w:val="left"/>
              <w:rPr>
                <w:rFonts w:ascii="宋体" w:hAnsi="宋体" w:cs="宋体"/>
                <w:szCs w:val="21"/>
              </w:rPr>
            </w:pPr>
            <w:r>
              <w:rPr>
                <w:rFonts w:hint="eastAsia" w:ascii="宋体" w:hAnsi="宋体" w:cs="宋体"/>
                <w:b/>
                <w:bCs/>
                <w:szCs w:val="21"/>
              </w:rPr>
              <w:t>磋商保证金</w:t>
            </w:r>
            <w:r>
              <w:rPr>
                <w:rFonts w:hint="eastAsia" w:ascii="宋体" w:hAnsi="宋体" w:cs="宋体"/>
                <w:szCs w:val="21"/>
              </w:rPr>
              <w:t>采用银行对公转账、电汇等非现金的形式对公形式交纳，磋商保证金交纳截止时间为磋商前（以到账时间为准），</w:t>
            </w:r>
            <w:r>
              <w:rPr>
                <w:rFonts w:hint="eastAsia" w:ascii="宋体" w:hAnsi="宋体" w:cs="宋体"/>
                <w:b/>
                <w:bCs/>
                <w:szCs w:val="21"/>
              </w:rPr>
              <w:t>且应在开标前致电代理机构财务部门确认保证金到账情况，须在响应文件中附保证金汇款凭证（复印件加盖公章）（注：磋商保证金以供应商名称汇款，不允许以个人名义交纳）。</w:t>
            </w:r>
          </w:p>
          <w:p>
            <w:pPr>
              <w:spacing w:line="360" w:lineRule="auto"/>
              <w:jc w:val="left"/>
              <w:rPr>
                <w:rFonts w:ascii="宋体" w:hAnsi="宋体" w:cs="宋体"/>
                <w:b/>
                <w:bCs/>
                <w:szCs w:val="21"/>
              </w:rPr>
            </w:pPr>
            <w:r>
              <w:rPr>
                <w:rFonts w:hint="eastAsia" w:ascii="宋体" w:hAnsi="宋体" w:cs="宋体"/>
                <w:b/>
                <w:bCs/>
                <w:szCs w:val="21"/>
              </w:rPr>
              <w:t>户    名：陕西万泽招标有限公司</w:t>
            </w:r>
          </w:p>
          <w:p>
            <w:pPr>
              <w:spacing w:line="360" w:lineRule="auto"/>
              <w:jc w:val="left"/>
              <w:rPr>
                <w:rFonts w:ascii="宋体" w:hAnsi="宋体" w:cs="宋体"/>
                <w:b/>
                <w:bCs/>
                <w:szCs w:val="21"/>
              </w:rPr>
            </w:pPr>
            <w:r>
              <w:rPr>
                <w:rFonts w:hint="eastAsia" w:ascii="宋体" w:hAnsi="宋体" w:cs="宋体"/>
                <w:b/>
                <w:bCs/>
                <w:szCs w:val="21"/>
              </w:rPr>
              <w:t>开户行名称：西安银行朝阳门支行</w:t>
            </w:r>
          </w:p>
          <w:p>
            <w:pPr>
              <w:spacing w:line="360" w:lineRule="auto"/>
              <w:jc w:val="left"/>
              <w:rPr>
                <w:rFonts w:ascii="宋体" w:hAnsi="宋体" w:cs="宋体"/>
                <w:b/>
                <w:bCs/>
                <w:szCs w:val="21"/>
              </w:rPr>
            </w:pPr>
            <w:r>
              <w:rPr>
                <w:rFonts w:hint="eastAsia" w:ascii="宋体" w:hAnsi="宋体" w:cs="宋体"/>
                <w:b/>
                <w:bCs/>
                <w:szCs w:val="21"/>
              </w:rPr>
              <w:t>账    号：211011580000015489</w:t>
            </w:r>
          </w:p>
          <w:p>
            <w:pPr>
              <w:spacing w:line="500" w:lineRule="exact"/>
              <w:jc w:val="left"/>
              <w:rPr>
                <w:rFonts w:ascii="宋体" w:hAnsi="宋体" w:cs="宋体"/>
                <w:b/>
                <w:bCs/>
                <w:szCs w:val="21"/>
              </w:rPr>
            </w:pPr>
            <w:r>
              <w:rPr>
                <w:rFonts w:hint="eastAsia" w:ascii="宋体" w:hAnsi="宋体" w:cs="宋体"/>
                <w:b/>
                <w:bCs/>
                <w:szCs w:val="21"/>
              </w:rPr>
              <w:t>咨询电话：苏老师 029-88319689-808</w:t>
            </w:r>
          </w:p>
          <w:p>
            <w:pPr>
              <w:spacing w:line="500" w:lineRule="exact"/>
              <w:jc w:val="left"/>
              <w:rPr>
                <w:rFonts w:ascii="宋体" w:hAnsi="宋体" w:cs="宋体"/>
                <w:szCs w:val="21"/>
              </w:rPr>
            </w:pPr>
            <w:r>
              <w:rPr>
                <w:rFonts w:hint="eastAsia" w:ascii="宋体" w:hAnsi="宋体" w:cs="宋体"/>
                <w:b/>
                <w:bCs/>
                <w:szCs w:val="21"/>
              </w:rPr>
              <w:t>转账事由：西安医学院-</w:t>
            </w:r>
            <w:r>
              <w:rPr>
                <w:rFonts w:hint="eastAsia" w:ascii="宋体" w:hAnsi="宋体" w:cs="宋体"/>
                <w:b/>
                <w:bCs/>
                <w:szCs w:val="21"/>
                <w:lang w:val="en-US" w:eastAsia="zh-CN"/>
              </w:rPr>
              <w:t>055R</w:t>
            </w:r>
            <w:r>
              <w:rPr>
                <w:rFonts w:hint="eastAsia" w:ascii="宋体" w:hAnsi="宋体" w:cs="宋体"/>
                <w:b/>
                <w:bCs/>
                <w:szCs w:val="21"/>
              </w:rPr>
              <w:t>磋商保证金（按照要求填写转账事由）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Merge w:val="restart"/>
            <w:vAlign w:val="center"/>
          </w:tcPr>
          <w:p>
            <w:pPr>
              <w:jc w:val="center"/>
              <w:rPr>
                <w:rFonts w:ascii="宋体" w:hAnsi="宋体" w:cs="宋体"/>
                <w:szCs w:val="21"/>
              </w:rPr>
            </w:pPr>
            <w:r>
              <w:rPr>
                <w:rFonts w:hint="eastAsia" w:ascii="宋体" w:hAnsi="宋体" w:cs="宋体"/>
                <w:szCs w:val="21"/>
              </w:rPr>
              <w:t>13</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kern w:val="0"/>
                <w:szCs w:val="21"/>
              </w:rPr>
              <w:t>支持中小企业发展</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非专门面向中小企业采购项目(价格扣除)：</w:t>
            </w:r>
          </w:p>
          <w:p>
            <w:pPr>
              <w:spacing w:line="360" w:lineRule="auto"/>
              <w:ind w:firstLine="420" w:firstLineChars="200"/>
              <w:jc w:val="left"/>
              <w:rPr>
                <w:rFonts w:ascii="宋体" w:hAnsi="宋体" w:cs="宋体"/>
                <w:b/>
                <w:bCs/>
                <w:szCs w:val="21"/>
              </w:rPr>
            </w:pPr>
            <w:r>
              <w:rPr>
                <w:rFonts w:hint="eastAsia" w:ascii="宋体" w:hAnsi="宋体" w:cs="宋体"/>
                <w:kern w:val="0"/>
                <w:szCs w:val="21"/>
              </w:rPr>
              <w:t>对小型和微型企业的价格给予3%～5%的扣除，用扣除后的价格参与评审。本项目的扣除比例为：小型企业扣除3%，微型企业扣除3%。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99" w:type="dxa"/>
            <w:vMerge w:val="continue"/>
            <w:vAlign w:val="center"/>
          </w:tcPr>
          <w:p>
            <w:pPr>
              <w:jc w:val="center"/>
              <w:rPr>
                <w:rFonts w:ascii="宋体" w:hAnsi="宋体" w:cs="宋体"/>
                <w:szCs w:val="21"/>
              </w:rPr>
            </w:pPr>
          </w:p>
        </w:tc>
        <w:tc>
          <w:tcPr>
            <w:tcW w:w="1062" w:type="dxa"/>
            <w:vAlign w:val="center"/>
          </w:tcPr>
          <w:p>
            <w:pPr>
              <w:spacing w:line="360" w:lineRule="auto"/>
              <w:ind w:left="420" w:hanging="420" w:hangingChars="200"/>
              <w:jc w:val="center"/>
              <w:rPr>
                <w:rFonts w:ascii="宋体" w:hAnsi="宋体" w:cs="宋体"/>
                <w:color w:val="000000"/>
                <w:szCs w:val="21"/>
              </w:rPr>
            </w:pPr>
            <w:r>
              <w:rPr>
                <w:rFonts w:hint="eastAsia" w:ascii="宋体" w:hAnsi="宋体" w:cs="宋体"/>
                <w:kern w:val="0"/>
                <w:szCs w:val="21"/>
              </w:rPr>
              <w:t>支持监狱企业</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1、非专门面向监狱采购项目(价格扣除)：监狱企业可视同小微企业在价格评审时给予3%～5%的扣除，用扣除后的价格参与评审。本项目的扣除比例为：扣除3%。</w:t>
            </w:r>
          </w:p>
          <w:p>
            <w:pPr>
              <w:spacing w:line="360" w:lineRule="auto"/>
              <w:ind w:firstLine="420" w:firstLineChars="200"/>
              <w:jc w:val="left"/>
              <w:rPr>
                <w:rFonts w:ascii="宋体" w:hAnsi="宋体" w:cs="宋体"/>
                <w:b/>
                <w:bCs/>
                <w:szCs w:val="21"/>
              </w:rPr>
            </w:pPr>
            <w:r>
              <w:rPr>
                <w:rFonts w:hint="eastAsia" w:ascii="宋体" w:hAnsi="宋体" w:cs="宋体"/>
                <w:kern w:val="0"/>
                <w:szCs w:val="21"/>
              </w:rPr>
              <w:t>2、监狱企业属于小型、微型企业的，不重复享受政策。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14</w:t>
            </w:r>
          </w:p>
        </w:tc>
        <w:tc>
          <w:tcPr>
            <w:tcW w:w="1062" w:type="dxa"/>
            <w:vAlign w:val="center"/>
          </w:tcPr>
          <w:p>
            <w:pPr>
              <w:spacing w:line="360" w:lineRule="auto"/>
              <w:jc w:val="center"/>
              <w:rPr>
                <w:color w:val="000000"/>
                <w:szCs w:val="21"/>
                <w:lang w:val="zh-CN"/>
              </w:rPr>
            </w:pPr>
            <w:r>
              <w:rPr>
                <w:rFonts w:hint="eastAsia" w:ascii="宋体" w:hAnsi="宋体" w:cs="宋体"/>
                <w:kern w:val="0"/>
                <w:szCs w:val="21"/>
              </w:rPr>
              <w:t>其他法律法规强制性规定或扶持政策</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残疾人福利性单位可视同小微企业在价格评审时给予3%～5%的扣除，用扣除后的价格参与评审。</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本项目的扣除比例为：扣除3%；但应满足下列条件：</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1、残疾人福利性单位应符合《财政部、民政部、中国残疾人联合会关于促进残疾人就业政府采购政策的通知》（财库[2017]141号）文件规定，并提供《残疾人福利性单位声明函》。</w:t>
            </w:r>
          </w:p>
          <w:p>
            <w:pPr>
              <w:spacing w:line="360" w:lineRule="auto"/>
              <w:ind w:firstLine="420" w:firstLineChars="200"/>
              <w:jc w:val="left"/>
              <w:rPr>
                <w:color w:val="000000"/>
                <w:szCs w:val="21"/>
                <w:lang w:val="zh-CN"/>
              </w:rPr>
            </w:pPr>
            <w:r>
              <w:rPr>
                <w:rFonts w:hint="eastAsia" w:ascii="宋体" w:hAnsi="宋体" w:cs="宋体"/>
                <w:kern w:val="0"/>
                <w:szCs w:val="21"/>
              </w:rPr>
              <w:t>2、残疾人福利性单位属于小型、微型企业的，不重复享受政策。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96" w:hRule="atLeast"/>
        </w:trPr>
        <w:tc>
          <w:tcPr>
            <w:tcW w:w="499" w:type="dxa"/>
            <w:vAlign w:val="center"/>
          </w:tcPr>
          <w:p>
            <w:pPr>
              <w:jc w:val="center"/>
              <w:rPr>
                <w:rFonts w:ascii="宋体" w:hAnsi="宋体" w:cs="宋体"/>
                <w:szCs w:val="21"/>
              </w:rPr>
            </w:pPr>
            <w:r>
              <w:rPr>
                <w:rFonts w:hint="eastAsia" w:ascii="宋体" w:hAnsi="宋体" w:cs="宋体"/>
                <w:szCs w:val="21"/>
              </w:rPr>
              <w:t>15</w:t>
            </w:r>
          </w:p>
        </w:tc>
        <w:tc>
          <w:tcPr>
            <w:tcW w:w="1062" w:type="dxa"/>
            <w:vAlign w:val="center"/>
          </w:tcPr>
          <w:p>
            <w:pPr>
              <w:jc w:val="center"/>
              <w:rPr>
                <w:rFonts w:ascii="宋体" w:hAnsi="宋体" w:cs="宋体"/>
                <w:szCs w:val="21"/>
              </w:rPr>
            </w:pPr>
            <w:r>
              <w:rPr>
                <w:rFonts w:hint="eastAsia" w:ascii="宋体" w:hAnsi="宋体" w:cs="宋体"/>
                <w:szCs w:val="21"/>
              </w:rPr>
              <w:t>磋商</w:t>
            </w:r>
          </w:p>
          <w:p>
            <w:pPr>
              <w:jc w:val="center"/>
              <w:rPr>
                <w:rFonts w:ascii="宋体" w:hAnsi="宋体" w:cs="宋体"/>
                <w:szCs w:val="21"/>
              </w:rPr>
            </w:pPr>
            <w:r>
              <w:rPr>
                <w:rFonts w:hint="eastAsia" w:ascii="宋体" w:hAnsi="宋体" w:cs="宋体"/>
                <w:szCs w:val="21"/>
              </w:rPr>
              <w:t>响应</w:t>
            </w:r>
          </w:p>
          <w:p>
            <w:pPr>
              <w:jc w:val="center"/>
              <w:rPr>
                <w:rFonts w:ascii="宋体" w:hAnsi="宋体" w:cs="宋体"/>
                <w:szCs w:val="21"/>
              </w:rPr>
            </w:pPr>
            <w:r>
              <w:rPr>
                <w:rFonts w:hint="eastAsia" w:ascii="宋体" w:hAnsi="宋体" w:cs="宋体"/>
                <w:szCs w:val="21"/>
              </w:rPr>
              <w:t>文件</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磋商响应文件</w:t>
            </w:r>
            <w:r>
              <w:rPr>
                <w:rFonts w:hint="eastAsia" w:ascii="宋体" w:hAnsi="宋体" w:cs="宋体"/>
                <w:b/>
                <w:bCs/>
                <w:szCs w:val="21"/>
              </w:rPr>
              <w:t>正本壹份、副本叁份</w:t>
            </w:r>
            <w:r>
              <w:rPr>
                <w:rFonts w:hint="eastAsia" w:ascii="宋体" w:hAnsi="宋体" w:cs="宋体"/>
                <w:szCs w:val="21"/>
              </w:rPr>
              <w:t>，分别胶装装订成册，且封面须清楚地标明“正本”或“副本”；若正本和副本不符，以正本书面文件为准；</w:t>
            </w:r>
            <w:r>
              <w:rPr>
                <w:rFonts w:hint="eastAsia" w:ascii="宋体" w:hAnsi="宋体"/>
                <w:szCs w:val="21"/>
              </w:rPr>
              <w:t>同时提供与正本内容一致的电子版（</w:t>
            </w:r>
            <w:r>
              <w:rPr>
                <w:rFonts w:ascii="宋体" w:hAnsi="宋体"/>
                <w:b/>
                <w:bCs/>
                <w:szCs w:val="21"/>
              </w:rPr>
              <w:t>U</w:t>
            </w:r>
            <w:r>
              <w:rPr>
                <w:rFonts w:hint="eastAsia" w:ascii="宋体" w:hAnsi="宋体"/>
                <w:b/>
                <w:bCs/>
                <w:szCs w:val="21"/>
              </w:rPr>
              <w:t>盘</w:t>
            </w:r>
            <w:r>
              <w:rPr>
                <w:rFonts w:hint="eastAsia" w:ascii="宋体" w:hAnsi="宋体"/>
                <w:szCs w:val="21"/>
              </w:rPr>
              <w:t>、</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格式WORD格式各一份</w:t>
            </w:r>
            <w:r>
              <w:rPr>
                <w:rFonts w:hint="eastAsia" w:ascii="宋体" w:hAnsi="宋体"/>
                <w:szCs w:val="21"/>
              </w:rPr>
              <w:t>）、磋商一览表壹份</w:t>
            </w:r>
            <w:r>
              <w:rPr>
                <w:rFonts w:hint="eastAsia" w:ascii="宋体" w:hAnsi="宋体" w:cs="宋体"/>
                <w:b/>
                <w:bCs/>
                <w:szCs w:val="21"/>
              </w:rPr>
              <w:t>（</w:t>
            </w:r>
            <w:r>
              <w:rPr>
                <w:rFonts w:hint="eastAsia" w:ascii="宋体" w:hAnsi="宋体" w:cs="宋体"/>
                <w:szCs w:val="21"/>
              </w:rPr>
              <w:t>用于磋商唱标单独提交的“磋商一览表”应为原件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1" w:hRule="atLeast"/>
        </w:trPr>
        <w:tc>
          <w:tcPr>
            <w:tcW w:w="499" w:type="dxa"/>
            <w:vAlign w:val="center"/>
          </w:tcPr>
          <w:p>
            <w:pPr>
              <w:jc w:val="center"/>
              <w:rPr>
                <w:rFonts w:ascii="宋体" w:hAnsi="宋体" w:cs="宋体"/>
                <w:szCs w:val="21"/>
              </w:rPr>
            </w:pPr>
            <w:r>
              <w:rPr>
                <w:rFonts w:hint="eastAsia" w:ascii="宋体" w:hAnsi="宋体" w:cs="宋体"/>
                <w:szCs w:val="21"/>
              </w:rPr>
              <w:t>16</w:t>
            </w:r>
          </w:p>
        </w:tc>
        <w:tc>
          <w:tcPr>
            <w:tcW w:w="1062" w:type="dxa"/>
            <w:vAlign w:val="center"/>
          </w:tcPr>
          <w:p>
            <w:pPr>
              <w:jc w:val="center"/>
              <w:rPr>
                <w:rFonts w:ascii="宋体" w:hAnsi="宋体" w:cs="宋体"/>
                <w:szCs w:val="21"/>
              </w:rPr>
            </w:pPr>
            <w:r>
              <w:rPr>
                <w:rFonts w:hint="eastAsia" w:ascii="宋体" w:hAnsi="宋体" w:cs="宋体"/>
                <w:szCs w:val="21"/>
              </w:rPr>
              <w:t>包装</w:t>
            </w:r>
          </w:p>
          <w:p>
            <w:pPr>
              <w:jc w:val="center"/>
              <w:rPr>
                <w:rFonts w:ascii="宋体" w:hAnsi="宋体" w:cs="宋体"/>
                <w:szCs w:val="21"/>
              </w:rPr>
            </w:pPr>
            <w:r>
              <w:rPr>
                <w:rFonts w:hint="eastAsia" w:ascii="宋体" w:hAnsi="宋体" w:cs="宋体"/>
                <w:szCs w:val="21"/>
              </w:rPr>
              <w:t>密封</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Cs w:val="21"/>
              </w:rPr>
              <w:t>磋商响应文件袋上应加盖供应商公章（</w:t>
            </w:r>
            <w:r>
              <w:rPr>
                <w:rFonts w:hint="eastAsia" w:ascii="宋体" w:hAnsi="宋体" w:cs="宋体"/>
                <w:szCs w:val="21"/>
              </w:rPr>
              <w:t>封面标识见竞争性磋商文件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如果供应商未按上述要求密封及加写标记，误投或过早启封的磋商响应文件，将自行承担其磋商响应文件被视为无效磋商响应文件的风险。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jc w:val="center"/>
              <w:rPr>
                <w:rFonts w:ascii="宋体" w:hAnsi="宋体" w:cs="宋体"/>
                <w:szCs w:val="21"/>
              </w:rPr>
            </w:pPr>
            <w:r>
              <w:rPr>
                <w:rFonts w:hint="eastAsia" w:ascii="宋体" w:hAnsi="宋体" w:cs="宋体"/>
                <w:szCs w:val="21"/>
              </w:rPr>
              <w:t>17</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评分</w:t>
            </w:r>
          </w:p>
          <w:p>
            <w:pPr>
              <w:jc w:val="center"/>
              <w:rPr>
                <w:rFonts w:ascii="宋体" w:hAnsi="宋体" w:cs="宋体"/>
                <w:szCs w:val="21"/>
              </w:rPr>
            </w:pPr>
            <w:r>
              <w:rPr>
                <w:rFonts w:hint="eastAsia" w:ascii="宋体" w:hAnsi="宋体" w:cs="宋体"/>
                <w:color w:val="000000"/>
                <w:szCs w:val="21"/>
              </w:rPr>
              <w:t>标准</w:t>
            </w:r>
          </w:p>
        </w:tc>
        <w:tc>
          <w:tcPr>
            <w:tcW w:w="7359" w:type="dxa"/>
            <w:vAlign w:val="center"/>
          </w:tcPr>
          <w:p>
            <w:pPr>
              <w:ind w:firstLine="420" w:firstLineChars="200"/>
              <w:jc w:val="left"/>
              <w:rPr>
                <w:rFonts w:ascii="宋体" w:hAnsi="宋体" w:cs="宋体"/>
                <w:b/>
                <w:bCs/>
                <w:color w:val="000000"/>
                <w:szCs w:val="21"/>
              </w:rPr>
            </w:pPr>
            <w:r>
              <w:rPr>
                <w:rFonts w:hint="eastAsia" w:ascii="宋体" w:hAnsi="宋体" w:cs="宋体"/>
                <w:szCs w:val="21"/>
              </w:rPr>
              <w:t>磋商多轮报价，综合评分（详见第四部分）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spacing w:line="360" w:lineRule="auto"/>
              <w:jc w:val="center"/>
              <w:rPr>
                <w:rFonts w:ascii="宋体" w:hAnsi="宋体" w:cs="宋体"/>
                <w:szCs w:val="21"/>
              </w:rPr>
            </w:pPr>
            <w:r>
              <w:rPr>
                <w:rFonts w:hint="eastAsia" w:asciiTheme="minorEastAsia" w:hAnsiTheme="minorEastAsia" w:cstheme="minorEastAsia"/>
                <w:szCs w:val="21"/>
              </w:rPr>
              <w:t>18</w:t>
            </w:r>
          </w:p>
        </w:tc>
        <w:tc>
          <w:tcPr>
            <w:tcW w:w="1062"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ascii="宋体" w:hAnsi="宋体" w:cs="宋体"/>
                <w:color w:val="000000"/>
                <w:szCs w:val="21"/>
              </w:rPr>
            </w:pPr>
            <w:r>
              <w:rPr>
                <w:rFonts w:hint="eastAsia" w:ascii="宋体" w:hAnsi="宋体" w:cs="宋体"/>
                <w:kern w:val="0"/>
                <w:szCs w:val="21"/>
              </w:rPr>
              <w:t>证金</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kern w:val="0"/>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spacing w:line="360" w:lineRule="auto"/>
              <w:jc w:val="center"/>
              <w:rPr>
                <w:rFonts w:ascii="宋体" w:hAnsi="宋体" w:cs="宋体"/>
                <w:szCs w:val="21"/>
              </w:rPr>
            </w:pPr>
            <w:r>
              <w:rPr>
                <w:rFonts w:hint="eastAsia" w:ascii="宋体" w:hAnsi="宋体" w:cs="宋体"/>
                <w:szCs w:val="21"/>
              </w:rPr>
              <w:t>19</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szCs w:val="21"/>
              </w:rPr>
              <w:t>履约验收</w:t>
            </w:r>
          </w:p>
        </w:tc>
        <w:tc>
          <w:tcPr>
            <w:tcW w:w="7359"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rPr>
                <w:rFonts w:ascii="宋体" w:hAnsi="宋体" w:cs="宋体"/>
                <w:szCs w:val="21"/>
              </w:rPr>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3" w:hRule="atLeast"/>
        </w:trPr>
        <w:tc>
          <w:tcPr>
            <w:tcW w:w="499" w:type="dxa"/>
            <w:vAlign w:val="center"/>
          </w:tcPr>
          <w:p>
            <w:pPr>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0</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szCs w:val="21"/>
              </w:rPr>
              <w:t>政府采购融资政策</w:t>
            </w:r>
          </w:p>
        </w:tc>
        <w:tc>
          <w:tcPr>
            <w:tcW w:w="7359" w:type="dxa"/>
            <w:vAlign w:val="center"/>
          </w:tcPr>
          <w:p>
            <w:pPr>
              <w:spacing w:line="360" w:lineRule="auto"/>
              <w:rPr>
                <w:rFonts w:ascii="宋体" w:hAnsi="宋体" w:cs="宋体"/>
                <w:szCs w:val="21"/>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20"/>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3" w:hRule="atLeast"/>
        </w:trPr>
        <w:tc>
          <w:tcPr>
            <w:tcW w:w="499" w:type="dxa"/>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21</w:t>
            </w:r>
          </w:p>
        </w:tc>
        <w:tc>
          <w:tcPr>
            <w:tcW w:w="1062" w:type="dxa"/>
            <w:vAlign w:val="center"/>
          </w:tcPr>
          <w:p>
            <w:pPr>
              <w:spacing w:line="360" w:lineRule="auto"/>
              <w:rPr>
                <w:rFonts w:hint="eastAsia" w:ascii="宋体" w:hAnsi="宋体" w:cs="宋体"/>
                <w:szCs w:val="21"/>
              </w:rPr>
            </w:pPr>
            <w:r>
              <w:rPr>
                <w:rFonts w:hint="eastAsia" w:asciiTheme="minorEastAsia" w:hAnsiTheme="minorEastAsia" w:cstheme="minorEastAsia"/>
                <w:color w:val="000000" w:themeColor="text1"/>
                <w:szCs w:val="21"/>
                <w14:textFill>
                  <w14:solidFill>
                    <w14:schemeClr w14:val="tx1"/>
                  </w14:solidFill>
                </w14:textFill>
              </w:rPr>
              <w:t>现场踏勘及答疑</w:t>
            </w:r>
          </w:p>
        </w:tc>
        <w:tc>
          <w:tcPr>
            <w:tcW w:w="7359" w:type="dxa"/>
            <w:vAlign w:val="center"/>
          </w:tcPr>
          <w:p>
            <w:pPr>
              <w:pStyle w:val="6"/>
              <w:spacing w:line="360" w:lineRule="auto"/>
              <w:rPr>
                <w:rFonts w:hint="default" w:ascii="宋体" w:hAnsi="宋体" w:cs="宋体"/>
                <w:b w:val="0"/>
                <w:sz w:val="21"/>
                <w:szCs w:val="21"/>
              </w:rPr>
            </w:pPr>
            <w:r>
              <w:rPr>
                <w:rFonts w:hint="default" w:ascii="宋体" w:hAnsi="宋体" w:cs="宋体"/>
                <w:b w:val="0"/>
                <w:sz w:val="21"/>
                <w:szCs w:val="21"/>
              </w:rPr>
              <w:t>因本项目为</w:t>
            </w:r>
            <w:r>
              <w:rPr>
                <w:rFonts w:ascii="宋体" w:hAnsi="宋体" w:cs="宋体"/>
                <w:b w:val="0"/>
                <w:sz w:val="21"/>
                <w:szCs w:val="21"/>
              </w:rPr>
              <w:t>学校“</w:t>
            </w:r>
            <w:r>
              <w:rPr>
                <w:rFonts w:hint="eastAsia" w:ascii="宋体" w:hAnsi="宋体" w:cs="宋体"/>
                <w:b w:val="0"/>
                <w:sz w:val="21"/>
                <w:szCs w:val="21"/>
                <w:lang w:eastAsia="zh-CN"/>
              </w:rPr>
              <w:t>未央校区汽车充电桩安装工程</w:t>
            </w:r>
            <w:r>
              <w:rPr>
                <w:rFonts w:ascii="宋体" w:hAnsi="宋体" w:cs="宋体"/>
                <w:b w:val="0"/>
                <w:sz w:val="21"/>
                <w:szCs w:val="21"/>
              </w:rPr>
              <w:t>”</w:t>
            </w:r>
            <w:r>
              <w:rPr>
                <w:rFonts w:hint="default" w:ascii="宋体" w:hAnsi="宋体" w:cs="宋体"/>
                <w:b w:val="0"/>
                <w:sz w:val="21"/>
                <w:szCs w:val="21"/>
              </w:rPr>
              <w:t>，故要求</w:t>
            </w:r>
            <w:r>
              <w:rPr>
                <w:rFonts w:hint="eastAsia" w:ascii="宋体" w:hAnsi="宋体" w:cs="宋体"/>
                <w:b w:val="0"/>
                <w:sz w:val="21"/>
                <w:szCs w:val="21"/>
                <w:lang w:eastAsia="zh-CN"/>
              </w:rPr>
              <w:t>供应商</w:t>
            </w:r>
            <w:r>
              <w:rPr>
                <w:rFonts w:hint="default" w:ascii="宋体" w:hAnsi="宋体" w:cs="宋体"/>
                <w:b w:val="0"/>
                <w:sz w:val="21"/>
                <w:szCs w:val="21"/>
              </w:rPr>
              <w:t>在规定的</w:t>
            </w:r>
            <w:r>
              <w:rPr>
                <w:rFonts w:hint="eastAsia" w:ascii="宋体" w:hAnsi="宋体" w:cs="宋体"/>
                <w:b w:val="0"/>
                <w:sz w:val="21"/>
                <w:szCs w:val="21"/>
                <w:lang w:val="en-US" w:eastAsia="zh-CN"/>
              </w:rPr>
              <w:t>时间内</w:t>
            </w:r>
            <w:r>
              <w:rPr>
                <w:rFonts w:hint="default" w:ascii="宋体" w:hAnsi="宋体" w:cs="宋体"/>
                <w:b w:val="0"/>
                <w:sz w:val="21"/>
                <w:szCs w:val="21"/>
              </w:rPr>
              <w:t>到采购人该项目实施地点进行现场勘踏，</w:t>
            </w:r>
            <w:r>
              <w:rPr>
                <w:rFonts w:hint="eastAsia" w:ascii="宋体" w:hAnsi="宋体" w:cs="宋体"/>
                <w:b w:val="0"/>
                <w:sz w:val="21"/>
                <w:szCs w:val="21"/>
                <w:lang w:eastAsia="zh-CN"/>
              </w:rPr>
              <w:t>供应商</w:t>
            </w:r>
            <w:r>
              <w:rPr>
                <w:rFonts w:hint="default" w:ascii="宋体" w:hAnsi="宋体" w:cs="宋体"/>
                <w:b w:val="0"/>
                <w:sz w:val="21"/>
                <w:szCs w:val="21"/>
              </w:rPr>
              <w:t>未按照要求进行现场勘踏的，视为已勘踏现场且理解项目实施地点一切问题，并自行承担因未勘踏而造成的一切后果。现场勘踏由</w:t>
            </w:r>
            <w:r>
              <w:rPr>
                <w:rFonts w:ascii="宋体" w:hAnsi="宋体" w:cs="宋体"/>
                <w:b w:val="0"/>
                <w:sz w:val="21"/>
                <w:szCs w:val="21"/>
              </w:rPr>
              <w:t>采购人</w:t>
            </w:r>
            <w:r>
              <w:rPr>
                <w:rFonts w:hint="default" w:ascii="宋体" w:hAnsi="宋体" w:cs="宋体"/>
                <w:b w:val="0"/>
                <w:sz w:val="21"/>
                <w:szCs w:val="21"/>
              </w:rPr>
              <w:t>统一组织。</w:t>
            </w:r>
          </w:p>
          <w:p>
            <w:pPr>
              <w:pStyle w:val="6"/>
              <w:spacing w:line="360" w:lineRule="auto"/>
              <w:rPr>
                <w:rFonts w:hint="default" w:ascii="宋体" w:hAnsi="宋体" w:eastAsia="宋体" w:cs="宋体"/>
                <w:bCs/>
                <w:sz w:val="21"/>
                <w:szCs w:val="21"/>
                <w:lang w:val="en-US" w:eastAsia="zh-CN"/>
              </w:rPr>
            </w:pPr>
            <w:r>
              <w:rPr>
                <w:rFonts w:hint="default" w:ascii="宋体" w:hAnsi="宋体" w:cs="宋体"/>
                <w:bCs/>
                <w:sz w:val="21"/>
                <w:szCs w:val="21"/>
              </w:rPr>
              <w:t>统一集合地点：西安市未央区辛王路1号</w:t>
            </w:r>
            <w:r>
              <w:rPr>
                <w:rFonts w:hint="eastAsia" w:ascii="宋体" w:hAnsi="宋体" w:cs="宋体"/>
                <w:bCs/>
                <w:sz w:val="21"/>
                <w:szCs w:val="21"/>
                <w:lang w:val="en-US" w:eastAsia="zh-CN"/>
              </w:rPr>
              <w:t>（西安医学院未央校区）</w:t>
            </w:r>
          </w:p>
          <w:p>
            <w:pPr>
              <w:spacing w:line="360" w:lineRule="auto"/>
              <w:rPr>
                <w:rFonts w:hint="default" w:ascii="宋体" w:hAnsi="宋体" w:eastAsia="宋体" w:cs="宋体"/>
                <w:b/>
                <w:bCs/>
                <w:szCs w:val="21"/>
                <w:highlight w:val="yellow"/>
                <w:lang w:val="en-US" w:eastAsia="zh-CN"/>
              </w:rPr>
            </w:pPr>
            <w:r>
              <w:rPr>
                <w:rFonts w:hint="eastAsia" w:ascii="宋体" w:hAnsi="宋体" w:cs="宋体"/>
                <w:b/>
                <w:bCs/>
                <w:szCs w:val="21"/>
                <w:highlight w:val="none"/>
                <w:lang w:val="en-US" w:eastAsia="zh-CN"/>
              </w:rPr>
              <w:t>勘查时间：2023年06月09日早上09:30分</w:t>
            </w:r>
          </w:p>
          <w:p>
            <w:pPr>
              <w:spacing w:line="360" w:lineRule="auto"/>
              <w:rPr>
                <w:rFonts w:hint="default" w:ascii="宋体" w:hAnsi="宋体" w:cs="宋体"/>
                <w:b/>
                <w:bCs/>
                <w:szCs w:val="21"/>
                <w:highlight w:val="none"/>
                <w:lang w:val="en-US" w:eastAsia="zh-CN"/>
              </w:rPr>
            </w:pPr>
            <w:r>
              <w:rPr>
                <w:rFonts w:hint="eastAsia" w:ascii="宋体" w:hAnsi="宋体" w:cs="宋体"/>
                <w:b/>
                <w:bCs/>
                <w:szCs w:val="21"/>
                <w:highlight w:val="none"/>
              </w:rPr>
              <w:t>联系人：</w:t>
            </w:r>
            <w:r>
              <w:rPr>
                <w:rFonts w:hint="eastAsia" w:ascii="宋体" w:hAnsi="宋体" w:cs="宋体"/>
                <w:b/>
                <w:bCs/>
                <w:szCs w:val="21"/>
                <w:highlight w:val="none"/>
                <w:lang w:val="en-US" w:eastAsia="zh-CN"/>
              </w:rPr>
              <w:t>王老师</w:t>
            </w:r>
            <w:r>
              <w:rPr>
                <w:rFonts w:hint="eastAsia" w:ascii="宋体" w:hAnsi="宋体" w:cs="宋体"/>
                <w:b/>
                <w:bCs/>
                <w:szCs w:val="21"/>
                <w:highlight w:val="none"/>
              </w:rPr>
              <w:t xml:space="preserve">   联系电话: </w:t>
            </w:r>
            <w:r>
              <w:rPr>
                <w:rFonts w:hint="eastAsia" w:ascii="宋体" w:hAnsi="宋体" w:cs="宋体"/>
                <w:b/>
                <w:bCs/>
                <w:szCs w:val="21"/>
                <w:highlight w:val="none"/>
                <w:lang w:val="en-US" w:eastAsia="zh-CN"/>
              </w:rPr>
              <w:t>029-86177421</w:t>
            </w:r>
          </w:p>
          <w:p>
            <w:pPr>
              <w:spacing w:line="360" w:lineRule="auto"/>
              <w:rPr>
                <w:rFonts w:hint="eastAsia" w:hAnsi="宋体" w:cs="宋体"/>
                <w:szCs w:val="21"/>
              </w:rPr>
            </w:pPr>
            <w:r>
              <w:rPr>
                <w:rFonts w:hint="eastAsia" w:hAnsi="宋体" w:cs="宋体"/>
                <w:bCs/>
                <w:szCs w:val="21"/>
              </w:rPr>
              <w:t>备注：报名结束后具体统一勘踏时间会提前1天告知，望各</w:t>
            </w:r>
            <w:r>
              <w:rPr>
                <w:rFonts w:hint="eastAsia" w:hAnsi="宋体" w:cs="宋体"/>
                <w:bCs/>
                <w:szCs w:val="21"/>
                <w:lang w:eastAsia="zh-CN"/>
              </w:rPr>
              <w:t>供应商</w:t>
            </w:r>
            <w:r>
              <w:rPr>
                <w:rFonts w:hint="eastAsia" w:hAnsi="宋体" w:cs="宋体"/>
                <w:bCs/>
                <w:szCs w:val="21"/>
              </w:rPr>
              <w:t>保持通讯畅通。</w:t>
            </w:r>
          </w:p>
        </w:tc>
      </w:tr>
    </w:tbl>
    <w:p>
      <w:pPr>
        <w:pStyle w:val="3"/>
        <w:keepLines w:val="0"/>
        <w:jc w:val="both"/>
        <w:rPr>
          <w:rFonts w:ascii="宋体" w:hAnsi="宋体" w:cs="宋体"/>
        </w:rPr>
        <w:sectPr>
          <w:footerReference r:id="rId8" w:type="default"/>
          <w:pgSz w:w="11906" w:h="16838"/>
          <w:pgMar w:top="1440" w:right="1706" w:bottom="1440" w:left="1800" w:header="851" w:footer="992" w:gutter="0"/>
          <w:cols w:space="720" w:num="1"/>
          <w:docGrid w:type="lines" w:linePitch="312" w:charSpace="0"/>
        </w:sectPr>
      </w:pPr>
    </w:p>
    <w:p>
      <w:pPr>
        <w:pStyle w:val="3"/>
        <w:keepLines w:val="0"/>
        <w:ind w:firstLine="643" w:firstLineChars="200"/>
        <w:rPr>
          <w:rFonts w:ascii="宋体" w:hAnsi="宋体" w:cs="宋体"/>
        </w:rPr>
      </w:pPr>
      <w:bookmarkStart w:id="11" w:name="_Toc26164"/>
      <w:bookmarkStart w:id="12" w:name="_Toc25094"/>
      <w:bookmarkStart w:id="13" w:name="_Toc19272"/>
      <w:bookmarkStart w:id="14" w:name="_Toc5240"/>
      <w:r>
        <w:rPr>
          <w:rFonts w:hint="eastAsia" w:ascii="宋体" w:hAnsi="宋体" w:cs="宋体"/>
        </w:rPr>
        <w:t>第三部分 供应商须知</w:t>
      </w:r>
      <w:bookmarkEnd w:id="11"/>
      <w:bookmarkEnd w:id="12"/>
      <w:bookmarkEnd w:id="13"/>
      <w:bookmarkEnd w:id="14"/>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15" w:name="_Toc10909"/>
      <w:bookmarkStart w:id="16" w:name="_Toc26739"/>
      <w:bookmarkStart w:id="17" w:name="_Toc5773"/>
      <w:bookmarkStart w:id="18" w:name="_Toc12064"/>
      <w:r>
        <w:rPr>
          <w:rFonts w:hint="eastAsia" w:ascii="宋体" w:hAnsi="宋体" w:cs="宋体"/>
          <w:b/>
          <w:bCs/>
          <w:kern w:val="0"/>
          <w:sz w:val="32"/>
          <w:szCs w:val="28"/>
        </w:rPr>
        <w:t>总则</w:t>
      </w:r>
      <w:bookmarkEnd w:id="15"/>
      <w:bookmarkEnd w:id="16"/>
      <w:bookmarkEnd w:id="17"/>
      <w:bookmarkEnd w:id="18"/>
    </w:p>
    <w:p>
      <w:pPr>
        <w:pStyle w:val="5"/>
        <w:numPr>
          <w:ilvl w:val="0"/>
          <w:numId w:val="5"/>
        </w:numPr>
        <w:ind w:firstLine="562"/>
        <w:rPr>
          <w:rFonts w:ascii="宋体" w:hAnsi="宋体" w:cs="宋体"/>
        </w:rPr>
      </w:pPr>
      <w:bookmarkStart w:id="19" w:name="_Toc6742"/>
      <w:bookmarkStart w:id="20" w:name="_Toc380336725"/>
      <w:bookmarkStart w:id="21" w:name="_Toc9257"/>
      <w:bookmarkStart w:id="22" w:name="_Toc358364319"/>
      <w:r>
        <w:rPr>
          <w:rFonts w:hint="eastAsia" w:ascii="宋体" w:hAnsi="宋体" w:cs="宋体"/>
        </w:rPr>
        <w:t>适用范围</w:t>
      </w:r>
      <w:bookmarkEnd w:id="19"/>
      <w:bookmarkEnd w:id="20"/>
      <w:bookmarkEnd w:id="21"/>
      <w:bookmarkEnd w:id="22"/>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 本磋商文件适用于本次采购活动的全过程。</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1.2 本次采购属政府采购，采购人、采购代理机构、供应商、磋商小组的相关行为均受《中华人民共和国政府采购法》及实施条例、财政部规章及政府采购项目所在地有关法规</w:t>
      </w:r>
      <w:r>
        <w:rPr>
          <w:rFonts w:hint="eastAsia" w:ascii="宋体" w:hAnsi="宋体" w:cs="宋体"/>
          <w:color w:val="000000" w:themeColor="text1"/>
          <w:kern w:val="0"/>
          <w:sz w:val="24"/>
          <w:szCs w:val="24"/>
          <w14:textFill>
            <w14:solidFill>
              <w14:schemeClr w14:val="tx1"/>
            </w14:solidFill>
          </w14:textFill>
        </w:rPr>
        <w:t>、规章</w:t>
      </w:r>
      <w:r>
        <w:rPr>
          <w:rFonts w:hint="eastAsia" w:ascii="宋体" w:hAnsi="宋体" w:cs="宋体"/>
          <w:kern w:val="0"/>
          <w:sz w:val="24"/>
          <w:szCs w:val="24"/>
        </w:rPr>
        <w:t>的约束，其权利受到上述法律法规的保护。</w:t>
      </w:r>
    </w:p>
    <w:p>
      <w:pPr>
        <w:pStyle w:val="5"/>
        <w:numPr>
          <w:ilvl w:val="0"/>
          <w:numId w:val="5"/>
        </w:numPr>
        <w:ind w:firstLine="562"/>
        <w:rPr>
          <w:rFonts w:ascii="宋体" w:hAnsi="宋体" w:cs="宋体"/>
        </w:rPr>
      </w:pPr>
      <w:bookmarkStart w:id="23" w:name="_Toc11287"/>
      <w:bookmarkStart w:id="24" w:name="_Toc358364320"/>
      <w:bookmarkStart w:id="25" w:name="_Toc7922"/>
      <w:bookmarkStart w:id="26" w:name="_Toc380336726"/>
      <w:r>
        <w:rPr>
          <w:rFonts w:hint="eastAsia" w:ascii="宋体" w:hAnsi="宋体" w:cs="宋体"/>
        </w:rPr>
        <w:t>定义</w:t>
      </w:r>
      <w:bookmarkEnd w:id="23"/>
      <w:bookmarkEnd w:id="24"/>
      <w:bookmarkEnd w:id="25"/>
      <w:bookmarkEnd w:id="26"/>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2.1 “采购人”是指依法进行政府采购的国家机关、事业单位、团体组织。本次政府采购的采购人名称、地址、电话见供应商须知前附表。</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2.2 “采购代理机构”是指接受采购人委托，代理采购项目的集中采购机构和其他采购代理机构。本次采购代理机构名称、地址、电话见供应商须知前附表。</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2.3 “供应商”是</w:t>
      </w:r>
      <w:r>
        <w:rPr>
          <w:rFonts w:hint="eastAsia" w:ascii="宋体" w:hAnsi="宋体" w:cs="宋体"/>
          <w:sz w:val="24"/>
          <w:szCs w:val="24"/>
        </w:rPr>
        <w:t>参与本项目磋商活动的</w:t>
      </w:r>
      <w:r>
        <w:rPr>
          <w:rFonts w:hint="eastAsia" w:ascii="宋体" w:hAnsi="宋体" w:cs="宋体"/>
          <w:color w:val="000000"/>
          <w:sz w:val="24"/>
          <w:szCs w:val="24"/>
        </w:rPr>
        <w:t>法人、其他组织或自然人</w:t>
      </w:r>
      <w:r>
        <w:rPr>
          <w:rFonts w:hint="eastAsia" w:ascii="宋体" w:hAnsi="宋体" w:cs="宋体"/>
          <w:kern w:val="0"/>
          <w:sz w:val="24"/>
          <w:szCs w:val="24"/>
        </w:rPr>
        <w:t>。</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2.4 “货物” 是指各种形态和种类的物品，包括原材料、燃料</w:t>
      </w:r>
      <w:r>
        <w:rPr>
          <w:rFonts w:hint="eastAsia" w:ascii="宋体" w:hAnsi="宋体" w:cs="宋体"/>
          <w:color w:val="000000" w:themeColor="text1"/>
          <w:kern w:val="0"/>
          <w:sz w:val="24"/>
          <w:szCs w:val="24"/>
          <w14:textFill>
            <w14:solidFill>
              <w14:schemeClr w14:val="tx1"/>
            </w14:solidFill>
          </w14:textFill>
        </w:rPr>
        <w:t>、产品、等</w:t>
      </w:r>
      <w:r>
        <w:rPr>
          <w:rFonts w:hint="eastAsia" w:ascii="宋体" w:hAnsi="宋体" w:cs="宋体"/>
          <w:kern w:val="0"/>
          <w:sz w:val="24"/>
          <w:szCs w:val="24"/>
        </w:rPr>
        <w:t>。按照财政部《政府采购进口产品管理办法》（财库[2007]119号）的有关规定，本磋商文件涉及的所有采购内容除特别标注为“可接受进口产品”外，均必须采购国产产品。进口产品特指“通过中国海关报关验放进入中国境内且产自关境外的产品”。</w:t>
      </w:r>
    </w:p>
    <w:p>
      <w:pPr>
        <w:pageBreakBefore w:val="0"/>
        <w:widowControl/>
        <w:kinsoku/>
        <w:wordWrap/>
        <w:overflowPunct/>
        <w:topLinePunct w:val="0"/>
        <w:autoSpaceDE/>
        <w:autoSpaceDN/>
        <w:bidi w:val="0"/>
        <w:adjustRightInd/>
        <w:snapToGrid/>
        <w:spacing w:line="500" w:lineRule="atLeas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2.5 “服务”指除了货物和工程外的其他政府采购对象。包含除货物以外规定由供应商承担的与货物有关的辅助服务。</w:t>
      </w:r>
    </w:p>
    <w:p>
      <w:pPr>
        <w:pageBreakBefore w:val="0"/>
        <w:widowControl/>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2.6“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bidi w:val="0"/>
        <w:rPr>
          <w:rFonts w:hint="eastAsia"/>
          <w:lang w:val="en-US" w:eastAsia="zh-CN"/>
        </w:rPr>
      </w:pPr>
    </w:p>
    <w:p>
      <w:pPr>
        <w:rPr>
          <w:rFonts w:hint="default"/>
          <w:lang w:val="en-US" w:eastAsia="zh-CN"/>
        </w:rPr>
      </w:pPr>
    </w:p>
    <w:p>
      <w:pPr>
        <w:pStyle w:val="5"/>
        <w:numPr>
          <w:ilvl w:val="0"/>
          <w:numId w:val="5"/>
        </w:numPr>
        <w:spacing w:line="500" w:lineRule="exact"/>
        <w:ind w:firstLine="562"/>
        <w:rPr>
          <w:rFonts w:ascii="宋体" w:hAnsi="宋体" w:cs="宋体"/>
          <w:szCs w:val="28"/>
        </w:rPr>
      </w:pPr>
      <w:bookmarkStart w:id="27" w:name="_Toc23781"/>
      <w:bookmarkStart w:id="28" w:name="_Toc17676"/>
      <w:bookmarkStart w:id="29" w:name="_Toc358364321"/>
      <w:bookmarkStart w:id="30" w:name="_Toc380336727"/>
      <w:r>
        <w:rPr>
          <w:rFonts w:hint="eastAsia" w:ascii="宋体" w:hAnsi="宋体" w:cs="宋体"/>
          <w:szCs w:val="28"/>
        </w:rPr>
        <w:t>合格的</w:t>
      </w:r>
      <w:bookmarkEnd w:id="27"/>
      <w:bookmarkEnd w:id="28"/>
      <w:bookmarkEnd w:id="29"/>
      <w:bookmarkEnd w:id="30"/>
      <w:r>
        <w:rPr>
          <w:rFonts w:hint="eastAsia" w:ascii="宋体" w:hAnsi="宋体" w:cs="宋体"/>
          <w:szCs w:val="28"/>
        </w:rPr>
        <w:t>供应商</w:t>
      </w:r>
    </w:p>
    <w:p>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3.1具有本项目生产、制造、加工、供应或实施能力，符合、承认并承诺履行本磋商文件各项规定的国内供应商。</w:t>
      </w:r>
    </w:p>
    <w:p>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3.2供应商应遵守有关的国家法律、法规和条例，具备《中华人民共和国政府采购法》和本文件中规定的条件：</w:t>
      </w:r>
    </w:p>
    <w:p>
      <w:pPr>
        <w:numPr>
          <w:ilvl w:val="0"/>
          <w:numId w:val="6"/>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6"/>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6"/>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具有履行合同所必需的产品和专业技术能力；</w:t>
      </w:r>
    </w:p>
    <w:p>
      <w:pPr>
        <w:numPr>
          <w:ilvl w:val="0"/>
          <w:numId w:val="6"/>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6"/>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6"/>
        </w:numPr>
        <w:spacing w:line="500" w:lineRule="exact"/>
        <w:ind w:left="6" w:firstLine="480" w:firstLineChars="200"/>
        <w:jc w:val="left"/>
        <w:rPr>
          <w:rFonts w:ascii="宋体" w:hAnsi="宋体" w:cs="宋体"/>
          <w:sz w:val="24"/>
          <w:szCs w:val="24"/>
        </w:rPr>
      </w:pPr>
      <w:r>
        <w:rPr>
          <w:rFonts w:hint="eastAsia" w:ascii="宋体" w:hAnsi="宋体" w:cs="宋体"/>
          <w:sz w:val="24"/>
          <w:szCs w:val="24"/>
        </w:rPr>
        <w:t>法律、行政法规规定的其他条件。</w:t>
      </w:r>
    </w:p>
    <w:p>
      <w:pPr>
        <w:tabs>
          <w:tab w:val="left" w:pos="0"/>
        </w:tabs>
        <w:spacing w:line="500" w:lineRule="exact"/>
        <w:ind w:left="6" w:firstLine="499" w:firstLineChars="208"/>
        <w:rPr>
          <w:rFonts w:ascii="宋体" w:hAnsi="宋体" w:cs="宋体"/>
          <w:sz w:val="24"/>
          <w:szCs w:val="24"/>
        </w:rPr>
      </w:pPr>
      <w:r>
        <w:rPr>
          <w:rFonts w:hint="eastAsia" w:ascii="宋体" w:hAnsi="宋体" w:cs="宋体"/>
          <w:sz w:val="24"/>
          <w:szCs w:val="24"/>
        </w:rPr>
        <w:t>3.3供应商购买磋商文件时应登记备案，并提供有效联系方式。</w:t>
      </w:r>
    </w:p>
    <w:p>
      <w:pPr>
        <w:tabs>
          <w:tab w:val="left" w:pos="0"/>
        </w:tabs>
        <w:spacing w:line="500" w:lineRule="exact"/>
        <w:ind w:left="5" w:firstLine="518" w:firstLineChars="216"/>
        <w:rPr>
          <w:rFonts w:ascii="宋体" w:hAnsi="宋体" w:cs="宋体"/>
          <w:sz w:val="24"/>
          <w:szCs w:val="24"/>
        </w:rPr>
      </w:pPr>
      <w:r>
        <w:rPr>
          <w:rFonts w:hint="eastAsia" w:ascii="宋体" w:hAnsi="宋体" w:cs="宋体"/>
          <w:sz w:val="24"/>
          <w:szCs w:val="24"/>
        </w:rPr>
        <w:t>3.4如供应商代表不是法定代表人，须持有《法定代表人授权委托书》 (按磋商文件提供的格式填写)。</w:t>
      </w:r>
    </w:p>
    <w:p>
      <w:pPr>
        <w:tabs>
          <w:tab w:val="left" w:pos="0"/>
        </w:tabs>
        <w:spacing w:line="500" w:lineRule="exact"/>
        <w:ind w:left="5" w:firstLine="518" w:firstLineChars="216"/>
        <w:rPr>
          <w:rFonts w:ascii="宋体" w:hAnsi="宋体" w:cs="宋体"/>
          <w:kern w:val="0"/>
          <w:sz w:val="24"/>
          <w:szCs w:val="24"/>
        </w:rPr>
      </w:pPr>
      <w:r>
        <w:rPr>
          <w:rFonts w:hint="eastAsia" w:ascii="宋体" w:hAnsi="宋体" w:cs="宋体"/>
          <w:sz w:val="24"/>
          <w:szCs w:val="24"/>
        </w:rPr>
        <w:t>3.5供应商应独立于采购人，不得直接或间接地与采购人为采购本次招标的货物进行设计、编制技术规格和其它文件所委托的咨询公司或其附属机构有任何关联。</w:t>
      </w:r>
    </w:p>
    <w:p>
      <w:pPr>
        <w:tabs>
          <w:tab w:val="left" w:pos="0"/>
        </w:tabs>
        <w:spacing w:line="500" w:lineRule="exact"/>
        <w:ind w:left="5" w:firstLine="518" w:firstLineChars="216"/>
        <w:rPr>
          <w:rFonts w:ascii="宋体" w:hAnsi="宋体" w:cs="宋体"/>
          <w:kern w:val="0"/>
          <w:sz w:val="24"/>
          <w:szCs w:val="24"/>
        </w:rPr>
      </w:pPr>
      <w:r>
        <w:rPr>
          <w:rFonts w:hint="eastAsia" w:ascii="宋体" w:hAnsi="宋体" w:cs="宋体"/>
          <w:kern w:val="0"/>
          <w:sz w:val="24"/>
          <w:szCs w:val="24"/>
        </w:rPr>
        <w:t>3.6供应商不得存在下列情形之一</w:t>
      </w:r>
      <w:r>
        <w:rPr>
          <w:rFonts w:hint="eastAsia" w:ascii="宋体" w:hAnsi="宋体" w:cs="宋体"/>
          <w:sz w:val="24"/>
          <w:szCs w:val="24"/>
        </w:rPr>
        <w:t>：</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（1）与采购人或采购代理机构存在隶属关系或者其他利害关系；</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（2）与其他供应商的法定代表人（或者负责人）为同一人，或者与其他供应商存在直接控股、管理关系；</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pPr>
        <w:tabs>
          <w:tab w:val="left" w:pos="0"/>
        </w:tabs>
        <w:spacing w:line="500" w:lineRule="exact"/>
        <w:ind w:left="5" w:firstLine="444" w:firstLineChars="185"/>
        <w:rPr>
          <w:rFonts w:ascii="宋体" w:hAnsi="宋体" w:cs="宋体"/>
          <w:b/>
          <w:bCs/>
          <w:kern w:val="0"/>
          <w:sz w:val="24"/>
          <w:szCs w:val="24"/>
        </w:rPr>
      </w:pPr>
      <w:r>
        <w:rPr>
          <w:rFonts w:hint="eastAsia" w:ascii="宋体" w:hAnsi="宋体" w:cs="宋体"/>
          <w:kern w:val="0"/>
          <w:sz w:val="24"/>
          <w:szCs w:val="24"/>
        </w:rPr>
        <w:t>（4）</w:t>
      </w:r>
      <w:r>
        <w:rPr>
          <w:rFonts w:hint="eastAsia" w:ascii="宋体" w:hAnsi="宋体" w:cs="宋体"/>
          <w:b/>
          <w:bCs/>
          <w:kern w:val="0"/>
          <w:sz w:val="24"/>
          <w:szCs w:val="24"/>
        </w:rPr>
        <w:t>在投标截止日前被列入失信被执行人、重大税收违法案件当事人名单、政府采购严重违法失信行为记录名单（处罚期限届满的除外）（以信用中国网（</w:t>
      </w:r>
      <w:r>
        <w:rPr>
          <w:rFonts w:hint="eastAsia" w:ascii="宋体" w:hAnsi="宋体" w:cs="宋体"/>
          <w:b/>
          <w:bCs/>
          <w:kern w:val="0"/>
          <w:sz w:val="24"/>
          <w:szCs w:val="24"/>
        </w:rPr>
        <w:drawing>
          <wp:inline distT="0" distB="0" distL="114300" distR="114300">
            <wp:extent cx="190500" cy="142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0"/>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www.creditchina.gov.cn）、中国政府采购网（</w:t>
      </w:r>
      <w:r>
        <w:rPr>
          <w:rFonts w:hint="eastAsia" w:ascii="宋体" w:hAnsi="宋体" w:cs="宋体"/>
          <w:b/>
          <w:bCs/>
          <w:kern w:val="0"/>
          <w:sz w:val="24"/>
          <w:szCs w:val="24"/>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20"/>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www.ccgp.gov.cn）查询结果为准、如相关失信记录已失效，供应商需提供相关证明资料）。</w:t>
      </w:r>
    </w:p>
    <w:p>
      <w:pPr>
        <w:spacing w:line="360" w:lineRule="auto"/>
        <w:rPr>
          <w:rFonts w:ascii="宋体" w:hAnsi="宋体" w:cs="宋体"/>
          <w:kern w:val="0"/>
          <w:sz w:val="24"/>
          <w:szCs w:val="24"/>
        </w:rPr>
      </w:pPr>
      <w:r>
        <w:rPr>
          <w:rFonts w:hint="eastAsia"/>
        </w:rPr>
        <w:t xml:space="preserve"> </w:t>
      </w:r>
      <w:r>
        <w:rPr>
          <w:rFonts w:hint="eastAsia" w:ascii="宋体" w:hAnsi="宋体" w:cs="宋体"/>
          <w:kern w:val="0"/>
          <w:sz w:val="24"/>
          <w:szCs w:val="24"/>
        </w:rPr>
        <w:t xml:space="preserve">  （5）为本项目提供整体设计、规范编制或者项目管理、监理、检测、咨询服务；</w:t>
      </w:r>
    </w:p>
    <w:p>
      <w:pPr>
        <w:pStyle w:val="5"/>
        <w:numPr>
          <w:ilvl w:val="0"/>
          <w:numId w:val="5"/>
        </w:numPr>
        <w:spacing w:line="500" w:lineRule="exact"/>
        <w:ind w:firstLine="562"/>
        <w:rPr>
          <w:rFonts w:ascii="宋体" w:hAnsi="宋体" w:cs="宋体"/>
          <w:szCs w:val="28"/>
        </w:rPr>
      </w:pPr>
      <w:bookmarkStart w:id="31" w:name="_Toc22444"/>
      <w:bookmarkStart w:id="32" w:name="_Toc358364322"/>
      <w:bookmarkStart w:id="33" w:name="_Toc380336728"/>
      <w:bookmarkStart w:id="34" w:name="_Toc540"/>
      <w:r>
        <w:rPr>
          <w:rFonts w:hint="eastAsia" w:ascii="宋体" w:hAnsi="宋体" w:cs="宋体"/>
          <w:szCs w:val="28"/>
        </w:rPr>
        <w:t>费用</w:t>
      </w:r>
      <w:bookmarkEnd w:id="31"/>
      <w:bookmarkEnd w:id="32"/>
      <w:bookmarkEnd w:id="33"/>
      <w:bookmarkEnd w:id="34"/>
    </w:p>
    <w:p>
      <w:pPr>
        <w:widowControl/>
        <w:wordWrap w:val="0"/>
        <w:snapToGrid w:val="0"/>
        <w:spacing w:before="156" w:beforeLines="50" w:line="360" w:lineRule="auto"/>
        <w:ind w:right="-90" w:rightChars="-43" w:firstLine="480" w:firstLineChars="200"/>
        <w:jc w:val="left"/>
        <w:rPr>
          <w:rFonts w:ascii="宋体" w:hAnsi="宋体" w:cs="宋体"/>
          <w:kern w:val="0"/>
          <w:sz w:val="24"/>
          <w:szCs w:val="24"/>
        </w:rPr>
      </w:pPr>
      <w:r>
        <w:rPr>
          <w:rFonts w:hint="eastAsia" w:ascii="宋体" w:hAnsi="宋体" w:cs="宋体"/>
          <w:kern w:val="0"/>
          <w:sz w:val="24"/>
          <w:szCs w:val="24"/>
        </w:rPr>
        <w:t>供应商应承担所有与准备和参加磋商有关的费用，采购代理机构（或采购人)在任何情况下均无义务和责任承担这些费用。</w:t>
      </w:r>
    </w:p>
    <w:p>
      <w:pPr>
        <w:pStyle w:val="5"/>
        <w:numPr>
          <w:ilvl w:val="0"/>
          <w:numId w:val="5"/>
        </w:numPr>
        <w:spacing w:line="500" w:lineRule="exact"/>
        <w:ind w:firstLine="562"/>
        <w:rPr>
          <w:rFonts w:ascii="宋体" w:hAnsi="宋体" w:cs="宋体"/>
          <w:szCs w:val="28"/>
        </w:rPr>
      </w:pPr>
      <w:r>
        <w:rPr>
          <w:rFonts w:hint="eastAsia" w:ascii="宋体" w:hAnsi="宋体" w:cs="宋体"/>
          <w:szCs w:val="28"/>
        </w:rPr>
        <w:t>采购进口产品</w:t>
      </w:r>
    </w:p>
    <w:p>
      <w:pPr>
        <w:widowControl/>
        <w:wordWrap w:val="0"/>
        <w:snapToGrid w:val="0"/>
        <w:spacing w:before="156" w:beforeLines="50" w:line="360" w:lineRule="auto"/>
        <w:ind w:right="-90" w:rightChars="-43" w:firstLine="480" w:firstLineChars="200"/>
        <w:jc w:val="left"/>
        <w:rPr>
          <w:rFonts w:ascii="宋体" w:hAnsi="宋体" w:cs="宋体"/>
          <w:sz w:val="24"/>
          <w:szCs w:val="24"/>
        </w:rPr>
      </w:pPr>
      <w:r>
        <w:rPr>
          <w:rFonts w:hint="eastAsia" w:ascii="宋体" w:hAnsi="宋体" w:cs="宋体"/>
          <w:sz w:val="24"/>
          <w:szCs w:val="24"/>
        </w:rPr>
        <w:t>5.1 除公告或第五部分采购要求标明允许采购进口产品外，本项目拒绝进口产品参加采购活动。</w:t>
      </w:r>
    </w:p>
    <w:p>
      <w:pPr>
        <w:widowControl/>
        <w:wordWrap w:val="0"/>
        <w:snapToGrid w:val="0"/>
        <w:spacing w:line="360" w:lineRule="auto"/>
        <w:ind w:right="-92" w:rightChars="-44" w:firstLine="480" w:firstLineChars="200"/>
        <w:jc w:val="left"/>
        <w:rPr>
          <w:rFonts w:ascii="宋体" w:hAnsi="宋体" w:cs="宋体"/>
          <w:sz w:val="24"/>
          <w:szCs w:val="24"/>
        </w:rPr>
      </w:pPr>
      <w:r>
        <w:rPr>
          <w:rFonts w:hint="eastAsia" w:ascii="宋体" w:hAnsi="宋体" w:cs="宋体"/>
          <w:sz w:val="24"/>
          <w:szCs w:val="24"/>
        </w:rPr>
        <w:t>5.2 本项目第五部分采购要求中同意购买进口产品的，采购活动不限制满足磋商文件要求的国产产品参与本次采购。</w:t>
      </w:r>
    </w:p>
    <w:p>
      <w:pPr>
        <w:pStyle w:val="5"/>
        <w:ind w:firstLine="562" w:firstLineChars="200"/>
      </w:pPr>
      <w:r>
        <w:rPr>
          <w:rFonts w:hint="eastAsia"/>
        </w:rPr>
        <w:t>6、 合格的服务</w:t>
      </w:r>
    </w:p>
    <w:p>
      <w:pPr>
        <w:tabs>
          <w:tab w:val="left" w:pos="747"/>
        </w:tabs>
        <w:snapToGrid w:val="0"/>
        <w:spacing w:line="360" w:lineRule="auto"/>
        <w:ind w:firstLine="480" w:firstLineChars="200"/>
        <w:rPr>
          <w:rFonts w:ascii="宋体" w:hAnsi="宋体"/>
          <w:sz w:val="24"/>
          <w:szCs w:val="24"/>
        </w:rPr>
      </w:pPr>
      <w:r>
        <w:rPr>
          <w:rFonts w:hint="eastAsia" w:ascii="宋体" w:hAnsi="宋体"/>
          <w:sz w:val="24"/>
          <w:szCs w:val="24"/>
        </w:rPr>
        <w:t>6.1供应商提供的所有服务，必须是合法来源，符合国家有关标准和规范，并满足磋商文件规定的服务要求。</w:t>
      </w:r>
    </w:p>
    <w:p>
      <w:pPr>
        <w:tabs>
          <w:tab w:val="left" w:pos="747"/>
        </w:tabs>
        <w:snapToGrid w:val="0"/>
        <w:spacing w:line="360" w:lineRule="auto"/>
        <w:ind w:firstLine="480" w:firstLineChars="200"/>
        <w:rPr>
          <w:rFonts w:ascii="宋体" w:hAnsi="宋体"/>
          <w:sz w:val="24"/>
          <w:szCs w:val="24"/>
        </w:rPr>
      </w:pPr>
      <w:r>
        <w:rPr>
          <w:rFonts w:hint="eastAsia" w:ascii="宋体" w:hAnsi="宋体"/>
          <w:sz w:val="24"/>
          <w:szCs w:val="24"/>
        </w:rPr>
        <w:t>若本项目包括提供货物的，所供货物亦必须是合法生产、合法来源，符合国家有关标准要求，并满足磋商文件规定的要求、质量、有效期、售后服务及供应商须承担的运输、安装、技术支持、培训和磋商文件规定的其它伴随服务等要求。</w:t>
      </w:r>
    </w:p>
    <w:p>
      <w:pPr>
        <w:tabs>
          <w:tab w:val="left" w:pos="747"/>
        </w:tabs>
        <w:snapToGrid w:val="0"/>
        <w:spacing w:line="360" w:lineRule="auto"/>
        <w:ind w:firstLine="480" w:firstLineChars="200"/>
        <w:rPr>
          <w:rFonts w:ascii="宋体" w:hAnsi="宋体" w:cs="宋体"/>
          <w:sz w:val="24"/>
          <w:szCs w:val="24"/>
        </w:rPr>
      </w:pPr>
      <w:r>
        <w:rPr>
          <w:rFonts w:hint="eastAsia" w:ascii="宋体" w:hAnsi="宋体"/>
          <w:sz w:val="24"/>
          <w:szCs w:val="24"/>
        </w:rPr>
        <w:t>6.2 采购人有权拒绝接受任何不合格的服务，由此产生的费用及相关后果均由供应商自行承担。</w:t>
      </w:r>
    </w:p>
    <w:p>
      <w:pPr>
        <w:pStyle w:val="5"/>
        <w:ind w:firstLine="562" w:firstLineChars="200"/>
      </w:pPr>
      <w:r>
        <w:rPr>
          <w:rFonts w:hint="eastAsia"/>
        </w:rPr>
        <w:t>7、答疑会或现场考察</w:t>
      </w:r>
    </w:p>
    <w:p>
      <w:pPr>
        <w:tabs>
          <w:tab w:val="left" w:pos="747"/>
        </w:tabs>
        <w:snapToGrid w:val="0"/>
        <w:spacing w:line="360" w:lineRule="auto"/>
        <w:ind w:firstLine="480" w:firstLineChars="200"/>
        <w:rPr>
          <w:rFonts w:ascii="宋体" w:hAnsi="宋体"/>
          <w:sz w:val="24"/>
          <w:szCs w:val="24"/>
        </w:rPr>
      </w:pPr>
      <w:r>
        <w:rPr>
          <w:rFonts w:hint="eastAsia" w:ascii="宋体" w:hAnsi="宋体"/>
          <w:sz w:val="24"/>
          <w:szCs w:val="24"/>
        </w:rPr>
        <w:t>7.1 根据本采购项目的具体情况，采购代理机构认为有必要，可以组织召磋商前答疑会或组织供应商对项目现场进行考察，澄清供应商提出的问题。答疑会或进行现场考察的时间与地点，采购代理机构将以书面形式通知所有获取了磋商文件的供应商。</w:t>
      </w:r>
    </w:p>
    <w:p>
      <w:pPr>
        <w:tabs>
          <w:tab w:val="left" w:pos="747"/>
        </w:tabs>
        <w:snapToGrid w:val="0"/>
        <w:spacing w:line="360" w:lineRule="auto"/>
        <w:ind w:firstLine="480" w:firstLineChars="200"/>
        <w:rPr>
          <w:rFonts w:ascii="宋体" w:hAnsi="宋体"/>
          <w:sz w:val="24"/>
          <w:szCs w:val="24"/>
        </w:rPr>
      </w:pPr>
      <w:r>
        <w:rPr>
          <w:rFonts w:hint="eastAsia" w:ascii="宋体" w:hAnsi="宋体"/>
          <w:sz w:val="24"/>
          <w:szCs w:val="24"/>
        </w:rPr>
        <w:t>7.2 答疑会或现场考察后，采购人或采购代理机构对供应商所提问题的澄清，以书面形式通知所有获取了磋商文件的供应商。该澄清内容为磋商文件的组成部分。</w:t>
      </w:r>
    </w:p>
    <w:p>
      <w:pPr>
        <w:tabs>
          <w:tab w:val="left" w:pos="747"/>
        </w:tabs>
        <w:snapToGrid w:val="0"/>
        <w:spacing w:line="360" w:lineRule="auto"/>
        <w:ind w:firstLine="480" w:firstLineChars="200"/>
      </w:pPr>
      <w:r>
        <w:rPr>
          <w:rFonts w:hint="eastAsia" w:ascii="宋体" w:hAnsi="宋体"/>
          <w:sz w:val="24"/>
          <w:szCs w:val="24"/>
        </w:rPr>
        <w:t>7.3 采购人或采购代理机构不对供应商现场考察而做出的推论、理解和结论负责。一旦成交，成交供应商不得以任何借口，提出额外补偿，或延长合同期限的要求。</w:t>
      </w:r>
    </w:p>
    <w:p>
      <w:pPr>
        <w:pStyle w:val="5"/>
        <w:spacing w:after="312" w:afterLines="100" w:line="500" w:lineRule="exact"/>
        <w:ind w:left="630"/>
        <w:rPr>
          <w:rFonts w:ascii="宋体" w:hAnsi="宋体" w:cs="宋体"/>
          <w:szCs w:val="28"/>
        </w:rPr>
      </w:pPr>
      <w:r>
        <w:rPr>
          <w:rFonts w:hint="eastAsia" w:ascii="宋体" w:hAnsi="宋体" w:cs="宋体"/>
          <w:szCs w:val="28"/>
        </w:rPr>
        <w:t>8、政府采购政策支持</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 xml:space="preserve">8.1 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8.2 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8.3 产品同时属于“非强制采购节能产品”、环境标志产品的，评审时只有其中一项能享受优先待遇（供应商自行选择，并在报价文件中填写相关信息及数据）。</w:t>
      </w:r>
    </w:p>
    <w:p>
      <w:pPr>
        <w:widowControl/>
        <w:wordWrap w:val="0"/>
        <w:snapToGrid w:val="0"/>
        <w:spacing w:line="360" w:lineRule="auto"/>
        <w:ind w:right="-92" w:rightChars="-44" w:firstLine="480" w:firstLineChars="200"/>
        <w:jc w:val="left"/>
        <w:rPr>
          <w:rFonts w:ascii="宋体" w:hAnsi="宋体" w:cs="宋体"/>
          <w:kern w:val="0"/>
          <w:sz w:val="24"/>
          <w:szCs w:val="24"/>
        </w:rPr>
      </w:pPr>
    </w:p>
    <w:p>
      <w:pPr>
        <w:widowControl/>
        <w:wordWrap w:val="0"/>
        <w:snapToGrid w:val="0"/>
        <w:spacing w:line="360" w:lineRule="auto"/>
        <w:ind w:right="-90" w:rightChars="-43" w:firstLine="480" w:firstLineChars="200"/>
        <w:jc w:val="left"/>
        <w:rPr>
          <w:rFonts w:ascii="宋体" w:hAnsi="宋体" w:cs="宋体"/>
          <w:kern w:val="0"/>
          <w:sz w:val="24"/>
          <w:szCs w:val="24"/>
        </w:rPr>
      </w:pPr>
    </w:p>
    <w:p>
      <w:pPr>
        <w:widowControl/>
        <w:spacing w:line="360" w:lineRule="auto"/>
        <w:outlineLvl w:val="1"/>
        <w:rPr>
          <w:rFonts w:ascii="宋体" w:hAnsi="宋体" w:cs="宋体"/>
          <w:b/>
          <w:bCs/>
          <w:kern w:val="0"/>
          <w:sz w:val="32"/>
          <w:szCs w:val="28"/>
        </w:rPr>
        <w:sectPr>
          <w:pgSz w:w="11906" w:h="16838"/>
          <w:pgMar w:top="1440" w:right="1706" w:bottom="1440" w:left="1800" w:header="851" w:footer="992" w:gutter="0"/>
          <w:cols w:space="720" w:num="1"/>
          <w:docGrid w:type="lines" w:linePitch="312" w:charSpace="0"/>
        </w:sectPr>
      </w:pP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35" w:name="_Toc24962"/>
      <w:bookmarkStart w:id="36" w:name="_Toc1811"/>
      <w:bookmarkStart w:id="37" w:name="_Toc17426"/>
      <w:r>
        <w:rPr>
          <w:rFonts w:hint="eastAsia" w:ascii="宋体" w:hAnsi="宋体" w:cs="宋体"/>
          <w:b/>
          <w:bCs/>
          <w:kern w:val="0"/>
          <w:sz w:val="32"/>
          <w:szCs w:val="28"/>
        </w:rPr>
        <w:t>竞争性磋商文件</w:t>
      </w:r>
      <w:bookmarkEnd w:id="35"/>
      <w:bookmarkEnd w:id="36"/>
      <w:bookmarkEnd w:id="37"/>
    </w:p>
    <w:p>
      <w:pPr>
        <w:pStyle w:val="5"/>
        <w:numPr>
          <w:ilvl w:val="0"/>
          <w:numId w:val="7"/>
        </w:numPr>
        <w:rPr>
          <w:rFonts w:ascii="宋体" w:hAnsi="宋体" w:cs="宋体"/>
        </w:rPr>
      </w:pPr>
      <w:bookmarkStart w:id="38" w:name="_Toc5801"/>
      <w:r>
        <w:rPr>
          <w:rFonts w:hint="eastAsia" w:ascii="宋体" w:hAnsi="宋体" w:cs="宋体"/>
        </w:rPr>
        <w:t>竞争性磋商文件的构成</w:t>
      </w:r>
      <w:bookmarkEnd w:id="38"/>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竞争性磋商文件是供应商准备磋商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竞争性磋商公告；</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供应商须知前附表；</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评审标准；</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采购要求；</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合同条款；</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磋商响应文件格式。</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p>
    <w:p>
      <w:pPr>
        <w:pStyle w:val="5"/>
        <w:numPr>
          <w:ilvl w:val="0"/>
          <w:numId w:val="7"/>
        </w:numPr>
        <w:rPr>
          <w:rFonts w:ascii="宋体" w:hAnsi="宋体" w:cs="宋体"/>
        </w:rPr>
      </w:pPr>
      <w:bookmarkStart w:id="39" w:name="_Toc19797"/>
      <w:r>
        <w:rPr>
          <w:rFonts w:hint="eastAsia" w:ascii="宋体" w:hAnsi="宋体" w:cs="宋体"/>
        </w:rPr>
        <w:t>竞争性磋商文件的澄清</w:t>
      </w:r>
      <w:bookmarkEnd w:id="39"/>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2.1 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或因市场行情了解不清造成的后果和风险均由供应商自负。</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2.2任何对竞争性磋商文件进行询问或要求进行澄清的供应商，均应在收到竞争性磋商文件后二日内按竞争性磋商文件中的通讯地址以书面形式递交代理机构，采购人或代理机构对收到的任何询问或澄清要求将在三个工作日内作出书面答复。</w:t>
      </w:r>
    </w:p>
    <w:p>
      <w:pPr>
        <w:pStyle w:val="5"/>
        <w:numPr>
          <w:ilvl w:val="0"/>
          <w:numId w:val="7"/>
        </w:numPr>
        <w:rPr>
          <w:rFonts w:ascii="宋体" w:hAnsi="宋体" w:cs="宋体"/>
        </w:rPr>
      </w:pPr>
      <w:bookmarkStart w:id="40" w:name="_Toc6390"/>
      <w:r>
        <w:rPr>
          <w:rFonts w:hint="eastAsia" w:ascii="宋体" w:hAnsi="宋体" w:cs="宋体"/>
        </w:rPr>
        <w:t>竞争性磋商文件的修改</w:t>
      </w:r>
      <w:bookmarkEnd w:id="40"/>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3.1 在磋商截止时间五日前，无论出于何种原因，代理机构可主动地或在解答供应商提出的澄清问题时，对竞争性磋商文件进行修改。竞争性磋商文件的澄清和修改将以书面形式通知所有供应商，并作为竞争性磋商文件的补充，与其具有同等法律效力。</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3.2 为方便供应商对竞争性磋商文件修改或澄清内容有充分的时间进行补充修改，代理机构可适当延长磋商截止时间和磋商时间，在竞争性磋商文件要求提交磋商响应文件的截止期三日前，将变更时间书面通知所有购买竞争性磋商文件的供应商。</w:t>
      </w:r>
    </w:p>
    <w:p>
      <w:pPr>
        <w:pStyle w:val="5"/>
        <w:numPr>
          <w:ilvl w:val="0"/>
          <w:numId w:val="7"/>
        </w:numPr>
        <w:rPr>
          <w:rFonts w:ascii="宋体" w:hAnsi="宋体" w:cs="宋体"/>
        </w:rPr>
      </w:pPr>
      <w:bookmarkStart w:id="41" w:name="_Toc31188"/>
      <w:r>
        <w:rPr>
          <w:rFonts w:hint="eastAsia" w:ascii="宋体" w:hAnsi="宋体" w:cs="宋体"/>
        </w:rPr>
        <w:t>竞争性磋商文件的获取</w:t>
      </w:r>
      <w:bookmarkEnd w:id="41"/>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供应商必须从代理机构购买竞争性磋商文件，供应商自行转让或复制竞争性磋商文件视为无效。竞争性磋商文件一经售出，一律不退，仅作为本次竞争性磋商使用。</w:t>
      </w:r>
    </w:p>
    <w:p>
      <w:pPr>
        <w:pStyle w:val="5"/>
        <w:numPr>
          <w:ilvl w:val="0"/>
          <w:numId w:val="7"/>
        </w:numPr>
        <w:rPr>
          <w:rFonts w:ascii="宋体" w:hAnsi="宋体" w:cs="宋体"/>
        </w:rPr>
      </w:pPr>
      <w:bookmarkStart w:id="42" w:name="_Toc5095"/>
      <w:r>
        <w:rPr>
          <w:rFonts w:hint="eastAsia" w:ascii="宋体" w:hAnsi="宋体" w:cs="宋体"/>
        </w:rPr>
        <w:t>竞争性磋商文件的解释权归代理机构。</w:t>
      </w:r>
      <w:bookmarkEnd w:id="42"/>
    </w:p>
    <w:p>
      <w:pPr>
        <w:widowControl/>
        <w:numPr>
          <w:ilvl w:val="0"/>
          <w:numId w:val="4"/>
        </w:numPr>
        <w:spacing w:line="360" w:lineRule="auto"/>
        <w:ind w:firstLine="643" w:firstLineChars="200"/>
        <w:jc w:val="center"/>
        <w:outlineLvl w:val="1"/>
        <w:rPr>
          <w:rFonts w:ascii="宋体" w:hAnsi="宋体" w:cs="宋体"/>
          <w:b/>
          <w:bCs/>
          <w:kern w:val="0"/>
          <w:sz w:val="32"/>
          <w:szCs w:val="28"/>
        </w:rPr>
        <w:sectPr>
          <w:pgSz w:w="11906" w:h="16838"/>
          <w:pgMar w:top="1440" w:right="1706" w:bottom="1440" w:left="1800" w:header="851" w:footer="992" w:gutter="0"/>
          <w:cols w:space="720" w:num="1"/>
          <w:docGrid w:type="lines" w:linePitch="312" w:charSpace="0"/>
        </w:sectPr>
      </w:pP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43" w:name="_Toc24128"/>
      <w:bookmarkStart w:id="44" w:name="_Toc25919"/>
      <w:bookmarkStart w:id="45" w:name="_Toc23299"/>
      <w:r>
        <w:rPr>
          <w:rFonts w:hint="eastAsia" w:ascii="宋体" w:hAnsi="宋体" w:cs="宋体"/>
          <w:b/>
          <w:bCs/>
          <w:kern w:val="0"/>
          <w:sz w:val="32"/>
          <w:szCs w:val="28"/>
        </w:rPr>
        <w:t>磋商响应文件</w:t>
      </w:r>
      <w:bookmarkEnd w:id="43"/>
      <w:bookmarkEnd w:id="44"/>
      <w:bookmarkEnd w:id="45"/>
    </w:p>
    <w:p>
      <w:pPr>
        <w:pStyle w:val="5"/>
        <w:numPr>
          <w:ilvl w:val="0"/>
          <w:numId w:val="9"/>
        </w:numPr>
        <w:rPr>
          <w:rFonts w:ascii="宋体" w:hAnsi="宋体" w:cs="宋体"/>
        </w:rPr>
      </w:pPr>
      <w:bookmarkStart w:id="46" w:name="_Toc17549"/>
      <w:bookmarkStart w:id="47" w:name="_Toc3565"/>
      <w:bookmarkStart w:id="48" w:name="_Toc7624"/>
      <w:bookmarkStart w:id="49" w:name="_Toc2312"/>
      <w:bookmarkStart w:id="50" w:name="_Toc3736"/>
      <w:r>
        <w:rPr>
          <w:rFonts w:hint="eastAsia" w:ascii="宋体" w:hAnsi="宋体" w:cs="宋体"/>
        </w:rPr>
        <w:t>磋商响应文件的编制</w:t>
      </w:r>
      <w:bookmarkEnd w:id="46"/>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磋商响应文件必须根据代理机构发售的竞争性磋商文件格式和顺序认真编制。具体内容包括：</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响应函；</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磋商一览表 ；</w:t>
      </w:r>
    </w:p>
    <w:p>
      <w:pPr>
        <w:numPr>
          <w:ilvl w:val="0"/>
          <w:numId w:val="10"/>
        </w:numPr>
        <w:tabs>
          <w:tab w:val="left" w:pos="0"/>
        </w:tabs>
        <w:adjustRightInd w:val="0"/>
        <w:snapToGrid w:val="0"/>
        <w:spacing w:line="440" w:lineRule="exact"/>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工程量清单报价表</w:t>
      </w:r>
      <w:r>
        <w:rPr>
          <w:rFonts w:hint="eastAsia" w:ascii="宋体" w:hAnsi="宋体" w:eastAsia="宋体" w:cs="宋体"/>
          <w:sz w:val="24"/>
          <w:szCs w:val="24"/>
        </w:rPr>
        <w:t>；</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磋商保证金；</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供应商资质证明资料；</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商务</w:t>
      </w:r>
      <w:r>
        <w:rPr>
          <w:rFonts w:hint="eastAsia" w:ascii="宋体" w:hAnsi="宋体" w:cs="宋体"/>
          <w:sz w:val="24"/>
          <w:szCs w:val="24"/>
          <w:lang w:val="en-US" w:eastAsia="zh-CN"/>
        </w:rPr>
        <w:t>和技术</w:t>
      </w:r>
      <w:r>
        <w:rPr>
          <w:rFonts w:hint="eastAsia" w:ascii="宋体" w:hAnsi="宋体" w:eastAsia="宋体" w:cs="宋体"/>
          <w:sz w:val="24"/>
          <w:szCs w:val="24"/>
        </w:rPr>
        <w:t>响应偏离表；</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施工组织方案；</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主要设备</w:t>
      </w:r>
      <w:r>
        <w:rPr>
          <w:rFonts w:hint="eastAsia" w:ascii="宋体" w:hAnsi="宋体" w:cs="宋体"/>
          <w:sz w:val="24"/>
          <w:szCs w:val="24"/>
          <w:lang w:val="en-US" w:eastAsia="zh-CN"/>
        </w:rPr>
        <w:t>技术支持资料；</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供应商业绩一览表；</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供应商认为有必要说明的其他问题；</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供应商承诺书；</w:t>
      </w:r>
    </w:p>
    <w:p>
      <w:pPr>
        <w:pStyle w:val="5"/>
        <w:numPr>
          <w:ilvl w:val="0"/>
          <w:numId w:val="9"/>
        </w:numPr>
        <w:rPr>
          <w:rFonts w:ascii="宋体" w:hAnsi="宋体" w:cs="宋体"/>
        </w:rPr>
      </w:pPr>
      <w:r>
        <w:rPr>
          <w:rFonts w:hint="eastAsia" w:ascii="宋体" w:hAnsi="宋体" w:cs="宋体"/>
        </w:rPr>
        <w:t>响应报价</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2.1供应商应在响应报价表中标明本次招标所要求的货物、工程、服务且验收合格的所有费用，包括总报价、货物服务报价、技术培训费（如果有）、检测费、人工费、税金及进口产品（如果有）国家按现行税收政策征收的一切税费等。在合同实施期间，响应报价表中标明本项目所需的总价，不受市场价变化的影响，不受实际数量变化的影响。任何有选择的报价将不予接受，否则按无效响应处理。</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2.2供应商成交后承担服务过程中发生的安全事故产生的所有法律及经济责任。</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2.3响应报价表成交的价格，在合同执行过程中，不得以任何理由变更。</w:t>
      </w:r>
    </w:p>
    <w:p>
      <w:pPr>
        <w:tabs>
          <w:tab w:val="left" w:pos="0"/>
        </w:tabs>
        <w:adjustRightInd w:val="0"/>
        <w:snapToGrid w:val="0"/>
        <w:spacing w:line="440" w:lineRule="exact"/>
        <w:ind w:firstLine="480" w:firstLineChars="200"/>
        <w:jc w:val="left"/>
        <w:rPr>
          <w:rFonts w:ascii="宋体" w:hAnsi="宋体" w:cs="宋体"/>
          <w:color w:val="0000FF"/>
          <w:sz w:val="24"/>
          <w:szCs w:val="24"/>
        </w:rPr>
      </w:pPr>
      <w:r>
        <w:rPr>
          <w:rFonts w:hint="eastAsia" w:ascii="宋体" w:hAnsi="宋体" w:cs="宋体"/>
          <w:sz w:val="24"/>
          <w:szCs w:val="24"/>
        </w:rPr>
        <w:t>2.4供应商应在磋商响应文件中的磋商一览表上，标明总报价、工期、</w:t>
      </w:r>
      <w:r>
        <w:rPr>
          <w:rFonts w:hint="eastAsia" w:ascii="宋体" w:hAnsi="宋体" w:cs="宋体"/>
          <w:sz w:val="24"/>
          <w:szCs w:val="24"/>
          <w:lang w:eastAsia="zh-CN"/>
        </w:rPr>
        <w:t>质保期</w:t>
      </w:r>
      <w:r>
        <w:rPr>
          <w:rFonts w:hint="eastAsia" w:ascii="宋体" w:hAnsi="宋体" w:cs="宋体"/>
          <w:sz w:val="24"/>
          <w:szCs w:val="24"/>
        </w:rPr>
        <w:t>等磋商文件要求的其他内容；任何有选择的报价不予接受。</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2.5最低报价不是成交的唯一依据。</w:t>
      </w:r>
    </w:p>
    <w:p>
      <w:pPr>
        <w:pStyle w:val="5"/>
        <w:numPr>
          <w:ilvl w:val="0"/>
          <w:numId w:val="9"/>
        </w:numPr>
        <w:rPr>
          <w:rFonts w:ascii="宋体" w:hAnsi="宋体" w:cs="宋体"/>
        </w:rPr>
      </w:pPr>
      <w:bookmarkStart w:id="51" w:name="_Toc29200"/>
      <w:r>
        <w:rPr>
          <w:rFonts w:hint="eastAsia" w:ascii="宋体" w:hAnsi="宋体" w:cs="宋体"/>
        </w:rPr>
        <w:t>磋商货币</w:t>
      </w:r>
      <w:bookmarkEnd w:id="51"/>
    </w:p>
    <w:p>
      <w:pPr>
        <w:widowControl/>
        <w:spacing w:line="360" w:lineRule="auto"/>
        <w:ind w:firstLine="480" w:firstLineChars="200"/>
        <w:rPr>
          <w:rFonts w:ascii="宋体" w:hAnsi="宋体" w:cs="宋体"/>
          <w:kern w:val="0"/>
          <w:sz w:val="24"/>
        </w:rPr>
      </w:pPr>
      <w:r>
        <w:rPr>
          <w:rFonts w:hint="eastAsia" w:ascii="宋体" w:hAnsi="宋体" w:cs="宋体"/>
          <w:kern w:val="0"/>
          <w:sz w:val="24"/>
        </w:rPr>
        <w:t>采购人只接受人民币作为唯一磋商货币。</w:t>
      </w:r>
    </w:p>
    <w:p>
      <w:pPr>
        <w:pStyle w:val="5"/>
        <w:numPr>
          <w:ilvl w:val="0"/>
          <w:numId w:val="9"/>
        </w:numPr>
        <w:rPr>
          <w:rFonts w:ascii="宋体" w:hAnsi="宋体" w:cs="宋体"/>
        </w:rPr>
      </w:pPr>
      <w:bookmarkStart w:id="52" w:name="_Toc1311"/>
      <w:r>
        <w:rPr>
          <w:rFonts w:hint="eastAsia" w:ascii="宋体" w:hAnsi="宋体" w:cs="宋体"/>
        </w:rPr>
        <w:t>磋商保证金</w:t>
      </w:r>
      <w:bookmarkEnd w:id="52"/>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rPr>
        <w:t>4.1磋商保证金按照供应商须知前附表要求缴纳。</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4.2供应商未按照竞争性磋商文件要求交纳磋商保证金的或磋商保证金的交付单位和供应商的名称不一致，视为无效磋商。</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4.3未成交供应商的磋商保证金，在成交通知书发出后5个工作日内无息退还；成交供应商的磋商保证金在合同签订后5个工作日内无息退还。</w:t>
      </w:r>
    </w:p>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4.4发生下列情形之一的，代理机构将不予退还供应商交纳的磋商保证金：</w:t>
      </w:r>
    </w:p>
    <w:p>
      <w:pPr>
        <w:numPr>
          <w:ilvl w:val="0"/>
          <w:numId w:val="11"/>
        </w:numPr>
        <w:tabs>
          <w:tab w:val="left" w:pos="0"/>
        </w:tabs>
        <w:adjustRightInd w:val="0"/>
        <w:snapToGrid w:val="0"/>
        <w:spacing w:line="360" w:lineRule="auto"/>
        <w:rPr>
          <w:rFonts w:ascii="宋体" w:hAnsi="宋体" w:cs="宋体"/>
          <w:sz w:val="24"/>
          <w:szCs w:val="24"/>
        </w:rPr>
      </w:pPr>
      <w:r>
        <w:rPr>
          <w:rFonts w:hint="eastAsia" w:ascii="宋体" w:hAnsi="宋体" w:cs="宋体"/>
          <w:sz w:val="24"/>
        </w:rPr>
        <w:t>磋商后在竞争性磋商文件规定的磋商有效期间，供应商撤回其磋商响应文件</w:t>
      </w:r>
      <w:r>
        <w:rPr>
          <w:rFonts w:hint="eastAsia" w:ascii="宋体" w:hAnsi="宋体" w:cs="宋体"/>
          <w:sz w:val="24"/>
          <w:szCs w:val="24"/>
        </w:rPr>
        <w:t>；</w:t>
      </w:r>
    </w:p>
    <w:p>
      <w:pPr>
        <w:numPr>
          <w:ilvl w:val="0"/>
          <w:numId w:val="11"/>
        </w:numPr>
        <w:adjustRightInd w:val="0"/>
        <w:snapToGrid w:val="0"/>
        <w:spacing w:line="360" w:lineRule="auto"/>
        <w:rPr>
          <w:rFonts w:ascii="宋体" w:hAnsi="宋体" w:cs="宋体"/>
          <w:sz w:val="24"/>
          <w:szCs w:val="24"/>
        </w:rPr>
      </w:pPr>
      <w:r>
        <w:rPr>
          <w:rFonts w:hint="eastAsia" w:ascii="宋体" w:hAnsi="宋体" w:cs="宋体"/>
          <w:sz w:val="24"/>
          <w:szCs w:val="24"/>
        </w:rPr>
        <w:t>在采购人确定成交供应商以前放弃成交候选资格的；</w:t>
      </w:r>
    </w:p>
    <w:p>
      <w:pPr>
        <w:numPr>
          <w:ilvl w:val="0"/>
          <w:numId w:val="11"/>
        </w:numPr>
        <w:adjustRightInd w:val="0"/>
        <w:snapToGrid w:val="0"/>
        <w:spacing w:line="360" w:lineRule="auto"/>
        <w:rPr>
          <w:rFonts w:ascii="宋体" w:hAnsi="宋体" w:cs="宋体"/>
          <w:sz w:val="24"/>
          <w:szCs w:val="24"/>
        </w:rPr>
      </w:pPr>
      <w:r>
        <w:rPr>
          <w:rFonts w:hint="eastAsia" w:ascii="宋体" w:hAnsi="宋体" w:cs="宋体"/>
          <w:sz w:val="24"/>
          <w:szCs w:val="24"/>
        </w:rPr>
        <w:t>由于成交供应商原因未能按照竞争性磋商文件的规定与采购人签订合同；</w:t>
      </w:r>
    </w:p>
    <w:p>
      <w:pPr>
        <w:numPr>
          <w:ilvl w:val="0"/>
          <w:numId w:val="11"/>
        </w:numPr>
        <w:adjustRightInd w:val="0"/>
        <w:snapToGrid w:val="0"/>
        <w:spacing w:line="360" w:lineRule="auto"/>
        <w:rPr>
          <w:rFonts w:ascii="宋体" w:hAnsi="宋体" w:cs="宋体"/>
          <w:sz w:val="24"/>
          <w:szCs w:val="24"/>
        </w:rPr>
      </w:pPr>
      <w:r>
        <w:rPr>
          <w:rFonts w:hint="eastAsia" w:ascii="宋体" w:hAnsi="宋体" w:cs="宋体"/>
          <w:sz w:val="24"/>
          <w:szCs w:val="24"/>
        </w:rPr>
        <w:t>由于成交供应商原因未能按照竞争性磋商文件的规定交纳履约保证金；</w:t>
      </w:r>
    </w:p>
    <w:p>
      <w:pPr>
        <w:numPr>
          <w:ilvl w:val="0"/>
          <w:numId w:val="11"/>
        </w:numPr>
        <w:adjustRightInd w:val="0"/>
        <w:snapToGrid w:val="0"/>
        <w:spacing w:line="360" w:lineRule="auto"/>
        <w:rPr>
          <w:rFonts w:ascii="宋体" w:hAnsi="宋体" w:cs="宋体"/>
          <w:sz w:val="24"/>
          <w:szCs w:val="24"/>
        </w:rPr>
      </w:pPr>
      <w:r>
        <w:rPr>
          <w:rFonts w:hint="eastAsia" w:ascii="宋体" w:hAnsi="宋体" w:cs="宋体"/>
          <w:sz w:val="24"/>
          <w:szCs w:val="24"/>
        </w:rPr>
        <w:t>磋商有效期内，供应商在政府采购活动中有违法、违规、违纪行为。</w:t>
      </w:r>
    </w:p>
    <w:p>
      <w:pPr>
        <w:tabs>
          <w:tab w:val="left" w:pos="0"/>
        </w:tabs>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4.5未成交的供应商在退取磋商保证金时，</w:t>
      </w:r>
      <w:r>
        <w:rPr>
          <w:rFonts w:hint="eastAsia" w:ascii="宋体" w:hAnsi="宋体" w:cs="宋体"/>
          <w:sz w:val="24"/>
        </w:rPr>
        <w:t>须</w:t>
      </w:r>
      <w:r>
        <w:rPr>
          <w:rFonts w:hint="eastAsia" w:ascii="宋体" w:hAnsi="宋体" w:cs="宋体"/>
          <w:sz w:val="24"/>
          <w:szCs w:val="24"/>
        </w:rPr>
        <w:t>携带以下资料办理到代理机构的财务部门办理:</w:t>
      </w:r>
    </w:p>
    <w:p>
      <w:pPr>
        <w:numPr>
          <w:ilvl w:val="0"/>
          <w:numId w:val="12"/>
        </w:numPr>
        <w:adjustRightInd w:val="0"/>
        <w:snapToGrid w:val="0"/>
        <w:spacing w:line="360" w:lineRule="auto"/>
        <w:rPr>
          <w:rFonts w:ascii="宋体" w:hAnsi="宋体" w:cs="宋体"/>
          <w:sz w:val="24"/>
          <w:szCs w:val="24"/>
        </w:rPr>
      </w:pPr>
      <w:r>
        <w:rPr>
          <w:rFonts w:hint="eastAsia" w:ascii="宋体" w:hAnsi="宋体" w:cs="宋体"/>
          <w:sz w:val="24"/>
          <w:szCs w:val="24"/>
        </w:rPr>
        <w:t>保证金汇款凭证复印件加盖公章；</w:t>
      </w:r>
    </w:p>
    <w:p>
      <w:pPr>
        <w:numPr>
          <w:ilvl w:val="0"/>
          <w:numId w:val="12"/>
        </w:numPr>
        <w:adjustRightInd w:val="0"/>
        <w:snapToGrid w:val="0"/>
        <w:spacing w:line="360" w:lineRule="auto"/>
        <w:rPr>
          <w:rFonts w:ascii="宋体" w:hAnsi="宋体" w:cs="宋体"/>
          <w:sz w:val="24"/>
          <w:szCs w:val="24"/>
        </w:rPr>
      </w:pPr>
      <w:r>
        <w:rPr>
          <w:rFonts w:hint="eastAsia" w:ascii="宋体" w:hAnsi="宋体" w:cs="宋体"/>
          <w:sz w:val="24"/>
          <w:szCs w:val="24"/>
        </w:rPr>
        <w:t>磋商企业对公银行账户信息（加盖公章）见</w:t>
      </w:r>
      <w:r>
        <w:rPr>
          <w:rFonts w:hint="eastAsia" w:ascii="宋体" w:hAnsi="宋体" w:cs="宋体"/>
          <w:b/>
          <w:bCs/>
          <w:sz w:val="24"/>
          <w:szCs w:val="24"/>
        </w:rPr>
        <w:t>附件七</w:t>
      </w:r>
      <w:r>
        <w:rPr>
          <w:rFonts w:hint="eastAsia" w:ascii="宋体" w:hAnsi="宋体" w:cs="宋体"/>
          <w:sz w:val="24"/>
          <w:szCs w:val="24"/>
        </w:rPr>
        <w:t>。</w:t>
      </w:r>
    </w:p>
    <w:p>
      <w:pPr>
        <w:numPr>
          <w:ilvl w:val="0"/>
          <w:numId w:val="13"/>
        </w:numPr>
        <w:adjustRightInd w:val="0"/>
        <w:snapToGrid w:val="0"/>
        <w:spacing w:line="360" w:lineRule="auto"/>
        <w:ind w:left="0" w:firstLine="0"/>
        <w:rPr>
          <w:rFonts w:ascii="宋体" w:hAnsi="宋体" w:cs="宋体"/>
          <w:b/>
          <w:bCs/>
          <w:sz w:val="24"/>
          <w:szCs w:val="24"/>
        </w:rPr>
      </w:pPr>
      <w:r>
        <w:rPr>
          <w:rFonts w:hint="eastAsia" w:ascii="宋体" w:hAnsi="宋体" w:cs="宋体"/>
          <w:b/>
          <w:bCs/>
          <w:sz w:val="24"/>
          <w:szCs w:val="24"/>
        </w:rPr>
        <w:t>供应商可在磋商当天将保证金退还账户信息确认表与磋商保证金汇款凭证复印件加盖公章一并交给工作人员，当天未提交保证金退还账户信息确认表与磋商保证金汇款凭证复印件加盖公章的供应商，在磋商后自行找财务办理保证金退还手续。</w:t>
      </w:r>
    </w:p>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4.6成交供应商在退取磋商保证金时，除携带上述资料外还需携带与采购人签订的采购合同（原件）。</w:t>
      </w:r>
    </w:p>
    <w:p>
      <w:pPr>
        <w:pStyle w:val="5"/>
        <w:numPr>
          <w:ilvl w:val="0"/>
          <w:numId w:val="9"/>
        </w:numPr>
        <w:rPr>
          <w:rFonts w:ascii="宋体" w:hAnsi="宋体" w:cs="宋体"/>
        </w:rPr>
      </w:pPr>
      <w:bookmarkStart w:id="53" w:name="_Toc19668"/>
      <w:r>
        <w:rPr>
          <w:rFonts w:hint="eastAsia" w:ascii="宋体" w:hAnsi="宋体" w:cs="宋体"/>
        </w:rPr>
        <w:t>磋商有效期</w:t>
      </w:r>
      <w:bookmarkEnd w:id="53"/>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磋商有效期见供应商须知前附表，磋商有效期短于此规定期限的磋商响应文件，视为无效文件，其磋商响应文件将被拒绝。成交单位的磋商响应文件有效期延长至合同执行完毕。</w:t>
      </w:r>
    </w:p>
    <w:p>
      <w:pPr>
        <w:pStyle w:val="5"/>
        <w:numPr>
          <w:ilvl w:val="0"/>
          <w:numId w:val="9"/>
        </w:numPr>
        <w:rPr>
          <w:rFonts w:ascii="宋体" w:hAnsi="宋体" w:cs="宋体"/>
          <w:szCs w:val="32"/>
        </w:rPr>
      </w:pPr>
      <w:bookmarkStart w:id="54" w:name="_Toc24827"/>
      <w:r>
        <w:rPr>
          <w:rFonts w:hint="eastAsia" w:ascii="宋体" w:hAnsi="宋体" w:cs="宋体"/>
        </w:rPr>
        <w:t>磋商响应文件的格式、装订、密封和签署</w:t>
      </w:r>
      <w:bookmarkEnd w:id="54"/>
    </w:p>
    <w:p>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6.1供应商须依据竞争性磋商文件内容和磋商响应文件格式的要求编制磋商响应文件；</w:t>
      </w:r>
    </w:p>
    <w:p>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磋商响应文件的正本须打印或用不褪色蓝（黑）墨水（汁）书写，磋商响应文件的打印（</w:t>
      </w:r>
      <w:r>
        <w:rPr>
          <w:rFonts w:hint="eastAsia" w:ascii="宋体" w:hAnsi="宋体" w:cs="宋体"/>
          <w:b/>
          <w:bCs/>
          <w:sz w:val="24"/>
          <w:szCs w:val="24"/>
        </w:rPr>
        <w:t>建议双面打印</w:t>
      </w:r>
      <w:r>
        <w:rPr>
          <w:rFonts w:hint="eastAsia" w:ascii="宋体" w:hAnsi="宋体" w:cs="宋体"/>
          <w:sz w:val="24"/>
          <w:szCs w:val="24"/>
        </w:rPr>
        <w:t>）和书写应清楚工整，任何行间插字、涂改和增删，必须由供应商的法定代表人或其授权代表签字或加盖个人印章，字迹潦草或表达不清或可能导致非唯一理解的磋商响应文件可能视为无效文件；所有的副本可以为正本的复印件。</w:t>
      </w:r>
    </w:p>
    <w:p>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6.2磋商响应文件的装订</w:t>
      </w:r>
    </w:p>
    <w:p>
      <w:pPr>
        <w:tabs>
          <w:tab w:val="left" w:pos="0"/>
        </w:tabs>
        <w:spacing w:line="360" w:lineRule="auto"/>
        <w:ind w:firstLine="480" w:firstLineChars="200"/>
        <w:rPr>
          <w:rFonts w:ascii="宋体" w:hAnsi="宋体" w:cs="宋体"/>
          <w:b/>
          <w:bCs/>
          <w:sz w:val="24"/>
          <w:szCs w:val="24"/>
        </w:rPr>
      </w:pPr>
      <w:r>
        <w:rPr>
          <w:rFonts w:hint="eastAsia" w:ascii="宋体" w:hAnsi="宋体" w:cs="宋体"/>
          <w:sz w:val="24"/>
          <w:szCs w:val="24"/>
        </w:rPr>
        <w:t>磋商响应文件</w:t>
      </w:r>
      <w:r>
        <w:rPr>
          <w:rFonts w:hint="eastAsia" w:ascii="宋体" w:hAnsi="宋体" w:cs="宋体"/>
          <w:b/>
          <w:bCs/>
          <w:sz w:val="24"/>
          <w:szCs w:val="24"/>
        </w:rPr>
        <w:t>正本壹份、副本叁份</w:t>
      </w:r>
      <w:r>
        <w:rPr>
          <w:rFonts w:hint="eastAsia" w:ascii="宋体" w:hAnsi="宋体" w:cs="宋体"/>
          <w:sz w:val="24"/>
          <w:szCs w:val="24"/>
        </w:rPr>
        <w:t>，分别胶装装订成册（散页无效），且封面须清楚地标明“正本”或“副本”；若正本和副本不符，以正本书面文件为准；同时提供与正本内容一致的</w:t>
      </w:r>
      <w:bookmarkStart w:id="55" w:name="OLE_LINK13"/>
      <w:r>
        <w:rPr>
          <w:rFonts w:hint="eastAsia" w:ascii="宋体" w:hAnsi="宋体" w:cs="宋体"/>
          <w:sz w:val="24"/>
          <w:szCs w:val="24"/>
        </w:rPr>
        <w:t>电子版</w:t>
      </w:r>
      <w:bookmarkEnd w:id="55"/>
      <w:r>
        <w:rPr>
          <w:rFonts w:hint="eastAsia" w:ascii="宋体" w:hAnsi="宋体" w:cs="宋体"/>
          <w:sz w:val="24"/>
          <w:szCs w:val="24"/>
        </w:rPr>
        <w:t>（</w:t>
      </w:r>
      <w:r>
        <w:rPr>
          <w:rFonts w:hint="eastAsia" w:ascii="宋体" w:hAnsi="宋体" w:cs="宋体"/>
          <w:b/>
          <w:bCs/>
          <w:sz w:val="24"/>
          <w:szCs w:val="24"/>
        </w:rPr>
        <w:t>U盘</w:t>
      </w:r>
      <w:r>
        <w:rPr>
          <w:rFonts w:hint="eastAsia" w:ascii="宋体" w:hAnsi="宋体" w:cs="宋体"/>
          <w:sz w:val="24"/>
          <w:szCs w:val="24"/>
        </w:rPr>
        <w:t>、</w:t>
      </w:r>
      <w:r>
        <w:rPr>
          <w:rFonts w:hint="eastAsia" w:ascii="宋体" w:hAnsi="宋体" w:cs="宋体"/>
          <w:b/>
          <w:bCs/>
          <w:sz w:val="24"/>
          <w:szCs w:val="24"/>
        </w:rPr>
        <w:t>电子文档应为PDF与WORD格式各一份</w:t>
      </w:r>
      <w:r>
        <w:rPr>
          <w:rFonts w:hint="eastAsia" w:ascii="宋体" w:hAnsi="宋体" w:cs="宋体"/>
          <w:sz w:val="24"/>
          <w:szCs w:val="24"/>
        </w:rPr>
        <w:t>）、磋商一览表壹份</w:t>
      </w:r>
      <w:r>
        <w:rPr>
          <w:rFonts w:hint="eastAsia" w:ascii="宋体" w:hAnsi="宋体" w:cs="宋体"/>
          <w:b/>
          <w:bCs/>
          <w:sz w:val="24"/>
          <w:szCs w:val="24"/>
        </w:rPr>
        <w:t>（</w:t>
      </w:r>
      <w:r>
        <w:rPr>
          <w:rFonts w:hint="eastAsia" w:ascii="宋体" w:hAnsi="宋体" w:cs="宋体"/>
          <w:sz w:val="24"/>
          <w:szCs w:val="24"/>
        </w:rPr>
        <w:t>单独提交的“磋商一览表”应为原件</w:t>
      </w:r>
      <w:r>
        <w:rPr>
          <w:rFonts w:hint="eastAsia" w:ascii="宋体" w:hAnsi="宋体" w:cs="宋体"/>
          <w:b/>
          <w:bCs/>
          <w:sz w:val="24"/>
          <w:szCs w:val="24"/>
        </w:rPr>
        <w:t>）。</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6.3磋商响应文件的签署</w:t>
      </w:r>
    </w:p>
    <w:p>
      <w:pPr>
        <w:numPr>
          <w:ilvl w:val="0"/>
          <w:numId w:val="14"/>
        </w:numPr>
        <w:spacing w:line="360" w:lineRule="auto"/>
        <w:jc w:val="left"/>
        <w:rPr>
          <w:rFonts w:ascii="宋体" w:hAnsi="宋体" w:cs="宋体"/>
          <w:sz w:val="24"/>
          <w:szCs w:val="24"/>
        </w:rPr>
      </w:pPr>
      <w:r>
        <w:rPr>
          <w:rFonts w:hint="eastAsia" w:ascii="宋体" w:hAnsi="宋体" w:cs="宋体"/>
          <w:sz w:val="24"/>
          <w:szCs w:val="24"/>
        </w:rPr>
        <w:t>供应商在磋商响应文件中指定的页面的落款处，按竞争性磋商文件要求由供应商的法定代表人或其授权代表在规定的签章处签字或盖章。</w:t>
      </w:r>
    </w:p>
    <w:p>
      <w:pPr>
        <w:numPr>
          <w:ilvl w:val="0"/>
          <w:numId w:val="14"/>
        </w:numPr>
        <w:spacing w:line="360" w:lineRule="auto"/>
        <w:jc w:val="left"/>
        <w:rPr>
          <w:rFonts w:ascii="宋体" w:hAnsi="宋体" w:cs="宋体"/>
          <w:sz w:val="24"/>
          <w:szCs w:val="24"/>
        </w:rPr>
      </w:pPr>
      <w:r>
        <w:rPr>
          <w:rFonts w:hint="eastAsia" w:ascii="宋体" w:hAnsi="宋体" w:cs="宋体"/>
          <w:sz w:val="24"/>
          <w:szCs w:val="24"/>
        </w:rPr>
        <w:t>供应商应按照磋商文件要求，在每一份磋商响应文件的正本和副本封面下方以及其他磋商文件要求的位置填写供应商全称并加盖公章。</w:t>
      </w:r>
    </w:p>
    <w:p>
      <w:pPr>
        <w:numPr>
          <w:ilvl w:val="0"/>
          <w:numId w:val="14"/>
        </w:numPr>
        <w:spacing w:line="360" w:lineRule="auto"/>
        <w:jc w:val="left"/>
        <w:rPr>
          <w:rFonts w:ascii="宋体" w:hAnsi="宋体" w:cs="宋体"/>
          <w:sz w:val="24"/>
          <w:szCs w:val="24"/>
        </w:rPr>
      </w:pPr>
      <w:r>
        <w:rPr>
          <w:rFonts w:hint="eastAsia" w:ascii="宋体" w:hAnsi="宋体" w:cs="宋体"/>
          <w:sz w:val="24"/>
          <w:szCs w:val="24"/>
        </w:rPr>
        <w:t>磋商响应文件应字迹清楚、内容齐全、不得涂改或增删。如有修改和增删，必须有供应商公章及法定代表人或其授权代表签字。</w:t>
      </w:r>
    </w:p>
    <w:p>
      <w:pPr>
        <w:numPr>
          <w:ilvl w:val="0"/>
          <w:numId w:val="14"/>
        </w:numPr>
        <w:spacing w:line="360" w:lineRule="auto"/>
        <w:jc w:val="left"/>
        <w:rPr>
          <w:rFonts w:ascii="宋体" w:hAnsi="宋体" w:cs="宋体"/>
          <w:sz w:val="24"/>
          <w:szCs w:val="24"/>
        </w:rPr>
      </w:pPr>
      <w:r>
        <w:rPr>
          <w:rFonts w:hint="eastAsia" w:ascii="宋体" w:hAnsi="宋体" w:cs="宋体"/>
          <w:sz w:val="24"/>
          <w:szCs w:val="24"/>
        </w:rPr>
        <w:t>因磋商响应文件字迹潦草或表达不清所引起的不利后果由供应商承担。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6.4磋商响应文件的密封</w:t>
      </w:r>
    </w:p>
    <w:p>
      <w:pPr>
        <w:spacing w:line="360" w:lineRule="auto"/>
        <w:ind w:firstLine="480" w:firstLineChars="200"/>
        <w:jc w:val="left"/>
        <w:rPr>
          <w:rFonts w:ascii="宋体" w:hAnsi="宋体" w:cs="宋体"/>
          <w:kern w:val="0"/>
          <w:sz w:val="24"/>
        </w:rPr>
      </w:pPr>
      <w:r>
        <w:rPr>
          <w:rFonts w:hint="eastAsia" w:ascii="宋体" w:hAnsi="宋体" w:cs="宋体"/>
          <w:sz w:val="24"/>
          <w:szCs w:val="24"/>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 w:val="24"/>
        </w:rPr>
        <w:t>磋商响应文件袋上应加盖供应商公章（</w:t>
      </w:r>
      <w:r>
        <w:rPr>
          <w:rFonts w:hint="eastAsia" w:ascii="宋体" w:hAnsi="宋体" w:cs="宋体"/>
          <w:sz w:val="24"/>
          <w:szCs w:val="24"/>
        </w:rPr>
        <w:t>封面标识见竞争性磋商文件</w:t>
      </w:r>
      <w:r>
        <w:rPr>
          <w:rFonts w:hint="eastAsia" w:ascii="宋体" w:hAnsi="宋体" w:cs="宋体"/>
          <w:b/>
          <w:bCs/>
          <w:sz w:val="24"/>
          <w:szCs w:val="24"/>
        </w:rPr>
        <w:t>附件一</w:t>
      </w:r>
      <w:r>
        <w:rPr>
          <w:rFonts w:hint="eastAsia" w:ascii="宋体" w:hAnsi="宋体" w:cs="宋体"/>
          <w:sz w:val="24"/>
          <w:szCs w:val="24"/>
        </w:rPr>
        <w:t>）</w:t>
      </w:r>
      <w:r>
        <w:rPr>
          <w:rFonts w:hint="eastAsia" w:ascii="宋体" w:hAnsi="宋体" w:cs="宋体"/>
          <w:kern w:val="0"/>
          <w:sz w:val="24"/>
        </w:rPr>
        <w:t>如果未按上述规定进行密封，供应商的磋商响应文件有权被拒绝</w:t>
      </w:r>
      <w:r>
        <w:rPr>
          <w:rFonts w:hint="eastAsia" w:ascii="宋体" w:hAnsi="宋体" w:cs="宋体"/>
          <w:sz w:val="24"/>
          <w:szCs w:val="24"/>
        </w:rPr>
        <w:t>。</w:t>
      </w:r>
    </w:p>
    <w:p>
      <w:pPr>
        <w:spacing w:line="360" w:lineRule="auto"/>
        <w:ind w:firstLine="480" w:firstLineChars="200"/>
        <w:jc w:val="left"/>
        <w:rPr>
          <w:rFonts w:ascii="宋体" w:hAnsi="宋体" w:cs="宋体"/>
          <w:kern w:val="0"/>
          <w:sz w:val="24"/>
        </w:rPr>
      </w:pPr>
      <w:r>
        <w:rPr>
          <w:rFonts w:hint="eastAsia" w:ascii="宋体" w:hAnsi="宋体" w:cs="宋体"/>
          <w:sz w:val="24"/>
          <w:szCs w:val="24"/>
        </w:rPr>
        <w:t>如果供应商未按上述要求密封及加写标记，误投或过早启封的磋商响应文件，将自行承担其磋商响应文件被视为无效磋商响应文件的风险。</w:t>
      </w:r>
    </w:p>
    <w:p>
      <w:pPr>
        <w:spacing w:line="360" w:lineRule="auto"/>
        <w:ind w:firstLine="480" w:firstLineChars="200"/>
        <w:rPr>
          <w:rFonts w:ascii="宋体" w:hAnsi="宋体" w:cs="宋体"/>
          <w:sz w:val="24"/>
          <w:szCs w:val="24"/>
        </w:rPr>
      </w:pPr>
      <w:r>
        <w:rPr>
          <w:rFonts w:hint="eastAsia" w:ascii="宋体" w:hAnsi="宋体" w:cs="宋体"/>
          <w:sz w:val="24"/>
          <w:szCs w:val="24"/>
        </w:rPr>
        <w:t>6.5本次磋商只接受简体中文文字的磋商响应文件；如磋商响应文件中出现外文资料，必须配以中文译文。否则，由此引发的一切责任由供应商自负。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6.6拒绝接受以电话、传真、电子邮件形式的磋商。</w:t>
      </w:r>
    </w:p>
    <w:p>
      <w:pPr>
        <w:pStyle w:val="5"/>
        <w:numPr>
          <w:ilvl w:val="0"/>
          <w:numId w:val="9"/>
        </w:numPr>
        <w:rPr>
          <w:rFonts w:ascii="宋体" w:hAnsi="宋体" w:cs="宋体"/>
        </w:rPr>
      </w:pPr>
      <w:bookmarkStart w:id="56" w:name="_Toc22752"/>
      <w:r>
        <w:rPr>
          <w:rFonts w:hint="eastAsia" w:ascii="宋体" w:hAnsi="宋体" w:cs="宋体"/>
        </w:rPr>
        <w:t>知识产权</w:t>
      </w:r>
      <w:bookmarkEnd w:id="56"/>
    </w:p>
    <w:p>
      <w:pPr>
        <w:spacing w:line="360" w:lineRule="auto"/>
        <w:ind w:firstLine="480" w:firstLineChars="200"/>
        <w:jc w:val="left"/>
        <w:rPr>
          <w:rFonts w:ascii="宋体" w:hAnsi="宋体" w:cs="宋体"/>
          <w:sz w:val="24"/>
          <w:szCs w:val="24"/>
        </w:rPr>
      </w:pPr>
      <w:r>
        <w:rPr>
          <w:rFonts w:hint="eastAsia" w:ascii="宋体" w:hAnsi="宋体" w:cs="宋体"/>
          <w:sz w:val="24"/>
          <w:szCs w:val="24"/>
        </w:rPr>
        <w:t>7.1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7.2采购人享有本项目在实施过程中产生的知识成果及知识产权。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7.3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7.4如供应商所不拥有的知识产权，则在响应报价中必须包括合法获取该知识产权的相关费用。</w:t>
      </w:r>
    </w:p>
    <w:p/>
    <w:p>
      <w:pPr>
        <w:pStyle w:val="6"/>
        <w:rPr>
          <w:rFonts w:hint="default"/>
        </w:rPr>
        <w:sectPr>
          <w:pgSz w:w="11906" w:h="16838"/>
          <w:pgMar w:top="1440" w:right="1706" w:bottom="1440" w:left="1800" w:header="851" w:footer="992" w:gutter="0"/>
          <w:cols w:space="720" w:num="1"/>
          <w:docGrid w:type="lines" w:linePitch="312" w:charSpace="0"/>
        </w:sectPr>
      </w:pP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57" w:name="_Toc15468"/>
      <w:r>
        <w:rPr>
          <w:rFonts w:hint="eastAsia" w:ascii="宋体" w:hAnsi="宋体" w:cs="宋体"/>
          <w:b/>
          <w:bCs/>
          <w:kern w:val="0"/>
          <w:sz w:val="32"/>
          <w:szCs w:val="28"/>
        </w:rPr>
        <w:t>磋商响应文件的递交</w:t>
      </w:r>
      <w:bookmarkEnd w:id="47"/>
      <w:bookmarkEnd w:id="48"/>
      <w:bookmarkEnd w:id="49"/>
      <w:bookmarkEnd w:id="57"/>
    </w:p>
    <w:bookmarkEnd w:id="50"/>
    <w:p>
      <w:pPr>
        <w:pStyle w:val="5"/>
        <w:numPr>
          <w:ilvl w:val="0"/>
          <w:numId w:val="15"/>
        </w:numPr>
        <w:ind w:firstLine="562" w:firstLineChars="200"/>
        <w:rPr>
          <w:rFonts w:ascii="宋体" w:hAnsi="宋体" w:cs="宋体"/>
        </w:rPr>
      </w:pPr>
      <w:bookmarkStart w:id="58" w:name="_Toc3685"/>
      <w:r>
        <w:rPr>
          <w:rFonts w:hint="eastAsia" w:ascii="宋体" w:hAnsi="宋体" w:cs="宋体"/>
        </w:rPr>
        <w:t>磋商响应文件递交</w:t>
      </w:r>
      <w:bookmarkEnd w:id="58"/>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1.1供应商必须在竞争性磋商文件规定的磋商响应文件递交截止时间之前，将全部磋商响应文件递交至代理机构项目工作人员；代理机构项目承办人在竞争性磋商文件规定的磋商响应文件递交截止时间前，只负责磋商响应文件的接收、清点、造册登记工作，并请供应商代表签字确认，对其有效性不负任何责任。</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1.2代理机构在宣布递交磋商响应文件时间截止之后，拒绝接收任何人送达、递交的磋商响应文件；</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1.3代理机构不接受邮寄的磋商响应文件；</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1.4无论供应商成交与否，其磋商响应文件恕不退还。</w:t>
      </w:r>
    </w:p>
    <w:p>
      <w:pPr>
        <w:pStyle w:val="5"/>
        <w:numPr>
          <w:ilvl w:val="0"/>
          <w:numId w:val="15"/>
        </w:numPr>
        <w:ind w:firstLine="562" w:firstLineChars="200"/>
        <w:rPr>
          <w:rFonts w:ascii="宋体" w:hAnsi="宋体" w:cs="宋体"/>
        </w:rPr>
      </w:pPr>
      <w:bookmarkStart w:id="59" w:name="_Toc12741"/>
      <w:r>
        <w:rPr>
          <w:rFonts w:hint="eastAsia" w:ascii="宋体" w:hAnsi="宋体" w:cs="宋体"/>
        </w:rPr>
        <w:t>磋商响应文件的修改和撤回</w:t>
      </w:r>
      <w:bookmarkEnd w:id="59"/>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在磋商截止时间之后，供应商不得对其递交的磋商响应文件做任何修改或撤回。</w:t>
      </w: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60" w:name="_Toc27217"/>
      <w:bookmarkStart w:id="61" w:name="_Toc27066"/>
      <w:bookmarkStart w:id="62" w:name="_Toc14415"/>
      <w:bookmarkStart w:id="63" w:name="_Toc27153"/>
      <w:bookmarkStart w:id="64" w:name="_Toc30333"/>
      <w:r>
        <w:rPr>
          <w:rFonts w:hint="eastAsia" w:ascii="宋体" w:hAnsi="宋体" w:cs="宋体"/>
          <w:b/>
          <w:bCs/>
          <w:kern w:val="0"/>
          <w:sz w:val="32"/>
          <w:szCs w:val="28"/>
        </w:rPr>
        <w:t>磋商、评审、定标</w:t>
      </w:r>
      <w:bookmarkEnd w:id="60"/>
      <w:bookmarkEnd w:id="61"/>
      <w:bookmarkEnd w:id="62"/>
      <w:bookmarkEnd w:id="63"/>
      <w:bookmarkEnd w:id="64"/>
    </w:p>
    <w:p>
      <w:pPr>
        <w:pStyle w:val="5"/>
        <w:numPr>
          <w:ilvl w:val="0"/>
          <w:numId w:val="16"/>
        </w:numPr>
        <w:ind w:firstLine="562" w:firstLineChars="200"/>
        <w:rPr>
          <w:rFonts w:ascii="宋体" w:hAnsi="宋体" w:cs="宋体"/>
        </w:rPr>
      </w:pPr>
      <w:r>
        <w:rPr>
          <w:rFonts w:hint="eastAsia" w:ascii="宋体" w:hAnsi="宋体" w:cs="宋体"/>
        </w:rPr>
        <w:t>磋商</w:t>
      </w:r>
    </w:p>
    <w:p>
      <w:pPr>
        <w:widowControl/>
        <w:tabs>
          <w:tab w:val="left" w:pos="0"/>
        </w:tabs>
        <w:spacing w:line="500" w:lineRule="exact"/>
        <w:ind w:firstLine="480" w:firstLineChars="200"/>
        <w:jc w:val="left"/>
        <w:rPr>
          <w:rFonts w:ascii="宋体"/>
          <w:sz w:val="24"/>
          <w:szCs w:val="24"/>
        </w:rPr>
      </w:pPr>
      <w:r>
        <w:rPr>
          <w:rFonts w:hint="eastAsia" w:asciiTheme="minorEastAsia" w:hAnsiTheme="minorEastAsia" w:cstheme="minorEastAsia"/>
          <w:sz w:val="24"/>
          <w:szCs w:val="24"/>
        </w:rPr>
        <w:t>1.1采购代理机构按磋商公告中规定的时间和地点接收供应商递交的响应文件，主持磋商会议，邀请供应商代表参加。</w:t>
      </w:r>
    </w:p>
    <w:p>
      <w:pPr>
        <w:widowControl/>
        <w:tabs>
          <w:tab w:val="left" w:pos="0"/>
        </w:tabs>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sz w:val="24"/>
          <w:szCs w:val="24"/>
        </w:rPr>
        <w:t xml:space="preserve">1.2 </w:t>
      </w:r>
      <w:r>
        <w:rPr>
          <w:rFonts w:hint="eastAsia" w:ascii="宋体" w:hAnsi="宋体" w:cs="宋体"/>
          <w:sz w:val="24"/>
          <w:szCs w:val="24"/>
        </w:rPr>
        <w:t>磋商</w:t>
      </w:r>
      <w:r>
        <w:rPr>
          <w:rFonts w:hint="eastAsia" w:asciiTheme="minorEastAsia" w:hAnsiTheme="minorEastAsia" w:cstheme="minorEastAsia"/>
          <w:sz w:val="24"/>
          <w:szCs w:val="24"/>
        </w:rPr>
        <w:t>时，由供应商或者其推选的代表检查响应文件的密封情况；经确认无误后，由采购代理机构工作人员拆封。代理机构指定专人负责将供应商的名称、项目名称、响应价格等进行记录，并存档备案。</w:t>
      </w:r>
    </w:p>
    <w:p>
      <w:pPr>
        <w:tabs>
          <w:tab w:val="left" w:pos="0"/>
        </w:tabs>
        <w:spacing w:line="360" w:lineRule="auto"/>
        <w:ind w:firstLine="480" w:firstLineChars="200"/>
        <w:jc w:val="left"/>
        <w:rPr>
          <w:rFonts w:ascii="宋体" w:hAnsi="宋体" w:cs="宋体"/>
          <w:kern w:val="0"/>
          <w:sz w:val="24"/>
        </w:rPr>
      </w:pPr>
      <w:r>
        <w:rPr>
          <w:rFonts w:hint="eastAsia" w:ascii="宋体" w:hAnsi="宋体" w:cs="宋体"/>
          <w:kern w:val="0"/>
          <w:sz w:val="24"/>
        </w:rPr>
        <w:t>1.3磋商时，磋商响应文件中出现下列情况，修正原则为：</w:t>
      </w:r>
    </w:p>
    <w:p>
      <w:pPr>
        <w:widowControl/>
        <w:numPr>
          <w:ilvl w:val="0"/>
          <w:numId w:val="1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磋商文件中磋商一览表（报价表）内容与响应文件中相应内容不一致的，以磋商一览表（报价表）为准；报价精确到小数点后两位，不进行四舍五入；</w:t>
      </w:r>
    </w:p>
    <w:p>
      <w:pPr>
        <w:widowControl/>
        <w:numPr>
          <w:ilvl w:val="0"/>
          <w:numId w:val="1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widowControl/>
        <w:numPr>
          <w:ilvl w:val="0"/>
          <w:numId w:val="1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单价金额小数点或者百分比有明显错位的，以磋商一览表的总价为准，并修改单价；</w:t>
      </w:r>
    </w:p>
    <w:p>
      <w:pPr>
        <w:widowControl/>
        <w:numPr>
          <w:ilvl w:val="0"/>
          <w:numId w:val="1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widowControl/>
        <w:numPr>
          <w:ilvl w:val="0"/>
          <w:numId w:val="1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响应文件正本与副本不一致的，以正本为准；</w:t>
      </w:r>
    </w:p>
    <w:p>
      <w:pPr>
        <w:widowControl/>
        <w:numPr>
          <w:ilvl w:val="0"/>
          <w:numId w:val="1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磋商响应文件中单独密封递交的磋商一览表内容与磋商响应文件中明细表内容与正本不一致的，以单独密封递交的磋商一览表为准。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kern w:val="0"/>
          <w:sz w:val="24"/>
          <w:szCs w:val="24"/>
        </w:rPr>
        <w:t>同时出现两种以上不一致的，按照前款规定的顺序修正。修正后的报价按照</w:t>
      </w:r>
      <w:r>
        <w:rPr>
          <w:rFonts w:hint="eastAsia" w:ascii="宋体" w:hAnsi="宋体" w:cs="宋体"/>
          <w:sz w:val="24"/>
        </w:rPr>
        <w:t>《政府采购竞争性磋商采购方式管理暂行办法》</w:t>
      </w:r>
      <w:r>
        <w:rPr>
          <w:rFonts w:hint="eastAsia" w:asciiTheme="minorEastAsia" w:hAnsiTheme="minorEastAsia" w:cstheme="minorEastAsia"/>
          <w:kern w:val="0"/>
          <w:sz w:val="24"/>
          <w:szCs w:val="24"/>
        </w:rPr>
        <w:t>的规定经供应商确认后产生约束力，供应商不确认的，其响应无效。</w:t>
      </w:r>
    </w:p>
    <w:p>
      <w:pPr>
        <w:pStyle w:val="5"/>
        <w:numPr>
          <w:ilvl w:val="0"/>
          <w:numId w:val="16"/>
        </w:numPr>
        <w:rPr>
          <w:rFonts w:ascii="宋体" w:hAnsi="宋体" w:cs="宋体"/>
        </w:rPr>
      </w:pPr>
      <w:r>
        <w:rPr>
          <w:rFonts w:hint="eastAsia" w:ascii="宋体" w:hAnsi="宋体" w:cs="宋体"/>
        </w:rPr>
        <w:t>磋商小组</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2.1采购人将根据本次采购项目的特点，参照《中华人民共和国政府采购法》及</w:t>
      </w:r>
      <w:r>
        <w:rPr>
          <w:rFonts w:hint="eastAsia" w:ascii="宋体" w:hAnsi="宋体" w:cs="宋体"/>
          <w:sz w:val="24"/>
        </w:rPr>
        <w:t>《政府采购竞争性磋商采购方式管理暂行办法》</w:t>
      </w:r>
      <w:r>
        <w:rPr>
          <w:rFonts w:hint="eastAsia" w:ascii="宋体" w:hAnsi="宋体" w:cs="宋体"/>
          <w:kern w:val="0"/>
          <w:sz w:val="24"/>
        </w:rPr>
        <w:t>等有关规定组建磋商小组。</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2.2磋商小组由采购人代表和有关技术、经济等方面的专家组成，磋商小组产生方式符合国家和地方有关评审专家产生方式的规定。磋商小组负责评审活动。</w:t>
      </w:r>
    </w:p>
    <w:p>
      <w:pPr>
        <w:widowControl/>
        <w:spacing w:line="360" w:lineRule="auto"/>
        <w:ind w:firstLine="480" w:firstLineChars="200"/>
        <w:rPr>
          <w:rFonts w:ascii="宋体" w:hAnsi="宋体" w:cs="宋体"/>
          <w:b/>
          <w:sz w:val="24"/>
          <w:szCs w:val="24"/>
        </w:rPr>
      </w:pPr>
      <w:r>
        <w:rPr>
          <w:rFonts w:hint="eastAsia" w:ascii="宋体" w:hAnsi="宋体" w:cs="宋体"/>
          <w:kern w:val="0"/>
          <w:sz w:val="24"/>
        </w:rPr>
        <w:t>2.3磋商小组对各供应商的磋商响应文件进行审查、评估和比较，并推荐出成交候选人。</w:t>
      </w:r>
    </w:p>
    <w:p>
      <w:pPr>
        <w:pStyle w:val="5"/>
        <w:numPr>
          <w:ilvl w:val="0"/>
          <w:numId w:val="16"/>
        </w:numPr>
        <w:rPr>
          <w:rFonts w:ascii="宋体" w:hAnsi="宋体" w:cs="宋体"/>
        </w:rPr>
      </w:pPr>
      <w:bookmarkStart w:id="65" w:name="_Toc386129876"/>
      <w:bookmarkStart w:id="66" w:name="_Toc27940"/>
      <w:bookmarkStart w:id="67" w:name="_Toc28085"/>
      <w:bookmarkStart w:id="68" w:name="_Toc385958808"/>
      <w:r>
        <w:rPr>
          <w:rFonts w:hint="eastAsia" w:ascii="宋体" w:hAnsi="宋体" w:cs="宋体"/>
        </w:rPr>
        <w:t>磋商响应文件初审</w:t>
      </w:r>
      <w:bookmarkEnd w:id="65"/>
      <w:bookmarkEnd w:id="66"/>
      <w:bookmarkEnd w:id="67"/>
      <w:bookmarkEnd w:id="68"/>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3.1磋商响应文件的资格性审查</w:t>
      </w:r>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依据法律法规和竞争性磋商文件的规定，</w:t>
      </w:r>
      <w:r>
        <w:rPr>
          <w:rFonts w:hint="eastAsia" w:ascii="宋体" w:hAnsi="宋体" w:cs="宋体"/>
          <w:kern w:val="0"/>
          <w:sz w:val="24"/>
          <w:lang w:val="en-US" w:eastAsia="zh-CN"/>
        </w:rPr>
        <w:t>由采购人或采购代理机构</w:t>
      </w:r>
      <w:r>
        <w:rPr>
          <w:rFonts w:hint="eastAsia" w:ascii="宋体" w:hAnsi="宋体" w:cs="宋体"/>
          <w:kern w:val="0"/>
          <w:sz w:val="24"/>
        </w:rPr>
        <w:t>对磋商响应文件中的资格证明文件等进行审查，以确保供应商是否具备相应资格。</w:t>
      </w:r>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3.2磋商响应文件符合性审查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w:t>
      </w:r>
      <w:r>
        <w:rPr>
          <w:rFonts w:hint="eastAsia" w:ascii="宋体" w:hAnsi="宋体" w:cs="宋体"/>
          <w:kern w:val="0"/>
          <w:sz w:val="24"/>
        </w:rPr>
        <w:t>法律法规和竞争性磋商文件的规定，由磋商小组对符合资格要求的供应商的响应文件有效性、完整性和对磋商文件的响应程度进行符合性审查，以确定是否对磋商文件的实质性内容作出响应，下列情况有一项不满足者（但不限于）不得进入下一轮评审：</w:t>
      </w:r>
    </w:p>
    <w:tbl>
      <w:tblPr>
        <w:tblStyle w:val="26"/>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19"/>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restart"/>
            <w:vAlign w:val="center"/>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符合性</w:t>
            </w:r>
          </w:p>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审查</w:t>
            </w: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供应商名称是否与营业执照、资质证书一致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响应报价是否超过预算或最高限价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响应文件签字、盖章是否满足竞争性磋商文件要求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磋商有效期是否满足竞争性磋商文件要求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是否按照磋商文件要求缴纳投标保证金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szCs w:val="21"/>
              </w:rPr>
              <w:t>无与磋商文件商务要求条款不一致或无增加了采购人难以接受的条款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是否符合法律法规和磋商文件规定的其他实质性要求</w:t>
            </w:r>
          </w:p>
        </w:tc>
      </w:tr>
    </w:tbl>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3.3经过对供应商及磋商响应文件审查，出现下列情况者（但不限于），视为未响应磋商文件实质性条款，其响应文件按无效处理。</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供应商的响应报价超过采购预算或最高限价；</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供应商未经过正常渠道购买竞争性磋商文件，或供应商名称与购买竞争性磋商文件时登记的供应商名称不符的；</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磋商响应文件的签署、盖章不符合竞争性磋商文件要求；无磋商有效期或有效期达不到竞争性磋商文件要求的；</w:t>
      </w:r>
    </w:p>
    <w:p>
      <w:pPr>
        <w:numPr>
          <w:ilvl w:val="0"/>
          <w:numId w:val="18"/>
        </w:numPr>
        <w:spacing w:line="360" w:lineRule="auto"/>
        <w:ind w:firstLine="480" w:firstLineChars="200"/>
        <w:rPr>
          <w:rFonts w:ascii="宋体" w:hAnsi="宋体" w:cs="宋体"/>
          <w:sz w:val="24"/>
        </w:rPr>
      </w:pPr>
      <w:r>
        <w:rPr>
          <w:rFonts w:hint="eastAsia" w:ascii="宋体" w:hAnsi="宋体" w:cs="宋体"/>
          <w:sz w:val="24"/>
          <w:szCs w:val="24"/>
        </w:rPr>
        <w:t>供应商未按照竞争性磋商文件要求交纳磋商保证金的或磋商保证金的交付单位和供应商的名称不一致，视为无效响应</w:t>
      </w:r>
      <w:r>
        <w:rPr>
          <w:rFonts w:hint="eastAsia" w:ascii="宋体" w:hAnsi="宋体" w:cs="宋体"/>
          <w:sz w:val="24"/>
        </w:rPr>
        <w:t>；</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供应商针对同一项目递交两份或多份内容不同的磋商响应文件，未书面声明哪一份是有效的或出现选择性报价的；</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供应商未按竞争性磋商文件要求提供产品的技术参数及产品供货渠道不明确的；</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响应报价出现漏项或货物数量与要求不符的；</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经磋商小组一致认定响应产品的技术参数、性能指标与竞争性磋商文件要求出现重大负偏差的；或者提供虚假证明（包括第三方的虚假证明），除按无效文件处理外，还将按照政府采购法的有关规定进行处罚；</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磋商响应文件在商务响应方面（付款方式、</w:t>
      </w:r>
      <w:r>
        <w:rPr>
          <w:rFonts w:hint="eastAsia" w:ascii="宋体" w:hAnsi="宋体" w:cs="宋体"/>
          <w:sz w:val="24"/>
          <w:lang w:val="en-US" w:eastAsia="zh-CN"/>
        </w:rPr>
        <w:t>工期</w:t>
      </w:r>
      <w:r>
        <w:rPr>
          <w:rFonts w:hint="eastAsia" w:ascii="宋体" w:hAnsi="宋体" w:cs="宋体"/>
          <w:sz w:val="24"/>
        </w:rPr>
        <w:t>、</w:t>
      </w:r>
      <w:r>
        <w:rPr>
          <w:rFonts w:hint="eastAsia" w:ascii="宋体" w:hAnsi="宋体" w:cs="宋体"/>
          <w:sz w:val="24"/>
          <w:lang w:val="en-US" w:eastAsia="zh-CN"/>
        </w:rPr>
        <w:t>质保期</w:t>
      </w:r>
      <w:r>
        <w:rPr>
          <w:rFonts w:hint="eastAsia" w:ascii="宋体" w:hAnsi="宋体" w:cs="宋体"/>
          <w:sz w:val="24"/>
        </w:rPr>
        <w:t>、服务承诺、验收条件等）与竞争性磋商文件要求不一致或附加了采购单位难以接受的条件或条款的；</w:t>
      </w:r>
    </w:p>
    <w:p>
      <w:pPr>
        <w:numPr>
          <w:ilvl w:val="0"/>
          <w:numId w:val="18"/>
        </w:numPr>
        <w:spacing w:line="360" w:lineRule="auto"/>
        <w:ind w:firstLine="480" w:firstLineChars="200"/>
        <w:rPr>
          <w:rFonts w:ascii="宋体" w:hAnsi="宋体" w:cs="宋体"/>
          <w:kern w:val="0"/>
          <w:sz w:val="24"/>
        </w:rPr>
      </w:pPr>
      <w:r>
        <w:rPr>
          <w:rFonts w:hint="eastAsia" w:ascii="宋体" w:hAnsi="宋体" w:cs="宋体"/>
          <w:sz w:val="24"/>
        </w:rPr>
        <w:t>如澄清、说明的内容与磋商响应文件内容有重大相悖或矛盾，将被认定为无效磋商。</w:t>
      </w:r>
    </w:p>
    <w:p>
      <w:pPr>
        <w:pStyle w:val="5"/>
        <w:numPr>
          <w:ilvl w:val="0"/>
          <w:numId w:val="16"/>
        </w:numPr>
        <w:rPr>
          <w:rFonts w:ascii="宋体" w:hAnsi="宋体" w:cs="宋体"/>
        </w:rPr>
      </w:pPr>
      <w:bookmarkStart w:id="69" w:name="_Toc17705"/>
      <w:r>
        <w:rPr>
          <w:rFonts w:hint="eastAsia" w:ascii="宋体" w:hAnsi="宋体" w:cs="宋体"/>
        </w:rPr>
        <w:t>磋商响应文件澄清</w:t>
      </w:r>
      <w:bookmarkEnd w:id="69"/>
    </w:p>
    <w:p>
      <w:pPr>
        <w:overflowPunct w:val="0"/>
        <w:adjustRightInd w:val="0"/>
        <w:snapToGrid w:val="0"/>
        <w:spacing w:line="360" w:lineRule="auto"/>
        <w:ind w:firstLine="480" w:firstLineChars="200"/>
        <w:rPr>
          <w:rFonts w:ascii="宋体" w:hAnsi="宋体" w:cs="宋体"/>
          <w:sz w:val="24"/>
        </w:rPr>
      </w:pPr>
      <w:r>
        <w:rPr>
          <w:rFonts w:hint="eastAsia" w:ascii="宋体" w:hAnsi="宋体" w:cs="宋体"/>
          <w:sz w:val="24"/>
          <w:szCs w:val="24"/>
        </w:rPr>
        <w:t>4.1在评审期间,采购代理机构可根据磋商小组对其磋商响应文件有疑义不清楚的内容，要求供应商对其磋商响应文件进行澄清，有关澄清的要求和答复应以书面形式</w:t>
      </w:r>
      <w:r>
        <w:rPr>
          <w:rFonts w:hint="eastAsia" w:ascii="宋体" w:hAnsi="宋体" w:cs="宋体"/>
          <w:sz w:val="24"/>
        </w:rPr>
        <w:t>提交，</w:t>
      </w:r>
      <w:r>
        <w:rPr>
          <w:rFonts w:hint="eastAsia" w:ascii="宋体" w:hAnsi="宋体" w:cs="宋体"/>
          <w:sz w:val="24"/>
          <w:szCs w:val="24"/>
        </w:rPr>
        <w:t>如磋商小组未变动实质性采购需求，供应商</w:t>
      </w:r>
      <w:r>
        <w:rPr>
          <w:rFonts w:hint="eastAsia" w:ascii="宋体" w:hAnsi="宋体" w:cs="宋体"/>
          <w:sz w:val="24"/>
        </w:rPr>
        <w:t>不得对实质性内容进行变动。</w:t>
      </w:r>
    </w:p>
    <w:p>
      <w:pPr>
        <w:overflowPunct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4.2供应商应采用书面形式进行澄清或说明，但不得超出磋商响应文件的范围或改变磋商响应文件的实质性内容。</w:t>
      </w:r>
    </w:p>
    <w:p>
      <w:pPr>
        <w:pStyle w:val="5"/>
        <w:numPr>
          <w:ilvl w:val="0"/>
          <w:numId w:val="16"/>
        </w:numPr>
        <w:rPr>
          <w:rFonts w:ascii="宋体" w:hAnsi="宋体" w:cs="宋体"/>
        </w:rPr>
      </w:pPr>
      <w:r>
        <w:rPr>
          <w:rFonts w:hint="eastAsia" w:ascii="宋体" w:hAnsi="宋体" w:cs="宋体"/>
        </w:rPr>
        <w:t>评审</w:t>
      </w:r>
    </w:p>
    <w:p>
      <w:pPr>
        <w:spacing w:line="360" w:lineRule="auto"/>
        <w:ind w:firstLine="480" w:firstLineChars="200"/>
        <w:rPr>
          <w:rFonts w:ascii="宋体" w:hAnsi="宋体" w:cs="宋体"/>
          <w:sz w:val="24"/>
        </w:rPr>
      </w:pPr>
      <w:bookmarkStart w:id="70" w:name="_Toc12947"/>
      <w:r>
        <w:rPr>
          <w:rFonts w:hint="eastAsia" w:ascii="宋体" w:hAnsi="宋体" w:cs="宋体"/>
          <w:sz w:val="24"/>
        </w:rPr>
        <w:t xml:space="preserve">5.1磋商小组有权对在磋商、评审过程中出现的一切问题，根据《中华人民共和国政府采购法》和《政府采购竞争性磋商采购方式管理暂行办法》的条款，本着公开、公平、公正的原则进行处理。 </w:t>
      </w:r>
    </w:p>
    <w:p>
      <w:pPr>
        <w:spacing w:line="360" w:lineRule="auto"/>
        <w:ind w:firstLine="480" w:firstLineChars="200"/>
        <w:rPr>
          <w:rFonts w:ascii="宋体" w:hAnsi="宋体" w:cs="宋体"/>
          <w:sz w:val="24"/>
        </w:rPr>
      </w:pPr>
      <w:r>
        <w:rPr>
          <w:rFonts w:hint="eastAsia" w:ascii="宋体" w:hAnsi="宋体" w:cs="宋体"/>
          <w:sz w:val="24"/>
        </w:rPr>
        <w:t>5.2磋商流程</w:t>
      </w:r>
    </w:p>
    <w:p>
      <w:pPr>
        <w:numPr>
          <w:ilvl w:val="0"/>
          <w:numId w:val="19"/>
        </w:numPr>
        <w:spacing w:line="360" w:lineRule="auto"/>
        <w:rPr>
          <w:rFonts w:ascii="宋体" w:hAnsi="宋体" w:cs="宋体"/>
          <w:sz w:val="24"/>
        </w:rPr>
      </w:pPr>
      <w:r>
        <w:rPr>
          <w:rFonts w:hint="eastAsia" w:ascii="宋体" w:hAnsi="宋体" w:cs="宋体"/>
          <w:sz w:val="24"/>
        </w:rPr>
        <w:t>磋商小组对供应商作符合性审查，只有通过符合性审查的供应商，才能进入第二阶段的磋商，否则被淘汰。</w:t>
      </w:r>
    </w:p>
    <w:p>
      <w:pPr>
        <w:numPr>
          <w:ilvl w:val="0"/>
          <w:numId w:val="19"/>
        </w:numPr>
        <w:spacing w:line="360" w:lineRule="auto"/>
        <w:rPr>
          <w:rFonts w:ascii="宋体" w:hAnsi="宋体" w:cs="宋体"/>
          <w:sz w:val="24"/>
        </w:rPr>
      </w:pPr>
      <w:r>
        <w:rPr>
          <w:rFonts w:hint="eastAsia" w:ascii="宋体" w:hAnsi="宋体" w:cs="宋体"/>
          <w:sz w:val="24"/>
        </w:rPr>
        <w:t>磋商小组所有成员集中与单一供应商分别进行磋商（磋商轮次为二轮），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numPr>
          <w:ilvl w:val="0"/>
          <w:numId w:val="19"/>
        </w:numPr>
        <w:spacing w:line="360" w:lineRule="auto"/>
        <w:rPr>
          <w:rFonts w:ascii="宋体" w:hAnsi="宋体" w:cs="宋体"/>
          <w:sz w:val="24"/>
        </w:rPr>
      </w:pPr>
      <w:r>
        <w:rPr>
          <w:rFonts w:hint="eastAsia" w:ascii="宋体" w:hAnsi="宋体" w:cs="宋体"/>
          <w:kern w:val="0"/>
          <w:sz w:val="24"/>
          <w:szCs w:val="24"/>
        </w:rPr>
        <w:t>如磋商小组认为某个供应商最终报价明显不合理且低于其他通过符合性审查供应商的最终报价，有可能影响服务质量或者不能诚信履约的，应当在评标现场要求供应商提供书面说明及相关证明材料。供应商未提供或提供的相关证明材料不能证明其报价合理性的，将视为无效投标。</w:t>
      </w:r>
    </w:p>
    <w:p>
      <w:pPr>
        <w:numPr>
          <w:ilvl w:val="0"/>
          <w:numId w:val="19"/>
        </w:numPr>
        <w:spacing w:line="360" w:lineRule="auto"/>
        <w:rPr>
          <w:rFonts w:ascii="宋体" w:hAnsi="宋体" w:cs="宋体"/>
          <w:sz w:val="24"/>
        </w:rPr>
      </w:pPr>
      <w:r>
        <w:rPr>
          <w:rFonts w:hint="eastAsia" w:ascii="宋体" w:hAnsi="宋体" w:cs="宋体"/>
          <w:sz w:val="24"/>
        </w:rPr>
        <w:t>对磋商文件作出的实质性变动是磋商文件的有效组成部分，磋商小组应当及时以书面形式同时通知所有参加磋商的供应商。</w:t>
      </w:r>
    </w:p>
    <w:p>
      <w:pPr>
        <w:numPr>
          <w:ilvl w:val="0"/>
          <w:numId w:val="19"/>
        </w:numPr>
        <w:spacing w:line="360" w:lineRule="auto"/>
        <w:rPr>
          <w:rFonts w:ascii="宋体" w:hAnsi="宋体" w:cs="宋体"/>
          <w:sz w:val="24"/>
          <w:shd w:val="clear" w:color="FFFFFF" w:fill="D9D9D9"/>
        </w:rPr>
      </w:pPr>
      <w:r>
        <w:rPr>
          <w:rFonts w:hint="eastAsia" w:ascii="宋体" w:hAnsi="宋体" w:cs="宋体"/>
          <w:sz w:val="24"/>
        </w:rPr>
        <w:t>磋商结束后，磋商小组要求参加磋商的各供应商在规定的时间内集中提交最终报价。</w:t>
      </w:r>
    </w:p>
    <w:p>
      <w:pPr>
        <w:widowControl/>
        <w:numPr>
          <w:ilvl w:val="0"/>
          <w:numId w:val="19"/>
        </w:numPr>
        <w:spacing w:line="360" w:lineRule="auto"/>
        <w:jc w:val="left"/>
        <w:rPr>
          <w:rFonts w:ascii="宋体" w:hAnsi="宋体" w:cs="宋体"/>
          <w:sz w:val="24"/>
        </w:rPr>
      </w:pPr>
      <w:r>
        <w:rPr>
          <w:rFonts w:hint="eastAsia" w:ascii="宋体" w:hAnsi="宋体" w:cs="宋体"/>
          <w:sz w:val="24"/>
          <w:szCs w:val="24"/>
        </w:rPr>
        <w:t>在确定最终采购需求和提交最后报价的供应商后，由磋商小组采用综合评分法对提交最后报价的供应商进行综合评分。</w:t>
      </w:r>
      <w:r>
        <w:rPr>
          <w:rFonts w:hint="eastAsia" w:ascii="宋体" w:hAnsi="宋体" w:cs="宋体"/>
          <w:sz w:val="24"/>
        </w:rPr>
        <w:t>磋商小组第四部分评分标准规定的各项因素进行比较、自主打分、综合评审。磋商小组将评审得分汇总后，按评审总得分由高到低汇总排序，推荐3名成交候选人；</w:t>
      </w:r>
      <w:r>
        <w:rPr>
          <w:rFonts w:hint="eastAsia" w:ascii="宋体" w:hAnsi="宋体" w:cs="宋体"/>
          <w:sz w:val="24"/>
          <w:szCs w:val="24"/>
        </w:rPr>
        <w:t>评审得分相同的，按照最后报价由低到高的顺序推荐。评审得分且最后报价相同的，按照技术指标优劣顺序推荐。</w:t>
      </w:r>
    </w:p>
    <w:p>
      <w:pPr>
        <w:pStyle w:val="5"/>
        <w:numPr>
          <w:ilvl w:val="0"/>
          <w:numId w:val="16"/>
        </w:numPr>
        <w:rPr>
          <w:rFonts w:ascii="宋体" w:hAnsi="宋体" w:cs="宋体"/>
        </w:rPr>
      </w:pPr>
      <w:r>
        <w:rPr>
          <w:rFonts w:hint="eastAsia" w:ascii="宋体" w:hAnsi="宋体" w:cs="宋体"/>
        </w:rPr>
        <w:t>定标</w:t>
      </w:r>
      <w:bookmarkEnd w:id="70"/>
    </w:p>
    <w:p>
      <w:pPr>
        <w:spacing w:line="360" w:lineRule="auto"/>
        <w:ind w:left="420"/>
        <w:jc w:val="left"/>
        <w:rPr>
          <w:rFonts w:ascii="宋体" w:hAnsi="宋体" w:cs="宋体"/>
          <w:sz w:val="24"/>
        </w:rPr>
      </w:pPr>
      <w:r>
        <w:rPr>
          <w:rFonts w:hint="eastAsia" w:ascii="宋体" w:hAnsi="宋体" w:cs="宋体"/>
          <w:sz w:val="24"/>
        </w:rPr>
        <w:t>6.1代理机构在评审结束后2个工作日内将评审报告送达采购单位，采购单</w:t>
      </w:r>
    </w:p>
    <w:p>
      <w:pPr>
        <w:spacing w:line="360" w:lineRule="auto"/>
        <w:jc w:val="left"/>
        <w:rPr>
          <w:rFonts w:ascii="宋体" w:hAnsi="宋体" w:cs="宋体"/>
          <w:sz w:val="24"/>
        </w:rPr>
      </w:pPr>
      <w:r>
        <w:rPr>
          <w:rFonts w:hint="eastAsia" w:ascii="宋体" w:hAnsi="宋体" w:cs="宋体"/>
          <w:sz w:val="24"/>
        </w:rPr>
        <w:t>位在收到评审报告后5个工作日内，按照评审报告中推荐的成交候选人顺序确认第一成交候选人为成交单位，同时书面复函代理机构；</w:t>
      </w:r>
    </w:p>
    <w:p>
      <w:pPr>
        <w:spacing w:line="360" w:lineRule="auto"/>
        <w:ind w:firstLine="420" w:firstLineChars="175"/>
        <w:rPr>
          <w:rFonts w:ascii="宋体" w:hAnsi="宋体" w:cs="宋体"/>
          <w:sz w:val="24"/>
        </w:rPr>
      </w:pPr>
      <w:r>
        <w:rPr>
          <w:rFonts w:hint="eastAsia" w:ascii="宋体" w:hAnsi="宋体" w:cs="宋体"/>
          <w:sz w:val="24"/>
        </w:rPr>
        <w:t>6.2代理机构收到采购单位“定标复函”后2个工作日内，在财政部门指定的政府采购信息媒体上发布公告，并向成交供应商发出“成交通知书”。</w:t>
      </w: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71" w:name="_Toc740"/>
      <w:bookmarkStart w:id="72" w:name="_Toc19972"/>
      <w:bookmarkStart w:id="73" w:name="_Toc7065"/>
      <w:bookmarkStart w:id="74" w:name="_Toc25308"/>
      <w:bookmarkStart w:id="75" w:name="_Toc794"/>
      <w:r>
        <w:rPr>
          <w:rFonts w:hint="eastAsia" w:ascii="宋体" w:hAnsi="宋体" w:cs="宋体"/>
          <w:b/>
          <w:bCs/>
          <w:kern w:val="0"/>
          <w:sz w:val="32"/>
          <w:szCs w:val="28"/>
        </w:rPr>
        <w:t>签订合同</w:t>
      </w:r>
      <w:bookmarkEnd w:id="71"/>
      <w:bookmarkEnd w:id="72"/>
      <w:bookmarkEnd w:id="73"/>
      <w:bookmarkEnd w:id="74"/>
      <w:bookmarkEnd w:id="75"/>
    </w:p>
    <w:p>
      <w:pPr>
        <w:spacing w:line="360" w:lineRule="auto"/>
        <w:ind w:firstLine="480" w:firstLineChars="200"/>
        <w:jc w:val="left"/>
        <w:rPr>
          <w:rFonts w:ascii="宋体" w:hAnsi="宋体" w:cs="宋体"/>
          <w:sz w:val="24"/>
        </w:rPr>
      </w:pPr>
      <w:r>
        <w:rPr>
          <w:rFonts w:hint="eastAsia" w:ascii="宋体" w:hAnsi="宋体" w:cs="宋体"/>
          <w:sz w:val="24"/>
        </w:rPr>
        <w:t>1、成交后，成交供应商与采购人洽谈合同条款，并签订供货合同，同时送</w:t>
      </w:r>
    </w:p>
    <w:p>
      <w:pPr>
        <w:spacing w:line="360" w:lineRule="auto"/>
        <w:jc w:val="left"/>
        <w:rPr>
          <w:rFonts w:ascii="宋体" w:hAnsi="宋体" w:cs="宋体"/>
          <w:sz w:val="24"/>
        </w:rPr>
      </w:pPr>
      <w:r>
        <w:rPr>
          <w:rFonts w:hint="eastAsia" w:ascii="宋体" w:hAnsi="宋体" w:cs="宋体"/>
          <w:sz w:val="24"/>
        </w:rPr>
        <w:t>代理机构归档，竞争性磋商文件及成交供应商的磋商响应文件均作为合同的组成部分。</w:t>
      </w:r>
    </w:p>
    <w:p>
      <w:pPr>
        <w:spacing w:line="360" w:lineRule="auto"/>
        <w:ind w:firstLine="480" w:firstLineChars="200"/>
        <w:jc w:val="left"/>
        <w:rPr>
          <w:rFonts w:ascii="宋体" w:hAnsi="宋体" w:cs="宋体"/>
          <w:sz w:val="24"/>
        </w:rPr>
      </w:pPr>
      <w:r>
        <w:rPr>
          <w:rFonts w:hint="eastAsia" w:ascii="宋体" w:hAnsi="宋体" w:cs="宋体"/>
          <w:sz w:val="24"/>
        </w:rPr>
        <w:t>2、根据需要，代理机构应协助采购人监督、协调和处理履约过程中出现的</w:t>
      </w:r>
    </w:p>
    <w:p>
      <w:pPr>
        <w:spacing w:line="360" w:lineRule="auto"/>
        <w:jc w:val="left"/>
        <w:rPr>
          <w:rFonts w:ascii="宋体" w:hAnsi="宋体" w:cs="宋体"/>
          <w:sz w:val="24"/>
        </w:rPr>
      </w:pPr>
      <w:r>
        <w:rPr>
          <w:rFonts w:hint="eastAsia" w:ascii="宋体" w:hAnsi="宋体" w:cs="宋体"/>
          <w:sz w:val="24"/>
        </w:rPr>
        <w:t>问题。</w:t>
      </w:r>
    </w:p>
    <w:p>
      <w:pPr>
        <w:spacing w:line="360" w:lineRule="auto"/>
        <w:ind w:firstLine="480" w:firstLineChars="200"/>
        <w:jc w:val="left"/>
        <w:rPr>
          <w:rFonts w:ascii="宋体" w:hAnsi="宋体" w:cs="宋体"/>
          <w:sz w:val="24"/>
        </w:rPr>
      </w:pPr>
      <w:r>
        <w:rPr>
          <w:rFonts w:hint="eastAsia" w:ascii="宋体" w:hAnsi="宋体" w:cs="宋体"/>
          <w:sz w:val="24"/>
        </w:rPr>
        <w:t>3、财政部门在合同履行期间以及履行期后，可以随时检查项目的执行情况，对采购标准、采购内容进行调查核实，并对发现的问题进行处理。</w:t>
      </w: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76" w:name="_Toc6476"/>
      <w:bookmarkStart w:id="77" w:name="_Toc24264"/>
      <w:bookmarkStart w:id="78" w:name="_Toc28110"/>
      <w:bookmarkStart w:id="79" w:name="_Toc28603"/>
      <w:bookmarkStart w:id="80" w:name="_Toc26132"/>
      <w:r>
        <w:rPr>
          <w:rFonts w:hint="eastAsia" w:ascii="宋体" w:hAnsi="宋体" w:cs="宋体"/>
          <w:b/>
          <w:bCs/>
          <w:kern w:val="0"/>
          <w:sz w:val="32"/>
          <w:szCs w:val="28"/>
        </w:rPr>
        <w:t>代理服务费</w:t>
      </w:r>
      <w:bookmarkEnd w:id="76"/>
      <w:bookmarkEnd w:id="77"/>
      <w:bookmarkEnd w:id="78"/>
      <w:bookmarkEnd w:id="79"/>
      <w:bookmarkEnd w:id="80"/>
    </w:p>
    <w:p>
      <w:pPr>
        <w:spacing w:line="560" w:lineRule="exact"/>
        <w:ind w:firstLine="480" w:firstLineChars="200"/>
        <w:jc w:val="left"/>
        <w:rPr>
          <w:rFonts w:ascii="宋体" w:hAnsi="宋体" w:cs="宋体"/>
          <w:sz w:val="24"/>
          <w:szCs w:val="24"/>
        </w:rPr>
      </w:pPr>
      <w:bookmarkStart w:id="81" w:name="_Toc14280"/>
      <w:bookmarkStart w:id="82" w:name="_Toc11862"/>
      <w:bookmarkStart w:id="83" w:name="_Toc13048"/>
      <w:bookmarkStart w:id="84" w:name="_Toc13674"/>
      <w:r>
        <w:rPr>
          <w:rFonts w:hint="eastAsia" w:ascii="宋体" w:hAnsi="宋体" w:cs="宋体"/>
          <w:sz w:val="24"/>
          <w:szCs w:val="24"/>
        </w:rPr>
        <w:t>1、以本采购项目中标价为基数，参照国家计委关于印发《招标代理服务收费管理暂行办法》的通知（计价格[2002]1980号）和发改办价格[2003]857号规定由中标人在领取中标通知书时向代理机构缴纳代理服务费。</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2、供应商将招标代理服务费计入投标报价但不单独列明，成交单位在领取成交通知书前，须向采购代理机构一次性支付招标代理服务费；代理服务费以转账、电汇或现金等形式交纳。</w:t>
      </w: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85" w:name="_Toc14419"/>
      <w:r>
        <w:rPr>
          <w:rFonts w:hint="eastAsia" w:ascii="宋体" w:hAnsi="宋体" w:cs="宋体"/>
          <w:b/>
          <w:bCs/>
          <w:kern w:val="0"/>
          <w:sz w:val="32"/>
          <w:szCs w:val="28"/>
        </w:rPr>
        <w:t>质疑和投诉</w:t>
      </w:r>
      <w:bookmarkEnd w:id="81"/>
      <w:bookmarkEnd w:id="82"/>
      <w:bookmarkEnd w:id="83"/>
      <w:bookmarkEnd w:id="84"/>
      <w:bookmarkEnd w:id="85"/>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cs="宋体"/>
          <w:color w:val="333333"/>
          <w:sz w:val="24"/>
          <w:szCs w:val="24"/>
          <w:shd w:val="clear" w:color="auto" w:fill="FFFFFF"/>
        </w:rPr>
        <w:t>供应商应该在法定质疑期内一次性提出针对同一采购程序环节的质疑，</w:t>
      </w:r>
      <w:r>
        <w:rPr>
          <w:rFonts w:hint="eastAsia" w:asciiTheme="minorEastAsia" w:hAnsiTheme="minorEastAsia" w:cstheme="minorEastAsia"/>
          <w:sz w:val="24"/>
          <w:szCs w:val="24"/>
        </w:rPr>
        <w:t>逾期质疑无效。</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8.2 质疑文件应当包括下列主要内容：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4）提出质疑的日期。</w:t>
      </w:r>
    </w:p>
    <w:p>
      <w:p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8.3 质疑函应当署名。质疑供应商为自然人的，应当由本人签字；质疑供应商为法人或者其他组织的，应当由法定代表人或者主要负责人签字盖章并加盖公章。</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8.4 供应商质疑应当有明确的请求和必要的证明材料。</w:t>
      </w:r>
      <w:r>
        <w:rPr>
          <w:rFonts w:hint="eastAsia" w:asciiTheme="minorEastAsia" w:hAnsiTheme="minorEastAsia" w:cstheme="minorEastAsia"/>
          <w:sz w:val="24"/>
          <w:szCs w:val="24"/>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8.5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8.6质疑供应商对采购人、采购代理机构的质疑答复不满意，或者采购人、采购代理机构未在规定期限内作出答复的，可以在答复期满后15个工作日内向采购人的同级政府采购监督管理部门提起投诉。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8.7 质疑受理部门：陕西万泽招标有限公司。</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8.8 提交质疑文件地点：西安市西关正街英达大厦1507室。</w:t>
      </w:r>
    </w:p>
    <w:p>
      <w:pPr>
        <w:spacing w:line="360" w:lineRule="auto"/>
        <w:ind w:right="-319" w:rightChars="-152"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8.9 本次采购活动中，采购代理机构对质疑回复等文件的送达方式为现场取件。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8.10 质疑函应当使用中文。质疑函范本详见附件六。</w:t>
      </w:r>
    </w:p>
    <w:p>
      <w:pPr>
        <w:spacing w:line="560" w:lineRule="exact"/>
        <w:ind w:firstLine="723" w:firstLineChars="200"/>
        <w:jc w:val="center"/>
        <w:outlineLvl w:val="0"/>
        <w:rPr>
          <w:rFonts w:ascii="宋体" w:hAnsi="宋体" w:cs="宋体"/>
          <w:b/>
          <w:bCs/>
          <w:sz w:val="36"/>
          <w:szCs w:val="36"/>
        </w:rPr>
        <w:sectPr>
          <w:footerReference r:id="rId9" w:type="default"/>
          <w:pgSz w:w="11906" w:h="16838"/>
          <w:pgMar w:top="1440" w:right="1803" w:bottom="1440" w:left="1803" w:header="851" w:footer="992" w:gutter="0"/>
          <w:cols w:space="720" w:num="1"/>
          <w:docGrid w:type="lines" w:linePitch="319" w:charSpace="0"/>
        </w:sectPr>
      </w:pPr>
      <w:bookmarkStart w:id="86" w:name="_Toc3298"/>
    </w:p>
    <w:bookmarkEnd w:id="86"/>
    <w:p>
      <w:pPr>
        <w:pStyle w:val="3"/>
        <w:keepLines w:val="0"/>
        <w:ind w:firstLine="643" w:firstLineChars="200"/>
      </w:pPr>
      <w:bookmarkStart w:id="87" w:name="_Toc19588"/>
      <w:bookmarkStart w:id="88" w:name="_Toc10430"/>
      <w:bookmarkStart w:id="89" w:name="_Toc8030"/>
      <w:bookmarkStart w:id="90" w:name="_Toc793"/>
      <w:r>
        <w:rPr>
          <w:rFonts w:hint="eastAsia"/>
        </w:rPr>
        <w:t>第四部分 评审标准</w:t>
      </w:r>
      <w:bookmarkEnd w:id="87"/>
      <w:bookmarkEnd w:id="88"/>
      <w:bookmarkEnd w:id="89"/>
      <w:bookmarkEnd w:id="90"/>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本次评标采用综合评分法，综合评分因素的主要因素为价格、技术、业绩、服务等以及对竞争性磋商文件的响应程度。每一供应商的最终得分为所有评委评分的算数平均值。</w:t>
      </w:r>
    </w:p>
    <w:p>
      <w:pPr>
        <w:jc w:val="center"/>
      </w:pPr>
      <w:r>
        <w:rPr>
          <w:rFonts w:hint="eastAsia"/>
          <w:b/>
          <w:bCs/>
          <w:sz w:val="28"/>
          <w:szCs w:val="28"/>
        </w:rPr>
        <w:t xml:space="preserve"> 评分标准</w:t>
      </w:r>
    </w:p>
    <w:p>
      <w:pPr>
        <w:pStyle w:val="7"/>
      </w:pPr>
    </w:p>
    <w:tbl>
      <w:tblPr>
        <w:tblStyle w:val="25"/>
        <w:tblW w:w="9081"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643"/>
        <w:gridCol w:w="7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40" w:type="dxa"/>
            <w:vAlign w:val="center"/>
          </w:tcPr>
          <w:p>
            <w:pPr>
              <w:spacing w:line="460" w:lineRule="exact"/>
              <w:ind w:left="-118" w:leftChars="-56" w:right="-94" w:rightChars="-45"/>
              <w:jc w:val="center"/>
              <w:rPr>
                <w:rFonts w:ascii="宋体"/>
                <w:szCs w:val="21"/>
              </w:rPr>
            </w:pPr>
            <w:r>
              <w:rPr>
                <w:rFonts w:hint="eastAsia" w:ascii="宋体" w:hAnsi="宋体"/>
                <w:szCs w:val="21"/>
              </w:rPr>
              <w:t>项目</w:t>
            </w:r>
          </w:p>
        </w:tc>
        <w:tc>
          <w:tcPr>
            <w:tcW w:w="643" w:type="dxa"/>
            <w:vAlign w:val="center"/>
          </w:tcPr>
          <w:p>
            <w:pPr>
              <w:spacing w:line="460" w:lineRule="exact"/>
              <w:ind w:left="-118" w:leftChars="-56" w:right="-94" w:rightChars="-45"/>
              <w:jc w:val="center"/>
              <w:rPr>
                <w:rFonts w:ascii="宋体" w:hAnsi="宋体"/>
                <w:szCs w:val="21"/>
              </w:rPr>
            </w:pPr>
            <w:r>
              <w:rPr>
                <w:rFonts w:hint="eastAsia" w:ascii="宋体" w:hAnsi="宋体"/>
                <w:szCs w:val="21"/>
              </w:rPr>
              <w:t>分值</w:t>
            </w:r>
          </w:p>
        </w:tc>
        <w:tc>
          <w:tcPr>
            <w:tcW w:w="7698" w:type="dxa"/>
            <w:vAlign w:val="center"/>
          </w:tcPr>
          <w:p>
            <w:pPr>
              <w:spacing w:line="460" w:lineRule="exact"/>
              <w:ind w:firstLine="2205" w:firstLineChars="1050"/>
              <w:rPr>
                <w:rFonts w:ascii="宋体" w:hAnsi="宋体"/>
                <w:szCs w:val="21"/>
              </w:rPr>
            </w:pPr>
            <w:r>
              <w:rPr>
                <w:rFonts w:hint="eastAsia" w:ascii="宋体" w:hAnsi="宋体"/>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740" w:type="dxa"/>
            <w:vAlign w:val="center"/>
          </w:tcPr>
          <w:p>
            <w:pPr>
              <w:spacing w:line="360" w:lineRule="auto"/>
              <w:jc w:val="center"/>
              <w:rPr>
                <w:rFonts w:ascii="宋体" w:hAnsi="宋体"/>
                <w:bCs/>
                <w:szCs w:val="21"/>
              </w:rPr>
            </w:pPr>
          </w:p>
          <w:p>
            <w:pPr>
              <w:spacing w:line="360" w:lineRule="auto"/>
              <w:jc w:val="center"/>
              <w:rPr>
                <w:rFonts w:ascii="宋体"/>
                <w:bCs/>
                <w:szCs w:val="21"/>
              </w:rPr>
            </w:pPr>
            <w:r>
              <w:rPr>
                <w:rFonts w:hint="eastAsia" w:ascii="宋体" w:hAnsi="宋体"/>
                <w:bCs/>
                <w:szCs w:val="21"/>
              </w:rPr>
              <w:t>磋商</w:t>
            </w:r>
          </w:p>
          <w:p>
            <w:pPr>
              <w:spacing w:line="360" w:lineRule="auto"/>
              <w:jc w:val="center"/>
              <w:rPr>
                <w:rFonts w:ascii="宋体"/>
                <w:bCs/>
                <w:szCs w:val="21"/>
              </w:rPr>
            </w:pPr>
            <w:r>
              <w:rPr>
                <w:rFonts w:hint="eastAsia" w:ascii="宋体" w:hAnsi="宋体"/>
                <w:bCs/>
                <w:szCs w:val="21"/>
              </w:rPr>
              <w:t>报价</w:t>
            </w:r>
          </w:p>
          <w:p>
            <w:pPr>
              <w:spacing w:line="460" w:lineRule="exact"/>
              <w:ind w:left="-118" w:leftChars="-56" w:right="-94" w:rightChars="-45"/>
              <w:jc w:val="center"/>
              <w:rPr>
                <w:rFonts w:ascii="宋体"/>
                <w:szCs w:val="21"/>
              </w:rPr>
            </w:pPr>
          </w:p>
        </w:tc>
        <w:tc>
          <w:tcPr>
            <w:tcW w:w="643" w:type="dxa"/>
            <w:vAlign w:val="center"/>
          </w:tcPr>
          <w:p>
            <w:pPr>
              <w:spacing w:line="460" w:lineRule="exact"/>
              <w:ind w:left="-118" w:leftChars="-56" w:right="-94" w:rightChars="-45"/>
              <w:jc w:val="center"/>
              <w:rPr>
                <w:rFonts w:ascii="宋体"/>
                <w:szCs w:val="21"/>
              </w:rPr>
            </w:pPr>
            <w:r>
              <w:rPr>
                <w:rFonts w:hint="eastAsia" w:ascii="宋体" w:hAnsi="宋体"/>
                <w:szCs w:val="21"/>
                <w:lang w:val="en-US" w:eastAsia="zh-CN"/>
              </w:rPr>
              <w:t>30</w:t>
            </w:r>
            <w:r>
              <w:rPr>
                <w:rFonts w:hint="eastAsia" w:ascii="宋体" w:hAnsi="宋体"/>
                <w:szCs w:val="21"/>
              </w:rPr>
              <w:t>分</w:t>
            </w:r>
          </w:p>
        </w:tc>
        <w:tc>
          <w:tcPr>
            <w:tcW w:w="7698" w:type="dxa"/>
            <w:vAlign w:val="center"/>
          </w:tcPr>
          <w:p>
            <w:pPr>
              <w:spacing w:line="360" w:lineRule="auto"/>
              <w:rPr>
                <w:rFonts w:ascii="宋体" w:hAnsi="宋体" w:cs="仿宋"/>
                <w:szCs w:val="21"/>
              </w:rPr>
            </w:pPr>
            <w:r>
              <w:rPr>
                <w:rFonts w:hint="eastAsia" w:hAnsi="宋体"/>
                <w:color w:val="000000"/>
                <w:szCs w:val="21"/>
              </w:rPr>
              <w:t>经初审合格</w:t>
            </w:r>
            <w:r>
              <w:rPr>
                <w:rFonts w:hint="eastAsia" w:ascii="宋体" w:hAnsi="宋体" w:cs="仿宋"/>
                <w:szCs w:val="21"/>
              </w:rPr>
              <w:t>的供应商，其最后提交的磋商响应报价为有效响应报价。</w:t>
            </w:r>
          </w:p>
          <w:p>
            <w:pPr>
              <w:spacing w:line="360" w:lineRule="auto"/>
              <w:rPr>
                <w:rFonts w:ascii="宋体" w:hAnsi="宋体" w:cs="仿宋"/>
                <w:szCs w:val="21"/>
              </w:rPr>
            </w:pPr>
            <w:r>
              <w:rPr>
                <w:rFonts w:hint="eastAsia" w:ascii="宋体" w:hAnsi="宋体" w:cs="仿宋"/>
                <w:szCs w:val="21"/>
              </w:rPr>
              <w:t>评审基准价：即满足磋商文件要求且价格最低的响应报价为评审基准价。</w:t>
            </w:r>
          </w:p>
          <w:p>
            <w:pPr>
              <w:spacing w:line="360" w:lineRule="auto"/>
              <w:rPr>
                <w:rFonts w:ascii="宋体" w:hAnsi="宋体" w:cs="仿宋"/>
                <w:szCs w:val="21"/>
              </w:rPr>
            </w:pPr>
            <w:r>
              <w:rPr>
                <w:rFonts w:hint="eastAsia" w:ascii="宋体" w:hAnsi="宋体" w:cs="仿宋"/>
                <w:szCs w:val="21"/>
              </w:rPr>
              <w:t>其他供应商的价格分统一按照下列公式计算。</w:t>
            </w:r>
          </w:p>
          <w:p>
            <w:pPr>
              <w:spacing w:line="360" w:lineRule="auto"/>
              <w:rPr>
                <w:rFonts w:hint="default" w:ascii="宋体" w:eastAsia="宋体"/>
                <w:szCs w:val="21"/>
                <w:lang w:val="en-US" w:eastAsia="zh-CN"/>
              </w:rPr>
            </w:pPr>
            <w:r>
              <w:rPr>
                <w:rFonts w:hint="eastAsia" w:ascii="宋体" w:hAnsi="宋体" w:cs="仿宋"/>
                <w:szCs w:val="21"/>
              </w:rPr>
              <w:t>响应报价得分=(评审基准价</w:t>
            </w:r>
            <w:r>
              <w:rPr>
                <w:rFonts w:hint="eastAsia" w:hAnsi="宋体"/>
                <w:color w:val="000000"/>
                <w:szCs w:val="21"/>
              </w:rPr>
              <w:t>／响应报价</w:t>
            </w:r>
            <w:r>
              <w:rPr>
                <w:rFonts w:hint="eastAsia" w:hAnsi="宋体"/>
                <w:color w:val="000000"/>
                <w:szCs w:val="21"/>
                <w:lang w:eastAsia="zh-CN"/>
              </w:rPr>
              <w:t>）</w:t>
            </w:r>
            <w:r>
              <w:rPr>
                <w:rFonts w:hint="eastAsia" w:hAnsi="宋体"/>
                <w:color w:val="000000"/>
                <w:szCs w:val="21"/>
              </w:rPr>
              <w:t>×</w:t>
            </w:r>
            <w:r>
              <w:rPr>
                <w:rFonts w:hint="eastAsia" w:hAnsi="宋体"/>
                <w:color w:val="00000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740" w:type="dxa"/>
            <w:vAlign w:val="center"/>
          </w:tcPr>
          <w:p>
            <w:pPr>
              <w:spacing w:line="460" w:lineRule="exact"/>
              <w:ind w:left="-118" w:leftChars="-56" w:right="-94" w:rightChars="-45"/>
              <w:jc w:val="center"/>
              <w:rPr>
                <w:rFonts w:hint="eastAsia" w:ascii="宋体" w:eastAsia="宋体"/>
                <w:szCs w:val="21"/>
                <w:lang w:val="en-US" w:eastAsia="zh-CN"/>
              </w:rPr>
            </w:pPr>
            <w:r>
              <w:rPr>
                <w:rFonts w:hint="eastAsia" w:ascii="宋体"/>
                <w:szCs w:val="21"/>
                <w:lang w:val="en-US" w:eastAsia="zh-CN"/>
              </w:rPr>
              <w:t>技术参数</w:t>
            </w:r>
          </w:p>
        </w:tc>
        <w:tc>
          <w:tcPr>
            <w:tcW w:w="643" w:type="dxa"/>
            <w:vAlign w:val="center"/>
          </w:tcPr>
          <w:p>
            <w:pPr>
              <w:spacing w:line="460" w:lineRule="exact"/>
              <w:ind w:left="-118" w:leftChars="-56" w:right="-94" w:rightChars="-45"/>
              <w:jc w:val="center"/>
              <w:rPr>
                <w:rFonts w:hint="default" w:ascii="宋体" w:hAnsi="宋体"/>
                <w:szCs w:val="21"/>
                <w:lang w:val="en-US" w:eastAsia="zh-CN"/>
              </w:rPr>
            </w:pPr>
            <w:r>
              <w:rPr>
                <w:rFonts w:hint="eastAsia" w:ascii="宋体" w:hAnsi="宋体"/>
                <w:szCs w:val="21"/>
                <w:lang w:val="en-US" w:eastAsia="zh-CN"/>
              </w:rPr>
              <w:t>20分</w:t>
            </w:r>
          </w:p>
        </w:tc>
        <w:tc>
          <w:tcPr>
            <w:tcW w:w="7698" w:type="dxa"/>
            <w:vAlign w:val="center"/>
          </w:tcPr>
          <w:p>
            <w:pPr>
              <w:spacing w:line="360" w:lineRule="auto"/>
              <w:rPr>
                <w:rFonts w:hint="eastAsia" w:ascii="宋体" w:hAnsi="宋体" w:cs="仿宋"/>
                <w:szCs w:val="21"/>
              </w:rPr>
            </w:pPr>
            <w:r>
              <w:rPr>
                <w:rFonts w:hint="eastAsia" w:ascii="宋体" w:hAnsi="宋体" w:eastAsia="宋体"/>
              </w:rPr>
              <w:t>响应产品技术参数清楚、完整、明确，能够完全满足招标要求得</w:t>
            </w:r>
            <w:r>
              <w:rPr>
                <w:rFonts w:hint="eastAsia" w:ascii="宋体" w:hAnsi="宋体" w:eastAsia="宋体"/>
                <w:lang w:val="en-US" w:eastAsia="zh-CN"/>
              </w:rPr>
              <w:t>20</w:t>
            </w:r>
            <w:r>
              <w:rPr>
                <w:rFonts w:hint="eastAsia" w:ascii="宋体" w:hAnsi="宋体" w:eastAsia="宋体"/>
              </w:rPr>
              <w:t>分；</w:t>
            </w:r>
            <w:r>
              <w:rPr>
                <w:rFonts w:hint="eastAsia" w:ascii="宋体" w:hAnsi="宋体" w:eastAsia="宋体"/>
                <w:lang w:val="en-US" w:eastAsia="zh-CN"/>
              </w:rPr>
              <w:t>参数</w:t>
            </w:r>
            <w:r>
              <w:rPr>
                <w:rFonts w:hint="eastAsia" w:ascii="宋体" w:hAnsi="宋体" w:eastAsia="宋体"/>
              </w:rPr>
              <w:t>负偏离一项扣</w:t>
            </w:r>
            <w:r>
              <w:rPr>
                <w:rFonts w:hint="eastAsia" w:ascii="宋体" w:hAnsi="宋体" w:eastAsia="宋体"/>
                <w:lang w:val="en-US" w:eastAsia="zh-CN"/>
              </w:rPr>
              <w:t>2</w:t>
            </w:r>
            <w:r>
              <w:rPr>
                <w:rFonts w:hint="eastAsia" w:ascii="宋体" w:hAnsi="宋体" w:eastAsia="宋体"/>
              </w:rPr>
              <w:t>分，直到扣完为止。</w:t>
            </w:r>
            <w:r>
              <w:rPr>
                <w:rFonts w:hint="eastAsia" w:ascii="宋体" w:hAnsi="宋体" w:eastAsia="宋体" w:cs="宋体"/>
                <w:kern w:val="0"/>
                <w:szCs w:val="21"/>
                <w:lang w:val="en-US" w:eastAsia="zh-CN"/>
              </w:rPr>
              <w:t>供应商</w:t>
            </w:r>
            <w:r>
              <w:rPr>
                <w:rFonts w:hint="eastAsia" w:ascii="宋体" w:hAnsi="宋体" w:cs="宋体"/>
                <w:kern w:val="0"/>
                <w:szCs w:val="21"/>
              </w:rPr>
              <w:t>应尽可能多的提供相关技术参数佐证材料予以证明其技术参数的响应性（证明材料</w:t>
            </w:r>
            <w:r>
              <w:rPr>
                <w:rFonts w:hint="eastAsia" w:ascii="宋体" w:hAnsi="宋体" w:cs="宋体"/>
                <w:szCs w:val="21"/>
              </w:rPr>
              <w:t>包括但不限于有效期内所投产品的检测报告、产品官网截图、详细参数彩页、产品的认证证书、数据文件或使用说明书等技术资料）</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40" w:type="dxa"/>
            <w:vAlign w:val="center"/>
          </w:tcPr>
          <w:p>
            <w:pPr>
              <w:spacing w:line="460" w:lineRule="exact"/>
              <w:ind w:left="-118" w:leftChars="-56" w:right="-94" w:rightChars="-45"/>
              <w:jc w:val="center"/>
              <w:rPr>
                <w:rFonts w:ascii="宋体"/>
                <w:szCs w:val="21"/>
              </w:rPr>
            </w:pPr>
            <w:r>
              <w:rPr>
                <w:rFonts w:hint="eastAsia" w:ascii="宋体" w:hAnsi="宋体"/>
                <w:szCs w:val="21"/>
              </w:rPr>
              <w:t>施工组织方案</w:t>
            </w:r>
          </w:p>
        </w:tc>
        <w:tc>
          <w:tcPr>
            <w:tcW w:w="643" w:type="dxa"/>
            <w:vAlign w:val="center"/>
          </w:tcPr>
          <w:p>
            <w:pPr>
              <w:spacing w:line="460" w:lineRule="exact"/>
              <w:ind w:left="-118" w:leftChars="-56" w:right="-94" w:rightChars="-45"/>
              <w:jc w:val="center"/>
              <w:rPr>
                <w:rFonts w:ascii="宋体"/>
                <w:szCs w:val="21"/>
              </w:rPr>
            </w:pPr>
            <w:r>
              <w:rPr>
                <w:rFonts w:hint="eastAsia" w:ascii="宋体" w:hAnsi="宋体"/>
                <w:szCs w:val="21"/>
                <w:lang w:val="en-US" w:eastAsia="zh-CN"/>
              </w:rPr>
              <w:t>25</w:t>
            </w:r>
            <w:r>
              <w:rPr>
                <w:rFonts w:hint="eastAsia" w:ascii="宋体" w:hAnsi="宋体"/>
                <w:szCs w:val="21"/>
              </w:rPr>
              <w:t>分</w:t>
            </w:r>
          </w:p>
        </w:tc>
        <w:tc>
          <w:tcPr>
            <w:tcW w:w="7698" w:type="dxa"/>
            <w:vAlign w:val="center"/>
          </w:tcPr>
          <w:p>
            <w:pPr>
              <w:numPr>
                <w:ilvl w:val="0"/>
                <w:numId w:val="20"/>
              </w:num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rPr>
              <w:t>施工方案合理性</w:t>
            </w:r>
            <w:r>
              <w:rPr>
                <w:rFonts w:hint="eastAsia" w:ascii="宋体" w:hAnsi="宋体" w:cs="宋体"/>
                <w:szCs w:val="21"/>
                <w:highlight w:val="none"/>
                <w:lang w:eastAsia="zh-CN"/>
              </w:rPr>
              <w:t>，</w:t>
            </w:r>
            <w:r>
              <w:rPr>
                <w:rFonts w:hint="eastAsia" w:ascii="宋体" w:hAnsi="宋体" w:cs="宋体"/>
                <w:szCs w:val="21"/>
                <w:highlight w:val="none"/>
              </w:rPr>
              <w:t>综合评定投标文件中针对本项目项目施工方案</w:t>
            </w:r>
            <w:r>
              <w:rPr>
                <w:rFonts w:hint="eastAsia" w:ascii="宋体" w:hAnsi="宋体" w:cs="宋体"/>
                <w:szCs w:val="21"/>
                <w:highlight w:val="none"/>
                <w:lang w:eastAsia="zh-CN"/>
              </w:rPr>
              <w:t>：</w:t>
            </w:r>
          </w:p>
          <w:p>
            <w:pPr>
              <w:numPr>
                <w:ilvl w:val="0"/>
                <w:numId w:val="0"/>
              </w:num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）针对本项目施工方案具有针对性、合理性</w:t>
            </w:r>
            <w:r>
              <w:rPr>
                <w:rFonts w:hint="eastAsia" w:ascii="宋体" w:hAnsi="宋体" w:cs="宋体"/>
                <w:szCs w:val="21"/>
                <w:highlight w:val="none"/>
              </w:rPr>
              <w:t>计</w:t>
            </w:r>
            <w:r>
              <w:rPr>
                <w:rFonts w:hint="eastAsia" w:ascii="宋体" w:hAnsi="宋体" w:cs="宋体"/>
                <w:szCs w:val="21"/>
                <w:highlight w:val="none"/>
                <w:lang w:val="en-US" w:eastAsia="zh-CN"/>
              </w:rPr>
              <w:t>6.0</w:t>
            </w:r>
            <w:r>
              <w:rPr>
                <w:rFonts w:hint="eastAsia" w:ascii="宋体" w:hAnsi="宋体" w:cs="宋体"/>
                <w:szCs w:val="21"/>
                <w:highlight w:val="none"/>
              </w:rPr>
              <w:t>-</w:t>
            </w:r>
            <w:r>
              <w:rPr>
                <w:rFonts w:hint="eastAsia" w:ascii="宋体" w:hAnsi="宋体" w:cs="宋体"/>
                <w:szCs w:val="21"/>
                <w:highlight w:val="none"/>
                <w:lang w:val="en-US" w:eastAsia="zh-CN"/>
              </w:rPr>
              <w:t>5.1</w:t>
            </w:r>
            <w:r>
              <w:rPr>
                <w:rFonts w:hint="eastAsia" w:ascii="宋体" w:hAnsi="宋体" w:cs="宋体"/>
                <w:szCs w:val="21"/>
                <w:highlight w:val="none"/>
              </w:rPr>
              <w:t>分</w:t>
            </w:r>
            <w:r>
              <w:rPr>
                <w:rFonts w:hint="eastAsia" w:ascii="宋体" w:hAnsi="宋体" w:cs="宋体"/>
                <w:szCs w:val="21"/>
                <w:highlight w:val="none"/>
                <w:lang w:eastAsia="zh-CN"/>
              </w:rPr>
              <w:t>；</w:t>
            </w:r>
          </w:p>
          <w:p>
            <w:pPr>
              <w:numPr>
                <w:ilvl w:val="0"/>
                <w:numId w:val="0"/>
              </w:num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）针对本项目施工方案，满足采购要求</w:t>
            </w:r>
            <w:r>
              <w:rPr>
                <w:rFonts w:hint="eastAsia" w:ascii="宋体" w:hAnsi="宋体" w:cs="宋体"/>
                <w:szCs w:val="21"/>
                <w:highlight w:val="none"/>
              </w:rPr>
              <w:t>计</w:t>
            </w:r>
            <w:r>
              <w:rPr>
                <w:rFonts w:hint="eastAsia" w:ascii="宋体" w:hAnsi="宋体" w:cs="宋体"/>
                <w:szCs w:val="21"/>
                <w:highlight w:val="none"/>
                <w:lang w:val="en-US" w:eastAsia="zh-CN"/>
              </w:rPr>
              <w:t>5.0</w:t>
            </w:r>
            <w:r>
              <w:rPr>
                <w:rFonts w:hint="eastAsia" w:ascii="宋体" w:hAnsi="宋体" w:cs="宋体"/>
                <w:szCs w:val="21"/>
                <w:highlight w:val="none"/>
              </w:rPr>
              <w:t>-</w:t>
            </w:r>
            <w:r>
              <w:rPr>
                <w:rFonts w:hint="eastAsia" w:ascii="宋体" w:hAnsi="宋体" w:cs="宋体"/>
                <w:szCs w:val="21"/>
                <w:highlight w:val="none"/>
                <w:lang w:val="en-US" w:eastAsia="zh-CN"/>
              </w:rPr>
              <w:t>3.1</w:t>
            </w:r>
            <w:r>
              <w:rPr>
                <w:rFonts w:hint="eastAsia" w:ascii="宋体" w:hAnsi="宋体" w:cs="宋体"/>
                <w:szCs w:val="21"/>
                <w:highlight w:val="none"/>
              </w:rPr>
              <w:t>分</w:t>
            </w:r>
            <w:r>
              <w:rPr>
                <w:rFonts w:hint="eastAsia" w:ascii="宋体" w:hAnsi="宋体" w:cs="宋体"/>
                <w:szCs w:val="21"/>
                <w:highlight w:val="none"/>
                <w:lang w:eastAsia="zh-CN"/>
              </w:rPr>
              <w:t>；</w:t>
            </w:r>
          </w:p>
          <w:p>
            <w:pPr>
              <w:numPr>
                <w:ilvl w:val="0"/>
                <w:numId w:val="0"/>
              </w:numPr>
              <w:adjustRightInd w:val="0"/>
              <w:snapToGri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）针对本项目施工方案，基本满足采购需求</w:t>
            </w:r>
            <w:r>
              <w:rPr>
                <w:rFonts w:hint="eastAsia" w:ascii="宋体" w:hAnsi="宋体" w:cs="宋体"/>
                <w:szCs w:val="21"/>
                <w:highlight w:val="none"/>
              </w:rPr>
              <w:t>计</w:t>
            </w:r>
            <w:r>
              <w:rPr>
                <w:rFonts w:hint="eastAsia" w:ascii="宋体" w:hAnsi="宋体" w:cs="宋体"/>
                <w:szCs w:val="21"/>
                <w:highlight w:val="none"/>
                <w:lang w:val="en-US" w:eastAsia="zh-CN"/>
              </w:rPr>
              <w:t>3.0</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numPr>
                <w:ilvl w:val="0"/>
                <w:numId w:val="0"/>
              </w:numPr>
              <w:adjustRightInd w:val="0"/>
              <w:snapToGrid w:val="0"/>
              <w:spacing w:line="360" w:lineRule="auto"/>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）有明显缺陷，及未提供不得分。</w:t>
            </w:r>
            <w:r>
              <w:rPr>
                <w:rFonts w:hint="eastAsia" w:ascii="宋体" w:hAnsi="宋体" w:cs="宋体"/>
                <w:szCs w:val="21"/>
                <w:highlight w:val="none"/>
              </w:rPr>
              <w:t xml:space="preserve">                                                                     </w:t>
            </w:r>
          </w:p>
          <w:p>
            <w:p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rPr>
              <w:t>2、施工质量保证措施</w:t>
            </w:r>
            <w:r>
              <w:rPr>
                <w:rFonts w:hint="eastAsia" w:ascii="宋体" w:hAnsi="宋体" w:cs="宋体"/>
                <w:szCs w:val="21"/>
                <w:highlight w:val="none"/>
                <w:lang w:eastAsia="zh-CN"/>
              </w:rPr>
              <w:t>：</w:t>
            </w:r>
          </w:p>
          <w:p>
            <w:p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针对本项目制定了具体可行的保证措施和管理制度，对技术难点、重点及关键部位施工方案制定了全面、合理的保证措施计</w:t>
            </w:r>
            <w:r>
              <w:rPr>
                <w:rFonts w:hint="eastAsia" w:ascii="宋体" w:hAnsi="宋体" w:cs="宋体"/>
                <w:szCs w:val="21"/>
                <w:highlight w:val="none"/>
                <w:lang w:val="en-US" w:eastAsia="zh-CN"/>
              </w:rPr>
              <w:t>6.0</w:t>
            </w:r>
            <w:r>
              <w:rPr>
                <w:rFonts w:hint="eastAsia" w:ascii="宋体" w:hAnsi="宋体" w:cs="宋体"/>
                <w:szCs w:val="21"/>
                <w:highlight w:val="none"/>
              </w:rPr>
              <w:t>-</w:t>
            </w:r>
            <w:r>
              <w:rPr>
                <w:rFonts w:hint="eastAsia" w:ascii="宋体" w:hAnsi="宋体" w:cs="宋体"/>
                <w:szCs w:val="21"/>
                <w:highlight w:val="none"/>
                <w:lang w:val="en-US" w:eastAsia="zh-CN"/>
              </w:rPr>
              <w:t>5.1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对本项目制定了</w:t>
            </w:r>
            <w:r>
              <w:rPr>
                <w:rFonts w:hint="eastAsia" w:ascii="宋体" w:hAnsi="宋体" w:cs="宋体"/>
                <w:szCs w:val="21"/>
                <w:highlight w:val="none"/>
                <w:lang w:eastAsia="zh-CN"/>
              </w:rPr>
              <w:t>满足质量</w:t>
            </w:r>
            <w:r>
              <w:rPr>
                <w:rFonts w:hint="eastAsia" w:ascii="宋体" w:hAnsi="宋体" w:cs="宋体"/>
                <w:szCs w:val="21"/>
                <w:highlight w:val="none"/>
              </w:rPr>
              <w:t>保证措施和管理制度，对技术难点、重点及关键部位施工方案制定了</w:t>
            </w:r>
            <w:r>
              <w:rPr>
                <w:rFonts w:hint="eastAsia" w:ascii="宋体" w:hAnsi="宋体" w:cs="宋体"/>
                <w:szCs w:val="21"/>
                <w:highlight w:val="none"/>
                <w:lang w:eastAsia="zh-CN"/>
              </w:rPr>
              <w:t>较</w:t>
            </w:r>
            <w:r>
              <w:rPr>
                <w:rFonts w:hint="eastAsia" w:ascii="宋体" w:hAnsi="宋体" w:cs="宋体"/>
                <w:szCs w:val="21"/>
                <w:highlight w:val="none"/>
              </w:rPr>
              <w:t>全面、</w:t>
            </w:r>
            <w:r>
              <w:rPr>
                <w:rFonts w:hint="eastAsia" w:ascii="宋体" w:hAnsi="宋体" w:cs="宋体"/>
                <w:szCs w:val="21"/>
                <w:highlight w:val="none"/>
                <w:lang w:eastAsia="zh-CN"/>
              </w:rPr>
              <w:t>较</w:t>
            </w:r>
            <w:r>
              <w:rPr>
                <w:rFonts w:hint="eastAsia" w:ascii="宋体" w:hAnsi="宋体" w:cs="宋体"/>
                <w:szCs w:val="21"/>
                <w:highlight w:val="none"/>
              </w:rPr>
              <w:t>合理的保证措施计</w:t>
            </w:r>
            <w:r>
              <w:rPr>
                <w:rFonts w:hint="eastAsia" w:ascii="宋体" w:hAnsi="宋体" w:cs="宋体"/>
                <w:szCs w:val="21"/>
                <w:highlight w:val="none"/>
                <w:lang w:val="en-US" w:eastAsia="zh-CN"/>
              </w:rPr>
              <w:t>5.0</w:t>
            </w:r>
            <w:r>
              <w:rPr>
                <w:rFonts w:hint="eastAsia" w:ascii="宋体" w:hAnsi="宋体" w:cs="宋体"/>
                <w:szCs w:val="21"/>
                <w:highlight w:val="none"/>
              </w:rPr>
              <w:t>-</w:t>
            </w:r>
            <w:r>
              <w:rPr>
                <w:rFonts w:hint="eastAsia" w:ascii="宋体" w:hAnsi="宋体" w:cs="宋体"/>
                <w:szCs w:val="21"/>
                <w:highlight w:val="none"/>
                <w:lang w:val="en-US" w:eastAsia="zh-CN"/>
              </w:rPr>
              <w:t>3.1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对本项目制定了</w:t>
            </w:r>
            <w:r>
              <w:rPr>
                <w:rFonts w:hint="eastAsia" w:ascii="宋体" w:hAnsi="宋体" w:cs="宋体"/>
                <w:szCs w:val="21"/>
                <w:highlight w:val="none"/>
                <w:lang w:eastAsia="zh-CN"/>
              </w:rPr>
              <w:t>基本满足</w:t>
            </w:r>
            <w:r>
              <w:rPr>
                <w:rFonts w:hint="eastAsia" w:ascii="宋体" w:hAnsi="宋体" w:cs="宋体"/>
                <w:szCs w:val="21"/>
                <w:highlight w:val="none"/>
              </w:rPr>
              <w:t>保证措施和管理制度，对技术难点、重点及关键部位施工方案制定了</w:t>
            </w:r>
            <w:r>
              <w:rPr>
                <w:rFonts w:hint="eastAsia" w:ascii="宋体" w:hAnsi="宋体" w:cs="宋体"/>
                <w:szCs w:val="21"/>
                <w:highlight w:val="none"/>
                <w:lang w:eastAsia="zh-CN"/>
              </w:rPr>
              <w:t>简单</w:t>
            </w:r>
            <w:r>
              <w:rPr>
                <w:rFonts w:hint="eastAsia" w:ascii="宋体" w:hAnsi="宋体" w:cs="宋体"/>
                <w:szCs w:val="21"/>
                <w:highlight w:val="none"/>
              </w:rPr>
              <w:t>的保证措施计</w:t>
            </w:r>
            <w:r>
              <w:rPr>
                <w:rFonts w:hint="eastAsia" w:ascii="宋体" w:hAnsi="宋体" w:cs="宋体"/>
                <w:szCs w:val="21"/>
                <w:highlight w:val="none"/>
                <w:lang w:val="en-US" w:eastAsia="zh-CN"/>
              </w:rPr>
              <w:t>3.0</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 xml:space="preserve">分 </w:t>
            </w:r>
            <w:r>
              <w:rPr>
                <w:rFonts w:hint="eastAsia" w:ascii="宋体" w:hAnsi="宋体" w:cs="宋体"/>
                <w:szCs w:val="21"/>
                <w:highlight w:val="none"/>
                <w:lang w:eastAsia="zh-CN"/>
              </w:rPr>
              <w:t>；</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）有明显缺陷或及未提供不得分。</w:t>
            </w:r>
            <w:r>
              <w:rPr>
                <w:rFonts w:hint="eastAsia" w:ascii="宋体" w:hAnsi="宋体" w:cs="宋体"/>
                <w:szCs w:val="21"/>
                <w:highlight w:val="none"/>
              </w:rPr>
              <w:t xml:space="preserve">                                                                                                            </w:t>
            </w:r>
          </w:p>
          <w:p>
            <w:pPr>
              <w:adjustRightInd w:val="0"/>
              <w:snapToGrid w:val="0"/>
              <w:spacing w:line="360" w:lineRule="auto"/>
              <w:ind w:left="7350" w:hanging="7350" w:hangingChars="3500"/>
              <w:jc w:val="left"/>
              <w:rPr>
                <w:rFonts w:hint="eastAsia" w:ascii="宋体" w:hAnsi="宋体" w:cs="宋体"/>
                <w:szCs w:val="21"/>
                <w:highlight w:val="none"/>
                <w:lang w:eastAsia="zh-CN"/>
              </w:rPr>
            </w:pPr>
            <w:r>
              <w:rPr>
                <w:rFonts w:hint="eastAsia" w:ascii="宋体" w:hAnsi="宋体" w:cs="宋体"/>
                <w:szCs w:val="21"/>
                <w:highlight w:val="none"/>
              </w:rPr>
              <w:t>3、劳动力和材料投入计划及其保证措施</w:t>
            </w:r>
            <w:r>
              <w:rPr>
                <w:rFonts w:hint="eastAsia" w:ascii="宋体" w:hAnsi="宋体" w:cs="宋体"/>
                <w:szCs w:val="21"/>
                <w:highlight w:val="none"/>
                <w:lang w:eastAsia="zh-CN"/>
              </w:rPr>
              <w:t>：</w:t>
            </w:r>
          </w:p>
          <w:p>
            <w:pPr>
              <w:adjustRightInd w:val="0"/>
              <w:snapToGrid w:val="0"/>
              <w:spacing w:line="360" w:lineRule="auto"/>
              <w:ind w:left="7350" w:hanging="7350" w:hangingChars="3500"/>
              <w:jc w:val="left"/>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）有详细的劳动力和材料投入计划及详细、可操作性强的保证措施</w:t>
            </w:r>
            <w:r>
              <w:rPr>
                <w:rFonts w:hint="eastAsia" w:ascii="宋体" w:hAnsi="宋体" w:cs="宋体"/>
                <w:szCs w:val="21"/>
                <w:highlight w:val="none"/>
              </w:rPr>
              <w:t>计</w:t>
            </w:r>
            <w:r>
              <w:rPr>
                <w:rFonts w:hint="eastAsia" w:ascii="宋体" w:hAnsi="宋体" w:cs="宋体"/>
                <w:szCs w:val="21"/>
                <w:highlight w:val="none"/>
                <w:lang w:val="en-US" w:eastAsia="zh-CN"/>
              </w:rPr>
              <w:t>6.0</w:t>
            </w:r>
            <w:r>
              <w:rPr>
                <w:rFonts w:hint="eastAsia" w:ascii="宋体" w:hAnsi="宋体" w:cs="宋体"/>
                <w:szCs w:val="21"/>
                <w:highlight w:val="none"/>
              </w:rPr>
              <w:t>-</w:t>
            </w:r>
            <w:r>
              <w:rPr>
                <w:rFonts w:hint="eastAsia" w:ascii="宋体" w:hAnsi="宋体" w:cs="宋体"/>
                <w:szCs w:val="21"/>
                <w:highlight w:val="none"/>
                <w:lang w:val="en-US" w:eastAsia="zh-CN"/>
              </w:rPr>
              <w:t>4.1</w:t>
            </w:r>
          </w:p>
          <w:p>
            <w:pPr>
              <w:adjustRightInd w:val="0"/>
              <w:snapToGrid w:val="0"/>
              <w:spacing w:line="360" w:lineRule="auto"/>
              <w:ind w:left="7350" w:hanging="7350" w:hangingChars="3500"/>
              <w:jc w:val="left"/>
              <w:rPr>
                <w:rFonts w:hint="eastAsia" w:ascii="宋体" w:hAnsi="宋体" w:eastAsia="宋体" w:cs="宋体"/>
                <w:szCs w:val="21"/>
                <w:highlight w:val="none"/>
                <w:lang w:eastAsia="zh-CN"/>
              </w:rPr>
            </w:pP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left="7350" w:hanging="7350" w:hangingChars="3500"/>
              <w:jc w:val="left"/>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）有较详细的劳动力和材料投入计划及较详细、可操作性一般的保证措施计</w:t>
            </w:r>
          </w:p>
          <w:p>
            <w:pPr>
              <w:adjustRightInd w:val="0"/>
              <w:snapToGrid w:val="0"/>
              <w:spacing w:line="360" w:lineRule="auto"/>
              <w:ind w:left="7350" w:hanging="7350" w:hangingChars="3500"/>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4.0</w:t>
            </w:r>
            <w:r>
              <w:rPr>
                <w:rFonts w:hint="eastAsia" w:ascii="宋体" w:hAnsi="宋体" w:cs="宋体"/>
                <w:szCs w:val="21"/>
                <w:highlight w:val="none"/>
              </w:rPr>
              <w:t>-</w:t>
            </w:r>
            <w:r>
              <w:rPr>
                <w:rFonts w:hint="eastAsia" w:ascii="宋体" w:hAnsi="宋体" w:cs="宋体"/>
                <w:szCs w:val="21"/>
                <w:highlight w:val="none"/>
                <w:lang w:val="en-US" w:eastAsia="zh-CN"/>
              </w:rPr>
              <w:t>2.1</w:t>
            </w:r>
            <w:r>
              <w:rPr>
                <w:rFonts w:hint="eastAsia" w:ascii="宋体" w:hAnsi="宋体" w:cs="宋体"/>
                <w:szCs w:val="21"/>
                <w:highlight w:val="none"/>
              </w:rPr>
              <w:t>分</w:t>
            </w:r>
            <w:r>
              <w:rPr>
                <w:rFonts w:hint="eastAsia" w:ascii="宋体" w:hAnsi="宋体" w:cs="宋体"/>
                <w:szCs w:val="21"/>
                <w:highlight w:val="none"/>
                <w:lang w:eastAsia="zh-CN"/>
              </w:rPr>
              <w:t>；</w:t>
            </w:r>
          </w:p>
          <w:p>
            <w:pPr>
              <w:numPr>
                <w:ilvl w:val="0"/>
                <w:numId w:val="21"/>
              </w:numPr>
              <w:adjustRightInd w:val="0"/>
              <w:snapToGrid w:val="0"/>
              <w:spacing w:line="360" w:lineRule="auto"/>
              <w:ind w:left="7350" w:hanging="7350" w:hangingChars="3500"/>
              <w:jc w:val="left"/>
              <w:rPr>
                <w:rFonts w:hint="eastAsia" w:ascii="宋体" w:hAnsi="宋体" w:cs="宋体"/>
                <w:szCs w:val="21"/>
                <w:highlight w:val="none"/>
              </w:rPr>
            </w:pPr>
            <w:r>
              <w:rPr>
                <w:rFonts w:hint="eastAsia" w:ascii="宋体" w:hAnsi="宋体" w:cs="宋体"/>
                <w:szCs w:val="21"/>
                <w:highlight w:val="none"/>
                <w:lang w:eastAsia="zh-CN"/>
              </w:rPr>
              <w:t>提供简单的劳动力和材料投入计划及简单的保证措施</w:t>
            </w:r>
            <w:r>
              <w:rPr>
                <w:rFonts w:hint="eastAsia" w:ascii="宋体" w:hAnsi="宋体" w:cs="宋体"/>
                <w:szCs w:val="21"/>
                <w:highlight w:val="none"/>
              </w:rPr>
              <w:t>计</w:t>
            </w:r>
            <w:r>
              <w:rPr>
                <w:rFonts w:hint="eastAsia" w:ascii="宋体" w:hAnsi="宋体" w:cs="宋体"/>
                <w:szCs w:val="21"/>
                <w:highlight w:val="none"/>
                <w:lang w:val="en-US" w:eastAsia="zh-CN"/>
              </w:rPr>
              <w:t>2.0-1.0分；</w:t>
            </w:r>
          </w:p>
          <w:p>
            <w:pPr>
              <w:numPr>
                <w:ilvl w:val="0"/>
                <w:numId w:val="21"/>
              </w:numPr>
              <w:adjustRightInd w:val="0"/>
              <w:snapToGrid w:val="0"/>
              <w:spacing w:line="360" w:lineRule="auto"/>
              <w:ind w:left="7350" w:hanging="7350" w:hangingChars="3500"/>
              <w:jc w:val="left"/>
              <w:rPr>
                <w:rFonts w:ascii="宋体" w:hAnsi="宋体" w:cs="宋体"/>
                <w:szCs w:val="21"/>
                <w:highlight w:val="none"/>
              </w:rPr>
            </w:pPr>
            <w:r>
              <w:rPr>
                <w:rFonts w:hint="eastAsia" w:ascii="宋体" w:hAnsi="宋体" w:cs="宋体"/>
                <w:szCs w:val="21"/>
                <w:highlight w:val="none"/>
                <w:lang w:eastAsia="zh-CN"/>
              </w:rPr>
              <w:t>有明显缺陷或及未提供不得分。</w:t>
            </w:r>
            <w:r>
              <w:rPr>
                <w:rFonts w:hint="eastAsia" w:ascii="宋体" w:hAnsi="宋体" w:cs="宋体"/>
                <w:szCs w:val="21"/>
                <w:highlight w:val="none"/>
              </w:rPr>
              <w:t xml:space="preserve">         </w:t>
            </w:r>
          </w:p>
          <w:p>
            <w:pPr>
              <w:tabs>
                <w:tab w:val="left" w:pos="7067"/>
              </w:tabs>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val="en-US" w:eastAsia="zh-CN"/>
              </w:rPr>
              <w:t>4</w:t>
            </w:r>
            <w:r>
              <w:rPr>
                <w:rFonts w:hint="eastAsia" w:ascii="宋体" w:hAnsi="宋体" w:cs="宋体"/>
                <w:szCs w:val="21"/>
                <w:highlight w:val="none"/>
              </w:rPr>
              <w:t>、施工现场</w:t>
            </w:r>
            <w:r>
              <w:rPr>
                <w:rFonts w:hint="eastAsia" w:ascii="宋体" w:hAnsi="宋体" w:cs="宋体"/>
                <w:szCs w:val="21"/>
                <w:highlight w:val="none"/>
                <w:lang w:val="en-US" w:eastAsia="zh-CN"/>
              </w:rPr>
              <w:t>安全、</w:t>
            </w:r>
            <w:r>
              <w:rPr>
                <w:rFonts w:hint="eastAsia" w:ascii="宋体" w:hAnsi="宋体" w:cs="宋体"/>
                <w:szCs w:val="21"/>
                <w:highlight w:val="none"/>
              </w:rPr>
              <w:t>环保</w:t>
            </w:r>
            <w:r>
              <w:rPr>
                <w:rFonts w:hint="eastAsia" w:ascii="宋体" w:hAnsi="宋体" w:cs="宋体"/>
                <w:szCs w:val="21"/>
                <w:highlight w:val="none"/>
                <w:lang w:eastAsia="zh-CN"/>
              </w:rPr>
              <w:t>、</w:t>
            </w:r>
            <w:r>
              <w:rPr>
                <w:rFonts w:hint="eastAsia" w:ascii="宋体" w:hAnsi="宋体" w:cs="宋体"/>
                <w:szCs w:val="21"/>
                <w:highlight w:val="none"/>
                <w:lang w:val="en-US" w:eastAsia="zh-CN"/>
              </w:rPr>
              <w:t>文明</w:t>
            </w:r>
            <w:r>
              <w:rPr>
                <w:rFonts w:hint="eastAsia" w:ascii="宋体" w:hAnsi="宋体" w:cs="宋体"/>
                <w:szCs w:val="21"/>
                <w:highlight w:val="none"/>
              </w:rPr>
              <w:t>措施及维护措施</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施工现场</w:t>
            </w:r>
            <w:r>
              <w:rPr>
                <w:rFonts w:hint="eastAsia" w:ascii="宋体" w:hAnsi="宋体" w:cs="宋体"/>
                <w:szCs w:val="21"/>
                <w:highlight w:val="none"/>
                <w:lang w:val="en-US" w:eastAsia="zh-CN"/>
              </w:rPr>
              <w:t>安全、</w:t>
            </w:r>
            <w:r>
              <w:rPr>
                <w:rFonts w:hint="eastAsia" w:ascii="宋体" w:hAnsi="宋体" w:cs="宋体"/>
                <w:szCs w:val="21"/>
                <w:highlight w:val="none"/>
              </w:rPr>
              <w:t>环保</w:t>
            </w:r>
            <w:r>
              <w:rPr>
                <w:rFonts w:hint="eastAsia" w:ascii="宋体" w:hAnsi="宋体" w:cs="宋体"/>
                <w:szCs w:val="21"/>
                <w:highlight w:val="none"/>
                <w:lang w:eastAsia="zh-CN"/>
              </w:rPr>
              <w:t>、</w:t>
            </w:r>
            <w:r>
              <w:rPr>
                <w:rFonts w:hint="eastAsia" w:ascii="宋体" w:hAnsi="宋体" w:cs="宋体"/>
                <w:szCs w:val="21"/>
                <w:highlight w:val="none"/>
                <w:lang w:val="en-US" w:eastAsia="zh-CN"/>
              </w:rPr>
              <w:t>文明</w:t>
            </w:r>
            <w:r>
              <w:rPr>
                <w:rFonts w:hint="eastAsia" w:ascii="宋体" w:hAnsi="宋体" w:cs="宋体"/>
                <w:szCs w:val="21"/>
                <w:highlight w:val="none"/>
              </w:rPr>
              <w:t>措施及维护措施具体、完整、可行计</w:t>
            </w:r>
            <w:r>
              <w:rPr>
                <w:rFonts w:hint="eastAsia" w:ascii="宋体" w:hAnsi="宋体" w:cs="宋体"/>
                <w:szCs w:val="21"/>
                <w:highlight w:val="none"/>
                <w:lang w:val="en-US" w:eastAsia="zh-CN"/>
              </w:rPr>
              <w:t>4.0</w:t>
            </w:r>
            <w:r>
              <w:rPr>
                <w:rFonts w:hint="eastAsia" w:ascii="宋体" w:hAnsi="宋体" w:cs="宋体"/>
                <w:szCs w:val="21"/>
                <w:highlight w:val="none"/>
              </w:rPr>
              <w:t>-3</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施工现场</w:t>
            </w:r>
            <w:r>
              <w:rPr>
                <w:rFonts w:hint="eastAsia" w:ascii="宋体" w:hAnsi="宋体" w:cs="宋体"/>
                <w:szCs w:val="21"/>
                <w:highlight w:val="none"/>
                <w:lang w:val="en-US" w:eastAsia="zh-CN"/>
              </w:rPr>
              <w:t>安全、</w:t>
            </w:r>
            <w:r>
              <w:rPr>
                <w:rFonts w:hint="eastAsia" w:ascii="宋体" w:hAnsi="宋体" w:cs="宋体"/>
                <w:szCs w:val="21"/>
                <w:highlight w:val="none"/>
              </w:rPr>
              <w:t>环保</w:t>
            </w:r>
            <w:r>
              <w:rPr>
                <w:rFonts w:hint="eastAsia" w:ascii="宋体" w:hAnsi="宋体" w:cs="宋体"/>
                <w:szCs w:val="21"/>
                <w:highlight w:val="none"/>
                <w:lang w:eastAsia="zh-CN"/>
              </w:rPr>
              <w:t>、</w:t>
            </w:r>
            <w:r>
              <w:rPr>
                <w:rFonts w:hint="eastAsia" w:ascii="宋体" w:hAnsi="宋体" w:cs="宋体"/>
                <w:szCs w:val="21"/>
                <w:highlight w:val="none"/>
                <w:lang w:val="en-US" w:eastAsia="zh-CN"/>
              </w:rPr>
              <w:t>文明</w:t>
            </w:r>
            <w:r>
              <w:rPr>
                <w:rFonts w:hint="eastAsia" w:ascii="宋体" w:hAnsi="宋体" w:cs="宋体"/>
                <w:szCs w:val="21"/>
                <w:highlight w:val="none"/>
              </w:rPr>
              <w:t>措施及维护措施</w:t>
            </w:r>
            <w:r>
              <w:rPr>
                <w:rFonts w:hint="eastAsia" w:ascii="宋体" w:hAnsi="宋体" w:cs="宋体"/>
                <w:szCs w:val="21"/>
                <w:highlight w:val="none"/>
                <w:lang w:eastAsia="zh-CN"/>
              </w:rPr>
              <w:t>较</w:t>
            </w:r>
            <w:r>
              <w:rPr>
                <w:rFonts w:hint="eastAsia" w:ascii="宋体" w:hAnsi="宋体" w:cs="宋体"/>
                <w:szCs w:val="21"/>
                <w:highlight w:val="none"/>
              </w:rPr>
              <w:t>具体、</w:t>
            </w:r>
            <w:r>
              <w:rPr>
                <w:rFonts w:hint="eastAsia" w:ascii="宋体" w:hAnsi="宋体" w:cs="宋体"/>
                <w:szCs w:val="21"/>
                <w:highlight w:val="none"/>
                <w:lang w:eastAsia="zh-CN"/>
              </w:rPr>
              <w:t>较</w:t>
            </w:r>
            <w:r>
              <w:rPr>
                <w:rFonts w:hint="eastAsia" w:ascii="宋体" w:hAnsi="宋体" w:cs="宋体"/>
                <w:szCs w:val="21"/>
                <w:highlight w:val="none"/>
              </w:rPr>
              <w:t>完整、可行一般计3</w:t>
            </w:r>
            <w:r>
              <w:rPr>
                <w:rFonts w:hint="eastAsia" w:ascii="宋体" w:hAnsi="宋体" w:cs="宋体"/>
                <w:szCs w:val="21"/>
                <w:highlight w:val="none"/>
                <w:lang w:val="en-US" w:eastAsia="zh-CN"/>
              </w:rPr>
              <w:t>.0</w:t>
            </w: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施工现场</w:t>
            </w:r>
            <w:r>
              <w:rPr>
                <w:rFonts w:hint="eastAsia" w:ascii="宋体" w:hAnsi="宋体" w:cs="宋体"/>
                <w:szCs w:val="21"/>
                <w:highlight w:val="none"/>
                <w:lang w:val="en-US" w:eastAsia="zh-CN"/>
              </w:rPr>
              <w:t>安全、</w:t>
            </w:r>
            <w:r>
              <w:rPr>
                <w:rFonts w:hint="eastAsia" w:ascii="宋体" w:hAnsi="宋体" w:cs="宋体"/>
                <w:szCs w:val="21"/>
                <w:highlight w:val="none"/>
              </w:rPr>
              <w:t>环保</w:t>
            </w:r>
            <w:r>
              <w:rPr>
                <w:rFonts w:hint="eastAsia" w:ascii="宋体" w:hAnsi="宋体" w:cs="宋体"/>
                <w:szCs w:val="21"/>
                <w:highlight w:val="none"/>
                <w:lang w:eastAsia="zh-CN"/>
              </w:rPr>
              <w:t>、</w:t>
            </w:r>
            <w:r>
              <w:rPr>
                <w:rFonts w:hint="eastAsia" w:ascii="宋体" w:hAnsi="宋体" w:cs="宋体"/>
                <w:szCs w:val="21"/>
                <w:highlight w:val="none"/>
                <w:lang w:val="en-US" w:eastAsia="zh-CN"/>
              </w:rPr>
              <w:t>文明</w:t>
            </w:r>
            <w:r>
              <w:rPr>
                <w:rFonts w:hint="eastAsia" w:ascii="宋体" w:hAnsi="宋体" w:cs="宋体"/>
                <w:szCs w:val="21"/>
                <w:highlight w:val="none"/>
              </w:rPr>
              <w:t>措施及维护措施</w:t>
            </w:r>
            <w:r>
              <w:rPr>
                <w:rFonts w:hint="eastAsia" w:ascii="宋体" w:hAnsi="宋体" w:cs="宋体"/>
                <w:szCs w:val="21"/>
                <w:highlight w:val="none"/>
                <w:lang w:eastAsia="zh-CN"/>
              </w:rPr>
              <w:t>基本满足采购需求</w:t>
            </w:r>
            <w:r>
              <w:rPr>
                <w:rFonts w:hint="eastAsia" w:ascii="宋体" w:hAnsi="宋体" w:cs="宋体"/>
                <w:szCs w:val="21"/>
                <w:highlight w:val="none"/>
              </w:rPr>
              <w:t>计2</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r>
              <w:rPr>
                <w:rFonts w:hint="eastAsia" w:ascii="宋体" w:hAnsi="宋体" w:cs="宋体"/>
                <w:szCs w:val="21"/>
                <w:highlight w:val="none"/>
                <w:lang w:eastAsia="zh-CN"/>
              </w:rPr>
              <w:t>；</w:t>
            </w:r>
          </w:p>
          <w:p>
            <w:pPr>
              <w:tabs>
                <w:tab w:val="left" w:pos="7067"/>
              </w:tabs>
              <w:adjustRightInd w:val="0"/>
              <w:snapToGrid w:val="0"/>
              <w:spacing w:line="360" w:lineRule="auto"/>
              <w:ind w:hanging="1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）未提供不得分</w:t>
            </w:r>
            <w:r>
              <w:rPr>
                <w:rFonts w:hint="eastAsia" w:ascii="宋体" w:hAnsi="宋体" w:cs="宋体"/>
                <w:szCs w:val="21"/>
                <w:highlight w:val="none"/>
              </w:rPr>
              <w:t xml:space="preserve">。                                                                                        </w:t>
            </w:r>
          </w:p>
          <w:p>
            <w:pPr>
              <w:spacing w:line="360" w:lineRule="auto"/>
              <w:rPr>
                <w:rFonts w:hint="eastAsia" w:ascii="宋体" w:hAnsi="宋体" w:cs="宋体"/>
                <w:szCs w:val="21"/>
                <w:highlight w:val="none"/>
                <w:lang w:eastAsia="zh-CN"/>
              </w:rPr>
            </w:pPr>
            <w:r>
              <w:rPr>
                <w:rFonts w:hint="eastAsia" w:ascii="宋体" w:hAnsi="宋体" w:cs="宋体"/>
                <w:szCs w:val="21"/>
                <w:highlight w:val="none"/>
                <w:lang w:val="en-US" w:eastAsia="zh-CN"/>
              </w:rPr>
              <w:t>5</w:t>
            </w:r>
            <w:r>
              <w:rPr>
                <w:rFonts w:hint="eastAsia" w:ascii="宋体" w:hAnsi="宋体" w:cs="宋体"/>
                <w:szCs w:val="21"/>
                <w:highlight w:val="none"/>
              </w:rPr>
              <w:t>、施工、检测、验收方案可行性和完整性</w:t>
            </w:r>
            <w:r>
              <w:rPr>
                <w:rFonts w:hint="eastAsia" w:ascii="宋体" w:hAnsi="宋体" w:cs="宋体"/>
                <w:szCs w:val="21"/>
                <w:highlight w:val="none"/>
                <w:lang w:eastAsia="zh-CN"/>
              </w:rPr>
              <w:t>：</w:t>
            </w:r>
          </w:p>
          <w:p>
            <w:pPr>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）供应商结合自身情况拟定</w:t>
            </w:r>
            <w:r>
              <w:rPr>
                <w:rFonts w:hint="eastAsia" w:ascii="宋体" w:hAnsi="宋体" w:cs="宋体"/>
                <w:szCs w:val="21"/>
                <w:highlight w:val="none"/>
              </w:rPr>
              <w:t>施工、检测、验收方案</w:t>
            </w:r>
            <w:r>
              <w:rPr>
                <w:rFonts w:hint="eastAsia" w:ascii="宋体" w:hAnsi="宋体" w:cs="宋体"/>
                <w:szCs w:val="21"/>
                <w:highlight w:val="none"/>
                <w:lang w:eastAsia="zh-CN"/>
              </w:rPr>
              <w:t>细致、可行、完整符合实际</w:t>
            </w:r>
            <w:r>
              <w:rPr>
                <w:rFonts w:hint="eastAsia" w:ascii="宋体" w:hAnsi="宋体" w:cs="宋体"/>
                <w:szCs w:val="21"/>
                <w:highlight w:val="none"/>
              </w:rPr>
              <w:t>计</w:t>
            </w:r>
            <w:r>
              <w:rPr>
                <w:rFonts w:hint="eastAsia" w:ascii="宋体" w:hAnsi="宋体" w:cs="宋体"/>
                <w:szCs w:val="21"/>
                <w:highlight w:val="none"/>
                <w:lang w:val="en-US" w:eastAsia="zh-CN"/>
              </w:rPr>
              <w:t>3.0</w:t>
            </w:r>
            <w:r>
              <w:rPr>
                <w:rFonts w:hint="eastAsia" w:ascii="宋体" w:hAnsi="宋体" w:cs="宋体"/>
                <w:szCs w:val="21"/>
                <w:highlight w:val="none"/>
              </w:rPr>
              <w:t>-</w:t>
            </w:r>
            <w:r>
              <w:rPr>
                <w:rFonts w:hint="eastAsia" w:ascii="宋体" w:hAnsi="宋体" w:cs="宋体"/>
                <w:szCs w:val="21"/>
                <w:highlight w:val="none"/>
                <w:lang w:val="en-US" w:eastAsia="zh-CN"/>
              </w:rPr>
              <w:t>2.1</w:t>
            </w:r>
            <w:r>
              <w:rPr>
                <w:rFonts w:hint="eastAsia" w:ascii="宋体" w:hAnsi="宋体" w:cs="宋体"/>
                <w:szCs w:val="21"/>
                <w:highlight w:val="none"/>
              </w:rPr>
              <w:t>分</w:t>
            </w:r>
            <w:r>
              <w:rPr>
                <w:rFonts w:hint="eastAsia" w:ascii="宋体" w:hAnsi="宋体" w:cs="宋体"/>
                <w:szCs w:val="21"/>
                <w:highlight w:val="none"/>
                <w:lang w:eastAsia="zh-CN"/>
              </w:rPr>
              <w:t>；</w:t>
            </w:r>
          </w:p>
          <w:p>
            <w:pPr>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）拟定</w:t>
            </w:r>
            <w:r>
              <w:rPr>
                <w:rFonts w:hint="eastAsia" w:ascii="宋体" w:hAnsi="宋体" w:cs="宋体"/>
                <w:szCs w:val="21"/>
                <w:highlight w:val="none"/>
              </w:rPr>
              <w:t>施工、检测、验收方案</w:t>
            </w:r>
            <w:r>
              <w:rPr>
                <w:rFonts w:hint="eastAsia" w:ascii="宋体" w:hAnsi="宋体" w:cs="宋体"/>
                <w:szCs w:val="21"/>
                <w:highlight w:val="none"/>
                <w:lang w:eastAsia="zh-CN"/>
              </w:rPr>
              <w:t>较详细、基本符合实际</w:t>
            </w:r>
            <w:r>
              <w:rPr>
                <w:rFonts w:hint="eastAsia" w:ascii="宋体" w:hAnsi="宋体" w:cs="宋体"/>
                <w:szCs w:val="21"/>
                <w:highlight w:val="none"/>
              </w:rPr>
              <w:t>计</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r>
              <w:rPr>
                <w:rFonts w:hint="eastAsia" w:ascii="宋体" w:hAnsi="宋体" w:cs="宋体"/>
                <w:szCs w:val="21"/>
                <w:highlight w:val="none"/>
                <w:lang w:eastAsia="zh-CN"/>
              </w:rPr>
              <w:t>；</w:t>
            </w:r>
          </w:p>
          <w:p>
            <w:pPr>
              <w:spacing w:line="360" w:lineRule="auto"/>
              <w:rPr>
                <w:rFonts w:ascii="宋体" w:hAnsi="宋体" w:cs="仿宋"/>
                <w:szCs w:val="21"/>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）未提供不得分</w:t>
            </w:r>
            <w:r>
              <w:rPr>
                <w:rFonts w:hint="eastAsia"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0" w:type="dxa"/>
            <w:vMerge w:val="restart"/>
            <w:vAlign w:val="center"/>
          </w:tcPr>
          <w:p>
            <w:pPr>
              <w:spacing w:line="460" w:lineRule="exact"/>
              <w:ind w:left="-118" w:leftChars="-56" w:right="-94" w:rightChars="-45"/>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人员</w:t>
            </w:r>
          </w:p>
          <w:p>
            <w:pPr>
              <w:spacing w:line="460" w:lineRule="exact"/>
              <w:ind w:left="-118" w:leftChars="-56" w:right="-94" w:rightChars="-45"/>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配备</w:t>
            </w:r>
          </w:p>
        </w:tc>
        <w:tc>
          <w:tcPr>
            <w:tcW w:w="643" w:type="dxa"/>
            <w:vMerge w:val="restart"/>
            <w:vAlign w:val="center"/>
          </w:tcPr>
          <w:p>
            <w:pPr>
              <w:spacing w:line="460" w:lineRule="exact"/>
              <w:ind w:left="-118" w:leftChars="-56" w:right="-94" w:rightChars="-45"/>
              <w:jc w:val="center"/>
              <w:rPr>
                <w:rFonts w:hint="eastAsia" w:ascii="宋体" w:eastAsia="宋体"/>
                <w:color w:val="000000" w:themeColor="text1"/>
                <w:szCs w:val="21"/>
                <w:lang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5</w:t>
            </w:r>
            <w:r>
              <w:rPr>
                <w:rFonts w:hint="eastAsia" w:ascii="宋体"/>
                <w:color w:val="000000" w:themeColor="text1"/>
                <w:szCs w:val="21"/>
                <w:lang w:eastAsia="zh-CN"/>
                <w14:textFill>
                  <w14:solidFill>
                    <w14:schemeClr w14:val="tx1"/>
                  </w14:solidFill>
                </w14:textFill>
              </w:rPr>
              <w:t>分</w:t>
            </w:r>
          </w:p>
        </w:tc>
        <w:tc>
          <w:tcPr>
            <w:tcW w:w="7698" w:type="dxa"/>
            <w:vAlign w:val="center"/>
          </w:tcPr>
          <w:p>
            <w:pPr>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w:t>
            </w:r>
            <w:r>
              <w:rPr>
                <w:rFonts w:hint="eastAsia" w:hAnsi="宋体"/>
                <w:color w:val="000000" w:themeColor="text1"/>
                <w:szCs w:val="21"/>
                <w14:textFill>
                  <w14:solidFill>
                    <w14:schemeClr w14:val="tx1"/>
                  </w14:solidFill>
                </w14:textFill>
              </w:rPr>
              <w:t>拟派项目负责人</w:t>
            </w:r>
            <w:r>
              <w:rPr>
                <w:rFonts w:hint="eastAsia" w:ascii="宋体" w:hAnsi="宋体" w:cs="宋体"/>
                <w:color w:val="000000" w:themeColor="text1"/>
                <w:szCs w:val="21"/>
                <w14:textFill>
                  <w14:solidFill>
                    <w14:schemeClr w14:val="tx1"/>
                  </w14:solidFill>
                </w14:textFill>
              </w:rPr>
              <w:t>具备工程类高级职称得</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分，工程类中级职称得</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分，其它不得分。</w:t>
            </w:r>
            <w:r>
              <w:rPr>
                <w:rFonts w:hint="eastAsia" w:ascii="宋体" w:hAnsi="宋体" w:cs="宋体"/>
                <w:b/>
                <w:bCs/>
                <w:color w:val="000000" w:themeColor="text1"/>
                <w:szCs w:val="21"/>
                <w14:textFill>
                  <w14:solidFill>
                    <w14:schemeClr w14:val="tx1"/>
                  </w14:solidFill>
                </w14:textFill>
              </w:rPr>
              <w:t>评审依据：以响应文件中加盖供应商</w:t>
            </w:r>
            <w:r>
              <w:rPr>
                <w:rFonts w:hint="eastAsia" w:ascii="宋体" w:hAnsi="宋体" w:cs="宋体"/>
                <w:b/>
                <w:bCs/>
                <w:color w:val="000000" w:themeColor="text1"/>
                <w:szCs w:val="21"/>
                <w:lang w:eastAsia="zh-CN"/>
                <w14:textFill>
                  <w14:solidFill>
                    <w14:schemeClr w14:val="tx1"/>
                  </w14:solidFill>
                </w14:textFill>
              </w:rPr>
              <w:t>鲜</w:t>
            </w:r>
            <w:r>
              <w:rPr>
                <w:rFonts w:hint="eastAsia" w:ascii="宋体" w:hAnsi="宋体" w:cs="宋体"/>
                <w:b/>
                <w:bCs/>
                <w:color w:val="000000" w:themeColor="text1"/>
                <w:szCs w:val="21"/>
                <w14:textFill>
                  <w14:solidFill>
                    <w14:schemeClr w14:val="tx1"/>
                  </w14:solidFill>
                </w14:textFill>
              </w:rPr>
              <w:t>章的职称证复印件为准。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40" w:type="dxa"/>
            <w:vMerge w:val="continue"/>
            <w:vAlign w:val="center"/>
          </w:tcPr>
          <w:p>
            <w:pPr>
              <w:spacing w:line="460" w:lineRule="exact"/>
              <w:ind w:left="-118" w:leftChars="-56" w:right="-94" w:rightChars="-45"/>
              <w:jc w:val="center"/>
              <w:rPr>
                <w:rFonts w:ascii="宋体"/>
                <w:color w:val="000000" w:themeColor="text1"/>
                <w:szCs w:val="21"/>
                <w14:textFill>
                  <w14:solidFill>
                    <w14:schemeClr w14:val="tx1"/>
                  </w14:solidFill>
                </w14:textFill>
              </w:rPr>
            </w:pPr>
          </w:p>
        </w:tc>
        <w:tc>
          <w:tcPr>
            <w:tcW w:w="643" w:type="dxa"/>
            <w:vMerge w:val="continue"/>
            <w:vAlign w:val="center"/>
          </w:tcPr>
          <w:p>
            <w:pPr>
              <w:spacing w:line="460" w:lineRule="exact"/>
              <w:ind w:left="-118" w:leftChars="-56" w:right="-94" w:rightChars="-45"/>
              <w:jc w:val="center"/>
              <w:rPr>
                <w:rFonts w:ascii="宋体"/>
                <w:color w:val="000000" w:themeColor="text1"/>
                <w:szCs w:val="21"/>
                <w14:textFill>
                  <w14:solidFill>
                    <w14:schemeClr w14:val="tx1"/>
                  </w14:solidFill>
                </w14:textFill>
              </w:rPr>
            </w:pPr>
          </w:p>
        </w:tc>
        <w:tc>
          <w:tcPr>
            <w:tcW w:w="7698" w:type="dxa"/>
            <w:vAlign w:val="center"/>
          </w:tcPr>
          <w:p>
            <w:pPr>
              <w:numPr>
                <w:ilvl w:val="0"/>
                <w:numId w:val="0"/>
              </w:numPr>
              <w:spacing w:line="460" w:lineRule="exact"/>
              <w:rPr>
                <w:rFonts w:ascii="宋体" w:hAnsi="宋体" w:cs="宋体"/>
                <w:bCs/>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项目组人员配置、岗位设置、职责分工与采购需求的契合明确合理等因素，横向比较综合评分（1-</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40" w:type="dxa"/>
            <w:vAlign w:val="center"/>
          </w:tcPr>
          <w:p>
            <w:pPr>
              <w:spacing w:line="460" w:lineRule="exact"/>
              <w:ind w:left="-118" w:leftChars="-56" w:right="-94" w:rightChars="-45"/>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商务</w:t>
            </w:r>
          </w:p>
          <w:p>
            <w:pPr>
              <w:spacing w:line="460" w:lineRule="exact"/>
              <w:ind w:left="-118" w:leftChars="-56" w:right="-94" w:rightChars="-4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w:t>
            </w:r>
          </w:p>
        </w:tc>
        <w:tc>
          <w:tcPr>
            <w:tcW w:w="643" w:type="dxa"/>
            <w:vAlign w:val="center"/>
          </w:tcPr>
          <w:p>
            <w:pPr>
              <w:spacing w:line="460" w:lineRule="exact"/>
              <w:ind w:left="-118" w:leftChars="-56" w:right="-94" w:rightChars="-4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分</w:t>
            </w:r>
          </w:p>
        </w:tc>
        <w:tc>
          <w:tcPr>
            <w:tcW w:w="7698" w:type="dxa"/>
            <w:vAlign w:val="center"/>
          </w:tcPr>
          <w:p>
            <w:pPr>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1、商务承诺（</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分）磋商响应文件对工期、</w:t>
            </w:r>
            <w:r>
              <w:rPr>
                <w:rFonts w:hint="eastAsia" w:ascii="宋体" w:hAnsi="宋体"/>
                <w:color w:val="000000" w:themeColor="text1"/>
                <w:szCs w:val="21"/>
                <w:lang w:val="en-US" w:eastAsia="zh-CN"/>
                <w14:textFill>
                  <w14:solidFill>
                    <w14:schemeClr w14:val="tx1"/>
                  </w14:solidFill>
                </w14:textFill>
              </w:rPr>
              <w:t>保修期</w:t>
            </w:r>
            <w:r>
              <w:rPr>
                <w:rFonts w:hint="eastAsia" w:ascii="宋体" w:hAnsi="宋体"/>
                <w:color w:val="000000" w:themeColor="text1"/>
                <w:szCs w:val="21"/>
                <w14:textFill>
                  <w14:solidFill>
                    <w14:schemeClr w14:val="tx1"/>
                  </w14:solidFill>
                </w14:textFill>
              </w:rPr>
              <w:t>、付款方式、验收等商务要求进行详细说明，完全响应磋商文件的计</w:t>
            </w:r>
            <w:r>
              <w:rPr>
                <w:rFonts w:hint="eastAsia" w:ascii="宋体" w:hAnsi="宋体"/>
                <w:color w:val="000000" w:themeColor="text1"/>
                <w:szCs w:val="21"/>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分</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；工期、</w:t>
            </w:r>
            <w:r>
              <w:rPr>
                <w:rFonts w:hint="eastAsia" w:ascii="宋体" w:hAnsi="宋体"/>
                <w:color w:val="000000" w:themeColor="text1"/>
                <w:szCs w:val="21"/>
                <w:lang w:val="en-US" w:eastAsia="zh-CN"/>
                <w14:textFill>
                  <w14:solidFill>
                    <w14:schemeClr w14:val="tx1"/>
                  </w14:solidFill>
                </w14:textFill>
              </w:rPr>
              <w:t>保修期</w:t>
            </w:r>
            <w:r>
              <w:rPr>
                <w:rFonts w:hint="eastAsia" w:ascii="宋体" w:hAnsi="宋体"/>
                <w:color w:val="000000" w:themeColor="text1"/>
                <w:szCs w:val="21"/>
                <w14:textFill>
                  <w14:solidFill>
                    <w14:schemeClr w14:val="tx1"/>
                  </w14:solidFill>
                </w14:textFill>
              </w:rPr>
              <w:t>经横向比较后优于磋商文件的，加</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分。</w:t>
            </w:r>
          </w:p>
          <w:p>
            <w:pPr>
              <w:spacing w:line="460" w:lineRule="exact"/>
              <w:rPr>
                <w:rFonts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2、保修承诺（</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分）针对本项目提供合理化建议和施工服务配合承诺、承诺质保期内的保修内容及时效性服务承诺，视其响应程度计1-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40" w:type="dxa"/>
            <w:vAlign w:val="center"/>
          </w:tcPr>
          <w:p>
            <w:pPr>
              <w:spacing w:line="460" w:lineRule="exact"/>
              <w:ind w:left="-118" w:leftChars="-56" w:right="-94" w:rightChars="-4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w:t>
            </w:r>
          </w:p>
        </w:tc>
        <w:tc>
          <w:tcPr>
            <w:tcW w:w="643" w:type="dxa"/>
            <w:vAlign w:val="center"/>
          </w:tcPr>
          <w:p>
            <w:pPr>
              <w:spacing w:line="460" w:lineRule="exact"/>
              <w:ind w:left="-118" w:leftChars="-56" w:right="-94" w:rightChars="-4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分</w:t>
            </w:r>
          </w:p>
        </w:tc>
        <w:tc>
          <w:tcPr>
            <w:tcW w:w="7698" w:type="dxa"/>
            <w:vAlign w:val="center"/>
          </w:tcPr>
          <w:p>
            <w:pPr>
              <w:spacing w:line="360" w:lineRule="auto"/>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类似项目业绩（</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分）：</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提供20</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月1日起至今</w:t>
            </w:r>
            <w:r>
              <w:rPr>
                <w:rFonts w:hint="eastAsia" w:ascii="宋体" w:hAnsi="宋体"/>
                <w:color w:val="000000" w:themeColor="text1"/>
                <w:szCs w:val="21"/>
                <w:lang w:val="en-US" w:eastAsia="zh-CN"/>
                <w14:textFill>
                  <w14:solidFill>
                    <w14:schemeClr w14:val="tx1"/>
                  </w14:solidFill>
                </w14:textFill>
              </w:rPr>
              <w:t>类似</w:t>
            </w:r>
            <w:r>
              <w:rPr>
                <w:rFonts w:hint="eastAsia" w:ascii="宋体" w:hAnsi="宋体"/>
                <w:color w:val="000000" w:themeColor="text1"/>
                <w:szCs w:val="21"/>
                <w14:textFill>
                  <w14:solidFill>
                    <w14:schemeClr w14:val="tx1"/>
                  </w14:solidFill>
                </w14:textFill>
              </w:rPr>
              <w:t>业绩合同</w:t>
            </w:r>
            <w:r>
              <w:rPr>
                <w:rFonts w:hint="eastAsia"/>
                <w:color w:val="000000" w:themeColor="text1"/>
                <w14:textFill>
                  <w14:solidFill>
                    <w14:schemeClr w14:val="tx1"/>
                  </w14:solidFill>
                </w14:textFill>
              </w:rPr>
              <w:t>，提供1份计</w:t>
            </w:r>
            <w:r>
              <w:rPr>
                <w:rFonts w:hint="eastAsia"/>
                <w:color w:val="000000" w:themeColor="text1"/>
                <w:lang w:val="en-US" w:eastAsia="zh-CN"/>
                <w14:textFill>
                  <w14:solidFill>
                    <w14:schemeClr w14:val="tx1"/>
                  </w14:solidFill>
                </w14:textFill>
              </w:rPr>
              <w:t>1分，最高得10分。</w:t>
            </w:r>
          </w:p>
          <w:p>
            <w:pPr>
              <w:pStyle w:val="7"/>
              <w:ind w:firstLine="0"/>
              <w:rPr>
                <w:rFonts w:ascii="宋体" w:hAnsi="宋体" w:cs="仿宋"/>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评审依据：</w:t>
            </w:r>
            <w:r>
              <w:rPr>
                <w:rFonts w:hint="eastAsia" w:ascii="宋体" w:hAnsi="宋体" w:cs="仿宋"/>
                <w:color w:val="000000" w:themeColor="text1"/>
                <w:szCs w:val="21"/>
                <w14:textFill>
                  <w14:solidFill>
                    <w14:schemeClr w14:val="tx1"/>
                  </w14:solidFill>
                </w14:textFill>
              </w:rPr>
              <w:t>业绩合同复印件加盖公章</w:t>
            </w:r>
            <w:r>
              <w:rPr>
                <w:rFonts w:hint="eastAsia" w:ascii="宋体" w:hAnsi="宋体" w:cs="仿宋"/>
                <w:color w:val="000000" w:themeColor="text1"/>
                <w:szCs w:val="21"/>
                <w:lang w:val="en-US" w:eastAsia="zh-CN"/>
                <w14:textFill>
                  <w14:solidFill>
                    <w14:schemeClr w14:val="tx1"/>
                  </w14:solidFill>
                </w14:textFill>
              </w:rPr>
              <w:t>(携带原件备查）</w:t>
            </w:r>
            <w:r>
              <w:rPr>
                <w:rFonts w:hint="eastAsia" w:ascii="宋体" w:hAnsi="宋体" w:cs="仿宋"/>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081" w:type="dxa"/>
            <w:gridSpan w:val="3"/>
            <w:vAlign w:val="center"/>
          </w:tcPr>
          <w:p>
            <w:pPr>
              <w:rPr>
                <w:rFonts w:ascii="宋体" w:hAnsi="宋体" w:cs="仿宋"/>
                <w:b/>
                <w:bCs/>
                <w:szCs w:val="21"/>
              </w:rPr>
            </w:pPr>
            <w:r>
              <w:rPr>
                <w:rFonts w:hint="eastAsia" w:ascii="宋体" w:hAnsi="宋体" w:cs="仿宋"/>
                <w:b/>
                <w:bCs/>
                <w:szCs w:val="21"/>
              </w:rPr>
              <w:t>备注：</w:t>
            </w:r>
          </w:p>
          <w:p>
            <w:pPr>
              <w:rPr>
                <w:rFonts w:hAnsi="宋体"/>
                <w:szCs w:val="21"/>
              </w:rPr>
            </w:pPr>
            <w:r>
              <w:rPr>
                <w:rFonts w:hint="eastAsia" w:hAnsi="宋体"/>
                <w:szCs w:val="21"/>
              </w:rPr>
              <w:t>（1）各评委独立打分。</w:t>
            </w:r>
          </w:p>
          <w:p>
            <w:pPr>
              <w:rPr>
                <w:rFonts w:hAnsi="宋体"/>
                <w:szCs w:val="21"/>
              </w:rPr>
            </w:pPr>
            <w:r>
              <w:rPr>
                <w:rFonts w:hint="eastAsia" w:hAnsi="宋体"/>
                <w:szCs w:val="21"/>
              </w:rPr>
              <w:t>（2）评委打分超过得分界限或未按本表规定赋分时，该评委的打分无效，不计入汇总分。</w:t>
            </w:r>
          </w:p>
          <w:p>
            <w:pPr>
              <w:rPr>
                <w:rFonts w:hAnsi="宋体"/>
                <w:szCs w:val="21"/>
              </w:rPr>
            </w:pPr>
            <w:r>
              <w:rPr>
                <w:rFonts w:hint="eastAsia" w:hAnsi="宋体"/>
                <w:szCs w:val="21"/>
              </w:rPr>
              <w:t>（3）若出现综合得分相同的，按投标报价由低到高顺序排列名次；得分且投标报价相同的，按技术指标得分顺序排列名次。</w:t>
            </w:r>
          </w:p>
          <w:p>
            <w:pPr>
              <w:pStyle w:val="7"/>
              <w:ind w:firstLine="0"/>
              <w:rPr>
                <w:rFonts w:ascii="宋体" w:hAnsi="宋体" w:cs="仿宋"/>
                <w:b/>
                <w:bCs/>
                <w:szCs w:val="21"/>
              </w:rPr>
            </w:pPr>
            <w:r>
              <w:rPr>
                <w:rFonts w:hint="eastAsia" w:hAnsi="宋体"/>
                <w:szCs w:val="21"/>
              </w:rPr>
              <w:t>（4）最终结果数字保留二位小数，不进行四舍五入。</w:t>
            </w:r>
          </w:p>
        </w:tc>
      </w:tr>
    </w:tbl>
    <w:p>
      <w:pPr>
        <w:rPr>
          <w:rFonts w:ascii="宋体" w:cs="宋体"/>
          <w:b/>
          <w:bCs/>
          <w:sz w:val="24"/>
          <w:szCs w:val="24"/>
        </w:rPr>
      </w:pPr>
      <w:r>
        <w:rPr>
          <w:rFonts w:hint="eastAsia" w:ascii="宋体" w:hAnsi="宋体" w:cs="宋体"/>
          <w:b/>
          <w:bCs/>
          <w:sz w:val="24"/>
        </w:rPr>
        <w:t>备注：</w:t>
      </w: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cs="宋体"/>
          <w:sz w:val="24"/>
          <w:szCs w:val="24"/>
        </w:rPr>
      </w:pPr>
      <w:r>
        <w:rPr>
          <w:rFonts w:hint="eastAsia" w:ascii="宋体" w:hAnsi="宋体" w:cs="宋体"/>
          <w:sz w:val="24"/>
          <w:szCs w:val="24"/>
        </w:rPr>
        <w:t>根据《政府采购促进中小企业发展管理办法》（财库</w:t>
      </w:r>
      <w:r>
        <w:rPr>
          <w:rFonts w:ascii="宋体" w:hAnsi="宋体" w:cs="宋体"/>
          <w:sz w:val="24"/>
          <w:szCs w:val="24"/>
        </w:rPr>
        <w:t>[20</w:t>
      </w:r>
      <w:r>
        <w:rPr>
          <w:rFonts w:hint="eastAsia" w:ascii="宋体" w:hAnsi="宋体" w:cs="宋体"/>
          <w:sz w:val="24"/>
          <w:szCs w:val="24"/>
        </w:rPr>
        <w:t>20</w:t>
      </w:r>
      <w:r>
        <w:rPr>
          <w:rFonts w:ascii="宋体" w:hAnsi="宋体" w:cs="宋体"/>
          <w:sz w:val="24"/>
          <w:szCs w:val="24"/>
        </w:rPr>
        <w:t>]</w:t>
      </w:r>
      <w:r>
        <w:rPr>
          <w:rFonts w:hint="eastAsia" w:ascii="宋体" w:hAnsi="宋体" w:cs="宋体"/>
          <w:sz w:val="24"/>
          <w:szCs w:val="24"/>
        </w:rPr>
        <w:t>46号）的规定，对于非专门面向中小企业的项目，对小型和微型企业产品的价格给予3</w:t>
      </w:r>
      <w:r>
        <w:rPr>
          <w:rFonts w:ascii="宋体" w:hAnsi="宋体" w:cs="宋体"/>
          <w:sz w:val="24"/>
          <w:szCs w:val="24"/>
        </w:rPr>
        <w:t>%</w:t>
      </w:r>
      <w:r>
        <w:rPr>
          <w:rFonts w:hint="eastAsia" w:ascii="宋体" w:hAnsi="宋体" w:cs="宋体"/>
          <w:sz w:val="24"/>
          <w:szCs w:val="24"/>
        </w:rPr>
        <w:t>的扣除，用扣除后的价格参与评审；供应商可在投标文件中提供小型和微型企业声明，具体格式详见附件。</w:t>
      </w:r>
    </w:p>
    <w:p>
      <w:pPr>
        <w:spacing w:line="360" w:lineRule="auto"/>
        <w:ind w:firstLine="482" w:firstLineChars="200"/>
        <w:rPr>
          <w:rFonts w:ascii="宋体" w:cs="宋体"/>
          <w:b/>
          <w:bCs/>
          <w:sz w:val="24"/>
          <w:szCs w:val="24"/>
        </w:rPr>
      </w:pPr>
      <w:r>
        <w:rPr>
          <w:rFonts w:hint="eastAsia" w:ascii="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根据《关于政府采购支持监狱企业发展有关问题的通知》（财库[2014]68号）</w:t>
      </w:r>
      <w:r>
        <w:rPr>
          <w:rFonts w:hint="eastAsia" w:ascii="宋体" w:hAnsi="宋体" w:cs="宋体"/>
          <w:sz w:val="24"/>
          <w:szCs w:val="24"/>
        </w:rPr>
        <w:t xml:space="preserve">（提供由省级以上监狱管理局、戒毒管理局（含新疆生产建设兵团）出具的属于监狱企业的证明文件）、《三部门联合发布关于促进残疾人就业政府采购政策的通知》（财库〔2017〕141号）的规定，对监狱企业、残疾人福利企业给予3%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pPr>
        <w:spacing w:line="360" w:lineRule="auto"/>
        <w:ind w:firstLine="482" w:firstLineChars="200"/>
        <w:rPr>
          <w:rFonts w:ascii="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rPr>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spacing w:line="360" w:lineRule="auto"/>
        <w:rPr>
          <w:rFonts w:ascii="宋体" w:hAnsi="宋体" w:cs="宋体"/>
          <w:sz w:val="24"/>
        </w:rPr>
        <w:sectPr>
          <w:headerReference r:id="rId10" w:type="default"/>
          <w:footerReference r:id="rId11" w:type="default"/>
          <w:pgSz w:w="11906" w:h="16838"/>
          <w:pgMar w:top="1440" w:right="1803" w:bottom="1440" w:left="1803" w:header="851" w:footer="992" w:gutter="0"/>
          <w:cols w:space="720" w:num="1"/>
          <w:docGrid w:type="lines" w:linePitch="319" w:charSpace="0"/>
        </w:sectPr>
      </w:pPr>
      <w:r>
        <w:rPr>
          <w:rFonts w:hint="eastAsia" w:ascii="宋体" w:hAnsi="宋体" w:cs="宋体"/>
          <w:sz w:val="24"/>
        </w:rPr>
        <w:t xml:space="preserve">  </w:t>
      </w:r>
    </w:p>
    <w:p>
      <w:pPr>
        <w:pStyle w:val="3"/>
        <w:pageBreakBefore/>
        <w:numPr>
          <w:ilvl w:val="0"/>
          <w:numId w:val="22"/>
        </w:numPr>
        <w:rPr>
          <w:rFonts w:ascii="宋体" w:hAnsi="宋体" w:cs="宋体"/>
        </w:rPr>
      </w:pPr>
      <w:bookmarkStart w:id="91" w:name="_Toc262"/>
      <w:bookmarkStart w:id="92" w:name="_Toc26757"/>
      <w:bookmarkStart w:id="93" w:name="_Toc6786"/>
      <w:bookmarkStart w:id="94" w:name="_Toc3021"/>
      <w:r>
        <w:rPr>
          <w:rFonts w:hint="eastAsia" w:ascii="宋体" w:hAnsi="宋体" w:cs="宋体"/>
        </w:rPr>
        <w:t>分</w:t>
      </w:r>
      <w:bookmarkEnd w:id="91"/>
      <w:bookmarkStart w:id="95" w:name="_Toc15647"/>
      <w:bookmarkStart w:id="96" w:name="_Toc6835"/>
      <w:r>
        <w:rPr>
          <w:rFonts w:hint="eastAsia" w:ascii="宋体" w:hAnsi="宋体" w:cs="宋体"/>
        </w:rPr>
        <w:t xml:space="preserve"> 采购要求</w:t>
      </w:r>
      <w:bookmarkEnd w:id="92"/>
      <w:bookmarkEnd w:id="93"/>
      <w:bookmarkEnd w:id="94"/>
    </w:p>
    <w:p>
      <w:pPr>
        <w:spacing w:line="360" w:lineRule="auto"/>
        <w:rPr>
          <w:rFonts w:ascii="宋体" w:hAnsi="宋体" w:cs="宋体"/>
          <w:b/>
          <w:sz w:val="24"/>
          <w:szCs w:val="24"/>
        </w:rPr>
      </w:pPr>
      <w:r>
        <w:rPr>
          <w:rFonts w:hint="eastAsia" w:ascii="宋体" w:hAnsi="宋体" w:cs="宋体"/>
          <w:b/>
          <w:sz w:val="24"/>
          <w:szCs w:val="24"/>
        </w:rPr>
        <w:t>一、商务要求</w:t>
      </w:r>
    </w:p>
    <w:p>
      <w:pPr>
        <w:tabs>
          <w:tab w:val="left" w:pos="420"/>
        </w:tabs>
        <w:spacing w:line="360" w:lineRule="auto"/>
        <w:ind w:firstLine="480" w:firstLineChars="200"/>
        <w:rPr>
          <w:rFonts w:ascii="宋体" w:hAnsi="宋体" w:cs="宋体"/>
          <w:sz w:val="24"/>
          <w:szCs w:val="24"/>
        </w:rPr>
      </w:pPr>
      <w:r>
        <w:rPr>
          <w:rFonts w:hint="eastAsia" w:ascii="宋体" w:hAnsi="宋体" w:cs="宋体"/>
          <w:bCs/>
          <w:sz w:val="24"/>
          <w:szCs w:val="24"/>
        </w:rPr>
        <w:t>1</w:t>
      </w:r>
      <w:r>
        <w:rPr>
          <w:rFonts w:hint="eastAsia" w:ascii="宋体" w:hAnsi="宋体" w:cs="宋体"/>
          <w:sz w:val="24"/>
          <w:szCs w:val="24"/>
        </w:rPr>
        <w:t>、项目名称：</w:t>
      </w:r>
      <w:r>
        <w:rPr>
          <w:rFonts w:hint="eastAsia" w:ascii="宋体" w:hAnsi="宋体" w:cs="宋体"/>
          <w:sz w:val="24"/>
          <w:szCs w:val="24"/>
          <w:lang w:eastAsia="zh-CN"/>
        </w:rPr>
        <w:t>西安医学院未央校区汽车充电桩安装工程项目</w:t>
      </w:r>
    </w:p>
    <w:p>
      <w:pPr>
        <w:tabs>
          <w:tab w:val="left" w:pos="420"/>
        </w:tabs>
        <w:spacing w:line="360" w:lineRule="auto"/>
        <w:ind w:firstLine="480" w:firstLineChars="200"/>
        <w:rPr>
          <w:rFonts w:ascii="宋体" w:hAnsi="宋体" w:cs="宋体"/>
          <w:sz w:val="24"/>
          <w:szCs w:val="24"/>
          <w:highlight w:val="yellow"/>
        </w:rPr>
      </w:pPr>
      <w:r>
        <w:rPr>
          <w:rFonts w:hint="eastAsia" w:ascii="宋体" w:hAnsi="宋体" w:cs="宋体"/>
          <w:sz w:val="24"/>
          <w:szCs w:val="24"/>
        </w:rPr>
        <w:t>2、</w:t>
      </w:r>
      <w:r>
        <w:rPr>
          <w:rFonts w:hint="eastAsia" w:ascii="宋体" w:hAnsi="宋体" w:cs="宋体"/>
          <w:sz w:val="24"/>
          <w:szCs w:val="24"/>
          <w:highlight w:val="none"/>
        </w:rPr>
        <w:t>工期：自项目实施起</w:t>
      </w:r>
      <w:r>
        <w:rPr>
          <w:rFonts w:hint="eastAsia" w:ascii="宋体" w:hAnsi="宋体" w:cs="宋体"/>
          <w:sz w:val="24"/>
          <w:szCs w:val="24"/>
          <w:highlight w:val="none"/>
          <w:u w:val="single"/>
          <w:lang w:val="en-US" w:eastAsia="zh-CN"/>
        </w:rPr>
        <w:t>30</w:t>
      </w:r>
      <w:r>
        <w:rPr>
          <w:rFonts w:hint="eastAsia" w:ascii="宋体" w:hAnsi="宋体" w:cs="宋体"/>
          <w:sz w:val="24"/>
          <w:szCs w:val="24"/>
          <w:highlight w:val="none"/>
        </w:rPr>
        <w:t>日历日；</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highlight w:val="none"/>
          <w:lang w:eastAsia="zh-CN"/>
        </w:rPr>
        <w:t>质保期</w:t>
      </w:r>
      <w:r>
        <w:rPr>
          <w:rFonts w:hint="eastAsia" w:ascii="宋体" w:hAnsi="宋体" w:cs="宋体"/>
          <w:sz w:val="24"/>
          <w:szCs w:val="24"/>
          <w:highlight w:val="none"/>
        </w:rPr>
        <w:t>：</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rPr>
        <w:t>年，其他按照国家现行相关规范、规程、标准；</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、施工地点：西安医学院</w:t>
      </w:r>
      <w:r>
        <w:rPr>
          <w:rFonts w:hint="eastAsia" w:ascii="宋体" w:hAnsi="宋体" w:cs="宋体"/>
          <w:sz w:val="24"/>
          <w:szCs w:val="24"/>
          <w:lang w:eastAsia="zh-CN"/>
        </w:rPr>
        <w:t>未央校区</w:t>
      </w:r>
      <w:r>
        <w:rPr>
          <w:rFonts w:hint="eastAsia" w:ascii="宋体" w:hAnsi="宋体" w:cs="宋体"/>
          <w:sz w:val="24"/>
          <w:szCs w:val="24"/>
        </w:rPr>
        <w:t>指定地点；</w:t>
      </w:r>
    </w:p>
    <w:p>
      <w:pPr>
        <w:tabs>
          <w:tab w:val="left" w:pos="420"/>
        </w:tabs>
        <w:spacing w:line="360" w:lineRule="auto"/>
        <w:ind w:firstLine="480" w:firstLineChars="200"/>
        <w:rPr>
          <w:rFonts w:hint="eastAsia" w:eastAsia="宋体"/>
          <w:lang w:val="en-US" w:eastAsia="zh-CN"/>
        </w:rPr>
      </w:pPr>
      <w:r>
        <w:rPr>
          <w:rFonts w:hint="eastAsia" w:ascii="宋体" w:hAnsi="宋体" w:cs="宋体"/>
          <w:sz w:val="24"/>
          <w:szCs w:val="24"/>
          <w:lang w:val="en-US" w:eastAsia="zh-CN"/>
        </w:rPr>
        <w:t>5</w:t>
      </w:r>
      <w:r>
        <w:rPr>
          <w:rFonts w:hint="eastAsia" w:ascii="宋体" w:hAnsi="宋体" w:cs="宋体"/>
          <w:sz w:val="24"/>
          <w:szCs w:val="24"/>
        </w:rPr>
        <w:t>、其他商务要求：详见第六部分合同条款</w:t>
      </w:r>
    </w:p>
    <w:p>
      <w:pPr>
        <w:spacing w:line="360" w:lineRule="auto"/>
        <w:rPr>
          <w:rFonts w:ascii="宋体" w:hAnsi="宋体" w:cs="宋体"/>
          <w:b/>
          <w:sz w:val="24"/>
          <w:szCs w:val="24"/>
        </w:rPr>
      </w:pPr>
      <w:r>
        <w:rPr>
          <w:rFonts w:hint="eastAsia" w:ascii="宋体" w:hAnsi="宋体" w:cs="宋体"/>
          <w:b/>
          <w:sz w:val="24"/>
          <w:szCs w:val="24"/>
        </w:rPr>
        <w:t>二、项目概况及服务要求</w:t>
      </w:r>
    </w:p>
    <w:p>
      <w:pPr>
        <w:spacing w:before="120" w:beforeLines="50"/>
        <w:rPr>
          <w:sz w:val="24"/>
          <w:szCs w:val="24"/>
        </w:rPr>
      </w:pPr>
      <w:r>
        <w:rPr>
          <w:rFonts w:hint="eastAsia" w:asciiTheme="minorEastAsia" w:hAnsiTheme="minorEastAsia"/>
          <w:b/>
          <w:sz w:val="24"/>
          <w:szCs w:val="24"/>
        </w:rPr>
        <w:t>（一）</w:t>
      </w:r>
      <w:r>
        <w:rPr>
          <w:rFonts w:hint="eastAsia" w:asciiTheme="minorEastAsia" w:hAnsiTheme="minorEastAsia" w:eastAsiaTheme="minorEastAsia"/>
          <w:b/>
          <w:sz w:val="24"/>
          <w:szCs w:val="24"/>
        </w:rPr>
        <w:t>项目概况</w:t>
      </w:r>
    </w:p>
    <w:p>
      <w:pPr>
        <w:snapToGrid w:val="0"/>
        <w:spacing w:line="520" w:lineRule="exact"/>
        <w:rPr>
          <w:rFonts w:ascii="宋体" w:hAnsi="宋体" w:cs="Arial"/>
          <w:sz w:val="24"/>
          <w:szCs w:val="24"/>
        </w:rPr>
      </w:pPr>
      <w:r>
        <w:rPr>
          <w:rFonts w:hint="eastAsia" w:ascii="宋体" w:hAnsi="宋体" w:cs="Arial"/>
          <w:sz w:val="24"/>
          <w:szCs w:val="24"/>
        </w:rPr>
        <w:t>工程内容：</w:t>
      </w:r>
      <w:r>
        <w:rPr>
          <w:rFonts w:hint="eastAsia" w:ascii="宋体" w:hAnsi="宋体" w:cs="宋体"/>
          <w:sz w:val="24"/>
          <w:szCs w:val="24"/>
          <w:lang w:eastAsia="zh-CN"/>
        </w:rPr>
        <w:t>西安医学院未央校区汽车充电桩安装工程项目</w:t>
      </w:r>
      <w:r>
        <w:rPr>
          <w:rFonts w:hint="eastAsia" w:ascii="宋体" w:hAnsi="宋体" w:cs="宋体"/>
          <w:sz w:val="24"/>
          <w:szCs w:val="24"/>
        </w:rPr>
        <w:t>；</w:t>
      </w:r>
    </w:p>
    <w:p>
      <w:pPr>
        <w:snapToGrid w:val="0"/>
        <w:spacing w:line="520" w:lineRule="exact"/>
        <w:rPr>
          <w:rFonts w:hint="eastAsia" w:ascii="宋体" w:hAnsi="宋体" w:cs="Arial"/>
          <w:sz w:val="24"/>
          <w:szCs w:val="24"/>
        </w:rPr>
      </w:pPr>
      <w:r>
        <w:rPr>
          <w:rFonts w:hint="eastAsia" w:ascii="宋体" w:hAnsi="宋体" w:cs="Arial"/>
          <w:sz w:val="24"/>
          <w:szCs w:val="24"/>
        </w:rPr>
        <w:t>地址：</w:t>
      </w:r>
      <w:r>
        <w:rPr>
          <w:rFonts w:hint="eastAsia" w:ascii="宋体" w:hAnsi="宋体" w:cs="宋体"/>
          <w:sz w:val="24"/>
          <w:szCs w:val="24"/>
          <w:lang w:eastAsia="zh-CN"/>
        </w:rPr>
        <w:t>西安医学院未央校区</w:t>
      </w:r>
      <w:r>
        <w:rPr>
          <w:rFonts w:hint="eastAsia" w:ascii="宋体" w:hAnsi="宋体" w:cs="Arial"/>
          <w:sz w:val="24"/>
          <w:szCs w:val="24"/>
        </w:rPr>
        <w:t>；</w:t>
      </w:r>
    </w:p>
    <w:p>
      <w:pPr>
        <w:spacing w:before="120" w:beforeLines="50"/>
        <w:rPr>
          <w:rFonts w:hint="eastAsia" w:eastAsia="宋体"/>
          <w:b/>
          <w:bCs/>
          <w:sz w:val="24"/>
          <w:szCs w:val="24"/>
          <w:lang w:val="en-US" w:eastAsia="zh-CN"/>
        </w:rPr>
      </w:pPr>
      <w:r>
        <w:rPr>
          <w:rFonts w:hint="eastAsia" w:asciiTheme="minorEastAsia" w:hAnsiTheme="minorEastAsia"/>
          <w:b/>
          <w:sz w:val="24"/>
          <w:szCs w:val="24"/>
          <w:lang w:val="en-US" w:eastAsia="zh-CN"/>
        </w:rPr>
        <w:t>（二）</w:t>
      </w:r>
      <w:r>
        <w:rPr>
          <w:rFonts w:hint="eastAsia" w:asciiTheme="minorEastAsia" w:hAnsiTheme="minorEastAsia"/>
          <w:b/>
          <w:sz w:val="24"/>
          <w:szCs w:val="24"/>
        </w:rPr>
        <w:t>技术参数</w:t>
      </w:r>
    </w:p>
    <w:bookmarkEnd w:id="95"/>
    <w:bookmarkEnd w:id="96"/>
    <w:p>
      <w:pPr>
        <w:spacing w:line="360" w:lineRule="auto"/>
        <w:rPr>
          <w:rFonts w:hint="eastAsia" w:ascii="宋体" w:hAnsi="宋体" w:eastAsia="宋体" w:cs="宋体"/>
          <w:b/>
          <w:bCs/>
          <w:sz w:val="24"/>
          <w:lang w:eastAsia="zh-CN"/>
        </w:rPr>
      </w:pPr>
      <w:bookmarkStart w:id="97" w:name="_Toc46235603"/>
      <w:bookmarkStart w:id="98" w:name="_Toc2234"/>
      <w:bookmarkStart w:id="99" w:name="_Toc23741"/>
      <w:bookmarkStart w:id="100" w:name="_Toc26312"/>
      <w:r>
        <w:rPr>
          <w:rFonts w:hint="eastAsia" w:ascii="宋体" w:hAnsi="宋体" w:cs="宋体"/>
          <w:b/>
          <w:bCs/>
          <w:sz w:val="24"/>
        </w:rPr>
        <w:t>（</w:t>
      </w:r>
      <w:r>
        <w:rPr>
          <w:rFonts w:hint="eastAsia" w:ascii="宋体" w:hAnsi="宋体" w:cs="宋体"/>
          <w:b/>
          <w:bCs/>
          <w:sz w:val="24"/>
          <w:lang w:val="en-US" w:eastAsia="zh-CN"/>
        </w:rPr>
        <w:t>1</w:t>
      </w:r>
      <w:r>
        <w:rPr>
          <w:rFonts w:hint="eastAsia" w:ascii="宋体" w:hAnsi="宋体" w:cs="宋体"/>
          <w:b/>
          <w:bCs/>
          <w:sz w:val="24"/>
        </w:rPr>
        <w:t>）</w:t>
      </w:r>
      <w:bookmarkEnd w:id="97"/>
      <w:r>
        <w:rPr>
          <w:rFonts w:hint="eastAsia" w:ascii="宋体" w:hAnsi="宋体" w:cs="宋体"/>
          <w:b/>
          <w:bCs/>
          <w:sz w:val="24"/>
        </w:rPr>
        <w:t>400kW一拖十智能群充设备</w:t>
      </w:r>
      <w:r>
        <w:rPr>
          <w:rFonts w:hint="eastAsia" w:ascii="宋体" w:hAnsi="宋体" w:cs="宋体"/>
          <w:b/>
          <w:bCs/>
          <w:sz w:val="24"/>
          <w:lang w:eastAsia="zh-CN"/>
        </w:rPr>
        <w:t>（</w:t>
      </w:r>
      <w:r>
        <w:rPr>
          <w:rFonts w:hint="eastAsia" w:ascii="宋体" w:hAnsi="宋体" w:cs="宋体"/>
          <w:b/>
          <w:bCs/>
          <w:sz w:val="24"/>
          <w:lang w:val="en-US" w:eastAsia="zh-CN"/>
        </w:rPr>
        <w:t>1套</w:t>
      </w:r>
      <w:r>
        <w:rPr>
          <w:rFonts w:hint="eastAsia" w:ascii="宋体" w:hAnsi="宋体" w:cs="宋体"/>
          <w:b/>
          <w:bCs/>
          <w:sz w:val="24"/>
          <w:lang w:eastAsia="zh-CN"/>
        </w:rPr>
        <w:t>）</w:t>
      </w:r>
    </w:p>
    <w:p>
      <w:pPr>
        <w:spacing w:line="360" w:lineRule="auto"/>
        <w:rPr>
          <w:rFonts w:ascii="宋体" w:hAnsi="宋体" w:cs="宋体"/>
          <w:b/>
          <w:bCs/>
          <w:sz w:val="24"/>
        </w:rPr>
      </w:pPr>
      <w:r>
        <w:rPr>
          <w:rFonts w:hint="eastAsia" w:ascii="宋体" w:hAnsi="宋体" w:cs="宋体"/>
          <w:b/>
          <w:bCs/>
          <w:sz w:val="24"/>
        </w:rPr>
        <w:t>1、技术参数</w:t>
      </w:r>
    </w:p>
    <w:p>
      <w:pPr>
        <w:spacing w:line="360" w:lineRule="auto"/>
        <w:rPr>
          <w:rFonts w:ascii="宋体" w:hAnsi="宋体" w:cs="宋体"/>
          <w:sz w:val="24"/>
        </w:rPr>
      </w:pPr>
      <w:r>
        <w:rPr>
          <w:rFonts w:hint="eastAsia" w:ascii="宋体" w:hAnsi="宋体" w:cs="宋体"/>
          <w:sz w:val="24"/>
        </w:rPr>
        <w:t>1.1环境条件</w:t>
      </w:r>
    </w:p>
    <w:p>
      <w:pPr>
        <w:spacing w:line="360" w:lineRule="auto"/>
        <w:rPr>
          <w:rFonts w:ascii="宋体" w:hAnsi="宋体" w:cs="宋体"/>
          <w:sz w:val="24"/>
        </w:rPr>
      </w:pPr>
      <w:r>
        <w:rPr>
          <w:rFonts w:hint="eastAsia" w:ascii="宋体" w:hAnsi="宋体" w:cs="宋体"/>
          <w:sz w:val="24"/>
        </w:rPr>
        <w:t>环境温度：-20℃～50℃；</w:t>
      </w:r>
    </w:p>
    <w:p>
      <w:pPr>
        <w:spacing w:line="360" w:lineRule="auto"/>
        <w:rPr>
          <w:rFonts w:ascii="宋体" w:hAnsi="宋体" w:cs="宋体"/>
          <w:sz w:val="24"/>
        </w:rPr>
      </w:pPr>
      <w:r>
        <w:rPr>
          <w:rFonts w:hint="eastAsia" w:ascii="宋体" w:hAnsi="宋体" w:cs="宋体"/>
          <w:sz w:val="24"/>
        </w:rPr>
        <w:t>相对湿度：5％～95％；</w:t>
      </w:r>
    </w:p>
    <w:p>
      <w:pPr>
        <w:spacing w:line="360" w:lineRule="auto"/>
        <w:rPr>
          <w:rFonts w:ascii="宋体" w:hAnsi="宋体" w:cs="宋体"/>
          <w:sz w:val="24"/>
        </w:rPr>
      </w:pPr>
      <w:r>
        <w:rPr>
          <w:rFonts w:hint="eastAsia" w:ascii="宋体" w:hAnsi="宋体" w:cs="宋体"/>
          <w:sz w:val="24"/>
        </w:rPr>
        <w:t>海拔高度：≤2000m；2000m以上降额输出；</w:t>
      </w:r>
    </w:p>
    <w:p>
      <w:pPr>
        <w:spacing w:line="360" w:lineRule="auto"/>
        <w:rPr>
          <w:rFonts w:ascii="宋体" w:hAnsi="宋体" w:cs="宋体"/>
          <w:sz w:val="24"/>
        </w:rPr>
      </w:pPr>
      <w:r>
        <w:rPr>
          <w:rFonts w:hint="eastAsia" w:ascii="宋体" w:hAnsi="宋体" w:cs="宋体"/>
          <w:sz w:val="24"/>
        </w:rPr>
        <w:t>大气压强：80kPa～110kPa；</w:t>
      </w:r>
    </w:p>
    <w:p>
      <w:pPr>
        <w:spacing w:line="360" w:lineRule="auto"/>
        <w:rPr>
          <w:rFonts w:ascii="宋体" w:hAnsi="宋体" w:cs="宋体"/>
          <w:sz w:val="24"/>
        </w:rPr>
      </w:pPr>
      <w:r>
        <w:rPr>
          <w:rFonts w:hint="eastAsia" w:ascii="宋体" w:hAnsi="宋体" w:cs="宋体"/>
          <w:sz w:val="24"/>
        </w:rPr>
        <w:t>1.2电源条件</w:t>
      </w:r>
    </w:p>
    <w:p>
      <w:pPr>
        <w:spacing w:line="360" w:lineRule="auto"/>
        <w:rPr>
          <w:rFonts w:ascii="宋体" w:hAnsi="宋体" w:cs="宋体"/>
          <w:sz w:val="24"/>
        </w:rPr>
      </w:pPr>
      <w:r>
        <w:rPr>
          <w:rFonts w:hint="eastAsia" w:ascii="宋体" w:hAnsi="宋体" w:cs="宋体"/>
          <w:sz w:val="24"/>
        </w:rPr>
        <w:t>交流输入电压：380V±15％；</w:t>
      </w:r>
    </w:p>
    <w:p>
      <w:pPr>
        <w:spacing w:line="360" w:lineRule="auto"/>
        <w:rPr>
          <w:rFonts w:ascii="宋体" w:hAnsi="宋体" w:cs="宋体"/>
          <w:sz w:val="24"/>
        </w:rPr>
      </w:pPr>
      <w:r>
        <w:rPr>
          <w:rFonts w:hint="eastAsia" w:ascii="宋体" w:hAnsi="宋体" w:cs="宋体"/>
          <w:sz w:val="24"/>
        </w:rPr>
        <w:t>交流电源频率：50Hz±1Hz。</w:t>
      </w:r>
    </w:p>
    <w:p>
      <w:pPr>
        <w:spacing w:line="360" w:lineRule="auto"/>
        <w:rPr>
          <w:rFonts w:ascii="宋体" w:hAnsi="宋体" w:cs="宋体"/>
          <w:sz w:val="24"/>
        </w:rPr>
      </w:pPr>
      <w:r>
        <w:rPr>
          <w:rFonts w:hint="eastAsia" w:ascii="宋体" w:hAnsi="宋体" w:cs="宋体"/>
          <w:sz w:val="24"/>
        </w:rPr>
        <w:t>1.3输出电压、电流和额定功率</w:t>
      </w:r>
    </w:p>
    <w:p>
      <w:pPr>
        <w:spacing w:line="360" w:lineRule="auto"/>
        <w:rPr>
          <w:rFonts w:ascii="宋体" w:hAnsi="宋体" w:cs="宋体"/>
          <w:sz w:val="24"/>
        </w:rPr>
      </w:pPr>
      <w:r>
        <w:rPr>
          <w:rFonts w:hint="eastAsia" w:ascii="宋体" w:hAnsi="宋体" w:cs="宋体"/>
          <w:sz w:val="24"/>
        </w:rPr>
        <w:t>直流输出电压：200V-1000V。</w:t>
      </w:r>
    </w:p>
    <w:p>
      <w:pPr>
        <w:spacing w:line="360" w:lineRule="auto"/>
        <w:rPr>
          <w:rFonts w:ascii="宋体" w:hAnsi="宋体" w:cs="宋体"/>
          <w:sz w:val="24"/>
        </w:rPr>
      </w:pPr>
      <w:r>
        <w:rPr>
          <w:rFonts w:hint="eastAsia" w:ascii="宋体" w:hAnsi="宋体" w:cs="宋体"/>
          <w:sz w:val="24"/>
        </w:rPr>
        <w:t>恒功率电压范围：低段300-500V，高段600-1000V</w:t>
      </w:r>
    </w:p>
    <w:p>
      <w:pPr>
        <w:spacing w:line="360" w:lineRule="auto"/>
        <w:rPr>
          <w:rFonts w:ascii="宋体" w:hAnsi="宋体" w:cs="宋体"/>
          <w:sz w:val="24"/>
        </w:rPr>
      </w:pPr>
      <w:r>
        <w:rPr>
          <w:rFonts w:hint="eastAsia" w:ascii="宋体" w:hAnsi="宋体" w:cs="宋体"/>
          <w:sz w:val="24"/>
        </w:rPr>
        <w:t>单模块直流充电电流值</w:t>
      </w:r>
    </w:p>
    <w:p>
      <w:pPr>
        <w:spacing w:line="360" w:lineRule="auto"/>
        <w:rPr>
          <w:rFonts w:ascii="宋体" w:hAnsi="宋体" w:cs="宋体"/>
          <w:sz w:val="24"/>
        </w:rPr>
      </w:pPr>
      <w:r>
        <w:rPr>
          <w:rFonts w:hint="eastAsia" w:ascii="宋体" w:hAnsi="宋体" w:cs="宋体"/>
          <w:sz w:val="24"/>
        </w:rPr>
        <w:t>单模块0.5-133.3A连续可调</w:t>
      </w:r>
    </w:p>
    <w:p>
      <w:pPr>
        <w:spacing w:line="360" w:lineRule="auto"/>
        <w:rPr>
          <w:rFonts w:ascii="宋体" w:hAnsi="宋体" w:cs="宋体"/>
          <w:sz w:val="24"/>
        </w:rPr>
      </w:pPr>
      <w:r>
        <w:rPr>
          <w:rFonts w:hint="eastAsia" w:ascii="宋体" w:hAnsi="宋体" w:cs="宋体"/>
          <w:sz w:val="24"/>
        </w:rPr>
        <w:t>1.4低压辅助电源</w:t>
      </w:r>
    </w:p>
    <w:p>
      <w:pPr>
        <w:spacing w:line="360" w:lineRule="auto"/>
        <w:rPr>
          <w:rFonts w:ascii="宋体" w:hAnsi="宋体" w:cs="宋体"/>
          <w:sz w:val="24"/>
        </w:rPr>
      </w:pPr>
      <w:r>
        <w:rPr>
          <w:rFonts w:hint="eastAsia" w:ascii="宋体" w:hAnsi="宋体" w:cs="宋体"/>
          <w:sz w:val="24"/>
        </w:rPr>
        <w:t>充电机应能为电动汽车提供低压辅助电源，且具备过负荷、过压、过温保护功能。</w:t>
      </w:r>
    </w:p>
    <w:p>
      <w:pPr>
        <w:spacing w:line="360" w:lineRule="auto"/>
        <w:rPr>
          <w:rFonts w:ascii="宋体" w:hAnsi="宋体" w:cs="宋体"/>
          <w:sz w:val="24"/>
        </w:rPr>
      </w:pPr>
      <w:r>
        <w:rPr>
          <w:rFonts w:hint="eastAsia" w:ascii="宋体" w:hAnsi="宋体" w:cs="宋体"/>
          <w:sz w:val="24"/>
        </w:rPr>
        <w:t>辅助电源电压：12V；</w:t>
      </w:r>
    </w:p>
    <w:p>
      <w:pPr>
        <w:spacing w:line="360" w:lineRule="auto"/>
        <w:rPr>
          <w:rFonts w:ascii="宋体" w:hAnsi="宋体" w:cs="宋体"/>
          <w:sz w:val="24"/>
        </w:rPr>
      </w:pPr>
      <w:r>
        <w:rPr>
          <w:rFonts w:hint="eastAsia" w:ascii="宋体" w:hAnsi="宋体" w:cs="宋体"/>
          <w:sz w:val="24"/>
        </w:rPr>
        <w:t>纹波峰值系数：不超过±1%。</w:t>
      </w:r>
    </w:p>
    <w:p>
      <w:pPr>
        <w:spacing w:line="360" w:lineRule="auto"/>
        <w:rPr>
          <w:rFonts w:ascii="宋体" w:hAnsi="宋体" w:cs="宋体"/>
          <w:b/>
          <w:bCs/>
          <w:sz w:val="24"/>
        </w:rPr>
      </w:pPr>
      <w:r>
        <w:rPr>
          <w:rFonts w:hint="eastAsia" w:ascii="宋体" w:hAnsi="宋体" w:cs="宋体"/>
          <w:b/>
          <w:bCs/>
          <w:sz w:val="24"/>
        </w:rPr>
        <w:t>2、结构要求</w:t>
      </w:r>
    </w:p>
    <w:p>
      <w:pPr>
        <w:spacing w:line="360" w:lineRule="auto"/>
        <w:rPr>
          <w:rFonts w:ascii="宋体" w:hAnsi="宋体" w:cs="宋体"/>
          <w:sz w:val="24"/>
        </w:rPr>
      </w:pPr>
      <w:r>
        <w:rPr>
          <w:rFonts w:hint="eastAsia" w:ascii="宋体" w:hAnsi="宋体" w:cs="宋体"/>
          <w:sz w:val="24"/>
        </w:rPr>
        <w:t>充电机采用分体式结构形式。基本构成包括：功率单元、功率分配单元、充电管理单元、集中控制器、计量表计、充电接口等。</w:t>
      </w:r>
    </w:p>
    <w:p>
      <w:pPr>
        <w:spacing w:line="360" w:lineRule="auto"/>
        <w:rPr>
          <w:rFonts w:ascii="宋体" w:hAnsi="宋体" w:cs="宋体"/>
          <w:sz w:val="24"/>
        </w:rPr>
      </w:pPr>
      <w:r>
        <w:rPr>
          <w:rFonts w:hint="eastAsia" w:ascii="宋体" w:hAnsi="宋体" w:cs="宋体"/>
          <w:sz w:val="24"/>
        </w:rPr>
        <w:t>2.1结构形式</w:t>
      </w:r>
    </w:p>
    <w:p>
      <w:pPr>
        <w:spacing w:line="360" w:lineRule="auto"/>
        <w:rPr>
          <w:rFonts w:hint="eastAsia" w:ascii="宋体" w:hAnsi="宋体" w:cs="宋体"/>
          <w:sz w:val="24"/>
        </w:rPr>
      </w:pPr>
      <w:r>
        <w:rPr>
          <w:rFonts w:hint="eastAsia" w:ascii="宋体" w:hAnsi="宋体" w:cs="宋体"/>
          <w:sz w:val="24"/>
        </w:rPr>
        <w:t>完整的分体式充电机由整流柜和直流充电枪端（桩）两部分构成，它们之间通过电缆连接组成一套完整的充电机。</w:t>
      </w:r>
    </w:p>
    <w:p>
      <w:pPr>
        <w:spacing w:line="360" w:lineRule="auto"/>
        <w:rPr>
          <w:rFonts w:ascii="宋体" w:hAnsi="宋体" w:cs="宋体"/>
          <w:sz w:val="24"/>
        </w:rPr>
      </w:pPr>
      <w:r>
        <w:rPr>
          <w:rFonts w:hint="eastAsia" w:ascii="宋体" w:hAnsi="宋体" w:cs="宋体"/>
          <w:sz w:val="24"/>
        </w:rPr>
        <w:t>形式：</w:t>
      </w:r>
    </w:p>
    <w:p>
      <w:pPr>
        <w:spacing w:line="360" w:lineRule="auto"/>
        <w:rPr>
          <w:rFonts w:ascii="宋体" w:hAnsi="宋体" w:cs="宋体"/>
          <w:sz w:val="24"/>
        </w:rPr>
      </w:pPr>
      <w:r>
        <w:rPr>
          <w:rFonts w:hint="eastAsia" w:ascii="宋体" w:hAnsi="宋体" w:cs="宋体"/>
          <w:sz w:val="24"/>
        </w:rPr>
        <w:t>一套分体式直流群充电机连接多个直流充电枪端（桩），多个直流充电枪端（桩）同时输出电流，具备直流输出功率自动分配功能。且每个充电枪端（桩）均可调用每个充电模块。</w:t>
      </w:r>
    </w:p>
    <w:p>
      <w:pPr>
        <w:spacing w:line="360" w:lineRule="auto"/>
        <w:rPr>
          <w:rFonts w:ascii="宋体" w:hAnsi="宋体" w:cs="宋体"/>
          <w:sz w:val="24"/>
        </w:rPr>
      </w:pPr>
      <w:r>
        <w:rPr>
          <w:rFonts w:hint="eastAsia" w:ascii="宋体" w:hAnsi="宋体" w:cs="宋体"/>
          <w:sz w:val="24"/>
        </w:rPr>
        <w:t>2.2功率分配单元</w:t>
      </w:r>
    </w:p>
    <w:p>
      <w:pPr>
        <w:spacing w:line="360" w:lineRule="auto"/>
        <w:rPr>
          <w:rFonts w:ascii="宋体" w:hAnsi="宋体" w:cs="宋体"/>
          <w:b/>
          <w:bCs/>
          <w:sz w:val="24"/>
        </w:rPr>
      </w:pPr>
      <w:r>
        <w:rPr>
          <w:rFonts w:hint="eastAsia" w:ascii="宋体" w:hAnsi="宋体" w:cs="宋体"/>
          <w:sz w:val="24"/>
        </w:rPr>
        <w:t>充电机所有模块独立自动功率分配，功率分配单元要求模块化结构设计，易运维维护。</w:t>
      </w:r>
    </w:p>
    <w:p>
      <w:pPr>
        <w:spacing w:line="360" w:lineRule="auto"/>
        <w:rPr>
          <w:rFonts w:ascii="宋体" w:hAnsi="宋体" w:cs="宋体"/>
          <w:sz w:val="24"/>
        </w:rPr>
      </w:pPr>
      <w:r>
        <w:rPr>
          <w:rFonts w:hint="eastAsia" w:ascii="宋体" w:hAnsi="宋体" w:cs="宋体"/>
          <w:sz w:val="24"/>
        </w:rPr>
        <w:t>2.3外壳要求</w:t>
      </w:r>
    </w:p>
    <w:p>
      <w:pPr>
        <w:spacing w:line="360" w:lineRule="auto"/>
        <w:rPr>
          <w:rFonts w:ascii="宋体" w:hAnsi="宋体" w:cs="宋体"/>
          <w:sz w:val="24"/>
        </w:rPr>
      </w:pPr>
      <w:r>
        <w:rPr>
          <w:rFonts w:hint="eastAsia" w:ascii="宋体" w:hAnsi="宋体" w:cs="宋体"/>
          <w:sz w:val="24"/>
        </w:rPr>
        <w:t>充电机铁质外壳和暴露在外的铁质支架、零件应采取双层防锈措施，非铁质的金属外壳也应具有防氧化保护膜或进行防氧化处理。</w:t>
      </w:r>
    </w:p>
    <w:p>
      <w:pPr>
        <w:spacing w:line="360" w:lineRule="auto"/>
        <w:rPr>
          <w:rFonts w:ascii="宋体" w:hAnsi="宋体" w:cs="宋体"/>
          <w:b/>
          <w:bCs/>
          <w:sz w:val="24"/>
        </w:rPr>
      </w:pPr>
      <w:r>
        <w:rPr>
          <w:rFonts w:hint="eastAsia" w:ascii="宋体" w:hAnsi="宋体" w:cs="宋体"/>
          <w:b/>
          <w:bCs/>
          <w:sz w:val="24"/>
        </w:rPr>
        <w:t>3、功能要求</w:t>
      </w:r>
    </w:p>
    <w:p>
      <w:pPr>
        <w:spacing w:line="360" w:lineRule="auto"/>
        <w:rPr>
          <w:rFonts w:ascii="宋体" w:hAnsi="宋体" w:cs="宋体"/>
          <w:sz w:val="24"/>
        </w:rPr>
      </w:pPr>
      <w:r>
        <w:rPr>
          <w:rFonts w:hint="eastAsia" w:ascii="宋体" w:hAnsi="宋体" w:cs="宋体"/>
          <w:sz w:val="24"/>
        </w:rPr>
        <w:t>3.1充电设定方式</w:t>
      </w:r>
    </w:p>
    <w:p>
      <w:pPr>
        <w:spacing w:line="360" w:lineRule="auto"/>
        <w:rPr>
          <w:rFonts w:ascii="宋体" w:hAnsi="宋体" w:cs="宋体"/>
          <w:sz w:val="24"/>
        </w:rPr>
      </w:pPr>
      <w:r>
        <w:rPr>
          <w:rFonts w:hint="eastAsia" w:ascii="宋体" w:hAnsi="宋体" w:cs="宋体"/>
          <w:sz w:val="24"/>
        </w:rPr>
        <w:t>在充电过程中，充电机依据电动汽车电池管理系统提供的数据动态调整充电参数，执行相应动作，完成充电过程。</w:t>
      </w:r>
    </w:p>
    <w:p>
      <w:pPr>
        <w:spacing w:line="360" w:lineRule="auto"/>
        <w:rPr>
          <w:rFonts w:ascii="宋体" w:hAnsi="宋体" w:cs="宋体"/>
          <w:sz w:val="24"/>
        </w:rPr>
      </w:pPr>
      <w:r>
        <w:rPr>
          <w:rFonts w:hint="eastAsia" w:ascii="宋体" w:hAnsi="宋体" w:cs="宋体"/>
          <w:sz w:val="24"/>
        </w:rPr>
        <w:t>3.2充电模式和连接方式</w:t>
      </w:r>
    </w:p>
    <w:p>
      <w:pPr>
        <w:spacing w:line="360" w:lineRule="auto"/>
        <w:rPr>
          <w:rFonts w:ascii="宋体" w:hAnsi="宋体" w:cs="宋体"/>
          <w:sz w:val="24"/>
        </w:rPr>
      </w:pPr>
      <w:r>
        <w:rPr>
          <w:rFonts w:hint="eastAsia" w:ascii="宋体" w:hAnsi="宋体" w:cs="宋体"/>
          <w:sz w:val="24"/>
        </w:rPr>
        <w:t>充电机采用GB/T18487.1-2015附录B中规定的充电模式4和连接方式C对电动汽车进行充电。充电接口应满足GB/T20234.1-2015和 GB/T20234.3-2015的规定。</w:t>
      </w:r>
    </w:p>
    <w:p>
      <w:pPr>
        <w:spacing w:line="360" w:lineRule="auto"/>
        <w:rPr>
          <w:rFonts w:ascii="宋体" w:hAnsi="宋体" w:cs="宋体"/>
          <w:sz w:val="24"/>
        </w:rPr>
      </w:pPr>
      <w:r>
        <w:rPr>
          <w:rFonts w:hint="eastAsia" w:ascii="宋体" w:hAnsi="宋体" w:cs="宋体"/>
          <w:sz w:val="24"/>
        </w:rPr>
        <w:t>3.3功率智能分配</w:t>
      </w:r>
    </w:p>
    <w:p>
      <w:pPr>
        <w:spacing w:line="360" w:lineRule="auto"/>
        <w:rPr>
          <w:rFonts w:ascii="宋体" w:hAnsi="宋体" w:cs="宋体"/>
          <w:sz w:val="24"/>
        </w:rPr>
      </w:pPr>
      <w:r>
        <w:rPr>
          <w:rFonts w:hint="eastAsia" w:ascii="宋体" w:hAnsi="宋体" w:cs="宋体"/>
          <w:sz w:val="24"/>
        </w:rPr>
        <w:t>功率智能分配充电技术，能够根据充电车辆充电要求，自动分配输出功率。即：在满足首先接入充电车辆功率需求的前提下，可以根据充电过程中功率需求变化，智能分配多余功率(智能分配以40KW为一个自动调节单元)，给后接入的充电车辆；既能够满足日间大功率快速充电，又能满足夜间所有充电车位车辆同时充电，且不超过供电负荷上限。</w:t>
      </w:r>
    </w:p>
    <w:p>
      <w:pPr>
        <w:spacing w:line="360" w:lineRule="auto"/>
        <w:rPr>
          <w:rFonts w:ascii="宋体" w:hAnsi="宋体" w:cs="宋体"/>
          <w:sz w:val="24"/>
        </w:rPr>
      </w:pPr>
      <w:r>
        <w:rPr>
          <w:rFonts w:hint="eastAsia" w:ascii="宋体" w:hAnsi="宋体" w:cs="宋体"/>
          <w:sz w:val="24"/>
        </w:rPr>
        <w:t>3.4与电池管理系统通信功能</w:t>
      </w:r>
    </w:p>
    <w:p>
      <w:pPr>
        <w:spacing w:line="360" w:lineRule="auto"/>
        <w:rPr>
          <w:rFonts w:ascii="宋体" w:hAnsi="宋体" w:cs="宋体"/>
          <w:sz w:val="24"/>
        </w:rPr>
      </w:pPr>
      <w:r>
        <w:rPr>
          <w:rFonts w:hint="eastAsia" w:ascii="宋体" w:hAnsi="宋体" w:cs="宋体"/>
          <w:sz w:val="24"/>
        </w:rPr>
        <w:t>充电机应具有与电池管理系统通信的CAN接口，获得电池管理系统的充电参数和充电实时数据。通信协议应能满足 GB/T 27930-2015的规定。</w:t>
      </w:r>
    </w:p>
    <w:p>
      <w:pPr>
        <w:spacing w:line="360" w:lineRule="auto"/>
        <w:rPr>
          <w:rFonts w:ascii="宋体" w:hAnsi="宋体" w:cs="宋体"/>
          <w:sz w:val="24"/>
        </w:rPr>
      </w:pPr>
      <w:r>
        <w:rPr>
          <w:rFonts w:hint="eastAsia" w:ascii="宋体" w:hAnsi="宋体" w:cs="宋体"/>
          <w:sz w:val="24"/>
        </w:rPr>
        <w:t>3.5主动防护过充设计</w:t>
      </w:r>
    </w:p>
    <w:p>
      <w:pPr>
        <w:spacing w:line="360" w:lineRule="auto"/>
        <w:rPr>
          <w:rFonts w:ascii="宋体" w:hAnsi="宋体" w:cs="宋体"/>
          <w:sz w:val="24"/>
        </w:rPr>
      </w:pPr>
      <w:r>
        <w:rPr>
          <w:rFonts w:hint="eastAsia" w:ascii="宋体" w:hAnsi="宋体" w:cs="宋体"/>
          <w:sz w:val="24"/>
        </w:rPr>
        <w:t>具备主动监测电动汽车BMS运行状态、电池特性参数及充电机自身的运行状态等功能，须采用安全冗余设计，主动诊断并处理故障和异常，实现电动汽车充电过程的主动防护。</w:t>
      </w:r>
    </w:p>
    <w:p>
      <w:pPr>
        <w:spacing w:line="360" w:lineRule="auto"/>
        <w:rPr>
          <w:rFonts w:ascii="宋体" w:hAnsi="宋体" w:cs="宋体"/>
          <w:sz w:val="24"/>
        </w:rPr>
      </w:pPr>
      <w:r>
        <w:rPr>
          <w:rFonts w:hint="eastAsia" w:ascii="宋体" w:hAnsi="宋体" w:cs="宋体"/>
          <w:sz w:val="24"/>
        </w:rPr>
        <w:t>3.6计量功能</w:t>
      </w:r>
    </w:p>
    <w:p>
      <w:pPr>
        <w:spacing w:line="360" w:lineRule="auto"/>
        <w:rPr>
          <w:rFonts w:ascii="宋体" w:hAnsi="宋体" w:cs="宋体"/>
          <w:sz w:val="24"/>
        </w:rPr>
      </w:pPr>
      <w:r>
        <w:rPr>
          <w:rFonts w:hint="eastAsia" w:ascii="宋体" w:hAnsi="宋体" w:cs="宋体"/>
          <w:sz w:val="24"/>
        </w:rPr>
        <w:t>充电机采用直流侧计量，应具有对每个充电接口输出电能进行计量的功能。电能计量装置应符合国家计量器具检定相关要求。精确度等级不低于1.0级，电能计量装置具备RS485接口，通信协议遵循《DL/T 645-2007多功能电能表通信协议》技术要求。电能表应具有自动计费功能或具有与计费装置的接口。充电桩应附带管理平台，</w:t>
      </w:r>
      <w:r>
        <w:rPr>
          <w:rFonts w:hint="eastAsia" w:ascii="宋体" w:hAnsi="宋体" w:cs="宋体"/>
          <w:sz w:val="24"/>
          <w:lang w:eastAsia="zh-CN"/>
        </w:rPr>
        <w:t>质保期内免平台使用费，</w:t>
      </w:r>
      <w:r>
        <w:rPr>
          <w:rFonts w:hint="eastAsia" w:ascii="宋体" w:hAnsi="宋体" w:cs="宋体"/>
          <w:sz w:val="24"/>
        </w:rPr>
        <w:t>电脑端、app端均可使用，通过平台实现费率调整功能，费用结算</w:t>
      </w:r>
      <w:r>
        <w:rPr>
          <w:rFonts w:hint="eastAsia" w:ascii="宋体" w:hAnsi="宋体" w:cs="宋体"/>
          <w:sz w:val="24"/>
          <w:lang w:eastAsia="zh-CN"/>
        </w:rPr>
        <w:t>打入甲方指定账户，结算</w:t>
      </w:r>
      <w:r>
        <w:rPr>
          <w:rFonts w:hint="eastAsia" w:ascii="宋体" w:hAnsi="宋体" w:cs="宋体"/>
          <w:sz w:val="24"/>
        </w:rPr>
        <w:t>时间不超过一个工作日。</w:t>
      </w:r>
    </w:p>
    <w:p>
      <w:pPr>
        <w:spacing w:line="360" w:lineRule="auto"/>
        <w:rPr>
          <w:rFonts w:ascii="宋体" w:hAnsi="宋体" w:cs="宋体"/>
          <w:sz w:val="24"/>
        </w:rPr>
      </w:pPr>
      <w:r>
        <w:rPr>
          <w:rFonts w:ascii="宋体" w:hAnsi="宋体" w:cs="宋体"/>
          <w:sz w:val="24"/>
        </w:rPr>
        <w:t>3</w:t>
      </w: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通信功能</w:t>
      </w:r>
    </w:p>
    <w:p>
      <w:pPr>
        <w:spacing w:line="360" w:lineRule="auto"/>
        <w:rPr>
          <w:rFonts w:hint="eastAsia" w:ascii="宋体" w:hAnsi="宋体" w:cs="宋体"/>
          <w:color w:val="FF0000"/>
          <w:sz w:val="24"/>
        </w:rPr>
      </w:pPr>
      <w:r>
        <w:rPr>
          <w:rFonts w:hint="eastAsia" w:ascii="宋体" w:hAnsi="宋体" w:cs="宋体"/>
          <w:sz w:val="24"/>
        </w:rPr>
        <w:t>配置4G通讯模块，采用4G通讯流量卡连接网络，预留可扩展以太网通信接口，开放数据接口，可以接入客户指定运营管理平台。</w:t>
      </w:r>
      <w:r>
        <w:rPr>
          <w:rFonts w:hint="eastAsia" w:ascii="宋体" w:hAnsi="宋体" w:cs="宋体"/>
          <w:color w:val="000000" w:themeColor="text1"/>
          <w:sz w:val="24"/>
          <w14:textFill>
            <w14:solidFill>
              <w14:schemeClr w14:val="tx1"/>
            </w14:solidFill>
          </w14:textFill>
        </w:rPr>
        <w:t>充电设备应具有</w:t>
      </w:r>
      <w:r>
        <w:rPr>
          <w:rFonts w:hint="eastAsia" w:ascii="宋体" w:hAnsi="宋体" w:cs="宋体"/>
          <w:color w:val="000000" w:themeColor="text1"/>
          <w:sz w:val="24"/>
          <w:lang w:eastAsia="zh-CN"/>
          <w14:textFill>
            <w14:solidFill>
              <w14:schemeClr w14:val="tx1"/>
            </w14:solidFill>
          </w14:textFill>
        </w:rPr>
        <w:t>车牌识别、</w:t>
      </w:r>
      <w:r>
        <w:rPr>
          <w:rFonts w:hint="eastAsia" w:ascii="宋体" w:hAnsi="宋体" w:cs="宋体"/>
          <w:color w:val="000000" w:themeColor="text1"/>
          <w:sz w:val="24"/>
          <w14:textFill>
            <w14:solidFill>
              <w14:schemeClr w14:val="tx1"/>
            </w14:solidFill>
          </w14:textFill>
        </w:rPr>
        <w:t>身份识别功能，识别</w:t>
      </w:r>
      <w:r>
        <w:rPr>
          <w:rFonts w:hint="eastAsia" w:ascii="宋体" w:hAnsi="宋体" w:cs="宋体"/>
          <w:color w:val="000000" w:themeColor="text1"/>
          <w:sz w:val="24"/>
          <w:lang w:eastAsia="zh-CN"/>
          <w14:textFill>
            <w14:solidFill>
              <w14:schemeClr w14:val="tx1"/>
            </w14:solidFill>
          </w14:textFill>
        </w:rPr>
        <w:t>车牌或</w:t>
      </w:r>
      <w:r>
        <w:rPr>
          <w:rFonts w:hint="eastAsia" w:ascii="宋体" w:hAnsi="宋体" w:cs="宋体"/>
          <w:color w:val="000000" w:themeColor="text1"/>
          <w:sz w:val="24"/>
          <w14:textFill>
            <w14:solidFill>
              <w14:schemeClr w14:val="tx1"/>
            </w14:solidFill>
          </w14:textFill>
        </w:rPr>
        <w:t>用户身份及相关信息。实现非</w:t>
      </w:r>
      <w:r>
        <w:rPr>
          <w:rFonts w:hint="eastAsia" w:ascii="宋体" w:hAnsi="宋体" w:cs="宋体"/>
          <w:color w:val="000000" w:themeColor="text1"/>
          <w:sz w:val="24"/>
          <w:lang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用户拒绝充电功能。</w:t>
      </w:r>
    </w:p>
    <w:p>
      <w:pPr>
        <w:spacing w:line="360" w:lineRule="auto"/>
        <w:rPr>
          <w:rFonts w:ascii="宋体" w:hAnsi="宋体" w:cs="宋体"/>
          <w:sz w:val="24"/>
        </w:rPr>
      </w:pPr>
      <w:r>
        <w:rPr>
          <w:rFonts w:hint="eastAsia" w:ascii="宋体" w:hAnsi="宋体" w:cs="宋体"/>
          <w:sz w:val="24"/>
        </w:rPr>
        <w:t>3.</w:t>
      </w:r>
      <w:r>
        <w:rPr>
          <w:rFonts w:hint="eastAsia" w:ascii="宋体" w:hAnsi="宋体" w:cs="宋体"/>
          <w:sz w:val="24"/>
          <w:lang w:val="en-US" w:eastAsia="zh-CN"/>
        </w:rPr>
        <w:t>8</w:t>
      </w:r>
      <w:r>
        <w:rPr>
          <w:rFonts w:hint="eastAsia" w:ascii="宋体" w:hAnsi="宋体" w:cs="宋体"/>
          <w:sz w:val="24"/>
        </w:rPr>
        <w:t>应急断电</w:t>
      </w:r>
    </w:p>
    <w:p>
      <w:pPr>
        <w:spacing w:line="360" w:lineRule="auto"/>
        <w:rPr>
          <w:rFonts w:hint="eastAsia" w:ascii="宋体" w:hAnsi="宋体" w:cs="宋体"/>
          <w:sz w:val="24"/>
        </w:rPr>
      </w:pPr>
      <w:r>
        <w:rPr>
          <w:rFonts w:hint="eastAsia" w:ascii="宋体" w:hAnsi="宋体" w:cs="宋体"/>
          <w:sz w:val="24"/>
        </w:rPr>
        <w:t>配置电气锁止装置，充电桩及其他同接在变压器用电设备，当变压器总负载超过额定输出功率时，自动断开充电桩进线开关，优先保证其他设备用电。</w:t>
      </w:r>
    </w:p>
    <w:p>
      <w:pPr>
        <w:spacing w:line="360" w:lineRule="auto"/>
        <w:rPr>
          <w:rFonts w:ascii="宋体" w:hAnsi="宋体" w:cs="宋体"/>
          <w:sz w:val="24"/>
        </w:rPr>
      </w:pPr>
      <w:r>
        <w:rPr>
          <w:rFonts w:hint="eastAsia" w:ascii="宋体" w:hAnsi="宋体" w:cs="宋体"/>
          <w:sz w:val="24"/>
        </w:rPr>
        <w:t>3.</w:t>
      </w:r>
      <w:r>
        <w:rPr>
          <w:rFonts w:hint="eastAsia" w:ascii="宋体" w:hAnsi="宋体" w:cs="宋体"/>
          <w:sz w:val="24"/>
          <w:lang w:val="en-US" w:eastAsia="zh-CN"/>
        </w:rPr>
        <w:t>9</w:t>
      </w:r>
      <w:r>
        <w:rPr>
          <w:rFonts w:hint="eastAsia" w:ascii="宋体" w:hAnsi="宋体" w:cs="宋体"/>
          <w:sz w:val="24"/>
        </w:rPr>
        <w:t>锁止功能</w:t>
      </w:r>
    </w:p>
    <w:p>
      <w:pPr>
        <w:spacing w:line="360" w:lineRule="auto"/>
        <w:rPr>
          <w:rFonts w:ascii="宋体" w:hAnsi="宋体" w:cs="宋体"/>
          <w:sz w:val="24"/>
        </w:rPr>
      </w:pPr>
      <w:r>
        <w:rPr>
          <w:rFonts w:hint="eastAsia" w:ascii="宋体" w:hAnsi="宋体" w:cs="宋体"/>
          <w:sz w:val="24"/>
        </w:rPr>
        <w:t>充电枪应安装电子锁止装置，具有锁止功能，须防止充电过程中的意外断开，无法拔枪。当电子锁未可靠锁止时，供电设备或电动汽车应停止充电或不启动充电。</w:t>
      </w:r>
    </w:p>
    <w:p>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0</w:t>
      </w:r>
      <w:r>
        <w:rPr>
          <w:rFonts w:hint="eastAsia" w:ascii="宋体" w:hAnsi="宋体" w:cs="宋体"/>
          <w:sz w:val="24"/>
        </w:rPr>
        <w:t>超温断电</w:t>
      </w:r>
    </w:p>
    <w:p>
      <w:pPr>
        <w:spacing w:line="360" w:lineRule="auto"/>
        <w:rPr>
          <w:rFonts w:hint="eastAsia" w:ascii="宋体" w:hAnsi="宋体" w:cs="宋体"/>
          <w:sz w:val="24"/>
        </w:rPr>
      </w:pPr>
      <w:r>
        <w:rPr>
          <w:rFonts w:hint="eastAsia" w:ascii="宋体" w:hAnsi="宋体" w:cs="宋体"/>
          <w:sz w:val="24"/>
        </w:rPr>
        <w:t>要求充电枪带有超温断电功能，提升安全性。</w:t>
      </w:r>
    </w:p>
    <w:p>
      <w:pPr>
        <w:spacing w:line="360" w:lineRule="auto"/>
        <w:rPr>
          <w:rFonts w:hint="eastAsia" w:ascii="宋体" w:hAnsi="宋体" w:cs="宋体"/>
          <w:sz w:val="24"/>
        </w:rPr>
      </w:pPr>
      <w:r>
        <w:rPr>
          <w:rFonts w:hint="eastAsia" w:ascii="宋体" w:hAnsi="宋体" w:cs="宋体"/>
          <w:sz w:val="24"/>
        </w:rPr>
        <w:t>3.1</w:t>
      </w:r>
      <w:r>
        <w:rPr>
          <w:rFonts w:hint="eastAsia" w:ascii="宋体" w:hAnsi="宋体" w:cs="宋体"/>
          <w:sz w:val="24"/>
          <w:lang w:val="en-US" w:eastAsia="zh-CN"/>
        </w:rPr>
        <w:t>1</w:t>
      </w:r>
      <w:r>
        <w:rPr>
          <w:rFonts w:hint="eastAsia" w:ascii="宋体" w:hAnsi="宋体" w:cs="宋体"/>
          <w:sz w:val="24"/>
        </w:rPr>
        <w:t xml:space="preserve"> 远程控制功能</w:t>
      </w:r>
    </w:p>
    <w:p>
      <w:pPr>
        <w:spacing w:line="360" w:lineRule="auto"/>
        <w:rPr>
          <w:rFonts w:ascii="宋体" w:hAnsi="宋体" w:cs="宋体"/>
          <w:sz w:val="24"/>
        </w:rPr>
      </w:pPr>
      <w:r>
        <w:rPr>
          <w:rFonts w:hint="eastAsia" w:ascii="宋体" w:hAnsi="宋体" w:cs="宋体"/>
          <w:sz w:val="24"/>
        </w:rPr>
        <w:t>配置4G／3G通讯模块，可通过调度室的远程监控运维平台，远程操作开合闸，开合进线开关。</w:t>
      </w:r>
    </w:p>
    <w:p>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智能环控</w:t>
      </w:r>
    </w:p>
    <w:p>
      <w:pPr>
        <w:spacing w:line="360" w:lineRule="auto"/>
        <w:rPr>
          <w:rFonts w:ascii="宋体" w:hAnsi="宋体" w:cs="宋体"/>
          <w:sz w:val="24"/>
        </w:rPr>
      </w:pPr>
      <w:r>
        <w:rPr>
          <w:rFonts w:hint="eastAsia" w:ascii="宋体" w:hAnsi="宋体" w:cs="宋体"/>
          <w:sz w:val="24"/>
        </w:rPr>
        <w:t>充电桩内部设立智能温控和环控系统，保证设备的可靠运行。</w:t>
      </w:r>
    </w:p>
    <w:p>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3</w:t>
      </w:r>
      <w:r>
        <w:rPr>
          <w:rFonts w:hint="eastAsia" w:ascii="宋体" w:hAnsi="宋体" w:cs="宋体"/>
          <w:sz w:val="24"/>
        </w:rPr>
        <w:t>温控调速功能</w:t>
      </w:r>
    </w:p>
    <w:p>
      <w:pPr>
        <w:spacing w:line="360" w:lineRule="auto"/>
        <w:rPr>
          <w:rFonts w:ascii="宋体" w:hAnsi="宋体" w:cs="宋体"/>
          <w:sz w:val="24"/>
        </w:rPr>
      </w:pPr>
      <w:r>
        <w:rPr>
          <w:rFonts w:hint="eastAsia" w:ascii="宋体" w:hAnsi="宋体" w:cs="宋体"/>
          <w:sz w:val="24"/>
        </w:rPr>
        <w:t>风扇需实现根据温度调速功能技术，降低损耗和延长风扇寿命。</w:t>
      </w:r>
    </w:p>
    <w:p>
      <w:pPr>
        <w:spacing w:line="360" w:lineRule="auto"/>
        <w:rPr>
          <w:rFonts w:ascii="宋体" w:hAnsi="宋体" w:cs="宋体"/>
          <w:b/>
          <w:bCs/>
          <w:sz w:val="24"/>
        </w:rPr>
      </w:pPr>
      <w:r>
        <w:rPr>
          <w:rFonts w:hint="eastAsia" w:ascii="宋体" w:hAnsi="宋体" w:cs="宋体"/>
          <w:b/>
          <w:bCs/>
          <w:sz w:val="24"/>
        </w:rPr>
        <w:t>4、耐气候环境要求</w:t>
      </w:r>
    </w:p>
    <w:p>
      <w:pPr>
        <w:spacing w:line="360" w:lineRule="auto"/>
        <w:rPr>
          <w:rFonts w:ascii="宋体" w:hAnsi="宋体" w:cs="宋体"/>
          <w:sz w:val="24"/>
        </w:rPr>
      </w:pPr>
      <w:r>
        <w:rPr>
          <w:rFonts w:hint="eastAsia" w:ascii="宋体" w:hAnsi="宋体" w:cs="宋体"/>
          <w:sz w:val="24"/>
        </w:rPr>
        <w:t>4.1防护等级</w:t>
      </w:r>
    </w:p>
    <w:p>
      <w:pPr>
        <w:spacing w:line="360" w:lineRule="auto"/>
        <w:rPr>
          <w:rFonts w:ascii="宋体" w:hAnsi="宋体" w:cs="宋体"/>
          <w:sz w:val="24"/>
        </w:rPr>
      </w:pPr>
      <w:r>
        <w:rPr>
          <w:rFonts w:hint="eastAsia" w:ascii="宋体" w:hAnsi="宋体" w:cs="宋体"/>
          <w:sz w:val="24"/>
        </w:rPr>
        <w:t>充电机的柜体防护等级不应低于GB 4208-2008中IP54（室外）的规定。</w:t>
      </w:r>
    </w:p>
    <w:p>
      <w:pPr>
        <w:spacing w:line="360" w:lineRule="auto"/>
        <w:rPr>
          <w:rFonts w:ascii="宋体" w:hAnsi="宋体" w:cs="宋体"/>
          <w:sz w:val="24"/>
        </w:rPr>
      </w:pPr>
      <w:r>
        <w:rPr>
          <w:rFonts w:hint="eastAsia" w:ascii="宋体" w:hAnsi="宋体" w:cs="宋体"/>
          <w:sz w:val="24"/>
        </w:rPr>
        <w:t>4.2三防（防潮湿，防霉变，防盐雾）保护</w:t>
      </w:r>
    </w:p>
    <w:p>
      <w:pPr>
        <w:spacing w:line="360" w:lineRule="auto"/>
        <w:rPr>
          <w:rFonts w:ascii="宋体" w:hAnsi="宋体" w:cs="宋体"/>
          <w:sz w:val="24"/>
        </w:rPr>
      </w:pPr>
      <w:r>
        <w:rPr>
          <w:rFonts w:hint="eastAsia" w:ascii="宋体" w:hAnsi="宋体" w:cs="宋体"/>
          <w:sz w:val="24"/>
        </w:rPr>
        <w:t>充电机内印刷线路板、接插件等电路应进行防潮湿、防霉变、防盐雾处理。</w:t>
      </w:r>
    </w:p>
    <w:p>
      <w:pPr>
        <w:spacing w:line="360" w:lineRule="auto"/>
        <w:rPr>
          <w:rFonts w:ascii="宋体" w:hAnsi="宋体" w:cs="宋体"/>
          <w:sz w:val="24"/>
        </w:rPr>
      </w:pPr>
      <w:r>
        <w:rPr>
          <w:rFonts w:hint="eastAsia" w:ascii="宋体" w:hAnsi="宋体" w:cs="宋体"/>
          <w:sz w:val="24"/>
        </w:rPr>
        <w:t>4.3防锈(防氧化)保护</w:t>
      </w:r>
    </w:p>
    <w:p>
      <w:pPr>
        <w:spacing w:line="360" w:lineRule="auto"/>
        <w:rPr>
          <w:rFonts w:ascii="宋体" w:hAnsi="宋体" w:cs="宋体"/>
          <w:sz w:val="24"/>
        </w:rPr>
      </w:pPr>
      <w:r>
        <w:rPr>
          <w:rFonts w:hint="eastAsia" w:ascii="宋体" w:hAnsi="宋体" w:cs="宋体"/>
          <w:sz w:val="24"/>
        </w:rPr>
        <w:t>充电机铁质外壳和暴露在外的铁质支架、零件应采取双层防锈措施，非铁质的金属外壳也应具有防氧化保护膜或进行防氧化处理。</w:t>
      </w:r>
    </w:p>
    <w:p>
      <w:pPr>
        <w:spacing w:line="360" w:lineRule="auto"/>
        <w:rPr>
          <w:rFonts w:ascii="宋体" w:hAnsi="宋体" w:cs="宋体"/>
          <w:sz w:val="24"/>
        </w:rPr>
      </w:pPr>
      <w:r>
        <w:rPr>
          <w:rFonts w:hint="eastAsia" w:ascii="宋体" w:hAnsi="宋体" w:cs="宋体"/>
          <w:sz w:val="24"/>
        </w:rPr>
        <w:t>4.4防风保护</w:t>
      </w:r>
    </w:p>
    <w:p>
      <w:pPr>
        <w:spacing w:line="360" w:lineRule="auto"/>
        <w:rPr>
          <w:rFonts w:ascii="宋体" w:hAnsi="宋体" w:cs="宋体"/>
          <w:sz w:val="24"/>
        </w:rPr>
      </w:pPr>
      <w:r>
        <w:rPr>
          <w:rFonts w:hint="eastAsia" w:ascii="宋体" w:hAnsi="宋体" w:cs="宋体"/>
          <w:sz w:val="24"/>
        </w:rPr>
        <w:t>充电机应能承受GB/T 4797.5-2008中规定的不同地区最大风速的侵袭。</w:t>
      </w:r>
    </w:p>
    <w:p>
      <w:pPr>
        <w:spacing w:line="360" w:lineRule="auto"/>
        <w:rPr>
          <w:rFonts w:ascii="宋体" w:hAnsi="宋体" w:cs="宋体"/>
          <w:sz w:val="24"/>
        </w:rPr>
      </w:pPr>
      <w:r>
        <w:rPr>
          <w:rFonts w:hint="eastAsia" w:ascii="宋体" w:hAnsi="宋体" w:cs="宋体"/>
          <w:sz w:val="24"/>
        </w:rPr>
        <w:t>5、防护要求</w:t>
      </w:r>
    </w:p>
    <w:p>
      <w:pPr>
        <w:spacing w:line="360" w:lineRule="auto"/>
        <w:rPr>
          <w:rFonts w:ascii="宋体" w:hAnsi="宋体" w:cs="宋体"/>
          <w:sz w:val="24"/>
        </w:rPr>
      </w:pPr>
      <w:r>
        <w:rPr>
          <w:rFonts w:hint="eastAsia" w:ascii="宋体" w:hAnsi="宋体" w:cs="宋体"/>
          <w:sz w:val="24"/>
        </w:rPr>
        <w:t>5.1允许温度</w:t>
      </w:r>
    </w:p>
    <w:p>
      <w:pPr>
        <w:spacing w:line="360" w:lineRule="auto"/>
        <w:rPr>
          <w:rFonts w:ascii="宋体" w:hAnsi="宋体" w:cs="宋体"/>
          <w:sz w:val="24"/>
        </w:rPr>
      </w:pPr>
      <w:r>
        <w:rPr>
          <w:rFonts w:hint="eastAsia" w:ascii="宋体" w:hAnsi="宋体" w:cs="宋体"/>
          <w:sz w:val="24"/>
        </w:rPr>
        <w:t>在40℃环境温度下，充电机可用手接触部分允许的最高温度应为：</w:t>
      </w:r>
    </w:p>
    <w:p>
      <w:pPr>
        <w:spacing w:line="360" w:lineRule="auto"/>
        <w:rPr>
          <w:rFonts w:ascii="宋体" w:hAnsi="宋体" w:cs="宋体"/>
          <w:sz w:val="24"/>
        </w:rPr>
      </w:pPr>
      <w:r>
        <w:rPr>
          <w:rFonts w:hint="eastAsia" w:ascii="宋体" w:hAnsi="宋体" w:cs="宋体"/>
          <w:sz w:val="24"/>
        </w:rPr>
        <w:t>——金属部分，50℃；</w:t>
      </w:r>
    </w:p>
    <w:p>
      <w:pPr>
        <w:spacing w:line="360" w:lineRule="auto"/>
        <w:rPr>
          <w:rFonts w:ascii="宋体" w:hAnsi="宋体" w:cs="宋体"/>
          <w:sz w:val="24"/>
        </w:rPr>
      </w:pPr>
      <w:r>
        <w:rPr>
          <w:rFonts w:hint="eastAsia" w:ascii="宋体" w:hAnsi="宋体" w:cs="宋体"/>
          <w:sz w:val="24"/>
        </w:rPr>
        <w:t>——非金属部分，60℃。</w:t>
      </w:r>
    </w:p>
    <w:p>
      <w:pPr>
        <w:spacing w:line="360" w:lineRule="auto"/>
        <w:rPr>
          <w:rFonts w:ascii="宋体" w:hAnsi="宋体" w:cs="宋体"/>
          <w:sz w:val="24"/>
        </w:rPr>
      </w:pPr>
      <w:r>
        <w:rPr>
          <w:rFonts w:hint="eastAsia" w:ascii="宋体" w:hAnsi="宋体" w:cs="宋体"/>
          <w:sz w:val="24"/>
        </w:rPr>
        <w:t>可以用手接触但不必紧握的部分，在同样条件下允许的最高温度应为：</w:t>
      </w:r>
    </w:p>
    <w:p>
      <w:pPr>
        <w:spacing w:line="360" w:lineRule="auto"/>
        <w:rPr>
          <w:rFonts w:ascii="宋体" w:hAnsi="宋体" w:cs="宋体"/>
          <w:sz w:val="24"/>
        </w:rPr>
      </w:pPr>
      <w:r>
        <w:rPr>
          <w:rFonts w:hint="eastAsia" w:ascii="宋体" w:hAnsi="宋体" w:cs="宋体"/>
          <w:sz w:val="24"/>
        </w:rPr>
        <w:t>——金属部分，60℃；</w:t>
      </w:r>
    </w:p>
    <w:p>
      <w:pPr>
        <w:spacing w:line="360" w:lineRule="auto"/>
        <w:rPr>
          <w:rFonts w:ascii="宋体" w:hAnsi="宋体" w:cs="宋体"/>
          <w:sz w:val="24"/>
        </w:rPr>
      </w:pPr>
      <w:r>
        <w:rPr>
          <w:rFonts w:hint="eastAsia" w:ascii="宋体" w:hAnsi="宋体" w:cs="宋体"/>
          <w:sz w:val="24"/>
        </w:rPr>
        <w:t>——非金属部分，85℃。</w:t>
      </w:r>
    </w:p>
    <w:p>
      <w:pPr>
        <w:spacing w:line="360" w:lineRule="auto"/>
        <w:rPr>
          <w:rFonts w:ascii="宋体" w:hAnsi="宋体" w:cs="宋体"/>
          <w:sz w:val="24"/>
        </w:rPr>
      </w:pPr>
      <w:r>
        <w:rPr>
          <w:rFonts w:hint="eastAsia" w:ascii="宋体" w:hAnsi="宋体" w:cs="宋体"/>
          <w:sz w:val="24"/>
        </w:rPr>
        <w:t>5.2电击防护</w:t>
      </w:r>
    </w:p>
    <w:p>
      <w:pPr>
        <w:spacing w:line="360" w:lineRule="auto"/>
        <w:rPr>
          <w:rFonts w:ascii="宋体" w:hAnsi="宋体" w:cs="宋体"/>
          <w:sz w:val="24"/>
        </w:rPr>
      </w:pPr>
      <w:r>
        <w:rPr>
          <w:rFonts w:hint="eastAsia" w:ascii="宋体" w:hAnsi="宋体" w:cs="宋体"/>
          <w:sz w:val="24"/>
        </w:rPr>
        <w:t>充电机的电击防护应符合GB/T 18487.1-2015中第7章的要求。</w:t>
      </w:r>
    </w:p>
    <w:p>
      <w:pPr>
        <w:spacing w:line="360" w:lineRule="auto"/>
        <w:rPr>
          <w:rFonts w:ascii="宋体" w:hAnsi="宋体" w:cs="宋体"/>
          <w:sz w:val="24"/>
        </w:rPr>
      </w:pPr>
      <w:r>
        <w:rPr>
          <w:rFonts w:hint="eastAsia" w:ascii="宋体" w:hAnsi="宋体" w:cs="宋体"/>
          <w:sz w:val="24"/>
        </w:rPr>
        <w:t>5.3电气间隙和爬电距离</w:t>
      </w:r>
    </w:p>
    <w:p>
      <w:pPr>
        <w:spacing w:line="360" w:lineRule="auto"/>
        <w:rPr>
          <w:rFonts w:ascii="宋体" w:hAnsi="宋体" w:cs="宋体"/>
          <w:sz w:val="24"/>
        </w:rPr>
      </w:pPr>
      <w:r>
        <w:rPr>
          <w:rFonts w:hint="eastAsia" w:ascii="宋体" w:hAnsi="宋体" w:cs="宋体"/>
          <w:sz w:val="24"/>
        </w:rPr>
        <w:t>充电机的电气间隙和爬电距离应符合的规定。</w:t>
      </w:r>
    </w:p>
    <w:p>
      <w:pPr>
        <w:spacing w:line="360" w:lineRule="auto"/>
        <w:rPr>
          <w:rFonts w:ascii="宋体" w:hAnsi="宋体" w:cs="宋体"/>
          <w:sz w:val="24"/>
        </w:rPr>
      </w:pPr>
      <w:r>
        <w:rPr>
          <w:rFonts w:hint="eastAsia" w:ascii="宋体" w:hAnsi="宋体" w:cs="宋体"/>
          <w:sz w:val="24"/>
        </w:rPr>
        <w:t>表2  电气间隙和爬电距离</w:t>
      </w:r>
    </w:p>
    <w:tbl>
      <w:tblPr>
        <w:tblStyle w:val="25"/>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73"/>
        <w:gridCol w:w="2701"/>
        <w:gridCol w:w="2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746" w:type="pct"/>
            <w:tcBorders>
              <w:top w:val="single" w:color="auto" w:sz="8" w:space="0"/>
              <w:bottom w:val="single" w:color="auto" w:sz="8" w:space="0"/>
            </w:tcBorders>
            <w:noWrap w:val="0"/>
            <w:vAlign w:val="center"/>
          </w:tcPr>
          <w:p>
            <w:pPr>
              <w:spacing w:line="360" w:lineRule="auto"/>
              <w:jc w:val="center"/>
              <w:rPr>
                <w:rFonts w:ascii="宋体" w:hAnsi="宋体" w:cs="宋体"/>
                <w:sz w:val="24"/>
              </w:rPr>
            </w:pPr>
            <w:r>
              <w:rPr>
                <w:rFonts w:hint="eastAsia" w:ascii="宋体" w:hAnsi="宋体" w:cs="宋体"/>
                <w:sz w:val="24"/>
              </w:rPr>
              <w:t>额定绝缘电压Ui（V）</w:t>
            </w:r>
          </w:p>
        </w:tc>
        <w:tc>
          <w:tcPr>
            <w:tcW w:w="1586" w:type="pct"/>
            <w:tcBorders>
              <w:top w:val="single" w:color="auto" w:sz="8" w:space="0"/>
              <w:bottom w:val="single" w:color="auto" w:sz="8" w:space="0"/>
            </w:tcBorders>
            <w:noWrap w:val="0"/>
            <w:vAlign w:val="center"/>
          </w:tcPr>
          <w:p>
            <w:pPr>
              <w:spacing w:line="360" w:lineRule="auto"/>
              <w:jc w:val="center"/>
              <w:rPr>
                <w:rFonts w:ascii="宋体" w:hAnsi="宋体" w:cs="宋体"/>
                <w:sz w:val="24"/>
              </w:rPr>
            </w:pPr>
            <w:r>
              <w:rPr>
                <w:rFonts w:hint="eastAsia" w:ascii="宋体" w:hAnsi="宋体" w:cs="宋体"/>
                <w:sz w:val="24"/>
              </w:rPr>
              <w:t>电气间隙（mm）</w:t>
            </w:r>
          </w:p>
        </w:tc>
        <w:tc>
          <w:tcPr>
            <w:tcW w:w="1667" w:type="pct"/>
            <w:tcBorders>
              <w:top w:val="single" w:color="auto" w:sz="8" w:space="0"/>
              <w:bottom w:val="single" w:color="auto" w:sz="8" w:space="0"/>
            </w:tcBorders>
            <w:noWrap w:val="0"/>
            <w:vAlign w:val="center"/>
          </w:tcPr>
          <w:p>
            <w:pPr>
              <w:spacing w:line="360" w:lineRule="auto"/>
              <w:jc w:val="center"/>
              <w:rPr>
                <w:rFonts w:ascii="宋体" w:hAnsi="宋体" w:cs="宋体"/>
                <w:sz w:val="24"/>
              </w:rPr>
            </w:pPr>
            <w:r>
              <w:rPr>
                <w:rFonts w:hint="eastAsia" w:ascii="宋体" w:hAnsi="宋体" w:cs="宋体"/>
                <w:sz w:val="24"/>
              </w:rPr>
              <w:t>爬电距离（mm）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746" w:type="pct"/>
            <w:tcBorders>
              <w:top w:val="single" w:color="auto" w:sz="8" w:space="0"/>
              <w:bottom w:val="single" w:color="auto" w:sz="8" w:space="0"/>
            </w:tcBorders>
            <w:noWrap w:val="0"/>
            <w:vAlign w:val="center"/>
          </w:tcPr>
          <w:p>
            <w:pPr>
              <w:spacing w:line="360" w:lineRule="auto"/>
              <w:jc w:val="center"/>
              <w:rPr>
                <w:rFonts w:ascii="宋体" w:hAnsi="宋体" w:cs="宋体"/>
                <w:sz w:val="24"/>
              </w:rPr>
            </w:pPr>
            <w:r>
              <w:rPr>
                <w:rFonts w:hint="eastAsia" w:ascii="宋体" w:hAnsi="宋体" w:cs="宋体"/>
                <w:sz w:val="24"/>
              </w:rPr>
              <w:t>Ui≤60</w:t>
            </w:r>
          </w:p>
        </w:tc>
        <w:tc>
          <w:tcPr>
            <w:tcW w:w="1586" w:type="pct"/>
            <w:tcBorders>
              <w:top w:val="single" w:color="auto" w:sz="8" w:space="0"/>
              <w:bottom w:val="single" w:color="auto" w:sz="8" w:space="0"/>
            </w:tcBorders>
            <w:noWrap w:val="0"/>
            <w:vAlign w:val="center"/>
          </w:tcPr>
          <w:p>
            <w:pPr>
              <w:spacing w:line="360" w:lineRule="auto"/>
              <w:jc w:val="center"/>
              <w:rPr>
                <w:rFonts w:ascii="宋体" w:hAnsi="宋体" w:cs="宋体"/>
                <w:sz w:val="24"/>
              </w:rPr>
            </w:pPr>
            <w:r>
              <w:rPr>
                <w:rFonts w:hint="eastAsia" w:ascii="宋体" w:hAnsi="宋体" w:cs="宋体"/>
                <w:sz w:val="24"/>
              </w:rPr>
              <w:t>3.0</w:t>
            </w:r>
          </w:p>
        </w:tc>
        <w:tc>
          <w:tcPr>
            <w:tcW w:w="1667" w:type="pct"/>
            <w:tcBorders>
              <w:top w:val="single" w:color="auto" w:sz="8" w:space="0"/>
              <w:bottom w:val="single" w:color="auto" w:sz="8" w:space="0"/>
            </w:tcBorders>
            <w:noWrap w:val="0"/>
            <w:vAlign w:val="center"/>
          </w:tcPr>
          <w:p>
            <w:pPr>
              <w:spacing w:line="360" w:lineRule="auto"/>
              <w:jc w:val="center"/>
              <w:rPr>
                <w:rFonts w:ascii="宋体" w:hAnsi="宋体" w:cs="宋体"/>
                <w:sz w:val="24"/>
              </w:rPr>
            </w:pPr>
            <w:r>
              <w:rPr>
                <w:rFonts w:hint="eastAsia" w:ascii="宋体" w:hAnsi="宋体" w:cs="宋体"/>
                <w:sz w:val="24"/>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746" w:type="pct"/>
            <w:tcBorders>
              <w:top w:val="single" w:color="auto" w:sz="8" w:space="0"/>
              <w:bottom w:val="single" w:color="auto" w:sz="8" w:space="0"/>
            </w:tcBorders>
            <w:noWrap w:val="0"/>
            <w:vAlign w:val="center"/>
          </w:tcPr>
          <w:p>
            <w:pPr>
              <w:spacing w:line="360" w:lineRule="auto"/>
              <w:jc w:val="center"/>
              <w:rPr>
                <w:rFonts w:ascii="宋体" w:hAnsi="宋体" w:cs="宋体"/>
                <w:sz w:val="24"/>
              </w:rPr>
            </w:pPr>
            <w:r>
              <w:rPr>
                <w:rFonts w:hint="eastAsia" w:ascii="宋体" w:hAnsi="宋体" w:cs="宋体"/>
                <w:sz w:val="24"/>
              </w:rPr>
              <w:t>60＜Ui≤300</w:t>
            </w:r>
          </w:p>
        </w:tc>
        <w:tc>
          <w:tcPr>
            <w:tcW w:w="1586" w:type="pct"/>
            <w:tcBorders>
              <w:top w:val="single" w:color="auto" w:sz="8" w:space="0"/>
              <w:bottom w:val="single" w:color="auto" w:sz="8" w:space="0"/>
            </w:tcBorders>
            <w:noWrap w:val="0"/>
            <w:vAlign w:val="center"/>
          </w:tcPr>
          <w:p>
            <w:pPr>
              <w:spacing w:line="360" w:lineRule="auto"/>
              <w:jc w:val="center"/>
              <w:rPr>
                <w:rFonts w:ascii="宋体" w:hAnsi="宋体" w:cs="宋体"/>
                <w:sz w:val="24"/>
              </w:rPr>
            </w:pPr>
            <w:r>
              <w:rPr>
                <w:rFonts w:hint="eastAsia" w:ascii="宋体" w:hAnsi="宋体" w:cs="宋体"/>
                <w:sz w:val="24"/>
              </w:rPr>
              <w:t>5.0</w:t>
            </w:r>
          </w:p>
        </w:tc>
        <w:tc>
          <w:tcPr>
            <w:tcW w:w="1667" w:type="pct"/>
            <w:tcBorders>
              <w:top w:val="single" w:color="auto" w:sz="8" w:space="0"/>
              <w:bottom w:val="single" w:color="auto" w:sz="8" w:space="0"/>
            </w:tcBorders>
            <w:noWrap w:val="0"/>
            <w:vAlign w:val="center"/>
          </w:tcPr>
          <w:p>
            <w:pPr>
              <w:spacing w:line="360" w:lineRule="auto"/>
              <w:jc w:val="center"/>
              <w:rPr>
                <w:rFonts w:ascii="宋体" w:hAnsi="宋体" w:cs="宋体"/>
                <w:sz w:val="24"/>
              </w:rPr>
            </w:pPr>
            <w:r>
              <w:rPr>
                <w:rFonts w:hint="eastAsia" w:ascii="宋体" w:hAnsi="宋体" w:cs="宋体"/>
                <w:sz w:val="24"/>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746" w:type="pct"/>
            <w:tcBorders>
              <w:top w:val="single" w:color="auto" w:sz="8" w:space="0"/>
              <w:bottom w:val="single" w:color="auto" w:sz="8" w:space="0"/>
            </w:tcBorders>
            <w:noWrap w:val="0"/>
            <w:vAlign w:val="center"/>
          </w:tcPr>
          <w:p>
            <w:pPr>
              <w:spacing w:line="360" w:lineRule="auto"/>
              <w:jc w:val="center"/>
              <w:rPr>
                <w:rFonts w:ascii="宋体" w:hAnsi="宋体" w:cs="宋体"/>
                <w:sz w:val="24"/>
              </w:rPr>
            </w:pPr>
            <w:r>
              <w:rPr>
                <w:rFonts w:hint="eastAsia" w:ascii="宋体" w:hAnsi="宋体" w:cs="宋体"/>
                <w:sz w:val="24"/>
              </w:rPr>
              <w:t>300＜Ui≤700</w:t>
            </w:r>
          </w:p>
        </w:tc>
        <w:tc>
          <w:tcPr>
            <w:tcW w:w="1586" w:type="pct"/>
            <w:tcBorders>
              <w:top w:val="single" w:color="auto" w:sz="8" w:space="0"/>
              <w:bottom w:val="single" w:color="auto" w:sz="8" w:space="0"/>
            </w:tcBorders>
            <w:noWrap w:val="0"/>
            <w:vAlign w:val="center"/>
          </w:tcPr>
          <w:p>
            <w:pPr>
              <w:spacing w:line="360" w:lineRule="auto"/>
              <w:jc w:val="center"/>
              <w:rPr>
                <w:rFonts w:ascii="宋体" w:hAnsi="宋体" w:cs="宋体"/>
                <w:sz w:val="24"/>
              </w:rPr>
            </w:pPr>
            <w:r>
              <w:rPr>
                <w:rFonts w:hint="eastAsia" w:ascii="宋体" w:hAnsi="宋体" w:cs="宋体"/>
                <w:sz w:val="24"/>
              </w:rPr>
              <w:t>8.0</w:t>
            </w:r>
          </w:p>
        </w:tc>
        <w:tc>
          <w:tcPr>
            <w:tcW w:w="1667" w:type="pct"/>
            <w:tcBorders>
              <w:top w:val="single" w:color="auto" w:sz="8" w:space="0"/>
              <w:bottom w:val="single" w:color="auto" w:sz="8" w:space="0"/>
            </w:tcBorders>
            <w:noWrap w:val="0"/>
            <w:vAlign w:val="center"/>
          </w:tcPr>
          <w:p>
            <w:pPr>
              <w:spacing w:line="360" w:lineRule="auto"/>
              <w:jc w:val="center"/>
              <w:rPr>
                <w:rFonts w:ascii="宋体" w:hAnsi="宋体" w:cs="宋体"/>
                <w:sz w:val="24"/>
              </w:rPr>
            </w:pPr>
            <w:r>
              <w:rPr>
                <w:rFonts w:hint="eastAsia" w:ascii="宋体" w:hAnsi="宋体" w:cs="宋体"/>
                <w:sz w:val="24"/>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000" w:type="pct"/>
            <w:gridSpan w:val="3"/>
            <w:tcBorders>
              <w:top w:val="single" w:color="auto" w:sz="8" w:space="0"/>
              <w:bottom w:val="single" w:color="auto" w:sz="8" w:space="0"/>
            </w:tcBorders>
            <w:noWrap w:val="0"/>
            <w:vAlign w:val="center"/>
          </w:tcPr>
          <w:p>
            <w:pPr>
              <w:spacing w:line="360" w:lineRule="auto"/>
              <w:rPr>
                <w:rFonts w:ascii="宋体" w:hAnsi="宋体" w:cs="宋体"/>
                <w:sz w:val="24"/>
              </w:rPr>
            </w:pPr>
            <w:r>
              <w:rPr>
                <w:rFonts w:hint="eastAsia" w:ascii="宋体" w:hAnsi="宋体" w:cs="宋体"/>
                <w:sz w:val="24"/>
              </w:rPr>
              <w:t>注1：当主电路与控制电路或辅助电路的额定绝缘电压不一致时，其电气间隙和爬电距离可分别按其额定值选取。</w:t>
            </w:r>
          </w:p>
          <w:p>
            <w:pPr>
              <w:spacing w:line="360" w:lineRule="auto"/>
              <w:rPr>
                <w:rFonts w:ascii="宋体" w:hAnsi="宋体" w:cs="宋体"/>
                <w:sz w:val="24"/>
              </w:rPr>
            </w:pPr>
            <w:r>
              <w:rPr>
                <w:rFonts w:hint="eastAsia" w:ascii="宋体" w:hAnsi="宋体" w:cs="宋体"/>
                <w:sz w:val="24"/>
              </w:rPr>
              <w:t>注2：具有不同额定值主电路或控制电路导电部分之间的电气间隙与爬电距离，应按最高额定绝缘电压选取。</w:t>
            </w:r>
          </w:p>
          <w:p>
            <w:pPr>
              <w:spacing w:line="360" w:lineRule="auto"/>
              <w:rPr>
                <w:rFonts w:ascii="宋体" w:hAnsi="宋体" w:cs="宋体"/>
                <w:sz w:val="24"/>
              </w:rPr>
            </w:pPr>
            <w:r>
              <w:rPr>
                <w:rFonts w:hint="eastAsia" w:ascii="宋体" w:hAnsi="宋体" w:cs="宋体"/>
                <w:sz w:val="24"/>
              </w:rPr>
              <w:t>注3：小母线、汇流排或不同级的裸露的带电导体之间，以及裸露的带电导体与未经绝缘的不带电导体之间的电气间隙不小于12mm，爬电距离不小于20mm。</w:t>
            </w:r>
          </w:p>
        </w:tc>
      </w:tr>
    </w:tbl>
    <w:p>
      <w:pPr>
        <w:spacing w:line="360" w:lineRule="auto"/>
        <w:rPr>
          <w:rFonts w:ascii="宋体" w:hAnsi="宋体" w:cs="宋体"/>
          <w:sz w:val="24"/>
        </w:rPr>
      </w:pPr>
      <w:r>
        <w:rPr>
          <w:rFonts w:hint="eastAsia" w:ascii="宋体" w:hAnsi="宋体" w:cs="宋体"/>
          <w:sz w:val="24"/>
        </w:rPr>
        <w:t>5.4接地要求</w:t>
      </w:r>
    </w:p>
    <w:p>
      <w:pPr>
        <w:spacing w:line="360" w:lineRule="auto"/>
        <w:rPr>
          <w:rFonts w:ascii="宋体" w:hAnsi="宋体" w:cs="宋体"/>
          <w:sz w:val="24"/>
        </w:rPr>
      </w:pPr>
      <w:r>
        <w:rPr>
          <w:rFonts w:hint="eastAsia" w:ascii="宋体" w:hAnsi="宋体" w:cs="宋体"/>
          <w:sz w:val="24"/>
        </w:rPr>
        <w:t>充电机的接地要求应能满足以下的规定：</w:t>
      </w:r>
    </w:p>
    <w:p>
      <w:pPr>
        <w:spacing w:line="360" w:lineRule="auto"/>
        <w:rPr>
          <w:rFonts w:ascii="宋体" w:hAnsi="宋体" w:cs="宋体"/>
          <w:sz w:val="24"/>
        </w:rPr>
      </w:pPr>
      <w:r>
        <w:rPr>
          <w:rFonts w:hint="eastAsia" w:ascii="宋体" w:hAnsi="宋体" w:cs="宋体"/>
          <w:sz w:val="24"/>
        </w:rPr>
        <w:t>1.充电机金属壳体应设置接地螺栓，其直径不得小于6mm，并应有接地标志。</w:t>
      </w:r>
    </w:p>
    <w:p>
      <w:pPr>
        <w:spacing w:line="360" w:lineRule="auto"/>
        <w:rPr>
          <w:rFonts w:ascii="宋体" w:hAnsi="宋体" w:cs="宋体"/>
          <w:sz w:val="24"/>
        </w:rPr>
      </w:pPr>
      <w:r>
        <w:rPr>
          <w:rFonts w:hint="eastAsia" w:ascii="宋体" w:hAnsi="宋体" w:cs="宋体"/>
          <w:sz w:val="24"/>
        </w:rPr>
        <w:t>2.所有作为隔离带电导体的金属隔板、电气元件的金属外壳以及金属手柄等均应有效接地，连续性电阻不应大于0.1Ω。</w:t>
      </w:r>
    </w:p>
    <w:p>
      <w:pPr>
        <w:spacing w:line="360" w:lineRule="auto"/>
        <w:rPr>
          <w:rFonts w:ascii="宋体" w:hAnsi="宋体" w:cs="宋体"/>
          <w:sz w:val="24"/>
        </w:rPr>
      </w:pPr>
      <w:r>
        <w:rPr>
          <w:rFonts w:hint="eastAsia" w:ascii="宋体" w:hAnsi="宋体" w:cs="宋体"/>
          <w:sz w:val="24"/>
        </w:rPr>
        <w:t>3.充电机的门、盖板、覆板和类似部件，应采用保护导体将这些部件和充电机主体框架连接，此保护导体的截面积不得小于2.5mm2。</w:t>
      </w:r>
    </w:p>
    <w:p>
      <w:pPr>
        <w:spacing w:line="360" w:lineRule="auto"/>
        <w:rPr>
          <w:rFonts w:ascii="宋体" w:hAnsi="宋体" w:cs="宋体"/>
          <w:sz w:val="24"/>
        </w:rPr>
      </w:pPr>
      <w:r>
        <w:rPr>
          <w:rFonts w:hint="eastAsia" w:ascii="宋体" w:hAnsi="宋体" w:cs="宋体"/>
          <w:sz w:val="24"/>
        </w:rPr>
        <w:t>4.接地母线和柜体之间的所有连接应躲开（或穿透绝缘层）喷漆层，以保证有效的电气连接。</w:t>
      </w:r>
    </w:p>
    <w:p>
      <w:pPr>
        <w:spacing w:line="360" w:lineRule="auto"/>
        <w:rPr>
          <w:rFonts w:ascii="宋体" w:hAnsi="宋体" w:cs="宋体"/>
          <w:b/>
          <w:bCs/>
          <w:sz w:val="24"/>
        </w:rPr>
      </w:pPr>
      <w:r>
        <w:rPr>
          <w:rFonts w:hint="eastAsia" w:ascii="宋体" w:hAnsi="宋体" w:cs="宋体"/>
          <w:b/>
          <w:bCs/>
          <w:sz w:val="24"/>
        </w:rPr>
        <w:t>6、绝缘性能</w:t>
      </w:r>
    </w:p>
    <w:p>
      <w:pPr>
        <w:spacing w:line="360" w:lineRule="auto"/>
        <w:rPr>
          <w:rFonts w:ascii="宋体" w:hAnsi="宋体" w:cs="宋体"/>
          <w:sz w:val="24"/>
        </w:rPr>
      </w:pPr>
      <w:r>
        <w:rPr>
          <w:rFonts w:hint="eastAsia" w:ascii="宋体" w:hAnsi="宋体" w:cs="宋体"/>
          <w:sz w:val="24"/>
        </w:rPr>
        <w:t>6.1绝缘电阻</w:t>
      </w:r>
    </w:p>
    <w:p>
      <w:pPr>
        <w:spacing w:line="360" w:lineRule="auto"/>
        <w:rPr>
          <w:rFonts w:ascii="宋体" w:hAnsi="宋体" w:cs="宋体"/>
          <w:sz w:val="24"/>
        </w:rPr>
      </w:pPr>
      <w:r>
        <w:rPr>
          <w:rFonts w:hint="eastAsia" w:ascii="宋体" w:hAnsi="宋体" w:cs="宋体"/>
          <w:sz w:val="24"/>
        </w:rPr>
        <w:t>用开路电压为规定电压的测试仪器测量，充电机非电气连接的各带电回路之间、各独立带电回路与地（金属外壳）之间绝缘电阻不应小于10MΩ。</w:t>
      </w:r>
    </w:p>
    <w:p>
      <w:pPr>
        <w:spacing w:line="360" w:lineRule="auto"/>
        <w:rPr>
          <w:rFonts w:ascii="宋体" w:hAnsi="宋体" w:cs="宋体"/>
          <w:sz w:val="24"/>
        </w:rPr>
      </w:pPr>
      <w:r>
        <w:rPr>
          <w:rFonts w:hint="eastAsia" w:ascii="宋体" w:hAnsi="宋体" w:cs="宋体"/>
          <w:sz w:val="24"/>
        </w:rPr>
        <w:t>6.2工频耐压</w:t>
      </w:r>
    </w:p>
    <w:p>
      <w:pPr>
        <w:spacing w:line="360" w:lineRule="auto"/>
        <w:rPr>
          <w:rFonts w:ascii="宋体" w:hAnsi="宋体" w:cs="宋体"/>
          <w:sz w:val="24"/>
        </w:rPr>
      </w:pPr>
      <w:r>
        <w:rPr>
          <w:rFonts w:hint="eastAsia" w:ascii="宋体" w:hAnsi="宋体" w:cs="宋体"/>
          <w:sz w:val="24"/>
        </w:rPr>
        <w:t>充电机非电气连接的各带电回路之间、各独立带电回路与地（金属外壳）之间，按其工作电压应能承受所规定历时1 min的工频耐压试验（也可采用直流电压，试验电压为交流电压有效值的1.4倍）。试验过程中应无绝缘击穿和闪络现象。</w:t>
      </w:r>
    </w:p>
    <w:p>
      <w:pPr>
        <w:spacing w:line="360" w:lineRule="auto"/>
        <w:rPr>
          <w:rFonts w:ascii="宋体" w:hAnsi="宋体" w:cs="宋体"/>
          <w:sz w:val="24"/>
        </w:rPr>
      </w:pPr>
      <w:r>
        <w:rPr>
          <w:rFonts w:hint="eastAsia" w:ascii="宋体" w:hAnsi="宋体" w:cs="宋体"/>
          <w:sz w:val="24"/>
        </w:rPr>
        <w:t>6.3冲击电压</w:t>
      </w:r>
    </w:p>
    <w:p>
      <w:pPr>
        <w:spacing w:line="360" w:lineRule="auto"/>
        <w:rPr>
          <w:rFonts w:ascii="宋体" w:hAnsi="宋体" w:cs="宋体"/>
          <w:sz w:val="24"/>
        </w:rPr>
      </w:pPr>
      <w:r>
        <w:rPr>
          <w:rFonts w:hint="eastAsia" w:ascii="宋体" w:hAnsi="宋体" w:cs="宋体"/>
          <w:sz w:val="24"/>
        </w:rPr>
        <w:t>充电机各带电回路、各带电电路对地（金属外壳）之间，按其工作电压应能承受所规定标准雷电波的短时冲击电压试验。试验过程中应无击穿放电。</w:t>
      </w:r>
    </w:p>
    <w:p>
      <w:pPr>
        <w:spacing w:line="360" w:lineRule="auto"/>
        <w:rPr>
          <w:rFonts w:ascii="宋体" w:hAnsi="宋体" w:cs="宋体"/>
          <w:sz w:val="24"/>
        </w:rPr>
      </w:pPr>
      <w:r>
        <w:rPr>
          <w:rFonts w:hint="eastAsia" w:ascii="宋体" w:hAnsi="宋体" w:cs="宋体"/>
          <w:sz w:val="24"/>
        </w:rPr>
        <w:t>表3  绝缘试验的试验等级</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175"/>
        <w:gridCol w:w="2389"/>
        <w:gridCol w:w="201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1293" w:type="pct"/>
            <w:noWrap w:val="0"/>
            <w:vAlign w:val="center"/>
          </w:tcPr>
          <w:p>
            <w:pPr>
              <w:spacing w:line="360" w:lineRule="auto"/>
              <w:jc w:val="center"/>
              <w:rPr>
                <w:rFonts w:ascii="宋体" w:hAnsi="宋体" w:cs="宋体"/>
                <w:sz w:val="24"/>
              </w:rPr>
            </w:pPr>
            <w:r>
              <w:rPr>
                <w:rFonts w:hint="eastAsia" w:ascii="宋体" w:hAnsi="宋体" w:cs="宋体"/>
                <w:sz w:val="24"/>
              </w:rPr>
              <w:t>额定绝缘电压Ui（V）</w:t>
            </w:r>
          </w:p>
        </w:tc>
        <w:tc>
          <w:tcPr>
            <w:tcW w:w="1420" w:type="pct"/>
            <w:noWrap w:val="0"/>
            <w:vAlign w:val="center"/>
          </w:tcPr>
          <w:p>
            <w:pPr>
              <w:spacing w:line="360" w:lineRule="auto"/>
              <w:jc w:val="center"/>
              <w:rPr>
                <w:rFonts w:ascii="宋体" w:hAnsi="宋体" w:cs="宋体"/>
                <w:sz w:val="24"/>
              </w:rPr>
            </w:pPr>
            <w:r>
              <w:rPr>
                <w:rFonts w:hint="eastAsia" w:ascii="宋体" w:hAnsi="宋体" w:cs="宋体"/>
                <w:sz w:val="24"/>
              </w:rPr>
              <w:t>绝缘电阻测试仪器的电压等级（V）</w:t>
            </w:r>
          </w:p>
        </w:tc>
        <w:tc>
          <w:tcPr>
            <w:tcW w:w="1198" w:type="pct"/>
            <w:noWrap w:val="0"/>
            <w:vAlign w:val="center"/>
          </w:tcPr>
          <w:p>
            <w:pPr>
              <w:spacing w:line="360" w:lineRule="auto"/>
              <w:jc w:val="center"/>
              <w:rPr>
                <w:rFonts w:ascii="宋体" w:hAnsi="宋体" w:cs="宋体"/>
                <w:sz w:val="24"/>
              </w:rPr>
            </w:pPr>
            <w:r>
              <w:rPr>
                <w:rFonts w:hint="eastAsia" w:ascii="宋体" w:hAnsi="宋体" w:cs="宋体"/>
                <w:sz w:val="24"/>
              </w:rPr>
              <w:t>工频耐压试验电压（kV）</w:t>
            </w:r>
          </w:p>
        </w:tc>
        <w:tc>
          <w:tcPr>
            <w:tcW w:w="1087" w:type="pct"/>
            <w:noWrap w:val="0"/>
            <w:vAlign w:val="center"/>
          </w:tcPr>
          <w:p>
            <w:pPr>
              <w:spacing w:line="360" w:lineRule="auto"/>
              <w:jc w:val="center"/>
              <w:rPr>
                <w:rFonts w:ascii="宋体" w:hAnsi="宋体" w:cs="宋体"/>
                <w:sz w:val="24"/>
              </w:rPr>
            </w:pPr>
            <w:r>
              <w:rPr>
                <w:rFonts w:hint="eastAsia" w:ascii="宋体" w:hAnsi="宋体" w:cs="宋体"/>
                <w:sz w:val="24"/>
              </w:rPr>
              <w:t>冲击耐压试验电压（kV）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93" w:type="pct"/>
            <w:noWrap w:val="0"/>
            <w:vAlign w:val="center"/>
          </w:tcPr>
          <w:p>
            <w:pPr>
              <w:spacing w:line="360" w:lineRule="auto"/>
              <w:jc w:val="center"/>
              <w:rPr>
                <w:rFonts w:ascii="宋体" w:hAnsi="宋体" w:cs="宋体"/>
                <w:sz w:val="24"/>
              </w:rPr>
            </w:pPr>
            <w:r>
              <w:rPr>
                <w:rFonts w:hint="eastAsia" w:ascii="宋体" w:hAnsi="宋体" w:cs="宋体"/>
                <w:sz w:val="24"/>
              </w:rPr>
              <w:t>≤ 60</w:t>
            </w:r>
          </w:p>
        </w:tc>
        <w:tc>
          <w:tcPr>
            <w:tcW w:w="1420" w:type="pct"/>
            <w:noWrap w:val="0"/>
            <w:vAlign w:val="center"/>
          </w:tcPr>
          <w:p>
            <w:pPr>
              <w:spacing w:line="360" w:lineRule="auto"/>
              <w:jc w:val="center"/>
              <w:rPr>
                <w:rFonts w:ascii="宋体" w:hAnsi="宋体" w:cs="宋体"/>
                <w:sz w:val="24"/>
              </w:rPr>
            </w:pPr>
            <w:r>
              <w:rPr>
                <w:rFonts w:hint="eastAsia" w:ascii="宋体" w:hAnsi="宋体" w:cs="宋体"/>
                <w:sz w:val="24"/>
              </w:rPr>
              <w:t>250</w:t>
            </w:r>
          </w:p>
        </w:tc>
        <w:tc>
          <w:tcPr>
            <w:tcW w:w="1198" w:type="pct"/>
            <w:noWrap w:val="0"/>
            <w:vAlign w:val="center"/>
          </w:tcPr>
          <w:p>
            <w:pPr>
              <w:spacing w:line="360" w:lineRule="auto"/>
              <w:jc w:val="center"/>
              <w:rPr>
                <w:rFonts w:ascii="宋体" w:hAnsi="宋体" w:cs="宋体"/>
                <w:sz w:val="24"/>
              </w:rPr>
            </w:pPr>
            <w:r>
              <w:rPr>
                <w:rFonts w:hint="eastAsia" w:ascii="宋体" w:hAnsi="宋体" w:cs="宋体"/>
                <w:sz w:val="24"/>
              </w:rPr>
              <w:t>1.0(1.4)</w:t>
            </w:r>
          </w:p>
        </w:tc>
        <w:tc>
          <w:tcPr>
            <w:tcW w:w="1087" w:type="pct"/>
            <w:noWrap w:val="0"/>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pct"/>
            <w:noWrap w:val="0"/>
            <w:vAlign w:val="center"/>
          </w:tcPr>
          <w:p>
            <w:pPr>
              <w:spacing w:line="360" w:lineRule="auto"/>
              <w:jc w:val="center"/>
              <w:rPr>
                <w:rFonts w:ascii="宋体" w:hAnsi="宋体" w:cs="宋体"/>
                <w:sz w:val="24"/>
              </w:rPr>
            </w:pPr>
            <w:r>
              <w:rPr>
                <w:rFonts w:hint="eastAsia" w:ascii="宋体" w:hAnsi="宋体" w:cs="宋体"/>
                <w:sz w:val="24"/>
              </w:rPr>
              <w:t>60 ＜ UI ≤ 300</w:t>
            </w:r>
          </w:p>
        </w:tc>
        <w:tc>
          <w:tcPr>
            <w:tcW w:w="1420" w:type="pct"/>
            <w:noWrap w:val="0"/>
            <w:vAlign w:val="center"/>
          </w:tcPr>
          <w:p>
            <w:pPr>
              <w:spacing w:line="360" w:lineRule="auto"/>
              <w:jc w:val="center"/>
              <w:rPr>
                <w:rFonts w:ascii="宋体" w:hAnsi="宋体" w:cs="宋体"/>
                <w:sz w:val="24"/>
              </w:rPr>
            </w:pPr>
            <w:r>
              <w:rPr>
                <w:rFonts w:hint="eastAsia" w:ascii="宋体" w:hAnsi="宋体" w:cs="宋体"/>
                <w:sz w:val="24"/>
              </w:rPr>
              <w:t>500</w:t>
            </w:r>
          </w:p>
        </w:tc>
        <w:tc>
          <w:tcPr>
            <w:tcW w:w="1198" w:type="pct"/>
            <w:noWrap w:val="0"/>
            <w:vAlign w:val="center"/>
          </w:tcPr>
          <w:p>
            <w:pPr>
              <w:spacing w:line="360" w:lineRule="auto"/>
              <w:jc w:val="center"/>
              <w:rPr>
                <w:rFonts w:ascii="宋体" w:hAnsi="宋体" w:cs="宋体"/>
                <w:sz w:val="24"/>
              </w:rPr>
            </w:pPr>
            <w:r>
              <w:rPr>
                <w:rFonts w:hint="eastAsia" w:ascii="宋体" w:hAnsi="宋体" w:cs="宋体"/>
                <w:sz w:val="24"/>
              </w:rPr>
              <w:t>2.0(2.8)</w:t>
            </w:r>
          </w:p>
        </w:tc>
        <w:tc>
          <w:tcPr>
            <w:tcW w:w="1087" w:type="pct"/>
            <w:noWrap w:val="0"/>
            <w:vAlign w:val="center"/>
          </w:tcPr>
          <w:p>
            <w:pPr>
              <w:spacing w:line="360" w:lineRule="auto"/>
              <w:jc w:val="center"/>
              <w:rPr>
                <w:rFonts w:ascii="宋体" w:hAnsi="宋体" w:cs="宋体"/>
                <w:sz w:val="24"/>
              </w:rPr>
            </w:pPr>
            <w:r>
              <w:rPr>
                <w:rFonts w:hint="eastAsia" w:ascii="宋体" w:hAnsi="宋体"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pct"/>
            <w:noWrap w:val="0"/>
            <w:vAlign w:val="center"/>
          </w:tcPr>
          <w:p>
            <w:pPr>
              <w:spacing w:line="360" w:lineRule="auto"/>
              <w:jc w:val="center"/>
              <w:rPr>
                <w:rFonts w:ascii="宋体" w:hAnsi="宋体" w:cs="宋体"/>
                <w:sz w:val="24"/>
              </w:rPr>
            </w:pPr>
            <w:r>
              <w:rPr>
                <w:rFonts w:hint="eastAsia" w:ascii="宋体" w:hAnsi="宋体" w:cs="宋体"/>
                <w:sz w:val="24"/>
              </w:rPr>
              <w:t>300 ＜ UI ≤ 700</w:t>
            </w:r>
          </w:p>
        </w:tc>
        <w:tc>
          <w:tcPr>
            <w:tcW w:w="1420" w:type="pct"/>
            <w:noWrap w:val="0"/>
            <w:vAlign w:val="center"/>
          </w:tcPr>
          <w:p>
            <w:pPr>
              <w:spacing w:line="360" w:lineRule="auto"/>
              <w:jc w:val="center"/>
              <w:rPr>
                <w:rFonts w:ascii="宋体" w:hAnsi="宋体" w:cs="宋体"/>
                <w:sz w:val="24"/>
              </w:rPr>
            </w:pPr>
            <w:r>
              <w:rPr>
                <w:rFonts w:hint="eastAsia" w:ascii="宋体" w:hAnsi="宋体" w:cs="宋体"/>
                <w:sz w:val="24"/>
              </w:rPr>
              <w:t>1000</w:t>
            </w:r>
          </w:p>
        </w:tc>
        <w:tc>
          <w:tcPr>
            <w:tcW w:w="1198" w:type="pct"/>
            <w:noWrap w:val="0"/>
            <w:vAlign w:val="center"/>
          </w:tcPr>
          <w:p>
            <w:pPr>
              <w:spacing w:line="360" w:lineRule="auto"/>
              <w:jc w:val="center"/>
              <w:rPr>
                <w:rFonts w:ascii="宋体" w:hAnsi="宋体" w:cs="宋体"/>
                <w:sz w:val="24"/>
              </w:rPr>
            </w:pPr>
            <w:r>
              <w:rPr>
                <w:rFonts w:hint="eastAsia" w:ascii="宋体" w:hAnsi="宋体" w:cs="宋体"/>
                <w:sz w:val="24"/>
              </w:rPr>
              <w:t>2.4(3.36)</w:t>
            </w:r>
          </w:p>
        </w:tc>
        <w:tc>
          <w:tcPr>
            <w:tcW w:w="1087" w:type="pct"/>
            <w:noWrap w:val="0"/>
            <w:vAlign w:val="center"/>
          </w:tcPr>
          <w:p>
            <w:pPr>
              <w:spacing w:line="360" w:lineRule="auto"/>
              <w:jc w:val="center"/>
              <w:rPr>
                <w:rFonts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93" w:type="pct"/>
            <w:noWrap w:val="0"/>
            <w:vAlign w:val="center"/>
          </w:tcPr>
          <w:p>
            <w:pPr>
              <w:spacing w:line="360" w:lineRule="auto"/>
              <w:jc w:val="center"/>
              <w:rPr>
                <w:rFonts w:ascii="宋体" w:hAnsi="宋体" w:cs="宋体"/>
                <w:sz w:val="24"/>
              </w:rPr>
            </w:pPr>
            <w:r>
              <w:rPr>
                <w:rFonts w:hint="eastAsia" w:ascii="宋体" w:hAnsi="宋体" w:cs="宋体"/>
                <w:sz w:val="24"/>
              </w:rPr>
              <w:t>700 ＜ UI ≤ 950</w:t>
            </w:r>
          </w:p>
        </w:tc>
        <w:tc>
          <w:tcPr>
            <w:tcW w:w="1420" w:type="pct"/>
            <w:noWrap w:val="0"/>
            <w:vAlign w:val="center"/>
          </w:tcPr>
          <w:p>
            <w:pPr>
              <w:spacing w:line="360" w:lineRule="auto"/>
              <w:jc w:val="center"/>
              <w:rPr>
                <w:rFonts w:ascii="宋体" w:hAnsi="宋体" w:cs="宋体"/>
                <w:sz w:val="24"/>
              </w:rPr>
            </w:pPr>
            <w:r>
              <w:rPr>
                <w:rFonts w:hint="eastAsia" w:ascii="宋体" w:hAnsi="宋体" w:cs="宋体"/>
                <w:sz w:val="24"/>
              </w:rPr>
              <w:t>1000</w:t>
            </w:r>
          </w:p>
        </w:tc>
        <w:tc>
          <w:tcPr>
            <w:tcW w:w="1198" w:type="pct"/>
            <w:noWrap w:val="0"/>
            <w:vAlign w:val="center"/>
          </w:tcPr>
          <w:p>
            <w:pPr>
              <w:spacing w:line="360" w:lineRule="auto"/>
              <w:jc w:val="center"/>
              <w:rPr>
                <w:rFonts w:ascii="宋体" w:hAnsi="宋体" w:cs="宋体"/>
                <w:sz w:val="24"/>
              </w:rPr>
            </w:pPr>
            <w:r>
              <w:rPr>
                <w:rFonts w:hint="eastAsia" w:ascii="宋体" w:hAnsi="宋体" w:cs="宋体"/>
                <w:sz w:val="24"/>
              </w:rPr>
              <w:t>2×UI +1.0</w:t>
            </w:r>
          </w:p>
          <w:p>
            <w:pPr>
              <w:spacing w:line="360" w:lineRule="auto"/>
              <w:jc w:val="center"/>
              <w:rPr>
                <w:rFonts w:ascii="宋体" w:hAnsi="宋体" w:cs="宋体"/>
                <w:sz w:val="24"/>
              </w:rPr>
            </w:pPr>
            <w:r>
              <w:rPr>
                <w:rFonts w:hint="eastAsia" w:ascii="宋体" w:hAnsi="宋体" w:cs="宋体"/>
                <w:sz w:val="24"/>
              </w:rPr>
              <w:t>(2.8×UI +1.4)</w:t>
            </w:r>
          </w:p>
        </w:tc>
        <w:tc>
          <w:tcPr>
            <w:tcW w:w="1087" w:type="pct"/>
            <w:noWrap w:val="0"/>
            <w:vAlign w:val="center"/>
          </w:tcPr>
          <w:p>
            <w:pPr>
              <w:spacing w:line="360" w:lineRule="auto"/>
              <w:jc w:val="center"/>
              <w:rPr>
                <w:rFonts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jc w:val="center"/>
        </w:trPr>
        <w:tc>
          <w:tcPr>
            <w:tcW w:w="5000" w:type="pct"/>
            <w:gridSpan w:val="4"/>
            <w:noWrap w:val="0"/>
            <w:vAlign w:val="center"/>
          </w:tcPr>
          <w:p>
            <w:pPr>
              <w:spacing w:line="360" w:lineRule="auto"/>
              <w:rPr>
                <w:rFonts w:ascii="宋体" w:hAnsi="宋体" w:cs="宋体"/>
                <w:sz w:val="24"/>
              </w:rPr>
            </w:pPr>
            <w:r>
              <w:rPr>
                <w:rFonts w:hint="eastAsia" w:ascii="宋体" w:hAnsi="宋体" w:cs="宋体"/>
                <w:sz w:val="24"/>
              </w:rPr>
              <w:t>注：括号内数据为直流介质强度试验值。</w:t>
            </w:r>
          </w:p>
        </w:tc>
      </w:tr>
    </w:tbl>
    <w:p>
      <w:pPr>
        <w:spacing w:line="360" w:lineRule="auto"/>
        <w:rPr>
          <w:rFonts w:ascii="宋体" w:hAnsi="宋体" w:cs="宋体"/>
          <w:b/>
          <w:bCs/>
          <w:sz w:val="24"/>
        </w:rPr>
      </w:pPr>
      <w:r>
        <w:rPr>
          <w:rFonts w:hint="eastAsia" w:ascii="宋体" w:hAnsi="宋体" w:cs="宋体"/>
          <w:b/>
          <w:bCs/>
          <w:sz w:val="24"/>
        </w:rPr>
        <w:t>7、安全要求</w:t>
      </w:r>
    </w:p>
    <w:p>
      <w:pPr>
        <w:spacing w:line="360" w:lineRule="auto"/>
        <w:rPr>
          <w:rFonts w:ascii="宋体" w:hAnsi="宋体" w:cs="宋体"/>
          <w:sz w:val="24"/>
        </w:rPr>
      </w:pPr>
      <w:r>
        <w:rPr>
          <w:rFonts w:hint="eastAsia" w:ascii="宋体" w:hAnsi="宋体" w:cs="宋体"/>
          <w:sz w:val="24"/>
        </w:rPr>
        <w:t>充电机的安全性要求应满足GB/T 18487.1-2015附录B中对应的描述及技术参数要求。</w:t>
      </w:r>
    </w:p>
    <w:p>
      <w:pPr>
        <w:spacing w:line="360" w:lineRule="auto"/>
        <w:rPr>
          <w:rFonts w:ascii="宋体" w:hAnsi="宋体" w:cs="宋体"/>
          <w:sz w:val="24"/>
        </w:rPr>
      </w:pPr>
      <w:r>
        <w:rPr>
          <w:rFonts w:hint="eastAsia" w:ascii="宋体" w:hAnsi="宋体" w:cs="宋体"/>
          <w:sz w:val="24"/>
        </w:rPr>
        <w:t>充电机应具备电源输入侧的过压保护和欠压保护。</w:t>
      </w:r>
    </w:p>
    <w:p>
      <w:pPr>
        <w:spacing w:line="360" w:lineRule="auto"/>
        <w:rPr>
          <w:rFonts w:ascii="宋体" w:hAnsi="宋体" w:cs="宋体"/>
          <w:sz w:val="24"/>
        </w:rPr>
      </w:pPr>
      <w:r>
        <w:rPr>
          <w:rFonts w:hint="eastAsia" w:ascii="宋体" w:hAnsi="宋体" w:cs="宋体"/>
          <w:sz w:val="24"/>
        </w:rPr>
        <w:t>充电机应具备输出过压保护。</w:t>
      </w:r>
    </w:p>
    <w:p>
      <w:pPr>
        <w:spacing w:line="360" w:lineRule="auto"/>
        <w:rPr>
          <w:rFonts w:ascii="宋体" w:hAnsi="宋体" w:cs="宋体"/>
          <w:sz w:val="24"/>
        </w:rPr>
      </w:pPr>
      <w:r>
        <w:rPr>
          <w:rFonts w:hint="eastAsia" w:ascii="宋体" w:hAnsi="宋体" w:cs="宋体"/>
          <w:sz w:val="24"/>
        </w:rPr>
        <w:t>充电机应具备输出过电流和短路保护。</w:t>
      </w:r>
    </w:p>
    <w:p>
      <w:pPr>
        <w:spacing w:line="360" w:lineRule="auto"/>
        <w:rPr>
          <w:rFonts w:ascii="宋体" w:hAnsi="宋体" w:cs="宋体"/>
          <w:sz w:val="24"/>
        </w:rPr>
      </w:pPr>
      <w:r>
        <w:rPr>
          <w:rFonts w:hint="eastAsia" w:ascii="宋体" w:hAnsi="宋体" w:cs="宋体"/>
          <w:sz w:val="24"/>
        </w:rPr>
        <w:t>充电机应具备内部过温保护，当内部温度达到保护值时，采取降功率或停止输出。需具备超温断电功能，当温度过高时，可自动切断充电，防止发生高温自燃等意外，保护充电设备及新能源汽车安全。</w:t>
      </w:r>
    </w:p>
    <w:p>
      <w:pPr>
        <w:spacing w:line="360" w:lineRule="auto"/>
        <w:rPr>
          <w:rFonts w:ascii="宋体" w:hAnsi="宋体" w:cs="宋体"/>
          <w:sz w:val="24"/>
        </w:rPr>
      </w:pPr>
      <w:r>
        <w:rPr>
          <w:rFonts w:hint="eastAsia" w:ascii="宋体" w:hAnsi="宋体" w:cs="宋体"/>
          <w:sz w:val="24"/>
        </w:rPr>
        <w:t>充电过程中20分钟内温度升高超过15度保护。</w:t>
      </w:r>
    </w:p>
    <w:p>
      <w:pPr>
        <w:spacing w:line="360" w:lineRule="auto"/>
        <w:rPr>
          <w:rFonts w:ascii="宋体" w:hAnsi="宋体" w:cs="宋体"/>
          <w:sz w:val="24"/>
        </w:rPr>
      </w:pPr>
      <w:r>
        <w:rPr>
          <w:rFonts w:hint="eastAsia" w:ascii="宋体" w:hAnsi="宋体" w:cs="宋体"/>
          <w:sz w:val="24"/>
        </w:rPr>
        <w:t>充电机的绝缘检测功能应与车辆绝缘检测功能相配合。</w:t>
      </w:r>
    </w:p>
    <w:p>
      <w:pPr>
        <w:spacing w:line="360" w:lineRule="auto"/>
        <w:rPr>
          <w:rFonts w:ascii="宋体" w:hAnsi="宋体" w:cs="宋体"/>
          <w:sz w:val="24"/>
        </w:rPr>
      </w:pPr>
      <w:r>
        <w:rPr>
          <w:rFonts w:hint="eastAsia" w:ascii="宋体" w:hAnsi="宋体" w:cs="宋体"/>
          <w:sz w:val="24"/>
        </w:rPr>
        <w:t>充电过程中当发生下列情况时，充电机应能在100ms内断开直流输出接触器，且直流输出电压应在1s内下降至60V以下。</w:t>
      </w:r>
    </w:p>
    <w:p>
      <w:pPr>
        <w:spacing w:line="360" w:lineRule="auto"/>
        <w:rPr>
          <w:rFonts w:ascii="宋体" w:hAnsi="宋体" w:cs="宋体"/>
          <w:sz w:val="24"/>
        </w:rPr>
      </w:pPr>
      <w:r>
        <w:rPr>
          <w:rFonts w:hint="eastAsia" w:ascii="宋体" w:hAnsi="宋体" w:cs="宋体"/>
          <w:sz w:val="24"/>
        </w:rPr>
        <w:t>启动急停开关；</w:t>
      </w:r>
    </w:p>
    <w:p>
      <w:pPr>
        <w:spacing w:line="360" w:lineRule="auto"/>
        <w:rPr>
          <w:rFonts w:ascii="宋体" w:hAnsi="宋体" w:cs="宋体"/>
          <w:sz w:val="24"/>
        </w:rPr>
      </w:pPr>
      <w:r>
        <w:rPr>
          <w:rFonts w:hint="eastAsia" w:ascii="宋体" w:hAnsi="宋体" w:cs="宋体"/>
          <w:sz w:val="24"/>
        </w:rPr>
        <w:t>控制导引故障。</w:t>
      </w:r>
    </w:p>
    <w:p>
      <w:pPr>
        <w:spacing w:line="360" w:lineRule="auto"/>
        <w:rPr>
          <w:rFonts w:ascii="宋体" w:hAnsi="宋体" w:cs="宋体"/>
          <w:sz w:val="24"/>
        </w:rPr>
      </w:pPr>
      <w:r>
        <w:rPr>
          <w:rFonts w:hint="eastAsia" w:ascii="宋体" w:hAnsi="宋体" w:cs="宋体"/>
          <w:sz w:val="24"/>
        </w:rPr>
        <w:t>充电机在启动充电时应人工确认启动。</w:t>
      </w:r>
    </w:p>
    <w:p>
      <w:pPr>
        <w:spacing w:line="360" w:lineRule="auto"/>
        <w:rPr>
          <w:rFonts w:ascii="宋体" w:hAnsi="宋体" w:cs="宋体"/>
          <w:sz w:val="24"/>
        </w:rPr>
      </w:pPr>
      <w:r>
        <w:rPr>
          <w:rFonts w:hint="eastAsia" w:ascii="宋体" w:hAnsi="宋体" w:cs="宋体"/>
          <w:sz w:val="24"/>
        </w:rPr>
        <w:t>充电机应具备软启动功能，软启动时间为3s～8s。</w:t>
      </w:r>
    </w:p>
    <w:p>
      <w:pPr>
        <w:spacing w:line="360" w:lineRule="auto"/>
        <w:rPr>
          <w:rFonts w:ascii="宋体" w:hAnsi="宋体" w:cs="宋体"/>
          <w:sz w:val="24"/>
        </w:rPr>
      </w:pPr>
      <w:r>
        <w:rPr>
          <w:rFonts w:hint="eastAsia" w:ascii="宋体" w:hAnsi="宋体" w:cs="宋体"/>
          <w:sz w:val="24"/>
        </w:rPr>
        <w:t>充电机应具备限制冲击电流功能，冲击电流不应超过额定输入电流的110%。</w:t>
      </w:r>
    </w:p>
    <w:p>
      <w:pPr>
        <w:spacing w:line="360" w:lineRule="auto"/>
        <w:rPr>
          <w:rFonts w:ascii="宋体" w:hAnsi="宋体" w:cs="宋体"/>
          <w:sz w:val="24"/>
        </w:rPr>
      </w:pPr>
      <w:r>
        <w:rPr>
          <w:rFonts w:hint="eastAsia" w:ascii="宋体" w:hAnsi="宋体" w:cs="宋体"/>
          <w:sz w:val="24"/>
        </w:rPr>
        <w:t>充电机应具备电池反接保护功能。</w:t>
      </w:r>
    </w:p>
    <w:p>
      <w:pPr>
        <w:spacing w:line="360" w:lineRule="auto"/>
        <w:rPr>
          <w:rFonts w:ascii="宋体" w:hAnsi="宋体" w:cs="宋体"/>
          <w:sz w:val="24"/>
        </w:rPr>
      </w:pPr>
      <w:r>
        <w:rPr>
          <w:rFonts w:hint="eastAsia" w:ascii="宋体" w:hAnsi="宋体" w:cs="宋体"/>
          <w:sz w:val="24"/>
        </w:rPr>
        <w:t>充电机在自动充电前，应具有电池电压检测功能。</w:t>
      </w:r>
    </w:p>
    <w:p>
      <w:pPr>
        <w:spacing w:line="360" w:lineRule="auto"/>
        <w:rPr>
          <w:rFonts w:ascii="宋体" w:hAnsi="宋体" w:cs="宋体"/>
          <w:sz w:val="24"/>
        </w:rPr>
      </w:pPr>
      <w:r>
        <w:rPr>
          <w:rFonts w:hint="eastAsia" w:ascii="宋体" w:hAnsi="宋体" w:cs="宋体"/>
          <w:sz w:val="24"/>
        </w:rPr>
        <w:t>充电机在充电过程中应具有防止充电连接器意外脱落的锁止装置，直流充电时，车辆接口应具有锁止功能，该锁止功能应符合GB/T20234.1的相关要求。车辆插头端应安装机械锁止装置，供电设备应能判断机械锁是否可靠锁止。车辆插头应安装电子锁止装置，电子锁处于锁止位置时，机械锁应无法操作，供电设备应能判断电子锁是否可靠锁止。当机械锁或电子锁未可靠锁止时，供电设备应停止充电或不启动充电。直流充电车辆接口锁止装置工作示例参见GB/T18487.1-2015附录C。</w:t>
      </w:r>
    </w:p>
    <w:p>
      <w:pPr>
        <w:spacing w:line="360" w:lineRule="auto"/>
        <w:rPr>
          <w:rFonts w:ascii="宋体" w:hAnsi="宋体" w:cs="宋体"/>
          <w:sz w:val="24"/>
        </w:rPr>
      </w:pPr>
      <w:r>
        <w:rPr>
          <w:rFonts w:hint="eastAsia" w:ascii="宋体" w:hAnsi="宋体" w:cs="宋体"/>
          <w:sz w:val="24"/>
        </w:rPr>
        <w:t>充电过程中BMS传递的SOC/V/I/Vcell Max/Tempture这些信息维持不变超过3分钟保护。</w:t>
      </w:r>
    </w:p>
    <w:p>
      <w:pPr>
        <w:spacing w:line="360" w:lineRule="auto"/>
        <w:rPr>
          <w:rFonts w:ascii="宋体" w:hAnsi="宋体" w:cs="宋体"/>
          <w:sz w:val="24"/>
        </w:rPr>
      </w:pPr>
      <w:r>
        <w:rPr>
          <w:rFonts w:hint="eastAsia" w:ascii="宋体" w:hAnsi="宋体" w:cs="宋体"/>
          <w:sz w:val="24"/>
        </w:rPr>
        <w:t>充电机应具备防止电池电流倒灌功能。</w:t>
      </w:r>
    </w:p>
    <w:p>
      <w:pPr>
        <w:spacing w:line="360" w:lineRule="auto"/>
        <w:rPr>
          <w:rFonts w:ascii="宋体" w:hAnsi="宋体" w:cs="宋体"/>
          <w:sz w:val="24"/>
        </w:rPr>
      </w:pPr>
      <w:r>
        <w:rPr>
          <w:rFonts w:hint="eastAsia" w:ascii="宋体" w:hAnsi="宋体" w:cs="宋体"/>
          <w:sz w:val="24"/>
        </w:rPr>
        <w:t>充电机应具备预充电功能。当充电机检测到电动汽车直流接触器闭合后，充电机应检测电池端电压；充电机检测到电池端电压后需进行预充，将功率模块输出电压升到与电池端电压测量值之差小于10V后，方可闭合充电机输出接触器。</w:t>
      </w:r>
    </w:p>
    <w:p>
      <w:pPr>
        <w:spacing w:line="360" w:lineRule="auto"/>
        <w:rPr>
          <w:rFonts w:ascii="宋体" w:hAnsi="宋体" w:cs="宋体"/>
          <w:sz w:val="24"/>
        </w:rPr>
      </w:pPr>
      <w:r>
        <w:rPr>
          <w:rFonts w:hint="eastAsia" w:ascii="宋体" w:hAnsi="宋体" w:cs="宋体"/>
          <w:sz w:val="24"/>
        </w:rPr>
        <w:t>充电机在每个充电周期内进行接触器触点烧结检测。当检测到接触器触点出现粘连的情况后，充电机不得继续工作。</w:t>
      </w:r>
    </w:p>
    <w:p>
      <w:pPr>
        <w:spacing w:line="360" w:lineRule="auto"/>
        <w:rPr>
          <w:rFonts w:ascii="宋体" w:hAnsi="宋体" w:cs="宋体"/>
          <w:sz w:val="24"/>
        </w:rPr>
      </w:pPr>
      <w:r>
        <w:rPr>
          <w:rFonts w:hint="eastAsia" w:ascii="宋体" w:hAnsi="宋体" w:cs="宋体"/>
          <w:sz w:val="24"/>
        </w:rPr>
        <w:t>充电机必须保证充电机输出接触器闭合发生在车辆直流充电接触器闭合之后，其时间间隔不得低于500ms。</w:t>
      </w:r>
    </w:p>
    <w:p>
      <w:pPr>
        <w:spacing w:line="360" w:lineRule="auto"/>
        <w:rPr>
          <w:rFonts w:ascii="宋体" w:hAnsi="宋体" w:cs="宋体"/>
          <w:sz w:val="24"/>
        </w:rPr>
      </w:pPr>
      <w:r>
        <w:rPr>
          <w:rFonts w:hint="eastAsia" w:ascii="宋体" w:hAnsi="宋体" w:cs="宋体"/>
          <w:sz w:val="24"/>
        </w:rPr>
        <w:t>充电机在充电停止状态下，应保证直流输出回路处于断开状态。</w:t>
      </w:r>
    </w:p>
    <w:p>
      <w:pPr>
        <w:spacing w:line="360" w:lineRule="auto"/>
        <w:rPr>
          <w:rFonts w:ascii="宋体" w:hAnsi="宋体" w:cs="宋体"/>
          <w:b/>
          <w:bCs/>
          <w:sz w:val="24"/>
        </w:rPr>
      </w:pPr>
      <w:r>
        <w:rPr>
          <w:rFonts w:hint="eastAsia" w:ascii="宋体" w:hAnsi="宋体" w:cs="宋体"/>
          <w:b/>
          <w:bCs/>
          <w:sz w:val="24"/>
        </w:rPr>
        <w:t>8、温升</w:t>
      </w:r>
    </w:p>
    <w:p>
      <w:pPr>
        <w:spacing w:line="360" w:lineRule="auto"/>
        <w:rPr>
          <w:rFonts w:ascii="宋体" w:hAnsi="宋体" w:cs="宋体"/>
          <w:sz w:val="24"/>
        </w:rPr>
      </w:pPr>
      <w:r>
        <w:rPr>
          <w:rFonts w:hint="eastAsia" w:ascii="宋体" w:hAnsi="宋体" w:cs="宋体"/>
          <w:sz w:val="24"/>
        </w:rPr>
        <w:t>正常试验条件下，交流输入为额定值，在额定负载下长期连续运行，充电机内部各发热元器件及各部位的温升不应超过中的规定。</w:t>
      </w:r>
    </w:p>
    <w:p>
      <w:pPr>
        <w:spacing w:line="360" w:lineRule="auto"/>
        <w:rPr>
          <w:rFonts w:ascii="宋体" w:hAnsi="宋体" w:cs="宋体"/>
          <w:sz w:val="24"/>
        </w:rPr>
      </w:pPr>
      <w:r>
        <w:rPr>
          <w:rFonts w:hint="eastAsia" w:ascii="宋体" w:hAnsi="宋体" w:cs="宋体"/>
          <w:sz w:val="24"/>
        </w:rPr>
        <w:t>表4  充电机各部件极限温升</w:t>
      </w:r>
    </w:p>
    <w:tbl>
      <w:tblPr>
        <w:tblStyle w:val="25"/>
        <w:tblW w:w="5063" w:type="pct"/>
        <w:jc w:val="center"/>
        <w:tblLayout w:type="autofit"/>
        <w:tblCellMar>
          <w:top w:w="0" w:type="dxa"/>
          <w:left w:w="108" w:type="dxa"/>
          <w:bottom w:w="0" w:type="dxa"/>
          <w:right w:w="108" w:type="dxa"/>
        </w:tblCellMar>
      </w:tblPr>
      <w:tblGrid>
        <w:gridCol w:w="4997"/>
        <w:gridCol w:w="3626"/>
      </w:tblGrid>
      <w:tr>
        <w:tblPrEx>
          <w:tblCellMar>
            <w:top w:w="0" w:type="dxa"/>
            <w:left w:w="108" w:type="dxa"/>
            <w:bottom w:w="0" w:type="dxa"/>
            <w:right w:w="108" w:type="dxa"/>
          </w:tblCellMar>
        </w:tblPrEx>
        <w:trPr>
          <w:trHeight w:val="426" w:hRule="atLeast"/>
          <w:jc w:val="center"/>
        </w:trPr>
        <w:tc>
          <w:tcPr>
            <w:tcW w:w="2897" w:type="pct"/>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sz w:val="24"/>
              </w:rPr>
            </w:pPr>
            <w:r>
              <w:rPr>
                <w:rFonts w:hint="eastAsia" w:ascii="宋体" w:hAnsi="宋体" w:cs="宋体"/>
                <w:sz w:val="24"/>
              </w:rPr>
              <w:t>部 件 或 器 件</w:t>
            </w:r>
          </w:p>
        </w:tc>
        <w:tc>
          <w:tcPr>
            <w:tcW w:w="2102" w:type="pct"/>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sz w:val="24"/>
              </w:rPr>
            </w:pPr>
            <w:r>
              <w:rPr>
                <w:rFonts w:hint="eastAsia" w:ascii="宋体" w:hAnsi="宋体" w:cs="宋体"/>
                <w:sz w:val="24"/>
              </w:rPr>
              <w:t>极 限 温 升（K）</w:t>
            </w:r>
          </w:p>
        </w:tc>
      </w:tr>
      <w:tr>
        <w:tblPrEx>
          <w:tblCellMar>
            <w:top w:w="0" w:type="dxa"/>
            <w:left w:w="108" w:type="dxa"/>
            <w:bottom w:w="0" w:type="dxa"/>
            <w:right w:w="108" w:type="dxa"/>
          </w:tblCellMar>
        </w:tblPrEx>
        <w:trPr>
          <w:trHeight w:val="426" w:hRule="atLeast"/>
          <w:jc w:val="center"/>
        </w:trPr>
        <w:tc>
          <w:tcPr>
            <w:tcW w:w="2897" w:type="pct"/>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sz w:val="24"/>
              </w:rPr>
            </w:pPr>
            <w:r>
              <w:rPr>
                <w:rFonts w:hint="eastAsia" w:ascii="宋体" w:hAnsi="宋体" w:cs="宋体"/>
                <w:sz w:val="24"/>
              </w:rPr>
              <w:t>功率开关器件</w:t>
            </w:r>
          </w:p>
        </w:tc>
        <w:tc>
          <w:tcPr>
            <w:tcW w:w="2102" w:type="pct"/>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sz w:val="24"/>
              </w:rPr>
            </w:pPr>
            <w:r>
              <w:rPr>
                <w:rFonts w:hint="eastAsia" w:ascii="宋体" w:hAnsi="宋体" w:cs="宋体"/>
                <w:sz w:val="24"/>
              </w:rPr>
              <w:t>70</w:t>
            </w:r>
          </w:p>
        </w:tc>
      </w:tr>
      <w:tr>
        <w:tblPrEx>
          <w:tblCellMar>
            <w:top w:w="0" w:type="dxa"/>
            <w:left w:w="108" w:type="dxa"/>
            <w:bottom w:w="0" w:type="dxa"/>
            <w:right w:w="108" w:type="dxa"/>
          </w:tblCellMar>
        </w:tblPrEx>
        <w:trPr>
          <w:trHeight w:val="426" w:hRule="atLeast"/>
          <w:jc w:val="center"/>
        </w:trPr>
        <w:tc>
          <w:tcPr>
            <w:tcW w:w="2897" w:type="pct"/>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sz w:val="24"/>
              </w:rPr>
            </w:pPr>
            <w:r>
              <w:rPr>
                <w:rFonts w:hint="eastAsia" w:ascii="宋体" w:hAnsi="宋体" w:cs="宋体"/>
                <w:sz w:val="24"/>
              </w:rPr>
              <w:t>整流变压器、电抗器（B级绝缘绕组）</w:t>
            </w:r>
          </w:p>
        </w:tc>
        <w:tc>
          <w:tcPr>
            <w:tcW w:w="2102" w:type="pct"/>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sz w:val="24"/>
              </w:rPr>
            </w:pPr>
            <w:r>
              <w:rPr>
                <w:rFonts w:hint="eastAsia" w:ascii="宋体" w:hAnsi="宋体" w:cs="宋体"/>
                <w:sz w:val="24"/>
              </w:rPr>
              <w:t>80</w:t>
            </w:r>
          </w:p>
        </w:tc>
      </w:tr>
      <w:tr>
        <w:tblPrEx>
          <w:tblCellMar>
            <w:top w:w="0" w:type="dxa"/>
            <w:left w:w="108" w:type="dxa"/>
            <w:bottom w:w="0" w:type="dxa"/>
            <w:right w:w="108" w:type="dxa"/>
          </w:tblCellMar>
        </w:tblPrEx>
        <w:trPr>
          <w:trHeight w:val="426" w:hRule="atLeast"/>
          <w:jc w:val="center"/>
        </w:trPr>
        <w:tc>
          <w:tcPr>
            <w:tcW w:w="2897" w:type="pct"/>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sz w:val="24"/>
              </w:rPr>
            </w:pPr>
            <w:r>
              <w:rPr>
                <w:rFonts w:hint="eastAsia" w:ascii="宋体" w:hAnsi="宋体" w:cs="宋体"/>
                <w:sz w:val="24"/>
              </w:rPr>
              <w:t>与半导体器件的连接处</w:t>
            </w:r>
          </w:p>
        </w:tc>
        <w:tc>
          <w:tcPr>
            <w:tcW w:w="2102" w:type="pct"/>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sz w:val="24"/>
              </w:rPr>
            </w:pPr>
            <w:r>
              <w:rPr>
                <w:rFonts w:hint="eastAsia" w:ascii="宋体" w:hAnsi="宋体" w:cs="宋体"/>
                <w:sz w:val="24"/>
              </w:rPr>
              <w:t>55</w:t>
            </w:r>
          </w:p>
        </w:tc>
      </w:tr>
      <w:tr>
        <w:tblPrEx>
          <w:tblCellMar>
            <w:top w:w="0" w:type="dxa"/>
            <w:left w:w="108" w:type="dxa"/>
            <w:bottom w:w="0" w:type="dxa"/>
            <w:right w:w="108" w:type="dxa"/>
          </w:tblCellMar>
        </w:tblPrEx>
        <w:trPr>
          <w:trHeight w:val="426" w:hRule="atLeast"/>
          <w:jc w:val="center"/>
        </w:trPr>
        <w:tc>
          <w:tcPr>
            <w:tcW w:w="2897" w:type="pct"/>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sz w:val="24"/>
              </w:rPr>
            </w:pPr>
            <w:r>
              <w:rPr>
                <w:rFonts w:hint="eastAsia" w:ascii="宋体" w:hAnsi="宋体" w:cs="宋体"/>
                <w:sz w:val="24"/>
              </w:rPr>
              <w:t>与半导体器件的连接处的塑料绝缘线</w:t>
            </w:r>
          </w:p>
        </w:tc>
        <w:tc>
          <w:tcPr>
            <w:tcW w:w="2102" w:type="pct"/>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sz w:val="24"/>
              </w:rPr>
            </w:pPr>
            <w:r>
              <w:rPr>
                <w:rFonts w:hint="eastAsia" w:ascii="宋体" w:hAnsi="宋体" w:cs="宋体"/>
                <w:sz w:val="24"/>
              </w:rPr>
              <w:t>25</w:t>
            </w:r>
          </w:p>
        </w:tc>
      </w:tr>
      <w:tr>
        <w:tblPrEx>
          <w:tblCellMar>
            <w:top w:w="0" w:type="dxa"/>
            <w:left w:w="108" w:type="dxa"/>
            <w:bottom w:w="0" w:type="dxa"/>
            <w:right w:w="108" w:type="dxa"/>
          </w:tblCellMar>
        </w:tblPrEx>
        <w:trPr>
          <w:trHeight w:val="1262" w:hRule="atLeast"/>
          <w:jc w:val="center"/>
        </w:trPr>
        <w:tc>
          <w:tcPr>
            <w:tcW w:w="2897" w:type="pct"/>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sz w:val="24"/>
              </w:rPr>
            </w:pPr>
            <w:r>
              <w:rPr>
                <w:rFonts w:hint="eastAsia" w:ascii="宋体" w:hAnsi="宋体" w:cs="宋体"/>
                <w:sz w:val="24"/>
              </w:rPr>
              <w:t>母线连接处</w:t>
            </w:r>
          </w:p>
          <w:p>
            <w:pPr>
              <w:spacing w:line="360" w:lineRule="auto"/>
              <w:jc w:val="center"/>
              <w:rPr>
                <w:rFonts w:ascii="宋体" w:hAnsi="宋体" w:cs="宋体"/>
                <w:sz w:val="24"/>
              </w:rPr>
            </w:pPr>
            <w:r>
              <w:rPr>
                <w:rFonts w:hint="eastAsia" w:ascii="宋体" w:hAnsi="宋体" w:cs="宋体"/>
                <w:sz w:val="24"/>
              </w:rPr>
              <w:t>铜与铜</w:t>
            </w:r>
          </w:p>
          <w:p>
            <w:pPr>
              <w:spacing w:line="360" w:lineRule="auto"/>
              <w:jc w:val="center"/>
              <w:rPr>
                <w:rFonts w:ascii="宋体" w:hAnsi="宋体" w:cs="宋体"/>
                <w:sz w:val="24"/>
              </w:rPr>
            </w:pPr>
            <w:r>
              <w:rPr>
                <w:rFonts w:hint="eastAsia" w:ascii="宋体" w:hAnsi="宋体" w:cs="宋体"/>
                <w:sz w:val="24"/>
              </w:rPr>
              <w:t>铜搪锡——铜搪锡</w:t>
            </w:r>
          </w:p>
        </w:tc>
        <w:tc>
          <w:tcPr>
            <w:tcW w:w="2102" w:type="pct"/>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50</w:t>
            </w:r>
          </w:p>
          <w:p>
            <w:pPr>
              <w:spacing w:line="360" w:lineRule="auto"/>
              <w:jc w:val="center"/>
              <w:rPr>
                <w:rFonts w:ascii="宋体" w:hAnsi="宋体" w:cs="宋体"/>
                <w:sz w:val="24"/>
              </w:rPr>
            </w:pPr>
            <w:r>
              <w:rPr>
                <w:rFonts w:hint="eastAsia" w:ascii="宋体" w:hAnsi="宋体" w:cs="宋体"/>
                <w:sz w:val="24"/>
              </w:rPr>
              <w:t>60</w:t>
            </w:r>
          </w:p>
        </w:tc>
      </w:tr>
    </w:tbl>
    <w:p>
      <w:pPr>
        <w:spacing w:line="360" w:lineRule="auto"/>
        <w:rPr>
          <w:rFonts w:ascii="宋体" w:hAnsi="宋体" w:cs="宋体"/>
          <w:b/>
          <w:bCs/>
          <w:sz w:val="24"/>
        </w:rPr>
      </w:pPr>
      <w:r>
        <w:rPr>
          <w:rFonts w:hint="eastAsia" w:ascii="宋体" w:hAnsi="宋体" w:cs="宋体"/>
          <w:b/>
          <w:bCs/>
          <w:sz w:val="24"/>
        </w:rPr>
        <w:t>9、高低温和湿热性能</w:t>
      </w:r>
    </w:p>
    <w:p>
      <w:pPr>
        <w:spacing w:line="360" w:lineRule="auto"/>
        <w:rPr>
          <w:rFonts w:ascii="宋体" w:hAnsi="宋体" w:cs="宋体"/>
          <w:sz w:val="24"/>
        </w:rPr>
      </w:pPr>
      <w:r>
        <w:rPr>
          <w:rFonts w:hint="eastAsia" w:ascii="宋体" w:hAnsi="宋体" w:cs="宋体"/>
          <w:sz w:val="24"/>
        </w:rPr>
        <w:t>9.1低温性能</w:t>
      </w:r>
    </w:p>
    <w:p>
      <w:pPr>
        <w:spacing w:line="360" w:lineRule="auto"/>
        <w:rPr>
          <w:rFonts w:ascii="宋体" w:hAnsi="宋体" w:cs="宋体"/>
          <w:sz w:val="24"/>
        </w:rPr>
      </w:pPr>
      <w:r>
        <w:rPr>
          <w:rFonts w:hint="eastAsia" w:ascii="宋体" w:hAnsi="宋体" w:cs="宋体"/>
          <w:sz w:val="24"/>
        </w:rPr>
        <w:t>试验温度为规定的下限值，待达到试验温度后启动充电机，充电机应能正常工作。测试充电机的稳压精度应不超过±0.5%。</w:t>
      </w:r>
    </w:p>
    <w:p>
      <w:pPr>
        <w:spacing w:line="360" w:lineRule="auto"/>
        <w:rPr>
          <w:rFonts w:ascii="宋体" w:hAnsi="宋体" w:cs="宋体"/>
          <w:sz w:val="24"/>
        </w:rPr>
      </w:pPr>
      <w:r>
        <w:rPr>
          <w:rFonts w:hint="eastAsia" w:ascii="宋体" w:hAnsi="宋体" w:cs="宋体"/>
          <w:sz w:val="24"/>
        </w:rPr>
        <w:t>9.2高温性能</w:t>
      </w:r>
    </w:p>
    <w:p>
      <w:pPr>
        <w:spacing w:line="360" w:lineRule="auto"/>
        <w:rPr>
          <w:rFonts w:ascii="宋体" w:hAnsi="宋体" w:cs="宋体"/>
          <w:sz w:val="24"/>
        </w:rPr>
      </w:pPr>
      <w:r>
        <w:rPr>
          <w:rFonts w:hint="eastAsia" w:ascii="宋体" w:hAnsi="宋体" w:cs="宋体"/>
          <w:sz w:val="24"/>
        </w:rPr>
        <w:t>试验温度为规定的上限值，待达到试验温度后启动充电机，充电机应能正常工作。测试充电机的稳压精度应不超过±0.5%。</w:t>
      </w:r>
    </w:p>
    <w:p>
      <w:pPr>
        <w:spacing w:line="360" w:lineRule="auto"/>
        <w:rPr>
          <w:rFonts w:ascii="宋体" w:hAnsi="宋体" w:cs="宋体"/>
          <w:sz w:val="24"/>
        </w:rPr>
      </w:pPr>
      <w:r>
        <w:rPr>
          <w:rFonts w:hint="eastAsia" w:ascii="宋体" w:hAnsi="宋体" w:cs="宋体"/>
          <w:sz w:val="24"/>
        </w:rPr>
        <w:t>9.3湿热性能</w:t>
      </w:r>
    </w:p>
    <w:p>
      <w:pPr>
        <w:spacing w:line="360" w:lineRule="auto"/>
        <w:rPr>
          <w:rFonts w:ascii="宋体" w:hAnsi="宋体" w:cs="宋体"/>
          <w:sz w:val="24"/>
        </w:rPr>
      </w:pPr>
      <w:r>
        <w:rPr>
          <w:rFonts w:hint="eastAsia" w:ascii="宋体" w:hAnsi="宋体" w:cs="宋体"/>
          <w:sz w:val="24"/>
        </w:rPr>
        <w:t>按GB/T 2423.4-2008中试验Db规定的方法进行试验，试验温度为（40±2）℃，循环次数为2次，在试验结束前2h进行绝缘电阻和介电强度检测，其中绝缘电阻不应小于1MΩ，介电强度按规定值的75％施加测量电压。试验结束后，恢复至正常大气条件，通电后检查充电机各项功能应正常。</w:t>
      </w:r>
    </w:p>
    <w:p>
      <w:pPr>
        <w:spacing w:line="360" w:lineRule="auto"/>
        <w:rPr>
          <w:rFonts w:ascii="宋体" w:hAnsi="宋体" w:cs="宋体"/>
          <w:b/>
          <w:bCs/>
          <w:sz w:val="24"/>
        </w:rPr>
      </w:pPr>
      <w:r>
        <w:rPr>
          <w:rFonts w:hint="eastAsia" w:ascii="宋体" w:hAnsi="宋体" w:cs="宋体"/>
          <w:b/>
          <w:bCs/>
          <w:sz w:val="24"/>
        </w:rPr>
        <w:t>10、机械强度</w:t>
      </w:r>
    </w:p>
    <w:p>
      <w:pPr>
        <w:spacing w:line="360" w:lineRule="auto"/>
        <w:rPr>
          <w:rFonts w:ascii="宋体" w:hAnsi="宋体" w:cs="宋体"/>
          <w:sz w:val="24"/>
        </w:rPr>
      </w:pPr>
      <w:r>
        <w:rPr>
          <w:rFonts w:hint="eastAsia" w:ascii="宋体" w:hAnsi="宋体" w:cs="宋体"/>
          <w:sz w:val="24"/>
        </w:rPr>
        <w:t>按GB/T 2423.55-2006规定的方法进行试验，剧烈冲击能量为20J（5kg，在0.4m）。试验结束后，充电机的IP等级不受影响，绝缘性能不应降低，门的操作和锁止点不应损坏。</w:t>
      </w:r>
    </w:p>
    <w:p>
      <w:pPr>
        <w:spacing w:line="360" w:lineRule="auto"/>
        <w:rPr>
          <w:rFonts w:ascii="宋体" w:hAnsi="宋体" w:cs="宋体"/>
          <w:b/>
          <w:bCs/>
          <w:sz w:val="24"/>
        </w:rPr>
      </w:pPr>
      <w:r>
        <w:rPr>
          <w:rFonts w:hint="eastAsia" w:ascii="宋体" w:hAnsi="宋体" w:cs="宋体"/>
          <w:b/>
          <w:bCs/>
          <w:sz w:val="24"/>
        </w:rPr>
        <w:t>11、充电输出参数、电磁兼容、可靠性要求</w:t>
      </w:r>
    </w:p>
    <w:tbl>
      <w:tblPr>
        <w:tblStyle w:val="25"/>
        <w:tblW w:w="4997" w:type="pct"/>
        <w:jc w:val="center"/>
        <w:tblLayout w:type="autofit"/>
        <w:tblCellMar>
          <w:top w:w="0" w:type="dxa"/>
          <w:left w:w="108" w:type="dxa"/>
          <w:bottom w:w="0" w:type="dxa"/>
          <w:right w:w="108" w:type="dxa"/>
        </w:tblCellMar>
      </w:tblPr>
      <w:tblGrid>
        <w:gridCol w:w="802"/>
        <w:gridCol w:w="1005"/>
        <w:gridCol w:w="3051"/>
        <w:gridCol w:w="1000"/>
        <w:gridCol w:w="2653"/>
      </w:tblGrid>
      <w:tr>
        <w:tblPrEx>
          <w:tblCellMar>
            <w:top w:w="0" w:type="dxa"/>
            <w:left w:w="108" w:type="dxa"/>
            <w:bottom w:w="0" w:type="dxa"/>
            <w:right w:w="108" w:type="dxa"/>
          </w:tblCellMar>
        </w:tblPrEx>
        <w:trPr>
          <w:trHeight w:val="450" w:hRule="atLeast"/>
          <w:tblHeader/>
          <w:jc w:val="center"/>
        </w:trPr>
        <w:tc>
          <w:tcPr>
            <w:tcW w:w="47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序号</w:t>
            </w:r>
          </w:p>
        </w:tc>
        <w:tc>
          <w:tcPr>
            <w:tcW w:w="590"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名称</w:t>
            </w:r>
          </w:p>
        </w:tc>
        <w:tc>
          <w:tcPr>
            <w:tcW w:w="1791"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项目</w:t>
            </w:r>
          </w:p>
        </w:tc>
        <w:tc>
          <w:tcPr>
            <w:tcW w:w="587"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单位</w:t>
            </w:r>
          </w:p>
        </w:tc>
        <w:tc>
          <w:tcPr>
            <w:tcW w:w="1557"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技术参数要求</w:t>
            </w:r>
          </w:p>
        </w:tc>
      </w:tr>
      <w:tr>
        <w:tblPrEx>
          <w:tblCellMar>
            <w:top w:w="0" w:type="dxa"/>
            <w:left w:w="108" w:type="dxa"/>
            <w:bottom w:w="0" w:type="dxa"/>
            <w:right w:w="108" w:type="dxa"/>
          </w:tblCellMar>
        </w:tblPrEx>
        <w:trPr>
          <w:trHeight w:val="27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590" w:type="pct"/>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直流充电机</w:t>
            </w: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交流输入电压</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V</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三相380：323～437</w:t>
            </w:r>
          </w:p>
        </w:tc>
      </w:tr>
      <w:tr>
        <w:tblPrEx>
          <w:tblCellMar>
            <w:top w:w="0" w:type="dxa"/>
            <w:left w:w="108" w:type="dxa"/>
            <w:bottom w:w="0" w:type="dxa"/>
            <w:right w:w="108" w:type="dxa"/>
          </w:tblCellMar>
        </w:tblPrEx>
        <w:trPr>
          <w:trHeight w:val="27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交流电源频率</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Hz</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50±1</w:t>
            </w:r>
          </w:p>
        </w:tc>
      </w:tr>
      <w:tr>
        <w:tblPrEx>
          <w:tblCellMar>
            <w:top w:w="0" w:type="dxa"/>
            <w:left w:w="108" w:type="dxa"/>
            <w:bottom w:w="0" w:type="dxa"/>
            <w:right w:w="108" w:type="dxa"/>
          </w:tblCellMar>
        </w:tblPrEx>
        <w:trPr>
          <w:trHeight w:val="27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输入功率因数</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≥0.99</w:t>
            </w:r>
          </w:p>
        </w:tc>
      </w:tr>
      <w:tr>
        <w:tblPrEx>
          <w:tblCellMar>
            <w:top w:w="0" w:type="dxa"/>
            <w:left w:w="108" w:type="dxa"/>
            <w:bottom w:w="0" w:type="dxa"/>
            <w:right w:w="108" w:type="dxa"/>
          </w:tblCellMar>
        </w:tblPrEx>
        <w:trPr>
          <w:trHeight w:val="45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4</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直流电压调节范围</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V</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FF0000"/>
                <w:sz w:val="24"/>
              </w:rPr>
            </w:pPr>
            <w:r>
              <w:rPr>
                <w:rFonts w:hint="eastAsia" w:ascii="宋体" w:hAnsi="宋体" w:cs="宋体"/>
                <w:color w:val="000000"/>
                <w:sz w:val="24"/>
              </w:rPr>
              <w:t>200-1000V</w:t>
            </w:r>
          </w:p>
        </w:tc>
      </w:tr>
      <w:tr>
        <w:tblPrEx>
          <w:tblCellMar>
            <w:top w:w="0" w:type="dxa"/>
            <w:left w:w="108" w:type="dxa"/>
            <w:bottom w:w="0" w:type="dxa"/>
            <w:right w:w="108" w:type="dxa"/>
          </w:tblCellMar>
        </w:tblPrEx>
        <w:trPr>
          <w:trHeight w:val="45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5</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高频开关电源模块</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kW</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45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6</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电流连续可调范围</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A</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FF0000"/>
                <w:sz w:val="24"/>
              </w:rPr>
            </w:pPr>
            <w:r>
              <w:rPr>
                <w:rFonts w:hint="eastAsia" w:ascii="宋体" w:hAnsi="宋体" w:cs="宋体"/>
                <w:color w:val="000000"/>
                <w:sz w:val="24"/>
              </w:rPr>
              <w:t>0.5-133.3A</w:t>
            </w:r>
          </w:p>
        </w:tc>
      </w:tr>
      <w:tr>
        <w:tblPrEx>
          <w:tblCellMar>
            <w:top w:w="0" w:type="dxa"/>
            <w:left w:w="108" w:type="dxa"/>
            <w:bottom w:w="0" w:type="dxa"/>
            <w:right w:w="108" w:type="dxa"/>
          </w:tblCellMar>
        </w:tblPrEx>
        <w:trPr>
          <w:trHeight w:val="27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7</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电压精度</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不超过±0.5</w:t>
            </w:r>
          </w:p>
        </w:tc>
      </w:tr>
      <w:tr>
        <w:tblPrEx>
          <w:tblCellMar>
            <w:top w:w="0" w:type="dxa"/>
            <w:left w:w="108" w:type="dxa"/>
            <w:bottom w:w="0" w:type="dxa"/>
            <w:right w:w="108" w:type="dxa"/>
          </w:tblCellMar>
        </w:tblPrEx>
        <w:trPr>
          <w:trHeight w:val="45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8</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整机电流精度</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20%额定电流-最大电流不超过1</w:t>
            </w:r>
          </w:p>
        </w:tc>
      </w:tr>
      <w:tr>
        <w:tblPrEx>
          <w:tblCellMar>
            <w:top w:w="0" w:type="dxa"/>
            <w:left w:w="108" w:type="dxa"/>
            <w:bottom w:w="0" w:type="dxa"/>
            <w:right w:w="108" w:type="dxa"/>
          </w:tblCellMar>
        </w:tblPrEx>
        <w:trPr>
          <w:trHeight w:val="27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9</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稳压精度</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不超过±0.5</w:t>
            </w:r>
          </w:p>
        </w:tc>
      </w:tr>
      <w:tr>
        <w:tblPrEx>
          <w:tblCellMar>
            <w:top w:w="0" w:type="dxa"/>
            <w:left w:w="108" w:type="dxa"/>
            <w:bottom w:w="0" w:type="dxa"/>
            <w:right w:w="108" w:type="dxa"/>
          </w:tblCellMar>
        </w:tblPrEx>
        <w:trPr>
          <w:trHeight w:val="27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10</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稳流精度</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不超过±1</w:t>
            </w:r>
          </w:p>
        </w:tc>
      </w:tr>
      <w:tr>
        <w:tblPrEx>
          <w:tblCellMar>
            <w:top w:w="0" w:type="dxa"/>
            <w:left w:w="108" w:type="dxa"/>
            <w:bottom w:w="0" w:type="dxa"/>
            <w:right w:w="108" w:type="dxa"/>
          </w:tblCellMar>
        </w:tblPrEx>
        <w:trPr>
          <w:trHeight w:val="45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11</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纹波系数</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lang w:eastAsia="zh-CN"/>
              </w:rPr>
            </w:pPr>
            <w:r>
              <w:rPr>
                <w:rFonts w:hint="eastAsia" w:ascii="宋体" w:hAnsi="宋体" w:cs="宋体"/>
                <w:sz w:val="24"/>
              </w:rPr>
              <w:t>有效值：不超过±5</w:t>
            </w:r>
          </w:p>
          <w:p>
            <w:pPr>
              <w:spacing w:line="360" w:lineRule="auto"/>
              <w:jc w:val="center"/>
              <w:rPr>
                <w:rFonts w:ascii="宋体" w:hAnsi="宋体" w:cs="宋体"/>
                <w:sz w:val="24"/>
              </w:rPr>
            </w:pPr>
            <w:r>
              <w:rPr>
                <w:rFonts w:hint="eastAsia" w:ascii="宋体" w:hAnsi="宋体" w:cs="宋体"/>
                <w:sz w:val="24"/>
              </w:rPr>
              <w:t>峰值：不超过±1</w:t>
            </w:r>
          </w:p>
        </w:tc>
      </w:tr>
      <w:tr>
        <w:tblPrEx>
          <w:tblCellMar>
            <w:top w:w="0" w:type="dxa"/>
            <w:left w:w="108" w:type="dxa"/>
            <w:bottom w:w="0" w:type="dxa"/>
            <w:right w:w="108" w:type="dxa"/>
          </w:tblCellMar>
        </w:tblPrEx>
        <w:trPr>
          <w:trHeight w:val="45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12</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均流不平衡度</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w:t>
            </w:r>
          </w:p>
        </w:tc>
      </w:tr>
      <w:tr>
        <w:tblPrEx>
          <w:tblCellMar>
            <w:top w:w="0" w:type="dxa"/>
            <w:left w:w="108" w:type="dxa"/>
            <w:bottom w:w="0" w:type="dxa"/>
            <w:right w:w="108" w:type="dxa"/>
          </w:tblCellMar>
        </w:tblPrEx>
        <w:trPr>
          <w:trHeight w:val="27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14</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输入冲击电流</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A</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≤120%额定输入电流</w:t>
            </w:r>
          </w:p>
        </w:tc>
      </w:tr>
      <w:tr>
        <w:tblPrEx>
          <w:tblCellMar>
            <w:top w:w="0" w:type="dxa"/>
            <w:left w:w="108" w:type="dxa"/>
            <w:bottom w:w="0" w:type="dxa"/>
            <w:right w:w="108" w:type="dxa"/>
          </w:tblCellMar>
        </w:tblPrEx>
        <w:trPr>
          <w:trHeight w:val="27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15</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输出过冲电压</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V</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≤110%稳态输出电压</w:t>
            </w:r>
          </w:p>
        </w:tc>
      </w:tr>
      <w:tr>
        <w:tblPrEx>
          <w:tblCellMar>
            <w:top w:w="0" w:type="dxa"/>
            <w:left w:w="108" w:type="dxa"/>
            <w:bottom w:w="0" w:type="dxa"/>
            <w:right w:w="108" w:type="dxa"/>
          </w:tblCellMar>
        </w:tblPrEx>
        <w:trPr>
          <w:trHeight w:val="27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16</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效率</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≥95%</w:t>
            </w:r>
          </w:p>
        </w:tc>
      </w:tr>
      <w:tr>
        <w:tblPrEx>
          <w:tblCellMar>
            <w:top w:w="0" w:type="dxa"/>
            <w:left w:w="108" w:type="dxa"/>
            <w:bottom w:w="0" w:type="dxa"/>
            <w:right w:w="108" w:type="dxa"/>
          </w:tblCellMar>
        </w:tblPrEx>
        <w:trPr>
          <w:trHeight w:val="27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17</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噪声</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dB</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≤65dB</w:t>
            </w:r>
          </w:p>
        </w:tc>
      </w:tr>
      <w:tr>
        <w:tblPrEx>
          <w:tblCellMar>
            <w:top w:w="0" w:type="dxa"/>
            <w:left w:w="108" w:type="dxa"/>
            <w:bottom w:w="0" w:type="dxa"/>
            <w:right w:w="108" w:type="dxa"/>
          </w:tblCellMar>
        </w:tblPrEx>
        <w:trPr>
          <w:trHeight w:val="27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18</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振荡波抗扰度</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3级（1MHz和100kHz）</w:t>
            </w:r>
          </w:p>
        </w:tc>
      </w:tr>
      <w:tr>
        <w:tblPrEx>
          <w:tblCellMar>
            <w:top w:w="0" w:type="dxa"/>
            <w:left w:w="108" w:type="dxa"/>
            <w:bottom w:w="0" w:type="dxa"/>
            <w:right w:w="108" w:type="dxa"/>
          </w:tblCellMar>
        </w:tblPrEx>
        <w:trPr>
          <w:trHeight w:val="27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19</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静电放电抗扰度</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3级</w:t>
            </w:r>
          </w:p>
        </w:tc>
      </w:tr>
      <w:tr>
        <w:tblPrEx>
          <w:tblCellMar>
            <w:top w:w="0" w:type="dxa"/>
            <w:left w:w="108" w:type="dxa"/>
            <w:bottom w:w="0" w:type="dxa"/>
            <w:right w:w="108" w:type="dxa"/>
          </w:tblCellMar>
        </w:tblPrEx>
        <w:trPr>
          <w:trHeight w:val="45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20</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射频电磁场辐射抗扰度</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3级</w:t>
            </w:r>
          </w:p>
        </w:tc>
      </w:tr>
      <w:tr>
        <w:tblPrEx>
          <w:tblCellMar>
            <w:top w:w="0" w:type="dxa"/>
            <w:left w:w="108" w:type="dxa"/>
            <w:bottom w:w="0" w:type="dxa"/>
            <w:right w:w="108" w:type="dxa"/>
          </w:tblCellMar>
        </w:tblPrEx>
        <w:trPr>
          <w:trHeight w:val="45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21</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电快速瞬变脉冲群抗扰度</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3级</w:t>
            </w:r>
          </w:p>
        </w:tc>
      </w:tr>
      <w:tr>
        <w:tblPrEx>
          <w:tblCellMar>
            <w:top w:w="0" w:type="dxa"/>
            <w:left w:w="108" w:type="dxa"/>
            <w:bottom w:w="0" w:type="dxa"/>
            <w:right w:w="108" w:type="dxa"/>
          </w:tblCellMar>
        </w:tblPrEx>
        <w:trPr>
          <w:trHeight w:val="45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22</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浪涌（冲击）抗扰度</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3级</w:t>
            </w:r>
          </w:p>
        </w:tc>
      </w:tr>
      <w:tr>
        <w:tblPrEx>
          <w:tblCellMar>
            <w:top w:w="0" w:type="dxa"/>
            <w:left w:w="108" w:type="dxa"/>
            <w:bottom w:w="0" w:type="dxa"/>
            <w:right w:w="108" w:type="dxa"/>
          </w:tblCellMar>
        </w:tblPrEx>
        <w:trPr>
          <w:trHeight w:val="45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23</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射频场感应的传导骚扰抗扰度</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3级</w:t>
            </w:r>
          </w:p>
        </w:tc>
      </w:tr>
      <w:tr>
        <w:tblPrEx>
          <w:tblCellMar>
            <w:top w:w="0" w:type="dxa"/>
            <w:left w:w="108" w:type="dxa"/>
            <w:bottom w:w="0" w:type="dxa"/>
            <w:right w:w="108" w:type="dxa"/>
          </w:tblCellMar>
        </w:tblPrEx>
        <w:trPr>
          <w:trHeight w:val="319"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24</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谐波电流限值要求（THD）</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27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25</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充电机结构形式</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分体式</w:t>
            </w:r>
          </w:p>
        </w:tc>
      </w:tr>
      <w:tr>
        <w:tblPrEx>
          <w:tblCellMar>
            <w:top w:w="0" w:type="dxa"/>
            <w:left w:w="108" w:type="dxa"/>
            <w:bottom w:w="0" w:type="dxa"/>
            <w:right w:w="108" w:type="dxa"/>
          </w:tblCellMar>
        </w:tblPrEx>
        <w:trPr>
          <w:trHeight w:val="450"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26</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有源功率因数校正电路</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带</w:t>
            </w:r>
          </w:p>
        </w:tc>
      </w:tr>
      <w:tr>
        <w:tblPrEx>
          <w:tblCellMar>
            <w:top w:w="0" w:type="dxa"/>
            <w:left w:w="108" w:type="dxa"/>
            <w:bottom w:w="0" w:type="dxa"/>
            <w:right w:w="108" w:type="dxa"/>
          </w:tblCellMar>
        </w:tblPrEx>
        <w:trPr>
          <w:trHeight w:val="479"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27</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直流输出接口</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GB／T20234.3-2015</w:t>
            </w:r>
          </w:p>
        </w:tc>
      </w:tr>
      <w:tr>
        <w:tblPrEx>
          <w:tblCellMar>
            <w:top w:w="0" w:type="dxa"/>
            <w:left w:w="108" w:type="dxa"/>
            <w:bottom w:w="0" w:type="dxa"/>
            <w:right w:w="108" w:type="dxa"/>
          </w:tblCellMar>
        </w:tblPrEx>
        <w:trPr>
          <w:trHeight w:val="464" w:hRule="atLeast"/>
          <w:jc w:val="center"/>
        </w:trPr>
        <w:tc>
          <w:tcPr>
            <w:tcW w:w="471"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28</w:t>
            </w:r>
          </w:p>
        </w:tc>
        <w:tc>
          <w:tcPr>
            <w:tcW w:w="590"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791"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平均无故障时间</w:t>
            </w:r>
          </w:p>
        </w:tc>
        <w:tc>
          <w:tcPr>
            <w:tcW w:w="58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h</w:t>
            </w:r>
          </w:p>
        </w:tc>
        <w:tc>
          <w:tcPr>
            <w:tcW w:w="1557"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≥17520h</w:t>
            </w:r>
          </w:p>
        </w:tc>
      </w:tr>
    </w:tbl>
    <w:p>
      <w:pPr>
        <w:spacing w:line="360" w:lineRule="auto"/>
        <w:rPr>
          <w:rFonts w:ascii="宋体" w:hAnsi="宋体" w:cs="宋体"/>
          <w:b/>
          <w:bCs/>
          <w:sz w:val="24"/>
        </w:rPr>
      </w:pPr>
      <w:r>
        <w:rPr>
          <w:rFonts w:hint="eastAsia" w:ascii="宋体" w:hAnsi="宋体" w:cs="宋体"/>
          <w:b/>
          <w:bCs/>
          <w:sz w:val="24"/>
        </w:rPr>
        <w:t>12、充电机要求</w:t>
      </w:r>
    </w:p>
    <w:p>
      <w:pPr>
        <w:spacing w:line="360" w:lineRule="auto"/>
        <w:rPr>
          <w:rFonts w:ascii="宋体" w:hAnsi="宋体" w:cs="宋体"/>
          <w:sz w:val="24"/>
        </w:rPr>
      </w:pPr>
      <w:r>
        <w:rPr>
          <w:rFonts w:hint="eastAsia" w:ascii="宋体" w:hAnsi="宋体" w:cs="宋体"/>
          <w:sz w:val="24"/>
        </w:rPr>
        <w:t>充电机应外观线条流畅、整体紧凑、简洁时尚，与安装地点周边环境相协调。</w:t>
      </w:r>
    </w:p>
    <w:p>
      <w:pPr>
        <w:spacing w:line="360" w:lineRule="auto"/>
        <w:rPr>
          <w:rFonts w:ascii="宋体" w:hAnsi="宋体" w:cs="宋体"/>
          <w:sz w:val="24"/>
        </w:rPr>
      </w:pPr>
      <w:r>
        <w:rPr>
          <w:rFonts w:hint="eastAsia" w:ascii="宋体" w:hAnsi="宋体" w:cs="宋体"/>
          <w:sz w:val="24"/>
        </w:rPr>
        <w:t>充电机内部线束，应排布整齐、规整，标识清楚，捆扎牢固。</w:t>
      </w:r>
    </w:p>
    <w:p>
      <w:pPr>
        <w:spacing w:line="360" w:lineRule="auto"/>
        <w:rPr>
          <w:rFonts w:ascii="宋体" w:hAnsi="宋体" w:cs="宋体"/>
          <w:sz w:val="24"/>
        </w:rPr>
      </w:pPr>
      <w:r>
        <w:rPr>
          <w:rFonts w:hint="eastAsia" w:ascii="宋体" w:hAnsi="宋体" w:cs="宋体"/>
          <w:sz w:val="24"/>
        </w:rPr>
        <w:t>充电机内元器件应布局合理，易耗易损元件方便更换。</w:t>
      </w:r>
    </w:p>
    <w:p>
      <w:pPr>
        <w:spacing w:line="360" w:lineRule="auto"/>
        <w:rPr>
          <w:rFonts w:ascii="宋体" w:hAnsi="宋体" w:cs="宋体"/>
          <w:sz w:val="24"/>
        </w:rPr>
      </w:pPr>
      <w:r>
        <w:rPr>
          <w:rFonts w:hint="eastAsia" w:ascii="宋体" w:hAnsi="宋体" w:cs="宋体"/>
          <w:sz w:val="24"/>
        </w:rPr>
        <w:t>充电机安装于户外时，应便于特殊天气条件下的日常维护。</w:t>
      </w:r>
    </w:p>
    <w:p>
      <w:pPr>
        <w:spacing w:line="360" w:lineRule="auto"/>
        <w:rPr>
          <w:rFonts w:ascii="宋体" w:hAnsi="宋体" w:cs="宋体"/>
          <w:sz w:val="24"/>
        </w:rPr>
      </w:pPr>
      <w:r>
        <w:rPr>
          <w:rFonts w:hint="eastAsia" w:ascii="宋体" w:hAnsi="宋体" w:cs="宋体"/>
          <w:sz w:val="24"/>
        </w:rPr>
        <w:t>充电机应采用抗冲击力强、抗老化的材质。</w:t>
      </w:r>
    </w:p>
    <w:p>
      <w:pPr>
        <w:spacing w:line="360" w:lineRule="auto"/>
        <w:rPr>
          <w:rFonts w:ascii="宋体" w:hAnsi="宋体" w:cs="宋体"/>
          <w:sz w:val="24"/>
        </w:rPr>
      </w:pPr>
      <w:r>
        <w:rPr>
          <w:rFonts w:hint="eastAsia" w:ascii="宋体" w:hAnsi="宋体" w:cs="宋体"/>
          <w:sz w:val="24"/>
        </w:rPr>
        <w:t>充电机表面涂覆色泽层应均匀光洁，不起泡、不龟裂、不脱落。</w:t>
      </w:r>
    </w:p>
    <w:p>
      <w:pPr>
        <w:spacing w:line="360" w:lineRule="auto"/>
        <w:rPr>
          <w:rFonts w:ascii="宋体" w:hAnsi="宋体" w:cs="宋体"/>
          <w:sz w:val="24"/>
        </w:rPr>
      </w:pPr>
      <w:r>
        <w:rPr>
          <w:rFonts w:hint="eastAsia" w:ascii="宋体" w:hAnsi="宋体" w:cs="宋体"/>
          <w:sz w:val="24"/>
        </w:rPr>
        <w:t>非绝缘材料外壳应可靠接地，结构上应防止操作人员触及带电部件。</w:t>
      </w:r>
    </w:p>
    <w:p>
      <w:pPr>
        <w:spacing w:line="360" w:lineRule="auto"/>
        <w:rPr>
          <w:rFonts w:ascii="宋体" w:hAnsi="宋体" w:cs="宋体"/>
          <w:sz w:val="24"/>
        </w:rPr>
      </w:pPr>
      <w:r>
        <w:rPr>
          <w:rFonts w:hint="eastAsia" w:ascii="宋体" w:hAnsi="宋体" w:cs="宋体"/>
          <w:sz w:val="24"/>
        </w:rPr>
        <w:t>要求充电枪在非充电状态下，整体不带电，拔下充电枪，就地充电装置没有任何电源，插入充电枪、认证信息后通电，无安全隐患。</w:t>
      </w:r>
    </w:p>
    <w:p>
      <w:pPr>
        <w:spacing w:line="360" w:lineRule="auto"/>
        <w:rPr>
          <w:rFonts w:hint="eastAsia" w:ascii="宋体" w:hAnsi="宋体" w:eastAsia="宋体" w:cs="宋体"/>
          <w:b/>
          <w:bCs/>
          <w:sz w:val="24"/>
          <w:szCs w:val="24"/>
          <w:lang w:eastAsia="zh-CN"/>
        </w:rPr>
      </w:pPr>
      <w:bookmarkStart w:id="101" w:name="_Toc46235604"/>
      <w:r>
        <w:rPr>
          <w:rFonts w:hint="eastAsia" w:ascii="宋体" w:hAnsi="宋体" w:cs="宋体"/>
          <w:b/>
          <w:bCs/>
          <w:sz w:val="24"/>
        </w:rPr>
        <w:t>（</w:t>
      </w:r>
      <w:r>
        <w:rPr>
          <w:rFonts w:hint="eastAsia" w:ascii="宋体" w:hAnsi="宋体" w:cs="宋体"/>
          <w:b/>
          <w:bCs/>
          <w:sz w:val="24"/>
          <w:lang w:val="en-US" w:eastAsia="zh-CN"/>
        </w:rPr>
        <w:t>2</w:t>
      </w:r>
      <w:r>
        <w:rPr>
          <w:rFonts w:hint="eastAsia" w:ascii="宋体" w:hAnsi="宋体" w:cs="宋体"/>
          <w:b/>
          <w:bCs/>
          <w:sz w:val="24"/>
        </w:rPr>
        <w:t>）7kW交流充电设备</w:t>
      </w:r>
      <w:bookmarkEnd w:id="101"/>
      <w:r>
        <w:rPr>
          <w:rFonts w:hint="eastAsia" w:ascii="宋体" w:hAnsi="宋体" w:cs="宋体"/>
          <w:b/>
          <w:bCs/>
          <w:sz w:val="24"/>
          <w:lang w:eastAsia="zh-CN"/>
        </w:rPr>
        <w:t>（</w:t>
      </w:r>
      <w:r>
        <w:rPr>
          <w:rFonts w:hint="eastAsia" w:ascii="宋体" w:hAnsi="宋体" w:cs="宋体"/>
          <w:b/>
          <w:bCs/>
          <w:sz w:val="24"/>
          <w:lang w:val="en-US" w:eastAsia="zh-CN"/>
        </w:rPr>
        <w:t>11套</w:t>
      </w:r>
      <w:r>
        <w:rPr>
          <w:rFonts w:hint="eastAsia" w:ascii="宋体" w:hAnsi="宋体" w:cs="宋体"/>
          <w:b/>
          <w:bCs/>
          <w:sz w:val="24"/>
          <w:lang w:eastAsia="zh-CN"/>
        </w:rPr>
        <w:t>）</w:t>
      </w:r>
    </w:p>
    <w:p>
      <w:pPr>
        <w:bidi w:val="0"/>
      </w:pPr>
      <w:r>
        <w:rPr>
          <w:rFonts w:hint="eastAsia" w:ascii="宋体" w:hAnsi="宋体" w:eastAsia="宋体" w:cs="宋体"/>
          <w:sz w:val="24"/>
        </w:rPr>
        <w:t>1.周围空气温度</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最高温度：+50℃；</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最低温度：-20℃；</w:t>
      </w:r>
    </w:p>
    <w:p>
      <w:pPr>
        <w:bidi w:val="0"/>
      </w:pPr>
      <w:r>
        <w:rPr>
          <w:rFonts w:hint="eastAsia" w:ascii="宋体" w:hAnsi="宋体" w:eastAsia="宋体" w:cs="宋体"/>
          <w:sz w:val="24"/>
        </w:rPr>
        <w:t>2.环境湿度</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相对湿度：5％～95％；</w:t>
      </w:r>
    </w:p>
    <w:p>
      <w:pPr>
        <w:spacing w:line="360" w:lineRule="auto"/>
        <w:rPr>
          <w:rFonts w:hint="eastAsia" w:ascii="宋体" w:hAnsi="宋体" w:eastAsia="宋体" w:cs="宋体"/>
          <w:sz w:val="24"/>
        </w:rPr>
      </w:pPr>
      <w:r>
        <w:rPr>
          <w:rFonts w:hint="eastAsia" w:ascii="宋体" w:hAnsi="宋体" w:eastAsia="宋体" w:cs="宋体"/>
          <w:sz w:val="24"/>
        </w:rPr>
        <w:t>3.海拔</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不超过2000m。</w:t>
      </w:r>
    </w:p>
    <w:p>
      <w:pPr>
        <w:bidi w:val="0"/>
      </w:pPr>
      <w:r>
        <w:rPr>
          <w:rFonts w:hint="eastAsia" w:ascii="宋体" w:hAnsi="宋体" w:eastAsia="宋体" w:cs="宋体"/>
          <w:sz w:val="24"/>
        </w:rPr>
        <w:t>4.安装地点</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户外。</w:t>
      </w:r>
    </w:p>
    <w:p>
      <w:pPr>
        <w:bidi w:val="0"/>
      </w:pPr>
      <w:r>
        <w:rPr>
          <w:rFonts w:hint="eastAsia" w:ascii="宋体" w:hAnsi="宋体" w:eastAsia="宋体" w:cs="宋体"/>
          <w:sz w:val="24"/>
        </w:rPr>
        <w:t>5.其它环境要求</w:t>
      </w:r>
    </w:p>
    <w:p>
      <w:pPr>
        <w:pStyle w:val="87"/>
        <w:numPr>
          <w:ilvl w:val="0"/>
          <w:numId w:val="23"/>
        </w:numPr>
        <w:snapToGrid w:val="0"/>
        <w:spacing w:line="360" w:lineRule="auto"/>
        <w:ind w:firstLineChars="0"/>
        <w:rPr>
          <w:rFonts w:ascii="宋体" w:hAnsi="宋体" w:cs="宋体"/>
          <w:snapToGrid w:val="0"/>
          <w:kern w:val="0"/>
          <w:sz w:val="24"/>
        </w:rPr>
      </w:pPr>
      <w:r>
        <w:rPr>
          <w:rFonts w:hint="eastAsia" w:ascii="宋体" w:hAnsi="宋体" w:cs="宋体"/>
          <w:snapToGrid w:val="0"/>
          <w:kern w:val="0"/>
          <w:sz w:val="24"/>
        </w:rPr>
        <w:t>使用地点无强烈振动和冲击，无强电磁干扰，外磁场感应强度不得超过0.5mT；</w:t>
      </w:r>
    </w:p>
    <w:p>
      <w:pPr>
        <w:pStyle w:val="87"/>
        <w:numPr>
          <w:ilvl w:val="0"/>
          <w:numId w:val="23"/>
        </w:numPr>
        <w:snapToGrid w:val="0"/>
        <w:spacing w:line="360" w:lineRule="auto"/>
        <w:ind w:firstLineChars="0"/>
        <w:rPr>
          <w:rFonts w:ascii="宋体" w:hAnsi="宋体" w:cs="宋体"/>
          <w:snapToGrid w:val="0"/>
          <w:kern w:val="0"/>
          <w:sz w:val="24"/>
        </w:rPr>
      </w:pPr>
      <w:r>
        <w:rPr>
          <w:rFonts w:hint="eastAsia" w:ascii="宋体" w:hAnsi="宋体" w:cs="宋体"/>
          <w:snapToGrid w:val="0"/>
          <w:kern w:val="0"/>
          <w:sz w:val="24"/>
        </w:rPr>
        <w:t>安装垂直倾斜度不超过5%。</w:t>
      </w:r>
    </w:p>
    <w:p>
      <w:pPr>
        <w:bidi w:val="0"/>
        <w:rPr>
          <w:rFonts w:hint="eastAsia" w:ascii="宋体" w:hAnsi="宋体" w:eastAsia="宋体" w:cs="宋体"/>
          <w:snapToGrid w:val="0"/>
          <w:kern w:val="0"/>
          <w:sz w:val="24"/>
          <w:szCs w:val="22"/>
          <w:lang w:val="en-US" w:eastAsia="zh-CN" w:bidi="ar-SA"/>
        </w:rPr>
      </w:pPr>
      <w:bookmarkStart w:id="102" w:name="_Toc27405"/>
      <w:bookmarkStart w:id="103" w:name="_Toc784"/>
      <w:bookmarkStart w:id="104" w:name="_Toc10708"/>
      <w:r>
        <w:rPr>
          <w:rFonts w:hint="eastAsia" w:ascii="宋体" w:hAnsi="宋体" w:eastAsia="宋体" w:cs="宋体"/>
          <w:snapToGrid w:val="0"/>
          <w:kern w:val="0"/>
          <w:sz w:val="24"/>
          <w:szCs w:val="22"/>
          <w:lang w:val="en-US" w:eastAsia="zh-CN" w:bidi="ar-SA"/>
        </w:rPr>
        <w:t>6.电源条件</w:t>
      </w:r>
      <w:bookmarkEnd w:id="102"/>
      <w:bookmarkEnd w:id="103"/>
      <w:bookmarkEnd w:id="104"/>
    </w:p>
    <w:p>
      <w:pPr>
        <w:snapToGrid w:val="0"/>
        <w:spacing w:line="360" w:lineRule="auto"/>
        <w:ind w:firstLine="480" w:firstLineChars="200"/>
        <w:rPr>
          <w:rFonts w:hint="eastAsia" w:ascii="宋体" w:hAnsi="宋体" w:eastAsia="宋体" w:cs="宋体"/>
          <w:snapToGrid w:val="0"/>
          <w:kern w:val="0"/>
          <w:sz w:val="24"/>
          <w:szCs w:val="22"/>
          <w:lang w:val="en-US" w:eastAsia="zh-CN" w:bidi="ar-SA"/>
        </w:rPr>
      </w:pPr>
      <w:r>
        <w:rPr>
          <w:rFonts w:hint="eastAsia" w:ascii="宋体" w:hAnsi="宋体" w:eastAsia="宋体" w:cs="宋体"/>
          <w:snapToGrid w:val="0"/>
          <w:kern w:val="0"/>
          <w:sz w:val="24"/>
          <w:szCs w:val="22"/>
          <w:lang w:val="en-US" w:eastAsia="zh-CN" w:bidi="ar-SA"/>
        </w:rPr>
        <w:t>交流输入电压：单相220V±20％；</w:t>
      </w:r>
    </w:p>
    <w:p>
      <w:pPr>
        <w:snapToGrid w:val="0"/>
        <w:spacing w:line="360" w:lineRule="auto"/>
        <w:ind w:firstLine="480" w:firstLineChars="200"/>
        <w:rPr>
          <w:rFonts w:hint="eastAsia" w:ascii="宋体" w:hAnsi="宋体" w:cs="宋体"/>
          <w:snapToGrid w:val="0"/>
          <w:kern w:val="0"/>
          <w:sz w:val="24"/>
        </w:rPr>
      </w:pPr>
      <w:r>
        <w:rPr>
          <w:rFonts w:hint="eastAsia" w:ascii="宋体" w:hAnsi="宋体" w:eastAsia="宋体" w:cs="宋体"/>
          <w:snapToGrid w:val="0"/>
          <w:kern w:val="0"/>
          <w:sz w:val="24"/>
          <w:szCs w:val="22"/>
          <w:lang w:val="en-US" w:eastAsia="zh-CN" w:bidi="ar-SA"/>
        </w:rPr>
        <w:t>交流电源频率：50Hz±5Hz。</w:t>
      </w:r>
    </w:p>
    <w:p>
      <w:pPr>
        <w:pStyle w:val="2"/>
        <w:numPr>
          <w:ilvl w:val="0"/>
          <w:numId w:val="24"/>
        </w:numPr>
        <w:spacing w:line="360" w:lineRule="auto"/>
        <w:rPr>
          <w:rFonts w:hint="eastAsia" w:ascii="宋体" w:hAnsi="宋体" w:cs="宋体"/>
          <w:snapToGrid w:val="0"/>
          <w:kern w:val="0"/>
          <w:sz w:val="24"/>
        </w:rPr>
      </w:pPr>
      <w:r>
        <w:rPr>
          <w:rFonts w:hint="eastAsia" w:ascii="宋体" w:hAnsi="宋体" w:cs="宋体"/>
          <w:snapToGrid w:val="0"/>
          <w:kern w:val="0"/>
          <w:sz w:val="24"/>
        </w:rPr>
        <w:t>计量计费装置</w:t>
      </w:r>
    </w:p>
    <w:p>
      <w:pPr>
        <w:spacing w:line="360" w:lineRule="auto"/>
      </w:pPr>
      <w:r>
        <w:rPr>
          <w:rFonts w:hint="eastAsia" w:ascii="宋体" w:hAnsi="宋体" w:cs="宋体"/>
          <w:sz w:val="24"/>
        </w:rPr>
        <w:t>应具有对每个充电接口输出电能进行计量的功能。电能计量装置应符合国家计量器具检定相关要求。精确度等级不低于1.0级，电能计量装置具备RS485接口，通信协议遵循《DL/T 645-2007多功能电能表通信协议》技术要求。电能表应具有自动计费功能或具有与计费装置的接口。充电桩应附带管理平台，电脑端、app端均可使用，通过平台实现费率调整功能，费用结算时间不得超过一个工作日。</w:t>
      </w:r>
    </w:p>
    <w:p>
      <w:pPr>
        <w:pStyle w:val="93"/>
        <w:tabs>
          <w:tab w:val="left" w:pos="6090"/>
        </w:tabs>
        <w:spacing w:line="360" w:lineRule="auto"/>
        <w:ind w:left="0" w:leftChars="0" w:firstLine="0" w:firstLineChars="0"/>
        <w:rPr>
          <w:rFonts w:ascii="宋体" w:hAnsi="宋体" w:cs="宋体"/>
          <w:snapToGrid w:val="0"/>
          <w:kern w:val="0"/>
          <w:sz w:val="24"/>
        </w:rPr>
      </w:pPr>
      <w:r>
        <w:rPr>
          <w:rFonts w:hint="eastAsia" w:ascii="宋体" w:hAnsi="宋体" w:cs="宋体"/>
          <w:snapToGrid w:val="0"/>
          <w:kern w:val="0"/>
          <w:sz w:val="24"/>
        </w:rPr>
        <w:t>充电系统的技术参数详见下表：</w:t>
      </w:r>
    </w:p>
    <w:tbl>
      <w:tblPr>
        <w:tblStyle w:val="25"/>
        <w:tblW w:w="9178" w:type="dxa"/>
        <w:jc w:val="center"/>
        <w:tblLayout w:type="fixed"/>
        <w:tblCellMar>
          <w:top w:w="0" w:type="dxa"/>
          <w:left w:w="108" w:type="dxa"/>
          <w:bottom w:w="0" w:type="dxa"/>
          <w:right w:w="108" w:type="dxa"/>
        </w:tblCellMar>
      </w:tblPr>
      <w:tblGrid>
        <w:gridCol w:w="1020"/>
        <w:gridCol w:w="1585"/>
        <w:gridCol w:w="2302"/>
        <w:gridCol w:w="1169"/>
        <w:gridCol w:w="3102"/>
      </w:tblGrid>
      <w:tr>
        <w:tblPrEx>
          <w:tblCellMar>
            <w:top w:w="0" w:type="dxa"/>
            <w:left w:w="108" w:type="dxa"/>
            <w:bottom w:w="0" w:type="dxa"/>
            <w:right w:w="108" w:type="dxa"/>
          </w:tblCellMar>
        </w:tblPrEx>
        <w:trPr>
          <w:trHeight w:val="450"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序号</w:t>
            </w:r>
          </w:p>
        </w:tc>
        <w:tc>
          <w:tcPr>
            <w:tcW w:w="15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名称</w:t>
            </w:r>
          </w:p>
        </w:tc>
        <w:tc>
          <w:tcPr>
            <w:tcW w:w="230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项目</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单位</w:t>
            </w:r>
          </w:p>
        </w:tc>
        <w:tc>
          <w:tcPr>
            <w:tcW w:w="310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技术参数要求</w:t>
            </w:r>
          </w:p>
        </w:tc>
      </w:tr>
      <w:tr>
        <w:tblPrEx>
          <w:tblCellMar>
            <w:top w:w="0" w:type="dxa"/>
            <w:left w:w="108" w:type="dxa"/>
            <w:bottom w:w="0" w:type="dxa"/>
            <w:right w:w="108" w:type="dxa"/>
          </w:tblCellMar>
        </w:tblPrEx>
        <w:trPr>
          <w:trHeight w:val="270" w:hRule="atLeast"/>
          <w:jc w:val="center"/>
        </w:trPr>
        <w:tc>
          <w:tcPr>
            <w:tcW w:w="102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1585"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交流充电机</w:t>
            </w:r>
          </w:p>
        </w:tc>
        <w:tc>
          <w:tcPr>
            <w:tcW w:w="23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交流输入电压</w:t>
            </w:r>
          </w:p>
        </w:tc>
        <w:tc>
          <w:tcPr>
            <w:tcW w:w="1169"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V</w:t>
            </w:r>
          </w:p>
        </w:tc>
        <w:tc>
          <w:tcPr>
            <w:tcW w:w="31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单相220：176～264</w:t>
            </w:r>
          </w:p>
        </w:tc>
      </w:tr>
      <w:tr>
        <w:tblPrEx>
          <w:tblCellMar>
            <w:top w:w="0" w:type="dxa"/>
            <w:left w:w="108" w:type="dxa"/>
            <w:bottom w:w="0" w:type="dxa"/>
            <w:right w:w="108" w:type="dxa"/>
          </w:tblCellMar>
        </w:tblPrEx>
        <w:trPr>
          <w:trHeight w:val="270" w:hRule="atLeast"/>
          <w:jc w:val="center"/>
        </w:trPr>
        <w:tc>
          <w:tcPr>
            <w:tcW w:w="102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1585"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3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交流电源频率</w:t>
            </w:r>
          </w:p>
        </w:tc>
        <w:tc>
          <w:tcPr>
            <w:tcW w:w="1169"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Hz</w:t>
            </w:r>
          </w:p>
        </w:tc>
        <w:tc>
          <w:tcPr>
            <w:tcW w:w="31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50±5</w:t>
            </w:r>
          </w:p>
        </w:tc>
      </w:tr>
      <w:tr>
        <w:tblPrEx>
          <w:tblCellMar>
            <w:top w:w="0" w:type="dxa"/>
            <w:left w:w="108" w:type="dxa"/>
            <w:bottom w:w="0" w:type="dxa"/>
            <w:right w:w="108" w:type="dxa"/>
          </w:tblCellMar>
        </w:tblPrEx>
        <w:trPr>
          <w:trHeight w:val="270" w:hRule="atLeast"/>
          <w:jc w:val="center"/>
        </w:trPr>
        <w:tc>
          <w:tcPr>
            <w:tcW w:w="102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w:t>
            </w:r>
          </w:p>
        </w:tc>
        <w:tc>
          <w:tcPr>
            <w:tcW w:w="1585"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3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输入电流</w:t>
            </w:r>
          </w:p>
        </w:tc>
        <w:tc>
          <w:tcPr>
            <w:tcW w:w="1169"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A</w:t>
            </w:r>
          </w:p>
        </w:tc>
        <w:tc>
          <w:tcPr>
            <w:tcW w:w="31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≤32A</w:t>
            </w:r>
          </w:p>
        </w:tc>
      </w:tr>
      <w:tr>
        <w:tblPrEx>
          <w:tblCellMar>
            <w:top w:w="0" w:type="dxa"/>
            <w:left w:w="108" w:type="dxa"/>
            <w:bottom w:w="0" w:type="dxa"/>
            <w:right w:w="108" w:type="dxa"/>
          </w:tblCellMar>
        </w:tblPrEx>
        <w:trPr>
          <w:trHeight w:val="450" w:hRule="atLeast"/>
          <w:jc w:val="center"/>
        </w:trPr>
        <w:tc>
          <w:tcPr>
            <w:tcW w:w="102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4</w:t>
            </w:r>
          </w:p>
        </w:tc>
        <w:tc>
          <w:tcPr>
            <w:tcW w:w="1585"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3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充电接口</w:t>
            </w:r>
          </w:p>
        </w:tc>
        <w:tc>
          <w:tcPr>
            <w:tcW w:w="1169"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31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p>
        </w:tc>
      </w:tr>
      <w:tr>
        <w:tblPrEx>
          <w:tblCellMar>
            <w:top w:w="0" w:type="dxa"/>
            <w:left w:w="108" w:type="dxa"/>
            <w:bottom w:w="0" w:type="dxa"/>
            <w:right w:w="108" w:type="dxa"/>
          </w:tblCellMar>
        </w:tblPrEx>
        <w:trPr>
          <w:trHeight w:val="450" w:hRule="atLeast"/>
          <w:jc w:val="center"/>
        </w:trPr>
        <w:tc>
          <w:tcPr>
            <w:tcW w:w="102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5</w:t>
            </w:r>
          </w:p>
        </w:tc>
        <w:tc>
          <w:tcPr>
            <w:tcW w:w="1585"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3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工作温度</w:t>
            </w:r>
          </w:p>
        </w:tc>
        <w:tc>
          <w:tcPr>
            <w:tcW w:w="1169"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31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-20℃～55℃</w:t>
            </w:r>
          </w:p>
        </w:tc>
      </w:tr>
      <w:tr>
        <w:tblPrEx>
          <w:tblCellMar>
            <w:top w:w="0" w:type="dxa"/>
            <w:left w:w="108" w:type="dxa"/>
            <w:bottom w:w="0" w:type="dxa"/>
            <w:right w:w="108" w:type="dxa"/>
          </w:tblCellMar>
        </w:tblPrEx>
        <w:trPr>
          <w:trHeight w:val="450" w:hRule="atLeast"/>
          <w:jc w:val="center"/>
        </w:trPr>
        <w:tc>
          <w:tcPr>
            <w:tcW w:w="102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6</w:t>
            </w:r>
          </w:p>
        </w:tc>
        <w:tc>
          <w:tcPr>
            <w:tcW w:w="1585"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3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相对湿度</w:t>
            </w:r>
          </w:p>
        </w:tc>
        <w:tc>
          <w:tcPr>
            <w:tcW w:w="1169"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31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5％～95％</w:t>
            </w:r>
          </w:p>
        </w:tc>
      </w:tr>
      <w:tr>
        <w:tblPrEx>
          <w:tblCellMar>
            <w:top w:w="0" w:type="dxa"/>
            <w:left w:w="108" w:type="dxa"/>
            <w:bottom w:w="0" w:type="dxa"/>
            <w:right w:w="108" w:type="dxa"/>
          </w:tblCellMar>
        </w:tblPrEx>
        <w:trPr>
          <w:trHeight w:val="270" w:hRule="atLeast"/>
          <w:jc w:val="center"/>
        </w:trPr>
        <w:tc>
          <w:tcPr>
            <w:tcW w:w="102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7</w:t>
            </w:r>
          </w:p>
        </w:tc>
        <w:tc>
          <w:tcPr>
            <w:tcW w:w="1585"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3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海拔高度</w:t>
            </w:r>
          </w:p>
        </w:tc>
        <w:tc>
          <w:tcPr>
            <w:tcW w:w="1169"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31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≤2000m；</w:t>
            </w:r>
          </w:p>
        </w:tc>
      </w:tr>
      <w:tr>
        <w:tblPrEx>
          <w:tblCellMar>
            <w:top w:w="0" w:type="dxa"/>
            <w:left w:w="108" w:type="dxa"/>
            <w:bottom w:w="0" w:type="dxa"/>
            <w:right w:w="108" w:type="dxa"/>
          </w:tblCellMar>
        </w:tblPrEx>
        <w:trPr>
          <w:trHeight w:val="450" w:hRule="atLeast"/>
          <w:jc w:val="center"/>
        </w:trPr>
        <w:tc>
          <w:tcPr>
            <w:tcW w:w="102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8</w:t>
            </w:r>
          </w:p>
        </w:tc>
        <w:tc>
          <w:tcPr>
            <w:tcW w:w="1585"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3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防护等级</w:t>
            </w:r>
          </w:p>
        </w:tc>
        <w:tc>
          <w:tcPr>
            <w:tcW w:w="1169"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31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IP54</w:t>
            </w:r>
          </w:p>
        </w:tc>
      </w:tr>
      <w:tr>
        <w:tblPrEx>
          <w:tblCellMar>
            <w:top w:w="0" w:type="dxa"/>
            <w:left w:w="108" w:type="dxa"/>
            <w:bottom w:w="0" w:type="dxa"/>
            <w:right w:w="108" w:type="dxa"/>
          </w:tblCellMar>
        </w:tblPrEx>
        <w:trPr>
          <w:trHeight w:val="270" w:hRule="atLeast"/>
          <w:jc w:val="center"/>
        </w:trPr>
        <w:tc>
          <w:tcPr>
            <w:tcW w:w="102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9</w:t>
            </w:r>
          </w:p>
        </w:tc>
        <w:tc>
          <w:tcPr>
            <w:tcW w:w="1585"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3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最高工作效率</w:t>
            </w:r>
          </w:p>
        </w:tc>
        <w:tc>
          <w:tcPr>
            <w:tcW w:w="1169"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31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99%</w:t>
            </w:r>
          </w:p>
        </w:tc>
      </w:tr>
      <w:tr>
        <w:tblPrEx>
          <w:tblCellMar>
            <w:top w:w="0" w:type="dxa"/>
            <w:left w:w="108" w:type="dxa"/>
            <w:bottom w:w="0" w:type="dxa"/>
            <w:right w:w="108" w:type="dxa"/>
          </w:tblCellMar>
        </w:tblPrEx>
        <w:trPr>
          <w:trHeight w:val="270" w:hRule="atLeast"/>
          <w:jc w:val="center"/>
        </w:trPr>
        <w:tc>
          <w:tcPr>
            <w:tcW w:w="102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10</w:t>
            </w:r>
          </w:p>
        </w:tc>
        <w:tc>
          <w:tcPr>
            <w:tcW w:w="1585"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3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充电机结构形式</w:t>
            </w:r>
          </w:p>
        </w:tc>
        <w:tc>
          <w:tcPr>
            <w:tcW w:w="1169"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310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一体式</w:t>
            </w:r>
          </w:p>
        </w:tc>
      </w:tr>
    </w:tbl>
    <w:p>
      <w:pPr>
        <w:rPr>
          <w:rFonts w:hint="default" w:eastAsia="宋体"/>
          <w:lang w:val="en-US" w:eastAsia="zh-CN"/>
        </w:rPr>
      </w:pPr>
      <w:r>
        <w:rPr>
          <w:rFonts w:hint="eastAsia"/>
          <w:b/>
          <w:bCs/>
          <w:sz w:val="24"/>
          <w:szCs w:val="24"/>
          <w:lang w:eastAsia="zh-CN"/>
        </w:rPr>
        <w:t>（</w:t>
      </w:r>
      <w:r>
        <w:rPr>
          <w:rFonts w:hint="eastAsia"/>
          <w:b/>
          <w:bCs/>
          <w:sz w:val="24"/>
          <w:szCs w:val="24"/>
          <w:lang w:val="en-US" w:eastAsia="zh-CN"/>
        </w:rPr>
        <w:t>3</w:t>
      </w:r>
      <w:r>
        <w:rPr>
          <w:rFonts w:hint="eastAsia"/>
          <w:b/>
          <w:bCs/>
          <w:sz w:val="24"/>
          <w:szCs w:val="24"/>
          <w:lang w:eastAsia="zh-CN"/>
        </w:rPr>
        <w:t>）</w:t>
      </w:r>
      <w:r>
        <w:rPr>
          <w:rFonts w:hint="eastAsia"/>
          <w:b/>
          <w:bCs/>
          <w:sz w:val="24"/>
          <w:szCs w:val="24"/>
          <w:lang w:val="en-US" w:eastAsia="zh-CN"/>
        </w:rPr>
        <w:t>工程量清单</w:t>
      </w:r>
    </w:p>
    <w:p>
      <w:pPr>
        <w:rPr>
          <w:rFonts w:hint="eastAsia"/>
          <w:lang w:val="en-US" w:eastAsia="zh-CN"/>
        </w:rPr>
      </w:pPr>
    </w:p>
    <w:tbl>
      <w:tblPr>
        <w:tblStyle w:val="25"/>
        <w:tblW w:w="9156"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2"/>
        <w:gridCol w:w="2141"/>
        <w:gridCol w:w="672"/>
        <w:gridCol w:w="1296"/>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trPr>
        <w:tc>
          <w:tcPr>
            <w:tcW w:w="9156"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充电桩工程量清单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156" w:type="dxa"/>
            <w:gridSpan w:val="5"/>
            <w:shd w:val="clear" w:color="auto" w:fill="auto"/>
            <w:noWrap/>
            <w:vAlign w:val="center"/>
          </w:tcPr>
          <w:p>
            <w:pP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单位(专业)工程名称:西安医学院充电桩安装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1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名称及说明</w:t>
            </w:r>
          </w:p>
        </w:tc>
        <w:tc>
          <w:tcPr>
            <w:tcW w:w="6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2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41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141"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低压电力配电材料</w:t>
            </w:r>
          </w:p>
        </w:tc>
        <w:tc>
          <w:tcPr>
            <w:tcW w:w="672"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6" w:type="dxa"/>
            <w:shd w:val="clear" w:color="auto" w:fill="auto"/>
            <w:vAlign w:val="center"/>
          </w:tcPr>
          <w:p>
            <w:pPr>
              <w:jc w:val="center"/>
              <w:rPr>
                <w:rFonts w:hint="eastAsia" w:ascii="宋体" w:hAnsi="宋体" w:eastAsia="宋体" w:cs="宋体"/>
                <w:i w:val="0"/>
                <w:iCs w:val="0"/>
                <w:color w:val="000000"/>
                <w:sz w:val="18"/>
                <w:szCs w:val="18"/>
                <w:u w:val="none"/>
              </w:rPr>
            </w:pPr>
          </w:p>
        </w:tc>
        <w:tc>
          <w:tcPr>
            <w:tcW w:w="4125" w:type="dxa"/>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22"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4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YJV-22-0.6-1KV 3*185+2*95</w:t>
            </w:r>
          </w:p>
        </w:tc>
        <w:tc>
          <w:tcPr>
            <w:tcW w:w="67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96"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41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922" w:type="dxa"/>
            <w:vMerge w:val="continue"/>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41" w:type="dxa"/>
            <w:vMerge w:val="continue"/>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vMerge w:val="continue"/>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12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YJV-22-0.6-1KV 3*120+2*70</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YJV-2x95+1*25</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YJV-2*35+1*16</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922"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4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辅料连接线缆</w:t>
            </w:r>
          </w:p>
        </w:tc>
        <w:tc>
          <w:tcPr>
            <w:tcW w:w="67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96"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41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922" w:type="dxa"/>
            <w:vMerge w:val="continue"/>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41" w:type="dxa"/>
            <w:vMerge w:val="continue"/>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vMerge w:val="continue"/>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12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922" w:type="dxa"/>
            <w:vMerge w:val="continue"/>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41" w:type="dxa"/>
            <w:vMerge w:val="continue"/>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vMerge w:val="continue"/>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12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主电缆穿管DN100钢管</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4125" w:type="dxa"/>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141"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土建、安装施工</w:t>
            </w:r>
          </w:p>
        </w:tc>
        <w:tc>
          <w:tcPr>
            <w:tcW w:w="672"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6" w:type="dxa"/>
            <w:shd w:val="clear" w:color="auto" w:fill="auto"/>
            <w:vAlign w:val="center"/>
          </w:tcPr>
          <w:p>
            <w:pPr>
              <w:jc w:val="center"/>
              <w:rPr>
                <w:rFonts w:hint="eastAsia" w:ascii="宋体" w:hAnsi="宋体" w:eastAsia="宋体" w:cs="宋体"/>
                <w:i w:val="0"/>
                <w:iCs w:val="0"/>
                <w:color w:val="000000"/>
                <w:sz w:val="18"/>
                <w:szCs w:val="18"/>
                <w:u w:val="none"/>
              </w:rPr>
            </w:pPr>
          </w:p>
        </w:tc>
        <w:tc>
          <w:tcPr>
            <w:tcW w:w="4125" w:type="dxa"/>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电缆沟砖路面(含恢复)</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125" w:type="dxa"/>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表层花砖，混凝土垫层，路面恢复及回填，成混凝土路面，开挖断面：4</w:t>
            </w:r>
            <w:r>
              <w:rPr>
                <w:rStyle w:val="94"/>
                <w:rFonts w:eastAsia="宋体"/>
                <w:lang w:val="en-US" w:eastAsia="zh-CN" w:bidi="ar"/>
              </w:rPr>
              <w:t>00*500</w:t>
            </w:r>
            <w:r>
              <w:rPr>
                <w:rStyle w:val="8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电缆沟草坪路面（含恢复）</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充电桩绿化带开挖、回填、草坪恢复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二级柜</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户外防水柜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配电室开关改造</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空开及锁止装置更换安装，加装互感器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400KW总控箱基础</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充电桩基础制作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直流充电桩基础</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2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交流桩基础制作</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25" w:type="dxa"/>
            <w:vMerge w:val="continue"/>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二级柜基础</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25" w:type="dxa"/>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二级柜安装</w:t>
            </w:r>
          </w:p>
        </w:tc>
        <w:tc>
          <w:tcPr>
            <w:tcW w:w="6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50角钢含人工刷漆焊接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400KW总控箱安装</w:t>
            </w:r>
          </w:p>
        </w:tc>
        <w:tc>
          <w:tcPr>
            <w:tcW w:w="6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直流充电桩安装</w:t>
            </w:r>
          </w:p>
        </w:tc>
        <w:tc>
          <w:tcPr>
            <w:tcW w:w="6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25" w:type="dxa"/>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7KW安装</w:t>
            </w:r>
          </w:p>
        </w:tc>
        <w:tc>
          <w:tcPr>
            <w:tcW w:w="6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25" w:type="dxa"/>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车阻器制作</w:t>
            </w:r>
          </w:p>
        </w:tc>
        <w:tc>
          <w:tcPr>
            <w:tcW w:w="6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水钻打孔3.5厚国标钢管及弯头附件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充电桩基础刷漆</w:t>
            </w:r>
          </w:p>
        </w:tc>
        <w:tc>
          <w:tcPr>
            <w:tcW w:w="6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环氧地坪漆厚度&gt;2mm 含车位线、编号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接地网</w:t>
            </w:r>
          </w:p>
        </w:tc>
        <w:tc>
          <w:tcPr>
            <w:tcW w:w="6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所有充电桩及二级柜40热镀锌扁铁链接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低压线缆绝缘测试</w:t>
            </w:r>
          </w:p>
        </w:tc>
        <w:tc>
          <w:tcPr>
            <w:tcW w:w="6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25" w:type="dxa"/>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出线制作防水处理</w:t>
            </w:r>
          </w:p>
        </w:tc>
        <w:tc>
          <w:tcPr>
            <w:tcW w:w="6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25" w:type="dxa"/>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垃圾清运</w:t>
            </w:r>
          </w:p>
        </w:tc>
        <w:tc>
          <w:tcPr>
            <w:tcW w:w="6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25" w:type="dxa"/>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防火封堵</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处</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4125" w:type="dxa"/>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不锈钢背发光字立牌</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套</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50*150（cm）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三</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充电设备</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400KW一拖10充电桩</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套</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w:t>
            </w:r>
          </w:p>
        </w:tc>
        <w:tc>
          <w:tcPr>
            <w:tcW w:w="21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7KW交流单枪充电桩</w:t>
            </w:r>
          </w:p>
        </w:tc>
        <w:tc>
          <w:tcPr>
            <w:tcW w:w="67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套</w:t>
            </w:r>
          </w:p>
        </w:tc>
        <w:tc>
          <w:tcPr>
            <w:tcW w:w="129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11</w:t>
            </w:r>
          </w:p>
        </w:tc>
        <w:tc>
          <w:tcPr>
            <w:tcW w:w="41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bl>
    <w:p/>
    <w:p>
      <w:pPr>
        <w:rPr>
          <w:rFonts w:ascii="Arial"/>
        </w:rPr>
      </w:pPr>
    </w:p>
    <w:p>
      <w:pPr>
        <w:pStyle w:val="3"/>
        <w:numPr>
          <w:ilvl w:val="0"/>
          <w:numId w:val="25"/>
        </w:numPr>
      </w:pPr>
      <w:r>
        <w:rPr>
          <w:rFonts w:hint="eastAsia" w:asciiTheme="minorEastAsia" w:hAnsiTheme="minorEastAsia" w:cstheme="minorEastAsia"/>
          <w:sz w:val="24"/>
          <w:szCs w:val="24"/>
        </w:rPr>
        <w:t xml:space="preserve"> </w:t>
      </w:r>
      <w:bookmarkStart w:id="105" w:name="_Toc13075"/>
      <w:bookmarkStart w:id="106" w:name="_Toc13124"/>
      <w:bookmarkStart w:id="107" w:name="_Toc8187"/>
      <w:bookmarkStart w:id="108" w:name="_Toc31529"/>
      <w:r>
        <w:t>合同专用条款</w:t>
      </w:r>
      <w:bookmarkEnd w:id="105"/>
      <w:bookmarkEnd w:id="106"/>
      <w:bookmarkEnd w:id="107"/>
      <w:bookmarkEnd w:id="108"/>
    </w:p>
    <w:p>
      <w:pPr>
        <w:jc w:val="center"/>
        <w:rPr>
          <w:sz w:val="24"/>
          <w:szCs w:val="24"/>
        </w:rPr>
      </w:pPr>
      <w:r>
        <w:rPr>
          <w:rFonts w:hint="eastAsia"/>
          <w:b/>
          <w:bCs/>
          <w:sz w:val="24"/>
          <w:szCs w:val="24"/>
        </w:rPr>
        <w:t>（参考合同）</w:t>
      </w:r>
    </w:p>
    <w:p>
      <w:pPr>
        <w:spacing w:line="360" w:lineRule="auto"/>
        <w:rPr>
          <w:rFonts w:ascii="宋体" w:hAnsi="宋体" w:cs="仿宋_GB2312"/>
          <w:color w:val="000000"/>
          <w:sz w:val="24"/>
          <w:szCs w:val="24"/>
        </w:rPr>
      </w:pPr>
      <w:r>
        <w:rPr>
          <w:rFonts w:hint="eastAsia" w:ascii="宋体" w:hAnsi="宋体" w:cs="仿宋_GB2312"/>
          <w:color w:val="000000"/>
          <w:sz w:val="24"/>
          <w:szCs w:val="24"/>
        </w:rPr>
        <w:t>甲方：西安医学院</w:t>
      </w:r>
    </w:p>
    <w:p>
      <w:pPr>
        <w:spacing w:line="360" w:lineRule="auto"/>
        <w:rPr>
          <w:rFonts w:ascii="宋体" w:hAnsi="宋体" w:cs="仿宋_GB2312"/>
          <w:color w:val="000000"/>
          <w:sz w:val="24"/>
          <w:szCs w:val="24"/>
        </w:rPr>
      </w:pPr>
      <w:r>
        <w:rPr>
          <w:rFonts w:hint="eastAsia" w:ascii="宋体" w:hAnsi="宋体" w:cs="仿宋_GB2312"/>
          <w:color w:val="000000"/>
          <w:sz w:val="24"/>
          <w:szCs w:val="24"/>
        </w:rPr>
        <w:t>乙方：</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甲方所需工程，按照采购程序，确定乙方为中标供应商。依据《中华人民共和国政府采购法》及实施条例、《中华人民共和国招标投标法》及实施条例、《中华人民共和国民法典》、中标供应商响应文件、中标通知书，经甲、乙双方协商，达成如下条款。</w:t>
      </w:r>
    </w:p>
    <w:p>
      <w:pPr>
        <w:tabs>
          <w:tab w:val="left" w:pos="480"/>
        </w:tabs>
        <w:spacing w:line="360" w:lineRule="auto"/>
        <w:rPr>
          <w:rFonts w:ascii="宋体" w:hAnsi="宋体" w:cs="仿宋_GB2312"/>
          <w:b/>
          <w:color w:val="000000"/>
          <w:sz w:val="24"/>
          <w:szCs w:val="24"/>
        </w:rPr>
      </w:pPr>
      <w:r>
        <w:rPr>
          <w:rFonts w:hint="eastAsia" w:ascii="宋体" w:hAnsi="宋体" w:cs="仿宋_GB2312"/>
          <w:b/>
          <w:color w:val="000000"/>
          <w:sz w:val="24"/>
          <w:szCs w:val="24"/>
        </w:rPr>
        <w:t>一、合同标的物内容及数量</w:t>
      </w:r>
    </w:p>
    <w:p>
      <w:pPr>
        <w:tabs>
          <w:tab w:val="left" w:pos="480"/>
        </w:tabs>
        <w:spacing w:line="360" w:lineRule="auto"/>
        <w:rPr>
          <w:rFonts w:ascii="宋体" w:hAnsi="宋体" w:cs="仿宋_GB2312"/>
          <w:color w:val="000000"/>
          <w:sz w:val="24"/>
          <w:szCs w:val="24"/>
        </w:rPr>
      </w:pPr>
      <w:r>
        <w:rPr>
          <w:rFonts w:hint="eastAsia" w:ascii="宋体" w:hAnsi="宋体" w:cs="仿宋_GB2312"/>
          <w:color w:val="000000"/>
          <w:sz w:val="24"/>
          <w:szCs w:val="24"/>
        </w:rPr>
        <w:t>（一）合同总价</w:t>
      </w:r>
    </w:p>
    <w:tbl>
      <w:tblPr>
        <w:tblStyle w:val="25"/>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211"/>
        <w:gridCol w:w="96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93"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序号</w:t>
            </w:r>
          </w:p>
        </w:tc>
        <w:tc>
          <w:tcPr>
            <w:tcW w:w="4211"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名称</w:t>
            </w:r>
          </w:p>
        </w:tc>
        <w:tc>
          <w:tcPr>
            <w:tcW w:w="960"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数量</w:t>
            </w:r>
          </w:p>
        </w:tc>
        <w:tc>
          <w:tcPr>
            <w:tcW w:w="2519"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金额合计（小写）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3"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1</w:t>
            </w:r>
          </w:p>
        </w:tc>
        <w:tc>
          <w:tcPr>
            <w:tcW w:w="4211"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***工程</w:t>
            </w:r>
          </w:p>
        </w:tc>
        <w:tc>
          <w:tcPr>
            <w:tcW w:w="960"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1项</w:t>
            </w:r>
          </w:p>
        </w:tc>
        <w:tc>
          <w:tcPr>
            <w:tcW w:w="2519"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83" w:type="dxa"/>
            <w:gridSpan w:val="4"/>
            <w:noWrap/>
            <w:vAlign w:val="center"/>
          </w:tcPr>
          <w:p>
            <w:pPr>
              <w:spacing w:line="360" w:lineRule="auto"/>
              <w:rPr>
                <w:rFonts w:ascii="宋体" w:hAnsi="宋体" w:cs="仿宋_GB2312"/>
                <w:color w:val="000000"/>
                <w:sz w:val="24"/>
                <w:szCs w:val="24"/>
              </w:rPr>
            </w:pPr>
            <w:r>
              <w:rPr>
                <w:rFonts w:hint="eastAsia" w:ascii="宋体" w:hAnsi="宋体" w:cs="仿宋_GB2312"/>
                <w:color w:val="000000"/>
                <w:sz w:val="24"/>
                <w:szCs w:val="24"/>
              </w:rPr>
              <w:t>合同金额合计人民币：（小写）元（大写）元整</w:t>
            </w:r>
          </w:p>
        </w:tc>
      </w:tr>
    </w:tbl>
    <w:p>
      <w:pPr>
        <w:tabs>
          <w:tab w:val="left" w:pos="1155"/>
        </w:tabs>
        <w:spacing w:line="360" w:lineRule="auto"/>
        <w:rPr>
          <w:rFonts w:ascii="宋体" w:hAnsi="宋体" w:cs="仿宋_GB2312"/>
          <w:b/>
          <w:color w:val="000000"/>
          <w:sz w:val="24"/>
          <w:szCs w:val="24"/>
        </w:rPr>
      </w:pPr>
      <w:r>
        <w:rPr>
          <w:rFonts w:hint="eastAsia" w:ascii="宋体" w:hAnsi="宋体" w:cs="仿宋_GB2312"/>
          <w:color w:val="000000"/>
          <w:sz w:val="24"/>
          <w:szCs w:val="24"/>
        </w:rPr>
        <w:t>（二）工程量清单</w:t>
      </w:r>
      <w:r>
        <w:rPr>
          <w:rFonts w:hint="eastAsia" w:ascii="宋体" w:hAnsi="宋体" w:cs="仿宋_GB2312"/>
          <w:b/>
          <w:color w:val="000000"/>
          <w:sz w:val="24"/>
          <w:szCs w:val="24"/>
        </w:rPr>
        <w:t>（以下格式仅做参考，可自行拟定）</w:t>
      </w:r>
    </w:p>
    <w:tbl>
      <w:tblPr>
        <w:tblStyle w:val="25"/>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42"/>
        <w:gridCol w:w="2035"/>
        <w:gridCol w:w="1157"/>
        <w:gridCol w:w="1157"/>
        <w:gridCol w:w="1354"/>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序号</w:t>
            </w: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名称</w:t>
            </w: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规格参数</w:t>
            </w: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数量</w:t>
            </w: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单价</w:t>
            </w: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合计</w:t>
            </w: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合计</w:t>
            </w: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bl>
    <w:p>
      <w:pPr>
        <w:tabs>
          <w:tab w:val="left" w:pos="480"/>
        </w:tabs>
        <w:spacing w:line="360" w:lineRule="auto"/>
        <w:rPr>
          <w:rFonts w:ascii="宋体" w:hAnsi="宋体" w:cs="仿宋_GB2312"/>
          <w:b/>
          <w:color w:val="000000"/>
          <w:sz w:val="24"/>
          <w:szCs w:val="24"/>
        </w:rPr>
      </w:pPr>
      <w:r>
        <w:rPr>
          <w:rFonts w:hint="eastAsia" w:ascii="宋体" w:hAnsi="宋体" w:cs="仿宋_GB2312"/>
          <w:b/>
          <w:color w:val="000000"/>
          <w:sz w:val="24"/>
          <w:szCs w:val="24"/>
        </w:rPr>
        <w:t>（三）所投核心设备及主材品牌清单（以下格式仅做参考，可自行拟定）</w:t>
      </w:r>
    </w:p>
    <w:tbl>
      <w:tblPr>
        <w:tblStyle w:val="25"/>
        <w:tblW w:w="8820" w:type="dxa"/>
        <w:tblInd w:w="0" w:type="dxa"/>
        <w:tblLayout w:type="fixed"/>
        <w:tblCellMar>
          <w:top w:w="15" w:type="dxa"/>
          <w:left w:w="15" w:type="dxa"/>
          <w:bottom w:w="15" w:type="dxa"/>
          <w:right w:w="15" w:type="dxa"/>
        </w:tblCellMar>
      </w:tblPr>
      <w:tblGrid>
        <w:gridCol w:w="789"/>
        <w:gridCol w:w="1549"/>
        <w:gridCol w:w="2672"/>
        <w:gridCol w:w="1560"/>
        <w:gridCol w:w="1329"/>
        <w:gridCol w:w="921"/>
      </w:tblGrid>
      <w:tr>
        <w:tblPrEx>
          <w:tblCellMar>
            <w:top w:w="15" w:type="dxa"/>
            <w:left w:w="15" w:type="dxa"/>
            <w:bottom w:w="15" w:type="dxa"/>
            <w:right w:w="15" w:type="dxa"/>
          </w:tblCellMar>
        </w:tblPrEx>
        <w:trPr>
          <w:trHeight w:val="639" w:hRule="atLeast"/>
        </w:trPr>
        <w:tc>
          <w:tcPr>
            <w:tcW w:w="7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序号</w:t>
            </w:r>
          </w:p>
        </w:tc>
        <w:tc>
          <w:tcPr>
            <w:tcW w:w="154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ascii="宋体" w:hAnsi="宋体" w:cs="宋体"/>
                <w:b/>
                <w:color w:val="000000"/>
                <w:sz w:val="24"/>
                <w:szCs w:val="24"/>
              </w:rPr>
            </w:pPr>
            <w:r>
              <w:rPr>
                <w:rFonts w:hint="eastAsia" w:ascii="宋体" w:hAnsi="宋体" w:cs="宋体"/>
                <w:b/>
                <w:color w:val="000000"/>
                <w:kern w:val="0"/>
                <w:sz w:val="24"/>
                <w:szCs w:val="24"/>
              </w:rPr>
              <w:t>产品名称</w:t>
            </w:r>
          </w:p>
        </w:tc>
        <w:tc>
          <w:tcPr>
            <w:tcW w:w="26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产品规格</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品牌</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单位</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备注</w:t>
            </w:r>
          </w:p>
        </w:tc>
      </w:tr>
      <w:tr>
        <w:tblPrEx>
          <w:tblCellMar>
            <w:top w:w="15" w:type="dxa"/>
            <w:left w:w="15" w:type="dxa"/>
            <w:bottom w:w="15" w:type="dxa"/>
            <w:right w:w="15" w:type="dxa"/>
          </w:tblCellMar>
        </w:tblPrEx>
        <w:trPr>
          <w:trHeight w:val="394" w:hRule="atLeast"/>
        </w:trPr>
        <w:tc>
          <w:tcPr>
            <w:tcW w:w="7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ascii="宋体" w:hAnsi="宋体" w:cs="宋体"/>
                <w:color w:val="000000"/>
                <w:sz w:val="24"/>
                <w:szCs w:val="24"/>
              </w:rPr>
            </w:pPr>
          </w:p>
        </w:tc>
        <w:tc>
          <w:tcPr>
            <w:tcW w:w="267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r>
      <w:tr>
        <w:tblPrEx>
          <w:tblCellMar>
            <w:top w:w="15" w:type="dxa"/>
            <w:left w:w="15" w:type="dxa"/>
            <w:bottom w:w="15" w:type="dxa"/>
            <w:right w:w="15" w:type="dxa"/>
          </w:tblCellMar>
        </w:tblPrEx>
        <w:trPr>
          <w:trHeight w:val="394" w:hRule="atLeast"/>
        </w:trPr>
        <w:tc>
          <w:tcPr>
            <w:tcW w:w="7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ascii="宋体" w:hAnsi="宋体" w:cs="宋体"/>
                <w:color w:val="000000"/>
                <w:sz w:val="24"/>
                <w:szCs w:val="24"/>
              </w:rPr>
            </w:pPr>
          </w:p>
        </w:tc>
        <w:tc>
          <w:tcPr>
            <w:tcW w:w="267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r>
      <w:tr>
        <w:tblPrEx>
          <w:tblCellMar>
            <w:top w:w="15" w:type="dxa"/>
            <w:left w:w="15" w:type="dxa"/>
            <w:bottom w:w="15" w:type="dxa"/>
            <w:right w:w="15" w:type="dxa"/>
          </w:tblCellMar>
        </w:tblPrEx>
        <w:trPr>
          <w:trHeight w:val="394" w:hRule="atLeast"/>
        </w:trPr>
        <w:tc>
          <w:tcPr>
            <w:tcW w:w="7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ascii="宋体" w:hAnsi="宋体" w:cs="宋体"/>
                <w:color w:val="000000"/>
                <w:sz w:val="24"/>
                <w:szCs w:val="24"/>
              </w:rPr>
            </w:pPr>
          </w:p>
        </w:tc>
        <w:tc>
          <w:tcPr>
            <w:tcW w:w="267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r>
    </w:tbl>
    <w:p>
      <w:pPr>
        <w:tabs>
          <w:tab w:val="left" w:pos="480"/>
        </w:tabs>
        <w:spacing w:line="360" w:lineRule="auto"/>
        <w:rPr>
          <w:rFonts w:ascii="宋体" w:hAnsi="宋体" w:cs="仿宋_GB2312"/>
          <w:b/>
          <w:color w:val="000000"/>
          <w:sz w:val="24"/>
          <w:szCs w:val="24"/>
        </w:rPr>
      </w:pPr>
      <w:r>
        <w:rPr>
          <w:rFonts w:hint="eastAsia" w:ascii="宋体" w:hAnsi="宋体" w:cs="仿宋_GB2312"/>
          <w:b/>
          <w:color w:val="000000"/>
          <w:sz w:val="24"/>
          <w:szCs w:val="24"/>
        </w:rPr>
        <w:t>二、质保期</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自验收之日算起，按《</w:t>
      </w:r>
      <w:r>
        <w:rPr>
          <w:rFonts w:ascii="宋体" w:hAnsi="宋体" w:cs="仿宋_GB2312"/>
          <w:color w:val="000000"/>
          <w:sz w:val="24"/>
          <w:szCs w:val="24"/>
        </w:rPr>
        <w:t>建设工程质量管理条例</w:t>
      </w:r>
      <w:r>
        <w:rPr>
          <w:rFonts w:hint="eastAsia" w:ascii="宋体" w:hAnsi="宋体" w:cs="仿宋_GB2312"/>
          <w:color w:val="000000"/>
          <w:sz w:val="24"/>
          <w:szCs w:val="24"/>
        </w:rPr>
        <w:t>》</w:t>
      </w:r>
      <w:r>
        <w:rPr>
          <w:rFonts w:ascii="宋体" w:hAnsi="宋体" w:cs="仿宋_GB2312"/>
          <w:color w:val="000000"/>
          <w:sz w:val="24"/>
          <w:szCs w:val="24"/>
        </w:rPr>
        <w:t>》第</w:t>
      </w:r>
      <w:r>
        <w:rPr>
          <w:rFonts w:hint="eastAsia" w:ascii="宋体" w:hAnsi="宋体" w:cs="仿宋_GB2312"/>
          <w:color w:val="000000"/>
          <w:sz w:val="24"/>
          <w:szCs w:val="24"/>
        </w:rPr>
        <w:t>三十二条</w:t>
      </w:r>
      <w:r>
        <w:rPr>
          <w:rFonts w:ascii="宋体" w:hAnsi="宋体" w:cs="仿宋_GB2312"/>
          <w:color w:val="000000"/>
          <w:sz w:val="24"/>
          <w:szCs w:val="24"/>
        </w:rPr>
        <w:t>规定：施工单位对施工中出现质量问题的建设工程或者竣工验收不合格的建设工程，应当负责返</w:t>
      </w:r>
      <w:r>
        <w:rPr>
          <w:rFonts w:hint="eastAsia" w:ascii="宋体" w:hAnsi="宋体" w:cs="仿宋_GB2312"/>
          <w:color w:val="000000"/>
          <w:sz w:val="24"/>
          <w:szCs w:val="24"/>
        </w:rPr>
        <w:t>修且工期不顺延，由此产生的费用及造成的损失，乙方自行承担。</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自验收合格之日</w:t>
      </w:r>
      <w:r>
        <w:rPr>
          <w:rFonts w:hint="eastAsia" w:ascii="宋体" w:hAnsi="宋体" w:cs="仿宋_GB2312"/>
          <w:color w:val="000000"/>
          <w:sz w:val="24"/>
          <w:szCs w:val="24"/>
          <w:u w:val="single"/>
        </w:rPr>
        <w:t>起     年（根据成交单位响应文件）</w:t>
      </w:r>
      <w:r>
        <w:rPr>
          <w:rFonts w:hint="eastAsia" w:ascii="宋体" w:hAnsi="宋体" w:cs="仿宋_GB2312"/>
          <w:color w:val="000000"/>
          <w:sz w:val="24"/>
          <w:szCs w:val="24"/>
        </w:rPr>
        <w:t>。</w:t>
      </w:r>
    </w:p>
    <w:p>
      <w:pPr>
        <w:tabs>
          <w:tab w:val="left" w:pos="1155"/>
        </w:tabs>
        <w:spacing w:line="360" w:lineRule="auto"/>
        <w:rPr>
          <w:rFonts w:ascii="宋体" w:hAnsi="宋体" w:cs="仿宋_GB2312"/>
          <w:b/>
          <w:color w:val="000000"/>
          <w:sz w:val="24"/>
          <w:szCs w:val="24"/>
        </w:rPr>
      </w:pPr>
      <w:r>
        <w:rPr>
          <w:rFonts w:hint="eastAsia" w:ascii="宋体" w:hAnsi="宋体" w:cs="仿宋_GB2312"/>
          <w:b/>
          <w:color w:val="000000"/>
          <w:sz w:val="24"/>
          <w:szCs w:val="24"/>
        </w:rPr>
        <w:t>三、施工条件</w:t>
      </w:r>
    </w:p>
    <w:p>
      <w:pPr>
        <w:tabs>
          <w:tab w:val="left" w:pos="1155"/>
        </w:tabs>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（一）施工地点：西安医学院指定地点</w:t>
      </w:r>
    </w:p>
    <w:p>
      <w:pPr>
        <w:spacing w:line="360" w:lineRule="auto"/>
        <w:ind w:firstLine="480" w:firstLineChars="200"/>
        <w:rPr>
          <w:rFonts w:ascii="宋体" w:hAnsi="宋体" w:cs="仿宋_GB2312"/>
          <w:bCs/>
          <w:color w:val="000000"/>
          <w:sz w:val="24"/>
          <w:szCs w:val="24"/>
        </w:rPr>
      </w:pPr>
      <w:r>
        <w:rPr>
          <w:rFonts w:hint="eastAsia" w:ascii="宋体" w:hAnsi="宋体" w:cs="仿宋_GB2312"/>
          <w:color w:val="000000"/>
          <w:sz w:val="24"/>
          <w:szCs w:val="24"/>
        </w:rPr>
        <w:t>（二）工期：自合同签订之日起</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个日历日内完成全部项目施工并交付甲方使用，每推迟1天扣合同总价的3‰ 。累计超过45天的，视为乙方根本违约，甲方有权单方解除合同（合同自书面解除通知送达乙方之日起解除），乙方应赔偿解除合同给甲方造成的全部损失（包括但不限于重新采购产生的费用、合同未履行导致工程不能按规划交付使用可能产生的租赁费用）。还应按合同总价款的30%支付违约金。</w:t>
      </w:r>
    </w:p>
    <w:p>
      <w:pPr>
        <w:tabs>
          <w:tab w:val="left" w:pos="480"/>
        </w:tabs>
        <w:spacing w:line="360" w:lineRule="auto"/>
        <w:rPr>
          <w:rFonts w:ascii="宋体" w:hAnsi="宋体" w:cs="仿宋_GB2312"/>
          <w:b/>
          <w:color w:val="000000"/>
          <w:sz w:val="24"/>
          <w:szCs w:val="24"/>
        </w:rPr>
      </w:pPr>
      <w:r>
        <w:rPr>
          <w:rFonts w:hint="eastAsia" w:ascii="宋体" w:hAnsi="宋体" w:cs="仿宋_GB2312"/>
          <w:b/>
          <w:color w:val="000000"/>
          <w:sz w:val="24"/>
          <w:szCs w:val="24"/>
        </w:rPr>
        <w:t>四、合同总价</w:t>
      </w:r>
    </w:p>
    <w:p>
      <w:pPr>
        <w:tabs>
          <w:tab w:val="left" w:pos="480"/>
        </w:tabs>
        <w:spacing w:line="360" w:lineRule="auto"/>
        <w:ind w:firstLine="480" w:firstLineChars="200"/>
        <w:rPr>
          <w:rFonts w:ascii="宋体" w:hAnsi="宋体" w:cs="仿宋_GB2312"/>
          <w:bCs/>
          <w:color w:val="000000"/>
          <w:sz w:val="24"/>
          <w:szCs w:val="24"/>
        </w:rPr>
      </w:pPr>
      <w:r>
        <w:rPr>
          <w:rFonts w:hint="eastAsia" w:ascii="宋体" w:hAnsi="宋体" w:cs="仿宋_GB2312"/>
          <w:bCs/>
          <w:color w:val="000000"/>
          <w:sz w:val="24"/>
          <w:szCs w:val="24"/>
        </w:rPr>
        <w:t>（一）合同总价款人民币：</w:t>
      </w:r>
      <w:r>
        <w:rPr>
          <w:rFonts w:hint="eastAsia" w:ascii="宋体" w:hAnsi="宋体" w:cs="仿宋_GB2312"/>
          <w:color w:val="000000"/>
          <w:sz w:val="24"/>
          <w:szCs w:val="24"/>
        </w:rPr>
        <w:t>（小写） 元（大写） 元整。</w:t>
      </w:r>
    </w:p>
    <w:p>
      <w:pPr>
        <w:tabs>
          <w:tab w:val="left" w:pos="480"/>
        </w:tabs>
        <w:spacing w:line="360" w:lineRule="auto"/>
        <w:ind w:firstLine="480" w:firstLineChars="200"/>
        <w:rPr>
          <w:rFonts w:ascii="宋体" w:hAnsi="宋体" w:cs="仿宋_GB2312"/>
          <w:bCs/>
          <w:color w:val="000000"/>
          <w:sz w:val="24"/>
          <w:szCs w:val="24"/>
        </w:rPr>
      </w:pPr>
      <w:r>
        <w:rPr>
          <w:rFonts w:hint="eastAsia" w:ascii="宋体" w:hAnsi="宋体" w:cs="仿宋_GB2312"/>
          <w:bCs/>
          <w:color w:val="000000"/>
          <w:sz w:val="24"/>
          <w:szCs w:val="24"/>
        </w:rPr>
        <w:t>（二）合同总价包括：设备及材料供应费、运杂费、安装费、人工费、检测费、调试费、验收、税费等费用。</w:t>
      </w:r>
    </w:p>
    <w:p>
      <w:pPr>
        <w:tabs>
          <w:tab w:val="left" w:pos="480"/>
        </w:tabs>
        <w:spacing w:line="360" w:lineRule="auto"/>
        <w:ind w:firstLine="480" w:firstLineChars="200"/>
        <w:rPr>
          <w:rFonts w:ascii="宋体" w:hAnsi="宋体" w:cs="仿宋_GB2312"/>
          <w:bCs/>
          <w:color w:val="000000"/>
          <w:sz w:val="24"/>
          <w:szCs w:val="24"/>
          <w:highlight w:val="yellow"/>
        </w:rPr>
      </w:pPr>
      <w:r>
        <w:rPr>
          <w:rFonts w:hint="eastAsia" w:ascii="宋体" w:hAnsi="宋体" w:cs="仿宋_GB2312"/>
          <w:bCs/>
          <w:color w:val="000000"/>
          <w:sz w:val="24"/>
          <w:szCs w:val="24"/>
        </w:rPr>
        <w:t>（三）</w:t>
      </w:r>
      <w:r>
        <w:rPr>
          <w:rFonts w:hint="eastAsia" w:ascii="宋体" w:hAnsi="宋体" w:cs="仿宋_GB2312"/>
          <w:bCs/>
          <w:color w:val="000000"/>
          <w:kern w:val="36"/>
          <w:sz w:val="24"/>
          <w:szCs w:val="24"/>
        </w:rPr>
        <w:t>本工程结算方式：以固定综合单价方式结算，最终工程总价款以甲方审计为准</w:t>
      </w:r>
      <w:r>
        <w:rPr>
          <w:rFonts w:hint="eastAsia" w:ascii="宋体" w:hAnsi="宋体" w:cs="仿宋_GB2312"/>
          <w:bCs/>
          <w:color w:val="000000"/>
          <w:sz w:val="24"/>
          <w:szCs w:val="24"/>
        </w:rPr>
        <w:t>。</w:t>
      </w:r>
    </w:p>
    <w:p>
      <w:pPr>
        <w:spacing w:line="360" w:lineRule="auto"/>
        <w:rPr>
          <w:rFonts w:ascii="宋体" w:hAnsi="宋体" w:cs="仿宋_GB2312"/>
          <w:b/>
          <w:color w:val="000000"/>
          <w:sz w:val="24"/>
          <w:szCs w:val="24"/>
        </w:rPr>
      </w:pPr>
      <w:r>
        <w:rPr>
          <w:rFonts w:hint="eastAsia" w:ascii="宋体" w:hAnsi="宋体" w:cs="仿宋_GB2312"/>
          <w:b/>
          <w:color w:val="000000"/>
          <w:sz w:val="24"/>
          <w:szCs w:val="24"/>
        </w:rPr>
        <w:t>五、款项结算：</w:t>
      </w:r>
    </w:p>
    <w:p>
      <w:pPr>
        <w:tabs>
          <w:tab w:val="left" w:pos="1155"/>
        </w:tabs>
        <w:spacing w:line="360" w:lineRule="auto"/>
        <w:ind w:firstLine="480" w:firstLineChars="200"/>
        <w:rPr>
          <w:rFonts w:ascii="宋体" w:hAnsi="宋体" w:cs="仿宋_GB2312"/>
          <w:bCs/>
          <w:sz w:val="24"/>
          <w:szCs w:val="24"/>
        </w:rPr>
      </w:pPr>
      <w:r>
        <w:rPr>
          <w:rFonts w:hint="eastAsia" w:ascii="宋体" w:hAnsi="宋体" w:cs="仿宋_GB2312"/>
          <w:bCs/>
          <w:color w:val="000000"/>
          <w:sz w:val="24"/>
          <w:szCs w:val="24"/>
        </w:rPr>
        <w:t>（一）付款方</w:t>
      </w:r>
      <w:r>
        <w:rPr>
          <w:rFonts w:hint="eastAsia" w:ascii="宋体" w:hAnsi="宋体" w:cs="仿宋_GB2312"/>
          <w:bCs/>
          <w:sz w:val="24"/>
          <w:szCs w:val="24"/>
        </w:rPr>
        <w:t>式：</w:t>
      </w:r>
    </w:p>
    <w:p>
      <w:pPr>
        <w:spacing w:line="360" w:lineRule="auto"/>
        <w:ind w:firstLine="470" w:firstLineChars="196"/>
        <w:rPr>
          <w:rFonts w:ascii="宋体" w:hAnsi="宋体" w:cs="仿宋_GB2312"/>
          <w:color w:val="000000"/>
          <w:sz w:val="24"/>
          <w:szCs w:val="24"/>
          <w:highlight w:val="yellow"/>
        </w:rPr>
      </w:pPr>
      <w:r>
        <w:rPr>
          <w:rFonts w:hint="eastAsia" w:ascii="宋体" w:hAnsi="宋体" w:cs="仿宋_GB2312"/>
          <w:color w:val="000000"/>
          <w:sz w:val="24"/>
          <w:szCs w:val="24"/>
          <w:highlight w:val="none"/>
          <w:lang w:val="en-US" w:eastAsia="zh-CN"/>
        </w:rPr>
        <w:t>工程验收合格后付80%，审计完成付至审计结果的95%，剩余两年质保期满后无息支付。</w:t>
      </w:r>
    </w:p>
    <w:p>
      <w:pPr>
        <w:spacing w:line="360" w:lineRule="auto"/>
        <w:ind w:firstLine="480" w:firstLineChars="200"/>
        <w:rPr>
          <w:rFonts w:ascii="宋体" w:hAnsi="宋体" w:cs="宋体"/>
          <w:bCs/>
          <w:kern w:val="36"/>
          <w:sz w:val="24"/>
          <w:szCs w:val="24"/>
        </w:rPr>
      </w:pPr>
      <w:r>
        <w:rPr>
          <w:rFonts w:hint="eastAsia" w:ascii="宋体" w:hAnsi="宋体" w:cs="仿宋_GB2312"/>
          <w:color w:val="000000"/>
          <w:sz w:val="24"/>
          <w:szCs w:val="24"/>
        </w:rPr>
        <w:t>在下列情况下，并追究乙方相应法律责任：乙方未能按合同工期竣工，施工质量不合格，未使用规定范围内的材料，使用假冒伪劣材料，因乙方施工安全及其它原因造成甲方损失等。</w:t>
      </w:r>
    </w:p>
    <w:p>
      <w:pPr>
        <w:spacing w:line="360" w:lineRule="auto"/>
        <w:ind w:firstLine="470" w:firstLineChars="196"/>
        <w:rPr>
          <w:rFonts w:ascii="宋体" w:hAnsi="宋体" w:cs="仿宋_GB2312"/>
          <w:bCs/>
          <w:color w:val="000000"/>
          <w:kern w:val="36"/>
          <w:sz w:val="24"/>
          <w:szCs w:val="24"/>
        </w:rPr>
      </w:pPr>
      <w:r>
        <w:rPr>
          <w:rFonts w:hint="eastAsia" w:ascii="宋体" w:hAnsi="宋体" w:cs="仿宋_GB2312"/>
          <w:bCs/>
          <w:color w:val="000000"/>
          <w:kern w:val="36"/>
          <w:sz w:val="24"/>
          <w:szCs w:val="24"/>
        </w:rPr>
        <w:t>（二）支付方式：银行转账。</w:t>
      </w:r>
    </w:p>
    <w:p>
      <w:pPr>
        <w:tabs>
          <w:tab w:val="left" w:pos="1155"/>
        </w:tabs>
        <w:spacing w:line="360" w:lineRule="auto"/>
        <w:ind w:firstLine="480" w:firstLineChars="200"/>
        <w:rPr>
          <w:rFonts w:ascii="宋体" w:hAnsi="宋体" w:cs="仿宋_GB2312"/>
          <w:b/>
          <w:color w:val="000000"/>
          <w:sz w:val="24"/>
          <w:szCs w:val="24"/>
        </w:rPr>
      </w:pPr>
      <w:r>
        <w:rPr>
          <w:rFonts w:hint="eastAsia" w:ascii="宋体" w:hAnsi="宋体" w:cs="仿宋_GB2312"/>
          <w:bCs/>
          <w:color w:val="000000"/>
          <w:kern w:val="36"/>
          <w:sz w:val="24"/>
          <w:szCs w:val="24"/>
        </w:rPr>
        <w:t>（三）结算方式：以固定综合单价方式结算，最终工程总价款以甲方审计为准。</w:t>
      </w:r>
    </w:p>
    <w:p>
      <w:pPr>
        <w:spacing w:line="360" w:lineRule="auto"/>
        <w:rPr>
          <w:rFonts w:ascii="宋体" w:hAnsi="宋体" w:cs="仿宋_GB2312"/>
          <w:b/>
          <w:color w:val="000000"/>
          <w:sz w:val="24"/>
          <w:szCs w:val="24"/>
        </w:rPr>
      </w:pPr>
      <w:r>
        <w:rPr>
          <w:rFonts w:hint="eastAsia" w:ascii="宋体" w:hAnsi="宋体" w:cs="仿宋_GB2312"/>
          <w:b/>
          <w:color w:val="000000"/>
          <w:sz w:val="24"/>
          <w:szCs w:val="24"/>
        </w:rPr>
        <w:t>六、双方的权利和义务：</w:t>
      </w:r>
    </w:p>
    <w:p>
      <w:pPr>
        <w:spacing w:line="360" w:lineRule="auto"/>
        <w:ind w:firstLine="470" w:firstLineChars="196"/>
        <w:rPr>
          <w:rFonts w:ascii="宋体" w:hAnsi="宋体" w:cs="仿宋_GB2312"/>
          <w:bCs/>
          <w:color w:val="000000"/>
          <w:sz w:val="24"/>
          <w:szCs w:val="24"/>
        </w:rPr>
      </w:pPr>
      <w:r>
        <w:rPr>
          <w:rFonts w:hint="eastAsia" w:ascii="宋体" w:hAnsi="宋体" w:cs="仿宋_GB2312"/>
          <w:bCs/>
          <w:color w:val="000000"/>
          <w:sz w:val="24"/>
          <w:szCs w:val="24"/>
        </w:rPr>
        <w:t>（一）甲方的权利和义务</w:t>
      </w:r>
    </w:p>
    <w:p>
      <w:pPr>
        <w:spacing w:line="360" w:lineRule="auto"/>
        <w:ind w:firstLine="470" w:firstLineChars="196"/>
        <w:rPr>
          <w:rFonts w:ascii="宋体" w:hAnsi="宋体" w:cs="仿宋_GB2312"/>
          <w:bCs/>
          <w:color w:val="000000"/>
          <w:kern w:val="36"/>
          <w:sz w:val="24"/>
          <w:szCs w:val="24"/>
        </w:rPr>
      </w:pPr>
      <w:r>
        <w:rPr>
          <w:rFonts w:hint="eastAsia" w:ascii="宋体" w:hAnsi="宋体" w:cs="仿宋_GB2312"/>
          <w:bCs/>
          <w:color w:val="000000"/>
          <w:kern w:val="36"/>
          <w:sz w:val="24"/>
          <w:szCs w:val="24"/>
        </w:rPr>
        <w:t>1、甲方向乙方施工现场提供水、电保障，</w:t>
      </w:r>
      <w:r>
        <w:rPr>
          <w:rFonts w:hint="eastAsia" w:ascii="宋体" w:hAnsi="宋体" w:cs="仿宋_GB2312"/>
          <w:bCs/>
          <w:color w:val="000000" w:themeColor="text1"/>
          <w:kern w:val="36"/>
          <w:sz w:val="24"/>
          <w:szCs w:val="24"/>
          <w:lang w:eastAsia="zh-CN"/>
          <w14:textFill>
            <w14:solidFill>
              <w14:schemeClr w14:val="tx1"/>
            </w14:solidFill>
          </w14:textFill>
        </w:rPr>
        <w:t>水、电费用由乙方承担，</w:t>
      </w:r>
      <w:r>
        <w:rPr>
          <w:rFonts w:hint="eastAsia" w:ascii="宋体" w:hAnsi="宋体" w:cs="仿宋_GB2312"/>
          <w:bCs/>
          <w:color w:val="000000"/>
          <w:kern w:val="36"/>
          <w:sz w:val="24"/>
          <w:szCs w:val="24"/>
        </w:rPr>
        <w:t>并设置现场监理人员。</w:t>
      </w:r>
    </w:p>
    <w:p>
      <w:pPr>
        <w:spacing w:line="360" w:lineRule="auto"/>
        <w:ind w:firstLine="470" w:firstLineChars="196"/>
        <w:rPr>
          <w:rFonts w:ascii="宋体" w:hAnsi="宋体" w:cs="仿宋_GB2312"/>
          <w:bCs/>
          <w:color w:val="000000"/>
          <w:kern w:val="36"/>
          <w:sz w:val="24"/>
          <w:szCs w:val="24"/>
        </w:rPr>
      </w:pPr>
      <w:r>
        <w:rPr>
          <w:rFonts w:hint="eastAsia" w:ascii="宋体" w:hAnsi="宋体" w:cs="仿宋_GB2312"/>
          <w:bCs/>
          <w:color w:val="000000"/>
          <w:kern w:val="36"/>
          <w:sz w:val="24"/>
          <w:szCs w:val="24"/>
        </w:rPr>
        <w:t>2、由于乙方原因不能按合同约定履约，甲方有权扣留剩余款项，作为对甲方损失的赔偿，剩余款项已付或不足以赔偿甲方损失的，由乙方另行支付。乙方还须按合同总价的30%支付违约金。</w:t>
      </w:r>
    </w:p>
    <w:p>
      <w:pPr>
        <w:spacing w:line="360" w:lineRule="auto"/>
        <w:ind w:firstLine="470" w:firstLineChars="196"/>
        <w:rPr>
          <w:rFonts w:ascii="宋体" w:hAnsi="宋体" w:cs="仿宋_GB2312"/>
          <w:bCs/>
          <w:color w:val="000000"/>
          <w:kern w:val="36"/>
          <w:sz w:val="24"/>
          <w:szCs w:val="24"/>
        </w:rPr>
      </w:pPr>
      <w:r>
        <w:rPr>
          <w:rFonts w:hint="eastAsia" w:ascii="宋体" w:hAnsi="宋体" w:cs="仿宋_GB2312"/>
          <w:bCs/>
          <w:color w:val="000000"/>
          <w:kern w:val="36"/>
          <w:sz w:val="24"/>
          <w:szCs w:val="24"/>
        </w:rPr>
        <w:t>3、甲方应积极配合乙方办理消防设计审查及消防验收手续。</w:t>
      </w:r>
    </w:p>
    <w:p>
      <w:pPr>
        <w:spacing w:line="360" w:lineRule="auto"/>
        <w:ind w:firstLine="470" w:firstLineChars="196"/>
        <w:rPr>
          <w:rFonts w:ascii="宋体" w:hAnsi="宋体" w:cs="仿宋_GB2312"/>
          <w:bCs/>
          <w:color w:val="000000"/>
          <w:sz w:val="24"/>
          <w:szCs w:val="24"/>
        </w:rPr>
      </w:pPr>
      <w:r>
        <w:rPr>
          <w:rFonts w:hint="eastAsia" w:ascii="宋体" w:hAnsi="宋体" w:cs="仿宋_GB2312"/>
          <w:bCs/>
          <w:color w:val="000000"/>
          <w:sz w:val="24"/>
          <w:szCs w:val="24"/>
        </w:rPr>
        <w:t>（二）乙方的权利和义务</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1、乙方进场施工期间应严格遵守《建筑安装工程技术规程》、《建筑安装工人安全操作规程》、《中华人民共和国消防条例》和其他相关的法规、规范，组织施工。</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2、乙方必须设置施工现场安全管理人员及专职安全员，杜绝违规施工，其中乙方施工人员（电工、水工、电气焊工）必须持证上岗。</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3、乙方必须对施工地域环境卫生、人员安全、生产安全、防火安全负全责。灭火器具是进入施工现场的必备条件（自备）。施工现场的各种活动须服从甲方相关部门的管理、监督，同时做好与其它施工人员的交叉作业及配合工作。</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4、乙方必须加强对施工现场的安全监督、管理，对进入现场的易燃材料生产工具应指定专人管理，必要时派人驻守。对当日产生的易燃废料需当日清理出施工现场，堆放到甲方制定区域，当日应及时清理出院，消除安全隐患。</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5、乙方负责办理解决相关工程开工前后的各项必备手续，同时承担相应的费用支出。</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6、乙方施工人员要安全施工，不准赤脚或穿高跟鞋、拖鞋和裙子进入施工场地；高空作业时必须系安全带，佩戴安全帽，不得穿硬底鞋及带钉易打滑的鞋；不准违章指挥，违章作业及冒险作业；不准从高处往下抛投物料；不准酒后上岗。</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7、乙方施工人员要严防火灾，不准在禁止烟火的地方动用明火；要文明施工，不得在施工现场戏耍和打架斗殴；施工现场禁止吸烟；要注意用电安全，电器开关要设箱加锁，不准乱拉乱接电线；要严防破坏，同时按甲方要求做好施工现场的安全围挡，围挡要和甲方大环境匹配，美观、大方、标识清晰、安全警示标语明显，防护措施到位。</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8、违反以上约定者，甲方现场管理人员有权制止其行为并劝其离场，乙方应停工整顿且工期不顺延（停工期间造成的损失由乙方自行承担）。如乙方人员违反以上约定3次，甲方有权单方解除合同，合同自书面解除通知送达乙方之日解除，乙方除应赔偿由此给甲方造成的全部损失外，还应按照合同总价的30%承担违约金。</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9、由于乙方在施工过程中施工组织管理不当违反安全规程、消防安全条例发生安全或火灾事故所造成的安全责任事故、经济损失及人身伤亡，乙方承担全部责任，甲方概不负责。在施工中如发生事故造成甲方财产经济损失、人身伤亡，乙方承担全部责任。</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10、乙方施工材料、沙土、水泥需在甲方指定地点有序堆放，建筑垃圾应24小时内清理倒运，严禁随意乱堆乱放，影响院内大环境及道路畅通。</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11、乙方应在甲方的配合下，全权办理消防设计审查及消防验收手续。</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12、乙方违反上述任一约定，均视为违约，每违反一次扣除合同总价的5%，并承担由此造成的全部损失，累计超过3次的，视为乙方根本违约，甲方有权解除合同，合同自书面解除通知送达乙方之日解除，乙方除应赔偿由此给甲方造成的全部损失外，还应按照合同总价的30%承担违约金。</w:t>
      </w:r>
    </w:p>
    <w:p>
      <w:pPr>
        <w:tabs>
          <w:tab w:val="left" w:pos="480"/>
        </w:tabs>
        <w:spacing w:line="360" w:lineRule="auto"/>
        <w:rPr>
          <w:rFonts w:ascii="宋体" w:hAnsi="宋体" w:cs="仿宋_GB2312"/>
          <w:b/>
          <w:color w:val="000000"/>
          <w:sz w:val="24"/>
          <w:szCs w:val="24"/>
        </w:rPr>
      </w:pPr>
      <w:r>
        <w:rPr>
          <w:rFonts w:hint="eastAsia" w:ascii="宋体" w:hAnsi="宋体" w:cs="仿宋_GB2312"/>
          <w:b/>
          <w:color w:val="000000"/>
          <w:sz w:val="24"/>
          <w:szCs w:val="24"/>
        </w:rPr>
        <w:t>七、运输</w:t>
      </w:r>
    </w:p>
    <w:p>
      <w:pPr>
        <w:tabs>
          <w:tab w:val="left" w:pos="480"/>
        </w:tabs>
        <w:spacing w:line="360" w:lineRule="auto"/>
        <w:ind w:firstLine="480" w:firstLineChars="200"/>
        <w:rPr>
          <w:rFonts w:ascii="宋体" w:hAnsi="宋体" w:cs="仿宋_GB2312"/>
          <w:bCs/>
          <w:color w:val="000000"/>
          <w:sz w:val="24"/>
          <w:szCs w:val="24"/>
        </w:rPr>
      </w:pPr>
      <w:r>
        <w:rPr>
          <w:rFonts w:hint="eastAsia" w:ascii="宋体" w:hAnsi="宋体" w:cs="仿宋_GB2312"/>
          <w:bCs/>
          <w:color w:val="000000"/>
          <w:sz w:val="24"/>
          <w:szCs w:val="24"/>
        </w:rPr>
        <w:t>（一）运输由乙方负责，运杂费已包含在合同总价内，包括从货物供应地点所含的运输费、装卸费、仓储费、保险费等。</w:t>
      </w:r>
    </w:p>
    <w:p>
      <w:pPr>
        <w:tabs>
          <w:tab w:val="left" w:pos="480"/>
        </w:tabs>
        <w:spacing w:line="360" w:lineRule="auto"/>
        <w:ind w:firstLine="480" w:firstLineChars="200"/>
        <w:rPr>
          <w:rFonts w:ascii="宋体" w:hAnsi="宋体" w:cs="仿宋_GB2312"/>
          <w:bCs/>
          <w:color w:val="000000"/>
          <w:sz w:val="24"/>
          <w:szCs w:val="24"/>
        </w:rPr>
      </w:pPr>
      <w:r>
        <w:rPr>
          <w:rFonts w:hint="eastAsia" w:ascii="宋体" w:hAnsi="宋体" w:cs="仿宋_GB2312"/>
          <w:bCs/>
          <w:color w:val="000000"/>
          <w:sz w:val="24"/>
          <w:szCs w:val="24"/>
        </w:rPr>
        <w:t>（二）运输方式由乙方自行选择，但必须保证按期交付。</w:t>
      </w:r>
    </w:p>
    <w:p>
      <w:pPr>
        <w:tabs>
          <w:tab w:val="left" w:pos="1155"/>
        </w:tabs>
        <w:spacing w:line="360" w:lineRule="auto"/>
        <w:rPr>
          <w:rFonts w:ascii="宋体" w:hAnsi="宋体" w:cs="仿宋_GB2312"/>
          <w:b/>
          <w:color w:val="000000"/>
          <w:sz w:val="24"/>
          <w:szCs w:val="24"/>
        </w:rPr>
      </w:pPr>
      <w:r>
        <w:rPr>
          <w:rFonts w:hint="eastAsia" w:ascii="宋体" w:hAnsi="宋体" w:cs="仿宋_GB2312"/>
          <w:b/>
          <w:color w:val="000000"/>
          <w:sz w:val="24"/>
          <w:szCs w:val="24"/>
        </w:rPr>
        <w:t>八、质量保证</w:t>
      </w:r>
    </w:p>
    <w:p>
      <w:pPr>
        <w:spacing w:line="360" w:lineRule="auto"/>
        <w:ind w:firstLine="480" w:firstLineChars="200"/>
        <w:contextualSpacing/>
        <w:rPr>
          <w:rFonts w:ascii="宋体" w:hAnsi="宋体" w:cs="仿宋_GB2312"/>
          <w:bCs/>
          <w:color w:val="000000"/>
          <w:sz w:val="24"/>
          <w:szCs w:val="24"/>
        </w:rPr>
      </w:pPr>
      <w:r>
        <w:rPr>
          <w:rFonts w:hint="eastAsia" w:ascii="宋体" w:hAnsi="宋体" w:cs="仿宋_GB2312"/>
          <w:bCs/>
          <w:color w:val="000000"/>
          <w:sz w:val="24"/>
          <w:szCs w:val="24"/>
        </w:rPr>
        <w:t>（一）乙方应保质保量按照甲方要求施工，工程完工后甲方按照国家相关技术规范要求进行验收。乙方若不按甲方要求施工的，甲方有权要求乙方停工，乙方应在甲方规定期限内进行整改，停工期间工期不顺延，由此产生的费用及损失，乙方自行承担；乙方累计停工超过约定工期一半天数的，视为乙方根本违约，甲方有权单方解除合同，合同自书面解除通知送达乙方之日解除，乙方除应赔偿由此给甲方造成的全部损失外，还应按照合同总价的30%承担违约金。</w:t>
      </w:r>
    </w:p>
    <w:p>
      <w:pPr>
        <w:spacing w:line="360" w:lineRule="auto"/>
        <w:ind w:firstLine="480" w:firstLineChars="200"/>
        <w:contextualSpacing/>
        <w:rPr>
          <w:rFonts w:ascii="宋体" w:hAnsi="宋体" w:cs="仿宋_GB2312"/>
          <w:bCs/>
          <w:color w:val="000000"/>
          <w:sz w:val="24"/>
          <w:szCs w:val="24"/>
        </w:rPr>
      </w:pPr>
      <w:r>
        <w:rPr>
          <w:rFonts w:hint="eastAsia" w:ascii="宋体" w:hAnsi="宋体" w:cs="仿宋_GB2312"/>
          <w:bCs/>
          <w:color w:val="000000"/>
          <w:sz w:val="24"/>
          <w:szCs w:val="24"/>
        </w:rPr>
        <w:t>（二）乙方应妥善保护甲方提供的设备及现场放置的陈设、工程成品及甲供主材，如造成损失，乙方照价赔偿。</w:t>
      </w:r>
    </w:p>
    <w:p>
      <w:pPr>
        <w:spacing w:line="360" w:lineRule="auto"/>
        <w:ind w:firstLine="480" w:firstLineChars="200"/>
        <w:rPr>
          <w:rFonts w:ascii="宋体" w:hAnsi="宋体" w:cs="仿宋_GB2312"/>
          <w:bCs/>
          <w:color w:val="000000"/>
          <w:sz w:val="24"/>
          <w:szCs w:val="24"/>
        </w:rPr>
      </w:pPr>
      <w:r>
        <w:rPr>
          <w:rFonts w:hint="eastAsia" w:ascii="宋体" w:hAnsi="宋体" w:cs="仿宋_GB2312"/>
          <w:bCs/>
          <w:color w:val="000000"/>
          <w:sz w:val="24"/>
          <w:szCs w:val="24"/>
        </w:rPr>
        <w:t>（三）未经甲方书面同意，乙方擅自拆改原有建筑物的结构或设备管线，由此发生的损失或事故（包括罚款），由乙方负责并承担全部责任。</w:t>
      </w:r>
    </w:p>
    <w:p>
      <w:pPr>
        <w:spacing w:line="360" w:lineRule="auto"/>
        <w:contextualSpacing/>
        <w:rPr>
          <w:rFonts w:ascii="宋体" w:hAnsi="宋体" w:cs="仿宋_GB2312"/>
          <w:bCs/>
          <w:color w:val="000000"/>
          <w:sz w:val="24"/>
          <w:szCs w:val="24"/>
        </w:rPr>
      </w:pPr>
      <w:r>
        <w:rPr>
          <w:rFonts w:hint="eastAsia" w:ascii="宋体" w:hAnsi="宋体" w:cs="仿宋_GB2312"/>
          <w:b/>
          <w:color w:val="000000"/>
          <w:sz w:val="24"/>
          <w:szCs w:val="24"/>
        </w:rPr>
        <w:t>九、特殊要求：</w:t>
      </w:r>
    </w:p>
    <w:p>
      <w:pPr>
        <w:spacing w:line="360" w:lineRule="auto"/>
        <w:ind w:firstLine="480" w:firstLineChars="200"/>
        <w:contextualSpacing/>
        <w:rPr>
          <w:rFonts w:ascii="宋体" w:hAnsi="宋体" w:cs="仿宋_GB2312"/>
          <w:bCs/>
          <w:color w:val="000000"/>
          <w:sz w:val="24"/>
          <w:szCs w:val="24"/>
        </w:rPr>
      </w:pPr>
      <w:r>
        <w:rPr>
          <w:rFonts w:hint="eastAsia" w:ascii="宋体" w:hAnsi="宋体" w:cs="仿宋_GB2312"/>
          <w:bCs/>
          <w:color w:val="000000"/>
          <w:sz w:val="24"/>
          <w:szCs w:val="24"/>
        </w:rPr>
        <w:t xml:space="preserve">（一）无论工程大小难易以及节假日与夜间施工，要求乙方积极组织施工力量正常施工，服从甲方工作安排。 </w:t>
      </w:r>
    </w:p>
    <w:p>
      <w:pPr>
        <w:spacing w:line="360" w:lineRule="auto"/>
        <w:ind w:firstLine="480" w:firstLineChars="200"/>
        <w:contextualSpacing/>
        <w:rPr>
          <w:rFonts w:ascii="宋体" w:hAnsi="宋体" w:cs="仿宋_GB2312"/>
          <w:bCs/>
          <w:color w:val="000000"/>
          <w:sz w:val="24"/>
          <w:szCs w:val="24"/>
        </w:rPr>
      </w:pPr>
      <w:r>
        <w:rPr>
          <w:rFonts w:hint="eastAsia" w:ascii="宋体" w:hAnsi="宋体" w:cs="仿宋_GB2312"/>
          <w:bCs/>
          <w:color w:val="000000"/>
          <w:sz w:val="24"/>
          <w:szCs w:val="24"/>
        </w:rPr>
        <w:t>（二）工程开工后乙方未接到甲方书面通知，无故连续停工3天以上，视为乙方自动终止合同，甲方无需支付乙方因工程而产生的任何费用并保留追诉乙方给甲方带来损失的权力。</w:t>
      </w:r>
    </w:p>
    <w:p>
      <w:pPr>
        <w:spacing w:line="360" w:lineRule="auto"/>
        <w:ind w:firstLine="480" w:firstLineChars="200"/>
        <w:contextualSpacing/>
        <w:rPr>
          <w:rFonts w:ascii="宋体" w:hAnsi="宋体" w:cs="仿宋_GB2312"/>
          <w:bCs/>
          <w:color w:val="000000"/>
          <w:sz w:val="24"/>
          <w:szCs w:val="24"/>
        </w:rPr>
      </w:pPr>
      <w:r>
        <w:rPr>
          <w:rFonts w:hint="eastAsia" w:ascii="宋体" w:hAnsi="宋体" w:cs="仿宋_GB2312"/>
          <w:bCs/>
          <w:color w:val="000000"/>
          <w:sz w:val="24"/>
          <w:szCs w:val="24"/>
        </w:rPr>
        <w:t>（三）工程施工期间所发生的一切安全责任事故及给甲乙双方造成的一切经济损失，均由乙方承担。</w:t>
      </w:r>
    </w:p>
    <w:p>
      <w:pPr>
        <w:tabs>
          <w:tab w:val="left" w:pos="1155"/>
        </w:tabs>
        <w:spacing w:line="360" w:lineRule="auto"/>
        <w:rPr>
          <w:rFonts w:ascii="宋体" w:hAnsi="宋体" w:cs="仿宋_GB2312"/>
          <w:b/>
          <w:color w:val="000000"/>
          <w:sz w:val="24"/>
          <w:szCs w:val="24"/>
        </w:rPr>
      </w:pPr>
      <w:r>
        <w:rPr>
          <w:rFonts w:hint="eastAsia" w:ascii="宋体" w:hAnsi="宋体" w:cs="仿宋_GB2312"/>
          <w:b/>
          <w:color w:val="000000"/>
          <w:sz w:val="24"/>
          <w:szCs w:val="24"/>
        </w:rPr>
        <w:t>十、售后服务：</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（一）质保期内</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自交付并验收合格之日起：</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1、同一质量问题，经过两次维修后仍无法正常使用，乙方必须更换同品牌、同型号、同规格的新产品。</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2、乙方电话响应时间小于2小时，到达现场时间不超过24小时，解决问题不超过48小时。若需返厂维修，乙方承担往返费用。</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3、乙方不能解决的故障，甲方有权指定第三方维修，维修费用由乙方承担。甲方有权从尾款中扣除，尾款已付或不足以支付全部维修费用的，由乙方另行支付。</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4、电话咨询</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免费提供每周7天/每天24小时不间断的电话支持服务，解答甲方在使用过程中遇到的问题，24小时内提出解决问题的建议和操作方法。</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（二）款项结清前，乙方应对所提供工程进行全面检测，全面保养维护。</w:t>
      </w:r>
    </w:p>
    <w:p>
      <w:pPr>
        <w:spacing w:line="360" w:lineRule="auto"/>
        <w:ind w:firstLine="504" w:firstLineChars="210"/>
        <w:rPr>
          <w:rFonts w:ascii="宋体" w:hAnsi="宋体" w:cs="仿宋_GB2312"/>
          <w:color w:val="000000"/>
          <w:sz w:val="24"/>
          <w:szCs w:val="24"/>
        </w:rPr>
      </w:pPr>
      <w:r>
        <w:rPr>
          <w:rFonts w:hint="eastAsia" w:ascii="宋体" w:hAnsi="宋体" w:cs="仿宋_GB2312"/>
          <w:color w:val="000000"/>
          <w:sz w:val="24"/>
          <w:szCs w:val="24"/>
        </w:rPr>
        <w:t>（三）培训</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提供免费培训，使操作、维护人员掌握使用、维护等操作方法，并预期达到熟练操作水平。培训具体内容可以根据甲方情况熟悉、现场使用情况等灵活调整。</w:t>
      </w:r>
    </w:p>
    <w:p>
      <w:pPr>
        <w:tabs>
          <w:tab w:val="left" w:pos="0"/>
        </w:tabs>
        <w:spacing w:line="360" w:lineRule="auto"/>
        <w:rPr>
          <w:rFonts w:ascii="宋体" w:hAnsi="宋体" w:cs="仿宋_GB2312"/>
          <w:b/>
          <w:color w:val="000000"/>
          <w:sz w:val="24"/>
          <w:szCs w:val="24"/>
        </w:rPr>
      </w:pPr>
      <w:r>
        <w:rPr>
          <w:rFonts w:hint="eastAsia" w:ascii="宋体" w:hAnsi="宋体" w:cs="仿宋_GB2312"/>
          <w:b/>
          <w:color w:val="000000"/>
          <w:sz w:val="24"/>
          <w:szCs w:val="24"/>
        </w:rPr>
        <w:t>十一、验收</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（一）施工所需物品到达甲方指定地点后，甲方根据合同要求，进行外观验收，确认产地、规格、型号和数量。</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（二）隐蔽工程在隐蔽前须进行分项验收，乙方留存相关照片及资料。</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（三）按照甲方标书和乙方响应文件及承诺中的要求，安装、调试、检测，平稳运行，确认项目完成，乙方进行自检，自检合格后，准备验收文件，并书面通知甲方。</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（四）乙方应在甲方组织竣工验收前，办理好消防验收手续。</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（五）甲方确认乙方的自检内容后，组织乙方（必要时请有关专家）进行工程验收。验收合格后，填写</w:t>
      </w:r>
      <w:r>
        <w:rPr>
          <w:rFonts w:hint="eastAsia" w:ascii="宋体" w:hAnsi="宋体" w:cs="仿宋_GB2312"/>
          <w:bCs/>
          <w:color w:val="000000"/>
          <w:sz w:val="24"/>
          <w:szCs w:val="24"/>
        </w:rPr>
        <w:t>验收单（一式六份）</w:t>
      </w:r>
      <w:r>
        <w:rPr>
          <w:rFonts w:hint="eastAsia" w:ascii="宋体" w:hAnsi="宋体" w:cs="仿宋_GB2312"/>
          <w:color w:val="000000"/>
          <w:sz w:val="24"/>
          <w:szCs w:val="24"/>
        </w:rPr>
        <w:t>作为对项目的最终认可。</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（六）验收合格，乙方向甲方提供决算书及审计资料报送审计；如验收不合格，乙方应负责整改或返修，直至甲方验收合格为至，</w:t>
      </w:r>
      <w:r>
        <w:rPr>
          <w:rFonts w:hint="eastAsia" w:ascii="宋体" w:hAnsi="宋体" w:cs="仿宋_GB2312"/>
          <w:color w:val="000000"/>
          <w:spacing w:val="-20"/>
          <w:kern w:val="32"/>
          <w:position w:val="2"/>
          <w:sz w:val="24"/>
          <w:szCs w:val="24"/>
        </w:rPr>
        <w:t>且工期不顺延，由此产生的费用及造成的损失，乙方自行承担</w:t>
      </w:r>
      <w:r>
        <w:rPr>
          <w:rFonts w:hint="eastAsia" w:ascii="宋体" w:hAnsi="宋体" w:cs="仿宋_GB2312"/>
          <w:color w:val="000000"/>
          <w:sz w:val="24"/>
          <w:szCs w:val="24"/>
        </w:rPr>
        <w:t>。若乙方交付项目验收不合格累计超过3次的，甲方有权选择解除合同，若合同解除，乙方应按照本协议第三条第（二）款承担违约责任。</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若因乙方项目施工验收不合格导致乙方施工交付延期的，乙方仍应按本合同第三条（二）款承担违约责任。</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（七）乙方向甲方提交项目实施过程中的所有资料，以便甲方日后管理和维护。</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（八）验收依据</w:t>
      </w:r>
    </w:p>
    <w:p>
      <w:pPr>
        <w:tabs>
          <w:tab w:val="left" w:pos="0"/>
        </w:tabs>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1、磋商文件、响应文件、澄清表（函）；</w:t>
      </w:r>
    </w:p>
    <w:p>
      <w:pPr>
        <w:tabs>
          <w:tab w:val="left" w:pos="0"/>
        </w:tabs>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2、本合同及附件文本；</w:t>
      </w:r>
    </w:p>
    <w:p>
      <w:pPr>
        <w:tabs>
          <w:tab w:val="left" w:pos="0"/>
        </w:tabs>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3、国家相应的标准、规范；</w:t>
      </w:r>
    </w:p>
    <w:p>
      <w:pPr>
        <w:tabs>
          <w:tab w:val="left" w:pos="0"/>
        </w:tabs>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4、项目竣工资料、图纸、检验测试报告；</w:t>
      </w:r>
    </w:p>
    <w:p>
      <w:pPr>
        <w:tabs>
          <w:tab w:val="left" w:pos="0"/>
          <w:tab w:val="center" w:pos="4153"/>
        </w:tabs>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5、其它资料。</w:t>
      </w:r>
    </w:p>
    <w:p>
      <w:pPr>
        <w:tabs>
          <w:tab w:val="left" w:pos="0"/>
          <w:tab w:val="center" w:pos="4153"/>
        </w:tabs>
        <w:spacing w:line="360" w:lineRule="auto"/>
        <w:rPr>
          <w:rFonts w:ascii="宋体" w:hAnsi="宋体" w:cs="仿宋_GB2312"/>
          <w:b/>
          <w:color w:val="000000"/>
          <w:sz w:val="24"/>
          <w:szCs w:val="24"/>
        </w:rPr>
      </w:pPr>
      <w:r>
        <w:rPr>
          <w:rFonts w:hint="eastAsia" w:ascii="宋体" w:hAnsi="宋体" w:cs="仿宋_GB2312"/>
          <w:b/>
          <w:color w:val="000000"/>
          <w:sz w:val="24"/>
          <w:szCs w:val="24"/>
        </w:rPr>
        <w:t>十二、违约责任</w:t>
      </w:r>
    </w:p>
    <w:p>
      <w:pPr>
        <w:tabs>
          <w:tab w:val="left" w:pos="0"/>
          <w:tab w:val="center" w:pos="4153"/>
        </w:tabs>
        <w:spacing w:line="360" w:lineRule="auto"/>
        <w:ind w:firstLine="570"/>
        <w:rPr>
          <w:rFonts w:ascii="宋体" w:hAnsi="宋体" w:cs="仿宋_GB2312"/>
          <w:color w:val="000000"/>
          <w:sz w:val="24"/>
          <w:szCs w:val="24"/>
        </w:rPr>
      </w:pPr>
      <w:r>
        <w:rPr>
          <w:rFonts w:hint="eastAsia" w:ascii="宋体" w:hAnsi="宋体"/>
          <w:color w:val="000000"/>
          <w:sz w:val="24"/>
          <w:szCs w:val="24"/>
        </w:rPr>
        <w:t>（一）</w:t>
      </w:r>
      <w:r>
        <w:rPr>
          <w:rFonts w:hint="eastAsia" w:ascii="宋体" w:hAnsi="宋体" w:cs="仿宋_GB2312"/>
          <w:color w:val="000000"/>
          <w:sz w:val="24"/>
          <w:szCs w:val="24"/>
        </w:rPr>
        <w:t>按《中华人民共和国民法典》中的相关条款执行。</w:t>
      </w:r>
    </w:p>
    <w:p>
      <w:pPr>
        <w:tabs>
          <w:tab w:val="left" w:pos="0"/>
          <w:tab w:val="center" w:pos="4153"/>
        </w:tabs>
        <w:spacing w:line="360" w:lineRule="auto"/>
        <w:ind w:firstLine="570"/>
        <w:rPr>
          <w:rFonts w:ascii="宋体" w:hAnsi="宋体" w:cs="仿宋_GB2312"/>
          <w:color w:val="000000"/>
          <w:sz w:val="24"/>
          <w:szCs w:val="24"/>
        </w:rPr>
      </w:pPr>
      <w:r>
        <w:rPr>
          <w:rFonts w:hint="eastAsia" w:ascii="宋体" w:hAnsi="宋体"/>
          <w:color w:val="000000"/>
          <w:sz w:val="24"/>
          <w:szCs w:val="24"/>
        </w:rPr>
        <w:t>（二）未按合同要求提供，质量不能满足技术要求的，甲方会同政府采购机构有权终止合同（合同自书面通知送达乙方之日解除），乙方赔偿甲方解除合同的全部损失（包括但不限于重新采购产生的费用及其它由此造成的甲方对第三方的违约损失），并按照合同总价的30%支付违约金。同时按《政府采购法》有关处罚条款报监管机构进行相应的处罚。</w:t>
      </w:r>
    </w:p>
    <w:p>
      <w:pPr>
        <w:tabs>
          <w:tab w:val="left" w:pos="0"/>
          <w:tab w:val="center" w:pos="4153"/>
        </w:tabs>
        <w:spacing w:line="360" w:lineRule="auto"/>
        <w:rPr>
          <w:rFonts w:ascii="宋体" w:hAnsi="宋体" w:cs="仿宋_GB2312"/>
          <w:b/>
          <w:color w:val="000000"/>
          <w:sz w:val="24"/>
          <w:szCs w:val="24"/>
        </w:rPr>
      </w:pPr>
      <w:r>
        <w:rPr>
          <w:rFonts w:hint="eastAsia" w:ascii="宋体" w:hAnsi="宋体" w:cs="仿宋_GB2312"/>
          <w:b/>
          <w:color w:val="000000"/>
          <w:sz w:val="24"/>
          <w:szCs w:val="24"/>
        </w:rPr>
        <w:t>十三、合同争议的解决</w:t>
      </w:r>
    </w:p>
    <w:p>
      <w:pPr>
        <w:spacing w:line="360" w:lineRule="auto"/>
        <w:rPr>
          <w:rFonts w:ascii="宋体" w:hAnsi="宋体"/>
          <w:color w:val="000000"/>
          <w:sz w:val="24"/>
          <w:szCs w:val="24"/>
        </w:rPr>
      </w:pPr>
      <w:r>
        <w:rPr>
          <w:rFonts w:hint="eastAsia" w:ascii="宋体" w:hAnsi="宋体"/>
          <w:color w:val="000000"/>
          <w:sz w:val="24"/>
          <w:szCs w:val="24"/>
        </w:rPr>
        <w:t>合同执行中发生争议的，当事人双方应协商解决，协商达不成一致时，向甲方所在地人民法院提请诉讼。</w:t>
      </w:r>
    </w:p>
    <w:p>
      <w:pPr>
        <w:spacing w:line="360" w:lineRule="auto"/>
        <w:rPr>
          <w:rFonts w:ascii="宋体" w:hAnsi="宋体"/>
          <w:b/>
          <w:color w:val="000000"/>
          <w:sz w:val="24"/>
          <w:szCs w:val="24"/>
        </w:rPr>
      </w:pPr>
      <w:r>
        <w:rPr>
          <w:rFonts w:hint="eastAsia" w:ascii="宋体" w:hAnsi="宋体"/>
          <w:b/>
          <w:color w:val="000000"/>
          <w:sz w:val="24"/>
          <w:szCs w:val="24"/>
        </w:rPr>
        <w:t>十四、合同生效</w:t>
      </w:r>
    </w:p>
    <w:p>
      <w:pPr>
        <w:spacing w:line="360" w:lineRule="auto"/>
        <w:rPr>
          <w:rFonts w:ascii="宋体" w:hAnsi="宋体"/>
          <w:color w:val="000000"/>
          <w:sz w:val="24"/>
          <w:szCs w:val="24"/>
        </w:rPr>
      </w:pPr>
      <w:r>
        <w:rPr>
          <w:rFonts w:hint="eastAsia" w:ascii="宋体" w:hAnsi="宋体"/>
          <w:color w:val="000000"/>
          <w:sz w:val="24"/>
          <w:szCs w:val="24"/>
        </w:rPr>
        <w:t>合同一式八份，甲方六份、乙方壹份，鉴证方壹份。合同经甲方、乙方签字盖章后生效，合同执行完毕后，自动终止（合同的服务承诺则长期有效）。</w:t>
      </w:r>
    </w:p>
    <w:p>
      <w:pPr>
        <w:spacing w:line="360" w:lineRule="auto"/>
        <w:rPr>
          <w:rFonts w:ascii="宋体" w:hAnsi="宋体"/>
          <w:b/>
          <w:color w:val="000000"/>
          <w:sz w:val="24"/>
          <w:szCs w:val="24"/>
        </w:rPr>
      </w:pPr>
      <w:r>
        <w:rPr>
          <w:rFonts w:hint="eastAsia" w:ascii="宋体" w:hAnsi="宋体"/>
          <w:b/>
          <w:color w:val="000000"/>
          <w:sz w:val="24"/>
          <w:szCs w:val="24"/>
        </w:rPr>
        <w:t>十五、其他事项</w:t>
      </w:r>
    </w:p>
    <w:p>
      <w:pPr>
        <w:spacing w:line="360" w:lineRule="auto"/>
        <w:rPr>
          <w:rFonts w:ascii="宋体" w:hAnsi="宋体"/>
          <w:color w:val="000000"/>
          <w:sz w:val="24"/>
          <w:szCs w:val="24"/>
        </w:rPr>
      </w:pPr>
      <w:r>
        <w:rPr>
          <w:rFonts w:hint="eastAsia" w:ascii="宋体" w:hAnsi="宋体"/>
          <w:color w:val="000000"/>
          <w:sz w:val="24"/>
          <w:szCs w:val="24"/>
        </w:rPr>
        <w:t>（一）磋商文件、响应文件、澄清表（函）、中标通知书、合同附件均成为合同不可分割的部分。</w:t>
      </w:r>
    </w:p>
    <w:p>
      <w:pPr>
        <w:spacing w:line="360" w:lineRule="auto"/>
        <w:rPr>
          <w:rFonts w:ascii="宋体" w:hAnsi="宋体"/>
          <w:color w:val="000000"/>
          <w:sz w:val="24"/>
          <w:szCs w:val="24"/>
        </w:rPr>
      </w:pPr>
      <w:r>
        <w:rPr>
          <w:rFonts w:hint="eastAsia" w:ascii="宋体" w:hAnsi="宋体"/>
          <w:color w:val="000000"/>
          <w:sz w:val="24"/>
          <w:szCs w:val="24"/>
        </w:rPr>
        <w:t>（二）合同未尽事宜，由甲、乙双方协商签订补充协议，作为合同的补充，与原合同具有同等法律效力。</w:t>
      </w:r>
    </w:p>
    <w:p>
      <w:pPr>
        <w:tabs>
          <w:tab w:val="left" w:pos="480"/>
        </w:tabs>
        <w:spacing w:line="360" w:lineRule="auto"/>
        <w:rPr>
          <w:rFonts w:ascii="宋体" w:hAnsi="宋体" w:cs="仿宋_GB2312"/>
          <w:color w:val="000000"/>
          <w:sz w:val="24"/>
          <w:szCs w:val="24"/>
        </w:rPr>
      </w:pPr>
    </w:p>
    <w:p>
      <w:pPr>
        <w:tabs>
          <w:tab w:val="left" w:pos="480"/>
        </w:tabs>
        <w:spacing w:line="480" w:lineRule="auto"/>
        <w:rPr>
          <w:rFonts w:ascii="宋体" w:hAnsi="宋体" w:cs="仿宋_GB2312"/>
          <w:color w:val="000000"/>
          <w:sz w:val="24"/>
          <w:szCs w:val="24"/>
        </w:rPr>
      </w:pPr>
      <w:r>
        <w:rPr>
          <w:rFonts w:ascii="宋体" w:hAnsi="宋体" w:cs="仿宋_GB2312"/>
          <w:color w:val="000000"/>
          <w:sz w:val="24"/>
          <w:szCs w:val="24"/>
        </w:rPr>
        <w:br w:type="page"/>
      </w:r>
      <w:r>
        <w:rPr>
          <w:rFonts w:hint="eastAsia" w:ascii="宋体" w:hAnsi="宋体" w:cs="仿宋_GB2312"/>
          <w:color w:val="000000"/>
          <w:sz w:val="24"/>
          <w:szCs w:val="24"/>
        </w:rPr>
        <w:t>（以下无正文）</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甲  方（法人公章）                       乙  方（法人公章）</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 xml:space="preserve">单位名称：             </w:t>
      </w:r>
      <w:r>
        <w:rPr>
          <w:rFonts w:hint="eastAsia" w:ascii="宋体" w:hAnsi="宋体" w:cs="仿宋_GB2312"/>
          <w:color w:val="000000"/>
          <w:sz w:val="24"/>
          <w:szCs w:val="24"/>
          <w:lang w:val="en-US" w:eastAsia="zh-CN"/>
        </w:rPr>
        <w:t xml:space="preserve">                  </w:t>
      </w:r>
      <w:r>
        <w:rPr>
          <w:rFonts w:hint="eastAsia" w:ascii="宋体" w:hAnsi="宋体" w:cs="仿宋_GB2312"/>
          <w:color w:val="000000"/>
          <w:sz w:val="24"/>
          <w:szCs w:val="24"/>
        </w:rPr>
        <w:t>单位名称：</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地  址：                                 地  址：</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 xml:space="preserve">经办人：                                 经办人：                                                                                  </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 xml:space="preserve">法定代表人（签字或盖章）：               法定代表人（签字或盖章）：                                                         </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开户银行：</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 xml:space="preserve">帐  号：       </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联系电话：                               联系电话：</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签订日期：202</w:t>
      </w:r>
      <w:r>
        <w:rPr>
          <w:rFonts w:hint="eastAsia" w:ascii="宋体" w:hAnsi="宋体" w:cs="仿宋_GB2312"/>
          <w:color w:val="000000"/>
          <w:sz w:val="24"/>
          <w:szCs w:val="24"/>
          <w:lang w:val="en-US" w:eastAsia="zh-CN"/>
        </w:rPr>
        <w:t>3</w:t>
      </w:r>
      <w:r>
        <w:rPr>
          <w:rFonts w:hint="eastAsia" w:ascii="宋体" w:hAnsi="宋体" w:cs="仿宋_GB2312"/>
          <w:color w:val="000000"/>
          <w:sz w:val="24"/>
          <w:szCs w:val="24"/>
        </w:rPr>
        <w:t>年  月   日               签订日期：202</w:t>
      </w:r>
      <w:r>
        <w:rPr>
          <w:rFonts w:hint="eastAsia" w:ascii="宋体" w:hAnsi="宋体" w:cs="仿宋_GB2312"/>
          <w:color w:val="000000"/>
          <w:sz w:val="24"/>
          <w:szCs w:val="24"/>
          <w:lang w:val="en-US" w:eastAsia="zh-CN"/>
        </w:rPr>
        <w:t>3</w:t>
      </w:r>
      <w:r>
        <w:rPr>
          <w:rFonts w:hint="eastAsia" w:ascii="宋体" w:hAnsi="宋体" w:cs="仿宋_GB2312"/>
          <w:color w:val="000000"/>
          <w:sz w:val="24"/>
          <w:szCs w:val="24"/>
        </w:rPr>
        <w:t>年 月 日</w:t>
      </w:r>
    </w:p>
    <w:p>
      <w:pPr>
        <w:adjustRightInd w:val="0"/>
        <w:snapToGrid w:val="0"/>
        <w:spacing w:line="360" w:lineRule="auto"/>
        <w:ind w:firstLine="415" w:firstLineChars="198"/>
        <w:rPr>
          <w:rFonts w:ascii="宋体" w:hAnsi="宋体"/>
          <w:szCs w:val="21"/>
          <w:u w:val="single"/>
        </w:rPr>
      </w:pPr>
    </w:p>
    <w:p>
      <w:pPr>
        <w:pStyle w:val="3"/>
        <w:keepNext w:val="0"/>
        <w:pageBreakBefore/>
        <w:rPr>
          <w:rFonts w:ascii="宋体" w:hAnsi="宋体" w:cs="宋体"/>
        </w:rPr>
      </w:pPr>
      <w:bookmarkStart w:id="109" w:name="_Toc14713"/>
      <w:r>
        <w:rPr>
          <w:rFonts w:hint="eastAsia" w:ascii="宋体" w:hAnsi="宋体" w:cs="宋体"/>
        </w:rPr>
        <w:t>第七部分 磋商响应文件格式</w:t>
      </w:r>
      <w:bookmarkEnd w:id="98"/>
      <w:bookmarkEnd w:id="99"/>
      <w:bookmarkEnd w:id="100"/>
      <w:bookmarkEnd w:id="109"/>
    </w:p>
    <w:p>
      <w:pPr>
        <w:adjustRightInd w:val="0"/>
        <w:snapToGrid w:val="0"/>
        <w:spacing w:line="400" w:lineRule="exact"/>
        <w:jc w:val="left"/>
        <w:rPr>
          <w:rFonts w:ascii="宋体" w:hAnsi="宋体" w:cs="宋体"/>
          <w:b/>
          <w:w w:val="120"/>
          <w:sz w:val="28"/>
          <w:szCs w:val="28"/>
        </w:rPr>
      </w:pPr>
      <w:bookmarkStart w:id="110" w:name="_Toc7459"/>
      <w:bookmarkStart w:id="111" w:name="_Toc24239"/>
      <w:r>
        <w:rPr>
          <w:rFonts w:hint="eastAsia" w:ascii="宋体" w:hAnsi="宋体" w:cs="宋体"/>
          <w:b/>
          <w:w w:val="120"/>
          <w:sz w:val="28"/>
          <w:szCs w:val="28"/>
        </w:rPr>
        <w:t>项目编号：</w:t>
      </w:r>
      <w:r>
        <w:rPr>
          <w:rFonts w:hint="eastAsia" w:ascii="宋体" w:hAnsi="宋体" w:cs="宋体"/>
          <w:b/>
          <w:w w:val="120"/>
          <w:sz w:val="28"/>
          <w:szCs w:val="28"/>
          <w:lang w:eastAsia="zh-CN"/>
        </w:rPr>
        <w:t>SXWZ2023ZB-YXY-055R</w:t>
      </w:r>
      <w:r>
        <w:rPr>
          <w:rFonts w:hint="eastAsia" w:ascii="宋体" w:hAnsi="宋体" w:cs="宋体"/>
          <w:b/>
          <w:w w:val="120"/>
          <w:sz w:val="28"/>
          <w:szCs w:val="28"/>
        </w:rPr>
        <w:t xml:space="preserve">    （正本或副本）</w:t>
      </w:r>
    </w:p>
    <w:p>
      <w:pPr>
        <w:adjustRightInd w:val="0"/>
        <w:snapToGrid w:val="0"/>
        <w:spacing w:line="480" w:lineRule="auto"/>
        <w:rPr>
          <w:rFonts w:ascii="宋体" w:hAnsi="宋体" w:cs="宋体"/>
          <w:b/>
          <w:sz w:val="44"/>
          <w:szCs w:val="44"/>
        </w:rPr>
      </w:pPr>
    </w:p>
    <w:p>
      <w:pPr>
        <w:adjustRightInd w:val="0"/>
        <w:snapToGrid w:val="0"/>
        <w:spacing w:line="480" w:lineRule="auto"/>
        <w:jc w:val="center"/>
        <w:rPr>
          <w:rFonts w:hint="eastAsia" w:ascii="宋体" w:hAnsi="宋体" w:cs="宋体"/>
          <w:b/>
          <w:sz w:val="48"/>
          <w:szCs w:val="48"/>
          <w:lang w:eastAsia="zh-CN"/>
        </w:rPr>
      </w:pPr>
      <w:r>
        <w:rPr>
          <w:rFonts w:hint="eastAsia" w:ascii="宋体" w:hAnsi="宋体" w:cs="宋体"/>
          <w:b/>
          <w:sz w:val="48"/>
          <w:szCs w:val="48"/>
          <w:lang w:eastAsia="zh-CN"/>
        </w:rPr>
        <w:t>西安医学院未央校区汽车充电桩安装</w:t>
      </w:r>
    </w:p>
    <w:p>
      <w:pPr>
        <w:adjustRightInd w:val="0"/>
        <w:snapToGrid w:val="0"/>
        <w:spacing w:line="480" w:lineRule="auto"/>
        <w:jc w:val="center"/>
        <w:rPr>
          <w:rFonts w:ascii="宋体" w:hAnsi="宋体" w:cs="宋体"/>
          <w:b/>
          <w:sz w:val="52"/>
          <w:szCs w:val="52"/>
        </w:rPr>
      </w:pPr>
      <w:r>
        <w:rPr>
          <w:rFonts w:hint="eastAsia" w:ascii="宋体" w:hAnsi="宋体" w:cs="宋体"/>
          <w:b/>
          <w:sz w:val="48"/>
          <w:szCs w:val="48"/>
          <w:lang w:eastAsia="zh-CN"/>
        </w:rPr>
        <w:t>工程项目（四次）</w:t>
      </w:r>
      <w:r>
        <w:rPr>
          <w:rFonts w:hint="eastAsia" w:ascii="宋体" w:hAnsi="宋体" w:cs="宋体"/>
          <w:b/>
          <w:sz w:val="48"/>
          <w:szCs w:val="48"/>
        </w:rPr>
        <w:t xml:space="preserve">            </w:t>
      </w:r>
      <w:r>
        <w:rPr>
          <w:rFonts w:hint="eastAsia" w:ascii="宋体" w:hAnsi="宋体" w:cs="宋体"/>
          <w:b/>
          <w:sz w:val="52"/>
          <w:szCs w:val="52"/>
        </w:rPr>
        <w:t xml:space="preserve">                      响</w:t>
      </w:r>
    </w:p>
    <w:p>
      <w:pPr>
        <w:adjustRightInd w:val="0"/>
        <w:snapToGrid w:val="0"/>
        <w:spacing w:line="480" w:lineRule="auto"/>
        <w:jc w:val="center"/>
        <w:rPr>
          <w:rFonts w:ascii="宋体" w:hAnsi="宋体" w:cs="宋体"/>
          <w:b/>
          <w:sz w:val="52"/>
          <w:szCs w:val="52"/>
        </w:rPr>
      </w:pPr>
      <w:r>
        <w:rPr>
          <w:rFonts w:hint="eastAsia" w:ascii="宋体" w:hAnsi="宋体" w:cs="宋体"/>
          <w:b/>
          <w:sz w:val="52"/>
          <w:szCs w:val="52"/>
        </w:rPr>
        <w:t>应</w:t>
      </w:r>
    </w:p>
    <w:p>
      <w:pPr>
        <w:adjustRightInd w:val="0"/>
        <w:snapToGrid w:val="0"/>
        <w:spacing w:line="480" w:lineRule="auto"/>
        <w:jc w:val="center"/>
        <w:rPr>
          <w:rFonts w:ascii="宋体" w:hAnsi="宋体" w:cs="宋体"/>
          <w:b/>
          <w:sz w:val="52"/>
          <w:szCs w:val="52"/>
        </w:rPr>
      </w:pPr>
      <w:r>
        <w:rPr>
          <w:rFonts w:hint="eastAsia" w:ascii="宋体" w:hAnsi="宋体" w:cs="宋体"/>
          <w:b/>
          <w:sz w:val="52"/>
          <w:szCs w:val="52"/>
        </w:rPr>
        <w:t>文</w:t>
      </w:r>
    </w:p>
    <w:p>
      <w:pPr>
        <w:adjustRightInd w:val="0"/>
        <w:snapToGrid w:val="0"/>
        <w:spacing w:line="480" w:lineRule="auto"/>
        <w:jc w:val="center"/>
        <w:rPr>
          <w:rFonts w:ascii="宋体" w:hAnsi="宋体" w:cs="宋体"/>
          <w:sz w:val="52"/>
          <w:szCs w:val="52"/>
        </w:rPr>
      </w:pPr>
      <w:r>
        <w:rPr>
          <w:rFonts w:hint="eastAsia" w:ascii="宋体" w:hAnsi="宋体" w:cs="宋体"/>
          <w:b/>
          <w:sz w:val="52"/>
          <w:szCs w:val="52"/>
        </w:rPr>
        <w:t>件</w:t>
      </w:r>
    </w:p>
    <w:p>
      <w:pPr>
        <w:snapToGrid w:val="0"/>
        <w:spacing w:line="480" w:lineRule="auto"/>
        <w:ind w:firstLine="640" w:firstLineChars="200"/>
        <w:jc w:val="left"/>
        <w:rPr>
          <w:rFonts w:ascii="宋体" w:hAnsi="宋体" w:cs="宋体"/>
          <w:sz w:val="32"/>
          <w:szCs w:val="32"/>
        </w:rPr>
      </w:pPr>
    </w:p>
    <w:p>
      <w:pPr>
        <w:snapToGrid w:val="0"/>
        <w:spacing w:line="480" w:lineRule="auto"/>
        <w:ind w:firstLine="640" w:firstLineChars="200"/>
        <w:jc w:val="left"/>
        <w:rPr>
          <w:rFonts w:ascii="宋体" w:hAnsi="宋体" w:cs="宋体"/>
          <w:sz w:val="32"/>
          <w:szCs w:val="32"/>
          <w:u w:val="single"/>
        </w:rPr>
      </w:pPr>
      <w:r>
        <w:rPr>
          <w:rFonts w:hint="eastAsia" w:ascii="宋体" w:hAnsi="宋体" w:cs="宋体"/>
          <w:sz w:val="32"/>
          <w:szCs w:val="32"/>
          <w:lang w:val="zh-CN"/>
        </w:rPr>
        <w:t>供应商（单位名称及公章）：</w:t>
      </w:r>
    </w:p>
    <w:p>
      <w:pPr>
        <w:snapToGrid w:val="0"/>
        <w:spacing w:line="480" w:lineRule="auto"/>
        <w:ind w:left="638" w:leftChars="304"/>
        <w:jc w:val="left"/>
        <w:rPr>
          <w:rFonts w:ascii="宋体" w:hAnsi="宋体" w:cs="宋体"/>
          <w:sz w:val="32"/>
          <w:szCs w:val="32"/>
          <w:u w:val="single"/>
        </w:rPr>
      </w:pPr>
      <w:r>
        <w:rPr>
          <w:rFonts w:hint="eastAsia" w:ascii="宋体" w:hAnsi="宋体" w:cs="宋体"/>
          <w:sz w:val="32"/>
          <w:szCs w:val="32"/>
        </w:rPr>
        <w:t>日   期</w:t>
      </w:r>
      <w:r>
        <w:rPr>
          <w:rFonts w:hint="eastAsia" w:ascii="宋体" w:hAnsi="宋体" w:cs="宋体"/>
          <w:sz w:val="32"/>
          <w:szCs w:val="32"/>
          <w:lang w:val="zh-CN"/>
        </w:rPr>
        <w:t>：</w:t>
      </w:r>
    </w:p>
    <w:p>
      <w:pPr>
        <w:pageBreakBefore/>
        <w:ind w:firstLine="1004" w:firstLineChars="200"/>
        <w:jc w:val="center"/>
        <w:rPr>
          <w:rFonts w:ascii="宋体" w:cs="宋体"/>
          <w:b/>
          <w:color w:val="000000" w:themeColor="text1"/>
          <w:sz w:val="50"/>
          <w14:textFill>
            <w14:solidFill>
              <w14:schemeClr w14:val="tx1"/>
            </w14:solidFill>
          </w14:textFill>
        </w:rPr>
      </w:pPr>
      <w:bookmarkStart w:id="112" w:name="_Toc17527_WPSOffice_Level1"/>
      <w:r>
        <w:rPr>
          <w:rFonts w:hint="eastAsia" w:ascii="宋体" w:hAnsi="宋体" w:cs="宋体"/>
          <w:b/>
          <w:color w:val="000000" w:themeColor="text1"/>
          <w:sz w:val="50"/>
          <w14:textFill>
            <w14:solidFill>
              <w14:schemeClr w14:val="tx1"/>
            </w14:solidFill>
          </w14:textFill>
        </w:rPr>
        <w:t>目录</w:t>
      </w:r>
      <w:bookmarkEnd w:id="112"/>
    </w:p>
    <w:p>
      <w:pPr>
        <w:ind w:firstLine="1004" w:firstLineChars="200"/>
        <w:jc w:val="left"/>
        <w:rPr>
          <w:rFonts w:ascii="宋体" w:cs="宋体"/>
          <w:b/>
          <w:color w:val="000000" w:themeColor="text1"/>
          <w:sz w:val="50"/>
          <w14:textFill>
            <w14:solidFill>
              <w14:schemeClr w14:val="tx1"/>
            </w14:solidFill>
          </w14:textFill>
        </w:rPr>
      </w:pPr>
    </w:p>
    <w:p>
      <w:pPr>
        <w:pStyle w:val="13"/>
        <w:snapToGrid w:val="0"/>
        <w:spacing w:line="480" w:lineRule="auto"/>
        <w:ind w:firstLine="562" w:firstLineChars="200"/>
        <w:jc w:val="left"/>
        <w:rPr>
          <w:rFonts w:asciiTheme="minorEastAsia" w:hAnsiTheme="minorEastAsia" w:cstheme="minorEastAsia"/>
          <w:b/>
          <w:bCs/>
          <w:sz w:val="28"/>
          <w:szCs w:val="28"/>
        </w:rPr>
      </w:pPr>
      <w:bookmarkStart w:id="113" w:name="_Toc2536"/>
      <w:bookmarkStart w:id="114" w:name="_Toc2272"/>
      <w:bookmarkStart w:id="115" w:name="_Toc25438"/>
      <w:bookmarkStart w:id="116" w:name="_Toc32244"/>
      <w:bookmarkStart w:id="117" w:name="_Toc27215"/>
      <w:bookmarkStart w:id="118" w:name="_Toc31486"/>
      <w:bookmarkStart w:id="119" w:name="_Toc4950"/>
      <w:bookmarkStart w:id="120" w:name="_Toc27653"/>
      <w:r>
        <w:rPr>
          <w:rFonts w:hint="eastAsia" w:asciiTheme="minorEastAsia" w:hAnsiTheme="minorEastAsia" w:cstheme="minorEastAsia"/>
          <w:b/>
          <w:bCs/>
          <w:sz w:val="28"/>
          <w:szCs w:val="28"/>
        </w:rPr>
        <w:t xml:space="preserve">第一章   </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b/>
          <w:bCs/>
          <w:sz w:val="28"/>
          <w:szCs w:val="28"/>
        </w:rPr>
        <w:t>响应函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第二</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w:t>
      </w: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sz w:val="28"/>
          <w:szCs w:val="28"/>
        </w:rPr>
        <w:t xml:space="preserve">磋商一览表 </w:t>
      </w:r>
    </w:p>
    <w:p>
      <w:pPr>
        <w:pStyle w:val="13"/>
        <w:snapToGrid w:val="0"/>
        <w:spacing w:line="480" w:lineRule="auto"/>
        <w:ind w:firstLine="562" w:firstLineChars="200"/>
        <w:jc w:val="left"/>
        <w:rPr>
          <w:rFonts w:hint="default" w:eastAsia="宋体" w:asciiTheme="minorEastAsia" w:hAnsiTheme="minorEastAsia" w:cstheme="minorEastAsia"/>
          <w:b/>
          <w:sz w:val="28"/>
          <w:szCs w:val="28"/>
          <w:lang w:val="en-US" w:eastAsia="zh-CN"/>
        </w:rPr>
      </w:pPr>
      <w:r>
        <w:rPr>
          <w:rFonts w:hint="eastAsia" w:asciiTheme="minorEastAsia" w:hAnsiTheme="minorEastAsia" w:cstheme="minorEastAsia"/>
          <w:b/>
          <w:bCs/>
          <w:sz w:val="28"/>
          <w:szCs w:val="28"/>
        </w:rPr>
        <w:t xml:space="preserve">第三章   </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b/>
          <w:sz w:val="28"/>
          <w:szCs w:val="28"/>
          <w:lang w:val="en-US" w:eastAsia="zh-CN"/>
        </w:rPr>
        <w:t>工程量清单报价表</w:t>
      </w:r>
    </w:p>
    <w:p>
      <w:pPr>
        <w:pStyle w:val="13"/>
        <w:snapToGrid w:val="0"/>
        <w:spacing w:line="480" w:lineRule="auto"/>
        <w:ind w:firstLine="562" w:firstLineChars="200"/>
        <w:jc w:val="left"/>
        <w:rPr>
          <w:rFonts w:hint="default" w:eastAsia="宋体" w:asciiTheme="minorEastAsia" w:hAnsiTheme="minorEastAsia" w:cstheme="minorEastAsia"/>
          <w:b/>
          <w:bCs/>
          <w:sz w:val="28"/>
          <w:szCs w:val="28"/>
          <w:lang w:val="en-US" w:eastAsia="zh-CN"/>
        </w:rPr>
      </w:pPr>
      <w:r>
        <w:rPr>
          <w:rFonts w:hint="eastAsia" w:asciiTheme="minorEastAsia" w:hAnsiTheme="minorEastAsia" w:cstheme="minorEastAsia"/>
          <w:b/>
          <w:bCs/>
          <w:sz w:val="28"/>
          <w:szCs w:val="28"/>
        </w:rPr>
        <w:t xml:space="preserve">第四章   </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b/>
          <w:bCs/>
          <w:sz w:val="28"/>
          <w:szCs w:val="28"/>
        </w:rPr>
        <w:t>磋商保证金</w:t>
      </w:r>
    </w:p>
    <w:p>
      <w:pPr>
        <w:pStyle w:val="13"/>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rPr>
        <w:t>第五</w:t>
      </w:r>
      <w:r>
        <w:rPr>
          <w:rFonts w:hint="eastAsia" w:asciiTheme="minorEastAsia" w:hAnsiTheme="minorEastAsia" w:cstheme="minorEastAsia"/>
          <w:b/>
          <w:bCs/>
          <w:sz w:val="28"/>
          <w:szCs w:val="28"/>
        </w:rPr>
        <w:t>章</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b/>
          <w:sz w:val="28"/>
          <w:szCs w:val="28"/>
        </w:rPr>
        <w:t>供应商资质证明资料</w:t>
      </w:r>
    </w:p>
    <w:p>
      <w:pPr>
        <w:pStyle w:val="13"/>
        <w:snapToGrid w:val="0"/>
        <w:spacing w:line="480" w:lineRule="auto"/>
        <w:ind w:firstLine="562" w:firstLineChars="200"/>
        <w:jc w:val="left"/>
        <w:rPr>
          <w:rFonts w:hint="default" w:asciiTheme="minorEastAsia" w:hAnsiTheme="minorEastAsia" w:cstheme="minorEastAsia"/>
          <w:b/>
          <w:bCs/>
          <w:sz w:val="28"/>
          <w:szCs w:val="28"/>
          <w:lang w:val="en-US"/>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val="en-US" w:eastAsia="zh-CN"/>
        </w:rPr>
        <w:t>六</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w:t>
      </w:r>
      <w:r>
        <w:rPr>
          <w:rFonts w:hint="eastAsia" w:asciiTheme="minorEastAsia" w:hAnsiTheme="minorEastAsia" w:cstheme="minorEastAsia"/>
          <w:b/>
          <w:sz w:val="28"/>
          <w:szCs w:val="28"/>
          <w:lang w:val="en-US" w:eastAsia="zh-CN"/>
        </w:rPr>
        <w:t xml:space="preserve">  商务和技术响应偏离表</w:t>
      </w:r>
    </w:p>
    <w:p>
      <w:pPr>
        <w:pStyle w:val="13"/>
        <w:snapToGrid w:val="0"/>
        <w:spacing w:line="480" w:lineRule="auto"/>
        <w:ind w:firstLine="562" w:firstLineChars="200"/>
        <w:jc w:val="left"/>
        <w:rPr>
          <w:rFonts w:hint="eastAsia" w:eastAsia="宋体" w:asciiTheme="minorEastAsia" w:hAnsiTheme="minorEastAsia" w:cstheme="minorEastAsia"/>
          <w:b/>
          <w:sz w:val="28"/>
          <w:szCs w:val="28"/>
          <w:lang w:eastAsia="zh-CN"/>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val="en-US" w:eastAsia="zh-CN"/>
        </w:rPr>
        <w:t>七</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w:t>
      </w:r>
      <w:r>
        <w:rPr>
          <w:rFonts w:hint="eastAsia" w:asciiTheme="minorEastAsia" w:hAnsiTheme="minorEastAsia" w:cstheme="minorEastAsia"/>
          <w:b/>
          <w:sz w:val="28"/>
          <w:szCs w:val="28"/>
          <w:lang w:val="en-US" w:eastAsia="zh-CN"/>
        </w:rPr>
        <w:t xml:space="preserve">  施工组织方案</w:t>
      </w:r>
    </w:p>
    <w:p>
      <w:pPr>
        <w:pStyle w:val="13"/>
        <w:snapToGrid w:val="0"/>
        <w:spacing w:line="480" w:lineRule="auto"/>
        <w:ind w:firstLine="562" w:firstLineChars="200"/>
        <w:jc w:val="left"/>
        <w:rPr>
          <w:rFonts w:hint="default" w:eastAsia="宋体" w:asciiTheme="minorEastAsia" w:hAnsiTheme="minorEastAsia" w:cstheme="minorEastAsia"/>
          <w:b/>
          <w:sz w:val="28"/>
          <w:szCs w:val="28"/>
          <w:lang w:val="en-US" w:eastAsia="zh-CN"/>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val="en-US" w:eastAsia="zh-CN"/>
        </w:rPr>
        <w:t>八</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w:t>
      </w:r>
      <w:r>
        <w:rPr>
          <w:rFonts w:hint="eastAsia" w:asciiTheme="minorEastAsia" w:hAnsiTheme="minorEastAsia" w:cstheme="minorEastAsia"/>
          <w:b/>
          <w:sz w:val="28"/>
          <w:szCs w:val="28"/>
          <w:lang w:val="en-US" w:eastAsia="zh-CN"/>
        </w:rPr>
        <w:t xml:space="preserve">  主要设备技术支持资料</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val="en-US" w:eastAsia="zh-CN"/>
        </w:rPr>
        <w:t>九</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w:t>
      </w: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sz w:val="28"/>
          <w:szCs w:val="28"/>
        </w:rPr>
        <w:t>供应商业绩一览表</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val="en-US" w:eastAsia="zh-CN"/>
        </w:rPr>
        <w:t>十</w:t>
      </w:r>
      <w:r>
        <w:rPr>
          <w:rFonts w:hint="eastAsia" w:asciiTheme="minorEastAsia" w:hAnsiTheme="minorEastAsia" w:cstheme="minorEastAsia"/>
          <w:b/>
          <w:sz w:val="28"/>
          <w:szCs w:val="28"/>
        </w:rPr>
        <w:t xml:space="preserve">章   </w:t>
      </w: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sz w:val="28"/>
          <w:szCs w:val="28"/>
        </w:rPr>
        <w:t>供应商认为有必要说明的其他问题</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第十</w:t>
      </w:r>
      <w:r>
        <w:rPr>
          <w:rFonts w:hint="eastAsia" w:asciiTheme="minorEastAsia" w:hAnsiTheme="minorEastAsia" w:cstheme="minorEastAsia"/>
          <w:b/>
          <w:sz w:val="28"/>
          <w:szCs w:val="28"/>
          <w:lang w:val="en-US" w:eastAsia="zh-CN"/>
        </w:rPr>
        <w:t>一</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供应商</w:t>
      </w:r>
      <w:r>
        <w:rPr>
          <w:rFonts w:hint="eastAsia" w:asciiTheme="minorEastAsia" w:hAnsiTheme="minorEastAsia" w:cstheme="minorEastAsia"/>
          <w:b/>
          <w:bCs/>
          <w:sz w:val="28"/>
          <w:szCs w:val="28"/>
        </w:rPr>
        <w:t>承诺书</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21" w:name="_Toc14707"/>
      <w:bookmarkStart w:id="122" w:name="_Toc11547"/>
      <w:r>
        <w:rPr>
          <w:rFonts w:hint="eastAsia"/>
          <w:color w:val="000000" w:themeColor="text1"/>
          <w14:textFill>
            <w14:solidFill>
              <w14:schemeClr w14:val="tx1"/>
            </w14:solidFill>
          </w14:textFill>
        </w:rPr>
        <w:t>第一</w:t>
      </w:r>
      <w:bookmarkEnd w:id="113"/>
      <w:r>
        <w:rPr>
          <w:rFonts w:hint="eastAsia"/>
          <w:color w:val="000000" w:themeColor="text1"/>
          <w14:textFill>
            <w14:solidFill>
              <w14:schemeClr w14:val="tx1"/>
            </w14:solidFill>
          </w14:textFill>
        </w:rPr>
        <w:t>章  响应函</w:t>
      </w:r>
      <w:bookmarkEnd w:id="114"/>
      <w:bookmarkEnd w:id="115"/>
      <w:bookmarkEnd w:id="116"/>
      <w:bookmarkEnd w:id="117"/>
      <w:bookmarkEnd w:id="118"/>
      <w:bookmarkEnd w:id="119"/>
      <w:bookmarkEnd w:id="120"/>
      <w:bookmarkEnd w:id="121"/>
      <w:bookmarkEnd w:id="122"/>
    </w:p>
    <w:p>
      <w:pPr>
        <w:adjustRightInd w:val="0"/>
        <w:snapToGrid w:val="0"/>
        <w:spacing w:line="276" w:lineRule="auto"/>
        <w:jc w:val="left"/>
        <w:rPr>
          <w:rFonts w:ascii="宋体" w:cs="宋体"/>
          <w:bCs/>
          <w:color w:val="000000" w:themeColor="text1"/>
          <w:sz w:val="32"/>
          <w:szCs w:val="32"/>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陕西万泽招标有限公司</w:t>
      </w:r>
      <w:r>
        <w:rPr>
          <w:rFonts w:hint="eastAsia" w:ascii="宋体" w:hAnsi="宋体" w:cs="宋体"/>
          <w:bCs/>
          <w:color w:val="000000" w:themeColor="text1"/>
          <w:sz w:val="32"/>
          <w:szCs w:val="32"/>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我单位收到项目名称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编号为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的竞争性磋商文件，经详细研究，我公司决定参加本次磋商活动。为此，我方郑重承诺以下诸点，并负法律责任。</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、愿意按照竞争性磋商文件中的全部要求，提供合格的产品及完善的技术服务，履行合同的责任和义务。</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、按照竞争性磋商文件的规定，我公司的响应总报价为：</w:t>
      </w:r>
    </w:p>
    <w:p>
      <w:pPr>
        <w:adjustRightInd w:val="0"/>
        <w:snapToGrid w:val="0"/>
        <w:spacing w:line="360" w:lineRule="auto"/>
        <w:ind w:firstLine="480" w:firstLineChars="200"/>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人民币（大</w:t>
      </w:r>
      <w:r>
        <w:rPr>
          <w:rFonts w:hint="eastAsia" w:ascii="宋体" w:hAnsi="宋体" w:cs="宋体"/>
          <w:color w:val="000000" w:themeColor="text1"/>
          <w:sz w:val="24"/>
          <w:szCs w:val="24"/>
          <w14:textFill>
            <w14:solidFill>
              <w14:schemeClr w14:val="tx1"/>
            </w14:solidFill>
          </w14:textFill>
        </w:rPr>
        <w:t>写）</w:t>
      </w:r>
      <w:r>
        <w:rPr>
          <w:rFonts w:hint="eastAsia" w:ascii="宋体" w:hAnsi="宋体" w:cs="宋体"/>
          <w:color w:val="000000" w:themeColor="text1"/>
          <w:sz w:val="24"/>
          <w:szCs w:val="24"/>
          <w:u w:val="single"/>
          <w14:textFill>
            <w14:solidFill>
              <w14:schemeClr w14:val="tx1"/>
            </w14:solidFill>
          </w14:textFill>
        </w:rPr>
        <w:t>：    元</w:t>
      </w:r>
      <w:r>
        <w:rPr>
          <w:rFonts w:hint="eastAsia" w:ascii="宋体" w:hAnsi="宋体" w:cs="宋体"/>
          <w:color w:val="000000" w:themeColor="text1"/>
          <w:sz w:val="24"/>
          <w:szCs w:val="24"/>
          <w14:textFill>
            <w14:solidFill>
              <w14:schemeClr w14:val="tx1"/>
            </w14:solidFill>
          </w14:textFill>
        </w:rPr>
        <w:t>；（小写）</w:t>
      </w:r>
      <w:r>
        <w:rPr>
          <w:rFonts w:hint="eastAsia"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元</w:t>
      </w:r>
      <w:r>
        <w:rPr>
          <w:rFonts w:hint="eastAsia" w:ascii="宋体" w:hAnsi="宋体" w:cs="宋体"/>
          <w:color w:val="000000" w:themeColor="text1"/>
          <w:sz w:val="24"/>
          <w:szCs w:val="24"/>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、我方提交的磋商响应文件正本壹份、副本叁份，电子文档壹份、</w:t>
      </w:r>
      <w:r>
        <w:rPr>
          <w:rFonts w:hint="eastAsia" w:ascii="宋体" w:hAnsi="宋体" w:cs="宋体"/>
          <w:color w:val="000000" w:themeColor="text1"/>
          <w:sz w:val="24"/>
          <w:szCs w:val="24"/>
          <w14:textFill>
            <w14:solidFill>
              <w14:schemeClr w14:val="tx1"/>
            </w14:solidFill>
          </w14:textFill>
        </w:rPr>
        <w:t>磋商一览表壹份</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、我们已详细阅读了竞争性磋商文件，完全理解并同意放弃提出含糊不清和误解问题的权力。</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、如果我方在磋商后到规定的磋商有效期内撤回磋商响应文件及承诺，我们的保证金将被对方没收。</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、同意向贵方提供贵方可能要求的、与本次磋商有关的任何证据资料。</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、我方承诺磋商有效期为磋商后</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90</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日历日内有效。</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、所有关于本次磋商的函电，请按下列地址联系：</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供应商（单位名称及公章）：</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被授权人（签字或盖章）：</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帐号：</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邮编：</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 月 日</w:t>
      </w:r>
    </w:p>
    <w:p>
      <w:pPr>
        <w:widowControl/>
        <w:spacing w:line="460" w:lineRule="exact"/>
        <w:ind w:firstLine="720" w:firstLineChars="200"/>
        <w:jc w:val="left"/>
        <w:rPr>
          <w:rFonts w:ascii="宋体" w:cs="宋体"/>
          <w:color w:val="000000" w:themeColor="text1"/>
          <w:sz w:val="36"/>
          <w:szCs w:val="36"/>
          <w:u w:val="single"/>
          <w14:textFill>
            <w14:solidFill>
              <w14:schemeClr w14:val="tx1"/>
            </w14:solidFill>
          </w14:textFill>
        </w:rPr>
      </w:pPr>
    </w:p>
    <w:p>
      <w:pPr>
        <w:widowControl/>
        <w:spacing w:line="460" w:lineRule="exact"/>
        <w:ind w:firstLine="720" w:firstLineChars="200"/>
        <w:jc w:val="left"/>
        <w:rPr>
          <w:rFonts w:ascii="宋体" w:cs="宋体"/>
          <w:color w:val="000000" w:themeColor="text1"/>
          <w:sz w:val="36"/>
          <w:szCs w:val="36"/>
          <w:u w:val="single"/>
          <w14:textFill>
            <w14:solidFill>
              <w14:schemeClr w14:val="tx1"/>
            </w14:solidFill>
          </w14:textFill>
        </w:rPr>
      </w:pPr>
    </w:p>
    <w:p>
      <w:pPr>
        <w:pStyle w:val="4"/>
        <w:rPr>
          <w:rFonts w:ascii="宋体" w:cs="宋体"/>
          <w:color w:val="000000" w:themeColor="text1"/>
          <w14:textFill>
            <w14:solidFill>
              <w14:schemeClr w14:val="tx1"/>
            </w14:solidFill>
          </w14:textFill>
        </w:rPr>
        <w:sectPr>
          <w:headerReference r:id="rId12" w:type="default"/>
          <w:footerReference r:id="rId13" w:type="default"/>
          <w:pgSz w:w="11906" w:h="16838"/>
          <w:pgMar w:top="1440" w:right="1803" w:bottom="1440" w:left="1803" w:header="851" w:footer="992" w:gutter="0"/>
          <w:cols w:space="720" w:num="1"/>
          <w:docGrid w:type="lines" w:linePitch="319" w:charSpace="0"/>
        </w:sectPr>
      </w:pPr>
      <w:bookmarkStart w:id="123" w:name="_Toc28494"/>
    </w:p>
    <w:p>
      <w:pPr>
        <w:pStyle w:val="4"/>
        <w:rPr>
          <w:rFonts w:ascii="宋体" w:cs="宋体"/>
          <w:color w:val="000000" w:themeColor="text1"/>
          <w14:textFill>
            <w14:solidFill>
              <w14:schemeClr w14:val="tx1"/>
            </w14:solidFill>
          </w14:textFill>
        </w:rPr>
      </w:pPr>
      <w:bookmarkStart w:id="124" w:name="_Toc26486"/>
      <w:bookmarkStart w:id="125" w:name="_Toc31150"/>
      <w:bookmarkStart w:id="126" w:name="_Toc23678"/>
      <w:bookmarkStart w:id="127" w:name="_Toc19624"/>
      <w:bookmarkStart w:id="128" w:name="_Toc25695"/>
      <w:bookmarkStart w:id="129" w:name="_Toc6333"/>
      <w:bookmarkStart w:id="130" w:name="_Toc26259"/>
      <w:bookmarkStart w:id="131" w:name="_Toc6242"/>
      <w:bookmarkStart w:id="132" w:name="_Toc23295"/>
      <w:r>
        <w:rPr>
          <w:rFonts w:hint="eastAsia" w:ascii="宋体" w:hAnsi="宋体" w:cs="宋体"/>
          <w:color w:val="000000" w:themeColor="text1"/>
          <w14:textFill>
            <w14:solidFill>
              <w14:schemeClr w14:val="tx1"/>
            </w14:solidFill>
          </w14:textFill>
        </w:rPr>
        <w:t>第二</w:t>
      </w:r>
      <w:bookmarkEnd w:id="123"/>
      <w:r>
        <w:rPr>
          <w:rFonts w:hint="eastAsia"/>
          <w:color w:val="000000" w:themeColor="text1"/>
          <w14:textFill>
            <w14:solidFill>
              <w14:schemeClr w14:val="tx1"/>
            </w14:solidFill>
          </w14:textFill>
        </w:rPr>
        <w:t xml:space="preserve">章  </w:t>
      </w:r>
      <w:r>
        <w:rPr>
          <w:rFonts w:hint="eastAsia" w:ascii="宋体" w:hAnsi="宋体" w:cs="宋体"/>
          <w:color w:val="000000" w:themeColor="text1"/>
          <w14:textFill>
            <w14:solidFill>
              <w14:schemeClr w14:val="tx1"/>
            </w14:solidFill>
          </w14:textFill>
        </w:rPr>
        <w:t>磋商一览表</w:t>
      </w:r>
      <w:bookmarkEnd w:id="124"/>
      <w:bookmarkEnd w:id="125"/>
      <w:bookmarkEnd w:id="126"/>
      <w:bookmarkEnd w:id="127"/>
      <w:bookmarkEnd w:id="128"/>
      <w:bookmarkEnd w:id="129"/>
      <w:bookmarkEnd w:id="130"/>
      <w:bookmarkEnd w:id="131"/>
      <w:bookmarkEnd w:id="132"/>
    </w:p>
    <w:p>
      <w:pPr>
        <w:widowControl/>
        <w:wordWrap w:val="0"/>
        <w:spacing w:line="360" w:lineRule="auto"/>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西安医学院未央校区汽车充电桩安装工程项目（四次）</w:t>
      </w:r>
      <w:r>
        <w:rPr>
          <w:rFonts w:hint="eastAsia" w:ascii="宋体" w:hAnsi="宋体" w:cs="宋体"/>
          <w:color w:val="000000" w:themeColor="text1"/>
          <w:sz w:val="24"/>
          <w:u w:val="single"/>
          <w14:textFill>
            <w14:solidFill>
              <w14:schemeClr w14:val="tx1"/>
            </w14:solidFill>
          </w14:textFill>
        </w:rPr>
        <w:t xml:space="preserve"> </w:t>
      </w:r>
    </w:p>
    <w:p>
      <w:pPr>
        <w:pStyle w:val="7"/>
        <w:ind w:firstLine="0"/>
        <w:rPr>
          <w:rFonts w:hint="default" w:asci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lang w:eastAsia="zh-CN"/>
          <w14:textFill>
            <w14:solidFill>
              <w14:schemeClr w14:val="tx1"/>
            </w14:solidFill>
          </w14:textFill>
        </w:rPr>
        <w:t>SXWZ2023ZB-YXY-055R</w:t>
      </w:r>
    </w:p>
    <w:p>
      <w:pPr>
        <w:kinsoku w:val="0"/>
        <w:spacing w:line="360" w:lineRule="auto"/>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sz w:val="24"/>
          <w:szCs w:val="24"/>
          <w14:textFill>
            <w14:solidFill>
              <w14:schemeClr w14:val="tx1"/>
            </w14:solidFill>
          </w14:textFill>
        </w:rPr>
        <w:t>元</w:t>
      </w:r>
    </w:p>
    <w:tbl>
      <w:tblPr>
        <w:tblStyle w:val="25"/>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774"/>
        <w:gridCol w:w="204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673" w:type="dxa"/>
            <w:tcBorders>
              <w:tl2br w:val="single" w:color="auto" w:sz="4" w:space="0"/>
            </w:tcBorders>
          </w:tcPr>
          <w:p>
            <w:pPr>
              <w:kinsoku w:val="0"/>
              <w:spacing w:line="48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报价内容</w:t>
            </w:r>
          </w:p>
          <w:p>
            <w:pPr>
              <w:kinsoku w:val="0"/>
              <w:spacing w:line="480" w:lineRule="auto"/>
              <w:jc w:val="left"/>
              <w:rPr>
                <w:rFonts w:ascii="宋体" w:hAnsi="宋体" w:cs="宋体"/>
                <w:color w:val="000000" w:themeColor="text1"/>
                <w:szCs w:val="21"/>
                <w14:textFill>
                  <w14:solidFill>
                    <w14:schemeClr w14:val="tx1"/>
                  </w14:solidFill>
                </w14:textFill>
              </w:rPr>
            </w:pPr>
          </w:p>
          <w:p>
            <w:pPr>
              <w:kinsoku w:val="0"/>
              <w:spacing w:line="480" w:lineRule="auto"/>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响应内容</w:t>
            </w:r>
          </w:p>
        </w:tc>
        <w:tc>
          <w:tcPr>
            <w:tcW w:w="2774" w:type="dxa"/>
            <w:vAlign w:val="center"/>
          </w:tcPr>
          <w:p>
            <w:pPr>
              <w:kinsoku w:val="0"/>
              <w:spacing w:line="480" w:lineRule="auto"/>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磋商总报价（元）</w:t>
            </w:r>
          </w:p>
        </w:tc>
        <w:tc>
          <w:tcPr>
            <w:tcW w:w="2046" w:type="dxa"/>
            <w:vAlign w:val="center"/>
          </w:tcPr>
          <w:p>
            <w:pPr>
              <w:kinsoku w:val="0"/>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工期</w:t>
            </w:r>
          </w:p>
        </w:tc>
        <w:tc>
          <w:tcPr>
            <w:tcW w:w="2410" w:type="dxa"/>
            <w:vAlign w:val="center"/>
          </w:tcPr>
          <w:p>
            <w:pPr>
              <w:kinsoku w:val="0"/>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质保</w:t>
            </w:r>
            <w:r>
              <w:rPr>
                <w:rFonts w:hint="eastAsia" w:ascii="宋体" w:hAnsi="宋体" w:cs="宋体"/>
                <w:color w:val="000000" w:themeColor="text1"/>
                <w:szCs w:val="21"/>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673" w:type="dxa"/>
            <w:vAlign w:val="center"/>
          </w:tcPr>
          <w:p>
            <w:pPr>
              <w:pStyle w:val="7"/>
              <w:ind w:firstLine="0"/>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西安医学院未央校区汽车充电桩安装工程项目</w:t>
            </w:r>
            <w:r>
              <w:rPr>
                <w:rFonts w:hint="eastAsia"/>
                <w:color w:val="000000" w:themeColor="text1"/>
                <w:lang w:val="en-US" w:eastAsia="zh-CN"/>
                <w14:textFill>
                  <w14:solidFill>
                    <w14:schemeClr w14:val="tx1"/>
                  </w14:solidFill>
                </w14:textFill>
              </w:rPr>
              <w:t>（四次）</w:t>
            </w:r>
            <w:r>
              <w:rPr>
                <w:rFonts w:hint="eastAsia"/>
                <w:color w:val="000000" w:themeColor="text1"/>
                <w14:textFill>
                  <w14:solidFill>
                    <w14:schemeClr w14:val="tx1"/>
                  </w14:solidFill>
                </w14:textFill>
              </w:rPr>
              <w:t xml:space="preserve"> </w:t>
            </w:r>
          </w:p>
        </w:tc>
        <w:tc>
          <w:tcPr>
            <w:tcW w:w="2774" w:type="dxa"/>
            <w:vAlign w:val="center"/>
          </w:tcPr>
          <w:p>
            <w:pPr>
              <w:kinsoku w:val="0"/>
              <w:spacing w:line="480" w:lineRule="auto"/>
              <w:ind w:firstLine="420" w:firstLineChars="200"/>
              <w:jc w:val="left"/>
              <w:rPr>
                <w:rFonts w:ascii="宋体" w:cs="宋体"/>
                <w:color w:val="000000" w:themeColor="text1"/>
                <w:szCs w:val="21"/>
                <w14:textFill>
                  <w14:solidFill>
                    <w14:schemeClr w14:val="tx1"/>
                  </w14:solidFill>
                </w14:textFill>
              </w:rPr>
            </w:pPr>
          </w:p>
        </w:tc>
        <w:tc>
          <w:tcPr>
            <w:tcW w:w="2046" w:type="dxa"/>
            <w:vAlign w:val="center"/>
          </w:tcPr>
          <w:p>
            <w:pPr>
              <w:tabs>
                <w:tab w:val="left" w:pos="420"/>
              </w:tabs>
              <w:spacing w:line="360" w:lineRule="auto"/>
              <w:rPr>
                <w:rFonts w:ascii="宋体" w:hAnsi="宋体" w:cs="宋体"/>
                <w:szCs w:val="21"/>
              </w:rPr>
            </w:pPr>
          </w:p>
          <w:p>
            <w:pPr>
              <w:tabs>
                <w:tab w:val="left" w:pos="420"/>
              </w:tabs>
              <w:spacing w:line="360" w:lineRule="auto"/>
              <w:rPr>
                <w:rFonts w:ascii="宋体" w:hAnsi="宋体" w:cs="宋体"/>
                <w:szCs w:val="21"/>
              </w:rPr>
            </w:pPr>
          </w:p>
          <w:p>
            <w:pPr>
              <w:kinsoku w:val="0"/>
              <w:spacing w:line="480" w:lineRule="auto"/>
              <w:ind w:firstLine="420" w:firstLineChars="200"/>
              <w:jc w:val="left"/>
              <w:rPr>
                <w:rFonts w:ascii="宋体" w:hAnsi="宋体" w:cs="宋体"/>
                <w:szCs w:val="21"/>
              </w:rPr>
            </w:pPr>
          </w:p>
        </w:tc>
        <w:tc>
          <w:tcPr>
            <w:tcW w:w="2410" w:type="dxa"/>
            <w:vAlign w:val="center"/>
          </w:tcPr>
          <w:p>
            <w:pPr>
              <w:kinsoku w:val="0"/>
              <w:spacing w:line="480" w:lineRule="auto"/>
              <w:jc w:val="left"/>
              <w:rPr>
                <w:rFonts w:hint="default" w:ascii="宋体" w:hAnsi="宋体" w:eastAsia="宋体" w:cs="宋体"/>
                <w:szCs w:val="21"/>
                <w:lang w:val="en-US" w:eastAsia="zh-CN"/>
              </w:rPr>
            </w:pPr>
            <w:r>
              <w:rPr>
                <w:rFonts w:hint="eastAsia" w:ascii="宋体" w:hAnsi="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903" w:type="dxa"/>
            <w:gridSpan w:val="4"/>
            <w:vAlign w:val="center"/>
          </w:tcPr>
          <w:p>
            <w:pPr>
              <w:kinsoku w:val="0"/>
              <w:spacing w:line="48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总报价：人民币（大写）</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小写</w:t>
            </w:r>
            <w:r>
              <w:rPr>
                <w:rFonts w:hint="eastAsia" w:ascii="宋体" w:hAnsi="宋体" w:cs="宋体"/>
                <w:color w:val="000000" w:themeColor="text1"/>
                <w:sz w:val="24"/>
                <w14:textFill>
                  <w14:solidFill>
                    <w14:schemeClr w14:val="tx1"/>
                  </w14:solidFill>
                </w14:textFill>
              </w:rPr>
              <w:t>）</w:t>
            </w:r>
            <w:r>
              <w:rPr>
                <w:rFonts w:hint="eastAsia" w:asci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903" w:type="dxa"/>
            <w:gridSpan w:val="4"/>
            <w:vAlign w:val="center"/>
          </w:tcPr>
          <w:p>
            <w:pPr>
              <w:kinsoku w:val="0"/>
              <w:spacing w:line="480" w:lineRule="auto"/>
              <w:ind w:firstLine="420" w:firstLineChars="200"/>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表内报价内容以元为单位，精确到小数点后两位；</w:t>
            </w:r>
          </w:p>
          <w:p>
            <w:pPr>
              <w:kinsoku w:val="0"/>
              <w:spacing w:line="480" w:lineRule="auto"/>
              <w:ind w:firstLine="1050" w:firstLineChars="5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工期、</w:t>
            </w:r>
            <w:r>
              <w:rPr>
                <w:rFonts w:hint="eastAsia" w:ascii="宋体" w:hAnsi="宋体" w:cs="宋体"/>
                <w:color w:val="000000" w:themeColor="text1"/>
                <w:szCs w:val="21"/>
                <w:lang w:eastAsia="zh-CN"/>
                <w14:textFill>
                  <w14:solidFill>
                    <w14:schemeClr w14:val="tx1"/>
                  </w14:solidFill>
                </w14:textFill>
              </w:rPr>
              <w:t>质保期</w:t>
            </w:r>
            <w:r>
              <w:rPr>
                <w:rFonts w:hint="eastAsia" w:ascii="宋体" w:hAnsi="宋体" w:cs="宋体"/>
                <w:color w:val="000000" w:themeColor="text1"/>
                <w:szCs w:val="21"/>
                <w14:textFill>
                  <w14:solidFill>
                    <w14:schemeClr w14:val="tx1"/>
                  </w14:solidFill>
                </w14:textFill>
              </w:rPr>
              <w:t>要求见第五部分采购要求。</w:t>
            </w:r>
          </w:p>
        </w:tc>
      </w:tr>
    </w:tbl>
    <w:p>
      <w:pPr>
        <w:kinsoku w:val="0"/>
        <w:spacing w:line="360" w:lineRule="auto"/>
        <w:jc w:val="left"/>
        <w:rPr>
          <w:rFonts w:ascii="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此表应再制作一份，单独密封递交。</w:t>
      </w:r>
    </w:p>
    <w:p>
      <w:pPr>
        <w:adjustRightInd w:val="0"/>
        <w:snapToGrid w:val="0"/>
        <w:spacing w:line="480" w:lineRule="auto"/>
        <w:jc w:val="left"/>
        <w:rPr>
          <w:rFonts w:ascii="宋体" w:cs="宋体"/>
          <w:color w:val="000000" w:themeColor="text1"/>
          <w:sz w:val="24"/>
          <w14:textFill>
            <w14:solidFill>
              <w14:schemeClr w14:val="tx1"/>
            </w14:solidFill>
          </w14:textFill>
        </w:rPr>
      </w:pPr>
    </w:p>
    <w:p>
      <w:pPr>
        <w:adjustRightInd w:val="0"/>
        <w:snapToGrid w:val="0"/>
        <w:spacing w:line="480" w:lineRule="auto"/>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供应商（单位名称及公章）：</w:t>
      </w:r>
    </w:p>
    <w:p>
      <w:pPr>
        <w:adjustRightInd w:val="0"/>
        <w:snapToGrid w:val="0"/>
        <w:spacing w:line="48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被授权人（签字或盖章）：</w:t>
      </w:r>
    </w:p>
    <w:p>
      <w:pPr>
        <w:adjustRightInd w:val="0"/>
        <w:snapToGrid w:val="0"/>
        <w:spacing w:line="48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 月 日</w:t>
      </w:r>
    </w:p>
    <w:p>
      <w:pPr>
        <w:kinsoku w:val="0"/>
        <w:spacing w:line="480" w:lineRule="auto"/>
        <w:jc w:val="left"/>
        <w:rPr>
          <w:rFonts w:ascii="宋体" w:cs="宋体"/>
          <w:color w:val="000000" w:themeColor="text1"/>
          <w:sz w:val="24"/>
          <w14:textFill>
            <w14:solidFill>
              <w14:schemeClr w14:val="tx1"/>
            </w14:solidFill>
          </w14:textFill>
        </w:rPr>
      </w:pPr>
    </w:p>
    <w:p>
      <w:pPr>
        <w:bidi w:val="0"/>
      </w:pPr>
      <w:r>
        <w:br w:type="page"/>
      </w:r>
      <w:bookmarkStart w:id="133" w:name="_Toc27168"/>
      <w:bookmarkStart w:id="134" w:name="_Toc25889"/>
      <w:bookmarkStart w:id="135" w:name="_Toc3301"/>
      <w:bookmarkStart w:id="136" w:name="_Toc32440"/>
      <w:bookmarkStart w:id="137" w:name="_Toc23078"/>
    </w:p>
    <w:p>
      <w:pPr>
        <w:pStyle w:val="4"/>
        <w:rPr>
          <w:rFonts w:hint="default" w:eastAsia="宋体"/>
          <w:lang w:val="en-US" w:eastAsia="zh-CN"/>
        </w:rPr>
      </w:pPr>
      <w:bookmarkStart w:id="138" w:name="_Toc14651"/>
      <w:r>
        <w:rPr>
          <w:rFonts w:hint="eastAsia"/>
        </w:rPr>
        <w:t>第</w:t>
      </w:r>
      <w:r>
        <w:rPr>
          <w:rFonts w:hint="eastAsia"/>
          <w:lang w:eastAsia="zh-CN"/>
        </w:rPr>
        <w:t>三</w:t>
      </w:r>
      <w:r>
        <w:rPr>
          <w:rFonts w:hint="eastAsia"/>
        </w:rPr>
        <w:t>章</w:t>
      </w:r>
      <w:r>
        <w:rPr>
          <w:rFonts w:hint="eastAsia"/>
          <w:lang w:val="en-US" w:eastAsia="zh-CN"/>
        </w:rPr>
        <w:t xml:space="preserve"> </w:t>
      </w:r>
      <w:bookmarkStart w:id="139" w:name="_Toc10661"/>
      <w:r>
        <w:rPr>
          <w:rFonts w:hint="eastAsia"/>
        </w:rPr>
        <w:t xml:space="preserve"> </w:t>
      </w:r>
      <w:bookmarkEnd w:id="139"/>
      <w:r>
        <w:rPr>
          <w:rFonts w:hint="eastAsia"/>
          <w:lang w:val="en-US" w:eastAsia="zh-CN"/>
        </w:rPr>
        <w:t>工程量清单报价表</w:t>
      </w:r>
      <w:bookmarkEnd w:id="138"/>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项目编号：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tbl>
      <w:tblPr>
        <w:tblStyle w:val="25"/>
        <w:tblW w:w="938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7"/>
        <w:gridCol w:w="1309"/>
        <w:gridCol w:w="528"/>
        <w:gridCol w:w="1282"/>
        <w:gridCol w:w="1488"/>
        <w:gridCol w:w="1488"/>
        <w:gridCol w:w="141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3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名称及说明</w:t>
            </w:r>
          </w:p>
        </w:tc>
        <w:tc>
          <w:tcPr>
            <w:tcW w:w="5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w:t>
            </w:r>
          </w:p>
        </w:tc>
        <w:tc>
          <w:tcPr>
            <w:tcW w:w="128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工程数量</w:t>
            </w:r>
          </w:p>
        </w:tc>
        <w:tc>
          <w:tcPr>
            <w:tcW w:w="1488" w:type="dxa"/>
            <w:shd w:val="clear" w:color="auto" w:fill="auto"/>
            <w:vAlign w:val="center"/>
          </w:tcPr>
          <w:p>
            <w:pPr>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品牌型号</w:t>
            </w:r>
          </w:p>
        </w:tc>
        <w:tc>
          <w:tcPr>
            <w:tcW w:w="1488" w:type="dxa"/>
            <w:shd w:val="clear" w:color="auto" w:fill="auto"/>
            <w:vAlign w:val="center"/>
          </w:tcPr>
          <w:p>
            <w:pPr>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单价（元）</w:t>
            </w:r>
          </w:p>
        </w:tc>
        <w:tc>
          <w:tcPr>
            <w:tcW w:w="1414" w:type="dxa"/>
            <w:shd w:val="clear" w:color="auto" w:fill="auto"/>
            <w:noWrap/>
            <w:vAlign w:val="center"/>
          </w:tcPr>
          <w:p>
            <w:pPr>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总价（元）</w:t>
            </w:r>
          </w:p>
        </w:tc>
        <w:tc>
          <w:tcPr>
            <w:tcW w:w="13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低压电力配电材料</w:t>
            </w:r>
          </w:p>
        </w:tc>
        <w:tc>
          <w:tcPr>
            <w:tcW w:w="528" w:type="dxa"/>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1282"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FF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FF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YJV-22-0.6-1KV 3*185+2*95</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w:t>
            </w:r>
          </w:p>
        </w:tc>
        <w:tc>
          <w:tcPr>
            <w:tcW w:w="128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330</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YJV-22-0.6-1KV 3*120+2*70</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330</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YJV-2x95+1*25</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w:t>
            </w:r>
          </w:p>
        </w:tc>
        <w:tc>
          <w:tcPr>
            <w:tcW w:w="128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YJV-2*35+1*16</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w:t>
            </w:r>
          </w:p>
        </w:tc>
        <w:tc>
          <w:tcPr>
            <w:tcW w:w="128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180</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辅料连接线缆</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w:t>
            </w:r>
          </w:p>
        </w:tc>
        <w:tc>
          <w:tcPr>
            <w:tcW w:w="128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500</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主电缆穿管DN100钢管</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米</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300</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土建、安装施工</w:t>
            </w:r>
          </w:p>
        </w:tc>
        <w:tc>
          <w:tcPr>
            <w:tcW w:w="528" w:type="dxa"/>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1282"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电缆沟砖路面(含恢复)</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米</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95</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noWrap/>
            <w:vAlign w:val="bottom"/>
          </w:tcPr>
          <w:p>
            <w:pPr>
              <w:keepNext w:val="0"/>
              <w:keepLines w:val="0"/>
              <w:widowControl/>
              <w:suppressLineNumbers w:val="0"/>
              <w:jc w:val="both"/>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表层花砖，混凝土垫层，路面恢复及回填，成混凝土路面，开挖断面：4</w:t>
            </w:r>
            <w:r>
              <w:rPr>
                <w:rStyle w:val="94"/>
                <w:rFonts w:eastAsia="宋体"/>
                <w:b w:val="0"/>
                <w:bCs w:val="0"/>
                <w:lang w:val="en-US" w:eastAsia="zh-CN" w:bidi="ar"/>
              </w:rPr>
              <w:t>00*500</w:t>
            </w:r>
            <w:r>
              <w:rPr>
                <w:rStyle w:val="80"/>
                <w:b w:val="0"/>
                <w:bCs w:val="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电缆沟草坪路面（含恢复）</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米</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75</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充电桩绿化带开挖、回填、草坪恢复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二级柜</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28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户外防水柜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配电室开关改造</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w:t>
            </w:r>
          </w:p>
        </w:tc>
        <w:tc>
          <w:tcPr>
            <w:tcW w:w="128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空开及锁止装置更换安装，加装互感器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400KW总控箱基础</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28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充电桩基础制作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直流充电桩基础</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28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vMerge w:val="continue"/>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交流桩基础制作</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28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vMerge w:val="continue"/>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二级柜基础</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28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二级柜安装</w:t>
            </w:r>
          </w:p>
        </w:tc>
        <w:tc>
          <w:tcPr>
            <w:tcW w:w="5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50角钢含人工刷漆焊接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400KW总控箱安装</w:t>
            </w:r>
          </w:p>
        </w:tc>
        <w:tc>
          <w:tcPr>
            <w:tcW w:w="5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直流充电桩安装</w:t>
            </w:r>
          </w:p>
        </w:tc>
        <w:tc>
          <w:tcPr>
            <w:tcW w:w="5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7KW安装</w:t>
            </w:r>
          </w:p>
        </w:tc>
        <w:tc>
          <w:tcPr>
            <w:tcW w:w="5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车阻器制作</w:t>
            </w:r>
          </w:p>
        </w:tc>
        <w:tc>
          <w:tcPr>
            <w:tcW w:w="5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21</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水钻打孔3.5厚国标钢管及弯头附件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充电桩基础刷漆</w:t>
            </w:r>
          </w:p>
        </w:tc>
        <w:tc>
          <w:tcPr>
            <w:tcW w:w="5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21</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环氧地坪漆厚度&gt;2mm 含车位线、编号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接地网</w:t>
            </w:r>
          </w:p>
        </w:tc>
        <w:tc>
          <w:tcPr>
            <w:tcW w:w="5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所有充电桩及二级柜40热镀锌扁铁链接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低压线缆绝缘测试</w:t>
            </w:r>
          </w:p>
        </w:tc>
        <w:tc>
          <w:tcPr>
            <w:tcW w:w="5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出线制作防水处理</w:t>
            </w:r>
          </w:p>
        </w:tc>
        <w:tc>
          <w:tcPr>
            <w:tcW w:w="5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垃圾清运</w:t>
            </w:r>
          </w:p>
        </w:tc>
        <w:tc>
          <w:tcPr>
            <w:tcW w:w="5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19</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防火封堵</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处</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不锈钢背发光字立牌</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8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14" w:type="dxa"/>
            <w:shd w:val="clear" w:color="auto" w:fill="auto"/>
            <w:vAlign w:val="center"/>
          </w:tcPr>
          <w:p>
            <w:pPr>
              <w:jc w:val="right"/>
              <w:rPr>
                <w:rFonts w:hint="eastAsia" w:ascii="宋体" w:hAnsi="宋体" w:eastAsia="宋体" w:cs="宋体"/>
                <w:b w:val="0"/>
                <w:bCs w:val="0"/>
                <w:i w:val="0"/>
                <w:iCs w:val="0"/>
                <w:color w:val="000000"/>
                <w:sz w:val="18"/>
                <w:szCs w:val="18"/>
                <w:u w:val="none"/>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三</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充电设备</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48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48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4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400KW一拖10充电桩</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148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48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4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7KW交流单枪充电桩</w:t>
            </w:r>
          </w:p>
        </w:tc>
        <w:tc>
          <w:tcPr>
            <w:tcW w:w="52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1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w:t>
            </w:r>
          </w:p>
        </w:tc>
        <w:tc>
          <w:tcPr>
            <w:tcW w:w="148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48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4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386" w:type="dxa"/>
            <w:gridSpan w:val="8"/>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投标总报价：大写：        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386" w:type="dxa"/>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备注：保留小数点后两位。</w:t>
            </w:r>
          </w:p>
        </w:tc>
      </w:tr>
    </w:tbl>
    <w:p>
      <w:pPr>
        <w:kinsoku w:val="0"/>
        <w:spacing w:line="360" w:lineRule="auto"/>
        <w:jc w:val="left"/>
        <w:rPr>
          <w:rFonts w:asciiTheme="minorEastAsia" w:hAnsiTheme="minorEastAsia" w:cstheme="minorEastAsia"/>
          <w:sz w:val="24"/>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br w:type="page"/>
      </w:r>
    </w:p>
    <w:p>
      <w:pPr>
        <w:pStyle w:val="4"/>
      </w:pPr>
      <w:bookmarkStart w:id="140" w:name="_Toc20247"/>
      <w:r>
        <w:rPr>
          <w:rFonts w:hint="eastAsia"/>
          <w:sz w:val="32"/>
          <w:szCs w:val="32"/>
        </w:rPr>
        <w:t>第</w:t>
      </w:r>
      <w:r>
        <w:rPr>
          <w:rFonts w:hint="eastAsia"/>
          <w:sz w:val="32"/>
          <w:szCs w:val="32"/>
          <w:lang w:val="en-US" w:eastAsia="zh-CN"/>
        </w:rPr>
        <w:t>四</w:t>
      </w:r>
      <w:r>
        <w:rPr>
          <w:rFonts w:hint="eastAsia"/>
          <w:sz w:val="32"/>
          <w:szCs w:val="32"/>
        </w:rPr>
        <w:t>章  磋商保证金</w:t>
      </w:r>
      <w:bookmarkEnd w:id="133"/>
      <w:bookmarkEnd w:id="140"/>
    </w:p>
    <w:p>
      <w:pPr>
        <w:pStyle w:val="7"/>
        <w:rPr>
          <w:sz w:val="28"/>
          <w:szCs w:val="24"/>
        </w:rPr>
      </w:pPr>
      <w:r>
        <w:rPr>
          <w:rFonts w:hint="eastAsia"/>
          <w:sz w:val="28"/>
          <w:szCs w:val="24"/>
        </w:rPr>
        <w:t>供应商在此处提供保证金缴纳凭证扫描件加盖公章，或者财政部门指定的担保机构出具的保函；</w:t>
      </w:r>
    </w:p>
    <w:p>
      <w:pPr>
        <w:pStyle w:val="7"/>
        <w:rPr>
          <w:sz w:val="28"/>
          <w:szCs w:val="24"/>
        </w:rPr>
      </w:pPr>
    </w:p>
    <w:tbl>
      <w:tblPr>
        <w:tblStyle w:val="2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3" w:hRule="atLeast"/>
        </w:trPr>
        <w:tc>
          <w:tcPr>
            <w:tcW w:w="9000" w:type="dxa"/>
          </w:tcPr>
          <w:p>
            <w:pPr>
              <w:pStyle w:val="7"/>
              <w:rPr>
                <w:sz w:val="28"/>
                <w:szCs w:val="24"/>
              </w:rPr>
            </w:pPr>
          </w:p>
        </w:tc>
      </w:tr>
    </w:tbl>
    <w:p>
      <w:pPr>
        <w:pStyle w:val="4"/>
        <w:jc w:val="both"/>
        <w:sectPr>
          <w:pgSz w:w="11906" w:h="16838"/>
          <w:pgMar w:top="1440" w:right="1304" w:bottom="1440" w:left="1304" w:header="851" w:footer="992" w:gutter="0"/>
          <w:cols w:space="0" w:num="1"/>
          <w:docGrid w:type="lines" w:linePitch="325" w:charSpace="0"/>
        </w:sect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141" w:name="_Toc763"/>
      <w:r>
        <w:rPr>
          <w:rFonts w:hint="eastAsia"/>
          <w:color w:val="000000" w:themeColor="text1"/>
          <w14:textFill>
            <w14:solidFill>
              <w14:schemeClr w14:val="tx1"/>
            </w14:solidFill>
          </w14:textFill>
        </w:rPr>
        <w:t>第</w:t>
      </w:r>
      <w:r>
        <w:rPr>
          <w:rFonts w:hint="eastAsia"/>
          <w:color w:val="000000" w:themeColor="text1"/>
          <w:lang w:val="en-US" w:eastAsia="zh-CN"/>
          <w14:textFill>
            <w14:solidFill>
              <w14:schemeClr w14:val="tx1"/>
            </w14:solidFill>
          </w14:textFill>
        </w:rPr>
        <w:t>五</w:t>
      </w:r>
      <w:r>
        <w:rPr>
          <w:rFonts w:hint="eastAsia"/>
          <w:color w:val="000000" w:themeColor="text1"/>
          <w14:textFill>
            <w14:solidFill>
              <w14:schemeClr w14:val="tx1"/>
            </w14:solidFill>
          </w14:textFill>
        </w:rPr>
        <w:t>章  供应商资质证明资料</w:t>
      </w:r>
      <w:bookmarkEnd w:id="134"/>
      <w:bookmarkEnd w:id="135"/>
      <w:bookmarkEnd w:id="141"/>
    </w:p>
    <w:p>
      <w:pPr>
        <w:pStyle w:val="7"/>
        <w:rPr>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供应商需在此页附磋商公告或磋商文件中要求的资质证明文件，响应文件附资质复印件或扫描件加盖供应商公章。格式参考见下页。</w:t>
      </w:r>
    </w:p>
    <w:p>
      <w:pPr>
        <w:rPr>
          <w:color w:val="000000" w:themeColor="text1"/>
          <w14:textFill>
            <w14:solidFill>
              <w14:schemeClr w14:val="tx1"/>
            </w14:solidFill>
          </w14:textFill>
        </w:rPr>
      </w:pPr>
    </w:p>
    <w:p>
      <w:pPr>
        <w:pStyle w:val="7"/>
        <w:rPr>
          <w:color w:val="000000" w:themeColor="text1"/>
          <w:sz w:val="24"/>
          <w:szCs w:val="24"/>
          <w14:textFill>
            <w14:solidFill>
              <w14:schemeClr w14:val="tx1"/>
            </w14:solidFill>
          </w14:textFill>
        </w:rPr>
      </w:pPr>
    </w:p>
    <w:p>
      <w:pPr>
        <w:pStyle w:val="7"/>
        <w:ind w:firstLine="0"/>
        <w:rPr>
          <w:b/>
          <w:bCs/>
          <w:color w:val="000000" w:themeColor="text1"/>
          <w:sz w:val="28"/>
          <w:szCs w:val="28"/>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pStyle w:val="7"/>
        <w:ind w:firstLine="0"/>
        <w:rPr>
          <w:b/>
          <w:bCs/>
          <w:color w:val="000000" w:themeColor="text1"/>
          <w:sz w:val="32"/>
          <w:szCs w:val="28"/>
          <w14:textFill>
            <w14:solidFill>
              <w14:schemeClr w14:val="tx1"/>
            </w14:solidFill>
          </w14:textFill>
        </w:rPr>
      </w:pPr>
      <w:r>
        <w:rPr>
          <w:rFonts w:hint="eastAsia"/>
          <w:b/>
          <w:bCs/>
          <w:color w:val="000000" w:themeColor="text1"/>
          <w:sz w:val="32"/>
          <w:szCs w:val="28"/>
          <w14:textFill>
            <w14:solidFill>
              <w14:schemeClr w14:val="tx1"/>
            </w14:solidFill>
          </w14:textFill>
        </w:rPr>
        <w:t>附：资质证明文件格式：</w:t>
      </w:r>
    </w:p>
    <w:p>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1、供应商符合《政府采购法》第二十二条规定条件的承诺函</w:t>
      </w:r>
    </w:p>
    <w:p>
      <w:pPr>
        <w:pStyle w:val="9"/>
        <w:spacing w:line="360" w:lineRule="auto"/>
        <w:ind w:left="0" w:leftChars="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致陕西万泽招标有限公司：</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w:t>
      </w:r>
      <w:r>
        <w:rPr>
          <w:rFonts w:hint="eastAsia" w:ascii="宋体" w:hAnsi="宋体" w:cs="宋体"/>
          <w:color w:val="000000" w:themeColor="text1"/>
          <w:sz w:val="24"/>
          <w:szCs w:val="24"/>
          <w:u w:val="single"/>
          <w14:textFill>
            <w14:solidFill>
              <w14:schemeClr w14:val="tx1"/>
            </w14:solidFill>
          </w14:textFill>
        </w:rPr>
        <w:t>（公司名称）</w:t>
      </w:r>
      <w:r>
        <w:rPr>
          <w:rFonts w:hint="eastAsia" w:ascii="宋体" w:hAnsi="宋体" w:cs="宋体"/>
          <w:color w:val="000000" w:themeColor="text1"/>
          <w:sz w:val="24"/>
          <w:szCs w:val="24"/>
          <w14:textFill>
            <w14:solidFill>
              <w14:schemeClr w14:val="tx1"/>
            </w14:solidFill>
          </w14:textFill>
        </w:rPr>
        <w:t>参加</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的投标活动，现承诺：</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我公司满足政府采购法第二十二条关于供应商的资格要求：</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（二）具有良好的商业信誉和健全的财务会计制度；</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（三）具有履行合同所必需的设备和专业技术能力；</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（四）有依法缴纳税收的良好记录；</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（五）参加政府采购活动前三年内，在经营活动中没有重大违法记录；</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同时也满足本项目法律法规规章规定关于供应商的其他资格性条件，未参与本采购项目前期咨询论证，不属于禁止参加投标的供应商。</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pPr>
        <w:pStyle w:val="9"/>
        <w:spacing w:line="360" w:lineRule="auto"/>
        <w:ind w:left="0" w:leftChars="0"/>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14:textFill>
            <w14:solidFill>
              <w14:schemeClr w14:val="tx1"/>
            </w14:solidFill>
          </w14:textFill>
        </w:rPr>
        <w:t>（名称及盖章）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法定代表人或委托代理人（签字或盖章）：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pStyle w:val="7"/>
        <w:ind w:firstLine="0"/>
        <w:rPr>
          <w:color w:val="000000" w:themeColor="text1"/>
          <w14:textFill>
            <w14:solidFill>
              <w14:schemeClr w14:val="tx1"/>
            </w14:solidFill>
          </w14:textFill>
        </w:rPr>
      </w:pPr>
    </w:p>
    <w:p>
      <w:pPr>
        <w:rPr>
          <w:color w:val="000000" w:themeColor="text1"/>
          <w14:textFill>
            <w14:solidFill>
              <w14:schemeClr w14:val="tx1"/>
            </w14:solidFill>
          </w14:textFill>
        </w:rPr>
      </w:pPr>
      <w:bookmarkStart w:id="142" w:name="_Toc1408"/>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ind w:firstLine="2240" w:firstLineChars="700"/>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2、供应商基本情况一览表</w:t>
      </w:r>
    </w:p>
    <w:p>
      <w:pPr>
        <w:rPr>
          <w:color w:val="000000" w:themeColor="text1"/>
          <w:sz w:val="28"/>
          <w:szCs w:val="32"/>
          <w14:textFill>
            <w14:solidFill>
              <w14:schemeClr w14:val="tx1"/>
            </w14:solidFill>
          </w14:textFill>
        </w:rPr>
      </w:pPr>
      <w:r>
        <w:rPr>
          <w:rFonts w:hint="eastAsia"/>
          <w:color w:val="000000" w:themeColor="text1"/>
          <w:sz w:val="24"/>
          <w:szCs w:val="28"/>
          <w14:textFill>
            <w14:solidFill>
              <w14:schemeClr w14:val="tx1"/>
            </w14:solidFill>
          </w14:textFill>
        </w:rPr>
        <w:t>2-1供应商基本情况一览表</w:t>
      </w:r>
    </w:p>
    <w:tbl>
      <w:tblPr>
        <w:tblStyle w:val="25"/>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pPr>
              <w:rPr>
                <w:color w:val="000000" w:themeColor="text1"/>
                <w14:textFill>
                  <w14:solidFill>
                    <w14:schemeClr w14:val="tx1"/>
                  </w14:solidFill>
                </w14:textFill>
              </w:rPr>
            </w:pPr>
            <w:bookmarkStart w:id="143" w:name="_Toc18556"/>
            <w:bookmarkStart w:id="144" w:name="_Toc15823"/>
            <w:bookmarkStart w:id="145" w:name="_Toc29518"/>
            <w:bookmarkStart w:id="146" w:name="_Toc5452"/>
            <w:r>
              <w:rPr>
                <w:rFonts w:hint="eastAsia"/>
                <w:color w:val="000000" w:themeColor="text1"/>
                <w14:textFill>
                  <w14:solidFill>
                    <w14:schemeClr w14:val="tx1"/>
                  </w14:solidFill>
                </w14:textFill>
              </w:rPr>
              <w:t>投标人名称</w:t>
            </w:r>
            <w:bookmarkEnd w:id="143"/>
            <w:bookmarkEnd w:id="144"/>
            <w:bookmarkEnd w:id="145"/>
            <w:bookmarkEnd w:id="146"/>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pPr>
              <w:rPr>
                <w:color w:val="000000" w:themeColor="text1"/>
                <w14:textFill>
                  <w14:solidFill>
                    <w14:schemeClr w14:val="tx1"/>
                  </w14:solidFill>
                </w14:textFill>
              </w:rPr>
            </w:pPr>
            <w:bookmarkStart w:id="147" w:name="_Toc26127"/>
            <w:bookmarkStart w:id="148" w:name="_Toc15986"/>
            <w:bookmarkStart w:id="149" w:name="_Toc32432"/>
            <w:r>
              <w:rPr>
                <w:rFonts w:hint="eastAsia"/>
                <w:color w:val="000000" w:themeColor="text1"/>
                <w14:textFill>
                  <w14:solidFill>
                    <w14:schemeClr w14:val="tx1"/>
                  </w14:solidFill>
                </w14:textFill>
              </w:rPr>
              <w:t>注册地址</w:t>
            </w:r>
            <w:bookmarkEnd w:id="147"/>
            <w:bookmarkEnd w:id="148"/>
            <w:bookmarkEnd w:id="149"/>
          </w:p>
        </w:tc>
        <w:tc>
          <w:tcPr>
            <w:tcW w:w="3655" w:type="dxa"/>
            <w:gridSpan w:val="3"/>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bookmarkStart w:id="150" w:name="_Toc13370"/>
            <w:bookmarkStart w:id="151" w:name="_Toc5829"/>
            <w:bookmarkStart w:id="152" w:name="_Toc2965"/>
            <w:bookmarkStart w:id="153" w:name="_Toc20217"/>
            <w:r>
              <w:rPr>
                <w:rFonts w:hint="eastAsia"/>
                <w:color w:val="000000" w:themeColor="text1"/>
                <w14:textFill>
                  <w14:solidFill>
                    <w14:schemeClr w14:val="tx1"/>
                  </w14:solidFill>
                </w14:textFill>
              </w:rPr>
              <w:t>邮政编码</w:t>
            </w:r>
            <w:bookmarkEnd w:id="150"/>
            <w:bookmarkEnd w:id="151"/>
            <w:bookmarkEnd w:id="152"/>
            <w:bookmarkEnd w:id="153"/>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154" w:name="_Toc14242"/>
            <w:bookmarkStart w:id="155" w:name="_Toc5933"/>
            <w:bookmarkStart w:id="156" w:name="_Toc24152"/>
            <w:bookmarkStart w:id="157" w:name="_Toc29861"/>
            <w:r>
              <w:rPr>
                <w:rFonts w:hint="eastAsia"/>
                <w:color w:val="000000" w:themeColor="text1"/>
                <w14:textFill>
                  <w14:solidFill>
                    <w14:schemeClr w14:val="tx1"/>
                  </w14:solidFill>
                </w14:textFill>
              </w:rPr>
              <w:t>联系方式</w:t>
            </w:r>
            <w:bookmarkEnd w:id="154"/>
            <w:bookmarkEnd w:id="155"/>
            <w:bookmarkEnd w:id="156"/>
            <w:bookmarkEnd w:id="157"/>
          </w:p>
        </w:tc>
        <w:tc>
          <w:tcPr>
            <w:tcW w:w="1016" w:type="dxa"/>
            <w:vAlign w:val="center"/>
          </w:tcPr>
          <w:p>
            <w:pPr>
              <w:rPr>
                <w:color w:val="000000" w:themeColor="text1"/>
                <w14:textFill>
                  <w14:solidFill>
                    <w14:schemeClr w14:val="tx1"/>
                  </w14:solidFill>
                </w14:textFill>
              </w:rPr>
            </w:pPr>
            <w:bookmarkStart w:id="158" w:name="_Toc23469"/>
            <w:bookmarkStart w:id="159" w:name="_Toc11708"/>
            <w:bookmarkStart w:id="160" w:name="_Toc32228"/>
            <w:bookmarkStart w:id="161" w:name="_Toc22630"/>
            <w:r>
              <w:rPr>
                <w:rFonts w:hint="eastAsia"/>
                <w:color w:val="000000" w:themeColor="text1"/>
                <w14:textFill>
                  <w14:solidFill>
                    <w14:schemeClr w14:val="tx1"/>
                  </w14:solidFill>
                </w14:textFill>
              </w:rPr>
              <w:t>联系人</w:t>
            </w:r>
            <w:bookmarkEnd w:id="158"/>
            <w:bookmarkEnd w:id="159"/>
            <w:bookmarkEnd w:id="160"/>
            <w:bookmarkEnd w:id="161"/>
          </w:p>
        </w:tc>
        <w:tc>
          <w:tcPr>
            <w:tcW w:w="2639" w:type="dxa"/>
            <w:gridSpan w:val="2"/>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bookmarkStart w:id="162" w:name="_Toc28825"/>
            <w:bookmarkStart w:id="163" w:name="_Toc29495"/>
            <w:bookmarkStart w:id="164" w:name="_Toc31524"/>
            <w:bookmarkStart w:id="165" w:name="_Toc22121"/>
            <w:r>
              <w:rPr>
                <w:rFonts w:hint="eastAsia"/>
                <w:color w:val="000000" w:themeColor="text1"/>
                <w14:textFill>
                  <w14:solidFill>
                    <w14:schemeClr w14:val="tx1"/>
                  </w14:solidFill>
                </w14:textFill>
              </w:rPr>
              <w:t>电话</w:t>
            </w:r>
            <w:bookmarkEnd w:id="162"/>
            <w:bookmarkEnd w:id="163"/>
            <w:bookmarkEnd w:id="164"/>
            <w:bookmarkEnd w:id="165"/>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166" w:name="_Toc12754"/>
            <w:bookmarkStart w:id="167" w:name="_Toc27355"/>
            <w:bookmarkStart w:id="168" w:name="_Toc21326"/>
            <w:bookmarkStart w:id="169" w:name="_Toc8331"/>
            <w:r>
              <w:rPr>
                <w:rFonts w:hint="eastAsia"/>
                <w:color w:val="000000" w:themeColor="text1"/>
                <w14:textFill>
                  <w14:solidFill>
                    <w14:schemeClr w14:val="tx1"/>
                  </w14:solidFill>
                </w14:textFill>
              </w:rPr>
              <w:t>组织结构</w:t>
            </w:r>
            <w:bookmarkEnd w:id="166"/>
            <w:bookmarkEnd w:id="167"/>
            <w:bookmarkEnd w:id="168"/>
            <w:bookmarkEnd w:id="169"/>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pPr>
              <w:rPr>
                <w:color w:val="000000" w:themeColor="text1"/>
                <w14:textFill>
                  <w14:solidFill>
                    <w14:schemeClr w14:val="tx1"/>
                  </w14:solidFill>
                </w14:textFill>
              </w:rPr>
            </w:pPr>
            <w:bookmarkStart w:id="170" w:name="_Toc22082"/>
            <w:bookmarkStart w:id="171" w:name="_Toc29110"/>
            <w:bookmarkStart w:id="172" w:name="_Toc5018"/>
            <w:bookmarkStart w:id="173" w:name="_Toc28736"/>
            <w:r>
              <w:rPr>
                <w:rFonts w:hint="eastAsia"/>
                <w:color w:val="000000" w:themeColor="text1"/>
                <w14:textFill>
                  <w14:solidFill>
                    <w14:schemeClr w14:val="tx1"/>
                  </w14:solidFill>
                </w14:textFill>
              </w:rPr>
              <w:t>法定代表人</w:t>
            </w:r>
            <w:bookmarkEnd w:id="170"/>
            <w:bookmarkEnd w:id="171"/>
            <w:bookmarkEnd w:id="172"/>
            <w:bookmarkEnd w:id="173"/>
          </w:p>
        </w:tc>
        <w:tc>
          <w:tcPr>
            <w:tcW w:w="1016" w:type="dxa"/>
            <w:vAlign w:val="center"/>
          </w:tcPr>
          <w:p>
            <w:pPr>
              <w:rPr>
                <w:color w:val="000000" w:themeColor="text1"/>
                <w14:textFill>
                  <w14:solidFill>
                    <w14:schemeClr w14:val="tx1"/>
                  </w14:solidFill>
                </w14:textFill>
              </w:rPr>
            </w:pPr>
            <w:bookmarkStart w:id="174" w:name="_Toc8313"/>
            <w:bookmarkStart w:id="175" w:name="_Toc3509"/>
            <w:bookmarkStart w:id="176" w:name="_Toc24566"/>
            <w:bookmarkStart w:id="177" w:name="_Toc429"/>
            <w:r>
              <w:rPr>
                <w:rFonts w:hint="eastAsia"/>
                <w:color w:val="000000" w:themeColor="text1"/>
                <w14:textFill>
                  <w14:solidFill>
                    <w14:schemeClr w14:val="tx1"/>
                  </w14:solidFill>
                </w14:textFill>
              </w:rPr>
              <w:t>姓名</w:t>
            </w:r>
            <w:bookmarkEnd w:id="174"/>
            <w:bookmarkEnd w:id="175"/>
            <w:bookmarkEnd w:id="176"/>
            <w:bookmarkEnd w:id="177"/>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bookmarkStart w:id="178" w:name="_Toc11392"/>
            <w:bookmarkStart w:id="179" w:name="_Toc5089"/>
            <w:bookmarkStart w:id="180" w:name="_Toc552"/>
            <w:bookmarkStart w:id="181" w:name="_Toc2791"/>
            <w:r>
              <w:rPr>
                <w:rFonts w:hint="eastAsia"/>
                <w:color w:val="000000" w:themeColor="text1"/>
                <w14:textFill>
                  <w14:solidFill>
                    <w14:schemeClr w14:val="tx1"/>
                  </w14:solidFill>
                </w14:textFill>
              </w:rPr>
              <w:t>技术职称</w:t>
            </w:r>
            <w:bookmarkEnd w:id="178"/>
            <w:bookmarkEnd w:id="179"/>
            <w:bookmarkEnd w:id="180"/>
            <w:bookmarkEnd w:id="181"/>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bookmarkStart w:id="182" w:name="_Toc21732"/>
            <w:bookmarkStart w:id="183" w:name="_Toc24036"/>
            <w:bookmarkStart w:id="184" w:name="_Toc18413"/>
            <w:bookmarkStart w:id="185" w:name="_Toc15179"/>
            <w:r>
              <w:rPr>
                <w:rFonts w:hint="eastAsia"/>
                <w:color w:val="000000" w:themeColor="text1"/>
                <w14:textFill>
                  <w14:solidFill>
                    <w14:schemeClr w14:val="tx1"/>
                  </w14:solidFill>
                </w14:textFill>
              </w:rPr>
              <w:t>电话</w:t>
            </w:r>
            <w:bookmarkEnd w:id="182"/>
            <w:bookmarkEnd w:id="183"/>
            <w:bookmarkEnd w:id="184"/>
            <w:bookmarkEnd w:id="185"/>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pPr>
              <w:rPr>
                <w:color w:val="000000" w:themeColor="text1"/>
                <w14:textFill>
                  <w14:solidFill>
                    <w14:schemeClr w14:val="tx1"/>
                  </w14:solidFill>
                </w14:textFill>
              </w:rPr>
            </w:pPr>
            <w:bookmarkStart w:id="186" w:name="_Toc30758"/>
            <w:bookmarkStart w:id="187" w:name="_Toc832"/>
            <w:bookmarkStart w:id="188" w:name="_Toc6397"/>
            <w:bookmarkStart w:id="189" w:name="_Toc18654"/>
            <w:r>
              <w:rPr>
                <w:rFonts w:hint="eastAsia"/>
                <w:color w:val="000000" w:themeColor="text1"/>
                <w14:textFill>
                  <w14:solidFill>
                    <w14:schemeClr w14:val="tx1"/>
                  </w14:solidFill>
                </w14:textFill>
              </w:rPr>
              <w:t>技术负责人</w:t>
            </w:r>
            <w:bookmarkEnd w:id="186"/>
            <w:bookmarkEnd w:id="187"/>
            <w:bookmarkEnd w:id="188"/>
            <w:bookmarkEnd w:id="189"/>
          </w:p>
        </w:tc>
        <w:tc>
          <w:tcPr>
            <w:tcW w:w="1016" w:type="dxa"/>
            <w:vAlign w:val="center"/>
          </w:tcPr>
          <w:p>
            <w:pPr>
              <w:rPr>
                <w:color w:val="000000" w:themeColor="text1"/>
                <w14:textFill>
                  <w14:solidFill>
                    <w14:schemeClr w14:val="tx1"/>
                  </w14:solidFill>
                </w14:textFill>
              </w:rPr>
            </w:pPr>
            <w:bookmarkStart w:id="190" w:name="_Toc17841"/>
            <w:bookmarkStart w:id="191" w:name="_Toc32237"/>
            <w:bookmarkStart w:id="192" w:name="_Toc6829"/>
            <w:bookmarkStart w:id="193" w:name="_Toc5794"/>
            <w:r>
              <w:rPr>
                <w:rFonts w:hint="eastAsia"/>
                <w:color w:val="000000" w:themeColor="text1"/>
                <w14:textFill>
                  <w14:solidFill>
                    <w14:schemeClr w14:val="tx1"/>
                  </w14:solidFill>
                </w14:textFill>
              </w:rPr>
              <w:t>姓名</w:t>
            </w:r>
            <w:bookmarkEnd w:id="190"/>
            <w:bookmarkEnd w:id="191"/>
            <w:bookmarkEnd w:id="192"/>
            <w:bookmarkEnd w:id="193"/>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bookmarkStart w:id="194" w:name="_Toc25207"/>
            <w:bookmarkStart w:id="195" w:name="_Toc17957"/>
            <w:bookmarkStart w:id="196" w:name="_Toc25059"/>
            <w:bookmarkStart w:id="197" w:name="_Toc27222"/>
            <w:r>
              <w:rPr>
                <w:rFonts w:hint="eastAsia"/>
                <w:color w:val="000000" w:themeColor="text1"/>
                <w14:textFill>
                  <w14:solidFill>
                    <w14:schemeClr w14:val="tx1"/>
                  </w14:solidFill>
                </w14:textFill>
              </w:rPr>
              <w:t>技术职称</w:t>
            </w:r>
            <w:bookmarkEnd w:id="194"/>
            <w:bookmarkEnd w:id="195"/>
            <w:bookmarkEnd w:id="196"/>
            <w:bookmarkEnd w:id="197"/>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bookmarkStart w:id="198" w:name="_Toc26943"/>
            <w:bookmarkStart w:id="199" w:name="_Toc14501"/>
            <w:bookmarkStart w:id="200" w:name="_Toc321"/>
            <w:bookmarkStart w:id="201" w:name="_Toc12165"/>
            <w:r>
              <w:rPr>
                <w:rFonts w:hint="eastAsia"/>
                <w:color w:val="000000" w:themeColor="text1"/>
                <w14:textFill>
                  <w14:solidFill>
                    <w14:schemeClr w14:val="tx1"/>
                  </w14:solidFill>
                </w14:textFill>
              </w:rPr>
              <w:t>电话</w:t>
            </w:r>
            <w:bookmarkEnd w:id="198"/>
            <w:bookmarkEnd w:id="199"/>
            <w:bookmarkEnd w:id="200"/>
            <w:bookmarkEnd w:id="201"/>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202" w:name="_Toc1183"/>
            <w:bookmarkStart w:id="203" w:name="_Toc13190"/>
            <w:bookmarkStart w:id="204" w:name="_Toc5056"/>
            <w:bookmarkStart w:id="205" w:name="_Toc15849"/>
            <w:r>
              <w:rPr>
                <w:rFonts w:hint="eastAsia"/>
                <w:color w:val="000000" w:themeColor="text1"/>
                <w14:textFill>
                  <w14:solidFill>
                    <w14:schemeClr w14:val="tx1"/>
                  </w14:solidFill>
                </w14:textFill>
              </w:rPr>
              <w:t>成立时间</w:t>
            </w:r>
            <w:bookmarkEnd w:id="202"/>
            <w:bookmarkEnd w:id="203"/>
            <w:bookmarkEnd w:id="204"/>
            <w:bookmarkEnd w:id="205"/>
          </w:p>
        </w:tc>
        <w:tc>
          <w:tcPr>
            <w:tcW w:w="2331" w:type="dxa"/>
            <w:gridSpan w:val="2"/>
            <w:vAlign w:val="center"/>
          </w:tcPr>
          <w:p>
            <w:pPr>
              <w:rPr>
                <w:color w:val="000000" w:themeColor="text1"/>
                <w14:textFill>
                  <w14:solidFill>
                    <w14:schemeClr w14:val="tx1"/>
                  </w14:solidFill>
                </w14:textFill>
              </w:rPr>
            </w:pPr>
          </w:p>
        </w:tc>
        <w:tc>
          <w:tcPr>
            <w:tcW w:w="4774" w:type="dxa"/>
            <w:gridSpan w:val="5"/>
            <w:vAlign w:val="center"/>
          </w:tcPr>
          <w:p>
            <w:pPr>
              <w:rPr>
                <w:color w:val="000000" w:themeColor="text1"/>
                <w14:textFill>
                  <w14:solidFill>
                    <w14:schemeClr w14:val="tx1"/>
                  </w14:solidFill>
                </w14:textFill>
              </w:rPr>
            </w:pPr>
            <w:bookmarkStart w:id="206" w:name="_Toc9920"/>
            <w:bookmarkStart w:id="207" w:name="_Toc5918"/>
            <w:bookmarkStart w:id="208" w:name="_Toc7458"/>
            <w:bookmarkStart w:id="209" w:name="_Toc23476"/>
            <w:r>
              <w:rPr>
                <w:rFonts w:hint="eastAsia"/>
                <w:color w:val="000000" w:themeColor="text1"/>
                <w14:textFill>
                  <w14:solidFill>
                    <w14:schemeClr w14:val="tx1"/>
                  </w14:solidFill>
                </w14:textFill>
              </w:rPr>
              <w:t>员工总人数：</w:t>
            </w:r>
            <w:bookmarkEnd w:id="206"/>
            <w:bookmarkEnd w:id="207"/>
            <w:bookmarkEnd w:id="208"/>
            <w:bookmarkEnd w:id="209"/>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210" w:name="_Toc24347"/>
            <w:bookmarkStart w:id="211" w:name="_Toc2495"/>
            <w:bookmarkStart w:id="212" w:name="_Toc19832"/>
            <w:bookmarkStart w:id="213" w:name="_Toc13811"/>
            <w:r>
              <w:rPr>
                <w:rFonts w:hint="eastAsia"/>
                <w:color w:val="000000" w:themeColor="text1"/>
                <w14:textFill>
                  <w14:solidFill>
                    <w14:schemeClr w14:val="tx1"/>
                  </w14:solidFill>
                </w14:textFill>
              </w:rPr>
              <w:t>营业执照号</w:t>
            </w:r>
            <w:bookmarkEnd w:id="210"/>
            <w:bookmarkEnd w:id="211"/>
            <w:bookmarkEnd w:id="212"/>
            <w:bookmarkEnd w:id="213"/>
          </w:p>
        </w:tc>
        <w:tc>
          <w:tcPr>
            <w:tcW w:w="2331" w:type="dxa"/>
            <w:gridSpan w:val="2"/>
            <w:vAlign w:val="center"/>
          </w:tcPr>
          <w:p>
            <w:pPr>
              <w:rPr>
                <w:color w:val="000000" w:themeColor="text1"/>
                <w14:textFill>
                  <w14:solidFill>
                    <w14:schemeClr w14:val="tx1"/>
                  </w14:solidFill>
                </w14:textFill>
              </w:rPr>
            </w:pPr>
          </w:p>
        </w:tc>
        <w:tc>
          <w:tcPr>
            <w:tcW w:w="1324"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569" w:type="dxa"/>
            <w:gridSpan w:val="2"/>
            <w:vAlign w:val="center"/>
          </w:tcPr>
          <w:p>
            <w:pPr>
              <w:rPr>
                <w:color w:val="000000" w:themeColor="text1"/>
                <w14:textFill>
                  <w14:solidFill>
                    <w14:schemeClr w14:val="tx1"/>
                  </w14:solidFill>
                </w14:textFill>
              </w:rPr>
            </w:pPr>
            <w:bookmarkStart w:id="214" w:name="_Toc19894"/>
            <w:bookmarkStart w:id="215" w:name="_Toc15246"/>
            <w:bookmarkStart w:id="216" w:name="_Toc16273"/>
            <w:bookmarkStart w:id="217" w:name="_Toc13361"/>
            <w:r>
              <w:rPr>
                <w:rFonts w:hint="eastAsia"/>
                <w:color w:val="000000" w:themeColor="text1"/>
                <w14:textFill>
                  <w14:solidFill>
                    <w14:schemeClr w14:val="tx1"/>
                  </w14:solidFill>
                </w14:textFill>
              </w:rPr>
              <w:t>高级职称人员</w:t>
            </w:r>
            <w:bookmarkEnd w:id="214"/>
            <w:bookmarkEnd w:id="215"/>
            <w:bookmarkEnd w:id="216"/>
            <w:bookmarkEnd w:id="217"/>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218" w:name="_Toc30242"/>
            <w:bookmarkStart w:id="219" w:name="_Toc12522"/>
            <w:bookmarkStart w:id="220" w:name="_Toc3476"/>
            <w:bookmarkStart w:id="221" w:name="_Toc20237"/>
            <w:r>
              <w:rPr>
                <w:rFonts w:hint="eastAsia"/>
                <w:color w:val="000000" w:themeColor="text1"/>
                <w14:textFill>
                  <w14:solidFill>
                    <w14:schemeClr w14:val="tx1"/>
                  </w14:solidFill>
                </w14:textFill>
              </w:rPr>
              <w:t>注册资金</w:t>
            </w:r>
            <w:bookmarkEnd w:id="218"/>
            <w:bookmarkEnd w:id="219"/>
            <w:bookmarkEnd w:id="220"/>
            <w:bookmarkEnd w:id="221"/>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222" w:name="_Toc30244"/>
            <w:bookmarkStart w:id="223" w:name="_Toc1834"/>
            <w:bookmarkStart w:id="224" w:name="_Toc7916"/>
            <w:bookmarkStart w:id="225" w:name="_Toc16642"/>
            <w:r>
              <w:rPr>
                <w:rFonts w:hint="eastAsia"/>
                <w:color w:val="000000" w:themeColor="text1"/>
                <w14:textFill>
                  <w14:solidFill>
                    <w14:schemeClr w14:val="tx1"/>
                  </w14:solidFill>
                </w14:textFill>
              </w:rPr>
              <w:t>中级职称人员</w:t>
            </w:r>
            <w:bookmarkEnd w:id="222"/>
            <w:bookmarkEnd w:id="223"/>
            <w:bookmarkEnd w:id="224"/>
            <w:bookmarkEnd w:id="225"/>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226" w:name="_Toc18512"/>
            <w:bookmarkStart w:id="227" w:name="_Toc21663"/>
            <w:bookmarkStart w:id="228" w:name="_Toc24406"/>
            <w:bookmarkStart w:id="229" w:name="_Toc17149"/>
            <w:r>
              <w:rPr>
                <w:rFonts w:hint="eastAsia"/>
                <w:color w:val="000000" w:themeColor="text1"/>
                <w14:textFill>
                  <w14:solidFill>
                    <w14:schemeClr w14:val="tx1"/>
                  </w14:solidFill>
                </w14:textFill>
              </w:rPr>
              <w:t>开户银行</w:t>
            </w:r>
            <w:bookmarkEnd w:id="226"/>
            <w:bookmarkEnd w:id="227"/>
            <w:bookmarkEnd w:id="228"/>
            <w:bookmarkEnd w:id="229"/>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230" w:name="_Toc24761"/>
            <w:bookmarkStart w:id="231" w:name="_Toc15110"/>
            <w:bookmarkStart w:id="232" w:name="_Toc23409"/>
            <w:bookmarkStart w:id="233" w:name="_Toc12330"/>
            <w:r>
              <w:rPr>
                <w:rFonts w:hint="eastAsia"/>
                <w:color w:val="000000" w:themeColor="text1"/>
                <w14:textFill>
                  <w14:solidFill>
                    <w14:schemeClr w14:val="tx1"/>
                  </w14:solidFill>
                </w14:textFill>
              </w:rPr>
              <w:t>初级职称人员</w:t>
            </w:r>
            <w:bookmarkEnd w:id="230"/>
            <w:bookmarkEnd w:id="231"/>
            <w:bookmarkEnd w:id="232"/>
            <w:bookmarkEnd w:id="233"/>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pPr>
              <w:rPr>
                <w:color w:val="000000" w:themeColor="text1"/>
                <w14:textFill>
                  <w14:solidFill>
                    <w14:schemeClr w14:val="tx1"/>
                  </w14:solidFill>
                </w14:textFill>
              </w:rPr>
            </w:pPr>
            <w:bookmarkStart w:id="234" w:name="_Toc7855"/>
            <w:bookmarkStart w:id="235" w:name="_Toc7482"/>
            <w:bookmarkStart w:id="236" w:name="_Toc11996"/>
            <w:bookmarkStart w:id="237" w:name="_Toc19211"/>
            <w:r>
              <w:rPr>
                <w:rFonts w:hint="eastAsia"/>
                <w:color w:val="000000" w:themeColor="text1"/>
                <w14:textFill>
                  <w14:solidFill>
                    <w14:schemeClr w14:val="tx1"/>
                  </w14:solidFill>
                </w14:textFill>
              </w:rPr>
              <w:t>账号</w:t>
            </w:r>
            <w:bookmarkEnd w:id="234"/>
            <w:bookmarkEnd w:id="235"/>
            <w:bookmarkEnd w:id="236"/>
            <w:bookmarkEnd w:id="237"/>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238" w:name="_Toc7296"/>
            <w:bookmarkStart w:id="239" w:name="_Toc10662"/>
            <w:bookmarkStart w:id="240" w:name="_Toc16123"/>
            <w:bookmarkStart w:id="241" w:name="_Toc23890"/>
            <w:r>
              <w:rPr>
                <w:rFonts w:hint="eastAsia"/>
                <w:color w:val="000000" w:themeColor="text1"/>
                <w14:textFill>
                  <w14:solidFill>
                    <w14:schemeClr w14:val="tx1"/>
                  </w14:solidFill>
                </w14:textFill>
              </w:rPr>
              <w:t>技工</w:t>
            </w:r>
            <w:bookmarkEnd w:id="238"/>
            <w:bookmarkEnd w:id="239"/>
            <w:bookmarkEnd w:id="240"/>
            <w:bookmarkEnd w:id="241"/>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pPr>
              <w:rPr>
                <w:color w:val="000000" w:themeColor="text1"/>
                <w14:textFill>
                  <w14:solidFill>
                    <w14:schemeClr w14:val="tx1"/>
                  </w14:solidFill>
                </w14:textFill>
              </w:rPr>
            </w:pPr>
            <w:bookmarkStart w:id="242" w:name="_Toc30075"/>
            <w:bookmarkStart w:id="243" w:name="_Toc19840"/>
            <w:bookmarkStart w:id="244" w:name="_Toc516"/>
            <w:bookmarkStart w:id="245" w:name="_Toc2745"/>
            <w:r>
              <w:rPr>
                <w:rFonts w:hint="eastAsia"/>
                <w:color w:val="000000" w:themeColor="text1"/>
                <w14:textFill>
                  <w14:solidFill>
                    <w14:schemeClr w14:val="tx1"/>
                  </w14:solidFill>
                </w14:textFill>
              </w:rPr>
              <w:t>经营范围</w:t>
            </w:r>
            <w:bookmarkEnd w:id="242"/>
            <w:bookmarkEnd w:id="243"/>
            <w:bookmarkEnd w:id="244"/>
            <w:bookmarkEnd w:id="245"/>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pPr>
              <w:rPr>
                <w:color w:val="000000" w:themeColor="text1"/>
                <w14:textFill>
                  <w14:solidFill>
                    <w14:schemeClr w14:val="tx1"/>
                  </w14:solidFill>
                </w14:textFill>
              </w:rPr>
            </w:pPr>
            <w:bookmarkStart w:id="246" w:name="_Toc22690"/>
            <w:bookmarkStart w:id="247" w:name="_Toc19290"/>
            <w:bookmarkStart w:id="248" w:name="_Toc12320"/>
            <w:bookmarkStart w:id="249" w:name="_Toc26754"/>
            <w:r>
              <w:rPr>
                <w:rFonts w:hint="eastAsia"/>
                <w:color w:val="000000" w:themeColor="text1"/>
                <w14:textFill>
                  <w14:solidFill>
                    <w14:schemeClr w14:val="tx1"/>
                  </w14:solidFill>
                </w14:textFill>
              </w:rPr>
              <w:t>备注</w:t>
            </w:r>
            <w:bookmarkEnd w:id="246"/>
            <w:bookmarkEnd w:id="247"/>
            <w:bookmarkEnd w:id="248"/>
            <w:bookmarkEnd w:id="249"/>
          </w:p>
        </w:tc>
        <w:tc>
          <w:tcPr>
            <w:tcW w:w="7105" w:type="dxa"/>
            <w:gridSpan w:val="7"/>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rPr>
          <w:rFonts w:hAnsi="宋体"/>
          <w:color w:val="000000" w:themeColor="text1"/>
          <w:sz w:val="24"/>
          <w:szCs w:val="24"/>
          <w:u w:val="single"/>
          <w14:textFill>
            <w14:solidFill>
              <w14:schemeClr w14:val="tx1"/>
            </w14:solidFill>
          </w14:textFill>
        </w:rPr>
      </w:pPr>
      <w:r>
        <w:rPr>
          <w:rFonts w:hAnsi="宋体"/>
          <w:color w:val="000000" w:themeColor="text1"/>
          <w:sz w:val="24"/>
          <w:szCs w:val="24"/>
          <w:u w:val="single"/>
          <w14:textFill>
            <w14:solidFill>
              <w14:schemeClr w14:val="tx1"/>
            </w14:solidFill>
          </w14:textFill>
        </w:rPr>
        <w:br w:type="page"/>
      </w:r>
    </w:p>
    <w:p>
      <w:pPr>
        <w:spacing w:line="360" w:lineRule="auto"/>
        <w:rPr>
          <w:b/>
          <w:bCs/>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b/>
          <w:bCs/>
          <w:color w:val="000000" w:themeColor="text1"/>
          <w:sz w:val="24"/>
          <w:szCs w:val="24"/>
          <w14:textFill>
            <w14:solidFill>
              <w14:schemeClr w14:val="tx1"/>
            </w14:solidFill>
          </w14:textFill>
        </w:rPr>
        <w:t>2-2供应商营业执照等资质证明材料</w:t>
      </w:r>
      <w:r>
        <w:rPr>
          <w:rFonts w:hint="eastAsia"/>
          <w:b/>
          <w:bCs/>
          <w:color w:val="000000" w:themeColor="text1"/>
          <w14:textFill>
            <w14:solidFill>
              <w14:schemeClr w14:val="tx1"/>
            </w14:solidFill>
          </w14:textFill>
        </w:rPr>
        <w:t>。</w:t>
      </w:r>
    </w:p>
    <w:p>
      <w:pPr>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3、法定代表人证明书及法定代表人授权书</w:t>
      </w:r>
    </w:p>
    <w:p>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3-1法定代表人证明书</w:t>
      </w:r>
    </w:p>
    <w:tbl>
      <w:tblPr>
        <w:tblStyle w:val="2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法定地址</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工商登记机关</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2340" w:type="dxa"/>
            <w:gridSpan w:val="2"/>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性别</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职务</w:t>
            </w:r>
          </w:p>
        </w:tc>
        <w:tc>
          <w:tcPr>
            <w:tcW w:w="2340" w:type="dxa"/>
            <w:gridSpan w:val="2"/>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身</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份</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（正反面）</w:t>
            </w:r>
          </w:p>
        </w:tc>
        <w:tc>
          <w:tcPr>
            <w:tcW w:w="4028" w:type="dxa"/>
            <w:gridSpan w:val="3"/>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028" w:type="dxa"/>
            <w:gridSpan w:val="3"/>
            <w:vAlign w:val="bottom"/>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（供应商公章）</w:t>
            </w: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adjustRightInd w:val="0"/>
              <w:snapToGrid w:val="0"/>
              <w:spacing w:line="480" w:lineRule="auto"/>
              <w:ind w:firstLine="480" w:firstLineChars="2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bl>
    <w:p>
      <w:pPr>
        <w:pStyle w:val="6"/>
        <w:rPr>
          <w:rFonts w:hint="default"/>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3-2法定代表人授权书</w:t>
      </w:r>
    </w:p>
    <w:p>
      <w:pPr>
        <w:pStyle w:val="13"/>
        <w:spacing w:line="500" w:lineRule="exact"/>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法定代表人授权书</w:t>
      </w:r>
    </w:p>
    <w:p>
      <w:pPr>
        <w:pStyle w:val="13"/>
        <w:spacing w:line="5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陕西万泽招标有限公司：</w:t>
      </w:r>
    </w:p>
    <w:p>
      <w:pPr>
        <w:tabs>
          <w:tab w:val="left" w:pos="8820"/>
        </w:tabs>
        <w:spacing w:line="360" w:lineRule="auto"/>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（法定代表人姓名）   </w:t>
      </w:r>
      <w:r>
        <w:rPr>
          <w:rFonts w:hint="eastAsia" w:ascii="宋体" w:hAnsi="宋体" w:cs="宋体"/>
          <w:color w:val="000000" w:themeColor="text1"/>
          <w:sz w:val="24"/>
          <w14:textFill>
            <w14:solidFill>
              <w14:schemeClr w14:val="tx1"/>
            </w14:solidFill>
          </w14:textFill>
        </w:rPr>
        <w:t>系注册于</w:t>
      </w:r>
      <w:r>
        <w:rPr>
          <w:rFonts w:hint="eastAsia" w:ascii="宋体" w:hAnsi="宋体" w:cs="宋体"/>
          <w:color w:val="000000" w:themeColor="text1"/>
          <w:sz w:val="24"/>
          <w:u w:val="single"/>
          <w14:textFill>
            <w14:solidFill>
              <w14:schemeClr w14:val="tx1"/>
            </w14:solidFill>
          </w14:textFill>
        </w:rPr>
        <w:t xml:space="preserve">  （供应商地址）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（供应商名称）  </w:t>
      </w:r>
      <w:r>
        <w:rPr>
          <w:rFonts w:hint="eastAsia" w:ascii="宋体" w:hAnsi="宋体" w:cs="宋体"/>
          <w:color w:val="000000" w:themeColor="text1"/>
          <w:sz w:val="24"/>
          <w14:textFill>
            <w14:solidFill>
              <w14:schemeClr w14:val="tx1"/>
            </w14:solidFill>
          </w14:textFill>
        </w:rPr>
        <w:t>的法定代表人，现代表公司授权下面签字的</w:t>
      </w:r>
      <w:r>
        <w:rPr>
          <w:rFonts w:hint="eastAsia" w:ascii="宋体" w:hAnsi="宋体" w:cs="宋体"/>
          <w:color w:val="000000" w:themeColor="text1"/>
          <w:sz w:val="24"/>
          <w:u w:val="single"/>
          <w14:textFill>
            <w14:solidFill>
              <w14:schemeClr w14:val="tx1"/>
            </w14:solidFill>
          </w14:textFill>
        </w:rPr>
        <w:t xml:space="preserve">（被授权人的姓名、职务）   </w:t>
      </w:r>
      <w:r>
        <w:rPr>
          <w:rFonts w:hint="eastAsia" w:ascii="宋体" w:hAnsi="宋体" w:cs="宋体"/>
          <w:color w:val="000000" w:themeColor="text1"/>
          <w:sz w:val="24"/>
          <w14:textFill>
            <w14:solidFill>
              <w14:schemeClr w14:val="tx1"/>
            </w14:solidFill>
          </w14:textFill>
        </w:rPr>
        <w:t>为我公司合法代理人，代表本公司参加</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为的</w:t>
      </w:r>
      <w:r>
        <w:rPr>
          <w:rFonts w:hint="eastAsia" w:ascii="宋体" w:hAnsi="宋体" w:cs="宋体"/>
          <w:color w:val="000000" w:themeColor="text1"/>
          <w:sz w:val="24"/>
          <w14:textFill>
            <w14:solidFill>
              <w14:schemeClr w14:val="tx1"/>
            </w14:solidFill>
          </w14:textFill>
        </w:rPr>
        <w:t>采购活动。以我方名义全权处理该项目有关投标、签订合同以及执行合同等一切事宜。</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本授权书有效期自响应文件递交截止之日</w:t>
      </w:r>
      <w:r>
        <w:rPr>
          <w:rFonts w:hint="eastAsia" w:ascii="宋体" w:hAnsi="宋体" w:cs="宋体"/>
          <w:color w:val="000000" w:themeColor="text1"/>
          <w:sz w:val="24"/>
          <w:u w:val="single"/>
          <w14:textFill>
            <w14:solidFill>
              <w14:schemeClr w14:val="tx1"/>
            </w14:solidFill>
          </w14:textFill>
        </w:rPr>
        <w:t>起 90 日历天</w:t>
      </w:r>
      <w:r>
        <w:rPr>
          <w:rFonts w:hint="eastAsia" w:ascii="宋体" w:hAnsi="宋体" w:cs="宋体"/>
          <w:color w:val="000000" w:themeColor="text1"/>
          <w:sz w:val="24"/>
          <w14:textFill>
            <w14:solidFill>
              <w14:schemeClr w14:val="tx1"/>
            </w14:solidFill>
          </w14:textFill>
        </w:rPr>
        <w:t>，特此声明。</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供应商（单位名称及公章）</w:t>
      </w:r>
      <w:r>
        <w:rPr>
          <w:rFonts w:hint="eastAsia" w:hAnsi="宋体" w:cs="宋体"/>
          <w:color w:val="000000" w:themeColor="text1"/>
          <w:sz w:val="24"/>
          <w:szCs w:val="24"/>
          <w:u w:val="single"/>
          <w14:textFill>
            <w14:solidFill>
              <w14:schemeClr w14:val="tx1"/>
            </w14:solidFill>
          </w14:textFill>
        </w:rPr>
        <w:t>：</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法定代表人（签字或盖章）</w:t>
      </w:r>
      <w:r>
        <w:rPr>
          <w:rFonts w:hint="eastAsia" w:hAnsi="宋体" w:cs="宋体"/>
          <w:color w:val="000000" w:themeColor="text1"/>
          <w:sz w:val="24"/>
          <w:szCs w:val="24"/>
          <w:u w:val="single"/>
          <w14:textFill>
            <w14:solidFill>
              <w14:schemeClr w14:val="tx1"/>
            </w14:solidFill>
          </w14:textFill>
        </w:rPr>
        <w:t>：</w:t>
      </w:r>
    </w:p>
    <w:p>
      <w:pPr>
        <w:pStyle w:val="13"/>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被授权人（签字或盖章）</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性别</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职务</w:t>
      </w:r>
      <w:r>
        <w:rPr>
          <w:rFonts w:hint="eastAsia" w:hAnsi="宋体" w:cs="宋体"/>
          <w:color w:val="000000" w:themeColor="text1"/>
          <w:sz w:val="24"/>
          <w:szCs w:val="24"/>
          <w:u w:val="single"/>
          <w14:textFill>
            <w14:solidFill>
              <w14:schemeClr w14:val="tx1"/>
            </w14:solidFill>
          </w14:textFill>
        </w:rPr>
        <w:t>：</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被授权人身份证号码</w:t>
      </w:r>
      <w:r>
        <w:rPr>
          <w:rFonts w:hint="eastAsia" w:hAnsi="宋体" w:cs="宋体"/>
          <w:color w:val="000000" w:themeColor="text1"/>
          <w:sz w:val="24"/>
          <w:szCs w:val="24"/>
          <w:u w:val="single"/>
          <w14:textFill>
            <w14:solidFill>
              <w14:schemeClr w14:val="tx1"/>
            </w14:solidFill>
          </w14:textFill>
        </w:rPr>
        <w:t xml:space="preserve">：                                  </w:t>
      </w:r>
    </w:p>
    <w:p>
      <w:pPr>
        <w:pStyle w:val="13"/>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w:t>
      </w:r>
      <w:r>
        <w:rPr>
          <w:rFonts w:hint="eastAsia" w:hAnsi="宋体" w:cs="宋体"/>
          <w:color w:val="000000" w:themeColor="text1"/>
          <w:sz w:val="24"/>
          <w:szCs w:val="24"/>
          <w:u w:val="single"/>
          <w14:textFill>
            <w14:solidFill>
              <w14:schemeClr w14:val="tx1"/>
            </w14:solidFill>
          </w14:textFill>
        </w:rPr>
        <w:t xml:space="preserve">：               </w:t>
      </w:r>
    </w:p>
    <w:p>
      <w:pPr>
        <w:pStyle w:val="13"/>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u w:val="single"/>
          <w14:textFill>
            <w14:solidFill>
              <w14:schemeClr w14:val="tx1"/>
            </w14:solidFill>
          </w14:textFill>
        </w:rPr>
        <w:t xml:space="preserve">：               </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法定代表人及被授权人身份证复印件</w:t>
      </w:r>
    </w:p>
    <w:tbl>
      <w:tblPr>
        <w:tblStyle w:val="25"/>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3"/>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法定代表人身份证复印件（正/反面）</w:t>
            </w:r>
          </w:p>
        </w:tc>
        <w:tc>
          <w:tcPr>
            <w:tcW w:w="3937" w:type="dxa"/>
            <w:shd w:val="clear" w:color="auto" w:fill="D9D9D9"/>
            <w:vAlign w:val="center"/>
          </w:tcPr>
          <w:p>
            <w:pPr>
              <w:pStyle w:val="13"/>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被授权人身份证复印件（正/反面）</w:t>
            </w:r>
          </w:p>
        </w:tc>
      </w:tr>
    </w:tbl>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1．本授权书有效期自开标会议之日计算不得少于90日历日。</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2．授权书内容填写要明确，文字要工整清楚，涂改无效。</w:t>
      </w: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4、无重大违法记录声明</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我单位参与</w:t>
      </w:r>
      <w:r>
        <w:rPr>
          <w:rFonts w:hint="eastAsia" w:ascii="宋体" w:hAnsi="宋体" w:cs="宋体"/>
          <w:color w:val="000000" w:themeColor="text1"/>
          <w:kern w:val="0"/>
          <w:sz w:val="24"/>
          <w:u w:val="single"/>
          <w14:textFill>
            <w14:solidFill>
              <w14:schemeClr w14:val="tx1"/>
            </w14:solidFill>
          </w14:textFill>
        </w:rPr>
        <w:t>陕西万泽招标有限公司</w:t>
      </w:r>
      <w:r>
        <w:rPr>
          <w:rFonts w:hint="eastAsia" w:ascii="宋体" w:hAnsi="宋体" w:cs="宋体"/>
          <w:color w:val="000000" w:themeColor="text1"/>
          <w:kern w:val="0"/>
          <w:sz w:val="24"/>
          <w14:textFill>
            <w14:solidFill>
              <w14:schemeClr w14:val="tx1"/>
            </w14:solidFill>
          </w14:textFill>
        </w:rPr>
        <w:t>组织的</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kern w:val="0"/>
          <w:sz w:val="24"/>
          <w14:textFill>
            <w14:solidFill>
              <w14:schemeClr w14:val="tx1"/>
            </w14:solidFill>
          </w14:textFill>
        </w:rPr>
        <w:t>竞争性磋商，我单位郑重声明：我方参加本项目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特此声明。</w:t>
      </w:r>
    </w:p>
    <w:p>
      <w:pPr>
        <w:widowControl/>
        <w:spacing w:line="460" w:lineRule="exact"/>
        <w:ind w:firstLine="480" w:firstLineChars="200"/>
        <w:jc w:val="left"/>
        <w:rPr>
          <w:rFonts w:ascii="宋体" w:hAnsi="宋体" w:cs="宋体"/>
          <w:color w:val="000000" w:themeColor="text1"/>
          <w:kern w:val="0"/>
          <w:sz w:val="24"/>
          <w14:textFill>
            <w14:solidFill>
              <w14:schemeClr w14:val="tx1"/>
            </w14:solidFill>
          </w14:textFill>
        </w:rPr>
      </w:pPr>
    </w:p>
    <w:p>
      <w:pPr>
        <w:pStyle w:val="13"/>
        <w:spacing w:line="480" w:lineRule="auto"/>
        <w:jc w:val="left"/>
        <w:rPr>
          <w:rFonts w:hAnsi="宋体" w:cs="宋体"/>
          <w:color w:val="000000" w:themeColor="text1"/>
          <w:kern w:val="0"/>
          <w:sz w:val="24"/>
          <w14:textFill>
            <w14:solidFill>
              <w14:schemeClr w14:val="tx1"/>
            </w14:solidFill>
          </w14:textFill>
        </w:rPr>
      </w:pPr>
    </w:p>
    <w:p>
      <w:pPr>
        <w:pStyle w:val="13"/>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供应商（单位名称及公章）：</w:t>
      </w:r>
    </w:p>
    <w:p>
      <w:pPr>
        <w:pStyle w:val="13"/>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法定代表人/被授权人（签字或盖章）：</w:t>
      </w:r>
    </w:p>
    <w:p>
      <w:pPr>
        <w:spacing w:line="600" w:lineRule="auto"/>
        <w:rPr>
          <w:rFonts w:hAnsi="宋体" w:cs="宋体"/>
          <w:color w:val="000000" w:themeColor="text1"/>
          <w:kern w:val="0"/>
          <w:sz w:val="24"/>
          <w:u w:val="single"/>
          <w14:textFill>
            <w14:solidFill>
              <w14:schemeClr w14:val="tx1"/>
            </w14:solidFill>
          </w14:textFill>
        </w:rPr>
      </w:pPr>
      <w:r>
        <w:rPr>
          <w:rFonts w:hint="eastAsia" w:hAnsi="宋体" w:cs="宋体"/>
          <w:color w:val="000000" w:themeColor="text1"/>
          <w:kern w:val="0"/>
          <w:sz w:val="24"/>
          <w14:textFill>
            <w14:solidFill>
              <w14:schemeClr w14:val="tx1"/>
            </w14:solidFill>
          </w14:textFill>
        </w:rPr>
        <w:t>日    期</w:t>
      </w:r>
      <w:r>
        <w:rPr>
          <w:rFonts w:hint="eastAsia" w:hAnsi="宋体" w:cs="宋体"/>
          <w:color w:val="000000" w:themeColor="text1"/>
          <w:kern w:val="0"/>
          <w:sz w:val="24"/>
          <w:u w:val="single"/>
          <w14:textFill>
            <w14:solidFill>
              <w14:schemeClr w14:val="tx1"/>
            </w14:solidFill>
          </w14:textFill>
        </w:rPr>
        <w:t xml:space="preserve">：             </w:t>
      </w:r>
    </w:p>
    <w:p>
      <w:pPr>
        <w:pStyle w:val="6"/>
        <w:rPr>
          <w:rFonts w:hint="default"/>
        </w:rPr>
        <w:sectPr>
          <w:pgSz w:w="11906" w:h="16838"/>
          <w:pgMar w:top="1440" w:right="1803" w:bottom="1440" w:left="1803" w:header="851" w:footer="992" w:gutter="0"/>
          <w:cols w:space="720" w:num="1"/>
          <w:docGrid w:type="lines" w:linePitch="319" w:charSpace="0"/>
        </w:sectPr>
      </w:pPr>
    </w:p>
    <w:p>
      <w:pPr>
        <w:spacing w:line="480" w:lineRule="auto"/>
        <w:rPr>
          <w:sz w:val="24"/>
          <w:szCs w:val="28"/>
        </w:rPr>
      </w:pPr>
      <w:r>
        <w:rPr>
          <w:rFonts w:hint="eastAsia"/>
          <w:sz w:val="24"/>
          <w:szCs w:val="28"/>
        </w:rPr>
        <w:t>5、社保资金缴纳证明材料；</w:t>
      </w:r>
    </w:p>
    <w:p>
      <w:pPr>
        <w:spacing w:line="480" w:lineRule="auto"/>
        <w:rPr>
          <w:sz w:val="24"/>
          <w:szCs w:val="28"/>
        </w:rPr>
      </w:pPr>
      <w:r>
        <w:rPr>
          <w:rFonts w:hint="eastAsia"/>
          <w:sz w:val="24"/>
          <w:szCs w:val="28"/>
        </w:rPr>
        <w:t xml:space="preserve">6、税收缴纳证明材料： </w:t>
      </w:r>
    </w:p>
    <w:p>
      <w:pPr>
        <w:spacing w:line="480" w:lineRule="auto"/>
        <w:rPr>
          <w:sz w:val="24"/>
          <w:szCs w:val="28"/>
        </w:rPr>
      </w:pPr>
      <w:r>
        <w:rPr>
          <w:rFonts w:hint="eastAsia"/>
          <w:sz w:val="24"/>
          <w:szCs w:val="28"/>
        </w:rPr>
        <w:t xml:space="preserve">7、财务状况证明材料： </w:t>
      </w:r>
    </w:p>
    <w:p>
      <w:pPr>
        <w:pStyle w:val="7"/>
        <w:spacing w:line="480" w:lineRule="auto"/>
        <w:ind w:firstLine="0"/>
        <w:jc w:val="left"/>
        <w:rPr>
          <w:rFonts w:ascii="宋体" w:hAnsi="宋体" w:cs="宋体"/>
          <w:bCs/>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、供应商为非联合体磋商的声明（格式自拟）；</w:t>
      </w:r>
    </w:p>
    <w:p>
      <w:pPr>
        <w:spacing w:line="480" w:lineRule="auto"/>
        <w:rPr>
          <w:color w:val="000000" w:themeColor="text1"/>
          <w:sz w:val="24"/>
          <w:szCs w:val="28"/>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sz w:val="24"/>
          <w:szCs w:val="28"/>
          <w:lang w:val="en-US" w:eastAsia="zh-CN"/>
        </w:rPr>
        <w:t>9</w:t>
      </w:r>
      <w:r>
        <w:rPr>
          <w:rFonts w:hint="eastAsia"/>
          <w:sz w:val="24"/>
          <w:szCs w:val="28"/>
        </w:rPr>
        <w:t>、供应商认为应该提交的其他证明材料</w:t>
      </w:r>
    </w:p>
    <w:bookmarkEnd w:id="142"/>
    <w:p>
      <w:pPr>
        <w:pStyle w:val="4"/>
      </w:pPr>
      <w:bookmarkStart w:id="250" w:name="_Toc9923"/>
      <w:bookmarkStart w:id="251" w:name="_Toc10967"/>
      <w:r>
        <w:rPr>
          <w:rFonts w:hint="eastAsia"/>
        </w:rPr>
        <w:t>第六章  商务和技术响应偏离表</w:t>
      </w:r>
      <w:bookmarkEnd w:id="250"/>
      <w:bookmarkEnd w:id="251"/>
    </w:p>
    <w:p>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rPr>
        <w:t>表1、商务响应偏差表</w:t>
      </w:r>
    </w:p>
    <w:tbl>
      <w:tblPr>
        <w:tblStyle w:val="2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pPr>
              <w:pStyle w:val="13"/>
              <w:spacing w:line="480" w:lineRule="auto"/>
              <w:jc w:val="center"/>
              <w:rPr>
                <w:rFonts w:asciiTheme="minorEastAsia" w:hAnsiTheme="minorEastAsia" w:cstheme="minorEastAsia"/>
                <w:sz w:val="24"/>
                <w:szCs w:val="24"/>
              </w:rPr>
            </w:pPr>
            <w:r>
              <w:rPr>
                <w:rFonts w:hint="eastAsia" w:hAnsi="宋体" w:cs="宋体"/>
              </w:rPr>
              <w:t xml:space="preserve"> 序号</w:t>
            </w:r>
          </w:p>
        </w:tc>
        <w:tc>
          <w:tcPr>
            <w:tcW w:w="1614" w:type="dxa"/>
            <w:vAlign w:val="center"/>
          </w:tcPr>
          <w:p>
            <w:pPr>
              <w:pStyle w:val="13"/>
              <w:spacing w:line="480" w:lineRule="auto"/>
              <w:jc w:val="left"/>
              <w:rPr>
                <w:rFonts w:asciiTheme="minorEastAsia" w:hAnsiTheme="minorEastAsia" w:cstheme="minorEastAsia"/>
                <w:sz w:val="24"/>
                <w:szCs w:val="24"/>
              </w:rPr>
            </w:pPr>
            <w:r>
              <w:rPr>
                <w:rFonts w:hint="eastAsia" w:hAnsi="宋体" w:cs="宋体"/>
              </w:rPr>
              <w:t xml:space="preserve"> 商务条款</w:t>
            </w:r>
          </w:p>
        </w:tc>
        <w:tc>
          <w:tcPr>
            <w:tcW w:w="1680" w:type="dxa"/>
            <w:vAlign w:val="center"/>
          </w:tcPr>
          <w:p>
            <w:pPr>
              <w:pStyle w:val="13"/>
              <w:spacing w:line="480" w:lineRule="auto"/>
              <w:jc w:val="left"/>
              <w:rPr>
                <w:rFonts w:asciiTheme="minorEastAsia" w:hAnsiTheme="minorEastAsia" w:cstheme="minorEastAsia"/>
                <w:sz w:val="24"/>
                <w:szCs w:val="24"/>
              </w:rPr>
            </w:pPr>
            <w:r>
              <w:rPr>
                <w:rFonts w:hint="eastAsia" w:hAnsi="宋体" w:cs="宋体"/>
              </w:rPr>
              <w:t>商务要求内容</w:t>
            </w:r>
          </w:p>
        </w:tc>
        <w:tc>
          <w:tcPr>
            <w:tcW w:w="2448" w:type="dxa"/>
            <w:vAlign w:val="center"/>
          </w:tcPr>
          <w:p>
            <w:pPr>
              <w:pStyle w:val="13"/>
              <w:spacing w:line="480" w:lineRule="auto"/>
              <w:rPr>
                <w:rFonts w:asciiTheme="minorEastAsia" w:hAnsiTheme="minorEastAsia" w:cstheme="minorEastAsia"/>
                <w:sz w:val="24"/>
                <w:szCs w:val="24"/>
              </w:rPr>
            </w:pPr>
            <w:r>
              <w:rPr>
                <w:rFonts w:hint="eastAsia" w:hAnsi="宋体" w:cs="宋体"/>
              </w:rPr>
              <w:t>响应文件响应商务内容</w:t>
            </w:r>
          </w:p>
        </w:tc>
        <w:tc>
          <w:tcPr>
            <w:tcW w:w="2042" w:type="dxa"/>
            <w:vAlign w:val="center"/>
          </w:tcPr>
          <w:p>
            <w:pPr>
              <w:pStyle w:val="13"/>
              <w:spacing w:line="480" w:lineRule="auto"/>
              <w:jc w:val="center"/>
              <w:rPr>
                <w:rFonts w:asciiTheme="minorEastAsia" w:hAnsiTheme="minorEastAsia" w:cstheme="minorEastAsia"/>
                <w:sz w:val="24"/>
                <w:szCs w:val="24"/>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2448"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2042" w:type="dxa"/>
            <w:vAlign w:val="center"/>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bl>
    <w:p>
      <w:pPr>
        <w:pStyle w:val="7"/>
        <w:ind w:firstLine="0"/>
        <w:rPr>
          <w:rFonts w:ascii="宋体" w:hAnsi="宋体"/>
          <w:b/>
          <w:bCs/>
          <w:sz w:val="28"/>
          <w:szCs w:val="28"/>
        </w:rPr>
      </w:pPr>
      <w:r>
        <w:rPr>
          <w:rFonts w:hint="eastAsia" w:ascii="宋体" w:hAnsi="宋体"/>
          <w:b/>
          <w:bCs/>
          <w:sz w:val="28"/>
          <w:szCs w:val="28"/>
        </w:rPr>
        <w:t>填写说明：供应商应逐条对招标文件合同条款中的付款、</w:t>
      </w:r>
      <w:r>
        <w:rPr>
          <w:rFonts w:hint="eastAsia" w:ascii="宋体" w:hAnsi="宋体"/>
          <w:b/>
          <w:bCs/>
          <w:sz w:val="28"/>
          <w:szCs w:val="28"/>
          <w:lang w:val="en-US" w:eastAsia="zh-CN"/>
        </w:rPr>
        <w:t>工期</w:t>
      </w:r>
      <w:r>
        <w:rPr>
          <w:rFonts w:hint="eastAsia" w:ascii="宋体" w:hAnsi="宋体"/>
          <w:b/>
          <w:bCs/>
          <w:sz w:val="28"/>
          <w:szCs w:val="28"/>
        </w:rPr>
        <w:t>、质保期、双方权利义务等商务方面进行响应说明，并保证响应的真实性。</w:t>
      </w:r>
    </w:p>
    <w:p>
      <w:pPr>
        <w:pStyle w:val="7"/>
        <w:ind w:firstLine="0"/>
        <w:rPr>
          <w:rFonts w:ascii="宋体" w:hAnsi="宋体"/>
          <w:b/>
          <w:bCs/>
          <w:sz w:val="28"/>
          <w:szCs w:val="28"/>
        </w:rPr>
      </w:pPr>
      <w:r>
        <w:rPr>
          <w:rFonts w:hint="eastAsia" w:ascii="宋体" w:hAnsi="宋体"/>
          <w:b/>
          <w:bCs/>
          <w:sz w:val="28"/>
          <w:szCs w:val="28"/>
        </w:rPr>
        <w:t>偏差说明填写：正偏离（标明正偏离内容）、符合。</w:t>
      </w:r>
    </w:p>
    <w:p>
      <w:pPr>
        <w:pStyle w:val="7"/>
        <w:ind w:firstLine="0"/>
        <w:rPr>
          <w:rFonts w:ascii="宋体" w:hAnsi="宋体"/>
          <w:sz w:val="28"/>
          <w:szCs w:val="28"/>
        </w:rPr>
      </w:pPr>
      <w:r>
        <w:rPr>
          <w:rFonts w:hint="eastAsia" w:ascii="宋体" w:hAnsi="宋体"/>
          <w:b/>
          <w:bCs/>
          <w:sz w:val="28"/>
          <w:szCs w:val="28"/>
        </w:rPr>
        <w:t>商务条款不允许负偏离；</w:t>
      </w:r>
    </w:p>
    <w:p>
      <w:pPr>
        <w:adjustRightInd w:val="0"/>
        <w:snapToGrid w:val="0"/>
        <w:spacing w:line="480" w:lineRule="auto"/>
        <w:jc w:val="left"/>
        <w:rPr>
          <w:rFonts w:ascii="宋体" w:hAnsi="宋体" w:cs="宋体"/>
          <w:sz w:val="28"/>
          <w:szCs w:val="28"/>
        </w:rPr>
      </w:pP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投标人（单位名称及公章）：</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pPr>
        <w:adjustRightInd w:val="0"/>
        <w:snapToGrid w:val="0"/>
        <w:spacing w:line="480" w:lineRule="auto"/>
        <w:rPr>
          <w:rFonts w:ascii="宋体" w:hAnsi="宋体"/>
          <w:sz w:val="28"/>
          <w:szCs w:val="28"/>
        </w:rPr>
        <w:sectPr>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日    期：   年   月  日</w:t>
      </w:r>
    </w:p>
    <w:p>
      <w:pPr>
        <w:pStyle w:val="24"/>
        <w:ind w:firstLine="280"/>
        <w:rPr>
          <w:rFonts w:asciiTheme="minorEastAsia" w:hAnsiTheme="minorEastAsia" w:cstheme="minorEastAsia"/>
          <w:sz w:val="28"/>
          <w:szCs w:val="28"/>
        </w:rPr>
      </w:pPr>
      <w:r>
        <w:rPr>
          <w:rFonts w:hint="eastAsia" w:asciiTheme="minorEastAsia" w:hAnsiTheme="minorEastAsia" w:cstheme="minorEastAsia"/>
          <w:sz w:val="28"/>
          <w:szCs w:val="28"/>
        </w:rPr>
        <w:t>表2、技术响应偏差表</w:t>
      </w:r>
    </w:p>
    <w:p>
      <w:pPr>
        <w:pStyle w:val="24"/>
        <w:ind w:firstLine="280"/>
        <w:rPr>
          <w:rFonts w:asciiTheme="minorEastAsia" w:hAnsiTheme="minorEastAsia" w:cstheme="minorEastAsia"/>
          <w:sz w:val="28"/>
          <w:szCs w:val="28"/>
        </w:rPr>
      </w:pPr>
    </w:p>
    <w:tbl>
      <w:tblPr>
        <w:tblStyle w:val="25"/>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3"/>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序号</w:t>
            </w:r>
          </w:p>
        </w:tc>
        <w:tc>
          <w:tcPr>
            <w:tcW w:w="2864" w:type="dxa"/>
            <w:vAlign w:val="center"/>
          </w:tcPr>
          <w:p>
            <w:pPr>
              <w:pStyle w:val="13"/>
              <w:spacing w:line="48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采购</w:t>
            </w:r>
            <w:r>
              <w:rPr>
                <w:rFonts w:hint="eastAsia" w:asciiTheme="minorEastAsia" w:hAnsiTheme="minorEastAsia" w:cstheme="minorEastAsia"/>
                <w:sz w:val="24"/>
                <w:szCs w:val="24"/>
              </w:rPr>
              <w:t>文件技术要求</w:t>
            </w:r>
          </w:p>
        </w:tc>
        <w:tc>
          <w:tcPr>
            <w:tcW w:w="2443" w:type="dxa"/>
            <w:vAlign w:val="center"/>
          </w:tcPr>
          <w:p>
            <w:pPr>
              <w:pStyle w:val="13"/>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响应</w:t>
            </w:r>
            <w:r>
              <w:rPr>
                <w:rFonts w:hint="eastAsia" w:asciiTheme="minorEastAsia" w:hAnsiTheme="minorEastAsia" w:cstheme="minorEastAsia"/>
                <w:sz w:val="24"/>
                <w:szCs w:val="24"/>
              </w:rPr>
              <w:t>文件</w:t>
            </w:r>
          </w:p>
          <w:p>
            <w:pPr>
              <w:pStyle w:val="13"/>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响应内容</w:t>
            </w:r>
          </w:p>
        </w:tc>
        <w:tc>
          <w:tcPr>
            <w:tcW w:w="1621" w:type="dxa"/>
            <w:vAlign w:val="center"/>
          </w:tcPr>
          <w:p>
            <w:pPr>
              <w:pStyle w:val="13"/>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偏差说明</w:t>
            </w:r>
          </w:p>
        </w:tc>
        <w:tc>
          <w:tcPr>
            <w:tcW w:w="1614" w:type="dxa"/>
            <w:vAlign w:val="center"/>
          </w:tcPr>
          <w:p>
            <w:pPr>
              <w:pStyle w:val="13"/>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2443"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1621"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1614" w:type="dxa"/>
            <w:vAlign w:val="center"/>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bl>
    <w:p>
      <w:pPr>
        <w:pStyle w:val="13"/>
        <w:ind w:firstLine="562" w:firstLineChars="200"/>
        <w:jc w:val="left"/>
        <w:rPr>
          <w:rFonts w:asciiTheme="minorEastAsia" w:hAnsiTheme="minorEastAsia" w:cstheme="minorEastAsia"/>
          <w:sz w:val="28"/>
          <w:szCs w:val="28"/>
        </w:rPr>
      </w:pPr>
      <w:r>
        <w:rPr>
          <w:rFonts w:hint="eastAsia" w:asciiTheme="minorEastAsia" w:hAnsiTheme="minorEastAsia" w:cstheme="minorEastAsia"/>
          <w:b/>
          <w:sz w:val="28"/>
          <w:szCs w:val="28"/>
        </w:rPr>
        <w:t>填写说明：</w:t>
      </w:r>
      <w:r>
        <w:rPr>
          <w:rFonts w:hint="eastAsia" w:asciiTheme="minorEastAsia" w:hAnsiTheme="minorEastAsia" w:cstheme="minorEastAsia"/>
          <w:sz w:val="28"/>
          <w:szCs w:val="28"/>
        </w:rPr>
        <w:t>请按</w:t>
      </w:r>
      <w:r>
        <w:rPr>
          <w:rFonts w:hint="eastAsia" w:asciiTheme="minorEastAsia" w:hAnsiTheme="minorEastAsia" w:cstheme="minorEastAsia"/>
          <w:sz w:val="28"/>
          <w:szCs w:val="28"/>
          <w:lang w:val="en-US" w:eastAsia="zh-CN"/>
        </w:rPr>
        <w:t>采购</w:t>
      </w:r>
      <w:r>
        <w:rPr>
          <w:rFonts w:hint="eastAsia" w:asciiTheme="minorEastAsia" w:hAnsiTheme="minorEastAsia" w:cstheme="minorEastAsia"/>
          <w:sz w:val="28"/>
          <w:szCs w:val="28"/>
        </w:rPr>
        <w:t>文件要求的实际技术要求，逐条对应</w:t>
      </w:r>
      <w:r>
        <w:rPr>
          <w:rFonts w:hint="eastAsia" w:asciiTheme="minorEastAsia" w:hAnsiTheme="minorEastAsia" w:cstheme="minorEastAsia"/>
          <w:sz w:val="28"/>
          <w:szCs w:val="28"/>
          <w:lang w:val="en-US" w:eastAsia="zh-CN"/>
        </w:rPr>
        <w:t>响应</w:t>
      </w:r>
      <w:r>
        <w:rPr>
          <w:rFonts w:hint="eastAsia" w:asciiTheme="minorEastAsia" w:hAnsiTheme="minorEastAsia" w:cstheme="minorEastAsia"/>
          <w:sz w:val="28"/>
          <w:szCs w:val="28"/>
        </w:rPr>
        <w:t>文件的“采购要求”中的技术要求认真填写本表。偏差说明填写：正偏离（标明正偏离内容及正偏离的证明材料的页码）、符合（标明主要技术参数证明材料页码）或负偏离。</w:t>
      </w:r>
    </w:p>
    <w:p>
      <w:pPr>
        <w:adjustRightInd w:val="0"/>
        <w:snapToGrid w:val="0"/>
        <w:spacing w:line="480" w:lineRule="auto"/>
        <w:jc w:val="left"/>
        <w:rPr>
          <w:rFonts w:asciiTheme="minorEastAsia" w:hAnsiTheme="minorEastAsia" w:cstheme="minorEastAsia"/>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rPr>
          <w:rFonts w:ascii="宋体" w:hAnsi="宋体"/>
          <w:sz w:val="28"/>
          <w:szCs w:val="28"/>
        </w:rPr>
        <w:sectPr>
          <w:headerReference r:id="rId14" w:type="default"/>
          <w:pgSz w:w="11906" w:h="16838"/>
          <w:pgMar w:top="1440" w:right="1803" w:bottom="1440" w:left="1803" w:header="851" w:footer="992" w:gutter="0"/>
          <w:cols w:space="720" w:num="1"/>
          <w:docGrid w:type="lines" w:linePitch="319" w:charSpace="0"/>
        </w:sect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pStyle w:val="4"/>
        <w:spacing w:before="325" w:beforeLines="100" w:after="487" w:afterLines="150" w:line="500" w:lineRule="exact"/>
        <w:rPr>
          <w:rFonts w:asciiTheme="minorEastAsia" w:hAnsiTheme="minorEastAsia" w:eastAsiaTheme="minorEastAsia" w:cstheme="minorEastAsia"/>
          <w:color w:val="000000" w:themeColor="text1"/>
          <w:sz w:val="36"/>
          <w:szCs w:val="36"/>
          <w14:textFill>
            <w14:solidFill>
              <w14:schemeClr w14:val="tx1"/>
            </w14:solidFill>
          </w14:textFill>
        </w:rPr>
      </w:pPr>
      <w:bookmarkStart w:id="252" w:name="_Toc18357"/>
      <w:bookmarkStart w:id="253" w:name="_Toc8786"/>
      <w:bookmarkStart w:id="254" w:name="_Toc31024"/>
      <w:bookmarkStart w:id="255" w:name="_Toc15581"/>
      <w:r>
        <w:rPr>
          <w:rFonts w:hint="eastAsia" w:asciiTheme="minorEastAsia" w:hAnsiTheme="minorEastAsia" w:eastAsiaTheme="minorEastAsia" w:cstheme="minorEastAsia"/>
          <w:color w:val="000000" w:themeColor="text1"/>
          <w:sz w:val="36"/>
          <w:szCs w:val="36"/>
          <w14:textFill>
            <w14:solidFill>
              <w14:schemeClr w14:val="tx1"/>
            </w14:solidFill>
          </w14:textFill>
        </w:rPr>
        <w:t>第</w:t>
      </w:r>
      <w:r>
        <w:rPr>
          <w:rFonts w:hint="eastAsia" w:asciiTheme="minorEastAsia" w:hAnsiTheme="minorEastAsia" w:eastAsiaTheme="minorEastAsia" w:cstheme="minorEastAsia"/>
          <w:color w:val="000000" w:themeColor="text1"/>
          <w:sz w:val="36"/>
          <w:szCs w:val="36"/>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36"/>
          <w:szCs w:val="36"/>
          <w14:textFill>
            <w14:solidFill>
              <w14:schemeClr w14:val="tx1"/>
            </w14:solidFill>
          </w14:textFill>
        </w:rPr>
        <w:t>章</w:t>
      </w:r>
      <w:bookmarkEnd w:id="252"/>
      <w:r>
        <w:rPr>
          <w:rFonts w:hint="eastAsia" w:asciiTheme="minorEastAsia" w:hAnsiTheme="minorEastAsia" w:eastAsiaTheme="minorEastAsia" w:cstheme="minorEastAsia"/>
          <w:color w:val="000000" w:themeColor="text1"/>
          <w:sz w:val="36"/>
          <w:szCs w:val="36"/>
          <w14:textFill>
            <w14:solidFill>
              <w14:schemeClr w14:val="tx1"/>
            </w14:solidFill>
          </w14:textFill>
        </w:rPr>
        <w:t xml:space="preserve">  </w:t>
      </w:r>
      <w:bookmarkEnd w:id="253"/>
      <w:bookmarkEnd w:id="254"/>
      <w:r>
        <w:rPr>
          <w:rFonts w:hint="eastAsia" w:asciiTheme="minorEastAsia" w:hAnsiTheme="minorEastAsia" w:eastAsiaTheme="minorEastAsia" w:cstheme="minorEastAsia"/>
          <w:color w:val="000000" w:themeColor="text1"/>
          <w:sz w:val="36"/>
          <w:szCs w:val="36"/>
          <w14:textFill>
            <w14:solidFill>
              <w14:schemeClr w14:val="tx1"/>
            </w14:solidFill>
          </w14:textFill>
        </w:rPr>
        <w:t>施工组织方案</w:t>
      </w:r>
      <w:bookmarkEnd w:id="255"/>
    </w:p>
    <w:p>
      <w:pPr>
        <w:spacing w:line="480" w:lineRule="auto"/>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供应商可根据评审办法自行编写，格式不限：</w:t>
      </w: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sectPr>
          <w:pgSz w:w="11906" w:h="16838"/>
          <w:pgMar w:top="1440" w:right="1304" w:bottom="1440" w:left="1304" w:header="851" w:footer="992" w:gutter="0"/>
          <w:cols w:space="0" w:num="1"/>
          <w:docGrid w:type="lines" w:linePitch="325" w:charSpace="0"/>
        </w:sectPr>
      </w:pPr>
    </w:p>
    <w:p>
      <w:pPr>
        <w:pStyle w:val="4"/>
        <w:numPr>
          <w:ilvl w:val="0"/>
          <w:numId w:val="0"/>
        </w:numPr>
        <w:jc w:val="center"/>
        <w:rPr>
          <w:rFonts w:hint="eastAsia" w:eastAsia="宋体"/>
          <w:lang w:eastAsia="zh-CN"/>
        </w:rPr>
      </w:pPr>
      <w:bookmarkStart w:id="256" w:name="_Toc11628"/>
      <w:bookmarkStart w:id="257" w:name="_Toc24882"/>
      <w:bookmarkStart w:id="258" w:name="_Toc11540"/>
      <w:r>
        <w:rPr>
          <w:rFonts w:hint="eastAsia"/>
          <w:color w:val="000000" w:themeColor="text1"/>
          <w:lang w:val="en-US" w:eastAsia="zh-CN"/>
          <w14:textFill>
            <w14:solidFill>
              <w14:schemeClr w14:val="tx1"/>
            </w14:solidFill>
          </w14:textFill>
        </w:rPr>
        <w:t>第八章</w:t>
      </w:r>
      <w:r>
        <w:rPr>
          <w:rFonts w:hint="eastAsia"/>
          <w:color w:val="000000" w:themeColor="text1"/>
          <w14:textFill>
            <w14:solidFill>
              <w14:schemeClr w14:val="tx1"/>
            </w14:solidFill>
          </w14:textFill>
        </w:rPr>
        <w:t xml:space="preserve"> </w:t>
      </w:r>
      <w:bookmarkStart w:id="259" w:name="_Toc18711"/>
      <w:r>
        <w:rPr>
          <w:rFonts w:hint="eastAsia"/>
        </w:rPr>
        <w:t>主要设备</w:t>
      </w:r>
      <w:bookmarkEnd w:id="259"/>
      <w:r>
        <w:rPr>
          <w:rFonts w:hint="eastAsia"/>
          <w:lang w:val="en-US" w:eastAsia="zh-CN"/>
        </w:rPr>
        <w:t>技术支持资料</w:t>
      </w:r>
      <w:bookmarkEnd w:id="256"/>
    </w:p>
    <w:p>
      <w:pPr>
        <w:pStyle w:val="7"/>
        <w:rPr>
          <w:b/>
          <w:bCs/>
          <w:sz w:val="32"/>
          <w:szCs w:val="36"/>
        </w:rPr>
      </w:pPr>
      <w:r>
        <w:rPr>
          <w:rFonts w:hint="eastAsia"/>
          <w:b/>
          <w:bCs/>
          <w:sz w:val="32"/>
          <w:szCs w:val="36"/>
        </w:rPr>
        <w:t>供应商</w:t>
      </w:r>
      <w:r>
        <w:rPr>
          <w:rFonts w:hint="eastAsia"/>
          <w:b/>
          <w:bCs/>
          <w:sz w:val="32"/>
          <w:szCs w:val="36"/>
          <w:lang w:val="en-US" w:eastAsia="zh-CN"/>
        </w:rPr>
        <w:t>自行编写</w:t>
      </w:r>
      <w:r>
        <w:rPr>
          <w:rFonts w:hint="eastAsia"/>
          <w:b/>
          <w:bCs/>
          <w:sz w:val="32"/>
          <w:szCs w:val="36"/>
        </w:rPr>
        <w:t>，格式不限。</w:t>
      </w:r>
    </w:p>
    <w:p>
      <w:pPr>
        <w:rPr>
          <w:b/>
          <w:bCs/>
          <w:sz w:val="32"/>
          <w:szCs w:val="36"/>
        </w:rPr>
      </w:pPr>
      <w:r>
        <w:rPr>
          <w:rFonts w:hint="eastAsia"/>
          <w:b/>
          <w:bCs/>
          <w:sz w:val="32"/>
          <w:szCs w:val="36"/>
        </w:rPr>
        <w:br w:type="page"/>
      </w:r>
    </w:p>
    <w:p>
      <w:pPr>
        <w:pStyle w:val="4"/>
        <w:numPr>
          <w:ilvl w:val="0"/>
          <w:numId w:val="0"/>
        </w:numPr>
        <w:jc w:val="center"/>
        <w:rPr>
          <w:color w:val="000000" w:themeColor="text1"/>
          <w14:textFill>
            <w14:solidFill>
              <w14:schemeClr w14:val="tx1"/>
            </w14:solidFill>
          </w14:textFill>
        </w:rPr>
      </w:pPr>
      <w:bookmarkStart w:id="260" w:name="_Toc23945"/>
      <w:r>
        <w:rPr>
          <w:rFonts w:hint="eastAsia"/>
          <w:color w:val="000000" w:themeColor="text1"/>
          <w:lang w:val="en-US" w:eastAsia="zh-CN"/>
          <w14:textFill>
            <w14:solidFill>
              <w14:schemeClr w14:val="tx1"/>
            </w14:solidFill>
          </w14:textFill>
        </w:rPr>
        <w:t xml:space="preserve">第九章 </w:t>
      </w:r>
      <w:r>
        <w:rPr>
          <w:rFonts w:hint="eastAsia"/>
          <w:color w:val="000000" w:themeColor="text1"/>
          <w14:textFill>
            <w14:solidFill>
              <w14:schemeClr w14:val="tx1"/>
            </w14:solidFill>
          </w14:textFill>
        </w:rPr>
        <w:t>供应商业绩一览表</w:t>
      </w:r>
      <w:bookmarkEnd w:id="257"/>
      <w:bookmarkEnd w:id="258"/>
      <w:bookmarkEnd w:id="260"/>
    </w:p>
    <w:p>
      <w:pPr>
        <w:rPr>
          <w:rFonts w:asciiTheme="minorEastAsia" w:hAnsiTheme="minorEastAsia" w:cstheme="minorEastAsia"/>
          <w:color w:val="000000" w:themeColor="text1"/>
          <w14:textFill>
            <w14:solidFill>
              <w14:schemeClr w14:val="tx1"/>
            </w14:solidFill>
          </w14:textFill>
        </w:rPr>
      </w:pPr>
    </w:p>
    <w:tbl>
      <w:tblPr>
        <w:tblStyle w:val="25"/>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年份</w:t>
            </w: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用户名称</w:t>
            </w: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项目名称</w:t>
            </w: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完成时间</w:t>
            </w:r>
          </w:p>
        </w:tc>
        <w:tc>
          <w:tcPr>
            <w:tcW w:w="1485" w:type="dxa"/>
            <w:vAlign w:val="center"/>
          </w:tcPr>
          <w:p>
            <w:pPr>
              <w:spacing w:line="400" w:lineRule="exact"/>
              <w:ind w:firstLine="105" w:firstLineChars="5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合同金额</w:t>
            </w:r>
          </w:p>
        </w:tc>
        <w:tc>
          <w:tcPr>
            <w:tcW w:w="1576" w:type="dxa"/>
            <w:tcBorders>
              <w:right w:val="single" w:color="auto" w:sz="4" w:space="0"/>
            </w:tcBorders>
            <w:vAlign w:val="center"/>
          </w:tcPr>
          <w:p>
            <w:pPr>
              <w:spacing w:line="400" w:lineRule="exact"/>
              <w:ind w:left="204" w:hanging="203" w:hangingChars="97"/>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485" w:type="dxa"/>
            <w:tcBorders>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注：供应商（仅限于供应商自己实施的）以上业绩需提供采购合同复印件加盖公章。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color w:val="000000" w:themeColor="text1"/>
          <w:sz w:val="24"/>
          <w:szCs w:val="24"/>
          <w14:textFill>
            <w14:solidFill>
              <w14:schemeClr w14:val="tx1"/>
            </w14:solidFill>
          </w14:textFill>
        </w:rPr>
      </w:pPr>
    </w:p>
    <w:p>
      <w:pPr>
        <w:spacing w:line="360" w:lineRule="auto"/>
        <w:ind w:left="360"/>
        <w:jc w:val="center"/>
        <w:rPr>
          <w:rFonts w:asciiTheme="minorEastAsia" w:hAnsiTheme="minorEastAsia" w:cstheme="minorEastAsia"/>
          <w:color w:val="000000" w:themeColor="text1"/>
          <w:sz w:val="24"/>
          <w:szCs w:val="24"/>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供应商名称：</w:t>
      </w:r>
      <w:r>
        <w:rPr>
          <w:rFonts w:hint="eastAsia" w:asciiTheme="minorEastAsia" w:hAnsiTheme="minorEastAsia" w:cstheme="minorEastAsia"/>
          <w:bCs/>
          <w:color w:val="000000" w:themeColor="text1"/>
          <w:sz w:val="24"/>
          <w:szCs w:val="24"/>
          <w:u w:val="single"/>
          <w14:textFill>
            <w14:solidFill>
              <w14:schemeClr w14:val="tx1"/>
            </w14:solidFill>
          </w14:textFill>
        </w:rPr>
        <w:t xml:space="preserve">              （全称及公章）</w:t>
      </w: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法定代表人或委托代理人（签字或盖章）：</w:t>
      </w:r>
    </w:p>
    <w:p>
      <w:pPr>
        <w:adjustRightInd w:val="0"/>
        <w:spacing w:line="360" w:lineRule="auto"/>
        <w:ind w:firstLine="420" w:firstLineChars="175"/>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 xml:space="preserve">日    </w:t>
      </w:r>
      <w:r>
        <w:rPr>
          <w:rFonts w:hint="eastAsia" w:asciiTheme="minorEastAsia" w:hAnsiTheme="minorEastAsia" w:cstheme="minorEastAsia"/>
          <w:color w:val="000000" w:themeColor="text1"/>
          <w:sz w:val="24"/>
          <w:szCs w:val="24"/>
          <w14:textFill>
            <w14:solidFill>
              <w14:schemeClr w14:val="tx1"/>
            </w14:solidFill>
          </w14:textFill>
        </w:rPr>
        <w:t xml:space="preserve">期:                       </w:t>
      </w: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pStyle w:val="4"/>
        <w:rPr>
          <w:color w:val="000000" w:themeColor="text1"/>
          <w14:textFill>
            <w14:solidFill>
              <w14:schemeClr w14:val="tx1"/>
            </w14:solidFill>
          </w14:textFill>
        </w:rPr>
      </w:pPr>
      <w:bookmarkStart w:id="261" w:name="_Toc23432"/>
      <w:bookmarkStart w:id="262" w:name="_Toc24982"/>
      <w:bookmarkStart w:id="263" w:name="_Toc29034"/>
      <w:bookmarkStart w:id="264" w:name="_Toc18894"/>
      <w:r>
        <w:rPr>
          <w:rFonts w:hint="eastAsia"/>
          <w:color w:val="000000" w:themeColor="text1"/>
          <w14:textFill>
            <w14:solidFill>
              <w14:schemeClr w14:val="tx1"/>
            </w14:solidFill>
          </w14:textFill>
        </w:rPr>
        <w:t>第十章  供应商认为有必要说明的其他问题</w:t>
      </w:r>
      <w:bookmarkEnd w:id="261"/>
      <w:bookmarkEnd w:id="262"/>
      <w:bookmarkEnd w:id="263"/>
      <w:bookmarkEnd w:id="264"/>
    </w:p>
    <w:p>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供应商认为有必要提供的其他证明文件</w:t>
      </w:r>
    </w:p>
    <w:p>
      <w:pPr>
        <w:pStyle w:val="7"/>
        <w:rPr>
          <w:color w:val="000000" w:themeColor="text1"/>
          <w14:textFill>
            <w14:solidFill>
              <w14:schemeClr w14:val="tx1"/>
            </w14:solidFill>
          </w14:textFill>
        </w:rPr>
      </w:pPr>
    </w:p>
    <w:p>
      <w:pPr>
        <w:rPr>
          <w:b/>
          <w:bCs/>
          <w:color w:val="000000" w:themeColor="text1"/>
          <w:sz w:val="44"/>
          <w:szCs w:val="48"/>
          <w14:textFill>
            <w14:solidFill>
              <w14:schemeClr w14:val="tx1"/>
            </w14:solidFill>
          </w14:textFill>
        </w:rPr>
      </w:pPr>
      <w:r>
        <w:rPr>
          <w:rFonts w:hint="eastAsia"/>
          <w:b/>
          <w:bCs/>
          <w:color w:val="000000" w:themeColor="text1"/>
          <w:sz w:val="44"/>
          <w:szCs w:val="48"/>
          <w14:textFill>
            <w14:solidFill>
              <w14:schemeClr w14:val="tx1"/>
            </w14:solidFill>
          </w14:textFill>
        </w:rPr>
        <w:t>供应商可在此处附附件二至附件五的证明材料，如没有提供，视为无。</w:t>
      </w:r>
    </w:p>
    <w:p>
      <w:pPr>
        <w:pStyle w:val="4"/>
        <w:rPr>
          <w:rFonts w:ascii="宋体" w:hAnsi="宋体" w:cs="宋体"/>
        </w:rPr>
      </w:pPr>
      <w:r>
        <w:rPr>
          <w:rFonts w:hint="eastAsia" w:asciiTheme="minorEastAsia" w:hAnsiTheme="minorEastAsia" w:eastAsiaTheme="minorEastAsia" w:cstheme="minorEastAsia"/>
          <w:color w:val="000000" w:themeColor="text1"/>
          <w14:textFill>
            <w14:solidFill>
              <w14:schemeClr w14:val="tx1"/>
            </w14:solidFill>
          </w14:textFill>
        </w:rPr>
        <w:br w:type="page"/>
      </w:r>
      <w:bookmarkStart w:id="265" w:name="_Toc17413"/>
      <w:bookmarkStart w:id="266" w:name="_Toc9761"/>
      <w:r>
        <w:rPr>
          <w:rFonts w:hint="eastAsia" w:asciiTheme="minorEastAsia" w:hAnsiTheme="minorEastAsia" w:eastAsiaTheme="minorEastAsia" w:cstheme="minorEastAsia"/>
          <w:color w:val="000000" w:themeColor="text1"/>
          <w14:textFill>
            <w14:solidFill>
              <w14:schemeClr w14:val="tx1"/>
            </w14:solidFill>
          </w14:textFill>
        </w:rPr>
        <w:t>第十</w:t>
      </w:r>
      <w:r>
        <w:rPr>
          <w:rFonts w:hint="eastAsia" w:asciiTheme="minorEastAsia" w:hAnsiTheme="minorEastAsia" w:eastAsiaTheme="minorEastAsia" w:cstheme="minorEastAsia"/>
          <w:color w:val="000000" w:themeColor="text1"/>
          <w:lang w:eastAsia="zh-CN"/>
          <w14:textFill>
            <w14:solidFill>
              <w14:schemeClr w14:val="tx1"/>
            </w14:solidFill>
          </w14:textFill>
        </w:rPr>
        <w:t>一</w:t>
      </w:r>
      <w:r>
        <w:rPr>
          <w:rFonts w:hint="eastAsia" w:asciiTheme="minorEastAsia" w:hAnsiTheme="minorEastAsia" w:eastAsiaTheme="minorEastAsia" w:cstheme="minorEastAsia"/>
          <w:color w:val="000000" w:themeColor="text1"/>
          <w14:textFill>
            <w14:solidFill>
              <w14:schemeClr w14:val="tx1"/>
            </w14:solidFill>
          </w14:textFill>
        </w:rPr>
        <w:t xml:space="preserve">章  </w:t>
      </w:r>
      <w:r>
        <w:rPr>
          <w:rFonts w:hint="eastAsia"/>
          <w:color w:val="000000" w:themeColor="text1"/>
          <w:sz w:val="30"/>
          <w:szCs w:val="30"/>
          <w14:textFill>
            <w14:solidFill>
              <w14:schemeClr w14:val="tx1"/>
            </w14:solidFill>
          </w14:textFill>
        </w:rPr>
        <w:t>供应商承诺书</w:t>
      </w:r>
      <w:bookmarkEnd w:id="136"/>
      <w:bookmarkEnd w:id="137"/>
      <w:bookmarkEnd w:id="265"/>
      <w:bookmarkEnd w:id="266"/>
    </w:p>
    <w:p>
      <w:pPr>
        <w:pStyle w:val="13"/>
        <w:ind w:firstLine="562" w:firstLineChars="200"/>
        <w:jc w:val="left"/>
        <w:rPr>
          <w:rFonts w:hAnsi="宋体" w:cs="宋体"/>
          <w:b/>
          <w:bCs/>
          <w:sz w:val="28"/>
          <w:szCs w:val="28"/>
        </w:rPr>
      </w:pPr>
      <w:r>
        <w:rPr>
          <w:rFonts w:hint="eastAsia" w:hAnsi="宋体" w:cs="宋体"/>
          <w:b/>
          <w:bCs/>
          <w:sz w:val="28"/>
          <w:szCs w:val="28"/>
        </w:rPr>
        <w:t>陕西省政府采购供货商拒绝政府采购领域商业贿赂承诺书Ⅰ</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为响应党中央、国务院关于治理政府采购领域商业贿赂行为的号召，我公司在此庄严承诺：</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1、在参与政府采购活动中遵纪守法、诚信经营、公平竞标。</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2、不向政府采购人、代理机构和政府采购评审专家进行任何形式的商业贿赂以谋取交易机会。</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3、不向政府代理机构和采购人提供虚假资质文件或采用虚假应标方式参与政府采购市场竞争并谋取成交。</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4、不采取“围标、陪标”等商业欺诈手段获得政府采购订单。</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5、不采取不正当手段诋毁、排挤其它供货商。</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6、不在提供商品和服务时“偷梁换柱、以次充好”损害采购人的合法权益。</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7、不与采购人、代理机构政府采购评审专家或其它供货商恶意串通，进行质疑和投诉，维护政府采购市场秩序。</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8、尊重和接受政府采购监督管理部门的监督和政府代理机构招标采购要求，承担因违约行为给采购人造成的损失。</w:t>
      </w:r>
    </w:p>
    <w:p>
      <w:pPr>
        <w:spacing w:line="480" w:lineRule="auto"/>
        <w:ind w:firstLine="480" w:firstLineChars="200"/>
        <w:jc w:val="left"/>
        <w:rPr>
          <w:rFonts w:ascii="宋体" w:hAnsi="宋体" w:cs="宋体"/>
          <w:sz w:val="24"/>
          <w:szCs w:val="28"/>
        </w:rPr>
      </w:pPr>
      <w:r>
        <w:rPr>
          <w:rFonts w:hint="eastAsia" w:ascii="宋体" w:hAnsi="宋体" w:cs="宋体"/>
          <w:sz w:val="24"/>
          <w:szCs w:val="28"/>
        </w:rPr>
        <w:t>9、不发生其它有悖于政府采购公开、公平、公正和诚信原则的行为。</w:t>
      </w:r>
    </w:p>
    <w:p>
      <w:pPr>
        <w:adjustRightInd w:val="0"/>
        <w:snapToGrid w:val="0"/>
        <w:spacing w:line="360" w:lineRule="auto"/>
        <w:ind w:firstLine="480" w:firstLineChars="200"/>
        <w:jc w:val="left"/>
        <w:rPr>
          <w:rFonts w:ascii="宋体" w:hAnsi="宋体" w:cs="宋体"/>
          <w:sz w:val="24"/>
        </w:rPr>
      </w:pP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供应商（单位名称及公章）：</w:t>
      </w:r>
    </w:p>
    <w:p>
      <w:pPr>
        <w:snapToGrid w:val="0"/>
        <w:spacing w:line="360" w:lineRule="auto"/>
        <w:ind w:firstLine="480" w:firstLineChars="200"/>
        <w:jc w:val="left"/>
        <w:rPr>
          <w:rFonts w:ascii="宋体" w:hAnsi="宋体" w:cs="宋体"/>
          <w:sz w:val="24"/>
        </w:rPr>
      </w:pPr>
      <w:r>
        <w:rPr>
          <w:rFonts w:hint="eastAsia" w:ascii="宋体" w:hAnsi="宋体" w:cs="宋体"/>
          <w:sz w:val="24"/>
        </w:rPr>
        <w:t>法定代表人/被授权人（签字或盖章）：</w:t>
      </w:r>
    </w:p>
    <w:p>
      <w:pPr>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邮编：</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地址：</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电话：</w:t>
      </w:r>
    </w:p>
    <w:p>
      <w:pPr>
        <w:spacing w:line="360" w:lineRule="auto"/>
        <w:ind w:firstLine="480" w:firstLineChars="200"/>
        <w:jc w:val="left"/>
        <w:rPr>
          <w:rFonts w:ascii="宋体" w:hAnsi="宋体" w:cs="宋体"/>
          <w:sz w:val="24"/>
          <w:szCs w:val="28"/>
          <w:u w:val="single"/>
        </w:rPr>
      </w:pPr>
      <w:r>
        <w:rPr>
          <w:rFonts w:hint="eastAsia" w:ascii="宋体" w:hAnsi="宋体" w:cs="宋体"/>
          <w:sz w:val="24"/>
          <w:szCs w:val="28"/>
        </w:rPr>
        <w:t xml:space="preserve">时间： </w:t>
      </w:r>
      <w:r>
        <w:rPr>
          <w:rFonts w:hint="eastAsia" w:ascii="宋体" w:hAnsi="宋体" w:cs="宋体"/>
          <w:sz w:val="24"/>
          <w:szCs w:val="28"/>
          <w:u w:val="single"/>
        </w:rPr>
        <w:t xml:space="preserve">    年   月    日</w:t>
      </w:r>
    </w:p>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承诺书Ⅱ</w:t>
      </w:r>
    </w:p>
    <w:tbl>
      <w:tblPr>
        <w:tblStyle w:val="2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西安医学院未央校区汽车充电桩安装工程项目</w:t>
            </w:r>
            <w:r>
              <w:rPr>
                <w:rFonts w:hint="eastAsia" w:ascii="宋体" w:hAnsi="宋体" w:cs="宋体"/>
                <w:szCs w:val="21"/>
                <w:u w:val="single"/>
                <w:lang w:val="en-US" w:eastAsia="zh-CN"/>
              </w:rPr>
              <w:t>(四次)</w:t>
            </w:r>
            <w:r>
              <w:rPr>
                <w:rFonts w:hint="eastAsia" w:ascii="宋体" w:hAnsi="宋体" w:cs="宋体"/>
                <w:szCs w:val="21"/>
              </w:rPr>
              <w:t xml:space="preserve"> 的供应商，本公司承诺：在参加本项目磋商之前不存在被依法禁止经营行为、财产被接管或冻结的情况，如有隐瞒实情，愿承担一切责任及后果。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 xml:space="preserve">（签字或盖章） </w:t>
            </w:r>
          </w:p>
        </w:tc>
        <w:tc>
          <w:tcPr>
            <w:tcW w:w="2376"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spacing w:line="360" w:lineRule="atLeast"/>
        <w:ind w:firstLine="843" w:firstLineChars="200"/>
        <w:jc w:val="left"/>
        <w:rPr>
          <w:rFonts w:ascii="宋体" w:hAnsi="宋体" w:cs="宋体"/>
          <w:b/>
          <w:sz w:val="42"/>
          <w:szCs w:val="42"/>
        </w:rPr>
      </w:pPr>
    </w:p>
    <w:p>
      <w:pPr>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承诺书Ⅲ</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西安医学院未央校区汽车充电桩安装工程项目</w:t>
            </w:r>
            <w:r>
              <w:rPr>
                <w:rFonts w:hint="eastAsia" w:ascii="宋体" w:hAnsi="宋体" w:cs="宋体"/>
                <w:szCs w:val="21"/>
                <w:u w:val="single"/>
                <w:lang w:val="en-US" w:eastAsia="zh-CN"/>
              </w:rPr>
              <w:t>（四次）</w:t>
            </w:r>
            <w:r>
              <w:rPr>
                <w:rFonts w:hint="eastAsia" w:ascii="宋体" w:hAnsi="宋体" w:cs="宋体"/>
                <w:szCs w:val="21"/>
              </w:rPr>
              <w:t xml:space="preserve"> 的供应商，本公司郑重申告并承诺：近三年受到有关行政主管部门的行政处理、不良行为记录为</w:t>
            </w:r>
            <w:r>
              <w:rPr>
                <w:rFonts w:hint="eastAsia" w:ascii="宋体" w:hAnsi="宋体" w:cs="宋体"/>
                <w:szCs w:val="21"/>
                <w:u w:val="single"/>
              </w:rPr>
              <w:t xml:space="preserve">  </w:t>
            </w:r>
            <w:r>
              <w:rPr>
                <w:rFonts w:hint="eastAsia" w:ascii="宋体" w:hAnsi="宋体" w:cs="宋体"/>
                <w:szCs w:val="21"/>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87"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87"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承诺书Ⅳ</w:t>
      </w:r>
    </w:p>
    <w:tbl>
      <w:tblPr>
        <w:tblStyle w:val="2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12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西安医学院未央校区汽车充电桩安装工程项目</w:t>
            </w:r>
            <w:r>
              <w:rPr>
                <w:rFonts w:hint="eastAsia" w:ascii="宋体" w:hAnsi="宋体" w:cs="宋体"/>
                <w:szCs w:val="21"/>
                <w:u w:val="single"/>
                <w:lang w:val="en-US" w:eastAsia="zh-CN"/>
              </w:rPr>
              <w:t>（四次）</w:t>
            </w:r>
            <w:r>
              <w:rPr>
                <w:rFonts w:hint="eastAsia" w:ascii="宋体" w:hAnsi="宋体" w:cs="宋体"/>
                <w:szCs w:val="21"/>
              </w:rPr>
              <w:t>的供应商，本公司郑重申告：近三年因产品供货问题（水货、替代品、次品、翻新品等）的不法行为记录为</w:t>
            </w:r>
            <w:r>
              <w:rPr>
                <w:rFonts w:hint="eastAsia" w:ascii="宋体" w:hAnsi="宋体" w:cs="宋体"/>
                <w:szCs w:val="21"/>
                <w:u w:val="single"/>
              </w:rPr>
              <w:t xml:space="preserve">   </w:t>
            </w:r>
            <w:r>
              <w:rPr>
                <w:rFonts w:hint="eastAsia" w:ascii="宋体" w:hAnsi="宋体" w:cs="宋体"/>
                <w:szCs w:val="21"/>
              </w:rPr>
              <w:t>次（没有填零），如有隐瞒实情，愿承担一切责任及后果。</w:t>
            </w:r>
          </w:p>
          <w:p>
            <w:pPr>
              <w:spacing w:line="360" w:lineRule="atLeast"/>
              <w:ind w:firstLine="420" w:firstLineChars="200"/>
              <w:jc w:val="left"/>
              <w:rPr>
                <w:rFonts w:ascii="宋体" w:hAnsi="宋体" w:cs="宋体"/>
                <w:szCs w:val="21"/>
              </w:rPr>
            </w:pPr>
            <w:r>
              <w:rPr>
                <w:rFonts w:hint="eastAsia" w:ascii="宋体" w:hAnsi="宋体" w:cs="宋体"/>
                <w:szCs w:val="21"/>
              </w:rPr>
              <w:t>本公司承诺：本次响应产品为正品行货。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1"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71"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spacing w:line="360" w:lineRule="auto"/>
        <w:ind w:firstLine="480" w:firstLineChars="200"/>
        <w:jc w:val="left"/>
        <w:rPr>
          <w:rFonts w:ascii="宋体" w:hAnsi="宋体" w:cs="宋体"/>
          <w:sz w:val="24"/>
          <w:szCs w:val="28"/>
        </w:rPr>
      </w:pPr>
    </w:p>
    <w:p>
      <w:pPr>
        <w:spacing w:line="360" w:lineRule="atLeast"/>
        <w:ind w:firstLine="482" w:firstLineChars="200"/>
        <w:jc w:val="center"/>
        <w:rPr>
          <w:rFonts w:ascii="宋体" w:hAnsi="宋体" w:cs="宋体"/>
          <w:b/>
          <w:sz w:val="32"/>
          <w:szCs w:val="32"/>
        </w:rPr>
      </w:pPr>
      <w:r>
        <w:rPr>
          <w:rFonts w:hint="eastAsia" w:ascii="宋体" w:hAnsi="宋体" w:cs="宋体"/>
          <w:b/>
          <w:sz w:val="24"/>
          <w:szCs w:val="24"/>
        </w:rPr>
        <w:t>承诺书</w:t>
      </w:r>
      <w:r>
        <w:rPr>
          <w:rFonts w:hint="eastAsia" w:ascii="宋体" w:hAnsi="宋体" w:cs="宋体"/>
          <w:b/>
          <w:sz w:val="24"/>
          <w:szCs w:val="24"/>
        </w:rPr>
        <w:fldChar w:fldCharType="begin"/>
      </w:r>
      <w:r>
        <w:rPr>
          <w:rFonts w:hint="eastAsia" w:ascii="宋体" w:hAnsi="宋体" w:cs="宋体"/>
          <w:b/>
          <w:sz w:val="24"/>
          <w:szCs w:val="24"/>
        </w:rPr>
        <w:instrText xml:space="preserve"> = 5 \* ROMAN </w:instrText>
      </w:r>
      <w:r>
        <w:rPr>
          <w:rFonts w:hint="eastAsia" w:ascii="宋体" w:hAnsi="宋体" w:cs="宋体"/>
          <w:b/>
          <w:sz w:val="24"/>
          <w:szCs w:val="24"/>
        </w:rPr>
        <w:fldChar w:fldCharType="separate"/>
      </w:r>
      <w:r>
        <w:rPr>
          <w:rFonts w:hint="eastAsia" w:ascii="宋体" w:hAnsi="宋体" w:cs="宋体"/>
          <w:b/>
          <w:sz w:val="24"/>
          <w:szCs w:val="24"/>
          <w:lang w:val="zh-CN"/>
        </w:rPr>
        <w:t>V</w:t>
      </w:r>
      <w:r>
        <w:rPr>
          <w:rFonts w:hint="eastAsia" w:ascii="宋体" w:hAnsi="宋体" w:cs="宋体"/>
          <w:b/>
          <w:sz w:val="24"/>
          <w:szCs w:val="24"/>
        </w:rPr>
        <w:fldChar w:fldCharType="end"/>
      </w:r>
    </w:p>
    <w:tbl>
      <w:tblPr>
        <w:tblStyle w:val="2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西安医学院未央校区汽车充电桩安装工程项目</w:t>
            </w:r>
            <w:r>
              <w:rPr>
                <w:rFonts w:hint="eastAsia" w:ascii="宋体" w:hAnsi="宋体" w:cs="宋体"/>
                <w:szCs w:val="21"/>
                <w:u w:val="single"/>
                <w:lang w:val="en-US" w:eastAsia="zh-CN"/>
              </w:rPr>
              <w:t>（四次）</w:t>
            </w:r>
            <w:r>
              <w:rPr>
                <w:rFonts w:hint="eastAsia" w:ascii="宋体" w:hAnsi="宋体" w:cs="宋体"/>
                <w:szCs w:val="21"/>
              </w:rPr>
              <w:t>的供应商，本公司承诺：参加本次磋商提交的所有资质证明文件及业绩证明文件是真实的、有效的，如有隐瞒实情，愿承担一切责任及后果。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41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418"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adjustRightInd w:val="0"/>
        <w:snapToGrid w:val="0"/>
        <w:ind w:firstLine="720" w:firstLineChars="200"/>
        <w:jc w:val="left"/>
        <w:rPr>
          <w:rFonts w:ascii="宋体" w:hAnsi="宋体" w:cs="宋体"/>
          <w:bCs/>
          <w:sz w:val="36"/>
          <w:szCs w:val="36"/>
        </w:rPr>
      </w:pPr>
    </w:p>
    <w:p>
      <w:pPr>
        <w:widowControl/>
        <w:spacing w:line="460" w:lineRule="exact"/>
        <w:ind w:firstLine="480" w:firstLineChars="200"/>
        <w:jc w:val="left"/>
        <w:rPr>
          <w:rFonts w:ascii="宋体" w:hAnsi="宋体" w:cs="宋体"/>
          <w:sz w:val="24"/>
          <w:szCs w:val="28"/>
        </w:rPr>
        <w:sectPr>
          <w:pgSz w:w="11906" w:h="16838"/>
          <w:pgMar w:top="1440" w:right="1803" w:bottom="1440" w:left="1803" w:header="851" w:footer="992" w:gutter="0"/>
          <w:cols w:space="720" w:num="1"/>
          <w:docGrid w:type="lines" w:linePitch="319" w:charSpace="0"/>
        </w:sectPr>
      </w:pPr>
    </w:p>
    <w:p>
      <w:pPr>
        <w:pStyle w:val="4"/>
        <w:adjustRightInd w:val="0"/>
        <w:spacing w:line="416" w:lineRule="atLeast"/>
        <w:textAlignment w:val="baseline"/>
        <w:rPr>
          <w:rFonts w:ascii="宋体" w:hAnsi="宋体" w:cs="宋体"/>
        </w:rPr>
      </w:pPr>
      <w:bookmarkStart w:id="267" w:name="_Toc8370"/>
      <w:r>
        <w:rPr>
          <w:rFonts w:hint="eastAsia" w:ascii="宋体" w:hAnsi="宋体" w:cs="宋体"/>
        </w:rPr>
        <w:t>附件一：封袋正面标识式样</w:t>
      </w:r>
      <w:bookmarkEnd w:id="110"/>
      <w:bookmarkEnd w:id="111"/>
      <w:bookmarkEnd w:id="267"/>
    </w:p>
    <w:p>
      <w:pPr>
        <w:spacing w:line="460" w:lineRule="exact"/>
        <w:ind w:firstLine="482" w:firstLineChars="200"/>
        <w:jc w:val="center"/>
        <w:rPr>
          <w:rFonts w:ascii="宋体" w:hAnsi="宋体" w:cs="宋体"/>
          <w:b/>
          <w:sz w:val="24"/>
        </w:rPr>
      </w:pPr>
      <w:r>
        <w:rPr>
          <w:rFonts w:hint="eastAsia" w:ascii="宋体" w:hAnsi="宋体" w:cs="宋体"/>
          <w:b/>
          <w:sz w:val="24"/>
        </w:rPr>
        <w:t>磋商响应文件正本封袋正面标识式样</w:t>
      </w:r>
    </w:p>
    <w:p>
      <w:pPr>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113030</wp:posOffset>
                </wp:positionV>
                <wp:extent cx="5911850" cy="2999105"/>
                <wp:effectExtent l="5080" t="4445" r="11430" b="13970"/>
                <wp:wrapNone/>
                <wp:docPr id="13" name="Text Box 3"/>
                <wp:cNvGraphicFramePr/>
                <a:graphic xmlns:a="http://schemas.openxmlformats.org/drawingml/2006/main">
                  <a:graphicData uri="http://schemas.microsoft.com/office/word/2010/wordprocessingShape">
                    <wps:wsp>
                      <wps:cNvSpPr txBox="1"/>
                      <wps:spPr>
                        <a:xfrm>
                          <a:off x="0" y="0"/>
                          <a:ext cx="5911850" cy="29991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sz w:val="28"/>
                                <w:szCs w:val="28"/>
                                <w:lang w:val="en-US" w:eastAsia="zh-CN"/>
                              </w:rPr>
                            </w:pPr>
                            <w:r>
                              <w:rPr>
                                <w:rFonts w:hint="eastAsia"/>
                                <w:sz w:val="28"/>
                                <w:szCs w:val="28"/>
                              </w:rPr>
                              <w:t>致：陕西万泽招标有限公司         项目编号：</w:t>
                            </w:r>
                            <w:r>
                              <w:rPr>
                                <w:rFonts w:hint="eastAsia"/>
                                <w:sz w:val="28"/>
                                <w:szCs w:val="28"/>
                                <w:lang w:eastAsia="zh-CN"/>
                              </w:rPr>
                              <w:t>SXWZ2023ZB-YXY-055R</w:t>
                            </w:r>
                          </w:p>
                          <w:p>
                            <w:pPr>
                              <w:jc w:val="center"/>
                              <w:rPr>
                                <w:sz w:val="28"/>
                                <w:szCs w:val="28"/>
                              </w:rPr>
                            </w:pPr>
                            <w:r>
                              <w:rPr>
                                <w:rFonts w:hint="eastAsia"/>
                                <w:sz w:val="28"/>
                                <w:szCs w:val="28"/>
                              </w:rPr>
                              <w:t>项目名称：</w:t>
                            </w:r>
                            <w:r>
                              <w:rPr>
                                <w:rFonts w:hint="eastAsia"/>
                                <w:sz w:val="28"/>
                                <w:szCs w:val="28"/>
                                <w:lang w:eastAsia="zh-CN"/>
                              </w:rPr>
                              <w:t>西安医学院未央校区汽车充电桩安装工程项目</w:t>
                            </w:r>
                            <w:r>
                              <w:rPr>
                                <w:rFonts w:hint="eastAsia"/>
                                <w:sz w:val="28"/>
                                <w:szCs w:val="28"/>
                                <w:lang w:val="en-US" w:eastAsia="zh-CN"/>
                              </w:rPr>
                              <w:t>（四次）</w:t>
                            </w:r>
                            <w:r>
                              <w:rPr>
                                <w:rFonts w:hint="eastAsia"/>
                                <w:sz w:val="28"/>
                                <w:szCs w:val="28"/>
                              </w:rPr>
                              <w:t xml:space="preserve">                                  </w:t>
                            </w:r>
                          </w:p>
                          <w:p>
                            <w:pPr>
                              <w:jc w:val="center"/>
                              <w:rPr>
                                <w:b/>
                                <w:sz w:val="44"/>
                                <w:szCs w:val="44"/>
                              </w:rPr>
                            </w:pPr>
                            <w:r>
                              <w:rPr>
                                <w:rFonts w:hint="eastAsia"/>
                                <w:b/>
                                <w:sz w:val="44"/>
                                <w:szCs w:val="44"/>
                              </w:rPr>
                              <w:t>磋商响应文件（正本）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3" o:spid="_x0000_s1026" o:spt="202" type="#_x0000_t202" style="position:absolute;left:0pt;margin-left:-27.55pt;margin-top:8.9pt;height:236.15pt;width:465.5pt;z-index:251661312;mso-width-relative:page;mso-height-relative:page;" fillcolor="#FFFFFF" filled="t" stroked="t" coordsize="21600,21600" o:gfxdata="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2w9/fZAAAACgEAAA8AAAAAAAAAAQAgAAAAIgAAAGRycy9k&#10;b3ducmV2LnhtbFBLAQIUABQAAAAIAIdO4kDTtdh4AQIAAEUEAAAOAAAAAAAAAAEAIAAAACgBAABk&#10;cnMvZTJvRG9jLnhtbFBLBQYAAAAABgAGAFkBAACbBQAAAAA=&#10;">
                <v:fill on="t" focussize="0,0"/>
                <v:stroke color="#000000" joinstyle="miter"/>
                <v:imagedata o:title=""/>
                <o:lock v:ext="edit" aspectratio="f"/>
                <v:textbox>
                  <w:txbxContent>
                    <w:p>
                      <w:pPr>
                        <w:rPr>
                          <w:rFonts w:hint="default" w:eastAsia="宋体"/>
                          <w:sz w:val="28"/>
                          <w:szCs w:val="28"/>
                          <w:lang w:val="en-US" w:eastAsia="zh-CN"/>
                        </w:rPr>
                      </w:pPr>
                      <w:r>
                        <w:rPr>
                          <w:rFonts w:hint="eastAsia"/>
                          <w:sz w:val="28"/>
                          <w:szCs w:val="28"/>
                        </w:rPr>
                        <w:t>致：陕西万泽招标有限公司         项目编号：</w:t>
                      </w:r>
                      <w:r>
                        <w:rPr>
                          <w:rFonts w:hint="eastAsia"/>
                          <w:sz w:val="28"/>
                          <w:szCs w:val="28"/>
                          <w:lang w:eastAsia="zh-CN"/>
                        </w:rPr>
                        <w:t>SXWZ2023ZB-YXY-055R</w:t>
                      </w:r>
                    </w:p>
                    <w:p>
                      <w:pPr>
                        <w:jc w:val="center"/>
                        <w:rPr>
                          <w:sz w:val="28"/>
                          <w:szCs w:val="28"/>
                        </w:rPr>
                      </w:pPr>
                      <w:r>
                        <w:rPr>
                          <w:rFonts w:hint="eastAsia"/>
                          <w:sz w:val="28"/>
                          <w:szCs w:val="28"/>
                        </w:rPr>
                        <w:t>项目名称：</w:t>
                      </w:r>
                      <w:r>
                        <w:rPr>
                          <w:rFonts w:hint="eastAsia"/>
                          <w:sz w:val="28"/>
                          <w:szCs w:val="28"/>
                          <w:lang w:eastAsia="zh-CN"/>
                        </w:rPr>
                        <w:t>西安医学院未央校区汽车充电桩安装工程项目</w:t>
                      </w:r>
                      <w:r>
                        <w:rPr>
                          <w:rFonts w:hint="eastAsia"/>
                          <w:sz w:val="28"/>
                          <w:szCs w:val="28"/>
                          <w:lang w:val="en-US" w:eastAsia="zh-CN"/>
                        </w:rPr>
                        <w:t>（四次）</w:t>
                      </w:r>
                      <w:r>
                        <w:rPr>
                          <w:rFonts w:hint="eastAsia"/>
                          <w:sz w:val="28"/>
                          <w:szCs w:val="28"/>
                        </w:rPr>
                        <w:t xml:space="preserve">                                  </w:t>
                      </w:r>
                    </w:p>
                    <w:p>
                      <w:pPr>
                        <w:jc w:val="center"/>
                        <w:rPr>
                          <w:b/>
                          <w:sz w:val="44"/>
                          <w:szCs w:val="44"/>
                        </w:rPr>
                      </w:pPr>
                      <w:r>
                        <w:rPr>
                          <w:rFonts w:hint="eastAsia"/>
                          <w:b/>
                          <w:sz w:val="44"/>
                          <w:szCs w:val="44"/>
                        </w:rPr>
                        <w:t>磋商响应文件（正本）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pStyle w:val="7"/>
      </w:pPr>
    </w:p>
    <w:p>
      <w:pPr>
        <w:spacing w:line="460" w:lineRule="exact"/>
        <w:ind w:firstLine="482" w:firstLineChars="200"/>
        <w:jc w:val="center"/>
        <w:rPr>
          <w:rFonts w:ascii="宋体" w:hAnsi="宋体" w:cs="宋体"/>
          <w:b/>
          <w:sz w:val="24"/>
        </w:rPr>
      </w:pPr>
      <w:r>
        <w:rPr>
          <w:rFonts w:hint="eastAsia" w:ascii="宋体" w:hAnsi="宋体" w:cs="宋体"/>
          <w:b/>
          <w:sz w:val="24"/>
        </w:rPr>
        <w:t>磋商响应文件副本封袋正面标识式样</w:t>
      </w:r>
    </w:p>
    <w:p>
      <w:pPr>
        <w:ind w:firstLine="420" w:firstLineChars="200"/>
        <w:jc w:val="center"/>
        <w:rPr>
          <w:rFonts w:ascii="宋体" w:hAnsi="宋体" w:cs="宋体"/>
        </w:rPr>
      </w:pPr>
    </w:p>
    <w:p>
      <w:pPr>
        <w:ind w:firstLine="420" w:firstLineChars="200"/>
        <w:jc w:val="center"/>
        <w:rPr>
          <w:rFonts w:ascii="宋体" w:hAnsi="宋体" w:cs="宋体"/>
        </w:rPr>
      </w:pP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-314325</wp:posOffset>
                </wp:positionH>
                <wp:positionV relativeFrom="paragraph">
                  <wp:posOffset>100330</wp:posOffset>
                </wp:positionV>
                <wp:extent cx="5825490" cy="3180715"/>
                <wp:effectExtent l="4445" t="4445" r="6985" b="15240"/>
                <wp:wrapNone/>
                <wp:docPr id="6" name="Text Box 4"/>
                <wp:cNvGraphicFramePr/>
                <a:graphic xmlns:a="http://schemas.openxmlformats.org/drawingml/2006/main">
                  <a:graphicData uri="http://schemas.microsoft.com/office/word/2010/wordprocessingShape">
                    <wps:wsp>
                      <wps:cNvSpPr txBox="1"/>
                      <wps:spPr>
                        <a:xfrm>
                          <a:off x="0" y="0"/>
                          <a:ext cx="5825490" cy="31807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sz w:val="28"/>
                                <w:szCs w:val="28"/>
                                <w:lang w:val="en-US" w:eastAsia="zh-CN"/>
                              </w:rPr>
                            </w:pPr>
                            <w:r>
                              <w:rPr>
                                <w:rFonts w:hint="eastAsia"/>
                                <w:sz w:val="28"/>
                                <w:szCs w:val="28"/>
                              </w:rPr>
                              <w:t>致：陕西万泽招标有限公司         项目编号：</w:t>
                            </w:r>
                            <w:r>
                              <w:rPr>
                                <w:rFonts w:hint="eastAsia"/>
                                <w:sz w:val="28"/>
                                <w:szCs w:val="28"/>
                                <w:lang w:eastAsia="zh-CN"/>
                              </w:rPr>
                              <w:t>SXWZ2023ZB-YXY-055R</w:t>
                            </w:r>
                          </w:p>
                          <w:p>
                            <w:pPr>
                              <w:jc w:val="center"/>
                              <w:rPr>
                                <w:sz w:val="28"/>
                                <w:szCs w:val="28"/>
                              </w:rPr>
                            </w:pPr>
                            <w:r>
                              <w:rPr>
                                <w:rFonts w:hint="eastAsia"/>
                                <w:sz w:val="28"/>
                                <w:szCs w:val="28"/>
                              </w:rPr>
                              <w:t>项目名称：</w:t>
                            </w:r>
                            <w:r>
                              <w:rPr>
                                <w:rFonts w:hint="eastAsia"/>
                                <w:sz w:val="28"/>
                                <w:szCs w:val="28"/>
                                <w:lang w:eastAsia="zh-CN"/>
                              </w:rPr>
                              <w:t>西安医学院未央校区汽车充电桩安装工程项目</w:t>
                            </w:r>
                            <w:r>
                              <w:rPr>
                                <w:rFonts w:hint="eastAsia"/>
                                <w:sz w:val="28"/>
                                <w:szCs w:val="28"/>
                              </w:rPr>
                              <w:t xml:space="preserve"> </w:t>
                            </w:r>
                            <w:r>
                              <w:rPr>
                                <w:rFonts w:hint="eastAsia"/>
                                <w:sz w:val="28"/>
                                <w:szCs w:val="28"/>
                                <w:lang w:val="en-US" w:eastAsia="zh-CN"/>
                              </w:rPr>
                              <w:t>（四次）</w:t>
                            </w:r>
                            <w:r>
                              <w:rPr>
                                <w:rFonts w:hint="eastAsia"/>
                                <w:sz w:val="28"/>
                                <w:szCs w:val="28"/>
                              </w:rPr>
                              <w:t xml:space="preserve">   </w:t>
                            </w:r>
                          </w:p>
                          <w:p>
                            <w:pPr>
                              <w:jc w:val="center"/>
                              <w:rPr>
                                <w:sz w:val="28"/>
                                <w:szCs w:val="28"/>
                              </w:rPr>
                            </w:pPr>
                            <w:r>
                              <w:rPr>
                                <w:rFonts w:hint="eastAsia"/>
                                <w:sz w:val="28"/>
                                <w:szCs w:val="28"/>
                              </w:rPr>
                              <w:t xml:space="preserve">  </w:t>
                            </w:r>
                          </w:p>
                          <w:p>
                            <w:pPr>
                              <w:jc w:val="center"/>
                              <w:rPr>
                                <w:b/>
                                <w:sz w:val="44"/>
                                <w:szCs w:val="44"/>
                              </w:rPr>
                            </w:pPr>
                            <w:r>
                              <w:rPr>
                                <w:rFonts w:hint="eastAsia"/>
                                <w:b/>
                                <w:sz w:val="44"/>
                                <w:szCs w:val="44"/>
                              </w:rPr>
                              <w:t>磋商响应文件（副本）</w:t>
                            </w:r>
                          </w:p>
                          <w:p>
                            <w:pPr>
                              <w:jc w:val="center"/>
                              <w:rPr>
                                <w:sz w:val="28"/>
                                <w:szCs w:val="28"/>
                              </w:rPr>
                            </w:pPr>
                            <w:r>
                              <w:rPr>
                                <w:rFonts w:hint="eastAsia"/>
                                <w:sz w:val="28"/>
                                <w:szCs w:val="28"/>
                              </w:rPr>
                              <w:t>（非磋商会议不得启封）</w:t>
                            </w:r>
                          </w:p>
                          <w:p>
                            <w:pPr>
                              <w:pStyle w:val="7"/>
                              <w:ind w:firstLine="0"/>
                            </w:pP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4" o:spid="_x0000_s1026" o:spt="202" type="#_x0000_t202" style="position:absolute;left:0pt;margin-left:-24.75pt;margin-top:7.9pt;height:250.45pt;width:458.7pt;z-index:251662336;mso-width-relative:page;mso-height-relative:page;" fillcolor="#FFFFFF" filled="t" stroked="t" coordsize="21600,21600" o:gfxdata="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n/lgDYAAAACgEAAA8AAAAAAAAAAQAgAAAAIgAAAGRycy9k&#10;b3ducmV2LnhtbFBLAQIUABQAAAAIAIdO4kCNFYlaAgIAAEQEAAAOAAAAAAAAAAEAIAAAACcBAABk&#10;cnMvZTJvRG9jLnhtbFBLBQYAAAAABgAGAFkBAACbBQAAAAA=&#10;">
                <v:fill on="t" focussize="0,0"/>
                <v:stroke color="#000000" joinstyle="miter"/>
                <v:imagedata o:title=""/>
                <o:lock v:ext="edit" aspectratio="f"/>
                <v:textbox>
                  <w:txbxContent>
                    <w:p>
                      <w:pPr>
                        <w:rPr>
                          <w:rFonts w:hint="default" w:eastAsia="宋体"/>
                          <w:sz w:val="28"/>
                          <w:szCs w:val="28"/>
                          <w:lang w:val="en-US" w:eastAsia="zh-CN"/>
                        </w:rPr>
                      </w:pPr>
                      <w:r>
                        <w:rPr>
                          <w:rFonts w:hint="eastAsia"/>
                          <w:sz w:val="28"/>
                          <w:szCs w:val="28"/>
                        </w:rPr>
                        <w:t>致：陕西万泽招标有限公司         项目编号：</w:t>
                      </w:r>
                      <w:r>
                        <w:rPr>
                          <w:rFonts w:hint="eastAsia"/>
                          <w:sz w:val="28"/>
                          <w:szCs w:val="28"/>
                          <w:lang w:eastAsia="zh-CN"/>
                        </w:rPr>
                        <w:t>SXWZ2023ZB-YXY-055R</w:t>
                      </w:r>
                    </w:p>
                    <w:p>
                      <w:pPr>
                        <w:jc w:val="center"/>
                        <w:rPr>
                          <w:sz w:val="28"/>
                          <w:szCs w:val="28"/>
                        </w:rPr>
                      </w:pPr>
                      <w:r>
                        <w:rPr>
                          <w:rFonts w:hint="eastAsia"/>
                          <w:sz w:val="28"/>
                          <w:szCs w:val="28"/>
                        </w:rPr>
                        <w:t>项目名称：</w:t>
                      </w:r>
                      <w:r>
                        <w:rPr>
                          <w:rFonts w:hint="eastAsia"/>
                          <w:sz w:val="28"/>
                          <w:szCs w:val="28"/>
                          <w:lang w:eastAsia="zh-CN"/>
                        </w:rPr>
                        <w:t>西安医学院未央校区汽车充电桩安装工程项目</w:t>
                      </w:r>
                      <w:r>
                        <w:rPr>
                          <w:rFonts w:hint="eastAsia"/>
                          <w:sz w:val="28"/>
                          <w:szCs w:val="28"/>
                        </w:rPr>
                        <w:t xml:space="preserve"> </w:t>
                      </w:r>
                      <w:r>
                        <w:rPr>
                          <w:rFonts w:hint="eastAsia"/>
                          <w:sz w:val="28"/>
                          <w:szCs w:val="28"/>
                          <w:lang w:val="en-US" w:eastAsia="zh-CN"/>
                        </w:rPr>
                        <w:t>（四次）</w:t>
                      </w:r>
                      <w:r>
                        <w:rPr>
                          <w:rFonts w:hint="eastAsia"/>
                          <w:sz w:val="28"/>
                          <w:szCs w:val="28"/>
                        </w:rPr>
                        <w:t xml:space="preserve">   </w:t>
                      </w:r>
                    </w:p>
                    <w:p>
                      <w:pPr>
                        <w:jc w:val="center"/>
                        <w:rPr>
                          <w:sz w:val="28"/>
                          <w:szCs w:val="28"/>
                        </w:rPr>
                      </w:pPr>
                      <w:r>
                        <w:rPr>
                          <w:rFonts w:hint="eastAsia"/>
                          <w:sz w:val="28"/>
                          <w:szCs w:val="28"/>
                        </w:rPr>
                        <w:t xml:space="preserve">  </w:t>
                      </w:r>
                    </w:p>
                    <w:p>
                      <w:pPr>
                        <w:jc w:val="center"/>
                        <w:rPr>
                          <w:b/>
                          <w:sz w:val="44"/>
                          <w:szCs w:val="44"/>
                        </w:rPr>
                      </w:pPr>
                      <w:r>
                        <w:rPr>
                          <w:rFonts w:hint="eastAsia"/>
                          <w:b/>
                          <w:sz w:val="44"/>
                          <w:szCs w:val="44"/>
                        </w:rPr>
                        <w:t>磋商响应文件（副本）</w:t>
                      </w:r>
                    </w:p>
                    <w:p>
                      <w:pPr>
                        <w:jc w:val="center"/>
                        <w:rPr>
                          <w:sz w:val="28"/>
                          <w:szCs w:val="28"/>
                        </w:rPr>
                      </w:pPr>
                      <w:r>
                        <w:rPr>
                          <w:rFonts w:hint="eastAsia"/>
                          <w:sz w:val="28"/>
                          <w:szCs w:val="28"/>
                        </w:rPr>
                        <w:t>（非磋商会议不得启封）</w:t>
                      </w:r>
                    </w:p>
                    <w:p>
                      <w:pPr>
                        <w:pStyle w:val="7"/>
                        <w:ind w:firstLine="0"/>
                      </w:pP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widowControl/>
        <w:spacing w:line="460" w:lineRule="exact"/>
        <w:ind w:firstLine="480" w:firstLineChars="200"/>
        <w:jc w:val="center"/>
        <w:rPr>
          <w:rFonts w:ascii="宋体" w:hAnsi="宋体" w:cs="宋体"/>
          <w:sz w:val="24"/>
          <w:szCs w:val="28"/>
        </w:rPr>
        <w:sectPr>
          <w:footerReference r:id="rId15" w:type="default"/>
          <w:pgSz w:w="11906" w:h="16838"/>
          <w:pgMar w:top="1440" w:right="1800" w:bottom="1440" w:left="1800" w:header="851" w:footer="992" w:gutter="0"/>
          <w:cols w:space="720" w:num="1"/>
          <w:docGrid w:type="lines" w:linePitch="312" w:charSpace="0"/>
        </w:sectPr>
      </w:pPr>
    </w:p>
    <w:p>
      <w:pPr>
        <w:spacing w:line="460" w:lineRule="exact"/>
        <w:ind w:firstLine="482" w:firstLineChars="200"/>
        <w:jc w:val="center"/>
        <w:rPr>
          <w:rFonts w:ascii="宋体" w:hAnsi="宋体" w:cs="宋体"/>
          <w:b/>
          <w:sz w:val="24"/>
        </w:rPr>
      </w:pPr>
      <w:r>
        <w:rPr>
          <w:rFonts w:hint="eastAsia" w:ascii="宋体" w:hAnsi="宋体" w:cs="宋体"/>
          <w:b/>
          <w:sz w:val="24"/>
        </w:rPr>
        <w:t>磋商一览表封袋正面标识式样</w:t>
      </w:r>
    </w:p>
    <w:p>
      <w:pPr>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-325755</wp:posOffset>
                </wp:positionH>
                <wp:positionV relativeFrom="paragraph">
                  <wp:posOffset>191135</wp:posOffset>
                </wp:positionV>
                <wp:extent cx="5849620" cy="2956560"/>
                <wp:effectExtent l="4445" t="5080" r="13335" b="10160"/>
                <wp:wrapNone/>
                <wp:docPr id="11" name="Text Box 3"/>
                <wp:cNvGraphicFramePr/>
                <a:graphic xmlns:a="http://schemas.openxmlformats.org/drawingml/2006/main">
                  <a:graphicData uri="http://schemas.microsoft.com/office/word/2010/wordprocessingShape">
                    <wps:wsp>
                      <wps:cNvSpPr txBox="1"/>
                      <wps:spPr>
                        <a:xfrm>
                          <a:off x="0" y="0"/>
                          <a:ext cx="5706745" cy="3060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sz w:val="28"/>
                                <w:szCs w:val="28"/>
                                <w:lang w:val="en-US" w:eastAsia="zh-CN"/>
                              </w:rPr>
                            </w:pPr>
                            <w:r>
                              <w:rPr>
                                <w:rFonts w:hint="eastAsia"/>
                                <w:sz w:val="28"/>
                                <w:szCs w:val="28"/>
                              </w:rPr>
                              <w:t>致：陕西万泽招标有限公司        项目编号：</w:t>
                            </w:r>
                            <w:r>
                              <w:rPr>
                                <w:rFonts w:hint="eastAsia"/>
                                <w:sz w:val="28"/>
                                <w:szCs w:val="28"/>
                                <w:lang w:eastAsia="zh-CN"/>
                              </w:rPr>
                              <w:t>SXWZ2023ZB-YXY-055R</w:t>
                            </w:r>
                          </w:p>
                          <w:p>
                            <w:pPr>
                              <w:jc w:val="center"/>
                              <w:rPr>
                                <w:sz w:val="28"/>
                                <w:szCs w:val="28"/>
                              </w:rPr>
                            </w:pPr>
                            <w:r>
                              <w:rPr>
                                <w:rFonts w:hint="eastAsia"/>
                                <w:sz w:val="28"/>
                                <w:szCs w:val="28"/>
                              </w:rPr>
                              <w:t>项目名称：</w:t>
                            </w:r>
                            <w:r>
                              <w:rPr>
                                <w:rFonts w:hint="eastAsia"/>
                                <w:sz w:val="28"/>
                                <w:szCs w:val="28"/>
                                <w:lang w:eastAsia="zh-CN"/>
                              </w:rPr>
                              <w:t>西安医学院未央校区汽车充电桩安装工程项目</w:t>
                            </w:r>
                            <w:r>
                              <w:rPr>
                                <w:rFonts w:hint="eastAsia"/>
                                <w:sz w:val="28"/>
                                <w:szCs w:val="28"/>
                                <w:lang w:val="en-US" w:eastAsia="zh-CN"/>
                              </w:rPr>
                              <w:t>（四次）</w:t>
                            </w:r>
                            <w:r>
                              <w:rPr>
                                <w:rFonts w:hint="eastAsia"/>
                                <w:sz w:val="28"/>
                                <w:szCs w:val="28"/>
                              </w:rPr>
                              <w:t xml:space="preserve">  </w:t>
                            </w:r>
                          </w:p>
                          <w:p>
                            <w:pPr>
                              <w:jc w:val="center"/>
                              <w:rPr>
                                <w:b/>
                                <w:sz w:val="44"/>
                                <w:szCs w:val="44"/>
                              </w:rPr>
                            </w:pPr>
                            <w:r>
                              <w:rPr>
                                <w:rFonts w:hint="eastAsia"/>
                                <w:b/>
                                <w:sz w:val="44"/>
                                <w:szCs w:val="44"/>
                              </w:rPr>
                              <w:t>磋商一览表</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3" o:spid="_x0000_s1026" o:spt="202" type="#_x0000_t202" style="position:absolute;left:0pt;margin-left:-25.65pt;margin-top:15.05pt;height:232.8pt;width:460.6pt;z-index:251663360;mso-width-relative:page;mso-height-relative:page;" fillcolor="#FFFFFF" filled="t" stroked="t" coordsize="21600,21600" o:gfxdata="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QWXr2gAAAAoBAAAPAAAAAAAAAAEAIAAAACIAAABk&#10;cnMvZG93bnJldi54bWxQSwECFAAUAAAACACHTuJA3fJJMwQCAABFBAAADgAAAAAAAAABACAAAAAp&#10;AQAAZHJzL2Uyb0RvYy54bWxQSwUGAAAAAAYABgBZAQAAnwUAAAAA&#10;">
                <v:fill on="t" focussize="0,0"/>
                <v:stroke color="#000000" joinstyle="miter"/>
                <v:imagedata o:title=""/>
                <o:lock v:ext="edit" aspectratio="f"/>
                <v:textbox>
                  <w:txbxContent>
                    <w:p>
                      <w:pPr>
                        <w:rPr>
                          <w:rFonts w:hint="default" w:eastAsia="宋体"/>
                          <w:sz w:val="28"/>
                          <w:szCs w:val="28"/>
                          <w:lang w:val="en-US" w:eastAsia="zh-CN"/>
                        </w:rPr>
                      </w:pPr>
                      <w:r>
                        <w:rPr>
                          <w:rFonts w:hint="eastAsia"/>
                          <w:sz w:val="28"/>
                          <w:szCs w:val="28"/>
                        </w:rPr>
                        <w:t>致：陕西万泽招标有限公司        项目编号：</w:t>
                      </w:r>
                      <w:r>
                        <w:rPr>
                          <w:rFonts w:hint="eastAsia"/>
                          <w:sz w:val="28"/>
                          <w:szCs w:val="28"/>
                          <w:lang w:eastAsia="zh-CN"/>
                        </w:rPr>
                        <w:t>SXWZ2023ZB-YXY-055R</w:t>
                      </w:r>
                    </w:p>
                    <w:p>
                      <w:pPr>
                        <w:jc w:val="center"/>
                        <w:rPr>
                          <w:sz w:val="28"/>
                          <w:szCs w:val="28"/>
                        </w:rPr>
                      </w:pPr>
                      <w:r>
                        <w:rPr>
                          <w:rFonts w:hint="eastAsia"/>
                          <w:sz w:val="28"/>
                          <w:szCs w:val="28"/>
                        </w:rPr>
                        <w:t>项目名称：</w:t>
                      </w:r>
                      <w:r>
                        <w:rPr>
                          <w:rFonts w:hint="eastAsia"/>
                          <w:sz w:val="28"/>
                          <w:szCs w:val="28"/>
                          <w:lang w:eastAsia="zh-CN"/>
                        </w:rPr>
                        <w:t>西安医学院未央校区汽车充电桩安装工程项目</w:t>
                      </w:r>
                      <w:r>
                        <w:rPr>
                          <w:rFonts w:hint="eastAsia"/>
                          <w:sz w:val="28"/>
                          <w:szCs w:val="28"/>
                          <w:lang w:val="en-US" w:eastAsia="zh-CN"/>
                        </w:rPr>
                        <w:t>（四次）</w:t>
                      </w:r>
                      <w:r>
                        <w:rPr>
                          <w:rFonts w:hint="eastAsia"/>
                          <w:sz w:val="28"/>
                          <w:szCs w:val="28"/>
                        </w:rPr>
                        <w:t xml:space="preserve">  </w:t>
                      </w:r>
                    </w:p>
                    <w:p>
                      <w:pPr>
                        <w:jc w:val="center"/>
                        <w:rPr>
                          <w:b/>
                          <w:sz w:val="44"/>
                          <w:szCs w:val="44"/>
                        </w:rPr>
                      </w:pPr>
                      <w:r>
                        <w:rPr>
                          <w:rFonts w:hint="eastAsia"/>
                          <w:b/>
                          <w:sz w:val="44"/>
                          <w:szCs w:val="44"/>
                        </w:rPr>
                        <w:t>磋商一览表</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r>
        <w:rPr>
          <w:rFonts w:hint="eastAsia" w:ascii="宋体" w:hAnsi="宋体" w:cs="宋体"/>
          <w:b/>
          <w:sz w:val="24"/>
        </w:rPr>
        <w:t>电子文档封袋正面标识式样</w:t>
      </w:r>
    </w:p>
    <w:p>
      <w:pPr>
        <w:tabs>
          <w:tab w:val="left" w:pos="8280"/>
        </w:tabs>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-331470</wp:posOffset>
                </wp:positionH>
                <wp:positionV relativeFrom="paragraph">
                  <wp:posOffset>142240</wp:posOffset>
                </wp:positionV>
                <wp:extent cx="5935980" cy="3089275"/>
                <wp:effectExtent l="4445" t="5080" r="18415" b="14605"/>
                <wp:wrapNone/>
                <wp:docPr id="10" name="Text Box 3"/>
                <wp:cNvGraphicFramePr/>
                <a:graphic xmlns:a="http://schemas.openxmlformats.org/drawingml/2006/main">
                  <a:graphicData uri="http://schemas.microsoft.com/office/word/2010/wordprocessingShape">
                    <wps:wsp>
                      <wps:cNvSpPr txBox="1"/>
                      <wps:spPr>
                        <a:xfrm>
                          <a:off x="0" y="0"/>
                          <a:ext cx="5935980" cy="2899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sz w:val="28"/>
                                <w:szCs w:val="28"/>
                                <w:lang w:val="en-US" w:eastAsia="zh-CN"/>
                              </w:rPr>
                            </w:pPr>
                            <w:r>
                              <w:rPr>
                                <w:rFonts w:hint="eastAsia"/>
                                <w:sz w:val="28"/>
                                <w:szCs w:val="28"/>
                              </w:rPr>
                              <w:t>致：陕西万泽招标有限公司          项目编号：</w:t>
                            </w:r>
                            <w:r>
                              <w:rPr>
                                <w:rFonts w:hint="eastAsia"/>
                                <w:sz w:val="28"/>
                                <w:szCs w:val="28"/>
                                <w:lang w:eastAsia="zh-CN"/>
                              </w:rPr>
                              <w:t>SXWZ2023ZB-YXY-055R</w:t>
                            </w:r>
                          </w:p>
                          <w:p>
                            <w:pPr>
                              <w:jc w:val="center"/>
                              <w:rPr>
                                <w:rFonts w:ascii="宋体" w:hAnsi="宋体" w:cs="宋体"/>
                                <w:b/>
                                <w:bCs/>
                                <w:sz w:val="32"/>
                                <w:szCs w:val="32"/>
                              </w:rPr>
                            </w:pPr>
                            <w:r>
                              <w:rPr>
                                <w:rFonts w:hint="eastAsia"/>
                                <w:sz w:val="28"/>
                                <w:szCs w:val="28"/>
                              </w:rPr>
                              <w:t>项目名称：</w:t>
                            </w:r>
                            <w:r>
                              <w:rPr>
                                <w:rFonts w:hint="eastAsia"/>
                                <w:sz w:val="28"/>
                                <w:szCs w:val="28"/>
                                <w:lang w:eastAsia="zh-CN"/>
                              </w:rPr>
                              <w:t>西安医学院未央校区汽车充电桩安装工程项目</w:t>
                            </w:r>
                            <w:r>
                              <w:rPr>
                                <w:rFonts w:hint="eastAsia"/>
                                <w:sz w:val="28"/>
                                <w:szCs w:val="28"/>
                                <w:lang w:val="en-US" w:eastAsia="zh-CN"/>
                              </w:rPr>
                              <w:t>（四次）</w:t>
                            </w:r>
                            <w:r>
                              <w:rPr>
                                <w:rFonts w:hint="eastAsia"/>
                                <w:sz w:val="28"/>
                                <w:szCs w:val="28"/>
                              </w:rPr>
                              <w:t xml:space="preserve">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wps:txbx>
                      <wps:bodyPr upright="1"/>
                    </wps:wsp>
                  </a:graphicData>
                </a:graphic>
              </wp:anchor>
            </w:drawing>
          </mc:Choice>
          <mc:Fallback>
            <w:pict>
              <v:shape id="Text Box 3" o:spid="_x0000_s1026" o:spt="202" type="#_x0000_t202" style="position:absolute;left:0pt;margin-left:-26.1pt;margin-top:11.2pt;height:243.25pt;width:467.4pt;z-index:251664384;mso-width-relative:page;mso-height-relative:page;" fillcolor="#FFFFFF" filled="t" stroked="t" coordsize="21600,21600" o:gfxdata="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NtiZTZAAAACgEAAA8AAAAAAAAAAQAgAAAAIgAAAGRycy9k&#10;b3ducmV2LnhtbFBLAQIUABQAAAAIAIdO4kAHcP/mAQIAAEUEAAAOAAAAAAAAAAEAIAAAACgBAABk&#10;cnMvZTJvRG9jLnhtbFBLBQYAAAAABgAGAFkBAACbBQAAAAA=&#10;">
                <v:fill on="t" focussize="0,0"/>
                <v:stroke color="#000000" joinstyle="miter"/>
                <v:imagedata o:title=""/>
                <o:lock v:ext="edit" aspectratio="f"/>
                <v:textbox>
                  <w:txbxContent>
                    <w:p>
                      <w:pPr>
                        <w:rPr>
                          <w:rFonts w:hint="default" w:eastAsia="宋体"/>
                          <w:sz w:val="28"/>
                          <w:szCs w:val="28"/>
                          <w:lang w:val="en-US" w:eastAsia="zh-CN"/>
                        </w:rPr>
                      </w:pPr>
                      <w:r>
                        <w:rPr>
                          <w:rFonts w:hint="eastAsia"/>
                          <w:sz w:val="28"/>
                          <w:szCs w:val="28"/>
                        </w:rPr>
                        <w:t>致：陕西万泽招标有限公司          项目编号：</w:t>
                      </w:r>
                      <w:r>
                        <w:rPr>
                          <w:rFonts w:hint="eastAsia"/>
                          <w:sz w:val="28"/>
                          <w:szCs w:val="28"/>
                          <w:lang w:eastAsia="zh-CN"/>
                        </w:rPr>
                        <w:t>SXWZ2023ZB-YXY-055R</w:t>
                      </w:r>
                    </w:p>
                    <w:p>
                      <w:pPr>
                        <w:jc w:val="center"/>
                        <w:rPr>
                          <w:rFonts w:ascii="宋体" w:hAnsi="宋体" w:cs="宋体"/>
                          <w:b/>
                          <w:bCs/>
                          <w:sz w:val="32"/>
                          <w:szCs w:val="32"/>
                        </w:rPr>
                      </w:pPr>
                      <w:r>
                        <w:rPr>
                          <w:rFonts w:hint="eastAsia"/>
                          <w:sz w:val="28"/>
                          <w:szCs w:val="28"/>
                        </w:rPr>
                        <w:t>项目名称：</w:t>
                      </w:r>
                      <w:r>
                        <w:rPr>
                          <w:rFonts w:hint="eastAsia"/>
                          <w:sz w:val="28"/>
                          <w:szCs w:val="28"/>
                          <w:lang w:eastAsia="zh-CN"/>
                        </w:rPr>
                        <w:t>西安医学院未央校区汽车充电桩安装工程项目</w:t>
                      </w:r>
                      <w:r>
                        <w:rPr>
                          <w:rFonts w:hint="eastAsia"/>
                          <w:sz w:val="28"/>
                          <w:szCs w:val="28"/>
                          <w:lang w:val="en-US" w:eastAsia="zh-CN"/>
                        </w:rPr>
                        <w:t>（四次）</w:t>
                      </w:r>
                      <w:r>
                        <w:rPr>
                          <w:rFonts w:hint="eastAsia"/>
                          <w:sz w:val="28"/>
                          <w:szCs w:val="28"/>
                        </w:rPr>
                        <w:t xml:space="preserve">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v:textbox>
              </v:shape>
            </w:pict>
          </mc:Fallback>
        </mc:AlternateConten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pageBreakBefore/>
        <w:spacing w:line="420" w:lineRule="auto"/>
        <w:jc w:val="center"/>
        <w:rPr>
          <w:rFonts w:ascii="宋体" w:hAnsi="宋体" w:cs="宋体"/>
          <w:b/>
          <w:bCs/>
          <w:sz w:val="36"/>
          <w:szCs w:val="36"/>
        </w:rPr>
        <w:sectPr>
          <w:pgSz w:w="11906" w:h="16838"/>
          <w:pgMar w:top="1440" w:right="1803" w:bottom="1440" w:left="1803" w:header="851" w:footer="992" w:gutter="0"/>
          <w:cols w:space="720" w:num="1"/>
          <w:docGrid w:type="lines" w:linePitch="319" w:charSpace="0"/>
        </w:sectPr>
      </w:pPr>
    </w:p>
    <w:p>
      <w:pPr>
        <w:pStyle w:val="4"/>
        <w:adjustRightInd w:val="0"/>
        <w:spacing w:line="500" w:lineRule="exact"/>
        <w:textAlignment w:val="baseline"/>
        <w:rPr>
          <w:rFonts w:ascii="宋体" w:hAnsi="宋体" w:cs="宋体"/>
          <w:color w:val="000000"/>
        </w:rPr>
      </w:pPr>
      <w:bookmarkStart w:id="268" w:name="_Toc11632"/>
      <w:bookmarkStart w:id="269" w:name="_Toc2630"/>
      <w:bookmarkStart w:id="270" w:name="_Toc30485"/>
      <w:bookmarkStart w:id="271" w:name="_Toc18633"/>
      <w:bookmarkStart w:id="272" w:name="_Toc20374"/>
      <w:bookmarkStart w:id="273" w:name="_Toc1641"/>
      <w:bookmarkStart w:id="274" w:name="_Toc8177"/>
      <w:bookmarkStart w:id="275" w:name="_Toc3008"/>
      <w:bookmarkStart w:id="276" w:name="_Toc13801"/>
      <w:bookmarkStart w:id="277" w:name="_Toc2221"/>
      <w:bookmarkStart w:id="278" w:name="_Toc15467"/>
      <w:bookmarkStart w:id="279" w:name="_Toc30536"/>
      <w:bookmarkStart w:id="280" w:name="_Toc30870"/>
      <w:r>
        <w:rPr>
          <w:rFonts w:hint="eastAsia" w:ascii="宋体" w:hAnsi="宋体" w:cs="宋体"/>
          <w:color w:val="000000"/>
        </w:rPr>
        <w:t>附件二、</w:t>
      </w:r>
      <w:bookmarkEnd w:id="268"/>
      <w:bookmarkEnd w:id="269"/>
      <w:bookmarkEnd w:id="270"/>
      <w:bookmarkEnd w:id="271"/>
      <w:bookmarkEnd w:id="272"/>
      <w:bookmarkEnd w:id="273"/>
      <w:bookmarkEnd w:id="274"/>
      <w:bookmarkEnd w:id="275"/>
      <w:r>
        <w:rPr>
          <w:rFonts w:hint="eastAsia" w:ascii="宋体" w:hAnsi="宋体" w:cs="宋体"/>
          <w:color w:val="000000"/>
        </w:rPr>
        <w:t>中小企业申明</w:t>
      </w:r>
      <w:bookmarkEnd w:id="276"/>
      <w:bookmarkEnd w:id="277"/>
    </w:p>
    <w:p>
      <w:pPr>
        <w:spacing w:line="588" w:lineRule="exact"/>
        <w:ind w:firstLine="504" w:firstLineChars="200"/>
        <w:rPr>
          <w:rFonts w:ascii="宋体" w:hAnsi="宋体"/>
          <w:color w:val="000000"/>
          <w:spacing w:val="6"/>
          <w:sz w:val="24"/>
        </w:rPr>
      </w:pPr>
      <w:r>
        <w:rPr>
          <w:rFonts w:hint="eastAsia" w:ascii="宋体" w:hAnsi="宋体"/>
          <w:color w:val="000000"/>
          <w:spacing w:val="6"/>
          <w:sz w:val="24"/>
        </w:rPr>
        <w:t>根据《政府采购促进中小企业发展管理办法》（财库[2020]46号）的规定，由供应商自行声明并对真实性负责。如有虚假，将依法承担相应责任。</w:t>
      </w:r>
    </w:p>
    <w:p>
      <w:pPr>
        <w:spacing w:line="588" w:lineRule="exact"/>
        <w:jc w:val="center"/>
        <w:rPr>
          <w:rFonts w:ascii="仿宋_GB2312" w:eastAsia="仿宋_GB2312"/>
          <w:b/>
          <w:color w:val="000000"/>
          <w:spacing w:val="6"/>
          <w:sz w:val="24"/>
          <w:szCs w:val="24"/>
        </w:rPr>
      </w:pPr>
      <w:r>
        <w:rPr>
          <w:rFonts w:hint="eastAsia" w:ascii="宋体" w:hAnsi="宋体"/>
          <w:b/>
          <w:color w:val="000000"/>
          <w:spacing w:val="6"/>
          <w:sz w:val="24"/>
          <w:szCs w:val="24"/>
        </w:rPr>
        <w:t>中小企业声明函</w:t>
      </w:r>
    </w:p>
    <w:p>
      <w:pPr>
        <w:pStyle w:val="2"/>
        <w:spacing w:before="55" w:line="360" w:lineRule="auto"/>
        <w:ind w:right="415" w:firstLine="640"/>
        <w:rPr>
          <w:rFonts w:ascii="宋体" w:hAnsi="宋体"/>
          <w:spacing w:val="6"/>
          <w:sz w:val="24"/>
        </w:rPr>
      </w:pPr>
      <w:r>
        <w:rPr>
          <w:rFonts w:hint="eastAsia" w:ascii="宋体" w:hAnsi="宋体"/>
          <w:spacing w:val="6"/>
          <w:sz w:val="24"/>
        </w:rPr>
        <w:t>本公司（联合体）郑重声明，根据《政府采购促进中小企业发展管理办法》（财库﹝2020﹞46 号）的规定，本公司（联合体）参加</w:t>
      </w:r>
      <w:r>
        <w:rPr>
          <w:rFonts w:hint="eastAsia" w:ascii="宋体" w:hAnsi="宋体"/>
          <w:spacing w:val="6"/>
          <w:sz w:val="24"/>
          <w:u w:val="single"/>
        </w:rPr>
        <w:t>（单位名称）</w:t>
      </w:r>
      <w:r>
        <w:rPr>
          <w:rFonts w:hint="eastAsia" w:ascii="宋体" w:hAnsi="宋体"/>
          <w:spacing w:val="6"/>
          <w:sz w:val="24"/>
        </w:rPr>
        <w:t>的</w:t>
      </w:r>
      <w:r>
        <w:rPr>
          <w:rFonts w:hint="eastAsia" w:ascii="宋体" w:hAnsi="宋体"/>
          <w:spacing w:val="6"/>
          <w:sz w:val="24"/>
          <w:u w:val="single"/>
        </w:rPr>
        <w:t>（项目名称）</w:t>
      </w:r>
      <w:r>
        <w:rPr>
          <w:rFonts w:hint="eastAsia" w:ascii="宋体" w:hAnsi="宋体"/>
          <w:spacing w:val="6"/>
          <w:sz w:val="24"/>
        </w:rPr>
        <w:t>采购活动，工程的施工单位全部由符合政策要求的中小企业承接）。相关企业（含联合体中的中小企业、签订分包意向协议的中小企业）的具体情况如下：</w:t>
      </w:r>
    </w:p>
    <w:p>
      <w:pPr>
        <w:pStyle w:val="87"/>
        <w:numPr>
          <w:ilvl w:val="0"/>
          <w:numId w:val="26"/>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pStyle w:val="87"/>
        <w:numPr>
          <w:ilvl w:val="0"/>
          <w:numId w:val="26"/>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pStyle w:val="2"/>
        <w:spacing w:line="360" w:lineRule="auto"/>
        <w:ind w:left="860"/>
        <w:rPr>
          <w:rFonts w:ascii="宋体" w:hAnsi="宋体"/>
          <w:spacing w:val="6"/>
          <w:sz w:val="24"/>
        </w:rPr>
      </w:pPr>
      <w:r>
        <w:rPr>
          <w:rFonts w:hint="eastAsia" w:ascii="宋体" w:hAnsi="宋体"/>
          <w:spacing w:val="6"/>
          <w:sz w:val="24"/>
        </w:rPr>
        <w:t>……</w:t>
      </w:r>
    </w:p>
    <w:p>
      <w:pPr>
        <w:pStyle w:val="2"/>
        <w:spacing w:before="105" w:line="360" w:lineRule="auto"/>
        <w:ind w:right="417" w:firstLine="645"/>
        <w:rPr>
          <w:rFonts w:ascii="宋体" w:hAnsi="宋体"/>
          <w:spacing w:val="6"/>
          <w:sz w:val="24"/>
        </w:rPr>
      </w:pPr>
      <w:r>
        <w:rPr>
          <w:rFonts w:hint="eastAsia" w:ascii="宋体" w:hAnsi="宋体"/>
          <w:spacing w:val="6"/>
          <w:sz w:val="24"/>
        </w:rPr>
        <w:t>以上企业，不属于大企业的分支机构，不存在控股股东为大企业的情形，也不存在与大企业的负责人为同一人的情形。</w:t>
      </w:r>
    </w:p>
    <w:p>
      <w:pPr>
        <w:pStyle w:val="2"/>
        <w:spacing w:line="360" w:lineRule="auto"/>
        <w:ind w:right="372" w:firstLine="645"/>
        <w:rPr>
          <w:rFonts w:ascii="宋体" w:hAnsi="宋体"/>
          <w:color w:val="000000"/>
          <w:spacing w:val="6"/>
          <w:sz w:val="24"/>
        </w:rPr>
      </w:pPr>
      <w:r>
        <w:rPr>
          <w:rFonts w:hint="eastAsia" w:ascii="宋体" w:hAnsi="宋体"/>
          <w:spacing w:val="6"/>
          <w:sz w:val="24"/>
        </w:rPr>
        <w:t>本企业对上述声明内容的真实性负责。如有虚假，将依法承担相应责任。</w:t>
      </w:r>
    </w:p>
    <w:p>
      <w:pPr>
        <w:spacing w:line="360" w:lineRule="auto"/>
        <w:jc w:val="left"/>
        <w:rPr>
          <w:rFonts w:hint="default" w:ascii="宋体" w:hAnsi="宋体" w:eastAsia="宋体"/>
          <w:color w:val="000000"/>
          <w:spacing w:val="6"/>
          <w:sz w:val="24"/>
          <w:lang w:val="en-US" w:eastAsia="zh-CN"/>
        </w:rPr>
      </w:pPr>
      <w:r>
        <w:rPr>
          <w:rFonts w:hint="eastAsia" w:ascii="宋体" w:hAnsi="宋体"/>
          <w:color w:val="000000"/>
          <w:spacing w:val="6"/>
          <w:sz w:val="24"/>
          <w:lang w:val="en-US" w:eastAsia="zh-CN"/>
        </w:rPr>
        <w:t>备注：本项目属于机电工程行业。</w:t>
      </w:r>
    </w:p>
    <w:p>
      <w:pPr>
        <w:spacing w:line="360" w:lineRule="auto"/>
        <w:jc w:val="left"/>
        <w:rPr>
          <w:rFonts w:ascii="宋体" w:hAnsi="宋体"/>
          <w:color w:val="000000"/>
          <w:spacing w:val="6"/>
          <w:sz w:val="24"/>
        </w:rPr>
      </w:pPr>
    </w:p>
    <w:p>
      <w:pPr>
        <w:spacing w:line="360" w:lineRule="auto"/>
        <w:jc w:val="left"/>
        <w:rPr>
          <w:rFonts w:ascii="宋体" w:hAnsi="宋体"/>
          <w:color w:val="000000"/>
          <w:spacing w:val="6"/>
          <w:sz w:val="24"/>
        </w:rPr>
      </w:pPr>
      <w:r>
        <w:rPr>
          <w:rFonts w:hint="eastAsia" w:ascii="宋体" w:hAnsi="宋体"/>
          <w:color w:val="000000"/>
          <w:spacing w:val="6"/>
          <w:sz w:val="24"/>
        </w:rPr>
        <w:t>企业名称（盖章）：</w:t>
      </w:r>
    </w:p>
    <w:p>
      <w:pPr>
        <w:spacing w:line="360" w:lineRule="auto"/>
        <w:rPr>
          <w:rFonts w:ascii="宋体" w:hAnsi="宋体"/>
          <w:spacing w:val="6"/>
          <w:sz w:val="24"/>
          <w:szCs w:val="24"/>
        </w:rPr>
      </w:pPr>
      <w:r>
        <w:rPr>
          <w:rFonts w:hint="eastAsia" w:ascii="宋体" w:hAnsi="宋体"/>
          <w:color w:val="000000"/>
          <w:spacing w:val="6"/>
          <w:sz w:val="24"/>
        </w:rPr>
        <w:t>日期：</w:t>
      </w:r>
    </w:p>
    <w:p>
      <w:pPr>
        <w:spacing w:line="588" w:lineRule="exact"/>
        <w:ind w:firstLine="504" w:firstLineChars="200"/>
        <w:rPr>
          <w:rFonts w:ascii="宋体" w:hAnsi="宋体" w:cs="宋体"/>
          <w:spacing w:val="6"/>
          <w:sz w:val="24"/>
          <w:szCs w:val="24"/>
        </w:rPr>
        <w:sectPr>
          <w:footerReference r:id="rId16" w:type="default"/>
          <w:pgSz w:w="11906" w:h="16838"/>
          <w:pgMar w:top="1440" w:right="1803" w:bottom="1440" w:left="1803" w:header="851" w:footer="992" w:gutter="0"/>
          <w:cols w:space="720" w:num="1"/>
          <w:docGrid w:type="lines" w:linePitch="319" w:charSpace="0"/>
        </w:sectPr>
      </w:pPr>
    </w:p>
    <w:p>
      <w:pPr>
        <w:pStyle w:val="4"/>
      </w:pPr>
      <w:bookmarkStart w:id="281" w:name="_Toc30947"/>
      <w:bookmarkStart w:id="282" w:name="_Toc11896"/>
      <w:bookmarkStart w:id="283" w:name="_Toc32438"/>
      <w:bookmarkStart w:id="284" w:name="_Toc10807"/>
      <w:bookmarkStart w:id="285" w:name="_Toc6022"/>
      <w:bookmarkStart w:id="286" w:name="_Toc5814"/>
      <w:bookmarkStart w:id="287" w:name="_Toc12531"/>
      <w:r>
        <w:rPr>
          <w:rFonts w:hint="eastAsia"/>
        </w:rPr>
        <w:t>附件三、残疾人福利性单位声明</w:t>
      </w:r>
      <w:bookmarkEnd w:id="281"/>
      <w:bookmarkEnd w:id="282"/>
      <w:bookmarkEnd w:id="283"/>
      <w:bookmarkEnd w:id="284"/>
      <w:bookmarkEnd w:id="285"/>
      <w:bookmarkEnd w:id="286"/>
      <w:bookmarkEnd w:id="287"/>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Theme="minorEastAsia" w:hAnsiTheme="minorEastAsia" w:cstheme="minorEastAsia"/>
          <w:b/>
          <w:spacing w:val="6"/>
          <w:sz w:val="24"/>
          <w:szCs w:val="24"/>
        </w:rPr>
      </w:pPr>
      <w:bookmarkStart w:id="288" w:name="OLE_LINK14"/>
      <w:r>
        <w:rPr>
          <w:rFonts w:hint="eastAsia" w:asciiTheme="minorEastAsia" w:hAnsiTheme="minorEastAsia" w:cstheme="minorEastAsia"/>
          <w:b/>
          <w:spacing w:val="6"/>
          <w:sz w:val="24"/>
          <w:szCs w:val="24"/>
        </w:rPr>
        <w:t>残疾人福利性单位声明函</w:t>
      </w:r>
      <w:bookmarkEnd w:id="288"/>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 141</w:t>
      </w:r>
      <w:r>
        <w:rPr>
          <w:rFonts w:hint="eastAsia" w:asciiTheme="minorEastAsia" w:hAnsiTheme="minorEastAsia" w:cstheme="minor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25"/>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58"/>
        <w:gridCol w:w="1258"/>
        <w:gridCol w:w="1439"/>
        <w:gridCol w:w="125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58"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58"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39"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金额（元）</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58"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58"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Theme="minorEastAsia" w:hAnsiTheme="minorEastAsia" w:cstheme="minorEastAsia"/>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供应商名称（盖章）：</w:t>
      </w:r>
    </w:p>
    <w:p>
      <w:pPr>
        <w:tabs>
          <w:tab w:val="left" w:pos="4860"/>
        </w:tabs>
        <w:spacing w:line="588" w:lineRule="exact"/>
        <w:ind w:right="1560" w:firstLine="504" w:firstLineChars="200"/>
        <w:jc w:val="left"/>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日  期：</w:t>
      </w:r>
    </w:p>
    <w:p>
      <w:pPr>
        <w:pStyle w:val="4"/>
        <w:rPr>
          <w:rFonts w:ascii="宋体" w:hAnsi="宋体" w:cs="宋体"/>
        </w:rPr>
      </w:pPr>
      <w:bookmarkStart w:id="289" w:name="_Toc2363"/>
      <w:bookmarkStart w:id="290" w:name="_Toc3053"/>
      <w:r>
        <w:rPr>
          <w:rFonts w:hint="eastAsia"/>
        </w:rPr>
        <w:t>附件四、监狱企业证明文件</w:t>
      </w:r>
      <w:bookmarkEnd w:id="278"/>
      <w:bookmarkEnd w:id="279"/>
      <w:bookmarkEnd w:id="280"/>
      <w:bookmarkEnd w:id="289"/>
      <w:bookmarkEnd w:id="290"/>
    </w:p>
    <w:p>
      <w:pPr>
        <w:rPr>
          <w:rFonts w:ascii="宋体" w:hAnsi="宋体" w:cs="宋体"/>
        </w:rPr>
      </w:pPr>
    </w:p>
    <w:p>
      <w:pPr>
        <w:snapToGrid w:val="0"/>
        <w:spacing w:line="360" w:lineRule="auto"/>
        <w:ind w:firstLine="504" w:firstLineChars="200"/>
        <w:jc w:val="left"/>
        <w:rPr>
          <w:rFonts w:hint="eastAsia" w:ascii="宋体" w:hAnsi="宋体" w:cs="宋体"/>
          <w:sz w:val="24"/>
          <w:szCs w:val="24"/>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rPr>
          <w:rFonts w:hint="eastAsia" w:ascii="宋体" w:hAnsi="宋体" w:cs="宋体"/>
          <w:sz w:val="24"/>
          <w:szCs w:val="24"/>
        </w:rPr>
      </w:pPr>
      <w:r>
        <w:rPr>
          <w:rFonts w:hint="eastAsia" w:ascii="宋体" w:hAnsi="宋体" w:cs="宋体"/>
          <w:sz w:val="24"/>
          <w:szCs w:val="24"/>
        </w:rPr>
        <w:br w:type="page"/>
      </w:r>
    </w:p>
    <w:p>
      <w:pPr>
        <w:pStyle w:val="2"/>
      </w:pPr>
    </w:p>
    <w:p>
      <w:pPr>
        <w:pStyle w:val="4"/>
        <w:adjustRightInd w:val="0"/>
        <w:spacing w:line="416" w:lineRule="atLeast"/>
        <w:textAlignment w:val="baseline"/>
        <w:rPr>
          <w:rFonts w:ascii="宋体" w:hAnsi="宋体" w:cs="宋体"/>
        </w:rPr>
      </w:pPr>
      <w:bookmarkStart w:id="291" w:name="_Toc2126"/>
      <w:bookmarkStart w:id="292" w:name="_Toc26872"/>
      <w:bookmarkStart w:id="293" w:name="_Toc563"/>
      <w:bookmarkStart w:id="294" w:name="_Toc13122"/>
      <w:bookmarkStart w:id="295" w:name="_Toc13303"/>
      <w:bookmarkStart w:id="296" w:name="_Toc11969"/>
      <w:r>
        <w:rPr>
          <w:rFonts w:hint="eastAsia" w:ascii="宋体" w:hAnsi="宋体" w:cs="宋体"/>
        </w:rPr>
        <w:t>附件五、“节能产品”，“环境标志产品”证明材料</w:t>
      </w:r>
      <w:bookmarkEnd w:id="291"/>
      <w:bookmarkEnd w:id="292"/>
      <w:bookmarkEnd w:id="293"/>
      <w:bookmarkEnd w:id="294"/>
      <w:bookmarkEnd w:id="295"/>
      <w:bookmarkEnd w:id="296"/>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说明：</w:t>
      </w:r>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招标文件第三部分供应商须知总则第六款规定提供产品列入“节能产品”，“环境标志产品”所在页的复印件（该页包含制造商或企业名称或申请单位名称、规格型号、有效期截止日期等内容），并加盖供应商单位章。</w:t>
      </w:r>
    </w:p>
    <w:p>
      <w:pPr>
        <w:widowControl/>
        <w:numPr>
          <w:ilvl w:val="0"/>
          <w:numId w:val="27"/>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财政部、环境保护部发布的《节能产品政府采购清单》中标记的“强制采购节能产品”。</w:t>
      </w:r>
    </w:p>
    <w:p>
      <w:pPr>
        <w:widowControl/>
        <w:numPr>
          <w:ilvl w:val="0"/>
          <w:numId w:val="27"/>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财政部、环境保护部发布的《环境标志产品政府采购清单》中标记的的“环境标志产品”。</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2、未按照上述要求提供的，评审时不予以考虑。 </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p>
    <w:p>
      <w:pPr>
        <w:pStyle w:val="4"/>
        <w:adjustRightInd w:val="0"/>
        <w:spacing w:line="416" w:lineRule="atLeast"/>
        <w:textAlignment w:val="baseline"/>
        <w:rPr>
          <w:rFonts w:ascii="宋体" w:hAnsi="宋体" w:cs="宋体"/>
        </w:rPr>
        <w:sectPr>
          <w:footerReference r:id="rId17" w:type="default"/>
          <w:pgSz w:w="11906" w:h="16838"/>
          <w:pgMar w:top="1440" w:right="1803" w:bottom="1440" w:left="1803" w:header="851" w:footer="992" w:gutter="0"/>
          <w:cols w:space="720" w:num="1"/>
          <w:docGrid w:type="lines" w:linePitch="319" w:charSpace="0"/>
        </w:sectPr>
      </w:pPr>
    </w:p>
    <w:p>
      <w:pPr>
        <w:pStyle w:val="4"/>
      </w:pPr>
      <w:bookmarkStart w:id="297" w:name="_Toc15461"/>
      <w:bookmarkStart w:id="298" w:name="_Toc4414"/>
      <w:bookmarkStart w:id="299" w:name="_Toc23799"/>
      <w:bookmarkStart w:id="300" w:name="_Toc26351"/>
      <w:bookmarkStart w:id="301" w:name="_Toc11924"/>
      <w:bookmarkStart w:id="302" w:name="_Toc5338"/>
      <w:bookmarkStart w:id="303" w:name="_Toc10027"/>
      <w:r>
        <w:rPr>
          <w:rFonts w:hint="eastAsia"/>
        </w:rPr>
        <w:t>附件六、质疑函范本</w:t>
      </w:r>
      <w:bookmarkEnd w:id="297"/>
      <w:bookmarkEnd w:id="298"/>
      <w:bookmarkEnd w:id="299"/>
      <w:bookmarkEnd w:id="300"/>
    </w:p>
    <w:p>
      <w:pPr>
        <w:widowControl/>
        <w:spacing w:line="360" w:lineRule="auto"/>
        <w:ind w:left="420" w:leftChars="200"/>
        <w:rPr>
          <w:rFonts w:ascii="宋体" w:hAnsi="宋体" w:cs="宋体"/>
          <w:sz w:val="24"/>
          <w:szCs w:val="24"/>
        </w:rPr>
      </w:pPr>
      <w:r>
        <w:rPr>
          <w:rFonts w:hint="eastAsia" w:ascii="宋体" w:hAnsi="宋体" w:cs="宋体"/>
          <w:sz w:val="24"/>
          <w:szCs w:val="24"/>
        </w:rPr>
        <w:t>一、质疑供应商基本信息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标段号：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3.质疑供应商若对项目的某一分包进行质疑，质疑函中应列明具体分标段号。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ascii="宋体" w:hAnsi="宋体" w:cs="宋体"/>
        </w:rPr>
        <w:sectPr>
          <w:pgSz w:w="11906" w:h="16838"/>
          <w:pgMar w:top="1440" w:right="1803" w:bottom="1440" w:left="1803" w:header="851" w:footer="992" w:gutter="0"/>
          <w:cols w:space="720" w:num="1"/>
          <w:docGrid w:type="lines" w:linePitch="319" w:charSpace="0"/>
        </w:sect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bookmarkEnd w:id="301"/>
    <w:bookmarkEnd w:id="302"/>
    <w:bookmarkEnd w:id="303"/>
    <w:p>
      <w:pPr>
        <w:pStyle w:val="4"/>
        <w:adjustRightInd w:val="0"/>
        <w:spacing w:line="416" w:lineRule="atLeast"/>
        <w:textAlignment w:val="baseline"/>
        <w:rPr>
          <w:rFonts w:ascii="宋体" w:hAnsi="宋体" w:cs="宋体"/>
        </w:rPr>
      </w:pPr>
      <w:bookmarkStart w:id="304" w:name="_Toc32624"/>
      <w:bookmarkStart w:id="305" w:name="_Toc229"/>
      <w:bookmarkStart w:id="306" w:name="_Toc15205"/>
      <w:r>
        <w:rPr>
          <w:rFonts w:hint="eastAsia" w:ascii="宋体" w:hAnsi="宋体" w:cs="宋体"/>
        </w:rPr>
        <w:t>附件七：保证金退还账户信息确认表</w:t>
      </w:r>
      <w:bookmarkEnd w:id="304"/>
      <w:bookmarkEnd w:id="305"/>
      <w:bookmarkEnd w:id="306"/>
    </w:p>
    <w:p/>
    <w:p>
      <w:pPr>
        <w:rPr>
          <w:sz w:val="28"/>
          <w:szCs w:val="28"/>
        </w:rPr>
      </w:pPr>
      <w:r>
        <w:rPr>
          <w:rFonts w:hint="eastAsia"/>
          <w:sz w:val="28"/>
          <w:szCs w:val="28"/>
        </w:rPr>
        <w:t>项目名称：</w:t>
      </w:r>
    </w:p>
    <w:p>
      <w:pPr>
        <w:rPr>
          <w:sz w:val="28"/>
          <w:szCs w:val="28"/>
        </w:rPr>
      </w:pPr>
      <w:r>
        <w:rPr>
          <w:rFonts w:hint="eastAsia"/>
          <w:sz w:val="28"/>
          <w:szCs w:val="28"/>
        </w:rPr>
        <w:t>项目编号：</w:t>
      </w:r>
    </w:p>
    <w:p/>
    <w:tbl>
      <w:tblPr>
        <w:tblStyle w:val="25"/>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ascii="宋体" w:hAnsi="宋体"/>
                <w:sz w:val="24"/>
              </w:rPr>
            </w:pPr>
            <w:r>
              <w:rPr>
                <w:rFonts w:hint="eastAsia" w:ascii="宋体" w:hAnsi="宋体"/>
                <w:sz w:val="24"/>
              </w:rPr>
              <w:t>应退投标保证金</w:t>
            </w:r>
          </w:p>
        </w:tc>
        <w:tc>
          <w:tcPr>
            <w:tcW w:w="6372" w:type="dxa"/>
            <w:gridSpan w:val="2"/>
          </w:tcPr>
          <w:p>
            <w:pPr>
              <w:rPr>
                <w:rFonts w:ascii="宋体" w:hAnsi="宋体"/>
                <w:sz w:val="24"/>
              </w:rPr>
            </w:pPr>
            <w:r>
              <w:rPr>
                <w:rFonts w:hint="eastAsia" w:ascii="宋体" w:hAnsi="宋体"/>
                <w:sz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tcPr>
          <w:p>
            <w:pPr>
              <w:jc w:val="center"/>
              <w:rPr>
                <w:rFonts w:ascii="宋体" w:hAnsi="宋体"/>
                <w:sz w:val="24"/>
              </w:rPr>
            </w:pPr>
          </w:p>
        </w:tc>
        <w:tc>
          <w:tcPr>
            <w:tcW w:w="6372" w:type="dxa"/>
            <w:gridSpan w:val="2"/>
          </w:tcPr>
          <w:p>
            <w:pPr>
              <w:rPr>
                <w:rFonts w:ascii="宋体" w:hAnsi="宋体"/>
                <w:sz w:val="24"/>
              </w:rPr>
            </w:pPr>
            <w:r>
              <w:rPr>
                <w:rFonts w:hint="eastAsia" w:ascii="宋体" w:hAnsi="宋体"/>
                <w:sz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ascii="宋体" w:hAnsi="宋体"/>
                <w:sz w:val="24"/>
              </w:rPr>
            </w:pPr>
            <w:r>
              <w:rPr>
                <w:rFonts w:hint="eastAsia" w:ascii="宋体" w:hAnsi="宋体"/>
                <w:sz w:val="24"/>
              </w:rPr>
              <w:t>收款单位（盖章）</w:t>
            </w:r>
          </w:p>
        </w:tc>
        <w:tc>
          <w:tcPr>
            <w:tcW w:w="2370" w:type="dxa"/>
            <w:vAlign w:val="center"/>
          </w:tcPr>
          <w:p>
            <w:pPr>
              <w:jc w:val="center"/>
              <w:rPr>
                <w:rFonts w:ascii="宋体" w:hAnsi="宋体"/>
                <w:sz w:val="24"/>
              </w:rPr>
            </w:pPr>
            <w:r>
              <w:rPr>
                <w:rFonts w:hint="eastAsia" w:ascii="宋体" w:hAnsi="宋体"/>
                <w:sz w:val="24"/>
              </w:rPr>
              <w:t>单  位 名 称</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开   户   行</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账        号</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联系人及电话</w:t>
            </w:r>
          </w:p>
        </w:tc>
        <w:tc>
          <w:tcPr>
            <w:tcW w:w="4002" w:type="dxa"/>
          </w:tcPr>
          <w:p>
            <w:pPr>
              <w:rPr>
                <w:rFonts w:ascii="宋体" w:hAnsi="宋体"/>
                <w:sz w:val="24"/>
              </w:rPr>
            </w:pPr>
          </w:p>
        </w:tc>
      </w:tr>
    </w:tbl>
    <w:p>
      <w:pPr>
        <w:keepNext/>
        <w:keepLines/>
        <w:adjustRightInd w:val="0"/>
        <w:spacing w:line="416" w:lineRule="atLeast"/>
        <w:textAlignment w:val="baseline"/>
        <w:rPr>
          <w:rFonts w:ascii="宋体" w:hAnsi="宋体"/>
          <w:b/>
          <w:sz w:val="24"/>
        </w:rPr>
      </w:pP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供应商可在开标当天将保证金退还账户信息确认表与投标保证金汇款凭证复印件加盖公章一并交给工作人员，当天未提交保证金退还账户信息确认表与投标保证金汇款凭证复印件加盖公章的供应商，在开标结束后自行找财务办理保证金退还手续。</w:t>
      </w:r>
    </w:p>
    <w:p>
      <w:pPr>
        <w:jc w:val="left"/>
        <w:rPr>
          <w:rFonts w:ascii="宋体" w:hAnsi="宋体" w:cs="宋体"/>
          <w:b/>
          <w:bCs/>
          <w:spacing w:val="48"/>
          <w:sz w:val="144"/>
          <w:szCs w:val="144"/>
        </w:rPr>
      </w:pPr>
      <w:r>
        <w:rPr>
          <w:rFonts w:hint="eastAsia" w:ascii="宋体" w:hAnsi="宋体" w:cs="宋体"/>
          <w:b/>
          <w:bCs/>
          <w:sz w:val="32"/>
          <w:szCs w:val="32"/>
        </w:rPr>
        <w:t>此表无需做在投标文件中。</w:t>
      </w:r>
    </w:p>
    <w:p>
      <w:pPr>
        <w:jc w:val="left"/>
        <w:rPr>
          <w:rFonts w:ascii="宋体" w:hAnsi="宋体" w:cs="宋体"/>
          <w:b/>
          <w:spacing w:val="48"/>
          <w:sz w:val="72"/>
          <w:szCs w:val="72"/>
        </w:rPr>
      </w:pPr>
    </w:p>
    <w:p>
      <w:pPr>
        <w:jc w:val="left"/>
        <w:rPr>
          <w:rFonts w:ascii="宋体" w:hAnsi="宋体" w:cs="宋体"/>
          <w:b/>
          <w:spacing w:val="48"/>
          <w:sz w:val="72"/>
          <w:szCs w:val="72"/>
        </w:rPr>
        <w:sectPr>
          <w:pgSz w:w="11906" w:h="16838"/>
          <w:pgMar w:top="1440" w:right="1304" w:bottom="1440" w:left="1304" w:header="851" w:footer="992" w:gutter="0"/>
          <w:cols w:space="0" w:num="1"/>
          <w:docGrid w:type="lines" w:linePitch="325" w:charSpace="0"/>
        </w:sectPr>
      </w:pPr>
    </w:p>
    <w:p>
      <w:pPr>
        <w:rPr>
          <w:rFonts w:ascii="宋体" w:hAnsi="宋体" w:cs="宋体"/>
          <w:b/>
          <w:spacing w:val="48"/>
          <w:sz w:val="72"/>
          <w:szCs w:val="72"/>
        </w:rPr>
      </w:pPr>
    </w:p>
    <w:p>
      <w:pPr>
        <w:jc w:val="left"/>
        <w:rPr>
          <w:rFonts w:ascii="宋体" w:hAnsi="宋体" w:cs="宋体"/>
          <w:sz w:val="72"/>
          <w:szCs w:val="72"/>
        </w:rPr>
      </w:pPr>
      <w:r>
        <w:rPr>
          <w:rFonts w:hint="eastAsia" w:ascii="宋体" w:hAnsi="宋体" w:cs="宋体"/>
          <w:b/>
          <w:spacing w:val="48"/>
          <w:sz w:val="72"/>
          <w:szCs w:val="72"/>
        </w:rPr>
        <w:t>公平</w:t>
      </w:r>
    </w:p>
    <w:p>
      <w:pPr>
        <w:tabs>
          <w:tab w:val="left" w:pos="3810"/>
        </w:tabs>
        <w:jc w:val="left"/>
        <w:rPr>
          <w:rFonts w:ascii="宋体" w:hAnsi="宋体" w:cs="宋体"/>
          <w:sz w:val="72"/>
          <w:szCs w:val="72"/>
        </w:rPr>
      </w:pPr>
    </w:p>
    <w:p>
      <w:pPr>
        <w:jc w:val="left"/>
        <w:rPr>
          <w:rFonts w:ascii="宋体" w:hAnsi="宋体" w:cs="宋体"/>
          <w:sz w:val="72"/>
          <w:szCs w:val="72"/>
        </w:rPr>
      </w:pPr>
    </w:p>
    <w:p>
      <w:pPr>
        <w:jc w:val="center"/>
        <w:rPr>
          <w:rFonts w:ascii="宋体" w:hAnsi="宋体" w:cs="宋体"/>
          <w:b/>
          <w:spacing w:val="48"/>
          <w:sz w:val="72"/>
          <w:szCs w:val="72"/>
        </w:rPr>
      </w:pPr>
    </w:p>
    <w:p>
      <w:pPr>
        <w:jc w:val="center"/>
        <w:rPr>
          <w:rFonts w:ascii="宋体" w:hAnsi="宋体" w:cs="宋体"/>
          <w:b/>
          <w:spacing w:val="48"/>
          <w:sz w:val="72"/>
          <w:szCs w:val="72"/>
        </w:rPr>
      </w:pPr>
      <w:r>
        <w:rPr>
          <w:rFonts w:hint="eastAsia" w:ascii="宋体" w:hAnsi="宋体" w:cs="宋体"/>
          <w:b/>
          <w:spacing w:val="48"/>
          <w:sz w:val="72"/>
          <w:szCs w:val="72"/>
        </w:rPr>
        <w:t>公正</w:t>
      </w:r>
    </w:p>
    <w:p>
      <w:pPr>
        <w:jc w:val="left"/>
        <w:rPr>
          <w:rFonts w:ascii="宋体" w:hAnsi="宋体" w:cs="宋体"/>
          <w:b/>
          <w:spacing w:val="48"/>
          <w:sz w:val="72"/>
          <w:szCs w:val="72"/>
        </w:rPr>
      </w:pPr>
    </w:p>
    <w:p>
      <w:pPr>
        <w:jc w:val="left"/>
        <w:rPr>
          <w:rFonts w:ascii="宋体" w:hAnsi="宋体" w:cs="宋体"/>
          <w:b/>
          <w:spacing w:val="48"/>
          <w:sz w:val="72"/>
          <w:szCs w:val="72"/>
        </w:rPr>
      </w:pPr>
    </w:p>
    <w:p>
      <w:pPr>
        <w:jc w:val="right"/>
        <w:rPr>
          <w:rFonts w:ascii="宋体" w:hAnsi="宋体" w:cs="宋体"/>
          <w:b/>
          <w:spacing w:val="48"/>
          <w:sz w:val="72"/>
          <w:szCs w:val="72"/>
        </w:rPr>
      </w:pPr>
    </w:p>
    <w:p>
      <w:pPr>
        <w:jc w:val="right"/>
        <w:rPr>
          <w:rFonts w:ascii="宋体" w:hAnsi="宋体" w:cs="宋体"/>
          <w:b/>
          <w:spacing w:val="48"/>
          <w:sz w:val="72"/>
          <w:szCs w:val="72"/>
        </w:rPr>
      </w:pPr>
      <w:r>
        <w:rPr>
          <w:rFonts w:hint="eastAsia" w:ascii="宋体" w:hAnsi="宋体" w:cs="宋体"/>
          <w:b/>
          <w:spacing w:val="48"/>
          <w:sz w:val="72"/>
          <w:szCs w:val="72"/>
        </w:rPr>
        <w:t>公开</w:t>
      </w:r>
    </w:p>
    <w:bookmarkEnd w:id="0"/>
    <w:p>
      <w:pPr>
        <w:rPr>
          <w:rFonts w:ascii="宋体" w:hAnsi="宋体" w:cs="宋体"/>
          <w:b/>
          <w:sz w:val="30"/>
          <w:szCs w:val="30"/>
        </w:rPr>
      </w:pPr>
    </w:p>
    <w:p>
      <w:pPr>
        <w:rPr>
          <w:rFonts w:ascii="宋体" w:hAnsi="宋体" w:cs="宋体"/>
          <w:b/>
          <w:sz w:val="30"/>
          <w:szCs w:val="30"/>
        </w:rPr>
      </w:pPr>
      <w:r>
        <w:rPr>
          <w:rFonts w:hint="eastAsia" w:ascii="宋体" w:hAnsi="宋体" w:cs="宋体"/>
          <w:b/>
          <w:sz w:val="30"/>
          <w:szCs w:val="30"/>
        </w:rPr>
        <w:t>企业名称：陕西万泽招标有限公司</w:t>
      </w:r>
    </w:p>
    <w:p>
      <w:pPr>
        <w:rPr>
          <w:rFonts w:ascii="宋体" w:hAnsi="宋体" w:cs="宋体"/>
          <w:b/>
          <w:sz w:val="30"/>
          <w:szCs w:val="30"/>
        </w:rPr>
      </w:pPr>
      <w:r>
        <w:rPr>
          <w:rFonts w:hint="eastAsia" w:ascii="宋体" w:hAnsi="宋体" w:cs="宋体"/>
          <w:b/>
          <w:sz w:val="30"/>
          <w:szCs w:val="30"/>
        </w:rPr>
        <w:t>地址：西安市西关正街英达大厦1507室</w:t>
      </w:r>
    </w:p>
    <w:p>
      <w:pPr>
        <w:rPr>
          <w:rFonts w:ascii="宋体" w:hAnsi="宋体" w:cs="宋体"/>
          <w:b/>
          <w:sz w:val="30"/>
          <w:szCs w:val="30"/>
        </w:rPr>
      </w:pPr>
      <w:r>
        <w:rPr>
          <w:rFonts w:hint="eastAsia" w:ascii="宋体" w:hAnsi="宋体" w:cs="宋体"/>
          <w:b/>
          <w:sz w:val="30"/>
          <w:szCs w:val="30"/>
        </w:rPr>
        <w:t>邮政编码：710082</w:t>
      </w:r>
    </w:p>
    <w:p>
      <w:pPr>
        <w:rPr>
          <w:rFonts w:ascii="宋体" w:hAnsi="宋体" w:cs="宋体"/>
          <w:b/>
          <w:sz w:val="30"/>
          <w:szCs w:val="30"/>
        </w:rPr>
      </w:pPr>
      <w:r>
        <w:rPr>
          <w:rFonts w:hint="eastAsia" w:ascii="宋体" w:hAnsi="宋体" w:cs="宋体"/>
          <w:b/>
          <w:sz w:val="30"/>
          <w:szCs w:val="30"/>
        </w:rPr>
        <w:t>电话：029-88319689</w:t>
      </w:r>
    </w:p>
    <w:p>
      <w:pPr>
        <w:rPr>
          <w:rFonts w:ascii="宋体" w:hAnsi="宋体" w:cs="宋体"/>
        </w:rPr>
      </w:pPr>
      <w:r>
        <w:rPr>
          <w:rFonts w:hint="eastAsia" w:ascii="宋体" w:hAnsi="宋体" w:cs="宋体"/>
          <w:b/>
          <w:sz w:val="30"/>
          <w:szCs w:val="30"/>
        </w:rPr>
        <w:t>传真：029-88319689</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nion">
    <w:altName w:val="新宋体"/>
    <w:panose1 w:val="00000000000000000000"/>
    <w:charset w:val="00"/>
    <w:family w:val="auto"/>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0"/>
        <w:tab w:val="right" w:pos="8420"/>
        <w:tab w:val="clear" w:pos="4153"/>
      </w:tabs>
      <w:rPr>
        <w:rFonts w:ascii="宋体"/>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426"/>
      </w:tabs>
      <w:rPr>
        <w:rFonts w:asci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cs="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cs="宋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cs="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0"/>
        <w:tab w:val="right" w:pos="8420"/>
        <w:tab w:val="clear" w:pos="4153"/>
      </w:tabs>
      <w:rPr>
        <w:rFonts w:ascii="宋体" w:hAnsi="宋体" w:cs="宋体"/>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313" w:rightChars="-149"/>
      <w:rPr>
        <w:rFonts w:hint="default" w:ascii="宋体" w:eastAsia="宋体" w:cs="宋体"/>
        <w:sz w:val="15"/>
        <w:szCs w:val="15"/>
        <w:u w:val="single"/>
        <w:lang w:val="en-US" w:eastAsia="zh-CN"/>
      </w:rPr>
    </w:pPr>
    <w:r>
      <w:rPr>
        <w:rFonts w:hint="eastAsia" w:ascii="宋体" w:hAnsi="宋体" w:cs="宋体"/>
        <w:bCs/>
        <w:sz w:val="15"/>
        <w:szCs w:val="15"/>
        <w:u w:val="single"/>
        <w:lang w:eastAsia="zh-CN"/>
      </w:rPr>
      <w:t>西安医学院未央校区汽车充电桩安装工程项目</w:t>
    </w:r>
    <w:r>
      <w:rPr>
        <w:rFonts w:hint="eastAsia" w:ascii="宋体" w:hAnsi="宋体" w:cs="宋体"/>
        <w:bCs/>
        <w:sz w:val="15"/>
        <w:szCs w:val="15"/>
        <w:u w:val="single"/>
        <w:lang w:val="en-US" w:eastAsia="zh-CN"/>
      </w:rPr>
      <w:t>（四次）</w:t>
    </w:r>
    <w:r>
      <w:rPr>
        <w:rFonts w:hint="eastAsia" w:ascii="宋体" w:hAnsi="宋体" w:cs="宋体"/>
        <w:bCs/>
        <w:sz w:val="15"/>
        <w:szCs w:val="15"/>
        <w:u w:val="single"/>
      </w:rPr>
      <w:t xml:space="preserve">                                </w:t>
    </w:r>
    <w:r>
      <w:rPr>
        <w:rFonts w:hint="eastAsia" w:ascii="宋体" w:hAnsi="宋体" w:cs="宋体"/>
        <w:bCs/>
        <w:sz w:val="15"/>
        <w:szCs w:val="15"/>
        <w:u w:val="single"/>
        <w:lang w:val="en-US" w:eastAsia="zh-CN"/>
      </w:rPr>
      <w:t xml:space="preserve">        </w:t>
    </w:r>
    <w:r>
      <w:rPr>
        <w:rFonts w:hint="eastAsia" w:ascii="宋体" w:hAnsi="宋体" w:cs="宋体"/>
        <w:bCs/>
        <w:sz w:val="15"/>
        <w:szCs w:val="15"/>
        <w:u w:val="single"/>
      </w:rPr>
      <w:t xml:space="preserve">     </w:t>
    </w:r>
    <w:r>
      <w:rPr>
        <w:rFonts w:hint="eastAsia" w:ascii="宋体" w:hAnsi="宋体" w:cs="宋体"/>
        <w:bCs/>
        <w:sz w:val="15"/>
        <w:szCs w:val="15"/>
        <w:u w:val="single"/>
        <w:lang w:eastAsia="zh-CN"/>
      </w:rPr>
      <w:t>SXWZ2023ZB-YXY-055R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bCs/>
        <w:sz w:val="15"/>
        <w:szCs w:val="15"/>
        <w:u w:val="single"/>
        <w:lang w:eastAsia="zh-CN"/>
      </w:rPr>
      <w:t>西安医学院未央校区汽车充电桩安装工程项目</w:t>
    </w:r>
    <w:r>
      <w:rPr>
        <w:rFonts w:hint="eastAsia" w:ascii="宋体" w:hAnsi="宋体" w:cs="宋体"/>
        <w:bCs/>
        <w:sz w:val="15"/>
        <w:szCs w:val="15"/>
        <w:u w:val="single"/>
      </w:rPr>
      <w:t xml:space="preserve">                                      SXWZ2022ZB-YXY-144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313" w:rightChars="-149"/>
      <w:jc w:val="left"/>
      <w:rPr>
        <w:rFonts w:hint="default" w:eastAsia="宋体"/>
        <w:lang w:val="en-US" w:eastAsia="zh-CN"/>
      </w:rPr>
    </w:pPr>
    <w:r>
      <w:rPr>
        <w:rFonts w:hint="eastAsia" w:ascii="宋体" w:hAnsi="宋体" w:cs="宋体"/>
        <w:bCs/>
        <w:sz w:val="15"/>
        <w:szCs w:val="15"/>
        <w:u w:val="single"/>
        <w:lang w:eastAsia="zh-CN"/>
      </w:rPr>
      <w:t>西安医学院未央校区汽车充电桩安装工程项目（四次）</w:t>
    </w:r>
    <w:r>
      <w:rPr>
        <w:rFonts w:hint="eastAsia" w:ascii="宋体" w:hAnsi="宋体" w:cs="宋体"/>
        <w:bCs/>
        <w:sz w:val="15"/>
        <w:szCs w:val="15"/>
        <w:u w:val="single"/>
      </w:rPr>
      <w:t xml:space="preserve">                           </w:t>
    </w:r>
    <w:r>
      <w:rPr>
        <w:rFonts w:hint="eastAsia" w:ascii="宋体" w:hAnsi="宋体" w:cs="宋体"/>
        <w:bCs/>
        <w:sz w:val="15"/>
        <w:szCs w:val="15"/>
        <w:u w:val="single"/>
        <w:lang w:val="en-US" w:eastAsia="zh-CN"/>
      </w:rPr>
      <w:t xml:space="preserve">                  </w:t>
    </w:r>
    <w:r>
      <w:rPr>
        <w:rFonts w:hint="eastAsia" w:ascii="宋体" w:hAnsi="宋体" w:cs="宋体"/>
        <w:bCs/>
        <w:sz w:val="15"/>
        <w:szCs w:val="15"/>
        <w:u w:val="single"/>
      </w:rPr>
      <w:t xml:space="preserve">  </w:t>
    </w:r>
    <w:r>
      <w:rPr>
        <w:rFonts w:hint="eastAsia" w:ascii="宋体" w:hAnsi="宋体" w:cs="宋体"/>
        <w:bCs/>
        <w:sz w:val="15"/>
        <w:szCs w:val="15"/>
        <w:u w:val="single"/>
        <w:lang w:eastAsia="zh-CN"/>
      </w:rPr>
      <w:t>SXWZ2023ZB-YXY-055R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750" w:right="720" w:hanging="750" w:hangingChars="500"/>
      <w:jc w:val="left"/>
      <w:rPr>
        <w:rFonts w:hint="default" w:eastAsia="宋体"/>
        <w:lang w:val="en-US" w:eastAsia="zh-CN"/>
      </w:rPr>
    </w:pPr>
    <w:r>
      <w:rPr>
        <w:rFonts w:hint="eastAsia"/>
        <w:color w:val="000000" w:themeColor="text1"/>
        <w:sz w:val="15"/>
        <w:szCs w:val="15"/>
        <w:lang w:eastAsia="zh-CN"/>
        <w14:textFill>
          <w14:solidFill>
            <w14:schemeClr w14:val="tx1"/>
          </w14:solidFill>
        </w14:textFill>
      </w:rPr>
      <w:t>西安医学院未央校区汽车充电桩安装工程项目</w:t>
    </w:r>
    <w:r>
      <w:rPr>
        <w:rFonts w:hint="eastAsia"/>
        <w:color w:val="000000" w:themeColor="text1"/>
        <w:sz w:val="15"/>
        <w:szCs w:val="15"/>
        <w:lang w:val="en-US" w:eastAsia="zh-CN"/>
        <w14:textFill>
          <w14:solidFill>
            <w14:schemeClr w14:val="tx1"/>
          </w14:solidFill>
        </w14:textFill>
      </w:rPr>
      <w:t>（四次）</w:t>
    </w:r>
    <w:r>
      <w:rPr>
        <w:rFonts w:hint="eastAsia"/>
        <w:color w:val="000000" w:themeColor="text1"/>
        <w:sz w:val="15"/>
        <w:szCs w:val="15"/>
        <w14:textFill>
          <w14:solidFill>
            <w14:schemeClr w14:val="tx1"/>
          </w14:solidFill>
        </w14:textFill>
      </w:rPr>
      <w:t xml:space="preserve">                </w:t>
    </w:r>
    <w:r>
      <w:rPr>
        <w:rFonts w:hint="eastAsia"/>
        <w:color w:val="000000" w:themeColor="text1"/>
        <w:sz w:val="15"/>
        <w:szCs w:val="15"/>
        <w:lang w:val="en-US" w:eastAsia="zh-CN"/>
        <w14:textFill>
          <w14:solidFill>
            <w14:schemeClr w14:val="tx1"/>
          </w14:solidFill>
        </w14:textFill>
      </w:rPr>
      <w:t xml:space="preserve">                 </w:t>
    </w:r>
    <w:r>
      <w:rPr>
        <w:rFonts w:hint="eastAsia"/>
        <w:color w:val="000000" w:themeColor="text1"/>
        <w:sz w:val="15"/>
        <w:szCs w:val="15"/>
        <w14:textFill>
          <w14:solidFill>
            <w14:schemeClr w14:val="tx1"/>
          </w14:solidFill>
        </w14:textFill>
      </w:rPr>
      <w:t xml:space="preserve"> </w:t>
    </w:r>
    <w:r>
      <w:rPr>
        <w:rFonts w:hint="eastAsia" w:ascii="宋体" w:hAnsi="宋体" w:cs="宋体"/>
        <w:bCs/>
        <w:sz w:val="15"/>
        <w:szCs w:val="15"/>
        <w:lang w:eastAsia="zh-CN"/>
      </w:rPr>
      <w:t>SXWZ2023ZB-YXY-055R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750" w:right="720" w:hanging="750" w:hangingChars="500"/>
      <w:jc w:val="left"/>
      <w:rPr>
        <w:rFonts w:hint="default" w:eastAsia="宋体"/>
        <w:lang w:val="en-US" w:eastAsia="zh-CN"/>
      </w:rPr>
    </w:pPr>
    <w:r>
      <w:rPr>
        <w:rFonts w:hint="eastAsia"/>
        <w:color w:val="000000" w:themeColor="text1"/>
        <w:sz w:val="15"/>
        <w:szCs w:val="15"/>
        <w:lang w:eastAsia="zh-CN"/>
        <w14:textFill>
          <w14:solidFill>
            <w14:schemeClr w14:val="tx1"/>
          </w14:solidFill>
        </w14:textFill>
      </w:rPr>
      <w:t>西安医学院未央校区汽车充电桩安装工程项目</w:t>
    </w:r>
    <w:r>
      <w:rPr>
        <w:rFonts w:hint="eastAsia"/>
        <w:color w:val="000000" w:themeColor="text1"/>
        <w:sz w:val="15"/>
        <w:szCs w:val="15"/>
        <w:lang w:val="en-US" w:eastAsia="zh-CN"/>
        <w14:textFill>
          <w14:solidFill>
            <w14:schemeClr w14:val="tx1"/>
          </w14:solidFill>
        </w14:textFill>
      </w:rPr>
      <w:t>（四次）</w:t>
    </w:r>
    <w:r>
      <w:rPr>
        <w:rFonts w:hint="eastAsia"/>
        <w:color w:val="000000" w:themeColor="text1"/>
        <w:sz w:val="15"/>
        <w:szCs w:val="15"/>
        <w14:textFill>
          <w14:solidFill>
            <w14:schemeClr w14:val="tx1"/>
          </w14:solidFill>
        </w14:textFill>
      </w:rPr>
      <w:t xml:space="preserve">                       </w:t>
    </w:r>
    <w:r>
      <w:rPr>
        <w:rFonts w:hint="eastAsia"/>
        <w:color w:val="000000" w:themeColor="text1"/>
        <w:sz w:val="15"/>
        <w:szCs w:val="15"/>
        <w:lang w:val="en-US" w:eastAsia="zh-CN"/>
        <w14:textFill>
          <w14:solidFill>
            <w14:schemeClr w14:val="tx1"/>
          </w14:solidFill>
        </w14:textFill>
      </w:rPr>
      <w:t xml:space="preserve">   </w:t>
    </w:r>
    <w:r>
      <w:rPr>
        <w:rFonts w:hint="eastAsia"/>
        <w:color w:val="000000" w:themeColor="text1"/>
        <w:sz w:val="15"/>
        <w:szCs w:val="15"/>
        <w14:textFill>
          <w14:solidFill>
            <w14:schemeClr w14:val="tx1"/>
          </w14:solidFill>
        </w14:textFill>
      </w:rPr>
      <w:t xml:space="preserve">  </w:t>
    </w:r>
    <w:r>
      <w:rPr>
        <w:rFonts w:hint="eastAsia"/>
        <w:color w:val="000000" w:themeColor="text1"/>
        <w:sz w:val="15"/>
        <w:szCs w:val="15"/>
        <w:lang w:val="en-US" w:eastAsia="zh-CN"/>
        <w14:textFill>
          <w14:solidFill>
            <w14:schemeClr w14:val="tx1"/>
          </w14:solidFill>
        </w14:textFill>
      </w:rPr>
      <w:t xml:space="preserve">       </w:t>
    </w:r>
    <w:r>
      <w:rPr>
        <w:rFonts w:hint="eastAsia" w:ascii="宋体" w:hAnsi="宋体" w:cs="宋体"/>
        <w:bCs/>
        <w:sz w:val="15"/>
        <w:szCs w:val="15"/>
        <w:lang w:eastAsia="zh-CN"/>
      </w:rPr>
      <w:t>SXWZ2023ZB-YXY-055R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6994F"/>
    <w:multiLevelType w:val="singleLevel"/>
    <w:tmpl w:val="9886994F"/>
    <w:lvl w:ilvl="0" w:tentative="0">
      <w:start w:val="6"/>
      <w:numFmt w:val="chineseCounting"/>
      <w:suff w:val="space"/>
      <w:lvlText w:val="第%1部分"/>
      <w:lvlJc w:val="left"/>
      <w:pPr>
        <w:ind w:left="840"/>
      </w:pPr>
      <w:rPr>
        <w:rFonts w:hint="eastAsia"/>
      </w:rPr>
    </w:lvl>
  </w:abstractNum>
  <w:abstractNum w:abstractNumId="1">
    <w:nsid w:val="CBE9AD97"/>
    <w:multiLevelType w:val="singleLevel"/>
    <w:tmpl w:val="CBE9AD97"/>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3">
    <w:nsid w:val="0F4C1C27"/>
    <w:multiLevelType w:val="singleLevel"/>
    <w:tmpl w:val="0F4C1C27"/>
    <w:lvl w:ilvl="0" w:tentative="0">
      <w:start w:val="1"/>
      <w:numFmt w:val="decimal"/>
      <w:suff w:val="nothing"/>
      <w:lvlText w:val="%1、"/>
      <w:lvlJc w:val="left"/>
    </w:lvl>
  </w:abstractNum>
  <w:abstractNum w:abstractNumId="4">
    <w:nsid w:val="50EF9D61"/>
    <w:multiLevelType w:val="singleLevel"/>
    <w:tmpl w:val="50EF9D61"/>
    <w:lvl w:ilvl="0" w:tentative="0">
      <w:start w:val="7"/>
      <w:numFmt w:val="decimal"/>
      <w:lvlText w:val="%1."/>
      <w:lvlJc w:val="left"/>
      <w:pPr>
        <w:tabs>
          <w:tab w:val="left" w:pos="312"/>
        </w:tabs>
      </w:pPr>
    </w:lvl>
  </w:abstractNum>
  <w:abstractNum w:abstractNumId="5">
    <w:nsid w:val="5530B97F"/>
    <w:multiLevelType w:val="singleLevel"/>
    <w:tmpl w:val="5530B97F"/>
    <w:lvl w:ilvl="0" w:tentative="0">
      <w:start w:val="1"/>
      <w:numFmt w:val="chineseCounting"/>
      <w:suff w:val="nothing"/>
      <w:lvlText w:val="%1、"/>
      <w:lvlJc w:val="left"/>
      <w:rPr>
        <w:rFonts w:cs="Times New Roman"/>
      </w:rPr>
    </w:lvl>
  </w:abstractNum>
  <w:abstractNum w:abstractNumId="6">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7">
    <w:nsid w:val="55D33E5E"/>
    <w:multiLevelType w:val="singleLevel"/>
    <w:tmpl w:val="55D33E5E"/>
    <w:lvl w:ilvl="0" w:tentative="0">
      <w:start w:val="3"/>
      <w:numFmt w:val="decimal"/>
      <w:suff w:val="nothing"/>
      <w:lvlText w:val="（%1）"/>
      <w:lvlJc w:val="left"/>
    </w:lvl>
  </w:abstractNum>
  <w:abstractNum w:abstractNumId="8">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9">
    <w:nsid w:val="58BE4ABA"/>
    <w:multiLevelType w:val="singleLevel"/>
    <w:tmpl w:val="58BE4ABA"/>
    <w:lvl w:ilvl="0" w:tentative="0">
      <w:start w:val="1"/>
      <w:numFmt w:val="decimal"/>
      <w:suff w:val="nothing"/>
      <w:lvlText w:val="%1、"/>
      <w:lvlJc w:val="left"/>
      <w:pPr>
        <w:ind w:left="68" w:firstLine="420"/>
      </w:pPr>
      <w:rPr>
        <w:rFonts w:hint="default" w:cs="Times New Roman"/>
      </w:rPr>
    </w:lvl>
  </w:abstractNum>
  <w:abstractNum w:abstractNumId="10">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11">
    <w:nsid w:val="58BE64F2"/>
    <w:multiLevelType w:val="singleLevel"/>
    <w:tmpl w:val="58BE64F2"/>
    <w:lvl w:ilvl="0" w:tentative="0">
      <w:start w:val="1"/>
      <w:numFmt w:val="decimal"/>
      <w:suff w:val="nothing"/>
      <w:lvlText w:val="%1、"/>
      <w:lvlJc w:val="left"/>
      <w:pPr>
        <w:ind w:firstLine="420"/>
      </w:pPr>
      <w:rPr>
        <w:rFonts w:hint="default" w:cs="Times New Roman"/>
      </w:rPr>
    </w:lvl>
  </w:abstractNum>
  <w:abstractNum w:abstractNumId="12">
    <w:nsid w:val="58BE6519"/>
    <w:multiLevelType w:val="singleLevel"/>
    <w:tmpl w:val="58BE6519"/>
    <w:lvl w:ilvl="0" w:tentative="0">
      <w:start w:val="1"/>
      <w:numFmt w:val="decimal"/>
      <w:suff w:val="nothing"/>
      <w:lvlText w:val="%1、"/>
      <w:lvlJc w:val="left"/>
      <w:pPr>
        <w:ind w:firstLine="420"/>
      </w:pPr>
      <w:rPr>
        <w:rFonts w:hint="default" w:cs="Times New Roman"/>
      </w:rPr>
    </w:lvl>
  </w:abstractNum>
  <w:abstractNum w:abstractNumId="13">
    <w:nsid w:val="58BE6CCA"/>
    <w:multiLevelType w:val="singleLevel"/>
    <w:tmpl w:val="58BE6CCA"/>
    <w:lvl w:ilvl="0" w:tentative="0">
      <w:start w:val="1"/>
      <w:numFmt w:val="decimal"/>
      <w:suff w:val="nothing"/>
      <w:lvlText w:val="%1、"/>
      <w:lvlJc w:val="left"/>
      <w:pPr>
        <w:ind w:firstLine="420"/>
      </w:pPr>
      <w:rPr>
        <w:rFonts w:hint="default" w:cs="Times New Roman"/>
      </w:rPr>
    </w:lvl>
  </w:abstractNum>
  <w:abstractNum w:abstractNumId="14">
    <w:nsid w:val="58BFC3B3"/>
    <w:multiLevelType w:val="singleLevel"/>
    <w:tmpl w:val="58BFC3B3"/>
    <w:lvl w:ilvl="0" w:tentative="0">
      <w:start w:val="1"/>
      <w:numFmt w:val="decimal"/>
      <w:suff w:val="nothing"/>
      <w:lvlText w:val="（%1）"/>
      <w:lvlJc w:val="left"/>
      <w:pPr>
        <w:ind w:firstLine="420"/>
      </w:pPr>
      <w:rPr>
        <w:rFonts w:hint="default" w:cs="Times New Roman"/>
      </w:rPr>
    </w:lvl>
  </w:abstractNum>
  <w:abstractNum w:abstractNumId="15">
    <w:nsid w:val="58BFC878"/>
    <w:multiLevelType w:val="singleLevel"/>
    <w:tmpl w:val="58BFC878"/>
    <w:lvl w:ilvl="0" w:tentative="0">
      <w:start w:val="1"/>
      <w:numFmt w:val="decimal"/>
      <w:suff w:val="nothing"/>
      <w:lvlText w:val="%1、"/>
      <w:lvlJc w:val="left"/>
      <w:pPr>
        <w:ind w:left="0" w:firstLine="420"/>
      </w:pPr>
      <w:rPr>
        <w:rFonts w:hint="default"/>
      </w:rPr>
    </w:lvl>
  </w:abstractNum>
  <w:abstractNum w:abstractNumId="16">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17">
    <w:nsid w:val="58E5EC48"/>
    <w:multiLevelType w:val="singleLevel"/>
    <w:tmpl w:val="58E5EC48"/>
    <w:lvl w:ilvl="0" w:tentative="0">
      <w:start w:val="1"/>
      <w:numFmt w:val="decimal"/>
      <w:suff w:val="nothing"/>
      <w:lvlText w:val="（%1）"/>
      <w:lvlJc w:val="left"/>
    </w:lvl>
  </w:abstractNum>
  <w:abstractNum w:abstractNumId="18">
    <w:nsid w:val="59E578C5"/>
    <w:multiLevelType w:val="singleLevel"/>
    <w:tmpl w:val="59E578C5"/>
    <w:lvl w:ilvl="0" w:tentative="0">
      <w:start w:val="5"/>
      <w:numFmt w:val="chineseCounting"/>
      <w:suff w:val="nothing"/>
      <w:lvlText w:val="第%1部"/>
      <w:lvlJc w:val="left"/>
    </w:lvl>
  </w:abstractNum>
  <w:abstractNum w:abstractNumId="19">
    <w:nsid w:val="59F034A0"/>
    <w:multiLevelType w:val="singleLevel"/>
    <w:tmpl w:val="59F034A0"/>
    <w:lvl w:ilvl="0" w:tentative="0">
      <w:start w:val="1"/>
      <w:numFmt w:val="bullet"/>
      <w:lvlText w:val=""/>
      <w:lvlJc w:val="left"/>
      <w:pPr>
        <w:ind w:left="420" w:hanging="420"/>
      </w:pPr>
      <w:rPr>
        <w:rFonts w:hint="default" w:ascii="Wingdings" w:hAnsi="Wingdings"/>
      </w:rPr>
    </w:lvl>
  </w:abstractNum>
  <w:abstractNum w:abstractNumId="20">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21">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22">
    <w:nsid w:val="59F098B5"/>
    <w:multiLevelType w:val="singleLevel"/>
    <w:tmpl w:val="59F098B5"/>
    <w:lvl w:ilvl="0" w:tentative="0">
      <w:start w:val="1"/>
      <w:numFmt w:val="decimal"/>
      <w:suff w:val="nothing"/>
      <w:lvlText w:val="（%1）"/>
      <w:lvlJc w:val="left"/>
      <w:pPr>
        <w:ind w:left="0" w:firstLine="420"/>
      </w:pPr>
      <w:rPr>
        <w:rFonts w:hint="default"/>
      </w:rPr>
    </w:lvl>
  </w:abstractNum>
  <w:abstractNum w:abstractNumId="23">
    <w:nsid w:val="59F098CD"/>
    <w:multiLevelType w:val="singleLevel"/>
    <w:tmpl w:val="59F098CD"/>
    <w:lvl w:ilvl="0" w:tentative="0">
      <w:start w:val="1"/>
      <w:numFmt w:val="decimal"/>
      <w:suff w:val="nothing"/>
      <w:lvlText w:val="（%1）"/>
      <w:lvlJc w:val="left"/>
      <w:pPr>
        <w:ind w:left="0" w:firstLine="420"/>
      </w:pPr>
      <w:rPr>
        <w:rFonts w:hint="default"/>
      </w:rPr>
    </w:lvl>
  </w:abstractNum>
  <w:abstractNum w:abstractNumId="24">
    <w:nsid w:val="59F099C9"/>
    <w:multiLevelType w:val="singleLevel"/>
    <w:tmpl w:val="59F099C9"/>
    <w:lvl w:ilvl="0" w:tentative="0">
      <w:start w:val="1"/>
      <w:numFmt w:val="decimal"/>
      <w:suff w:val="nothing"/>
      <w:lvlText w:val="（%1）"/>
      <w:lvlJc w:val="left"/>
      <w:pPr>
        <w:ind w:left="0" w:firstLine="420"/>
      </w:pPr>
      <w:rPr>
        <w:rFonts w:hint="default"/>
      </w:rPr>
    </w:lvl>
  </w:abstractNum>
  <w:abstractNum w:abstractNumId="25">
    <w:nsid w:val="59F09AA5"/>
    <w:multiLevelType w:val="singleLevel"/>
    <w:tmpl w:val="59F09AA5"/>
    <w:lvl w:ilvl="0" w:tentative="0">
      <w:start w:val="1"/>
      <w:numFmt w:val="decimal"/>
      <w:suff w:val="nothing"/>
      <w:lvlText w:val="（%1）"/>
      <w:lvlJc w:val="left"/>
      <w:pPr>
        <w:ind w:left="0" w:firstLine="420"/>
      </w:pPr>
      <w:rPr>
        <w:rFonts w:hint="default"/>
      </w:rPr>
    </w:lvl>
  </w:abstractNum>
  <w:abstractNum w:abstractNumId="26">
    <w:nsid w:val="7D241A0A"/>
    <w:multiLevelType w:val="multilevel"/>
    <w:tmpl w:val="7D241A0A"/>
    <w:lvl w:ilvl="0" w:tentative="0">
      <w:start w:val="1"/>
      <w:numFmt w:val="decimal"/>
      <w:lvlText w:val="%1)"/>
      <w:lvlJc w:val="left"/>
      <w:pPr>
        <w:ind w:left="900" w:hanging="420"/>
      </w:pPr>
      <w:rPr>
        <w:rFonts w:hint="eastAsia"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5"/>
  </w:num>
  <w:num w:numId="3">
    <w:abstractNumId w:val="15"/>
  </w:num>
  <w:num w:numId="4">
    <w:abstractNumId w:val="8"/>
  </w:num>
  <w:num w:numId="5">
    <w:abstractNumId w:val="9"/>
  </w:num>
  <w:num w:numId="6">
    <w:abstractNumId w:val="6"/>
  </w:num>
  <w:num w:numId="7">
    <w:abstractNumId w:val="13"/>
  </w:num>
  <w:num w:numId="8">
    <w:abstractNumId w:val="16"/>
  </w:num>
  <w:num w:numId="9">
    <w:abstractNumId w:val="10"/>
  </w:num>
  <w:num w:numId="10">
    <w:abstractNumId w:val="14"/>
  </w:num>
  <w:num w:numId="11">
    <w:abstractNumId w:val="22"/>
  </w:num>
  <w:num w:numId="12">
    <w:abstractNumId w:val="23"/>
  </w:num>
  <w:num w:numId="13">
    <w:abstractNumId w:val="19"/>
  </w:num>
  <w:num w:numId="14">
    <w:abstractNumId w:val="24"/>
  </w:num>
  <w:num w:numId="15">
    <w:abstractNumId w:val="11"/>
  </w:num>
  <w:num w:numId="16">
    <w:abstractNumId w:val="12"/>
  </w:num>
  <w:num w:numId="17">
    <w:abstractNumId w:val="20"/>
  </w:num>
  <w:num w:numId="18">
    <w:abstractNumId w:val="21"/>
  </w:num>
  <w:num w:numId="19">
    <w:abstractNumId w:val="25"/>
  </w:num>
  <w:num w:numId="20">
    <w:abstractNumId w:val="3"/>
  </w:num>
  <w:num w:numId="21">
    <w:abstractNumId w:val="7"/>
  </w:num>
  <w:num w:numId="22">
    <w:abstractNumId w:val="18"/>
  </w:num>
  <w:num w:numId="23">
    <w:abstractNumId w:val="26"/>
  </w:num>
  <w:num w:numId="24">
    <w:abstractNumId w:val="4"/>
  </w:num>
  <w:num w:numId="25">
    <w:abstractNumId w:val="0"/>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documentProtection w:enforcement="0"/>
  <w:defaultTabStop w:val="420"/>
  <w:drawingGridHorizontalSpacing w:val="105"/>
  <w:drawingGridVerticalSpacing w:val="31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ODhmMTk2NGUyOWI3OWViZmQ0ODkzZTYyOGI1ZDgifQ=="/>
  </w:docVars>
  <w:rsids>
    <w:rsidRoot w:val="2627224F"/>
    <w:rsid w:val="00001425"/>
    <w:rsid w:val="00056CD8"/>
    <w:rsid w:val="00061B22"/>
    <w:rsid w:val="00092509"/>
    <w:rsid w:val="000A2C3A"/>
    <w:rsid w:val="000B3FC4"/>
    <w:rsid w:val="000C0895"/>
    <w:rsid w:val="000E55ED"/>
    <w:rsid w:val="000E58A3"/>
    <w:rsid w:val="00100418"/>
    <w:rsid w:val="0011607E"/>
    <w:rsid w:val="001269B4"/>
    <w:rsid w:val="00135474"/>
    <w:rsid w:val="00167A28"/>
    <w:rsid w:val="0018410D"/>
    <w:rsid w:val="001F0785"/>
    <w:rsid w:val="002165BB"/>
    <w:rsid w:val="00241322"/>
    <w:rsid w:val="0025484D"/>
    <w:rsid w:val="00262E5C"/>
    <w:rsid w:val="0028240D"/>
    <w:rsid w:val="002878E9"/>
    <w:rsid w:val="00290FBC"/>
    <w:rsid w:val="002A2097"/>
    <w:rsid w:val="002C5052"/>
    <w:rsid w:val="002D236F"/>
    <w:rsid w:val="002D7A6D"/>
    <w:rsid w:val="002E07BF"/>
    <w:rsid w:val="002F6FCA"/>
    <w:rsid w:val="00316E46"/>
    <w:rsid w:val="00337601"/>
    <w:rsid w:val="00347BE2"/>
    <w:rsid w:val="0035067D"/>
    <w:rsid w:val="00360C09"/>
    <w:rsid w:val="00377DD5"/>
    <w:rsid w:val="00386522"/>
    <w:rsid w:val="003A5C89"/>
    <w:rsid w:val="003D37C1"/>
    <w:rsid w:val="003E45DE"/>
    <w:rsid w:val="003E65D8"/>
    <w:rsid w:val="003E7B81"/>
    <w:rsid w:val="003F3D18"/>
    <w:rsid w:val="003F64A7"/>
    <w:rsid w:val="00421711"/>
    <w:rsid w:val="004313A1"/>
    <w:rsid w:val="004456E2"/>
    <w:rsid w:val="00447862"/>
    <w:rsid w:val="00453201"/>
    <w:rsid w:val="00462D92"/>
    <w:rsid w:val="00467536"/>
    <w:rsid w:val="00482B14"/>
    <w:rsid w:val="00490EB6"/>
    <w:rsid w:val="004D70C5"/>
    <w:rsid w:val="005044F7"/>
    <w:rsid w:val="00520C66"/>
    <w:rsid w:val="00522064"/>
    <w:rsid w:val="00524BC5"/>
    <w:rsid w:val="00527BFD"/>
    <w:rsid w:val="00534DAB"/>
    <w:rsid w:val="005556EC"/>
    <w:rsid w:val="00560F51"/>
    <w:rsid w:val="005728D1"/>
    <w:rsid w:val="005918D7"/>
    <w:rsid w:val="005A1E74"/>
    <w:rsid w:val="005B3960"/>
    <w:rsid w:val="005D7A12"/>
    <w:rsid w:val="005E2798"/>
    <w:rsid w:val="00603C33"/>
    <w:rsid w:val="006047D6"/>
    <w:rsid w:val="0064069F"/>
    <w:rsid w:val="0064451B"/>
    <w:rsid w:val="00645208"/>
    <w:rsid w:val="00652D89"/>
    <w:rsid w:val="00661C11"/>
    <w:rsid w:val="006657C9"/>
    <w:rsid w:val="0068282F"/>
    <w:rsid w:val="00696FBA"/>
    <w:rsid w:val="006A3734"/>
    <w:rsid w:val="006B3212"/>
    <w:rsid w:val="006B38D0"/>
    <w:rsid w:val="006B71CA"/>
    <w:rsid w:val="006D4400"/>
    <w:rsid w:val="006E46DF"/>
    <w:rsid w:val="006E7870"/>
    <w:rsid w:val="006F1FD6"/>
    <w:rsid w:val="006F623E"/>
    <w:rsid w:val="006F6CE7"/>
    <w:rsid w:val="00743BB4"/>
    <w:rsid w:val="0074408D"/>
    <w:rsid w:val="007441D9"/>
    <w:rsid w:val="00792491"/>
    <w:rsid w:val="007A44B6"/>
    <w:rsid w:val="007D63C4"/>
    <w:rsid w:val="00803D85"/>
    <w:rsid w:val="00803F6A"/>
    <w:rsid w:val="00833C56"/>
    <w:rsid w:val="00841916"/>
    <w:rsid w:val="00842F88"/>
    <w:rsid w:val="0086026F"/>
    <w:rsid w:val="00886168"/>
    <w:rsid w:val="008866C0"/>
    <w:rsid w:val="00891290"/>
    <w:rsid w:val="008962A7"/>
    <w:rsid w:val="00897D92"/>
    <w:rsid w:val="008A367A"/>
    <w:rsid w:val="008B7CA5"/>
    <w:rsid w:val="008C49CF"/>
    <w:rsid w:val="008D56DD"/>
    <w:rsid w:val="008F6EFE"/>
    <w:rsid w:val="008F752D"/>
    <w:rsid w:val="00916046"/>
    <w:rsid w:val="00931804"/>
    <w:rsid w:val="009366A8"/>
    <w:rsid w:val="00941AF3"/>
    <w:rsid w:val="00954CF1"/>
    <w:rsid w:val="0095596F"/>
    <w:rsid w:val="00973CE8"/>
    <w:rsid w:val="00992691"/>
    <w:rsid w:val="009A4A76"/>
    <w:rsid w:val="009D6209"/>
    <w:rsid w:val="009F5F11"/>
    <w:rsid w:val="00A00B8C"/>
    <w:rsid w:val="00A10123"/>
    <w:rsid w:val="00A1793C"/>
    <w:rsid w:val="00A24217"/>
    <w:rsid w:val="00A248F4"/>
    <w:rsid w:val="00A34DE0"/>
    <w:rsid w:val="00A4619A"/>
    <w:rsid w:val="00A63494"/>
    <w:rsid w:val="00A6586E"/>
    <w:rsid w:val="00A73F78"/>
    <w:rsid w:val="00A8343C"/>
    <w:rsid w:val="00A921BA"/>
    <w:rsid w:val="00AB0730"/>
    <w:rsid w:val="00AC60A6"/>
    <w:rsid w:val="00AC7625"/>
    <w:rsid w:val="00AD72BC"/>
    <w:rsid w:val="00AF7587"/>
    <w:rsid w:val="00B32079"/>
    <w:rsid w:val="00B661E8"/>
    <w:rsid w:val="00B721AB"/>
    <w:rsid w:val="00B76DB3"/>
    <w:rsid w:val="00B926EC"/>
    <w:rsid w:val="00BA067C"/>
    <w:rsid w:val="00BC1AB3"/>
    <w:rsid w:val="00BC7715"/>
    <w:rsid w:val="00BD2877"/>
    <w:rsid w:val="00BE47C5"/>
    <w:rsid w:val="00C1147B"/>
    <w:rsid w:val="00C225C4"/>
    <w:rsid w:val="00C30411"/>
    <w:rsid w:val="00C56CC2"/>
    <w:rsid w:val="00C60F1E"/>
    <w:rsid w:val="00C735E8"/>
    <w:rsid w:val="00C77720"/>
    <w:rsid w:val="00C92784"/>
    <w:rsid w:val="00CA477A"/>
    <w:rsid w:val="00CF275C"/>
    <w:rsid w:val="00D01247"/>
    <w:rsid w:val="00D0394F"/>
    <w:rsid w:val="00D574E4"/>
    <w:rsid w:val="00D576EF"/>
    <w:rsid w:val="00D66260"/>
    <w:rsid w:val="00D723CA"/>
    <w:rsid w:val="00D9298A"/>
    <w:rsid w:val="00D95D73"/>
    <w:rsid w:val="00D9641E"/>
    <w:rsid w:val="00DA4229"/>
    <w:rsid w:val="00DB4BDD"/>
    <w:rsid w:val="00DC1986"/>
    <w:rsid w:val="00DC7FB0"/>
    <w:rsid w:val="00E04145"/>
    <w:rsid w:val="00E24AFE"/>
    <w:rsid w:val="00E40286"/>
    <w:rsid w:val="00E55562"/>
    <w:rsid w:val="00E6619C"/>
    <w:rsid w:val="00E723EB"/>
    <w:rsid w:val="00E82171"/>
    <w:rsid w:val="00E8261A"/>
    <w:rsid w:val="00E84BD2"/>
    <w:rsid w:val="00E9724B"/>
    <w:rsid w:val="00EA1ECE"/>
    <w:rsid w:val="00ED34B4"/>
    <w:rsid w:val="00F00625"/>
    <w:rsid w:val="00F234ED"/>
    <w:rsid w:val="00F25511"/>
    <w:rsid w:val="00F75245"/>
    <w:rsid w:val="00FC5BAE"/>
    <w:rsid w:val="00FD62CF"/>
    <w:rsid w:val="00FF46C3"/>
    <w:rsid w:val="010A208B"/>
    <w:rsid w:val="011221F0"/>
    <w:rsid w:val="012A3FA6"/>
    <w:rsid w:val="013A223F"/>
    <w:rsid w:val="01401F5A"/>
    <w:rsid w:val="01525A0A"/>
    <w:rsid w:val="016A454D"/>
    <w:rsid w:val="016E1781"/>
    <w:rsid w:val="017D3840"/>
    <w:rsid w:val="01920D21"/>
    <w:rsid w:val="019C7937"/>
    <w:rsid w:val="01AC2FBF"/>
    <w:rsid w:val="01B14BA6"/>
    <w:rsid w:val="01EB73A9"/>
    <w:rsid w:val="01F12F1C"/>
    <w:rsid w:val="01F90F7C"/>
    <w:rsid w:val="02064B47"/>
    <w:rsid w:val="02203E6B"/>
    <w:rsid w:val="02211D91"/>
    <w:rsid w:val="02317AF5"/>
    <w:rsid w:val="026117A6"/>
    <w:rsid w:val="027B35DF"/>
    <w:rsid w:val="027C4FD4"/>
    <w:rsid w:val="02854F8C"/>
    <w:rsid w:val="0294379C"/>
    <w:rsid w:val="02B4543E"/>
    <w:rsid w:val="02C40641"/>
    <w:rsid w:val="02C467FF"/>
    <w:rsid w:val="02E638FA"/>
    <w:rsid w:val="02F47738"/>
    <w:rsid w:val="02F61685"/>
    <w:rsid w:val="02FA17E2"/>
    <w:rsid w:val="030A0C9E"/>
    <w:rsid w:val="031C5CB6"/>
    <w:rsid w:val="0337790B"/>
    <w:rsid w:val="034C725D"/>
    <w:rsid w:val="03541409"/>
    <w:rsid w:val="035B7692"/>
    <w:rsid w:val="03BC71AC"/>
    <w:rsid w:val="03C10C9F"/>
    <w:rsid w:val="03C921C1"/>
    <w:rsid w:val="03CD78DC"/>
    <w:rsid w:val="03D02D9A"/>
    <w:rsid w:val="041415D9"/>
    <w:rsid w:val="04221DEB"/>
    <w:rsid w:val="042B497B"/>
    <w:rsid w:val="043A5387"/>
    <w:rsid w:val="04533F35"/>
    <w:rsid w:val="046D004A"/>
    <w:rsid w:val="047F797B"/>
    <w:rsid w:val="04A57776"/>
    <w:rsid w:val="04CD0688"/>
    <w:rsid w:val="04D502BA"/>
    <w:rsid w:val="04E552CD"/>
    <w:rsid w:val="04ED70D5"/>
    <w:rsid w:val="04F00282"/>
    <w:rsid w:val="050438CD"/>
    <w:rsid w:val="051340F0"/>
    <w:rsid w:val="053C77D5"/>
    <w:rsid w:val="05402991"/>
    <w:rsid w:val="054E1CE0"/>
    <w:rsid w:val="055324E3"/>
    <w:rsid w:val="056D353A"/>
    <w:rsid w:val="057A7F6E"/>
    <w:rsid w:val="058B6516"/>
    <w:rsid w:val="05AF2BAD"/>
    <w:rsid w:val="05B72A07"/>
    <w:rsid w:val="05F7149D"/>
    <w:rsid w:val="05F75792"/>
    <w:rsid w:val="060454DB"/>
    <w:rsid w:val="06110D47"/>
    <w:rsid w:val="06226007"/>
    <w:rsid w:val="06475ABC"/>
    <w:rsid w:val="066D1D57"/>
    <w:rsid w:val="066D1EB1"/>
    <w:rsid w:val="06700F66"/>
    <w:rsid w:val="069C4E67"/>
    <w:rsid w:val="06A62B21"/>
    <w:rsid w:val="06AA32FE"/>
    <w:rsid w:val="06BE30D0"/>
    <w:rsid w:val="06C242A6"/>
    <w:rsid w:val="06C833A0"/>
    <w:rsid w:val="06CC2420"/>
    <w:rsid w:val="06E5268E"/>
    <w:rsid w:val="06E56C12"/>
    <w:rsid w:val="06EF2DB2"/>
    <w:rsid w:val="07342154"/>
    <w:rsid w:val="074860B9"/>
    <w:rsid w:val="077C69A6"/>
    <w:rsid w:val="07810D4D"/>
    <w:rsid w:val="079E2470"/>
    <w:rsid w:val="07E562BD"/>
    <w:rsid w:val="07F5447E"/>
    <w:rsid w:val="080A32C2"/>
    <w:rsid w:val="08227B5F"/>
    <w:rsid w:val="082974F3"/>
    <w:rsid w:val="082E3EA1"/>
    <w:rsid w:val="08385A0E"/>
    <w:rsid w:val="08501D01"/>
    <w:rsid w:val="08571E08"/>
    <w:rsid w:val="086246AB"/>
    <w:rsid w:val="087D1536"/>
    <w:rsid w:val="087F4364"/>
    <w:rsid w:val="088C39B6"/>
    <w:rsid w:val="089B3D5B"/>
    <w:rsid w:val="089E6879"/>
    <w:rsid w:val="08A13470"/>
    <w:rsid w:val="08A71472"/>
    <w:rsid w:val="08AB6DCE"/>
    <w:rsid w:val="08AD1102"/>
    <w:rsid w:val="08B16FB6"/>
    <w:rsid w:val="08B42E9D"/>
    <w:rsid w:val="08B62F1E"/>
    <w:rsid w:val="08BA4DBE"/>
    <w:rsid w:val="08CE74ED"/>
    <w:rsid w:val="08DE3932"/>
    <w:rsid w:val="08E43B13"/>
    <w:rsid w:val="08F02C71"/>
    <w:rsid w:val="09016E96"/>
    <w:rsid w:val="09052179"/>
    <w:rsid w:val="090A42F6"/>
    <w:rsid w:val="09271A18"/>
    <w:rsid w:val="0949327F"/>
    <w:rsid w:val="09601498"/>
    <w:rsid w:val="0961677C"/>
    <w:rsid w:val="096B36C3"/>
    <w:rsid w:val="097A7578"/>
    <w:rsid w:val="09913C41"/>
    <w:rsid w:val="09CF78A6"/>
    <w:rsid w:val="09D92656"/>
    <w:rsid w:val="09E1791E"/>
    <w:rsid w:val="09EA213D"/>
    <w:rsid w:val="09F61DEB"/>
    <w:rsid w:val="09F82B45"/>
    <w:rsid w:val="0A0976BB"/>
    <w:rsid w:val="0A1251A0"/>
    <w:rsid w:val="0A1C3051"/>
    <w:rsid w:val="0A2B28F9"/>
    <w:rsid w:val="0A3E3F88"/>
    <w:rsid w:val="0A672A35"/>
    <w:rsid w:val="0A8C4DCE"/>
    <w:rsid w:val="0ADE0E35"/>
    <w:rsid w:val="0AE62833"/>
    <w:rsid w:val="0B157D22"/>
    <w:rsid w:val="0B273E7A"/>
    <w:rsid w:val="0B3C33C5"/>
    <w:rsid w:val="0B5D1A85"/>
    <w:rsid w:val="0B612AD9"/>
    <w:rsid w:val="0B725406"/>
    <w:rsid w:val="0B790DCF"/>
    <w:rsid w:val="0BA1174D"/>
    <w:rsid w:val="0BB31A32"/>
    <w:rsid w:val="0BB5243F"/>
    <w:rsid w:val="0BC01E57"/>
    <w:rsid w:val="0BCD6AE0"/>
    <w:rsid w:val="0BD7795F"/>
    <w:rsid w:val="0BDD543F"/>
    <w:rsid w:val="0BED26A5"/>
    <w:rsid w:val="0C5B4150"/>
    <w:rsid w:val="0C651F42"/>
    <w:rsid w:val="0C6E31C5"/>
    <w:rsid w:val="0C965C32"/>
    <w:rsid w:val="0CB5191B"/>
    <w:rsid w:val="0CB6728F"/>
    <w:rsid w:val="0CD12E5F"/>
    <w:rsid w:val="0CF371EF"/>
    <w:rsid w:val="0CF64E24"/>
    <w:rsid w:val="0CFD25BD"/>
    <w:rsid w:val="0D276E81"/>
    <w:rsid w:val="0D37136D"/>
    <w:rsid w:val="0D437156"/>
    <w:rsid w:val="0D452987"/>
    <w:rsid w:val="0D577949"/>
    <w:rsid w:val="0D696CDD"/>
    <w:rsid w:val="0D6B3EA9"/>
    <w:rsid w:val="0D6D25BC"/>
    <w:rsid w:val="0D8B4EFD"/>
    <w:rsid w:val="0D933F5C"/>
    <w:rsid w:val="0DA62C82"/>
    <w:rsid w:val="0DA800E4"/>
    <w:rsid w:val="0DAB20F5"/>
    <w:rsid w:val="0DE65566"/>
    <w:rsid w:val="0E0C42FA"/>
    <w:rsid w:val="0E381521"/>
    <w:rsid w:val="0E395E02"/>
    <w:rsid w:val="0E507C98"/>
    <w:rsid w:val="0E597398"/>
    <w:rsid w:val="0E735FE8"/>
    <w:rsid w:val="0E84603F"/>
    <w:rsid w:val="0E871431"/>
    <w:rsid w:val="0E8E7999"/>
    <w:rsid w:val="0E992CF7"/>
    <w:rsid w:val="0EA55CF9"/>
    <w:rsid w:val="0EA91CC7"/>
    <w:rsid w:val="0EB27F91"/>
    <w:rsid w:val="0EE62309"/>
    <w:rsid w:val="0EF16F8A"/>
    <w:rsid w:val="0F022F45"/>
    <w:rsid w:val="0F0B620A"/>
    <w:rsid w:val="0F1E276E"/>
    <w:rsid w:val="0F3B5837"/>
    <w:rsid w:val="0F490310"/>
    <w:rsid w:val="0F600D55"/>
    <w:rsid w:val="0F6B0AEA"/>
    <w:rsid w:val="0F6E710D"/>
    <w:rsid w:val="0F783704"/>
    <w:rsid w:val="0FB92424"/>
    <w:rsid w:val="0FC66DA3"/>
    <w:rsid w:val="0FDE687B"/>
    <w:rsid w:val="0FE13E81"/>
    <w:rsid w:val="0FEA3255"/>
    <w:rsid w:val="0FEF3750"/>
    <w:rsid w:val="0FF0797A"/>
    <w:rsid w:val="0FF70A05"/>
    <w:rsid w:val="103966FB"/>
    <w:rsid w:val="10543018"/>
    <w:rsid w:val="106F4F4B"/>
    <w:rsid w:val="108D7573"/>
    <w:rsid w:val="108E6DDE"/>
    <w:rsid w:val="10BD339A"/>
    <w:rsid w:val="10C05539"/>
    <w:rsid w:val="10C43E8A"/>
    <w:rsid w:val="10E12AC3"/>
    <w:rsid w:val="10E60CE0"/>
    <w:rsid w:val="10ED0C77"/>
    <w:rsid w:val="10FF1E8F"/>
    <w:rsid w:val="110C3C07"/>
    <w:rsid w:val="111629CD"/>
    <w:rsid w:val="1129294F"/>
    <w:rsid w:val="11370066"/>
    <w:rsid w:val="113F584A"/>
    <w:rsid w:val="114B66BB"/>
    <w:rsid w:val="115413EC"/>
    <w:rsid w:val="115C70AA"/>
    <w:rsid w:val="11717863"/>
    <w:rsid w:val="11AC1DC2"/>
    <w:rsid w:val="11B361D3"/>
    <w:rsid w:val="11BB4D58"/>
    <w:rsid w:val="11DB1585"/>
    <w:rsid w:val="11EB455B"/>
    <w:rsid w:val="11F27A58"/>
    <w:rsid w:val="122071D4"/>
    <w:rsid w:val="123D010A"/>
    <w:rsid w:val="123F2B4E"/>
    <w:rsid w:val="12455DD6"/>
    <w:rsid w:val="12793BBE"/>
    <w:rsid w:val="127C7827"/>
    <w:rsid w:val="128C33F4"/>
    <w:rsid w:val="128F4AEF"/>
    <w:rsid w:val="129D35E8"/>
    <w:rsid w:val="12A93A7E"/>
    <w:rsid w:val="12C62A75"/>
    <w:rsid w:val="12E26B83"/>
    <w:rsid w:val="130258A9"/>
    <w:rsid w:val="131C06AC"/>
    <w:rsid w:val="133B485B"/>
    <w:rsid w:val="13487675"/>
    <w:rsid w:val="135347A4"/>
    <w:rsid w:val="135E6AB9"/>
    <w:rsid w:val="137447B2"/>
    <w:rsid w:val="13873A19"/>
    <w:rsid w:val="138D11BC"/>
    <w:rsid w:val="139A492C"/>
    <w:rsid w:val="139D2FCC"/>
    <w:rsid w:val="13AB106E"/>
    <w:rsid w:val="13B44283"/>
    <w:rsid w:val="13B708E5"/>
    <w:rsid w:val="13C22D0E"/>
    <w:rsid w:val="13D01F9A"/>
    <w:rsid w:val="13D84C83"/>
    <w:rsid w:val="140C4EB0"/>
    <w:rsid w:val="14251DC9"/>
    <w:rsid w:val="142B6A9A"/>
    <w:rsid w:val="14330A64"/>
    <w:rsid w:val="14612E51"/>
    <w:rsid w:val="14663E36"/>
    <w:rsid w:val="1481153D"/>
    <w:rsid w:val="1487342E"/>
    <w:rsid w:val="148B73A4"/>
    <w:rsid w:val="149C20CC"/>
    <w:rsid w:val="14A12C55"/>
    <w:rsid w:val="14B845A5"/>
    <w:rsid w:val="14BE3BD2"/>
    <w:rsid w:val="14ED76EE"/>
    <w:rsid w:val="15273101"/>
    <w:rsid w:val="152B6CB1"/>
    <w:rsid w:val="15354B79"/>
    <w:rsid w:val="153A3BAB"/>
    <w:rsid w:val="153B4ABB"/>
    <w:rsid w:val="153D21FC"/>
    <w:rsid w:val="15524029"/>
    <w:rsid w:val="15550B09"/>
    <w:rsid w:val="155550C1"/>
    <w:rsid w:val="155E1E86"/>
    <w:rsid w:val="15730A76"/>
    <w:rsid w:val="15761223"/>
    <w:rsid w:val="159517A5"/>
    <w:rsid w:val="159E06BA"/>
    <w:rsid w:val="15A005F4"/>
    <w:rsid w:val="15A112A4"/>
    <w:rsid w:val="15B12A79"/>
    <w:rsid w:val="15BA44BE"/>
    <w:rsid w:val="15E23CA8"/>
    <w:rsid w:val="15F35063"/>
    <w:rsid w:val="15F43279"/>
    <w:rsid w:val="160A3A04"/>
    <w:rsid w:val="16110AAB"/>
    <w:rsid w:val="163A4B06"/>
    <w:rsid w:val="164F318E"/>
    <w:rsid w:val="166B3507"/>
    <w:rsid w:val="166C290E"/>
    <w:rsid w:val="167F6E20"/>
    <w:rsid w:val="16890A28"/>
    <w:rsid w:val="16932EFD"/>
    <w:rsid w:val="16F22B0D"/>
    <w:rsid w:val="170705E0"/>
    <w:rsid w:val="17304B16"/>
    <w:rsid w:val="17575561"/>
    <w:rsid w:val="175A7556"/>
    <w:rsid w:val="176C5AF8"/>
    <w:rsid w:val="1782530A"/>
    <w:rsid w:val="17834838"/>
    <w:rsid w:val="17907B2D"/>
    <w:rsid w:val="17A06173"/>
    <w:rsid w:val="17B56054"/>
    <w:rsid w:val="17B93ABA"/>
    <w:rsid w:val="17C01E12"/>
    <w:rsid w:val="17DB07D7"/>
    <w:rsid w:val="17DF536C"/>
    <w:rsid w:val="17E5496E"/>
    <w:rsid w:val="18114965"/>
    <w:rsid w:val="18210E1C"/>
    <w:rsid w:val="182254AA"/>
    <w:rsid w:val="18265EA4"/>
    <w:rsid w:val="18360FBE"/>
    <w:rsid w:val="18370ACC"/>
    <w:rsid w:val="183D0E38"/>
    <w:rsid w:val="1841587E"/>
    <w:rsid w:val="186F1C22"/>
    <w:rsid w:val="186F3E63"/>
    <w:rsid w:val="187857E7"/>
    <w:rsid w:val="187B19AA"/>
    <w:rsid w:val="188321C6"/>
    <w:rsid w:val="18921717"/>
    <w:rsid w:val="189255FF"/>
    <w:rsid w:val="1896596E"/>
    <w:rsid w:val="18A8194B"/>
    <w:rsid w:val="18BF7702"/>
    <w:rsid w:val="18D064A2"/>
    <w:rsid w:val="18DD72A5"/>
    <w:rsid w:val="18EA4A4C"/>
    <w:rsid w:val="192F739D"/>
    <w:rsid w:val="19364C76"/>
    <w:rsid w:val="19394B72"/>
    <w:rsid w:val="193A5AAC"/>
    <w:rsid w:val="195E2B1D"/>
    <w:rsid w:val="19626FF0"/>
    <w:rsid w:val="1966686C"/>
    <w:rsid w:val="19930637"/>
    <w:rsid w:val="19A16EF9"/>
    <w:rsid w:val="19BA6D87"/>
    <w:rsid w:val="1A080F4B"/>
    <w:rsid w:val="1A157ACA"/>
    <w:rsid w:val="1A324F2D"/>
    <w:rsid w:val="1A462475"/>
    <w:rsid w:val="1A4D582F"/>
    <w:rsid w:val="1A503212"/>
    <w:rsid w:val="1A50725A"/>
    <w:rsid w:val="1A564145"/>
    <w:rsid w:val="1A586F7B"/>
    <w:rsid w:val="1A5921BF"/>
    <w:rsid w:val="1A886D9D"/>
    <w:rsid w:val="1A8D1E64"/>
    <w:rsid w:val="1AD72BEF"/>
    <w:rsid w:val="1AD924A3"/>
    <w:rsid w:val="1AF11218"/>
    <w:rsid w:val="1AFA4D0C"/>
    <w:rsid w:val="1B055924"/>
    <w:rsid w:val="1B115D3C"/>
    <w:rsid w:val="1B126AF3"/>
    <w:rsid w:val="1B190381"/>
    <w:rsid w:val="1B1E0896"/>
    <w:rsid w:val="1B2317D5"/>
    <w:rsid w:val="1B2F54E0"/>
    <w:rsid w:val="1B3D2F0D"/>
    <w:rsid w:val="1B565021"/>
    <w:rsid w:val="1B67604D"/>
    <w:rsid w:val="1B6C76E2"/>
    <w:rsid w:val="1B807337"/>
    <w:rsid w:val="1B844153"/>
    <w:rsid w:val="1BA47C58"/>
    <w:rsid w:val="1BA733F4"/>
    <w:rsid w:val="1BB80F43"/>
    <w:rsid w:val="1BC010BD"/>
    <w:rsid w:val="1BC170B5"/>
    <w:rsid w:val="1BC47A6D"/>
    <w:rsid w:val="1BC85289"/>
    <w:rsid w:val="1BD3178E"/>
    <w:rsid w:val="1BDC02C0"/>
    <w:rsid w:val="1BF0529D"/>
    <w:rsid w:val="1BFB4FA4"/>
    <w:rsid w:val="1BFC089B"/>
    <w:rsid w:val="1C075899"/>
    <w:rsid w:val="1C1A4A1F"/>
    <w:rsid w:val="1C2C1601"/>
    <w:rsid w:val="1C2D16F9"/>
    <w:rsid w:val="1C2F2DAE"/>
    <w:rsid w:val="1C3310EC"/>
    <w:rsid w:val="1C6112B5"/>
    <w:rsid w:val="1C63596F"/>
    <w:rsid w:val="1C6C0ADC"/>
    <w:rsid w:val="1C8E4DE6"/>
    <w:rsid w:val="1CAA0514"/>
    <w:rsid w:val="1CAD5170"/>
    <w:rsid w:val="1CB05D8E"/>
    <w:rsid w:val="1CBB50F6"/>
    <w:rsid w:val="1CC63804"/>
    <w:rsid w:val="1CCB0B08"/>
    <w:rsid w:val="1CDF6673"/>
    <w:rsid w:val="1CEC51A2"/>
    <w:rsid w:val="1CF06AD2"/>
    <w:rsid w:val="1D022362"/>
    <w:rsid w:val="1D097B94"/>
    <w:rsid w:val="1D102CD1"/>
    <w:rsid w:val="1D1B5D73"/>
    <w:rsid w:val="1D2A4BB9"/>
    <w:rsid w:val="1D385997"/>
    <w:rsid w:val="1D5467A5"/>
    <w:rsid w:val="1D6520DB"/>
    <w:rsid w:val="1D6B0D1C"/>
    <w:rsid w:val="1D8E52A2"/>
    <w:rsid w:val="1DBC582B"/>
    <w:rsid w:val="1DC64F3F"/>
    <w:rsid w:val="1DD06C77"/>
    <w:rsid w:val="1DF334D5"/>
    <w:rsid w:val="1DF97E9A"/>
    <w:rsid w:val="1E0F7CB7"/>
    <w:rsid w:val="1E114322"/>
    <w:rsid w:val="1E152B9F"/>
    <w:rsid w:val="1E225A10"/>
    <w:rsid w:val="1E36298C"/>
    <w:rsid w:val="1E397988"/>
    <w:rsid w:val="1E445B9E"/>
    <w:rsid w:val="1E5B5EEC"/>
    <w:rsid w:val="1E5E18A6"/>
    <w:rsid w:val="1E7B60D9"/>
    <w:rsid w:val="1E7F212C"/>
    <w:rsid w:val="1EBA5A8A"/>
    <w:rsid w:val="1EE86F01"/>
    <w:rsid w:val="1EF609DE"/>
    <w:rsid w:val="1EFA3E2F"/>
    <w:rsid w:val="1F011F76"/>
    <w:rsid w:val="1F0F091A"/>
    <w:rsid w:val="1F206854"/>
    <w:rsid w:val="1F244EC9"/>
    <w:rsid w:val="1F305C94"/>
    <w:rsid w:val="1F3B6D4F"/>
    <w:rsid w:val="1F49098D"/>
    <w:rsid w:val="1F4C29B9"/>
    <w:rsid w:val="1F4E4783"/>
    <w:rsid w:val="1F521020"/>
    <w:rsid w:val="1F525FD3"/>
    <w:rsid w:val="1F65543A"/>
    <w:rsid w:val="1F895E51"/>
    <w:rsid w:val="1FA073B6"/>
    <w:rsid w:val="1FCD0309"/>
    <w:rsid w:val="1FD438E2"/>
    <w:rsid w:val="1FDF698A"/>
    <w:rsid w:val="20025D99"/>
    <w:rsid w:val="20202142"/>
    <w:rsid w:val="20250841"/>
    <w:rsid w:val="202B4269"/>
    <w:rsid w:val="202F2BA9"/>
    <w:rsid w:val="203F06FE"/>
    <w:rsid w:val="2054435F"/>
    <w:rsid w:val="205777AC"/>
    <w:rsid w:val="206D3AEA"/>
    <w:rsid w:val="20A37E01"/>
    <w:rsid w:val="21167BF2"/>
    <w:rsid w:val="21210074"/>
    <w:rsid w:val="21222E62"/>
    <w:rsid w:val="21380E53"/>
    <w:rsid w:val="213B1D6B"/>
    <w:rsid w:val="21415B4F"/>
    <w:rsid w:val="2149131F"/>
    <w:rsid w:val="216E1E0A"/>
    <w:rsid w:val="217A7AE2"/>
    <w:rsid w:val="2193451C"/>
    <w:rsid w:val="219A6057"/>
    <w:rsid w:val="21B53414"/>
    <w:rsid w:val="21D13BBB"/>
    <w:rsid w:val="21E5038E"/>
    <w:rsid w:val="223E6CF8"/>
    <w:rsid w:val="22430AEF"/>
    <w:rsid w:val="22435CE5"/>
    <w:rsid w:val="22480CF7"/>
    <w:rsid w:val="225906DB"/>
    <w:rsid w:val="2268567C"/>
    <w:rsid w:val="227C1E95"/>
    <w:rsid w:val="228F73A6"/>
    <w:rsid w:val="22983550"/>
    <w:rsid w:val="22C677C0"/>
    <w:rsid w:val="22DC6591"/>
    <w:rsid w:val="22DD3C85"/>
    <w:rsid w:val="22DE33C9"/>
    <w:rsid w:val="22F64FA7"/>
    <w:rsid w:val="23110894"/>
    <w:rsid w:val="232D3A22"/>
    <w:rsid w:val="23616034"/>
    <w:rsid w:val="23773046"/>
    <w:rsid w:val="23981997"/>
    <w:rsid w:val="23B42767"/>
    <w:rsid w:val="23E303FA"/>
    <w:rsid w:val="24116A25"/>
    <w:rsid w:val="241E70B5"/>
    <w:rsid w:val="24280796"/>
    <w:rsid w:val="242D516F"/>
    <w:rsid w:val="24506376"/>
    <w:rsid w:val="245247ED"/>
    <w:rsid w:val="24575A93"/>
    <w:rsid w:val="24655D1F"/>
    <w:rsid w:val="247D5C4B"/>
    <w:rsid w:val="24824629"/>
    <w:rsid w:val="248B0E8F"/>
    <w:rsid w:val="249267C4"/>
    <w:rsid w:val="24CF0FCC"/>
    <w:rsid w:val="24ED782C"/>
    <w:rsid w:val="24F223CD"/>
    <w:rsid w:val="24F43D34"/>
    <w:rsid w:val="24F874D3"/>
    <w:rsid w:val="25043086"/>
    <w:rsid w:val="252E1698"/>
    <w:rsid w:val="25352E48"/>
    <w:rsid w:val="2556149D"/>
    <w:rsid w:val="255F7AD2"/>
    <w:rsid w:val="256D4FBD"/>
    <w:rsid w:val="25892C61"/>
    <w:rsid w:val="2590731F"/>
    <w:rsid w:val="25AA58E4"/>
    <w:rsid w:val="25C2518C"/>
    <w:rsid w:val="25C37995"/>
    <w:rsid w:val="25DF4E66"/>
    <w:rsid w:val="25FE46E5"/>
    <w:rsid w:val="260D5598"/>
    <w:rsid w:val="2627224F"/>
    <w:rsid w:val="264B4D7A"/>
    <w:rsid w:val="265B0A5D"/>
    <w:rsid w:val="266360FF"/>
    <w:rsid w:val="266B0640"/>
    <w:rsid w:val="266F46D8"/>
    <w:rsid w:val="269F0FBB"/>
    <w:rsid w:val="26AA0022"/>
    <w:rsid w:val="26AA72EA"/>
    <w:rsid w:val="26EF72E5"/>
    <w:rsid w:val="270B0E4A"/>
    <w:rsid w:val="27180E6A"/>
    <w:rsid w:val="271E393C"/>
    <w:rsid w:val="271F446A"/>
    <w:rsid w:val="272950BB"/>
    <w:rsid w:val="273E50FE"/>
    <w:rsid w:val="274023D4"/>
    <w:rsid w:val="274243CE"/>
    <w:rsid w:val="274A2F77"/>
    <w:rsid w:val="275343C9"/>
    <w:rsid w:val="275D1C2F"/>
    <w:rsid w:val="27663E92"/>
    <w:rsid w:val="27863773"/>
    <w:rsid w:val="279624D1"/>
    <w:rsid w:val="27AB30C6"/>
    <w:rsid w:val="27B661D2"/>
    <w:rsid w:val="27D019DA"/>
    <w:rsid w:val="27D076D6"/>
    <w:rsid w:val="27D163B4"/>
    <w:rsid w:val="27D30F6B"/>
    <w:rsid w:val="27DB0656"/>
    <w:rsid w:val="27DE1FDE"/>
    <w:rsid w:val="28242CCB"/>
    <w:rsid w:val="282B2E4E"/>
    <w:rsid w:val="282B36F9"/>
    <w:rsid w:val="2834442B"/>
    <w:rsid w:val="28347A19"/>
    <w:rsid w:val="2839352C"/>
    <w:rsid w:val="283B4018"/>
    <w:rsid w:val="283C2DFC"/>
    <w:rsid w:val="285B1794"/>
    <w:rsid w:val="287813D0"/>
    <w:rsid w:val="287A4FE0"/>
    <w:rsid w:val="28897107"/>
    <w:rsid w:val="28A42CA6"/>
    <w:rsid w:val="28B4658A"/>
    <w:rsid w:val="28B92E20"/>
    <w:rsid w:val="28B93CEB"/>
    <w:rsid w:val="28C15D8C"/>
    <w:rsid w:val="28E1683E"/>
    <w:rsid w:val="28E6684D"/>
    <w:rsid w:val="28EA3FFC"/>
    <w:rsid w:val="28FE7C55"/>
    <w:rsid w:val="291839B5"/>
    <w:rsid w:val="29296AFA"/>
    <w:rsid w:val="294620A3"/>
    <w:rsid w:val="295F2D87"/>
    <w:rsid w:val="298655CE"/>
    <w:rsid w:val="29894921"/>
    <w:rsid w:val="298B1C1A"/>
    <w:rsid w:val="29952549"/>
    <w:rsid w:val="299D08FE"/>
    <w:rsid w:val="29A25D23"/>
    <w:rsid w:val="29C51977"/>
    <w:rsid w:val="29D10A88"/>
    <w:rsid w:val="2A115676"/>
    <w:rsid w:val="2A217069"/>
    <w:rsid w:val="2A3F7060"/>
    <w:rsid w:val="2A441BE1"/>
    <w:rsid w:val="2A4A0382"/>
    <w:rsid w:val="2A652A4B"/>
    <w:rsid w:val="2A6B0D61"/>
    <w:rsid w:val="2A8A0261"/>
    <w:rsid w:val="2A907C9A"/>
    <w:rsid w:val="2A913D63"/>
    <w:rsid w:val="2A93015F"/>
    <w:rsid w:val="2A995D5F"/>
    <w:rsid w:val="2AA02867"/>
    <w:rsid w:val="2AB357E7"/>
    <w:rsid w:val="2AC01461"/>
    <w:rsid w:val="2AC9578D"/>
    <w:rsid w:val="2AD82286"/>
    <w:rsid w:val="2AD879D3"/>
    <w:rsid w:val="2AE94914"/>
    <w:rsid w:val="2B000827"/>
    <w:rsid w:val="2B057FF2"/>
    <w:rsid w:val="2B147011"/>
    <w:rsid w:val="2B354EC3"/>
    <w:rsid w:val="2B416D8A"/>
    <w:rsid w:val="2B4A15D7"/>
    <w:rsid w:val="2B627D0F"/>
    <w:rsid w:val="2B6E34F9"/>
    <w:rsid w:val="2B906198"/>
    <w:rsid w:val="2B955445"/>
    <w:rsid w:val="2BB23B01"/>
    <w:rsid w:val="2BBD71E9"/>
    <w:rsid w:val="2BBF46FE"/>
    <w:rsid w:val="2BC069D0"/>
    <w:rsid w:val="2BD369A2"/>
    <w:rsid w:val="2BD765D3"/>
    <w:rsid w:val="2BDB3818"/>
    <w:rsid w:val="2C2046D9"/>
    <w:rsid w:val="2C221D7F"/>
    <w:rsid w:val="2C2E58D0"/>
    <w:rsid w:val="2C321F86"/>
    <w:rsid w:val="2C37654D"/>
    <w:rsid w:val="2C436C3A"/>
    <w:rsid w:val="2C926CFE"/>
    <w:rsid w:val="2C9446A0"/>
    <w:rsid w:val="2C981658"/>
    <w:rsid w:val="2CC63003"/>
    <w:rsid w:val="2CD0610E"/>
    <w:rsid w:val="2CD51C67"/>
    <w:rsid w:val="2CDA19ED"/>
    <w:rsid w:val="2CDA29B3"/>
    <w:rsid w:val="2CF617E0"/>
    <w:rsid w:val="2CFF5BF3"/>
    <w:rsid w:val="2D16631A"/>
    <w:rsid w:val="2D187D38"/>
    <w:rsid w:val="2D352723"/>
    <w:rsid w:val="2D3C40F0"/>
    <w:rsid w:val="2D517D71"/>
    <w:rsid w:val="2D5A4743"/>
    <w:rsid w:val="2D774D62"/>
    <w:rsid w:val="2D7B699B"/>
    <w:rsid w:val="2D8621F8"/>
    <w:rsid w:val="2D871654"/>
    <w:rsid w:val="2D8C247C"/>
    <w:rsid w:val="2D9406EF"/>
    <w:rsid w:val="2DBB723B"/>
    <w:rsid w:val="2DBC620C"/>
    <w:rsid w:val="2DC15622"/>
    <w:rsid w:val="2DC37DF1"/>
    <w:rsid w:val="2DCD3A46"/>
    <w:rsid w:val="2DE57B52"/>
    <w:rsid w:val="2E0D173F"/>
    <w:rsid w:val="2E136BD4"/>
    <w:rsid w:val="2E1B3416"/>
    <w:rsid w:val="2E1E611B"/>
    <w:rsid w:val="2E2906D2"/>
    <w:rsid w:val="2E3E33BE"/>
    <w:rsid w:val="2E556251"/>
    <w:rsid w:val="2E5D4770"/>
    <w:rsid w:val="2E666904"/>
    <w:rsid w:val="2E7C1FAB"/>
    <w:rsid w:val="2E9C66CD"/>
    <w:rsid w:val="2EA748CD"/>
    <w:rsid w:val="2EB02C27"/>
    <w:rsid w:val="2EB16196"/>
    <w:rsid w:val="2EC5013A"/>
    <w:rsid w:val="2ECF6A2A"/>
    <w:rsid w:val="2F036D4E"/>
    <w:rsid w:val="2F0E5351"/>
    <w:rsid w:val="2F4D3B7A"/>
    <w:rsid w:val="2F5A788A"/>
    <w:rsid w:val="2F5F09F0"/>
    <w:rsid w:val="2F8169CE"/>
    <w:rsid w:val="2F984ABB"/>
    <w:rsid w:val="2FB3434C"/>
    <w:rsid w:val="2FDA3087"/>
    <w:rsid w:val="3010178A"/>
    <w:rsid w:val="30205EEE"/>
    <w:rsid w:val="302F4A4E"/>
    <w:rsid w:val="30333DB6"/>
    <w:rsid w:val="30386626"/>
    <w:rsid w:val="305168AB"/>
    <w:rsid w:val="30561692"/>
    <w:rsid w:val="30575875"/>
    <w:rsid w:val="30635469"/>
    <w:rsid w:val="307B44AD"/>
    <w:rsid w:val="308B4B9A"/>
    <w:rsid w:val="30906CF1"/>
    <w:rsid w:val="30AA13BF"/>
    <w:rsid w:val="30B01389"/>
    <w:rsid w:val="30CD2E6A"/>
    <w:rsid w:val="30EF2137"/>
    <w:rsid w:val="310249E4"/>
    <w:rsid w:val="310929CF"/>
    <w:rsid w:val="31195802"/>
    <w:rsid w:val="313E4759"/>
    <w:rsid w:val="31480FE8"/>
    <w:rsid w:val="315413C9"/>
    <w:rsid w:val="315D7C21"/>
    <w:rsid w:val="3172478D"/>
    <w:rsid w:val="31857973"/>
    <w:rsid w:val="31921939"/>
    <w:rsid w:val="31926D16"/>
    <w:rsid w:val="31B444D7"/>
    <w:rsid w:val="31D36D38"/>
    <w:rsid w:val="31F661C6"/>
    <w:rsid w:val="322235E2"/>
    <w:rsid w:val="32381E17"/>
    <w:rsid w:val="324E226E"/>
    <w:rsid w:val="32580786"/>
    <w:rsid w:val="325B703D"/>
    <w:rsid w:val="326109E3"/>
    <w:rsid w:val="326351F9"/>
    <w:rsid w:val="32785148"/>
    <w:rsid w:val="329714E5"/>
    <w:rsid w:val="32B87D44"/>
    <w:rsid w:val="32C3622C"/>
    <w:rsid w:val="32C52A38"/>
    <w:rsid w:val="32D4454C"/>
    <w:rsid w:val="32F278F9"/>
    <w:rsid w:val="32F341BB"/>
    <w:rsid w:val="32FB3683"/>
    <w:rsid w:val="330001A2"/>
    <w:rsid w:val="331C222E"/>
    <w:rsid w:val="33261E54"/>
    <w:rsid w:val="333628C2"/>
    <w:rsid w:val="33434A04"/>
    <w:rsid w:val="3344794C"/>
    <w:rsid w:val="334713E7"/>
    <w:rsid w:val="334D2CEC"/>
    <w:rsid w:val="334F1B3C"/>
    <w:rsid w:val="335870AA"/>
    <w:rsid w:val="335C0F0C"/>
    <w:rsid w:val="33796555"/>
    <w:rsid w:val="33920133"/>
    <w:rsid w:val="3397283C"/>
    <w:rsid w:val="33A931C7"/>
    <w:rsid w:val="33BA13EB"/>
    <w:rsid w:val="33EA4F8B"/>
    <w:rsid w:val="33F9679F"/>
    <w:rsid w:val="34040BAA"/>
    <w:rsid w:val="340E399D"/>
    <w:rsid w:val="341D6F6C"/>
    <w:rsid w:val="34237336"/>
    <w:rsid w:val="343D0DDD"/>
    <w:rsid w:val="344238A7"/>
    <w:rsid w:val="34426D28"/>
    <w:rsid w:val="344A5CAF"/>
    <w:rsid w:val="345029FC"/>
    <w:rsid w:val="34570B55"/>
    <w:rsid w:val="3458791D"/>
    <w:rsid w:val="34627E84"/>
    <w:rsid w:val="34761B3D"/>
    <w:rsid w:val="348531B0"/>
    <w:rsid w:val="34953160"/>
    <w:rsid w:val="349D2680"/>
    <w:rsid w:val="34A019E3"/>
    <w:rsid w:val="34B54073"/>
    <w:rsid w:val="34ED2EF3"/>
    <w:rsid w:val="34FB6280"/>
    <w:rsid w:val="3510178E"/>
    <w:rsid w:val="3515264E"/>
    <w:rsid w:val="353D1B92"/>
    <w:rsid w:val="358B1967"/>
    <w:rsid w:val="3596630B"/>
    <w:rsid w:val="35A41C98"/>
    <w:rsid w:val="35BE61A8"/>
    <w:rsid w:val="35CB01DF"/>
    <w:rsid w:val="3609005C"/>
    <w:rsid w:val="360B54D7"/>
    <w:rsid w:val="360E3D96"/>
    <w:rsid w:val="363A265C"/>
    <w:rsid w:val="364B7FE4"/>
    <w:rsid w:val="365309B6"/>
    <w:rsid w:val="366556BE"/>
    <w:rsid w:val="36897EB8"/>
    <w:rsid w:val="369F5F8F"/>
    <w:rsid w:val="36A1205A"/>
    <w:rsid w:val="36A46172"/>
    <w:rsid w:val="36AF4EB1"/>
    <w:rsid w:val="36C2331A"/>
    <w:rsid w:val="36CD7058"/>
    <w:rsid w:val="36D66D32"/>
    <w:rsid w:val="36DE434B"/>
    <w:rsid w:val="36E863B2"/>
    <w:rsid w:val="36EC1C72"/>
    <w:rsid w:val="370666E5"/>
    <w:rsid w:val="371B483F"/>
    <w:rsid w:val="371D65C9"/>
    <w:rsid w:val="37352EA6"/>
    <w:rsid w:val="373E0304"/>
    <w:rsid w:val="3742623A"/>
    <w:rsid w:val="37466A9F"/>
    <w:rsid w:val="375111F8"/>
    <w:rsid w:val="376E08C8"/>
    <w:rsid w:val="37785578"/>
    <w:rsid w:val="37946112"/>
    <w:rsid w:val="379501B2"/>
    <w:rsid w:val="37993A3D"/>
    <w:rsid w:val="37A27CA0"/>
    <w:rsid w:val="37C360C1"/>
    <w:rsid w:val="37F76B0F"/>
    <w:rsid w:val="38180A99"/>
    <w:rsid w:val="3818637F"/>
    <w:rsid w:val="38216E4B"/>
    <w:rsid w:val="382C4A0B"/>
    <w:rsid w:val="3837248F"/>
    <w:rsid w:val="385F1A9D"/>
    <w:rsid w:val="3883540B"/>
    <w:rsid w:val="388E23BE"/>
    <w:rsid w:val="389712F2"/>
    <w:rsid w:val="38A722E3"/>
    <w:rsid w:val="38BE76E1"/>
    <w:rsid w:val="38CB65C7"/>
    <w:rsid w:val="38CE3EF3"/>
    <w:rsid w:val="38D427F3"/>
    <w:rsid w:val="38D653E9"/>
    <w:rsid w:val="38DD3307"/>
    <w:rsid w:val="39032A5D"/>
    <w:rsid w:val="39212DA8"/>
    <w:rsid w:val="39293DB0"/>
    <w:rsid w:val="3932357B"/>
    <w:rsid w:val="39372EBC"/>
    <w:rsid w:val="394A7F7D"/>
    <w:rsid w:val="394C7AC1"/>
    <w:rsid w:val="39565E5C"/>
    <w:rsid w:val="3976015D"/>
    <w:rsid w:val="39767468"/>
    <w:rsid w:val="398106C2"/>
    <w:rsid w:val="398630C2"/>
    <w:rsid w:val="398C6DBF"/>
    <w:rsid w:val="39920BD7"/>
    <w:rsid w:val="399762E2"/>
    <w:rsid w:val="39A03524"/>
    <w:rsid w:val="39AB7F90"/>
    <w:rsid w:val="39B13AE1"/>
    <w:rsid w:val="39B2465E"/>
    <w:rsid w:val="39C732CC"/>
    <w:rsid w:val="39CF3A9F"/>
    <w:rsid w:val="39D30B18"/>
    <w:rsid w:val="39DE0A0C"/>
    <w:rsid w:val="39DE3119"/>
    <w:rsid w:val="39E901AB"/>
    <w:rsid w:val="39F63D01"/>
    <w:rsid w:val="39F7546E"/>
    <w:rsid w:val="3A0429E9"/>
    <w:rsid w:val="3A054EF3"/>
    <w:rsid w:val="3A1D7843"/>
    <w:rsid w:val="3A270613"/>
    <w:rsid w:val="3A3B35A8"/>
    <w:rsid w:val="3A4425F4"/>
    <w:rsid w:val="3A6A51A1"/>
    <w:rsid w:val="3A8D3267"/>
    <w:rsid w:val="3A8E4BBF"/>
    <w:rsid w:val="3AA505E9"/>
    <w:rsid w:val="3AAD785A"/>
    <w:rsid w:val="3AB201FD"/>
    <w:rsid w:val="3ABE6790"/>
    <w:rsid w:val="3AD30754"/>
    <w:rsid w:val="3AD31A4B"/>
    <w:rsid w:val="3AD74069"/>
    <w:rsid w:val="3AE50EA1"/>
    <w:rsid w:val="3AF410E4"/>
    <w:rsid w:val="3B1866F7"/>
    <w:rsid w:val="3B376687"/>
    <w:rsid w:val="3B3E48C2"/>
    <w:rsid w:val="3B3E6939"/>
    <w:rsid w:val="3B477A81"/>
    <w:rsid w:val="3B4873E0"/>
    <w:rsid w:val="3B4F12B2"/>
    <w:rsid w:val="3B5B6B98"/>
    <w:rsid w:val="3B730A2C"/>
    <w:rsid w:val="3B73373D"/>
    <w:rsid w:val="3B7675FF"/>
    <w:rsid w:val="3B7E2BAF"/>
    <w:rsid w:val="3B9248F5"/>
    <w:rsid w:val="3BB22B57"/>
    <w:rsid w:val="3BBF0959"/>
    <w:rsid w:val="3BC62A80"/>
    <w:rsid w:val="3BCE460D"/>
    <w:rsid w:val="3BDA6BB8"/>
    <w:rsid w:val="3C017DF2"/>
    <w:rsid w:val="3C03644E"/>
    <w:rsid w:val="3C0A04BB"/>
    <w:rsid w:val="3C2D468F"/>
    <w:rsid w:val="3C3360EC"/>
    <w:rsid w:val="3C395948"/>
    <w:rsid w:val="3C3A521C"/>
    <w:rsid w:val="3C452831"/>
    <w:rsid w:val="3C7057AE"/>
    <w:rsid w:val="3C781206"/>
    <w:rsid w:val="3C8D2B6B"/>
    <w:rsid w:val="3C9755B2"/>
    <w:rsid w:val="3C9E5D1B"/>
    <w:rsid w:val="3CA53C3A"/>
    <w:rsid w:val="3CA97F92"/>
    <w:rsid w:val="3CBA7D19"/>
    <w:rsid w:val="3CC1259B"/>
    <w:rsid w:val="3CD17EF5"/>
    <w:rsid w:val="3CEA1C78"/>
    <w:rsid w:val="3CF92A3E"/>
    <w:rsid w:val="3CFA4794"/>
    <w:rsid w:val="3D2123DC"/>
    <w:rsid w:val="3D3529EB"/>
    <w:rsid w:val="3D4B442E"/>
    <w:rsid w:val="3D5368A9"/>
    <w:rsid w:val="3D5436A2"/>
    <w:rsid w:val="3D6437F6"/>
    <w:rsid w:val="3D6D69CE"/>
    <w:rsid w:val="3D7A7775"/>
    <w:rsid w:val="3D8904A0"/>
    <w:rsid w:val="3DA93E71"/>
    <w:rsid w:val="3DAB2C2B"/>
    <w:rsid w:val="3DAF7D1C"/>
    <w:rsid w:val="3DB13B3B"/>
    <w:rsid w:val="3DB5004A"/>
    <w:rsid w:val="3DC56027"/>
    <w:rsid w:val="3DC70F93"/>
    <w:rsid w:val="3DE050FC"/>
    <w:rsid w:val="3DFC7BC4"/>
    <w:rsid w:val="3DFF4AFD"/>
    <w:rsid w:val="3E0169BD"/>
    <w:rsid w:val="3E09754A"/>
    <w:rsid w:val="3E260217"/>
    <w:rsid w:val="3E2C62B6"/>
    <w:rsid w:val="3E5313C9"/>
    <w:rsid w:val="3E5700F6"/>
    <w:rsid w:val="3E68150B"/>
    <w:rsid w:val="3E6A11AF"/>
    <w:rsid w:val="3E783114"/>
    <w:rsid w:val="3E7E2CC0"/>
    <w:rsid w:val="3E8567C1"/>
    <w:rsid w:val="3E863E02"/>
    <w:rsid w:val="3E8C7BDB"/>
    <w:rsid w:val="3E92012A"/>
    <w:rsid w:val="3E952ED0"/>
    <w:rsid w:val="3EB721C8"/>
    <w:rsid w:val="3EC7628C"/>
    <w:rsid w:val="3EDC2D84"/>
    <w:rsid w:val="3EDE7341"/>
    <w:rsid w:val="3EE07006"/>
    <w:rsid w:val="3EE42B23"/>
    <w:rsid w:val="3F015658"/>
    <w:rsid w:val="3F1343EB"/>
    <w:rsid w:val="3F160A52"/>
    <w:rsid w:val="3F2C52F0"/>
    <w:rsid w:val="3F9664B6"/>
    <w:rsid w:val="3F9A1DAD"/>
    <w:rsid w:val="3FA05CDE"/>
    <w:rsid w:val="3FA46EF8"/>
    <w:rsid w:val="3FA535BB"/>
    <w:rsid w:val="3FAA3EF8"/>
    <w:rsid w:val="3FB56F01"/>
    <w:rsid w:val="3FB752A2"/>
    <w:rsid w:val="3FC754F1"/>
    <w:rsid w:val="3FCE6774"/>
    <w:rsid w:val="3FE217D5"/>
    <w:rsid w:val="3FE4429D"/>
    <w:rsid w:val="400C3A1F"/>
    <w:rsid w:val="40173D62"/>
    <w:rsid w:val="402A13FE"/>
    <w:rsid w:val="403828F5"/>
    <w:rsid w:val="403837C5"/>
    <w:rsid w:val="403F2F7C"/>
    <w:rsid w:val="40585922"/>
    <w:rsid w:val="406311E6"/>
    <w:rsid w:val="407303A2"/>
    <w:rsid w:val="407D392A"/>
    <w:rsid w:val="4086235B"/>
    <w:rsid w:val="409B40AA"/>
    <w:rsid w:val="40A66215"/>
    <w:rsid w:val="40B35057"/>
    <w:rsid w:val="40BC471D"/>
    <w:rsid w:val="40BD4DD1"/>
    <w:rsid w:val="40D64B0A"/>
    <w:rsid w:val="40E93FEB"/>
    <w:rsid w:val="40F51D18"/>
    <w:rsid w:val="40FB13BF"/>
    <w:rsid w:val="41003E00"/>
    <w:rsid w:val="411E7D17"/>
    <w:rsid w:val="412166D3"/>
    <w:rsid w:val="412D4550"/>
    <w:rsid w:val="41303C39"/>
    <w:rsid w:val="414F74CB"/>
    <w:rsid w:val="41537DED"/>
    <w:rsid w:val="415B6654"/>
    <w:rsid w:val="415C624E"/>
    <w:rsid w:val="4162111C"/>
    <w:rsid w:val="41662EBF"/>
    <w:rsid w:val="416745BC"/>
    <w:rsid w:val="416B75D8"/>
    <w:rsid w:val="417C2EE6"/>
    <w:rsid w:val="418D5E18"/>
    <w:rsid w:val="419C00DA"/>
    <w:rsid w:val="41A92082"/>
    <w:rsid w:val="41B81002"/>
    <w:rsid w:val="41BD712D"/>
    <w:rsid w:val="41D12A32"/>
    <w:rsid w:val="41D301C3"/>
    <w:rsid w:val="41D623AF"/>
    <w:rsid w:val="41DD2262"/>
    <w:rsid w:val="41EE163E"/>
    <w:rsid w:val="420A1A22"/>
    <w:rsid w:val="420E27DB"/>
    <w:rsid w:val="420E3E38"/>
    <w:rsid w:val="422D1756"/>
    <w:rsid w:val="422E137F"/>
    <w:rsid w:val="422F49B3"/>
    <w:rsid w:val="4251344E"/>
    <w:rsid w:val="4266184F"/>
    <w:rsid w:val="42670D5D"/>
    <w:rsid w:val="42772F9D"/>
    <w:rsid w:val="42802614"/>
    <w:rsid w:val="429310E0"/>
    <w:rsid w:val="42B01704"/>
    <w:rsid w:val="42B72784"/>
    <w:rsid w:val="42BF6593"/>
    <w:rsid w:val="42CC4106"/>
    <w:rsid w:val="43154201"/>
    <w:rsid w:val="431F1AE3"/>
    <w:rsid w:val="433858A5"/>
    <w:rsid w:val="434C5E8F"/>
    <w:rsid w:val="435B2CBB"/>
    <w:rsid w:val="4365472B"/>
    <w:rsid w:val="436F612A"/>
    <w:rsid w:val="4378210D"/>
    <w:rsid w:val="437D645C"/>
    <w:rsid w:val="438753A5"/>
    <w:rsid w:val="43920E07"/>
    <w:rsid w:val="43951B04"/>
    <w:rsid w:val="439A3EE5"/>
    <w:rsid w:val="43BB1E41"/>
    <w:rsid w:val="43D0275A"/>
    <w:rsid w:val="43E72A56"/>
    <w:rsid w:val="43F715ED"/>
    <w:rsid w:val="43F723C5"/>
    <w:rsid w:val="440D5ECE"/>
    <w:rsid w:val="442A56DD"/>
    <w:rsid w:val="443935EF"/>
    <w:rsid w:val="44463B5B"/>
    <w:rsid w:val="444D7109"/>
    <w:rsid w:val="44655A6C"/>
    <w:rsid w:val="44701F88"/>
    <w:rsid w:val="448332EB"/>
    <w:rsid w:val="44984355"/>
    <w:rsid w:val="44A8226D"/>
    <w:rsid w:val="44AA08C6"/>
    <w:rsid w:val="44AE67A8"/>
    <w:rsid w:val="44BC0EC5"/>
    <w:rsid w:val="44C534B8"/>
    <w:rsid w:val="44E10504"/>
    <w:rsid w:val="44EF4A70"/>
    <w:rsid w:val="44F97D82"/>
    <w:rsid w:val="450D620E"/>
    <w:rsid w:val="451C6129"/>
    <w:rsid w:val="451E6E63"/>
    <w:rsid w:val="45211A0E"/>
    <w:rsid w:val="45253E60"/>
    <w:rsid w:val="45273FBC"/>
    <w:rsid w:val="45342FB5"/>
    <w:rsid w:val="453D3784"/>
    <w:rsid w:val="4550153F"/>
    <w:rsid w:val="45591DA2"/>
    <w:rsid w:val="45660998"/>
    <w:rsid w:val="45665536"/>
    <w:rsid w:val="458B3F95"/>
    <w:rsid w:val="45A62B00"/>
    <w:rsid w:val="45AA2F38"/>
    <w:rsid w:val="45AF3554"/>
    <w:rsid w:val="45BD4137"/>
    <w:rsid w:val="45BE3405"/>
    <w:rsid w:val="45EB1CEB"/>
    <w:rsid w:val="4601483F"/>
    <w:rsid w:val="46025A85"/>
    <w:rsid w:val="46075783"/>
    <w:rsid w:val="46085BC5"/>
    <w:rsid w:val="460F09FC"/>
    <w:rsid w:val="461B1D4C"/>
    <w:rsid w:val="46267EAC"/>
    <w:rsid w:val="465021CF"/>
    <w:rsid w:val="465530CB"/>
    <w:rsid w:val="466F7AB5"/>
    <w:rsid w:val="46760020"/>
    <w:rsid w:val="467E5A89"/>
    <w:rsid w:val="468E67A4"/>
    <w:rsid w:val="46A7659A"/>
    <w:rsid w:val="46B462BE"/>
    <w:rsid w:val="46BF240E"/>
    <w:rsid w:val="46D93CB5"/>
    <w:rsid w:val="46F20FCA"/>
    <w:rsid w:val="473D733B"/>
    <w:rsid w:val="475A2115"/>
    <w:rsid w:val="47630D4C"/>
    <w:rsid w:val="47694C08"/>
    <w:rsid w:val="476A5FE9"/>
    <w:rsid w:val="476F4DD2"/>
    <w:rsid w:val="478D3666"/>
    <w:rsid w:val="47944E8A"/>
    <w:rsid w:val="47A30A38"/>
    <w:rsid w:val="47C95785"/>
    <w:rsid w:val="47FF1232"/>
    <w:rsid w:val="480D1A37"/>
    <w:rsid w:val="482A2773"/>
    <w:rsid w:val="482F762F"/>
    <w:rsid w:val="48612688"/>
    <w:rsid w:val="48695A39"/>
    <w:rsid w:val="486C01CE"/>
    <w:rsid w:val="48957797"/>
    <w:rsid w:val="48C97748"/>
    <w:rsid w:val="48D72771"/>
    <w:rsid w:val="49001E86"/>
    <w:rsid w:val="49081412"/>
    <w:rsid w:val="490E3A2E"/>
    <w:rsid w:val="490F522C"/>
    <w:rsid w:val="49114885"/>
    <w:rsid w:val="491D202E"/>
    <w:rsid w:val="4920575D"/>
    <w:rsid w:val="49310712"/>
    <w:rsid w:val="49406A76"/>
    <w:rsid w:val="49417983"/>
    <w:rsid w:val="49565AB1"/>
    <w:rsid w:val="4958656A"/>
    <w:rsid w:val="496D50BB"/>
    <w:rsid w:val="497C543F"/>
    <w:rsid w:val="498C3FA6"/>
    <w:rsid w:val="49A372D1"/>
    <w:rsid w:val="49B26976"/>
    <w:rsid w:val="49D14C7B"/>
    <w:rsid w:val="49F329F0"/>
    <w:rsid w:val="49F64E88"/>
    <w:rsid w:val="49F712AC"/>
    <w:rsid w:val="4A0B4355"/>
    <w:rsid w:val="4A4B3BE6"/>
    <w:rsid w:val="4A4C3C76"/>
    <w:rsid w:val="4A582F08"/>
    <w:rsid w:val="4A6F3D21"/>
    <w:rsid w:val="4AB12218"/>
    <w:rsid w:val="4AB30EDE"/>
    <w:rsid w:val="4AB344AE"/>
    <w:rsid w:val="4ACE4E5A"/>
    <w:rsid w:val="4AD90317"/>
    <w:rsid w:val="4AD941E4"/>
    <w:rsid w:val="4AE87797"/>
    <w:rsid w:val="4AEF6E6B"/>
    <w:rsid w:val="4AFD545B"/>
    <w:rsid w:val="4AFF65F6"/>
    <w:rsid w:val="4B001058"/>
    <w:rsid w:val="4B055D7D"/>
    <w:rsid w:val="4B341F77"/>
    <w:rsid w:val="4B3C3B24"/>
    <w:rsid w:val="4B3F63AB"/>
    <w:rsid w:val="4B462C83"/>
    <w:rsid w:val="4B4C0FEF"/>
    <w:rsid w:val="4B4D48CE"/>
    <w:rsid w:val="4B5515CE"/>
    <w:rsid w:val="4B7D207A"/>
    <w:rsid w:val="4B7D2D66"/>
    <w:rsid w:val="4B875EB6"/>
    <w:rsid w:val="4B8D42B7"/>
    <w:rsid w:val="4BA663CD"/>
    <w:rsid w:val="4BAD7D08"/>
    <w:rsid w:val="4BB01057"/>
    <w:rsid w:val="4BB621C1"/>
    <w:rsid w:val="4BBF72D9"/>
    <w:rsid w:val="4BCF0C8D"/>
    <w:rsid w:val="4BD548E3"/>
    <w:rsid w:val="4BDC2522"/>
    <w:rsid w:val="4BDE2E72"/>
    <w:rsid w:val="4BE62E4E"/>
    <w:rsid w:val="4BEF4C0F"/>
    <w:rsid w:val="4C1C3FF5"/>
    <w:rsid w:val="4C20405B"/>
    <w:rsid w:val="4C410418"/>
    <w:rsid w:val="4C524673"/>
    <w:rsid w:val="4C750BD9"/>
    <w:rsid w:val="4C7D1FFD"/>
    <w:rsid w:val="4C920D99"/>
    <w:rsid w:val="4C963176"/>
    <w:rsid w:val="4CAE11C9"/>
    <w:rsid w:val="4CB46304"/>
    <w:rsid w:val="4CF5763E"/>
    <w:rsid w:val="4CFB71A3"/>
    <w:rsid w:val="4CFF2F8E"/>
    <w:rsid w:val="4D0A39C2"/>
    <w:rsid w:val="4D1E7969"/>
    <w:rsid w:val="4D273F52"/>
    <w:rsid w:val="4D2B70DE"/>
    <w:rsid w:val="4D364936"/>
    <w:rsid w:val="4D3D0301"/>
    <w:rsid w:val="4D3F7CBF"/>
    <w:rsid w:val="4D46030D"/>
    <w:rsid w:val="4D6D34A9"/>
    <w:rsid w:val="4D796B28"/>
    <w:rsid w:val="4D7F1AD7"/>
    <w:rsid w:val="4D8C4093"/>
    <w:rsid w:val="4DB92821"/>
    <w:rsid w:val="4DC14928"/>
    <w:rsid w:val="4DC46301"/>
    <w:rsid w:val="4DEB45C9"/>
    <w:rsid w:val="4DF671A8"/>
    <w:rsid w:val="4DFC1A53"/>
    <w:rsid w:val="4DFE3CC8"/>
    <w:rsid w:val="4E1230AB"/>
    <w:rsid w:val="4E274480"/>
    <w:rsid w:val="4E445719"/>
    <w:rsid w:val="4E4B592C"/>
    <w:rsid w:val="4E4E418E"/>
    <w:rsid w:val="4E887901"/>
    <w:rsid w:val="4EA45213"/>
    <w:rsid w:val="4EA902EC"/>
    <w:rsid w:val="4ECB6A4D"/>
    <w:rsid w:val="4EE06456"/>
    <w:rsid w:val="4EE64D75"/>
    <w:rsid w:val="4EE71234"/>
    <w:rsid w:val="4F0A7123"/>
    <w:rsid w:val="4F1D07B2"/>
    <w:rsid w:val="4F2151FA"/>
    <w:rsid w:val="4F2A3762"/>
    <w:rsid w:val="4F2E0DB1"/>
    <w:rsid w:val="4F3F1F47"/>
    <w:rsid w:val="4F486739"/>
    <w:rsid w:val="4F556652"/>
    <w:rsid w:val="4F5A286E"/>
    <w:rsid w:val="4F64555B"/>
    <w:rsid w:val="4F846A83"/>
    <w:rsid w:val="4FAC11CC"/>
    <w:rsid w:val="4FC5001A"/>
    <w:rsid w:val="4FC6100F"/>
    <w:rsid w:val="4FCC12A9"/>
    <w:rsid w:val="4FD41C1D"/>
    <w:rsid w:val="4FD961F6"/>
    <w:rsid w:val="4FE71594"/>
    <w:rsid w:val="4FEC47E5"/>
    <w:rsid w:val="4FED2322"/>
    <w:rsid w:val="4FFD53C6"/>
    <w:rsid w:val="501F07EA"/>
    <w:rsid w:val="50381E16"/>
    <w:rsid w:val="503C0967"/>
    <w:rsid w:val="503D1B16"/>
    <w:rsid w:val="50595BFA"/>
    <w:rsid w:val="505A09AE"/>
    <w:rsid w:val="506F626F"/>
    <w:rsid w:val="508050D1"/>
    <w:rsid w:val="508E47DC"/>
    <w:rsid w:val="50AE3F83"/>
    <w:rsid w:val="50B04818"/>
    <w:rsid w:val="50CF5BA3"/>
    <w:rsid w:val="50CF69B2"/>
    <w:rsid w:val="50CF7A4B"/>
    <w:rsid w:val="50D44420"/>
    <w:rsid w:val="50D77086"/>
    <w:rsid w:val="50F952EE"/>
    <w:rsid w:val="510E0322"/>
    <w:rsid w:val="51367665"/>
    <w:rsid w:val="5137564E"/>
    <w:rsid w:val="513D05FA"/>
    <w:rsid w:val="514E0A72"/>
    <w:rsid w:val="51576FE4"/>
    <w:rsid w:val="51604084"/>
    <w:rsid w:val="516052CE"/>
    <w:rsid w:val="51964435"/>
    <w:rsid w:val="519F488C"/>
    <w:rsid w:val="51C64D21"/>
    <w:rsid w:val="51DD69E8"/>
    <w:rsid w:val="51E00356"/>
    <w:rsid w:val="51EF6367"/>
    <w:rsid w:val="51F238FA"/>
    <w:rsid w:val="51F45333"/>
    <w:rsid w:val="520713EF"/>
    <w:rsid w:val="520923F4"/>
    <w:rsid w:val="5222282D"/>
    <w:rsid w:val="522C14EF"/>
    <w:rsid w:val="52302A27"/>
    <w:rsid w:val="52417905"/>
    <w:rsid w:val="52450270"/>
    <w:rsid w:val="52457067"/>
    <w:rsid w:val="52547F54"/>
    <w:rsid w:val="525F7333"/>
    <w:rsid w:val="526B5D33"/>
    <w:rsid w:val="526E0C86"/>
    <w:rsid w:val="526F2F3F"/>
    <w:rsid w:val="527F45C4"/>
    <w:rsid w:val="52912B89"/>
    <w:rsid w:val="52956EEB"/>
    <w:rsid w:val="529E08FC"/>
    <w:rsid w:val="529E7DC9"/>
    <w:rsid w:val="52A1157D"/>
    <w:rsid w:val="52B35094"/>
    <w:rsid w:val="52B46B08"/>
    <w:rsid w:val="52CC3474"/>
    <w:rsid w:val="52E2424D"/>
    <w:rsid w:val="52F02A03"/>
    <w:rsid w:val="52F06651"/>
    <w:rsid w:val="52F5184E"/>
    <w:rsid w:val="52FB1C92"/>
    <w:rsid w:val="52FC3289"/>
    <w:rsid w:val="530712A7"/>
    <w:rsid w:val="531600C3"/>
    <w:rsid w:val="532452B2"/>
    <w:rsid w:val="53305443"/>
    <w:rsid w:val="5339627B"/>
    <w:rsid w:val="534C3421"/>
    <w:rsid w:val="535B4CF0"/>
    <w:rsid w:val="535D132C"/>
    <w:rsid w:val="53755060"/>
    <w:rsid w:val="538B6878"/>
    <w:rsid w:val="5398746F"/>
    <w:rsid w:val="53B117CE"/>
    <w:rsid w:val="53BA08AE"/>
    <w:rsid w:val="53BC278B"/>
    <w:rsid w:val="53CD17ED"/>
    <w:rsid w:val="53EB6B3D"/>
    <w:rsid w:val="5400093A"/>
    <w:rsid w:val="540F33D1"/>
    <w:rsid w:val="54280ECF"/>
    <w:rsid w:val="543E150A"/>
    <w:rsid w:val="544475A5"/>
    <w:rsid w:val="544C4264"/>
    <w:rsid w:val="545060AE"/>
    <w:rsid w:val="547747B8"/>
    <w:rsid w:val="54792907"/>
    <w:rsid w:val="547F24EC"/>
    <w:rsid w:val="54901540"/>
    <w:rsid w:val="54A07B99"/>
    <w:rsid w:val="54A81A59"/>
    <w:rsid w:val="54C73D61"/>
    <w:rsid w:val="54E164AC"/>
    <w:rsid w:val="550D767C"/>
    <w:rsid w:val="55151ECD"/>
    <w:rsid w:val="55406298"/>
    <w:rsid w:val="55411377"/>
    <w:rsid w:val="55496AED"/>
    <w:rsid w:val="554F424F"/>
    <w:rsid w:val="556729AE"/>
    <w:rsid w:val="55733EF3"/>
    <w:rsid w:val="55992746"/>
    <w:rsid w:val="559B5F30"/>
    <w:rsid w:val="55B51902"/>
    <w:rsid w:val="55E678D8"/>
    <w:rsid w:val="55E77B54"/>
    <w:rsid w:val="55F13D03"/>
    <w:rsid w:val="560D3E7C"/>
    <w:rsid w:val="563D2AD2"/>
    <w:rsid w:val="563F57E3"/>
    <w:rsid w:val="56414F54"/>
    <w:rsid w:val="56466009"/>
    <w:rsid w:val="565503DF"/>
    <w:rsid w:val="565B2641"/>
    <w:rsid w:val="567E5BA7"/>
    <w:rsid w:val="5687171A"/>
    <w:rsid w:val="569B59A6"/>
    <w:rsid w:val="569B7BE7"/>
    <w:rsid w:val="56A16A04"/>
    <w:rsid w:val="56B8399E"/>
    <w:rsid w:val="56CC74FC"/>
    <w:rsid w:val="56EA0FB8"/>
    <w:rsid w:val="570578B8"/>
    <w:rsid w:val="57132F95"/>
    <w:rsid w:val="572D4E3F"/>
    <w:rsid w:val="572D56F6"/>
    <w:rsid w:val="573179AE"/>
    <w:rsid w:val="573F1670"/>
    <w:rsid w:val="574A05B2"/>
    <w:rsid w:val="57507545"/>
    <w:rsid w:val="57551AD9"/>
    <w:rsid w:val="575D0040"/>
    <w:rsid w:val="57606393"/>
    <w:rsid w:val="576955C1"/>
    <w:rsid w:val="576C5FC1"/>
    <w:rsid w:val="577C3DB8"/>
    <w:rsid w:val="577F5DB3"/>
    <w:rsid w:val="57824BAC"/>
    <w:rsid w:val="57892510"/>
    <w:rsid w:val="578E4942"/>
    <w:rsid w:val="57904C45"/>
    <w:rsid w:val="57950732"/>
    <w:rsid w:val="579B63A9"/>
    <w:rsid w:val="57AD602B"/>
    <w:rsid w:val="57AE3E6A"/>
    <w:rsid w:val="57BA790A"/>
    <w:rsid w:val="57C321F5"/>
    <w:rsid w:val="57C63600"/>
    <w:rsid w:val="57CF0A12"/>
    <w:rsid w:val="57E24C8E"/>
    <w:rsid w:val="57E8417C"/>
    <w:rsid w:val="58142531"/>
    <w:rsid w:val="5822508B"/>
    <w:rsid w:val="58245989"/>
    <w:rsid w:val="583B7430"/>
    <w:rsid w:val="58430210"/>
    <w:rsid w:val="585838C1"/>
    <w:rsid w:val="5863214C"/>
    <w:rsid w:val="58717162"/>
    <w:rsid w:val="58847AF3"/>
    <w:rsid w:val="58893182"/>
    <w:rsid w:val="588C0153"/>
    <w:rsid w:val="58932A0B"/>
    <w:rsid w:val="58A156FA"/>
    <w:rsid w:val="58AA2C89"/>
    <w:rsid w:val="58C83E84"/>
    <w:rsid w:val="58DD6E52"/>
    <w:rsid w:val="58E037FA"/>
    <w:rsid w:val="59000F55"/>
    <w:rsid w:val="59070777"/>
    <w:rsid w:val="59185078"/>
    <w:rsid w:val="59251885"/>
    <w:rsid w:val="59267951"/>
    <w:rsid w:val="5933709B"/>
    <w:rsid w:val="59373972"/>
    <w:rsid w:val="593A5023"/>
    <w:rsid w:val="593E2FA4"/>
    <w:rsid w:val="59412FE1"/>
    <w:rsid w:val="599C0E6D"/>
    <w:rsid w:val="599D4457"/>
    <w:rsid w:val="59B25DDC"/>
    <w:rsid w:val="59B65FE0"/>
    <w:rsid w:val="59B73AE7"/>
    <w:rsid w:val="59C06A96"/>
    <w:rsid w:val="59DC43D8"/>
    <w:rsid w:val="59E70281"/>
    <w:rsid w:val="59FA21B2"/>
    <w:rsid w:val="5A0E5047"/>
    <w:rsid w:val="5A1554AA"/>
    <w:rsid w:val="5A1F1EAF"/>
    <w:rsid w:val="5A292701"/>
    <w:rsid w:val="5A353E5E"/>
    <w:rsid w:val="5A3B7940"/>
    <w:rsid w:val="5A400973"/>
    <w:rsid w:val="5A7E69AF"/>
    <w:rsid w:val="5A851901"/>
    <w:rsid w:val="5AA549B2"/>
    <w:rsid w:val="5ACC3AB1"/>
    <w:rsid w:val="5AD00974"/>
    <w:rsid w:val="5ADC7386"/>
    <w:rsid w:val="5AE9537A"/>
    <w:rsid w:val="5B3475AF"/>
    <w:rsid w:val="5B5104F9"/>
    <w:rsid w:val="5B512775"/>
    <w:rsid w:val="5B594284"/>
    <w:rsid w:val="5B5D0855"/>
    <w:rsid w:val="5B8147BE"/>
    <w:rsid w:val="5B852AAE"/>
    <w:rsid w:val="5B9B040F"/>
    <w:rsid w:val="5BAC1152"/>
    <w:rsid w:val="5BAC4E3A"/>
    <w:rsid w:val="5BCF4E32"/>
    <w:rsid w:val="5BD20B76"/>
    <w:rsid w:val="5BEA6826"/>
    <w:rsid w:val="5BF215EF"/>
    <w:rsid w:val="5C012B8C"/>
    <w:rsid w:val="5C0F1DCA"/>
    <w:rsid w:val="5C362AF4"/>
    <w:rsid w:val="5C3E4720"/>
    <w:rsid w:val="5C4A6502"/>
    <w:rsid w:val="5C526BB4"/>
    <w:rsid w:val="5C551467"/>
    <w:rsid w:val="5C5A16DE"/>
    <w:rsid w:val="5C710051"/>
    <w:rsid w:val="5C784327"/>
    <w:rsid w:val="5C7C17EE"/>
    <w:rsid w:val="5C9B09C7"/>
    <w:rsid w:val="5C9D2D1B"/>
    <w:rsid w:val="5CC0373E"/>
    <w:rsid w:val="5CC85BD5"/>
    <w:rsid w:val="5CCD7B0E"/>
    <w:rsid w:val="5CD64696"/>
    <w:rsid w:val="5CDE0971"/>
    <w:rsid w:val="5CE018DD"/>
    <w:rsid w:val="5CE32EA9"/>
    <w:rsid w:val="5D0C3F0E"/>
    <w:rsid w:val="5D3E52C6"/>
    <w:rsid w:val="5D470913"/>
    <w:rsid w:val="5D554B2C"/>
    <w:rsid w:val="5D7E69EB"/>
    <w:rsid w:val="5DBC5CA6"/>
    <w:rsid w:val="5DC31E6E"/>
    <w:rsid w:val="5DF30675"/>
    <w:rsid w:val="5E074110"/>
    <w:rsid w:val="5E2B3A18"/>
    <w:rsid w:val="5E31172B"/>
    <w:rsid w:val="5E4641D8"/>
    <w:rsid w:val="5E4B3CC5"/>
    <w:rsid w:val="5E5C7FAC"/>
    <w:rsid w:val="5E872C01"/>
    <w:rsid w:val="5E8E1E7B"/>
    <w:rsid w:val="5E933865"/>
    <w:rsid w:val="5E983210"/>
    <w:rsid w:val="5E9A27FB"/>
    <w:rsid w:val="5E9D5D87"/>
    <w:rsid w:val="5EB1181D"/>
    <w:rsid w:val="5EC52109"/>
    <w:rsid w:val="5ECE103C"/>
    <w:rsid w:val="5EDC6635"/>
    <w:rsid w:val="5EDF242A"/>
    <w:rsid w:val="5EEC4CC9"/>
    <w:rsid w:val="5EFC424F"/>
    <w:rsid w:val="5F0D230C"/>
    <w:rsid w:val="5F2C5E7C"/>
    <w:rsid w:val="5F353F1D"/>
    <w:rsid w:val="5F355941"/>
    <w:rsid w:val="5F387DD8"/>
    <w:rsid w:val="5F4513CC"/>
    <w:rsid w:val="5F5B52DC"/>
    <w:rsid w:val="5F5D6311"/>
    <w:rsid w:val="5F610F9A"/>
    <w:rsid w:val="5F8039B0"/>
    <w:rsid w:val="5FC72CEE"/>
    <w:rsid w:val="5FD15188"/>
    <w:rsid w:val="5FE578C5"/>
    <w:rsid w:val="5FEB0458"/>
    <w:rsid w:val="600C100B"/>
    <w:rsid w:val="602C20DD"/>
    <w:rsid w:val="603F3938"/>
    <w:rsid w:val="60442474"/>
    <w:rsid w:val="6083038C"/>
    <w:rsid w:val="60AF5CCB"/>
    <w:rsid w:val="60B12374"/>
    <w:rsid w:val="60B12B22"/>
    <w:rsid w:val="60CB5CDD"/>
    <w:rsid w:val="60CF1B28"/>
    <w:rsid w:val="60D95814"/>
    <w:rsid w:val="60DD7931"/>
    <w:rsid w:val="60DE5220"/>
    <w:rsid w:val="61381225"/>
    <w:rsid w:val="614C4594"/>
    <w:rsid w:val="614C74D5"/>
    <w:rsid w:val="615443E0"/>
    <w:rsid w:val="615C33BC"/>
    <w:rsid w:val="61681591"/>
    <w:rsid w:val="617F72EF"/>
    <w:rsid w:val="6182430A"/>
    <w:rsid w:val="61B42655"/>
    <w:rsid w:val="61CD4174"/>
    <w:rsid w:val="61DC6D19"/>
    <w:rsid w:val="61E13FF1"/>
    <w:rsid w:val="61EB04E9"/>
    <w:rsid w:val="622D1EAE"/>
    <w:rsid w:val="622F4266"/>
    <w:rsid w:val="623A2268"/>
    <w:rsid w:val="62457762"/>
    <w:rsid w:val="62462A72"/>
    <w:rsid w:val="62777B94"/>
    <w:rsid w:val="62A3326C"/>
    <w:rsid w:val="62A76E62"/>
    <w:rsid w:val="62AB132C"/>
    <w:rsid w:val="62BE738E"/>
    <w:rsid w:val="62D97AC0"/>
    <w:rsid w:val="62DA5AA9"/>
    <w:rsid w:val="62E849C6"/>
    <w:rsid w:val="62EA6460"/>
    <w:rsid w:val="63030F14"/>
    <w:rsid w:val="632E6FDA"/>
    <w:rsid w:val="6344286C"/>
    <w:rsid w:val="634C4857"/>
    <w:rsid w:val="636C0070"/>
    <w:rsid w:val="637E4DC3"/>
    <w:rsid w:val="63806113"/>
    <w:rsid w:val="638B0660"/>
    <w:rsid w:val="63B4356A"/>
    <w:rsid w:val="63BB5D1B"/>
    <w:rsid w:val="63C16A6E"/>
    <w:rsid w:val="63C56A8D"/>
    <w:rsid w:val="63D158C9"/>
    <w:rsid w:val="63E82575"/>
    <w:rsid w:val="63F66C2A"/>
    <w:rsid w:val="64085B1B"/>
    <w:rsid w:val="641E7B03"/>
    <w:rsid w:val="643E3B20"/>
    <w:rsid w:val="64441C10"/>
    <w:rsid w:val="6453132F"/>
    <w:rsid w:val="645E04C8"/>
    <w:rsid w:val="646C727B"/>
    <w:rsid w:val="647E3905"/>
    <w:rsid w:val="648C045C"/>
    <w:rsid w:val="64A036C7"/>
    <w:rsid w:val="64A7639A"/>
    <w:rsid w:val="64AA08E2"/>
    <w:rsid w:val="64C22BED"/>
    <w:rsid w:val="64D05783"/>
    <w:rsid w:val="64D21925"/>
    <w:rsid w:val="64D91523"/>
    <w:rsid w:val="64DB2E27"/>
    <w:rsid w:val="64EC5F80"/>
    <w:rsid w:val="64F20854"/>
    <w:rsid w:val="64F2292E"/>
    <w:rsid w:val="64F7798C"/>
    <w:rsid w:val="651264A6"/>
    <w:rsid w:val="65354DB0"/>
    <w:rsid w:val="65590675"/>
    <w:rsid w:val="658E4B68"/>
    <w:rsid w:val="659339E5"/>
    <w:rsid w:val="659435D4"/>
    <w:rsid w:val="65A12770"/>
    <w:rsid w:val="65AD106A"/>
    <w:rsid w:val="65AF4F70"/>
    <w:rsid w:val="65B37C6A"/>
    <w:rsid w:val="65BB78E4"/>
    <w:rsid w:val="65D44422"/>
    <w:rsid w:val="65D65610"/>
    <w:rsid w:val="65D97F92"/>
    <w:rsid w:val="65FA015C"/>
    <w:rsid w:val="65FF6711"/>
    <w:rsid w:val="65FF78F3"/>
    <w:rsid w:val="66035B03"/>
    <w:rsid w:val="661462F7"/>
    <w:rsid w:val="66150AEC"/>
    <w:rsid w:val="661D2CEE"/>
    <w:rsid w:val="666714C9"/>
    <w:rsid w:val="66697C38"/>
    <w:rsid w:val="66736727"/>
    <w:rsid w:val="668B5CC3"/>
    <w:rsid w:val="66AA4BC9"/>
    <w:rsid w:val="66C919F0"/>
    <w:rsid w:val="66CC625B"/>
    <w:rsid w:val="66D115BE"/>
    <w:rsid w:val="66D13DA9"/>
    <w:rsid w:val="66D85757"/>
    <w:rsid w:val="66E14363"/>
    <w:rsid w:val="66E30E48"/>
    <w:rsid w:val="66FD67EA"/>
    <w:rsid w:val="67010AE3"/>
    <w:rsid w:val="67136376"/>
    <w:rsid w:val="67251571"/>
    <w:rsid w:val="67322B5A"/>
    <w:rsid w:val="6742643A"/>
    <w:rsid w:val="6767348A"/>
    <w:rsid w:val="6794124F"/>
    <w:rsid w:val="6795542A"/>
    <w:rsid w:val="67AA2F7E"/>
    <w:rsid w:val="67B825E5"/>
    <w:rsid w:val="67C373D8"/>
    <w:rsid w:val="67E4373A"/>
    <w:rsid w:val="68002120"/>
    <w:rsid w:val="681A39B2"/>
    <w:rsid w:val="6839250D"/>
    <w:rsid w:val="683948E7"/>
    <w:rsid w:val="685E5B4D"/>
    <w:rsid w:val="68614904"/>
    <w:rsid w:val="686A7D3E"/>
    <w:rsid w:val="68762CDF"/>
    <w:rsid w:val="687731D1"/>
    <w:rsid w:val="687B2B4C"/>
    <w:rsid w:val="68853EBD"/>
    <w:rsid w:val="688D7DD5"/>
    <w:rsid w:val="68941932"/>
    <w:rsid w:val="689503C1"/>
    <w:rsid w:val="68975996"/>
    <w:rsid w:val="689F47D3"/>
    <w:rsid w:val="68AC3994"/>
    <w:rsid w:val="68B67FDA"/>
    <w:rsid w:val="68CE612B"/>
    <w:rsid w:val="68D2013F"/>
    <w:rsid w:val="68E63F46"/>
    <w:rsid w:val="68E814B4"/>
    <w:rsid w:val="68F91EAB"/>
    <w:rsid w:val="68FA27D2"/>
    <w:rsid w:val="6907197E"/>
    <w:rsid w:val="690D6969"/>
    <w:rsid w:val="69121E3A"/>
    <w:rsid w:val="69154D60"/>
    <w:rsid w:val="691B43A2"/>
    <w:rsid w:val="691F4D9F"/>
    <w:rsid w:val="694A6DBA"/>
    <w:rsid w:val="695D7D0E"/>
    <w:rsid w:val="69601908"/>
    <w:rsid w:val="6962388C"/>
    <w:rsid w:val="69767E6B"/>
    <w:rsid w:val="69780312"/>
    <w:rsid w:val="69851805"/>
    <w:rsid w:val="69990E77"/>
    <w:rsid w:val="699954C4"/>
    <w:rsid w:val="699A62E3"/>
    <w:rsid w:val="699D36D6"/>
    <w:rsid w:val="69A00D26"/>
    <w:rsid w:val="69A476A8"/>
    <w:rsid w:val="69B779BF"/>
    <w:rsid w:val="69CD7FDE"/>
    <w:rsid w:val="69CF08EE"/>
    <w:rsid w:val="69D70F29"/>
    <w:rsid w:val="69DF1CF4"/>
    <w:rsid w:val="69E52688"/>
    <w:rsid w:val="69ED56B6"/>
    <w:rsid w:val="69FB201D"/>
    <w:rsid w:val="6A0413D4"/>
    <w:rsid w:val="6A07214F"/>
    <w:rsid w:val="6A1E150A"/>
    <w:rsid w:val="6A1F25CE"/>
    <w:rsid w:val="6A2E01C9"/>
    <w:rsid w:val="6A3246BA"/>
    <w:rsid w:val="6A466859"/>
    <w:rsid w:val="6A560907"/>
    <w:rsid w:val="6A7B4CEF"/>
    <w:rsid w:val="6A8D493E"/>
    <w:rsid w:val="6A9C7E3D"/>
    <w:rsid w:val="6AB13C32"/>
    <w:rsid w:val="6AB75D2A"/>
    <w:rsid w:val="6ABE4147"/>
    <w:rsid w:val="6AC23A28"/>
    <w:rsid w:val="6ADE785B"/>
    <w:rsid w:val="6AE2354A"/>
    <w:rsid w:val="6AE306AA"/>
    <w:rsid w:val="6AEA5216"/>
    <w:rsid w:val="6AEB2698"/>
    <w:rsid w:val="6AF8649D"/>
    <w:rsid w:val="6B1F10AD"/>
    <w:rsid w:val="6B22477C"/>
    <w:rsid w:val="6B255653"/>
    <w:rsid w:val="6B320A31"/>
    <w:rsid w:val="6B491DA4"/>
    <w:rsid w:val="6B4A7F71"/>
    <w:rsid w:val="6B594672"/>
    <w:rsid w:val="6B5D28FD"/>
    <w:rsid w:val="6B5E4D2E"/>
    <w:rsid w:val="6B5F6533"/>
    <w:rsid w:val="6B775DEA"/>
    <w:rsid w:val="6B831CA3"/>
    <w:rsid w:val="6B9143EA"/>
    <w:rsid w:val="6B96511F"/>
    <w:rsid w:val="6BA47F2E"/>
    <w:rsid w:val="6BAE6F0A"/>
    <w:rsid w:val="6BC43CA8"/>
    <w:rsid w:val="6BCE2423"/>
    <w:rsid w:val="6BD91B10"/>
    <w:rsid w:val="6BE116D3"/>
    <w:rsid w:val="6C013C84"/>
    <w:rsid w:val="6C153D23"/>
    <w:rsid w:val="6C262D9A"/>
    <w:rsid w:val="6C2A7865"/>
    <w:rsid w:val="6C59217D"/>
    <w:rsid w:val="6C606373"/>
    <w:rsid w:val="6C620EF9"/>
    <w:rsid w:val="6C6A54FD"/>
    <w:rsid w:val="6C801317"/>
    <w:rsid w:val="6CA77B2D"/>
    <w:rsid w:val="6CAA3EA4"/>
    <w:rsid w:val="6CBA151E"/>
    <w:rsid w:val="6CCD0DFB"/>
    <w:rsid w:val="6CD85951"/>
    <w:rsid w:val="6CF6746A"/>
    <w:rsid w:val="6D026FD1"/>
    <w:rsid w:val="6D0F4CEB"/>
    <w:rsid w:val="6D1C2B4E"/>
    <w:rsid w:val="6D2D03F9"/>
    <w:rsid w:val="6D5C4F28"/>
    <w:rsid w:val="6D751BED"/>
    <w:rsid w:val="6D8B304C"/>
    <w:rsid w:val="6D916A0C"/>
    <w:rsid w:val="6D973ED7"/>
    <w:rsid w:val="6D9E588E"/>
    <w:rsid w:val="6DA94262"/>
    <w:rsid w:val="6DAE2A69"/>
    <w:rsid w:val="6DB70CB4"/>
    <w:rsid w:val="6DD83087"/>
    <w:rsid w:val="6DDB4C8B"/>
    <w:rsid w:val="6DDF3370"/>
    <w:rsid w:val="6DE36788"/>
    <w:rsid w:val="6E00134F"/>
    <w:rsid w:val="6E02541D"/>
    <w:rsid w:val="6E094352"/>
    <w:rsid w:val="6E0A2C2C"/>
    <w:rsid w:val="6E652417"/>
    <w:rsid w:val="6E827CC9"/>
    <w:rsid w:val="6E85656F"/>
    <w:rsid w:val="6E894460"/>
    <w:rsid w:val="6E92195E"/>
    <w:rsid w:val="6E945485"/>
    <w:rsid w:val="6E992E30"/>
    <w:rsid w:val="6EA44814"/>
    <w:rsid w:val="6EA857B7"/>
    <w:rsid w:val="6EB20D5A"/>
    <w:rsid w:val="6EC20982"/>
    <w:rsid w:val="6EC425A0"/>
    <w:rsid w:val="6EC91D52"/>
    <w:rsid w:val="6EF36DDF"/>
    <w:rsid w:val="6F031BB8"/>
    <w:rsid w:val="6F3626B6"/>
    <w:rsid w:val="6F3F40AE"/>
    <w:rsid w:val="6F6338D8"/>
    <w:rsid w:val="6F6D06B3"/>
    <w:rsid w:val="6F815117"/>
    <w:rsid w:val="6F90277D"/>
    <w:rsid w:val="6FA40B61"/>
    <w:rsid w:val="6FC010C7"/>
    <w:rsid w:val="6FE0386A"/>
    <w:rsid w:val="700A0487"/>
    <w:rsid w:val="700A1E44"/>
    <w:rsid w:val="70157679"/>
    <w:rsid w:val="702A2DF0"/>
    <w:rsid w:val="703674CE"/>
    <w:rsid w:val="704F030D"/>
    <w:rsid w:val="70863E5A"/>
    <w:rsid w:val="70877FDA"/>
    <w:rsid w:val="708B0407"/>
    <w:rsid w:val="708F3F4F"/>
    <w:rsid w:val="70974C62"/>
    <w:rsid w:val="70987801"/>
    <w:rsid w:val="70CF0C0E"/>
    <w:rsid w:val="70D15D5E"/>
    <w:rsid w:val="70D37E0A"/>
    <w:rsid w:val="70F70D76"/>
    <w:rsid w:val="70FD7B86"/>
    <w:rsid w:val="7104443C"/>
    <w:rsid w:val="71143D27"/>
    <w:rsid w:val="71172346"/>
    <w:rsid w:val="711A0DDC"/>
    <w:rsid w:val="71302D3F"/>
    <w:rsid w:val="71307750"/>
    <w:rsid w:val="71503FC8"/>
    <w:rsid w:val="7170308B"/>
    <w:rsid w:val="71726245"/>
    <w:rsid w:val="718926B9"/>
    <w:rsid w:val="718A2459"/>
    <w:rsid w:val="7198319C"/>
    <w:rsid w:val="719E503F"/>
    <w:rsid w:val="71A62F51"/>
    <w:rsid w:val="71AA64EF"/>
    <w:rsid w:val="71AC3D91"/>
    <w:rsid w:val="71D42FE5"/>
    <w:rsid w:val="71E65261"/>
    <w:rsid w:val="71F56CCA"/>
    <w:rsid w:val="71FC5151"/>
    <w:rsid w:val="71FF0740"/>
    <w:rsid w:val="71FF0BB1"/>
    <w:rsid w:val="72364E53"/>
    <w:rsid w:val="724245AC"/>
    <w:rsid w:val="7249040E"/>
    <w:rsid w:val="724C2FD8"/>
    <w:rsid w:val="7258372B"/>
    <w:rsid w:val="72896FE0"/>
    <w:rsid w:val="728E5F19"/>
    <w:rsid w:val="72A44BC2"/>
    <w:rsid w:val="72B324E3"/>
    <w:rsid w:val="72CC5EC7"/>
    <w:rsid w:val="72D1172F"/>
    <w:rsid w:val="72D8260B"/>
    <w:rsid w:val="72D923EE"/>
    <w:rsid w:val="72ED09D0"/>
    <w:rsid w:val="72F93511"/>
    <w:rsid w:val="73013FCC"/>
    <w:rsid w:val="731A4B3E"/>
    <w:rsid w:val="73245D0B"/>
    <w:rsid w:val="734A59B2"/>
    <w:rsid w:val="73547991"/>
    <w:rsid w:val="73592A44"/>
    <w:rsid w:val="735E6B27"/>
    <w:rsid w:val="736938A6"/>
    <w:rsid w:val="737034B7"/>
    <w:rsid w:val="738E6C88"/>
    <w:rsid w:val="739169F9"/>
    <w:rsid w:val="739A46DA"/>
    <w:rsid w:val="73A55B45"/>
    <w:rsid w:val="73D47531"/>
    <w:rsid w:val="74031DA5"/>
    <w:rsid w:val="740A314B"/>
    <w:rsid w:val="740A7083"/>
    <w:rsid w:val="741D3244"/>
    <w:rsid w:val="74226A95"/>
    <w:rsid w:val="742D4234"/>
    <w:rsid w:val="743F4CBA"/>
    <w:rsid w:val="744F7236"/>
    <w:rsid w:val="745E1EAA"/>
    <w:rsid w:val="746774A9"/>
    <w:rsid w:val="748A000B"/>
    <w:rsid w:val="74912CE1"/>
    <w:rsid w:val="74942EB6"/>
    <w:rsid w:val="749D7B1B"/>
    <w:rsid w:val="749E119A"/>
    <w:rsid w:val="74A356E3"/>
    <w:rsid w:val="74A4534E"/>
    <w:rsid w:val="74A60143"/>
    <w:rsid w:val="74B04F59"/>
    <w:rsid w:val="74C3347D"/>
    <w:rsid w:val="74D33EF6"/>
    <w:rsid w:val="74D81279"/>
    <w:rsid w:val="74F12E86"/>
    <w:rsid w:val="74F31454"/>
    <w:rsid w:val="751C3961"/>
    <w:rsid w:val="752D0621"/>
    <w:rsid w:val="7533161D"/>
    <w:rsid w:val="753D1110"/>
    <w:rsid w:val="7579243F"/>
    <w:rsid w:val="7587293D"/>
    <w:rsid w:val="759C4277"/>
    <w:rsid w:val="75A17723"/>
    <w:rsid w:val="75A47883"/>
    <w:rsid w:val="75A629FF"/>
    <w:rsid w:val="75A86778"/>
    <w:rsid w:val="75A94FB9"/>
    <w:rsid w:val="75B456A9"/>
    <w:rsid w:val="75BA77F7"/>
    <w:rsid w:val="75BC377B"/>
    <w:rsid w:val="75C50AA6"/>
    <w:rsid w:val="75CE3273"/>
    <w:rsid w:val="75D02F0B"/>
    <w:rsid w:val="75D94171"/>
    <w:rsid w:val="75E626A9"/>
    <w:rsid w:val="75EA51DF"/>
    <w:rsid w:val="75F93BCE"/>
    <w:rsid w:val="763149BF"/>
    <w:rsid w:val="763F6BA9"/>
    <w:rsid w:val="76534504"/>
    <w:rsid w:val="769D4442"/>
    <w:rsid w:val="76AF515A"/>
    <w:rsid w:val="76B61F68"/>
    <w:rsid w:val="76B86E8E"/>
    <w:rsid w:val="76C57E80"/>
    <w:rsid w:val="76CC1292"/>
    <w:rsid w:val="76E97048"/>
    <w:rsid w:val="76F626E4"/>
    <w:rsid w:val="77210231"/>
    <w:rsid w:val="773B637B"/>
    <w:rsid w:val="773D64AD"/>
    <w:rsid w:val="77533270"/>
    <w:rsid w:val="776F0744"/>
    <w:rsid w:val="777703EE"/>
    <w:rsid w:val="779302B0"/>
    <w:rsid w:val="77A31E3D"/>
    <w:rsid w:val="77A34AFC"/>
    <w:rsid w:val="77BF7760"/>
    <w:rsid w:val="77D14534"/>
    <w:rsid w:val="77DB2827"/>
    <w:rsid w:val="77E2543A"/>
    <w:rsid w:val="77E67618"/>
    <w:rsid w:val="77FC2B71"/>
    <w:rsid w:val="78203AD8"/>
    <w:rsid w:val="78615D56"/>
    <w:rsid w:val="786404F8"/>
    <w:rsid w:val="78697706"/>
    <w:rsid w:val="787B2D22"/>
    <w:rsid w:val="78A15077"/>
    <w:rsid w:val="78AE1EC5"/>
    <w:rsid w:val="78C83AD2"/>
    <w:rsid w:val="78DD4E10"/>
    <w:rsid w:val="78E10CAC"/>
    <w:rsid w:val="78F148D9"/>
    <w:rsid w:val="790C4639"/>
    <w:rsid w:val="79121892"/>
    <w:rsid w:val="791B11FD"/>
    <w:rsid w:val="7925799D"/>
    <w:rsid w:val="792E4DAF"/>
    <w:rsid w:val="79392B18"/>
    <w:rsid w:val="794F5012"/>
    <w:rsid w:val="79516F63"/>
    <w:rsid w:val="79565544"/>
    <w:rsid w:val="795C4D4C"/>
    <w:rsid w:val="79674B9C"/>
    <w:rsid w:val="796C5D0E"/>
    <w:rsid w:val="796E1666"/>
    <w:rsid w:val="797911D5"/>
    <w:rsid w:val="797A39C8"/>
    <w:rsid w:val="797E28A3"/>
    <w:rsid w:val="798A5C60"/>
    <w:rsid w:val="79A07515"/>
    <w:rsid w:val="79A13C8B"/>
    <w:rsid w:val="79A15D8D"/>
    <w:rsid w:val="79A257CD"/>
    <w:rsid w:val="79A3664E"/>
    <w:rsid w:val="79A9103A"/>
    <w:rsid w:val="79A9150E"/>
    <w:rsid w:val="79AB36F9"/>
    <w:rsid w:val="79C00A58"/>
    <w:rsid w:val="79C60055"/>
    <w:rsid w:val="79CD2C51"/>
    <w:rsid w:val="79D27333"/>
    <w:rsid w:val="79DD1D32"/>
    <w:rsid w:val="79EF06E6"/>
    <w:rsid w:val="7A00729F"/>
    <w:rsid w:val="7A1F7224"/>
    <w:rsid w:val="7A302411"/>
    <w:rsid w:val="7A402138"/>
    <w:rsid w:val="7A7C4F56"/>
    <w:rsid w:val="7A864519"/>
    <w:rsid w:val="7A8D418E"/>
    <w:rsid w:val="7A9102F8"/>
    <w:rsid w:val="7AB30C1C"/>
    <w:rsid w:val="7AC15EB2"/>
    <w:rsid w:val="7ACA5466"/>
    <w:rsid w:val="7ACB7FEE"/>
    <w:rsid w:val="7AD45C10"/>
    <w:rsid w:val="7AFB1A3F"/>
    <w:rsid w:val="7B0A6A9B"/>
    <w:rsid w:val="7B0D2818"/>
    <w:rsid w:val="7B123D44"/>
    <w:rsid w:val="7B381B1F"/>
    <w:rsid w:val="7B444776"/>
    <w:rsid w:val="7B494559"/>
    <w:rsid w:val="7B4D7F4F"/>
    <w:rsid w:val="7B531250"/>
    <w:rsid w:val="7B752E7A"/>
    <w:rsid w:val="7B947AED"/>
    <w:rsid w:val="7B994E29"/>
    <w:rsid w:val="7BA43E56"/>
    <w:rsid w:val="7BBF3362"/>
    <w:rsid w:val="7BC10FD1"/>
    <w:rsid w:val="7BD61B65"/>
    <w:rsid w:val="7BF57B6C"/>
    <w:rsid w:val="7C1654F0"/>
    <w:rsid w:val="7C365871"/>
    <w:rsid w:val="7C495E9B"/>
    <w:rsid w:val="7C552BD0"/>
    <w:rsid w:val="7C60651C"/>
    <w:rsid w:val="7C6336EB"/>
    <w:rsid w:val="7C68464B"/>
    <w:rsid w:val="7C6855B6"/>
    <w:rsid w:val="7C7B56C3"/>
    <w:rsid w:val="7C863C78"/>
    <w:rsid w:val="7C866DDF"/>
    <w:rsid w:val="7C8A57FB"/>
    <w:rsid w:val="7C9F7A45"/>
    <w:rsid w:val="7CA33B0F"/>
    <w:rsid w:val="7CB82DCD"/>
    <w:rsid w:val="7CB90024"/>
    <w:rsid w:val="7CDD1E20"/>
    <w:rsid w:val="7CE57657"/>
    <w:rsid w:val="7CFF0770"/>
    <w:rsid w:val="7D3E0BCE"/>
    <w:rsid w:val="7D430709"/>
    <w:rsid w:val="7D5770CD"/>
    <w:rsid w:val="7D807901"/>
    <w:rsid w:val="7D8F646F"/>
    <w:rsid w:val="7D994C5A"/>
    <w:rsid w:val="7D9A2209"/>
    <w:rsid w:val="7DA56900"/>
    <w:rsid w:val="7DA9460F"/>
    <w:rsid w:val="7DBD3851"/>
    <w:rsid w:val="7DC80B9A"/>
    <w:rsid w:val="7DE03DE0"/>
    <w:rsid w:val="7DE63DC0"/>
    <w:rsid w:val="7DE65FBE"/>
    <w:rsid w:val="7DE81FDD"/>
    <w:rsid w:val="7DFF6F70"/>
    <w:rsid w:val="7E062BD5"/>
    <w:rsid w:val="7E245068"/>
    <w:rsid w:val="7E2461C2"/>
    <w:rsid w:val="7E3B2283"/>
    <w:rsid w:val="7E480666"/>
    <w:rsid w:val="7E7E3374"/>
    <w:rsid w:val="7E826950"/>
    <w:rsid w:val="7E904003"/>
    <w:rsid w:val="7E9064E4"/>
    <w:rsid w:val="7EA71FE6"/>
    <w:rsid w:val="7EAF6DC9"/>
    <w:rsid w:val="7EB76F44"/>
    <w:rsid w:val="7EBD20DC"/>
    <w:rsid w:val="7ECC0C66"/>
    <w:rsid w:val="7ED4627F"/>
    <w:rsid w:val="7EE4759A"/>
    <w:rsid w:val="7EF660B1"/>
    <w:rsid w:val="7EF73EBA"/>
    <w:rsid w:val="7EFA4422"/>
    <w:rsid w:val="7EFF5CB3"/>
    <w:rsid w:val="7F1C60C1"/>
    <w:rsid w:val="7F233968"/>
    <w:rsid w:val="7F297D6C"/>
    <w:rsid w:val="7F380338"/>
    <w:rsid w:val="7F4543DB"/>
    <w:rsid w:val="7F482D79"/>
    <w:rsid w:val="7F564E49"/>
    <w:rsid w:val="7F5824E6"/>
    <w:rsid w:val="7F730597"/>
    <w:rsid w:val="7F7405C7"/>
    <w:rsid w:val="7F7F75D9"/>
    <w:rsid w:val="7F9541FE"/>
    <w:rsid w:val="7F9B7217"/>
    <w:rsid w:val="7FA709E5"/>
    <w:rsid w:val="7FDD28A7"/>
    <w:rsid w:val="7FFD7F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nhideWhenUsed="0"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7"/>
    <w:qFormat/>
    <w:uiPriority w:val="99"/>
    <w:pPr>
      <w:keepNext/>
      <w:keepLines/>
      <w:spacing w:line="576" w:lineRule="auto"/>
      <w:jc w:val="center"/>
      <w:outlineLvl w:val="0"/>
    </w:pPr>
    <w:rPr>
      <w:rFonts w:ascii="Times New Roman" w:hAnsi="Times New Roman"/>
      <w:b/>
      <w:kern w:val="44"/>
      <w:sz w:val="32"/>
    </w:rPr>
  </w:style>
  <w:style w:type="paragraph" w:styleId="4">
    <w:name w:val="heading 2"/>
    <w:basedOn w:val="1"/>
    <w:next w:val="1"/>
    <w:link w:val="43"/>
    <w:qFormat/>
    <w:uiPriority w:val="99"/>
    <w:pPr>
      <w:keepNext/>
      <w:keepLines/>
      <w:spacing w:line="413" w:lineRule="auto"/>
      <w:jc w:val="center"/>
      <w:outlineLvl w:val="1"/>
    </w:pPr>
    <w:rPr>
      <w:rFonts w:ascii="Arial" w:hAnsi="Arial"/>
      <w:b/>
      <w:sz w:val="28"/>
    </w:rPr>
  </w:style>
  <w:style w:type="paragraph" w:styleId="5">
    <w:name w:val="heading 3"/>
    <w:basedOn w:val="1"/>
    <w:next w:val="1"/>
    <w:link w:val="44"/>
    <w:qFormat/>
    <w:uiPriority w:val="99"/>
    <w:pPr>
      <w:keepNext/>
      <w:keepLines/>
      <w:spacing w:line="413" w:lineRule="auto"/>
      <w:outlineLvl w:val="2"/>
    </w:pPr>
    <w:rPr>
      <w:b/>
      <w:sz w:val="28"/>
    </w:rPr>
  </w:style>
  <w:style w:type="paragraph" w:styleId="6">
    <w:name w:val="heading 4"/>
    <w:basedOn w:val="1"/>
    <w:next w:val="1"/>
    <w:unhideWhenUsed/>
    <w:qFormat/>
    <w:locked/>
    <w:uiPriority w:val="0"/>
    <w:pPr>
      <w:keepNext/>
      <w:keepLines/>
      <w:jc w:val="left"/>
      <w:outlineLvl w:val="3"/>
    </w:pPr>
    <w:rPr>
      <w:rFonts w:hint="eastAsia" w:ascii="Arial" w:hAnsi="Arial"/>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99"/>
  </w:style>
  <w:style w:type="paragraph" w:styleId="7">
    <w:name w:val="Normal Indent"/>
    <w:basedOn w:val="1"/>
    <w:next w:val="8"/>
    <w:qFormat/>
    <w:uiPriority w:val="99"/>
    <w:pPr>
      <w:ind w:firstLine="420"/>
    </w:pPr>
    <w:rPr>
      <w:szCs w:val="20"/>
    </w:rPr>
  </w:style>
  <w:style w:type="paragraph" w:styleId="8">
    <w:name w:val="Body Text First Indent 2"/>
    <w:basedOn w:val="9"/>
    <w:next w:val="7"/>
    <w:qFormat/>
    <w:uiPriority w:val="0"/>
    <w:pPr>
      <w:ind w:firstLine="420"/>
    </w:pPr>
  </w:style>
  <w:style w:type="paragraph" w:styleId="9">
    <w:name w:val="Body Text Indent"/>
    <w:basedOn w:val="1"/>
    <w:next w:val="1"/>
    <w:unhideWhenUsed/>
    <w:qFormat/>
    <w:uiPriority w:val="99"/>
    <w:pPr>
      <w:ind w:left="420" w:leftChars="200"/>
    </w:pPr>
  </w:style>
  <w:style w:type="paragraph" w:styleId="10">
    <w:name w:val="annotation text"/>
    <w:basedOn w:val="1"/>
    <w:link w:val="45"/>
    <w:qFormat/>
    <w:uiPriority w:val="99"/>
    <w:pPr>
      <w:jc w:val="left"/>
    </w:pPr>
    <w:rPr>
      <w:rFonts w:ascii="宋体"/>
      <w:kern w:val="0"/>
      <w:sz w:val="34"/>
    </w:rPr>
  </w:style>
  <w:style w:type="paragraph" w:styleId="11">
    <w:name w:val="List Bullet 2"/>
    <w:basedOn w:val="1"/>
    <w:semiHidden/>
    <w:unhideWhenUsed/>
    <w:qFormat/>
    <w:uiPriority w:val="99"/>
    <w:pPr>
      <w:numPr>
        <w:ilvl w:val="0"/>
        <w:numId w:val="1"/>
      </w:numPr>
    </w:pPr>
  </w:style>
  <w:style w:type="paragraph" w:styleId="12">
    <w:name w:val="toc 3"/>
    <w:basedOn w:val="1"/>
    <w:next w:val="1"/>
    <w:qFormat/>
    <w:uiPriority w:val="99"/>
    <w:pPr>
      <w:ind w:left="840" w:leftChars="400"/>
    </w:pPr>
  </w:style>
  <w:style w:type="paragraph" w:styleId="13">
    <w:name w:val="Plain Text"/>
    <w:basedOn w:val="1"/>
    <w:link w:val="47"/>
    <w:qFormat/>
    <w:uiPriority w:val="99"/>
    <w:pPr>
      <w:spacing w:line="324" w:lineRule="auto"/>
    </w:pPr>
    <w:rPr>
      <w:rFonts w:ascii="宋体" w:hAnsi="Courier New" w:cs="Courier New"/>
      <w:szCs w:val="21"/>
    </w:rPr>
  </w:style>
  <w:style w:type="paragraph" w:styleId="14">
    <w:name w:val="Date"/>
    <w:basedOn w:val="1"/>
    <w:next w:val="1"/>
    <w:unhideWhenUsed/>
    <w:qFormat/>
    <w:uiPriority w:val="99"/>
    <w:rPr>
      <w:rFonts w:ascii="Copperplate Gothic Bold" w:hAnsi="Copperplate Gothic Bold"/>
      <w:sz w:val="32"/>
      <w:szCs w:val="20"/>
    </w:rPr>
  </w:style>
  <w:style w:type="paragraph" w:styleId="15">
    <w:name w:val="Body Text Indent 2"/>
    <w:basedOn w:val="1"/>
    <w:link w:val="48"/>
    <w:qFormat/>
    <w:uiPriority w:val="99"/>
    <w:pPr>
      <w:spacing w:after="120" w:line="480" w:lineRule="auto"/>
      <w:ind w:left="420" w:leftChars="200"/>
    </w:pPr>
  </w:style>
  <w:style w:type="paragraph" w:styleId="16">
    <w:name w:val="Balloon Text"/>
    <w:basedOn w:val="1"/>
    <w:link w:val="49"/>
    <w:qFormat/>
    <w:uiPriority w:val="99"/>
    <w:rPr>
      <w:sz w:val="18"/>
      <w:szCs w:val="18"/>
    </w:rPr>
  </w:style>
  <w:style w:type="paragraph" w:styleId="17">
    <w:name w:val="footer"/>
    <w:basedOn w:val="1"/>
    <w:link w:val="50"/>
    <w:qFormat/>
    <w:uiPriority w:val="99"/>
    <w:pPr>
      <w:tabs>
        <w:tab w:val="center" w:pos="4153"/>
        <w:tab w:val="right" w:pos="8306"/>
      </w:tabs>
      <w:snapToGrid w:val="0"/>
      <w:jc w:val="left"/>
    </w:pPr>
    <w:rPr>
      <w:sz w:val="18"/>
      <w:szCs w:val="18"/>
    </w:rPr>
  </w:style>
  <w:style w:type="paragraph" w:styleId="18">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style>
  <w:style w:type="paragraph" w:styleId="20">
    <w:name w:val="toc 2"/>
    <w:basedOn w:val="1"/>
    <w:next w:val="1"/>
    <w:qFormat/>
    <w:uiPriority w:val="99"/>
    <w:pPr>
      <w:ind w:left="420" w:leftChars="200"/>
    </w:pPr>
  </w:style>
  <w:style w:type="paragraph" w:styleId="21">
    <w:name w:val="Body Text 2"/>
    <w:basedOn w:val="1"/>
    <w:link w:val="52"/>
    <w:qFormat/>
    <w:uiPriority w:val="99"/>
    <w:pPr>
      <w:jc w:val="center"/>
    </w:pPr>
    <w:rPr>
      <w:b/>
      <w:spacing w:val="-20"/>
      <w:w w:val="130"/>
      <w:sz w:val="48"/>
      <w:szCs w:val="2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annotation subject"/>
    <w:basedOn w:val="10"/>
    <w:next w:val="10"/>
    <w:link w:val="72"/>
    <w:unhideWhenUsed/>
    <w:qFormat/>
    <w:uiPriority w:val="99"/>
    <w:rPr>
      <w:rFonts w:ascii="Calibri"/>
      <w:b/>
      <w:bCs/>
      <w:kern w:val="2"/>
      <w:sz w:val="21"/>
    </w:rPr>
  </w:style>
  <w:style w:type="paragraph" w:styleId="24">
    <w:name w:val="Body Text First Indent"/>
    <w:basedOn w:val="2"/>
    <w:unhideWhenUsed/>
    <w:qFormat/>
    <w:uiPriority w:val="99"/>
    <w:pPr>
      <w:ind w:firstLine="420" w:firstLineChars="100"/>
    </w:pPr>
    <w:rPr>
      <w:rFonts w:ascii="Times New Roman" w:hAnsi="Times New Roman"/>
      <w:sz w:val="18"/>
      <w:szCs w:val="18"/>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99"/>
    <w:rPr>
      <w:rFonts w:cs="Times New Roman"/>
      <w:b/>
      <w:sz w:val="24"/>
      <w:szCs w:val="24"/>
    </w:rPr>
  </w:style>
  <w:style w:type="character" w:styleId="29">
    <w:name w:val="page number"/>
    <w:basedOn w:val="27"/>
    <w:qFormat/>
    <w:uiPriority w:val="99"/>
    <w:rPr>
      <w:rFonts w:cs="Times New Roman"/>
    </w:rPr>
  </w:style>
  <w:style w:type="character" w:styleId="30">
    <w:name w:val="FollowedHyperlink"/>
    <w:basedOn w:val="27"/>
    <w:unhideWhenUsed/>
    <w:qFormat/>
    <w:uiPriority w:val="99"/>
    <w:rPr>
      <w:rFonts w:hint="eastAsia" w:ascii="宋体" w:hAnsi="宋体" w:eastAsia="宋体" w:cs="宋体"/>
      <w:color w:val="000000"/>
      <w:sz w:val="18"/>
      <w:szCs w:val="18"/>
      <w:u w:val="none"/>
    </w:rPr>
  </w:style>
  <w:style w:type="character" w:styleId="31">
    <w:name w:val="Emphasis"/>
    <w:basedOn w:val="27"/>
    <w:qFormat/>
    <w:uiPriority w:val="99"/>
    <w:rPr>
      <w:rFonts w:cs="Times New Roman"/>
      <w:i/>
      <w:iCs/>
    </w:rPr>
  </w:style>
  <w:style w:type="character" w:styleId="32">
    <w:name w:val="HTML Definition"/>
    <w:basedOn w:val="27"/>
    <w:unhideWhenUsed/>
    <w:qFormat/>
    <w:uiPriority w:val="99"/>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qFormat/>
    <w:uiPriority w:val="99"/>
    <w:rPr>
      <w:rFonts w:cs="Times New Roman"/>
      <w:color w:val="0000FF"/>
      <w:u w:val="single"/>
    </w:rPr>
  </w:style>
  <w:style w:type="character" w:styleId="36">
    <w:name w:val="HTML Code"/>
    <w:basedOn w:val="27"/>
    <w:unhideWhenUsed/>
    <w:qFormat/>
    <w:uiPriority w:val="99"/>
    <w:rPr>
      <w:rFonts w:hint="default" w:ascii="Consolas" w:hAnsi="Consolas" w:eastAsia="Consolas" w:cs="Consolas"/>
      <w:color w:val="C7254E"/>
      <w:sz w:val="21"/>
      <w:szCs w:val="21"/>
      <w:shd w:val="clear" w:color="auto" w:fill="F9F2F4"/>
    </w:rPr>
  </w:style>
  <w:style w:type="character" w:styleId="37">
    <w:name w:val="annotation reference"/>
    <w:basedOn w:val="27"/>
    <w:qFormat/>
    <w:uiPriority w:val="99"/>
    <w:rPr>
      <w:rFonts w:cs="Times New Roman"/>
      <w:sz w:val="21"/>
    </w:rPr>
  </w:style>
  <w:style w:type="character" w:styleId="38">
    <w:name w:val="HTML Cite"/>
    <w:basedOn w:val="27"/>
    <w:qFormat/>
    <w:uiPriority w:val="99"/>
    <w:rPr>
      <w:rFonts w:cs="Times New Roman"/>
      <w:sz w:val="24"/>
      <w:szCs w:val="24"/>
    </w:rPr>
  </w:style>
  <w:style w:type="character" w:styleId="39">
    <w:name w:val="HTML Keyboard"/>
    <w:basedOn w:val="27"/>
    <w:unhideWhenUsed/>
    <w:qFormat/>
    <w:uiPriority w:val="99"/>
    <w:rPr>
      <w:rFonts w:ascii="Consolas" w:hAnsi="Consolas" w:eastAsia="Consolas" w:cs="Consolas"/>
      <w:color w:val="FFFFFF"/>
      <w:sz w:val="21"/>
      <w:szCs w:val="21"/>
      <w:shd w:val="clear" w:color="auto" w:fill="333333"/>
    </w:rPr>
  </w:style>
  <w:style w:type="character" w:styleId="40">
    <w:name w:val="HTML Sample"/>
    <w:basedOn w:val="27"/>
    <w:unhideWhenUsed/>
    <w:qFormat/>
    <w:uiPriority w:val="99"/>
    <w:rPr>
      <w:rFonts w:hint="default" w:ascii="Consolas" w:hAnsi="Consolas" w:eastAsia="Consolas" w:cs="Consolas"/>
      <w:sz w:val="21"/>
      <w:szCs w:val="21"/>
    </w:rPr>
  </w:style>
  <w:style w:type="paragraph" w:customStyle="1" w:styleId="41">
    <w:name w:val="无间隔1"/>
    <w:qFormat/>
    <w:uiPriority w:val="1"/>
    <w:pPr>
      <w:widowControl w:val="0"/>
      <w:spacing w:line="300" w:lineRule="auto"/>
    </w:pPr>
    <w:rPr>
      <w:rFonts w:ascii="Times New Roman" w:hAnsi="Times New Roman" w:eastAsia="宋体" w:cs="黑体"/>
      <w:kern w:val="2"/>
      <w:sz w:val="21"/>
      <w:szCs w:val="22"/>
      <w:lang w:val="en-US" w:eastAsia="zh-CN" w:bidi="ar-SA"/>
    </w:rPr>
  </w:style>
  <w:style w:type="character" w:customStyle="1" w:styleId="42">
    <w:name w:val="标题 1 Char"/>
    <w:basedOn w:val="27"/>
    <w:qFormat/>
    <w:locked/>
    <w:uiPriority w:val="99"/>
    <w:rPr>
      <w:rFonts w:ascii="Calibri" w:hAnsi="Calibri" w:cs="Times New Roman"/>
      <w:b/>
      <w:bCs/>
      <w:kern w:val="44"/>
      <w:sz w:val="44"/>
      <w:szCs w:val="44"/>
    </w:rPr>
  </w:style>
  <w:style w:type="character" w:customStyle="1" w:styleId="43">
    <w:name w:val="标题 2 字符"/>
    <w:basedOn w:val="27"/>
    <w:link w:val="4"/>
    <w:semiHidden/>
    <w:qFormat/>
    <w:locked/>
    <w:uiPriority w:val="99"/>
    <w:rPr>
      <w:rFonts w:ascii="Cambria" w:hAnsi="Cambria" w:eastAsia="宋体" w:cs="Times New Roman"/>
      <w:b/>
      <w:bCs/>
      <w:sz w:val="32"/>
      <w:szCs w:val="32"/>
    </w:rPr>
  </w:style>
  <w:style w:type="character" w:customStyle="1" w:styleId="44">
    <w:name w:val="标题 3 字符"/>
    <w:basedOn w:val="27"/>
    <w:link w:val="5"/>
    <w:semiHidden/>
    <w:qFormat/>
    <w:locked/>
    <w:uiPriority w:val="99"/>
    <w:rPr>
      <w:rFonts w:ascii="Calibri" w:hAnsi="Calibri" w:eastAsia="宋体" w:cs="Times New Roman"/>
      <w:b/>
      <w:bCs/>
      <w:sz w:val="28"/>
      <w:szCs w:val="32"/>
    </w:rPr>
  </w:style>
  <w:style w:type="character" w:customStyle="1" w:styleId="45">
    <w:name w:val="批注文字 字符"/>
    <w:basedOn w:val="27"/>
    <w:link w:val="10"/>
    <w:qFormat/>
    <w:locked/>
    <w:uiPriority w:val="99"/>
    <w:rPr>
      <w:rFonts w:ascii="宋体" w:hAnsi="Calibri" w:eastAsia="宋体" w:cs="Times New Roman"/>
      <w:sz w:val="22"/>
      <w:szCs w:val="22"/>
    </w:rPr>
  </w:style>
  <w:style w:type="character" w:customStyle="1" w:styleId="46">
    <w:name w:val="正文文本 字符"/>
    <w:basedOn w:val="27"/>
    <w:link w:val="2"/>
    <w:semiHidden/>
    <w:qFormat/>
    <w:locked/>
    <w:uiPriority w:val="99"/>
    <w:rPr>
      <w:rFonts w:ascii="Calibri" w:hAnsi="Calibri" w:cs="Times New Roman"/>
    </w:rPr>
  </w:style>
  <w:style w:type="character" w:customStyle="1" w:styleId="47">
    <w:name w:val="纯文本 字符"/>
    <w:basedOn w:val="27"/>
    <w:link w:val="13"/>
    <w:semiHidden/>
    <w:qFormat/>
    <w:locked/>
    <w:uiPriority w:val="99"/>
    <w:rPr>
      <w:rFonts w:ascii="宋体" w:hAnsi="Courier New" w:cs="Courier New"/>
      <w:sz w:val="21"/>
      <w:szCs w:val="21"/>
    </w:rPr>
  </w:style>
  <w:style w:type="character" w:customStyle="1" w:styleId="48">
    <w:name w:val="正文文本缩进 2 字符"/>
    <w:basedOn w:val="27"/>
    <w:link w:val="15"/>
    <w:semiHidden/>
    <w:qFormat/>
    <w:locked/>
    <w:uiPriority w:val="99"/>
    <w:rPr>
      <w:rFonts w:ascii="Calibri" w:hAnsi="Calibri" w:cs="Times New Roman"/>
    </w:rPr>
  </w:style>
  <w:style w:type="character" w:customStyle="1" w:styleId="49">
    <w:name w:val="批注框文本 字符"/>
    <w:basedOn w:val="27"/>
    <w:link w:val="16"/>
    <w:qFormat/>
    <w:locked/>
    <w:uiPriority w:val="99"/>
    <w:rPr>
      <w:rFonts w:ascii="Calibri" w:hAnsi="Calibri" w:eastAsia="宋体" w:cs="Times New Roman"/>
      <w:kern w:val="2"/>
      <w:sz w:val="18"/>
      <w:szCs w:val="18"/>
    </w:rPr>
  </w:style>
  <w:style w:type="character" w:customStyle="1" w:styleId="50">
    <w:name w:val="页脚 字符"/>
    <w:basedOn w:val="27"/>
    <w:link w:val="17"/>
    <w:semiHidden/>
    <w:qFormat/>
    <w:locked/>
    <w:uiPriority w:val="99"/>
    <w:rPr>
      <w:rFonts w:ascii="Calibri" w:hAnsi="Calibri" w:cs="Times New Roman"/>
      <w:sz w:val="18"/>
      <w:szCs w:val="18"/>
    </w:rPr>
  </w:style>
  <w:style w:type="character" w:customStyle="1" w:styleId="51">
    <w:name w:val="页眉 字符"/>
    <w:basedOn w:val="27"/>
    <w:link w:val="18"/>
    <w:semiHidden/>
    <w:qFormat/>
    <w:locked/>
    <w:uiPriority w:val="99"/>
    <w:rPr>
      <w:rFonts w:ascii="Calibri" w:hAnsi="Calibri" w:cs="Times New Roman"/>
      <w:sz w:val="18"/>
      <w:szCs w:val="18"/>
    </w:rPr>
  </w:style>
  <w:style w:type="character" w:customStyle="1" w:styleId="52">
    <w:name w:val="正文文本 2 字符"/>
    <w:basedOn w:val="27"/>
    <w:link w:val="21"/>
    <w:semiHidden/>
    <w:qFormat/>
    <w:locked/>
    <w:uiPriority w:val="99"/>
    <w:rPr>
      <w:rFonts w:ascii="Calibri" w:hAnsi="Calibri" w:cs="Times New Roman"/>
    </w:rPr>
  </w:style>
  <w:style w:type="paragraph" w:customStyle="1" w:styleId="53">
    <w:name w:val="Char2 Char Char Char"/>
    <w:basedOn w:val="1"/>
    <w:qFormat/>
    <w:uiPriority w:val="99"/>
    <w:rPr>
      <w:rFonts w:ascii="Tahoma" w:hAnsi="Tahoma"/>
      <w:sz w:val="24"/>
      <w:szCs w:val="20"/>
    </w:rPr>
  </w:style>
  <w:style w:type="paragraph" w:customStyle="1" w:styleId="54">
    <w:name w:val="列出段落1"/>
    <w:basedOn w:val="1"/>
    <w:qFormat/>
    <w:uiPriority w:val="99"/>
    <w:pPr>
      <w:ind w:firstLine="420" w:firstLineChars="200"/>
    </w:pPr>
  </w:style>
  <w:style w:type="character" w:customStyle="1" w:styleId="55">
    <w:name w:val="10"/>
    <w:basedOn w:val="27"/>
    <w:qFormat/>
    <w:uiPriority w:val="99"/>
    <w:rPr>
      <w:rFonts w:ascii="Calibri" w:hAnsi="Calibri" w:cs="Times New Roman"/>
    </w:rPr>
  </w:style>
  <w:style w:type="character" w:customStyle="1" w:styleId="56">
    <w:name w:val="15"/>
    <w:basedOn w:val="27"/>
    <w:qFormat/>
    <w:uiPriority w:val="99"/>
    <w:rPr>
      <w:rFonts w:ascii="Calibri" w:hAnsi="Calibri" w:cs="Times New Roman"/>
      <w:i/>
      <w:iCs/>
    </w:rPr>
  </w:style>
  <w:style w:type="paragraph" w:customStyle="1" w:styleId="57">
    <w:name w:val="_Style 2"/>
    <w:basedOn w:val="1"/>
    <w:qFormat/>
    <w:uiPriority w:val="99"/>
    <w:pPr>
      <w:ind w:firstLine="420" w:firstLineChars="200"/>
    </w:pPr>
  </w:style>
  <w:style w:type="character" w:customStyle="1" w:styleId="58">
    <w:name w:val="apple-style-span"/>
    <w:qFormat/>
    <w:uiPriority w:val="99"/>
  </w:style>
  <w:style w:type="character" w:customStyle="1" w:styleId="59">
    <w:name w:val="del"/>
    <w:basedOn w:val="27"/>
    <w:qFormat/>
    <w:uiPriority w:val="99"/>
    <w:rPr>
      <w:rFonts w:cs="Times New Roman"/>
    </w:rPr>
  </w:style>
  <w:style w:type="character" w:customStyle="1" w:styleId="60">
    <w:name w:val="del1"/>
    <w:basedOn w:val="27"/>
    <w:qFormat/>
    <w:uiPriority w:val="99"/>
    <w:rPr>
      <w:rFonts w:cs="Times New Roman"/>
      <w:vanish/>
      <w:color w:val="666666"/>
      <w:sz w:val="18"/>
      <w:szCs w:val="18"/>
      <w:u w:val="single"/>
    </w:rPr>
  </w:style>
  <w:style w:type="character" w:customStyle="1" w:styleId="61">
    <w:name w:val="del2"/>
    <w:basedOn w:val="27"/>
    <w:qFormat/>
    <w:uiPriority w:val="99"/>
    <w:rPr>
      <w:rFonts w:cs="Times New Roman"/>
      <w:vanish/>
    </w:rPr>
  </w:style>
  <w:style w:type="character" w:customStyle="1" w:styleId="62">
    <w:name w:val="del3"/>
    <w:basedOn w:val="27"/>
    <w:qFormat/>
    <w:uiPriority w:val="99"/>
    <w:rPr>
      <w:rFonts w:cs="Times New Roman"/>
      <w:vanish/>
    </w:rPr>
  </w:style>
  <w:style w:type="paragraph" w:customStyle="1" w:styleId="63">
    <w:name w:val="_Style 4"/>
    <w:basedOn w:val="1"/>
    <w:qFormat/>
    <w:uiPriority w:val="99"/>
    <w:pPr>
      <w:ind w:firstLine="420" w:firstLineChars="200"/>
    </w:pPr>
  </w:style>
  <w:style w:type="paragraph" w:customStyle="1" w:styleId="64">
    <w:name w:val="pa-19"/>
    <w:basedOn w:val="1"/>
    <w:qFormat/>
    <w:uiPriority w:val="0"/>
    <w:pPr>
      <w:widowControl/>
      <w:spacing w:before="100" w:beforeAutospacing="1" w:after="100" w:afterAutospacing="1"/>
      <w:jc w:val="left"/>
    </w:pPr>
    <w:rPr>
      <w:rFonts w:ascii="宋体" w:hAnsi="宋体" w:cs="宋体"/>
      <w:kern w:val="0"/>
      <w:sz w:val="24"/>
    </w:rPr>
  </w:style>
  <w:style w:type="character" w:customStyle="1" w:styleId="65">
    <w:name w:val="button"/>
    <w:basedOn w:val="27"/>
    <w:qFormat/>
    <w:uiPriority w:val="0"/>
  </w:style>
  <w:style w:type="character" w:customStyle="1" w:styleId="66">
    <w:name w:val="tmpztreemove_arrow"/>
    <w:basedOn w:val="27"/>
    <w:qFormat/>
    <w:uiPriority w:val="0"/>
    <w:rPr>
      <w:shd w:val="clear" w:color="auto" w:fill="FFFFFF"/>
    </w:rPr>
  </w:style>
  <w:style w:type="character" w:customStyle="1" w:styleId="67">
    <w:name w:val="old"/>
    <w:basedOn w:val="27"/>
    <w:qFormat/>
    <w:uiPriority w:val="0"/>
    <w:rPr>
      <w:color w:val="999999"/>
    </w:rPr>
  </w:style>
  <w:style w:type="character" w:customStyle="1" w:styleId="68">
    <w:name w:val="hover3"/>
    <w:basedOn w:val="27"/>
    <w:qFormat/>
    <w:uiPriority w:val="0"/>
    <w:rPr>
      <w:shd w:val="clear" w:color="auto" w:fill="EEEEEE"/>
    </w:rPr>
  </w:style>
  <w:style w:type="character" w:customStyle="1" w:styleId="69">
    <w:name w:val="hour_am"/>
    <w:basedOn w:val="27"/>
    <w:qFormat/>
    <w:uiPriority w:val="0"/>
  </w:style>
  <w:style w:type="character" w:customStyle="1" w:styleId="70">
    <w:name w:val="hour_pm"/>
    <w:basedOn w:val="27"/>
    <w:qFormat/>
    <w:uiPriority w:val="0"/>
  </w:style>
  <w:style w:type="character" w:customStyle="1" w:styleId="71">
    <w:name w:val="glyphicon4"/>
    <w:basedOn w:val="27"/>
    <w:qFormat/>
    <w:uiPriority w:val="0"/>
  </w:style>
  <w:style w:type="character" w:customStyle="1" w:styleId="72">
    <w:name w:val="批注主题 字符"/>
    <w:basedOn w:val="45"/>
    <w:link w:val="23"/>
    <w:semiHidden/>
    <w:qFormat/>
    <w:uiPriority w:val="99"/>
    <w:rPr>
      <w:rFonts w:ascii="Calibri" w:hAnsi="Calibri" w:eastAsia="宋体" w:cs="Times New Roman"/>
      <w:b/>
      <w:bCs/>
      <w:kern w:val="2"/>
      <w:sz w:val="21"/>
      <w:szCs w:val="22"/>
    </w:rPr>
  </w:style>
  <w:style w:type="paragraph" w:customStyle="1" w:styleId="73">
    <w:name w:val="列表段落1"/>
    <w:basedOn w:val="1"/>
    <w:unhideWhenUsed/>
    <w:qFormat/>
    <w:uiPriority w:val="99"/>
    <w:pPr>
      <w:ind w:firstLine="420" w:firstLineChars="200"/>
    </w:pPr>
  </w:style>
  <w:style w:type="paragraph" w:customStyle="1" w:styleId="74">
    <w:name w:val="列出段落2"/>
    <w:basedOn w:val="1"/>
    <w:qFormat/>
    <w:uiPriority w:val="99"/>
    <w:pPr>
      <w:ind w:firstLine="420" w:firstLineChars="200"/>
    </w:pPr>
  </w:style>
  <w:style w:type="paragraph" w:customStyle="1" w:styleId="75">
    <w:name w:val="正文缩进1"/>
    <w:basedOn w:val="1"/>
    <w:qFormat/>
    <w:uiPriority w:val="0"/>
    <w:pPr>
      <w:ind w:firstLine="420" w:firstLineChars="200"/>
    </w:pPr>
  </w:style>
  <w:style w:type="paragraph" w:customStyle="1" w:styleId="76">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77">
    <w:name w:val="标题 1 字符"/>
    <w:basedOn w:val="27"/>
    <w:link w:val="3"/>
    <w:qFormat/>
    <w:locked/>
    <w:uiPriority w:val="99"/>
    <w:rPr>
      <w:rFonts w:ascii="Times New Roman" w:hAnsi="Times New Roman" w:eastAsia="宋体" w:cs="Times New Roman"/>
      <w:b/>
      <w:kern w:val="44"/>
      <w:sz w:val="32"/>
    </w:rPr>
  </w:style>
  <w:style w:type="paragraph" w:customStyle="1" w:styleId="78">
    <w:name w:val="Default"/>
    <w:qFormat/>
    <w:uiPriority w:val="0"/>
    <w:pPr>
      <w:widowControl w:val="0"/>
      <w:autoSpaceDE w:val="0"/>
      <w:autoSpaceDN w:val="0"/>
      <w:adjustRightInd w:val="0"/>
    </w:pPr>
    <w:rPr>
      <w:rFonts w:ascii="Minion" w:hAnsi="Times New Roman" w:eastAsia="Minion" w:cs="Times New Roman"/>
      <w:color w:val="000000"/>
      <w:sz w:val="24"/>
      <w:lang w:val="en-US" w:eastAsia="zh-CN" w:bidi="ar-SA"/>
    </w:rPr>
  </w:style>
  <w:style w:type="table" w:customStyle="1" w:styleId="79">
    <w:name w:val="网格型1"/>
    <w:basedOn w:val="2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font01"/>
    <w:basedOn w:val="27"/>
    <w:qFormat/>
    <w:uiPriority w:val="0"/>
    <w:rPr>
      <w:rFonts w:hint="eastAsia" w:ascii="宋体" w:hAnsi="宋体" w:eastAsia="宋体" w:cs="宋体"/>
      <w:color w:val="000000"/>
      <w:sz w:val="22"/>
      <w:szCs w:val="22"/>
      <w:u w:val="none"/>
    </w:rPr>
  </w:style>
  <w:style w:type="character" w:customStyle="1" w:styleId="81">
    <w:name w:val="font11"/>
    <w:basedOn w:val="27"/>
    <w:qFormat/>
    <w:uiPriority w:val="0"/>
    <w:rPr>
      <w:rFonts w:ascii="Arial" w:hAnsi="Arial" w:cs="Arial"/>
      <w:color w:val="000000"/>
      <w:sz w:val="22"/>
      <w:szCs w:val="22"/>
      <w:u w:val="none"/>
    </w:rPr>
  </w:style>
  <w:style w:type="paragraph" w:customStyle="1" w:styleId="82">
    <w:name w:val="_正文段落"/>
    <w:basedOn w:val="1"/>
    <w:qFormat/>
    <w:uiPriority w:val="0"/>
    <w:pPr>
      <w:spacing w:beforeLines="15" w:afterLines="15"/>
      <w:ind w:firstLine="480" w:firstLineChars="200"/>
    </w:pPr>
  </w:style>
  <w:style w:type="character" w:customStyle="1" w:styleId="83">
    <w:name w:val="indent"/>
    <w:basedOn w:val="27"/>
    <w:qFormat/>
    <w:uiPriority w:val="0"/>
  </w:style>
  <w:style w:type="paragraph" w:customStyle="1" w:styleId="84">
    <w:name w:val="样式6"/>
    <w:basedOn w:val="1"/>
    <w:qFormat/>
    <w:uiPriority w:val="99"/>
    <w:pPr>
      <w:topLinePunct/>
      <w:spacing w:before="160" w:after="60"/>
      <w:jc w:val="center"/>
    </w:pPr>
    <w:rPr>
      <w:rFonts w:ascii="Times New Roman" w:hAnsi="Times New Roman" w:eastAsia="黑体"/>
      <w:szCs w:val="21"/>
    </w:rPr>
  </w:style>
  <w:style w:type="table" w:customStyle="1" w:styleId="85">
    <w:name w:val="文档表格标题行列型（绿盟科技）"/>
    <w:basedOn w:val="26"/>
    <w:qFormat/>
    <w:uiPriority w:val="0"/>
    <w:pPr>
      <w:widowControl w:val="0"/>
      <w:spacing w:line="300" w:lineRule="auto"/>
      <w:jc w:val="both"/>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Helv" w:hAnsi="Helv" w:eastAsia="Arial"/>
        <w:b/>
        <w:i w:val="0"/>
      </w:rPr>
      <w:tcPr>
        <w:tcBorders>
          <w:top w:val="double" w:color="auto" w:sz="4" w:space="0"/>
          <w:left w:val="nil"/>
          <w:bottom w:val="double" w:color="auto" w:sz="4" w:space="0"/>
          <w:right w:val="double" w:color="auto" w:sz="4" w:space="0"/>
          <w:insideH w:val="nil"/>
          <w:insideV w:val="single" w:sz="6" w:space="0"/>
          <w:tl2br w:val="nil"/>
          <w:tr2bl w:val="nil"/>
        </w:tcBorders>
        <w:shd w:val="clear" w:color="auto" w:fill="D9D9D9"/>
        <w:vAlign w:val="center"/>
      </w:tcPr>
    </w:tblStylePr>
    <w:tblStylePr w:type="firstCol">
      <w:rPr>
        <w:b/>
      </w:rPr>
      <w:tcPr>
        <w:shd w:val="clear" w:color="auto" w:fill="E6E6E6"/>
      </w:tcPr>
    </w:tblStylePr>
  </w:style>
  <w:style w:type="character" w:customStyle="1" w:styleId="86">
    <w:name w:val="font61"/>
    <w:qFormat/>
    <w:uiPriority w:val="0"/>
    <w:rPr>
      <w:rFonts w:hint="eastAsia" w:ascii="宋体" w:hAnsi="宋体" w:eastAsia="宋体" w:cs="宋体"/>
      <w:color w:val="000000"/>
      <w:sz w:val="22"/>
      <w:szCs w:val="22"/>
      <w:u w:val="none"/>
    </w:rPr>
  </w:style>
  <w:style w:type="paragraph" w:styleId="87">
    <w:name w:val="List Paragraph"/>
    <w:basedOn w:val="1"/>
    <w:qFormat/>
    <w:uiPriority w:val="99"/>
    <w:pPr>
      <w:ind w:firstLine="420" w:firstLineChars="200"/>
    </w:pPr>
  </w:style>
  <w:style w:type="paragraph" w:customStyle="1" w:styleId="8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0">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正文（缩进）"/>
    <w:basedOn w:val="1"/>
    <w:qFormat/>
    <w:uiPriority w:val="0"/>
    <w:pPr>
      <w:tabs>
        <w:tab w:val="left" w:pos="0"/>
      </w:tabs>
      <w:ind w:firstLine="480" w:firstLineChars="200"/>
    </w:pPr>
    <w:rPr>
      <w:rFonts w:ascii="等线" w:hAnsi="等线" w:eastAsia="等线"/>
      <w:snapToGrid w:val="0"/>
      <w:spacing w:val="11"/>
      <w:szCs w:val="20"/>
    </w:rPr>
  </w:style>
  <w:style w:type="paragraph" w:customStyle="1" w:styleId="93">
    <w:name w:val="正文 1"/>
    <w:basedOn w:val="1"/>
    <w:qFormat/>
    <w:uiPriority w:val="0"/>
    <w:pPr>
      <w:spacing w:before="30" w:after="30" w:line="300" w:lineRule="auto"/>
      <w:ind w:left="680"/>
    </w:pPr>
    <w:rPr>
      <w:sz w:val="18"/>
    </w:rPr>
  </w:style>
  <w:style w:type="character" w:customStyle="1" w:styleId="94">
    <w:name w:val="font31"/>
    <w:basedOn w:val="27"/>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0CE6E-B7E2-4FEB-A852-3FD6A4F514E2}">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85</Pages>
  <Words>33050</Words>
  <Characters>35047</Characters>
  <Lines>362</Lines>
  <Paragraphs>102</Paragraphs>
  <TotalTime>88</TotalTime>
  <ScaleCrop>false</ScaleCrop>
  <LinksUpToDate>false</LinksUpToDate>
  <CharactersWithSpaces>37314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2018-08-02T12:39:00Z</dcterms:created>
  <dc:creator>Administrator</dc:creator>
  <cp:lastModifiedBy>Leo</cp:lastModifiedBy>
  <cp:lastPrinted>2023-06-12T10:34:49Z</cp:lastPrinted>
  <dcterms:modified xsi:type="dcterms:W3CDTF">2023-06-13T03:24:20Z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0394DC8AB73A4162A700FECBBB3ECE2F_13</vt:lpwstr>
  </property>
</Properties>
</file>