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sz w:val="22"/>
          <w:szCs w:val="15"/>
          <w:highlight w:val="none"/>
        </w:rPr>
      </w:pPr>
      <w:bookmarkStart w:id="0" w:name="_Toc20315"/>
      <w:bookmarkStart w:id="1" w:name="_Toc30823"/>
      <w:r>
        <w:rPr>
          <w:rFonts w:hint="eastAsia"/>
          <w:color w:val="auto"/>
          <w:sz w:val="22"/>
          <w:szCs w:val="15"/>
          <w:highlight w:val="none"/>
        </w:rPr>
        <w:t>1.项目基本情况</w:t>
      </w:r>
      <w:bookmarkEnd w:id="0"/>
      <w:bookmarkEnd w:id="1"/>
    </w:p>
    <w:p>
      <w:pPr>
        <w:spacing w:line="360" w:lineRule="auto"/>
        <w:ind w:firstLine="480"/>
        <w:rPr>
          <w:rFonts w:hint="eastAsia" w:ascii="Times New Roman" w:hAnsi="Times New Roman"/>
          <w:color w:val="auto"/>
          <w:szCs w:val="21"/>
          <w:highlight w:val="none"/>
        </w:rPr>
      </w:pPr>
      <w:bookmarkStart w:id="2" w:name="_Toc24076"/>
      <w:bookmarkStart w:id="3" w:name="_Toc29594"/>
      <w:r>
        <w:rPr>
          <w:rFonts w:hint="eastAsia" w:ascii="Times New Roman" w:hAnsi="Times New Roman"/>
          <w:color w:val="auto"/>
          <w:szCs w:val="21"/>
          <w:highlight w:val="none"/>
        </w:rPr>
        <w:t>1.1</w:t>
      </w:r>
      <w:r>
        <w:rPr>
          <w:rFonts w:hint="eastAsia" w:ascii="Times New Roman" w:hAnsi="Times New Roman"/>
          <w:color w:val="auto"/>
          <w:szCs w:val="21"/>
          <w:highlight w:val="none"/>
          <w:lang w:eastAsia="zh-CN"/>
        </w:rPr>
        <w:t>建设地点</w:t>
      </w:r>
      <w:r>
        <w:rPr>
          <w:rFonts w:hint="eastAsia" w:ascii="Times New Roman" w:hAnsi="Times New Roman"/>
          <w:color w:val="auto"/>
          <w:szCs w:val="21"/>
          <w:highlight w:val="none"/>
        </w:rPr>
        <w:t>位于训练中心园区北区，建成于2002年，为钢结构网架-框架结构，场馆一层局部二层，含力量房四个场馆共计建筑面积约4420平方米，目前为举摔柔中心男、女举重队、女子摔跤队及体科所康复中心共同使用。</w:t>
      </w:r>
      <w:bookmarkStart w:id="12" w:name="_GoBack"/>
      <w:bookmarkEnd w:id="12"/>
    </w:p>
    <w:p>
      <w:pPr>
        <w:spacing w:line="360" w:lineRule="auto"/>
        <w:ind w:firstLine="480"/>
        <w:rPr>
          <w:color w:val="auto"/>
          <w:highlight w:val="none"/>
        </w:rPr>
      </w:pPr>
      <w:r>
        <w:rPr>
          <w:rFonts w:hint="eastAsia" w:ascii="Times New Roman" w:hAnsi="Times New Roman"/>
          <w:color w:val="auto"/>
          <w:szCs w:val="21"/>
          <w:highlight w:val="none"/>
        </w:rPr>
        <w:t>1.2至今未进行过整体维修翻新，训练场地举重地胶老化无法满足训练及办赛要求，场馆屋面漏雨严重，网架面漆起皮开裂，男举西外墙开裂掉落，馆内外墙面污损，灯具损坏较多且照度过低，卫生间、淋浴间设施陈旧，女子摔跤馆缺少桑拿房、淋浴间等，现需要通过提升改造解决上述问题。</w:t>
      </w:r>
    </w:p>
    <w:p>
      <w:pPr>
        <w:pStyle w:val="3"/>
        <w:rPr>
          <w:rFonts w:hint="eastAsia"/>
          <w:color w:val="auto"/>
          <w:sz w:val="22"/>
          <w:szCs w:val="15"/>
          <w:highlight w:val="none"/>
        </w:rPr>
      </w:pPr>
      <w:r>
        <w:rPr>
          <w:rFonts w:hint="eastAsia"/>
          <w:color w:val="auto"/>
          <w:sz w:val="22"/>
          <w:szCs w:val="15"/>
          <w:highlight w:val="none"/>
        </w:rPr>
        <w:t>2.本次招标范围及工程量清单编制图纸涉及范围</w:t>
      </w:r>
      <w:bookmarkEnd w:id="2"/>
      <w:bookmarkEnd w:id="3"/>
    </w:p>
    <w:p>
      <w:pPr>
        <w:spacing w:line="360" w:lineRule="auto"/>
        <w:ind w:firstLine="480"/>
        <w:rPr>
          <w:rFonts w:hint="eastAsia" w:ascii="Times New Roman" w:hAnsi="Times New Roman" w:eastAsia="宋体" w:cs="Times New Roman"/>
          <w:color w:val="auto"/>
          <w:szCs w:val="21"/>
          <w:highlight w:val="none"/>
        </w:rPr>
      </w:pPr>
      <w:bookmarkStart w:id="4" w:name="_Toc23366"/>
      <w:bookmarkStart w:id="5" w:name="_Toc30148"/>
      <w:r>
        <w:rPr>
          <w:rFonts w:hint="eastAsia" w:ascii="Times New Roman" w:hAnsi="Times New Roman" w:eastAsia="宋体" w:cs="Times New Roman"/>
          <w:color w:val="auto"/>
          <w:szCs w:val="21"/>
          <w:highlight w:val="none"/>
        </w:rPr>
        <w:t>（1）对男、女举重馆训练区场地改造，拆除原有老化地胶及地基，重新制作举重训练区24条（单条3米×8米，合计面积576平方米），包含杠铃区厚27公分（20公分C30强度混凝土地基，5公分举重专用高强度胶板，2公分找平层及聚氨酯面层</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具体要求详见设计文件</w:t>
      </w:r>
      <w:r>
        <w:rPr>
          <w:rFonts w:hint="eastAsia" w:ascii="Times New Roman" w:hAnsi="Times New Roman" w:eastAsia="宋体" w:cs="Times New Roman"/>
          <w:color w:val="auto"/>
          <w:szCs w:val="21"/>
          <w:highlight w:val="none"/>
        </w:rPr>
        <w:t>）及站立区举重专用木地板。场地其他区域铺设0.7公分厚高强度聚氨酯地坪845平方米。</w:t>
      </w:r>
    </w:p>
    <w:p>
      <w:pPr>
        <w:spacing w:line="360" w:lineRule="auto"/>
        <w:ind w:firstLine="48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（2）更换场地LED高顶灯、增加灯光智能控制系统、铺设配套电路管线。男、女举重馆分别更换50套，女子摔跤馆更换25套，合计125套。更换后场地内灯光照度可达到500勒克斯</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 xml:space="preserve"> </w:t>
      </w:r>
    </w:p>
    <w:p>
      <w:pPr>
        <w:spacing w:line="360" w:lineRule="auto"/>
        <w:ind w:firstLine="48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（3）北三馆屋面钢板打胶处理2460平方米，对屋面排水槽及一层附属用房铺设防水卷材1484平方米，更换屋顶V型天沟阳光板701平方米并对排水槽制作防水。</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（4）男、女举重馆及女子摔跤馆网架除锈刷漆1871平方米，进行防锈漆、防火漆涂刷。</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（5）对女子摔跤馆新增更衣间、淋浴间、桑拿房，配套水电路及桑拿炉、洁具、灯具等设施。将女子摔跤馆原库房与卫生间打通新做防水，内设6人位桑拿房及2套花洒，安装200升电热水器一套。</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（6）对男、女举重馆桑拿房、</w:t>
      </w:r>
      <w:r>
        <w:rPr>
          <w:rFonts w:ascii="Times New Roman" w:hAnsi="Times New Roman"/>
          <w:color w:val="auto"/>
          <w:szCs w:val="21"/>
          <w:highlight w:val="none"/>
        </w:rPr>
        <w:t>卫生间、淋浴间</w:t>
      </w:r>
      <w:r>
        <w:rPr>
          <w:rFonts w:hint="eastAsia" w:ascii="Times New Roman" w:hAnsi="Times New Roman"/>
          <w:color w:val="auto"/>
          <w:szCs w:val="21"/>
          <w:highlight w:val="none"/>
        </w:rPr>
        <w:t>、更衣室维修</w:t>
      </w:r>
      <w:r>
        <w:rPr>
          <w:rFonts w:ascii="Times New Roman" w:hAnsi="Times New Roman"/>
          <w:color w:val="auto"/>
          <w:szCs w:val="21"/>
          <w:highlight w:val="none"/>
        </w:rPr>
        <w:t>改造</w:t>
      </w:r>
      <w:r>
        <w:rPr>
          <w:rFonts w:hint="eastAsia" w:ascii="Times New Roman" w:hAnsi="Times New Roman"/>
          <w:color w:val="auto"/>
          <w:szCs w:val="21"/>
          <w:highlight w:val="none"/>
        </w:rPr>
        <w:t>。将原有桑拿间、淋浴间打通重新布局，新增冷、热水池，铺设防水及墙地砖，安装桑拿设备、洁具、灯具等</w:t>
      </w:r>
      <w:r>
        <w:rPr>
          <w:rFonts w:ascii="Times New Roman" w:hAnsi="Times New Roman"/>
          <w:color w:val="auto"/>
          <w:szCs w:val="21"/>
          <w:highlight w:val="none"/>
        </w:rPr>
        <w:t>。</w:t>
      </w:r>
      <w:r>
        <w:rPr>
          <w:rFonts w:hint="eastAsia" w:ascii="Times New Roman" w:hAnsi="Times New Roman"/>
          <w:color w:val="auto"/>
          <w:szCs w:val="21"/>
          <w:highlight w:val="none"/>
        </w:rPr>
        <w:t>女举馆两个卫生间中一间改造为洗衣房。</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7）更换男、女举重馆、女子摔跤馆大门为断桥铝电动双开玻璃门（带门禁系统）共7樘，男、女举馆通道门、女摔馆北侧通道门、北三馆消防通道玻璃门改为断桥铝单开玻璃门共4樘。场馆内设备间、配电室更换防火门共6樘。</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（8）更换男、女举重馆、女子摔跤馆室内木门22樘，淋浴间、桑拿房、卫生间更换钛镁合金门15樘。</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（9）男、女举重馆、女子摔跤馆室内粉刷4567平方米，室外走廊粉刷330平方米（含立柱）。</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（10）更换室外走廊阳光板260平方米，检修落雨管，排水槽除锈刷漆，北三馆室外走廊石材路面台阶进行修补59平方米。</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（11）对男、女举重馆、女子摔跤馆场地内及公共区域更换踢脚线，场馆高空玻璃窗进行维修校正，更换胶条并进行清洁共575平方米。</w:t>
      </w:r>
    </w:p>
    <w:p>
      <w:pPr>
        <w:spacing w:line="360" w:lineRule="auto"/>
        <w:ind w:firstLine="480"/>
        <w:rPr>
          <w:rFonts w:hint="eastAsia" w:ascii="Times New Roman" w:hAnsi="Times New Roman" w:eastAsia="宋体" w:cs="Times New Roman"/>
          <w:b/>
          <w:bCs/>
          <w:color w:val="auto"/>
          <w:kern w:val="0"/>
          <w:sz w:val="22"/>
          <w:szCs w:val="15"/>
          <w:highlight w:val="none"/>
          <w:lang w:val="en-US" w:eastAsia="zh-CN" w:bidi="ar-SA"/>
        </w:rPr>
      </w:pPr>
      <w:r>
        <w:rPr>
          <w:rFonts w:hint="eastAsia" w:ascii="Times New Roman" w:hAnsi="Times New Roman" w:eastAsia="宋体" w:cs="Times New Roman"/>
          <w:b/>
          <w:bCs/>
          <w:color w:val="auto"/>
          <w:kern w:val="0"/>
          <w:sz w:val="22"/>
          <w:szCs w:val="15"/>
          <w:highlight w:val="none"/>
          <w:lang w:val="en-US" w:eastAsia="zh-CN" w:bidi="ar-SA"/>
        </w:rPr>
        <w:t>3.参数补充说明</w:t>
      </w:r>
    </w:p>
    <w:p>
      <w:pPr>
        <w:spacing w:line="360" w:lineRule="auto"/>
        <w:ind w:firstLine="48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蹲便（陶瓷）：自洁釉面；虹吸冲水；防滑踏板纹路；连接密闭性：在0.10MPa的水压下保持15min无渗漏。</w:t>
      </w:r>
    </w:p>
    <w:p>
      <w:pPr>
        <w:spacing w:line="360" w:lineRule="auto"/>
        <w:ind w:firstLine="48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三功能明装升降</w:t>
      </w:r>
      <w:r>
        <w:rPr>
          <w:rFonts w:hint="eastAsia" w:ascii="Times New Roman" w:hAnsi="Times New Roman" w:eastAsia="宋体" w:cs="Times New Roman"/>
          <w:color w:val="auto"/>
          <w:szCs w:val="21"/>
          <w:highlight w:val="none"/>
          <w:lang w:val="en-US" w:eastAsia="zh-CN"/>
        </w:rPr>
        <w:t>淋浴</w:t>
      </w:r>
      <w:r>
        <w:rPr>
          <w:rFonts w:hint="eastAsia" w:ascii="Times New Roman" w:hAnsi="Times New Roman" w:eastAsia="宋体" w:cs="Times New Roman"/>
          <w:color w:val="auto"/>
          <w:szCs w:val="21"/>
          <w:highlight w:val="none"/>
          <w:lang w:eastAsia="zh-CN"/>
        </w:rPr>
        <w:t>花洒（</w:t>
      </w:r>
      <w:r>
        <w:rPr>
          <w:rFonts w:hint="eastAsia" w:ascii="Times New Roman" w:hAnsi="Times New Roman" w:eastAsia="宋体" w:cs="Times New Roman"/>
          <w:color w:val="auto"/>
          <w:szCs w:val="21"/>
          <w:highlight w:val="none"/>
          <w:lang w:val="en-US" w:eastAsia="zh-CN"/>
        </w:rPr>
        <w:t>三档变压模式</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顶喷花洒、手持花洒和龙头；9英寸增压顶喷自洁硅胶孔，5英寸手持花洒三功能出水，龙头全铜一体铸造，大顶喷和手持花洒ABS优质塑料，304不锈钢浴杆，可升降花洒座，1.5米加长防爆软管（不锈钢护层），优质</w:t>
      </w:r>
      <w:r>
        <w:rPr>
          <w:rFonts w:hint="eastAsia" w:ascii="Times New Roman" w:hAnsi="Times New Roman" w:eastAsia="宋体" w:cs="Times New Roman"/>
          <w:color w:val="auto"/>
          <w:szCs w:val="21"/>
          <w:highlight w:val="none"/>
          <w:lang w:eastAsia="zh-CN"/>
        </w:rPr>
        <w:t>陶瓷阀芯，</w:t>
      </w:r>
      <w:r>
        <w:rPr>
          <w:rFonts w:hint="eastAsia" w:ascii="Times New Roman" w:hAnsi="Times New Roman" w:eastAsia="宋体" w:cs="Times New Roman"/>
          <w:color w:val="auto"/>
          <w:szCs w:val="21"/>
          <w:highlight w:val="none"/>
          <w:lang w:val="en-US" w:eastAsia="zh-CN"/>
        </w:rPr>
        <w:t>表面抛光镀铬。</w:t>
      </w:r>
    </w:p>
    <w:p>
      <w:pPr>
        <w:spacing w:line="360" w:lineRule="auto"/>
        <w:ind w:firstLine="48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立柱式洗脸盆（高温烧制陶瓷）：</w:t>
      </w:r>
      <w:r>
        <w:rPr>
          <w:rFonts w:hint="eastAsia" w:ascii="Times New Roman" w:hAnsi="Times New Roman" w:eastAsia="宋体" w:cs="Times New Roman"/>
          <w:color w:val="auto"/>
          <w:szCs w:val="21"/>
          <w:highlight w:val="none"/>
          <w:lang w:val="en-US" w:eastAsia="zh-CN"/>
        </w:rPr>
        <w:t>智洁</w:t>
      </w:r>
      <w:r>
        <w:rPr>
          <w:rFonts w:hint="eastAsia" w:ascii="Times New Roman" w:hAnsi="Times New Roman" w:eastAsia="宋体" w:cs="Times New Roman"/>
          <w:color w:val="auto"/>
          <w:szCs w:val="21"/>
          <w:highlight w:val="none"/>
          <w:lang w:eastAsia="zh-CN"/>
        </w:rPr>
        <w:t>釉面，除安装面及溢流孔后部外,所有裸露表面都应有釉层覆盖，釉面应与陶瓷坯体完全结合；其他用于防止产品烧成变形的位于非可见面区域的支撑部件可以无釉覆盖；外观：应符合GB/T6953-2015之5</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eastAsia="zh-CN"/>
        </w:rPr>
        <w:t>1</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eastAsia="zh-CN"/>
        </w:rPr>
        <w:t>2条约要求；吸水率：≦0.5；溢流功能：设有溢流孔应保持5min不溢流。</w:t>
      </w:r>
    </w:p>
    <w:p>
      <w:pPr>
        <w:spacing w:line="360" w:lineRule="auto"/>
        <w:ind w:firstLine="48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卫生间和洗衣房</w:t>
      </w:r>
      <w:r>
        <w:rPr>
          <w:rFonts w:hint="eastAsia" w:ascii="Times New Roman" w:hAnsi="Times New Roman" w:eastAsia="宋体" w:cs="Times New Roman"/>
          <w:color w:val="auto"/>
          <w:szCs w:val="21"/>
          <w:highlight w:val="none"/>
          <w:lang w:eastAsia="zh-CN"/>
        </w:rPr>
        <w:t>瓷砖（</w:t>
      </w:r>
      <w:r>
        <w:rPr>
          <w:rFonts w:hint="eastAsia" w:ascii="Times New Roman" w:hAnsi="Times New Roman" w:eastAsia="宋体" w:cs="Times New Roman"/>
          <w:color w:val="auto"/>
          <w:szCs w:val="21"/>
          <w:highlight w:val="none"/>
          <w:lang w:val="en-US" w:eastAsia="zh-CN"/>
        </w:rPr>
        <w:t>地砖、墙砖</w:t>
      </w:r>
      <w:r>
        <w:rPr>
          <w:rFonts w:hint="eastAsia" w:ascii="Times New Roman" w:hAnsi="Times New Roman" w:eastAsia="宋体" w:cs="Times New Roman"/>
          <w:color w:val="auto"/>
          <w:szCs w:val="21"/>
          <w:highlight w:val="none"/>
          <w:lang w:eastAsia="zh-CN"/>
        </w:rPr>
        <w:t>）：300*300</w:t>
      </w:r>
      <w:r>
        <w:rPr>
          <w:rFonts w:hint="eastAsia" w:ascii="Times New Roman" w:hAnsi="Times New Roman" w:eastAsia="宋体" w:cs="Times New Roman"/>
          <w:color w:val="auto"/>
          <w:szCs w:val="21"/>
          <w:highlight w:val="none"/>
          <w:lang w:val="en-US" w:eastAsia="zh-CN"/>
        </w:rPr>
        <w:t>厚度9.1㎜-10.5㎜</w:t>
      </w:r>
      <w:r>
        <w:rPr>
          <w:rFonts w:hint="eastAsia" w:ascii="Times New Roman" w:hAnsi="Times New Roman" w:eastAsia="宋体" w:cs="Times New Roman"/>
          <w:color w:val="auto"/>
          <w:szCs w:val="21"/>
          <w:highlight w:val="none"/>
          <w:lang w:eastAsia="zh-CN"/>
        </w:rPr>
        <w:t>，300*600</w:t>
      </w:r>
      <w:r>
        <w:rPr>
          <w:rFonts w:hint="eastAsia" w:ascii="Times New Roman" w:hAnsi="Times New Roman" w:eastAsia="宋体" w:cs="Times New Roman"/>
          <w:color w:val="auto"/>
          <w:szCs w:val="21"/>
          <w:highlight w:val="none"/>
          <w:lang w:val="en-US" w:eastAsia="zh-CN"/>
        </w:rPr>
        <w:t>厚度9.8㎜-10.5㎜</w:t>
      </w:r>
      <w:r>
        <w:rPr>
          <w:rFonts w:hint="eastAsia" w:ascii="Times New Roman" w:hAnsi="Times New Roman" w:eastAsia="宋体" w:cs="Times New Roman"/>
          <w:color w:val="auto"/>
          <w:szCs w:val="21"/>
          <w:highlight w:val="none"/>
          <w:lang w:eastAsia="zh-CN"/>
        </w:rPr>
        <w:t>，400*800</w:t>
      </w:r>
      <w:r>
        <w:rPr>
          <w:rFonts w:hint="eastAsia" w:ascii="Times New Roman" w:hAnsi="Times New Roman" w:eastAsia="宋体" w:cs="Times New Roman"/>
          <w:color w:val="auto"/>
          <w:szCs w:val="21"/>
          <w:highlight w:val="none"/>
          <w:lang w:val="en-US" w:eastAsia="zh-CN"/>
        </w:rPr>
        <w:t>厚度7.3㎜-8㎜</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lang w:eastAsia="zh-CN"/>
        </w:rPr>
        <w:t>00*</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lang w:eastAsia="zh-CN"/>
        </w:rPr>
        <w:t>00</w:t>
      </w:r>
      <w:r>
        <w:rPr>
          <w:rFonts w:hint="eastAsia" w:ascii="Times New Roman" w:hAnsi="Times New Roman" w:eastAsia="宋体" w:cs="Times New Roman"/>
          <w:color w:val="auto"/>
          <w:szCs w:val="21"/>
          <w:highlight w:val="none"/>
          <w:lang w:val="en-US" w:eastAsia="zh-CN"/>
        </w:rPr>
        <w:t>厚度10毫米-11㎜；</w:t>
      </w:r>
      <w:r>
        <w:rPr>
          <w:rFonts w:hint="eastAsia" w:ascii="Times New Roman" w:hAnsi="Times New Roman" w:eastAsia="宋体" w:cs="Times New Roman"/>
          <w:color w:val="auto"/>
          <w:szCs w:val="21"/>
          <w:highlight w:val="none"/>
          <w:lang w:eastAsia="zh-CN"/>
        </w:rPr>
        <w:t>地砖耐磨系数：≧0.6 耐磨性：≧750转3级；表面平整度：≦1.5；表面质量：至少砖的95％的主要区域无明显缺陷；耐污性/耐化学试剂：最低3级/GA级；破坏强度：≧1050。</w:t>
      </w:r>
    </w:p>
    <w:p>
      <w:pPr>
        <w:spacing w:line="360" w:lineRule="auto"/>
        <w:ind w:firstLine="48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地漏（不锈钢材质）：ABS带螺纹防臭芯；吊顶：</w:t>
      </w:r>
      <w:r>
        <w:rPr>
          <w:rFonts w:hint="eastAsia" w:ascii="Times New Roman" w:hAnsi="Times New Roman" w:eastAsia="宋体" w:cs="Times New Roman"/>
          <w:color w:val="auto"/>
          <w:szCs w:val="21"/>
          <w:highlight w:val="none"/>
          <w:lang w:val="en-US" w:eastAsia="zh-CN"/>
        </w:rPr>
        <w:t>铝扣板厚度0.8㎜；</w:t>
      </w:r>
      <w:r>
        <w:rPr>
          <w:rFonts w:hint="eastAsia" w:ascii="Times New Roman" w:hAnsi="Times New Roman" w:eastAsia="宋体" w:cs="Times New Roman"/>
          <w:color w:val="auto"/>
          <w:szCs w:val="21"/>
          <w:highlight w:val="none"/>
          <w:lang w:eastAsia="zh-CN"/>
        </w:rPr>
        <w:t>卫生间置物架（钛镁合金</w:t>
      </w:r>
      <w:r>
        <w:rPr>
          <w:rFonts w:hint="eastAsia" w:ascii="Times New Roman" w:hAnsi="Times New Roman" w:eastAsia="宋体" w:cs="Times New Roman"/>
          <w:color w:val="auto"/>
          <w:szCs w:val="21"/>
          <w:highlight w:val="none"/>
          <w:lang w:val="en-US" w:eastAsia="zh-CN"/>
        </w:rPr>
        <w:t>/太空铝</w:t>
      </w:r>
      <w:r>
        <w:rPr>
          <w:rFonts w:hint="eastAsia" w:ascii="Times New Roman" w:hAnsi="Times New Roman" w:eastAsia="宋体" w:cs="Times New Roman"/>
          <w:color w:val="auto"/>
          <w:szCs w:val="21"/>
          <w:highlight w:val="none"/>
          <w:lang w:eastAsia="zh-CN"/>
        </w:rPr>
        <w:t>）；角架双层；</w:t>
      </w:r>
      <w:r>
        <w:rPr>
          <w:rFonts w:hint="eastAsia" w:ascii="Times New Roman" w:hAnsi="Times New Roman" w:eastAsia="宋体" w:cs="Times New Roman"/>
          <w:color w:val="auto"/>
          <w:szCs w:val="21"/>
          <w:highlight w:val="none"/>
          <w:lang w:val="en-US" w:eastAsia="zh-CN"/>
        </w:rPr>
        <w:t>卫生间毛巾架（</w:t>
      </w:r>
      <w:r>
        <w:rPr>
          <w:rFonts w:hint="eastAsia" w:ascii="Times New Roman" w:hAnsi="Times New Roman" w:eastAsia="宋体" w:cs="Times New Roman"/>
          <w:color w:val="auto"/>
          <w:szCs w:val="21"/>
          <w:highlight w:val="none"/>
          <w:lang w:eastAsia="zh-CN"/>
        </w:rPr>
        <w:t>钛镁合金</w:t>
      </w:r>
      <w:r>
        <w:rPr>
          <w:rFonts w:hint="eastAsia" w:ascii="Times New Roman" w:hAnsi="Times New Roman" w:eastAsia="宋体" w:cs="Times New Roman"/>
          <w:color w:val="auto"/>
          <w:szCs w:val="21"/>
          <w:highlight w:val="none"/>
          <w:lang w:val="en-US" w:eastAsia="zh-CN"/>
        </w:rPr>
        <w:t>/太空铝）：双杆（含挂钩）；单冷快开洗衣机龙头（合金）:铜阀体、陶瓷阀芯；按键式延时蹲便器冲洗阀：按键式、延时自闭阀芯；金属推拉窗：铝合金</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70㎜；卫生间钛镁合金门：钛镁合金厚度1.2-1.4㎜，钢化磨砂双层玻璃，品牌五金件（锁具、合页）；卫生间及洗衣房灯具：LED平板防水灯具</w:t>
      </w:r>
      <w:r>
        <w:rPr>
          <w:rFonts w:hint="eastAsia" w:ascii="Times New Roman" w:hAnsi="Times New Roman" w:eastAsia="宋体" w:cs="Times New Roman"/>
          <w:color w:val="auto"/>
          <w:szCs w:val="21"/>
          <w:highlight w:val="none"/>
          <w:lang w:eastAsia="zh-CN"/>
        </w:rPr>
        <w:t>300×300㎜、</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lang w:eastAsia="zh-CN"/>
        </w:rPr>
        <w:t>00×</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lang w:eastAsia="zh-CN"/>
        </w:rPr>
        <w:t>00㎜。</w:t>
      </w:r>
    </w:p>
    <w:p>
      <w:pPr>
        <w:pStyle w:val="3"/>
        <w:rPr>
          <w:rFonts w:hint="eastAsia"/>
          <w:color w:val="auto"/>
          <w:sz w:val="22"/>
          <w:szCs w:val="15"/>
          <w:highlight w:val="none"/>
        </w:rPr>
      </w:pPr>
      <w:r>
        <w:rPr>
          <w:rFonts w:hint="eastAsia"/>
          <w:color w:val="auto"/>
          <w:sz w:val="22"/>
          <w:szCs w:val="15"/>
          <w:highlight w:val="none"/>
        </w:rPr>
        <w:t>4.</w:t>
      </w:r>
      <w:bookmarkEnd w:id="4"/>
      <w:bookmarkEnd w:id="5"/>
      <w:r>
        <w:rPr>
          <w:rFonts w:hint="eastAsia"/>
          <w:color w:val="auto"/>
          <w:sz w:val="22"/>
          <w:szCs w:val="15"/>
          <w:highlight w:val="none"/>
        </w:rPr>
        <w:t>本项目编制依据</w:t>
      </w:r>
    </w:p>
    <w:p>
      <w:pPr>
        <w:spacing w:line="360" w:lineRule="auto"/>
        <w:ind w:firstLine="480"/>
        <w:rPr>
          <w:rFonts w:hint="eastAsia" w:ascii="Times New Roman" w:hAnsi="Times New Roman"/>
          <w:color w:val="auto"/>
          <w:szCs w:val="21"/>
          <w:highlight w:val="none"/>
        </w:rPr>
      </w:pPr>
      <w:bookmarkStart w:id="6" w:name="_Toc31687"/>
      <w:bookmarkStart w:id="7" w:name="_Toc20392"/>
      <w:r>
        <w:rPr>
          <w:rFonts w:hint="eastAsia" w:ascii="Times New Roman" w:hAnsi="Times New Roman"/>
          <w:color w:val="auto"/>
          <w:szCs w:val="21"/>
          <w:highlight w:val="none"/>
        </w:rPr>
        <w:t>（1）</w:t>
      </w:r>
      <w:r>
        <w:rPr>
          <w:rFonts w:ascii="Times New Roman" w:hAnsi="Times New Roman"/>
          <w:color w:val="auto"/>
          <w:szCs w:val="21"/>
          <w:highlight w:val="none"/>
        </w:rPr>
        <w:t>屋面防水及室内外提升改造</w:t>
      </w:r>
      <w:r>
        <w:rPr>
          <w:rFonts w:hint="eastAsia" w:ascii="Times New Roman" w:hAnsi="Times New Roman"/>
          <w:color w:val="auto"/>
          <w:szCs w:val="21"/>
          <w:highlight w:val="none"/>
        </w:rPr>
        <w:t>施工图纸、图纸答疑及现场情况；</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（2）《陕西省建设工程工程量清单计价规则》（2009）、《陕西省建设工程工程量清单计价费率》（2009）及其配套文件；</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（3）《陕西省建设工程消耗量定额》及补充定额（2004）、《陕西省建筑、装饰、安装工程价目表》（2009）、《陕西省建设工程施工机械台班价目表》（2009）及其他相关文件；</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（4）人工费执行《关于调整房屋建筑和市政基础设施工程工程量清单计价综合人工单价的通知》（陕建发【2021】1097号文件）；</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（5）安全文明措施费执行《关于增加建设工程扬尘治理专项措施费及综合人工单价调整的通知》（陕建发 【2017】270号文件）；</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（6）人工实名制执行《关于发布我省落实建筑工人实名制管理计价依据的通知》（陕建发【2019】1246号文）；</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（7）税率执行《关于调整我省建设工程计价依据的通知》（陕建发【2019】45号文）；</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（8）安全责任保险执行《关于建筑施工安全责任保险费用计价的通知》（陕建发【2020】1097号文）；</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（9）劳保费用执行《关于全省统一停止收缴建筑业劳保费用的通知》（陕建发【2021】1021号文）；</w:t>
      </w:r>
    </w:p>
    <w:p>
      <w:pPr>
        <w:spacing w:line="360" w:lineRule="auto"/>
        <w:ind w:firstLine="480"/>
        <w:rPr>
          <w:rFonts w:ascii="Times New Roman" w:hAnsi="Times New Roman"/>
          <w:color w:val="auto"/>
          <w:szCs w:val="21"/>
          <w:highlight w:val="none"/>
        </w:rPr>
      </w:pPr>
      <w:r>
        <w:rPr>
          <w:rFonts w:hint="eastAsia" w:ascii="Times New Roman" w:hAnsi="Times New Roman"/>
          <w:color w:val="auto"/>
          <w:szCs w:val="21"/>
          <w:highlight w:val="none"/>
        </w:rPr>
        <w:t>（10）</w:t>
      </w:r>
      <w:r>
        <w:rPr>
          <w:rFonts w:ascii="Times New Roman" w:hAnsi="Times New Roman"/>
          <w:color w:val="auto"/>
          <w:szCs w:val="21"/>
          <w:highlight w:val="none"/>
        </w:rPr>
        <w:t>正常施工组织设计及施工方法；</w:t>
      </w:r>
    </w:p>
    <w:p>
      <w:pPr>
        <w:spacing w:line="360" w:lineRule="auto"/>
        <w:ind w:firstLine="480"/>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与建设工程项目有关的标准、规范、图集、技术资料；</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（12）</w:t>
      </w:r>
      <w:r>
        <w:rPr>
          <w:rFonts w:ascii="Times New Roman" w:hAnsi="Times New Roman"/>
          <w:color w:val="auto"/>
          <w:szCs w:val="21"/>
          <w:highlight w:val="none"/>
        </w:rPr>
        <w:t>主要材料价格参照</w:t>
      </w:r>
      <w:r>
        <w:rPr>
          <w:rFonts w:hint="eastAsia" w:ascii="Times New Roman" w:hAnsi="Times New Roman"/>
          <w:color w:val="auto"/>
          <w:szCs w:val="21"/>
          <w:highlight w:val="none"/>
        </w:rPr>
        <w:t>《陕西工程造价信息》2023年第1期；</w:t>
      </w:r>
    </w:p>
    <w:p>
      <w:pPr>
        <w:spacing w:line="360" w:lineRule="auto"/>
        <w:ind w:firstLine="480"/>
        <w:rPr>
          <w:rFonts w:ascii="Times New Roman" w:hAnsi="Times New Roman"/>
          <w:color w:val="auto"/>
          <w:szCs w:val="21"/>
          <w:highlight w:val="none"/>
        </w:rPr>
      </w:pPr>
      <w:r>
        <w:rPr>
          <w:rFonts w:hint="eastAsia" w:ascii="Times New Roman" w:hAnsi="Times New Roman"/>
          <w:color w:val="auto"/>
          <w:szCs w:val="21"/>
          <w:highlight w:val="none"/>
        </w:rPr>
        <w:t>（13）</w:t>
      </w:r>
      <w:r>
        <w:rPr>
          <w:rFonts w:ascii="Times New Roman" w:hAnsi="Times New Roman"/>
          <w:color w:val="auto"/>
          <w:szCs w:val="21"/>
          <w:highlight w:val="none"/>
        </w:rPr>
        <w:t>其他</w:t>
      </w:r>
      <w:r>
        <w:rPr>
          <w:rFonts w:hint="eastAsia" w:ascii="Times New Roman" w:hAnsi="Times New Roman"/>
          <w:color w:val="auto"/>
          <w:szCs w:val="21"/>
          <w:highlight w:val="none"/>
        </w:rPr>
        <w:t>相关计价依据及办法。</w:t>
      </w:r>
    </w:p>
    <w:p>
      <w:pPr>
        <w:pStyle w:val="3"/>
        <w:rPr>
          <w:rFonts w:hint="eastAsia"/>
          <w:color w:val="auto"/>
          <w:sz w:val="22"/>
          <w:szCs w:val="15"/>
          <w:highlight w:val="none"/>
        </w:rPr>
      </w:pPr>
      <w:r>
        <w:rPr>
          <w:rFonts w:hint="eastAsia"/>
          <w:color w:val="auto"/>
          <w:sz w:val="22"/>
          <w:szCs w:val="15"/>
          <w:highlight w:val="none"/>
        </w:rPr>
        <w:t>5.技术其他说明：</w:t>
      </w:r>
      <w:bookmarkEnd w:id="6"/>
      <w:bookmarkEnd w:id="7"/>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（1）上述规范、标准、规程仅是本工程建设的最基本要求，并未包括实施中所涉及到的所有规定、标准和规程。在施工中对于上述未尽事宜，按国家和地方现行的规定执行。</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（2）本次招标文件技术规格及要求，主要由各相关的工程工程量清单、图纸及相应的技术规格要求组成。</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3）请供应商仔细阅读磋商文件的全部条文（包括合同条款），对于磋商文件中存在的任何含糊、遗漏、相互矛盾之处或是对于技术规格以及其它内容不清楚、认为存在歧视、限制的情况，供应商应在规定时间之前向采购人或采购代理机构寻求书面澄清。</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（4）依据工程技术文件要求，本工程项目的材料、施工必须达到现行中华人民共和国及省、市、行业的一切有关法规、规范的要求。</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5）承包人必须按国家颁布的强制性标准组织施工。本工程采用的标准及规范均为最新版本的国家及部颁和行业现行标准。国家及部颁与本标工程有关的各种现行有效版本的技术规范、规程和供货商技术文件上的质量要求均适用于本工程。</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6）与本工程有关的施工及验收技术规范：工程施工质量检验评定以国家及部颁建筑与安装工程质量检验评定标准为依据。施工过程中，施工单位应全面阅读各专业图纸，特别注意建筑和结构专业对外墙的构造，设备各专业的留洞，如遇到专业间不符，请及时与设计单位沟通，避免不必要的返工。</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（7）土建施工与安装工程密切配合，准确预埋和各种预埋件，预留孔洞并保证施工适量，避免遗漏及时候随意开凿。</w:t>
      </w:r>
    </w:p>
    <w:p>
      <w:pPr>
        <w:spacing w:line="360" w:lineRule="auto"/>
        <w:ind w:firstLine="480"/>
        <w:rPr>
          <w:rFonts w:ascii="Times New Roman" w:hAnsi="Times New Roman"/>
          <w:color w:val="auto"/>
          <w:szCs w:val="21"/>
          <w:highlight w:val="none"/>
        </w:rPr>
      </w:pPr>
      <w:r>
        <w:rPr>
          <w:rFonts w:hint="eastAsia" w:ascii="Times New Roman" w:hAnsi="Times New Roman"/>
          <w:color w:val="auto"/>
          <w:szCs w:val="21"/>
          <w:highlight w:val="none"/>
        </w:rPr>
        <w:t>（8）施工过程中，建设单位、施工单位、监理单位不得对图纸进行随意变更，所有变更设计均应先由有关部门协商后再由原设计单位出具正式设计变更为准。凡不符合有关程序的单位或个人的边个设计行为及由此产生的后果，原设计单位不负责任何法律责任。</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（9）本工程承包方式为：包工包料。</w:t>
      </w:r>
    </w:p>
    <w:p>
      <w:pPr>
        <w:pStyle w:val="3"/>
        <w:rPr>
          <w:rFonts w:hint="eastAsia"/>
          <w:color w:val="auto"/>
          <w:sz w:val="22"/>
          <w:szCs w:val="15"/>
          <w:highlight w:val="none"/>
        </w:rPr>
      </w:pPr>
      <w:bookmarkStart w:id="8" w:name="_Toc16550"/>
      <w:bookmarkStart w:id="9" w:name="_Toc31875"/>
      <w:r>
        <w:rPr>
          <w:rFonts w:hint="eastAsia"/>
          <w:color w:val="auto"/>
          <w:sz w:val="22"/>
          <w:szCs w:val="15"/>
          <w:highlight w:val="none"/>
        </w:rPr>
        <w:t>6.其他要求：</w:t>
      </w:r>
      <w:bookmarkEnd w:id="8"/>
      <w:bookmarkEnd w:id="9"/>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（1）本工程的材料及设备由供应商根据现行规范、标准进行报价，并在响应文件中按磋商文件给定格式填写出规格、数量、单价、总价、产地、品牌等内容。</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（2）实际工程中使用的材料必须经采购人认可后方可用于工程中。</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（3）供应商用于本工程的设备供货、主要材料，其产品许可证、产品鉴定证书。</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（4）供应商应保证工程质量，保证材料质量、规格与数量，满足设计和施工现场要求。</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（5）施工时不得破坏原有路面路基，要注意做好线路，必要时要采取有效的线路保护措施，并承担相关费用。</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（6）工程竣工验收前，需对现场进行彻底清洁。</w:t>
      </w:r>
    </w:p>
    <w:p>
      <w:pPr>
        <w:pStyle w:val="3"/>
        <w:rPr>
          <w:rFonts w:hint="eastAsia"/>
          <w:color w:val="auto"/>
          <w:sz w:val="22"/>
          <w:szCs w:val="15"/>
          <w:highlight w:val="none"/>
        </w:rPr>
      </w:pPr>
      <w:bookmarkStart w:id="10" w:name="_Toc29517"/>
      <w:bookmarkStart w:id="11" w:name="_Toc29200"/>
      <w:r>
        <w:rPr>
          <w:rFonts w:hint="eastAsia"/>
          <w:color w:val="auto"/>
          <w:sz w:val="22"/>
          <w:szCs w:val="15"/>
          <w:highlight w:val="none"/>
        </w:rPr>
        <w:t>7.安全生产、文明施工及卫生要求：</w:t>
      </w:r>
      <w:bookmarkEnd w:id="10"/>
      <w:bookmarkEnd w:id="11"/>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1）严格执行《中华人民共和国环境保护法》、《污染噪声污染防治法》、《环境管理体系标准》（GB/T24000-1996）、《建筑施工场地噪音限值》、《建筑工程施工环境保护工作基本标准》、《建筑施工安全检查标准》（JGJ59-99）等规范规定。</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（2）项目全体参建人员应严格按采购人要求，做好施工技术及安全交底工作，并着统一服装。</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（3）施工现场的布置严格按业主审批后的施工现场平面布置图进行，施工现场的材料堆放应按其规格、型号的不同分别堆放整齐，并应避开主要通道。</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（4）做好产品保护实施和检查工作。</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（5）提倡文明礼貌，杜绝酒后上岗作业现象，一经发生将当事人立即清除出场。</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（6）施工单位须针对潜在的人员的人身安全造成威胁的所有安全隐患及危险做好防范措施。坚决杜绝任何危险意外情况的发生。施工过程中所发生的安全责任问题均由中标单位承担。</w:t>
      </w:r>
    </w:p>
    <w:p>
      <w:pPr>
        <w:spacing w:line="360" w:lineRule="auto"/>
        <w:ind w:firstLine="480"/>
        <w:rPr>
          <w:rFonts w:hint="eastAsia" w:ascii="Times New Roman" w:hAnsi="Times New Roman"/>
          <w:color w:val="auto"/>
          <w:szCs w:val="21"/>
          <w:highlight w:val="none"/>
        </w:rPr>
      </w:pPr>
      <w:r>
        <w:rPr>
          <w:rFonts w:hint="eastAsia" w:ascii="Times New Roman" w:hAnsi="Times New Roman"/>
          <w:color w:val="auto"/>
          <w:szCs w:val="21"/>
          <w:highlight w:val="none"/>
        </w:rPr>
        <w:t>（7）针对特殊天气，应采用相应的安全措施。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TE3MjhhNmMzZWJlMWUxYzNhYjZkOWMzMzlkNTUifQ=="/>
  </w:docVars>
  <w:rsids>
    <w:rsidRoot w:val="6A951D4F"/>
    <w:rsid w:val="6A95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360" w:lineRule="auto"/>
      <w:outlineLvl w:val="2"/>
    </w:pPr>
    <w:rPr>
      <w:rFonts w:ascii="Times New Roman" w:hAnsi="Times New Roman" w:cs="Times New Roman"/>
      <w:b/>
      <w:bCs/>
      <w:kern w:val="0"/>
      <w:sz w:val="32"/>
      <w:szCs w:val="32"/>
    </w:rPr>
  </w:style>
  <w:style w:type="paragraph" w:styleId="2">
    <w:name w:val="heading 4"/>
    <w:basedOn w:val="1"/>
    <w:next w:val="1"/>
    <w:qFormat/>
    <w:uiPriority w:val="0"/>
    <w:pPr>
      <w:keepNext/>
      <w:keepLines/>
      <w:spacing w:line="360" w:lineRule="auto"/>
      <w:outlineLvl w:val="3"/>
    </w:pPr>
    <w:rPr>
      <w:rFonts w:ascii="Cambria" w:hAnsi="Cambria" w:cs="Times New Roman"/>
      <w:b/>
      <w:bCs/>
      <w:kern w:val="0"/>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2023-04-21T01:09:00Z</dcterms:created>
  <dc:creator>perfect颖</dc:creator>
  <cp:lastModifiedBy>perfect颖</cp:lastModifiedBy>
  <dcterms:modified xsi:type="dcterms:W3CDTF">2023-04-21T01:10:29Z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4431C80505214323811A425068AEF1D4_11</vt:lpwstr>
  </property>
</Properties>
</file>