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right"/>
        <w:rPr>
          <w:highlight w:val="none"/>
        </w:rPr>
      </w:pPr>
      <w:r>
        <w:rPr>
          <w:rFonts w:hint="eastAsia" w:ascii="宋体" w:hAnsi="宋体" w:cs="宋体"/>
          <w:b/>
          <w:bCs/>
          <w:sz w:val="32"/>
          <w:highlight w:val="none"/>
          <w:bdr w:val="single" w:color="auto" w:sz="4" w:space="0"/>
        </w:rPr>
        <w:t>政府采购项目</w:t>
      </w:r>
      <w:r>
        <w:rPr>
          <w:rFonts w:hint="eastAsia" w:ascii="宋体" w:hAnsi="宋体" w:cs="宋体"/>
          <w:b/>
          <w:bCs/>
          <w:kern w:val="0"/>
          <w:sz w:val="30"/>
          <w:szCs w:val="30"/>
          <w:highlight w:val="none"/>
        </w:rPr>
        <w:t xml:space="preserve"> </w:t>
      </w:r>
    </w:p>
    <w:p>
      <w:pPr>
        <w:rPr>
          <w:highlight w:val="none"/>
        </w:rPr>
      </w:pPr>
    </w:p>
    <w:p>
      <w:pPr>
        <w:rPr>
          <w:highlight w:val="none"/>
        </w:rPr>
      </w:pPr>
    </w:p>
    <w:p>
      <w:pPr>
        <w:jc w:val="center"/>
        <w:rPr>
          <w:rFonts w:hint="eastAsia" w:hAnsi="宋体" w:eastAsia="宋体" w:cs="宋体"/>
          <w:b/>
          <w:sz w:val="36"/>
          <w:szCs w:val="36"/>
          <w:highlight w:val="none"/>
          <w:lang w:eastAsia="zh-CN"/>
        </w:rPr>
      </w:pPr>
      <w:r>
        <w:rPr>
          <w:rFonts w:hint="eastAsia" w:hAnsi="宋体" w:cs="宋体"/>
          <w:b/>
          <w:bCs/>
          <w:sz w:val="48"/>
          <w:szCs w:val="48"/>
          <w:highlight w:val="none"/>
          <w:lang w:eastAsia="zh-CN"/>
        </w:rPr>
        <w:t>陕西省华山监狱罪犯生活物资采购</w:t>
      </w:r>
    </w:p>
    <w:p>
      <w:pPr>
        <w:rPr>
          <w:highlight w:val="none"/>
        </w:rPr>
      </w:pPr>
    </w:p>
    <w:p>
      <w:pPr>
        <w:jc w:val="center"/>
        <w:rPr>
          <w:rFonts w:hint="eastAsia" w:hAnsi="宋体" w:cs="宋体"/>
          <w:b/>
          <w:sz w:val="36"/>
          <w:szCs w:val="36"/>
          <w:highlight w:val="none"/>
        </w:rPr>
      </w:pPr>
    </w:p>
    <w:p>
      <w:pPr>
        <w:jc w:val="center"/>
        <w:rPr>
          <w:rFonts w:hint="eastAsia" w:hAnsi="宋体" w:eastAsia="宋体" w:cs="宋体"/>
          <w:b/>
          <w:color w:val="auto"/>
          <w:sz w:val="36"/>
          <w:szCs w:val="36"/>
          <w:highlight w:val="none"/>
          <w:lang w:eastAsia="zh-CN"/>
        </w:rPr>
      </w:pPr>
      <w:r>
        <w:rPr>
          <w:rFonts w:hint="eastAsia" w:hAnsi="宋体" w:cs="宋体"/>
          <w:b/>
          <w:sz w:val="36"/>
          <w:szCs w:val="36"/>
          <w:highlight w:val="none"/>
        </w:rPr>
        <w:t>项目编号：TDZB-2023-2008</w:t>
      </w:r>
    </w:p>
    <w:p>
      <w:pPr>
        <w:pStyle w:val="2"/>
        <w:rPr>
          <w:rFonts w:ascii="宋体" w:hAnsi="宋体" w:cs="宋体"/>
          <w:highlight w:val="none"/>
        </w:rPr>
      </w:pPr>
    </w:p>
    <w:p>
      <w:pPr>
        <w:rPr>
          <w:highlight w:val="none"/>
        </w:rPr>
      </w:pPr>
    </w:p>
    <w:p>
      <w:pPr>
        <w:rPr>
          <w:highlight w:val="none"/>
        </w:rPr>
      </w:pPr>
      <w:r>
        <w:rPr>
          <w:rFonts w:hint="eastAsia" w:ascii="仿宋" w:hAnsi="仿宋" w:eastAsia="仿宋" w:cs="仿宋"/>
          <w:snapToGrid w:val="0"/>
          <w:kern w:val="2"/>
          <w:sz w:val="21"/>
          <w:szCs w:val="21"/>
          <w:highlight w:val="none"/>
          <w:lang w:val="en-US" w:eastAsia="zh-CN" w:bidi="ar"/>
        </w:rPr>
        <w:drawing>
          <wp:anchor distT="0" distB="0" distL="114300" distR="114300" simplePos="0" relativeHeight="251659264" behindDoc="1" locked="0" layoutInCell="1" allowOverlap="1">
            <wp:simplePos x="0" y="0"/>
            <wp:positionH relativeFrom="column">
              <wp:posOffset>1195705</wp:posOffset>
            </wp:positionH>
            <wp:positionV relativeFrom="paragraph">
              <wp:posOffset>86995</wp:posOffset>
            </wp:positionV>
            <wp:extent cx="2915285" cy="3143250"/>
            <wp:effectExtent l="0" t="0" r="18415" b="0"/>
            <wp:wrapNone/>
            <wp:docPr id="2" name="图片 10" descr="26a24f50731af2a31f84fc2b614e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26a24f50731af2a31f84fc2b614e763"/>
                    <pic:cNvPicPr>
                      <a:picLocks noChangeAspect="1"/>
                    </pic:cNvPicPr>
                  </pic:nvPicPr>
                  <pic:blipFill>
                    <a:blip r:embed="rId13"/>
                    <a:stretch>
                      <a:fillRect/>
                    </a:stretch>
                  </pic:blipFill>
                  <pic:spPr>
                    <a:xfrm>
                      <a:off x="0" y="0"/>
                      <a:ext cx="2915285" cy="3143250"/>
                    </a:xfrm>
                    <a:prstGeom prst="rect">
                      <a:avLst/>
                    </a:prstGeom>
                    <a:noFill/>
                    <a:ln>
                      <a:noFill/>
                    </a:ln>
                  </pic:spPr>
                </pic:pic>
              </a:graphicData>
            </a:graphic>
          </wp:anchor>
        </w:drawing>
      </w:r>
    </w:p>
    <w:p>
      <w:pPr>
        <w:jc w:val="center"/>
        <w:rPr>
          <w:rFonts w:hAnsi="宋体" w:cs="宋体"/>
          <w:b/>
          <w:sz w:val="84"/>
          <w:szCs w:val="84"/>
          <w:highlight w:val="none"/>
        </w:rPr>
      </w:pPr>
      <w:r>
        <w:rPr>
          <w:rFonts w:hint="eastAsia" w:hAnsi="宋体" w:cs="宋体"/>
          <w:b/>
          <w:sz w:val="84"/>
          <w:szCs w:val="84"/>
          <w:highlight w:val="none"/>
        </w:rPr>
        <w:t>招标文件</w:t>
      </w:r>
    </w:p>
    <w:p>
      <w:pPr>
        <w:jc w:val="center"/>
        <w:rPr>
          <w:rFonts w:hAnsi="宋体" w:cs="宋体"/>
          <w:b/>
          <w:sz w:val="21"/>
          <w:szCs w:val="21"/>
          <w:highlight w:val="none"/>
        </w:rPr>
      </w:pPr>
    </w:p>
    <w:p>
      <w:pPr>
        <w:jc w:val="center"/>
        <w:rPr>
          <w:rFonts w:hint="eastAsia" w:hAnsi="宋体" w:cs="宋体"/>
          <w:b/>
          <w:sz w:val="21"/>
          <w:szCs w:val="21"/>
          <w:highlight w:val="none"/>
        </w:rPr>
      </w:pPr>
    </w:p>
    <w:p>
      <w:pPr>
        <w:jc w:val="center"/>
        <w:rPr>
          <w:rFonts w:hint="eastAsia" w:hAnsi="宋体" w:cs="宋体"/>
          <w:b/>
          <w:sz w:val="21"/>
          <w:szCs w:val="21"/>
          <w:highlight w:val="none"/>
        </w:rPr>
      </w:pPr>
    </w:p>
    <w:p>
      <w:pPr>
        <w:jc w:val="center"/>
        <w:rPr>
          <w:rFonts w:hint="eastAsia" w:hAnsi="宋体" w:cs="宋体"/>
          <w:b/>
          <w:sz w:val="21"/>
          <w:szCs w:val="21"/>
          <w:highlight w:val="none"/>
        </w:rPr>
      </w:pPr>
    </w:p>
    <w:p>
      <w:pPr>
        <w:jc w:val="center"/>
        <w:rPr>
          <w:rFonts w:hAnsi="宋体" w:cs="宋体"/>
          <w:sz w:val="72"/>
          <w:szCs w:val="72"/>
          <w:highlight w:val="none"/>
        </w:rPr>
      </w:pPr>
      <w:r>
        <w:rPr>
          <w:rFonts w:hint="eastAsia" w:hAnsi="宋体" w:cs="宋体"/>
          <w:b/>
          <w:sz w:val="21"/>
          <w:szCs w:val="21"/>
          <w:highlight w:val="none"/>
        </w:rPr>
        <w:br w:type="textWrapping"/>
      </w:r>
    </w:p>
    <w:p>
      <w:pPr>
        <w:pStyle w:val="2"/>
        <w:rPr>
          <w:rFonts w:hAnsi="宋体" w:cs="宋体"/>
          <w:b/>
          <w:sz w:val="32"/>
          <w:szCs w:val="32"/>
          <w:highlight w:val="none"/>
        </w:rPr>
      </w:pPr>
    </w:p>
    <w:p>
      <w:pPr>
        <w:rPr>
          <w:highlight w:val="none"/>
        </w:rPr>
      </w:pPr>
    </w:p>
    <w:p>
      <w:pPr>
        <w:pStyle w:val="2"/>
        <w:rPr>
          <w:highlight w:val="none"/>
        </w:rPr>
      </w:pPr>
    </w:p>
    <w:p>
      <w:pPr>
        <w:rPr>
          <w:highlight w:val="none"/>
        </w:rPr>
      </w:pPr>
    </w:p>
    <w:p>
      <w:pPr>
        <w:pStyle w:val="2"/>
        <w:rPr>
          <w:highlight w:val="none"/>
        </w:rPr>
      </w:pPr>
    </w:p>
    <w:p>
      <w:pPr>
        <w:spacing w:line="360" w:lineRule="auto"/>
        <w:ind w:firstLine="1285" w:firstLineChars="400"/>
        <w:rPr>
          <w:rFonts w:hAnsi="宋体" w:cs="宋体"/>
          <w:b/>
          <w:sz w:val="32"/>
          <w:szCs w:val="32"/>
          <w:highlight w:val="none"/>
        </w:rPr>
      </w:pPr>
      <w:r>
        <w:rPr>
          <w:rFonts w:hint="eastAsia" w:hAnsi="宋体" w:cs="宋体"/>
          <w:b/>
          <w:sz w:val="32"/>
          <w:szCs w:val="32"/>
          <w:highlight w:val="none"/>
        </w:rPr>
        <w:t>采   购   人：</w:t>
      </w:r>
      <w:r>
        <w:rPr>
          <w:rFonts w:hint="eastAsia" w:hAnsi="宋体" w:cs="宋体"/>
          <w:b/>
          <w:sz w:val="32"/>
          <w:szCs w:val="32"/>
          <w:highlight w:val="none"/>
          <w:u w:val="single"/>
        </w:rPr>
        <w:t xml:space="preserve">   </w:t>
      </w:r>
      <w:r>
        <w:rPr>
          <w:rFonts w:hint="eastAsia" w:hAnsi="宋体" w:cs="宋体"/>
          <w:b/>
          <w:sz w:val="32"/>
          <w:szCs w:val="32"/>
          <w:highlight w:val="none"/>
          <w:u w:val="single"/>
          <w:lang w:eastAsia="zh-CN"/>
        </w:rPr>
        <w:t>陕西省华山监狱</w:t>
      </w:r>
      <w:r>
        <w:rPr>
          <w:rFonts w:hint="eastAsia" w:hAnsi="宋体" w:cs="宋体"/>
          <w:b/>
          <w:sz w:val="32"/>
          <w:szCs w:val="32"/>
          <w:highlight w:val="none"/>
          <w:u w:val="single"/>
        </w:rPr>
        <w:t xml:space="preserve">   </w:t>
      </w:r>
    </w:p>
    <w:p>
      <w:pPr>
        <w:spacing w:line="360" w:lineRule="auto"/>
        <w:ind w:firstLine="1285" w:firstLineChars="400"/>
        <w:rPr>
          <w:rFonts w:hAnsi="宋体" w:cs="宋体"/>
          <w:b/>
          <w:sz w:val="32"/>
          <w:szCs w:val="32"/>
          <w:highlight w:val="none"/>
        </w:rPr>
      </w:pPr>
      <w:r>
        <w:rPr>
          <w:rFonts w:hint="eastAsia" w:hAnsi="宋体" w:cs="宋体"/>
          <w:b/>
          <w:sz w:val="32"/>
          <w:szCs w:val="32"/>
          <w:highlight w:val="none"/>
          <w:lang w:eastAsia="zh-CN"/>
        </w:rPr>
        <w:t>招标代理机构</w:t>
      </w:r>
      <w:r>
        <w:rPr>
          <w:rFonts w:hint="eastAsia" w:hAnsi="宋体" w:cs="宋体"/>
          <w:b/>
          <w:sz w:val="32"/>
          <w:szCs w:val="32"/>
          <w:highlight w:val="none"/>
        </w:rPr>
        <w:t>:</w:t>
      </w:r>
      <w:r>
        <w:rPr>
          <w:rFonts w:hint="eastAsia" w:hAnsi="宋体" w:cs="宋体"/>
          <w:b/>
          <w:sz w:val="32"/>
          <w:szCs w:val="32"/>
          <w:highlight w:val="none"/>
          <w:u w:val="single"/>
        </w:rPr>
        <w:t xml:space="preserve"> </w:t>
      </w:r>
      <w:r>
        <w:rPr>
          <w:rFonts w:hint="eastAsia" w:hAnsi="宋体" w:cs="宋体"/>
          <w:b/>
          <w:sz w:val="32"/>
          <w:szCs w:val="32"/>
          <w:highlight w:val="none"/>
          <w:u w:val="single"/>
          <w:lang w:eastAsia="zh-CN"/>
        </w:rPr>
        <w:t>腾德工程咨询有限公司</w:t>
      </w:r>
    </w:p>
    <w:p>
      <w:pPr>
        <w:snapToGrid w:val="0"/>
        <w:spacing w:line="360" w:lineRule="auto"/>
        <w:ind w:firstLine="3373" w:firstLineChars="1050"/>
        <w:rPr>
          <w:rFonts w:hint="eastAsia" w:hAnsi="宋体" w:eastAsia="宋体" w:cs="宋体"/>
          <w:b/>
          <w:sz w:val="32"/>
          <w:szCs w:val="32"/>
          <w:highlight w:val="none"/>
          <w:lang w:eastAsia="zh-CN"/>
        </w:rPr>
      </w:pPr>
      <w:r>
        <w:rPr>
          <w:rFonts w:hint="eastAsia" w:ascii="宋体" w:hAnsi="宋体" w:eastAsia="宋体" w:cs="宋体"/>
          <w:b/>
          <w:color w:val="auto"/>
          <w:sz w:val="32"/>
          <w:szCs w:val="32"/>
          <w:highlight w:val="none"/>
        </w:rPr>
        <w:t>二○二</w:t>
      </w:r>
      <w:r>
        <w:rPr>
          <w:rFonts w:hint="eastAsia" w:ascii="宋体" w:hAnsi="宋体" w:eastAsia="宋体" w:cs="宋体"/>
          <w:b/>
          <w:color w:val="auto"/>
          <w:sz w:val="32"/>
          <w:szCs w:val="32"/>
          <w:highlight w:val="none"/>
          <w:lang w:eastAsia="zh-CN"/>
        </w:rPr>
        <w:t>三</w:t>
      </w:r>
      <w:r>
        <w:rPr>
          <w:rFonts w:hint="eastAsia" w:ascii="宋体" w:hAnsi="宋体" w:eastAsia="宋体" w:cs="宋体"/>
          <w:b/>
          <w:color w:val="auto"/>
          <w:sz w:val="32"/>
          <w:szCs w:val="32"/>
          <w:highlight w:val="none"/>
        </w:rPr>
        <w:t>年</w:t>
      </w:r>
      <w:r>
        <w:rPr>
          <w:rFonts w:hint="eastAsia" w:hAnsi="宋体" w:cs="宋体"/>
          <w:b/>
          <w:color w:val="auto"/>
          <w:sz w:val="32"/>
          <w:szCs w:val="32"/>
          <w:highlight w:val="none"/>
          <w:lang w:eastAsia="zh-CN"/>
        </w:rPr>
        <w:t>四</w:t>
      </w:r>
      <w:r>
        <w:rPr>
          <w:rFonts w:hint="eastAsia" w:ascii="宋体" w:hAnsi="宋体"/>
          <w:b/>
          <w:color w:val="000000"/>
          <w:sz w:val="32"/>
          <w:szCs w:val="32"/>
          <w:highlight w:val="none"/>
        </w:rPr>
        <w:t>月</w:t>
      </w:r>
    </w:p>
    <w:p>
      <w:pPr>
        <w:rPr>
          <w:highlight w:val="none"/>
        </w:rPr>
        <w:sectPr>
          <w:headerReference r:id="rId4" w:type="first"/>
          <w:footerReference r:id="rId6" w:type="first"/>
          <w:headerReference r:id="rId3" w:type="default"/>
          <w:footerReference r:id="rId5" w:type="default"/>
          <w:pgSz w:w="11906" w:h="16838"/>
          <w:pgMar w:top="1417" w:right="1417" w:bottom="1417" w:left="1417" w:header="992" w:footer="992" w:gutter="170"/>
          <w:pgNumType w:start="1"/>
          <w:cols w:space="0" w:num="1"/>
          <w:docGrid w:type="lines" w:linePitch="333" w:charSpace="0"/>
        </w:sectPr>
      </w:pPr>
    </w:p>
    <w:p>
      <w:pPr>
        <w:spacing w:before="166" w:beforeLines="50" w:line="360" w:lineRule="auto"/>
        <w:jc w:val="center"/>
        <w:rPr>
          <w:rFonts w:hAnsi="宋体" w:cs="宋体"/>
          <w:b/>
          <w:sz w:val="44"/>
          <w:szCs w:val="44"/>
          <w:highlight w:val="none"/>
        </w:rPr>
      </w:pPr>
      <w:r>
        <w:rPr>
          <w:rFonts w:hint="eastAsia" w:hAnsi="宋体" w:cs="宋体"/>
          <w:b/>
          <w:sz w:val="48"/>
          <w:szCs w:val="48"/>
          <w:highlight w:val="none"/>
        </w:rPr>
        <w:t>目   录</w:t>
      </w:r>
    </w:p>
    <w:p>
      <w:pPr>
        <w:pStyle w:val="17"/>
        <w:tabs>
          <w:tab w:val="right" w:leader="dot" w:pos="8902"/>
          <w:tab w:val="clear" w:pos="1418"/>
          <w:tab w:val="clear" w:pos="8302"/>
        </w:tabs>
        <w:rPr>
          <w:highlight w:val="none"/>
        </w:rPr>
      </w:pPr>
      <w:bookmarkStart w:id="0" w:name="_Toc16218"/>
      <w:bookmarkStart w:id="1" w:name="_Toc20652"/>
      <w:bookmarkStart w:id="2" w:name="_Toc21518"/>
      <w:bookmarkStart w:id="3" w:name="_Toc426457691"/>
      <w:bookmarkStart w:id="4" w:name="_Toc20858"/>
      <w:bookmarkStart w:id="5" w:name="_Toc389582033"/>
      <w:bookmarkStart w:id="6" w:name="_Toc19886"/>
      <w:bookmarkStart w:id="7" w:name="_Toc5293"/>
      <w:bookmarkStart w:id="8" w:name="_Toc363474016"/>
      <w:bookmarkStart w:id="9" w:name="_Toc363473971"/>
      <w:bookmarkStart w:id="10" w:name="_Toc403077638"/>
      <w:r>
        <w:rPr>
          <w:rFonts w:hint="eastAsia" w:cs="宋体"/>
          <w:highlight w:val="none"/>
        </w:rPr>
        <w:fldChar w:fldCharType="begin"/>
      </w:r>
      <w:r>
        <w:rPr>
          <w:rFonts w:hint="eastAsia" w:cs="宋体"/>
          <w:highlight w:val="none"/>
        </w:rPr>
        <w:instrText xml:space="preserve">TOC \o "1-1" \h \u </w:instrText>
      </w:r>
      <w:r>
        <w:rPr>
          <w:rFonts w:hint="eastAsia" w:cs="宋体"/>
          <w:highlight w:val="none"/>
        </w:rPr>
        <w:fldChar w:fldCharType="separate"/>
      </w:r>
      <w:r>
        <w:rPr>
          <w:rFonts w:hint="eastAsia" w:cs="宋体"/>
          <w:highlight w:val="none"/>
        </w:rPr>
        <w:fldChar w:fldCharType="begin"/>
      </w:r>
      <w:r>
        <w:rPr>
          <w:rFonts w:hint="eastAsia" w:cs="宋体"/>
          <w:highlight w:val="none"/>
        </w:rPr>
        <w:instrText xml:space="preserve"> HYPERLINK \l _Toc13065 </w:instrText>
      </w:r>
      <w:r>
        <w:rPr>
          <w:rFonts w:hint="eastAsia" w:cs="宋体"/>
          <w:highlight w:val="none"/>
        </w:rPr>
        <w:fldChar w:fldCharType="separate"/>
      </w:r>
      <w:r>
        <w:rPr>
          <w:rFonts w:hint="eastAsia"/>
          <w:szCs w:val="22"/>
          <w:highlight w:val="none"/>
        </w:rPr>
        <w:t>第一</w:t>
      </w:r>
      <w:r>
        <w:rPr>
          <w:rFonts w:hint="eastAsia"/>
          <w:szCs w:val="22"/>
          <w:highlight w:val="none"/>
          <w:lang w:val="en-US" w:eastAsia="zh-CN"/>
        </w:rPr>
        <w:t xml:space="preserve">章 </w:t>
      </w:r>
      <w:r>
        <w:rPr>
          <w:rFonts w:hint="eastAsia"/>
          <w:szCs w:val="22"/>
          <w:highlight w:val="none"/>
        </w:rPr>
        <w:t xml:space="preserve"> </w:t>
      </w:r>
      <w:r>
        <w:rPr>
          <w:rFonts w:hint="eastAsia"/>
          <w:szCs w:val="22"/>
          <w:highlight w:val="none"/>
          <w:lang w:eastAsia="zh-CN"/>
        </w:rPr>
        <w:t>招标公告</w:t>
      </w:r>
      <w:r>
        <w:rPr>
          <w:highlight w:val="none"/>
        </w:rPr>
        <w:tab/>
      </w:r>
      <w:r>
        <w:rPr>
          <w:highlight w:val="none"/>
        </w:rPr>
        <w:fldChar w:fldCharType="begin"/>
      </w:r>
      <w:r>
        <w:rPr>
          <w:highlight w:val="none"/>
        </w:rPr>
        <w:instrText xml:space="preserve"> PAGEREF _Toc13065 \h </w:instrText>
      </w:r>
      <w:r>
        <w:rPr>
          <w:highlight w:val="none"/>
        </w:rPr>
        <w:fldChar w:fldCharType="separate"/>
      </w:r>
      <w:r>
        <w:rPr>
          <w:highlight w:val="none"/>
        </w:rPr>
        <w:t>1</w:t>
      </w:r>
      <w:r>
        <w:rPr>
          <w:highlight w:val="none"/>
        </w:rPr>
        <w:fldChar w:fldCharType="end"/>
      </w:r>
      <w:r>
        <w:rPr>
          <w:rFonts w:hint="eastAsia" w:cs="宋体"/>
          <w:highlight w:val="none"/>
        </w:rPr>
        <w:fldChar w:fldCharType="end"/>
      </w:r>
    </w:p>
    <w:p>
      <w:pPr>
        <w:pStyle w:val="17"/>
        <w:tabs>
          <w:tab w:val="right" w:leader="dot" w:pos="8902"/>
          <w:tab w:val="clear" w:pos="1418"/>
          <w:tab w:val="clear" w:pos="8302"/>
        </w:tabs>
        <w:rPr>
          <w:highlight w:val="none"/>
        </w:rPr>
      </w:pPr>
      <w:r>
        <w:rPr>
          <w:rFonts w:hint="eastAsia" w:cs="宋体"/>
          <w:highlight w:val="none"/>
        </w:rPr>
        <w:fldChar w:fldCharType="begin"/>
      </w:r>
      <w:r>
        <w:rPr>
          <w:rFonts w:hint="eastAsia" w:cs="宋体"/>
          <w:highlight w:val="none"/>
        </w:rPr>
        <w:instrText xml:space="preserve"> HYPERLINK \l _Toc7096 </w:instrText>
      </w:r>
      <w:r>
        <w:rPr>
          <w:rFonts w:hint="eastAsia" w:cs="宋体"/>
          <w:highlight w:val="none"/>
        </w:rPr>
        <w:fldChar w:fldCharType="separate"/>
      </w:r>
      <w:r>
        <w:rPr>
          <w:rFonts w:hint="eastAsia"/>
          <w:highlight w:val="none"/>
        </w:rPr>
        <w:t>第二章  投标人须知</w:t>
      </w:r>
      <w:r>
        <w:rPr>
          <w:highlight w:val="none"/>
        </w:rPr>
        <w:tab/>
      </w:r>
      <w:r>
        <w:rPr>
          <w:highlight w:val="none"/>
        </w:rPr>
        <w:fldChar w:fldCharType="begin"/>
      </w:r>
      <w:r>
        <w:rPr>
          <w:highlight w:val="none"/>
        </w:rPr>
        <w:instrText xml:space="preserve"> PAGEREF _Toc7096 \h </w:instrText>
      </w:r>
      <w:r>
        <w:rPr>
          <w:highlight w:val="none"/>
        </w:rPr>
        <w:fldChar w:fldCharType="separate"/>
      </w:r>
      <w:r>
        <w:rPr>
          <w:highlight w:val="none"/>
        </w:rPr>
        <w:t>6</w:t>
      </w:r>
      <w:r>
        <w:rPr>
          <w:highlight w:val="none"/>
        </w:rPr>
        <w:fldChar w:fldCharType="end"/>
      </w:r>
      <w:r>
        <w:rPr>
          <w:rFonts w:hint="eastAsia" w:cs="宋体"/>
          <w:highlight w:val="none"/>
        </w:rPr>
        <w:fldChar w:fldCharType="end"/>
      </w:r>
    </w:p>
    <w:p>
      <w:pPr>
        <w:pStyle w:val="17"/>
        <w:tabs>
          <w:tab w:val="right" w:leader="dot" w:pos="8902"/>
          <w:tab w:val="clear" w:pos="1418"/>
          <w:tab w:val="clear" w:pos="8302"/>
        </w:tabs>
        <w:rPr>
          <w:highlight w:val="none"/>
        </w:rPr>
      </w:pPr>
      <w:r>
        <w:rPr>
          <w:rFonts w:hint="eastAsia" w:cs="宋体"/>
          <w:highlight w:val="none"/>
        </w:rPr>
        <w:fldChar w:fldCharType="begin"/>
      </w:r>
      <w:r>
        <w:rPr>
          <w:rFonts w:hint="eastAsia" w:cs="宋体"/>
          <w:highlight w:val="none"/>
        </w:rPr>
        <w:instrText xml:space="preserve"> HYPERLINK \l _Toc14586 </w:instrText>
      </w:r>
      <w:r>
        <w:rPr>
          <w:rFonts w:hint="eastAsia" w:cs="宋体"/>
          <w:highlight w:val="none"/>
        </w:rPr>
        <w:fldChar w:fldCharType="separate"/>
      </w:r>
      <w:r>
        <w:rPr>
          <w:rFonts w:hint="eastAsia"/>
          <w:highlight w:val="none"/>
        </w:rPr>
        <w:t xml:space="preserve">第三章  </w:t>
      </w:r>
      <w:r>
        <w:rPr>
          <w:rFonts w:hint="eastAsia"/>
          <w:highlight w:val="none"/>
          <w:lang w:eastAsia="zh-CN"/>
        </w:rPr>
        <w:t>商务及合同主要条款</w:t>
      </w:r>
      <w:r>
        <w:rPr>
          <w:highlight w:val="none"/>
        </w:rPr>
        <w:tab/>
      </w:r>
      <w:r>
        <w:rPr>
          <w:highlight w:val="none"/>
        </w:rPr>
        <w:fldChar w:fldCharType="begin"/>
      </w:r>
      <w:r>
        <w:rPr>
          <w:highlight w:val="none"/>
        </w:rPr>
        <w:instrText xml:space="preserve"> PAGEREF _Toc14586 \h </w:instrText>
      </w:r>
      <w:r>
        <w:rPr>
          <w:highlight w:val="none"/>
        </w:rPr>
        <w:fldChar w:fldCharType="separate"/>
      </w:r>
      <w:r>
        <w:rPr>
          <w:highlight w:val="none"/>
        </w:rPr>
        <w:t>28</w:t>
      </w:r>
      <w:r>
        <w:rPr>
          <w:highlight w:val="none"/>
        </w:rPr>
        <w:fldChar w:fldCharType="end"/>
      </w:r>
      <w:r>
        <w:rPr>
          <w:rFonts w:hint="eastAsia" w:cs="宋体"/>
          <w:highlight w:val="none"/>
        </w:rPr>
        <w:fldChar w:fldCharType="end"/>
      </w:r>
    </w:p>
    <w:p>
      <w:pPr>
        <w:pStyle w:val="17"/>
        <w:tabs>
          <w:tab w:val="right" w:leader="dot" w:pos="8902"/>
          <w:tab w:val="clear" w:pos="1418"/>
          <w:tab w:val="clear" w:pos="8302"/>
        </w:tabs>
        <w:rPr>
          <w:highlight w:val="none"/>
        </w:rPr>
      </w:pPr>
      <w:r>
        <w:rPr>
          <w:rFonts w:hint="eastAsia" w:cs="宋体"/>
          <w:highlight w:val="none"/>
        </w:rPr>
        <w:fldChar w:fldCharType="begin"/>
      </w:r>
      <w:r>
        <w:rPr>
          <w:rFonts w:hint="eastAsia" w:cs="宋体"/>
          <w:highlight w:val="none"/>
        </w:rPr>
        <w:instrText xml:space="preserve"> HYPERLINK \l _Toc22328 </w:instrText>
      </w:r>
      <w:r>
        <w:rPr>
          <w:rFonts w:hint="eastAsia" w:cs="宋体"/>
          <w:highlight w:val="none"/>
        </w:rPr>
        <w:fldChar w:fldCharType="separate"/>
      </w:r>
      <w:r>
        <w:rPr>
          <w:rFonts w:hint="eastAsia"/>
          <w:szCs w:val="36"/>
          <w:highlight w:val="none"/>
        </w:rPr>
        <w:t>第四章  采购内容及技术要求</w:t>
      </w:r>
      <w:r>
        <w:rPr>
          <w:highlight w:val="none"/>
        </w:rPr>
        <w:tab/>
      </w:r>
      <w:r>
        <w:rPr>
          <w:highlight w:val="none"/>
        </w:rPr>
        <w:fldChar w:fldCharType="begin"/>
      </w:r>
      <w:r>
        <w:rPr>
          <w:highlight w:val="none"/>
        </w:rPr>
        <w:instrText xml:space="preserve"> PAGEREF _Toc22328 \h </w:instrText>
      </w:r>
      <w:r>
        <w:rPr>
          <w:highlight w:val="none"/>
        </w:rPr>
        <w:fldChar w:fldCharType="separate"/>
      </w:r>
      <w:r>
        <w:rPr>
          <w:highlight w:val="none"/>
        </w:rPr>
        <w:t>32</w:t>
      </w:r>
      <w:r>
        <w:rPr>
          <w:highlight w:val="none"/>
        </w:rPr>
        <w:fldChar w:fldCharType="end"/>
      </w:r>
      <w:r>
        <w:rPr>
          <w:rFonts w:hint="eastAsia" w:cs="宋体"/>
          <w:highlight w:val="none"/>
        </w:rPr>
        <w:fldChar w:fldCharType="end"/>
      </w:r>
    </w:p>
    <w:p>
      <w:pPr>
        <w:pStyle w:val="17"/>
        <w:tabs>
          <w:tab w:val="right" w:leader="dot" w:pos="8902"/>
          <w:tab w:val="clear" w:pos="1418"/>
          <w:tab w:val="clear" w:pos="8302"/>
        </w:tabs>
        <w:rPr>
          <w:highlight w:val="none"/>
        </w:rPr>
      </w:pPr>
      <w:r>
        <w:rPr>
          <w:rFonts w:hint="eastAsia" w:cs="宋体"/>
          <w:highlight w:val="none"/>
        </w:rPr>
        <w:fldChar w:fldCharType="begin"/>
      </w:r>
      <w:r>
        <w:rPr>
          <w:rFonts w:hint="eastAsia" w:cs="宋体"/>
          <w:highlight w:val="none"/>
        </w:rPr>
        <w:instrText xml:space="preserve"> HYPERLINK \l _Toc26269 </w:instrText>
      </w:r>
      <w:r>
        <w:rPr>
          <w:rFonts w:hint="eastAsia" w:cs="宋体"/>
          <w:highlight w:val="none"/>
        </w:rPr>
        <w:fldChar w:fldCharType="separate"/>
      </w:r>
      <w:r>
        <w:rPr>
          <w:rFonts w:hint="eastAsia"/>
          <w:szCs w:val="36"/>
          <w:highlight w:val="none"/>
        </w:rPr>
        <w:t>第五章  评标办法</w:t>
      </w:r>
      <w:r>
        <w:rPr>
          <w:highlight w:val="none"/>
        </w:rPr>
        <w:tab/>
      </w:r>
      <w:r>
        <w:rPr>
          <w:highlight w:val="none"/>
        </w:rPr>
        <w:fldChar w:fldCharType="begin"/>
      </w:r>
      <w:r>
        <w:rPr>
          <w:highlight w:val="none"/>
        </w:rPr>
        <w:instrText xml:space="preserve"> PAGEREF _Toc26269 \h </w:instrText>
      </w:r>
      <w:r>
        <w:rPr>
          <w:highlight w:val="none"/>
        </w:rPr>
        <w:fldChar w:fldCharType="separate"/>
      </w:r>
      <w:r>
        <w:rPr>
          <w:highlight w:val="none"/>
        </w:rPr>
        <w:t>34</w:t>
      </w:r>
      <w:r>
        <w:rPr>
          <w:highlight w:val="none"/>
        </w:rPr>
        <w:fldChar w:fldCharType="end"/>
      </w:r>
      <w:r>
        <w:rPr>
          <w:rFonts w:hint="eastAsia" w:cs="宋体"/>
          <w:highlight w:val="none"/>
        </w:rPr>
        <w:fldChar w:fldCharType="end"/>
      </w:r>
    </w:p>
    <w:p>
      <w:pPr>
        <w:pStyle w:val="17"/>
        <w:tabs>
          <w:tab w:val="right" w:leader="dot" w:pos="8902"/>
          <w:tab w:val="clear" w:pos="1418"/>
          <w:tab w:val="clear" w:pos="8302"/>
        </w:tabs>
        <w:rPr>
          <w:highlight w:val="none"/>
        </w:rPr>
      </w:pPr>
      <w:r>
        <w:rPr>
          <w:rFonts w:hint="eastAsia" w:cs="宋体"/>
          <w:highlight w:val="none"/>
        </w:rPr>
        <w:fldChar w:fldCharType="begin"/>
      </w:r>
      <w:r>
        <w:rPr>
          <w:rFonts w:hint="eastAsia" w:cs="宋体"/>
          <w:highlight w:val="none"/>
        </w:rPr>
        <w:instrText xml:space="preserve"> HYPERLINK \l _Toc21886 </w:instrText>
      </w:r>
      <w:r>
        <w:rPr>
          <w:rFonts w:hint="eastAsia" w:cs="宋体"/>
          <w:highlight w:val="none"/>
        </w:rPr>
        <w:fldChar w:fldCharType="separate"/>
      </w:r>
      <w:r>
        <w:rPr>
          <w:rFonts w:hint="eastAsia"/>
          <w:highlight w:val="none"/>
        </w:rPr>
        <w:t>第六章  投标文件构成及格式</w:t>
      </w:r>
      <w:r>
        <w:rPr>
          <w:highlight w:val="none"/>
        </w:rPr>
        <w:tab/>
      </w:r>
      <w:r>
        <w:rPr>
          <w:highlight w:val="none"/>
        </w:rPr>
        <w:fldChar w:fldCharType="begin"/>
      </w:r>
      <w:r>
        <w:rPr>
          <w:highlight w:val="none"/>
        </w:rPr>
        <w:instrText xml:space="preserve"> PAGEREF _Toc21886 \h </w:instrText>
      </w:r>
      <w:r>
        <w:rPr>
          <w:highlight w:val="none"/>
        </w:rPr>
        <w:fldChar w:fldCharType="separate"/>
      </w:r>
      <w:r>
        <w:rPr>
          <w:highlight w:val="none"/>
        </w:rPr>
        <w:t>44</w:t>
      </w:r>
      <w:r>
        <w:rPr>
          <w:highlight w:val="none"/>
        </w:rPr>
        <w:fldChar w:fldCharType="end"/>
      </w:r>
      <w:r>
        <w:rPr>
          <w:rFonts w:hint="eastAsia" w:cs="宋体"/>
          <w:highlight w:val="none"/>
        </w:rPr>
        <w:fldChar w:fldCharType="end"/>
      </w:r>
    </w:p>
    <w:p>
      <w:pPr>
        <w:pStyle w:val="17"/>
        <w:spacing w:line="720" w:lineRule="auto"/>
        <w:rPr>
          <w:rFonts w:cs="宋体"/>
          <w:highlight w:val="none"/>
        </w:rPr>
      </w:pPr>
      <w:r>
        <w:rPr>
          <w:rFonts w:hint="eastAsia" w:cs="宋体"/>
          <w:highlight w:val="none"/>
        </w:rPr>
        <w:fldChar w:fldCharType="end"/>
      </w:r>
    </w:p>
    <w:p>
      <w:pPr>
        <w:tabs>
          <w:tab w:val="left" w:pos="525"/>
        </w:tabs>
        <w:spacing w:line="560" w:lineRule="exact"/>
        <w:jc w:val="center"/>
        <w:rPr>
          <w:rFonts w:hAnsi="宋体" w:cs="宋体"/>
          <w:highlight w:val="none"/>
        </w:rPr>
        <w:sectPr>
          <w:headerReference r:id="rId8" w:type="first"/>
          <w:footerReference r:id="rId10" w:type="first"/>
          <w:headerReference r:id="rId7" w:type="default"/>
          <w:footerReference r:id="rId9" w:type="default"/>
          <w:pgSz w:w="11906" w:h="16838"/>
          <w:pgMar w:top="1417" w:right="1417" w:bottom="1417" w:left="1417" w:header="992" w:footer="992" w:gutter="170"/>
          <w:pgNumType w:start="1"/>
          <w:cols w:space="0" w:num="1"/>
          <w:docGrid w:type="lines" w:linePitch="333" w:charSpace="0"/>
        </w:sectPr>
      </w:pPr>
    </w:p>
    <w:bookmarkEnd w:id="0"/>
    <w:bookmarkEnd w:id="1"/>
    <w:bookmarkEnd w:id="2"/>
    <w:bookmarkEnd w:id="3"/>
    <w:bookmarkEnd w:id="4"/>
    <w:bookmarkEnd w:id="5"/>
    <w:bookmarkEnd w:id="6"/>
    <w:bookmarkEnd w:id="7"/>
    <w:p>
      <w:pPr>
        <w:pStyle w:val="3"/>
        <w:spacing w:before="0" w:beforeLines="0" w:line="360" w:lineRule="auto"/>
        <w:ind w:left="0"/>
        <w:outlineLvl w:val="0"/>
        <w:rPr>
          <w:rFonts w:hint="eastAsia"/>
          <w:szCs w:val="22"/>
          <w:highlight w:val="none"/>
        </w:rPr>
      </w:pPr>
      <w:bookmarkStart w:id="11" w:name="_Toc29642"/>
      <w:bookmarkStart w:id="12" w:name="_Toc13065"/>
      <w:r>
        <w:rPr>
          <w:rFonts w:hint="eastAsia"/>
          <w:szCs w:val="22"/>
          <w:highlight w:val="none"/>
        </w:rPr>
        <w:t>第一</w:t>
      </w:r>
      <w:r>
        <w:rPr>
          <w:rFonts w:hint="eastAsia"/>
          <w:szCs w:val="22"/>
          <w:highlight w:val="none"/>
          <w:lang w:val="en-US" w:eastAsia="zh-CN"/>
        </w:rPr>
        <w:t xml:space="preserve">章 </w:t>
      </w:r>
      <w:r>
        <w:rPr>
          <w:rFonts w:hint="eastAsia"/>
          <w:szCs w:val="22"/>
          <w:highlight w:val="none"/>
        </w:rPr>
        <w:t xml:space="preserve"> </w:t>
      </w:r>
      <w:bookmarkEnd w:id="11"/>
      <w:r>
        <w:rPr>
          <w:rFonts w:hint="eastAsia"/>
          <w:szCs w:val="22"/>
          <w:highlight w:val="none"/>
          <w:lang w:eastAsia="zh-CN"/>
        </w:rPr>
        <w:t>招标公告</w:t>
      </w:r>
      <w:bookmarkEnd w:id="12"/>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300" w:afterAutospacing="0" w:line="600" w:lineRule="atLeast"/>
        <w:ind w:left="0" w:right="0" w:firstLine="0"/>
        <w:jc w:val="center"/>
        <w:textAlignment w:val="baseline"/>
        <w:rPr>
          <w:rFonts w:ascii="Helvetica" w:hAnsi="Helvetica" w:eastAsia="Helvetica" w:cs="Helvetica"/>
          <w:b/>
          <w:i w:val="0"/>
          <w:caps w:val="0"/>
          <w:color w:val="auto"/>
          <w:spacing w:val="0"/>
          <w:sz w:val="30"/>
          <w:szCs w:val="30"/>
          <w:highlight w:val="none"/>
        </w:rPr>
      </w:pPr>
      <w:r>
        <w:rPr>
          <w:rFonts w:hint="eastAsia" w:ascii="Helvetica" w:hAnsi="Helvetica" w:cs="Helvetica"/>
          <w:b/>
          <w:i w:val="0"/>
          <w:caps w:val="0"/>
          <w:color w:val="auto"/>
          <w:spacing w:val="0"/>
          <w:sz w:val="30"/>
          <w:szCs w:val="30"/>
          <w:highlight w:val="none"/>
          <w:shd w:val="clear" w:fill="FFFFFF"/>
          <w:vertAlign w:val="baseline"/>
          <w:lang w:eastAsia="zh-CN"/>
        </w:rPr>
        <w:t>陕西省华山监狱罪犯生活物资采购</w:t>
      </w:r>
      <w:r>
        <w:rPr>
          <w:rFonts w:hint="default" w:ascii="Helvetica" w:hAnsi="Helvetica" w:eastAsia="Helvetica" w:cs="Helvetica"/>
          <w:b/>
          <w:i w:val="0"/>
          <w:caps w:val="0"/>
          <w:color w:val="auto"/>
          <w:spacing w:val="0"/>
          <w:sz w:val="30"/>
          <w:szCs w:val="30"/>
          <w:highlight w:val="none"/>
          <w:shd w:val="clear" w:fill="FFFFFF"/>
          <w:vertAlign w:val="baseline"/>
        </w:rPr>
        <w:t>招标公告</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i w:val="0"/>
                <w:caps w:val="0"/>
                <w:color w:val="auto"/>
                <w:spacing w:val="0"/>
                <w:sz w:val="24"/>
                <w:szCs w:val="24"/>
                <w:highlight w:val="none"/>
                <w:shd w:val="clear" w:fill="FFFFFF"/>
                <w:vertAlign w:val="baseline"/>
              </w:rPr>
              <w:t>项目概况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Style w:val="22"/>
                <w:rFonts w:hint="eastAsia" w:ascii="宋体" w:hAnsi="宋体" w:eastAsia="宋体" w:cs="宋体"/>
                <w:b w:val="0"/>
                <w:bCs/>
                <w:i w:val="0"/>
                <w:caps w:val="0"/>
                <w:color w:val="auto"/>
                <w:spacing w:val="0"/>
                <w:sz w:val="24"/>
                <w:szCs w:val="24"/>
                <w:highlight w:val="none"/>
                <w:shd w:val="clear" w:fill="FFFFFF"/>
                <w:vertAlign w:val="baseline"/>
              </w:rPr>
            </w:pPr>
            <w:r>
              <w:rPr>
                <w:rFonts w:hint="eastAsia" w:cs="宋体"/>
                <w:i w:val="0"/>
                <w:caps w:val="0"/>
                <w:color w:val="auto"/>
                <w:spacing w:val="0"/>
                <w:sz w:val="24"/>
                <w:szCs w:val="24"/>
                <w:highlight w:val="none"/>
                <w:shd w:val="clear" w:fill="FFFFFF"/>
                <w:vertAlign w:val="baseline"/>
                <w:lang w:eastAsia="zh-CN"/>
              </w:rPr>
              <w:t>罪犯生活物资采购</w:t>
            </w:r>
            <w:r>
              <w:rPr>
                <w:rFonts w:hint="eastAsia" w:ascii="宋体" w:hAnsi="宋体" w:eastAsia="宋体" w:cs="宋体"/>
                <w:i w:val="0"/>
                <w:caps w:val="0"/>
                <w:color w:val="auto"/>
                <w:spacing w:val="0"/>
                <w:sz w:val="24"/>
                <w:szCs w:val="24"/>
                <w:highlight w:val="none"/>
                <w:shd w:val="clear" w:fill="FFFFFF"/>
                <w:vertAlign w:val="baseline"/>
              </w:rPr>
              <w:t>招标项目的潜在投标人应在</w:t>
            </w:r>
            <w:r>
              <w:rPr>
                <w:rFonts w:hint="eastAsia" w:cs="宋体"/>
                <w:i w:val="0"/>
                <w:caps w:val="0"/>
                <w:color w:val="auto"/>
                <w:spacing w:val="0"/>
                <w:sz w:val="24"/>
                <w:szCs w:val="24"/>
                <w:highlight w:val="none"/>
                <w:shd w:val="clear" w:fill="FFFFFF"/>
                <w:vertAlign w:val="baseline"/>
                <w:lang w:eastAsia="zh-CN"/>
              </w:rPr>
              <w:t>西安市未央区明光路与北三环十字东北角中建财智广场5栋501室</w:t>
            </w:r>
            <w:r>
              <w:rPr>
                <w:rFonts w:hint="eastAsia" w:ascii="宋体" w:hAnsi="宋体" w:eastAsia="宋体" w:cs="宋体"/>
                <w:i w:val="0"/>
                <w:caps w:val="0"/>
                <w:color w:val="auto"/>
                <w:spacing w:val="0"/>
                <w:sz w:val="24"/>
                <w:szCs w:val="24"/>
                <w:highlight w:val="none"/>
                <w:shd w:val="clear" w:fill="FFFFFF"/>
                <w:vertAlign w:val="baseline"/>
              </w:rPr>
              <w:t>获取招标文件，并于202</w:t>
            </w:r>
            <w:r>
              <w:rPr>
                <w:rFonts w:hint="eastAsia" w:cs="宋体"/>
                <w:i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caps w:val="0"/>
                <w:color w:val="auto"/>
                <w:spacing w:val="0"/>
                <w:sz w:val="24"/>
                <w:szCs w:val="24"/>
                <w:highlight w:val="none"/>
                <w:shd w:val="clear" w:fill="FFFFFF"/>
                <w:vertAlign w:val="baseline"/>
              </w:rPr>
              <w:t>年</w:t>
            </w:r>
            <w:r>
              <w:rPr>
                <w:rFonts w:hint="eastAsia" w:cs="宋体"/>
                <w:i w:val="0"/>
                <w:caps w:val="0"/>
                <w:color w:val="auto"/>
                <w:spacing w:val="0"/>
                <w:sz w:val="24"/>
                <w:szCs w:val="24"/>
                <w:highlight w:val="none"/>
                <w:shd w:val="clear" w:fill="FFFFFF"/>
                <w:vertAlign w:val="baseline"/>
                <w:lang w:val="en-US" w:eastAsia="zh-CN"/>
              </w:rPr>
              <w:t>05</w:t>
            </w:r>
            <w:r>
              <w:rPr>
                <w:rFonts w:hint="eastAsia" w:ascii="宋体" w:hAnsi="宋体" w:eastAsia="宋体" w:cs="宋体"/>
                <w:i w:val="0"/>
                <w:caps w:val="0"/>
                <w:color w:val="auto"/>
                <w:spacing w:val="0"/>
                <w:sz w:val="24"/>
                <w:szCs w:val="24"/>
                <w:highlight w:val="none"/>
                <w:shd w:val="clear" w:fill="FFFFFF"/>
                <w:vertAlign w:val="baseline"/>
              </w:rPr>
              <w:t>月</w:t>
            </w:r>
            <w:r>
              <w:rPr>
                <w:rFonts w:hint="eastAsia" w:cs="宋体"/>
                <w:i w:val="0"/>
                <w:caps w:val="0"/>
                <w:color w:val="auto"/>
                <w:spacing w:val="0"/>
                <w:sz w:val="24"/>
                <w:szCs w:val="24"/>
                <w:highlight w:val="none"/>
                <w:shd w:val="clear" w:fill="FFFFFF"/>
                <w:vertAlign w:val="baseline"/>
                <w:lang w:val="en-US" w:eastAsia="zh-CN"/>
              </w:rPr>
              <w:t>17</w:t>
            </w:r>
            <w:r>
              <w:rPr>
                <w:rFonts w:hint="eastAsia" w:ascii="宋体" w:hAnsi="宋体" w:eastAsia="宋体" w:cs="宋体"/>
                <w:i w:val="0"/>
                <w:caps w:val="0"/>
                <w:color w:val="auto"/>
                <w:spacing w:val="0"/>
                <w:sz w:val="24"/>
                <w:szCs w:val="24"/>
                <w:highlight w:val="none"/>
                <w:shd w:val="clear" w:fill="FFFFFF"/>
                <w:vertAlign w:val="baseline"/>
              </w:rPr>
              <w:t>日 09时30分（北京时间）前递交投标文件。</w:t>
            </w:r>
          </w:p>
        </w:tc>
      </w:tr>
    </w:tbl>
    <w:p>
      <w:pPr>
        <w:shd w:val="clea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一、项目基本情况</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hAnsi="宋体" w:cs="宋体"/>
          <w:color w:val="auto"/>
          <w:sz w:val="24"/>
          <w:szCs w:val="24"/>
          <w:highlight w:val="none"/>
          <w:lang w:eastAsia="zh-CN"/>
        </w:rPr>
        <w:t>TDZB-2023-2008</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hAnsi="宋体" w:cs="宋体"/>
          <w:color w:val="auto"/>
          <w:sz w:val="24"/>
          <w:szCs w:val="24"/>
          <w:highlight w:val="none"/>
          <w:lang w:eastAsia="zh-CN"/>
        </w:rPr>
        <w:t>罪犯生活物资采购</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采购方式：公开招标</w:t>
      </w:r>
    </w:p>
    <w:p>
      <w:pPr>
        <w:shd w:val="clea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预算金额：1950000.00</w:t>
      </w:r>
      <w:r>
        <w:rPr>
          <w:rFonts w:hint="eastAsia" w:hAnsi="宋体" w:cs="宋体"/>
          <w:color w:val="auto"/>
          <w:sz w:val="24"/>
          <w:szCs w:val="24"/>
          <w:highlight w:val="none"/>
          <w:lang w:eastAsia="zh-CN"/>
        </w:rPr>
        <w:t>元</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hAnsi="宋体" w:cs="宋体"/>
          <w:color w:val="auto"/>
          <w:sz w:val="24"/>
          <w:szCs w:val="24"/>
          <w:highlight w:val="none"/>
          <w:lang w:eastAsia="zh-CN"/>
        </w:rPr>
        <w:t>标准面粉</w:t>
      </w:r>
      <w:r>
        <w:rPr>
          <w:rFonts w:hint="eastAsia" w:ascii="宋体" w:hAnsi="宋体" w:eastAsia="宋体" w:cs="宋体"/>
          <w:color w:val="auto"/>
          <w:sz w:val="24"/>
          <w:szCs w:val="24"/>
          <w:highlight w:val="none"/>
        </w:rPr>
        <w:t>):</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合同包预算金额：</w:t>
      </w:r>
      <w:r>
        <w:rPr>
          <w:rFonts w:hint="eastAsia" w:ascii="宋体" w:hAnsi="宋体" w:eastAsia="宋体" w:cs="宋体"/>
          <w:color w:val="auto"/>
          <w:sz w:val="24"/>
          <w:szCs w:val="24"/>
          <w:highlight w:val="none"/>
          <w:vertAlign w:val="baseline"/>
        </w:rPr>
        <w:t>1150000</w:t>
      </w:r>
      <w:r>
        <w:rPr>
          <w:rFonts w:hint="eastAsia" w:hAnsi="宋体" w:cs="宋体"/>
          <w:color w:val="auto"/>
          <w:sz w:val="24"/>
          <w:szCs w:val="24"/>
          <w:highlight w:val="none"/>
          <w:vertAlign w:val="baseline"/>
          <w:lang w:val="en-US" w:eastAsia="zh-CN"/>
        </w:rPr>
        <w:t>.00</w:t>
      </w:r>
      <w:r>
        <w:rPr>
          <w:rFonts w:hint="eastAsia" w:ascii="宋体" w:hAnsi="宋体" w:eastAsia="宋体" w:cs="宋体"/>
          <w:color w:val="auto"/>
          <w:sz w:val="24"/>
          <w:szCs w:val="24"/>
          <w:highlight w:val="none"/>
        </w:rPr>
        <w:t>元</w:t>
      </w:r>
    </w:p>
    <w:tbl>
      <w:tblPr>
        <w:tblStyle w:val="20"/>
        <w:tblpPr w:leftFromText="180" w:rightFromText="180" w:vertAnchor="text" w:horzAnchor="page" w:tblpX="1829" w:tblpY="357"/>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550"/>
        <w:gridCol w:w="783"/>
        <w:gridCol w:w="1167"/>
        <w:gridCol w:w="1233"/>
        <w:gridCol w:w="14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78" w:type="dxa"/>
            <w:vAlign w:val="center"/>
          </w:tcPr>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品目号</w:t>
            </w:r>
          </w:p>
        </w:tc>
        <w:tc>
          <w:tcPr>
            <w:tcW w:w="1550" w:type="dxa"/>
            <w:vAlign w:val="center"/>
          </w:tcPr>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品目名称</w:t>
            </w:r>
          </w:p>
        </w:tc>
        <w:tc>
          <w:tcPr>
            <w:tcW w:w="783" w:type="dxa"/>
            <w:vAlign w:val="center"/>
          </w:tcPr>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采购标的</w:t>
            </w:r>
          </w:p>
        </w:tc>
        <w:tc>
          <w:tcPr>
            <w:tcW w:w="1167" w:type="dxa"/>
            <w:vAlign w:val="center"/>
          </w:tcPr>
          <w:p>
            <w:pPr>
              <w:shd w:val="clear"/>
              <w:spacing w:line="240" w:lineRule="auto"/>
              <w:ind w:left="0" w:leftChars="0"/>
              <w:jc w:val="center"/>
              <w:rPr>
                <w:rFonts w:hint="eastAsia" w:ascii="宋体" w:hAnsi="宋体" w:eastAsia="宋体" w:cs="宋体"/>
                <w:b/>
                <w:bCs w:val="0"/>
                <w:i w:val="0"/>
                <w:caps w:val="0"/>
                <w:color w:val="auto"/>
                <w:spacing w:val="0"/>
                <w:sz w:val="24"/>
                <w:szCs w:val="24"/>
                <w:highlight w:val="none"/>
                <w:shd w:val="clear" w:fill="FFFFFF"/>
              </w:rPr>
            </w:pPr>
            <w:r>
              <w:rPr>
                <w:rFonts w:hint="eastAsia" w:ascii="宋体" w:hAnsi="宋体" w:eastAsia="宋体" w:cs="宋体"/>
                <w:b/>
                <w:bCs w:val="0"/>
                <w:i w:val="0"/>
                <w:caps w:val="0"/>
                <w:color w:val="auto"/>
                <w:spacing w:val="0"/>
                <w:sz w:val="24"/>
                <w:szCs w:val="24"/>
                <w:highlight w:val="none"/>
                <w:shd w:val="clear" w:fill="FFFFFF"/>
              </w:rPr>
              <w:t>数量</w:t>
            </w:r>
          </w:p>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（单位）</w:t>
            </w:r>
          </w:p>
        </w:tc>
        <w:tc>
          <w:tcPr>
            <w:tcW w:w="1233" w:type="dxa"/>
            <w:vAlign w:val="center"/>
          </w:tcPr>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color w:val="auto"/>
                <w:sz w:val="24"/>
                <w:szCs w:val="24"/>
                <w:highlight w:val="none"/>
                <w:vertAlign w:val="baseline"/>
              </w:rPr>
              <w:t>技术规格、参数及要求</w:t>
            </w:r>
          </w:p>
        </w:tc>
        <w:tc>
          <w:tcPr>
            <w:tcW w:w="1467" w:type="dxa"/>
            <w:vAlign w:val="center"/>
          </w:tcPr>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品目预算(元)</w:t>
            </w:r>
          </w:p>
        </w:tc>
        <w:tc>
          <w:tcPr>
            <w:tcW w:w="1417" w:type="dxa"/>
            <w:vAlign w:val="center"/>
          </w:tcPr>
          <w:p>
            <w:pPr>
              <w:shd w:val="clear"/>
              <w:spacing w:line="240" w:lineRule="auto"/>
              <w:ind w:left="0" w:leftChars="0"/>
              <w:jc w:val="center"/>
              <w:rPr>
                <w:rFonts w:hint="eastAsia" w:ascii="宋体" w:hAnsi="宋体" w:eastAsia="宋体" w:cs="宋体"/>
                <w:b/>
                <w:bCs w:val="0"/>
                <w:i w:val="0"/>
                <w:caps w:val="0"/>
                <w:color w:val="auto"/>
                <w:spacing w:val="0"/>
                <w:sz w:val="24"/>
                <w:szCs w:val="24"/>
                <w:highlight w:val="none"/>
                <w:shd w:val="clear" w:fill="FFFFFF"/>
              </w:rPr>
            </w:pPr>
            <w:r>
              <w:rPr>
                <w:rFonts w:hint="eastAsia" w:ascii="宋体" w:hAnsi="宋体" w:eastAsia="宋体" w:cs="宋体"/>
                <w:b/>
                <w:bCs w:val="0"/>
                <w:i w:val="0"/>
                <w:caps w:val="0"/>
                <w:color w:val="auto"/>
                <w:spacing w:val="0"/>
                <w:sz w:val="24"/>
                <w:szCs w:val="24"/>
                <w:highlight w:val="none"/>
                <w:shd w:val="clear" w:fill="FFFFFF"/>
              </w:rPr>
              <w:t>最高限价</w:t>
            </w:r>
          </w:p>
          <w:p>
            <w:pPr>
              <w:shd w:val="clear"/>
              <w:spacing w:line="240" w:lineRule="auto"/>
              <w:ind w:left="0" w:leftChars="0"/>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78" w:type="dxa"/>
            <w:vAlign w:val="center"/>
          </w:tcPr>
          <w:p>
            <w:pPr>
              <w:shd w:val="clear"/>
              <w:spacing w:line="240" w:lineRule="auto"/>
              <w:ind w:firstLine="240" w:firstLineChars="100"/>
              <w:jc w:val="center"/>
              <w:rPr>
                <w:rFonts w:hint="eastAsia" w:ascii="宋体" w:hAnsi="宋体" w:eastAsia="宋体" w:cs="宋体"/>
                <w:color w:val="auto"/>
                <w:sz w:val="24"/>
                <w:szCs w:val="24"/>
                <w:highlight w:val="none"/>
                <w:vertAlign w:val="baseline"/>
              </w:rPr>
            </w:pPr>
            <w:r>
              <w:rPr>
                <w:rFonts w:hint="eastAsia" w:ascii="宋体" w:hAnsi="宋体" w:eastAsia="宋体" w:cs="宋体"/>
                <w:i w:val="0"/>
                <w:caps w:val="0"/>
                <w:color w:val="auto"/>
                <w:spacing w:val="0"/>
                <w:sz w:val="24"/>
                <w:szCs w:val="24"/>
                <w:highlight w:val="none"/>
                <w:shd w:val="clear" w:fill="FFFFFF"/>
              </w:rPr>
              <w:t>1-1</w:t>
            </w:r>
          </w:p>
        </w:tc>
        <w:tc>
          <w:tcPr>
            <w:tcW w:w="1550"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其他农林牧渔业产品</w:t>
            </w:r>
          </w:p>
        </w:tc>
        <w:tc>
          <w:tcPr>
            <w:tcW w:w="783"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标准面粉</w:t>
            </w:r>
          </w:p>
        </w:tc>
        <w:tc>
          <w:tcPr>
            <w:tcW w:w="1167" w:type="dxa"/>
            <w:vAlign w:val="center"/>
          </w:tcPr>
          <w:p>
            <w:pPr>
              <w:shd w:val="clear"/>
              <w:spacing w:line="240"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12000袋</w:t>
            </w:r>
          </w:p>
        </w:tc>
        <w:tc>
          <w:tcPr>
            <w:tcW w:w="1233"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i w:val="0"/>
                <w:caps w:val="0"/>
                <w:color w:val="auto"/>
                <w:spacing w:val="0"/>
                <w:sz w:val="24"/>
                <w:szCs w:val="24"/>
                <w:highlight w:val="none"/>
                <w:shd w:val="clear" w:fill="FFFFFF"/>
              </w:rPr>
              <w:t>详见采购文件</w:t>
            </w:r>
          </w:p>
        </w:tc>
        <w:tc>
          <w:tcPr>
            <w:tcW w:w="1467" w:type="dxa"/>
            <w:vAlign w:val="center"/>
          </w:tcPr>
          <w:p>
            <w:pPr>
              <w:shd w:val="clear"/>
              <w:spacing w:line="24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rPr>
              <w:t>1150000</w:t>
            </w:r>
            <w:r>
              <w:rPr>
                <w:rFonts w:hint="eastAsia" w:hAnsi="宋体" w:cs="宋体"/>
                <w:color w:val="auto"/>
                <w:sz w:val="24"/>
                <w:szCs w:val="24"/>
                <w:highlight w:val="none"/>
                <w:vertAlign w:val="baseline"/>
                <w:lang w:val="en-US" w:eastAsia="zh-CN"/>
              </w:rPr>
              <w:t>.00</w:t>
            </w:r>
          </w:p>
        </w:tc>
        <w:tc>
          <w:tcPr>
            <w:tcW w:w="1417" w:type="dxa"/>
            <w:vAlign w:val="center"/>
          </w:tcPr>
          <w:p>
            <w:pPr>
              <w:shd w:val="clear"/>
              <w:spacing w:line="24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rPr>
              <w:t>1150000</w:t>
            </w:r>
            <w:r>
              <w:rPr>
                <w:rFonts w:hint="eastAsia" w:hAnsi="宋体" w:cs="宋体"/>
                <w:color w:val="auto"/>
                <w:sz w:val="24"/>
                <w:szCs w:val="24"/>
                <w:highlight w:val="none"/>
                <w:vertAlign w:val="baseline"/>
                <w:lang w:val="en-US" w:eastAsia="zh-CN"/>
              </w:rPr>
              <w:t>.00</w:t>
            </w:r>
          </w:p>
        </w:tc>
      </w:tr>
    </w:tbl>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本合同包不接受联合体投标</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合同履行期限：自合同签订之日起1年</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合同包2（</w:t>
      </w:r>
      <w:r>
        <w:rPr>
          <w:rFonts w:hint="eastAsia" w:hAnsi="宋体" w:cs="宋体"/>
          <w:color w:val="auto"/>
          <w:sz w:val="24"/>
          <w:szCs w:val="24"/>
          <w:highlight w:val="none"/>
          <w:lang w:eastAsia="zh-CN"/>
        </w:rPr>
        <w:t>米</w:t>
      </w:r>
      <w:r>
        <w:rPr>
          <w:rFonts w:hint="eastAsia" w:ascii="宋体" w:hAnsi="宋体" w:eastAsia="宋体" w:cs="宋体"/>
          <w:color w:val="auto"/>
          <w:sz w:val="24"/>
          <w:szCs w:val="24"/>
          <w:highlight w:val="none"/>
        </w:rPr>
        <w:t>):</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合同包预算金额：400000</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元</w:t>
      </w:r>
    </w:p>
    <w:tbl>
      <w:tblPr>
        <w:tblStyle w:val="20"/>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42"/>
        <w:gridCol w:w="968"/>
        <w:gridCol w:w="1199"/>
        <w:gridCol w:w="1267"/>
        <w:gridCol w:w="145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102"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品目号</w:t>
            </w:r>
          </w:p>
        </w:tc>
        <w:tc>
          <w:tcPr>
            <w:tcW w:w="1242"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品目名称</w:t>
            </w:r>
          </w:p>
        </w:tc>
        <w:tc>
          <w:tcPr>
            <w:tcW w:w="968" w:type="dxa"/>
            <w:vAlign w:val="center"/>
          </w:tcPr>
          <w:p>
            <w:pPr>
              <w:shd w:val="clear"/>
              <w:spacing w:line="240" w:lineRule="auto"/>
              <w:jc w:val="center"/>
              <w:rPr>
                <w:rFonts w:hint="eastAsia" w:ascii="宋体" w:hAnsi="宋体" w:eastAsia="宋体" w:cs="宋体"/>
                <w:b/>
                <w:bCs w:val="0"/>
                <w:i w:val="0"/>
                <w:caps w:val="0"/>
                <w:color w:val="auto"/>
                <w:spacing w:val="0"/>
                <w:sz w:val="24"/>
                <w:szCs w:val="24"/>
                <w:highlight w:val="none"/>
                <w:shd w:val="clear" w:fill="FFFFFF"/>
              </w:rPr>
            </w:pPr>
            <w:r>
              <w:rPr>
                <w:rFonts w:hint="eastAsia" w:ascii="宋体" w:hAnsi="宋体" w:eastAsia="宋体" w:cs="宋体"/>
                <w:b/>
                <w:bCs w:val="0"/>
                <w:i w:val="0"/>
                <w:caps w:val="0"/>
                <w:color w:val="auto"/>
                <w:spacing w:val="0"/>
                <w:sz w:val="24"/>
                <w:szCs w:val="24"/>
                <w:highlight w:val="none"/>
                <w:shd w:val="clear" w:fill="FFFFFF"/>
              </w:rPr>
              <w:t>采购</w:t>
            </w:r>
          </w:p>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标的</w:t>
            </w:r>
          </w:p>
        </w:tc>
        <w:tc>
          <w:tcPr>
            <w:tcW w:w="1199" w:type="dxa"/>
            <w:vAlign w:val="center"/>
          </w:tcPr>
          <w:p>
            <w:pPr>
              <w:shd w:val="clear"/>
              <w:spacing w:line="240" w:lineRule="auto"/>
              <w:jc w:val="center"/>
              <w:rPr>
                <w:rFonts w:hint="eastAsia" w:ascii="宋体" w:hAnsi="宋体" w:eastAsia="宋体" w:cs="宋体"/>
                <w:b/>
                <w:bCs w:val="0"/>
                <w:i w:val="0"/>
                <w:caps w:val="0"/>
                <w:color w:val="auto"/>
                <w:spacing w:val="0"/>
                <w:sz w:val="24"/>
                <w:szCs w:val="24"/>
                <w:highlight w:val="none"/>
                <w:shd w:val="clear" w:fill="FFFFFF"/>
              </w:rPr>
            </w:pPr>
            <w:r>
              <w:rPr>
                <w:rFonts w:hint="eastAsia" w:ascii="宋体" w:hAnsi="宋体" w:eastAsia="宋体" w:cs="宋体"/>
                <w:b/>
                <w:bCs w:val="0"/>
                <w:i w:val="0"/>
                <w:caps w:val="0"/>
                <w:color w:val="auto"/>
                <w:spacing w:val="0"/>
                <w:sz w:val="24"/>
                <w:szCs w:val="24"/>
                <w:highlight w:val="none"/>
                <w:shd w:val="clear" w:fill="FFFFFF"/>
              </w:rPr>
              <w:t>数量</w:t>
            </w:r>
          </w:p>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（单位）</w:t>
            </w:r>
          </w:p>
        </w:tc>
        <w:tc>
          <w:tcPr>
            <w:tcW w:w="1267"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color w:val="auto"/>
                <w:sz w:val="24"/>
                <w:szCs w:val="24"/>
                <w:highlight w:val="none"/>
                <w:vertAlign w:val="baseline"/>
              </w:rPr>
              <w:t>技术规格、参数及要求</w:t>
            </w:r>
          </w:p>
        </w:tc>
        <w:tc>
          <w:tcPr>
            <w:tcW w:w="1450"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品目预算(元)</w:t>
            </w:r>
          </w:p>
        </w:tc>
        <w:tc>
          <w:tcPr>
            <w:tcW w:w="1417"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102"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i w:val="0"/>
                <w:caps w:val="0"/>
                <w:color w:val="auto"/>
                <w:spacing w:val="0"/>
                <w:sz w:val="24"/>
                <w:szCs w:val="24"/>
                <w:highlight w:val="none"/>
                <w:shd w:val="clear" w:fill="FFFFFF"/>
              </w:rPr>
              <w:t>2-1</w:t>
            </w:r>
          </w:p>
        </w:tc>
        <w:tc>
          <w:tcPr>
            <w:tcW w:w="1242"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其他谷物</w:t>
            </w:r>
          </w:p>
        </w:tc>
        <w:tc>
          <w:tcPr>
            <w:tcW w:w="968" w:type="dxa"/>
            <w:vAlign w:val="center"/>
          </w:tcPr>
          <w:p>
            <w:pPr>
              <w:shd w:val="clear"/>
              <w:spacing w:line="240"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米</w:t>
            </w:r>
          </w:p>
        </w:tc>
        <w:tc>
          <w:tcPr>
            <w:tcW w:w="1199"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3250袋</w:t>
            </w:r>
          </w:p>
        </w:tc>
        <w:tc>
          <w:tcPr>
            <w:tcW w:w="1267"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i w:val="0"/>
                <w:caps w:val="0"/>
                <w:color w:val="auto"/>
                <w:spacing w:val="0"/>
                <w:sz w:val="24"/>
                <w:szCs w:val="24"/>
                <w:highlight w:val="none"/>
                <w:shd w:val="clear" w:fill="FFFFFF"/>
              </w:rPr>
              <w:t>详见采购文件</w:t>
            </w:r>
          </w:p>
        </w:tc>
        <w:tc>
          <w:tcPr>
            <w:tcW w:w="1450" w:type="dxa"/>
            <w:vAlign w:val="center"/>
          </w:tcPr>
          <w:p>
            <w:pPr>
              <w:shd w:val="clear"/>
              <w:spacing w:line="24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rPr>
              <w:t>400000</w:t>
            </w:r>
            <w:r>
              <w:rPr>
                <w:rFonts w:hint="eastAsia" w:ascii="宋体" w:hAnsi="宋体" w:eastAsia="宋体" w:cs="宋体"/>
                <w:color w:val="auto"/>
                <w:sz w:val="24"/>
                <w:szCs w:val="24"/>
                <w:highlight w:val="none"/>
                <w:lang w:val="en-US" w:eastAsia="zh-CN"/>
              </w:rPr>
              <w:t>.00</w:t>
            </w:r>
          </w:p>
        </w:tc>
        <w:tc>
          <w:tcPr>
            <w:tcW w:w="1417" w:type="dxa"/>
            <w:vAlign w:val="center"/>
          </w:tcPr>
          <w:p>
            <w:pPr>
              <w:shd w:val="clear"/>
              <w:spacing w:line="24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rPr>
              <w:t>400000</w:t>
            </w:r>
            <w:r>
              <w:rPr>
                <w:rFonts w:hint="eastAsia" w:ascii="宋体" w:hAnsi="宋体" w:eastAsia="宋体" w:cs="宋体"/>
                <w:color w:val="auto"/>
                <w:sz w:val="24"/>
                <w:szCs w:val="24"/>
                <w:highlight w:val="none"/>
                <w:lang w:val="en-US" w:eastAsia="zh-CN"/>
              </w:rPr>
              <w:t>.00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720" w:firstLineChars="3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720" w:firstLineChars="3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合同履行期限：</w:t>
      </w:r>
      <w:r>
        <w:rPr>
          <w:rFonts w:hint="eastAsia" w:ascii="宋体" w:hAnsi="宋体" w:eastAsia="宋体" w:cs="宋体"/>
          <w:color w:val="auto"/>
          <w:sz w:val="24"/>
          <w:szCs w:val="24"/>
          <w:highlight w:val="none"/>
        </w:rPr>
        <w:t>自合同签订之日起1年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720" w:firstLineChars="3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合同包3（</w:t>
      </w:r>
      <w:r>
        <w:rPr>
          <w:rFonts w:hint="eastAsia" w:cs="宋体"/>
          <w:i w:val="0"/>
          <w:caps w:val="0"/>
          <w:color w:val="auto"/>
          <w:spacing w:val="0"/>
          <w:sz w:val="24"/>
          <w:szCs w:val="24"/>
          <w:highlight w:val="none"/>
          <w:shd w:val="clear" w:fill="FFFFFF"/>
          <w:vertAlign w:val="baseline"/>
          <w:lang w:eastAsia="zh-CN"/>
        </w:rPr>
        <w:t>菜籽油</w:t>
      </w:r>
      <w:r>
        <w:rPr>
          <w:rFonts w:hint="eastAsia" w:ascii="宋体" w:hAnsi="宋体" w:eastAsia="宋体" w:cs="宋体"/>
          <w:i w:val="0"/>
          <w:caps w:val="0"/>
          <w:color w:val="auto"/>
          <w:spacing w:val="0"/>
          <w:sz w:val="24"/>
          <w:szCs w:val="24"/>
          <w:highlight w:val="none"/>
          <w:shd w:val="clear" w:fill="FFFFFF"/>
          <w:vertAlign w:val="baseli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720" w:firstLineChars="3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合同包预算金额：</w:t>
      </w:r>
      <w:r>
        <w:rPr>
          <w:rFonts w:hint="eastAsia" w:ascii="宋体" w:hAnsi="宋体" w:eastAsia="宋体" w:cs="宋体"/>
          <w:color w:val="auto"/>
          <w:sz w:val="24"/>
          <w:szCs w:val="24"/>
          <w:highlight w:val="none"/>
        </w:rPr>
        <w:t>400000</w:t>
      </w:r>
      <w:r>
        <w:rPr>
          <w:rFonts w:hint="eastAsia" w:ascii="宋体" w:hAnsi="宋体" w:eastAsia="宋体" w:cs="宋体"/>
          <w:i w:val="0"/>
          <w:caps w:val="0"/>
          <w:color w:val="auto"/>
          <w:spacing w:val="0"/>
          <w:sz w:val="24"/>
          <w:szCs w:val="24"/>
          <w:highlight w:val="none"/>
          <w:shd w:val="clear" w:fill="FFFFFF"/>
          <w:vertAlign w:val="baseline"/>
        </w:rPr>
        <w:t>.00元</w:t>
      </w:r>
    </w:p>
    <w:tbl>
      <w:tblPr>
        <w:tblStyle w:val="20"/>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242"/>
        <w:gridCol w:w="910"/>
        <w:gridCol w:w="1271"/>
        <w:gridCol w:w="1250"/>
        <w:gridCol w:w="1533"/>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102"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品目号</w:t>
            </w:r>
          </w:p>
        </w:tc>
        <w:tc>
          <w:tcPr>
            <w:tcW w:w="1242"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品目名称</w:t>
            </w:r>
          </w:p>
        </w:tc>
        <w:tc>
          <w:tcPr>
            <w:tcW w:w="910"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采购标的</w:t>
            </w:r>
          </w:p>
        </w:tc>
        <w:tc>
          <w:tcPr>
            <w:tcW w:w="1271" w:type="dxa"/>
            <w:vAlign w:val="center"/>
          </w:tcPr>
          <w:p>
            <w:pPr>
              <w:shd w:val="clear"/>
              <w:spacing w:line="240" w:lineRule="auto"/>
              <w:jc w:val="center"/>
              <w:rPr>
                <w:rFonts w:hint="eastAsia" w:ascii="宋体" w:hAnsi="宋体" w:eastAsia="宋体" w:cs="宋体"/>
                <w:b/>
                <w:bCs w:val="0"/>
                <w:i w:val="0"/>
                <w:caps w:val="0"/>
                <w:color w:val="auto"/>
                <w:spacing w:val="0"/>
                <w:sz w:val="24"/>
                <w:szCs w:val="24"/>
                <w:highlight w:val="none"/>
                <w:shd w:val="clear" w:fill="FFFFFF"/>
              </w:rPr>
            </w:pPr>
            <w:r>
              <w:rPr>
                <w:rFonts w:hint="eastAsia" w:ascii="宋体" w:hAnsi="宋体" w:eastAsia="宋体" w:cs="宋体"/>
                <w:b/>
                <w:bCs w:val="0"/>
                <w:i w:val="0"/>
                <w:caps w:val="0"/>
                <w:color w:val="auto"/>
                <w:spacing w:val="0"/>
                <w:sz w:val="24"/>
                <w:szCs w:val="24"/>
                <w:highlight w:val="none"/>
                <w:shd w:val="clear" w:fill="FFFFFF"/>
              </w:rPr>
              <w:t>数量</w:t>
            </w:r>
          </w:p>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（单位）</w:t>
            </w:r>
          </w:p>
        </w:tc>
        <w:tc>
          <w:tcPr>
            <w:tcW w:w="1250"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color w:val="auto"/>
                <w:sz w:val="24"/>
                <w:szCs w:val="24"/>
                <w:highlight w:val="none"/>
                <w:vertAlign w:val="baseline"/>
              </w:rPr>
              <w:t>技术规格、参数及要求</w:t>
            </w:r>
          </w:p>
        </w:tc>
        <w:tc>
          <w:tcPr>
            <w:tcW w:w="1533" w:type="dxa"/>
            <w:vAlign w:val="center"/>
          </w:tcPr>
          <w:p>
            <w:pPr>
              <w:shd w:val="clear"/>
              <w:spacing w:line="240" w:lineRule="auto"/>
              <w:jc w:val="center"/>
              <w:rPr>
                <w:rFonts w:hint="eastAsia" w:ascii="宋体" w:hAnsi="宋体" w:eastAsia="宋体" w:cs="宋体"/>
                <w:b/>
                <w:bCs w:val="0"/>
                <w:i w:val="0"/>
                <w:caps w:val="0"/>
                <w:color w:val="auto"/>
                <w:spacing w:val="0"/>
                <w:sz w:val="24"/>
                <w:szCs w:val="24"/>
                <w:highlight w:val="none"/>
                <w:shd w:val="clear" w:fill="FFFFFF"/>
              </w:rPr>
            </w:pPr>
            <w:r>
              <w:rPr>
                <w:rFonts w:hint="eastAsia" w:ascii="宋体" w:hAnsi="宋体" w:eastAsia="宋体" w:cs="宋体"/>
                <w:b/>
                <w:bCs w:val="0"/>
                <w:i w:val="0"/>
                <w:caps w:val="0"/>
                <w:color w:val="auto"/>
                <w:spacing w:val="0"/>
                <w:sz w:val="24"/>
                <w:szCs w:val="24"/>
                <w:highlight w:val="none"/>
                <w:shd w:val="clear" w:fill="FFFFFF"/>
              </w:rPr>
              <w:t>品目预算</w:t>
            </w:r>
          </w:p>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(元)</w:t>
            </w:r>
          </w:p>
        </w:tc>
        <w:tc>
          <w:tcPr>
            <w:tcW w:w="1499" w:type="dxa"/>
            <w:vAlign w:val="center"/>
          </w:tcPr>
          <w:p>
            <w:pPr>
              <w:shd w:val="clear"/>
              <w:spacing w:line="240" w:lineRule="auto"/>
              <w:jc w:val="center"/>
              <w:rPr>
                <w:rFonts w:hint="eastAsia" w:ascii="宋体" w:hAnsi="宋体" w:eastAsia="宋体" w:cs="宋体"/>
                <w:b/>
                <w:bCs w:val="0"/>
                <w:color w:val="auto"/>
                <w:sz w:val="24"/>
                <w:szCs w:val="24"/>
                <w:highlight w:val="none"/>
                <w:vertAlign w:val="baseline"/>
              </w:rPr>
            </w:pPr>
            <w:r>
              <w:rPr>
                <w:rFonts w:hint="eastAsia" w:ascii="宋体" w:hAnsi="宋体" w:eastAsia="宋体" w:cs="宋体"/>
                <w:b/>
                <w:bCs w:val="0"/>
                <w:i w:val="0"/>
                <w:caps w:val="0"/>
                <w:color w:val="auto"/>
                <w:spacing w:val="0"/>
                <w:sz w:val="24"/>
                <w:szCs w:val="24"/>
                <w:highlight w:val="none"/>
                <w:shd w:val="clear" w:fill="FFFFFF"/>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02"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i w:val="0"/>
                <w:caps w:val="0"/>
                <w:color w:val="auto"/>
                <w:spacing w:val="0"/>
                <w:sz w:val="24"/>
                <w:szCs w:val="24"/>
                <w:highlight w:val="none"/>
                <w:shd w:val="clear" w:fill="FFFFFF"/>
                <w:lang w:val="en-US" w:eastAsia="zh-CN"/>
              </w:rPr>
              <w:t>3</w:t>
            </w:r>
            <w:r>
              <w:rPr>
                <w:rFonts w:hint="eastAsia" w:ascii="宋体" w:hAnsi="宋体" w:eastAsia="宋体" w:cs="宋体"/>
                <w:i w:val="0"/>
                <w:caps w:val="0"/>
                <w:color w:val="auto"/>
                <w:spacing w:val="0"/>
                <w:sz w:val="24"/>
                <w:szCs w:val="24"/>
                <w:highlight w:val="none"/>
                <w:shd w:val="clear" w:fill="FFFFFF"/>
              </w:rPr>
              <w:t>-1</w:t>
            </w:r>
          </w:p>
        </w:tc>
        <w:tc>
          <w:tcPr>
            <w:tcW w:w="1242"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其他油料</w:t>
            </w:r>
          </w:p>
        </w:tc>
        <w:tc>
          <w:tcPr>
            <w:tcW w:w="910"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菜籽油</w:t>
            </w:r>
          </w:p>
        </w:tc>
        <w:tc>
          <w:tcPr>
            <w:tcW w:w="1271" w:type="dxa"/>
            <w:vAlign w:val="center"/>
          </w:tcPr>
          <w:p>
            <w:pPr>
              <w:shd w:val="clear"/>
              <w:spacing w:line="240"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rPr>
              <w:t>26500</w:t>
            </w:r>
            <w:r>
              <w:rPr>
                <w:rFonts w:hint="eastAsia" w:hAnsi="宋体" w:cs="宋体"/>
                <w:color w:val="auto"/>
                <w:sz w:val="24"/>
                <w:szCs w:val="24"/>
                <w:highlight w:val="none"/>
                <w:vertAlign w:val="baseline"/>
                <w:lang w:eastAsia="zh-CN"/>
              </w:rPr>
              <w:t>公斤</w:t>
            </w:r>
          </w:p>
        </w:tc>
        <w:tc>
          <w:tcPr>
            <w:tcW w:w="1250" w:type="dxa"/>
            <w:vAlign w:val="center"/>
          </w:tcPr>
          <w:p>
            <w:pPr>
              <w:shd w:val="clear"/>
              <w:spacing w:line="240" w:lineRule="auto"/>
              <w:jc w:val="center"/>
              <w:rPr>
                <w:rFonts w:hint="eastAsia" w:ascii="宋体" w:hAnsi="宋体" w:eastAsia="宋体" w:cs="宋体"/>
                <w:color w:val="auto"/>
                <w:sz w:val="24"/>
                <w:szCs w:val="24"/>
                <w:highlight w:val="none"/>
                <w:vertAlign w:val="baseline"/>
              </w:rPr>
            </w:pPr>
            <w:r>
              <w:rPr>
                <w:rFonts w:hint="eastAsia" w:ascii="宋体" w:hAnsi="宋体" w:eastAsia="宋体" w:cs="宋体"/>
                <w:i w:val="0"/>
                <w:caps w:val="0"/>
                <w:color w:val="auto"/>
                <w:spacing w:val="0"/>
                <w:sz w:val="24"/>
                <w:szCs w:val="24"/>
                <w:highlight w:val="none"/>
                <w:shd w:val="clear" w:fill="FFFFFF"/>
              </w:rPr>
              <w:t>详见采购文件</w:t>
            </w:r>
          </w:p>
        </w:tc>
        <w:tc>
          <w:tcPr>
            <w:tcW w:w="1533" w:type="dxa"/>
            <w:vAlign w:val="center"/>
          </w:tcPr>
          <w:p>
            <w:pPr>
              <w:shd w:val="clear"/>
              <w:spacing w:line="24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rPr>
              <w:t>400000</w:t>
            </w:r>
            <w:r>
              <w:rPr>
                <w:rFonts w:hint="eastAsia" w:ascii="宋体" w:hAnsi="宋体" w:eastAsia="宋体" w:cs="宋体"/>
                <w:i w:val="0"/>
                <w:caps w:val="0"/>
                <w:color w:val="auto"/>
                <w:spacing w:val="0"/>
                <w:sz w:val="24"/>
                <w:szCs w:val="24"/>
                <w:highlight w:val="none"/>
                <w:shd w:val="clear" w:fill="FFFFFF"/>
              </w:rPr>
              <w:t>.00</w:t>
            </w:r>
          </w:p>
        </w:tc>
        <w:tc>
          <w:tcPr>
            <w:tcW w:w="1499" w:type="dxa"/>
            <w:vAlign w:val="center"/>
          </w:tcPr>
          <w:p>
            <w:pPr>
              <w:pStyle w:val="2"/>
              <w:jc w:val="center"/>
              <w:rPr>
                <w:rFonts w:hint="eastAsia"/>
                <w:color w:val="auto"/>
                <w:highlight w:val="none"/>
                <w:lang w:val="en-US" w:eastAsia="zh-CN"/>
              </w:rPr>
            </w:pPr>
            <w:r>
              <w:rPr>
                <w:rFonts w:hint="eastAsia" w:ascii="宋体" w:hAnsi="宋体" w:eastAsia="宋体" w:cs="宋体"/>
                <w:color w:val="auto"/>
                <w:sz w:val="24"/>
                <w:szCs w:val="24"/>
                <w:highlight w:val="none"/>
              </w:rPr>
              <w:t>400000</w:t>
            </w:r>
            <w:r>
              <w:rPr>
                <w:rFonts w:hint="eastAsia" w:ascii="宋体" w:hAnsi="宋体" w:eastAsia="宋体" w:cs="宋体"/>
                <w:i w:val="0"/>
                <w:caps w:val="0"/>
                <w:color w:val="auto"/>
                <w:spacing w:val="0"/>
                <w:sz w:val="24"/>
                <w:szCs w:val="24"/>
                <w:highlight w:val="none"/>
                <w:shd w:val="clear" w:fill="FFFFFF"/>
              </w:rPr>
              <w:t>.00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868" w:firstLineChars="362"/>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868" w:firstLineChars="362"/>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合同履行期限：</w:t>
      </w:r>
      <w:r>
        <w:rPr>
          <w:rFonts w:hint="eastAsia" w:ascii="宋体" w:hAnsi="宋体" w:eastAsia="宋体" w:cs="宋体"/>
          <w:color w:val="auto"/>
          <w:sz w:val="24"/>
          <w:szCs w:val="24"/>
          <w:highlight w:val="none"/>
        </w:rPr>
        <w:t>自合同签订之日起1年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i w:val="0"/>
          <w:caps w:val="0"/>
          <w:color w:val="auto"/>
          <w:spacing w:val="0"/>
          <w:sz w:val="24"/>
          <w:szCs w:val="24"/>
          <w:highlight w:val="none"/>
          <w:shd w:val="clear" w:fill="FFFFFF"/>
          <w:vertAlign w:val="baseline"/>
        </w:rPr>
        <w:t>二、申请人的资格要求：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1.满足《中华人民共和国政府采购法》第二十二条规定</w:t>
      </w:r>
      <w:r>
        <w:rPr>
          <w:rFonts w:hint="eastAsia" w:cs="宋体"/>
          <w:i w:val="0"/>
          <w:caps w:val="0"/>
          <w:color w:val="auto"/>
          <w:spacing w:val="0"/>
          <w:sz w:val="24"/>
          <w:szCs w:val="24"/>
          <w:highlight w:val="none"/>
          <w:shd w:val="clear" w:fill="FFFFFF"/>
          <w:vertAlign w:val="baseline"/>
          <w:lang w:eastAsia="zh-CN"/>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2.落实政府采购政策需满足的资格要求：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80"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合同包1（</w:t>
      </w:r>
      <w:r>
        <w:rPr>
          <w:rFonts w:hint="eastAsia" w:cs="宋体"/>
          <w:i w:val="0"/>
          <w:caps w:val="0"/>
          <w:color w:val="auto"/>
          <w:spacing w:val="0"/>
          <w:sz w:val="24"/>
          <w:szCs w:val="24"/>
          <w:highlight w:val="none"/>
          <w:shd w:val="clear" w:fill="FFFFFF"/>
          <w:vertAlign w:val="baseline"/>
          <w:lang w:eastAsia="zh-CN"/>
        </w:rPr>
        <w:t>标准面粉</w:t>
      </w:r>
      <w:r>
        <w:rPr>
          <w:rFonts w:hint="eastAsia" w:ascii="宋体" w:hAnsi="宋体" w:eastAsia="宋体" w:cs="宋体"/>
          <w:i w:val="0"/>
          <w:caps w:val="0"/>
          <w:color w:val="auto"/>
          <w:spacing w:val="0"/>
          <w:sz w:val="24"/>
          <w:szCs w:val="24"/>
          <w:highlight w:val="none"/>
          <w:shd w:val="clear" w:fill="FFFFFF"/>
          <w:vertAlign w:val="baseline"/>
        </w:rPr>
        <w:t>)落实政府采购政策需满足的资格要求如下: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960" w:firstLineChars="4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cs="宋体"/>
          <w:i w:val="0"/>
          <w:caps w:val="0"/>
          <w:color w:val="auto"/>
          <w:spacing w:val="0"/>
          <w:sz w:val="24"/>
          <w:szCs w:val="24"/>
          <w:highlight w:val="none"/>
          <w:shd w:val="clear" w:fill="FFFFFF"/>
          <w:vertAlign w:val="baseline"/>
          <w:lang w:eastAsia="zh-CN"/>
        </w:rPr>
        <w:t>本项目专门面向中小企业采购，残疾人福利性单位或监狱企业视同为小型、微型企业</w:t>
      </w:r>
      <w:r>
        <w:rPr>
          <w:rFonts w:hint="eastAsia" w:ascii="宋体" w:hAnsi="宋体" w:eastAsia="宋体" w:cs="宋体"/>
          <w:i w:val="0"/>
          <w:caps w:val="0"/>
          <w:color w:val="auto"/>
          <w:spacing w:val="0"/>
          <w:sz w:val="24"/>
          <w:szCs w:val="24"/>
          <w:highlight w:val="none"/>
          <w:shd w:val="clear" w:fill="FFFFFF"/>
          <w:vertAlign w:val="baseli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960" w:firstLineChars="4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合同包</w:t>
      </w:r>
      <w:r>
        <w:rPr>
          <w:rFonts w:hint="eastAsia" w:cs="宋体"/>
          <w:i w:val="0"/>
          <w:caps w:val="0"/>
          <w:color w:val="auto"/>
          <w:spacing w:val="0"/>
          <w:sz w:val="24"/>
          <w:szCs w:val="24"/>
          <w:highlight w:val="none"/>
          <w:shd w:val="clear" w:fill="FFFFFF"/>
          <w:vertAlign w:val="baseline"/>
          <w:lang w:val="en-US" w:eastAsia="zh-CN"/>
        </w:rPr>
        <w:t>2</w:t>
      </w:r>
      <w:r>
        <w:rPr>
          <w:rFonts w:hint="eastAsia" w:ascii="宋体" w:hAnsi="宋体" w:eastAsia="宋体" w:cs="宋体"/>
          <w:i w:val="0"/>
          <w:caps w:val="0"/>
          <w:color w:val="auto"/>
          <w:spacing w:val="0"/>
          <w:sz w:val="24"/>
          <w:szCs w:val="24"/>
          <w:highlight w:val="none"/>
          <w:shd w:val="clear" w:fill="FFFFFF"/>
          <w:vertAlign w:val="baseline"/>
        </w:rPr>
        <w:t>（</w:t>
      </w:r>
      <w:r>
        <w:rPr>
          <w:rFonts w:hint="eastAsia" w:cs="宋体"/>
          <w:i w:val="0"/>
          <w:caps w:val="0"/>
          <w:color w:val="auto"/>
          <w:spacing w:val="0"/>
          <w:sz w:val="24"/>
          <w:szCs w:val="24"/>
          <w:highlight w:val="none"/>
          <w:shd w:val="clear" w:fill="FFFFFF"/>
          <w:vertAlign w:val="baseline"/>
          <w:lang w:eastAsia="zh-CN"/>
        </w:rPr>
        <w:t>米</w:t>
      </w:r>
      <w:r>
        <w:rPr>
          <w:rFonts w:hint="eastAsia" w:ascii="宋体" w:hAnsi="宋体" w:eastAsia="宋体" w:cs="宋体"/>
          <w:i w:val="0"/>
          <w:caps w:val="0"/>
          <w:color w:val="auto"/>
          <w:spacing w:val="0"/>
          <w:sz w:val="24"/>
          <w:szCs w:val="24"/>
          <w:highlight w:val="none"/>
          <w:shd w:val="clear" w:fill="FFFFFF"/>
          <w:vertAlign w:val="baseline"/>
        </w:rPr>
        <w:t>)落实政府采购政策需满足的资格要求如下: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960" w:firstLineChars="4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cs="宋体"/>
          <w:i w:val="0"/>
          <w:caps w:val="0"/>
          <w:color w:val="auto"/>
          <w:spacing w:val="0"/>
          <w:sz w:val="24"/>
          <w:szCs w:val="24"/>
          <w:highlight w:val="none"/>
          <w:shd w:val="clear" w:fill="FFFFFF"/>
          <w:vertAlign w:val="baseline"/>
          <w:lang w:eastAsia="zh-CN"/>
        </w:rPr>
        <w:t>本项目专门面向中小企业采购，残疾人福利性单位或监狱企业视同为小型、微型企业</w:t>
      </w:r>
      <w:r>
        <w:rPr>
          <w:rFonts w:hint="eastAsia" w:ascii="宋体" w:hAnsi="宋体" w:eastAsia="宋体" w:cs="宋体"/>
          <w:i w:val="0"/>
          <w:caps w:val="0"/>
          <w:color w:val="auto"/>
          <w:spacing w:val="0"/>
          <w:sz w:val="24"/>
          <w:szCs w:val="24"/>
          <w:highlight w:val="none"/>
          <w:shd w:val="clear" w:fill="FFFFFF"/>
          <w:vertAlign w:val="baseli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960" w:firstLineChars="4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合同包</w:t>
      </w:r>
      <w:r>
        <w:rPr>
          <w:rFonts w:hint="eastAsia" w:cs="宋体"/>
          <w:i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caps w:val="0"/>
          <w:color w:val="auto"/>
          <w:spacing w:val="0"/>
          <w:sz w:val="24"/>
          <w:szCs w:val="24"/>
          <w:highlight w:val="none"/>
          <w:shd w:val="clear" w:fill="FFFFFF"/>
          <w:vertAlign w:val="baseline"/>
        </w:rPr>
        <w:t>（</w:t>
      </w:r>
      <w:r>
        <w:rPr>
          <w:rFonts w:hint="eastAsia" w:cs="宋体"/>
          <w:i w:val="0"/>
          <w:caps w:val="0"/>
          <w:color w:val="auto"/>
          <w:spacing w:val="0"/>
          <w:sz w:val="24"/>
          <w:szCs w:val="24"/>
          <w:highlight w:val="none"/>
          <w:shd w:val="clear" w:fill="FFFFFF"/>
          <w:vertAlign w:val="baseline"/>
          <w:lang w:eastAsia="zh-CN"/>
        </w:rPr>
        <w:t>菜籽油</w:t>
      </w:r>
      <w:r>
        <w:rPr>
          <w:rFonts w:hint="eastAsia" w:ascii="宋体" w:hAnsi="宋体" w:eastAsia="宋体" w:cs="宋体"/>
          <w:i w:val="0"/>
          <w:caps w:val="0"/>
          <w:color w:val="auto"/>
          <w:spacing w:val="0"/>
          <w:sz w:val="24"/>
          <w:szCs w:val="24"/>
          <w:highlight w:val="none"/>
          <w:shd w:val="clear" w:fill="FFFFFF"/>
          <w:vertAlign w:val="baseline"/>
        </w:rPr>
        <w:t>)落实政府采购政策需满足的资格要求如下: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960" w:firstLineChars="4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cs="宋体"/>
          <w:i w:val="0"/>
          <w:caps w:val="0"/>
          <w:color w:val="auto"/>
          <w:spacing w:val="0"/>
          <w:sz w:val="24"/>
          <w:szCs w:val="24"/>
          <w:highlight w:val="none"/>
          <w:shd w:val="clear" w:fill="FFFFFF"/>
          <w:vertAlign w:val="baseline"/>
          <w:lang w:eastAsia="zh-CN"/>
        </w:rPr>
        <w:t>本项目专门面向中小企业采购，残疾人福利性单位或监狱企业视同为小型、微型企业</w:t>
      </w:r>
      <w:r>
        <w:rPr>
          <w:rFonts w:hint="eastAsia" w:ascii="宋体" w:hAnsi="宋体" w:eastAsia="宋体" w:cs="宋体"/>
          <w:i w:val="0"/>
          <w:caps w:val="0"/>
          <w:color w:val="auto"/>
          <w:spacing w:val="0"/>
          <w:sz w:val="24"/>
          <w:szCs w:val="24"/>
          <w:highlight w:val="none"/>
          <w:shd w:val="clear" w:fill="FFFFFF"/>
          <w:vertAlign w:val="baseli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3.本项目的特定资格要求：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960" w:firstLineChars="4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合同包1（</w:t>
      </w:r>
      <w:r>
        <w:rPr>
          <w:rFonts w:hint="eastAsia" w:cs="宋体"/>
          <w:i w:val="0"/>
          <w:caps w:val="0"/>
          <w:color w:val="auto"/>
          <w:spacing w:val="0"/>
          <w:sz w:val="24"/>
          <w:szCs w:val="24"/>
          <w:highlight w:val="none"/>
          <w:shd w:val="clear" w:fill="FFFFFF"/>
          <w:vertAlign w:val="baseline"/>
          <w:lang w:eastAsia="zh-CN"/>
        </w:rPr>
        <w:t>标准面粉</w:t>
      </w:r>
      <w:r>
        <w:rPr>
          <w:rFonts w:hint="eastAsia" w:ascii="宋体" w:hAnsi="宋体" w:eastAsia="宋体" w:cs="宋体"/>
          <w:i w:val="0"/>
          <w:caps w:val="0"/>
          <w:color w:val="auto"/>
          <w:spacing w:val="0"/>
          <w:sz w:val="24"/>
          <w:szCs w:val="24"/>
          <w:highlight w:val="none"/>
          <w:shd w:val="clear" w:fill="FFFFFF"/>
          <w:vertAlign w:val="baseline"/>
        </w:rPr>
        <w:t>)特定资格要求如下:</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80" w:leftChars="200" w:right="0" w:rightChars="0" w:firstLine="480" w:firstLineChars="200"/>
        <w:jc w:val="both"/>
        <w:textAlignment w:val="baseline"/>
        <w:rPr>
          <w:rFonts w:hint="eastAsia" w:ascii="宋体" w:hAnsi="宋体" w:eastAsia="宋体" w:cs="宋体"/>
          <w:color w:val="auto"/>
          <w:sz w:val="24"/>
          <w:szCs w:val="24"/>
          <w:highlight w:val="none"/>
        </w:rPr>
      </w:pPr>
      <w:r>
        <w:rPr>
          <w:rFonts w:hint="eastAsia" w:cs="宋体"/>
          <w:i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caps w:val="0"/>
          <w:color w:val="auto"/>
          <w:spacing w:val="0"/>
          <w:sz w:val="24"/>
          <w:szCs w:val="24"/>
          <w:highlight w:val="none"/>
          <w:shd w:val="clear" w:fill="FFFFFF"/>
          <w:vertAlign w:val="baseline"/>
        </w:rPr>
        <w:t>法定代表人授权委托书：法定代表人参加投标的，须</w:t>
      </w:r>
      <w:r>
        <w:rPr>
          <w:rFonts w:hint="eastAsia" w:cs="宋体"/>
          <w:i w:val="0"/>
          <w:caps w:val="0"/>
          <w:color w:val="auto"/>
          <w:spacing w:val="0"/>
          <w:sz w:val="24"/>
          <w:szCs w:val="24"/>
          <w:highlight w:val="none"/>
          <w:shd w:val="clear" w:fill="FFFFFF"/>
          <w:vertAlign w:val="baseline"/>
          <w:lang w:eastAsia="zh-CN"/>
        </w:rPr>
        <w:t>提供法定代表人身份证明</w:t>
      </w:r>
      <w:r>
        <w:rPr>
          <w:rFonts w:hint="eastAsia" w:ascii="宋体" w:hAnsi="宋体" w:eastAsia="宋体" w:cs="宋体"/>
          <w:i w:val="0"/>
          <w:caps w:val="0"/>
          <w:color w:val="auto"/>
          <w:spacing w:val="0"/>
          <w:sz w:val="24"/>
          <w:szCs w:val="24"/>
          <w:highlight w:val="none"/>
          <w:shd w:val="clear" w:fill="FFFFFF"/>
          <w:vertAlign w:val="baseline"/>
        </w:rPr>
        <w:t>；法定代表人授权他人参加投标的，须提供法定代表人授权委托书。</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80" w:leftChars="200" w:right="0" w:rightChars="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cs="宋体"/>
          <w:i w:val="0"/>
          <w:caps w:val="0"/>
          <w:color w:val="auto"/>
          <w:spacing w:val="0"/>
          <w:sz w:val="24"/>
          <w:szCs w:val="24"/>
          <w:highlight w:val="none"/>
          <w:shd w:val="clear" w:fill="FFFFFF"/>
          <w:vertAlign w:val="baseline"/>
          <w:lang w:val="en-US" w:eastAsia="zh-CN"/>
        </w:rPr>
        <w:t>2）</w:t>
      </w:r>
      <w:r>
        <w:rPr>
          <w:rFonts w:hint="eastAsia" w:ascii="宋体" w:hAnsi="宋体" w:eastAsia="宋体" w:cs="宋体"/>
          <w:i w:val="0"/>
          <w:caps w:val="0"/>
          <w:color w:val="auto"/>
          <w:spacing w:val="0"/>
          <w:sz w:val="24"/>
          <w:szCs w:val="24"/>
          <w:highlight w:val="none"/>
          <w:shd w:val="clear" w:fill="FFFFFF"/>
          <w:vertAlign w:val="baseline"/>
        </w:rPr>
        <w:t>投标人为生产厂家的须提供食品生产许可证；投标人为代理商的须提供食品经营许可证及所投产品生产厂家的食品生产许可证。</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80" w:leftChars="200" w:right="0" w:rightChars="0" w:firstLine="480" w:firstLineChars="200"/>
        <w:jc w:val="both"/>
        <w:textAlignment w:val="baseline"/>
        <w:rPr>
          <w:rFonts w:hint="eastAsia" w:ascii="宋体" w:hAnsi="宋体" w:eastAsia="宋体" w:cs="宋体"/>
          <w:color w:val="auto"/>
          <w:sz w:val="24"/>
          <w:szCs w:val="24"/>
          <w:highlight w:val="none"/>
          <w:lang w:val="en-US" w:eastAsia="zh-CN"/>
        </w:rPr>
      </w:pPr>
      <w:r>
        <w:rPr>
          <w:rFonts w:hint="eastAsia" w:cs="宋体"/>
          <w:i w:val="0"/>
          <w:caps w:val="0"/>
          <w:color w:val="auto"/>
          <w:spacing w:val="0"/>
          <w:sz w:val="24"/>
          <w:szCs w:val="24"/>
          <w:highlight w:val="none"/>
          <w:shd w:val="clear" w:fill="FFFFFF"/>
          <w:vertAlign w:val="baseline"/>
          <w:lang w:val="en-US" w:eastAsia="zh-CN"/>
        </w:rPr>
        <w:t>3）单位负责人为同一人或者存在直接控股、管理关系的不同投标人，不得同时参加同一项目同一标包的投标。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1024" w:firstLineChars="427"/>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合同包2（</w:t>
      </w:r>
      <w:r>
        <w:rPr>
          <w:rFonts w:hint="eastAsia" w:cs="宋体"/>
          <w:i w:val="0"/>
          <w:caps w:val="0"/>
          <w:color w:val="auto"/>
          <w:spacing w:val="0"/>
          <w:sz w:val="24"/>
          <w:szCs w:val="24"/>
          <w:highlight w:val="none"/>
          <w:shd w:val="clear" w:fill="FFFFFF"/>
          <w:vertAlign w:val="baseline"/>
          <w:lang w:eastAsia="zh-CN"/>
        </w:rPr>
        <w:t>米</w:t>
      </w:r>
      <w:r>
        <w:rPr>
          <w:rFonts w:hint="eastAsia" w:ascii="宋体" w:hAnsi="宋体" w:eastAsia="宋体" w:cs="宋体"/>
          <w:i w:val="0"/>
          <w:caps w:val="0"/>
          <w:color w:val="auto"/>
          <w:spacing w:val="0"/>
          <w:sz w:val="24"/>
          <w:szCs w:val="24"/>
          <w:highlight w:val="none"/>
          <w:shd w:val="clear" w:fill="FFFFFF"/>
          <w:vertAlign w:val="baseline"/>
        </w:rPr>
        <w:t>）特定资格要求如下:</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200" w:right="0" w:rightChars="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cs="宋体"/>
          <w:i w:val="0"/>
          <w:caps w:val="0"/>
          <w:color w:val="auto"/>
          <w:spacing w:val="0"/>
          <w:sz w:val="24"/>
          <w:szCs w:val="24"/>
          <w:highlight w:val="none"/>
          <w:shd w:val="clear" w:fill="FFFFFF"/>
          <w:vertAlign w:val="baseline"/>
          <w:lang w:val="en-US" w:eastAsia="zh-CN"/>
        </w:rPr>
        <w:t>1）</w:t>
      </w:r>
      <w:r>
        <w:rPr>
          <w:rFonts w:hint="eastAsia" w:ascii="宋体" w:hAnsi="宋体" w:eastAsia="宋体" w:cs="宋体"/>
          <w:i w:val="0"/>
          <w:caps w:val="0"/>
          <w:color w:val="auto"/>
          <w:spacing w:val="0"/>
          <w:sz w:val="24"/>
          <w:szCs w:val="24"/>
          <w:highlight w:val="none"/>
          <w:shd w:val="clear" w:fill="FFFFFF"/>
          <w:vertAlign w:val="baseline"/>
        </w:rPr>
        <w:t>法定代表人授权委托书：法定代表人参加投标的，须</w:t>
      </w:r>
      <w:r>
        <w:rPr>
          <w:rFonts w:hint="eastAsia" w:cs="宋体"/>
          <w:i w:val="0"/>
          <w:caps w:val="0"/>
          <w:color w:val="auto"/>
          <w:spacing w:val="0"/>
          <w:sz w:val="24"/>
          <w:szCs w:val="24"/>
          <w:highlight w:val="none"/>
          <w:shd w:val="clear" w:fill="FFFFFF"/>
          <w:vertAlign w:val="baseline"/>
          <w:lang w:eastAsia="zh-CN"/>
        </w:rPr>
        <w:t>提供法定代表人身份证明</w:t>
      </w:r>
      <w:r>
        <w:rPr>
          <w:rFonts w:hint="eastAsia" w:ascii="宋体" w:hAnsi="宋体" w:eastAsia="宋体" w:cs="宋体"/>
          <w:i w:val="0"/>
          <w:caps w:val="0"/>
          <w:color w:val="auto"/>
          <w:spacing w:val="0"/>
          <w:sz w:val="24"/>
          <w:szCs w:val="24"/>
          <w:highlight w:val="none"/>
          <w:shd w:val="clear" w:fill="FFFFFF"/>
          <w:vertAlign w:val="baseline"/>
        </w:rPr>
        <w:t>；法定代表人授权他人参加投标的，须提供法定代表人授权委托书。</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Chars="200" w:right="0" w:rightChars="0"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2）投标人为生产厂家的须提供食品生产许可证；投标人为代理商的须提供食品经营许可证及所投产品生产厂家的食品生产许可证。</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80" w:leftChars="200" w:right="0" w:rightChars="0" w:firstLine="480" w:firstLineChars="200"/>
        <w:jc w:val="both"/>
        <w:textAlignment w:val="baseline"/>
        <w:rPr>
          <w:rFonts w:hint="eastAsia" w:ascii="宋体" w:hAnsi="宋体" w:eastAsia="宋体" w:cs="宋体"/>
          <w:color w:val="auto"/>
          <w:sz w:val="24"/>
          <w:szCs w:val="24"/>
          <w:highlight w:val="none"/>
          <w:lang w:val="en-US" w:eastAsia="zh-CN"/>
        </w:rPr>
      </w:pPr>
      <w:r>
        <w:rPr>
          <w:rFonts w:hint="eastAsia" w:cs="宋体"/>
          <w:i w:val="0"/>
          <w:caps w:val="0"/>
          <w:color w:val="auto"/>
          <w:spacing w:val="0"/>
          <w:sz w:val="24"/>
          <w:szCs w:val="24"/>
          <w:highlight w:val="none"/>
          <w:shd w:val="clear" w:fill="FFFFFF"/>
          <w:vertAlign w:val="baseline"/>
          <w:lang w:val="en-US" w:eastAsia="zh-CN"/>
        </w:rPr>
        <w:t>3）单位负责人为同一人或者存在直接控股、管理关系的不同投标人，不得同时参加同一项目同一标包的投标。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960" w:firstLineChars="400"/>
        <w:jc w:val="both"/>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合同包3（</w:t>
      </w:r>
      <w:r>
        <w:rPr>
          <w:rFonts w:hint="eastAsia" w:cs="宋体"/>
          <w:i w:val="0"/>
          <w:caps w:val="0"/>
          <w:color w:val="auto"/>
          <w:spacing w:val="0"/>
          <w:sz w:val="24"/>
          <w:szCs w:val="24"/>
          <w:highlight w:val="none"/>
          <w:shd w:val="clear" w:fill="FFFFFF"/>
          <w:vertAlign w:val="baseline"/>
          <w:lang w:eastAsia="zh-CN"/>
        </w:rPr>
        <w:t>菜籽油</w:t>
      </w:r>
      <w:r>
        <w:rPr>
          <w:rFonts w:hint="eastAsia" w:ascii="宋体" w:hAnsi="宋体" w:eastAsia="宋体" w:cs="宋体"/>
          <w:i w:val="0"/>
          <w:caps w:val="0"/>
          <w:color w:val="auto"/>
          <w:spacing w:val="0"/>
          <w:sz w:val="24"/>
          <w:szCs w:val="24"/>
          <w:highlight w:val="none"/>
          <w:shd w:val="clear" w:fill="FFFFFF"/>
          <w:vertAlign w:val="baseline"/>
        </w:rPr>
        <w:t>）特定资格要求如下:</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Chars="200" w:right="0" w:rightChars="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1）法定代表人授权委托书：法定代表人参加投标的，须</w:t>
      </w:r>
      <w:r>
        <w:rPr>
          <w:rFonts w:hint="eastAsia" w:cs="宋体"/>
          <w:i w:val="0"/>
          <w:caps w:val="0"/>
          <w:color w:val="auto"/>
          <w:spacing w:val="0"/>
          <w:sz w:val="24"/>
          <w:szCs w:val="24"/>
          <w:highlight w:val="none"/>
          <w:shd w:val="clear" w:fill="FFFFFF"/>
          <w:vertAlign w:val="baseline"/>
          <w:lang w:eastAsia="zh-CN"/>
        </w:rPr>
        <w:t>提供法定代表人身份证明</w:t>
      </w:r>
      <w:r>
        <w:rPr>
          <w:rFonts w:hint="eastAsia" w:ascii="宋体" w:hAnsi="宋体" w:eastAsia="宋体" w:cs="宋体"/>
          <w:i w:val="0"/>
          <w:caps w:val="0"/>
          <w:color w:val="auto"/>
          <w:spacing w:val="0"/>
          <w:sz w:val="24"/>
          <w:szCs w:val="24"/>
          <w:highlight w:val="none"/>
          <w:shd w:val="clear" w:fill="FFFFFF"/>
          <w:vertAlign w:val="baseline"/>
        </w:rPr>
        <w:t>；法定代表人授权他人参加投标的，须提供法定代表人授权委托书。</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Chars="200" w:right="0" w:rightChars="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2）投标人为生产厂家的须提供食品生产许可证；投标人为代理商的须提供食品经营许可证及所投产品生产厂家的食品生产许可证。</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80" w:leftChars="200" w:right="0" w:rightChars="0" w:firstLine="480" w:firstLineChars="200"/>
        <w:jc w:val="both"/>
        <w:textAlignment w:val="baseline"/>
        <w:rPr>
          <w:rFonts w:hint="eastAsia" w:ascii="宋体" w:hAnsi="宋体" w:eastAsia="宋体" w:cs="宋体"/>
          <w:color w:val="auto"/>
          <w:sz w:val="24"/>
          <w:szCs w:val="24"/>
          <w:highlight w:val="none"/>
          <w:lang w:val="en-US" w:eastAsia="zh-CN"/>
        </w:rPr>
      </w:pPr>
      <w:r>
        <w:rPr>
          <w:rFonts w:hint="eastAsia" w:cs="宋体"/>
          <w:i w:val="0"/>
          <w:caps w:val="0"/>
          <w:color w:val="auto"/>
          <w:spacing w:val="0"/>
          <w:sz w:val="24"/>
          <w:szCs w:val="24"/>
          <w:highlight w:val="none"/>
          <w:shd w:val="clear" w:fill="FFFFFF"/>
          <w:vertAlign w:val="baseline"/>
          <w:lang w:val="en-US" w:eastAsia="zh-CN"/>
        </w:rPr>
        <w:t>3）单位负责人为同一人或者存在直接控股、管理关系的不同投标人，不得同时参加同一项目同一标包的投标。</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jc w:val="both"/>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i w:val="0"/>
          <w:caps w:val="0"/>
          <w:color w:val="auto"/>
          <w:spacing w:val="0"/>
          <w:sz w:val="24"/>
          <w:szCs w:val="24"/>
          <w:highlight w:val="none"/>
          <w:shd w:val="clear" w:fill="FFFFFF"/>
          <w:vertAlign w:val="baseline"/>
        </w:rPr>
        <w:t>三、获取招标文件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时间：202</w:t>
      </w:r>
      <w:r>
        <w:rPr>
          <w:rFonts w:hint="eastAsia" w:cs="宋体"/>
          <w:i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caps w:val="0"/>
          <w:color w:val="auto"/>
          <w:spacing w:val="0"/>
          <w:sz w:val="24"/>
          <w:szCs w:val="24"/>
          <w:highlight w:val="none"/>
          <w:shd w:val="clear" w:fill="FFFFFF"/>
          <w:vertAlign w:val="baseline"/>
        </w:rPr>
        <w:t>年</w:t>
      </w:r>
      <w:r>
        <w:rPr>
          <w:rFonts w:hint="eastAsia" w:cs="宋体"/>
          <w:i w:val="0"/>
          <w:caps w:val="0"/>
          <w:color w:val="auto"/>
          <w:spacing w:val="0"/>
          <w:sz w:val="24"/>
          <w:szCs w:val="24"/>
          <w:highlight w:val="none"/>
          <w:shd w:val="clear" w:fill="FFFFFF"/>
          <w:vertAlign w:val="baseline"/>
          <w:lang w:val="en-US" w:eastAsia="zh-CN"/>
        </w:rPr>
        <w:t>04</w:t>
      </w:r>
      <w:r>
        <w:rPr>
          <w:rFonts w:hint="eastAsia" w:ascii="宋体" w:hAnsi="宋体" w:eastAsia="宋体" w:cs="宋体"/>
          <w:i w:val="0"/>
          <w:caps w:val="0"/>
          <w:color w:val="auto"/>
          <w:spacing w:val="0"/>
          <w:sz w:val="24"/>
          <w:szCs w:val="24"/>
          <w:highlight w:val="none"/>
          <w:shd w:val="clear" w:fill="FFFFFF"/>
          <w:vertAlign w:val="baseline"/>
        </w:rPr>
        <w:t>月</w:t>
      </w:r>
      <w:r>
        <w:rPr>
          <w:rFonts w:hint="eastAsia" w:cs="宋体"/>
          <w:i w:val="0"/>
          <w:caps w:val="0"/>
          <w:color w:val="auto"/>
          <w:spacing w:val="0"/>
          <w:sz w:val="24"/>
          <w:szCs w:val="24"/>
          <w:highlight w:val="none"/>
          <w:shd w:val="clear" w:fill="FFFFFF"/>
          <w:vertAlign w:val="baseline"/>
          <w:lang w:val="en-US" w:eastAsia="zh-CN"/>
        </w:rPr>
        <w:t>21</w:t>
      </w:r>
      <w:r>
        <w:rPr>
          <w:rFonts w:hint="eastAsia" w:ascii="宋体" w:hAnsi="宋体" w:eastAsia="宋体" w:cs="宋体"/>
          <w:i w:val="0"/>
          <w:caps w:val="0"/>
          <w:color w:val="auto"/>
          <w:spacing w:val="0"/>
          <w:sz w:val="24"/>
          <w:szCs w:val="24"/>
          <w:highlight w:val="none"/>
          <w:shd w:val="clear" w:fill="FFFFFF"/>
          <w:vertAlign w:val="baseline"/>
        </w:rPr>
        <w:t>日至202</w:t>
      </w:r>
      <w:r>
        <w:rPr>
          <w:rFonts w:hint="eastAsia" w:cs="宋体"/>
          <w:i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caps w:val="0"/>
          <w:color w:val="auto"/>
          <w:spacing w:val="0"/>
          <w:sz w:val="24"/>
          <w:szCs w:val="24"/>
          <w:highlight w:val="none"/>
          <w:shd w:val="clear" w:fill="FFFFFF"/>
          <w:vertAlign w:val="baseline"/>
        </w:rPr>
        <w:t>年</w:t>
      </w:r>
      <w:r>
        <w:rPr>
          <w:rFonts w:hint="eastAsia" w:cs="宋体"/>
          <w:i w:val="0"/>
          <w:caps w:val="0"/>
          <w:color w:val="auto"/>
          <w:spacing w:val="0"/>
          <w:sz w:val="24"/>
          <w:szCs w:val="24"/>
          <w:highlight w:val="none"/>
          <w:shd w:val="clear" w:fill="FFFFFF"/>
          <w:vertAlign w:val="baseline"/>
          <w:lang w:val="en-US" w:eastAsia="zh-CN"/>
        </w:rPr>
        <w:t>04</w:t>
      </w:r>
      <w:r>
        <w:rPr>
          <w:rFonts w:hint="eastAsia" w:ascii="宋体" w:hAnsi="宋体" w:eastAsia="宋体" w:cs="宋体"/>
          <w:i w:val="0"/>
          <w:caps w:val="0"/>
          <w:color w:val="auto"/>
          <w:spacing w:val="0"/>
          <w:sz w:val="24"/>
          <w:szCs w:val="24"/>
          <w:highlight w:val="none"/>
          <w:shd w:val="clear" w:fill="FFFFFF"/>
          <w:vertAlign w:val="baseline"/>
        </w:rPr>
        <w:t>月</w:t>
      </w:r>
      <w:r>
        <w:rPr>
          <w:rFonts w:hint="eastAsia" w:cs="宋体"/>
          <w:i w:val="0"/>
          <w:caps w:val="0"/>
          <w:color w:val="auto"/>
          <w:spacing w:val="0"/>
          <w:sz w:val="24"/>
          <w:szCs w:val="24"/>
          <w:highlight w:val="none"/>
          <w:shd w:val="clear" w:fill="FFFFFF"/>
          <w:vertAlign w:val="baseline"/>
          <w:lang w:val="en-US" w:eastAsia="zh-CN"/>
        </w:rPr>
        <w:t>26</w:t>
      </w:r>
      <w:r>
        <w:rPr>
          <w:rFonts w:hint="eastAsia" w:ascii="宋体" w:hAnsi="宋体" w:eastAsia="宋体" w:cs="宋体"/>
          <w:i w:val="0"/>
          <w:caps w:val="0"/>
          <w:color w:val="auto"/>
          <w:spacing w:val="0"/>
          <w:sz w:val="24"/>
          <w:szCs w:val="24"/>
          <w:highlight w:val="none"/>
          <w:shd w:val="clear" w:fill="FFFFFF"/>
          <w:vertAlign w:val="baseline"/>
        </w:rPr>
        <w:t>日，每天上午09:00:00至12:00:00，下午14:00:00至17:00:00（北京时间,法定节假日除外）</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地点：</w:t>
      </w:r>
      <w:r>
        <w:rPr>
          <w:rFonts w:hint="eastAsia" w:cs="宋体"/>
          <w:i w:val="0"/>
          <w:caps w:val="0"/>
          <w:color w:val="auto"/>
          <w:spacing w:val="0"/>
          <w:sz w:val="24"/>
          <w:szCs w:val="24"/>
          <w:highlight w:val="none"/>
          <w:shd w:val="clear" w:fill="FFFFFF"/>
          <w:vertAlign w:val="baseline"/>
          <w:lang w:eastAsia="zh-CN"/>
        </w:rPr>
        <w:t>西安市未央区明光路与北三环十字东北角中建财智广场5栋501室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方式：现场获取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售价：300元</w:t>
      </w:r>
      <w:bookmarkStart w:id="316" w:name="_GoBack"/>
      <w:bookmarkEnd w:id="316"/>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i w:val="0"/>
          <w:caps w:val="0"/>
          <w:color w:val="auto"/>
          <w:spacing w:val="0"/>
          <w:sz w:val="24"/>
          <w:szCs w:val="24"/>
          <w:highlight w:val="none"/>
          <w:shd w:val="clear" w:fill="FFFFFF"/>
          <w:vertAlign w:val="baseline"/>
        </w:rPr>
        <w:t>四、提交投标文件截止时间、开标时间和地点</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202</w:t>
      </w:r>
      <w:r>
        <w:rPr>
          <w:rFonts w:hint="eastAsia" w:cs="宋体"/>
          <w:i w:val="0"/>
          <w:caps w:val="0"/>
          <w:color w:val="auto"/>
          <w:spacing w:val="0"/>
          <w:sz w:val="24"/>
          <w:szCs w:val="24"/>
          <w:highlight w:val="none"/>
          <w:shd w:val="clear" w:fill="FFFFFF"/>
          <w:vertAlign w:val="baseline"/>
          <w:lang w:val="en-US" w:eastAsia="zh-CN"/>
        </w:rPr>
        <w:t>3</w:t>
      </w:r>
      <w:r>
        <w:rPr>
          <w:rFonts w:hint="eastAsia" w:ascii="宋体" w:hAnsi="宋体" w:eastAsia="宋体" w:cs="宋体"/>
          <w:i w:val="0"/>
          <w:caps w:val="0"/>
          <w:color w:val="auto"/>
          <w:spacing w:val="0"/>
          <w:sz w:val="24"/>
          <w:szCs w:val="24"/>
          <w:highlight w:val="none"/>
          <w:shd w:val="clear" w:fill="FFFFFF"/>
          <w:vertAlign w:val="baseline"/>
        </w:rPr>
        <w:t>年</w:t>
      </w:r>
      <w:r>
        <w:rPr>
          <w:rFonts w:hint="eastAsia" w:cs="宋体"/>
          <w:i w:val="0"/>
          <w:caps w:val="0"/>
          <w:color w:val="auto"/>
          <w:spacing w:val="0"/>
          <w:sz w:val="24"/>
          <w:szCs w:val="24"/>
          <w:highlight w:val="none"/>
          <w:shd w:val="clear" w:fill="FFFFFF"/>
          <w:vertAlign w:val="baseline"/>
          <w:lang w:val="en-US" w:eastAsia="zh-CN"/>
        </w:rPr>
        <w:t>05</w:t>
      </w:r>
      <w:r>
        <w:rPr>
          <w:rFonts w:hint="eastAsia" w:ascii="宋体" w:hAnsi="宋体" w:eastAsia="宋体" w:cs="宋体"/>
          <w:i w:val="0"/>
          <w:caps w:val="0"/>
          <w:color w:val="auto"/>
          <w:spacing w:val="0"/>
          <w:sz w:val="24"/>
          <w:szCs w:val="24"/>
          <w:highlight w:val="none"/>
          <w:shd w:val="clear" w:fill="FFFFFF"/>
          <w:vertAlign w:val="baseline"/>
        </w:rPr>
        <w:t>月</w:t>
      </w:r>
      <w:r>
        <w:rPr>
          <w:rFonts w:hint="eastAsia" w:cs="宋体"/>
          <w:i w:val="0"/>
          <w:caps w:val="0"/>
          <w:color w:val="auto"/>
          <w:spacing w:val="0"/>
          <w:sz w:val="24"/>
          <w:szCs w:val="24"/>
          <w:highlight w:val="none"/>
          <w:shd w:val="clear" w:fill="FFFFFF"/>
          <w:vertAlign w:val="baseline"/>
          <w:lang w:val="en-US" w:eastAsia="zh-CN"/>
        </w:rPr>
        <w:t>17</w:t>
      </w:r>
      <w:r>
        <w:rPr>
          <w:rFonts w:hint="eastAsia" w:ascii="宋体" w:hAnsi="宋体" w:eastAsia="宋体" w:cs="宋体"/>
          <w:i w:val="0"/>
          <w:caps w:val="0"/>
          <w:color w:val="auto"/>
          <w:spacing w:val="0"/>
          <w:sz w:val="24"/>
          <w:szCs w:val="24"/>
          <w:highlight w:val="none"/>
          <w:shd w:val="clear" w:fill="FFFFFF"/>
          <w:vertAlign w:val="baseline"/>
        </w:rPr>
        <w:t>日 09时30分00秒（北京时间）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shd w:val="clear" w:fill="FFFFFF"/>
          <w:vertAlign w:val="baseline"/>
        </w:rPr>
        <w:t>地点：西安市未央区明光路与北三环十字东北角中建财智广场5栋501室会议室纸质文件递交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bCs w:val="0"/>
          <w:i w:val="0"/>
          <w:caps w:val="0"/>
          <w:color w:val="auto"/>
          <w:spacing w:val="0"/>
          <w:sz w:val="24"/>
          <w:szCs w:val="24"/>
          <w:highlight w:val="none"/>
          <w:shd w:val="clear" w:fill="FFFFFF"/>
          <w:vertAlign w:val="baseline"/>
        </w:rPr>
        <w:t>五、公告期限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自本公告发布之日起5个工作日。</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i w:val="0"/>
          <w:caps w:val="0"/>
          <w:color w:val="auto"/>
          <w:spacing w:val="0"/>
          <w:sz w:val="24"/>
          <w:szCs w:val="24"/>
          <w:highlight w:val="none"/>
          <w:shd w:val="clear" w:fill="FFFFFF"/>
          <w:vertAlign w:val="baseline"/>
        </w:rPr>
        <w:t>六、其他补充事宜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lang w:eastAsia="zh-CN"/>
        </w:rPr>
      </w:pPr>
      <w:r>
        <w:rPr>
          <w:rFonts w:hint="eastAsia" w:ascii="宋体" w:hAnsi="宋体" w:eastAsia="宋体" w:cs="宋体"/>
          <w:i w:val="0"/>
          <w:caps w:val="0"/>
          <w:color w:val="auto"/>
          <w:spacing w:val="0"/>
          <w:sz w:val="24"/>
          <w:szCs w:val="24"/>
          <w:highlight w:val="none"/>
          <w:shd w:val="clear" w:fill="FFFFFF"/>
          <w:vertAlign w:val="baseline"/>
        </w:rPr>
        <w:t>本项目开标地点：</w:t>
      </w:r>
      <w:r>
        <w:rPr>
          <w:rFonts w:hint="eastAsia" w:cs="宋体"/>
          <w:i w:val="0"/>
          <w:caps w:val="0"/>
          <w:color w:val="auto"/>
          <w:spacing w:val="0"/>
          <w:sz w:val="24"/>
          <w:szCs w:val="24"/>
          <w:highlight w:val="none"/>
          <w:shd w:val="clear" w:fill="FFFFFF"/>
          <w:vertAlign w:val="baseline"/>
          <w:lang w:eastAsia="zh-CN"/>
        </w:rPr>
        <w:t>西安市未央区明光路与北三环十字东北角中建财智广场5栋501室</w:t>
      </w:r>
    </w:p>
    <w:p>
      <w:pPr>
        <w:widowControl/>
        <w:spacing w:line="360" w:lineRule="auto"/>
        <w:ind w:firstLine="480" w:firstLineChars="200"/>
        <w:jc w:val="left"/>
        <w:rPr>
          <w:rFonts w:hint="eastAsia" w:ascii="宋体" w:hAnsi="宋体" w:eastAsia="宋体" w:cs="宋体"/>
          <w:i w:val="0"/>
          <w:caps w:val="0"/>
          <w:color w:val="auto"/>
          <w:spacing w:val="0"/>
          <w:sz w:val="24"/>
          <w:szCs w:val="24"/>
          <w:highlight w:val="none"/>
          <w:shd w:val="clear" w:fill="FFFFFF"/>
          <w:vertAlign w:val="baseline"/>
          <w:lang w:val="en-US" w:eastAsia="zh-CN" w:bidi="ar-SA"/>
        </w:rPr>
      </w:pPr>
      <w:r>
        <w:rPr>
          <w:rFonts w:hint="eastAsia" w:ascii="宋体" w:hAnsi="宋体" w:eastAsia="宋体" w:cs="宋体"/>
          <w:i w:val="0"/>
          <w:caps w:val="0"/>
          <w:color w:val="auto"/>
          <w:spacing w:val="0"/>
          <w:sz w:val="24"/>
          <w:szCs w:val="24"/>
          <w:highlight w:val="none"/>
          <w:shd w:val="clear" w:fill="FFFFFF"/>
          <w:vertAlign w:val="baseline"/>
          <w:lang w:val="en-US" w:eastAsia="zh-CN" w:bidi="ar-SA"/>
        </w:rPr>
        <w:t>1.请投标人按照陕西省财政厅关于政府采购供应商注册登记有关事项的通知中的要求，通过陕西省政府采购网（http://www.ccgp-shaanxi.gov.cn/）注册登记加入陕西省政府采购供应商库。</w:t>
      </w:r>
    </w:p>
    <w:p>
      <w:pPr>
        <w:widowControl/>
        <w:spacing w:line="360" w:lineRule="auto"/>
        <w:ind w:firstLine="480" w:firstLineChars="200"/>
        <w:jc w:val="left"/>
        <w:rPr>
          <w:rFonts w:hint="eastAsia" w:ascii="宋体" w:hAnsi="宋体" w:eastAsia="宋体" w:cs="宋体"/>
          <w:i w:val="0"/>
          <w:caps w:val="0"/>
          <w:color w:val="auto"/>
          <w:spacing w:val="0"/>
          <w:sz w:val="24"/>
          <w:szCs w:val="24"/>
          <w:highlight w:val="none"/>
          <w:shd w:val="clear" w:fill="FFFFFF"/>
          <w:vertAlign w:val="baseline"/>
          <w:lang w:val="en-US" w:eastAsia="zh-CN" w:bidi="ar-SA"/>
        </w:rPr>
      </w:pPr>
      <w:r>
        <w:rPr>
          <w:rFonts w:hint="eastAsia" w:ascii="宋体" w:hAnsi="宋体" w:eastAsia="宋体" w:cs="宋体"/>
          <w:i w:val="0"/>
          <w:caps w:val="0"/>
          <w:color w:val="auto"/>
          <w:spacing w:val="0"/>
          <w:sz w:val="24"/>
          <w:szCs w:val="24"/>
          <w:highlight w:val="none"/>
          <w:shd w:val="clear" w:fill="FFFFFF"/>
          <w:vertAlign w:val="baseline"/>
          <w:lang w:val="en-US" w:eastAsia="zh-CN" w:bidi="ar-SA"/>
        </w:rPr>
        <w:t>2.凡有意参与本项目的投标人请持单位介绍信、经办人身份证原件及加盖单位公章的复印件一套，到文件发售地点现金购买招标文件，售价：每包300元（人民币），售后不退。</w:t>
      </w:r>
    </w:p>
    <w:p>
      <w:pPr>
        <w:widowControl/>
        <w:spacing w:line="360" w:lineRule="auto"/>
        <w:ind w:firstLine="480" w:firstLineChars="200"/>
        <w:jc w:val="left"/>
        <w:rPr>
          <w:rFonts w:hint="eastAsia" w:ascii="宋体" w:hAnsi="宋体" w:eastAsia="宋体" w:cs="宋体"/>
          <w:i w:val="0"/>
          <w:caps w:val="0"/>
          <w:color w:val="auto"/>
          <w:spacing w:val="0"/>
          <w:sz w:val="24"/>
          <w:szCs w:val="24"/>
          <w:highlight w:val="none"/>
          <w:shd w:val="clear" w:fill="FFFFFF"/>
          <w:vertAlign w:val="baseline"/>
          <w:lang w:val="en-US" w:eastAsia="zh-CN" w:bidi="ar-SA"/>
        </w:rPr>
      </w:pPr>
      <w:r>
        <w:rPr>
          <w:rFonts w:hint="eastAsia" w:ascii="宋体" w:hAnsi="宋体" w:eastAsia="宋体" w:cs="宋体"/>
          <w:i w:val="0"/>
          <w:caps w:val="0"/>
          <w:color w:val="auto"/>
          <w:spacing w:val="0"/>
          <w:sz w:val="24"/>
          <w:szCs w:val="24"/>
          <w:highlight w:val="none"/>
          <w:shd w:val="clear" w:fill="FFFFFF"/>
          <w:vertAlign w:val="baseline"/>
          <w:lang w:val="en-US" w:eastAsia="zh-CN" w:bidi="ar-SA"/>
        </w:rPr>
        <w:t>3.本项目采购活动执行下列政府采购政策（具体办法详见招标文件）：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（1）《财政部 国家发展改革委关于印发〈节能产品政府采购实施意见〉的通知》（财库〔2004〕185号）；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（2）《国务院办公厅关于建立政府强制采购节能产品制度的通知》（国办发〔2007〕51号）；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（3）《财政部环保总局关于环境标志产品政府采购实施的意见》（财库〔2006〕90号）；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（4）《财政部 司法部关于政府采购支持监狱企业发展有关问题的通知》（财库〔2014〕68号）；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（5）《三部门联合发布关于促进残疾人就业政府采购政策的通知》（财库〔2017〕141号）；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（6）《财政部 发展改革委 生态环境部 市场监管总局关于调整优化节能产品、环境标志产品政府采购执行机制的通知》（财库〔2019〕9号）；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（7）《关于运用政府采购政策支持乡村产业振兴的通知》（财库〔2021〕19号）；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（8）《政府采购促进中小企业发展管理办法》（财库〔2020〕46号）；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（9）《陕西省中小企业政府采购信用融资办法》（陕财办采〔2018〕23号）相关政策、业务流程、办理平台（http://www.ccgp-shaanxi.gov.cn/zcdservice/zcd/shanxi/）；</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（10）陕西省财政厅《关于进一步加强政府绿色采购有关问题的通知》陕财办采〔2021〕29号；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Style w:val="22"/>
          <w:rFonts w:hint="eastAsia" w:ascii="宋体" w:hAnsi="宋体" w:eastAsia="宋体" w:cs="宋体"/>
          <w:b/>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lang w:val="en-US" w:eastAsia="zh-CN"/>
        </w:rPr>
        <w:t>（11）《关于进一步加大政府采购支持中小企业力度的通知》（财库〔2022〕19号）。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b w:val="0"/>
          <w:i w:val="0"/>
          <w:caps w:val="0"/>
          <w:color w:val="auto"/>
          <w:spacing w:val="0"/>
          <w:sz w:val="24"/>
          <w:szCs w:val="24"/>
          <w:highlight w:val="none"/>
        </w:rPr>
      </w:pPr>
      <w:r>
        <w:rPr>
          <w:rStyle w:val="22"/>
          <w:rFonts w:hint="eastAsia" w:ascii="宋体" w:hAnsi="宋体" w:eastAsia="宋体" w:cs="宋体"/>
          <w:b/>
          <w:i w:val="0"/>
          <w:caps w:val="0"/>
          <w:color w:val="auto"/>
          <w:spacing w:val="0"/>
          <w:sz w:val="24"/>
          <w:szCs w:val="24"/>
          <w:highlight w:val="none"/>
          <w:shd w:val="clear" w:fill="FFFFFF"/>
          <w:vertAlign w:val="baseline"/>
        </w:rPr>
        <w:t>七、对本次招标提出询问，请按以下方式联系。</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lang w:eastAsia="zh-CN"/>
        </w:rPr>
      </w:pPr>
      <w:r>
        <w:rPr>
          <w:rFonts w:hint="eastAsia" w:ascii="宋体" w:hAnsi="宋体" w:eastAsia="宋体" w:cs="宋体"/>
          <w:i w:val="0"/>
          <w:caps w:val="0"/>
          <w:color w:val="auto"/>
          <w:spacing w:val="0"/>
          <w:sz w:val="24"/>
          <w:szCs w:val="24"/>
          <w:highlight w:val="none"/>
          <w:shd w:val="clear" w:fill="FFFFFF"/>
          <w:vertAlign w:val="baseline"/>
        </w:rPr>
        <w:t>名称：</w:t>
      </w:r>
      <w:r>
        <w:rPr>
          <w:rFonts w:hint="eastAsia" w:ascii="宋体" w:hAnsi="宋体" w:eastAsia="宋体" w:cs="宋体"/>
          <w:i w:val="0"/>
          <w:caps w:val="0"/>
          <w:color w:val="auto"/>
          <w:spacing w:val="0"/>
          <w:sz w:val="24"/>
          <w:szCs w:val="24"/>
          <w:highlight w:val="none"/>
          <w:shd w:val="clear" w:fill="FFFFFF"/>
          <w:vertAlign w:val="baseline"/>
          <w:lang w:val="en-US" w:eastAsia="zh-CN"/>
        </w:rPr>
        <w:t>陕西省华山监狱</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lang w:eastAsia="zh-CN"/>
        </w:rPr>
      </w:pPr>
      <w:r>
        <w:rPr>
          <w:rFonts w:hint="eastAsia" w:ascii="宋体" w:hAnsi="宋体" w:eastAsia="宋体" w:cs="宋体"/>
          <w:i w:val="0"/>
          <w:caps w:val="0"/>
          <w:color w:val="auto"/>
          <w:spacing w:val="0"/>
          <w:sz w:val="24"/>
          <w:szCs w:val="24"/>
          <w:highlight w:val="none"/>
          <w:shd w:val="clear" w:fill="FFFFFF"/>
          <w:vertAlign w:val="baseline"/>
        </w:rPr>
        <w:t>地址：</w:t>
      </w:r>
      <w:r>
        <w:rPr>
          <w:rFonts w:hint="eastAsia" w:ascii="宋体" w:hAnsi="宋体" w:eastAsia="宋体" w:cs="宋体"/>
          <w:i w:val="0"/>
          <w:caps w:val="0"/>
          <w:color w:val="auto"/>
          <w:spacing w:val="0"/>
          <w:sz w:val="24"/>
          <w:szCs w:val="24"/>
          <w:highlight w:val="none"/>
          <w:shd w:val="clear" w:fill="FFFFFF"/>
          <w:vertAlign w:val="baseline"/>
          <w:lang w:val="en-US" w:eastAsia="zh-CN"/>
        </w:rPr>
        <w:t>陕西省渭南市华州区莲花寺镇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lang w:eastAsia="zh-CN"/>
        </w:rPr>
      </w:pPr>
      <w:r>
        <w:rPr>
          <w:rFonts w:hint="eastAsia" w:ascii="宋体" w:hAnsi="宋体" w:eastAsia="宋体" w:cs="宋体"/>
          <w:i w:val="0"/>
          <w:caps w:val="0"/>
          <w:color w:val="auto"/>
          <w:spacing w:val="0"/>
          <w:sz w:val="24"/>
          <w:szCs w:val="24"/>
          <w:highlight w:val="none"/>
          <w:shd w:val="clear" w:fill="FFFFFF"/>
          <w:vertAlign w:val="baseline"/>
        </w:rPr>
        <w:t>联系方式：</w:t>
      </w:r>
      <w:r>
        <w:rPr>
          <w:rFonts w:hint="eastAsia" w:ascii="宋体" w:hAnsi="宋体" w:eastAsia="宋体" w:cs="宋体"/>
          <w:i w:val="0"/>
          <w:caps w:val="0"/>
          <w:color w:val="auto"/>
          <w:spacing w:val="0"/>
          <w:sz w:val="24"/>
          <w:szCs w:val="24"/>
          <w:highlight w:val="none"/>
          <w:shd w:val="clear" w:fill="FFFFFF"/>
          <w:vertAlign w:val="baseline"/>
          <w:lang w:val="en-US" w:eastAsia="zh-CN"/>
        </w:rPr>
        <w:t>0913-4817137</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lang w:eastAsia="zh-CN"/>
        </w:rPr>
      </w:pPr>
      <w:r>
        <w:rPr>
          <w:rFonts w:hint="eastAsia" w:ascii="宋体" w:hAnsi="宋体" w:eastAsia="宋体" w:cs="宋体"/>
          <w:i w:val="0"/>
          <w:caps w:val="0"/>
          <w:color w:val="auto"/>
          <w:spacing w:val="0"/>
          <w:sz w:val="24"/>
          <w:szCs w:val="24"/>
          <w:highlight w:val="none"/>
          <w:shd w:val="clear" w:fill="FFFFFF"/>
          <w:vertAlign w:val="baseline"/>
        </w:rPr>
        <w:t>名称：</w:t>
      </w:r>
      <w:r>
        <w:rPr>
          <w:rFonts w:hint="eastAsia" w:cs="宋体"/>
          <w:i w:val="0"/>
          <w:caps w:val="0"/>
          <w:color w:val="auto"/>
          <w:spacing w:val="0"/>
          <w:sz w:val="24"/>
          <w:szCs w:val="24"/>
          <w:highlight w:val="none"/>
          <w:shd w:val="clear" w:fill="FFFFFF"/>
          <w:vertAlign w:val="baseline"/>
          <w:lang w:eastAsia="zh-CN"/>
        </w:rPr>
        <w:t>腾德工程咨询有限公司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地址：西安市未央区明光路与北三环十字东北角中建财智广场5栋501室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default" w:ascii="宋体" w:hAnsi="宋体" w:eastAsia="宋体" w:cs="宋体"/>
          <w:i w:val="0"/>
          <w:caps w:val="0"/>
          <w:color w:val="auto"/>
          <w:spacing w:val="0"/>
          <w:sz w:val="24"/>
          <w:szCs w:val="24"/>
          <w:highlight w:val="none"/>
          <w:shd w:val="clear" w:fill="FFFFFF"/>
          <w:vertAlign w:val="baseline"/>
          <w:lang w:val="en-US" w:eastAsia="zh-CN"/>
        </w:rPr>
      </w:pPr>
      <w:r>
        <w:rPr>
          <w:rFonts w:hint="eastAsia" w:ascii="宋体" w:hAnsi="宋体" w:eastAsia="宋体" w:cs="宋体"/>
          <w:i w:val="0"/>
          <w:caps w:val="0"/>
          <w:color w:val="auto"/>
          <w:spacing w:val="0"/>
          <w:sz w:val="24"/>
          <w:szCs w:val="24"/>
          <w:highlight w:val="none"/>
          <w:shd w:val="clear" w:fill="FFFFFF"/>
          <w:vertAlign w:val="baseline"/>
        </w:rPr>
        <w:t>联系方式：</w:t>
      </w:r>
      <w:r>
        <w:rPr>
          <w:rFonts w:hint="eastAsia" w:cs="宋体"/>
          <w:i w:val="0"/>
          <w:caps w:val="0"/>
          <w:color w:val="auto"/>
          <w:spacing w:val="0"/>
          <w:sz w:val="24"/>
          <w:szCs w:val="24"/>
          <w:highlight w:val="none"/>
          <w:shd w:val="clear" w:fill="FFFFFF"/>
          <w:vertAlign w:val="baseline"/>
          <w:lang w:val="en-US" w:eastAsia="zh-CN"/>
        </w:rPr>
        <w:t>18729107315</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lang w:eastAsia="zh-CN"/>
        </w:rPr>
      </w:pPr>
      <w:r>
        <w:rPr>
          <w:rFonts w:hint="eastAsia" w:ascii="宋体" w:hAnsi="宋体" w:eastAsia="宋体" w:cs="宋体"/>
          <w:i w:val="0"/>
          <w:caps w:val="0"/>
          <w:color w:val="auto"/>
          <w:spacing w:val="0"/>
          <w:sz w:val="24"/>
          <w:szCs w:val="24"/>
          <w:highlight w:val="none"/>
          <w:shd w:val="clear" w:fill="FFFFFF"/>
          <w:vertAlign w:val="baseline"/>
        </w:rPr>
        <w:t>项目联系人：</w:t>
      </w:r>
      <w:r>
        <w:rPr>
          <w:rFonts w:hint="eastAsia" w:cs="宋体"/>
          <w:i w:val="0"/>
          <w:caps w:val="0"/>
          <w:color w:val="auto"/>
          <w:spacing w:val="0"/>
          <w:sz w:val="24"/>
          <w:szCs w:val="24"/>
          <w:highlight w:val="none"/>
          <w:shd w:val="clear" w:fill="FFFFFF"/>
          <w:vertAlign w:val="baseline"/>
          <w:lang w:eastAsia="zh-CN"/>
        </w:rPr>
        <w:t>申工、宁工</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textAlignment w:val="baseline"/>
        <w:rPr>
          <w:rFonts w:hint="eastAsia" w:ascii="宋体" w:hAnsi="宋体" w:eastAsia="宋体" w:cs="宋体"/>
          <w:i w:val="0"/>
          <w:caps w:val="0"/>
          <w:color w:val="auto"/>
          <w:spacing w:val="0"/>
          <w:sz w:val="24"/>
          <w:szCs w:val="24"/>
          <w:highlight w:val="none"/>
          <w:shd w:val="clear" w:fill="FFFFFF"/>
          <w:vertAlign w:val="baseline"/>
        </w:rPr>
      </w:pPr>
      <w:r>
        <w:rPr>
          <w:rFonts w:hint="eastAsia" w:ascii="宋体" w:hAnsi="宋体" w:eastAsia="宋体" w:cs="宋体"/>
          <w:i w:val="0"/>
          <w:caps w:val="0"/>
          <w:color w:val="auto"/>
          <w:spacing w:val="0"/>
          <w:sz w:val="24"/>
          <w:szCs w:val="24"/>
          <w:highlight w:val="none"/>
          <w:shd w:val="clear" w:fill="FFFFFF"/>
          <w:vertAlign w:val="baseline"/>
        </w:rPr>
        <w:t>电话：</w:t>
      </w:r>
      <w:r>
        <w:rPr>
          <w:rFonts w:hint="eastAsia" w:ascii="宋体" w:hAnsi="宋体" w:eastAsia="宋体" w:cs="宋体"/>
          <w:i w:val="0"/>
          <w:caps w:val="0"/>
          <w:color w:val="auto"/>
          <w:spacing w:val="0"/>
          <w:sz w:val="24"/>
          <w:szCs w:val="24"/>
          <w:highlight w:val="none"/>
          <w:shd w:val="clear" w:fill="FFFFFF"/>
          <w:vertAlign w:val="baseline"/>
          <w:lang w:val="en-US" w:eastAsia="zh-CN"/>
        </w:rPr>
        <w:t>18729107315</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right="0" w:firstLine="480"/>
        <w:jc w:val="right"/>
        <w:textAlignment w:val="baseline"/>
        <w:rPr>
          <w:rFonts w:hint="eastAsia" w:ascii="宋体" w:hAnsi="宋体" w:eastAsia="宋体" w:cs="宋体"/>
          <w:i w:val="0"/>
          <w:caps w:val="0"/>
          <w:color w:val="333333"/>
          <w:spacing w:val="0"/>
          <w:sz w:val="24"/>
          <w:szCs w:val="24"/>
          <w:highlight w:val="none"/>
        </w:rPr>
      </w:pPr>
    </w:p>
    <w:p>
      <w:pPr>
        <w:pStyle w:val="18"/>
        <w:spacing w:before="0" w:beforeAutospacing="0" w:after="0" w:afterAutospacing="0" w:line="510" w:lineRule="atLeast"/>
        <w:ind w:firstLine="420"/>
        <w:rPr>
          <w:highlight w:val="none"/>
        </w:rPr>
      </w:pPr>
    </w:p>
    <w:p>
      <w:pPr>
        <w:spacing w:line="500" w:lineRule="exact"/>
        <w:jc w:val="center"/>
        <w:rPr>
          <w:rFonts w:hAnsi="宋体" w:cs="宋体"/>
          <w:highlight w:val="none"/>
        </w:rPr>
      </w:pPr>
    </w:p>
    <w:p>
      <w:pPr>
        <w:rPr>
          <w:rFonts w:hAnsi="宋体" w:cs="宋体"/>
          <w:highlight w:val="none"/>
        </w:rPr>
      </w:pPr>
      <w:r>
        <w:rPr>
          <w:rFonts w:hAnsi="宋体" w:cs="宋体"/>
          <w:highlight w:val="none"/>
        </w:rPr>
        <w:br w:type="page"/>
      </w:r>
    </w:p>
    <w:p>
      <w:pPr>
        <w:pStyle w:val="3"/>
        <w:spacing w:before="0" w:beforeLines="0" w:line="360" w:lineRule="auto"/>
        <w:ind w:left="0"/>
        <w:rPr>
          <w:highlight w:val="none"/>
        </w:rPr>
      </w:pPr>
      <w:bookmarkStart w:id="13" w:name="_Toc2929"/>
      <w:bookmarkStart w:id="14" w:name="_Toc389582035"/>
      <w:bookmarkStart w:id="15" w:name="_Toc7096"/>
      <w:bookmarkStart w:id="16" w:name="_Toc426457692"/>
      <w:bookmarkStart w:id="17" w:name="_Toc18964"/>
      <w:bookmarkStart w:id="18" w:name="_Toc30304"/>
      <w:r>
        <w:rPr>
          <w:rFonts w:hint="eastAsia"/>
          <w:highlight w:val="none"/>
        </w:rPr>
        <w:t xml:space="preserve">第二章  </w:t>
      </w:r>
      <w:bookmarkEnd w:id="13"/>
      <w:bookmarkEnd w:id="14"/>
      <w:r>
        <w:rPr>
          <w:rFonts w:hint="eastAsia"/>
          <w:highlight w:val="none"/>
        </w:rPr>
        <w:t>投标人须知</w:t>
      </w:r>
      <w:bookmarkEnd w:id="15"/>
      <w:bookmarkEnd w:id="16"/>
    </w:p>
    <w:bookmarkEnd w:id="17"/>
    <w:bookmarkEnd w:id="18"/>
    <w:p>
      <w:pPr>
        <w:pStyle w:val="4"/>
        <w:spacing w:before="0" w:after="0" w:line="360" w:lineRule="auto"/>
        <w:ind w:left="0"/>
        <w:rPr>
          <w:highlight w:val="none"/>
        </w:rPr>
      </w:pPr>
      <w:bookmarkStart w:id="19" w:name="_Toc13421"/>
      <w:bookmarkStart w:id="20" w:name="_Toc23108"/>
      <w:bookmarkStart w:id="21" w:name="_Toc30222"/>
      <w:bookmarkStart w:id="22" w:name="_Toc426457693"/>
      <w:bookmarkStart w:id="23" w:name="_Toc11975"/>
      <w:bookmarkStart w:id="24" w:name="_Toc7400"/>
      <w:r>
        <w:rPr>
          <w:rFonts w:hint="eastAsia"/>
          <w:highlight w:val="none"/>
        </w:rPr>
        <w:t>投标人须知前附表</w:t>
      </w:r>
      <w:bookmarkEnd w:id="19"/>
      <w:bookmarkEnd w:id="20"/>
      <w:bookmarkEnd w:id="21"/>
      <w:bookmarkEnd w:id="22"/>
      <w:bookmarkEnd w:id="23"/>
      <w:bookmarkEnd w:id="24"/>
    </w:p>
    <w:tbl>
      <w:tblPr>
        <w:tblStyle w:val="19"/>
        <w:tblW w:w="934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0"/>
        <w:gridCol w:w="1619"/>
        <w:gridCol w:w="68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0" w:hRule="atLeast"/>
          <w:tblHeader/>
          <w:jc w:val="center"/>
        </w:trPr>
        <w:tc>
          <w:tcPr>
            <w:tcW w:w="840" w:type="dxa"/>
            <w:vAlign w:val="center"/>
          </w:tcPr>
          <w:p>
            <w:pPr>
              <w:pStyle w:val="29"/>
              <w:spacing w:line="360" w:lineRule="auto"/>
              <w:rPr>
                <w:b/>
                <w:bCs/>
                <w:highlight w:val="none"/>
              </w:rPr>
            </w:pPr>
            <w:r>
              <w:rPr>
                <w:rFonts w:hint="eastAsia"/>
                <w:b/>
                <w:bCs/>
                <w:highlight w:val="none"/>
              </w:rPr>
              <w:t>条款号</w:t>
            </w:r>
          </w:p>
        </w:tc>
        <w:tc>
          <w:tcPr>
            <w:tcW w:w="1619" w:type="dxa"/>
            <w:vAlign w:val="center"/>
          </w:tcPr>
          <w:p>
            <w:pPr>
              <w:pStyle w:val="29"/>
              <w:spacing w:line="360" w:lineRule="auto"/>
              <w:rPr>
                <w:b/>
                <w:bCs/>
                <w:highlight w:val="none"/>
              </w:rPr>
            </w:pPr>
            <w:r>
              <w:rPr>
                <w:rFonts w:hint="eastAsia"/>
                <w:b/>
                <w:bCs/>
                <w:highlight w:val="none"/>
              </w:rPr>
              <w:t>条款内容</w:t>
            </w:r>
          </w:p>
        </w:tc>
        <w:tc>
          <w:tcPr>
            <w:tcW w:w="6884" w:type="dxa"/>
            <w:vAlign w:val="center"/>
          </w:tcPr>
          <w:p>
            <w:pPr>
              <w:pStyle w:val="29"/>
              <w:spacing w:line="360" w:lineRule="auto"/>
              <w:rPr>
                <w:b/>
                <w:bCs/>
                <w:highlight w:val="none"/>
              </w:rPr>
            </w:pPr>
            <w:r>
              <w:rPr>
                <w:rFonts w:hint="eastAsia"/>
                <w:b/>
                <w:bCs/>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rPr>
              <w:t>2</w:t>
            </w:r>
            <w:r>
              <w:rPr>
                <w:rFonts w:hint="eastAsia"/>
                <w:highlight w:val="none"/>
                <w:lang w:val="en-US" w:eastAsia="zh-CN"/>
              </w:rPr>
              <w:t>.1</w:t>
            </w:r>
          </w:p>
        </w:tc>
        <w:tc>
          <w:tcPr>
            <w:tcW w:w="1619" w:type="dxa"/>
            <w:vAlign w:val="center"/>
          </w:tcPr>
          <w:p>
            <w:pPr>
              <w:pStyle w:val="29"/>
              <w:spacing w:line="360" w:lineRule="auto"/>
              <w:rPr>
                <w:rFonts w:hint="eastAsia" w:eastAsia="宋体"/>
                <w:highlight w:val="none"/>
                <w:lang w:eastAsia="zh-CN"/>
              </w:rPr>
            </w:pPr>
            <w:r>
              <w:rPr>
                <w:rFonts w:hint="eastAsia"/>
                <w:highlight w:val="none"/>
                <w:lang w:eastAsia="zh-CN"/>
              </w:rPr>
              <w:t>采购人</w:t>
            </w:r>
          </w:p>
        </w:tc>
        <w:tc>
          <w:tcPr>
            <w:tcW w:w="6884" w:type="dxa"/>
          </w:tcPr>
          <w:p>
            <w:pPr>
              <w:pStyle w:val="29"/>
              <w:spacing w:line="360" w:lineRule="auto"/>
              <w:jc w:val="left"/>
              <w:rPr>
                <w:rFonts w:hint="eastAsia" w:eastAsia="宋体"/>
                <w:highlight w:val="none"/>
                <w:lang w:eastAsia="zh-CN"/>
              </w:rPr>
            </w:pPr>
            <w:r>
              <w:rPr>
                <w:rFonts w:hint="eastAsia"/>
                <w:highlight w:val="none"/>
              </w:rPr>
              <w:t>名称：</w:t>
            </w:r>
            <w:r>
              <w:rPr>
                <w:rFonts w:hint="eastAsia"/>
                <w:highlight w:val="none"/>
                <w:lang w:eastAsia="zh-CN"/>
              </w:rPr>
              <w:t>陕西省华山监狱</w:t>
            </w:r>
          </w:p>
          <w:p>
            <w:pPr>
              <w:pStyle w:val="29"/>
              <w:spacing w:line="360" w:lineRule="auto"/>
              <w:jc w:val="left"/>
              <w:rPr>
                <w:rFonts w:hint="eastAsia" w:eastAsia="宋体"/>
                <w:highlight w:val="none"/>
                <w:lang w:eastAsia="zh-CN"/>
              </w:rPr>
            </w:pPr>
            <w:r>
              <w:rPr>
                <w:rFonts w:hint="eastAsia"/>
                <w:highlight w:val="none"/>
              </w:rPr>
              <w:t>地址：</w:t>
            </w:r>
            <w:r>
              <w:rPr>
                <w:rFonts w:hint="eastAsia"/>
                <w:highlight w:val="none"/>
                <w:lang w:val="en-US" w:eastAsia="zh-CN"/>
              </w:rPr>
              <w:t>陕西省渭南市华州区莲花寺镇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2.2</w:t>
            </w:r>
          </w:p>
        </w:tc>
        <w:tc>
          <w:tcPr>
            <w:tcW w:w="1619" w:type="dxa"/>
            <w:vAlign w:val="center"/>
          </w:tcPr>
          <w:p>
            <w:pPr>
              <w:pStyle w:val="29"/>
              <w:spacing w:line="360" w:lineRule="auto"/>
              <w:rPr>
                <w:rFonts w:hint="eastAsia" w:eastAsia="宋体"/>
                <w:highlight w:val="none"/>
                <w:lang w:eastAsia="zh-CN"/>
              </w:rPr>
            </w:pPr>
            <w:r>
              <w:rPr>
                <w:rFonts w:hint="eastAsia"/>
                <w:highlight w:val="none"/>
                <w:lang w:eastAsia="zh-CN"/>
              </w:rPr>
              <w:t>采购代理机构</w:t>
            </w:r>
          </w:p>
        </w:tc>
        <w:tc>
          <w:tcPr>
            <w:tcW w:w="6884" w:type="dxa"/>
          </w:tcPr>
          <w:p>
            <w:pPr>
              <w:pStyle w:val="29"/>
              <w:spacing w:line="360" w:lineRule="auto"/>
              <w:jc w:val="left"/>
              <w:rPr>
                <w:rFonts w:hint="eastAsia" w:eastAsia="宋体"/>
                <w:highlight w:val="none"/>
                <w:lang w:eastAsia="zh-CN"/>
              </w:rPr>
            </w:pPr>
            <w:r>
              <w:rPr>
                <w:rFonts w:hint="eastAsia"/>
                <w:highlight w:val="none"/>
              </w:rPr>
              <w:t>名称：</w:t>
            </w:r>
            <w:r>
              <w:rPr>
                <w:rFonts w:hint="eastAsia"/>
                <w:highlight w:val="none"/>
                <w:lang w:eastAsia="zh-CN"/>
              </w:rPr>
              <w:t>腾德工程咨询有限公司</w:t>
            </w:r>
          </w:p>
          <w:p>
            <w:pPr>
              <w:pStyle w:val="29"/>
              <w:spacing w:line="360" w:lineRule="auto"/>
              <w:jc w:val="left"/>
              <w:rPr>
                <w:rFonts w:hint="eastAsia" w:eastAsia="宋体"/>
                <w:highlight w:val="none"/>
                <w:lang w:eastAsia="zh-CN"/>
              </w:rPr>
            </w:pPr>
            <w:r>
              <w:rPr>
                <w:rFonts w:hint="eastAsia"/>
                <w:highlight w:val="none"/>
              </w:rPr>
              <w:t>地址：</w:t>
            </w:r>
            <w:r>
              <w:rPr>
                <w:rFonts w:hint="eastAsia"/>
                <w:highlight w:val="none"/>
                <w:lang w:eastAsia="zh-CN"/>
              </w:rPr>
              <w:t>西安市未央区明光路与北三环十字东北角中建财智广场5栋501室</w:t>
            </w:r>
          </w:p>
          <w:p>
            <w:pPr>
              <w:pStyle w:val="29"/>
              <w:spacing w:line="360" w:lineRule="auto"/>
              <w:jc w:val="left"/>
              <w:rPr>
                <w:rFonts w:hint="eastAsia" w:eastAsia="宋体"/>
                <w:highlight w:val="none"/>
                <w:lang w:eastAsia="zh-CN"/>
              </w:rPr>
            </w:pPr>
            <w:r>
              <w:rPr>
                <w:rFonts w:hint="eastAsia"/>
                <w:highlight w:val="none"/>
              </w:rPr>
              <w:t>联系人：</w:t>
            </w:r>
            <w:r>
              <w:rPr>
                <w:rFonts w:hint="eastAsia" w:cs="宋体"/>
                <w:i w:val="0"/>
                <w:caps w:val="0"/>
                <w:color w:val="333333"/>
                <w:spacing w:val="0"/>
                <w:sz w:val="24"/>
                <w:szCs w:val="24"/>
                <w:highlight w:val="none"/>
                <w:shd w:val="clear" w:fill="FFFFFF"/>
                <w:vertAlign w:val="baseline"/>
                <w:lang w:eastAsia="zh-CN"/>
              </w:rPr>
              <w:t>申工、宁工</w:t>
            </w:r>
          </w:p>
          <w:p>
            <w:pPr>
              <w:pStyle w:val="29"/>
              <w:spacing w:line="360" w:lineRule="auto"/>
              <w:jc w:val="left"/>
              <w:rPr>
                <w:rFonts w:hint="eastAsia" w:eastAsia="宋体"/>
                <w:highlight w:val="none"/>
                <w:lang w:eastAsia="zh-CN"/>
              </w:rPr>
            </w:pPr>
            <w:r>
              <w:rPr>
                <w:rFonts w:hint="eastAsia"/>
                <w:highlight w:val="none"/>
              </w:rPr>
              <w:t>联系方式：</w:t>
            </w:r>
            <w:r>
              <w:rPr>
                <w:rFonts w:hint="eastAsia"/>
                <w:highlight w:val="none"/>
                <w:lang w:val="en-US" w:eastAsia="zh-CN"/>
              </w:rPr>
              <w:t>18729107315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29"/>
              <w:spacing w:line="360" w:lineRule="auto"/>
              <w:rPr>
                <w:rFonts w:hint="default"/>
                <w:highlight w:val="none"/>
                <w:lang w:val="en-US" w:eastAsia="zh-CN"/>
              </w:rPr>
            </w:pPr>
            <w:r>
              <w:rPr>
                <w:rFonts w:hint="eastAsia"/>
                <w:highlight w:val="none"/>
                <w:lang w:val="en-US" w:eastAsia="zh-CN"/>
              </w:rPr>
              <w:t>2.3</w:t>
            </w:r>
          </w:p>
        </w:tc>
        <w:tc>
          <w:tcPr>
            <w:tcW w:w="1619" w:type="dxa"/>
            <w:vAlign w:val="center"/>
          </w:tcPr>
          <w:p>
            <w:pPr>
              <w:pStyle w:val="29"/>
              <w:spacing w:line="360" w:lineRule="auto"/>
              <w:rPr>
                <w:rFonts w:hint="eastAsia"/>
                <w:highlight w:val="none"/>
                <w:lang w:eastAsia="zh-CN"/>
              </w:rPr>
            </w:pPr>
            <w:r>
              <w:rPr>
                <w:rFonts w:hint="eastAsia"/>
                <w:highlight w:val="none"/>
              </w:rPr>
              <w:t>监督机构</w:t>
            </w:r>
          </w:p>
        </w:tc>
        <w:tc>
          <w:tcPr>
            <w:tcW w:w="6884" w:type="dxa"/>
          </w:tcPr>
          <w:p>
            <w:pPr>
              <w:pStyle w:val="29"/>
              <w:spacing w:line="360" w:lineRule="auto"/>
              <w:jc w:val="left"/>
              <w:rPr>
                <w:rFonts w:hint="eastAsia"/>
                <w:highlight w:val="none"/>
                <w:lang w:val="en-US" w:eastAsia="zh-CN"/>
              </w:rPr>
            </w:pPr>
            <w:r>
              <w:rPr>
                <w:rFonts w:hint="eastAsia"/>
                <w:highlight w:val="none"/>
                <w:lang w:val="en-US" w:eastAsia="zh-CN"/>
              </w:rPr>
              <w:t>陕西省财政厅政府采购管理处</w:t>
            </w:r>
          </w:p>
          <w:p>
            <w:pPr>
              <w:pStyle w:val="29"/>
              <w:spacing w:line="360" w:lineRule="auto"/>
              <w:jc w:val="left"/>
              <w:rPr>
                <w:rFonts w:hint="eastAsia"/>
                <w:highlight w:val="none"/>
                <w:lang w:val="en-US" w:eastAsia="zh-CN"/>
              </w:rPr>
            </w:pPr>
            <w:r>
              <w:rPr>
                <w:rFonts w:hint="eastAsia"/>
                <w:highlight w:val="none"/>
                <w:lang w:val="en-US" w:eastAsia="zh-CN"/>
              </w:rPr>
              <w:t>联系方式：029-68936154</w:t>
            </w:r>
          </w:p>
          <w:p>
            <w:pPr>
              <w:pStyle w:val="29"/>
              <w:spacing w:line="360" w:lineRule="auto"/>
              <w:jc w:val="left"/>
              <w:rPr>
                <w:rFonts w:hint="default"/>
                <w:highlight w:val="none"/>
                <w:lang w:val="en-US" w:eastAsia="zh-CN"/>
              </w:rPr>
            </w:pPr>
            <w:r>
              <w:rPr>
                <w:rFonts w:hint="eastAsia"/>
                <w:highlight w:val="none"/>
                <w:lang w:val="en-US" w:eastAsia="zh-CN"/>
              </w:rPr>
              <w:t>地址：西安市冰窖巷6号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29"/>
              <w:spacing w:line="360" w:lineRule="auto"/>
              <w:rPr>
                <w:rFonts w:hint="default"/>
                <w:highlight w:val="none"/>
                <w:lang w:val="en-US" w:eastAsia="zh-CN"/>
              </w:rPr>
            </w:pPr>
            <w:r>
              <w:rPr>
                <w:rFonts w:hint="eastAsia"/>
                <w:highlight w:val="none"/>
                <w:lang w:val="en-US" w:eastAsia="zh-CN"/>
              </w:rPr>
              <w:t>3.5</w:t>
            </w:r>
          </w:p>
        </w:tc>
        <w:tc>
          <w:tcPr>
            <w:tcW w:w="1619" w:type="dxa"/>
            <w:vAlign w:val="center"/>
          </w:tcPr>
          <w:p>
            <w:pPr>
              <w:pStyle w:val="29"/>
              <w:spacing w:line="360" w:lineRule="auto"/>
              <w:rPr>
                <w:rFonts w:hint="default" w:eastAsia="宋体"/>
                <w:highlight w:val="none"/>
                <w:lang w:val="en-US" w:eastAsia="zh-CN"/>
              </w:rPr>
            </w:pPr>
            <w:r>
              <w:rPr>
                <w:rFonts w:hint="eastAsia"/>
                <w:highlight w:val="none"/>
                <w:lang w:val="en-US" w:eastAsia="zh-CN"/>
              </w:rPr>
              <w:t>联合体投标</w:t>
            </w:r>
          </w:p>
        </w:tc>
        <w:tc>
          <w:tcPr>
            <w:tcW w:w="6884" w:type="dxa"/>
          </w:tcPr>
          <w:p>
            <w:pPr>
              <w:pStyle w:val="29"/>
              <w:spacing w:line="360" w:lineRule="auto"/>
              <w:jc w:val="left"/>
              <w:rPr>
                <w:rFonts w:hint="default"/>
                <w:highlight w:val="none"/>
                <w:lang w:val="en-US" w:eastAsia="zh-CN"/>
              </w:rPr>
            </w:pPr>
            <w:r>
              <w:rPr>
                <w:rFonts w:hint="eastAsia"/>
                <w:highlight w:val="none"/>
                <w:lang w:val="en-US" w:eastAsia="zh-CN"/>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8"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8.3</w:t>
            </w:r>
          </w:p>
        </w:tc>
        <w:tc>
          <w:tcPr>
            <w:tcW w:w="1619" w:type="dxa"/>
            <w:vAlign w:val="center"/>
          </w:tcPr>
          <w:p>
            <w:pPr>
              <w:pStyle w:val="29"/>
              <w:spacing w:line="360" w:lineRule="auto"/>
              <w:rPr>
                <w:highlight w:val="none"/>
              </w:rPr>
            </w:pPr>
            <w:r>
              <w:rPr>
                <w:rFonts w:hint="eastAsia"/>
                <w:highlight w:val="none"/>
                <w:lang w:eastAsia="zh-CN"/>
              </w:rPr>
              <w:t>采购代理机构</w:t>
            </w:r>
            <w:r>
              <w:rPr>
                <w:rFonts w:hint="eastAsia"/>
                <w:highlight w:val="none"/>
              </w:rPr>
              <w:t>答疑的时间</w:t>
            </w:r>
          </w:p>
        </w:tc>
        <w:tc>
          <w:tcPr>
            <w:tcW w:w="6884" w:type="dxa"/>
            <w:vAlign w:val="center"/>
          </w:tcPr>
          <w:p>
            <w:pPr>
              <w:pStyle w:val="29"/>
              <w:spacing w:line="360" w:lineRule="auto"/>
              <w:jc w:val="left"/>
              <w:rPr>
                <w:rFonts w:hint="eastAsia"/>
                <w:highlight w:val="none"/>
              </w:rPr>
            </w:pPr>
            <w:r>
              <w:rPr>
                <w:rFonts w:hint="eastAsia"/>
                <w:highlight w:val="none"/>
                <w:lang w:val="en-US" w:eastAsia="zh-CN"/>
              </w:rPr>
              <w:t>1、</w:t>
            </w:r>
            <w:r>
              <w:rPr>
                <w:rFonts w:hint="eastAsia"/>
                <w:highlight w:val="none"/>
              </w:rPr>
              <w:t>对于供应商依法提出的询问，采购代理机构将在三个工作日内答复。</w:t>
            </w:r>
          </w:p>
          <w:p>
            <w:pPr>
              <w:pStyle w:val="29"/>
              <w:spacing w:line="360" w:lineRule="auto"/>
              <w:jc w:val="left"/>
              <w:rPr>
                <w:highlight w:val="none"/>
              </w:rPr>
            </w:pPr>
            <w:r>
              <w:rPr>
                <w:rFonts w:hint="eastAsia"/>
                <w:highlight w:val="none"/>
                <w:lang w:val="en-US" w:eastAsia="zh-CN"/>
              </w:rPr>
              <w:t>2、</w:t>
            </w:r>
            <w:r>
              <w:rPr>
                <w:rFonts w:hint="eastAsia"/>
                <w:highlight w:val="none"/>
              </w:rPr>
              <w:t>对于供应商在规定时间内依法提出的质疑，采购代理机构将在七个工作日内答复。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10.2</w:t>
            </w:r>
          </w:p>
        </w:tc>
        <w:tc>
          <w:tcPr>
            <w:tcW w:w="1619" w:type="dxa"/>
            <w:vAlign w:val="center"/>
          </w:tcPr>
          <w:p>
            <w:pPr>
              <w:pStyle w:val="29"/>
              <w:spacing w:line="360" w:lineRule="auto"/>
              <w:rPr>
                <w:highlight w:val="none"/>
              </w:rPr>
            </w:pPr>
            <w:r>
              <w:rPr>
                <w:rFonts w:hint="eastAsia"/>
                <w:highlight w:val="none"/>
              </w:rPr>
              <w:t>是否允许备选方案</w:t>
            </w:r>
          </w:p>
        </w:tc>
        <w:tc>
          <w:tcPr>
            <w:tcW w:w="6884" w:type="dxa"/>
            <w:vAlign w:val="center"/>
          </w:tcPr>
          <w:p>
            <w:pPr>
              <w:pStyle w:val="29"/>
              <w:spacing w:line="360" w:lineRule="auto"/>
              <w:jc w:val="left"/>
              <w:rPr>
                <w:highlight w:val="none"/>
              </w:rPr>
            </w:pPr>
            <w:r>
              <w:rPr>
                <w:rFonts w:hint="eastAsia"/>
                <w:highlight w:val="none"/>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10.3</w:t>
            </w:r>
          </w:p>
        </w:tc>
        <w:tc>
          <w:tcPr>
            <w:tcW w:w="1619" w:type="dxa"/>
            <w:vAlign w:val="center"/>
          </w:tcPr>
          <w:p>
            <w:pPr>
              <w:pStyle w:val="29"/>
              <w:spacing w:line="360" w:lineRule="auto"/>
              <w:rPr>
                <w:highlight w:val="none"/>
              </w:rPr>
            </w:pPr>
            <w:r>
              <w:rPr>
                <w:rFonts w:hint="eastAsia"/>
                <w:highlight w:val="none"/>
              </w:rPr>
              <w:t>本次投标的最小单元</w:t>
            </w:r>
          </w:p>
        </w:tc>
        <w:tc>
          <w:tcPr>
            <w:tcW w:w="6884" w:type="dxa"/>
          </w:tcPr>
          <w:p>
            <w:pPr>
              <w:pStyle w:val="29"/>
              <w:spacing w:line="360" w:lineRule="auto"/>
              <w:jc w:val="left"/>
              <w:rPr>
                <w:highlight w:val="none"/>
              </w:rPr>
            </w:pPr>
            <w:r>
              <w:rPr>
                <w:rFonts w:hint="eastAsia"/>
                <w:highlight w:val="none"/>
                <w:lang w:eastAsia="zh-CN"/>
              </w:rPr>
              <w:t>本次投标的最小单元为“包”</w:t>
            </w:r>
            <w:r>
              <w:rPr>
                <w:rFonts w:hint="eastAsia"/>
                <w:highlight w:val="none"/>
              </w:rPr>
              <w:t>。任何不完全的投标将按照无效投标处理。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12.1</w:t>
            </w:r>
          </w:p>
        </w:tc>
        <w:tc>
          <w:tcPr>
            <w:tcW w:w="1619" w:type="dxa"/>
            <w:vAlign w:val="center"/>
          </w:tcPr>
          <w:p>
            <w:pPr>
              <w:pStyle w:val="29"/>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投标报价</w:t>
            </w:r>
          </w:p>
        </w:tc>
        <w:tc>
          <w:tcPr>
            <w:tcW w:w="6884" w:type="dxa"/>
          </w:tcPr>
          <w:p>
            <w:pPr>
              <w:pStyle w:val="29"/>
              <w:spacing w:line="360" w:lineRule="auto"/>
              <w:jc w:val="left"/>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投标报价应以人民币为结算货币，单位为元，投标报价包含货款、运费、装卸费、税费等所有费用之和</w:t>
            </w:r>
            <w:r>
              <w:rPr>
                <w:rFonts w:hint="eastAsia"/>
                <w:color w:val="000000" w:themeColor="text1"/>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13.1</w:t>
            </w:r>
          </w:p>
        </w:tc>
        <w:tc>
          <w:tcPr>
            <w:tcW w:w="1619" w:type="dxa"/>
            <w:vAlign w:val="center"/>
          </w:tcPr>
          <w:p>
            <w:pPr>
              <w:pStyle w:val="29"/>
              <w:spacing w:line="360" w:lineRule="auto"/>
              <w:rPr>
                <w:highlight w:val="none"/>
              </w:rPr>
            </w:pPr>
            <w:r>
              <w:rPr>
                <w:rFonts w:hint="eastAsia"/>
                <w:highlight w:val="none"/>
              </w:rPr>
              <w:t>投标人资格证明文件</w:t>
            </w:r>
          </w:p>
        </w:tc>
        <w:tc>
          <w:tcPr>
            <w:tcW w:w="6884" w:type="dxa"/>
          </w:tcPr>
          <w:p>
            <w:pPr>
              <w:pStyle w:val="29"/>
              <w:spacing w:line="360" w:lineRule="auto"/>
              <w:jc w:val="left"/>
              <w:rPr>
                <w:rFonts w:hint="eastAsia" w:ascii="宋体" w:hAnsi="宋体"/>
                <w:b/>
                <w:bCs/>
                <w:sz w:val="24"/>
                <w:highlight w:val="none"/>
              </w:rPr>
            </w:pPr>
            <w:r>
              <w:rPr>
                <w:rFonts w:hint="eastAsia" w:ascii="宋体" w:hAnsi="宋体"/>
                <w:b/>
                <w:bCs/>
                <w:sz w:val="24"/>
                <w:highlight w:val="none"/>
              </w:rPr>
              <w:t>适用</w:t>
            </w:r>
            <w:r>
              <w:rPr>
                <w:rFonts w:hint="eastAsia" w:ascii="宋体" w:hAnsi="宋体"/>
                <w:b/>
                <w:bCs/>
                <w:sz w:val="24"/>
                <w:highlight w:val="none"/>
                <w:lang w:val="en-US" w:eastAsia="zh-CN"/>
              </w:rPr>
              <w:t>合同包1</w:t>
            </w:r>
            <w:r>
              <w:rPr>
                <w:rFonts w:hint="eastAsia" w:ascii="宋体" w:hAnsi="宋体"/>
                <w:b/>
                <w:bCs/>
                <w:sz w:val="24"/>
                <w:highlight w:val="none"/>
                <w:lang w:eastAsia="zh-CN"/>
              </w:rPr>
              <w:t>（</w:t>
            </w:r>
            <w:r>
              <w:rPr>
                <w:rFonts w:hint="eastAsia"/>
                <w:b/>
                <w:bCs/>
                <w:sz w:val="24"/>
                <w:highlight w:val="none"/>
                <w:lang w:eastAsia="zh-CN"/>
              </w:rPr>
              <w:t>标准面粉</w:t>
            </w:r>
            <w:r>
              <w:rPr>
                <w:rFonts w:hint="eastAsia" w:ascii="宋体" w:hAnsi="宋体"/>
                <w:b/>
                <w:bCs/>
                <w:sz w:val="24"/>
                <w:highlight w:val="none"/>
                <w:lang w:eastAsia="zh-CN"/>
              </w:rPr>
              <w:t>）</w:t>
            </w:r>
            <w:r>
              <w:rPr>
                <w:rFonts w:hint="eastAsia" w:ascii="宋体" w:hAnsi="宋体" w:eastAsia="宋体" w:cs="宋体"/>
                <w:b/>
                <w:bCs/>
                <w:i w:val="0"/>
                <w:caps w:val="0"/>
                <w:color w:val="333333"/>
                <w:spacing w:val="0"/>
                <w:sz w:val="24"/>
                <w:szCs w:val="24"/>
                <w:highlight w:val="none"/>
                <w:shd w:val="clear" w:fill="FFFFFF"/>
                <w:vertAlign w:val="baseline"/>
                <w:lang w:eastAsia="zh-CN"/>
              </w:rPr>
              <w:t>；</w:t>
            </w:r>
            <w:r>
              <w:rPr>
                <w:rFonts w:hint="eastAsia" w:ascii="宋体" w:hAnsi="宋体"/>
                <w:b/>
                <w:bCs/>
                <w:sz w:val="24"/>
                <w:highlight w:val="none"/>
                <w:lang w:val="en-US" w:eastAsia="zh-CN"/>
              </w:rPr>
              <w:t>合同包2</w:t>
            </w:r>
            <w:r>
              <w:rPr>
                <w:rFonts w:hint="eastAsia" w:ascii="宋体" w:hAnsi="宋体"/>
                <w:b/>
                <w:bCs/>
                <w:sz w:val="24"/>
                <w:highlight w:val="none"/>
                <w:lang w:eastAsia="zh-CN"/>
              </w:rPr>
              <w:t>（</w:t>
            </w:r>
            <w:r>
              <w:rPr>
                <w:rFonts w:hint="eastAsia"/>
                <w:b/>
                <w:bCs/>
                <w:sz w:val="24"/>
                <w:highlight w:val="none"/>
                <w:lang w:eastAsia="zh-CN"/>
              </w:rPr>
              <w:t>米</w:t>
            </w:r>
            <w:r>
              <w:rPr>
                <w:rFonts w:hint="eastAsia" w:ascii="宋体" w:hAnsi="宋体"/>
                <w:b/>
                <w:bCs/>
                <w:sz w:val="24"/>
                <w:highlight w:val="none"/>
                <w:lang w:eastAsia="zh-CN"/>
              </w:rPr>
              <w:t>）；</w:t>
            </w:r>
            <w:r>
              <w:rPr>
                <w:rFonts w:hint="eastAsia" w:ascii="宋体" w:hAnsi="宋体"/>
                <w:b/>
                <w:bCs/>
                <w:sz w:val="24"/>
                <w:highlight w:val="none"/>
                <w:lang w:val="en-US" w:eastAsia="zh-CN"/>
              </w:rPr>
              <w:t>合同包3</w:t>
            </w:r>
            <w:r>
              <w:rPr>
                <w:rFonts w:hint="eastAsia" w:ascii="宋体" w:hAnsi="宋体"/>
                <w:b/>
                <w:bCs/>
                <w:sz w:val="24"/>
                <w:highlight w:val="none"/>
                <w:lang w:eastAsia="zh-CN"/>
              </w:rPr>
              <w:t>（</w:t>
            </w:r>
            <w:r>
              <w:rPr>
                <w:rFonts w:hint="eastAsia"/>
                <w:b/>
                <w:bCs/>
                <w:sz w:val="24"/>
                <w:highlight w:val="none"/>
                <w:lang w:eastAsia="zh-CN"/>
              </w:rPr>
              <w:t>菜籽油</w:t>
            </w:r>
            <w:r>
              <w:rPr>
                <w:rFonts w:hint="eastAsia" w:ascii="宋体" w:hAnsi="宋体"/>
                <w:b/>
                <w:bCs/>
                <w:sz w:val="24"/>
                <w:highlight w:val="none"/>
                <w:lang w:eastAsia="zh-CN"/>
              </w:rPr>
              <w:t>）</w:t>
            </w:r>
            <w:r>
              <w:rPr>
                <w:rFonts w:hint="eastAsia" w:ascii="宋体" w:hAnsi="宋体"/>
                <w:b/>
                <w:bCs/>
                <w:sz w:val="24"/>
                <w:highlight w:val="none"/>
              </w:rPr>
              <w:t>：</w:t>
            </w:r>
          </w:p>
          <w:p>
            <w:pPr>
              <w:spacing w:line="360" w:lineRule="auto"/>
              <w:ind w:left="360" w:hanging="361"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b/>
                <w:bCs/>
                <w:sz w:val="24"/>
                <w:szCs w:val="24"/>
                <w:highlight w:val="none"/>
              </w:rPr>
              <w:t>（1）基本资格条件：</w:t>
            </w:r>
            <w:r>
              <w:rPr>
                <w:rFonts w:hint="eastAsia" w:ascii="宋体" w:hAnsi="宋体" w:eastAsia="宋体" w:cs="宋体"/>
                <w:color w:val="000000" w:themeColor="text1"/>
                <w:sz w:val="24"/>
                <w:highlight w:val="none"/>
                <w:lang w:val="en-US" w:eastAsia="zh-CN" w:bidi="ar-SA"/>
                <w14:textFill>
                  <w14:solidFill>
                    <w14:schemeClr w14:val="tx1"/>
                  </w14:solidFill>
                </w14:textFill>
              </w:rPr>
              <w:t>符合《中华人民共和国政府采购法》第二十二条的规定：</w:t>
            </w:r>
          </w:p>
          <w:p>
            <w:pPr>
              <w:spacing w:line="360" w:lineRule="auto"/>
              <w:ind w:left="360" w:hanging="360"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t>1）具有独立承担民事责任的能力（提供营业执照/事业单位法人证书/非企业专业服务机构执业许可证/自然人身份证）；</w:t>
            </w:r>
          </w:p>
          <w:p>
            <w:pPr>
              <w:spacing w:line="360" w:lineRule="auto"/>
              <w:ind w:left="360" w:hanging="360"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t>2）具有良好的商业信誉和健全的财务会计制度（提供具有财务审计资质的单位出具的2021年财务报告，或开标截止时间前三个月内公司存款账户开户银行出具的资信证明 ，或信用担保机构出具的投标担保函）；</w:t>
            </w:r>
          </w:p>
          <w:p>
            <w:pPr>
              <w:spacing w:line="360" w:lineRule="auto"/>
              <w:ind w:left="360" w:hanging="360"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t>3）有依法缴纳税收和社会保障资金的良好记录（提供开标截止时间前12个月内任一个月份的①正式税收缴费凭据或免税书面声明、②社会保障资金缴纳专用收据或社会保险缴纳清单或社会保障资金免缴纳书面声明）；</w:t>
            </w:r>
          </w:p>
          <w:p>
            <w:pPr>
              <w:spacing w:line="360" w:lineRule="auto"/>
              <w:ind w:left="360" w:hanging="360" w:hangingChars="150"/>
              <w:rPr>
                <w:rFonts w:hint="eastAsia" w:ascii="宋体" w:hAnsi="宋体"/>
                <w:sz w:val="24"/>
                <w:szCs w:val="24"/>
                <w:highlight w:val="none"/>
              </w:rPr>
            </w:pPr>
            <w:r>
              <w:rPr>
                <w:rFonts w:hint="eastAsia" w:ascii="宋体" w:hAnsi="宋体" w:eastAsia="宋体" w:cs="宋体"/>
                <w:color w:val="000000" w:themeColor="text1"/>
                <w:sz w:val="24"/>
                <w:highlight w:val="none"/>
                <w:lang w:val="en-US" w:eastAsia="zh-CN" w:bidi="ar-SA"/>
                <w14:textFill>
                  <w14:solidFill>
                    <w14:schemeClr w14:val="tx1"/>
                  </w14:solidFill>
                </w14:textFill>
              </w:rPr>
              <w:t>4）具备履行合同所必需的设备和专业技术能力（提供可充分满足履行合同所需设备和专业技术能力的承诺）</w:t>
            </w:r>
            <w:r>
              <w:rPr>
                <w:rFonts w:hint="eastAsia" w:ascii="宋体" w:hAnsi="宋体"/>
                <w:b/>
                <w:bCs/>
                <w:sz w:val="24"/>
                <w:szCs w:val="24"/>
                <w:highlight w:val="none"/>
                <w:lang w:eastAsia="zh-CN"/>
              </w:rPr>
              <w:t>原件</w:t>
            </w:r>
            <w:r>
              <w:rPr>
                <w:rFonts w:hint="eastAsia" w:ascii="宋体" w:hAnsi="宋体"/>
                <w:sz w:val="24"/>
                <w:szCs w:val="24"/>
                <w:highlight w:val="none"/>
              </w:rPr>
              <w:t>；</w:t>
            </w:r>
          </w:p>
          <w:p>
            <w:pPr>
              <w:pStyle w:val="29"/>
              <w:spacing w:line="360" w:lineRule="auto"/>
              <w:jc w:val="left"/>
              <w:rPr>
                <w:rFonts w:hint="eastAsia" w:eastAsia="宋体"/>
                <w:color w:val="auto"/>
                <w:szCs w:val="22"/>
                <w:highlight w:val="none"/>
                <w:lang w:eastAsia="zh-CN"/>
              </w:rPr>
            </w:pPr>
            <w:r>
              <w:rPr>
                <w:rFonts w:hint="eastAsia" w:ascii="宋体" w:hAnsi="宋体"/>
                <w:sz w:val="24"/>
                <w:szCs w:val="24"/>
                <w:highlight w:val="none"/>
              </w:rPr>
              <w:t>5</w:t>
            </w:r>
            <w:r>
              <w:rPr>
                <w:rFonts w:hint="eastAsia" w:ascii="宋体" w:hAnsi="宋体"/>
                <w:sz w:val="24"/>
                <w:szCs w:val="24"/>
                <w:highlight w:val="none"/>
                <w:lang w:eastAsia="zh-CN"/>
              </w:rPr>
              <w:t>）</w:t>
            </w:r>
            <w:r>
              <w:rPr>
                <w:rFonts w:hint="eastAsia" w:ascii="宋体" w:hAnsi="宋体" w:eastAsia="宋体" w:cs="宋体"/>
                <w:color w:val="000000" w:themeColor="text1"/>
                <w:sz w:val="24"/>
                <w:highlight w:val="none"/>
                <w:lang w:val="en-US" w:eastAsia="zh-CN" w:bidi="ar-SA"/>
                <w14:textFill>
                  <w14:solidFill>
                    <w14:schemeClr w14:val="tx1"/>
                  </w14:solidFill>
                </w14:textFill>
              </w:rPr>
              <w:t>参加政府采购活动前三年内在经营活动中没有重大违法记录的书面声明（提供承诺）</w:t>
            </w:r>
            <w:r>
              <w:rPr>
                <w:rFonts w:hint="eastAsia" w:ascii="宋体" w:hAnsi="宋体"/>
                <w:b/>
                <w:bCs/>
                <w:sz w:val="24"/>
                <w:szCs w:val="24"/>
                <w:highlight w:val="none"/>
                <w:lang w:eastAsia="zh-CN"/>
              </w:rPr>
              <w:t>原件</w:t>
            </w:r>
            <w:r>
              <w:rPr>
                <w:rFonts w:hint="eastAsia" w:ascii="宋体" w:hAnsi="宋体"/>
                <w:sz w:val="24"/>
                <w:szCs w:val="24"/>
                <w:highlight w:val="none"/>
              </w:rPr>
              <w:t>；</w:t>
            </w:r>
          </w:p>
          <w:p>
            <w:pPr>
              <w:spacing w:line="360" w:lineRule="auto"/>
              <w:ind w:left="360" w:hanging="361" w:hangingChars="150"/>
              <w:rPr>
                <w:rFonts w:hint="eastAsia" w:ascii="宋体" w:hAnsi="宋体"/>
                <w:sz w:val="24"/>
                <w:szCs w:val="24"/>
                <w:highlight w:val="none"/>
                <w:lang w:eastAsia="zh-CN"/>
              </w:rPr>
            </w:pPr>
            <w:r>
              <w:rPr>
                <w:rFonts w:hint="eastAsia" w:ascii="宋体" w:hAnsi="宋体"/>
                <w:b/>
                <w:bCs/>
                <w:sz w:val="24"/>
                <w:szCs w:val="24"/>
                <w:highlight w:val="none"/>
                <w:lang w:eastAsia="zh-CN"/>
              </w:rPr>
              <w:t>（</w:t>
            </w:r>
            <w:r>
              <w:rPr>
                <w:rFonts w:hint="eastAsia" w:ascii="宋体" w:hAnsi="宋体"/>
                <w:b/>
                <w:bCs/>
                <w:sz w:val="24"/>
                <w:szCs w:val="24"/>
                <w:highlight w:val="none"/>
                <w:lang w:val="en-US" w:eastAsia="zh-CN"/>
              </w:rPr>
              <w:t>2</w:t>
            </w:r>
            <w:r>
              <w:rPr>
                <w:rFonts w:hint="eastAsia" w:ascii="宋体" w:hAnsi="宋体"/>
                <w:b/>
                <w:bCs/>
                <w:sz w:val="24"/>
                <w:szCs w:val="24"/>
                <w:highlight w:val="none"/>
                <w:lang w:eastAsia="zh-CN"/>
              </w:rPr>
              <w:t>）落实政府采购政策的资格条件：</w:t>
            </w:r>
            <w:r>
              <w:rPr>
                <w:rFonts w:hint="eastAsia" w:cs="宋体"/>
                <w:i w:val="0"/>
                <w:caps w:val="0"/>
                <w:color w:val="auto"/>
                <w:spacing w:val="0"/>
                <w:sz w:val="24"/>
                <w:szCs w:val="24"/>
                <w:highlight w:val="none"/>
                <w:shd w:val="clear" w:fill="FFFFFF"/>
                <w:vertAlign w:val="baseline"/>
                <w:lang w:eastAsia="zh-CN"/>
              </w:rPr>
              <w:t>本项目专门面向中小企业采购，残疾人福利性单位或监狱企业视同为小型、微型企业</w:t>
            </w:r>
            <w:r>
              <w:rPr>
                <w:rFonts w:hint="eastAsia" w:ascii="宋体" w:hAnsi="宋体"/>
                <w:sz w:val="24"/>
                <w:szCs w:val="24"/>
                <w:highlight w:val="none"/>
                <w:lang w:eastAsia="zh-CN"/>
              </w:rPr>
              <w:t>；</w:t>
            </w:r>
          </w:p>
          <w:p>
            <w:pPr>
              <w:pStyle w:val="29"/>
              <w:spacing w:line="360" w:lineRule="auto"/>
              <w:jc w:val="left"/>
              <w:rPr>
                <w:b/>
                <w:bCs/>
                <w:color w:val="auto"/>
                <w:highlight w:val="none"/>
              </w:rPr>
            </w:pPr>
            <w:r>
              <w:rPr>
                <w:rFonts w:hint="eastAsia"/>
                <w:b/>
                <w:bCs/>
                <w:color w:val="auto"/>
                <w:highlight w:val="none"/>
              </w:rPr>
              <w:t>（</w:t>
            </w:r>
            <w:r>
              <w:rPr>
                <w:rFonts w:hint="eastAsia"/>
                <w:b/>
                <w:bCs/>
                <w:color w:val="auto"/>
                <w:highlight w:val="none"/>
                <w:lang w:val="en-US" w:eastAsia="zh-CN"/>
              </w:rPr>
              <w:t>3</w:t>
            </w:r>
            <w:r>
              <w:rPr>
                <w:rFonts w:hint="eastAsia"/>
                <w:b/>
                <w:bCs/>
                <w:color w:val="auto"/>
                <w:highlight w:val="none"/>
              </w:rPr>
              <w:t>）特定资格条件：</w:t>
            </w:r>
          </w:p>
          <w:p>
            <w:pPr>
              <w:pStyle w:val="18"/>
              <w:spacing w:before="0" w:beforeAutospacing="0" w:after="0" w:afterAutospacing="0" w:line="510" w:lineRule="atLeast"/>
              <w:rPr>
                <w:rFonts w:hint="eastAsia" w:eastAsia="宋体"/>
                <w:color w:val="auto"/>
                <w:highlight w:val="none"/>
                <w:lang w:eastAsia="zh-CN"/>
              </w:rPr>
            </w:pPr>
            <w:r>
              <w:rPr>
                <w:rFonts w:hint="eastAsia" w:eastAsia="宋体"/>
                <w:color w:val="auto"/>
                <w:highlight w:val="none"/>
                <w:lang w:eastAsia="zh-CN"/>
              </w:rPr>
              <w:t>1）法定代表人授权委托书：法定代表人参加投标的，须提供法定代表人身份证明；法定代表人授权他人参加投标的，须提供法定代表人授权委托书。</w:t>
            </w:r>
          </w:p>
          <w:p>
            <w:pPr>
              <w:pStyle w:val="18"/>
              <w:spacing w:before="0" w:beforeAutospacing="0" w:after="0" w:afterAutospacing="0" w:line="510" w:lineRule="atLeast"/>
              <w:rPr>
                <w:rFonts w:hint="eastAsia" w:eastAsia="宋体"/>
                <w:color w:val="auto"/>
                <w:highlight w:val="none"/>
                <w:lang w:eastAsia="zh-CN"/>
              </w:rPr>
            </w:pPr>
            <w:r>
              <w:rPr>
                <w:rFonts w:hint="eastAsia" w:eastAsia="宋体"/>
                <w:color w:val="auto"/>
                <w:highlight w:val="none"/>
                <w:lang w:eastAsia="zh-CN"/>
              </w:rPr>
              <w:t>2）</w:t>
            </w:r>
            <w:r>
              <w:rPr>
                <w:rFonts w:hint="eastAsia" w:ascii="宋体" w:hAnsi="宋体" w:eastAsia="宋体" w:cs="宋体"/>
                <w:i w:val="0"/>
                <w:caps w:val="0"/>
                <w:color w:val="auto"/>
                <w:spacing w:val="0"/>
                <w:sz w:val="24"/>
                <w:szCs w:val="24"/>
                <w:highlight w:val="none"/>
                <w:shd w:val="clear" w:fill="FFFFFF"/>
                <w:vertAlign w:val="baseline"/>
              </w:rPr>
              <w:t>投标人为生产厂家的须提供食品生产许可证；投标人为代理商的须提供食品经营许可证及所投产品生产厂家的食品生产许可证。</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color w:val="auto"/>
                <w:sz w:val="24"/>
                <w:szCs w:val="24"/>
                <w:highlight w:val="none"/>
                <w:lang w:val="en-US" w:eastAsia="zh-CN"/>
              </w:rPr>
            </w:pPr>
            <w:r>
              <w:rPr>
                <w:rFonts w:hint="eastAsia" w:cs="宋体"/>
                <w:i w:val="0"/>
                <w:caps w:val="0"/>
                <w:color w:val="auto"/>
                <w:spacing w:val="0"/>
                <w:sz w:val="24"/>
                <w:szCs w:val="24"/>
                <w:highlight w:val="none"/>
                <w:shd w:val="clear" w:fill="FFFFFF"/>
                <w:vertAlign w:val="baseline"/>
                <w:lang w:val="en-US" w:eastAsia="zh-CN"/>
              </w:rPr>
              <w:t>3）单位负责人为同一人或者存在直接控股、管理关系的不同投标人，不得同时参加同一项目同一标包的投标。</w:t>
            </w:r>
          </w:p>
          <w:p>
            <w:pPr>
              <w:pStyle w:val="29"/>
              <w:spacing w:line="360" w:lineRule="auto"/>
              <w:jc w:val="left"/>
              <w:rPr>
                <w:highlight w:val="none"/>
              </w:rPr>
            </w:pPr>
            <w:r>
              <w:rPr>
                <w:rFonts w:hint="eastAsia"/>
                <w:b/>
                <w:bCs/>
                <w:color w:val="auto"/>
                <w:highlight w:val="none"/>
              </w:rPr>
              <w:t>注：以上为必备资格条件，缺一项或某项达不到要求，按无效文件处理。资格审查时以投标文件中所附证明材料（信用中国和中国政府采购网信用</w:t>
            </w:r>
            <w:r>
              <w:rPr>
                <w:rFonts w:hint="eastAsia" w:ascii="宋体" w:hAnsi="宋体" w:eastAsia="宋体" w:cs="宋体"/>
                <w:b/>
                <w:bCs/>
                <w:color w:val="auto"/>
                <w:highlight w:val="none"/>
              </w:rPr>
              <w:t>记录</w:t>
            </w:r>
            <w:r>
              <w:rPr>
                <w:rFonts w:hint="eastAsia" w:ascii="宋体" w:hAnsi="宋体" w:eastAsia="宋体" w:cs="宋体"/>
                <w:b/>
                <w:bCs/>
                <w:color w:val="auto"/>
                <w:highlight w:val="none"/>
                <w:lang w:val="en-US" w:eastAsia="zh-CN"/>
              </w:rPr>
              <w:t>不强制要求投标人提供查询截图，以开标当天网上查询结果为评审依据</w:t>
            </w:r>
            <w:r>
              <w:rPr>
                <w:rFonts w:hint="eastAsia"/>
                <w:b/>
                <w:bCs/>
                <w:color w:val="auto"/>
                <w:highlight w:val="none"/>
              </w:rPr>
              <w:t>）为准，原件备查。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15.1</w:t>
            </w:r>
          </w:p>
        </w:tc>
        <w:tc>
          <w:tcPr>
            <w:tcW w:w="1619" w:type="dxa"/>
            <w:vAlign w:val="center"/>
          </w:tcPr>
          <w:p>
            <w:pPr>
              <w:pStyle w:val="29"/>
              <w:spacing w:line="360" w:lineRule="auto"/>
              <w:rPr>
                <w:highlight w:val="none"/>
              </w:rPr>
            </w:pPr>
            <w:r>
              <w:rPr>
                <w:rFonts w:hint="eastAsia"/>
                <w:highlight w:val="none"/>
              </w:rPr>
              <w:t>投标保证金</w:t>
            </w:r>
          </w:p>
        </w:tc>
        <w:tc>
          <w:tcPr>
            <w:tcW w:w="6884" w:type="dxa"/>
          </w:tcPr>
          <w:p>
            <w:pPr>
              <w:pStyle w:val="29"/>
              <w:spacing w:line="360" w:lineRule="auto"/>
              <w:jc w:val="left"/>
              <w:rPr>
                <w:highlight w:val="none"/>
              </w:rPr>
            </w:pPr>
            <w:r>
              <w:rPr>
                <w:rFonts w:hint="eastAsia"/>
                <w:highlight w:val="none"/>
                <w:lang w:val="en-US" w:eastAsia="zh-CN"/>
              </w:rPr>
              <w:t>不要求</w:t>
            </w:r>
            <w:r>
              <w:rPr>
                <w:rFonts w:hint="eastAsia"/>
                <w:highlight w:val="none"/>
              </w:rPr>
              <w:t>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7"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16.1</w:t>
            </w:r>
          </w:p>
        </w:tc>
        <w:tc>
          <w:tcPr>
            <w:tcW w:w="1619" w:type="dxa"/>
            <w:vAlign w:val="center"/>
          </w:tcPr>
          <w:p>
            <w:pPr>
              <w:pStyle w:val="29"/>
              <w:spacing w:line="360" w:lineRule="auto"/>
              <w:rPr>
                <w:highlight w:val="none"/>
              </w:rPr>
            </w:pPr>
            <w:r>
              <w:rPr>
                <w:rFonts w:hint="eastAsia"/>
                <w:highlight w:val="none"/>
              </w:rPr>
              <w:t>投标有效期</w:t>
            </w:r>
          </w:p>
        </w:tc>
        <w:tc>
          <w:tcPr>
            <w:tcW w:w="6884" w:type="dxa"/>
          </w:tcPr>
          <w:p>
            <w:pPr>
              <w:pStyle w:val="29"/>
              <w:spacing w:line="360" w:lineRule="auto"/>
              <w:jc w:val="left"/>
              <w:rPr>
                <w:highlight w:val="none"/>
              </w:rPr>
            </w:pPr>
            <w:r>
              <w:rPr>
                <w:rFonts w:hint="eastAsia"/>
                <w:highlight w:val="none"/>
              </w:rPr>
              <w:t>投标文件的递交截止之日起90天。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17.1</w:t>
            </w:r>
          </w:p>
        </w:tc>
        <w:tc>
          <w:tcPr>
            <w:tcW w:w="1619" w:type="dxa"/>
            <w:vAlign w:val="center"/>
          </w:tcPr>
          <w:p>
            <w:pPr>
              <w:pStyle w:val="29"/>
              <w:spacing w:line="360" w:lineRule="auto"/>
              <w:rPr>
                <w:highlight w:val="none"/>
              </w:rPr>
            </w:pPr>
            <w:r>
              <w:rPr>
                <w:rFonts w:hint="eastAsia"/>
                <w:highlight w:val="none"/>
              </w:rPr>
              <w:t>投标文件的份数及要求</w:t>
            </w:r>
          </w:p>
        </w:tc>
        <w:tc>
          <w:tcPr>
            <w:tcW w:w="6884" w:type="dxa"/>
            <w:vAlign w:val="center"/>
          </w:tcPr>
          <w:p>
            <w:pPr>
              <w:pStyle w:val="29"/>
              <w:spacing w:line="360" w:lineRule="auto"/>
              <w:jc w:val="left"/>
              <w:rPr>
                <w:highlight w:val="none"/>
              </w:rPr>
            </w:pPr>
            <w:r>
              <w:rPr>
                <w:rFonts w:hint="eastAsia"/>
                <w:highlight w:val="none"/>
              </w:rPr>
              <w:t>正本的份数：壹份；</w:t>
            </w:r>
          </w:p>
          <w:p>
            <w:pPr>
              <w:pStyle w:val="29"/>
              <w:spacing w:line="360" w:lineRule="auto"/>
              <w:jc w:val="left"/>
              <w:rPr>
                <w:highlight w:val="none"/>
              </w:rPr>
            </w:pPr>
            <w:r>
              <w:rPr>
                <w:rFonts w:hint="eastAsia"/>
                <w:highlight w:val="none"/>
              </w:rPr>
              <w:t>副本的份数：</w:t>
            </w:r>
            <w:r>
              <w:rPr>
                <w:rFonts w:hint="eastAsia"/>
                <w:highlight w:val="none"/>
                <w:lang w:eastAsia="zh-CN"/>
              </w:rPr>
              <w:t>贰</w:t>
            </w:r>
            <w:r>
              <w:rPr>
                <w:rFonts w:hint="eastAsia"/>
                <w:highlight w:val="none"/>
              </w:rPr>
              <w:t>份；</w:t>
            </w:r>
          </w:p>
          <w:p>
            <w:pPr>
              <w:pStyle w:val="29"/>
              <w:spacing w:line="360" w:lineRule="auto"/>
              <w:jc w:val="left"/>
              <w:rPr>
                <w:highlight w:val="none"/>
              </w:rPr>
            </w:pPr>
            <w:r>
              <w:rPr>
                <w:rFonts w:hint="eastAsia"/>
                <w:highlight w:val="none"/>
              </w:rPr>
              <w:t>电子版（U盘）：</w:t>
            </w:r>
            <w:r>
              <w:rPr>
                <w:rFonts w:hint="eastAsia"/>
                <w:highlight w:val="none"/>
                <w:lang w:eastAsia="zh-CN"/>
              </w:rPr>
              <w:t>贰</w:t>
            </w:r>
            <w:r>
              <w:rPr>
                <w:rFonts w:hint="eastAsia"/>
                <w:highlight w:val="none"/>
              </w:rPr>
              <w:t>份（需在盘面上标注投标人全称、项目名称、项目编号）。</w:t>
            </w:r>
          </w:p>
          <w:p>
            <w:pPr>
              <w:pStyle w:val="29"/>
              <w:spacing w:line="360" w:lineRule="auto"/>
              <w:jc w:val="left"/>
              <w:rPr>
                <w:highlight w:val="none"/>
              </w:rPr>
            </w:pPr>
            <w:r>
              <w:rPr>
                <w:rFonts w:hint="eastAsia"/>
                <w:highlight w:val="none"/>
              </w:rPr>
              <w:t>电子版包括：</w:t>
            </w:r>
          </w:p>
          <w:p>
            <w:pPr>
              <w:pStyle w:val="29"/>
              <w:spacing w:line="360" w:lineRule="auto"/>
              <w:jc w:val="left"/>
              <w:rPr>
                <w:highlight w:val="none"/>
              </w:rPr>
            </w:pPr>
            <w:r>
              <w:rPr>
                <w:rFonts w:hint="eastAsia"/>
                <w:highlight w:val="none"/>
              </w:rPr>
              <w:t>（1）word版投标文件；</w:t>
            </w:r>
          </w:p>
          <w:p>
            <w:pPr>
              <w:pStyle w:val="29"/>
              <w:spacing w:line="360" w:lineRule="auto"/>
              <w:jc w:val="left"/>
              <w:rPr>
                <w:rFonts w:hint="eastAsia"/>
                <w:highlight w:val="none"/>
              </w:rPr>
            </w:pPr>
            <w:r>
              <w:rPr>
                <w:rFonts w:hint="eastAsia"/>
                <w:highlight w:val="none"/>
              </w:rPr>
              <w:t>（2）投标文件正本签字盖章后的PDF格式扫描件，与正本具有同等法律效力。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17.2</w:t>
            </w:r>
          </w:p>
        </w:tc>
        <w:tc>
          <w:tcPr>
            <w:tcW w:w="1619" w:type="dxa"/>
            <w:vAlign w:val="center"/>
          </w:tcPr>
          <w:p>
            <w:pPr>
              <w:pStyle w:val="29"/>
              <w:spacing w:line="360" w:lineRule="auto"/>
              <w:rPr>
                <w:highlight w:val="none"/>
              </w:rPr>
            </w:pPr>
            <w:r>
              <w:rPr>
                <w:rFonts w:hint="eastAsia"/>
                <w:highlight w:val="none"/>
              </w:rPr>
              <w:t>投标文件的签字、盖章要求</w:t>
            </w:r>
          </w:p>
        </w:tc>
        <w:tc>
          <w:tcPr>
            <w:tcW w:w="6884" w:type="dxa"/>
            <w:vAlign w:val="center"/>
          </w:tcPr>
          <w:p>
            <w:pPr>
              <w:pStyle w:val="29"/>
              <w:spacing w:line="360" w:lineRule="auto"/>
              <w:jc w:val="left"/>
              <w:rPr>
                <w:highlight w:val="none"/>
              </w:rPr>
            </w:pPr>
            <w:r>
              <w:rPr>
                <w:rFonts w:hint="eastAsia"/>
                <w:highlight w:val="none"/>
              </w:rPr>
              <w:t>投标文件封面、投标函及其它有要求处必须加盖投标人公章并经法定代表人或其委托代理人签字或盖章。委托代理人签字的，投标文件应附法定代表人签署的授权委托书。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18.1</w:t>
            </w:r>
          </w:p>
        </w:tc>
        <w:tc>
          <w:tcPr>
            <w:tcW w:w="1619" w:type="dxa"/>
            <w:vAlign w:val="center"/>
          </w:tcPr>
          <w:p>
            <w:pPr>
              <w:pStyle w:val="29"/>
              <w:spacing w:line="360" w:lineRule="auto"/>
              <w:rPr>
                <w:highlight w:val="none"/>
              </w:rPr>
            </w:pPr>
            <w:r>
              <w:rPr>
                <w:rFonts w:hint="eastAsia"/>
                <w:highlight w:val="none"/>
              </w:rPr>
              <w:t>投标文件的密封和标记</w:t>
            </w:r>
          </w:p>
        </w:tc>
        <w:tc>
          <w:tcPr>
            <w:tcW w:w="6884" w:type="dxa"/>
            <w:vAlign w:val="center"/>
          </w:tcPr>
          <w:p>
            <w:pPr>
              <w:pStyle w:val="29"/>
              <w:spacing w:line="360" w:lineRule="auto"/>
              <w:jc w:val="left"/>
              <w:rPr>
                <w:highlight w:val="none"/>
              </w:rPr>
            </w:pPr>
            <w:r>
              <w:rPr>
                <w:highlight w:val="none"/>
              </w:rPr>
              <w:t>1、密封包装方式：</w:t>
            </w:r>
          </w:p>
          <w:p>
            <w:pPr>
              <w:pStyle w:val="29"/>
              <w:spacing w:line="360" w:lineRule="auto"/>
              <w:jc w:val="left"/>
              <w:rPr>
                <w:highlight w:val="none"/>
              </w:rPr>
            </w:pPr>
            <w:r>
              <w:rPr>
                <w:rFonts w:hint="eastAsia"/>
                <w:highlight w:val="none"/>
              </w:rPr>
              <w:t>投标人</w:t>
            </w:r>
            <w:r>
              <w:rPr>
                <w:highlight w:val="none"/>
              </w:rPr>
              <w:t>应将投标文件正本、所有的副本、电子版本分别单独密封在封袋中（封袋不得有破损）。封袋应加贴封条，并在封线处加盖</w:t>
            </w:r>
            <w:r>
              <w:rPr>
                <w:rFonts w:hint="eastAsia"/>
                <w:highlight w:val="none"/>
              </w:rPr>
              <w:t>投标人</w:t>
            </w:r>
            <w:r>
              <w:rPr>
                <w:highlight w:val="none"/>
              </w:rPr>
              <w:t>公章。</w:t>
            </w:r>
          </w:p>
          <w:p>
            <w:pPr>
              <w:pStyle w:val="29"/>
              <w:spacing w:line="360" w:lineRule="auto"/>
              <w:jc w:val="left"/>
              <w:rPr>
                <w:highlight w:val="none"/>
              </w:rPr>
            </w:pPr>
            <w:r>
              <w:rPr>
                <w:highlight w:val="none"/>
              </w:rPr>
              <w:t>2、外层包装请按以下要求标记：</w:t>
            </w:r>
          </w:p>
          <w:p>
            <w:pPr>
              <w:pStyle w:val="29"/>
              <w:spacing w:line="360" w:lineRule="auto"/>
              <w:jc w:val="left"/>
              <w:rPr>
                <w:highlight w:val="none"/>
              </w:rPr>
            </w:pPr>
            <w:r>
              <w:rPr>
                <w:highlight w:val="none"/>
              </w:rPr>
              <w:t xml:space="preserve">（1) </w:t>
            </w:r>
            <w:r>
              <w:rPr>
                <w:rFonts w:hint="eastAsia"/>
                <w:highlight w:val="none"/>
              </w:rPr>
              <w:t>投标人</w:t>
            </w:r>
            <w:r>
              <w:rPr>
                <w:highlight w:val="none"/>
              </w:rPr>
              <w:t>的全称；</w:t>
            </w:r>
          </w:p>
          <w:p>
            <w:pPr>
              <w:pStyle w:val="29"/>
              <w:spacing w:line="360" w:lineRule="auto"/>
              <w:jc w:val="left"/>
              <w:rPr>
                <w:highlight w:val="none"/>
              </w:rPr>
            </w:pPr>
            <w:r>
              <w:rPr>
                <w:highlight w:val="none"/>
              </w:rPr>
              <w:t>（2）投标项目名称、项目编号</w:t>
            </w:r>
          </w:p>
          <w:p>
            <w:pPr>
              <w:pStyle w:val="29"/>
              <w:spacing w:line="360" w:lineRule="auto"/>
              <w:jc w:val="left"/>
              <w:rPr>
                <w:highlight w:val="none"/>
              </w:rPr>
            </w:pPr>
            <w:r>
              <w:rPr>
                <w:highlight w:val="none"/>
              </w:rPr>
              <w:t>（3）正本、副本</w:t>
            </w:r>
            <w:r>
              <w:rPr>
                <w:rFonts w:hint="eastAsia"/>
                <w:highlight w:val="none"/>
                <w:lang w:val="en-US" w:eastAsia="zh-CN"/>
              </w:rPr>
              <w:t>及</w:t>
            </w:r>
            <w:r>
              <w:rPr>
                <w:highlight w:val="none"/>
              </w:rPr>
              <w:t>电子版本“请勿在＿＿＿＿＿(开标时间)之前启封”。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19.1</w:t>
            </w:r>
          </w:p>
        </w:tc>
        <w:tc>
          <w:tcPr>
            <w:tcW w:w="1619" w:type="dxa"/>
            <w:vAlign w:val="center"/>
          </w:tcPr>
          <w:p>
            <w:pPr>
              <w:pStyle w:val="29"/>
              <w:spacing w:line="360" w:lineRule="auto"/>
              <w:rPr>
                <w:highlight w:val="none"/>
              </w:rPr>
            </w:pPr>
            <w:r>
              <w:rPr>
                <w:rFonts w:hint="eastAsia"/>
                <w:highlight w:val="none"/>
              </w:rPr>
              <w:t>投标文件的递交</w:t>
            </w:r>
          </w:p>
        </w:tc>
        <w:tc>
          <w:tcPr>
            <w:tcW w:w="6884" w:type="dxa"/>
          </w:tcPr>
          <w:p>
            <w:pPr>
              <w:pStyle w:val="29"/>
              <w:spacing w:line="360" w:lineRule="auto"/>
              <w:jc w:val="left"/>
              <w:rPr>
                <w:highlight w:val="none"/>
              </w:rPr>
            </w:pPr>
            <w:r>
              <w:rPr>
                <w:rFonts w:hint="eastAsia"/>
                <w:highlight w:val="none"/>
              </w:rPr>
              <w:t>投标文件递交截止时间：详见招标公告。</w:t>
            </w:r>
          </w:p>
          <w:p>
            <w:pPr>
              <w:pStyle w:val="29"/>
              <w:spacing w:line="360" w:lineRule="auto"/>
              <w:jc w:val="left"/>
              <w:rPr>
                <w:highlight w:val="none"/>
              </w:rPr>
            </w:pPr>
            <w:r>
              <w:rPr>
                <w:rFonts w:hint="eastAsia"/>
                <w:highlight w:val="none"/>
              </w:rPr>
              <w:t>投标文件递交地址：详见招标公告。</w:t>
            </w:r>
          </w:p>
          <w:p>
            <w:pPr>
              <w:pStyle w:val="29"/>
              <w:spacing w:line="360" w:lineRule="auto"/>
              <w:jc w:val="left"/>
              <w:rPr>
                <w:highlight w:val="none"/>
              </w:rPr>
            </w:pPr>
            <w:r>
              <w:rPr>
                <w:rFonts w:hint="eastAsia"/>
                <w:highlight w:val="none"/>
              </w:rPr>
              <w:t>投标文件接收人：</w:t>
            </w:r>
            <w:r>
              <w:rPr>
                <w:rFonts w:hint="eastAsia"/>
                <w:highlight w:val="none"/>
                <w:lang w:eastAsia="zh-CN"/>
              </w:rPr>
              <w:t>腾德工程咨询有限公司</w:t>
            </w:r>
            <w:r>
              <w:rPr>
                <w:rFonts w:hint="eastAsia"/>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0"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22.1</w:t>
            </w:r>
          </w:p>
        </w:tc>
        <w:tc>
          <w:tcPr>
            <w:tcW w:w="1619" w:type="dxa"/>
            <w:vAlign w:val="center"/>
          </w:tcPr>
          <w:p>
            <w:pPr>
              <w:pStyle w:val="29"/>
              <w:spacing w:line="360" w:lineRule="auto"/>
              <w:rPr>
                <w:highlight w:val="none"/>
              </w:rPr>
            </w:pPr>
            <w:r>
              <w:rPr>
                <w:rFonts w:hint="eastAsia"/>
                <w:highlight w:val="none"/>
              </w:rPr>
              <w:t>开标时间和地点</w:t>
            </w:r>
          </w:p>
        </w:tc>
        <w:tc>
          <w:tcPr>
            <w:tcW w:w="6884" w:type="dxa"/>
          </w:tcPr>
          <w:p>
            <w:pPr>
              <w:pStyle w:val="29"/>
              <w:spacing w:line="360" w:lineRule="auto"/>
              <w:jc w:val="left"/>
              <w:rPr>
                <w:highlight w:val="none"/>
              </w:rPr>
            </w:pPr>
            <w:r>
              <w:rPr>
                <w:rFonts w:hint="eastAsia"/>
                <w:highlight w:val="none"/>
              </w:rPr>
              <w:t>开标时间：详见招标公告。</w:t>
            </w:r>
          </w:p>
          <w:p>
            <w:pPr>
              <w:pStyle w:val="29"/>
              <w:spacing w:line="360" w:lineRule="auto"/>
              <w:jc w:val="left"/>
              <w:rPr>
                <w:highlight w:val="none"/>
              </w:rPr>
            </w:pPr>
            <w:r>
              <w:rPr>
                <w:rFonts w:hint="eastAsia"/>
                <w:highlight w:val="none"/>
              </w:rPr>
              <w:t>开标地点：详见招标公告。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1"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23.1</w:t>
            </w:r>
          </w:p>
        </w:tc>
        <w:tc>
          <w:tcPr>
            <w:tcW w:w="1619" w:type="dxa"/>
            <w:vAlign w:val="center"/>
          </w:tcPr>
          <w:p>
            <w:pPr>
              <w:pStyle w:val="29"/>
              <w:spacing w:line="360" w:lineRule="auto"/>
              <w:rPr>
                <w:highlight w:val="none"/>
              </w:rPr>
            </w:pPr>
            <w:r>
              <w:rPr>
                <w:rFonts w:hint="eastAsia"/>
                <w:highlight w:val="none"/>
              </w:rPr>
              <w:t>评标委员会的组建</w:t>
            </w:r>
          </w:p>
        </w:tc>
        <w:tc>
          <w:tcPr>
            <w:tcW w:w="6884" w:type="dxa"/>
            <w:vAlign w:val="center"/>
          </w:tcPr>
          <w:p>
            <w:pPr>
              <w:pStyle w:val="29"/>
              <w:spacing w:line="360" w:lineRule="auto"/>
              <w:jc w:val="left"/>
              <w:rPr>
                <w:highlight w:val="none"/>
              </w:rPr>
            </w:pPr>
            <w:r>
              <w:rPr>
                <w:rFonts w:hint="eastAsia"/>
                <w:highlight w:val="none"/>
              </w:rPr>
              <w:t>评标委员会构成：共5人。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840" w:type="dxa"/>
            <w:vAlign w:val="center"/>
          </w:tcPr>
          <w:p>
            <w:pPr>
              <w:pStyle w:val="29"/>
              <w:spacing w:line="360" w:lineRule="auto"/>
              <w:rPr>
                <w:rFonts w:hint="default" w:eastAsia="宋体"/>
                <w:highlight w:val="none"/>
                <w:lang w:val="en-US" w:eastAsia="zh-CN"/>
              </w:rPr>
            </w:pPr>
            <w:r>
              <w:rPr>
                <w:rFonts w:hint="eastAsia"/>
                <w:highlight w:val="none"/>
                <w:lang w:val="en-US" w:eastAsia="zh-CN"/>
              </w:rPr>
              <w:t>30.1</w:t>
            </w:r>
          </w:p>
        </w:tc>
        <w:tc>
          <w:tcPr>
            <w:tcW w:w="1619" w:type="dxa"/>
            <w:vAlign w:val="center"/>
          </w:tcPr>
          <w:p>
            <w:pPr>
              <w:pStyle w:val="29"/>
              <w:spacing w:line="360" w:lineRule="auto"/>
              <w:rPr>
                <w:highlight w:val="none"/>
              </w:rPr>
            </w:pPr>
            <w:r>
              <w:rPr>
                <w:rFonts w:hint="eastAsia"/>
                <w:highlight w:val="none"/>
              </w:rPr>
              <w:t>招标代理服务费</w:t>
            </w:r>
          </w:p>
        </w:tc>
        <w:tc>
          <w:tcPr>
            <w:tcW w:w="6884" w:type="dxa"/>
            <w:vAlign w:val="center"/>
          </w:tcPr>
          <w:p>
            <w:pPr>
              <w:spacing w:line="360" w:lineRule="auto"/>
              <w:rPr>
                <w:rFonts w:hint="eastAsia"/>
                <w:highlight w:val="none"/>
                <w:lang w:eastAsia="zh-CN"/>
              </w:rPr>
            </w:pPr>
            <w:r>
              <w:rPr>
                <w:rFonts w:hint="eastAsia"/>
                <w:highlight w:val="none"/>
                <w:lang w:eastAsia="zh-CN"/>
              </w:rPr>
              <w:t>招标代理服务费依据《国家计委关于印发招标代理服务收费管理暂行办法的通知》（计价格【2002】1980号）和国家发改委办公厅颁发的《关于招标代理服务收费有关问题的通知》（发改办价格【2003】857号）文件规定标准收取；确定中标人后3日内，由中标人一次性支付给腾德工程咨询有限公司。</w:t>
            </w:r>
          </w:p>
          <w:p>
            <w:pPr>
              <w:spacing w:line="360" w:lineRule="auto"/>
              <w:rPr>
                <w:rFonts w:hint="eastAsia" w:ascii="宋体" w:hAnsi="宋体" w:eastAsia="宋体" w:cs="Times New Roman"/>
                <w:b/>
                <w:bCs/>
                <w:spacing w:val="4"/>
                <w:sz w:val="24"/>
                <w:szCs w:val="24"/>
                <w:highlight w:val="none"/>
                <w:lang w:val="en-US" w:eastAsia="zh-CN"/>
              </w:rPr>
            </w:pPr>
            <w:r>
              <w:rPr>
                <w:rFonts w:hint="eastAsia" w:ascii="宋体" w:hAnsi="宋体" w:eastAsia="宋体" w:cs="Times New Roman"/>
                <w:b/>
                <w:bCs/>
                <w:spacing w:val="4"/>
                <w:sz w:val="24"/>
                <w:szCs w:val="24"/>
                <w:highlight w:val="none"/>
                <w:lang w:val="zh-CN" w:eastAsia="zh-CN"/>
              </w:rPr>
              <w:t>招标代理服务费缴纳账户信息：</w:t>
            </w:r>
          </w:p>
          <w:p>
            <w:pPr>
              <w:spacing w:line="360" w:lineRule="auto"/>
              <w:rPr>
                <w:rFonts w:hint="eastAsia" w:ascii="宋体" w:hAnsi="宋体" w:eastAsia="宋体" w:cs="Times New Roman"/>
                <w:b/>
                <w:bCs/>
                <w:spacing w:val="4"/>
                <w:sz w:val="24"/>
                <w:szCs w:val="24"/>
                <w:highlight w:val="none"/>
                <w:lang w:val="zh-CN" w:eastAsia="zh-CN"/>
              </w:rPr>
            </w:pPr>
            <w:r>
              <w:rPr>
                <w:rFonts w:hint="eastAsia" w:ascii="宋体" w:hAnsi="宋体" w:eastAsia="宋体" w:cs="Times New Roman"/>
                <w:b/>
                <w:bCs/>
                <w:spacing w:val="4"/>
                <w:sz w:val="24"/>
                <w:szCs w:val="24"/>
                <w:highlight w:val="none"/>
                <w:lang w:val="zh-CN" w:eastAsia="zh-CN"/>
              </w:rPr>
              <w:t>代理机构开户名称：腾德工程咨询有限公司</w:t>
            </w:r>
          </w:p>
          <w:p>
            <w:pPr>
              <w:spacing w:line="360" w:lineRule="auto"/>
              <w:rPr>
                <w:rFonts w:hint="eastAsia" w:ascii="宋体" w:hAnsi="宋体" w:eastAsia="宋体" w:cs="Times New Roman"/>
                <w:b/>
                <w:bCs/>
                <w:spacing w:val="4"/>
                <w:sz w:val="24"/>
                <w:szCs w:val="24"/>
                <w:highlight w:val="none"/>
                <w:lang w:val="zh-CN" w:eastAsia="zh-CN"/>
              </w:rPr>
            </w:pPr>
            <w:r>
              <w:rPr>
                <w:rFonts w:hint="eastAsia" w:ascii="宋体" w:hAnsi="宋体" w:eastAsia="宋体" w:cs="Times New Roman"/>
                <w:b/>
                <w:bCs/>
                <w:spacing w:val="4"/>
                <w:sz w:val="24"/>
                <w:szCs w:val="24"/>
                <w:highlight w:val="none"/>
                <w:lang w:val="zh-CN" w:eastAsia="zh-CN"/>
              </w:rPr>
              <w:t>开户行：中国光大银行股份有限公司西安凤城九路支行</w:t>
            </w:r>
          </w:p>
          <w:p>
            <w:pPr>
              <w:pStyle w:val="2"/>
              <w:rPr>
                <w:highlight w:val="none"/>
              </w:rPr>
            </w:pPr>
            <w:r>
              <w:rPr>
                <w:rFonts w:hint="eastAsia" w:ascii="宋体" w:hAnsi="宋体" w:eastAsia="宋体" w:cs="Times New Roman"/>
                <w:b/>
                <w:bCs/>
                <w:spacing w:val="4"/>
                <w:sz w:val="24"/>
                <w:szCs w:val="24"/>
                <w:highlight w:val="none"/>
                <w:lang w:val="zh-CN" w:eastAsia="zh-CN"/>
              </w:rPr>
              <w:t>账  号：79260188000034793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1" w:hRule="atLeast"/>
          <w:jc w:val="center"/>
        </w:trPr>
        <w:tc>
          <w:tcPr>
            <w:tcW w:w="840" w:type="dxa"/>
            <w:vAlign w:val="center"/>
          </w:tcPr>
          <w:p>
            <w:pPr>
              <w:pStyle w:val="29"/>
              <w:spacing w:line="360" w:lineRule="auto"/>
              <w:rPr>
                <w:rFonts w:hint="default" w:eastAsia="宋体"/>
                <w:highlight w:val="none"/>
                <w:lang w:val="en-US" w:eastAsia="zh-CN"/>
              </w:rPr>
            </w:pPr>
            <w:bookmarkStart w:id="25" w:name="_Toc15533"/>
            <w:bookmarkStart w:id="26" w:name="_Toc403077639"/>
            <w:bookmarkStart w:id="27" w:name="_Toc363473972"/>
            <w:bookmarkStart w:id="28" w:name="_Toc6935"/>
            <w:bookmarkStart w:id="29" w:name="_Toc363474017"/>
            <w:r>
              <w:rPr>
                <w:rFonts w:hint="eastAsia"/>
                <w:highlight w:val="none"/>
                <w:lang w:val="en-US" w:eastAsia="zh-CN"/>
              </w:rPr>
              <w:t>33</w:t>
            </w:r>
          </w:p>
        </w:tc>
        <w:tc>
          <w:tcPr>
            <w:tcW w:w="1619" w:type="dxa"/>
            <w:vAlign w:val="center"/>
          </w:tcPr>
          <w:p>
            <w:pPr>
              <w:pStyle w:val="29"/>
              <w:spacing w:line="360" w:lineRule="auto"/>
              <w:rPr>
                <w:rFonts w:hint="eastAsia" w:ascii="宋体" w:hAnsi="宋体" w:eastAsia="宋体" w:cs="宋体"/>
                <w:szCs w:val="22"/>
                <w:highlight w:val="none"/>
                <w:lang w:eastAsia="zh-CN"/>
              </w:rPr>
            </w:pPr>
            <w:r>
              <w:rPr>
                <w:rFonts w:hint="eastAsia" w:cs="宋体"/>
                <w:szCs w:val="22"/>
                <w:highlight w:val="none"/>
                <w:lang w:val="en-US" w:eastAsia="zh-CN"/>
              </w:rPr>
              <w:t>其他</w:t>
            </w:r>
          </w:p>
        </w:tc>
        <w:tc>
          <w:tcPr>
            <w:tcW w:w="6884" w:type="dxa"/>
            <w:vAlign w:val="center"/>
          </w:tcPr>
          <w:p>
            <w:pPr>
              <w:pStyle w:val="29"/>
              <w:spacing w:line="360" w:lineRule="auto"/>
              <w:jc w:val="left"/>
              <w:rPr>
                <w:rFonts w:hint="default" w:eastAsia="宋体"/>
                <w:highlight w:val="none"/>
                <w:lang w:val="en-US" w:eastAsia="zh-CN"/>
              </w:rPr>
            </w:pPr>
            <w:r>
              <w:rPr>
                <w:rFonts w:hint="eastAsia"/>
                <w:highlight w:val="none"/>
                <w:lang w:eastAsia="zh-CN"/>
              </w:rPr>
              <w:t>（</w:t>
            </w:r>
            <w:r>
              <w:rPr>
                <w:rFonts w:hint="eastAsia"/>
                <w:highlight w:val="none"/>
                <w:lang w:val="en-US" w:eastAsia="zh-CN"/>
              </w:rPr>
              <w:t>1）本项目采购标的所属行业为工业；</w:t>
            </w:r>
          </w:p>
          <w:p>
            <w:pPr>
              <w:pStyle w:val="29"/>
              <w:spacing w:line="360" w:lineRule="auto"/>
              <w:jc w:val="left"/>
              <w:rPr>
                <w:rFonts w:hint="eastAsia"/>
                <w:highlight w:val="none"/>
              </w:rPr>
            </w:pPr>
            <w:r>
              <w:rPr>
                <w:rFonts w:hint="eastAsia"/>
                <w:highlight w:val="none"/>
                <w:lang w:eastAsia="zh-CN"/>
              </w:rPr>
              <w:t>（</w:t>
            </w:r>
            <w:r>
              <w:rPr>
                <w:rFonts w:hint="eastAsia"/>
                <w:highlight w:val="none"/>
                <w:lang w:val="en-US" w:eastAsia="zh-CN"/>
              </w:rPr>
              <w:t>2）</w:t>
            </w:r>
            <w:r>
              <w:rPr>
                <w:rFonts w:hint="eastAsia"/>
                <w:highlight w:val="none"/>
              </w:rPr>
              <w:t>投标人须知前附表和须知不一致的地方，以前附表为准。</w:t>
            </w:r>
          </w:p>
        </w:tc>
      </w:tr>
      <w:bookmarkEnd w:id="8"/>
      <w:bookmarkEnd w:id="9"/>
      <w:bookmarkEnd w:id="10"/>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aps w:val="0"/>
          <w:color w:val="auto"/>
          <w:spacing w:val="0"/>
          <w:sz w:val="24"/>
          <w:szCs w:val="24"/>
          <w:highlight w:val="none"/>
          <w:shd w:val="clear" w:color="auto" w:fill="FFFFFF"/>
          <w:lang w:eastAsia="zh-CN"/>
        </w:rPr>
      </w:pPr>
      <w:r>
        <w:rPr>
          <w:rStyle w:val="30"/>
          <w:rFonts w:hint="eastAsia"/>
          <w:highlight w:val="none"/>
        </w:rPr>
        <w:br w:type="page"/>
      </w:r>
      <w:r>
        <w:rPr>
          <w:rFonts w:hint="eastAsia" w:ascii="宋体" w:hAnsi="宋体" w:eastAsia="宋体" w:cs="宋体"/>
          <w:b/>
          <w:bCs/>
          <w:i w:val="0"/>
          <w:iCs w:val="0"/>
          <w:caps w:val="0"/>
          <w:color w:val="auto"/>
          <w:spacing w:val="0"/>
          <w:sz w:val="24"/>
          <w:szCs w:val="24"/>
          <w:highlight w:val="none"/>
          <w:shd w:val="clear" w:color="auto" w:fill="FFFFFF"/>
          <w:lang w:eastAsia="zh-CN"/>
        </w:rPr>
        <w:t>2021年至2022年陕西省政府采购支持中小企业信用融资合作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eastAsia="宋体" w:cs="宋体"/>
          <w:b/>
          <w:bCs/>
          <w:i w:val="0"/>
          <w:iCs w:val="0"/>
          <w:caps w:val="0"/>
          <w:color w:val="auto"/>
          <w:spacing w:val="0"/>
          <w:sz w:val="24"/>
          <w:szCs w:val="24"/>
          <w:highlight w:val="none"/>
          <w:shd w:val="clear" w:color="auto" w:fill="FFFFFF"/>
          <w:lang w:eastAsia="zh-CN"/>
        </w:rPr>
        <w:t>银行</w:t>
      </w:r>
      <w:r>
        <w:rPr>
          <w:rFonts w:hint="eastAsia" w:ascii="宋体" w:hAnsi="宋体" w:eastAsia="宋体" w:cs="宋体"/>
          <w:b/>
          <w:bCs/>
          <w:i w:val="0"/>
          <w:iCs w:val="0"/>
          <w:caps w:val="0"/>
          <w:color w:val="auto"/>
          <w:spacing w:val="0"/>
          <w:sz w:val="24"/>
          <w:szCs w:val="24"/>
          <w:highlight w:val="none"/>
          <w:shd w:val="clear" w:color="auto" w:fill="FFFFFF"/>
          <w:lang w:val="en-US" w:eastAsia="zh-CN"/>
        </w:rPr>
        <w:t>名单</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rPr>
        <w:t>根据中办、国办《关于促进中小企业健康发展的指导意见》、</w:t>
      </w:r>
      <w:r>
        <w:rPr>
          <w:rFonts w:hint="eastAsia" w:ascii="宋体" w:hAnsi="宋体" w:eastAsia="宋体" w:cs="宋体"/>
          <w:b w:val="0"/>
          <w:bCs w:val="0"/>
          <w:color w:val="auto"/>
          <w:kern w:val="2"/>
          <w:sz w:val="24"/>
          <w:szCs w:val="24"/>
          <w:highlight w:val="none"/>
          <w:lang w:val="en-US" w:eastAsia="zh-CN" w:bidi="ar-SA"/>
        </w:rPr>
        <w:t>财政部、工信部《政府采购促进中小企业发展管理办法》（财库〔2020〕46号）、财政部《关于进一步加大政府采购支持中小企业力度的通知》（财库〔2022〕19号）</w:t>
      </w:r>
      <w:r>
        <w:rPr>
          <w:rFonts w:hint="eastAsia" w:ascii="宋体" w:hAnsi="宋体" w:eastAsia="宋体" w:cs="宋体"/>
          <w:i w:val="0"/>
          <w:iCs w:val="0"/>
          <w:caps w:val="0"/>
          <w:color w:val="auto"/>
          <w:spacing w:val="0"/>
          <w:sz w:val="24"/>
          <w:szCs w:val="24"/>
          <w:highlight w:val="none"/>
          <w:shd w:val="clear" w:color="auto" w:fill="FFFFFF"/>
        </w:rPr>
        <w:t>、陕西省政府《应对新冠肺炎疫情支持中小微企业稳定健康发展若干措施》（陕政办发〔2020〕4号）、陕西省财政厅《陕西省中小企业政府采购信用融资办法》（陕财办采〔2018〕23号）等有关规定</w:t>
      </w:r>
      <w:r>
        <w:rPr>
          <w:rFonts w:hint="eastAsia" w:ascii="宋体" w:hAnsi="宋体" w:eastAsia="宋体" w:cs="宋体"/>
          <w:i w:val="0"/>
          <w:iCs w:val="0"/>
          <w:caps w:val="0"/>
          <w:color w:val="auto"/>
          <w:spacing w:val="0"/>
          <w:sz w:val="24"/>
          <w:szCs w:val="24"/>
          <w:highlight w:val="none"/>
          <w:shd w:val="clear" w:color="auto" w:fill="FFFFFF"/>
          <w:lang w:eastAsia="zh-CN"/>
        </w:rPr>
        <w:t>，2021年至2022年陕西省政府采购支持中小企业信用融资合作银行</w:t>
      </w:r>
      <w:r>
        <w:rPr>
          <w:rFonts w:hint="eastAsia" w:ascii="宋体" w:hAnsi="宋体" w:eastAsia="宋体" w:cs="宋体"/>
          <w:i w:val="0"/>
          <w:iCs w:val="0"/>
          <w:caps w:val="0"/>
          <w:color w:val="auto"/>
          <w:spacing w:val="0"/>
          <w:sz w:val="24"/>
          <w:szCs w:val="24"/>
          <w:highlight w:val="none"/>
          <w:shd w:val="clear" w:color="auto" w:fill="FFFFFF"/>
          <w:lang w:val="en-US" w:eastAsia="zh-CN"/>
        </w:rPr>
        <w:t>名单如下（</w:t>
      </w:r>
      <w:r>
        <w:rPr>
          <w:rFonts w:hint="eastAsia" w:ascii="宋体" w:hAnsi="宋体" w:eastAsia="宋体" w:cs="宋体"/>
          <w:i w:val="0"/>
          <w:iCs w:val="0"/>
          <w:caps w:val="0"/>
          <w:color w:val="auto"/>
          <w:spacing w:val="0"/>
          <w:sz w:val="24"/>
          <w:szCs w:val="24"/>
          <w:highlight w:val="none"/>
          <w:shd w:val="clear" w:color="auto" w:fill="FFFFFF"/>
          <w:lang w:eastAsia="zh-CN"/>
        </w:rPr>
        <w:t>合作有效时间：2021年9月1日至2022年8月31）</w:t>
      </w:r>
      <w:r>
        <w:rPr>
          <w:rFonts w:hint="eastAsia" w:ascii="宋体" w:hAnsi="宋体" w:eastAsia="宋体" w:cs="宋体"/>
          <w:i w:val="0"/>
          <w:iCs w:val="0"/>
          <w:caps w:val="0"/>
          <w:color w:val="auto"/>
          <w:spacing w:val="0"/>
          <w:sz w:val="24"/>
          <w:szCs w:val="24"/>
          <w:highlight w:val="none"/>
          <w:shd w:val="clear" w:color="auto" w:fill="FFFFFF"/>
          <w:lang w:val="en-US" w:eastAsia="zh-CN"/>
        </w:rPr>
        <w:t>：</w:t>
      </w:r>
    </w:p>
    <w:p>
      <w:pPr>
        <w:spacing w:line="360" w:lineRule="auto"/>
        <w:jc w:val="center"/>
        <w:rPr>
          <w:rFonts w:ascii="微软雅黑" w:hAnsi="微软雅黑" w:eastAsia="微软雅黑" w:cs="微软雅黑"/>
          <w:i w:val="0"/>
          <w:iCs w:val="0"/>
          <w:caps w:val="0"/>
          <w:color w:val="auto"/>
          <w:spacing w:val="0"/>
          <w:sz w:val="21"/>
          <w:szCs w:val="21"/>
          <w:highlight w:val="none"/>
          <w:shd w:val="clear" w:color="auto" w:fill="FFFFFF"/>
        </w:rPr>
      </w:pPr>
      <w:r>
        <w:rPr>
          <w:rFonts w:ascii="微软雅黑" w:hAnsi="微软雅黑" w:eastAsia="微软雅黑" w:cs="微软雅黑"/>
          <w:i w:val="0"/>
          <w:iCs w:val="0"/>
          <w:caps w:val="0"/>
          <w:color w:val="auto"/>
          <w:spacing w:val="0"/>
          <w:sz w:val="21"/>
          <w:szCs w:val="21"/>
          <w:highlight w:val="none"/>
          <w:shd w:val="clear" w:color="auto" w:fill="FFFFFF"/>
        </w:rPr>
        <w:drawing>
          <wp:inline distT="0" distB="0" distL="114300" distR="114300">
            <wp:extent cx="5966460" cy="4582160"/>
            <wp:effectExtent l="0" t="0" r="15240" b="889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4"/>
                    <a:stretch>
                      <a:fillRect/>
                    </a:stretch>
                  </pic:blipFill>
                  <pic:spPr>
                    <a:xfrm>
                      <a:off x="0" y="0"/>
                      <a:ext cx="5966460" cy="45821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注：此名单以陕西省政府采购网发布的最新名单为准，具体可登陆陕西省政府采购网(www.ccgp-shaanxi.gov.cn/）重要通知专栏查询。</w:t>
      </w:r>
    </w:p>
    <w:p>
      <w:pPr>
        <w:spacing w:line="360" w:lineRule="auto"/>
        <w:jc w:val="center"/>
        <w:rPr>
          <w:rFonts w:hint="default" w:ascii="宋体" w:hAnsi="宋体" w:eastAsia="宋体" w:cs="宋体"/>
          <w:b/>
          <w:bCs/>
          <w:i w:val="0"/>
          <w:iCs w:val="0"/>
          <w:caps w:val="0"/>
          <w:color w:val="auto"/>
          <w:spacing w:val="0"/>
          <w:sz w:val="24"/>
          <w:szCs w:val="24"/>
          <w:highlight w:val="none"/>
          <w:shd w:val="clear" w:color="auto" w:fill="FFFFFF"/>
          <w:lang w:eastAsia="zh-CN"/>
        </w:rPr>
      </w:pPr>
      <w:r>
        <w:rPr>
          <w:rFonts w:hint="default" w:ascii="宋体" w:hAnsi="宋体" w:eastAsia="宋体" w:cs="宋体"/>
          <w:b/>
          <w:bCs/>
          <w:i w:val="0"/>
          <w:iCs w:val="0"/>
          <w:caps w:val="0"/>
          <w:color w:val="auto"/>
          <w:spacing w:val="0"/>
          <w:sz w:val="28"/>
          <w:szCs w:val="28"/>
          <w:highlight w:val="none"/>
          <w:shd w:val="clear" w:color="auto" w:fill="FFFFFF"/>
          <w:lang w:eastAsia="zh-CN"/>
        </w:rPr>
        <w:br w:type="page"/>
      </w:r>
      <w:r>
        <w:rPr>
          <w:rFonts w:hint="default" w:ascii="宋体" w:hAnsi="宋体" w:eastAsia="宋体" w:cs="宋体"/>
          <w:b/>
          <w:bCs/>
          <w:i w:val="0"/>
          <w:iCs w:val="0"/>
          <w:caps w:val="0"/>
          <w:color w:val="auto"/>
          <w:spacing w:val="0"/>
          <w:sz w:val="24"/>
          <w:szCs w:val="24"/>
          <w:highlight w:val="none"/>
          <w:shd w:val="clear" w:color="auto" w:fill="FFFFFF"/>
          <w:lang w:eastAsia="zh-CN"/>
        </w:rPr>
        <w:t>2022年陕西省政府采购支持中小企业信用融资合作银行</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color w:val="auto"/>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rPr>
        <w:t>根据中办、国办《关于促进中小企业健康发展的指导意见》、</w:t>
      </w:r>
      <w:r>
        <w:rPr>
          <w:rFonts w:hint="eastAsia" w:ascii="宋体" w:hAnsi="宋体" w:eastAsia="宋体" w:cs="Times New Roman"/>
          <w:b w:val="0"/>
          <w:bCs w:val="0"/>
          <w:color w:val="auto"/>
          <w:kern w:val="2"/>
          <w:sz w:val="24"/>
          <w:szCs w:val="24"/>
          <w:highlight w:val="none"/>
          <w:lang w:val="en-US" w:eastAsia="zh-CN" w:bidi="ar-SA"/>
        </w:rPr>
        <w:t>财政部、工信部《政府采购促进中小企业发展管理办法》（财库〔2020〕46号）、财政部《关于进一步加大政府采购支持中小企业力度的通知》（财库〔2022〕19号）</w:t>
      </w:r>
      <w:r>
        <w:rPr>
          <w:rFonts w:hint="eastAsia" w:ascii="宋体" w:hAnsi="宋体" w:eastAsia="宋体" w:cs="宋体"/>
          <w:i w:val="0"/>
          <w:iCs w:val="0"/>
          <w:caps w:val="0"/>
          <w:color w:val="auto"/>
          <w:spacing w:val="0"/>
          <w:sz w:val="24"/>
          <w:szCs w:val="24"/>
          <w:highlight w:val="none"/>
          <w:shd w:val="clear" w:color="auto" w:fill="FFFFFF"/>
        </w:rPr>
        <w:t>、陕西省政府《应对新冠肺炎疫情支持中小微企业稳定健康发展若干措施》（陕政办发〔2020〕4号）、陕西省财政厅《陕西省中小企业政府采购信用融资办法》（陕财办采〔2018〕23号）等有关规定</w:t>
      </w:r>
      <w:r>
        <w:rPr>
          <w:rFonts w:hint="eastAsia" w:ascii="宋体" w:hAnsi="宋体" w:eastAsia="宋体" w:cs="宋体"/>
          <w:i w:val="0"/>
          <w:iCs w:val="0"/>
          <w:caps w:val="0"/>
          <w:color w:val="auto"/>
          <w:spacing w:val="0"/>
          <w:sz w:val="24"/>
          <w:szCs w:val="24"/>
          <w:highlight w:val="none"/>
          <w:shd w:val="clear" w:color="auto" w:fill="FFFFFF"/>
          <w:lang w:eastAsia="zh-CN"/>
        </w:rPr>
        <w:t>，2021年至2022年陕西省政府采购支持中小企业信用融资合作银行</w:t>
      </w:r>
      <w:r>
        <w:rPr>
          <w:rFonts w:hint="eastAsia" w:ascii="宋体" w:hAnsi="宋体" w:eastAsia="宋体" w:cs="宋体"/>
          <w:i w:val="0"/>
          <w:iCs w:val="0"/>
          <w:caps w:val="0"/>
          <w:color w:val="auto"/>
          <w:spacing w:val="0"/>
          <w:sz w:val="24"/>
          <w:szCs w:val="24"/>
          <w:highlight w:val="none"/>
          <w:shd w:val="clear" w:color="auto" w:fill="FFFFFF"/>
          <w:lang w:val="en-US" w:eastAsia="zh-CN"/>
        </w:rPr>
        <w:t>名单如下（</w:t>
      </w:r>
      <w:r>
        <w:rPr>
          <w:rFonts w:hint="eastAsia" w:ascii="宋体" w:hAnsi="宋体" w:eastAsia="宋体" w:cs="宋体"/>
          <w:i w:val="0"/>
          <w:iCs w:val="0"/>
          <w:caps w:val="0"/>
          <w:color w:val="auto"/>
          <w:spacing w:val="0"/>
          <w:sz w:val="24"/>
          <w:szCs w:val="24"/>
          <w:highlight w:val="none"/>
          <w:shd w:val="clear" w:color="auto" w:fill="FFFFFF"/>
          <w:lang w:eastAsia="zh-CN"/>
        </w:rPr>
        <w:t>合作有效时间：2022年5月6日至2022年12月31）</w:t>
      </w:r>
      <w:r>
        <w:rPr>
          <w:rFonts w:hint="eastAsia" w:ascii="宋体" w:hAnsi="宋体" w:eastAsia="宋体" w:cs="宋体"/>
          <w:i w:val="0"/>
          <w:iCs w:val="0"/>
          <w:caps w:val="0"/>
          <w:color w:val="auto"/>
          <w:spacing w:val="0"/>
          <w:sz w:val="24"/>
          <w:szCs w:val="24"/>
          <w:highlight w:val="none"/>
          <w:shd w:val="clear" w:color="auto" w:fill="FFFFFF"/>
          <w:lang w:val="en-US" w:eastAsia="zh-CN"/>
        </w:rPr>
        <w:t>：</w:t>
      </w:r>
    </w:p>
    <w:p>
      <w:pPr>
        <w:spacing w:line="360" w:lineRule="auto"/>
        <w:jc w:val="center"/>
        <w:rPr>
          <w:rFonts w:hint="eastAsia" w:ascii="宋体" w:hAnsi="宋体" w:eastAsia="宋体" w:cs="宋体"/>
          <w:b/>
          <w:color w:val="auto"/>
          <w:sz w:val="36"/>
          <w:highlight w:val="none"/>
        </w:rPr>
      </w:pPr>
      <w:r>
        <w:rPr>
          <w:rFonts w:ascii="微软雅黑" w:hAnsi="微软雅黑" w:eastAsia="微软雅黑" w:cs="微软雅黑"/>
          <w:i w:val="0"/>
          <w:iCs w:val="0"/>
          <w:caps w:val="0"/>
          <w:color w:val="auto"/>
          <w:spacing w:val="0"/>
          <w:sz w:val="21"/>
          <w:szCs w:val="21"/>
          <w:highlight w:val="none"/>
          <w:shd w:val="clear" w:color="auto" w:fill="FFFFFF"/>
        </w:rPr>
        <w:fldChar w:fldCharType="begin"/>
      </w:r>
      <w:r>
        <w:rPr>
          <w:rFonts w:ascii="微软雅黑" w:hAnsi="微软雅黑" w:eastAsia="微软雅黑" w:cs="微软雅黑"/>
          <w:i w:val="0"/>
          <w:iCs w:val="0"/>
          <w:caps w:val="0"/>
          <w:color w:val="auto"/>
          <w:spacing w:val="0"/>
          <w:sz w:val="21"/>
          <w:szCs w:val="21"/>
          <w:highlight w:val="none"/>
          <w:shd w:val="clear" w:color="auto" w:fill="FFFFFF"/>
        </w:rPr>
        <w:instrText xml:space="preserve">INCLUDEPICTURE \d "http://www.ccgp-shaanxi.gov.cn/cms-sx/upload/a7a15d60-de5b-42f2-b35a-7e3efc34e54f/20220506/19101651822165715.png" \* MERGEFORMATINET </w:instrText>
      </w:r>
      <w:r>
        <w:rPr>
          <w:rFonts w:ascii="微软雅黑" w:hAnsi="微软雅黑" w:eastAsia="微软雅黑" w:cs="微软雅黑"/>
          <w:i w:val="0"/>
          <w:iCs w:val="0"/>
          <w:caps w:val="0"/>
          <w:color w:val="auto"/>
          <w:spacing w:val="0"/>
          <w:sz w:val="21"/>
          <w:szCs w:val="21"/>
          <w:highlight w:val="none"/>
          <w:shd w:val="clear" w:color="auto" w:fill="FFFFFF"/>
        </w:rPr>
        <w:fldChar w:fldCharType="separate"/>
      </w:r>
      <w:r>
        <w:rPr>
          <w:rFonts w:ascii="微软雅黑" w:hAnsi="微软雅黑" w:eastAsia="微软雅黑" w:cs="微软雅黑"/>
          <w:i w:val="0"/>
          <w:iCs w:val="0"/>
          <w:caps w:val="0"/>
          <w:color w:val="auto"/>
          <w:spacing w:val="0"/>
          <w:sz w:val="21"/>
          <w:szCs w:val="21"/>
          <w:highlight w:val="none"/>
          <w:shd w:val="clear" w:color="auto" w:fill="FFFFFF"/>
        </w:rPr>
        <w:drawing>
          <wp:inline distT="0" distB="0" distL="114300" distR="114300">
            <wp:extent cx="5280025" cy="1383030"/>
            <wp:effectExtent l="0" t="0" r="15875" b="762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5"/>
                    <a:stretch>
                      <a:fillRect/>
                    </a:stretch>
                  </pic:blipFill>
                  <pic:spPr>
                    <a:xfrm>
                      <a:off x="0" y="0"/>
                      <a:ext cx="5280025" cy="1383030"/>
                    </a:xfrm>
                    <a:prstGeom prst="rect">
                      <a:avLst/>
                    </a:prstGeom>
                    <a:noFill/>
                    <a:ln>
                      <a:noFill/>
                    </a:ln>
                  </pic:spPr>
                </pic:pic>
              </a:graphicData>
            </a:graphic>
          </wp:inline>
        </w:drawing>
      </w:r>
      <w:r>
        <w:rPr>
          <w:rFonts w:hint="eastAsia" w:ascii="微软雅黑" w:hAnsi="微软雅黑" w:eastAsia="微软雅黑" w:cs="微软雅黑"/>
          <w:i w:val="0"/>
          <w:iCs w:val="0"/>
          <w:caps w:val="0"/>
          <w:color w:val="auto"/>
          <w:spacing w:val="0"/>
          <w:sz w:val="21"/>
          <w:szCs w:val="21"/>
          <w:highlight w:val="none"/>
          <w:shd w:val="clear" w:color="auto" w:fill="FFFFFF"/>
        </w:rPr>
        <w:fldChar w:fldCharType="end"/>
      </w:r>
    </w:p>
    <w:p>
      <w:pPr>
        <w:rPr>
          <w:rFonts w:hint="eastAsia"/>
          <w:b/>
          <w:color w:val="auto"/>
          <w:sz w:val="24"/>
          <w:szCs w:val="24"/>
          <w:highlight w:val="none"/>
          <w:lang w:val="en-US" w:eastAsia="zh-CN"/>
        </w:rPr>
      </w:pPr>
      <w:r>
        <w:rPr>
          <w:rFonts w:hint="eastAsia"/>
          <w:b/>
          <w:color w:val="auto"/>
          <w:sz w:val="24"/>
          <w:szCs w:val="24"/>
          <w:highlight w:val="none"/>
          <w:lang w:val="en-US" w:eastAsia="zh-CN"/>
        </w:rPr>
        <w:t>注：此名单以陕西省政府采购网发布的最新名单为准，具体可登陆陕西省政府采购网(www.ccgp-shaanxi.gov.cn/）重要通知专栏查询。</w:t>
      </w:r>
    </w:p>
    <w:p>
      <w:pPr>
        <w:rPr>
          <w:rFonts w:hint="eastAsia"/>
          <w:b/>
          <w:color w:val="auto"/>
          <w:sz w:val="24"/>
          <w:szCs w:val="24"/>
          <w:highlight w:val="none"/>
          <w:lang w:val="en-US" w:eastAsia="zh-CN"/>
        </w:rPr>
      </w:pPr>
      <w:r>
        <w:rPr>
          <w:rFonts w:hint="eastAsia"/>
          <w:b/>
          <w:color w:val="auto"/>
          <w:sz w:val="24"/>
          <w:szCs w:val="24"/>
          <w:highlight w:val="none"/>
          <w:lang w:val="en-US" w:eastAsia="zh-CN"/>
        </w:rPr>
        <w:br w:type="page"/>
      </w:r>
    </w:p>
    <w:p>
      <w:pPr>
        <w:spacing w:line="360" w:lineRule="auto"/>
        <w:jc w:val="center"/>
        <w:rPr>
          <w:rFonts w:hint="default" w:ascii="宋体" w:hAnsi="宋体" w:eastAsia="宋体" w:cs="宋体"/>
          <w:b/>
          <w:bCs/>
          <w:i w:val="0"/>
          <w:iCs w:val="0"/>
          <w:caps w:val="0"/>
          <w:color w:val="auto"/>
          <w:spacing w:val="0"/>
          <w:sz w:val="24"/>
          <w:szCs w:val="24"/>
          <w:highlight w:val="none"/>
          <w:shd w:val="clear" w:color="auto" w:fill="FFFFFF"/>
          <w:lang w:eastAsia="zh-CN"/>
        </w:rPr>
      </w:pPr>
      <w:r>
        <w:rPr>
          <w:rFonts w:hint="eastAsia" w:ascii="宋体" w:hAnsi="宋体" w:eastAsia="宋体" w:cs="宋体"/>
          <w:b/>
          <w:bCs/>
          <w:i w:val="0"/>
          <w:iCs w:val="0"/>
          <w:caps w:val="0"/>
          <w:color w:val="auto"/>
          <w:spacing w:val="0"/>
          <w:sz w:val="24"/>
          <w:szCs w:val="24"/>
          <w:highlight w:val="none"/>
          <w:shd w:val="clear" w:color="auto" w:fill="FFFFFF"/>
          <w:lang w:eastAsia="zh-CN"/>
        </w:rPr>
        <w:t>《中小企业划型标准规定》各行业划型标准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（十六）其他未列明行业。从业人员300人以下的为中小微型企业。其中，从业人员100人及以上的为中型企业；从业人员10人及以上的为小型企业；从业人员10人以下的为微型企业。</w:t>
      </w:r>
    </w:p>
    <w:p>
      <w:pPr>
        <w:rPr>
          <w:rFonts w:hint="eastAsia"/>
          <w:b/>
          <w:color w:val="auto"/>
          <w:sz w:val="24"/>
          <w:szCs w:val="24"/>
          <w:highlight w:val="none"/>
          <w:lang w:val="en-US" w:eastAsia="zh-CN"/>
        </w:rPr>
      </w:pPr>
      <w:r>
        <w:rPr>
          <w:rFonts w:hint="eastAsia"/>
          <w:b/>
          <w:color w:val="auto"/>
          <w:sz w:val="24"/>
          <w:szCs w:val="24"/>
          <w:highlight w:val="none"/>
          <w:lang w:val="en-US" w:eastAsia="zh-CN"/>
        </w:rPr>
        <w:br w:type="page"/>
      </w:r>
    </w:p>
    <w:p>
      <w:pPr>
        <w:pStyle w:val="4"/>
        <w:rPr>
          <w:rStyle w:val="30"/>
          <w:b/>
          <w:bCs/>
          <w:highlight w:val="none"/>
        </w:rPr>
      </w:pPr>
      <w:r>
        <w:rPr>
          <w:rStyle w:val="30"/>
          <w:rFonts w:hint="eastAsia"/>
          <w:b/>
          <w:bCs/>
          <w:highlight w:val="none"/>
        </w:rPr>
        <w:t>一.总  则</w:t>
      </w:r>
      <w:bookmarkEnd w:id="25"/>
      <w:bookmarkEnd w:id="26"/>
      <w:bookmarkEnd w:id="27"/>
      <w:bookmarkEnd w:id="28"/>
      <w:bookmarkEnd w:id="29"/>
    </w:p>
    <w:p>
      <w:pPr>
        <w:pStyle w:val="6"/>
        <w:rPr>
          <w:highlight w:val="none"/>
        </w:rPr>
      </w:pPr>
      <w:bookmarkStart w:id="30" w:name="_Toc30734"/>
      <w:bookmarkStart w:id="31" w:name="_Toc23273"/>
      <w:r>
        <w:rPr>
          <w:rFonts w:hint="eastAsia"/>
          <w:highlight w:val="none"/>
        </w:rPr>
        <w:t>1.资金来源</w:t>
      </w:r>
      <w:bookmarkEnd w:id="30"/>
      <w:bookmarkEnd w:id="31"/>
    </w:p>
    <w:p>
      <w:pPr>
        <w:pStyle w:val="9"/>
        <w:ind w:firstLine="480"/>
        <w:rPr>
          <w:highlight w:val="none"/>
        </w:rPr>
      </w:pPr>
      <w:r>
        <w:rPr>
          <w:rFonts w:hint="eastAsia"/>
          <w:highlight w:val="none"/>
        </w:rPr>
        <w:t>1.1本次招标采购所签合同使用财政资金支付，资金已落实到位。</w:t>
      </w:r>
    </w:p>
    <w:p>
      <w:pPr>
        <w:pStyle w:val="6"/>
        <w:rPr>
          <w:highlight w:val="none"/>
        </w:rPr>
      </w:pPr>
      <w:bookmarkStart w:id="32" w:name="_Toc15117"/>
      <w:bookmarkStart w:id="33" w:name="_Toc20780"/>
      <w:r>
        <w:rPr>
          <w:rFonts w:hint="eastAsia"/>
          <w:highlight w:val="none"/>
        </w:rPr>
        <w:t>2.名词解释</w:t>
      </w:r>
      <w:bookmarkEnd w:id="32"/>
      <w:bookmarkEnd w:id="33"/>
    </w:p>
    <w:p>
      <w:pPr>
        <w:pStyle w:val="9"/>
        <w:ind w:firstLine="480"/>
        <w:rPr>
          <w:highlight w:val="none"/>
        </w:rPr>
      </w:pPr>
      <w:r>
        <w:rPr>
          <w:rFonts w:hint="eastAsia"/>
          <w:highlight w:val="none"/>
        </w:rPr>
        <w:t>2.1</w:t>
      </w:r>
      <w:r>
        <w:rPr>
          <w:rFonts w:hint="eastAsia"/>
          <w:highlight w:val="none"/>
          <w:lang w:eastAsia="zh-CN"/>
        </w:rPr>
        <w:t>采购人</w:t>
      </w:r>
      <w:r>
        <w:rPr>
          <w:rFonts w:hint="eastAsia"/>
          <w:highlight w:val="none"/>
        </w:rPr>
        <w:t>：见投标人须知前附表。</w:t>
      </w:r>
    </w:p>
    <w:p>
      <w:pPr>
        <w:pStyle w:val="9"/>
        <w:ind w:firstLine="480"/>
        <w:rPr>
          <w:highlight w:val="none"/>
        </w:rPr>
      </w:pPr>
      <w:r>
        <w:rPr>
          <w:rFonts w:hint="eastAsia"/>
          <w:highlight w:val="none"/>
        </w:rPr>
        <w:t>2.2</w:t>
      </w:r>
      <w:r>
        <w:rPr>
          <w:rFonts w:hint="eastAsia"/>
          <w:highlight w:val="none"/>
          <w:lang w:eastAsia="zh-CN"/>
        </w:rPr>
        <w:t>采购代理机构</w:t>
      </w:r>
      <w:r>
        <w:rPr>
          <w:rFonts w:hint="eastAsia"/>
          <w:highlight w:val="none"/>
        </w:rPr>
        <w:t>：见投标人须知前附表。</w:t>
      </w:r>
    </w:p>
    <w:p>
      <w:pPr>
        <w:pStyle w:val="9"/>
        <w:ind w:firstLine="480"/>
        <w:rPr>
          <w:highlight w:val="none"/>
        </w:rPr>
      </w:pPr>
      <w:r>
        <w:rPr>
          <w:rFonts w:hint="eastAsia"/>
          <w:highlight w:val="none"/>
        </w:rPr>
        <w:t>2.3监督机构：同级人民政府财政部门及有关部门</w:t>
      </w:r>
    </w:p>
    <w:p>
      <w:pPr>
        <w:pStyle w:val="9"/>
        <w:ind w:firstLine="480"/>
        <w:rPr>
          <w:highlight w:val="none"/>
        </w:rPr>
      </w:pPr>
      <w:r>
        <w:rPr>
          <w:rFonts w:hint="eastAsia"/>
          <w:highlight w:val="none"/>
        </w:rPr>
        <w:t>2.4投标人：是指响应和符合招标文件规定资格条件且参与投标竞争的法人、其他组织或者自然人。</w:t>
      </w:r>
    </w:p>
    <w:p>
      <w:pPr>
        <w:pStyle w:val="9"/>
        <w:ind w:firstLine="480"/>
        <w:rPr>
          <w:highlight w:val="none"/>
        </w:rPr>
      </w:pPr>
      <w:r>
        <w:rPr>
          <w:rFonts w:hint="eastAsia"/>
          <w:highlight w:val="none"/>
        </w:rPr>
        <w:t>2.5产品是指本招标文件中第四章所述所有产品。</w:t>
      </w:r>
    </w:p>
    <w:p>
      <w:pPr>
        <w:pStyle w:val="9"/>
        <w:ind w:firstLine="480"/>
        <w:rPr>
          <w:highlight w:val="none"/>
        </w:rPr>
      </w:pPr>
      <w:r>
        <w:rPr>
          <w:rFonts w:hint="eastAsia"/>
          <w:highlight w:val="none"/>
        </w:rPr>
        <w:t>2.6服务是指投标人为满足招标文件要求而提供的服务。</w:t>
      </w:r>
    </w:p>
    <w:p>
      <w:pPr>
        <w:pStyle w:val="9"/>
        <w:ind w:firstLine="480"/>
        <w:rPr>
          <w:highlight w:val="none"/>
        </w:rPr>
      </w:pPr>
      <w:r>
        <w:rPr>
          <w:rFonts w:hint="eastAsia"/>
          <w:highlight w:val="none"/>
        </w:rPr>
        <w:t>2.7节能产品或者环保产品是指依据国家确定的认证机构出具的、处于有效期之内的具有节能产品、环境标志产品认证证书的产品。</w:t>
      </w:r>
    </w:p>
    <w:p>
      <w:pPr>
        <w:pStyle w:val="9"/>
        <w:ind w:firstLine="480"/>
        <w:rPr>
          <w:highlight w:val="none"/>
        </w:rPr>
      </w:pPr>
      <w:r>
        <w:rPr>
          <w:rFonts w:hint="eastAsia"/>
          <w:highlight w:val="none"/>
        </w:rPr>
        <w:t>2.8进口产品是指通过中国海关报关验放进入中国境内且产自关境外的产品，详见《关于政府采购进口产品管理有关问题的通知》(财库[2007]119号)。</w:t>
      </w:r>
    </w:p>
    <w:p>
      <w:pPr>
        <w:pStyle w:val="9"/>
        <w:ind w:firstLine="480"/>
        <w:rPr>
          <w:highlight w:val="none"/>
        </w:rPr>
      </w:pPr>
      <w:r>
        <w:rPr>
          <w:rFonts w:hint="eastAsia"/>
          <w:highlight w:val="none"/>
        </w:rPr>
        <w:t>2.9中小企业是指符合《工业和信息化部、国家统计局、国家发展和改革委员会、财政部关于印发中小企业划型标准规定的通知》（工信部联企业[2011]300号）规定的对中小企业的划分标准的企业。</w:t>
      </w:r>
    </w:p>
    <w:p>
      <w:pPr>
        <w:pStyle w:val="9"/>
        <w:ind w:firstLine="480"/>
        <w:rPr>
          <w:highlight w:val="none"/>
        </w:rPr>
      </w:pPr>
      <w:r>
        <w:rPr>
          <w:rFonts w:hint="eastAsia"/>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ind w:firstLine="480"/>
        <w:rPr>
          <w:highlight w:val="none"/>
        </w:rPr>
      </w:pPr>
      <w:r>
        <w:rPr>
          <w:rFonts w:hint="eastAsia"/>
          <w:highlight w:val="none"/>
        </w:rPr>
        <w:t>2.11残疾人福利性单位是指符合《三部门联合发布关于促进残疾人就业政府采购政策的通知》财库〔2017〕141号规定的对残疾人福利性单位划分标准的单位。</w:t>
      </w:r>
    </w:p>
    <w:p>
      <w:pPr>
        <w:pStyle w:val="6"/>
        <w:rPr>
          <w:highlight w:val="none"/>
        </w:rPr>
      </w:pPr>
      <w:bookmarkStart w:id="34" w:name="_Toc796"/>
      <w:bookmarkStart w:id="35" w:name="_Toc22955"/>
      <w:r>
        <w:rPr>
          <w:rFonts w:hint="eastAsia"/>
          <w:highlight w:val="none"/>
        </w:rPr>
        <w:t>3.合格的投标人</w:t>
      </w:r>
      <w:bookmarkEnd w:id="34"/>
      <w:bookmarkEnd w:id="35"/>
    </w:p>
    <w:p>
      <w:pPr>
        <w:pStyle w:val="9"/>
        <w:ind w:firstLine="480"/>
        <w:rPr>
          <w:highlight w:val="none"/>
        </w:rPr>
      </w:pPr>
      <w:r>
        <w:rPr>
          <w:rFonts w:hint="eastAsia"/>
          <w:highlight w:val="none"/>
        </w:rPr>
        <w:t>3.1《政府采购法》第二十二条第一款规定的投标人基本资格条件：</w:t>
      </w:r>
    </w:p>
    <w:p>
      <w:pPr>
        <w:pStyle w:val="9"/>
        <w:ind w:firstLine="480"/>
        <w:rPr>
          <w:highlight w:val="none"/>
        </w:rPr>
      </w:pPr>
      <w:r>
        <w:rPr>
          <w:rFonts w:hint="eastAsia"/>
          <w:highlight w:val="none"/>
        </w:rPr>
        <w:t xml:space="preserve">   （1）具有独立承担民事责任的能力；</w:t>
      </w:r>
    </w:p>
    <w:p>
      <w:pPr>
        <w:pStyle w:val="9"/>
        <w:ind w:firstLine="480"/>
        <w:rPr>
          <w:highlight w:val="none"/>
        </w:rPr>
      </w:pPr>
      <w:r>
        <w:rPr>
          <w:rFonts w:hint="eastAsia"/>
          <w:highlight w:val="none"/>
        </w:rPr>
        <w:t xml:space="preserve">   （2）具有良好的商业信誉和健全的财务会计制度；</w:t>
      </w:r>
    </w:p>
    <w:p>
      <w:pPr>
        <w:pStyle w:val="9"/>
        <w:ind w:firstLine="480"/>
        <w:rPr>
          <w:highlight w:val="none"/>
        </w:rPr>
      </w:pPr>
      <w:r>
        <w:rPr>
          <w:rFonts w:hint="eastAsia"/>
          <w:highlight w:val="none"/>
        </w:rPr>
        <w:t xml:space="preserve">   （3）具有履行合同所必需的设备和专业技术能力；</w:t>
      </w:r>
    </w:p>
    <w:p>
      <w:pPr>
        <w:pStyle w:val="9"/>
        <w:ind w:firstLine="480"/>
        <w:rPr>
          <w:highlight w:val="none"/>
        </w:rPr>
      </w:pPr>
      <w:r>
        <w:rPr>
          <w:rFonts w:hint="eastAsia"/>
          <w:highlight w:val="none"/>
        </w:rPr>
        <w:t xml:space="preserve">   （4）有依法缴纳税收和社会保障资金的良好记录；</w:t>
      </w:r>
    </w:p>
    <w:p>
      <w:pPr>
        <w:pStyle w:val="9"/>
        <w:ind w:firstLine="480"/>
        <w:rPr>
          <w:highlight w:val="none"/>
        </w:rPr>
      </w:pPr>
      <w:r>
        <w:rPr>
          <w:rFonts w:hint="eastAsia"/>
          <w:highlight w:val="none"/>
        </w:rPr>
        <w:t xml:space="preserve">   （5）参加政府采购活动前三年内，在经营活动中没有重大违法记录；</w:t>
      </w:r>
    </w:p>
    <w:p>
      <w:pPr>
        <w:pStyle w:val="9"/>
        <w:ind w:firstLine="480"/>
        <w:rPr>
          <w:highlight w:val="none"/>
        </w:rPr>
      </w:pPr>
      <w:r>
        <w:rPr>
          <w:rFonts w:hint="eastAsia"/>
          <w:highlight w:val="none"/>
        </w:rPr>
        <w:t xml:space="preserve">   （6）法律、行政法规规定的其他条件。</w:t>
      </w:r>
    </w:p>
    <w:p>
      <w:pPr>
        <w:pStyle w:val="9"/>
        <w:ind w:firstLine="480"/>
        <w:rPr>
          <w:highlight w:val="none"/>
        </w:rPr>
      </w:pPr>
      <w:r>
        <w:rPr>
          <w:rFonts w:hint="eastAsia"/>
          <w:highlight w:val="none"/>
        </w:rPr>
        <w:t>3.2根据本次采购项目的特殊要求，规定的投标人特殊条件（见</w:t>
      </w:r>
      <w:r>
        <w:rPr>
          <w:rFonts w:hint="eastAsia"/>
          <w:highlight w:val="none"/>
          <w:lang w:val="en-US" w:eastAsia="zh-CN"/>
        </w:rPr>
        <w:t>招标公告</w:t>
      </w:r>
      <w:r>
        <w:rPr>
          <w:rFonts w:hint="eastAsia"/>
          <w:highlight w:val="none"/>
        </w:rPr>
        <w:t>）。</w:t>
      </w:r>
    </w:p>
    <w:p>
      <w:pPr>
        <w:pStyle w:val="9"/>
        <w:ind w:firstLine="480"/>
        <w:rPr>
          <w:highlight w:val="none"/>
        </w:rPr>
      </w:pPr>
      <w:r>
        <w:rPr>
          <w:rFonts w:hint="eastAsia"/>
          <w:highlight w:val="none"/>
        </w:rPr>
        <w:t>3.3单位负责人为同一人或者存在直接控股、管理关系的不同投标人，不得参加同一合同项下的政府采购活动。</w:t>
      </w:r>
    </w:p>
    <w:p>
      <w:pPr>
        <w:pStyle w:val="9"/>
        <w:ind w:firstLine="480"/>
        <w:rPr>
          <w:highlight w:val="none"/>
        </w:rPr>
      </w:pPr>
      <w:r>
        <w:rPr>
          <w:rFonts w:hint="eastAsia"/>
          <w:highlight w:val="none"/>
        </w:rPr>
        <w:t>除单一来源采购项目外，为采购项目提供整体设计、规范编制或者项目管理、监理、检测等服务的投标人，不得再参加该采购项目的其他采购活动，否则均为无效投标。</w:t>
      </w:r>
    </w:p>
    <w:p>
      <w:pPr>
        <w:pStyle w:val="9"/>
        <w:ind w:firstLine="480"/>
        <w:rPr>
          <w:highlight w:val="none"/>
        </w:rPr>
      </w:pPr>
      <w:r>
        <w:rPr>
          <w:rFonts w:hint="eastAsia"/>
          <w:highlight w:val="none"/>
        </w:rPr>
        <w:t>3.4投标人必须在</w:t>
      </w:r>
      <w:r>
        <w:rPr>
          <w:rFonts w:hint="eastAsia"/>
          <w:highlight w:val="none"/>
          <w:lang w:eastAsia="zh-CN"/>
        </w:rPr>
        <w:t>腾德工程咨询有限公司</w:t>
      </w:r>
      <w:r>
        <w:rPr>
          <w:rFonts w:hint="eastAsia"/>
          <w:highlight w:val="none"/>
        </w:rPr>
        <w:t>购买招标文件，方可参加投标。招标文件售后不退。</w:t>
      </w:r>
    </w:p>
    <w:p>
      <w:pPr>
        <w:pStyle w:val="9"/>
        <w:ind w:firstLine="480"/>
        <w:rPr>
          <w:highlight w:val="none"/>
        </w:rPr>
      </w:pPr>
      <w:bookmarkStart w:id="36" w:name="OLE_LINK33"/>
      <w:r>
        <w:rPr>
          <w:rFonts w:hint="eastAsia"/>
          <w:highlight w:val="none"/>
        </w:rPr>
        <w:t>3.</w:t>
      </w:r>
      <w:bookmarkEnd w:id="36"/>
      <w:r>
        <w:rPr>
          <w:rFonts w:hint="eastAsia"/>
          <w:highlight w:val="none"/>
        </w:rPr>
        <w:t>5联合体投标</w:t>
      </w:r>
    </w:p>
    <w:p>
      <w:pPr>
        <w:pStyle w:val="9"/>
        <w:ind w:firstLine="480"/>
        <w:rPr>
          <w:highlight w:val="none"/>
        </w:rPr>
      </w:pPr>
      <w:r>
        <w:rPr>
          <w:rFonts w:hint="eastAsia"/>
          <w:highlight w:val="none"/>
        </w:rPr>
        <w:t>3.5.1如果在招标文件中接受联合体投标（见投标人须知前附表），则两个以上投标人可以组成一个投标联合体，以一个投标人的身份投标。以联合体形式参加投标的，联合体各方均应当符合《中华人民共和国政府采购法》及实施条例规定的条件。</w:t>
      </w:r>
      <w:r>
        <w:rPr>
          <w:rFonts w:hint="eastAsia"/>
          <w:highlight w:val="none"/>
          <w:lang w:eastAsia="zh-CN"/>
        </w:rPr>
        <w:t>招标人</w:t>
      </w:r>
      <w:r>
        <w:rPr>
          <w:rFonts w:hint="eastAsia"/>
          <w:highlight w:val="none"/>
        </w:rPr>
        <w:t>根据采购项目的特殊要求规定投标人特定条件的，联合体各方中至少应当有一方符合</w:t>
      </w:r>
      <w:r>
        <w:rPr>
          <w:rFonts w:hint="eastAsia"/>
          <w:highlight w:val="none"/>
          <w:lang w:eastAsia="zh-CN"/>
        </w:rPr>
        <w:t>招标人</w:t>
      </w:r>
      <w:r>
        <w:rPr>
          <w:rFonts w:hint="eastAsia"/>
          <w:highlight w:val="none"/>
        </w:rPr>
        <w:t>规定的特定条件。</w:t>
      </w:r>
    </w:p>
    <w:p>
      <w:pPr>
        <w:pStyle w:val="9"/>
        <w:ind w:firstLine="480"/>
        <w:rPr>
          <w:highlight w:val="none"/>
        </w:rPr>
      </w:pPr>
      <w:r>
        <w:rPr>
          <w:rFonts w:hint="eastAsia"/>
          <w:highlight w:val="none"/>
        </w:rPr>
        <w:t>3.5.2联合体各方之间应当签订共同投标协议，明确约定联合体各方承担的工作和相应的责任，并将共同投标协议连同投标文件一并提交</w:t>
      </w:r>
      <w:r>
        <w:rPr>
          <w:rFonts w:hint="eastAsia"/>
          <w:highlight w:val="none"/>
          <w:lang w:eastAsia="zh-CN"/>
        </w:rPr>
        <w:t>招标代理机构</w:t>
      </w:r>
      <w:r>
        <w:rPr>
          <w:rFonts w:hint="eastAsia"/>
          <w:highlight w:val="none"/>
        </w:rPr>
        <w:t>。联合体各方签订共同投标协议后，不得再以自己名义单独在同一项目中投标，也不得组成新的联合体参加同一项目投标。</w:t>
      </w:r>
    </w:p>
    <w:p>
      <w:pPr>
        <w:pStyle w:val="9"/>
        <w:ind w:firstLine="480"/>
        <w:rPr>
          <w:highlight w:val="none"/>
        </w:rPr>
      </w:pPr>
      <w:r>
        <w:rPr>
          <w:rFonts w:hint="eastAsia"/>
          <w:highlight w:val="none"/>
        </w:rPr>
        <w:t>3.5.3联合体各方应当共同与</w:t>
      </w:r>
      <w:r>
        <w:rPr>
          <w:rFonts w:hint="eastAsia"/>
          <w:highlight w:val="none"/>
          <w:lang w:eastAsia="zh-CN"/>
        </w:rPr>
        <w:t>招标人</w:t>
      </w:r>
      <w:r>
        <w:rPr>
          <w:rFonts w:hint="eastAsia"/>
          <w:highlight w:val="none"/>
        </w:rPr>
        <w:t>签订采购合同，就采购合同约定的事项对</w:t>
      </w:r>
      <w:r>
        <w:rPr>
          <w:rFonts w:hint="eastAsia"/>
          <w:highlight w:val="none"/>
          <w:lang w:eastAsia="zh-CN"/>
        </w:rPr>
        <w:t>招标人</w:t>
      </w:r>
      <w:r>
        <w:rPr>
          <w:rFonts w:hint="eastAsia"/>
          <w:highlight w:val="none"/>
        </w:rPr>
        <w:t>承担连带责任。</w:t>
      </w:r>
    </w:p>
    <w:p>
      <w:pPr>
        <w:pStyle w:val="9"/>
        <w:ind w:firstLine="480"/>
        <w:rPr>
          <w:highlight w:val="none"/>
        </w:rPr>
      </w:pPr>
      <w:r>
        <w:rPr>
          <w:rFonts w:hint="eastAsia"/>
          <w:highlight w:val="none"/>
        </w:rPr>
        <w:t>3.6投标费用自理。不论投标的结果如何，投标人均应自行承担所有与参加投标有关的费用。</w:t>
      </w:r>
    </w:p>
    <w:p>
      <w:pPr>
        <w:pStyle w:val="6"/>
        <w:rPr>
          <w:highlight w:val="none"/>
        </w:rPr>
      </w:pPr>
      <w:bookmarkStart w:id="37" w:name="_Toc6408"/>
      <w:bookmarkStart w:id="38" w:name="_Toc26236"/>
      <w:r>
        <w:rPr>
          <w:rFonts w:hint="eastAsia"/>
          <w:highlight w:val="none"/>
        </w:rPr>
        <w:t>4.合格的货物（产品）和服务</w:t>
      </w:r>
      <w:bookmarkEnd w:id="37"/>
      <w:bookmarkEnd w:id="38"/>
    </w:p>
    <w:p>
      <w:pPr>
        <w:pStyle w:val="9"/>
        <w:ind w:firstLine="480"/>
        <w:rPr>
          <w:highlight w:val="none"/>
        </w:rPr>
      </w:pPr>
      <w:r>
        <w:rPr>
          <w:rFonts w:hint="eastAsia"/>
          <w:highlight w:val="none"/>
        </w:rPr>
        <w:t>4.1投标人提供的所有货物和服务，必须是合法生产、合法来源（提供产品来源渠道合法的证明文件：包括但不限于销售协议、代理协议、原厂授权等），符合国家有关标准要求，并满足招标文件规定的规格、参数、质量、价格、有效期、售后服务及投标人须承担的运输、安装、技术支持、培训和招标文件规定的其它伴随服务等要求。</w:t>
      </w:r>
    </w:p>
    <w:p>
      <w:pPr>
        <w:pStyle w:val="9"/>
        <w:ind w:firstLine="480"/>
        <w:rPr>
          <w:highlight w:val="none"/>
        </w:rPr>
      </w:pPr>
      <w:r>
        <w:rPr>
          <w:rFonts w:hint="eastAsia"/>
          <w:highlight w:val="none"/>
        </w:rPr>
        <w:t>4.2</w:t>
      </w:r>
      <w:r>
        <w:rPr>
          <w:rFonts w:hint="eastAsia"/>
          <w:highlight w:val="none"/>
          <w:lang w:eastAsia="zh-CN"/>
        </w:rPr>
        <w:t>招标人</w:t>
      </w:r>
      <w:r>
        <w:rPr>
          <w:rFonts w:hint="eastAsia"/>
          <w:highlight w:val="none"/>
        </w:rPr>
        <w:t>有权拒绝接受任何不合格的产品和服务，由此产生的费用及相关后果均由投标人自行承担。</w:t>
      </w:r>
    </w:p>
    <w:p>
      <w:pPr>
        <w:pStyle w:val="6"/>
        <w:rPr>
          <w:highlight w:val="none"/>
        </w:rPr>
      </w:pPr>
      <w:bookmarkStart w:id="39" w:name="_Toc32166"/>
      <w:bookmarkStart w:id="40" w:name="_Toc16465"/>
      <w:r>
        <w:rPr>
          <w:rFonts w:hint="eastAsia"/>
          <w:highlight w:val="none"/>
        </w:rPr>
        <w:t>5.投标人信用记录查询及使用</w:t>
      </w:r>
      <w:bookmarkEnd w:id="39"/>
      <w:bookmarkEnd w:id="40"/>
    </w:p>
    <w:p>
      <w:pPr>
        <w:pStyle w:val="9"/>
        <w:ind w:firstLine="480"/>
        <w:rPr>
          <w:highlight w:val="none"/>
        </w:rPr>
      </w:pPr>
      <w:r>
        <w:rPr>
          <w:rFonts w:hint="eastAsia"/>
          <w:highlight w:val="none"/>
        </w:rPr>
        <w:t>5.1“信用中国”网站（www.creditchina.gov.cn）和“中国政府采购网”（ccgp.gov.cn）为投标人信用信息查询渠道，如果投标人被查实在投标截止时间前已</w:t>
      </w:r>
      <w:r>
        <w:rPr>
          <w:rFonts w:hint="eastAsia" w:ascii="宋体" w:hAnsi="宋体" w:eastAsia="宋体" w:cs="Times New Roman"/>
          <w:kern w:val="0"/>
          <w:sz w:val="24"/>
          <w:szCs w:val="24"/>
          <w:highlight w:val="none"/>
          <w:lang w:val="en-US" w:eastAsia="zh-CN"/>
        </w:rPr>
        <w:t>列入失信被执行人、重大税收违法失信主体的投标人</w:t>
      </w:r>
      <w:r>
        <w:rPr>
          <w:rFonts w:hint="eastAsia"/>
          <w:highlight w:val="none"/>
        </w:rPr>
        <w:t>、政府采购严重违法失信行为记录名单，其投标为无效。</w:t>
      </w:r>
      <w:r>
        <w:rPr>
          <w:rFonts w:hint="eastAsia"/>
          <w:highlight w:val="none"/>
          <w:lang w:eastAsia="zh-CN"/>
        </w:rPr>
        <w:t>招标代理机构</w:t>
      </w:r>
      <w:r>
        <w:rPr>
          <w:rFonts w:hint="eastAsia"/>
          <w:highlight w:val="none"/>
        </w:rPr>
        <w:t xml:space="preserve">将打印查询记录作为证据留存。 </w:t>
      </w:r>
    </w:p>
    <w:p>
      <w:pPr>
        <w:pStyle w:val="9"/>
        <w:ind w:firstLine="480"/>
        <w:rPr>
          <w:highlight w:val="none"/>
        </w:rPr>
      </w:pPr>
      <w:r>
        <w:rPr>
          <w:rFonts w:hint="eastAsia"/>
          <w:highlight w:val="none"/>
        </w:rPr>
        <w:t>5.2投标人在参加政府采购活动前3年内因违法经营被禁止在一定期限内参加政府采购活动，期限届满的，可以参加政府采购活动的，但投标人应提供相关证明材料。</w:t>
      </w:r>
    </w:p>
    <w:p>
      <w:pPr>
        <w:pStyle w:val="6"/>
        <w:rPr>
          <w:highlight w:val="none"/>
        </w:rPr>
      </w:pPr>
      <w:r>
        <w:rPr>
          <w:rFonts w:hint="eastAsia"/>
          <w:highlight w:val="none"/>
        </w:rPr>
        <w:t>6.投标文件内容的真实性</w:t>
      </w:r>
    </w:p>
    <w:p>
      <w:pPr>
        <w:pStyle w:val="9"/>
        <w:ind w:firstLine="480"/>
        <w:rPr>
          <w:highlight w:val="none"/>
        </w:rPr>
      </w:pPr>
      <w:r>
        <w:rPr>
          <w:rFonts w:hint="eastAsia"/>
          <w:highlight w:val="none"/>
        </w:rPr>
        <w:t>6.1投标人应保证其投标文件中所提供的所有投标资料、信息是真实的，并且来源于合法的渠道。因投标文件中所提供的投标资料、信息不真实或者其来源不合法而导致的所有法律责任，由投标人自行承担。</w:t>
      </w:r>
    </w:p>
    <w:p>
      <w:pPr>
        <w:pStyle w:val="4"/>
        <w:rPr>
          <w:highlight w:val="none"/>
        </w:rPr>
      </w:pPr>
      <w:bookmarkStart w:id="41" w:name="_Toc363474018"/>
      <w:bookmarkStart w:id="42" w:name="_Toc22646"/>
      <w:bookmarkStart w:id="43" w:name="_Toc363473973"/>
      <w:bookmarkStart w:id="44" w:name="_Toc403077640"/>
      <w:bookmarkStart w:id="45" w:name="_Toc2698"/>
      <w:r>
        <w:rPr>
          <w:rFonts w:hint="eastAsia"/>
          <w:highlight w:val="none"/>
        </w:rPr>
        <w:t>二.招标文件</w:t>
      </w:r>
      <w:bookmarkEnd w:id="41"/>
      <w:bookmarkEnd w:id="42"/>
      <w:bookmarkEnd w:id="43"/>
      <w:bookmarkEnd w:id="44"/>
      <w:bookmarkEnd w:id="45"/>
    </w:p>
    <w:p>
      <w:pPr>
        <w:pStyle w:val="6"/>
        <w:rPr>
          <w:highlight w:val="none"/>
        </w:rPr>
      </w:pPr>
      <w:bookmarkStart w:id="46" w:name="_Toc23312"/>
      <w:bookmarkStart w:id="47" w:name="_Toc31372"/>
      <w:r>
        <w:rPr>
          <w:rFonts w:hint="eastAsia"/>
          <w:highlight w:val="none"/>
        </w:rPr>
        <w:t>7.招标文件构成</w:t>
      </w:r>
      <w:bookmarkEnd w:id="46"/>
      <w:bookmarkEnd w:id="47"/>
    </w:p>
    <w:p>
      <w:pPr>
        <w:pStyle w:val="9"/>
        <w:ind w:firstLine="480"/>
        <w:rPr>
          <w:highlight w:val="none"/>
        </w:rPr>
      </w:pPr>
      <w:r>
        <w:rPr>
          <w:rFonts w:hint="eastAsia"/>
          <w:highlight w:val="none"/>
        </w:rPr>
        <w:t>7.1 招标文件要求提供的货物、服务，招标程序和合同条件在招标文件中均有说明。招标文件共六章，内容如下：</w:t>
      </w:r>
    </w:p>
    <w:p>
      <w:pPr>
        <w:pStyle w:val="9"/>
        <w:ind w:firstLine="480"/>
        <w:rPr>
          <w:highlight w:val="none"/>
        </w:rPr>
      </w:pPr>
      <w:r>
        <w:rPr>
          <w:rFonts w:hint="eastAsia"/>
          <w:highlight w:val="none"/>
        </w:rPr>
        <w:t>第一章 招标公告</w:t>
      </w:r>
    </w:p>
    <w:p>
      <w:pPr>
        <w:pStyle w:val="9"/>
        <w:ind w:firstLine="480"/>
        <w:rPr>
          <w:highlight w:val="none"/>
        </w:rPr>
      </w:pPr>
      <w:r>
        <w:rPr>
          <w:rFonts w:hint="eastAsia"/>
          <w:highlight w:val="none"/>
        </w:rPr>
        <w:t>第二章 投标人须知</w:t>
      </w:r>
    </w:p>
    <w:p>
      <w:pPr>
        <w:pStyle w:val="9"/>
        <w:ind w:firstLine="480"/>
        <w:rPr>
          <w:highlight w:val="none"/>
        </w:rPr>
      </w:pPr>
      <w:r>
        <w:rPr>
          <w:rFonts w:hint="eastAsia"/>
          <w:highlight w:val="none"/>
        </w:rPr>
        <w:t xml:space="preserve">第三章 </w:t>
      </w:r>
      <w:r>
        <w:rPr>
          <w:rFonts w:hint="eastAsia"/>
          <w:highlight w:val="none"/>
          <w:lang w:eastAsia="zh-CN"/>
        </w:rPr>
        <w:t>商务及合同主要条款</w:t>
      </w:r>
    </w:p>
    <w:p>
      <w:pPr>
        <w:pStyle w:val="9"/>
        <w:ind w:firstLine="480"/>
        <w:rPr>
          <w:highlight w:val="none"/>
        </w:rPr>
      </w:pPr>
      <w:r>
        <w:rPr>
          <w:rFonts w:hint="eastAsia"/>
          <w:highlight w:val="none"/>
        </w:rPr>
        <w:t>第四章 采购内容及技术要求</w:t>
      </w:r>
    </w:p>
    <w:p>
      <w:pPr>
        <w:pStyle w:val="9"/>
        <w:ind w:firstLine="480"/>
        <w:rPr>
          <w:highlight w:val="none"/>
        </w:rPr>
      </w:pPr>
      <w:r>
        <w:rPr>
          <w:rFonts w:hint="eastAsia"/>
          <w:highlight w:val="none"/>
        </w:rPr>
        <w:t>第五章 评标办法</w:t>
      </w:r>
    </w:p>
    <w:p>
      <w:pPr>
        <w:pStyle w:val="9"/>
        <w:ind w:firstLine="480"/>
        <w:rPr>
          <w:highlight w:val="none"/>
        </w:rPr>
      </w:pPr>
      <w:r>
        <w:rPr>
          <w:rFonts w:hint="eastAsia"/>
          <w:highlight w:val="none"/>
        </w:rPr>
        <w:t xml:space="preserve">第六章 投标文件构成及格式  </w:t>
      </w:r>
    </w:p>
    <w:p>
      <w:pPr>
        <w:pStyle w:val="9"/>
        <w:ind w:firstLine="480"/>
        <w:rPr>
          <w:highlight w:val="none"/>
        </w:rPr>
      </w:pPr>
      <w:r>
        <w:rPr>
          <w:rFonts w:hint="eastAsia"/>
          <w:highlight w:val="none"/>
        </w:rPr>
        <w:t>7.2投标人应认真阅读招标文件中所有的事项、格式、条款和规范等要求。如果投标人没有按照招标文件要求提交全部资料，或者投标文件没有对招标文件在各方面都做出实质性响应，由此带来不利于投标人的评标结果，其风险由投标人承担。</w:t>
      </w:r>
    </w:p>
    <w:p>
      <w:pPr>
        <w:pStyle w:val="9"/>
        <w:ind w:firstLine="480"/>
        <w:rPr>
          <w:highlight w:val="none"/>
        </w:rPr>
      </w:pPr>
      <w:r>
        <w:rPr>
          <w:rFonts w:hint="eastAsia"/>
          <w:highlight w:val="none"/>
        </w:rPr>
        <w:t>7.3本招标文件的解释权归</w:t>
      </w:r>
      <w:r>
        <w:rPr>
          <w:rFonts w:hint="eastAsia"/>
          <w:highlight w:val="none"/>
          <w:lang w:eastAsia="zh-CN"/>
        </w:rPr>
        <w:t>腾德工程咨询有限公司</w:t>
      </w:r>
      <w:r>
        <w:rPr>
          <w:rFonts w:hint="eastAsia"/>
          <w:highlight w:val="none"/>
        </w:rPr>
        <w:t>，如发现招标文件内容与现行法律法规不相符的情况，以现行法律法规为准。</w:t>
      </w:r>
    </w:p>
    <w:p>
      <w:pPr>
        <w:pStyle w:val="6"/>
        <w:rPr>
          <w:highlight w:val="none"/>
        </w:rPr>
      </w:pPr>
      <w:bookmarkStart w:id="48" w:name="_Toc19868"/>
      <w:bookmarkStart w:id="49" w:name="_Toc616"/>
      <w:r>
        <w:rPr>
          <w:rFonts w:hint="eastAsia"/>
          <w:highlight w:val="none"/>
        </w:rPr>
        <w:t>8.招标文件的澄清修改及询问</w:t>
      </w:r>
      <w:bookmarkEnd w:id="48"/>
      <w:bookmarkEnd w:id="49"/>
    </w:p>
    <w:p>
      <w:pPr>
        <w:pStyle w:val="9"/>
        <w:ind w:firstLine="480"/>
        <w:rPr>
          <w:highlight w:val="none"/>
        </w:rPr>
      </w:pPr>
      <w:r>
        <w:rPr>
          <w:rFonts w:hint="eastAsia"/>
          <w:highlight w:val="none"/>
        </w:rPr>
        <w:t>8.1</w:t>
      </w:r>
      <w:r>
        <w:rPr>
          <w:rFonts w:hint="eastAsia"/>
          <w:highlight w:val="none"/>
          <w:lang w:eastAsia="zh-CN"/>
        </w:rPr>
        <w:t>招标人</w:t>
      </w:r>
      <w:r>
        <w:rPr>
          <w:rFonts w:hint="eastAsia"/>
          <w:highlight w:val="none"/>
        </w:rPr>
        <w:t>或</w:t>
      </w:r>
      <w:r>
        <w:rPr>
          <w:rFonts w:hint="eastAsia"/>
          <w:highlight w:val="none"/>
          <w:lang w:eastAsia="zh-CN"/>
        </w:rPr>
        <w:t>招标代理机构</w:t>
      </w:r>
      <w:r>
        <w:rPr>
          <w:rFonts w:hint="eastAsia"/>
          <w:highlight w:val="none"/>
        </w:rPr>
        <w:t>如果对已发出的招标文件进行必要的澄清或者修改，将在原公告发布媒体上发布澄清公告。澄清或者修改的内容为招标文件的组成部分。</w:t>
      </w:r>
    </w:p>
    <w:p>
      <w:pPr>
        <w:pStyle w:val="9"/>
        <w:ind w:firstLine="480"/>
        <w:rPr>
          <w:highlight w:val="none"/>
        </w:rPr>
      </w:pPr>
      <w:r>
        <w:rPr>
          <w:rFonts w:hint="eastAsia"/>
          <w:highlight w:val="none"/>
        </w:rPr>
        <w:t>8.2澄清或者修改的内容可能影响投标文件编制的，</w:t>
      </w:r>
      <w:r>
        <w:rPr>
          <w:rFonts w:hint="eastAsia"/>
          <w:highlight w:val="none"/>
          <w:lang w:eastAsia="zh-CN"/>
        </w:rPr>
        <w:t>招标代理机构</w:t>
      </w:r>
      <w:r>
        <w:rPr>
          <w:rFonts w:hint="eastAsia"/>
          <w:highlight w:val="none"/>
        </w:rPr>
        <w:t>将在投标截止时间至少15日前，以书面形式通知所有获取招标文件的潜在投标人；不足15日的，</w:t>
      </w:r>
      <w:r>
        <w:rPr>
          <w:rFonts w:hint="eastAsia"/>
          <w:highlight w:val="none"/>
          <w:lang w:eastAsia="zh-CN"/>
        </w:rPr>
        <w:t>招标代理机构</w:t>
      </w:r>
      <w:r>
        <w:rPr>
          <w:rFonts w:hint="eastAsia"/>
          <w:highlight w:val="none"/>
        </w:rPr>
        <w:t>将顺延提交投标文件的截止时间。</w:t>
      </w:r>
    </w:p>
    <w:p>
      <w:pPr>
        <w:pStyle w:val="9"/>
        <w:ind w:firstLine="480"/>
        <w:rPr>
          <w:highlight w:val="none"/>
        </w:rPr>
      </w:pPr>
      <w:r>
        <w:rPr>
          <w:rFonts w:hint="eastAsia"/>
          <w:highlight w:val="none"/>
        </w:rPr>
        <w:t>8.3已经购买招标文件的投标人对招标文件有疑问的，均应在购买招标文件后7个工作日内以书面形式向</w:t>
      </w:r>
      <w:r>
        <w:rPr>
          <w:rFonts w:hint="eastAsia"/>
          <w:highlight w:val="none"/>
          <w:lang w:eastAsia="zh-CN"/>
        </w:rPr>
        <w:t>招标代理机构</w:t>
      </w:r>
      <w:r>
        <w:rPr>
          <w:rFonts w:hint="eastAsia"/>
          <w:highlight w:val="none"/>
        </w:rPr>
        <w:t>提出，</w:t>
      </w:r>
      <w:r>
        <w:rPr>
          <w:rFonts w:hint="eastAsia"/>
          <w:highlight w:val="none"/>
          <w:lang w:eastAsia="zh-CN"/>
        </w:rPr>
        <w:t>招标代理机构</w:t>
      </w:r>
      <w:r>
        <w:rPr>
          <w:rFonts w:hint="eastAsia"/>
          <w:highlight w:val="none"/>
        </w:rPr>
        <w:t>将在3个工作日内采用适当方式予以澄清或以书面形式予以答复。</w:t>
      </w:r>
    </w:p>
    <w:p>
      <w:pPr>
        <w:pStyle w:val="9"/>
        <w:ind w:firstLine="480"/>
        <w:rPr>
          <w:highlight w:val="none"/>
        </w:rPr>
      </w:pPr>
      <w:r>
        <w:rPr>
          <w:rFonts w:hint="eastAsia"/>
          <w:highlight w:val="none"/>
        </w:rPr>
        <w:t>8.4投标人在收到上述通知后，应立即向</w:t>
      </w:r>
      <w:r>
        <w:rPr>
          <w:rFonts w:hint="eastAsia"/>
          <w:highlight w:val="none"/>
          <w:lang w:eastAsia="zh-CN"/>
        </w:rPr>
        <w:t>招标代理机构</w:t>
      </w:r>
      <w:r>
        <w:rPr>
          <w:rFonts w:hint="eastAsia"/>
          <w:highlight w:val="none"/>
        </w:rPr>
        <w:t>回函确认。</w:t>
      </w:r>
    </w:p>
    <w:p>
      <w:pPr>
        <w:pStyle w:val="4"/>
        <w:rPr>
          <w:highlight w:val="none"/>
        </w:rPr>
      </w:pPr>
      <w:bookmarkStart w:id="50" w:name="_Toc363474019"/>
      <w:bookmarkStart w:id="51" w:name="_Toc363473974"/>
      <w:bookmarkStart w:id="52" w:name="_Toc13455"/>
      <w:bookmarkStart w:id="53" w:name="_Toc20329"/>
      <w:bookmarkStart w:id="54" w:name="_Toc403077641"/>
      <w:r>
        <w:rPr>
          <w:rFonts w:hint="eastAsia"/>
          <w:highlight w:val="none"/>
        </w:rPr>
        <w:t>三.投标文件的编制</w:t>
      </w:r>
      <w:bookmarkEnd w:id="50"/>
      <w:bookmarkEnd w:id="51"/>
      <w:bookmarkEnd w:id="52"/>
      <w:bookmarkEnd w:id="53"/>
      <w:bookmarkEnd w:id="54"/>
    </w:p>
    <w:p>
      <w:pPr>
        <w:pStyle w:val="6"/>
        <w:rPr>
          <w:highlight w:val="none"/>
        </w:rPr>
      </w:pPr>
      <w:bookmarkStart w:id="55" w:name="_Toc17188"/>
      <w:bookmarkStart w:id="56" w:name="_Toc28123"/>
      <w:r>
        <w:rPr>
          <w:rFonts w:hint="eastAsia"/>
          <w:highlight w:val="none"/>
        </w:rPr>
        <w:t>9. 投标语言和投标货币</w:t>
      </w:r>
      <w:bookmarkEnd w:id="55"/>
      <w:bookmarkEnd w:id="56"/>
    </w:p>
    <w:p>
      <w:pPr>
        <w:pStyle w:val="9"/>
        <w:ind w:firstLine="480"/>
        <w:rPr>
          <w:highlight w:val="none"/>
        </w:rPr>
      </w:pPr>
      <w:r>
        <w:rPr>
          <w:rFonts w:hint="eastAsia"/>
          <w:highlight w:val="none"/>
        </w:rPr>
        <w:t>9.1投标人提交的投标文件以及投标人与</w:t>
      </w:r>
      <w:r>
        <w:rPr>
          <w:rFonts w:hint="eastAsia"/>
          <w:highlight w:val="none"/>
          <w:lang w:eastAsia="zh-CN"/>
        </w:rPr>
        <w:t>招标代理机构</w:t>
      </w:r>
      <w:r>
        <w:rPr>
          <w:rFonts w:hint="eastAsia"/>
          <w:highlight w:val="none"/>
        </w:rPr>
        <w:t>就有关投标的所有来往函电均应使用中文。</w:t>
      </w:r>
    </w:p>
    <w:p>
      <w:pPr>
        <w:pStyle w:val="9"/>
        <w:ind w:firstLine="480"/>
        <w:rPr>
          <w:highlight w:val="none"/>
        </w:rPr>
      </w:pPr>
      <w:r>
        <w:rPr>
          <w:rFonts w:hint="eastAsia"/>
          <w:highlight w:val="none"/>
        </w:rPr>
        <w:t>9.2投标应以人民币报价。任何包含非人民币报价的投标将按无效投标处理。</w:t>
      </w:r>
    </w:p>
    <w:p>
      <w:pPr>
        <w:pStyle w:val="6"/>
        <w:rPr>
          <w:highlight w:val="none"/>
        </w:rPr>
      </w:pPr>
      <w:bookmarkStart w:id="57" w:name="_Toc10386"/>
      <w:bookmarkStart w:id="58" w:name="_Toc3979"/>
      <w:r>
        <w:rPr>
          <w:rFonts w:hint="eastAsia"/>
          <w:highlight w:val="none"/>
        </w:rPr>
        <w:t>10.投标文件的构成</w:t>
      </w:r>
      <w:bookmarkEnd w:id="57"/>
      <w:bookmarkEnd w:id="58"/>
    </w:p>
    <w:p>
      <w:pPr>
        <w:pStyle w:val="9"/>
        <w:ind w:firstLine="480"/>
        <w:rPr>
          <w:highlight w:val="none"/>
        </w:rPr>
      </w:pPr>
      <w:r>
        <w:rPr>
          <w:rFonts w:hint="eastAsia"/>
          <w:highlight w:val="none"/>
        </w:rPr>
        <w:t>10.1 投标人提交的投标文件应包括下列部分的内容：</w:t>
      </w:r>
    </w:p>
    <w:p>
      <w:pPr>
        <w:pStyle w:val="9"/>
        <w:ind w:firstLine="480"/>
        <w:rPr>
          <w:highlight w:val="none"/>
        </w:rPr>
      </w:pPr>
      <w:r>
        <w:rPr>
          <w:rFonts w:hint="eastAsia"/>
          <w:highlight w:val="none"/>
        </w:rPr>
        <w:t>（1）按照投标人须知的要求和招标文件规定的格式填写的投标函、投标报价表、法定代表人授权书。</w:t>
      </w:r>
    </w:p>
    <w:p>
      <w:pPr>
        <w:pStyle w:val="9"/>
        <w:ind w:firstLine="480"/>
        <w:rPr>
          <w:rFonts w:hint="eastAsia"/>
          <w:highlight w:val="none"/>
        </w:rPr>
      </w:pPr>
      <w:r>
        <w:rPr>
          <w:rFonts w:hint="eastAsia"/>
          <w:highlight w:val="none"/>
        </w:rPr>
        <w:t>（2）按照招标文件的要求编制的投标方案说明书，内容至少应包括组织实施计划和服务的详细说明，</w:t>
      </w:r>
      <w:r>
        <w:rPr>
          <w:rFonts w:hint="eastAsia"/>
          <w:highlight w:val="none"/>
          <w:lang w:eastAsia="zh-CN"/>
        </w:rPr>
        <w:t>技术要求响应表</w:t>
      </w:r>
      <w:r>
        <w:rPr>
          <w:rFonts w:hint="eastAsia"/>
          <w:highlight w:val="none"/>
        </w:rPr>
        <w:t>，所供产品的名称、生产厂家、品牌或商标、规格、数量、单价、交货期、质保期及人员配备和售后服务承诺等；</w:t>
      </w:r>
    </w:p>
    <w:p>
      <w:pPr>
        <w:pStyle w:val="9"/>
        <w:ind w:firstLine="480"/>
        <w:rPr>
          <w:highlight w:val="none"/>
        </w:rPr>
      </w:pPr>
      <w:r>
        <w:rPr>
          <w:rFonts w:hint="eastAsia"/>
          <w:highlight w:val="none"/>
        </w:rPr>
        <w:t xml:space="preserve">（3）按照招标文件投标人须知前附表的要求提交的资格证明文件；  </w:t>
      </w:r>
    </w:p>
    <w:p>
      <w:pPr>
        <w:pStyle w:val="9"/>
        <w:ind w:firstLine="480"/>
        <w:rPr>
          <w:highlight w:val="none"/>
        </w:rPr>
      </w:pPr>
      <w:r>
        <w:rPr>
          <w:rFonts w:hint="eastAsia"/>
          <w:highlight w:val="none"/>
        </w:rPr>
        <w:t>（4）按照本须知第15条要求提交的投标保证金（如有）；</w:t>
      </w:r>
    </w:p>
    <w:p>
      <w:pPr>
        <w:pStyle w:val="9"/>
        <w:ind w:firstLine="480"/>
        <w:rPr>
          <w:highlight w:val="none"/>
        </w:rPr>
      </w:pPr>
      <w:r>
        <w:rPr>
          <w:rFonts w:hint="eastAsia"/>
          <w:highlight w:val="none"/>
        </w:rPr>
        <w:t>（5）招标文件中要求的其他证明文件。</w:t>
      </w:r>
    </w:p>
    <w:p>
      <w:pPr>
        <w:pStyle w:val="9"/>
        <w:ind w:firstLine="480"/>
        <w:rPr>
          <w:highlight w:val="none"/>
        </w:rPr>
      </w:pPr>
      <w:r>
        <w:rPr>
          <w:rFonts w:hint="eastAsia"/>
          <w:highlight w:val="none"/>
        </w:rPr>
        <w:t>10.2 如果在招标文件中没有允许提供备选方案，则每个投标人只允许提交一个投标方案，否则，其投标将按照无效投标处理。</w:t>
      </w:r>
    </w:p>
    <w:p>
      <w:pPr>
        <w:pStyle w:val="9"/>
        <w:ind w:firstLine="480"/>
        <w:rPr>
          <w:highlight w:val="none"/>
        </w:rPr>
      </w:pPr>
      <w:r>
        <w:rPr>
          <w:rFonts w:hint="eastAsia"/>
          <w:highlight w:val="none"/>
        </w:rPr>
        <w:t>10.3 本次投标的最小单元：见投标人须知前附表，投标人可根据自身的资质情况和经营范围进行投标，但不得将其子目自行分解或针对品目进行不完全投标，任何不完全的投标将按无效投标处理。</w:t>
      </w:r>
    </w:p>
    <w:p>
      <w:pPr>
        <w:pStyle w:val="6"/>
        <w:rPr>
          <w:highlight w:val="none"/>
        </w:rPr>
      </w:pPr>
      <w:bookmarkStart w:id="59" w:name="_Toc14995"/>
      <w:bookmarkStart w:id="60" w:name="_Toc762"/>
      <w:r>
        <w:rPr>
          <w:rFonts w:hint="eastAsia"/>
          <w:highlight w:val="none"/>
        </w:rPr>
        <w:t>11.投标文件格式</w:t>
      </w:r>
      <w:bookmarkEnd w:id="59"/>
      <w:bookmarkEnd w:id="60"/>
    </w:p>
    <w:p>
      <w:pPr>
        <w:pStyle w:val="9"/>
        <w:ind w:firstLine="480"/>
        <w:rPr>
          <w:highlight w:val="none"/>
        </w:rPr>
      </w:pPr>
      <w:r>
        <w:rPr>
          <w:rFonts w:hint="eastAsia"/>
          <w:highlight w:val="none"/>
        </w:rPr>
        <w:t>11.1 投标人应按照招标文件中第六章所提供的格式和要求制作投标文件，明确表达投标意愿，详细说明投标方案、承诺及价格。</w:t>
      </w:r>
    </w:p>
    <w:p>
      <w:pPr>
        <w:pStyle w:val="9"/>
        <w:ind w:firstLine="480"/>
        <w:rPr>
          <w:highlight w:val="none"/>
        </w:rPr>
      </w:pPr>
      <w:r>
        <w:rPr>
          <w:rFonts w:hint="eastAsia"/>
          <w:highlight w:val="none"/>
        </w:rPr>
        <w:t>11.2投标人应完整地提供招标文件要求的所有数据和资料。</w:t>
      </w:r>
    </w:p>
    <w:p>
      <w:pPr>
        <w:pStyle w:val="6"/>
        <w:rPr>
          <w:highlight w:val="none"/>
        </w:rPr>
      </w:pPr>
      <w:bookmarkStart w:id="61" w:name="_Toc24246"/>
      <w:bookmarkStart w:id="62" w:name="_Toc11786"/>
      <w:r>
        <w:rPr>
          <w:rFonts w:hint="eastAsia"/>
          <w:highlight w:val="none"/>
        </w:rPr>
        <w:t>12.投标报价</w:t>
      </w:r>
      <w:bookmarkEnd w:id="61"/>
      <w:bookmarkEnd w:id="62"/>
    </w:p>
    <w:p>
      <w:pPr>
        <w:pStyle w:val="9"/>
        <w:ind w:firstLine="480"/>
        <w:rPr>
          <w:highlight w:val="none"/>
        </w:rPr>
      </w:pPr>
      <w:r>
        <w:rPr>
          <w:rFonts w:hint="eastAsia"/>
          <w:highlight w:val="none"/>
        </w:rPr>
        <w:t>12.1投标报价：见投标人须知前附表。</w:t>
      </w:r>
    </w:p>
    <w:p>
      <w:pPr>
        <w:pStyle w:val="9"/>
        <w:ind w:firstLine="480"/>
        <w:rPr>
          <w:highlight w:val="none"/>
        </w:rPr>
      </w:pPr>
      <w:r>
        <w:rPr>
          <w:rFonts w:hint="eastAsia"/>
          <w:highlight w:val="none"/>
        </w:rPr>
        <w:t>12.2投标报价表中标明的价格应为履行合同的固定价格，不得以任何理由予以变更。以可调整的价格提交的投标文件将按无效投标处理。</w:t>
      </w:r>
    </w:p>
    <w:p>
      <w:pPr>
        <w:pStyle w:val="6"/>
        <w:rPr>
          <w:highlight w:val="none"/>
        </w:rPr>
      </w:pPr>
      <w:bookmarkStart w:id="63" w:name="_Toc12340"/>
      <w:bookmarkStart w:id="64" w:name="_Toc16591"/>
      <w:r>
        <w:rPr>
          <w:rFonts w:hint="eastAsia"/>
          <w:highlight w:val="none"/>
        </w:rPr>
        <w:t>13.证明投标人合格和资格的文件</w:t>
      </w:r>
      <w:bookmarkEnd w:id="63"/>
      <w:bookmarkEnd w:id="64"/>
    </w:p>
    <w:p>
      <w:pPr>
        <w:pStyle w:val="9"/>
        <w:ind w:firstLine="480"/>
        <w:rPr>
          <w:highlight w:val="none"/>
        </w:rPr>
      </w:pPr>
      <w:r>
        <w:rPr>
          <w:rFonts w:hint="eastAsia"/>
          <w:highlight w:val="none"/>
        </w:rPr>
        <w:t>13.1投标人应按照招标文件“投标人须知前附表”的要求，在投标文件中提交合格的资格证明文件。如果资格证明文件不齐全或不合格的，其投标将按无效投标处理。</w:t>
      </w:r>
    </w:p>
    <w:p>
      <w:pPr>
        <w:pStyle w:val="6"/>
        <w:rPr>
          <w:highlight w:val="none"/>
        </w:rPr>
      </w:pPr>
      <w:bookmarkStart w:id="65" w:name="_Toc18707"/>
      <w:bookmarkStart w:id="66" w:name="_Toc13420"/>
      <w:r>
        <w:rPr>
          <w:rFonts w:hint="eastAsia"/>
          <w:highlight w:val="none"/>
        </w:rPr>
        <w:t>14.证明货物（含伴随服务）符合招标文件规定的文件</w:t>
      </w:r>
      <w:bookmarkEnd w:id="65"/>
      <w:bookmarkEnd w:id="66"/>
    </w:p>
    <w:p>
      <w:pPr>
        <w:pStyle w:val="9"/>
        <w:ind w:firstLine="480"/>
        <w:rPr>
          <w:highlight w:val="none"/>
        </w:rPr>
      </w:pPr>
      <w:r>
        <w:rPr>
          <w:rFonts w:hint="eastAsia"/>
          <w:highlight w:val="none"/>
        </w:rPr>
        <w:t>14.1投标人应在投标文件中提交产品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pStyle w:val="9"/>
        <w:ind w:firstLine="480"/>
        <w:rPr>
          <w:highlight w:val="none"/>
        </w:rPr>
      </w:pPr>
      <w:r>
        <w:rPr>
          <w:rFonts w:hint="eastAsia"/>
          <w:highlight w:val="none"/>
        </w:rPr>
        <w:t>14.2上述证明文件可以是文字资料、图纸、图片、数据、宣传彩页等，所有证明文件表达意思必须统一（如需投标人提供样品，样品必须与投标文件的表述完全符合）。包括：</w:t>
      </w:r>
    </w:p>
    <w:p>
      <w:pPr>
        <w:pStyle w:val="9"/>
        <w:ind w:firstLine="480"/>
        <w:rPr>
          <w:highlight w:val="none"/>
        </w:rPr>
      </w:pPr>
      <w:r>
        <w:rPr>
          <w:rFonts w:hint="eastAsia"/>
          <w:highlight w:val="none"/>
        </w:rPr>
        <w:t>（1)产品主要技术指标和性能的详细说明；</w:t>
      </w:r>
    </w:p>
    <w:p>
      <w:pPr>
        <w:pStyle w:val="9"/>
        <w:ind w:firstLine="480"/>
        <w:rPr>
          <w:highlight w:val="none"/>
        </w:rPr>
      </w:pPr>
      <w:r>
        <w:rPr>
          <w:rFonts w:hint="eastAsia"/>
          <w:highlight w:val="none"/>
        </w:rPr>
        <w:t>（2）生产厂家出具的、相应的产品功能证明材料；</w:t>
      </w:r>
    </w:p>
    <w:p>
      <w:pPr>
        <w:pStyle w:val="9"/>
        <w:ind w:firstLine="480"/>
        <w:rPr>
          <w:highlight w:val="none"/>
        </w:rPr>
      </w:pPr>
      <w:r>
        <w:rPr>
          <w:rFonts w:hint="eastAsia"/>
          <w:highlight w:val="none"/>
        </w:rPr>
        <w:t>（3)逐条对招标文件提出的技术要求和商务要求进行应答，说明所提供的产品和服务对招标的技术和商务要求是否做出了实质性响应并提供支持文件；</w:t>
      </w:r>
    </w:p>
    <w:p>
      <w:pPr>
        <w:pStyle w:val="9"/>
        <w:ind w:firstLine="480"/>
        <w:rPr>
          <w:highlight w:val="none"/>
        </w:rPr>
      </w:pPr>
      <w:r>
        <w:rPr>
          <w:rFonts w:hint="eastAsia"/>
          <w:highlight w:val="none"/>
        </w:rPr>
        <w:t>（4）供货范围和服务内容的详细说明。</w:t>
      </w:r>
    </w:p>
    <w:p>
      <w:pPr>
        <w:pStyle w:val="6"/>
        <w:rPr>
          <w:rFonts w:hint="eastAsia" w:eastAsia="宋体"/>
          <w:highlight w:val="none"/>
          <w:lang w:eastAsia="zh-CN"/>
        </w:rPr>
      </w:pPr>
      <w:bookmarkStart w:id="67" w:name="_Toc15245"/>
      <w:bookmarkStart w:id="68" w:name="_Toc25614"/>
      <w:r>
        <w:rPr>
          <w:rFonts w:hint="eastAsia"/>
          <w:highlight w:val="none"/>
        </w:rPr>
        <w:t>15.投标保证金</w:t>
      </w:r>
      <w:bookmarkEnd w:id="67"/>
      <w:bookmarkEnd w:id="68"/>
      <w:r>
        <w:rPr>
          <w:rFonts w:hint="eastAsia"/>
          <w:highlight w:val="none"/>
          <w:lang w:eastAsia="zh-CN"/>
        </w:rPr>
        <w:t>（</w:t>
      </w:r>
      <w:r>
        <w:rPr>
          <w:rFonts w:hint="eastAsia"/>
          <w:highlight w:val="none"/>
          <w:lang w:val="en-US" w:eastAsia="zh-CN"/>
        </w:rPr>
        <w:t>如有</w:t>
      </w:r>
      <w:r>
        <w:rPr>
          <w:rFonts w:hint="eastAsia"/>
          <w:highlight w:val="none"/>
          <w:lang w:eastAsia="zh-CN"/>
        </w:rPr>
        <w:t>）</w:t>
      </w:r>
    </w:p>
    <w:p>
      <w:pPr>
        <w:pStyle w:val="9"/>
        <w:ind w:firstLine="480"/>
        <w:rPr>
          <w:highlight w:val="none"/>
        </w:rPr>
      </w:pPr>
      <w:r>
        <w:rPr>
          <w:rFonts w:hint="eastAsia"/>
          <w:highlight w:val="none"/>
        </w:rPr>
        <w:t>15.1投标人在投标时应向</w:t>
      </w:r>
      <w:r>
        <w:rPr>
          <w:rFonts w:hint="eastAsia"/>
          <w:highlight w:val="none"/>
          <w:lang w:eastAsia="zh-CN"/>
        </w:rPr>
        <w:t>腾德工程咨询有限公司</w:t>
      </w:r>
      <w:r>
        <w:rPr>
          <w:rFonts w:hint="eastAsia"/>
          <w:highlight w:val="none"/>
        </w:rPr>
        <w:t>提交“投标人须知前附表”规定数额的投标保证金,并作为其投标的一部分。</w:t>
      </w:r>
    </w:p>
    <w:p>
      <w:pPr>
        <w:pStyle w:val="9"/>
        <w:ind w:firstLine="480"/>
        <w:rPr>
          <w:highlight w:val="none"/>
        </w:rPr>
      </w:pPr>
      <w:r>
        <w:rPr>
          <w:rFonts w:hint="eastAsia"/>
          <w:highlight w:val="none"/>
        </w:rPr>
        <w:t>15.2投标保证金是为了保护</w:t>
      </w:r>
      <w:r>
        <w:rPr>
          <w:rFonts w:hint="eastAsia"/>
          <w:highlight w:val="none"/>
          <w:lang w:eastAsia="zh-CN"/>
        </w:rPr>
        <w:t>招标人</w:t>
      </w:r>
      <w:r>
        <w:rPr>
          <w:rFonts w:hint="eastAsia"/>
          <w:highlight w:val="none"/>
        </w:rPr>
        <w:t>和</w:t>
      </w:r>
      <w:r>
        <w:rPr>
          <w:rFonts w:hint="eastAsia"/>
          <w:highlight w:val="none"/>
          <w:lang w:eastAsia="zh-CN"/>
        </w:rPr>
        <w:t>招标代理机构</w:t>
      </w:r>
      <w:r>
        <w:rPr>
          <w:rFonts w:hint="eastAsia"/>
          <w:highlight w:val="none"/>
        </w:rPr>
        <w:t>免遭因投标人的行为而蒙受损失。</w:t>
      </w:r>
      <w:r>
        <w:rPr>
          <w:rFonts w:hint="eastAsia"/>
          <w:highlight w:val="none"/>
          <w:lang w:eastAsia="zh-CN"/>
        </w:rPr>
        <w:t>招标人</w:t>
      </w:r>
      <w:r>
        <w:rPr>
          <w:rFonts w:hint="eastAsia"/>
          <w:highlight w:val="none"/>
        </w:rPr>
        <w:t>在因投标人的行为受到损害时可根据15.8条的规定没收投标人的投标保证金。</w:t>
      </w:r>
    </w:p>
    <w:p>
      <w:pPr>
        <w:pStyle w:val="9"/>
        <w:ind w:firstLine="480"/>
        <w:rPr>
          <w:highlight w:val="none"/>
        </w:rPr>
      </w:pPr>
      <w:r>
        <w:rPr>
          <w:rFonts w:hint="eastAsia"/>
          <w:highlight w:val="none"/>
        </w:rPr>
        <w:t>15.3投标保证金可采取“投标人须知前附表”规定的任何一种形式；</w:t>
      </w:r>
    </w:p>
    <w:p>
      <w:pPr>
        <w:pStyle w:val="9"/>
        <w:ind w:firstLine="480"/>
        <w:rPr>
          <w:highlight w:val="none"/>
        </w:rPr>
      </w:pPr>
      <w:r>
        <w:rPr>
          <w:rFonts w:hint="eastAsia"/>
          <w:highlight w:val="none"/>
        </w:rPr>
        <w:t>15.4投标保证金必须按照招标文件 “投标人须知前附表”中规定的缴纳金额及方式办理。</w:t>
      </w:r>
    </w:p>
    <w:p>
      <w:pPr>
        <w:pStyle w:val="9"/>
        <w:ind w:firstLine="480"/>
        <w:rPr>
          <w:highlight w:val="none"/>
        </w:rPr>
      </w:pPr>
      <w:r>
        <w:rPr>
          <w:rFonts w:hint="eastAsia"/>
          <w:highlight w:val="none"/>
        </w:rPr>
        <w:t>15.5开标后经审查，未提交投标保证金、未按时间提交投标保证金、投标保证金金额不足、未将保函正本原件在规定时间内到</w:t>
      </w:r>
      <w:r>
        <w:rPr>
          <w:rFonts w:hint="eastAsia"/>
          <w:highlight w:val="none"/>
          <w:lang w:eastAsia="zh-CN"/>
        </w:rPr>
        <w:t>招标代理机构</w:t>
      </w:r>
      <w:r>
        <w:rPr>
          <w:rFonts w:hint="eastAsia"/>
          <w:highlight w:val="none"/>
        </w:rPr>
        <w:t>备案、投标保证金缴纳凭证复印件或担保机构出具的保函正本复印件未附在投标文件内的投标将按无效投标处理。</w:t>
      </w:r>
    </w:p>
    <w:p>
      <w:pPr>
        <w:pStyle w:val="9"/>
        <w:ind w:firstLine="480"/>
        <w:rPr>
          <w:b/>
          <w:bCs/>
          <w:highlight w:val="none"/>
        </w:rPr>
      </w:pPr>
      <w:r>
        <w:rPr>
          <w:rFonts w:hint="eastAsia"/>
          <w:highlight w:val="none"/>
        </w:rPr>
        <w:t>15.6未中标人的投标保证金，将在中标通知书发出后五个工作日内按原账户退还；中标人的投标保证金，在采购合同签订后五个工作日内退还</w:t>
      </w:r>
      <w:r>
        <w:rPr>
          <w:rFonts w:hint="eastAsia"/>
          <w:b/>
          <w:bCs/>
          <w:highlight w:val="none"/>
        </w:rPr>
        <w:t>（退还时，须向</w:t>
      </w:r>
      <w:r>
        <w:rPr>
          <w:rFonts w:hint="eastAsia"/>
          <w:b/>
          <w:bCs/>
          <w:highlight w:val="none"/>
          <w:lang w:eastAsia="zh-CN"/>
        </w:rPr>
        <w:t>招标代理机构</w:t>
      </w:r>
      <w:r>
        <w:rPr>
          <w:rFonts w:hint="eastAsia"/>
          <w:b/>
          <w:bCs/>
          <w:highlight w:val="none"/>
        </w:rPr>
        <w:t>提供采购合同原件（及扫描件）壹份及保证金缴纳凭证复印件）。</w:t>
      </w:r>
    </w:p>
    <w:p>
      <w:pPr>
        <w:pStyle w:val="9"/>
        <w:ind w:firstLine="480"/>
        <w:rPr>
          <w:highlight w:val="none"/>
        </w:rPr>
      </w:pPr>
      <w:r>
        <w:rPr>
          <w:rFonts w:hint="eastAsia"/>
          <w:highlight w:val="none"/>
        </w:rPr>
        <w:t>15.7投标人以担保机构保函形式缴纳投标保证金的，招标结束之后将担保机构保函正本（原件）退回（退还时间参照15.6条款）。投标人领取担保机构保函正本原件时需携带法定代表人授权书原件。</w:t>
      </w:r>
    </w:p>
    <w:p>
      <w:pPr>
        <w:pStyle w:val="9"/>
        <w:ind w:firstLine="480"/>
        <w:rPr>
          <w:highlight w:val="none"/>
        </w:rPr>
      </w:pPr>
      <w:r>
        <w:rPr>
          <w:rFonts w:hint="eastAsia"/>
          <w:highlight w:val="none"/>
        </w:rPr>
        <w:t>15.8下列任何情况发生时，视为投标人违约，其投标保证金将被没收：</w:t>
      </w:r>
    </w:p>
    <w:p>
      <w:pPr>
        <w:pStyle w:val="9"/>
        <w:ind w:firstLine="480"/>
        <w:rPr>
          <w:highlight w:val="none"/>
        </w:rPr>
      </w:pPr>
      <w:r>
        <w:rPr>
          <w:rFonts w:hint="eastAsia"/>
          <w:highlight w:val="none"/>
        </w:rPr>
        <w:t>1)投标人在递交投标文件截止时间后，撤回投标文件的或者擅自退出招标投标活动的。</w:t>
      </w:r>
    </w:p>
    <w:p>
      <w:pPr>
        <w:pStyle w:val="9"/>
        <w:ind w:firstLine="480"/>
        <w:rPr>
          <w:highlight w:val="none"/>
        </w:rPr>
      </w:pPr>
      <w:r>
        <w:rPr>
          <w:rFonts w:hint="eastAsia"/>
          <w:highlight w:val="none"/>
        </w:rPr>
        <w:t>2)投标人中标后放弃中标或未能按规定签订合同、无正当理由不与</w:t>
      </w:r>
      <w:r>
        <w:rPr>
          <w:rFonts w:hint="eastAsia"/>
          <w:highlight w:val="none"/>
          <w:lang w:eastAsia="zh-CN"/>
        </w:rPr>
        <w:t>招标人</w:t>
      </w:r>
      <w:r>
        <w:rPr>
          <w:rFonts w:hint="eastAsia"/>
          <w:highlight w:val="none"/>
        </w:rPr>
        <w:t>签订合同的或未能按规定交纳招标代理服务费或由于投标人的原因导致中标无效的。</w:t>
      </w:r>
    </w:p>
    <w:p>
      <w:pPr>
        <w:pStyle w:val="9"/>
        <w:ind w:firstLine="480"/>
        <w:rPr>
          <w:highlight w:val="none"/>
        </w:rPr>
      </w:pPr>
      <w:r>
        <w:rPr>
          <w:rFonts w:hint="eastAsia"/>
          <w:highlight w:val="none"/>
        </w:rPr>
        <w:t>3）投标人在投标文件中提供伪造、套改、虚假资料参加招标投标的。</w:t>
      </w:r>
    </w:p>
    <w:p>
      <w:pPr>
        <w:pStyle w:val="9"/>
        <w:ind w:firstLine="480"/>
        <w:rPr>
          <w:highlight w:val="none"/>
        </w:rPr>
      </w:pPr>
      <w:r>
        <w:rPr>
          <w:rFonts w:hint="eastAsia"/>
          <w:highlight w:val="none"/>
        </w:rPr>
        <w:t>4）投标人不按法定程序进行质疑和投诉,捏造事实，查无实据，造成恶劣影响，导致采购活动无法正常进行的。</w:t>
      </w:r>
    </w:p>
    <w:p>
      <w:pPr>
        <w:pStyle w:val="9"/>
        <w:ind w:firstLine="480"/>
        <w:rPr>
          <w:highlight w:val="none"/>
        </w:rPr>
      </w:pPr>
      <w:r>
        <w:rPr>
          <w:rFonts w:hint="eastAsia"/>
          <w:highlight w:val="none"/>
        </w:rPr>
        <w:t>5）投标人与</w:t>
      </w:r>
      <w:r>
        <w:rPr>
          <w:rFonts w:hint="eastAsia"/>
          <w:highlight w:val="none"/>
          <w:lang w:eastAsia="zh-CN"/>
        </w:rPr>
        <w:t>招标人</w:t>
      </w:r>
      <w:r>
        <w:rPr>
          <w:rFonts w:hint="eastAsia"/>
          <w:highlight w:val="none"/>
        </w:rPr>
        <w:t>、其它投标人或者</w:t>
      </w:r>
      <w:r>
        <w:rPr>
          <w:rFonts w:hint="eastAsia"/>
          <w:highlight w:val="none"/>
          <w:lang w:eastAsia="zh-CN"/>
        </w:rPr>
        <w:t>招标代理机构</w:t>
      </w:r>
      <w:r>
        <w:rPr>
          <w:rFonts w:hint="eastAsia"/>
          <w:highlight w:val="none"/>
        </w:rPr>
        <w:t>恶意串通的。</w:t>
      </w:r>
    </w:p>
    <w:p>
      <w:pPr>
        <w:pStyle w:val="6"/>
        <w:rPr>
          <w:highlight w:val="none"/>
        </w:rPr>
      </w:pPr>
      <w:bookmarkStart w:id="69" w:name="_Toc12595"/>
      <w:bookmarkStart w:id="70" w:name="_Toc22340"/>
      <w:bookmarkStart w:id="71" w:name="_Toc363474020"/>
      <w:bookmarkStart w:id="72" w:name="_Toc403077642"/>
      <w:bookmarkStart w:id="73" w:name="_Toc363473975"/>
      <w:r>
        <w:rPr>
          <w:rFonts w:hint="eastAsia"/>
          <w:highlight w:val="none"/>
        </w:rPr>
        <w:t>16.投标有效期</w:t>
      </w:r>
      <w:bookmarkEnd w:id="69"/>
      <w:bookmarkEnd w:id="70"/>
    </w:p>
    <w:p>
      <w:pPr>
        <w:pStyle w:val="9"/>
        <w:ind w:firstLine="480"/>
        <w:rPr>
          <w:highlight w:val="none"/>
        </w:rPr>
      </w:pPr>
      <w:r>
        <w:rPr>
          <w:rFonts w:hint="eastAsia"/>
          <w:highlight w:val="none"/>
        </w:rPr>
        <w:t>16.1投标有效期：见投标人须知前附表。投标文件应在投标有效期内保持有效。投标有效期不满足规定有效期的投标文件将被视为无效投标而拒绝。</w:t>
      </w:r>
    </w:p>
    <w:p>
      <w:pPr>
        <w:pStyle w:val="9"/>
        <w:ind w:firstLine="480"/>
        <w:rPr>
          <w:highlight w:val="none"/>
        </w:rPr>
      </w:pPr>
      <w:r>
        <w:rPr>
          <w:rFonts w:hint="eastAsia"/>
          <w:highlight w:val="none"/>
        </w:rPr>
        <w:t>16.2特殊情况下，在原投标有效期期满之前，</w:t>
      </w:r>
      <w:r>
        <w:rPr>
          <w:rFonts w:hint="eastAsia"/>
          <w:highlight w:val="none"/>
          <w:lang w:eastAsia="zh-CN"/>
        </w:rPr>
        <w:t>招标代理机构</w:t>
      </w:r>
      <w:r>
        <w:rPr>
          <w:rFonts w:hint="eastAsia"/>
          <w:highlight w:val="none"/>
        </w:rPr>
        <w:t>可向投标人提出延长投标有效期的要求。这种要求与答复均应以书面的形式。投标人可以拒绝</w:t>
      </w:r>
      <w:r>
        <w:rPr>
          <w:rFonts w:hint="eastAsia"/>
          <w:highlight w:val="none"/>
          <w:lang w:eastAsia="zh-CN"/>
        </w:rPr>
        <w:t>招标代理机构</w:t>
      </w:r>
      <w:r>
        <w:rPr>
          <w:rFonts w:hint="eastAsia"/>
          <w:highlight w:val="none"/>
        </w:rPr>
        <w:t>的这种要求,其投标保证金（如有）也不被没收。同意延长的投标人既不能要求也不允许修改其投标文件，但要相应延长其投标保证金（如有）的有效期。在这种情况下，本章第15条有关投标保证金（如有）的退还和没收的规定将在延长了的有效期内继续有效。</w:t>
      </w:r>
    </w:p>
    <w:p>
      <w:pPr>
        <w:pStyle w:val="6"/>
        <w:rPr>
          <w:highlight w:val="none"/>
        </w:rPr>
      </w:pPr>
      <w:bookmarkStart w:id="74" w:name="_Toc23636"/>
      <w:bookmarkStart w:id="75" w:name="_Toc4703"/>
      <w:r>
        <w:rPr>
          <w:rFonts w:hint="eastAsia"/>
          <w:highlight w:val="none"/>
        </w:rPr>
        <w:t>17.投标文件的式样和签署</w:t>
      </w:r>
      <w:bookmarkEnd w:id="74"/>
      <w:bookmarkEnd w:id="75"/>
    </w:p>
    <w:p>
      <w:pPr>
        <w:pStyle w:val="9"/>
        <w:ind w:firstLine="480"/>
        <w:rPr>
          <w:highlight w:val="none"/>
        </w:rPr>
      </w:pPr>
      <w:r>
        <w:rPr>
          <w:rFonts w:hint="eastAsia"/>
          <w:highlight w:val="none"/>
        </w:rPr>
        <w:t>17.1投标文件份数及要求详见“投标人须知前附表”。</w:t>
      </w:r>
    </w:p>
    <w:p>
      <w:pPr>
        <w:pStyle w:val="9"/>
        <w:ind w:firstLine="480"/>
        <w:rPr>
          <w:highlight w:val="none"/>
        </w:rPr>
      </w:pPr>
      <w:r>
        <w:rPr>
          <w:rFonts w:hint="eastAsia"/>
          <w:highlight w:val="none"/>
        </w:rPr>
        <w:t>17.2投标文件应由投标人的法定代表人或被授权人按招标文件的规定签署（招标文件要求投标文件中签章的统一为签字或盖章）。</w:t>
      </w:r>
    </w:p>
    <w:p>
      <w:pPr>
        <w:pStyle w:val="9"/>
        <w:ind w:firstLine="480"/>
        <w:rPr>
          <w:highlight w:val="none"/>
        </w:rPr>
      </w:pPr>
      <w:r>
        <w:rPr>
          <w:rFonts w:hint="eastAsia"/>
          <w:highlight w:val="none"/>
        </w:rPr>
        <w:t>17.3任何行间插字、涂改和增删，必须由投标人的法定代表人或其被授权人在旁边签字方有效。</w:t>
      </w:r>
    </w:p>
    <w:p>
      <w:pPr>
        <w:pStyle w:val="9"/>
        <w:ind w:firstLine="480"/>
        <w:rPr>
          <w:highlight w:val="none"/>
        </w:rPr>
      </w:pPr>
      <w:r>
        <w:rPr>
          <w:rFonts w:hint="eastAsia"/>
          <w:highlight w:val="none"/>
        </w:rPr>
        <w:t>17.4 投标文件正本和副本按照招标文件第六章规定的顺序编排、并应</w:t>
      </w:r>
      <w:r>
        <w:rPr>
          <w:rFonts w:hint="eastAsia"/>
          <w:highlight w:val="none"/>
          <w:lang w:val="zh-CN"/>
        </w:rPr>
        <w:t>编制目录，</w:t>
      </w:r>
      <w:r>
        <w:rPr>
          <w:rFonts w:hint="eastAsia"/>
          <w:highlight w:val="none"/>
        </w:rPr>
        <w:t>逐页标注连续页码，并分别</w:t>
      </w:r>
      <w:r>
        <w:rPr>
          <w:rFonts w:hint="eastAsia"/>
          <w:highlight w:val="none"/>
          <w:lang w:val="zh-CN"/>
        </w:rPr>
        <w:t>胶装成册</w:t>
      </w:r>
      <w:r>
        <w:rPr>
          <w:rFonts w:hint="eastAsia"/>
          <w:highlight w:val="none"/>
        </w:rPr>
        <w:t>。</w:t>
      </w:r>
    </w:p>
    <w:p>
      <w:pPr>
        <w:pStyle w:val="9"/>
        <w:ind w:firstLine="480"/>
        <w:rPr>
          <w:highlight w:val="none"/>
        </w:rPr>
      </w:pPr>
      <w:r>
        <w:rPr>
          <w:rFonts w:hint="eastAsia"/>
          <w:highlight w:val="none"/>
        </w:rPr>
        <w:t xml:space="preserve"> 17.5因字迹潦草、表述不清或不按招标文件格式编制的投标文件，所引起的对投标人不利的后果，由投标人自行负责。</w:t>
      </w:r>
    </w:p>
    <w:p>
      <w:pPr>
        <w:pStyle w:val="4"/>
        <w:rPr>
          <w:highlight w:val="none"/>
        </w:rPr>
      </w:pPr>
      <w:bookmarkStart w:id="76" w:name="_Toc28453"/>
      <w:bookmarkStart w:id="77" w:name="_Toc16202"/>
      <w:r>
        <w:rPr>
          <w:rFonts w:hint="eastAsia"/>
          <w:highlight w:val="none"/>
        </w:rPr>
        <w:t>四.投标文件的递交</w:t>
      </w:r>
      <w:bookmarkEnd w:id="71"/>
      <w:bookmarkEnd w:id="72"/>
      <w:bookmarkEnd w:id="73"/>
      <w:bookmarkEnd w:id="76"/>
      <w:bookmarkEnd w:id="77"/>
    </w:p>
    <w:p>
      <w:pPr>
        <w:pStyle w:val="6"/>
        <w:rPr>
          <w:highlight w:val="none"/>
        </w:rPr>
      </w:pPr>
      <w:bookmarkStart w:id="78" w:name="_Toc2184"/>
      <w:bookmarkStart w:id="79" w:name="_Toc4290"/>
      <w:r>
        <w:rPr>
          <w:rFonts w:hint="eastAsia"/>
          <w:highlight w:val="none"/>
        </w:rPr>
        <w:t>18．投标文件的密封和标记</w:t>
      </w:r>
      <w:bookmarkEnd w:id="78"/>
      <w:bookmarkEnd w:id="79"/>
    </w:p>
    <w:p>
      <w:pPr>
        <w:pStyle w:val="9"/>
        <w:ind w:firstLine="480"/>
        <w:rPr>
          <w:highlight w:val="none"/>
        </w:rPr>
      </w:pPr>
      <w:r>
        <w:rPr>
          <w:rFonts w:hint="eastAsia"/>
          <w:highlight w:val="none"/>
        </w:rPr>
        <w:t>18.1投标文件的密封和标记：详见“投标人须知前附表”。</w:t>
      </w:r>
    </w:p>
    <w:p>
      <w:pPr>
        <w:pStyle w:val="9"/>
        <w:ind w:firstLine="480"/>
        <w:rPr>
          <w:highlight w:val="none"/>
        </w:rPr>
      </w:pPr>
      <w:r>
        <w:rPr>
          <w:rFonts w:hint="eastAsia"/>
          <w:highlight w:val="none"/>
        </w:rPr>
        <w:t>18.2如果投标人未对投标文件按要求进行密封、标记，由此产生的不利后果由投标人自行承担。</w:t>
      </w:r>
    </w:p>
    <w:p>
      <w:pPr>
        <w:pStyle w:val="6"/>
        <w:rPr>
          <w:highlight w:val="none"/>
        </w:rPr>
      </w:pPr>
      <w:bookmarkStart w:id="80" w:name="_Toc6576"/>
      <w:bookmarkStart w:id="81" w:name="_Toc15552"/>
      <w:r>
        <w:rPr>
          <w:rFonts w:hint="eastAsia"/>
          <w:highlight w:val="none"/>
        </w:rPr>
        <w:t>19．投标文件的递交</w:t>
      </w:r>
      <w:bookmarkEnd w:id="80"/>
      <w:bookmarkEnd w:id="81"/>
    </w:p>
    <w:p>
      <w:pPr>
        <w:pStyle w:val="9"/>
        <w:ind w:firstLine="480"/>
        <w:rPr>
          <w:highlight w:val="none"/>
        </w:rPr>
      </w:pPr>
      <w:r>
        <w:rPr>
          <w:rFonts w:hint="eastAsia"/>
          <w:highlight w:val="none"/>
        </w:rPr>
        <w:t>19.1投标人应按照招标公告中规定的时间、地点，在规定的投标文件递交截止时间前将全部投标文件和投标资料递交至投标文件接收人。</w:t>
      </w:r>
    </w:p>
    <w:p>
      <w:pPr>
        <w:pStyle w:val="9"/>
        <w:ind w:firstLine="480"/>
        <w:rPr>
          <w:highlight w:val="none"/>
        </w:rPr>
      </w:pPr>
      <w:r>
        <w:rPr>
          <w:rFonts w:hint="eastAsia"/>
          <w:highlight w:val="none"/>
        </w:rPr>
        <w:t>19.2</w:t>
      </w:r>
      <w:r>
        <w:rPr>
          <w:rFonts w:hint="eastAsia"/>
          <w:highlight w:val="none"/>
          <w:lang w:eastAsia="zh-CN"/>
        </w:rPr>
        <w:t>招标代理机构</w:t>
      </w:r>
      <w:r>
        <w:rPr>
          <w:rFonts w:hint="eastAsia"/>
          <w:highlight w:val="none"/>
        </w:rPr>
        <w:t>在招标文件规定的投标文件递交截止时间前，只负责投标文件的接收、清点、造册登记工作，对其有效性不负任何责任。</w:t>
      </w:r>
    </w:p>
    <w:p>
      <w:pPr>
        <w:pStyle w:val="6"/>
        <w:rPr>
          <w:highlight w:val="none"/>
        </w:rPr>
      </w:pPr>
      <w:bookmarkStart w:id="82" w:name="_Toc12399"/>
      <w:bookmarkStart w:id="83" w:name="_Toc455"/>
      <w:r>
        <w:rPr>
          <w:rFonts w:hint="eastAsia"/>
          <w:highlight w:val="none"/>
        </w:rPr>
        <w:t>20．迟交的投标文件</w:t>
      </w:r>
      <w:bookmarkEnd w:id="82"/>
      <w:bookmarkEnd w:id="83"/>
    </w:p>
    <w:p>
      <w:pPr>
        <w:pStyle w:val="9"/>
        <w:ind w:firstLine="480"/>
        <w:rPr>
          <w:highlight w:val="none"/>
        </w:rPr>
      </w:pPr>
      <w:r>
        <w:rPr>
          <w:rFonts w:hint="eastAsia"/>
          <w:highlight w:val="none"/>
        </w:rPr>
        <w:t>20.1按照招标文件的规定，在递交投标文件的截止时间之后送达的投标文件，为无效投标文件，</w:t>
      </w:r>
      <w:r>
        <w:rPr>
          <w:rFonts w:hint="eastAsia"/>
          <w:highlight w:val="none"/>
          <w:lang w:eastAsia="zh-CN"/>
        </w:rPr>
        <w:t>招标代理机构</w:t>
      </w:r>
      <w:r>
        <w:rPr>
          <w:rFonts w:hint="eastAsia"/>
          <w:highlight w:val="none"/>
        </w:rPr>
        <w:t>将拒绝接收。</w:t>
      </w:r>
    </w:p>
    <w:p>
      <w:pPr>
        <w:pStyle w:val="6"/>
        <w:rPr>
          <w:highlight w:val="none"/>
        </w:rPr>
      </w:pPr>
      <w:bookmarkStart w:id="84" w:name="_Toc7249"/>
      <w:bookmarkStart w:id="85" w:name="_Toc9159"/>
      <w:r>
        <w:rPr>
          <w:rFonts w:hint="eastAsia"/>
          <w:highlight w:val="none"/>
        </w:rPr>
        <w:t>21．投标的修改与撤回</w:t>
      </w:r>
      <w:bookmarkEnd w:id="84"/>
      <w:bookmarkEnd w:id="85"/>
    </w:p>
    <w:p>
      <w:pPr>
        <w:pStyle w:val="9"/>
        <w:ind w:firstLine="480"/>
        <w:rPr>
          <w:highlight w:val="none"/>
        </w:rPr>
      </w:pPr>
      <w:r>
        <w:rPr>
          <w:rFonts w:hint="eastAsia"/>
          <w:highlight w:val="none"/>
        </w:rPr>
        <w:t>21.1 投标人在递交投标文件后，可以修改或撤回其投标文件，也可以提出价格变动声明，但投标人必须在规定的投标文件递交截止时间之前将修改或撤回或变动价格的书面通知文件递交到</w:t>
      </w:r>
      <w:r>
        <w:rPr>
          <w:rFonts w:hint="eastAsia"/>
          <w:highlight w:val="none"/>
          <w:lang w:eastAsia="zh-CN"/>
        </w:rPr>
        <w:t>腾德工程咨询有限公司</w:t>
      </w:r>
      <w:r>
        <w:rPr>
          <w:rFonts w:hint="eastAsia"/>
          <w:highlight w:val="none"/>
        </w:rPr>
        <w:t>。</w:t>
      </w:r>
    </w:p>
    <w:p>
      <w:pPr>
        <w:pStyle w:val="9"/>
        <w:ind w:firstLine="480"/>
        <w:rPr>
          <w:highlight w:val="none"/>
        </w:rPr>
      </w:pPr>
      <w:r>
        <w:rPr>
          <w:rFonts w:hint="eastAsia"/>
          <w:highlight w:val="none"/>
        </w:rPr>
        <w:t>21.2 投标人的修改或撤回或变动价格的通知应按本须知第17条、18条、19条的规定编制、密封、标记和递交。</w:t>
      </w:r>
    </w:p>
    <w:p>
      <w:pPr>
        <w:pStyle w:val="9"/>
        <w:ind w:firstLine="480"/>
        <w:rPr>
          <w:highlight w:val="none"/>
        </w:rPr>
      </w:pPr>
      <w:r>
        <w:rPr>
          <w:rFonts w:hint="eastAsia"/>
          <w:highlight w:val="none"/>
        </w:rPr>
        <w:t>21.3 在投标文件递交截止时间之后，投标人不得对其投标做任何修改或撤回。</w:t>
      </w:r>
    </w:p>
    <w:p>
      <w:pPr>
        <w:pStyle w:val="4"/>
        <w:rPr>
          <w:highlight w:val="none"/>
        </w:rPr>
      </w:pPr>
      <w:bookmarkStart w:id="86" w:name="_Toc500"/>
      <w:bookmarkStart w:id="87" w:name="_Toc8259"/>
      <w:bookmarkStart w:id="88" w:name="_Toc363473976"/>
      <w:bookmarkStart w:id="89" w:name="_Toc403077643"/>
      <w:bookmarkStart w:id="90" w:name="_Toc363474021"/>
      <w:r>
        <w:rPr>
          <w:rFonts w:hint="eastAsia"/>
          <w:highlight w:val="none"/>
        </w:rPr>
        <w:t>五.开标与评标</w:t>
      </w:r>
      <w:bookmarkEnd w:id="86"/>
      <w:bookmarkEnd w:id="87"/>
      <w:bookmarkEnd w:id="88"/>
      <w:bookmarkEnd w:id="89"/>
      <w:bookmarkEnd w:id="90"/>
    </w:p>
    <w:p>
      <w:pPr>
        <w:pStyle w:val="6"/>
        <w:rPr>
          <w:highlight w:val="none"/>
        </w:rPr>
      </w:pPr>
      <w:bookmarkStart w:id="91" w:name="_Toc8761"/>
      <w:bookmarkStart w:id="92" w:name="_Toc26680"/>
      <w:bookmarkStart w:id="93" w:name="_Toc15204"/>
      <w:bookmarkStart w:id="94" w:name="_Toc27949"/>
      <w:r>
        <w:rPr>
          <w:rFonts w:hint="eastAsia"/>
          <w:highlight w:val="none"/>
        </w:rPr>
        <w:t>22. 开标</w:t>
      </w:r>
      <w:bookmarkEnd w:id="91"/>
      <w:bookmarkEnd w:id="92"/>
    </w:p>
    <w:p>
      <w:pPr>
        <w:pStyle w:val="9"/>
        <w:ind w:firstLine="480"/>
        <w:rPr>
          <w:highlight w:val="none"/>
        </w:rPr>
      </w:pPr>
      <w:r>
        <w:rPr>
          <w:rFonts w:hint="eastAsia"/>
          <w:highlight w:val="none"/>
        </w:rPr>
        <w:t xml:space="preserve">22.1 </w:t>
      </w:r>
      <w:r>
        <w:rPr>
          <w:rFonts w:hint="eastAsia"/>
          <w:highlight w:val="none"/>
          <w:lang w:eastAsia="zh-CN"/>
        </w:rPr>
        <w:t>招标代理机构</w:t>
      </w:r>
      <w:r>
        <w:rPr>
          <w:rFonts w:hint="eastAsia"/>
          <w:highlight w:val="none"/>
        </w:rPr>
        <w:t>在规定的时间和地点组织公开开标。</w:t>
      </w:r>
    </w:p>
    <w:p>
      <w:pPr>
        <w:pStyle w:val="9"/>
        <w:ind w:firstLine="480"/>
        <w:rPr>
          <w:highlight w:val="none"/>
        </w:rPr>
      </w:pPr>
      <w:r>
        <w:rPr>
          <w:rFonts w:hint="eastAsia"/>
          <w:highlight w:val="none"/>
        </w:rPr>
        <w:t>22.2 开标时，由监标人和投标人或者其推选的代表检查投标文件的密封情况。检查完毕后，</w:t>
      </w:r>
      <w:r>
        <w:rPr>
          <w:rFonts w:hint="eastAsia"/>
          <w:highlight w:val="none"/>
          <w:lang w:eastAsia="zh-CN"/>
        </w:rPr>
        <w:t>招标代理机构</w:t>
      </w:r>
      <w:r>
        <w:rPr>
          <w:rFonts w:hint="eastAsia"/>
          <w:highlight w:val="none"/>
        </w:rPr>
        <w:t>当众宣读投标人名称、投标价格、修改或撤回或变动价格的书面通知（如果有），以及</w:t>
      </w:r>
      <w:r>
        <w:rPr>
          <w:rFonts w:hint="eastAsia"/>
          <w:highlight w:val="none"/>
          <w:lang w:eastAsia="zh-CN"/>
        </w:rPr>
        <w:t>招标代理机构</w:t>
      </w:r>
      <w:r>
        <w:rPr>
          <w:rFonts w:hint="eastAsia"/>
          <w:highlight w:val="none"/>
        </w:rPr>
        <w:t>认为合适的其他内容。未在开标时宣读的投标价格，评标时不予承认。</w:t>
      </w:r>
    </w:p>
    <w:p>
      <w:pPr>
        <w:pStyle w:val="9"/>
        <w:ind w:firstLine="480"/>
        <w:rPr>
          <w:highlight w:val="none"/>
        </w:rPr>
      </w:pPr>
      <w:r>
        <w:rPr>
          <w:rFonts w:hint="eastAsia"/>
          <w:highlight w:val="none"/>
        </w:rPr>
        <w:t>22.3只有在开标时唱出的价格和价格变动声明，评标时才能考虑。</w:t>
      </w:r>
    </w:p>
    <w:p>
      <w:pPr>
        <w:pStyle w:val="9"/>
        <w:ind w:firstLine="480"/>
        <w:rPr>
          <w:highlight w:val="none"/>
        </w:rPr>
      </w:pPr>
      <w:r>
        <w:rPr>
          <w:rFonts w:hint="eastAsia"/>
          <w:highlight w:val="none"/>
        </w:rPr>
        <w:t xml:space="preserve">22.4 </w:t>
      </w:r>
      <w:r>
        <w:rPr>
          <w:rFonts w:hint="eastAsia"/>
          <w:highlight w:val="none"/>
          <w:lang w:eastAsia="zh-CN"/>
        </w:rPr>
        <w:t>招标代理机构</w:t>
      </w:r>
      <w:r>
        <w:rPr>
          <w:rFonts w:hint="eastAsia"/>
          <w:highlight w:val="none"/>
        </w:rPr>
        <w:t>将做开标记录，存档备查。</w:t>
      </w:r>
    </w:p>
    <w:p>
      <w:pPr>
        <w:pStyle w:val="9"/>
        <w:ind w:firstLine="480"/>
        <w:rPr>
          <w:highlight w:val="none"/>
        </w:rPr>
      </w:pPr>
      <w:r>
        <w:rPr>
          <w:rFonts w:hint="eastAsia"/>
          <w:highlight w:val="none"/>
        </w:rPr>
        <w:t>22.5投标人未参加开标的，视同认可开标结果。</w:t>
      </w:r>
    </w:p>
    <w:p>
      <w:pPr>
        <w:pStyle w:val="6"/>
        <w:rPr>
          <w:highlight w:val="none"/>
        </w:rPr>
      </w:pPr>
      <w:bookmarkStart w:id="95" w:name="_Toc1352"/>
      <w:bookmarkStart w:id="96" w:name="_Toc2836"/>
      <w:r>
        <w:rPr>
          <w:rFonts w:hint="eastAsia"/>
          <w:highlight w:val="none"/>
        </w:rPr>
        <w:t>23．评标组织及评标原则</w:t>
      </w:r>
      <w:bookmarkEnd w:id="95"/>
      <w:bookmarkEnd w:id="96"/>
    </w:p>
    <w:p>
      <w:pPr>
        <w:pStyle w:val="9"/>
        <w:ind w:firstLine="480"/>
        <w:rPr>
          <w:highlight w:val="none"/>
        </w:rPr>
      </w:pPr>
      <w:r>
        <w:rPr>
          <w:rFonts w:hint="eastAsia"/>
          <w:highlight w:val="none"/>
        </w:rPr>
        <w:t>23.1按照《中华人民共和国政府采购法》、中华人民共和国2015年第658号国务院令--《中华人民共和国政府采购法实施条例》和中华人民共和国财政部2017年第87号部长令--《政府采购服务和服务招标投标管理办法》的规定，依法组建评标委员会，评标委员会由有关技术、经济等方面的专家组成。评标委员会成员人数以及技术、经济等方面专家的确定方式见投标人须知前附表。评标委员会按照招标文件规定的评标办法独立进行评标工作。</w:t>
      </w:r>
    </w:p>
    <w:p>
      <w:pPr>
        <w:pStyle w:val="9"/>
        <w:ind w:firstLine="480"/>
        <w:rPr>
          <w:highlight w:val="none"/>
        </w:rPr>
      </w:pPr>
      <w:r>
        <w:rPr>
          <w:rFonts w:hint="eastAsia"/>
          <w:highlight w:val="none"/>
        </w:rPr>
        <w:t>23.2招标文件和投标文件是评标的依据。在评标中，不得改变招标文件中规定的评标标准、方法和中标条件。投标人不得在开标后使用任何方式对投标文件的实质性内容做任何更改。</w:t>
      </w:r>
    </w:p>
    <w:p>
      <w:pPr>
        <w:pStyle w:val="9"/>
        <w:ind w:firstLine="480"/>
        <w:rPr>
          <w:highlight w:val="none"/>
        </w:rPr>
      </w:pPr>
      <w:r>
        <w:rPr>
          <w:rFonts w:hint="eastAsia"/>
          <w:highlight w:val="none"/>
        </w:rPr>
        <w:t>23.3在评标期间，对于投标文件中含义不明确、同类问题表述不一致或者有明显文字和计算错误的内容，评标委员会应当以书面形式（由评标委员会专家签字）要求投标人做出必要的澄清、说明或者纠正。投标人的澄清、说明或者补正应当采用书面形式，并由其法人代表或授权代表签署全名。投标人的澄清、说明或者补正不得超出投标文件的范围或者改变投标文件的实质性内容。</w:t>
      </w:r>
    </w:p>
    <w:p>
      <w:pPr>
        <w:pStyle w:val="9"/>
        <w:ind w:firstLine="480"/>
        <w:rPr>
          <w:highlight w:val="none"/>
        </w:rPr>
      </w:pPr>
      <w:r>
        <w:rPr>
          <w:rFonts w:hint="eastAsia"/>
          <w:highlight w:val="none"/>
        </w:rPr>
        <w:t>23.4如果投标人在规定时限内，未能答复或拒绝答复评委会提出的澄清、说明或者补正的要求，将由评委会根据其投标文件按最大风险进行评标。</w:t>
      </w:r>
    </w:p>
    <w:p>
      <w:pPr>
        <w:pStyle w:val="6"/>
        <w:rPr>
          <w:highlight w:val="none"/>
        </w:rPr>
      </w:pPr>
      <w:bookmarkStart w:id="97" w:name="_Toc11682"/>
      <w:bookmarkStart w:id="98" w:name="_Toc29623"/>
      <w:r>
        <w:rPr>
          <w:rFonts w:hint="eastAsia"/>
          <w:highlight w:val="none"/>
        </w:rPr>
        <w:t>24．评标过程的保密</w:t>
      </w:r>
      <w:bookmarkEnd w:id="97"/>
      <w:bookmarkEnd w:id="98"/>
    </w:p>
    <w:p>
      <w:pPr>
        <w:pStyle w:val="9"/>
        <w:ind w:firstLine="480"/>
        <w:rPr>
          <w:highlight w:val="none"/>
        </w:rPr>
      </w:pPr>
      <w:r>
        <w:rPr>
          <w:rFonts w:hint="eastAsia"/>
          <w:highlight w:val="none"/>
        </w:rPr>
        <w:t>24.1评标委员会成员和与评标活动有关的工作人员不得泄露有关投标文件的评审和比较、中标候选人的推荐以及与评标有关的其他情况。</w:t>
      </w:r>
    </w:p>
    <w:p>
      <w:pPr>
        <w:pStyle w:val="9"/>
        <w:ind w:firstLine="480"/>
        <w:rPr>
          <w:highlight w:val="none"/>
        </w:rPr>
      </w:pPr>
      <w:r>
        <w:rPr>
          <w:rFonts w:hint="eastAsia"/>
          <w:highlight w:val="none"/>
        </w:rPr>
        <w:t>24.2在评标过程中，如果投标人试图在投标文件的评审和比较、中标候选人的推荐以及与评标有关的其他方面，向评标人、</w:t>
      </w:r>
      <w:r>
        <w:rPr>
          <w:rFonts w:hint="eastAsia"/>
          <w:highlight w:val="none"/>
          <w:lang w:eastAsia="zh-CN"/>
        </w:rPr>
        <w:t>招标人</w:t>
      </w:r>
      <w:r>
        <w:rPr>
          <w:rFonts w:hint="eastAsia"/>
          <w:highlight w:val="none"/>
        </w:rPr>
        <w:t>和</w:t>
      </w:r>
      <w:r>
        <w:rPr>
          <w:rFonts w:hint="eastAsia"/>
          <w:highlight w:val="none"/>
          <w:lang w:eastAsia="zh-CN"/>
        </w:rPr>
        <w:t>招标代理机构</w:t>
      </w:r>
      <w:r>
        <w:rPr>
          <w:rFonts w:hint="eastAsia"/>
          <w:highlight w:val="none"/>
        </w:rPr>
        <w:t>施加任何影响，其投标应做无效投标处理。</w:t>
      </w:r>
    </w:p>
    <w:p>
      <w:pPr>
        <w:pStyle w:val="6"/>
        <w:rPr>
          <w:highlight w:val="none"/>
        </w:rPr>
      </w:pPr>
      <w:bookmarkStart w:id="99" w:name="_Toc12700"/>
      <w:bookmarkStart w:id="100" w:name="_Toc10826"/>
      <w:r>
        <w:rPr>
          <w:rFonts w:hint="eastAsia"/>
          <w:highlight w:val="none"/>
        </w:rPr>
        <w:t>25．评标办法</w:t>
      </w:r>
      <w:bookmarkEnd w:id="99"/>
      <w:bookmarkEnd w:id="100"/>
    </w:p>
    <w:p>
      <w:pPr>
        <w:pStyle w:val="9"/>
        <w:ind w:firstLine="480"/>
        <w:rPr>
          <w:highlight w:val="none"/>
        </w:rPr>
      </w:pPr>
      <w:r>
        <w:rPr>
          <w:rFonts w:hint="eastAsia"/>
          <w:highlight w:val="none"/>
        </w:rPr>
        <w:t>25.1按照《中华人民共和国政府采购法实施条例》和《政府采购服务和服务招标投标管理办法》的规定，本次评标采用综合评分法，是指投标文件满足招标文件全部实质性要求，且按照评审因素的量化指标评审得分最高的投标人为中标候选人的评标办法。</w:t>
      </w:r>
    </w:p>
    <w:p>
      <w:pPr>
        <w:pStyle w:val="6"/>
        <w:rPr>
          <w:highlight w:val="none"/>
        </w:rPr>
      </w:pPr>
      <w:bookmarkStart w:id="101" w:name="_Toc26334"/>
      <w:bookmarkStart w:id="102" w:name="_Toc10459"/>
      <w:r>
        <w:rPr>
          <w:rFonts w:hint="eastAsia"/>
          <w:highlight w:val="none"/>
        </w:rPr>
        <w:t>26．评标程序</w:t>
      </w:r>
      <w:bookmarkEnd w:id="101"/>
      <w:bookmarkEnd w:id="102"/>
    </w:p>
    <w:p>
      <w:pPr>
        <w:pStyle w:val="9"/>
        <w:ind w:firstLine="480"/>
        <w:rPr>
          <w:highlight w:val="none"/>
        </w:rPr>
      </w:pPr>
      <w:r>
        <w:rPr>
          <w:rFonts w:hint="eastAsia"/>
          <w:highlight w:val="none"/>
        </w:rPr>
        <w:t>按照投标文件初审、澄清有关问题、比较与评价、推荐中标候选人名单的工作程序进行评标。在上一步评审中投标人被认定无效投标者，不进入下一步的评审。</w:t>
      </w:r>
    </w:p>
    <w:p>
      <w:pPr>
        <w:pStyle w:val="4"/>
        <w:rPr>
          <w:highlight w:val="none"/>
        </w:rPr>
      </w:pPr>
      <w:bookmarkStart w:id="103" w:name="_Toc11014"/>
      <w:bookmarkStart w:id="104" w:name="_Toc7785"/>
      <w:bookmarkStart w:id="105" w:name="_Toc363474022"/>
      <w:bookmarkStart w:id="106" w:name="_Toc363473977"/>
      <w:bookmarkStart w:id="107" w:name="_Toc403077644"/>
      <w:r>
        <w:rPr>
          <w:rFonts w:hint="eastAsia"/>
          <w:highlight w:val="none"/>
        </w:rPr>
        <w:t>六.定标、中标通知与签约</w:t>
      </w:r>
      <w:bookmarkEnd w:id="103"/>
      <w:bookmarkEnd w:id="104"/>
      <w:bookmarkEnd w:id="105"/>
      <w:bookmarkEnd w:id="106"/>
      <w:bookmarkEnd w:id="107"/>
    </w:p>
    <w:p>
      <w:pPr>
        <w:pStyle w:val="6"/>
        <w:rPr>
          <w:highlight w:val="none"/>
        </w:rPr>
      </w:pPr>
      <w:bookmarkStart w:id="108" w:name="_Toc22655"/>
      <w:bookmarkStart w:id="109" w:name="_Toc17765"/>
      <w:r>
        <w:rPr>
          <w:rFonts w:hint="eastAsia"/>
          <w:highlight w:val="none"/>
        </w:rPr>
        <w:t>27．定标程序</w:t>
      </w:r>
      <w:bookmarkEnd w:id="108"/>
      <w:bookmarkEnd w:id="109"/>
    </w:p>
    <w:p>
      <w:pPr>
        <w:pStyle w:val="9"/>
        <w:ind w:firstLine="480"/>
        <w:rPr>
          <w:highlight w:val="none"/>
        </w:rPr>
      </w:pPr>
      <w:r>
        <w:rPr>
          <w:rFonts w:hint="eastAsia"/>
          <w:highlight w:val="none"/>
        </w:rPr>
        <w:t>27.1评标委员会根据评标办法的规定对投标人进行评审排序，推荐3名中标候选人，作为评标结果。评标结果由评标委员会成员签字确认。</w:t>
      </w:r>
    </w:p>
    <w:p>
      <w:pPr>
        <w:pStyle w:val="9"/>
        <w:ind w:firstLine="480"/>
        <w:rPr>
          <w:highlight w:val="none"/>
        </w:rPr>
      </w:pPr>
      <w:r>
        <w:rPr>
          <w:rFonts w:hint="eastAsia"/>
          <w:highlight w:val="none"/>
        </w:rPr>
        <w:t>27.2</w:t>
      </w:r>
      <w:r>
        <w:rPr>
          <w:rFonts w:hint="eastAsia"/>
          <w:highlight w:val="none"/>
          <w:lang w:eastAsia="zh-CN"/>
        </w:rPr>
        <w:t>招标代理机构</w:t>
      </w:r>
      <w:r>
        <w:rPr>
          <w:rFonts w:hint="eastAsia"/>
          <w:highlight w:val="none"/>
        </w:rPr>
        <w:t>在评标结束后2个工作日内将评标报告送</w:t>
      </w:r>
      <w:r>
        <w:rPr>
          <w:rFonts w:hint="eastAsia"/>
          <w:highlight w:val="none"/>
          <w:lang w:eastAsia="zh-CN"/>
        </w:rPr>
        <w:t>招标人</w:t>
      </w:r>
      <w:r>
        <w:rPr>
          <w:rFonts w:hint="eastAsia"/>
          <w:highlight w:val="none"/>
        </w:rPr>
        <w:t>。</w:t>
      </w:r>
      <w:r>
        <w:rPr>
          <w:rFonts w:hint="eastAsia"/>
          <w:highlight w:val="none"/>
          <w:lang w:eastAsia="zh-CN"/>
        </w:rPr>
        <w:t>招标人</w:t>
      </w:r>
      <w:r>
        <w:rPr>
          <w:rFonts w:hint="eastAsia"/>
          <w:highlight w:val="none"/>
        </w:rPr>
        <w:t>应当在收到评标报告后5个工作日内，按照评标报告中推荐的中标候选人顺序和有关规定确定中标人。</w:t>
      </w:r>
    </w:p>
    <w:p>
      <w:pPr>
        <w:pStyle w:val="9"/>
        <w:ind w:firstLine="480"/>
        <w:rPr>
          <w:highlight w:val="none"/>
        </w:rPr>
      </w:pPr>
      <w:r>
        <w:rPr>
          <w:rFonts w:hint="eastAsia"/>
          <w:highlight w:val="none"/>
        </w:rPr>
        <w:t>27.3确定的中标候选人放弃中标、在规定期限内未能签订合同、因不可抗力不能履行合同、不按照招标文件要求提交履约保证金（如有），或者被查实存在影响中标结果的违法行为等情形，不符合中标条件的，</w:t>
      </w:r>
      <w:r>
        <w:rPr>
          <w:rFonts w:hint="eastAsia"/>
          <w:highlight w:val="none"/>
          <w:lang w:eastAsia="zh-CN"/>
        </w:rPr>
        <w:t>招标人</w:t>
      </w:r>
      <w:r>
        <w:rPr>
          <w:rFonts w:hint="eastAsia"/>
          <w:highlight w:val="none"/>
        </w:rPr>
        <w:t>可以按照评标委员会提出的中标候选人名单排序依次确定其他中标候选人为中标人，也可以重新招标。</w:t>
      </w:r>
    </w:p>
    <w:p>
      <w:pPr>
        <w:pStyle w:val="9"/>
        <w:ind w:firstLine="480"/>
        <w:rPr>
          <w:highlight w:val="none"/>
        </w:rPr>
      </w:pPr>
      <w:r>
        <w:rPr>
          <w:rFonts w:hint="eastAsia"/>
          <w:highlight w:val="none"/>
        </w:rPr>
        <w:t>27.4</w:t>
      </w:r>
      <w:r>
        <w:rPr>
          <w:rFonts w:hint="eastAsia"/>
          <w:highlight w:val="none"/>
          <w:lang w:eastAsia="zh-CN"/>
        </w:rPr>
        <w:t>招标人</w:t>
      </w:r>
      <w:r>
        <w:rPr>
          <w:rFonts w:hint="eastAsia"/>
          <w:highlight w:val="none"/>
        </w:rPr>
        <w:t>也可以授权评标委员会评标后直接确定中标人。</w:t>
      </w:r>
    </w:p>
    <w:p>
      <w:pPr>
        <w:pStyle w:val="9"/>
        <w:ind w:firstLine="480"/>
        <w:rPr>
          <w:highlight w:val="none"/>
        </w:rPr>
      </w:pPr>
      <w:r>
        <w:rPr>
          <w:rFonts w:hint="eastAsia"/>
          <w:highlight w:val="none"/>
        </w:rPr>
        <w:t>27.5中标人确定之后，中标结果将在财政部门指定的政府采购信息发布媒体上公告。</w:t>
      </w:r>
    </w:p>
    <w:p>
      <w:pPr>
        <w:pStyle w:val="9"/>
        <w:ind w:firstLine="480"/>
        <w:rPr>
          <w:highlight w:val="none"/>
        </w:rPr>
      </w:pPr>
      <w:r>
        <w:rPr>
          <w:rFonts w:hint="eastAsia"/>
          <w:highlight w:val="none"/>
        </w:rPr>
        <w:t>27.6投标人或者其他利害关系人对评标结果有异议的，应当在法律规定的时间内提出。</w:t>
      </w:r>
    </w:p>
    <w:p>
      <w:pPr>
        <w:pStyle w:val="6"/>
        <w:rPr>
          <w:highlight w:val="none"/>
        </w:rPr>
      </w:pPr>
      <w:bookmarkStart w:id="110" w:name="_Toc12566"/>
      <w:bookmarkStart w:id="111" w:name="_Toc26443"/>
      <w:r>
        <w:rPr>
          <w:rFonts w:hint="eastAsia"/>
          <w:highlight w:val="none"/>
        </w:rPr>
        <w:t>28．中标和落标通知</w:t>
      </w:r>
      <w:bookmarkEnd w:id="110"/>
      <w:bookmarkEnd w:id="111"/>
    </w:p>
    <w:p>
      <w:pPr>
        <w:pStyle w:val="9"/>
        <w:ind w:firstLine="480"/>
        <w:rPr>
          <w:rFonts w:hint="eastAsia" w:ascii="宋体" w:hAnsi="宋体" w:eastAsia="宋体" w:cs="宋体"/>
          <w:highlight w:val="none"/>
        </w:rPr>
      </w:pPr>
      <w:r>
        <w:rPr>
          <w:rFonts w:hint="eastAsia" w:ascii="宋体" w:hAnsi="宋体" w:eastAsia="宋体" w:cs="宋体"/>
          <w:highlight w:val="none"/>
        </w:rPr>
        <w:t xml:space="preserve">28.1 </w:t>
      </w:r>
      <w:r>
        <w:rPr>
          <w:rFonts w:hint="eastAsia" w:ascii="宋体" w:hAnsi="宋体" w:eastAsia="宋体" w:cs="宋体"/>
          <w:highlight w:val="none"/>
          <w:lang w:eastAsia="zh-CN"/>
        </w:rPr>
        <w:t>招标代理机构</w:t>
      </w:r>
      <w:r>
        <w:rPr>
          <w:rFonts w:hint="eastAsia" w:ascii="宋体" w:hAnsi="宋体" w:eastAsia="宋体" w:cs="宋体"/>
          <w:highlight w:val="none"/>
        </w:rPr>
        <w:t>在发布中标公告后，向中标人发出《中标通知书》。</w:t>
      </w:r>
    </w:p>
    <w:p>
      <w:pPr>
        <w:pStyle w:val="9"/>
        <w:ind w:firstLine="480"/>
        <w:rPr>
          <w:rFonts w:hint="eastAsia" w:ascii="宋体" w:hAnsi="宋体" w:eastAsia="宋体" w:cs="宋体"/>
          <w:highlight w:val="none"/>
        </w:rPr>
      </w:pPr>
      <w:r>
        <w:rPr>
          <w:rFonts w:hint="eastAsia" w:ascii="宋体" w:hAnsi="宋体" w:eastAsia="宋体" w:cs="宋体"/>
          <w:highlight w:val="none"/>
        </w:rPr>
        <w:t>28.2中标通知书对</w:t>
      </w:r>
      <w:r>
        <w:rPr>
          <w:rFonts w:hint="eastAsia" w:ascii="宋体" w:hAnsi="宋体" w:eastAsia="宋体" w:cs="宋体"/>
          <w:highlight w:val="none"/>
          <w:lang w:eastAsia="zh-CN"/>
        </w:rPr>
        <w:t>招标人</w:t>
      </w:r>
      <w:r>
        <w:rPr>
          <w:rFonts w:hint="eastAsia" w:ascii="宋体" w:hAnsi="宋体" w:eastAsia="宋体" w:cs="宋体"/>
          <w:highlight w:val="none"/>
        </w:rPr>
        <w:t>和中标人具有同等法律效力。中标通知书发出之后，</w:t>
      </w:r>
      <w:r>
        <w:rPr>
          <w:rFonts w:hint="eastAsia" w:ascii="宋体" w:hAnsi="宋体" w:eastAsia="宋体" w:cs="宋体"/>
          <w:highlight w:val="none"/>
          <w:lang w:eastAsia="zh-CN"/>
        </w:rPr>
        <w:t>招标人</w:t>
      </w:r>
      <w:r>
        <w:rPr>
          <w:rFonts w:hint="eastAsia" w:ascii="宋体" w:hAnsi="宋体" w:eastAsia="宋体" w:cs="宋体"/>
          <w:highlight w:val="none"/>
        </w:rPr>
        <w:t>改变中标结果，或者中标人放弃中标，应当承担相应的法律责任。</w:t>
      </w:r>
    </w:p>
    <w:p>
      <w:pPr>
        <w:pStyle w:val="9"/>
        <w:ind w:firstLine="480"/>
        <w:rPr>
          <w:rFonts w:hint="eastAsia" w:ascii="宋体" w:hAnsi="宋体" w:eastAsia="宋体" w:cs="宋体"/>
          <w:highlight w:val="none"/>
          <w:lang w:val="en-US" w:eastAsia="zh-CN"/>
        </w:rPr>
      </w:pPr>
      <w:r>
        <w:rPr>
          <w:rFonts w:hint="eastAsia" w:ascii="宋体" w:hAnsi="宋体" w:eastAsia="宋体" w:cs="宋体"/>
          <w:highlight w:val="none"/>
          <w:lang w:val="en-US" w:eastAsia="zh-CN"/>
        </w:rPr>
        <w:t>28.3 中标通知书发出后五个工作日内，腾德工程咨询有限公司将通知未中标的投标人，并退还其投标保证金。中标人的投标保证金将在合同签订之后五个工作日内退还。</w:t>
      </w:r>
    </w:p>
    <w:p>
      <w:pPr>
        <w:pStyle w:val="6"/>
        <w:rPr>
          <w:highlight w:val="none"/>
        </w:rPr>
      </w:pPr>
      <w:bookmarkStart w:id="112" w:name="_Toc19838"/>
      <w:bookmarkStart w:id="113" w:name="_Toc32248"/>
      <w:r>
        <w:rPr>
          <w:rFonts w:hint="eastAsia"/>
          <w:highlight w:val="none"/>
        </w:rPr>
        <w:t>29. 中标合同的签订</w:t>
      </w:r>
      <w:bookmarkEnd w:id="112"/>
      <w:bookmarkEnd w:id="113"/>
    </w:p>
    <w:p>
      <w:pPr>
        <w:pStyle w:val="9"/>
        <w:ind w:firstLine="480"/>
        <w:rPr>
          <w:rFonts w:hint="eastAsia" w:ascii="宋体" w:hAnsi="宋体" w:eastAsia="宋体" w:cs="宋体"/>
          <w:highlight w:val="none"/>
        </w:rPr>
      </w:pPr>
      <w:bookmarkStart w:id="114" w:name="_Toc27180"/>
      <w:bookmarkStart w:id="115" w:name="_Toc16904"/>
      <w:r>
        <w:rPr>
          <w:rFonts w:hint="eastAsia" w:ascii="宋体" w:hAnsi="宋体" w:eastAsia="宋体" w:cs="宋体"/>
          <w:highlight w:val="none"/>
        </w:rPr>
        <w:t>2</w:t>
      </w:r>
      <w:r>
        <w:rPr>
          <w:rFonts w:hint="eastAsia" w:ascii="宋体" w:hAnsi="宋体" w:eastAsia="宋体" w:cs="宋体"/>
          <w:highlight w:val="none"/>
          <w:lang w:val="en-US" w:eastAsia="zh-CN"/>
        </w:rPr>
        <w:t>9</w:t>
      </w:r>
      <w:r>
        <w:rPr>
          <w:rFonts w:hint="eastAsia" w:ascii="宋体" w:hAnsi="宋体" w:eastAsia="宋体" w:cs="宋体"/>
          <w:highlight w:val="none"/>
        </w:rPr>
        <w:t>.1采购人应当自中标通知书发出之日起三十日内，按照招标文件和中标人投标文件（包括评标中形成的澄清文件）的规定，与中标人签订书面合同。所签订的合同不得对招标文件确定的事项和中标人投标文件作实质性修改。</w:t>
      </w:r>
    </w:p>
    <w:p>
      <w:pPr>
        <w:pStyle w:val="9"/>
        <w:ind w:firstLine="48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highlight w:val="none"/>
          <w:lang w:val="en-US" w:eastAsia="zh-CN"/>
        </w:rPr>
        <w:t>9</w:t>
      </w:r>
      <w:r>
        <w:rPr>
          <w:rFonts w:hint="eastAsia" w:ascii="宋体" w:hAnsi="宋体" w:eastAsia="宋体" w:cs="宋体"/>
          <w:highlight w:val="none"/>
        </w:rPr>
        <w:t>.2采购人自政府采购合同签订之日起2个工作日内，将政府采购合同在省级以上人民政府财政部门指定的媒体上公告，但政府采购合同中涉及国家秘密、商业秘密的内容除外。</w:t>
      </w:r>
    </w:p>
    <w:p>
      <w:pPr>
        <w:pStyle w:val="6"/>
        <w:rPr>
          <w:highlight w:val="none"/>
        </w:rPr>
      </w:pPr>
      <w:r>
        <w:rPr>
          <w:rFonts w:hint="eastAsia"/>
          <w:highlight w:val="none"/>
        </w:rPr>
        <w:t>30．招标代理服务费</w:t>
      </w:r>
      <w:bookmarkEnd w:id="114"/>
      <w:bookmarkEnd w:id="115"/>
    </w:p>
    <w:p>
      <w:pPr>
        <w:spacing w:line="5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30.1中标单位应在收到中标通知书3日内，向腾德工程咨询有限公司一次性支付招标代理服务费。</w:t>
      </w:r>
    </w:p>
    <w:p>
      <w:pPr>
        <w:spacing w:line="5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30.2招标代理服务费的金额见前附表。</w:t>
      </w:r>
    </w:p>
    <w:p>
      <w:pPr>
        <w:pStyle w:val="6"/>
        <w:rPr>
          <w:highlight w:val="none"/>
        </w:rPr>
      </w:pPr>
      <w:bookmarkStart w:id="116" w:name="_Toc20770"/>
      <w:bookmarkStart w:id="117" w:name="_Toc23244"/>
      <w:r>
        <w:rPr>
          <w:rFonts w:hint="eastAsia"/>
          <w:highlight w:val="none"/>
        </w:rPr>
        <w:t>31.质疑</w:t>
      </w:r>
      <w:bookmarkEnd w:id="116"/>
      <w:bookmarkEnd w:id="117"/>
    </w:p>
    <w:p>
      <w:pPr>
        <w:pStyle w:val="9"/>
        <w:ind w:firstLine="480"/>
        <w:rPr>
          <w:highlight w:val="none"/>
        </w:rPr>
      </w:pPr>
      <w:r>
        <w:rPr>
          <w:rFonts w:hint="eastAsia"/>
          <w:highlight w:val="none"/>
        </w:rPr>
        <w:t>31.1投标人认为招标文件、招标过程、中标结果使自己的权益受到损害的，可以在知道或者应知其权益受到损害之日起7个工作日内，以书面形式向</w:t>
      </w:r>
      <w:r>
        <w:rPr>
          <w:rFonts w:hint="eastAsia"/>
          <w:highlight w:val="none"/>
          <w:lang w:eastAsia="zh-CN"/>
        </w:rPr>
        <w:t>招标人</w:t>
      </w:r>
      <w:r>
        <w:rPr>
          <w:rFonts w:hint="eastAsia"/>
          <w:highlight w:val="none"/>
        </w:rPr>
        <w:t>、</w:t>
      </w:r>
      <w:r>
        <w:rPr>
          <w:rFonts w:hint="eastAsia"/>
          <w:highlight w:val="none"/>
          <w:lang w:eastAsia="zh-CN"/>
        </w:rPr>
        <w:t>招标代理机构</w:t>
      </w:r>
      <w:r>
        <w:rPr>
          <w:rFonts w:hint="eastAsia"/>
          <w:highlight w:val="none"/>
        </w:rPr>
        <w:t>提出质疑。</w:t>
      </w:r>
    </w:p>
    <w:p>
      <w:pPr>
        <w:pStyle w:val="9"/>
        <w:ind w:firstLine="480"/>
        <w:rPr>
          <w:highlight w:val="none"/>
        </w:rPr>
      </w:pPr>
      <w:r>
        <w:rPr>
          <w:rFonts w:hint="eastAsia"/>
          <w:highlight w:val="none"/>
        </w:rPr>
        <w:t>31.2投标人必须在法定质疑期内一次性提出针对同一采购程序环节的质疑。</w:t>
      </w:r>
    </w:p>
    <w:p>
      <w:pPr>
        <w:pStyle w:val="9"/>
        <w:ind w:firstLine="480"/>
        <w:rPr>
          <w:highlight w:val="none"/>
        </w:rPr>
      </w:pPr>
      <w:r>
        <w:rPr>
          <w:rFonts w:hint="eastAsia"/>
          <w:highlight w:val="none"/>
        </w:rPr>
        <w:t>31.3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pPr>
        <w:pStyle w:val="9"/>
        <w:ind w:firstLine="480"/>
        <w:rPr>
          <w:highlight w:val="none"/>
        </w:rPr>
      </w:pPr>
      <w:r>
        <w:rPr>
          <w:rFonts w:hint="eastAsia"/>
          <w:highlight w:val="none"/>
        </w:rPr>
        <w:t>31.4以联合体形式参加政府采购活动的，其质疑应当由组成联合体的所有投标人共同提出。</w:t>
      </w:r>
    </w:p>
    <w:p>
      <w:pPr>
        <w:pStyle w:val="9"/>
        <w:ind w:firstLine="480"/>
        <w:rPr>
          <w:highlight w:val="none"/>
        </w:rPr>
      </w:pPr>
      <w:r>
        <w:rPr>
          <w:rFonts w:hint="eastAsia"/>
          <w:highlight w:val="none"/>
        </w:rPr>
        <w:t>31.5投标人提出质疑应当提交质疑函和必要的证明材料。质疑函应当包括下列内容：</w:t>
      </w:r>
    </w:p>
    <w:p>
      <w:pPr>
        <w:pStyle w:val="9"/>
        <w:ind w:firstLine="480"/>
        <w:rPr>
          <w:highlight w:val="none"/>
        </w:rPr>
      </w:pPr>
      <w:r>
        <w:rPr>
          <w:rFonts w:hint="eastAsia"/>
          <w:highlight w:val="none"/>
        </w:rPr>
        <w:t>31.5.1投标人的姓名或者名称、地址、邮编、联系人及联系电话；</w:t>
      </w:r>
    </w:p>
    <w:p>
      <w:pPr>
        <w:pStyle w:val="9"/>
        <w:ind w:firstLine="480"/>
        <w:rPr>
          <w:highlight w:val="none"/>
        </w:rPr>
      </w:pPr>
      <w:r>
        <w:rPr>
          <w:rFonts w:hint="eastAsia"/>
          <w:highlight w:val="none"/>
        </w:rPr>
        <w:t>31.5.2质疑项目的名称、编号；</w:t>
      </w:r>
    </w:p>
    <w:p>
      <w:pPr>
        <w:pStyle w:val="9"/>
        <w:ind w:firstLine="480"/>
        <w:rPr>
          <w:highlight w:val="none"/>
        </w:rPr>
      </w:pPr>
      <w:r>
        <w:rPr>
          <w:rFonts w:hint="eastAsia"/>
          <w:highlight w:val="none"/>
        </w:rPr>
        <w:t>31.5.3具体、明确的质疑事项和与质疑事项相关的请求；</w:t>
      </w:r>
    </w:p>
    <w:p>
      <w:pPr>
        <w:pStyle w:val="9"/>
        <w:ind w:firstLine="480"/>
        <w:rPr>
          <w:highlight w:val="none"/>
        </w:rPr>
      </w:pPr>
      <w:r>
        <w:rPr>
          <w:rFonts w:hint="eastAsia"/>
          <w:highlight w:val="none"/>
        </w:rPr>
        <w:t>31.5.4事实依据；</w:t>
      </w:r>
    </w:p>
    <w:p>
      <w:pPr>
        <w:pStyle w:val="9"/>
        <w:ind w:firstLine="480"/>
        <w:rPr>
          <w:highlight w:val="none"/>
        </w:rPr>
      </w:pPr>
      <w:r>
        <w:rPr>
          <w:rFonts w:hint="eastAsia"/>
          <w:highlight w:val="none"/>
        </w:rPr>
        <w:t>31.5.5必要的法律依据；</w:t>
      </w:r>
    </w:p>
    <w:p>
      <w:pPr>
        <w:pStyle w:val="9"/>
        <w:ind w:firstLine="480"/>
        <w:rPr>
          <w:highlight w:val="none"/>
        </w:rPr>
      </w:pPr>
      <w:r>
        <w:rPr>
          <w:rFonts w:hint="eastAsia"/>
          <w:highlight w:val="none"/>
        </w:rPr>
        <w:t>31.5.6提出质疑的日期。</w:t>
      </w:r>
    </w:p>
    <w:p>
      <w:pPr>
        <w:pStyle w:val="9"/>
        <w:ind w:firstLine="480"/>
        <w:rPr>
          <w:highlight w:val="none"/>
        </w:rPr>
      </w:pPr>
      <w:r>
        <w:rPr>
          <w:rFonts w:hint="eastAsia"/>
          <w:highlight w:val="none"/>
        </w:rPr>
        <w:t>31.6有下列情形之一的，属于无效质疑，</w:t>
      </w:r>
      <w:r>
        <w:rPr>
          <w:rFonts w:hint="eastAsia"/>
          <w:highlight w:val="none"/>
          <w:lang w:eastAsia="zh-CN"/>
        </w:rPr>
        <w:t>招标代理机构</w:t>
      </w:r>
      <w:r>
        <w:rPr>
          <w:rFonts w:hint="eastAsia"/>
          <w:highlight w:val="none"/>
        </w:rPr>
        <w:t>和</w:t>
      </w:r>
      <w:r>
        <w:rPr>
          <w:rFonts w:hint="eastAsia"/>
          <w:highlight w:val="none"/>
          <w:lang w:eastAsia="zh-CN"/>
        </w:rPr>
        <w:t>招标人</w:t>
      </w:r>
      <w:r>
        <w:rPr>
          <w:rFonts w:hint="eastAsia"/>
          <w:highlight w:val="none"/>
        </w:rPr>
        <w:t>不予受理：</w:t>
      </w:r>
    </w:p>
    <w:p>
      <w:pPr>
        <w:pStyle w:val="9"/>
        <w:ind w:firstLine="480"/>
        <w:rPr>
          <w:highlight w:val="none"/>
        </w:rPr>
      </w:pPr>
      <w:r>
        <w:rPr>
          <w:rFonts w:hint="eastAsia"/>
          <w:highlight w:val="none"/>
        </w:rPr>
        <w:t>31.6.1质疑投标人不是参与本次政府采购项目的投标人；</w:t>
      </w:r>
    </w:p>
    <w:p>
      <w:pPr>
        <w:pStyle w:val="9"/>
        <w:ind w:firstLine="480"/>
        <w:rPr>
          <w:highlight w:val="none"/>
        </w:rPr>
      </w:pPr>
      <w:r>
        <w:rPr>
          <w:rFonts w:hint="eastAsia"/>
          <w:highlight w:val="none"/>
        </w:rPr>
        <w:t>31.6.2质疑投标人与质疑事项不存在利害关系的；</w:t>
      </w:r>
    </w:p>
    <w:p>
      <w:pPr>
        <w:pStyle w:val="9"/>
        <w:ind w:firstLine="480"/>
        <w:rPr>
          <w:highlight w:val="none"/>
        </w:rPr>
      </w:pPr>
      <w:r>
        <w:rPr>
          <w:rFonts w:hint="eastAsia"/>
          <w:highlight w:val="none"/>
        </w:rPr>
        <w:t>31.6.3未在法定期限内提出质疑的；</w:t>
      </w:r>
    </w:p>
    <w:p>
      <w:pPr>
        <w:pStyle w:val="9"/>
        <w:ind w:firstLine="480"/>
        <w:rPr>
          <w:highlight w:val="none"/>
        </w:rPr>
      </w:pPr>
      <w:r>
        <w:rPr>
          <w:rFonts w:hint="eastAsia"/>
          <w:highlight w:val="none"/>
        </w:rPr>
        <w:t>31.6.4质疑未以书面形式提出，或质疑函主要内容构成不完整的；</w:t>
      </w:r>
    </w:p>
    <w:p>
      <w:pPr>
        <w:pStyle w:val="9"/>
        <w:ind w:firstLine="480"/>
        <w:rPr>
          <w:highlight w:val="none"/>
        </w:rPr>
      </w:pPr>
      <w:r>
        <w:rPr>
          <w:rFonts w:hint="eastAsia"/>
          <w:highlight w:val="none"/>
        </w:rPr>
        <w:t>31.6.5应当提交授权书而未提交的；</w:t>
      </w:r>
    </w:p>
    <w:p>
      <w:pPr>
        <w:pStyle w:val="9"/>
        <w:ind w:firstLine="480"/>
        <w:rPr>
          <w:highlight w:val="none"/>
        </w:rPr>
      </w:pPr>
      <w:r>
        <w:rPr>
          <w:rFonts w:hint="eastAsia"/>
          <w:highlight w:val="none"/>
        </w:rPr>
        <w:t>31.6.6以非法手段取得证据、材料的；</w:t>
      </w:r>
    </w:p>
    <w:p>
      <w:pPr>
        <w:pStyle w:val="9"/>
        <w:ind w:firstLine="480"/>
        <w:rPr>
          <w:highlight w:val="none"/>
        </w:rPr>
      </w:pPr>
      <w:r>
        <w:rPr>
          <w:rFonts w:hint="eastAsia"/>
          <w:highlight w:val="none"/>
        </w:rPr>
        <w:t>31.6.7质疑答复后，同一质疑人就同一事项或同一采购程序环节再次提出质疑的；</w:t>
      </w:r>
    </w:p>
    <w:p>
      <w:pPr>
        <w:pStyle w:val="9"/>
        <w:ind w:firstLine="480"/>
        <w:rPr>
          <w:highlight w:val="none"/>
        </w:rPr>
      </w:pPr>
      <w:r>
        <w:rPr>
          <w:rFonts w:hint="eastAsia"/>
          <w:highlight w:val="none"/>
        </w:rPr>
        <w:t>31.6.8不符合法律、法规、规章和政府采购监管机构规定的其他条件的。</w:t>
      </w:r>
    </w:p>
    <w:p>
      <w:pPr>
        <w:pStyle w:val="9"/>
        <w:ind w:firstLine="480"/>
        <w:rPr>
          <w:highlight w:val="none"/>
        </w:rPr>
      </w:pPr>
      <w:r>
        <w:rPr>
          <w:rFonts w:hint="eastAsia"/>
          <w:highlight w:val="none"/>
        </w:rPr>
        <w:t>31.7质疑答复</w:t>
      </w:r>
    </w:p>
    <w:p>
      <w:pPr>
        <w:pStyle w:val="9"/>
        <w:ind w:firstLine="480"/>
        <w:rPr>
          <w:highlight w:val="none"/>
        </w:rPr>
      </w:pPr>
      <w:r>
        <w:rPr>
          <w:rFonts w:hint="eastAsia"/>
          <w:highlight w:val="none"/>
        </w:rPr>
        <w:t>31.7.1</w:t>
      </w:r>
      <w:r>
        <w:rPr>
          <w:rFonts w:hint="eastAsia"/>
          <w:highlight w:val="none"/>
          <w:lang w:eastAsia="zh-CN"/>
        </w:rPr>
        <w:t>招标人</w:t>
      </w:r>
      <w:r>
        <w:rPr>
          <w:rFonts w:hint="eastAsia"/>
          <w:highlight w:val="none"/>
        </w:rPr>
        <w:t>或</w:t>
      </w:r>
      <w:r>
        <w:rPr>
          <w:rFonts w:hint="eastAsia"/>
          <w:highlight w:val="none"/>
          <w:lang w:eastAsia="zh-CN"/>
        </w:rPr>
        <w:t>招标代理机构</w:t>
      </w:r>
      <w:r>
        <w:rPr>
          <w:rFonts w:hint="eastAsia"/>
          <w:highlight w:val="none"/>
        </w:rPr>
        <w:t>在收到质疑函后7个工作日内作出答复，并以书面形式通知质疑投标人和其他有关投标人。</w:t>
      </w:r>
    </w:p>
    <w:p>
      <w:pPr>
        <w:pStyle w:val="9"/>
        <w:ind w:firstLine="480"/>
        <w:rPr>
          <w:highlight w:val="none"/>
        </w:rPr>
      </w:pPr>
      <w:r>
        <w:rPr>
          <w:rFonts w:hint="eastAsia"/>
          <w:highlight w:val="none"/>
        </w:rPr>
        <w:t>31.7.2质疑投标人对</w:t>
      </w:r>
      <w:r>
        <w:rPr>
          <w:rFonts w:hint="eastAsia"/>
          <w:highlight w:val="none"/>
          <w:lang w:eastAsia="zh-CN"/>
        </w:rPr>
        <w:t>招标人</w:t>
      </w:r>
      <w:r>
        <w:rPr>
          <w:rFonts w:hint="eastAsia"/>
          <w:highlight w:val="none"/>
        </w:rPr>
        <w:t>、</w:t>
      </w:r>
      <w:r>
        <w:rPr>
          <w:rFonts w:hint="eastAsia"/>
          <w:highlight w:val="none"/>
          <w:lang w:eastAsia="zh-CN"/>
        </w:rPr>
        <w:t>招标代理机构</w:t>
      </w:r>
      <w:r>
        <w:rPr>
          <w:rFonts w:hint="eastAsia"/>
          <w:highlight w:val="none"/>
        </w:rPr>
        <w:t>的答复不满意，或者</w:t>
      </w:r>
      <w:r>
        <w:rPr>
          <w:rFonts w:hint="eastAsia"/>
          <w:highlight w:val="none"/>
          <w:lang w:eastAsia="zh-CN"/>
        </w:rPr>
        <w:t>招标人</w:t>
      </w:r>
      <w:r>
        <w:rPr>
          <w:rFonts w:hint="eastAsia"/>
          <w:highlight w:val="none"/>
        </w:rPr>
        <w:t>、</w:t>
      </w:r>
      <w:r>
        <w:rPr>
          <w:rFonts w:hint="eastAsia"/>
          <w:highlight w:val="none"/>
          <w:lang w:eastAsia="zh-CN"/>
        </w:rPr>
        <w:t>招标代理机构</w:t>
      </w:r>
      <w:r>
        <w:rPr>
          <w:rFonts w:hint="eastAsia"/>
          <w:highlight w:val="none"/>
        </w:rPr>
        <w:t>未在规定时间内作出答复的，可以在答复期满后15个工作日内向同级人民政府财政部门提起投诉。</w:t>
      </w:r>
    </w:p>
    <w:p>
      <w:pPr>
        <w:pStyle w:val="9"/>
        <w:ind w:firstLine="480"/>
        <w:rPr>
          <w:highlight w:val="none"/>
        </w:rPr>
      </w:pPr>
      <w:r>
        <w:rPr>
          <w:rFonts w:hint="eastAsia"/>
          <w:highlight w:val="none"/>
        </w:rPr>
        <w:t>31.8其他需要说明的事项</w:t>
      </w:r>
    </w:p>
    <w:p>
      <w:pPr>
        <w:pStyle w:val="9"/>
        <w:ind w:firstLine="480"/>
        <w:rPr>
          <w:highlight w:val="none"/>
        </w:rPr>
      </w:pPr>
      <w:r>
        <w:rPr>
          <w:rFonts w:hint="eastAsia"/>
          <w:highlight w:val="none"/>
        </w:rPr>
        <w:t>31.8.1质疑函须按财政部《质疑函范本》给定的格式进行填写，范本下载详见【财政部国库司（gks.mof.gov.cn）】网站〖首页·政府采购管理〗栏目中的《政府采购投标人质疑函范本》。《政府采购投标人质疑函范本》链接地址：</w:t>
      </w:r>
    </w:p>
    <w:p>
      <w:pPr>
        <w:pStyle w:val="9"/>
        <w:ind w:firstLine="0" w:firstLineChars="0"/>
        <w:rPr>
          <w:highlight w:val="none"/>
        </w:rPr>
      </w:pPr>
      <w:r>
        <w:rPr>
          <w:rFonts w:hint="eastAsia"/>
          <w:highlight w:val="none"/>
        </w:rPr>
        <w:t>http：//gks.mof.gov.cn/zhengfucaigouguanli/201802/t20180201_2804589.html</w:t>
      </w:r>
    </w:p>
    <w:p>
      <w:pPr>
        <w:pStyle w:val="9"/>
        <w:ind w:firstLine="480"/>
        <w:rPr>
          <w:highlight w:val="none"/>
        </w:rPr>
      </w:pPr>
      <w:r>
        <w:rPr>
          <w:rFonts w:hint="eastAsia"/>
          <w:highlight w:val="none"/>
        </w:rPr>
        <w:t>31.8.2接收质疑函的方式：书面形式</w:t>
      </w:r>
    </w:p>
    <w:p>
      <w:pPr>
        <w:pStyle w:val="9"/>
        <w:ind w:firstLine="480"/>
        <w:rPr>
          <w:rFonts w:hint="eastAsia" w:eastAsia="宋体"/>
          <w:highlight w:val="none"/>
          <w:lang w:eastAsia="zh-CN"/>
        </w:rPr>
      </w:pPr>
      <w:r>
        <w:rPr>
          <w:rFonts w:hint="eastAsia"/>
          <w:highlight w:val="none"/>
        </w:rPr>
        <w:t>31.8.3联系人：</w:t>
      </w:r>
      <w:r>
        <w:rPr>
          <w:rFonts w:hint="eastAsia"/>
          <w:highlight w:val="none"/>
          <w:lang w:eastAsia="zh-CN"/>
        </w:rPr>
        <w:t>申工、宁工</w:t>
      </w:r>
    </w:p>
    <w:p>
      <w:pPr>
        <w:pStyle w:val="9"/>
        <w:ind w:firstLine="480"/>
        <w:rPr>
          <w:rFonts w:hint="default" w:eastAsia="宋体"/>
          <w:highlight w:val="none"/>
          <w:lang w:val="en-US" w:eastAsia="zh-CN"/>
        </w:rPr>
      </w:pPr>
      <w:r>
        <w:rPr>
          <w:rFonts w:hint="eastAsia"/>
          <w:highlight w:val="none"/>
        </w:rPr>
        <w:t>31.8.4联系电话：</w:t>
      </w:r>
      <w:r>
        <w:rPr>
          <w:rFonts w:hint="eastAsia"/>
          <w:highlight w:val="none"/>
          <w:lang w:val="en-US" w:eastAsia="zh-CN"/>
        </w:rPr>
        <w:t>18729107315</w:t>
      </w:r>
    </w:p>
    <w:p>
      <w:pPr>
        <w:pStyle w:val="9"/>
        <w:ind w:firstLine="480"/>
        <w:rPr>
          <w:rFonts w:hint="eastAsia" w:eastAsia="宋体"/>
          <w:highlight w:val="none"/>
          <w:lang w:eastAsia="zh-CN"/>
        </w:rPr>
      </w:pPr>
      <w:r>
        <w:rPr>
          <w:rFonts w:hint="eastAsia"/>
          <w:highlight w:val="none"/>
        </w:rPr>
        <w:t>31.8.5通讯地址：</w:t>
      </w:r>
      <w:r>
        <w:rPr>
          <w:rFonts w:hint="eastAsia"/>
          <w:highlight w:val="none"/>
          <w:lang w:eastAsia="zh-CN"/>
        </w:rPr>
        <w:t>西安市未央区明光路与北三环十字东北角中建财智广场5栋501室</w:t>
      </w:r>
    </w:p>
    <w:p>
      <w:pPr>
        <w:pStyle w:val="6"/>
        <w:rPr>
          <w:highlight w:val="none"/>
        </w:rPr>
      </w:pPr>
      <w:r>
        <w:rPr>
          <w:rFonts w:hint="eastAsia"/>
          <w:highlight w:val="none"/>
        </w:rPr>
        <w:t>32.政府采购信用担保及信用融资政策</w:t>
      </w:r>
    </w:p>
    <w:p>
      <w:pPr>
        <w:pStyle w:val="9"/>
        <w:ind w:firstLine="480"/>
        <w:rPr>
          <w:highlight w:val="none"/>
        </w:rPr>
      </w:pPr>
      <w:r>
        <w:rPr>
          <w:rFonts w:hint="eastAsia"/>
          <w:highlight w:val="none"/>
        </w:rPr>
        <w:t>为充分发挥政府采购政策功能，扶持和促进中小企业发展，进一步解决中小微企业融资难、融资贵的问题，根据《政府采购促进中小企业发展管理办法》（财库﹝2020﹞46 号）和《陕西省财政厅关于加快推进我省中小企业政府采购信用融资工作的通知》（陕财办采〔2020〕15 号）有关要求，投标人在缴纳投标保证金（如有）及中标投标人缴纳履约保证金（如有）时可自愿选择通过担保机构保函的形式缴纳；中标投标人如果需要融资贷款服务的，可凭中标通知书、政府采购合同等相关资料，按照文件规定的程序申请办理，具体规定可登陆陕西省政府采购网(www.ccgp-shaanxi.gov.cn/)重要通知专栏中查询了解。</w:t>
      </w:r>
    </w:p>
    <w:p>
      <w:pPr>
        <w:pStyle w:val="6"/>
        <w:rPr>
          <w:highlight w:val="none"/>
        </w:rPr>
      </w:pPr>
      <w:r>
        <w:rPr>
          <w:rFonts w:hint="eastAsia"/>
          <w:highlight w:val="none"/>
        </w:rPr>
        <w:t>33.其他</w:t>
      </w:r>
      <w:bookmarkEnd w:id="93"/>
      <w:bookmarkEnd w:id="94"/>
    </w:p>
    <w:p>
      <w:pPr>
        <w:pStyle w:val="9"/>
        <w:ind w:firstLine="480"/>
        <w:rPr>
          <w:highlight w:val="none"/>
        </w:rPr>
      </w:pPr>
      <w:bookmarkStart w:id="118" w:name="_Toc363474023"/>
      <w:r>
        <w:rPr>
          <w:rFonts w:hint="eastAsia"/>
          <w:highlight w:val="none"/>
        </w:rPr>
        <w:t>33.1 废标的情形</w:t>
      </w:r>
    </w:p>
    <w:p>
      <w:pPr>
        <w:pStyle w:val="9"/>
        <w:ind w:firstLine="480"/>
        <w:rPr>
          <w:highlight w:val="none"/>
        </w:rPr>
      </w:pPr>
      <w:r>
        <w:rPr>
          <w:rFonts w:hint="eastAsia"/>
          <w:highlight w:val="none"/>
        </w:rPr>
        <w:t>33.1.1招标采购中，出现下列情形之一的，应予以废标：</w:t>
      </w:r>
    </w:p>
    <w:p>
      <w:pPr>
        <w:pStyle w:val="9"/>
        <w:ind w:firstLine="480"/>
        <w:rPr>
          <w:highlight w:val="none"/>
        </w:rPr>
      </w:pPr>
      <w:r>
        <w:rPr>
          <w:rFonts w:hint="eastAsia"/>
          <w:highlight w:val="none"/>
        </w:rPr>
        <w:t>（1）符合专业条件的投标人或者对招标文件作实质响应的投标人不足3家的；</w:t>
      </w:r>
    </w:p>
    <w:p>
      <w:pPr>
        <w:pStyle w:val="9"/>
        <w:ind w:firstLine="480"/>
        <w:rPr>
          <w:highlight w:val="none"/>
        </w:rPr>
      </w:pPr>
      <w:r>
        <w:rPr>
          <w:rFonts w:hint="eastAsia"/>
          <w:highlight w:val="none"/>
        </w:rPr>
        <w:t>（2）出现影响采购公正的违法、违规行为的；</w:t>
      </w:r>
    </w:p>
    <w:p>
      <w:pPr>
        <w:pStyle w:val="9"/>
        <w:ind w:firstLine="480"/>
        <w:rPr>
          <w:highlight w:val="none"/>
        </w:rPr>
      </w:pPr>
      <w:r>
        <w:rPr>
          <w:rFonts w:hint="eastAsia"/>
          <w:highlight w:val="none"/>
        </w:rPr>
        <w:t>（3）投标人的报价均超过了采购预算，</w:t>
      </w:r>
      <w:r>
        <w:rPr>
          <w:rFonts w:hint="eastAsia"/>
          <w:highlight w:val="none"/>
          <w:lang w:eastAsia="zh-CN"/>
        </w:rPr>
        <w:t>招标人</w:t>
      </w:r>
      <w:r>
        <w:rPr>
          <w:rFonts w:hint="eastAsia"/>
          <w:highlight w:val="none"/>
        </w:rPr>
        <w:t>不能支付的；</w:t>
      </w:r>
    </w:p>
    <w:p>
      <w:pPr>
        <w:pStyle w:val="9"/>
        <w:ind w:firstLine="480"/>
        <w:rPr>
          <w:highlight w:val="none"/>
        </w:rPr>
      </w:pPr>
      <w:r>
        <w:rPr>
          <w:rFonts w:hint="eastAsia"/>
          <w:highlight w:val="none"/>
        </w:rPr>
        <w:t>（4）因重大变故，采购任务取消的。</w:t>
      </w:r>
    </w:p>
    <w:p>
      <w:pPr>
        <w:pStyle w:val="9"/>
        <w:ind w:firstLine="480"/>
        <w:rPr>
          <w:highlight w:val="none"/>
        </w:rPr>
      </w:pPr>
      <w:r>
        <w:rPr>
          <w:rFonts w:hint="eastAsia"/>
          <w:highlight w:val="none"/>
        </w:rPr>
        <w:t>33.1.2废标后，</w:t>
      </w:r>
      <w:r>
        <w:rPr>
          <w:rFonts w:hint="eastAsia"/>
          <w:highlight w:val="none"/>
          <w:lang w:eastAsia="zh-CN"/>
        </w:rPr>
        <w:t>招标代理机构</w:t>
      </w:r>
      <w:r>
        <w:rPr>
          <w:rFonts w:hint="eastAsia"/>
          <w:highlight w:val="none"/>
        </w:rPr>
        <w:t>应在财政部门指定采购网上公告，并公告废标的详细理由。</w:t>
      </w:r>
    </w:p>
    <w:p>
      <w:pPr>
        <w:pStyle w:val="9"/>
        <w:ind w:firstLine="480"/>
        <w:rPr>
          <w:highlight w:val="none"/>
        </w:rPr>
      </w:pPr>
      <w:r>
        <w:rPr>
          <w:rFonts w:hint="eastAsia"/>
          <w:highlight w:val="none"/>
        </w:rPr>
        <w:t>33.2变更采购方式</w:t>
      </w:r>
    </w:p>
    <w:p>
      <w:pPr>
        <w:pStyle w:val="9"/>
        <w:ind w:firstLine="480"/>
        <w:rPr>
          <w:highlight w:val="none"/>
        </w:rPr>
      </w:pPr>
      <w:r>
        <w:rPr>
          <w:rFonts w:hint="eastAsia"/>
          <w:highlight w:val="none"/>
        </w:rPr>
        <w:t>33.2.1存在下列情形之一的，除采购任务取消情形外，</w:t>
      </w:r>
      <w:r>
        <w:rPr>
          <w:rFonts w:hint="eastAsia"/>
          <w:highlight w:val="none"/>
          <w:lang w:eastAsia="zh-CN"/>
        </w:rPr>
        <w:t>招标人</w:t>
      </w:r>
      <w:r>
        <w:rPr>
          <w:rFonts w:hint="eastAsia"/>
          <w:highlight w:val="none"/>
        </w:rPr>
        <w:t>经同级财政部门同意后，可按《政府采购货物和服务招标投标管理办法》（财政部87号令）第四十三条规定的方式处理：</w:t>
      </w:r>
    </w:p>
    <w:p>
      <w:pPr>
        <w:pStyle w:val="9"/>
        <w:ind w:firstLine="480"/>
        <w:rPr>
          <w:highlight w:val="none"/>
        </w:rPr>
      </w:pPr>
      <w:r>
        <w:rPr>
          <w:rFonts w:hint="eastAsia"/>
          <w:highlight w:val="none"/>
        </w:rPr>
        <w:t>（1）投标截止后参加投标的人不足3家的；</w:t>
      </w:r>
    </w:p>
    <w:p>
      <w:pPr>
        <w:pStyle w:val="9"/>
        <w:ind w:firstLine="480"/>
        <w:rPr>
          <w:highlight w:val="none"/>
        </w:rPr>
      </w:pPr>
      <w:r>
        <w:rPr>
          <w:rFonts w:hint="eastAsia"/>
          <w:highlight w:val="none"/>
        </w:rPr>
        <w:t>（2）通过资格审查的投标人不足3家的；</w:t>
      </w:r>
    </w:p>
    <w:p>
      <w:pPr>
        <w:pStyle w:val="9"/>
        <w:ind w:firstLine="480"/>
        <w:rPr>
          <w:highlight w:val="none"/>
        </w:rPr>
      </w:pPr>
      <w:r>
        <w:rPr>
          <w:rFonts w:hint="eastAsia"/>
          <w:highlight w:val="none"/>
        </w:rPr>
        <w:t>（3）通过符合性审查的投标人不足3家的。</w:t>
      </w:r>
    </w:p>
    <w:p>
      <w:pPr>
        <w:pStyle w:val="9"/>
        <w:ind w:firstLine="480"/>
        <w:rPr>
          <w:highlight w:val="none"/>
        </w:rPr>
      </w:pPr>
      <w:r>
        <w:rPr>
          <w:rFonts w:hint="eastAsia"/>
          <w:highlight w:val="none"/>
        </w:rPr>
        <w:t>33.2.2通过符合性审查的投标人只有2家时，</w:t>
      </w:r>
      <w:r>
        <w:rPr>
          <w:rFonts w:hint="eastAsia"/>
          <w:highlight w:val="none"/>
          <w:lang w:eastAsia="zh-CN"/>
        </w:rPr>
        <w:t>招标人</w:t>
      </w:r>
      <w:r>
        <w:rPr>
          <w:rFonts w:hint="eastAsia"/>
          <w:highlight w:val="none"/>
        </w:rPr>
        <w:t>经同级财政部门同意后，可以按《政府采购非招标采购方式管理办法》（财政部第74号令）的规定与该2家投标人进行竞争性谈判采购。</w:t>
      </w:r>
    </w:p>
    <w:p>
      <w:pPr>
        <w:pStyle w:val="10"/>
        <w:ind w:left="1440"/>
        <w:rPr>
          <w:highlight w:val="none"/>
        </w:rPr>
      </w:pPr>
    </w:p>
    <w:p>
      <w:pPr>
        <w:pStyle w:val="2"/>
        <w:rPr>
          <w:highlight w:val="none"/>
        </w:rPr>
      </w:pPr>
    </w:p>
    <w:p>
      <w:pPr>
        <w:pStyle w:val="3"/>
        <w:spacing w:before="0" w:beforeLines="0" w:line="360" w:lineRule="auto"/>
        <w:rPr>
          <w:highlight w:val="none"/>
        </w:rPr>
      </w:pPr>
      <w:bookmarkStart w:id="119" w:name="_Toc403077645"/>
      <w:bookmarkStart w:id="120" w:name="_Toc426457694"/>
      <w:bookmarkStart w:id="121" w:name="_Toc3798"/>
      <w:bookmarkStart w:id="122" w:name="_Toc11810"/>
      <w:bookmarkStart w:id="123" w:name="_Toc15898"/>
      <w:r>
        <w:rPr>
          <w:rFonts w:hint="eastAsia"/>
          <w:highlight w:val="none"/>
        </w:rPr>
        <w:br w:type="page"/>
      </w:r>
      <w:bookmarkStart w:id="124" w:name="_Toc14586"/>
      <w:r>
        <w:rPr>
          <w:rFonts w:hint="eastAsia"/>
          <w:highlight w:val="none"/>
        </w:rPr>
        <w:t xml:space="preserve">第三章  </w:t>
      </w:r>
      <w:bookmarkEnd w:id="119"/>
      <w:bookmarkEnd w:id="120"/>
      <w:bookmarkEnd w:id="121"/>
      <w:bookmarkEnd w:id="122"/>
      <w:bookmarkEnd w:id="123"/>
      <w:r>
        <w:rPr>
          <w:rFonts w:hint="eastAsia"/>
          <w:highlight w:val="none"/>
          <w:lang w:eastAsia="zh-CN"/>
        </w:rPr>
        <w:t>商务及合同主要条款</w:t>
      </w:r>
      <w:bookmarkEnd w:id="124"/>
    </w:p>
    <w:p>
      <w:pPr>
        <w:spacing w:line="360" w:lineRule="auto"/>
        <w:jc w:val="center"/>
        <w:rPr>
          <w:rFonts w:hint="eastAsia" w:ascii="宋体" w:hAnsi="宋体" w:eastAsia="宋体" w:cs="宋体"/>
          <w:b/>
          <w:sz w:val="28"/>
          <w:szCs w:val="28"/>
          <w:highlight w:val="none"/>
        </w:rPr>
      </w:pPr>
      <w:bookmarkStart w:id="125" w:name="_Toc19246"/>
      <w:bookmarkStart w:id="126" w:name="_Toc20109"/>
      <w:bookmarkStart w:id="127" w:name="_Toc426457696"/>
      <w:bookmarkStart w:id="128" w:name="_Toc389582037"/>
      <w:bookmarkStart w:id="129" w:name="_Toc31683"/>
      <w:bookmarkStart w:id="130" w:name="_Toc19199"/>
      <w:bookmarkStart w:id="131" w:name="_Toc9053"/>
      <w:bookmarkStart w:id="132" w:name="_Toc8333"/>
      <w:bookmarkStart w:id="133" w:name="_Toc29888"/>
      <w:bookmarkStart w:id="134" w:name="_Toc20230"/>
      <w:bookmarkStart w:id="135" w:name="_Toc31520"/>
      <w:bookmarkStart w:id="136" w:name="_Toc26595"/>
      <w:r>
        <w:rPr>
          <w:rFonts w:hint="eastAsia" w:ascii="宋体" w:hAnsi="宋体" w:eastAsia="宋体" w:cs="宋体"/>
          <w:b/>
          <w:sz w:val="28"/>
          <w:szCs w:val="28"/>
          <w:highlight w:val="none"/>
        </w:rPr>
        <w:t>商务要求</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一、供货地点：</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人指定地点</w:t>
      </w:r>
    </w:p>
    <w:p>
      <w:pPr>
        <w:pStyle w:val="9"/>
        <w:spacing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sz w:val="24"/>
          <w:szCs w:val="24"/>
          <w:highlight w:val="none"/>
        </w:rPr>
        <w:t>二、交 货 期：</w:t>
      </w:r>
      <w:r>
        <w:rPr>
          <w:rFonts w:hint="eastAsia" w:ascii="宋体" w:hAnsi="宋体" w:eastAsia="宋体" w:cs="宋体"/>
          <w:kern w:val="0"/>
          <w:sz w:val="24"/>
          <w:szCs w:val="24"/>
          <w:highlight w:val="none"/>
          <w:lang w:val="en-US" w:eastAsia="zh-CN" w:bidi="ar-SA"/>
        </w:rPr>
        <w:t>接到采购人通知后，按采购人要求的时间及时送货</w:t>
      </w:r>
      <w:r>
        <w:rPr>
          <w:rFonts w:hint="eastAsia" w:ascii="宋体" w:hAnsi="宋体" w:eastAsia="宋体" w:cs="宋体"/>
          <w:sz w:val="24"/>
          <w:szCs w:val="24"/>
          <w:highlight w:val="none"/>
        </w:rPr>
        <w:t>。</w:t>
      </w:r>
    </w:p>
    <w:p>
      <w:pPr>
        <w:pStyle w:val="9"/>
        <w:spacing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三、</w:t>
      </w:r>
      <w:r>
        <w:rPr>
          <w:rFonts w:hint="eastAsia" w:ascii="宋体" w:hAnsi="宋体" w:eastAsia="宋体" w:cs="宋体"/>
          <w:b/>
          <w:sz w:val="24"/>
          <w:szCs w:val="24"/>
          <w:highlight w:val="none"/>
        </w:rPr>
        <w:t>服务期：</w:t>
      </w:r>
      <w:r>
        <w:rPr>
          <w:rFonts w:hint="eastAsia" w:ascii="宋体" w:hAnsi="宋体" w:eastAsia="宋体" w:cs="宋体"/>
          <w:sz w:val="24"/>
          <w:szCs w:val="24"/>
          <w:highlight w:val="none"/>
        </w:rPr>
        <w:t>自合同签订之日起1年</w:t>
      </w:r>
    </w:p>
    <w:p>
      <w:pPr>
        <w:pStyle w:val="9"/>
        <w:spacing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sz w:val="24"/>
          <w:szCs w:val="24"/>
          <w:highlight w:val="none"/>
        </w:rPr>
        <w:t>四、质量要求：</w:t>
      </w:r>
      <w:r>
        <w:rPr>
          <w:rFonts w:hint="eastAsia" w:ascii="宋体" w:hAnsi="宋体" w:eastAsia="宋体" w:cs="宋体"/>
          <w:sz w:val="24"/>
          <w:szCs w:val="24"/>
          <w:highlight w:val="none"/>
        </w:rPr>
        <w:t>符合国家相关质量标准并满足招标人的采购要求。</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五、付款方式：</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1、结算单位：采购人结算，在付款前必须开具等额发票给采购人。</w:t>
      </w:r>
    </w:p>
    <w:p>
      <w:pPr>
        <w:pStyle w:val="13"/>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2、付款方式</w:t>
      </w:r>
      <w:r>
        <w:rPr>
          <w:rFonts w:hint="eastAsia" w:hAnsi="宋体" w:cs="宋体"/>
          <w:sz w:val="24"/>
          <w:szCs w:val="24"/>
          <w:highlight w:val="none"/>
          <w:lang w:eastAsia="zh-CN"/>
        </w:rPr>
        <w:t>：按月</w:t>
      </w:r>
      <w:r>
        <w:rPr>
          <w:rFonts w:hint="eastAsia" w:ascii="宋体" w:hAnsi="宋体" w:eastAsia="宋体" w:cs="宋体"/>
          <w:sz w:val="24"/>
          <w:szCs w:val="24"/>
          <w:highlight w:val="none"/>
        </w:rPr>
        <w:t>据实结算</w:t>
      </w:r>
      <w:r>
        <w:rPr>
          <w:rFonts w:hint="eastAsia" w:hAnsi="宋体" w:cs="宋体"/>
          <w:sz w:val="24"/>
          <w:szCs w:val="24"/>
          <w:highlight w:val="none"/>
          <w:lang w:eastAsia="zh-CN"/>
        </w:rPr>
        <w:t>，次月付上月货款</w:t>
      </w:r>
      <w:r>
        <w:rPr>
          <w:rFonts w:hint="eastAsia" w:ascii="宋体" w:hAnsi="宋体" w:eastAsia="宋体" w:cs="宋体"/>
          <w:sz w:val="24"/>
          <w:szCs w:val="24"/>
          <w:highlight w:val="none"/>
        </w:rPr>
        <w:t>；结算单价以中标人响应单价为准，结算数量以实际发放数量为准</w:t>
      </w:r>
      <w:r>
        <w:rPr>
          <w:rFonts w:hint="eastAsia" w:hAnsi="宋体" w:cs="宋体"/>
          <w:sz w:val="24"/>
          <w:szCs w:val="24"/>
          <w:highlight w:val="none"/>
          <w:lang w:eastAsia="zh-CN"/>
        </w:rPr>
        <w:t>。</w:t>
      </w:r>
    </w:p>
    <w:p>
      <w:pPr>
        <w:pStyle w:val="9"/>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t>六、其他</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1、价格：合同价格中包含税费、保险、运输、包装、装卸车、搬运、检测等产生的一切费用。</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负责完成货物及相关物资的运输、保管、直至其产品在</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人指定地点经</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人验收合格。对因此而产生的一切费用，全部由供货商承担。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2、运输和包装：根据物资特性，自行选择运输及包装方式，并负责所发生的一切费用，全部由供应商承担。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3、运杂费：一次包死在合同总价内，包括从厂家到</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人指定地点所需的装卸、二次倒运费、运输（含保险费）等一切费用。</w:t>
      </w:r>
    </w:p>
    <w:p>
      <w:pPr>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t>七、验收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1、供货商应保证按</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人需求计划供应物资；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2、供货商在交货验收时，其物资应完全满足</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文件的技术要求及</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3、供货商对所供物资质量安全负全部责任。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4、供货商对所提供单位资质的真实性、有效性及保证物资质量的合格、安全、服务保证有相应承诺。</w:t>
      </w:r>
    </w:p>
    <w:p>
      <w:pPr>
        <w:rPr>
          <w:rFonts w:hint="eastAsia" w:asciiTheme="minorEastAsia" w:hAnsiTheme="minorEastAsia" w:eastAsiaTheme="minorEastAsia"/>
          <w:b/>
          <w:bCs/>
          <w:sz w:val="28"/>
          <w:szCs w:val="28"/>
          <w:highlight w:val="none"/>
          <w:lang w:eastAsia="zh-CN"/>
        </w:rPr>
      </w:pPr>
      <w:r>
        <w:rPr>
          <w:rFonts w:hint="eastAsia" w:ascii="宋体" w:hAnsi="宋体" w:eastAsia="宋体" w:cs="宋体"/>
          <w:b/>
          <w:sz w:val="24"/>
          <w:szCs w:val="24"/>
          <w:highlight w:val="none"/>
        </w:rPr>
        <w:br w:type="page"/>
      </w:r>
    </w:p>
    <w:p>
      <w:pPr>
        <w:pStyle w:val="13"/>
        <w:spacing w:line="360" w:lineRule="auto"/>
        <w:jc w:val="center"/>
        <w:rPr>
          <w:rFonts w:asciiTheme="minorEastAsia" w:hAnsiTheme="minorEastAsia" w:eastAsiaTheme="minorEastAsia"/>
          <w:b/>
          <w:bCs/>
          <w:sz w:val="28"/>
          <w:szCs w:val="28"/>
          <w:highlight w:val="none"/>
        </w:rPr>
      </w:pPr>
      <w:r>
        <w:rPr>
          <w:rFonts w:hint="eastAsia" w:asciiTheme="minorEastAsia" w:hAnsiTheme="minorEastAsia" w:eastAsiaTheme="minorEastAsia"/>
          <w:b/>
          <w:bCs/>
          <w:sz w:val="28"/>
          <w:szCs w:val="28"/>
          <w:highlight w:val="none"/>
          <w:lang w:eastAsia="zh-CN"/>
        </w:rPr>
        <w:t>陕西省华山监狱</w:t>
      </w:r>
      <w:r>
        <w:rPr>
          <w:rFonts w:hint="eastAsia" w:asciiTheme="minorEastAsia" w:hAnsiTheme="minorEastAsia" w:eastAsiaTheme="minorEastAsia"/>
          <w:b/>
          <w:bCs/>
          <w:sz w:val="28"/>
          <w:szCs w:val="28"/>
          <w:highlight w:val="none"/>
        </w:rPr>
        <w:t>货物采购合同</w:t>
      </w:r>
    </w:p>
    <w:p>
      <w:pPr>
        <w:pStyle w:val="13"/>
        <w:spacing w:line="360" w:lineRule="auto"/>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需方（以下简称“甲方”）：</w:t>
      </w:r>
      <w:r>
        <w:rPr>
          <w:rFonts w:hint="eastAsia" w:asciiTheme="minorEastAsia" w:hAnsiTheme="minorEastAsia" w:eastAsiaTheme="minorEastAsia"/>
          <w:b/>
          <w:bCs/>
          <w:sz w:val="24"/>
          <w:szCs w:val="24"/>
          <w:highlight w:val="none"/>
          <w:lang w:eastAsia="zh-CN"/>
        </w:rPr>
        <w:t>陕西省华山监狱</w:t>
      </w:r>
      <w:r>
        <w:rPr>
          <w:rFonts w:hint="eastAsia" w:asciiTheme="minorEastAsia" w:hAnsiTheme="minorEastAsia" w:eastAsiaTheme="minorEastAsia"/>
          <w:b/>
          <w:bCs/>
          <w:sz w:val="24"/>
          <w:szCs w:val="24"/>
          <w:highlight w:val="none"/>
        </w:rPr>
        <w:t xml:space="preserve">   </w:t>
      </w:r>
    </w:p>
    <w:p>
      <w:pPr>
        <w:pStyle w:val="13"/>
        <w:spacing w:line="360" w:lineRule="auto"/>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合同编号：</w:t>
      </w:r>
    </w:p>
    <w:p>
      <w:pPr>
        <w:pStyle w:val="13"/>
        <w:spacing w:line="360" w:lineRule="auto"/>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供方（以下简称“乙方”）：</w:t>
      </w:r>
    </w:p>
    <w:p>
      <w:pPr>
        <w:pStyle w:val="13"/>
        <w:spacing w:line="360" w:lineRule="auto"/>
        <w:ind w:firstLine="480" w:firstLineChars="200"/>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依据《中华人民共和国民法典》，甲乙双方经协商一致，就购买</w:t>
      </w:r>
      <w:r>
        <w:rPr>
          <w:rFonts w:hint="eastAsia" w:ascii="宋体" w:hAnsi="宋体" w:eastAsia="宋体" w:cs="宋体"/>
          <w:sz w:val="24"/>
          <w:szCs w:val="24"/>
          <w:highlight w:val="none"/>
          <w:u w:val="single"/>
        </w:rPr>
        <w:t xml:space="preserve">(项目名称) </w:t>
      </w:r>
    </w:p>
    <w:p>
      <w:pPr>
        <w:pStyle w:val="13"/>
        <w:spacing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事宜，确立本合同,双方共同遵守：</w:t>
      </w:r>
    </w:p>
    <w:p>
      <w:pPr>
        <w:pStyle w:val="13"/>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一、产品名称、数量、价格：</w:t>
      </w:r>
    </w:p>
    <w:tbl>
      <w:tblPr>
        <w:tblStyle w:val="19"/>
        <w:tblpPr w:leftFromText="180" w:rightFromText="180" w:vertAnchor="text" w:horzAnchor="margin" w:tblpX="-252" w:tblpY="158"/>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035"/>
        <w:gridCol w:w="1072"/>
        <w:gridCol w:w="893"/>
        <w:gridCol w:w="1251"/>
        <w:gridCol w:w="893"/>
        <w:gridCol w:w="1078"/>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51"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116"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产品名称</w:t>
            </w:r>
          </w:p>
        </w:tc>
        <w:tc>
          <w:tcPr>
            <w:tcW w:w="588"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规格</w:t>
            </w:r>
          </w:p>
        </w:tc>
        <w:tc>
          <w:tcPr>
            <w:tcW w:w="490"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品牌</w:t>
            </w:r>
          </w:p>
        </w:tc>
        <w:tc>
          <w:tcPr>
            <w:tcW w:w="686"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生产厂家</w:t>
            </w:r>
          </w:p>
        </w:tc>
        <w:tc>
          <w:tcPr>
            <w:tcW w:w="490"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588"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单价(元)</w:t>
            </w:r>
          </w:p>
        </w:tc>
        <w:tc>
          <w:tcPr>
            <w:tcW w:w="686"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1" w:type="pct"/>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116"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588"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490" w:type="pct"/>
          </w:tcPr>
          <w:p>
            <w:pPr>
              <w:adjustRightInd w:val="0"/>
              <w:snapToGrid w:val="0"/>
              <w:spacing w:line="360" w:lineRule="auto"/>
              <w:jc w:val="center"/>
              <w:rPr>
                <w:rFonts w:hint="eastAsia" w:ascii="宋体" w:hAnsi="宋体" w:eastAsia="宋体" w:cs="宋体"/>
                <w:sz w:val="24"/>
                <w:szCs w:val="24"/>
                <w:highlight w:val="none"/>
              </w:rPr>
            </w:pPr>
          </w:p>
        </w:tc>
        <w:tc>
          <w:tcPr>
            <w:tcW w:w="686"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490"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588"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686" w:type="pct"/>
            <w:vAlign w:val="center"/>
          </w:tcPr>
          <w:p>
            <w:pPr>
              <w:adjustRightInd w:val="0"/>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51" w:type="pct"/>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116"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588"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490" w:type="pct"/>
          </w:tcPr>
          <w:p>
            <w:pPr>
              <w:adjustRightInd w:val="0"/>
              <w:snapToGrid w:val="0"/>
              <w:spacing w:line="360" w:lineRule="auto"/>
              <w:jc w:val="center"/>
              <w:rPr>
                <w:rFonts w:hint="eastAsia" w:ascii="宋体" w:hAnsi="宋体" w:eastAsia="宋体" w:cs="宋体"/>
                <w:sz w:val="24"/>
                <w:szCs w:val="24"/>
                <w:highlight w:val="none"/>
              </w:rPr>
            </w:pPr>
          </w:p>
        </w:tc>
        <w:tc>
          <w:tcPr>
            <w:tcW w:w="686"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490"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588"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686" w:type="pct"/>
            <w:vAlign w:val="center"/>
          </w:tcPr>
          <w:p>
            <w:pPr>
              <w:adjustRightInd w:val="0"/>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51" w:type="pct"/>
            <w:vAlign w:val="center"/>
          </w:tcPr>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hAnsi="宋体" w:cs="宋体"/>
                <w:sz w:val="24"/>
                <w:szCs w:val="24"/>
                <w:highlight w:val="none"/>
                <w:lang w:val="en-US" w:eastAsia="zh-CN"/>
              </w:rPr>
              <w:t>...</w:t>
            </w:r>
          </w:p>
        </w:tc>
        <w:tc>
          <w:tcPr>
            <w:tcW w:w="1116"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588"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490" w:type="pct"/>
          </w:tcPr>
          <w:p>
            <w:pPr>
              <w:adjustRightInd w:val="0"/>
              <w:snapToGrid w:val="0"/>
              <w:spacing w:line="360" w:lineRule="auto"/>
              <w:jc w:val="center"/>
              <w:rPr>
                <w:rFonts w:hint="eastAsia" w:ascii="宋体" w:hAnsi="宋体" w:eastAsia="宋体" w:cs="宋体"/>
                <w:sz w:val="24"/>
                <w:szCs w:val="24"/>
                <w:highlight w:val="none"/>
              </w:rPr>
            </w:pPr>
          </w:p>
        </w:tc>
        <w:tc>
          <w:tcPr>
            <w:tcW w:w="686"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490"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588" w:type="pct"/>
            <w:vAlign w:val="center"/>
          </w:tcPr>
          <w:p>
            <w:pPr>
              <w:adjustRightInd w:val="0"/>
              <w:snapToGrid w:val="0"/>
              <w:spacing w:line="360" w:lineRule="auto"/>
              <w:jc w:val="center"/>
              <w:rPr>
                <w:rFonts w:hint="eastAsia" w:ascii="宋体" w:hAnsi="宋体" w:eastAsia="宋体" w:cs="宋体"/>
                <w:sz w:val="24"/>
                <w:szCs w:val="24"/>
                <w:highlight w:val="none"/>
              </w:rPr>
            </w:pPr>
          </w:p>
        </w:tc>
        <w:tc>
          <w:tcPr>
            <w:tcW w:w="686" w:type="pct"/>
            <w:vAlign w:val="center"/>
          </w:tcPr>
          <w:p>
            <w:pPr>
              <w:adjustRightInd w:val="0"/>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1" w:type="pct"/>
            <w:vAlign w:val="center"/>
          </w:tcPr>
          <w:p>
            <w:pPr>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合计</w:t>
            </w:r>
          </w:p>
        </w:tc>
        <w:tc>
          <w:tcPr>
            <w:tcW w:w="3961" w:type="pct"/>
            <w:gridSpan w:val="6"/>
            <w:vAlign w:val="center"/>
          </w:tcPr>
          <w:p>
            <w:pPr>
              <w:adjustRightInd w:val="0"/>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大写：                                      （含税价）</w:t>
            </w:r>
          </w:p>
        </w:tc>
        <w:tc>
          <w:tcPr>
            <w:tcW w:w="686" w:type="pct"/>
            <w:vAlign w:val="center"/>
          </w:tcPr>
          <w:p>
            <w:pPr>
              <w:adjustRightInd w:val="0"/>
              <w:snapToGrid w:val="0"/>
              <w:spacing w:line="360" w:lineRule="auto"/>
              <w:jc w:val="center"/>
              <w:rPr>
                <w:rFonts w:hint="eastAsia" w:ascii="宋体" w:hAnsi="宋体" w:eastAsia="宋体" w:cs="宋体"/>
                <w:b/>
                <w:sz w:val="24"/>
                <w:szCs w:val="24"/>
                <w:highlight w:val="none"/>
              </w:rPr>
            </w:pPr>
          </w:p>
        </w:tc>
      </w:tr>
    </w:tbl>
    <w:p>
      <w:pPr>
        <w:pStyle w:val="13"/>
        <w:spacing w:line="360" w:lineRule="auto"/>
        <w:ind w:firstLine="480" w:firstLineChars="200"/>
        <w:rPr>
          <w:rFonts w:hint="eastAsia" w:ascii="宋体" w:hAnsi="宋体" w:eastAsia="宋体" w:cs="宋体"/>
          <w:sz w:val="24"/>
          <w:szCs w:val="24"/>
          <w:highlight w:val="none"/>
        </w:rPr>
      </w:pPr>
      <w:r>
        <w:rPr>
          <w:rFonts w:hint="eastAsia" w:hAnsi="宋体" w:cs="宋体"/>
          <w:sz w:val="24"/>
          <w:szCs w:val="24"/>
          <w:highlight w:val="none"/>
          <w:lang w:eastAsia="zh-CN"/>
        </w:rPr>
        <w:t>注：</w:t>
      </w:r>
      <w:r>
        <w:rPr>
          <w:rFonts w:hint="eastAsia" w:ascii="宋体" w:hAnsi="宋体" w:eastAsia="宋体" w:cs="宋体"/>
          <w:sz w:val="24"/>
          <w:szCs w:val="24"/>
          <w:highlight w:val="none"/>
        </w:rPr>
        <w:t>合同总金额包括货物价款、检验、包装、运输、保险等全部费用，如果招投标文件对其另有规定的，从其规定。</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二、质量标准：</w:t>
      </w:r>
    </w:p>
    <w:p>
      <w:pPr>
        <w:pStyle w:val="13"/>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乙方提供的货物必须符合中华人民共和国国家安全环保标准，国家及有关行业产品质量认证标准。招标文件的质量要求及双方签字确认的技术协议作为本合同的有效</w:t>
      </w:r>
      <w:r>
        <w:rPr>
          <w:rFonts w:hint="eastAsia" w:ascii="宋体" w:hAnsi="宋体" w:eastAsia="宋体" w:cs="宋体"/>
          <w:b w:val="0"/>
          <w:bCs w:val="0"/>
          <w:sz w:val="24"/>
          <w:szCs w:val="24"/>
          <w:highlight w:val="none"/>
        </w:rPr>
        <w:t>附件。</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三、交货日期、方式及地点：</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合同生效后，于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none"/>
        </w:rPr>
        <w:t>年</w:t>
      </w:r>
      <w:r>
        <w:rPr>
          <w:rFonts w:hint="eastAsia" w:ascii="宋体" w:hAnsi="宋体" w:eastAsia="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none"/>
        </w:rPr>
        <w:t>日</w:t>
      </w:r>
      <w:r>
        <w:rPr>
          <w:rFonts w:hint="eastAsia" w:ascii="宋体" w:hAnsi="宋体" w:eastAsia="宋体" w:cs="宋体"/>
          <w:sz w:val="24"/>
          <w:szCs w:val="24"/>
          <w:highlight w:val="none"/>
        </w:rPr>
        <w:t>前，乙方将所供货物送至</w:t>
      </w:r>
      <w:r>
        <w:rPr>
          <w:rFonts w:hint="eastAsia" w:hAnsi="宋体" w:cs="宋体"/>
          <w:sz w:val="24"/>
          <w:szCs w:val="24"/>
          <w:highlight w:val="none"/>
          <w:lang w:eastAsia="zh-CN"/>
        </w:rPr>
        <w:t>陕西省华山监狱</w:t>
      </w:r>
      <w:r>
        <w:rPr>
          <w:rFonts w:hint="eastAsia" w:ascii="宋体" w:hAnsi="宋体" w:eastAsia="宋体" w:cs="宋体"/>
          <w:sz w:val="24"/>
          <w:szCs w:val="24"/>
          <w:highlight w:val="none"/>
        </w:rPr>
        <w:t>指定位置。</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四、乙方对质量保证的条件及期限：</w:t>
      </w:r>
    </w:p>
    <w:p>
      <w:pPr>
        <w:pStyle w:val="13"/>
        <w:spacing w:line="360" w:lineRule="auto"/>
        <w:ind w:firstLine="480" w:firstLineChars="200"/>
        <w:rPr>
          <w:rFonts w:hint="eastAsia" w:ascii="宋体" w:hAnsi="宋体" w:eastAsia="宋体" w:cs="宋体"/>
          <w:color w:val="FF0000"/>
          <w:sz w:val="24"/>
          <w:szCs w:val="24"/>
          <w:highlight w:val="none"/>
        </w:rPr>
      </w:pPr>
      <w:r>
        <w:rPr>
          <w:rFonts w:hint="eastAsia" w:ascii="宋体" w:hAnsi="宋体" w:eastAsia="宋体" w:cs="宋体"/>
          <w:sz w:val="24"/>
          <w:szCs w:val="24"/>
          <w:highlight w:val="none"/>
        </w:rPr>
        <w:t>1、货物自验收合格之日起保质期</w:t>
      </w:r>
      <w:r>
        <w:rPr>
          <w:rFonts w:hint="eastAsia" w:ascii="宋体" w:hAnsi="宋体" w:eastAsia="宋体" w:cs="宋体"/>
          <w:sz w:val="24"/>
          <w:szCs w:val="24"/>
          <w:highlight w:val="none"/>
          <w:u w:val="single"/>
        </w:rPr>
        <w:t xml:space="preserve"> </w:t>
      </w:r>
      <w:r>
        <w:rPr>
          <w:rFonts w:hint="eastAsia" w:hAnsi="宋体" w:cs="宋体"/>
          <w:sz w:val="24"/>
          <w:szCs w:val="24"/>
          <w:highlight w:val="none"/>
          <w:u w:val="single"/>
          <w:lang w:eastAsia="zh-CN"/>
        </w:rPr>
        <w:t>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年。在保质期内因货物质量问题，乙方负责免费退换。</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2、乙方所供的货物必须是双方招投标文件规定的最新产品。</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五、货物的包装及运输：</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1、乙方应在货物发运前对其进行满足于运输距离和防破损装卸要求的包装，以保证货物安全运输到达甲方指定地点。途中发生包装物破损的情况，甲方有权拒收货物。</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2、包装上注明货物品种及数量。</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3、运输方式：乙方负责运输并承担运输、装卸、倒运及运保费等费用。</w:t>
      </w:r>
    </w:p>
    <w:p>
      <w:pPr>
        <w:pStyle w:val="13"/>
        <w:spacing w:line="360" w:lineRule="auto"/>
        <w:ind w:firstLine="482" w:firstLineChars="200"/>
        <w:rPr>
          <w:rFonts w:hint="eastAsia" w:ascii="宋体" w:hAnsi="宋体" w:eastAsia="宋体" w:cs="宋体"/>
          <w:b/>
          <w:bCs/>
          <w:color w:val="FF0000"/>
          <w:sz w:val="24"/>
          <w:szCs w:val="24"/>
          <w:highlight w:val="none"/>
        </w:rPr>
      </w:pPr>
      <w:r>
        <w:rPr>
          <w:rFonts w:hint="eastAsia" w:ascii="宋体" w:hAnsi="宋体" w:eastAsia="宋体" w:cs="宋体"/>
          <w:b/>
          <w:bCs/>
          <w:sz w:val="24"/>
          <w:szCs w:val="24"/>
          <w:highlight w:val="none"/>
        </w:rPr>
        <w:t>六、货物验收：</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1、乙方负责搬运，甲方提供必要的工作条件（水电等）。</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2、甲方对乙方所货物依照国家有关标准和双方确认的标准进行现场验收。质量达到要求的，验收通过；验收不合格的，限期退换。</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3、如因货物的质量问题发生争议，由甲方属地质量监督部门进行质量鉴定；货物符合质量标准的，鉴定费由甲方承担；货物不符合质量标准的，鉴定费由乙方承担，同时按本合同第八条第3款处理。</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七、付款方式及期限：</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1、结算单位：采购人结算，在付款前必须开具等额发票给采购人。</w:t>
      </w:r>
    </w:p>
    <w:p>
      <w:pPr>
        <w:pStyle w:val="13"/>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2、付款方式</w:t>
      </w:r>
      <w:r>
        <w:rPr>
          <w:rFonts w:hint="eastAsia" w:hAnsi="宋体" w:cs="宋体"/>
          <w:sz w:val="24"/>
          <w:szCs w:val="24"/>
          <w:highlight w:val="none"/>
          <w:lang w:eastAsia="zh-CN"/>
        </w:rPr>
        <w:t>：按月</w:t>
      </w:r>
      <w:r>
        <w:rPr>
          <w:rFonts w:hint="eastAsia" w:ascii="宋体" w:hAnsi="宋体" w:eastAsia="宋体" w:cs="宋体"/>
          <w:sz w:val="24"/>
          <w:szCs w:val="24"/>
          <w:highlight w:val="none"/>
        </w:rPr>
        <w:t>据实结算</w:t>
      </w:r>
      <w:r>
        <w:rPr>
          <w:rFonts w:hint="eastAsia" w:hAnsi="宋体" w:cs="宋体"/>
          <w:sz w:val="24"/>
          <w:szCs w:val="24"/>
          <w:highlight w:val="none"/>
          <w:lang w:eastAsia="zh-CN"/>
        </w:rPr>
        <w:t>，次月付上月货款</w:t>
      </w:r>
      <w:r>
        <w:rPr>
          <w:rFonts w:hint="eastAsia" w:ascii="宋体" w:hAnsi="宋体" w:eastAsia="宋体" w:cs="宋体"/>
          <w:sz w:val="24"/>
          <w:szCs w:val="24"/>
          <w:highlight w:val="none"/>
        </w:rPr>
        <w:t>；结算单价以中标人响应单价为准，结算数量以实际发放数量为准</w:t>
      </w:r>
      <w:r>
        <w:rPr>
          <w:rFonts w:hint="eastAsia" w:hAnsi="宋体" w:cs="宋体"/>
          <w:sz w:val="24"/>
          <w:szCs w:val="24"/>
          <w:highlight w:val="none"/>
          <w:lang w:eastAsia="zh-CN"/>
        </w:rPr>
        <w:t>。</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八、违约责任：</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逾期交货，每天应按合同总价的千分之一向甲方支付违约金。如乙方逾期三十天仍未交齐货物的，甲方有权终止合同，乙方须按合同总价的百分之十计算，向甲方支付违约赔偿金，并全额退还甲方已付给乙方的货款。</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2、甲方无正当理由拒收货物，应向乙方支付合同总价款10%的违约金。</w:t>
      </w:r>
    </w:p>
    <w:p>
      <w:pPr>
        <w:pStyle w:val="13"/>
        <w:spacing w:line="360" w:lineRule="auto"/>
        <w:ind w:firstLine="480" w:firstLineChars="200"/>
        <w:rPr>
          <w:rFonts w:hint="eastAsia" w:ascii="宋体" w:hAnsi="宋体" w:eastAsia="宋体" w:cs="宋体"/>
          <w:color w:val="FF0000"/>
          <w:sz w:val="24"/>
          <w:szCs w:val="24"/>
          <w:highlight w:val="none"/>
        </w:rPr>
      </w:pPr>
      <w:r>
        <w:rPr>
          <w:rFonts w:hint="eastAsia" w:ascii="宋体" w:hAnsi="宋体" w:eastAsia="宋体" w:cs="宋体"/>
          <w:sz w:val="24"/>
          <w:szCs w:val="24"/>
          <w:highlight w:val="none"/>
        </w:rPr>
        <w:t>3、乙方所交的货物品种、规格、质量不符合合同约定、国家标准，所供货物达不到约定质量要求的，乙方必须无条件退回全部货款，并向甲方支付合同总价款10%的赔偿金。</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九、争议解决方式：</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本合同执行中发生争议的，双方应协商解决。协商达不成一致时，须向采购人所在地人民法院提请诉讼。</w:t>
      </w:r>
    </w:p>
    <w:p>
      <w:pPr>
        <w:pStyle w:val="13"/>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十、其他：</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本合同自双方签字盖章之日起生效。本合同一式伍份，甲方执</w:t>
      </w:r>
      <w:r>
        <w:rPr>
          <w:rFonts w:hint="eastAsia" w:hAnsi="宋体" w:cs="宋体"/>
          <w:sz w:val="24"/>
          <w:szCs w:val="24"/>
          <w:highlight w:val="none"/>
          <w:lang w:eastAsia="zh-CN"/>
        </w:rPr>
        <w:t>叁</w:t>
      </w:r>
      <w:r>
        <w:rPr>
          <w:rFonts w:hint="eastAsia" w:ascii="宋体" w:hAnsi="宋体" w:eastAsia="宋体" w:cs="宋体"/>
          <w:sz w:val="24"/>
          <w:szCs w:val="24"/>
          <w:highlight w:val="none"/>
        </w:rPr>
        <w:t>份，乙方执</w:t>
      </w:r>
      <w:r>
        <w:rPr>
          <w:rFonts w:hint="eastAsia" w:hAnsi="宋体" w:cs="宋体"/>
          <w:sz w:val="24"/>
          <w:szCs w:val="24"/>
          <w:highlight w:val="none"/>
          <w:lang w:eastAsia="zh-CN"/>
        </w:rPr>
        <w:t>贰</w:t>
      </w:r>
      <w:r>
        <w:rPr>
          <w:rFonts w:hint="eastAsia" w:ascii="宋体" w:hAnsi="宋体" w:eastAsia="宋体" w:cs="宋体"/>
          <w:sz w:val="24"/>
          <w:szCs w:val="24"/>
          <w:highlight w:val="none"/>
        </w:rPr>
        <w:t xml:space="preserve">份，具有同等法律效力。 </w:t>
      </w:r>
    </w:p>
    <w:p>
      <w:pPr>
        <w:pStyle w:val="13"/>
        <w:spacing w:line="360" w:lineRule="auto"/>
        <w:ind w:firstLine="480" w:firstLineChars="200"/>
        <w:rPr>
          <w:rFonts w:hint="eastAsia" w:ascii="宋体" w:hAnsi="宋体" w:eastAsia="宋体" w:cs="宋体"/>
          <w:sz w:val="24"/>
          <w:szCs w:val="24"/>
          <w:highlight w:val="none"/>
        </w:rPr>
      </w:pP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需方(甲方)：</w:t>
      </w:r>
      <w:r>
        <w:rPr>
          <w:rFonts w:hint="eastAsia" w:hAnsi="宋体" w:cs="宋体"/>
          <w:sz w:val="24"/>
          <w:szCs w:val="24"/>
          <w:highlight w:val="none"/>
          <w:lang w:eastAsia="zh-CN"/>
        </w:rPr>
        <w:t>陕西省华山监狱</w:t>
      </w:r>
      <w:r>
        <w:rPr>
          <w:rFonts w:hint="eastAsia" w:ascii="宋体" w:hAnsi="宋体" w:eastAsia="宋体" w:cs="宋体"/>
          <w:sz w:val="24"/>
          <w:szCs w:val="24"/>
          <w:highlight w:val="none"/>
        </w:rPr>
        <w:t xml:space="preserve">    </w:t>
      </w:r>
      <w:r>
        <w:rPr>
          <w:rFonts w:hint="eastAsia" w:hAnsi="宋体" w:cs="宋体"/>
          <w:sz w:val="24"/>
          <w:szCs w:val="24"/>
          <w:highlight w:val="none"/>
          <w:lang w:eastAsia="zh-CN"/>
        </w:rPr>
        <w:t>供</w:t>
      </w:r>
      <w:r>
        <w:rPr>
          <w:rFonts w:hint="eastAsia" w:ascii="宋体" w:hAnsi="宋体" w:eastAsia="宋体" w:cs="宋体"/>
          <w:sz w:val="24"/>
          <w:szCs w:val="24"/>
          <w:highlight w:val="none"/>
        </w:rPr>
        <w:t xml:space="preserve">方(乙方)：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项目负责人：                  法定代表人：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授权代表：                    授权代表：</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电话：                        电    话：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传真：                        传    真：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开户银行：                    开户银行：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帐号：                        帐    号：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邮政编码：                    邮政编码： </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签约时间：20**年  月  日      签约时间：20**年  月  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签约地点：</w:t>
      </w:r>
    </w:p>
    <w:p>
      <w:pPr>
        <w:rPr>
          <w:highlight w:val="none"/>
        </w:rPr>
      </w:pPr>
    </w:p>
    <w:p>
      <w:pPr>
        <w:pStyle w:val="3"/>
        <w:bidi w:val="0"/>
        <w:rPr>
          <w:sz w:val="36"/>
          <w:szCs w:val="36"/>
          <w:highlight w:val="none"/>
        </w:rPr>
      </w:pPr>
      <w:r>
        <w:rPr>
          <w:rFonts w:hint="eastAsia"/>
          <w:highlight w:val="none"/>
        </w:rPr>
        <w:br w:type="page"/>
      </w:r>
      <w:bookmarkStart w:id="137" w:name="_Toc22328"/>
      <w:r>
        <w:rPr>
          <w:rFonts w:hint="eastAsia"/>
          <w:sz w:val="36"/>
          <w:szCs w:val="36"/>
          <w:highlight w:val="none"/>
        </w:rPr>
        <w:t>第四章  采购内容及技术要求</w:t>
      </w:r>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38" w:name="_Toc317530110"/>
      <w:bookmarkStart w:id="139" w:name="_Toc1025"/>
      <w:bookmarkStart w:id="140" w:name="_Toc11450"/>
      <w:bookmarkStart w:id="141" w:name="_Toc389582038"/>
      <w:bookmarkStart w:id="142" w:name="_Toc23856"/>
      <w:bookmarkStart w:id="143" w:name="_Toc4053"/>
      <w:bookmarkStart w:id="144" w:name="_Toc20481"/>
      <w:bookmarkStart w:id="145" w:name="_Toc2711"/>
    </w:p>
    <w:bookmarkEnd w:id="138"/>
    <w:p>
      <w:pPr>
        <w:pStyle w:val="9"/>
        <w:ind w:left="0" w:leftChars="0" w:firstLine="0" w:firstLineChars="0"/>
        <w:rPr>
          <w:rFonts w:hint="eastAsia" w:ascii="宋体" w:hAnsi="宋体" w:eastAsia="宋体" w:cs="宋体"/>
          <w:b/>
          <w:bCs/>
          <w:highlight w:val="none"/>
          <w:lang w:val="en-US" w:eastAsia="zh-CN"/>
        </w:rPr>
      </w:pPr>
      <w:bookmarkStart w:id="146" w:name="_Toc426457697"/>
      <w:bookmarkStart w:id="147" w:name="_Toc25607"/>
      <w:bookmarkStart w:id="148" w:name="_Toc1462"/>
      <w:bookmarkStart w:id="149" w:name="_Toc2203"/>
      <w:bookmarkStart w:id="150" w:name="_Toc18238"/>
      <w:r>
        <w:rPr>
          <w:rFonts w:hint="eastAsia" w:ascii="宋体" w:hAnsi="宋体" w:eastAsia="宋体" w:cs="宋体"/>
          <w:b/>
          <w:bCs/>
          <w:highlight w:val="none"/>
          <w:lang w:val="en-US" w:eastAsia="zh-CN"/>
        </w:rPr>
        <w:t>一</w:t>
      </w:r>
      <w:r>
        <w:rPr>
          <w:rFonts w:hint="eastAsia" w:ascii="宋体" w:hAnsi="宋体" w:eastAsia="宋体" w:cs="宋体"/>
          <w:b/>
          <w:bCs/>
          <w:highlight w:val="none"/>
        </w:rPr>
        <w:t>、</w:t>
      </w:r>
      <w:r>
        <w:rPr>
          <w:rFonts w:hint="eastAsia" w:ascii="宋体" w:hAnsi="宋体" w:eastAsia="宋体" w:cs="宋体"/>
          <w:b/>
          <w:bCs/>
          <w:highlight w:val="none"/>
          <w:lang w:val="en-US" w:eastAsia="zh-CN"/>
        </w:rPr>
        <w:t>质量规格与要求</w:t>
      </w:r>
    </w:p>
    <w:tbl>
      <w:tblPr>
        <w:tblStyle w:val="19"/>
        <w:tblW w:w="10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25"/>
        <w:gridCol w:w="700"/>
        <w:gridCol w:w="850"/>
        <w:gridCol w:w="817"/>
        <w:gridCol w:w="1300"/>
        <w:gridCol w:w="446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718" w:type="dxa"/>
            <w:vAlign w:val="center"/>
          </w:tcPr>
          <w:p>
            <w:pPr>
              <w:pStyle w:val="29"/>
              <w:bidi w:val="0"/>
              <w:rPr>
                <w:b/>
                <w:bCs/>
                <w:highlight w:val="none"/>
              </w:rPr>
            </w:pPr>
            <w:r>
              <w:rPr>
                <w:rFonts w:hint="eastAsia"/>
                <w:b/>
                <w:bCs/>
                <w:highlight w:val="none"/>
                <w:lang w:val="en-US" w:eastAsia="zh-CN"/>
              </w:rPr>
              <w:t>合同包号</w:t>
            </w:r>
          </w:p>
        </w:tc>
        <w:tc>
          <w:tcPr>
            <w:tcW w:w="725" w:type="dxa"/>
            <w:vAlign w:val="center"/>
          </w:tcPr>
          <w:p>
            <w:pPr>
              <w:pStyle w:val="29"/>
              <w:bidi w:val="0"/>
              <w:rPr>
                <w:b/>
                <w:bCs/>
                <w:highlight w:val="none"/>
              </w:rPr>
            </w:pPr>
            <w:r>
              <w:rPr>
                <w:rFonts w:hint="eastAsia"/>
                <w:b/>
                <w:bCs/>
                <w:highlight w:val="none"/>
              </w:rPr>
              <w:t>产品名称</w:t>
            </w:r>
          </w:p>
        </w:tc>
        <w:tc>
          <w:tcPr>
            <w:tcW w:w="700" w:type="dxa"/>
            <w:vAlign w:val="center"/>
          </w:tcPr>
          <w:p>
            <w:pPr>
              <w:pStyle w:val="29"/>
              <w:bidi w:val="0"/>
              <w:rPr>
                <w:b/>
                <w:bCs/>
                <w:highlight w:val="none"/>
              </w:rPr>
            </w:pPr>
            <w:r>
              <w:rPr>
                <w:rFonts w:hint="eastAsia"/>
                <w:b/>
                <w:bCs/>
                <w:highlight w:val="none"/>
              </w:rPr>
              <w:t>质量等级</w:t>
            </w:r>
          </w:p>
        </w:tc>
        <w:tc>
          <w:tcPr>
            <w:tcW w:w="850" w:type="dxa"/>
            <w:vAlign w:val="center"/>
          </w:tcPr>
          <w:p>
            <w:pPr>
              <w:pStyle w:val="29"/>
              <w:bidi w:val="0"/>
              <w:rPr>
                <w:b/>
                <w:bCs/>
                <w:highlight w:val="none"/>
              </w:rPr>
            </w:pPr>
            <w:r>
              <w:rPr>
                <w:rFonts w:hint="eastAsia"/>
                <w:b/>
                <w:bCs/>
                <w:highlight w:val="none"/>
              </w:rPr>
              <w:t>产地</w:t>
            </w:r>
            <w:r>
              <w:rPr>
                <w:b/>
                <w:bCs/>
                <w:highlight w:val="none"/>
              </w:rPr>
              <w:t>/</w:t>
            </w:r>
            <w:r>
              <w:rPr>
                <w:rFonts w:hint="eastAsia"/>
                <w:b/>
                <w:bCs/>
                <w:highlight w:val="none"/>
              </w:rPr>
              <w:t>用途</w:t>
            </w:r>
          </w:p>
        </w:tc>
        <w:tc>
          <w:tcPr>
            <w:tcW w:w="817" w:type="dxa"/>
            <w:vAlign w:val="center"/>
          </w:tcPr>
          <w:p>
            <w:pPr>
              <w:pStyle w:val="29"/>
              <w:bidi w:val="0"/>
              <w:rPr>
                <w:b/>
                <w:bCs/>
                <w:highlight w:val="none"/>
              </w:rPr>
            </w:pPr>
            <w:r>
              <w:rPr>
                <w:rFonts w:hint="eastAsia"/>
                <w:b/>
                <w:bCs/>
                <w:highlight w:val="none"/>
              </w:rPr>
              <w:t>包装规格</w:t>
            </w:r>
          </w:p>
        </w:tc>
        <w:tc>
          <w:tcPr>
            <w:tcW w:w="1300" w:type="dxa"/>
            <w:vAlign w:val="center"/>
          </w:tcPr>
          <w:p>
            <w:pPr>
              <w:pStyle w:val="29"/>
              <w:bidi w:val="0"/>
              <w:rPr>
                <w:b/>
                <w:bCs/>
                <w:highlight w:val="none"/>
              </w:rPr>
            </w:pPr>
            <w:r>
              <w:rPr>
                <w:rFonts w:hint="eastAsia"/>
                <w:b/>
                <w:bCs/>
                <w:highlight w:val="none"/>
              </w:rPr>
              <w:t>原料属性</w:t>
            </w:r>
          </w:p>
        </w:tc>
        <w:tc>
          <w:tcPr>
            <w:tcW w:w="4461" w:type="dxa"/>
            <w:vAlign w:val="center"/>
          </w:tcPr>
          <w:p>
            <w:pPr>
              <w:pStyle w:val="29"/>
              <w:bidi w:val="0"/>
              <w:rPr>
                <w:rFonts w:hint="eastAsia" w:eastAsia="宋体"/>
                <w:b/>
                <w:bCs/>
                <w:highlight w:val="none"/>
                <w:lang w:val="en-US" w:eastAsia="zh-CN"/>
              </w:rPr>
            </w:pPr>
            <w:r>
              <w:rPr>
                <w:rFonts w:hint="eastAsia"/>
                <w:b/>
                <w:bCs/>
                <w:highlight w:val="none"/>
                <w:lang w:val="en-US" w:eastAsia="zh-CN"/>
              </w:rPr>
              <w:t>其他要求</w:t>
            </w:r>
          </w:p>
        </w:tc>
        <w:tc>
          <w:tcPr>
            <w:tcW w:w="924" w:type="dxa"/>
            <w:vAlign w:val="center"/>
          </w:tcPr>
          <w:p>
            <w:pPr>
              <w:pStyle w:val="29"/>
              <w:bidi w:val="0"/>
              <w:rPr>
                <w:rFonts w:hint="default"/>
                <w:b/>
                <w:bCs/>
                <w:highlight w:val="none"/>
                <w:lang w:val="en-US" w:eastAsia="zh-CN"/>
              </w:rPr>
            </w:pPr>
            <w:r>
              <w:rPr>
                <w:rFonts w:hint="eastAsia"/>
                <w:b/>
                <w:bCs/>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718" w:type="dxa"/>
            <w:vAlign w:val="center"/>
          </w:tcPr>
          <w:p>
            <w:pPr>
              <w:pStyle w:val="29"/>
              <w:bidi w:val="0"/>
              <w:rPr>
                <w:highlight w:val="none"/>
              </w:rPr>
            </w:pPr>
            <w:r>
              <w:rPr>
                <w:rFonts w:hint="eastAsia" w:cs="宋体"/>
                <w:b/>
                <w:bCs/>
                <w:highlight w:val="none"/>
                <w:lang w:val="en-US" w:eastAsia="zh-CN"/>
              </w:rPr>
              <w:t>合同包1</w:t>
            </w:r>
            <w:r>
              <w:rPr>
                <w:rFonts w:hint="eastAsia" w:ascii="宋体" w:hAnsi="宋体" w:eastAsia="宋体" w:cs="宋体"/>
                <w:b/>
                <w:bCs/>
                <w:highlight w:val="none"/>
                <w:lang w:val="en-US" w:eastAsia="zh-CN"/>
              </w:rPr>
              <w:t>（</w:t>
            </w:r>
            <w:r>
              <w:rPr>
                <w:rFonts w:hint="eastAsia" w:cs="宋体"/>
                <w:b/>
                <w:bCs/>
                <w:highlight w:val="none"/>
                <w:lang w:val="en-US" w:eastAsia="zh-CN"/>
              </w:rPr>
              <w:t>标准面粉</w:t>
            </w:r>
            <w:r>
              <w:rPr>
                <w:rFonts w:hint="eastAsia" w:ascii="宋体" w:hAnsi="宋体" w:eastAsia="宋体" w:cs="宋体"/>
                <w:b/>
                <w:bCs/>
                <w:highlight w:val="none"/>
                <w:lang w:val="en-US" w:eastAsia="zh-CN"/>
              </w:rPr>
              <w:t>）</w:t>
            </w:r>
          </w:p>
        </w:tc>
        <w:tc>
          <w:tcPr>
            <w:tcW w:w="725" w:type="dxa"/>
            <w:vAlign w:val="center"/>
          </w:tcPr>
          <w:p>
            <w:pPr>
              <w:pStyle w:val="29"/>
              <w:bidi w:val="0"/>
              <w:rPr>
                <w:rFonts w:hint="eastAsia" w:eastAsia="宋体"/>
                <w:highlight w:val="none"/>
                <w:lang w:eastAsia="zh-CN"/>
              </w:rPr>
            </w:pPr>
            <w:r>
              <w:rPr>
                <w:rFonts w:hint="eastAsia"/>
                <w:highlight w:val="none"/>
                <w:lang w:eastAsia="zh-CN"/>
              </w:rPr>
              <w:t>面粉</w:t>
            </w:r>
          </w:p>
        </w:tc>
        <w:tc>
          <w:tcPr>
            <w:tcW w:w="700" w:type="dxa"/>
            <w:vAlign w:val="center"/>
          </w:tcPr>
          <w:p>
            <w:pPr>
              <w:pStyle w:val="29"/>
              <w:bidi w:val="0"/>
              <w:rPr>
                <w:rFonts w:hint="eastAsia" w:eastAsia="宋体"/>
                <w:highlight w:val="none"/>
                <w:lang w:eastAsia="zh-CN"/>
              </w:rPr>
            </w:pPr>
            <w:r>
              <w:rPr>
                <w:rFonts w:hint="eastAsia"/>
                <w:highlight w:val="none"/>
              </w:rPr>
              <w:t>特制</w:t>
            </w:r>
            <w:r>
              <w:rPr>
                <w:rFonts w:hint="eastAsia"/>
                <w:highlight w:val="none"/>
                <w:lang w:eastAsia="zh-CN"/>
              </w:rPr>
              <w:t>二</w:t>
            </w:r>
            <w:r>
              <w:rPr>
                <w:rFonts w:hint="eastAsia"/>
                <w:highlight w:val="none"/>
              </w:rPr>
              <w:t>等</w:t>
            </w:r>
            <w:r>
              <w:rPr>
                <w:rFonts w:hint="eastAsia"/>
                <w:highlight w:val="none"/>
                <w:lang w:eastAsia="zh-CN"/>
              </w:rPr>
              <w:t>以上</w:t>
            </w:r>
          </w:p>
        </w:tc>
        <w:tc>
          <w:tcPr>
            <w:tcW w:w="850" w:type="dxa"/>
            <w:vAlign w:val="center"/>
          </w:tcPr>
          <w:p>
            <w:pPr>
              <w:pStyle w:val="29"/>
              <w:bidi w:val="0"/>
              <w:rPr>
                <w:highlight w:val="none"/>
              </w:rPr>
            </w:pPr>
            <w:r>
              <w:rPr>
                <w:rFonts w:hint="eastAsia"/>
                <w:highlight w:val="none"/>
              </w:rPr>
              <w:t>用于蒸馒头、包子等</w:t>
            </w:r>
          </w:p>
        </w:tc>
        <w:tc>
          <w:tcPr>
            <w:tcW w:w="817" w:type="dxa"/>
            <w:vAlign w:val="center"/>
          </w:tcPr>
          <w:p>
            <w:pPr>
              <w:pStyle w:val="29"/>
              <w:bidi w:val="0"/>
              <w:rPr>
                <w:highlight w:val="none"/>
              </w:rPr>
            </w:pPr>
            <w:r>
              <w:rPr>
                <w:highlight w:val="none"/>
              </w:rPr>
              <w:t>25KG/</w:t>
            </w:r>
            <w:r>
              <w:rPr>
                <w:rFonts w:hint="eastAsia"/>
                <w:highlight w:val="none"/>
              </w:rPr>
              <w:t>袋</w:t>
            </w:r>
          </w:p>
        </w:tc>
        <w:tc>
          <w:tcPr>
            <w:tcW w:w="1300" w:type="dxa"/>
            <w:vAlign w:val="center"/>
          </w:tcPr>
          <w:p>
            <w:pPr>
              <w:pStyle w:val="29"/>
              <w:bidi w:val="0"/>
              <w:rPr>
                <w:highlight w:val="none"/>
              </w:rPr>
            </w:pPr>
            <w:r>
              <w:rPr>
                <w:rFonts w:hint="eastAsia"/>
                <w:highlight w:val="none"/>
              </w:rPr>
              <w:t>非转基因、无食品添加剂</w:t>
            </w:r>
          </w:p>
        </w:tc>
        <w:tc>
          <w:tcPr>
            <w:tcW w:w="4461" w:type="dxa"/>
            <w:vAlign w:val="center"/>
          </w:tcPr>
          <w:p>
            <w:pPr>
              <w:pStyle w:val="9"/>
              <w:ind w:firstLine="480"/>
              <w:rPr>
                <w:rFonts w:hint="eastAsia" w:ascii="宋体" w:hAnsi="宋体" w:eastAsia="宋体" w:cs="宋体"/>
                <w:highlight w:val="none"/>
                <w:lang w:val="en-US" w:eastAsia="zh-CN"/>
              </w:rPr>
            </w:pPr>
            <w:r>
              <w:rPr>
                <w:rFonts w:hint="eastAsia" w:ascii="宋体" w:hAnsi="宋体" w:eastAsia="宋体" w:cs="宋体"/>
                <w:highlight w:val="none"/>
                <w:lang w:val="en-US" w:eastAsia="zh-CN"/>
              </w:rPr>
              <w:t>对原料小麦要求，产地：北方地区、生产过程及面粉成品，都进行严格的质量控制，以确保生产出品质稳定、适用性强的面粉（特</w:t>
            </w:r>
            <w:r>
              <w:rPr>
                <w:rFonts w:hint="eastAsia" w:cs="宋体"/>
                <w:highlight w:val="none"/>
                <w:lang w:val="en-US" w:eastAsia="zh-CN"/>
              </w:rPr>
              <w:t>二</w:t>
            </w:r>
            <w:r>
              <w:rPr>
                <w:rFonts w:hint="eastAsia" w:ascii="宋体" w:hAnsi="宋体" w:eastAsia="宋体" w:cs="宋体"/>
                <w:highlight w:val="none"/>
                <w:lang w:val="en-US" w:eastAsia="zh-CN"/>
              </w:rPr>
              <w:t>粉</w:t>
            </w:r>
            <w:r>
              <w:rPr>
                <w:rFonts w:hint="eastAsia" w:cs="宋体"/>
                <w:highlight w:val="none"/>
                <w:lang w:val="en-US" w:eastAsia="zh-CN"/>
              </w:rPr>
              <w:t>以上</w:t>
            </w:r>
            <w:r>
              <w:rPr>
                <w:rFonts w:hint="eastAsia" w:ascii="宋体" w:hAnsi="宋体" w:eastAsia="宋体" w:cs="宋体"/>
                <w:highlight w:val="none"/>
                <w:lang w:val="en-US" w:eastAsia="zh-CN"/>
              </w:rPr>
              <w:t>）、每袋25公斤，一次性包装，并拥有“SC”食品质量安全认证。产品标签，注册商标许可证齐全，其面粉质量标准执行国家（GB/T 1355-1986）质量标准。其中，馒头粉执行国家（GB/T 21118-2007）标准，面条粉执行行业（SB/T 10137-93）标准。</w:t>
            </w:r>
          </w:p>
        </w:tc>
        <w:tc>
          <w:tcPr>
            <w:tcW w:w="924" w:type="dxa"/>
            <w:vAlign w:val="center"/>
          </w:tcPr>
          <w:p>
            <w:pPr>
              <w:pStyle w:val="29"/>
              <w:bidi w:val="0"/>
              <w:rPr>
                <w:rFonts w:hint="eastAsia"/>
                <w:highlight w:val="none"/>
                <w:lang w:val="en-US" w:eastAsia="zh-CN"/>
              </w:rPr>
            </w:pPr>
            <w:r>
              <w:rPr>
                <w:rFonts w:hint="eastAsia"/>
                <w:highlight w:val="none"/>
                <w:lang w:val="en-US" w:eastAsia="zh-CN"/>
              </w:rPr>
              <w:t>12000袋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9" w:hRule="atLeast"/>
          <w:jc w:val="center"/>
        </w:trPr>
        <w:tc>
          <w:tcPr>
            <w:tcW w:w="718" w:type="dxa"/>
            <w:vAlign w:val="center"/>
          </w:tcPr>
          <w:p>
            <w:pPr>
              <w:pStyle w:val="29"/>
              <w:bidi w:val="0"/>
              <w:rPr>
                <w:highlight w:val="none"/>
              </w:rPr>
            </w:pPr>
            <w:r>
              <w:rPr>
                <w:rFonts w:hint="eastAsia" w:cs="宋体"/>
                <w:b/>
                <w:bCs/>
                <w:highlight w:val="none"/>
                <w:lang w:val="en-US" w:eastAsia="zh-CN"/>
              </w:rPr>
              <w:t>合同包2（米）</w:t>
            </w:r>
          </w:p>
        </w:tc>
        <w:tc>
          <w:tcPr>
            <w:tcW w:w="725" w:type="dxa"/>
            <w:vAlign w:val="center"/>
          </w:tcPr>
          <w:p>
            <w:pPr>
              <w:pStyle w:val="29"/>
              <w:bidi w:val="0"/>
              <w:rPr>
                <w:rFonts w:hint="eastAsia"/>
                <w:highlight w:val="none"/>
              </w:rPr>
            </w:pPr>
            <w:r>
              <w:rPr>
                <w:rFonts w:hint="eastAsia"/>
                <w:highlight w:val="none"/>
              </w:rPr>
              <w:t>粳米</w:t>
            </w:r>
          </w:p>
        </w:tc>
        <w:tc>
          <w:tcPr>
            <w:tcW w:w="700" w:type="dxa"/>
            <w:vAlign w:val="center"/>
          </w:tcPr>
          <w:p>
            <w:pPr>
              <w:pStyle w:val="29"/>
              <w:bidi w:val="0"/>
              <w:rPr>
                <w:rFonts w:hint="eastAsia" w:eastAsia="宋体"/>
                <w:highlight w:val="none"/>
                <w:lang w:eastAsia="zh-CN"/>
              </w:rPr>
            </w:pPr>
            <w:r>
              <w:rPr>
                <w:rFonts w:hint="eastAsia"/>
                <w:highlight w:val="none"/>
              </w:rPr>
              <w:t>二级以上</w:t>
            </w:r>
          </w:p>
        </w:tc>
        <w:tc>
          <w:tcPr>
            <w:tcW w:w="850" w:type="dxa"/>
            <w:vAlign w:val="center"/>
          </w:tcPr>
          <w:p>
            <w:pPr>
              <w:pStyle w:val="29"/>
              <w:bidi w:val="0"/>
              <w:rPr>
                <w:rFonts w:hint="eastAsia" w:eastAsia="宋体"/>
                <w:highlight w:val="none"/>
                <w:lang w:eastAsia="zh-CN"/>
              </w:rPr>
            </w:pPr>
            <w:r>
              <w:rPr>
                <w:rFonts w:hint="eastAsia"/>
                <w:highlight w:val="none"/>
                <w:lang w:eastAsia="zh-CN"/>
              </w:rPr>
              <w:t>用于蒸煮</w:t>
            </w:r>
          </w:p>
        </w:tc>
        <w:tc>
          <w:tcPr>
            <w:tcW w:w="817" w:type="dxa"/>
            <w:vAlign w:val="center"/>
          </w:tcPr>
          <w:p>
            <w:pPr>
              <w:pStyle w:val="29"/>
              <w:bidi w:val="0"/>
              <w:rPr>
                <w:highlight w:val="none"/>
              </w:rPr>
            </w:pPr>
            <w:r>
              <w:rPr>
                <w:color w:val="auto"/>
                <w:highlight w:val="none"/>
              </w:rPr>
              <w:t>25KG/</w:t>
            </w:r>
            <w:r>
              <w:rPr>
                <w:rFonts w:hint="eastAsia"/>
                <w:color w:val="auto"/>
                <w:highlight w:val="none"/>
              </w:rPr>
              <w:t>袋</w:t>
            </w:r>
          </w:p>
        </w:tc>
        <w:tc>
          <w:tcPr>
            <w:tcW w:w="1300" w:type="dxa"/>
            <w:vAlign w:val="center"/>
          </w:tcPr>
          <w:p>
            <w:pPr>
              <w:pStyle w:val="29"/>
              <w:bidi w:val="0"/>
              <w:rPr>
                <w:rFonts w:hint="eastAsia"/>
                <w:highlight w:val="none"/>
              </w:rPr>
            </w:pPr>
            <w:r>
              <w:rPr>
                <w:rFonts w:hint="eastAsia"/>
                <w:highlight w:val="none"/>
              </w:rPr>
              <w:t>非转基因、无食品添加剂</w:t>
            </w:r>
          </w:p>
        </w:tc>
        <w:tc>
          <w:tcPr>
            <w:tcW w:w="4461" w:type="dxa"/>
            <w:vAlign w:val="center"/>
          </w:tcPr>
          <w:p>
            <w:pPr>
              <w:pStyle w:val="9"/>
              <w:ind w:firstLine="48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采用先进设备加工而成，产品洁净、米粒晶莹剔透、自然清香、软滑爽口、营养丰富，粳米（</w:t>
            </w:r>
            <w:r>
              <w:rPr>
                <w:rFonts w:hint="eastAsia"/>
                <w:highlight w:val="none"/>
              </w:rPr>
              <w:t>二级以上</w:t>
            </w:r>
            <w:r>
              <w:rPr>
                <w:rFonts w:hint="eastAsia" w:ascii="宋体" w:hAnsi="宋体" w:eastAsia="宋体" w:cs="宋体"/>
                <w:highlight w:val="none"/>
                <w:lang w:val="en-US" w:eastAsia="zh-CN"/>
              </w:rPr>
              <w:t>），每袋25公斤，一次性包装，并拥有“SC”食品质量安全认证。其大米质量标准执行国家（</w:t>
            </w:r>
            <w:r>
              <w:rPr>
                <w:rFonts w:hint="eastAsia" w:ascii="宋体" w:hAnsi="宋体" w:eastAsia="宋体" w:cs="宋体"/>
                <w:highlight w:val="none"/>
                <w:lang w:val="en-US" w:eastAsia="zh-CN"/>
              </w:rPr>
              <w:fldChar w:fldCharType="begin"/>
            </w:r>
            <w:r>
              <w:rPr>
                <w:rFonts w:hint="eastAsia" w:ascii="宋体" w:hAnsi="宋体" w:eastAsia="宋体" w:cs="宋体"/>
                <w:highlight w:val="none"/>
                <w:lang w:val="en-US" w:eastAsia="zh-CN"/>
              </w:rPr>
              <w:instrText xml:space="preserve"> HYPERLINK "javascript:void(0)" </w:instrText>
            </w:r>
            <w:r>
              <w:rPr>
                <w:rFonts w:hint="eastAsia" w:ascii="宋体" w:hAnsi="宋体" w:eastAsia="宋体" w:cs="宋体"/>
                <w:highlight w:val="none"/>
                <w:lang w:val="en-US" w:eastAsia="zh-CN"/>
              </w:rPr>
              <w:fldChar w:fldCharType="separate"/>
            </w:r>
            <w:r>
              <w:rPr>
                <w:rFonts w:hint="eastAsia" w:ascii="宋体" w:hAnsi="宋体" w:eastAsia="宋体" w:cs="宋体"/>
                <w:highlight w:val="none"/>
                <w:lang w:val="en-US" w:eastAsia="zh-CN"/>
              </w:rPr>
              <w:t>GB/T 1354-2018</w:t>
            </w:r>
            <w:r>
              <w:rPr>
                <w:rFonts w:hint="eastAsia" w:ascii="宋体" w:hAnsi="宋体" w:eastAsia="宋体" w:cs="宋体"/>
                <w:highlight w:val="none"/>
                <w:lang w:val="en-US" w:eastAsia="zh-CN"/>
              </w:rPr>
              <w:fldChar w:fldCharType="end"/>
            </w:r>
            <w:r>
              <w:rPr>
                <w:rFonts w:hint="eastAsia" w:ascii="宋体" w:hAnsi="宋体" w:eastAsia="宋体" w:cs="宋体"/>
                <w:highlight w:val="none"/>
                <w:lang w:val="en-US" w:eastAsia="zh-CN"/>
              </w:rPr>
              <w:t>）质量标准。其卫生标准必须对无机砷、铅、汞、镉、黄曲霉素B1、马拉硫磷进行检验，产品标签，注册商标许可证齐全，对卫生指标中任何一项不符合标准均实行“一票否决”。</w:t>
            </w:r>
          </w:p>
        </w:tc>
        <w:tc>
          <w:tcPr>
            <w:tcW w:w="924" w:type="dxa"/>
            <w:vAlign w:val="center"/>
          </w:tcPr>
          <w:p>
            <w:pPr>
              <w:pStyle w:val="29"/>
              <w:bidi w:val="0"/>
              <w:rPr>
                <w:rFonts w:hint="eastAsia" w:eastAsia="宋体"/>
                <w:highlight w:val="none"/>
                <w:lang w:eastAsia="zh-CN"/>
              </w:rPr>
            </w:pPr>
            <w:r>
              <w:rPr>
                <w:rFonts w:hint="eastAsia"/>
                <w:highlight w:val="none"/>
              </w:rPr>
              <w:t>3250</w:t>
            </w:r>
            <w:r>
              <w:rPr>
                <w:rFonts w:hint="eastAsia"/>
                <w:highlight w:val="none"/>
                <w:lang w:eastAsia="zh-CN"/>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718" w:type="dxa"/>
            <w:vAlign w:val="center"/>
          </w:tcPr>
          <w:p>
            <w:pPr>
              <w:pStyle w:val="29"/>
              <w:bidi w:val="0"/>
              <w:rPr>
                <w:highlight w:val="none"/>
              </w:rPr>
            </w:pPr>
            <w:r>
              <w:rPr>
                <w:rFonts w:hint="eastAsia" w:cs="宋体"/>
                <w:b/>
                <w:bCs/>
                <w:highlight w:val="none"/>
                <w:lang w:val="en-US" w:eastAsia="zh-CN"/>
              </w:rPr>
              <w:t>合同包3</w:t>
            </w:r>
            <w:r>
              <w:rPr>
                <w:rFonts w:hint="eastAsia" w:ascii="宋体" w:hAnsi="宋体" w:eastAsia="宋体" w:cs="宋体"/>
                <w:b/>
                <w:bCs/>
                <w:highlight w:val="none"/>
                <w:lang w:val="en-US" w:eastAsia="zh-CN"/>
              </w:rPr>
              <w:t>（</w:t>
            </w:r>
            <w:r>
              <w:rPr>
                <w:rFonts w:hint="eastAsia" w:cs="宋体"/>
                <w:b/>
                <w:bCs/>
                <w:highlight w:val="none"/>
                <w:lang w:val="en-US" w:eastAsia="zh-CN"/>
              </w:rPr>
              <w:t>菜籽油</w:t>
            </w:r>
            <w:r>
              <w:rPr>
                <w:rFonts w:hint="eastAsia" w:ascii="宋体" w:hAnsi="宋体" w:eastAsia="宋体" w:cs="宋体"/>
                <w:b/>
                <w:bCs/>
                <w:highlight w:val="none"/>
                <w:lang w:val="en-US" w:eastAsia="zh-CN"/>
              </w:rPr>
              <w:t>）</w:t>
            </w:r>
          </w:p>
        </w:tc>
        <w:tc>
          <w:tcPr>
            <w:tcW w:w="725" w:type="dxa"/>
            <w:vAlign w:val="center"/>
          </w:tcPr>
          <w:p>
            <w:pPr>
              <w:pStyle w:val="29"/>
              <w:bidi w:val="0"/>
              <w:rPr>
                <w:highlight w:val="none"/>
              </w:rPr>
            </w:pPr>
            <w:r>
              <w:rPr>
                <w:rFonts w:hint="eastAsia"/>
                <w:highlight w:val="none"/>
              </w:rPr>
              <w:t>菜籽油</w:t>
            </w:r>
          </w:p>
        </w:tc>
        <w:tc>
          <w:tcPr>
            <w:tcW w:w="700" w:type="dxa"/>
            <w:vAlign w:val="center"/>
          </w:tcPr>
          <w:p>
            <w:pPr>
              <w:pStyle w:val="29"/>
              <w:bidi w:val="0"/>
              <w:rPr>
                <w:highlight w:val="none"/>
              </w:rPr>
            </w:pPr>
            <w:r>
              <w:rPr>
                <w:rFonts w:hint="eastAsia"/>
                <w:highlight w:val="none"/>
              </w:rPr>
              <w:t>四级以上</w:t>
            </w:r>
          </w:p>
        </w:tc>
        <w:tc>
          <w:tcPr>
            <w:tcW w:w="850" w:type="dxa"/>
            <w:vAlign w:val="center"/>
          </w:tcPr>
          <w:p>
            <w:pPr>
              <w:pStyle w:val="29"/>
              <w:bidi w:val="0"/>
              <w:rPr>
                <w:highlight w:val="none"/>
              </w:rPr>
            </w:pPr>
            <w:r>
              <w:rPr>
                <w:rFonts w:hint="eastAsia"/>
                <w:highlight w:val="none"/>
              </w:rPr>
              <w:t>用于炒菜、炸食</w:t>
            </w:r>
          </w:p>
        </w:tc>
        <w:tc>
          <w:tcPr>
            <w:tcW w:w="817" w:type="dxa"/>
            <w:vAlign w:val="center"/>
          </w:tcPr>
          <w:p>
            <w:pPr>
              <w:pStyle w:val="29"/>
              <w:bidi w:val="0"/>
              <w:rPr>
                <w:rFonts w:hint="eastAsia" w:eastAsia="宋体"/>
                <w:highlight w:val="none"/>
                <w:lang w:val="en-US" w:eastAsia="zh-CN"/>
              </w:rPr>
            </w:pPr>
            <w:r>
              <w:rPr>
                <w:rFonts w:hint="eastAsia"/>
                <w:highlight w:val="none"/>
                <w:lang w:val="en-US" w:eastAsia="zh-CN"/>
              </w:rPr>
              <w:t>/</w:t>
            </w:r>
          </w:p>
        </w:tc>
        <w:tc>
          <w:tcPr>
            <w:tcW w:w="1300" w:type="dxa"/>
            <w:vAlign w:val="center"/>
          </w:tcPr>
          <w:p>
            <w:pPr>
              <w:pStyle w:val="29"/>
              <w:bidi w:val="0"/>
              <w:rPr>
                <w:highlight w:val="none"/>
              </w:rPr>
            </w:pPr>
            <w:r>
              <w:rPr>
                <w:rFonts w:hint="eastAsia"/>
                <w:highlight w:val="none"/>
              </w:rPr>
              <w:t>非转基因</w:t>
            </w:r>
          </w:p>
        </w:tc>
        <w:tc>
          <w:tcPr>
            <w:tcW w:w="4461" w:type="dxa"/>
            <w:vAlign w:val="center"/>
          </w:tcPr>
          <w:p>
            <w:pPr>
              <w:pStyle w:val="9"/>
              <w:ind w:firstLine="480"/>
              <w:rPr>
                <w:rFonts w:hint="eastAsia" w:ascii="宋体" w:hAnsi="宋体" w:eastAsia="宋体" w:cs="宋体"/>
                <w:highlight w:val="none"/>
                <w:lang w:val="en-US" w:eastAsia="zh-CN"/>
              </w:rPr>
            </w:pPr>
            <w:r>
              <w:rPr>
                <w:rFonts w:hint="eastAsia" w:ascii="宋体" w:hAnsi="宋体" w:eastAsia="宋体" w:cs="宋体"/>
                <w:highlight w:val="none"/>
                <w:lang w:val="en-US" w:eastAsia="zh-CN"/>
              </w:rPr>
              <w:t>采用传统物理压榨和现代精炼工艺加工生产，令菜肴口感鲜美，在色，香，味等方面均为上乘的食用油（菜籽油），拥有“SC”食品质量安全认证。菜籽油质量标准必须符合国家（GB/T 1536-2004）和行业（SB/T 10292-1998）标准，产品标签，注册商标许可证齐全。</w:t>
            </w:r>
          </w:p>
        </w:tc>
        <w:tc>
          <w:tcPr>
            <w:tcW w:w="924" w:type="dxa"/>
            <w:vAlign w:val="center"/>
          </w:tcPr>
          <w:p>
            <w:pPr>
              <w:pStyle w:val="29"/>
              <w:bidi w:val="0"/>
              <w:rPr>
                <w:rFonts w:hint="eastAsia" w:eastAsia="宋体"/>
                <w:highlight w:val="none"/>
                <w:lang w:eastAsia="zh-CN"/>
              </w:rPr>
            </w:pPr>
            <w:r>
              <w:rPr>
                <w:rFonts w:hint="eastAsia"/>
                <w:highlight w:val="none"/>
              </w:rPr>
              <w:t>26500</w:t>
            </w:r>
            <w:r>
              <w:rPr>
                <w:rFonts w:hint="eastAsia"/>
                <w:highlight w:val="none"/>
                <w:lang w:eastAsia="zh-CN"/>
              </w:rPr>
              <w:t>公斤</w:t>
            </w:r>
          </w:p>
        </w:tc>
      </w:tr>
    </w:tbl>
    <w:p>
      <w:pPr>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二、供货方式</w:t>
      </w:r>
    </w:p>
    <w:p>
      <w:pPr>
        <w:spacing w:line="360" w:lineRule="auto"/>
        <w:ind w:firstLine="480" w:firstLineChars="200"/>
        <w:rPr>
          <w:rFonts w:hint="eastAsia" w:ascii="宋体" w:hAnsi="宋体" w:eastAsia="宋体" w:cs="宋体"/>
          <w:bCs/>
          <w:sz w:val="24"/>
          <w:highlight w:val="none"/>
        </w:rPr>
      </w:pPr>
      <w:r>
        <w:rPr>
          <w:rFonts w:hint="eastAsia" w:ascii="宋体" w:hAnsi="宋体" w:eastAsia="宋体" w:cs="宋体"/>
          <w:kern w:val="0"/>
          <w:sz w:val="24"/>
          <w:szCs w:val="24"/>
          <w:highlight w:val="none"/>
          <w:lang w:val="en-US" w:eastAsia="zh-CN" w:bidi="ar-SA"/>
        </w:rPr>
        <w:t>接到采购人通知后，按采购人要求的时间及时送货。</w:t>
      </w:r>
      <w:r>
        <w:rPr>
          <w:rFonts w:hint="eastAsia"/>
          <w:color w:val="auto"/>
          <w:highlight w:val="none"/>
        </w:rPr>
        <w:t>根据每次需求量响应，响应时间不得大于24小时。</w:t>
      </w:r>
      <w:r>
        <w:rPr>
          <w:rFonts w:hint="eastAsia" w:ascii="宋体" w:hAnsi="宋体" w:eastAsia="宋体" w:cs="宋体"/>
          <w:bCs/>
          <w:sz w:val="24"/>
          <w:highlight w:val="none"/>
        </w:rPr>
        <w:t>供货商负责送货装卸，费用自理。</w:t>
      </w:r>
    </w:p>
    <w:p>
      <w:pPr>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三、结算方式</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1、结算单位：采购人结算，在付款前必须开具等额发票给采购人。</w:t>
      </w:r>
    </w:p>
    <w:p>
      <w:pPr>
        <w:pStyle w:val="13"/>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2、付款方式</w:t>
      </w:r>
      <w:r>
        <w:rPr>
          <w:rFonts w:hint="eastAsia" w:hAnsi="宋体" w:cs="宋体"/>
          <w:sz w:val="24"/>
          <w:szCs w:val="24"/>
          <w:highlight w:val="none"/>
          <w:lang w:eastAsia="zh-CN"/>
        </w:rPr>
        <w:t>：按月</w:t>
      </w:r>
      <w:r>
        <w:rPr>
          <w:rFonts w:hint="eastAsia" w:ascii="宋体" w:hAnsi="宋体" w:eastAsia="宋体" w:cs="宋体"/>
          <w:sz w:val="24"/>
          <w:szCs w:val="24"/>
          <w:highlight w:val="none"/>
        </w:rPr>
        <w:t>据实结算</w:t>
      </w:r>
      <w:r>
        <w:rPr>
          <w:rFonts w:hint="eastAsia" w:hAnsi="宋体" w:cs="宋体"/>
          <w:sz w:val="24"/>
          <w:szCs w:val="24"/>
          <w:highlight w:val="none"/>
          <w:lang w:eastAsia="zh-CN"/>
        </w:rPr>
        <w:t>，次月付上月货款</w:t>
      </w:r>
      <w:r>
        <w:rPr>
          <w:rFonts w:hint="eastAsia" w:ascii="宋体" w:hAnsi="宋体" w:eastAsia="宋体" w:cs="宋体"/>
          <w:sz w:val="24"/>
          <w:szCs w:val="24"/>
          <w:highlight w:val="none"/>
        </w:rPr>
        <w:t>；结算单价以中标人响应单价为准，结算数量以实际发放数量为准。</w:t>
      </w:r>
    </w:p>
    <w:p>
      <w:pPr>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四、合同期限</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1.自合同签订之日起1年</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中标方不得以任何形式和理由转包中标项目。</w:t>
      </w:r>
    </w:p>
    <w:p>
      <w:pPr>
        <w:spacing w:line="360" w:lineRule="auto"/>
        <w:ind w:firstLine="480" w:firstLineChars="200"/>
        <w:rPr>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中标方在</w:t>
      </w:r>
      <w:r>
        <w:rPr>
          <w:rFonts w:hint="eastAsia" w:hAnsi="宋体" w:cs="宋体"/>
          <w:sz w:val="24"/>
          <w:highlight w:val="none"/>
          <w:lang w:eastAsia="zh-CN"/>
        </w:rPr>
        <w:t>领取中标通知书后</w:t>
      </w:r>
      <w:r>
        <w:rPr>
          <w:rFonts w:hint="eastAsia" w:hAnsi="宋体" w:cs="宋体"/>
          <w:sz w:val="24"/>
          <w:highlight w:val="none"/>
          <w:lang w:val="en-US" w:eastAsia="zh-CN"/>
        </w:rPr>
        <w:t>30天</w:t>
      </w:r>
      <w:r>
        <w:rPr>
          <w:rFonts w:hint="eastAsia" w:ascii="宋体" w:hAnsi="宋体" w:eastAsia="宋体" w:cs="宋体"/>
          <w:sz w:val="24"/>
          <w:highlight w:val="none"/>
        </w:rPr>
        <w:t>内与招标方签订供货合同。无故不得拖延或终止合同，否则招标方有权取消其中标资格。</w:t>
      </w:r>
      <w:r>
        <w:rPr>
          <w:highlight w:val="none"/>
        </w:rPr>
        <w:br w:type="page"/>
      </w:r>
    </w:p>
    <w:p>
      <w:pPr>
        <w:pStyle w:val="3"/>
        <w:spacing w:before="333"/>
        <w:rPr>
          <w:sz w:val="36"/>
          <w:szCs w:val="36"/>
          <w:highlight w:val="none"/>
        </w:rPr>
      </w:pPr>
      <w:bookmarkStart w:id="151" w:name="_Toc26269"/>
      <w:r>
        <w:rPr>
          <w:rFonts w:hint="eastAsia"/>
          <w:sz w:val="36"/>
          <w:szCs w:val="36"/>
          <w:highlight w:val="none"/>
        </w:rPr>
        <w:t>第五章  评标办法</w:t>
      </w:r>
      <w:bookmarkEnd w:id="146"/>
      <w:bookmarkEnd w:id="147"/>
      <w:bookmarkEnd w:id="148"/>
      <w:bookmarkEnd w:id="149"/>
      <w:bookmarkEnd w:id="150"/>
      <w:bookmarkEnd w:id="151"/>
    </w:p>
    <w:p>
      <w:pPr>
        <w:pStyle w:val="6"/>
        <w:rPr>
          <w:highlight w:val="none"/>
        </w:rPr>
      </w:pPr>
      <w:bookmarkStart w:id="152" w:name="_Toc12882"/>
      <w:bookmarkStart w:id="153" w:name="_Toc10474"/>
      <w:bookmarkStart w:id="154" w:name="_Toc363463332"/>
      <w:r>
        <w:rPr>
          <w:rFonts w:hint="eastAsia"/>
          <w:highlight w:val="none"/>
        </w:rPr>
        <w:t>一．评标办法</w:t>
      </w:r>
      <w:bookmarkEnd w:id="152"/>
      <w:bookmarkEnd w:id="153"/>
      <w:bookmarkEnd w:id="154"/>
    </w:p>
    <w:p>
      <w:pPr>
        <w:pStyle w:val="9"/>
        <w:ind w:firstLine="480"/>
        <w:rPr>
          <w:highlight w:val="none"/>
        </w:rPr>
      </w:pPr>
      <w:r>
        <w:rPr>
          <w:rFonts w:hint="eastAsia"/>
          <w:highlight w:val="none"/>
        </w:rPr>
        <w:t>按照《中华人民共和国政府采购法》、中华人民共和国2015年第658号国务院令--《中华人民共和国政府采购法实施条例》和中华人民共和国财政部2017年第87号部长令--《政府采购服务和服务招标投标管理办法》的规定，本次评标采用综合评分法--在投标文件满足招标文件全部实质性要求前提下，按照招标文件中规定的各项因素进行综合评审后，以评标总得分最高的投标单位作为中标候选单位或者中标单位的评标方法。评标总得分相同，按投标报价由低到高顺序排列；评标总得分且投标报价相同的，按技术指标优劣顺序排列（最低报价不是中标的唯一标准）。</w:t>
      </w:r>
    </w:p>
    <w:p>
      <w:pPr>
        <w:pStyle w:val="6"/>
        <w:rPr>
          <w:highlight w:val="none"/>
        </w:rPr>
      </w:pPr>
      <w:bookmarkStart w:id="155" w:name="_Toc27037"/>
      <w:bookmarkStart w:id="156" w:name="_Toc20618"/>
      <w:r>
        <w:rPr>
          <w:rFonts w:hint="eastAsia"/>
          <w:highlight w:val="none"/>
        </w:rPr>
        <w:t>二．评标委员会负责具体评标事务，并独立履行下列职责：</w:t>
      </w:r>
      <w:bookmarkEnd w:id="155"/>
      <w:bookmarkEnd w:id="156"/>
    </w:p>
    <w:p>
      <w:pPr>
        <w:pStyle w:val="9"/>
        <w:ind w:firstLine="480"/>
        <w:rPr>
          <w:highlight w:val="none"/>
        </w:rPr>
      </w:pPr>
      <w:r>
        <w:rPr>
          <w:rFonts w:hint="eastAsia"/>
          <w:highlight w:val="none"/>
        </w:rPr>
        <w:t>2.1审查、评价投标文件是否符合招标文件的商务、技术、合同条款等实质性要求；</w:t>
      </w:r>
    </w:p>
    <w:p>
      <w:pPr>
        <w:pStyle w:val="9"/>
        <w:ind w:firstLine="480"/>
        <w:rPr>
          <w:highlight w:val="none"/>
        </w:rPr>
      </w:pPr>
      <w:r>
        <w:rPr>
          <w:rFonts w:hint="eastAsia"/>
          <w:highlight w:val="none"/>
        </w:rPr>
        <w:t>2.2要求投标人对投标文件有关事项作出澄清或者说明；</w:t>
      </w:r>
    </w:p>
    <w:p>
      <w:pPr>
        <w:pStyle w:val="9"/>
        <w:ind w:firstLine="480"/>
        <w:rPr>
          <w:highlight w:val="none"/>
        </w:rPr>
      </w:pPr>
      <w:r>
        <w:rPr>
          <w:rFonts w:hint="eastAsia"/>
          <w:highlight w:val="none"/>
        </w:rPr>
        <w:t>2.3对投标文件进行比较和评价；</w:t>
      </w:r>
    </w:p>
    <w:p>
      <w:pPr>
        <w:pStyle w:val="9"/>
        <w:ind w:firstLine="480"/>
        <w:rPr>
          <w:highlight w:val="none"/>
        </w:rPr>
      </w:pPr>
      <w:r>
        <w:rPr>
          <w:rFonts w:hint="eastAsia"/>
          <w:highlight w:val="none"/>
        </w:rPr>
        <w:t>2.4确定中标候选人名单，以及根据</w:t>
      </w:r>
      <w:r>
        <w:rPr>
          <w:rFonts w:hint="eastAsia"/>
          <w:highlight w:val="none"/>
          <w:lang w:eastAsia="zh-CN"/>
        </w:rPr>
        <w:t>招标人</w:t>
      </w:r>
      <w:r>
        <w:rPr>
          <w:rFonts w:hint="eastAsia"/>
          <w:highlight w:val="none"/>
        </w:rPr>
        <w:t>委托直接确定中标人；</w:t>
      </w:r>
    </w:p>
    <w:p>
      <w:pPr>
        <w:pStyle w:val="9"/>
        <w:ind w:firstLine="480"/>
        <w:rPr>
          <w:highlight w:val="none"/>
        </w:rPr>
      </w:pPr>
      <w:r>
        <w:rPr>
          <w:rFonts w:hint="eastAsia"/>
          <w:highlight w:val="none"/>
        </w:rPr>
        <w:t>2.5向</w:t>
      </w:r>
      <w:r>
        <w:rPr>
          <w:rFonts w:hint="eastAsia"/>
          <w:highlight w:val="none"/>
          <w:lang w:eastAsia="zh-CN"/>
        </w:rPr>
        <w:t>招标人</w:t>
      </w:r>
      <w:r>
        <w:rPr>
          <w:rFonts w:hint="eastAsia"/>
          <w:highlight w:val="none"/>
        </w:rPr>
        <w:t>、</w:t>
      </w:r>
      <w:r>
        <w:rPr>
          <w:rFonts w:hint="eastAsia"/>
          <w:highlight w:val="none"/>
          <w:lang w:eastAsia="zh-CN"/>
        </w:rPr>
        <w:t>招标代理机构</w:t>
      </w:r>
      <w:r>
        <w:rPr>
          <w:rFonts w:hint="eastAsia"/>
          <w:highlight w:val="none"/>
        </w:rPr>
        <w:t>或者有关部门报告评标中发现的违法行为。</w:t>
      </w:r>
    </w:p>
    <w:p>
      <w:pPr>
        <w:pStyle w:val="6"/>
        <w:rPr>
          <w:highlight w:val="none"/>
        </w:rPr>
      </w:pPr>
      <w:r>
        <w:rPr>
          <w:rFonts w:hint="eastAsia"/>
          <w:highlight w:val="none"/>
        </w:rPr>
        <w:t>三．投标人存在下列情况之一的，投标无效：</w:t>
      </w:r>
    </w:p>
    <w:p>
      <w:pPr>
        <w:pStyle w:val="9"/>
        <w:ind w:firstLine="480"/>
        <w:rPr>
          <w:highlight w:val="none"/>
        </w:rPr>
      </w:pPr>
      <w:r>
        <w:rPr>
          <w:rFonts w:hint="eastAsia"/>
          <w:highlight w:val="none"/>
        </w:rPr>
        <w:t>3.1未按照招标文件的规定提交投标保证金的；</w:t>
      </w:r>
    </w:p>
    <w:p>
      <w:pPr>
        <w:pStyle w:val="9"/>
        <w:ind w:firstLine="480"/>
        <w:rPr>
          <w:highlight w:val="none"/>
        </w:rPr>
      </w:pPr>
      <w:r>
        <w:rPr>
          <w:rFonts w:hint="eastAsia"/>
          <w:highlight w:val="none"/>
        </w:rPr>
        <w:t>3.2投标文件未按招标文件要求签署、盖章的；</w:t>
      </w:r>
    </w:p>
    <w:p>
      <w:pPr>
        <w:pStyle w:val="9"/>
        <w:ind w:firstLine="480"/>
        <w:rPr>
          <w:highlight w:val="none"/>
        </w:rPr>
      </w:pPr>
      <w:r>
        <w:rPr>
          <w:rFonts w:hint="eastAsia"/>
          <w:highlight w:val="none"/>
        </w:rPr>
        <w:t>3.3不具备招标文件中规定的资格要求的；</w:t>
      </w:r>
    </w:p>
    <w:p>
      <w:pPr>
        <w:pStyle w:val="9"/>
        <w:ind w:firstLine="480"/>
        <w:rPr>
          <w:highlight w:val="none"/>
        </w:rPr>
      </w:pPr>
      <w:r>
        <w:rPr>
          <w:rFonts w:hint="eastAsia"/>
          <w:highlight w:val="none"/>
        </w:rPr>
        <w:t>3.4报价超过招标文件中规定的预算金额或者最高限价的；</w:t>
      </w:r>
    </w:p>
    <w:p>
      <w:pPr>
        <w:pStyle w:val="9"/>
        <w:ind w:firstLine="480"/>
        <w:rPr>
          <w:highlight w:val="none"/>
        </w:rPr>
      </w:pPr>
      <w:r>
        <w:rPr>
          <w:rFonts w:hint="eastAsia"/>
          <w:highlight w:val="none"/>
        </w:rPr>
        <w:t>3.5投标文件含有</w:t>
      </w:r>
      <w:r>
        <w:rPr>
          <w:rFonts w:hint="eastAsia"/>
          <w:highlight w:val="none"/>
          <w:lang w:eastAsia="zh-CN"/>
        </w:rPr>
        <w:t>招标人</w:t>
      </w:r>
      <w:r>
        <w:rPr>
          <w:rFonts w:hint="eastAsia"/>
          <w:highlight w:val="none"/>
        </w:rPr>
        <w:t>不能接受的附加条件的；</w:t>
      </w:r>
    </w:p>
    <w:p>
      <w:pPr>
        <w:pStyle w:val="9"/>
        <w:ind w:firstLine="480"/>
        <w:rPr>
          <w:highlight w:val="none"/>
        </w:rPr>
      </w:pPr>
      <w:r>
        <w:rPr>
          <w:rFonts w:hint="eastAsia"/>
          <w:highlight w:val="none"/>
        </w:rPr>
        <w:t>3.6无投标有效期或有效期达不到招标文件要求的；</w:t>
      </w:r>
    </w:p>
    <w:p>
      <w:pPr>
        <w:pStyle w:val="9"/>
        <w:ind w:firstLine="480"/>
        <w:rPr>
          <w:highlight w:val="none"/>
        </w:rPr>
      </w:pPr>
      <w:r>
        <w:rPr>
          <w:rFonts w:hint="eastAsia"/>
          <w:highlight w:val="none"/>
        </w:rPr>
        <w:t>3.7单位负责人为同一人或者存在直接控股、管理关系的不同投标人，参加本项目同一合同项下的投标的；</w:t>
      </w:r>
    </w:p>
    <w:p>
      <w:pPr>
        <w:pStyle w:val="9"/>
        <w:ind w:firstLine="480"/>
        <w:rPr>
          <w:highlight w:val="none"/>
        </w:rPr>
      </w:pPr>
      <w:r>
        <w:rPr>
          <w:rFonts w:hint="eastAsia"/>
          <w:highlight w:val="none"/>
        </w:rPr>
        <w:t>3.8为本采购项目提供整体设计、规范编制或者项目管理、监理、检测等服务的投标人，参加本采购项目投标的；</w:t>
      </w:r>
    </w:p>
    <w:p>
      <w:pPr>
        <w:pStyle w:val="9"/>
        <w:ind w:firstLine="480"/>
        <w:rPr>
          <w:highlight w:val="none"/>
        </w:rPr>
      </w:pPr>
      <w:r>
        <w:rPr>
          <w:rFonts w:hint="eastAsia"/>
          <w:highlight w:val="none"/>
        </w:rPr>
        <w:t>3.9提供虚假投标文件和资料的。</w:t>
      </w:r>
    </w:p>
    <w:p>
      <w:pPr>
        <w:pStyle w:val="9"/>
        <w:ind w:firstLine="480"/>
        <w:rPr>
          <w:highlight w:val="none"/>
        </w:rPr>
      </w:pPr>
      <w:r>
        <w:rPr>
          <w:rFonts w:hint="eastAsia"/>
          <w:highlight w:val="none"/>
        </w:rPr>
        <w:t>3.10法律、法规和招标文件规定的其他无效情形。</w:t>
      </w:r>
    </w:p>
    <w:p>
      <w:pPr>
        <w:pStyle w:val="6"/>
        <w:rPr>
          <w:highlight w:val="none"/>
        </w:rPr>
      </w:pPr>
      <w:r>
        <w:rPr>
          <w:rFonts w:hint="eastAsia"/>
          <w:highlight w:val="none"/>
        </w:rPr>
        <w:t>四．投标人有下列情形之一的，视为投标人串通投标，其投标无效：</w:t>
      </w:r>
    </w:p>
    <w:p>
      <w:pPr>
        <w:pStyle w:val="9"/>
        <w:ind w:firstLine="480"/>
        <w:rPr>
          <w:highlight w:val="none"/>
        </w:rPr>
      </w:pPr>
      <w:r>
        <w:rPr>
          <w:rFonts w:hint="eastAsia"/>
          <w:highlight w:val="none"/>
        </w:rPr>
        <w:t>4.1不同投标人的投标文件由同一单位或者个人编制；</w:t>
      </w:r>
    </w:p>
    <w:p>
      <w:pPr>
        <w:pStyle w:val="9"/>
        <w:ind w:firstLine="480"/>
        <w:rPr>
          <w:highlight w:val="none"/>
        </w:rPr>
      </w:pPr>
      <w:r>
        <w:rPr>
          <w:rFonts w:hint="eastAsia"/>
          <w:highlight w:val="none"/>
        </w:rPr>
        <w:t>4.2不同投标人委托同一单位或者个人办理投标事宜；</w:t>
      </w:r>
    </w:p>
    <w:p>
      <w:pPr>
        <w:pStyle w:val="9"/>
        <w:ind w:firstLine="480"/>
        <w:rPr>
          <w:highlight w:val="none"/>
        </w:rPr>
      </w:pPr>
      <w:r>
        <w:rPr>
          <w:rFonts w:hint="eastAsia"/>
          <w:highlight w:val="none"/>
        </w:rPr>
        <w:t>4.3不同投标人的投标文件载明的项目管理成员或者联系人员为同一人；</w:t>
      </w:r>
    </w:p>
    <w:p>
      <w:pPr>
        <w:pStyle w:val="9"/>
        <w:ind w:firstLine="480"/>
        <w:rPr>
          <w:highlight w:val="none"/>
        </w:rPr>
      </w:pPr>
      <w:r>
        <w:rPr>
          <w:rFonts w:hint="eastAsia"/>
          <w:highlight w:val="none"/>
        </w:rPr>
        <w:t>4.4不同投标人的投标文件异常一致或者投标报价呈规律性差异；</w:t>
      </w:r>
    </w:p>
    <w:p>
      <w:pPr>
        <w:pStyle w:val="9"/>
        <w:ind w:firstLine="480"/>
        <w:rPr>
          <w:highlight w:val="none"/>
        </w:rPr>
      </w:pPr>
      <w:r>
        <w:rPr>
          <w:rFonts w:hint="eastAsia"/>
          <w:highlight w:val="none"/>
        </w:rPr>
        <w:t>4.5不同投标人的投标文件相互混装；</w:t>
      </w:r>
    </w:p>
    <w:p>
      <w:pPr>
        <w:pStyle w:val="9"/>
        <w:ind w:firstLine="480"/>
        <w:rPr>
          <w:spacing w:val="4"/>
          <w:szCs w:val="21"/>
          <w:highlight w:val="none"/>
        </w:rPr>
      </w:pPr>
      <w:r>
        <w:rPr>
          <w:rFonts w:hint="eastAsia"/>
          <w:highlight w:val="none"/>
        </w:rPr>
        <w:t>4.6不同投标人的投标保证金从同一单位或者个人的账户转出。</w:t>
      </w:r>
    </w:p>
    <w:p>
      <w:pPr>
        <w:pStyle w:val="6"/>
        <w:rPr>
          <w:highlight w:val="none"/>
        </w:rPr>
      </w:pPr>
      <w:bookmarkStart w:id="157" w:name="_Toc363463333"/>
      <w:bookmarkStart w:id="158" w:name="_Toc31251"/>
      <w:bookmarkStart w:id="159" w:name="_Toc27272"/>
      <w:r>
        <w:rPr>
          <w:rFonts w:hint="eastAsia"/>
          <w:highlight w:val="none"/>
        </w:rPr>
        <w:t>五．评审程序</w:t>
      </w:r>
      <w:bookmarkEnd w:id="157"/>
      <w:bookmarkEnd w:id="158"/>
      <w:bookmarkEnd w:id="159"/>
    </w:p>
    <w:p>
      <w:pPr>
        <w:pStyle w:val="9"/>
        <w:ind w:firstLine="480"/>
        <w:rPr>
          <w:highlight w:val="none"/>
        </w:rPr>
      </w:pPr>
      <w:r>
        <w:rPr>
          <w:rFonts w:hint="eastAsia"/>
          <w:highlight w:val="none"/>
        </w:rPr>
        <w:t>按照投标文件初审、澄清有关问题、比较与评价、推荐中标候选人名单的工作程序进行评标。在上一步评审中被认定为无效投标者，不进入下一步的评审。</w:t>
      </w:r>
    </w:p>
    <w:p>
      <w:pPr>
        <w:pStyle w:val="9"/>
        <w:ind w:firstLine="482"/>
        <w:rPr>
          <w:b/>
          <w:bCs/>
          <w:highlight w:val="none"/>
        </w:rPr>
      </w:pPr>
      <w:r>
        <w:rPr>
          <w:rFonts w:hint="eastAsia"/>
          <w:b/>
          <w:bCs/>
          <w:highlight w:val="none"/>
        </w:rPr>
        <w:t>5.1投标文件初审</w:t>
      </w:r>
    </w:p>
    <w:p>
      <w:pPr>
        <w:pStyle w:val="9"/>
        <w:ind w:firstLine="480"/>
        <w:rPr>
          <w:highlight w:val="none"/>
        </w:rPr>
      </w:pPr>
      <w:r>
        <w:rPr>
          <w:rFonts w:hint="eastAsia"/>
          <w:highlight w:val="none"/>
        </w:rPr>
        <w:t>（1）资格性审查：</w:t>
      </w:r>
      <w:r>
        <w:rPr>
          <w:rFonts w:hint="eastAsia"/>
          <w:highlight w:val="none"/>
          <w:lang w:eastAsia="zh-CN"/>
        </w:rPr>
        <w:t>招标人</w:t>
      </w:r>
      <w:r>
        <w:rPr>
          <w:rFonts w:hint="eastAsia"/>
          <w:highlight w:val="none"/>
        </w:rPr>
        <w:t>或</w:t>
      </w:r>
      <w:r>
        <w:rPr>
          <w:rFonts w:hint="eastAsia"/>
          <w:highlight w:val="none"/>
          <w:lang w:eastAsia="zh-CN"/>
        </w:rPr>
        <w:t>招标代理机构</w:t>
      </w:r>
      <w:r>
        <w:rPr>
          <w:rFonts w:hint="eastAsia"/>
          <w:highlight w:val="none"/>
        </w:rPr>
        <w:t>依据法律法规和招标文件规定的评审标准（投标人须知前附表：投标人资格证明文件）对投标人进行资格性审查。有一项不符合评审标准的，将被视为未实质性响应招标文件，其投标文件将按无效文件处理。</w:t>
      </w:r>
    </w:p>
    <w:p>
      <w:pPr>
        <w:pStyle w:val="9"/>
        <w:ind w:firstLine="480"/>
        <w:rPr>
          <w:highlight w:val="none"/>
        </w:rPr>
      </w:pPr>
      <w:r>
        <w:rPr>
          <w:rFonts w:hint="eastAsia"/>
          <w:highlight w:val="none"/>
        </w:rPr>
        <w:t>（2）符合性审查：评标委员会将依据招标文件规定的评审标准对投标文件进行符合性审查。有一项不符合评审标准的，将被视为未实质性响应招标文件，其投标文件将按无效文件处理。其内容包括但不限于以下部分：</w:t>
      </w:r>
    </w:p>
    <w:p>
      <w:pPr>
        <w:pStyle w:val="9"/>
        <w:ind w:firstLine="480"/>
        <w:rPr>
          <w:highlight w:val="none"/>
        </w:rPr>
      </w:pPr>
      <w:r>
        <w:rPr>
          <w:rFonts w:hint="eastAsia"/>
          <w:highlight w:val="none"/>
        </w:rPr>
        <w:t>1）供应商印刷体名称、公章名称与营业执照名称是否一致；</w:t>
      </w:r>
    </w:p>
    <w:p>
      <w:pPr>
        <w:pStyle w:val="9"/>
        <w:ind w:firstLine="480"/>
        <w:rPr>
          <w:highlight w:val="none"/>
        </w:rPr>
      </w:pPr>
      <w:r>
        <w:rPr>
          <w:rFonts w:hint="eastAsia"/>
          <w:highlight w:val="none"/>
        </w:rPr>
        <w:t>2）投标文件的正副本数量符合性；</w:t>
      </w:r>
    </w:p>
    <w:p>
      <w:pPr>
        <w:pStyle w:val="9"/>
        <w:ind w:firstLine="480"/>
        <w:rPr>
          <w:highlight w:val="none"/>
        </w:rPr>
      </w:pPr>
      <w:r>
        <w:rPr>
          <w:rFonts w:hint="eastAsia"/>
          <w:highlight w:val="none"/>
        </w:rPr>
        <w:t>3）投标文件的签字盖章符合性；</w:t>
      </w:r>
    </w:p>
    <w:p>
      <w:pPr>
        <w:pStyle w:val="9"/>
        <w:ind w:firstLine="480"/>
        <w:rPr>
          <w:highlight w:val="none"/>
        </w:rPr>
      </w:pPr>
      <w:r>
        <w:rPr>
          <w:rFonts w:hint="eastAsia"/>
          <w:highlight w:val="none"/>
        </w:rPr>
        <w:t>4）投标有效期符合性；</w:t>
      </w:r>
    </w:p>
    <w:p>
      <w:pPr>
        <w:pStyle w:val="9"/>
        <w:ind w:firstLine="480"/>
        <w:rPr>
          <w:highlight w:val="none"/>
        </w:rPr>
      </w:pPr>
      <w:r>
        <w:rPr>
          <w:rFonts w:hint="eastAsia"/>
          <w:highlight w:val="none"/>
        </w:rPr>
        <w:t>5）投标报价符合性（报价唯一性、报价未超预算）；</w:t>
      </w:r>
    </w:p>
    <w:p>
      <w:pPr>
        <w:pStyle w:val="9"/>
        <w:ind w:firstLine="480"/>
        <w:rPr>
          <w:highlight w:val="none"/>
        </w:rPr>
      </w:pPr>
      <w:r>
        <w:rPr>
          <w:rFonts w:hint="eastAsia"/>
          <w:highlight w:val="none"/>
        </w:rPr>
        <w:t>6）商务、技术要求不满足实质性要求的（质保期小于招标要求、交货期大于招标要求、付款方式不满足招标要求、投标内容有重大缺漏项）；</w:t>
      </w:r>
    </w:p>
    <w:p>
      <w:pPr>
        <w:pStyle w:val="9"/>
        <w:ind w:firstLine="480"/>
        <w:rPr>
          <w:highlight w:val="none"/>
        </w:rPr>
      </w:pPr>
      <w:r>
        <w:rPr>
          <w:rFonts w:hint="eastAsia"/>
          <w:highlight w:val="none"/>
        </w:rPr>
        <w:t>7）其他法律、规章、规范性文件和招标文件规定的符合性。</w:t>
      </w:r>
    </w:p>
    <w:p>
      <w:pPr>
        <w:pStyle w:val="9"/>
        <w:ind w:left="0" w:leftChars="0" w:firstLine="480" w:firstLineChars="200"/>
        <w:rPr>
          <w:highlight w:val="none"/>
        </w:rPr>
      </w:pPr>
      <w:r>
        <w:rPr>
          <w:rFonts w:hint="eastAsia"/>
          <w:highlight w:val="none"/>
        </w:rPr>
        <w:t>（3）在资格性审查阶段，不符合招标文件要求的，不得进入符合性审查，在符合性审查时未通过的，不得进入后续评审环节。</w:t>
      </w:r>
    </w:p>
    <w:p>
      <w:pPr>
        <w:pStyle w:val="9"/>
        <w:ind w:firstLine="482"/>
        <w:rPr>
          <w:highlight w:val="none"/>
        </w:rPr>
      </w:pPr>
      <w:r>
        <w:rPr>
          <w:rFonts w:hint="eastAsia"/>
          <w:b/>
          <w:bCs/>
          <w:highlight w:val="none"/>
        </w:rPr>
        <w:t>5.2投标文件的澄清</w:t>
      </w:r>
    </w:p>
    <w:p>
      <w:pPr>
        <w:pStyle w:val="9"/>
        <w:ind w:firstLine="480"/>
        <w:rPr>
          <w:highlight w:val="none"/>
        </w:rPr>
      </w:pPr>
      <w:r>
        <w:rPr>
          <w:rFonts w:hint="eastAsia"/>
          <w:highlight w:val="none"/>
        </w:rPr>
        <w:t>5.2.1为有助于投标文件的审查、比较和评价，评标委员会可要求投标人对其投标文件中非实质性（投标文件中含义不明确、同类问题表述不一致或者有明显文字和计算错误的内容）的有关问题进行澄清、说明或者补正。有关澄清、说明或者补正的要求和答复应以书面形式提交，并由其法定代表人或被授权人签字。投标人的澄清、说明或者补正不得超出投标文件的范围或者改变投标文件的实质性内容。评标委员会不接受投标人主动提出的澄清、说明。</w:t>
      </w:r>
    </w:p>
    <w:p>
      <w:pPr>
        <w:pStyle w:val="9"/>
        <w:ind w:firstLine="480"/>
        <w:rPr>
          <w:highlight w:val="none"/>
        </w:rPr>
      </w:pPr>
      <w:r>
        <w:rPr>
          <w:rFonts w:hint="eastAsia"/>
          <w:highlight w:val="none"/>
        </w:rPr>
        <w:t>5.2.2有效的书面澄清材料，是投标文件的补充材料，成为投标文件的组成部分。</w:t>
      </w:r>
    </w:p>
    <w:p>
      <w:pPr>
        <w:pStyle w:val="9"/>
        <w:ind w:firstLine="480"/>
        <w:rPr>
          <w:highlight w:val="none"/>
        </w:rPr>
      </w:pPr>
      <w:r>
        <w:rPr>
          <w:rFonts w:hint="eastAsia"/>
          <w:highlight w:val="none"/>
        </w:rPr>
        <w:t>5.2.3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
        <w:ind w:firstLine="482"/>
        <w:rPr>
          <w:highlight w:val="none"/>
        </w:rPr>
      </w:pPr>
      <w:r>
        <w:rPr>
          <w:rFonts w:hint="eastAsia"/>
          <w:b/>
          <w:bCs/>
          <w:highlight w:val="none"/>
        </w:rPr>
        <w:t>5.3投标文件比较与评价</w:t>
      </w:r>
    </w:p>
    <w:p>
      <w:pPr>
        <w:pStyle w:val="9"/>
        <w:ind w:firstLine="480"/>
        <w:rPr>
          <w:highlight w:val="none"/>
        </w:rPr>
      </w:pPr>
      <w:r>
        <w:rPr>
          <w:rFonts w:hint="eastAsia"/>
          <w:highlight w:val="none"/>
        </w:rPr>
        <w:t>5.3.1评委会应按照招标文件《评标因素及权重分值表》规定的评标办法和标准，对资格性检查和符合性检查合格的投标文件进行商务和技术评估，综合比较与评价。</w:t>
      </w:r>
    </w:p>
    <w:p>
      <w:pPr>
        <w:pStyle w:val="9"/>
        <w:ind w:firstLine="480"/>
        <w:rPr>
          <w:highlight w:val="none"/>
        </w:rPr>
      </w:pPr>
      <w:r>
        <w:rPr>
          <w:rFonts w:hint="eastAsia"/>
          <w:highlight w:val="none"/>
        </w:rPr>
        <w:t>5.3.2如果投标文件没有实质性响应招标文件的要求，评委会将予以拒绝。投标人不得通过修正或撤销不合要求的偏离或保留，从而使其投标成为实质性响应的投标。</w:t>
      </w:r>
    </w:p>
    <w:p>
      <w:pPr>
        <w:pStyle w:val="6"/>
        <w:rPr>
          <w:highlight w:val="none"/>
        </w:rPr>
      </w:pPr>
      <w:bookmarkStart w:id="160" w:name="_Toc20533"/>
      <w:bookmarkStart w:id="161" w:name="_Toc23931"/>
      <w:r>
        <w:rPr>
          <w:rFonts w:hint="eastAsia"/>
          <w:highlight w:val="none"/>
        </w:rPr>
        <w:t>六．政策性扣减</w:t>
      </w:r>
      <w:bookmarkEnd w:id="160"/>
      <w:bookmarkEnd w:id="161"/>
    </w:p>
    <w:p>
      <w:pPr>
        <w:pStyle w:val="9"/>
        <w:ind w:firstLine="482"/>
        <w:rPr>
          <w:b/>
          <w:bCs/>
          <w:color w:val="auto"/>
          <w:highlight w:val="none"/>
        </w:rPr>
      </w:pPr>
      <w:r>
        <w:rPr>
          <w:rFonts w:hint="eastAsia"/>
          <w:b/>
          <w:bCs/>
          <w:color w:val="auto"/>
          <w:highlight w:val="none"/>
        </w:rPr>
        <w:t>6.1政策性扣减范围</w:t>
      </w:r>
    </w:p>
    <w:p>
      <w:pPr>
        <w:pStyle w:val="9"/>
        <w:ind w:firstLine="480"/>
        <w:rPr>
          <w:color w:val="auto"/>
          <w:highlight w:val="none"/>
        </w:rPr>
      </w:pPr>
      <w:r>
        <w:rPr>
          <w:rFonts w:hint="eastAsia"/>
          <w:color w:val="auto"/>
          <w:highlight w:val="none"/>
        </w:rPr>
        <w:t>6.1.1投标人符合小型、微型企业或监狱企业、残疾人福利性单位条件的，其投标报价价格评审时将按相应比例进行扣减。</w:t>
      </w:r>
    </w:p>
    <w:p>
      <w:pPr>
        <w:pStyle w:val="9"/>
        <w:ind w:firstLine="480"/>
        <w:rPr>
          <w:color w:val="auto"/>
          <w:highlight w:val="none"/>
        </w:rPr>
      </w:pPr>
      <w:r>
        <w:rPr>
          <w:rFonts w:hint="eastAsia"/>
          <w:color w:val="auto"/>
          <w:highlight w:val="none"/>
        </w:rPr>
        <w:t>6.1.2投标人符合《政府采购促进中小企业发展管理办法》（财库﹝2020﹞46 号）条件的，其投标报价价格评审时将按相应比例进行扣减。</w:t>
      </w:r>
    </w:p>
    <w:p>
      <w:pPr>
        <w:pStyle w:val="9"/>
        <w:ind w:firstLine="480"/>
        <w:rPr>
          <w:color w:val="auto"/>
          <w:highlight w:val="none"/>
        </w:rPr>
      </w:pPr>
      <w:r>
        <w:rPr>
          <w:rFonts w:hint="eastAsia"/>
          <w:color w:val="auto"/>
          <w:highlight w:val="none"/>
        </w:rPr>
        <w:t>6.1.3</w:t>
      </w:r>
      <w:r>
        <w:rPr>
          <w:rFonts w:hint="eastAsia"/>
          <w:color w:val="auto"/>
          <w:highlight w:val="none"/>
          <w:lang w:eastAsia="zh-CN"/>
        </w:rPr>
        <w:t>招标人</w:t>
      </w:r>
      <w:r>
        <w:rPr>
          <w:rFonts w:hint="eastAsia"/>
          <w:color w:val="auto"/>
          <w:highlight w:val="none"/>
        </w:rPr>
        <w:t>拟采购产品属于优先采购节能、环境标志产品范围的，应当优先采购节能、环境标志产品；拟采购产品符合政府采购强制采购政策的，实行强制采购。</w:t>
      </w:r>
    </w:p>
    <w:p>
      <w:pPr>
        <w:pStyle w:val="9"/>
        <w:ind w:firstLine="480"/>
        <w:rPr>
          <w:color w:val="auto"/>
          <w:highlight w:val="none"/>
        </w:rPr>
      </w:pPr>
      <w:r>
        <w:rPr>
          <w:rFonts w:hint="eastAsia"/>
          <w:color w:val="auto"/>
          <w:highlight w:val="none"/>
        </w:rPr>
        <w:t>（1）</w:t>
      </w:r>
      <w:r>
        <w:rPr>
          <w:rFonts w:hint="eastAsia"/>
          <w:color w:val="auto"/>
          <w:highlight w:val="none"/>
          <w:lang w:eastAsia="zh-CN"/>
        </w:rPr>
        <w:t>招标人</w:t>
      </w:r>
      <w:r>
        <w:rPr>
          <w:rFonts w:hint="eastAsia"/>
          <w:color w:val="auto"/>
          <w:highlight w:val="none"/>
        </w:rPr>
        <w:t>依据节能产品、环境标志产品品目清单和节能、环境标志产品认证证书实施政府优先采购和强制采购。</w:t>
      </w:r>
    </w:p>
    <w:p>
      <w:pPr>
        <w:pStyle w:val="9"/>
        <w:ind w:firstLine="480"/>
        <w:rPr>
          <w:color w:val="auto"/>
          <w:highlight w:val="none"/>
        </w:rPr>
      </w:pPr>
      <w:r>
        <w:rPr>
          <w:rFonts w:hint="eastAsia"/>
          <w:color w:val="auto"/>
          <w:highlight w:val="none"/>
        </w:rPr>
        <w:t>（2）</w:t>
      </w:r>
      <w:r>
        <w:rPr>
          <w:rFonts w:hint="eastAsia"/>
          <w:color w:val="auto"/>
          <w:highlight w:val="none"/>
          <w:lang w:eastAsia="zh-CN"/>
        </w:rPr>
        <w:t>招标人</w:t>
      </w:r>
      <w:r>
        <w:rPr>
          <w:rFonts w:hint="eastAsia"/>
          <w:color w:val="auto"/>
          <w:highlight w:val="none"/>
        </w:rPr>
        <w:t>拟采购的产品属于品目清单范围的，</w:t>
      </w:r>
      <w:r>
        <w:rPr>
          <w:rFonts w:hint="eastAsia"/>
          <w:color w:val="auto"/>
          <w:highlight w:val="none"/>
          <w:lang w:eastAsia="zh-CN"/>
        </w:rPr>
        <w:t>招标人</w:t>
      </w:r>
      <w:r>
        <w:rPr>
          <w:rFonts w:hint="eastAsia"/>
          <w:color w:val="auto"/>
          <w:highlight w:val="none"/>
        </w:rPr>
        <w:t>及其委托的</w:t>
      </w:r>
      <w:r>
        <w:rPr>
          <w:rFonts w:hint="eastAsia"/>
          <w:color w:val="auto"/>
          <w:highlight w:val="none"/>
          <w:lang w:eastAsia="zh-CN"/>
        </w:rPr>
        <w:t>招标代理机构</w:t>
      </w:r>
      <w:r>
        <w:rPr>
          <w:rFonts w:hint="eastAsia"/>
          <w:color w:val="auto"/>
          <w:highlight w:val="none"/>
        </w:rPr>
        <w:t>将依据国家确定的认证机构出具的、处于有效期之内的节能、环境标志产品认证证书，对获得证书的产品实施政府优先采购或强制采购。</w:t>
      </w:r>
    </w:p>
    <w:p>
      <w:pPr>
        <w:pStyle w:val="9"/>
        <w:ind w:firstLine="480"/>
        <w:rPr>
          <w:color w:val="auto"/>
          <w:highlight w:val="none"/>
        </w:rPr>
      </w:pPr>
      <w:r>
        <w:rPr>
          <w:rFonts w:hint="eastAsia"/>
          <w:color w:val="auto"/>
          <w:highlight w:val="none"/>
        </w:rPr>
        <w:t>6.1.4监狱企业参加政府采购活动时，应当提供由省级以上监狱管理局、戒毒管理局(含新疆生产建设兵团)出具的属于监狱企业的证明文件。监狱企业参加政府采购活动时，视同小型、微型企业。</w:t>
      </w:r>
    </w:p>
    <w:p>
      <w:pPr>
        <w:pStyle w:val="9"/>
        <w:ind w:firstLine="480"/>
        <w:rPr>
          <w:color w:val="auto"/>
          <w:highlight w:val="none"/>
        </w:rPr>
      </w:pPr>
      <w:r>
        <w:rPr>
          <w:rFonts w:hint="eastAsia"/>
          <w:color w:val="auto"/>
          <w:highlight w:val="none"/>
        </w:rPr>
        <w:t>6.1.5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360" w:lineRule="auto"/>
        <w:ind w:firstLine="482" w:firstLineChars="200"/>
        <w:rPr>
          <w:rFonts w:hint="eastAsia"/>
          <w:b/>
          <w:bCs/>
          <w:sz w:val="24"/>
          <w:szCs w:val="24"/>
          <w:highlight w:val="none"/>
          <w:lang w:val="en-US" w:eastAsia="zh-CN"/>
        </w:rPr>
      </w:pPr>
      <w:r>
        <w:rPr>
          <w:rFonts w:hint="eastAsia"/>
          <w:b/>
          <w:bCs/>
          <w:sz w:val="24"/>
          <w:szCs w:val="24"/>
          <w:highlight w:val="none"/>
          <w:lang w:val="en-US" w:eastAsia="zh-CN"/>
        </w:rPr>
        <w:t>6.2符合节能产品文件规定的评标价计算规则：</w:t>
      </w:r>
    </w:p>
    <w:p>
      <w:pPr>
        <w:spacing w:line="360" w:lineRule="auto"/>
        <w:ind w:left="0" w:leftChars="0" w:firstLine="480" w:firstLineChars="200"/>
        <w:rPr>
          <w:rFonts w:hint="eastAsia"/>
          <w:sz w:val="24"/>
          <w:szCs w:val="24"/>
          <w:highlight w:val="none"/>
          <w:lang w:val="en-US" w:eastAsia="zh-CN"/>
        </w:rPr>
      </w:pPr>
      <w:r>
        <w:rPr>
          <w:rFonts w:hint="eastAsia"/>
          <w:sz w:val="24"/>
          <w:szCs w:val="24"/>
          <w:highlight w:val="none"/>
          <w:lang w:val="en-US" w:eastAsia="zh-CN"/>
        </w:rPr>
        <w:t>投标服务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482" w:firstLineChars="200"/>
        <w:rPr>
          <w:rFonts w:hint="eastAsia"/>
          <w:b/>
          <w:bCs/>
          <w:sz w:val="24"/>
          <w:szCs w:val="24"/>
          <w:highlight w:val="none"/>
          <w:lang w:val="en-US" w:eastAsia="zh-CN"/>
        </w:rPr>
      </w:pPr>
      <w:r>
        <w:rPr>
          <w:rFonts w:hint="eastAsia"/>
          <w:b/>
          <w:bCs/>
          <w:sz w:val="24"/>
          <w:szCs w:val="24"/>
          <w:highlight w:val="none"/>
          <w:lang w:val="en-US" w:eastAsia="zh-CN"/>
        </w:rPr>
        <w:t>6.3符合环境标志产品文件规定的评标价计算规则：</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投标服务涉及提供的所有投标产品进入“环境标志产品政府采购品目清单”（相关证书的颁发机构应来自《参与实施政府采购环境标志产品认证机构名录》）的，其评标价=投标报价*（1-3%）；（不是所有投标产品的不享受此项优惠）。</w:t>
      </w:r>
    </w:p>
    <w:p>
      <w:pPr>
        <w:spacing w:line="360" w:lineRule="auto"/>
        <w:ind w:left="0" w:leftChars="0" w:firstLine="422" w:firstLineChars="175"/>
        <w:rPr>
          <w:rFonts w:hint="eastAsia"/>
          <w:sz w:val="24"/>
          <w:szCs w:val="24"/>
          <w:highlight w:val="none"/>
          <w:lang w:val="en-US" w:eastAsia="zh-CN"/>
        </w:rPr>
      </w:pPr>
      <w:r>
        <w:rPr>
          <w:rFonts w:hint="eastAsia"/>
          <w:b/>
          <w:bCs/>
          <w:sz w:val="24"/>
          <w:szCs w:val="24"/>
          <w:highlight w:val="none"/>
          <w:lang w:val="en-US" w:eastAsia="zh-CN"/>
        </w:rPr>
        <w:t>6.4符合（财库〔2019〕27号）文件规定的来自贫困地区提供物业服务的评标价计算规则：</w:t>
      </w:r>
    </w:p>
    <w:p>
      <w:pPr>
        <w:spacing w:line="360" w:lineRule="auto"/>
        <w:ind w:left="3" w:leftChars="0" w:firstLine="518" w:firstLineChars="216"/>
        <w:rPr>
          <w:rFonts w:hint="eastAsia"/>
          <w:sz w:val="24"/>
          <w:szCs w:val="24"/>
          <w:highlight w:val="none"/>
          <w:lang w:val="en-US" w:eastAsia="zh-CN"/>
        </w:rPr>
      </w:pPr>
      <w:r>
        <w:rPr>
          <w:rFonts w:hint="eastAsia"/>
          <w:sz w:val="24"/>
          <w:szCs w:val="24"/>
          <w:highlight w:val="none"/>
          <w:lang w:val="en-US" w:eastAsia="zh-CN"/>
        </w:rPr>
        <w:t>6.4.1在政府采购活动中，对于来自贫困地区提供物业服务的供应商，报价给予5%的扣除，用扣除后的价格参加评审。</w:t>
      </w:r>
    </w:p>
    <w:p>
      <w:pPr>
        <w:spacing w:line="360" w:lineRule="auto"/>
        <w:ind w:left="598" w:leftChars="249"/>
        <w:rPr>
          <w:rFonts w:hint="eastAsia"/>
          <w:sz w:val="24"/>
          <w:szCs w:val="24"/>
          <w:highlight w:val="none"/>
          <w:lang w:val="en-US" w:eastAsia="zh-CN"/>
        </w:rPr>
      </w:pPr>
      <w:r>
        <w:rPr>
          <w:rFonts w:hint="eastAsia"/>
          <w:sz w:val="24"/>
          <w:szCs w:val="24"/>
          <w:highlight w:val="none"/>
          <w:lang w:val="en-US" w:eastAsia="zh-CN"/>
        </w:rPr>
        <w:t>其评标价=投标报价*（1-5%）</w:t>
      </w:r>
    </w:p>
    <w:p>
      <w:pPr>
        <w:spacing w:line="360" w:lineRule="auto"/>
        <w:ind w:left="598" w:leftChars="249"/>
        <w:rPr>
          <w:rFonts w:hint="eastAsia"/>
          <w:sz w:val="24"/>
          <w:szCs w:val="24"/>
          <w:highlight w:val="none"/>
          <w:lang w:val="en-US" w:eastAsia="zh-CN"/>
        </w:rPr>
      </w:pPr>
      <w:r>
        <w:rPr>
          <w:rFonts w:hint="eastAsia"/>
          <w:sz w:val="24"/>
          <w:szCs w:val="24"/>
          <w:highlight w:val="none"/>
          <w:lang w:val="en-US" w:eastAsia="zh-CN"/>
        </w:rPr>
        <w:t>6.4.2确认为来自贫困地区提供物业服务的供应商，应当同时符合以下条件：</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6.4.2.1符合（财库〔2019〕27号）文件相关规定，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6.4.2.2投标时提供本单位的服务，或者提供其他贫困地区承担的服务。</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6.4.2.3供应商须提供相关证明文件。</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6.4.3小微企业单位的评标价计算规则：</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6.4.3.1专门面向中小企业采购的，不再执行价格评审优惠的扶持政策。</w:t>
      </w:r>
    </w:p>
    <w:p>
      <w:pPr>
        <w:spacing w:line="360" w:lineRule="auto"/>
        <w:ind w:left="598" w:leftChars="249"/>
        <w:rPr>
          <w:rFonts w:hint="eastAsia"/>
          <w:sz w:val="24"/>
          <w:szCs w:val="24"/>
          <w:highlight w:val="none"/>
          <w:lang w:val="en-US" w:eastAsia="zh-CN"/>
        </w:rPr>
      </w:pPr>
      <w:r>
        <w:rPr>
          <w:rFonts w:hint="eastAsia"/>
          <w:sz w:val="24"/>
          <w:szCs w:val="24"/>
          <w:highlight w:val="none"/>
          <w:lang w:val="en-US" w:eastAsia="zh-CN"/>
        </w:rPr>
        <w:t>6.4.3.2非专门面向中小企业采购的评标价计算规则如下：</w:t>
      </w:r>
    </w:p>
    <w:p>
      <w:pPr>
        <w:spacing w:line="360" w:lineRule="auto"/>
        <w:ind w:left="3" w:leftChars="0" w:firstLine="518" w:firstLineChars="216"/>
        <w:rPr>
          <w:rFonts w:hint="eastAsia"/>
          <w:sz w:val="24"/>
          <w:szCs w:val="24"/>
          <w:highlight w:val="none"/>
          <w:lang w:val="en-US" w:eastAsia="zh-CN"/>
        </w:rPr>
      </w:pPr>
      <w:r>
        <w:rPr>
          <w:rFonts w:hint="eastAsia"/>
          <w:sz w:val="24"/>
          <w:szCs w:val="24"/>
          <w:highlight w:val="none"/>
          <w:lang w:val="en-US" w:eastAsia="zh-CN"/>
        </w:rPr>
        <w:t>6.4.3.2.1对符合规定的小型和微型企业（非联合体投标）报价给予10%的扣除，用扣除后的价格参加评审。</w:t>
      </w:r>
    </w:p>
    <w:p>
      <w:pPr>
        <w:spacing w:line="360" w:lineRule="auto"/>
        <w:ind w:left="598" w:leftChars="249"/>
        <w:rPr>
          <w:rFonts w:hint="eastAsia"/>
          <w:sz w:val="24"/>
          <w:szCs w:val="24"/>
          <w:highlight w:val="none"/>
          <w:lang w:val="en-US" w:eastAsia="zh-CN"/>
        </w:rPr>
      </w:pPr>
      <w:r>
        <w:rPr>
          <w:rFonts w:hint="eastAsia"/>
          <w:sz w:val="24"/>
          <w:szCs w:val="24"/>
          <w:highlight w:val="none"/>
          <w:lang w:val="en-US" w:eastAsia="zh-CN"/>
        </w:rPr>
        <w:t>其评标价=投标报价*（1-（10%））</w:t>
      </w:r>
    </w:p>
    <w:p>
      <w:pPr>
        <w:spacing w:line="360" w:lineRule="auto"/>
        <w:ind w:left="0" w:leftChars="0" w:firstLine="420" w:firstLineChars="175"/>
        <w:rPr>
          <w:rFonts w:hint="eastAsia"/>
          <w:sz w:val="24"/>
          <w:szCs w:val="24"/>
          <w:highlight w:val="none"/>
          <w:lang w:val="en-US" w:eastAsia="zh-CN"/>
        </w:rPr>
      </w:pPr>
      <w:r>
        <w:rPr>
          <w:rFonts w:hint="eastAsia"/>
          <w:sz w:val="24"/>
          <w:szCs w:val="24"/>
          <w:highlight w:val="none"/>
          <w:lang w:val="en-US" w:eastAsia="zh-CN"/>
        </w:rPr>
        <w:t>6.4.3.2.2对于联合协议或者分包意向协议约定小微企业的合同份额占到合同总金额30%以上的（须在联合协议或分包意向协议中明确小微企业的合同份额，否则评标时不予给予价格扣除），对联合体或者大中型企业的报价给予4%的扣除，用扣除后的价格参加评审。</w:t>
      </w:r>
    </w:p>
    <w:p>
      <w:pPr>
        <w:spacing w:line="360" w:lineRule="auto"/>
        <w:ind w:left="598" w:leftChars="249"/>
        <w:rPr>
          <w:rFonts w:hint="eastAsia"/>
          <w:sz w:val="24"/>
          <w:szCs w:val="24"/>
          <w:highlight w:val="none"/>
          <w:lang w:val="en-US" w:eastAsia="zh-CN"/>
        </w:rPr>
      </w:pPr>
      <w:r>
        <w:rPr>
          <w:rFonts w:hint="eastAsia"/>
          <w:sz w:val="24"/>
          <w:szCs w:val="24"/>
          <w:highlight w:val="none"/>
          <w:lang w:val="en-US" w:eastAsia="zh-CN"/>
        </w:rPr>
        <w:t>其评标价=投标报价*（1-4%）</w:t>
      </w:r>
    </w:p>
    <w:p>
      <w:pPr>
        <w:spacing w:line="360" w:lineRule="auto"/>
        <w:ind w:left="3" w:leftChars="0" w:firstLine="518" w:firstLineChars="216"/>
        <w:rPr>
          <w:rFonts w:hint="eastAsia"/>
          <w:sz w:val="24"/>
          <w:szCs w:val="24"/>
          <w:highlight w:val="none"/>
          <w:lang w:val="en-US" w:eastAsia="zh-CN"/>
        </w:rPr>
      </w:pPr>
      <w:r>
        <w:rPr>
          <w:rFonts w:hint="eastAsia"/>
          <w:sz w:val="24"/>
          <w:szCs w:val="24"/>
          <w:highlight w:val="none"/>
          <w:lang w:val="en-US" w:eastAsia="zh-CN"/>
        </w:rPr>
        <w:t>6.4.3.2.3确认为小微企业（含小型、微型企业，下同）投标的，应当同时符合以下条件：</w:t>
      </w:r>
    </w:p>
    <w:p>
      <w:pPr>
        <w:spacing w:line="360" w:lineRule="auto"/>
        <w:ind w:left="0" w:leftChars="0" w:firstLine="480" w:firstLineChars="200"/>
        <w:rPr>
          <w:rFonts w:hint="eastAsia"/>
          <w:sz w:val="24"/>
          <w:szCs w:val="24"/>
          <w:highlight w:val="none"/>
          <w:lang w:val="en-US" w:eastAsia="zh-CN"/>
        </w:rPr>
      </w:pPr>
      <w:r>
        <w:rPr>
          <w:rFonts w:hint="eastAsia"/>
          <w:sz w:val="24"/>
          <w:szCs w:val="24"/>
          <w:highlight w:val="none"/>
          <w:lang w:val="en-US" w:eastAsia="zh-CN"/>
        </w:rPr>
        <w:t>6.4.3.2.3.1符合国务院有关部门根据企业从业人员、营业收入、资产总额等指标制定的中小企业划型标准（工信部联企业〔2011〕300号）；</w:t>
      </w:r>
    </w:p>
    <w:p>
      <w:pPr>
        <w:spacing w:line="360" w:lineRule="auto"/>
        <w:ind w:left="3" w:leftChars="0" w:firstLine="518" w:firstLineChars="216"/>
        <w:rPr>
          <w:rFonts w:hint="eastAsia"/>
          <w:sz w:val="24"/>
          <w:szCs w:val="24"/>
          <w:highlight w:val="none"/>
          <w:lang w:val="en-US" w:eastAsia="zh-CN"/>
        </w:rPr>
      </w:pPr>
      <w:r>
        <w:rPr>
          <w:rFonts w:hint="eastAsia"/>
          <w:sz w:val="24"/>
          <w:szCs w:val="24"/>
          <w:highlight w:val="none"/>
          <w:lang w:val="en-US" w:eastAsia="zh-CN"/>
        </w:rPr>
        <w:t xml:space="preserve">6.4.3.2.3.2在服务采购项目中，服务由中小企业承接，即提供服务的人员为中小企业依照《中华人民共和国劳动合同法》订立劳动合同的从业人员。 </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6.4.3.2.3.3小微企业投标时须提供按照（财库〔2020〕46号）文件附件格式填写的《中小企业声明函（服务）》。</w:t>
      </w:r>
    </w:p>
    <w:p>
      <w:pPr>
        <w:spacing w:line="360" w:lineRule="auto"/>
        <w:ind w:left="3" w:leftChars="0" w:firstLine="518" w:firstLineChars="216"/>
        <w:rPr>
          <w:rFonts w:hint="eastAsia"/>
          <w:sz w:val="24"/>
          <w:szCs w:val="24"/>
          <w:highlight w:val="none"/>
          <w:lang w:val="en-US" w:eastAsia="zh-CN"/>
        </w:rPr>
      </w:pPr>
      <w:r>
        <w:rPr>
          <w:rFonts w:hint="eastAsia"/>
          <w:sz w:val="24"/>
          <w:szCs w:val="24"/>
          <w:highlight w:val="none"/>
          <w:lang w:val="en-US" w:eastAsia="zh-CN"/>
        </w:rPr>
        <w:t>6.4.3.2.3.4符合（财库〔2017〕141号）文件规定的残疾人福利性单位和符合（财库〔2014〕68号）文件规定的监狱企业视同小微企业。残疾人福利性单位须提供按照（财库〔2017〕141号）文件附件格式填写的《残疾人福利性单位声明函》；监狱企业须提供由省级以上监狱管理局、戒毒管理局（含新疆生产建设兵团）出具的属于监狱企业的证明文件；否则不享受价格评审优惠政策。</w:t>
      </w:r>
    </w:p>
    <w:p>
      <w:pPr>
        <w:pStyle w:val="6"/>
        <w:rPr>
          <w:sz w:val="24"/>
          <w:szCs w:val="24"/>
          <w:highlight w:val="none"/>
        </w:rPr>
      </w:pPr>
      <w:r>
        <w:rPr>
          <w:rFonts w:hint="eastAsia"/>
          <w:sz w:val="24"/>
          <w:szCs w:val="24"/>
          <w:highlight w:val="none"/>
        </w:rPr>
        <w:t>七．</w:t>
      </w:r>
      <w:bookmarkStart w:id="162" w:name="_Toc21804"/>
      <w:bookmarkStart w:id="163" w:name="_Toc19618"/>
      <w:r>
        <w:rPr>
          <w:sz w:val="24"/>
          <w:szCs w:val="24"/>
          <w:highlight w:val="none"/>
        </w:rPr>
        <w:t>特殊情况的处理</w:t>
      </w:r>
      <w:bookmarkEnd w:id="162"/>
      <w:bookmarkEnd w:id="163"/>
    </w:p>
    <w:p>
      <w:pPr>
        <w:pStyle w:val="9"/>
        <w:ind w:firstLine="480"/>
        <w:rPr>
          <w:highlight w:val="none"/>
        </w:rPr>
      </w:pPr>
      <w:r>
        <w:rPr>
          <w:highlight w:val="none"/>
        </w:rPr>
        <w:t>7.1单一产品采购项目中，提供相同品牌的产品的不同</w:t>
      </w:r>
      <w:r>
        <w:rPr>
          <w:rFonts w:hint="eastAsia"/>
          <w:highlight w:val="none"/>
        </w:rPr>
        <w:t>投标人</w:t>
      </w:r>
      <w:r>
        <w:rPr>
          <w:highlight w:val="none"/>
        </w:rPr>
        <w:t>参加同一合同项下投标的，按以下方法处理：</w:t>
      </w:r>
    </w:p>
    <w:p>
      <w:pPr>
        <w:pStyle w:val="9"/>
        <w:ind w:firstLine="480"/>
        <w:rPr>
          <w:highlight w:val="none"/>
        </w:rPr>
      </w:pPr>
      <w:r>
        <w:rPr>
          <w:highlight w:val="none"/>
        </w:rPr>
        <w:t>7.1.1使用最低评标价法的采购项目，提供相同品牌产品的不同</w:t>
      </w:r>
      <w:r>
        <w:rPr>
          <w:rFonts w:hint="eastAsia"/>
          <w:highlight w:val="none"/>
        </w:rPr>
        <w:t>投标人</w:t>
      </w:r>
      <w:r>
        <w:rPr>
          <w:highlight w:val="none"/>
        </w:rPr>
        <w:t>参加同一合同项下投标的，以其中通过资格审查、符合性审查且报价最低的参加评标；报价相同的，由</w:t>
      </w:r>
      <w:r>
        <w:rPr>
          <w:rFonts w:hint="eastAsia"/>
          <w:highlight w:val="none"/>
          <w:lang w:eastAsia="zh-CN"/>
        </w:rPr>
        <w:t>招标人</w:t>
      </w:r>
      <w:r>
        <w:rPr>
          <w:highlight w:val="none"/>
        </w:rPr>
        <w:t>及评标委员会按照技术方案、售后服务等内容择优选择确定一个参加评标的</w:t>
      </w:r>
      <w:r>
        <w:rPr>
          <w:rFonts w:hint="eastAsia"/>
          <w:highlight w:val="none"/>
        </w:rPr>
        <w:t>投标人</w:t>
      </w:r>
      <w:r>
        <w:rPr>
          <w:highlight w:val="none"/>
        </w:rPr>
        <w:t>，其他投标无效。</w:t>
      </w:r>
    </w:p>
    <w:p>
      <w:pPr>
        <w:pStyle w:val="9"/>
        <w:ind w:firstLine="480"/>
        <w:rPr>
          <w:highlight w:val="none"/>
        </w:rPr>
      </w:pPr>
      <w:r>
        <w:rPr>
          <w:highlight w:val="none"/>
        </w:rPr>
        <w:t>7.1.2使用综合评分法的采购项目，提供相同品牌产品且通过资格审查、符合性审查的不同</w:t>
      </w:r>
      <w:r>
        <w:rPr>
          <w:rFonts w:hint="eastAsia"/>
          <w:highlight w:val="none"/>
        </w:rPr>
        <w:t>投标人</w:t>
      </w:r>
      <w:r>
        <w:rPr>
          <w:highlight w:val="none"/>
        </w:rPr>
        <w:t>参加同一合同项下投标的，按一家</w:t>
      </w:r>
      <w:r>
        <w:rPr>
          <w:rFonts w:hint="eastAsia"/>
          <w:highlight w:val="none"/>
        </w:rPr>
        <w:t>投标人</w:t>
      </w:r>
      <w:r>
        <w:rPr>
          <w:highlight w:val="none"/>
        </w:rPr>
        <w:t>计算，评审后得分最高的同品牌</w:t>
      </w:r>
      <w:r>
        <w:rPr>
          <w:rFonts w:hint="eastAsia"/>
          <w:highlight w:val="none"/>
        </w:rPr>
        <w:t>投标人</w:t>
      </w:r>
      <w:r>
        <w:rPr>
          <w:highlight w:val="none"/>
        </w:rPr>
        <w:t>获得中标人推荐资格；评审得分相同的，由</w:t>
      </w:r>
      <w:r>
        <w:rPr>
          <w:rFonts w:hint="eastAsia"/>
          <w:highlight w:val="none"/>
          <w:lang w:eastAsia="zh-CN"/>
        </w:rPr>
        <w:t>招标人</w:t>
      </w:r>
      <w:r>
        <w:rPr>
          <w:highlight w:val="none"/>
        </w:rPr>
        <w:t>及评标委员会按照投标报价最低的方式确定一个</w:t>
      </w:r>
      <w:r>
        <w:rPr>
          <w:rFonts w:hint="eastAsia"/>
          <w:highlight w:val="none"/>
        </w:rPr>
        <w:t>投标人</w:t>
      </w:r>
      <w:r>
        <w:rPr>
          <w:highlight w:val="none"/>
        </w:rPr>
        <w:t>获得中标人推荐资格，其他同品牌</w:t>
      </w:r>
      <w:r>
        <w:rPr>
          <w:rFonts w:hint="eastAsia"/>
          <w:highlight w:val="none"/>
        </w:rPr>
        <w:t>投标人</w:t>
      </w:r>
      <w:r>
        <w:rPr>
          <w:highlight w:val="none"/>
        </w:rPr>
        <w:t>不作为中标候选人。</w:t>
      </w:r>
    </w:p>
    <w:p>
      <w:pPr>
        <w:pStyle w:val="9"/>
        <w:ind w:firstLine="480"/>
        <w:rPr>
          <w:highlight w:val="none"/>
        </w:rPr>
      </w:pPr>
      <w:r>
        <w:rPr>
          <w:highlight w:val="none"/>
        </w:rPr>
        <w:t>7.2非单一产品采购项目中，提供相同品牌的核心产品的不同</w:t>
      </w:r>
      <w:r>
        <w:rPr>
          <w:rFonts w:hint="eastAsia"/>
          <w:highlight w:val="none"/>
        </w:rPr>
        <w:t>投标人</w:t>
      </w:r>
      <w:r>
        <w:rPr>
          <w:highlight w:val="none"/>
        </w:rPr>
        <w:t>参加同一合同项下投标的，按以下方法处理：</w:t>
      </w:r>
    </w:p>
    <w:p>
      <w:pPr>
        <w:pStyle w:val="9"/>
        <w:ind w:firstLine="480"/>
        <w:rPr>
          <w:highlight w:val="none"/>
        </w:rPr>
      </w:pPr>
      <w:r>
        <w:rPr>
          <w:highlight w:val="none"/>
        </w:rPr>
        <w:t>7.2.1使用最低评标价法的采购项目，提供相同品牌核心产品的不同</w:t>
      </w:r>
      <w:r>
        <w:rPr>
          <w:rFonts w:hint="eastAsia"/>
          <w:highlight w:val="none"/>
        </w:rPr>
        <w:t>投标人</w:t>
      </w:r>
      <w:r>
        <w:rPr>
          <w:highlight w:val="none"/>
        </w:rPr>
        <w:t>参加同一合同项下投标的，以其中通过资格审查、符合性审查且投标报价最低的参加评标；投标报价相同的，由</w:t>
      </w:r>
      <w:r>
        <w:rPr>
          <w:rFonts w:hint="eastAsia"/>
          <w:highlight w:val="none"/>
          <w:lang w:eastAsia="zh-CN"/>
        </w:rPr>
        <w:t>招标人</w:t>
      </w:r>
      <w:r>
        <w:rPr>
          <w:highlight w:val="none"/>
        </w:rPr>
        <w:t>及评标委员会按照技术方案、售后服务等内容择优选择确定一个参加评标的</w:t>
      </w:r>
      <w:r>
        <w:rPr>
          <w:rFonts w:hint="eastAsia"/>
          <w:highlight w:val="none"/>
        </w:rPr>
        <w:t>投标人</w:t>
      </w:r>
      <w:r>
        <w:rPr>
          <w:highlight w:val="none"/>
        </w:rPr>
        <w:t>，其他投标无效。</w:t>
      </w:r>
    </w:p>
    <w:p>
      <w:pPr>
        <w:pStyle w:val="9"/>
        <w:ind w:firstLine="480"/>
        <w:rPr>
          <w:highlight w:val="none"/>
        </w:rPr>
      </w:pPr>
      <w:r>
        <w:rPr>
          <w:highlight w:val="none"/>
        </w:rPr>
        <w:t>7.2.2使用综合评分法的采购项目，提供相同品牌核心产品且通过资格审查、符合性审查的不同</w:t>
      </w:r>
      <w:r>
        <w:rPr>
          <w:rFonts w:hint="eastAsia"/>
          <w:highlight w:val="none"/>
        </w:rPr>
        <w:t>投标人</w:t>
      </w:r>
      <w:r>
        <w:rPr>
          <w:highlight w:val="none"/>
        </w:rPr>
        <w:t>参加同一合同项下投标的，按一家</w:t>
      </w:r>
      <w:r>
        <w:rPr>
          <w:rFonts w:hint="eastAsia"/>
          <w:highlight w:val="none"/>
        </w:rPr>
        <w:t>投标人</w:t>
      </w:r>
      <w:r>
        <w:rPr>
          <w:highlight w:val="none"/>
        </w:rPr>
        <w:t>计算，评审后得分最高的同品牌</w:t>
      </w:r>
      <w:r>
        <w:rPr>
          <w:rFonts w:hint="eastAsia"/>
          <w:highlight w:val="none"/>
        </w:rPr>
        <w:t>投标人</w:t>
      </w:r>
      <w:r>
        <w:rPr>
          <w:highlight w:val="none"/>
        </w:rPr>
        <w:t>获得中标人推荐资格；评审得分相同的，由</w:t>
      </w:r>
      <w:r>
        <w:rPr>
          <w:rFonts w:hint="eastAsia"/>
          <w:highlight w:val="none"/>
          <w:lang w:eastAsia="zh-CN"/>
        </w:rPr>
        <w:t>招标人</w:t>
      </w:r>
      <w:r>
        <w:rPr>
          <w:highlight w:val="none"/>
        </w:rPr>
        <w:t>及评标委员会按照投标报价最低的方式确定一个</w:t>
      </w:r>
      <w:r>
        <w:rPr>
          <w:rFonts w:hint="eastAsia"/>
          <w:highlight w:val="none"/>
        </w:rPr>
        <w:t>投标人</w:t>
      </w:r>
      <w:r>
        <w:rPr>
          <w:highlight w:val="none"/>
        </w:rPr>
        <w:t>获得中标人推荐资格，其他同品牌</w:t>
      </w:r>
      <w:r>
        <w:rPr>
          <w:rFonts w:hint="eastAsia"/>
          <w:highlight w:val="none"/>
        </w:rPr>
        <w:t>投标人</w:t>
      </w:r>
      <w:r>
        <w:rPr>
          <w:highlight w:val="none"/>
        </w:rPr>
        <w:t>不作为中标候选人。</w:t>
      </w:r>
    </w:p>
    <w:p>
      <w:pPr>
        <w:pStyle w:val="9"/>
        <w:ind w:firstLine="480"/>
        <w:rPr>
          <w:highlight w:val="none"/>
        </w:rPr>
      </w:pPr>
      <w:r>
        <w:rPr>
          <w:highlight w:val="none"/>
        </w:rPr>
        <w:t>7.2.3核心产品为两个及以上时，当所有核心产品品牌均相同时，在评审时按同一</w:t>
      </w:r>
      <w:r>
        <w:rPr>
          <w:rFonts w:hint="eastAsia"/>
          <w:highlight w:val="none"/>
        </w:rPr>
        <w:t>投标人</w:t>
      </w:r>
      <w:r>
        <w:rPr>
          <w:highlight w:val="none"/>
        </w:rPr>
        <w:t>计算；部分核心产品品牌相同时按不同</w:t>
      </w:r>
      <w:r>
        <w:rPr>
          <w:rFonts w:hint="eastAsia"/>
          <w:highlight w:val="none"/>
        </w:rPr>
        <w:t>投标人</w:t>
      </w:r>
      <w:r>
        <w:rPr>
          <w:highlight w:val="none"/>
        </w:rPr>
        <w:t>计算。</w:t>
      </w:r>
    </w:p>
    <w:p>
      <w:pPr>
        <w:pStyle w:val="9"/>
        <w:ind w:firstLine="480"/>
        <w:rPr>
          <w:highlight w:val="none"/>
        </w:rPr>
      </w:pPr>
      <w:r>
        <w:rPr>
          <w:rFonts w:hint="eastAsia"/>
          <w:highlight w:val="none"/>
        </w:rPr>
        <w:t>7.3投标文件报价出现前后不一致的，按照下列规定修正：</w:t>
      </w:r>
    </w:p>
    <w:p>
      <w:pPr>
        <w:pStyle w:val="9"/>
        <w:ind w:firstLine="480"/>
        <w:rPr>
          <w:highlight w:val="none"/>
        </w:rPr>
      </w:pPr>
      <w:r>
        <w:rPr>
          <w:rFonts w:hint="eastAsia"/>
          <w:highlight w:val="none"/>
        </w:rPr>
        <w:t>（1）投标文件中开标一览表(报价表)内容与投标文件中相应内容不一致的，以开标一览表(报价表)为准。</w:t>
      </w:r>
    </w:p>
    <w:p>
      <w:pPr>
        <w:pStyle w:val="9"/>
        <w:ind w:firstLine="480"/>
        <w:rPr>
          <w:highlight w:val="none"/>
        </w:rPr>
      </w:pPr>
      <w:r>
        <w:rPr>
          <w:rFonts w:hint="eastAsia"/>
          <w:highlight w:val="none"/>
        </w:rPr>
        <w:t>（2）投标文件的大写金额和小写金额不一致的，以大写金额为准；</w:t>
      </w:r>
    </w:p>
    <w:p>
      <w:pPr>
        <w:pStyle w:val="9"/>
        <w:ind w:firstLine="480"/>
        <w:rPr>
          <w:highlight w:val="none"/>
        </w:rPr>
      </w:pPr>
      <w:r>
        <w:rPr>
          <w:rFonts w:hint="eastAsia"/>
          <w:highlight w:val="none"/>
        </w:rPr>
        <w:t>（3）单价金额小数点或者百分比有明显错位的，以开标一览表的总价为准，并修改单价；</w:t>
      </w:r>
    </w:p>
    <w:p>
      <w:pPr>
        <w:pStyle w:val="9"/>
        <w:ind w:firstLine="480"/>
        <w:rPr>
          <w:highlight w:val="none"/>
        </w:rPr>
      </w:pPr>
      <w:r>
        <w:rPr>
          <w:rFonts w:hint="eastAsia"/>
          <w:highlight w:val="none"/>
        </w:rPr>
        <w:t>（4）总价金额与按单价汇总金额不一致的，以单价金额计算结果为准。</w:t>
      </w:r>
    </w:p>
    <w:p>
      <w:pPr>
        <w:pStyle w:val="9"/>
        <w:ind w:firstLine="480"/>
        <w:rPr>
          <w:highlight w:val="none"/>
        </w:rPr>
      </w:pPr>
      <w:r>
        <w:rPr>
          <w:rFonts w:hint="eastAsia"/>
          <w:highlight w:val="none"/>
        </w:rPr>
        <w:t>按上述修正的顺序和方法调整的投标报价应对投标人具有约束力。如果投标人不接受修正后的价格，其投标将按无效投标处理。</w:t>
      </w:r>
    </w:p>
    <w:p>
      <w:pPr>
        <w:pStyle w:val="6"/>
        <w:rPr>
          <w:highlight w:val="none"/>
        </w:rPr>
      </w:pPr>
      <w:bookmarkStart w:id="164" w:name="_Toc24337"/>
      <w:bookmarkStart w:id="165" w:name="_Toc3952"/>
      <w:r>
        <w:rPr>
          <w:rFonts w:hint="eastAsia"/>
          <w:highlight w:val="none"/>
        </w:rPr>
        <w:t>八．定标</w:t>
      </w:r>
      <w:bookmarkEnd w:id="164"/>
      <w:bookmarkEnd w:id="165"/>
    </w:p>
    <w:p>
      <w:pPr>
        <w:pStyle w:val="9"/>
        <w:ind w:firstLine="480"/>
        <w:rPr>
          <w:highlight w:val="none"/>
        </w:rPr>
      </w:pPr>
      <w:r>
        <w:rPr>
          <w:rFonts w:hint="eastAsia"/>
          <w:highlight w:val="none"/>
        </w:rPr>
        <w:t>8.1评标结果由全体评标委员会成员签字确认。</w:t>
      </w:r>
    </w:p>
    <w:p>
      <w:pPr>
        <w:pStyle w:val="9"/>
        <w:ind w:firstLine="480"/>
        <w:rPr>
          <w:highlight w:val="none"/>
        </w:rPr>
      </w:pPr>
      <w:r>
        <w:rPr>
          <w:rFonts w:hint="eastAsia"/>
          <w:highlight w:val="none"/>
        </w:rPr>
        <w:t>8.2</w:t>
      </w:r>
      <w:r>
        <w:rPr>
          <w:rFonts w:hint="eastAsia"/>
          <w:highlight w:val="none"/>
          <w:lang w:eastAsia="zh-CN"/>
        </w:rPr>
        <w:t>招标人</w:t>
      </w:r>
      <w:r>
        <w:rPr>
          <w:rFonts w:hint="eastAsia"/>
          <w:highlight w:val="none"/>
        </w:rPr>
        <w:t>根据评标报告中推荐的中标候选人排列顺序确定中标人，以复函通知</w:t>
      </w:r>
      <w:r>
        <w:rPr>
          <w:rFonts w:hint="eastAsia"/>
          <w:highlight w:val="none"/>
          <w:lang w:eastAsia="zh-CN"/>
        </w:rPr>
        <w:t>招标代理机构</w:t>
      </w:r>
      <w:r>
        <w:rPr>
          <w:rFonts w:hint="eastAsia"/>
          <w:highlight w:val="none"/>
        </w:rPr>
        <w:t>。</w:t>
      </w:r>
    </w:p>
    <w:p>
      <w:pPr>
        <w:pStyle w:val="10"/>
        <w:ind w:left="1440"/>
        <w:rPr>
          <w:highlight w:val="none"/>
        </w:rPr>
      </w:pPr>
    </w:p>
    <w:p>
      <w:pPr>
        <w:spacing w:line="560" w:lineRule="exact"/>
        <w:jc w:val="center"/>
        <w:rPr>
          <w:rStyle w:val="36"/>
          <w:highlight w:val="none"/>
        </w:rPr>
      </w:pPr>
      <w:r>
        <w:rPr>
          <w:rFonts w:hint="eastAsia" w:hAnsi="宋体" w:cs="宋体"/>
          <w:szCs w:val="24"/>
          <w:highlight w:val="none"/>
        </w:rPr>
        <w:br w:type="page"/>
      </w:r>
      <w:r>
        <w:rPr>
          <w:rStyle w:val="36"/>
          <w:rFonts w:hint="eastAsia"/>
          <w:highlight w:val="none"/>
        </w:rPr>
        <w:t>评标因素及权重分值表</w:t>
      </w:r>
    </w:p>
    <w:bookmarkEnd w:id="118"/>
    <w:bookmarkEnd w:id="139"/>
    <w:bookmarkEnd w:id="140"/>
    <w:bookmarkEnd w:id="141"/>
    <w:bookmarkEnd w:id="142"/>
    <w:bookmarkEnd w:id="143"/>
    <w:bookmarkEnd w:id="144"/>
    <w:bookmarkEnd w:id="145"/>
    <w:tbl>
      <w:tblPr>
        <w:tblStyle w:val="19"/>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
        <w:gridCol w:w="533"/>
        <w:gridCol w:w="7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rPr>
                <w:rFonts w:hint="eastAsia" w:ascii="宋体" w:hAnsi="宋体" w:eastAsia="宋体" w:cs="宋体"/>
                <w:b/>
                <w:bCs/>
                <w:sz w:val="24"/>
                <w:szCs w:val="24"/>
                <w:highlight w:val="none"/>
                <w:lang w:val="en-US" w:eastAsia="zh-CN"/>
              </w:rPr>
            </w:pPr>
            <w:bookmarkStart w:id="166" w:name="_Toc8830"/>
            <w:bookmarkStart w:id="167" w:name="_Toc363474025"/>
            <w:bookmarkStart w:id="168" w:name="_Toc426457698"/>
            <w:bookmarkStart w:id="169" w:name="_Toc28411"/>
            <w:bookmarkStart w:id="170" w:name="_Toc22538"/>
            <w:r>
              <w:rPr>
                <w:rFonts w:hint="eastAsia" w:ascii="宋体" w:hAnsi="宋体" w:eastAsia="宋体" w:cs="宋体"/>
                <w:b/>
                <w:bCs/>
                <w:sz w:val="24"/>
                <w:szCs w:val="24"/>
                <w:highlight w:val="none"/>
              </w:rPr>
              <w:t>评审内容</w:t>
            </w:r>
            <w:r>
              <w:rPr>
                <w:rFonts w:hint="eastAsia" w:hAnsi="宋体" w:cs="宋体"/>
                <w:b/>
                <w:bCs/>
                <w:sz w:val="24"/>
                <w:szCs w:val="24"/>
                <w:highlight w:val="none"/>
                <w:lang w:val="en-US" w:eastAsia="zh-CN"/>
              </w:rPr>
              <w:t>及权值（%）</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rPr>
                <w:rFonts w:hint="eastAsia" w:ascii="宋体" w:hAnsi="宋体" w:eastAsia="宋体" w:cs="宋体"/>
                <w:b/>
                <w:bCs/>
                <w:sz w:val="24"/>
                <w:szCs w:val="24"/>
                <w:highlight w:val="none"/>
                <w:lang w:val="en-US" w:eastAsia="zh-CN"/>
              </w:rPr>
            </w:pPr>
            <w:r>
              <w:rPr>
                <w:rFonts w:hint="eastAsia" w:hAnsi="宋体" w:cs="宋体"/>
                <w:b/>
                <w:bCs/>
                <w:sz w:val="24"/>
                <w:szCs w:val="24"/>
                <w:highlight w:val="none"/>
                <w:lang w:val="en-US" w:eastAsia="zh-CN"/>
              </w:rPr>
              <w:t>分值</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评分依据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1" w:hRule="atLeast"/>
        </w:trPr>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投标报价</w:t>
            </w:r>
            <w:r>
              <w:rPr>
                <w:rFonts w:hint="eastAsia" w:ascii="宋体" w:hAnsi="宋体" w:eastAsia="宋体" w:cs="宋体"/>
                <w:sz w:val="24"/>
                <w:szCs w:val="24"/>
                <w:highlight w:val="none"/>
                <w:lang w:val="en-US" w:eastAsia="zh-CN"/>
              </w:rPr>
              <w:t>（30）</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ascii="宋体" w:hAnsi="宋体" w:eastAsia="宋体" w:cs="宋体"/>
                <w:sz w:val="24"/>
                <w:szCs w:val="24"/>
                <w:highlight w:val="none"/>
                <w:lang w:val="en-US" w:eastAsia="zh-CN"/>
              </w:rPr>
            </w:pPr>
            <w:r>
              <w:rPr>
                <w:rFonts w:hint="eastAsia" w:hAnsi="宋体" w:cs="宋体"/>
                <w:sz w:val="24"/>
                <w:szCs w:val="24"/>
                <w:highlight w:val="none"/>
                <w:lang w:val="en-US" w:eastAsia="zh-CN"/>
              </w:rPr>
              <w:t>30</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采用低价优先法计算，即满足</w:t>
            </w:r>
            <w:r>
              <w:rPr>
                <w:rFonts w:hint="eastAsia" w:ascii="宋体" w:hAnsi="宋体" w:eastAsia="宋体" w:cs="宋体"/>
                <w:sz w:val="24"/>
                <w:szCs w:val="24"/>
                <w:highlight w:val="none"/>
                <w:lang w:val="en-US" w:eastAsia="zh-CN"/>
              </w:rPr>
              <w:t>招标</w:t>
            </w:r>
            <w:r>
              <w:rPr>
                <w:rFonts w:hint="eastAsia" w:ascii="宋体" w:hAnsi="宋体" w:eastAsia="宋体" w:cs="宋体"/>
                <w:sz w:val="24"/>
                <w:szCs w:val="24"/>
                <w:highlight w:val="none"/>
              </w:rPr>
              <w:t>文件要求且报价最低的最终报价为</w:t>
            </w:r>
            <w:r>
              <w:rPr>
                <w:rFonts w:hint="eastAsia" w:ascii="宋体" w:hAnsi="宋体" w:eastAsia="宋体" w:cs="宋体"/>
                <w:sz w:val="24"/>
                <w:szCs w:val="24"/>
                <w:highlight w:val="none"/>
                <w:lang w:val="en-US" w:eastAsia="zh-CN"/>
              </w:rPr>
              <w:t>评标</w:t>
            </w:r>
            <w:r>
              <w:rPr>
                <w:rFonts w:hint="eastAsia" w:ascii="宋体" w:hAnsi="宋体" w:eastAsia="宋体" w:cs="宋体"/>
                <w:sz w:val="24"/>
                <w:szCs w:val="24"/>
                <w:highlight w:val="none"/>
              </w:rPr>
              <w:t>基准价，其价格分为满分。</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报价得分＝（</w:t>
            </w:r>
            <w:r>
              <w:rPr>
                <w:rFonts w:hint="eastAsia" w:ascii="宋体" w:hAnsi="宋体" w:eastAsia="宋体" w:cs="宋体"/>
                <w:sz w:val="24"/>
                <w:szCs w:val="24"/>
                <w:highlight w:val="none"/>
                <w:lang w:val="en-US" w:eastAsia="zh-CN"/>
              </w:rPr>
              <w:t>评标</w:t>
            </w:r>
            <w:r>
              <w:rPr>
                <w:rFonts w:hint="eastAsia" w:ascii="宋体" w:hAnsi="宋体" w:eastAsia="宋体" w:cs="宋体"/>
                <w:sz w:val="24"/>
                <w:szCs w:val="24"/>
                <w:highlight w:val="none"/>
              </w:rPr>
              <w:t>基准价/最终</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报价）×</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注：1.</w:t>
            </w:r>
            <w:r>
              <w:rPr>
                <w:rFonts w:hint="eastAsia" w:ascii="宋体" w:hAnsi="宋体" w:eastAsia="宋体" w:cs="宋体"/>
                <w:sz w:val="24"/>
                <w:szCs w:val="24"/>
                <w:highlight w:val="none"/>
                <w:lang w:val="en-US" w:eastAsia="zh-CN"/>
              </w:rPr>
              <w:t>评标</w:t>
            </w:r>
            <w:r>
              <w:rPr>
                <w:rFonts w:hint="eastAsia" w:ascii="宋体" w:hAnsi="宋体" w:eastAsia="宋体" w:cs="宋体"/>
                <w:sz w:val="24"/>
                <w:szCs w:val="24"/>
                <w:highlight w:val="none"/>
              </w:rPr>
              <w:t>基准价即实质性响应</w:t>
            </w:r>
            <w:r>
              <w:rPr>
                <w:rFonts w:hint="eastAsia" w:ascii="宋体" w:hAnsi="宋体" w:eastAsia="宋体" w:cs="宋体"/>
                <w:sz w:val="24"/>
                <w:szCs w:val="24"/>
                <w:highlight w:val="none"/>
                <w:lang w:val="en-US" w:eastAsia="zh-CN"/>
              </w:rPr>
              <w:t>招标</w:t>
            </w:r>
            <w:r>
              <w:rPr>
                <w:rFonts w:hint="eastAsia" w:ascii="宋体" w:hAnsi="宋体" w:eastAsia="宋体" w:cs="宋体"/>
                <w:sz w:val="24"/>
                <w:szCs w:val="24"/>
                <w:highlight w:val="none"/>
              </w:rPr>
              <w:t>文件要求的供应商的最低</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报价。大于采购预算或一次</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报价的在评审过程中报价按无效</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处理。</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2.因落实政府采购政策进行价格调整的，以调整后的价格计算评标基准价和</w:t>
            </w:r>
            <w:r>
              <w:rPr>
                <w:rFonts w:hint="eastAsia" w:ascii="宋体" w:hAnsi="宋体" w:eastAsia="宋体" w:cs="宋体"/>
                <w:sz w:val="24"/>
                <w:szCs w:val="24"/>
                <w:highlight w:val="none"/>
                <w:lang w:val="en-US" w:eastAsia="zh-CN"/>
              </w:rPr>
              <w:t>评标</w:t>
            </w:r>
            <w:r>
              <w:rPr>
                <w:rFonts w:hint="eastAsia" w:ascii="宋体" w:hAnsi="宋体" w:eastAsia="宋体" w:cs="宋体"/>
                <w:sz w:val="24"/>
                <w:szCs w:val="24"/>
                <w:highlight w:val="none"/>
              </w:rPr>
              <w:t>报价。</w:t>
            </w:r>
          </w:p>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3.经</w:t>
            </w:r>
            <w:r>
              <w:rPr>
                <w:rFonts w:hint="eastAsia" w:ascii="宋体" w:hAnsi="宋体" w:eastAsia="宋体" w:cs="宋体"/>
                <w:sz w:val="24"/>
                <w:szCs w:val="24"/>
                <w:highlight w:val="none"/>
                <w:lang w:val="en-US" w:eastAsia="zh-CN"/>
              </w:rPr>
              <w:t>评审委员会</w:t>
            </w:r>
            <w:r>
              <w:rPr>
                <w:rFonts w:hint="eastAsia" w:ascii="宋体" w:hAnsi="宋体" w:eastAsia="宋体" w:cs="宋体"/>
                <w:sz w:val="24"/>
                <w:szCs w:val="24"/>
                <w:highlight w:val="none"/>
                <w:lang w:eastAsia="zh-CN"/>
              </w:rPr>
              <w:t>认为投标人的报价明显低于其他通过符合性审查投标人的报价吗，有可能影响履约的，应当要求其在评标现场合理的时间内提供书面说明，必要时提供相关证明材料；投标人不能证明其报价合理性的</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评标委员会应当将其作为</w:t>
            </w:r>
            <w:r>
              <w:rPr>
                <w:rFonts w:hint="eastAsia" w:ascii="宋体" w:hAnsi="宋体" w:eastAsia="宋体" w:cs="宋体"/>
                <w:sz w:val="24"/>
                <w:szCs w:val="24"/>
                <w:highlight w:val="none"/>
              </w:rPr>
              <w:t>无效</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trPr>
        <w:tc>
          <w:tcPr>
            <w:tcW w:w="974" w:type="dxa"/>
            <w:vMerge w:val="restart"/>
            <w:tcBorders>
              <w:top w:val="single" w:color="000000" w:sz="4" w:space="0"/>
              <w:left w:val="single" w:color="000000" w:sz="4" w:space="0"/>
              <w:right w:val="single" w:color="000000" w:sz="4" w:space="0"/>
            </w:tcBorders>
            <w:noWrap w:val="0"/>
            <w:vAlign w:val="center"/>
          </w:tcPr>
          <w:p>
            <w:pPr>
              <w:spacing w:line="5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w:t>
            </w:r>
          </w:p>
          <w:p>
            <w:pPr>
              <w:spacing w:line="5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lang w:eastAsia="zh-CN"/>
              </w:rPr>
              <w:t>）</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default" w:hAnsi="宋体" w:cs="宋体"/>
                <w:color w:val="auto"/>
                <w:sz w:val="24"/>
                <w:szCs w:val="24"/>
                <w:highlight w:val="none"/>
                <w:lang w:val="en-US" w:eastAsia="zh-CN"/>
              </w:rPr>
            </w:pPr>
            <w:r>
              <w:rPr>
                <w:rFonts w:hint="eastAsia" w:hAnsi="宋体" w:cs="宋体"/>
                <w:color w:val="auto"/>
                <w:sz w:val="24"/>
                <w:szCs w:val="24"/>
                <w:highlight w:val="none"/>
                <w:lang w:val="en-US" w:eastAsia="zh-CN"/>
              </w:rPr>
              <w:t>8</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总体实施方案：</w:t>
            </w:r>
          </w:p>
          <w:p>
            <w:pPr>
              <w:spacing w:line="360" w:lineRule="auto"/>
              <w:jc w:val="left"/>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针对本项目实施方案、进度计划、供货能力、供货时间、验收方案等方面</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val="en-US" w:eastAsia="zh-CN"/>
              </w:rPr>
              <w:t>1.方案合理、可行性强：[6-8]分</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方案基本合理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可行</w:t>
            </w:r>
            <w:r>
              <w:rPr>
                <w:rFonts w:hint="eastAsia" w:asciiTheme="minorEastAsia" w:hAnsiTheme="minorEastAsia" w:eastAsiaTheme="minorEastAsia"/>
                <w:sz w:val="24"/>
                <w:highlight w:val="none"/>
                <w:lang w:eastAsia="zh-CN"/>
              </w:rPr>
              <w:t>性一般</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分；</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方案合理性和可行性较差：[0-</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974" w:type="dxa"/>
            <w:vMerge w:val="continue"/>
            <w:tcBorders>
              <w:left w:val="single" w:color="000000" w:sz="4" w:space="0"/>
              <w:right w:val="single" w:color="000000" w:sz="4" w:space="0"/>
            </w:tcBorders>
            <w:noWrap w:val="0"/>
            <w:vAlign w:val="center"/>
          </w:tcPr>
          <w:p>
            <w:pPr>
              <w:spacing w:line="500" w:lineRule="exact"/>
              <w:jc w:val="center"/>
              <w:rPr>
                <w:rFonts w:hint="eastAsia" w:ascii="宋体" w:hAnsi="宋体" w:eastAsia="宋体" w:cs="宋体"/>
                <w:color w:val="auto"/>
                <w:sz w:val="24"/>
                <w:szCs w:val="24"/>
                <w:highlight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7</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配送管理制度及管理办法：</w:t>
            </w:r>
          </w:p>
          <w:p>
            <w:pPr>
              <w:spacing w:line="360" w:lineRule="auto"/>
              <w:jc w:val="left"/>
              <w:rPr>
                <w:rFonts w:hint="eastAsia"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制定合理、可行的配送管理制度及管理办法。</w:t>
            </w:r>
          </w:p>
          <w:p>
            <w:pPr>
              <w:spacing w:line="360" w:lineRule="auto"/>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1.相关制度内容完整，描述清晰，且能针对性满足项目需求：[5-7]分；</w:t>
            </w:r>
          </w:p>
          <w:p>
            <w:pPr>
              <w:spacing w:line="360" w:lineRule="auto"/>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2.相关制度内容较为完整，描述较为清晰，且能较好满足项目需求：[3-5)分；</w:t>
            </w:r>
          </w:p>
          <w:p>
            <w:p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3.相关制度内容欠缺，描述不清晰，可行性一般：[0-3)分；</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7" w:hRule="atLeast"/>
        </w:trPr>
        <w:tc>
          <w:tcPr>
            <w:tcW w:w="974" w:type="dxa"/>
            <w:vMerge w:val="continue"/>
            <w:tcBorders>
              <w:left w:val="single" w:color="000000" w:sz="4" w:space="0"/>
              <w:right w:val="single" w:color="000000" w:sz="4" w:space="0"/>
            </w:tcBorders>
            <w:noWrap w:val="0"/>
            <w:vAlign w:val="center"/>
          </w:tcPr>
          <w:p>
            <w:pPr>
              <w:spacing w:line="500" w:lineRule="exact"/>
              <w:jc w:val="center"/>
              <w:rPr>
                <w:rFonts w:hint="eastAsia" w:ascii="宋体" w:hAnsi="宋体" w:eastAsia="宋体" w:cs="宋体"/>
                <w:color w:val="auto"/>
                <w:sz w:val="24"/>
                <w:szCs w:val="24"/>
                <w:highlight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default" w:hAnsi="宋体" w:cs="宋体"/>
                <w:color w:val="auto"/>
                <w:sz w:val="24"/>
                <w:szCs w:val="24"/>
                <w:highlight w:val="none"/>
                <w:lang w:val="en-US" w:eastAsia="zh-CN"/>
              </w:rPr>
            </w:pPr>
            <w:r>
              <w:rPr>
                <w:rFonts w:hint="eastAsia" w:hAnsi="宋体" w:cs="宋体"/>
                <w:color w:val="auto"/>
                <w:sz w:val="24"/>
                <w:szCs w:val="24"/>
                <w:highlight w:val="none"/>
                <w:lang w:val="en-US" w:eastAsia="zh-CN"/>
              </w:rPr>
              <w:t>7</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Theme="minorEastAsia" w:hAnsiTheme="minorEastAsia" w:eastAsiaTheme="minorEastAsia"/>
                <w:b/>
                <w:bCs/>
                <w:sz w:val="24"/>
                <w:highlight w:val="none"/>
                <w:lang w:val="zh-CN"/>
              </w:rPr>
            </w:pPr>
            <w:r>
              <w:rPr>
                <w:rFonts w:hint="eastAsia" w:asciiTheme="minorEastAsia" w:hAnsiTheme="minorEastAsia" w:eastAsiaTheme="minorEastAsia"/>
                <w:b/>
                <w:bCs/>
                <w:sz w:val="24"/>
                <w:highlight w:val="none"/>
                <w:lang w:val="zh-CN"/>
              </w:rPr>
              <w:t>应急预案：</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zh-CN"/>
              </w:rPr>
              <w:t>针对各种突发情况（市场供求变化、天气、车辆故障等）的应急预案，</w:t>
            </w:r>
            <w:r>
              <w:rPr>
                <w:rFonts w:hint="eastAsia" w:asciiTheme="minorEastAsia" w:hAnsiTheme="minorEastAsia" w:eastAsiaTheme="minorEastAsia"/>
                <w:sz w:val="24"/>
                <w:highlight w:val="none"/>
              </w:rPr>
              <w:t>承诺能够在规定时间内物资按期、保质交货，并按照招标人要求将物资运送至指定地点。</w:t>
            </w:r>
          </w:p>
          <w:p>
            <w:pPr>
              <w:numPr>
                <w:ilvl w:val="0"/>
                <w:numId w:val="0"/>
              </w:numPr>
              <w:spacing w:line="360" w:lineRule="auto"/>
              <w:jc w:val="left"/>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val="en-US" w:eastAsia="zh-CN"/>
              </w:rPr>
              <w:t>1.方案合理、可行性强：[5-7]分</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方案基本合理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可行</w:t>
            </w:r>
            <w:r>
              <w:rPr>
                <w:rFonts w:hint="eastAsia" w:asciiTheme="minorEastAsia" w:hAnsiTheme="minorEastAsia" w:eastAsiaTheme="minorEastAsia"/>
                <w:sz w:val="24"/>
                <w:highlight w:val="none"/>
                <w:lang w:eastAsia="zh-CN"/>
              </w:rPr>
              <w:t>性一般</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[3-5)</w:t>
            </w:r>
            <w:r>
              <w:rPr>
                <w:rFonts w:hint="eastAsia" w:asciiTheme="minorEastAsia" w:hAnsiTheme="minorEastAsia" w:eastAsiaTheme="minorEastAsia"/>
                <w:sz w:val="24"/>
                <w:highlight w:val="none"/>
              </w:rPr>
              <w:t>分；</w:t>
            </w:r>
          </w:p>
          <w:p>
            <w:p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方案合理性和可行性较差：</w:t>
            </w:r>
            <w:r>
              <w:rPr>
                <w:rFonts w:hint="eastAsia" w:asciiTheme="minorEastAsia" w:hAnsiTheme="minorEastAsia" w:eastAsiaTheme="minorEastAsia"/>
                <w:sz w:val="24"/>
                <w:highlight w:val="none"/>
                <w:lang w:val="en-US" w:eastAsia="zh-CN"/>
              </w:rPr>
              <w:t>[0-3)</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4" w:hRule="atLeast"/>
        </w:trPr>
        <w:tc>
          <w:tcPr>
            <w:tcW w:w="974" w:type="dxa"/>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技术参数</w:t>
            </w:r>
            <w:r>
              <w:rPr>
                <w:rFonts w:hint="eastAsia" w:asciiTheme="minorEastAsia" w:hAnsiTheme="minorEastAsia" w:eastAsiaTheme="minorEastAsia"/>
                <w:sz w:val="24"/>
                <w:highlight w:val="none"/>
                <w:lang w:val="en-US" w:eastAsia="zh-CN"/>
              </w:rPr>
              <w:t>（16</w:t>
            </w:r>
            <w:r>
              <w:rPr>
                <w:rFonts w:hint="eastAsia" w:asciiTheme="minorEastAsia" w:hAnsiTheme="minorEastAsia" w:eastAsiaTheme="minorEastAsia"/>
                <w:sz w:val="24"/>
                <w:highlight w:val="none"/>
              </w:rPr>
              <w:t>）</w:t>
            </w:r>
          </w:p>
          <w:p>
            <w:pPr>
              <w:spacing w:line="500" w:lineRule="exact"/>
              <w:jc w:val="center"/>
              <w:rPr>
                <w:rFonts w:hint="eastAsia" w:ascii="宋体" w:hAnsi="宋体" w:eastAsia="宋体" w:cs="宋体"/>
                <w:color w:val="auto"/>
                <w:sz w:val="24"/>
                <w:szCs w:val="24"/>
                <w:highlight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8</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cs="Times New Roman" w:asciiTheme="minorEastAsia" w:hAnsiTheme="minorEastAsia" w:eastAsiaTheme="minorEastAsia"/>
                <w:b/>
                <w:bCs/>
                <w:sz w:val="24"/>
                <w:highlight w:val="none"/>
                <w:lang w:eastAsia="zh-CN"/>
              </w:rPr>
            </w:pPr>
            <w:r>
              <w:rPr>
                <w:rFonts w:hint="eastAsia" w:cs="Times New Roman" w:asciiTheme="minorEastAsia" w:hAnsiTheme="minorEastAsia" w:eastAsiaTheme="minorEastAsia"/>
                <w:b/>
                <w:bCs/>
                <w:sz w:val="24"/>
                <w:highlight w:val="none"/>
                <w:lang w:eastAsia="zh-CN"/>
              </w:rPr>
              <w:t>产品要求：</w:t>
            </w:r>
          </w:p>
          <w:p>
            <w:pPr>
              <w:numPr>
                <w:ilvl w:val="0"/>
                <w:numId w:val="0"/>
              </w:numPr>
              <w:spacing w:line="360" w:lineRule="auto"/>
              <w:jc w:val="left"/>
              <w:rPr>
                <w:rFonts w:hint="eastAsia" w:cs="Times New Roman" w:asciiTheme="minorEastAsia" w:hAnsiTheme="minorEastAsia" w:eastAsiaTheme="minorEastAsia"/>
                <w:sz w:val="24"/>
                <w:highlight w:val="none"/>
                <w:lang w:val="zh-CN"/>
              </w:rPr>
            </w:pPr>
            <w:r>
              <w:rPr>
                <w:rFonts w:hint="eastAsia" w:cs="Times New Roman" w:asciiTheme="minorEastAsia" w:hAnsiTheme="minorEastAsia" w:eastAsiaTheme="minorEastAsia"/>
                <w:sz w:val="24"/>
                <w:highlight w:val="none"/>
                <w:lang w:val="zh-CN"/>
              </w:rPr>
              <w:t>产品规格符合要求，数量准确，且能提供所投产品（包含但不限于品种、等级、加工工艺、水分、气味等等）对应的质量指标、营养成分，并提供相应指标的证明材料。</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1.</w:t>
            </w:r>
            <w:r>
              <w:rPr>
                <w:rFonts w:hint="eastAsia" w:cs="Times New Roman" w:asciiTheme="minorEastAsia" w:hAnsiTheme="minorEastAsia" w:eastAsiaTheme="minorEastAsia"/>
                <w:sz w:val="24"/>
                <w:highlight w:val="none"/>
                <w:lang w:val="zh-CN"/>
              </w:rPr>
              <w:t>提供</w:t>
            </w:r>
            <w:r>
              <w:rPr>
                <w:rFonts w:hint="eastAsia" w:cs="Times New Roman" w:asciiTheme="minorEastAsia" w:hAnsiTheme="minorEastAsia" w:eastAsiaTheme="minorEastAsia"/>
                <w:sz w:val="24"/>
                <w:highlight w:val="none"/>
                <w:lang w:val="zh-CN" w:eastAsia="zh-CN"/>
              </w:rPr>
              <w:t>材料</w:t>
            </w:r>
            <w:r>
              <w:rPr>
                <w:rFonts w:hint="eastAsia" w:cs="Times New Roman" w:asciiTheme="minorEastAsia" w:hAnsiTheme="minorEastAsia" w:eastAsiaTheme="minorEastAsia"/>
                <w:sz w:val="24"/>
                <w:highlight w:val="none"/>
                <w:lang w:val="zh-CN"/>
              </w:rPr>
              <w:t>完整，</w:t>
            </w:r>
            <w:r>
              <w:rPr>
                <w:rFonts w:hint="eastAsia" w:cs="Times New Roman" w:asciiTheme="minorEastAsia" w:hAnsiTheme="minorEastAsia" w:eastAsiaTheme="minorEastAsia"/>
                <w:sz w:val="24"/>
                <w:highlight w:val="none"/>
                <w:lang w:val="en-US" w:eastAsia="zh-CN"/>
              </w:rPr>
              <w:t>且能针对性满足项目需求：</w:t>
            </w:r>
            <w:r>
              <w:rPr>
                <w:rFonts w:hint="eastAsia" w:asciiTheme="minorEastAsia" w:hAnsiTheme="minorEastAsia" w:eastAsiaTheme="minorEastAsia"/>
                <w:sz w:val="24"/>
                <w:highlight w:val="none"/>
                <w:lang w:val="en-US" w:eastAsia="zh-CN"/>
              </w:rPr>
              <w:t>[6-8]</w:t>
            </w:r>
            <w:r>
              <w:rPr>
                <w:rFonts w:hint="eastAsia" w:cs="Times New Roman" w:asciiTheme="minorEastAsia" w:hAnsiTheme="minorEastAsia" w:eastAsiaTheme="minorEastAsia"/>
                <w:sz w:val="24"/>
                <w:highlight w:val="none"/>
                <w:lang w:val="en-US" w:eastAsia="zh-CN"/>
              </w:rPr>
              <w:t>分；</w:t>
            </w:r>
          </w:p>
          <w:p>
            <w:pPr>
              <w:numPr>
                <w:ilvl w:val="0"/>
                <w:numId w:val="0"/>
              </w:numPr>
              <w:spacing w:line="360" w:lineRule="auto"/>
              <w:jc w:val="left"/>
              <w:rPr>
                <w:rFonts w:hint="eastAsia"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2.</w:t>
            </w:r>
            <w:r>
              <w:rPr>
                <w:rFonts w:hint="eastAsia" w:cs="Times New Roman" w:asciiTheme="minorEastAsia" w:hAnsiTheme="minorEastAsia" w:eastAsiaTheme="minorEastAsia"/>
                <w:sz w:val="24"/>
                <w:highlight w:val="none"/>
                <w:lang w:val="zh-CN"/>
              </w:rPr>
              <w:t>提供</w:t>
            </w:r>
            <w:r>
              <w:rPr>
                <w:rFonts w:hint="eastAsia" w:cs="Times New Roman" w:asciiTheme="minorEastAsia" w:hAnsiTheme="minorEastAsia" w:eastAsiaTheme="minorEastAsia"/>
                <w:sz w:val="24"/>
                <w:highlight w:val="none"/>
                <w:lang w:val="zh-CN" w:eastAsia="zh-CN"/>
              </w:rPr>
              <w:t>材料较为</w:t>
            </w:r>
            <w:r>
              <w:rPr>
                <w:rFonts w:hint="eastAsia" w:cs="Times New Roman" w:asciiTheme="minorEastAsia" w:hAnsiTheme="minorEastAsia" w:eastAsiaTheme="minorEastAsia"/>
                <w:sz w:val="24"/>
                <w:highlight w:val="none"/>
                <w:lang w:val="zh-CN"/>
              </w:rPr>
              <w:t>完整，</w:t>
            </w:r>
            <w:r>
              <w:rPr>
                <w:rFonts w:hint="eastAsia" w:asciiTheme="minorEastAsia" w:hAnsiTheme="minorEastAsia" w:eastAsiaTheme="minorEastAsia"/>
                <w:sz w:val="24"/>
                <w:highlight w:val="none"/>
                <w:lang w:val="en-US" w:eastAsia="zh-CN"/>
              </w:rPr>
              <w:t>且能较好满足项目需求：</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6）分；</w:t>
            </w:r>
          </w:p>
          <w:p>
            <w:pPr>
              <w:numPr>
                <w:ilvl w:val="0"/>
                <w:numId w:val="0"/>
              </w:numPr>
              <w:spacing w:line="360" w:lineRule="auto"/>
              <w:jc w:val="left"/>
              <w:rPr>
                <w:rFonts w:hint="default"/>
                <w:highlight w:val="none"/>
                <w:lang w:val="en-US" w:eastAsia="zh-CN"/>
              </w:rPr>
            </w:pPr>
            <w:r>
              <w:rPr>
                <w:rFonts w:hint="eastAsia" w:asciiTheme="minorEastAsia" w:hAnsiTheme="minorEastAsia" w:eastAsiaTheme="minorEastAsia"/>
                <w:sz w:val="24"/>
                <w:highlight w:val="none"/>
                <w:lang w:val="en-US" w:eastAsia="zh-CN"/>
              </w:rPr>
              <w:t>3.</w:t>
            </w:r>
            <w:r>
              <w:rPr>
                <w:rFonts w:hint="eastAsia" w:cs="Times New Roman" w:asciiTheme="minorEastAsia" w:hAnsiTheme="minorEastAsia" w:eastAsiaTheme="minorEastAsia"/>
                <w:sz w:val="24"/>
                <w:highlight w:val="none"/>
                <w:lang w:val="zh-CN"/>
              </w:rPr>
              <w:t>提供</w:t>
            </w:r>
            <w:r>
              <w:rPr>
                <w:rFonts w:hint="eastAsia" w:cs="Times New Roman" w:asciiTheme="minorEastAsia" w:hAnsiTheme="minorEastAsia" w:eastAsiaTheme="minorEastAsia"/>
                <w:sz w:val="24"/>
                <w:highlight w:val="none"/>
                <w:lang w:val="zh-CN" w:eastAsia="zh-CN"/>
              </w:rPr>
              <w:t>材料</w:t>
            </w:r>
            <w:r>
              <w:rPr>
                <w:rFonts w:hint="eastAsia" w:asciiTheme="minorEastAsia" w:hAnsiTheme="minorEastAsia" w:eastAsiaTheme="minorEastAsia"/>
                <w:sz w:val="24"/>
                <w:highlight w:val="none"/>
                <w:lang w:val="en-US" w:eastAsia="zh-CN"/>
              </w:rPr>
              <w:t>内容欠缺，描述不清晰：</w:t>
            </w:r>
            <w:r>
              <w:rPr>
                <w:rFonts w:hint="eastAsia" w:asciiTheme="minorEastAsia" w:hAnsiTheme="minorEastAsia" w:eastAsiaTheme="minorEastAsia"/>
                <w:sz w:val="24"/>
                <w:highlight w:val="none"/>
              </w:rPr>
              <w:t>[0-</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分；</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974" w:type="dxa"/>
            <w:vMerge w:val="continue"/>
            <w:tcBorders>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eastAsia="宋体" w:cs="宋体"/>
                <w:color w:val="auto"/>
                <w:sz w:val="24"/>
                <w:szCs w:val="24"/>
                <w:highlight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8</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cs="Times New Roman" w:asciiTheme="minorEastAsia" w:hAnsiTheme="minorEastAsia" w:eastAsiaTheme="minorEastAsia"/>
                <w:b/>
                <w:bCs/>
                <w:sz w:val="24"/>
                <w:highlight w:val="none"/>
                <w:lang w:val="en-US" w:eastAsia="zh-CN"/>
              </w:rPr>
            </w:pPr>
            <w:r>
              <w:rPr>
                <w:rFonts w:hint="eastAsia" w:cs="Times New Roman" w:asciiTheme="minorEastAsia" w:hAnsiTheme="minorEastAsia" w:eastAsiaTheme="minorEastAsia"/>
                <w:b/>
                <w:bCs/>
                <w:sz w:val="24"/>
                <w:highlight w:val="none"/>
              </w:rPr>
              <w:t>配送服务</w:t>
            </w:r>
            <w:r>
              <w:rPr>
                <w:rFonts w:hint="eastAsia" w:cs="Times New Roman" w:asciiTheme="minorEastAsia" w:hAnsiTheme="minorEastAsia" w:eastAsiaTheme="minorEastAsia"/>
                <w:b/>
                <w:bCs/>
                <w:sz w:val="24"/>
                <w:highlight w:val="none"/>
                <w:lang w:val="en-US" w:eastAsia="zh-CN"/>
              </w:rPr>
              <w:t>:</w:t>
            </w:r>
          </w:p>
          <w:p>
            <w:pPr>
              <w:spacing w:line="360" w:lineRule="auto"/>
              <w:jc w:val="left"/>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投标人针对本项目有具体的供货组织安排，详细的人员、财力调配、</w:t>
            </w:r>
            <w:r>
              <w:rPr>
                <w:rFonts w:hint="eastAsia" w:ascii="宋体" w:hAnsi="宋体" w:eastAsia="宋体" w:cs="宋体"/>
                <w:color w:val="auto"/>
                <w:sz w:val="24"/>
                <w:szCs w:val="24"/>
                <w:highlight w:val="none"/>
              </w:rPr>
              <w:t>运输</w:t>
            </w:r>
            <w:r>
              <w:rPr>
                <w:rFonts w:hint="eastAsia" w:ascii="宋体" w:hAnsi="宋体" w:eastAsia="宋体" w:cs="宋体"/>
                <w:color w:val="auto"/>
                <w:sz w:val="24"/>
                <w:szCs w:val="24"/>
                <w:highlight w:val="none"/>
                <w:lang w:val="en-US" w:eastAsia="zh-CN"/>
              </w:rPr>
              <w:t>车辆配送方案</w:t>
            </w:r>
            <w:r>
              <w:rPr>
                <w:rFonts w:hint="eastAsia" w:asciiTheme="minorEastAsia" w:hAnsiTheme="minorEastAsia" w:eastAsiaTheme="minorEastAsia"/>
                <w:sz w:val="24"/>
                <w:highlight w:val="none"/>
              </w:rPr>
              <w:t>、派送措施等</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val="en-US" w:eastAsia="zh-CN"/>
              </w:rPr>
              <w:t>1.方案及措施合理、可行性强：[6-8]分</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2.方案及措施</w:t>
            </w:r>
            <w:r>
              <w:rPr>
                <w:rFonts w:hint="eastAsia" w:asciiTheme="minorEastAsia" w:hAnsiTheme="minorEastAsia" w:eastAsiaTheme="minorEastAsia"/>
                <w:sz w:val="24"/>
                <w:highlight w:val="none"/>
              </w:rPr>
              <w:t>基本合理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可行</w:t>
            </w:r>
            <w:r>
              <w:rPr>
                <w:rFonts w:hint="eastAsia" w:asciiTheme="minorEastAsia" w:hAnsiTheme="minorEastAsia" w:eastAsiaTheme="minorEastAsia"/>
                <w:sz w:val="24"/>
                <w:highlight w:val="none"/>
                <w:lang w:eastAsia="zh-CN"/>
              </w:rPr>
              <w:t>性一般</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分；</w:t>
            </w:r>
          </w:p>
          <w:p>
            <w:pPr>
              <w:spacing w:line="360" w:lineRule="auto"/>
              <w:jc w:val="left"/>
              <w:rPr>
                <w:rFonts w:hint="eastAsia" w:ascii="宋体" w:hAnsi="宋体" w:eastAsia="宋体" w:cs="宋体"/>
                <w:color w:val="auto"/>
                <w:sz w:val="24"/>
                <w:szCs w:val="24"/>
                <w:highlight w:val="none"/>
                <w:lang w:val="en-US" w:eastAsia="zh-CN"/>
              </w:rPr>
            </w:pPr>
            <w:r>
              <w:rPr>
                <w:rFonts w:hint="eastAsia" w:asciiTheme="minorEastAsia" w:hAnsiTheme="minorEastAsia" w:eastAsiaTheme="minorEastAsia"/>
                <w:sz w:val="24"/>
                <w:highlight w:val="none"/>
                <w:lang w:val="en-US" w:eastAsia="zh-CN"/>
              </w:rPr>
              <w:t>3.方案及措施</w:t>
            </w:r>
            <w:r>
              <w:rPr>
                <w:rFonts w:hint="eastAsia" w:asciiTheme="minorEastAsia" w:hAnsiTheme="minorEastAsia" w:eastAsiaTheme="minorEastAsia"/>
                <w:sz w:val="24"/>
                <w:highlight w:val="none"/>
              </w:rPr>
              <w:t>合理性和可行性较差：[0-</w:t>
            </w: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74" w:type="dxa"/>
            <w:tcBorders>
              <w:top w:val="single" w:color="000000" w:sz="4" w:space="0"/>
              <w:left w:val="single" w:color="000000" w:sz="4" w:space="0"/>
              <w:right w:val="single" w:color="000000" w:sz="4" w:space="0"/>
            </w:tcBorders>
            <w:noWrap w:val="0"/>
            <w:vAlign w:val="center"/>
          </w:tcPr>
          <w:p>
            <w:pPr>
              <w:pStyle w:val="12"/>
              <w:keepNext w:val="0"/>
              <w:keepLines w:val="0"/>
              <w:pageBreakBefore w:val="0"/>
              <w:widowControl w:val="0"/>
              <w:tabs>
                <w:tab w:val="left" w:pos="600"/>
              </w:tabs>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产品质量保证</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pageBreakBefore w:val="0"/>
              <w:widowControl w:val="0"/>
              <w:tabs>
                <w:tab w:val="left" w:pos="600"/>
              </w:tabs>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7</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cs="Times New Roman" w:asciiTheme="minorEastAsia" w:hAnsiTheme="minorEastAsia" w:eastAsiaTheme="minorEastAsia"/>
                <w:b/>
                <w:bCs/>
                <w:sz w:val="24"/>
                <w:highlight w:val="none"/>
              </w:rPr>
            </w:pPr>
            <w:r>
              <w:rPr>
                <w:rFonts w:hint="eastAsia" w:cs="Times New Roman" w:asciiTheme="minorEastAsia" w:hAnsiTheme="minorEastAsia" w:eastAsiaTheme="minorEastAsia"/>
                <w:b/>
                <w:bCs/>
                <w:sz w:val="24"/>
                <w:highlight w:val="none"/>
              </w:rPr>
              <w:t>质</w:t>
            </w:r>
            <w:r>
              <w:rPr>
                <w:rFonts w:hint="eastAsia" w:cs="Times New Roman" w:asciiTheme="minorEastAsia" w:hAnsiTheme="minorEastAsia" w:eastAsiaTheme="minorEastAsia"/>
                <w:b/>
                <w:bCs/>
                <w:sz w:val="24"/>
                <w:highlight w:val="none"/>
                <w:lang w:eastAsia="zh-CN"/>
              </w:rPr>
              <w:t>量</w:t>
            </w:r>
            <w:r>
              <w:rPr>
                <w:rFonts w:hint="eastAsia" w:cs="Times New Roman" w:asciiTheme="minorEastAsia" w:hAnsiTheme="minorEastAsia" w:eastAsiaTheme="minorEastAsia"/>
                <w:b/>
                <w:bCs/>
                <w:sz w:val="24"/>
                <w:highlight w:val="none"/>
              </w:rPr>
              <w:t>保证</w:t>
            </w:r>
            <w:r>
              <w:rPr>
                <w:rFonts w:hint="eastAsia" w:cs="Times New Roman" w:asciiTheme="minorEastAsia" w:hAnsiTheme="minorEastAsia" w:eastAsiaTheme="minorEastAsia"/>
                <w:b/>
                <w:bCs/>
                <w:sz w:val="24"/>
                <w:highlight w:val="none"/>
                <w:lang w:eastAsia="zh-CN"/>
              </w:rPr>
              <w:t>方案及措施</w:t>
            </w:r>
            <w:r>
              <w:rPr>
                <w:rFonts w:hint="eastAsia" w:cs="Times New Roman" w:asciiTheme="minorEastAsia" w:hAnsiTheme="minorEastAsia" w:eastAsiaTheme="minorEastAsia"/>
                <w:b/>
                <w:bCs/>
                <w:sz w:val="24"/>
                <w:highlight w:val="none"/>
              </w:rPr>
              <w:t>：</w:t>
            </w:r>
          </w:p>
          <w:p>
            <w:pPr>
              <w:spacing w:line="360" w:lineRule="auto"/>
              <w:jc w:val="left"/>
              <w:rPr>
                <w:rFonts w:hint="eastAsia" w:cs="Times New Roman" w:asciiTheme="minorEastAsia" w:hAnsiTheme="minorEastAsia" w:eastAsiaTheme="minorEastAsia"/>
                <w:sz w:val="24"/>
                <w:highlight w:val="none"/>
                <w:lang w:eastAsia="zh-CN"/>
              </w:rPr>
            </w:pPr>
            <w:r>
              <w:rPr>
                <w:rFonts w:hint="eastAsia" w:cs="Times New Roman" w:asciiTheme="minorEastAsia" w:hAnsiTheme="minorEastAsia" w:eastAsiaTheme="minorEastAsia"/>
                <w:sz w:val="24"/>
                <w:highlight w:val="none"/>
              </w:rPr>
              <w:t>所投产品货源渠道</w:t>
            </w:r>
            <w:r>
              <w:rPr>
                <w:rFonts w:hint="eastAsia" w:cs="Times New Roman" w:asciiTheme="minorEastAsia" w:hAnsiTheme="minorEastAsia" w:eastAsiaTheme="minorEastAsia"/>
                <w:sz w:val="24"/>
                <w:highlight w:val="none"/>
                <w:lang w:eastAsia="zh-CN"/>
              </w:rPr>
              <w:t>正规</w:t>
            </w:r>
            <w:r>
              <w:rPr>
                <w:rFonts w:hint="eastAsia" w:cs="Times New Roman" w:asciiTheme="minorEastAsia" w:hAnsiTheme="minorEastAsia" w:eastAsiaTheme="minorEastAsia"/>
                <w:sz w:val="24"/>
                <w:highlight w:val="none"/>
              </w:rPr>
              <w:t>，质量符合国家质量标准和食品卫生安全要求,检验手续合法有效</w:t>
            </w:r>
            <w:r>
              <w:rPr>
                <w:rFonts w:hint="eastAsia" w:cs="Times New Roman"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val="en-US" w:eastAsia="zh-CN"/>
              </w:rPr>
              <w:t>1.方案及措施合理、可行性强：[5-7]分</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2.方案及措施</w:t>
            </w:r>
            <w:r>
              <w:rPr>
                <w:rFonts w:hint="eastAsia" w:asciiTheme="minorEastAsia" w:hAnsiTheme="minorEastAsia" w:eastAsiaTheme="minorEastAsia"/>
                <w:sz w:val="24"/>
                <w:highlight w:val="none"/>
              </w:rPr>
              <w:t>基本合理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可行</w:t>
            </w:r>
            <w:r>
              <w:rPr>
                <w:rFonts w:hint="eastAsia" w:asciiTheme="minorEastAsia" w:hAnsiTheme="minorEastAsia" w:eastAsiaTheme="minorEastAsia"/>
                <w:sz w:val="24"/>
                <w:highlight w:val="none"/>
                <w:lang w:eastAsia="zh-CN"/>
              </w:rPr>
              <w:t>性一般</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[3-5)</w:t>
            </w:r>
            <w:r>
              <w:rPr>
                <w:rFonts w:hint="eastAsia" w:asciiTheme="minorEastAsia" w:hAnsiTheme="minorEastAsia" w:eastAsiaTheme="minorEastAsia"/>
                <w:sz w:val="24"/>
                <w:highlight w:val="none"/>
              </w:rPr>
              <w:t>分；</w:t>
            </w:r>
          </w:p>
          <w:p>
            <w:pPr>
              <w:pStyle w:val="2"/>
              <w:rPr>
                <w:rFonts w:hint="default"/>
                <w:highlight w:val="none"/>
                <w:lang w:val="en-US" w:eastAsia="zh-CN"/>
              </w:rPr>
            </w:pPr>
            <w:r>
              <w:rPr>
                <w:rFonts w:hint="eastAsia" w:asciiTheme="minorEastAsia" w:hAnsiTheme="minorEastAsia" w:eastAsiaTheme="minorEastAsia"/>
                <w:sz w:val="24"/>
                <w:highlight w:val="none"/>
                <w:lang w:val="en-US" w:eastAsia="zh-CN"/>
              </w:rPr>
              <w:t>3.方案及措施</w:t>
            </w:r>
            <w:r>
              <w:rPr>
                <w:rFonts w:hint="eastAsia" w:asciiTheme="minorEastAsia" w:hAnsiTheme="minorEastAsia" w:eastAsiaTheme="minorEastAsia"/>
                <w:sz w:val="24"/>
                <w:highlight w:val="none"/>
              </w:rPr>
              <w:t>合理性和可行性较差：</w:t>
            </w:r>
            <w:r>
              <w:rPr>
                <w:rFonts w:hint="eastAsia" w:asciiTheme="minorEastAsia" w:hAnsiTheme="minorEastAsia" w:eastAsiaTheme="minorEastAsia"/>
                <w:sz w:val="24"/>
                <w:highlight w:val="none"/>
                <w:lang w:val="en-US" w:eastAsia="zh-CN"/>
              </w:rPr>
              <w:t>[0-3)</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6" w:hRule="atLeast"/>
        </w:trPr>
        <w:tc>
          <w:tcPr>
            <w:tcW w:w="974" w:type="dxa"/>
            <w:tcBorders>
              <w:left w:val="single" w:color="000000" w:sz="4" w:space="0"/>
              <w:right w:val="single" w:color="000000" w:sz="4" w:space="0"/>
            </w:tcBorders>
            <w:noWrap w:val="0"/>
            <w:vAlign w:val="center"/>
          </w:tcPr>
          <w:p>
            <w:pPr>
              <w:spacing w:line="360" w:lineRule="auto"/>
              <w:jc w:val="center"/>
              <w:rPr>
                <w:rFonts w:hint="eastAsia" w:asciiTheme="minorEastAsia" w:hAnsiTheme="minorEastAsia" w:eastAsiaTheme="minorEastAsia"/>
                <w:sz w:val="24"/>
                <w:szCs w:val="22"/>
                <w:highlight w:val="none"/>
                <w:lang w:val="en-US" w:eastAsia="zh-CN"/>
              </w:rPr>
            </w:pPr>
            <w:r>
              <w:rPr>
                <w:rFonts w:hint="eastAsia" w:asciiTheme="minorEastAsia" w:hAnsiTheme="minorEastAsia" w:eastAsiaTheme="minorEastAsia"/>
                <w:sz w:val="24"/>
                <w:szCs w:val="22"/>
                <w:highlight w:val="none"/>
              </w:rPr>
              <w:t>售后服务方案</w:t>
            </w:r>
            <w:r>
              <w:rPr>
                <w:rFonts w:hint="eastAsia" w:asciiTheme="minorEastAsia" w:hAnsiTheme="minorEastAsia" w:eastAsiaTheme="minorEastAsia"/>
                <w:sz w:val="24"/>
                <w:szCs w:val="22"/>
                <w:highlight w:val="none"/>
                <w:lang w:val="en-US" w:eastAsia="zh-CN"/>
              </w:rPr>
              <w:t>（10）</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heme="minorEastAsia" w:hAnsiTheme="minorEastAsia" w:eastAsiaTheme="minorEastAsia"/>
                <w:sz w:val="24"/>
                <w:szCs w:val="22"/>
                <w:highlight w:val="none"/>
                <w:lang w:val="en-US" w:eastAsia="zh-CN"/>
              </w:rPr>
            </w:pPr>
            <w:r>
              <w:rPr>
                <w:rFonts w:hint="eastAsia" w:asciiTheme="minorEastAsia" w:hAnsiTheme="minorEastAsia" w:eastAsiaTheme="minorEastAsia"/>
                <w:sz w:val="24"/>
                <w:szCs w:val="22"/>
                <w:highlight w:val="none"/>
                <w:lang w:val="en-US" w:eastAsia="zh-CN"/>
              </w:rPr>
              <w:t>10</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b/>
                <w:bCs/>
                <w:highlight w:val="none"/>
                <w:lang w:eastAsia="zh-CN"/>
              </w:rPr>
            </w:pPr>
            <w:r>
              <w:rPr>
                <w:rFonts w:hint="eastAsia"/>
                <w:b/>
                <w:bCs/>
                <w:highlight w:val="none"/>
              </w:rPr>
              <w:t>售后服务方案</w:t>
            </w:r>
            <w:r>
              <w:rPr>
                <w:rFonts w:hint="eastAsia"/>
                <w:b/>
                <w:bCs/>
                <w:highlight w:val="none"/>
                <w:lang w:eastAsia="zh-CN"/>
              </w:rPr>
              <w:t>：</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设有专业的技术服务队伍、有效保障本地化技术服务措施，对可能出现的各种售后突发情况有明确合理的对应方案。</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1.方案合理、详细、可行性强：</w:t>
            </w:r>
            <w:r>
              <w:rPr>
                <w:rFonts w:hint="eastAsia" w:asciiTheme="minorEastAsia" w:hAnsiTheme="minorEastAsia" w:eastAsiaTheme="minorEastAsia"/>
                <w:sz w:val="24"/>
                <w:highlight w:val="none"/>
                <w:lang w:val="en-US" w:eastAsia="zh-CN"/>
              </w:rPr>
              <w:t>[7-10]分</w:t>
            </w:r>
            <w:r>
              <w:rPr>
                <w:rFonts w:hint="eastAsia" w:asciiTheme="minorEastAsia" w:hAnsiTheme="minorEastAsia" w:eastAsiaTheme="minorEastAsia"/>
                <w:sz w:val="24"/>
                <w:highlight w:val="none"/>
                <w:lang w:eastAsia="zh-CN"/>
              </w:rPr>
              <w:t>；</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2.方案基本合理、可行性一般：</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7）</w:t>
            </w:r>
            <w:r>
              <w:rPr>
                <w:rFonts w:hint="eastAsia" w:asciiTheme="minorEastAsia" w:hAnsiTheme="minorEastAsia" w:eastAsiaTheme="minorEastAsia"/>
                <w:sz w:val="24"/>
                <w:highlight w:val="none"/>
              </w:rPr>
              <w:t>分；</w:t>
            </w:r>
          </w:p>
          <w:p>
            <w:pPr>
              <w:spacing w:line="360" w:lineRule="auto"/>
              <w:jc w:val="left"/>
              <w:rPr>
                <w:rFonts w:hint="eastAsia"/>
                <w:highlight w:val="none"/>
              </w:rPr>
            </w:pP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方案合理性和可行性较差：[0-</w:t>
            </w: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rPr>
              <w:t>）分</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974" w:type="dxa"/>
            <w:vMerge w:val="restart"/>
            <w:tcBorders>
              <w:left w:val="single" w:color="000000" w:sz="4" w:space="0"/>
              <w:right w:val="single" w:color="000000" w:sz="4" w:space="0"/>
            </w:tcBorders>
            <w:noWrap w:val="0"/>
            <w:vAlign w:val="center"/>
          </w:tcPr>
          <w:p>
            <w:pPr>
              <w:spacing w:line="360" w:lineRule="auto"/>
              <w:jc w:val="center"/>
              <w:rPr>
                <w:rFonts w:hint="eastAsia" w:asciiTheme="minorEastAsia" w:hAnsiTheme="minorEastAsia" w:eastAsiaTheme="minorEastAsia"/>
                <w:sz w:val="24"/>
                <w:szCs w:val="22"/>
                <w:highlight w:val="none"/>
              </w:rPr>
            </w:pPr>
            <w:r>
              <w:rPr>
                <w:rFonts w:hint="eastAsia" w:asciiTheme="minorEastAsia" w:hAnsiTheme="minorEastAsia" w:eastAsiaTheme="minorEastAsia"/>
                <w:sz w:val="24"/>
                <w:szCs w:val="22"/>
                <w:highlight w:val="none"/>
                <w:lang w:val="en-US" w:eastAsia="zh-CN"/>
              </w:rPr>
              <w:t>企业综合实力（5）</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3</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auto"/>
              <w:jc w:val="left"/>
              <w:rPr>
                <w:rFonts w:hint="default" w:cs="Times New Roman" w:asciiTheme="minorEastAsia" w:hAnsiTheme="minorEastAsia" w:eastAsiaTheme="minorEastAsia"/>
                <w:b/>
                <w:bCs/>
                <w:sz w:val="24"/>
                <w:highlight w:val="none"/>
                <w:lang w:val="en-US" w:eastAsia="zh-CN"/>
              </w:rPr>
            </w:pPr>
            <w:r>
              <w:rPr>
                <w:rFonts w:hint="eastAsia" w:cs="Times New Roman" w:asciiTheme="minorEastAsia" w:hAnsiTheme="minorEastAsia" w:eastAsiaTheme="minorEastAsia"/>
                <w:b/>
                <w:bCs/>
                <w:sz w:val="24"/>
                <w:highlight w:val="none"/>
                <w:lang w:val="en-US" w:eastAsia="zh-CN"/>
              </w:rPr>
              <w:t>企业内部管理制度：</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1.制度内容完整，可行性强，得[2-3]分；</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2.制度内容较为完整，可行性一般，得[0-2)分。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974" w:type="dxa"/>
            <w:vMerge w:val="continue"/>
            <w:tcBorders>
              <w:left w:val="single" w:color="000000" w:sz="4" w:space="0"/>
              <w:right w:val="single" w:color="000000" w:sz="4" w:space="0"/>
            </w:tcBorders>
            <w:noWrap w:val="0"/>
            <w:vAlign w:val="center"/>
          </w:tcPr>
          <w:p>
            <w:pPr>
              <w:spacing w:line="360" w:lineRule="auto"/>
              <w:jc w:val="center"/>
              <w:rPr>
                <w:rFonts w:hint="eastAsia" w:asciiTheme="minorEastAsia" w:hAnsiTheme="minorEastAsia" w:eastAsiaTheme="minorEastAsia"/>
                <w:sz w:val="24"/>
                <w:szCs w:val="22"/>
                <w:highlight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auto"/>
              <w:jc w:val="left"/>
              <w:rPr>
                <w:rFonts w:hint="default"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2</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auto"/>
              <w:jc w:val="left"/>
              <w:rPr>
                <w:rFonts w:hint="eastAsia" w:cs="Times New Roman" w:asciiTheme="minorEastAsia" w:hAnsiTheme="minorEastAsia" w:eastAsiaTheme="minorEastAsia"/>
                <w:b/>
                <w:bCs/>
                <w:sz w:val="24"/>
                <w:highlight w:val="none"/>
                <w:lang w:val="en-US" w:eastAsia="zh-CN"/>
              </w:rPr>
            </w:pPr>
            <w:r>
              <w:rPr>
                <w:rFonts w:hint="eastAsia" w:cs="Times New Roman" w:asciiTheme="minorEastAsia" w:hAnsiTheme="minorEastAsia" w:eastAsiaTheme="minorEastAsia"/>
                <w:b/>
                <w:bCs/>
                <w:sz w:val="24"/>
                <w:highlight w:val="none"/>
                <w:lang w:val="en-US" w:eastAsia="zh-CN"/>
              </w:rPr>
              <w:t>企业具有良好的社会信誉：</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1.在以往的服务项目中信誉良好，提供相关业主出具的证明材料，得1分；</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2.提供企业社会信誉良好承诺书，得1分；</w:t>
            </w:r>
          </w:p>
          <w:p>
            <w:pPr>
              <w:numPr>
                <w:ilvl w:val="0"/>
                <w:numId w:val="0"/>
              </w:numPr>
              <w:spacing w:line="360" w:lineRule="auto"/>
              <w:jc w:val="left"/>
              <w:rPr>
                <w:rFonts w:hint="eastAsia" w:cs="Times New Roman" w:asciiTheme="minorEastAsia" w:hAnsiTheme="minorEastAsia" w:eastAsiaTheme="minorEastAsia"/>
                <w:sz w:val="24"/>
                <w:highlight w:val="none"/>
                <w:lang w:val="en-US" w:eastAsia="zh-CN"/>
              </w:rPr>
            </w:pPr>
            <w:r>
              <w:rPr>
                <w:rFonts w:hint="eastAsia" w:cs="Times New Roman" w:asciiTheme="minorEastAsia" w:hAnsiTheme="minorEastAsia" w:eastAsiaTheme="minorEastAsia"/>
                <w:sz w:val="24"/>
                <w:highlight w:val="none"/>
                <w:lang w:val="en-US" w:eastAsia="zh-CN"/>
              </w:rPr>
              <w:t>3.未提供相关证明材料或承诺书，得0分。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974" w:type="dxa"/>
            <w:tcBorders>
              <w:left w:val="single" w:color="000000" w:sz="4" w:space="0"/>
              <w:right w:val="single" w:color="000000" w:sz="4" w:space="0"/>
            </w:tcBorders>
            <w:noWrap w:val="0"/>
            <w:vAlign w:val="center"/>
          </w:tcPr>
          <w:p>
            <w:pPr>
              <w:spacing w:line="360" w:lineRule="auto"/>
              <w:jc w:val="center"/>
              <w:rPr>
                <w:rFonts w:hint="eastAsia" w:asciiTheme="minorEastAsia" w:hAnsiTheme="minorEastAsia" w:eastAsiaTheme="minorEastAsia"/>
                <w:sz w:val="24"/>
                <w:szCs w:val="22"/>
                <w:highlight w:val="none"/>
                <w:lang w:val="en-US" w:eastAsia="zh-CN"/>
              </w:rPr>
            </w:pPr>
            <w:r>
              <w:rPr>
                <w:rFonts w:hint="eastAsia" w:asciiTheme="minorEastAsia" w:hAnsiTheme="minorEastAsia" w:eastAsiaTheme="minorEastAsia"/>
                <w:sz w:val="24"/>
                <w:szCs w:val="22"/>
                <w:highlight w:val="none"/>
              </w:rPr>
              <w:t>项目业绩</w:t>
            </w:r>
            <w:r>
              <w:rPr>
                <w:rFonts w:hint="eastAsia" w:asciiTheme="minorEastAsia" w:hAnsiTheme="minorEastAsia" w:eastAsiaTheme="minorEastAsia"/>
                <w:sz w:val="24"/>
                <w:szCs w:val="22"/>
                <w:highlight w:val="none"/>
                <w:lang w:val="en-US" w:eastAsia="zh-CN"/>
              </w:rPr>
              <w:t>（10）</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heme="minorEastAsia" w:hAnsiTheme="minorEastAsia" w:eastAsiaTheme="minorEastAsia"/>
                <w:sz w:val="24"/>
                <w:szCs w:val="22"/>
                <w:highlight w:val="none"/>
                <w:lang w:val="en-US" w:eastAsia="zh-CN"/>
              </w:rPr>
            </w:pPr>
            <w:r>
              <w:rPr>
                <w:rFonts w:hint="eastAsia" w:asciiTheme="minorEastAsia" w:hAnsiTheme="minorEastAsia" w:eastAsiaTheme="minorEastAsia"/>
                <w:sz w:val="24"/>
                <w:szCs w:val="22"/>
                <w:highlight w:val="none"/>
                <w:lang w:val="en-US" w:eastAsia="zh-CN"/>
              </w:rPr>
              <w:t>10</w:t>
            </w:r>
          </w:p>
        </w:tc>
        <w:tc>
          <w:tcPr>
            <w:tcW w:w="751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Theme="minorEastAsia" w:hAnsiTheme="minorEastAsia" w:eastAsiaTheme="minorEastAsia"/>
                <w:sz w:val="24"/>
                <w:szCs w:val="22"/>
                <w:highlight w:val="none"/>
                <w:lang w:val="en-US" w:eastAsia="zh-CN"/>
              </w:rPr>
            </w:pPr>
            <w:r>
              <w:rPr>
                <w:rFonts w:hint="eastAsia" w:asciiTheme="minorEastAsia" w:hAnsiTheme="minorEastAsia" w:eastAsiaTheme="minorEastAsia"/>
                <w:sz w:val="24"/>
                <w:szCs w:val="22"/>
                <w:highlight w:val="none"/>
              </w:rPr>
              <w:t>提供</w:t>
            </w:r>
            <w:r>
              <w:rPr>
                <w:rFonts w:hint="eastAsia" w:asciiTheme="minorEastAsia" w:hAnsiTheme="minorEastAsia" w:eastAsiaTheme="minorEastAsia"/>
                <w:sz w:val="24"/>
                <w:szCs w:val="22"/>
                <w:highlight w:val="none"/>
                <w:lang w:eastAsia="zh-CN"/>
              </w:rPr>
              <w:t>所投物品</w:t>
            </w:r>
            <w:r>
              <w:rPr>
                <w:rFonts w:hint="eastAsia" w:asciiTheme="minorEastAsia" w:hAnsiTheme="minorEastAsia" w:eastAsiaTheme="minorEastAsia"/>
                <w:sz w:val="24"/>
                <w:szCs w:val="22"/>
                <w:highlight w:val="none"/>
              </w:rPr>
              <w:t>201</w:t>
            </w:r>
            <w:r>
              <w:rPr>
                <w:rFonts w:hint="eastAsia" w:asciiTheme="minorEastAsia" w:hAnsiTheme="minorEastAsia" w:eastAsiaTheme="minorEastAsia"/>
                <w:sz w:val="24"/>
                <w:szCs w:val="22"/>
                <w:highlight w:val="none"/>
                <w:lang w:val="en-US" w:eastAsia="zh-CN"/>
              </w:rPr>
              <w:t>9</w:t>
            </w:r>
            <w:r>
              <w:rPr>
                <w:rFonts w:hint="eastAsia" w:asciiTheme="minorEastAsia" w:hAnsiTheme="minorEastAsia" w:eastAsiaTheme="minorEastAsia"/>
                <w:sz w:val="24"/>
                <w:szCs w:val="22"/>
                <w:highlight w:val="none"/>
              </w:rPr>
              <w:t>年1月1日（以合同签订日期为准）至今同类产品的类似业绩，以合同</w:t>
            </w:r>
            <w:r>
              <w:rPr>
                <w:rFonts w:hint="eastAsia" w:asciiTheme="minorEastAsia" w:hAnsiTheme="minorEastAsia" w:eastAsiaTheme="minorEastAsia"/>
                <w:sz w:val="24"/>
                <w:szCs w:val="22"/>
                <w:highlight w:val="none"/>
                <w:lang w:eastAsia="zh-CN"/>
              </w:rPr>
              <w:t>扫描件</w:t>
            </w:r>
            <w:r>
              <w:rPr>
                <w:rFonts w:hint="eastAsia" w:asciiTheme="minorEastAsia" w:hAnsiTheme="minorEastAsia" w:eastAsiaTheme="minorEastAsia"/>
                <w:sz w:val="24"/>
                <w:szCs w:val="22"/>
                <w:highlight w:val="none"/>
              </w:rPr>
              <w:t>为准，提供1份得</w:t>
            </w:r>
            <w:r>
              <w:rPr>
                <w:rFonts w:hint="eastAsia" w:asciiTheme="minorEastAsia" w:hAnsiTheme="minorEastAsia" w:eastAsiaTheme="minorEastAsia"/>
                <w:sz w:val="24"/>
                <w:szCs w:val="22"/>
                <w:highlight w:val="none"/>
                <w:lang w:val="en-US" w:eastAsia="zh-CN"/>
              </w:rPr>
              <w:t>2</w:t>
            </w:r>
            <w:r>
              <w:rPr>
                <w:rFonts w:hint="eastAsia" w:asciiTheme="minorEastAsia" w:hAnsiTheme="minorEastAsia" w:eastAsiaTheme="minorEastAsia"/>
                <w:sz w:val="24"/>
                <w:szCs w:val="22"/>
                <w:highlight w:val="none"/>
              </w:rPr>
              <w:t>分，最高得</w:t>
            </w:r>
            <w:r>
              <w:rPr>
                <w:rFonts w:hint="eastAsia" w:asciiTheme="minorEastAsia" w:hAnsiTheme="minorEastAsia" w:eastAsiaTheme="minorEastAsia"/>
                <w:sz w:val="24"/>
                <w:szCs w:val="22"/>
                <w:highlight w:val="none"/>
                <w:lang w:val="en-US" w:eastAsia="zh-CN"/>
              </w:rPr>
              <w:t>10</w:t>
            </w:r>
            <w:r>
              <w:rPr>
                <w:rFonts w:hint="eastAsia" w:asciiTheme="minorEastAsia" w:hAnsiTheme="minorEastAsia" w:eastAsiaTheme="minorEastAsia"/>
                <w:sz w:val="24"/>
                <w:szCs w:val="22"/>
                <w:highlight w:val="none"/>
              </w:rPr>
              <w:t>分。</w:t>
            </w:r>
          </w:p>
        </w:tc>
      </w:tr>
    </w:tbl>
    <w:p>
      <w:pPr>
        <w:rPr>
          <w:highlight w:val="none"/>
        </w:rPr>
      </w:pPr>
    </w:p>
    <w:p>
      <w:pPr>
        <w:pStyle w:val="3"/>
        <w:spacing w:before="333"/>
        <w:rPr>
          <w:rStyle w:val="25"/>
          <w:b/>
          <w:highlight w:val="none"/>
        </w:rPr>
      </w:pPr>
      <w:r>
        <w:rPr>
          <w:rFonts w:hint="eastAsia"/>
          <w:bCs/>
          <w:sz w:val="36"/>
          <w:szCs w:val="36"/>
          <w:highlight w:val="none"/>
        </w:rPr>
        <w:br w:type="page"/>
      </w:r>
      <w:bookmarkStart w:id="171" w:name="_Toc21886"/>
      <w:bookmarkStart w:id="172" w:name="_Toc26074"/>
      <w:r>
        <w:rPr>
          <w:rStyle w:val="25"/>
          <w:rFonts w:hint="eastAsia"/>
          <w:b/>
          <w:highlight w:val="none"/>
        </w:rPr>
        <w:t>第六章  投标文件构成及格式</w:t>
      </w:r>
      <w:bookmarkEnd w:id="166"/>
      <w:bookmarkEnd w:id="167"/>
      <w:bookmarkEnd w:id="168"/>
      <w:bookmarkEnd w:id="169"/>
      <w:bookmarkEnd w:id="170"/>
      <w:bookmarkEnd w:id="171"/>
      <w:bookmarkEnd w:id="172"/>
    </w:p>
    <w:p>
      <w:pPr>
        <w:rPr>
          <w:rFonts w:hAnsi="宋体" w:cs="宋体"/>
          <w:highlight w:val="none"/>
        </w:rPr>
      </w:pPr>
    </w:p>
    <w:p>
      <w:pPr>
        <w:rPr>
          <w:rFonts w:hint="eastAsia" w:hAnsi="宋体" w:eastAsia="宋体" w:cs="宋体"/>
          <w:b/>
          <w:sz w:val="32"/>
          <w:szCs w:val="32"/>
          <w:highlight w:val="none"/>
          <w:lang w:eastAsia="zh-CN"/>
        </w:rPr>
      </w:pPr>
      <w:r>
        <w:rPr>
          <w:rFonts w:hint="eastAsia" w:hAnsi="宋体" w:cs="宋体"/>
          <w:b/>
          <w:sz w:val="32"/>
          <w:szCs w:val="32"/>
          <w:highlight w:val="none"/>
        </w:rPr>
        <w:t>项目编号：</w:t>
      </w:r>
    </w:p>
    <w:p>
      <w:pPr>
        <w:jc w:val="right"/>
        <w:rPr>
          <w:rFonts w:hAnsi="宋体" w:cs="宋体"/>
          <w:b/>
          <w:sz w:val="32"/>
          <w:szCs w:val="32"/>
          <w:highlight w:val="none"/>
        </w:rPr>
      </w:pPr>
      <w:r>
        <w:rPr>
          <w:rFonts w:hint="eastAsia" w:hAnsi="宋体" w:cs="宋体"/>
          <w:b/>
          <w:sz w:val="32"/>
          <w:szCs w:val="32"/>
          <w:highlight w:val="none"/>
        </w:rPr>
        <w:t>（正本或副本）</w:t>
      </w:r>
    </w:p>
    <w:p>
      <w:pPr>
        <w:pStyle w:val="2"/>
        <w:rPr>
          <w:highlight w:val="none"/>
        </w:rPr>
      </w:pPr>
    </w:p>
    <w:p>
      <w:pPr>
        <w:jc w:val="center"/>
        <w:rPr>
          <w:rFonts w:hAnsi="宋体" w:cs="宋体"/>
          <w:b/>
          <w:sz w:val="48"/>
          <w:szCs w:val="48"/>
          <w:highlight w:val="none"/>
        </w:rPr>
      </w:pPr>
    </w:p>
    <w:p>
      <w:pPr>
        <w:pStyle w:val="2"/>
        <w:jc w:val="center"/>
        <w:rPr>
          <w:rFonts w:hint="eastAsia" w:hAnsi="宋体" w:cs="宋体"/>
          <w:b/>
          <w:sz w:val="48"/>
          <w:szCs w:val="48"/>
          <w:highlight w:val="none"/>
          <w:lang w:eastAsia="zh-CN"/>
        </w:rPr>
      </w:pPr>
      <w:r>
        <w:rPr>
          <w:rFonts w:hint="eastAsia" w:hAnsi="宋体" w:cs="宋体"/>
          <w:b/>
          <w:sz w:val="48"/>
          <w:szCs w:val="48"/>
          <w:highlight w:val="none"/>
          <w:lang w:eastAsia="zh-CN"/>
        </w:rPr>
        <w:t>陕西省华山监狱罪犯生活物资采购</w:t>
      </w:r>
    </w:p>
    <w:p>
      <w:pPr>
        <w:jc w:val="center"/>
        <w:rPr>
          <w:rFonts w:hint="default"/>
          <w:highlight w:val="none"/>
          <w:u w:val="single"/>
          <w:lang w:val="en-US" w:eastAsia="zh-CN"/>
        </w:rPr>
      </w:pPr>
      <w:r>
        <w:rPr>
          <w:rFonts w:hint="eastAsia" w:hAnsi="宋体" w:cs="宋体"/>
          <w:b/>
          <w:sz w:val="48"/>
          <w:szCs w:val="48"/>
          <w:highlight w:val="none"/>
          <w:lang w:val="en-US" w:eastAsia="zh-CN"/>
        </w:rPr>
        <w:t>第</w:t>
      </w:r>
      <w:r>
        <w:rPr>
          <w:rFonts w:hint="eastAsia" w:hAnsi="宋体" w:cs="宋体"/>
          <w:b/>
          <w:sz w:val="48"/>
          <w:szCs w:val="48"/>
          <w:highlight w:val="none"/>
          <w:u w:val="single"/>
          <w:lang w:val="en-US" w:eastAsia="zh-CN"/>
        </w:rPr>
        <w:t xml:space="preserve">    </w:t>
      </w:r>
      <w:r>
        <w:rPr>
          <w:rFonts w:hint="eastAsia" w:hAnsi="宋体" w:cs="宋体"/>
          <w:b/>
          <w:sz w:val="48"/>
          <w:szCs w:val="48"/>
          <w:highlight w:val="none"/>
          <w:lang w:val="en-US" w:eastAsia="zh-CN"/>
        </w:rPr>
        <w:t>包</w:t>
      </w:r>
      <w:r>
        <w:rPr>
          <w:rFonts w:hint="eastAsia" w:hAnsi="宋体" w:cs="宋体"/>
          <w:b/>
          <w:sz w:val="48"/>
          <w:szCs w:val="48"/>
          <w:highlight w:val="none"/>
          <w:u w:val="single"/>
          <w:lang w:val="en-US" w:eastAsia="zh-CN"/>
        </w:rPr>
        <w:t xml:space="preserve">     </w:t>
      </w:r>
    </w:p>
    <w:p>
      <w:pPr>
        <w:rPr>
          <w:rFonts w:hAnsi="宋体" w:cs="宋体"/>
          <w:b/>
          <w:sz w:val="48"/>
          <w:szCs w:val="48"/>
          <w:highlight w:val="none"/>
        </w:rPr>
      </w:pPr>
    </w:p>
    <w:p>
      <w:pPr>
        <w:jc w:val="center"/>
        <w:rPr>
          <w:rFonts w:hAnsi="宋体" w:cs="宋体"/>
          <w:b/>
          <w:sz w:val="72"/>
          <w:szCs w:val="72"/>
          <w:highlight w:val="none"/>
        </w:rPr>
      </w:pPr>
      <w:r>
        <w:rPr>
          <w:rFonts w:hint="eastAsia" w:hAnsi="宋体" w:cs="宋体"/>
          <w:b/>
          <w:sz w:val="72"/>
          <w:szCs w:val="72"/>
          <w:highlight w:val="none"/>
        </w:rPr>
        <w:t>投 标 文 件</w:t>
      </w:r>
    </w:p>
    <w:p>
      <w:pPr>
        <w:jc w:val="center"/>
        <w:rPr>
          <w:rFonts w:hAnsi="宋体" w:cs="宋体"/>
          <w:b/>
          <w:sz w:val="72"/>
          <w:szCs w:val="72"/>
          <w:highlight w:val="none"/>
        </w:rPr>
      </w:pPr>
    </w:p>
    <w:p>
      <w:pPr>
        <w:pStyle w:val="2"/>
        <w:rPr>
          <w:highlight w:val="none"/>
        </w:rPr>
      </w:pPr>
    </w:p>
    <w:p>
      <w:pPr>
        <w:pStyle w:val="2"/>
        <w:rPr>
          <w:rFonts w:ascii="宋体" w:hAnsi="宋体" w:cs="宋体"/>
          <w:b/>
          <w:sz w:val="36"/>
          <w:szCs w:val="36"/>
          <w:highlight w:val="none"/>
        </w:rPr>
      </w:pPr>
    </w:p>
    <w:p>
      <w:pPr>
        <w:spacing w:line="720" w:lineRule="auto"/>
        <w:ind w:firstLine="1205" w:firstLineChars="400"/>
        <w:rPr>
          <w:rFonts w:hAnsi="宋体" w:cs="宋体"/>
          <w:b/>
          <w:bCs/>
          <w:sz w:val="30"/>
          <w:szCs w:val="30"/>
          <w:highlight w:val="none"/>
        </w:rPr>
      </w:pPr>
    </w:p>
    <w:p>
      <w:pPr>
        <w:spacing w:line="720" w:lineRule="auto"/>
        <w:ind w:firstLine="1205" w:firstLineChars="400"/>
        <w:rPr>
          <w:rFonts w:hAnsi="宋体" w:cs="宋体"/>
          <w:b/>
          <w:bCs/>
          <w:sz w:val="30"/>
          <w:szCs w:val="30"/>
          <w:highlight w:val="none"/>
          <w:u w:val="single"/>
        </w:rPr>
      </w:pPr>
      <w:r>
        <w:rPr>
          <w:rFonts w:hint="eastAsia" w:hAnsi="宋体" w:cs="宋体"/>
          <w:b/>
          <w:bCs/>
          <w:sz w:val="30"/>
          <w:szCs w:val="30"/>
          <w:highlight w:val="none"/>
        </w:rPr>
        <w:t>投标人（盖章）：</w:t>
      </w:r>
      <w:r>
        <w:rPr>
          <w:rFonts w:hint="eastAsia" w:hAnsi="宋体" w:cs="宋体"/>
          <w:b/>
          <w:bCs/>
          <w:sz w:val="30"/>
          <w:szCs w:val="30"/>
          <w:highlight w:val="none"/>
          <w:u w:val="single"/>
        </w:rPr>
        <w:t xml:space="preserve">                              </w:t>
      </w:r>
    </w:p>
    <w:p>
      <w:pPr>
        <w:spacing w:line="720" w:lineRule="auto"/>
        <w:ind w:firstLine="1205" w:firstLineChars="400"/>
        <w:rPr>
          <w:rFonts w:hAnsi="宋体" w:cs="宋体"/>
          <w:b/>
          <w:bCs/>
          <w:sz w:val="30"/>
          <w:szCs w:val="30"/>
          <w:highlight w:val="none"/>
          <w:u w:val="single"/>
        </w:rPr>
      </w:pPr>
      <w:r>
        <w:rPr>
          <w:rFonts w:hint="eastAsia" w:hAnsi="宋体" w:cs="宋体"/>
          <w:b/>
          <w:bCs/>
          <w:sz w:val="30"/>
          <w:szCs w:val="30"/>
          <w:highlight w:val="none"/>
        </w:rPr>
        <w:t>法定代表人或授权代表（签字或盖章）：</w:t>
      </w:r>
      <w:r>
        <w:rPr>
          <w:rFonts w:hint="eastAsia" w:hAnsi="宋体" w:cs="宋体"/>
          <w:b/>
          <w:bCs/>
          <w:sz w:val="30"/>
          <w:szCs w:val="30"/>
          <w:highlight w:val="none"/>
          <w:u w:val="single"/>
        </w:rPr>
        <w:t xml:space="preserve">          </w:t>
      </w:r>
    </w:p>
    <w:p>
      <w:pPr>
        <w:spacing w:line="720" w:lineRule="auto"/>
        <w:ind w:firstLine="1205" w:firstLineChars="400"/>
        <w:rPr>
          <w:rFonts w:hAnsi="宋体" w:cs="宋体"/>
          <w:sz w:val="30"/>
          <w:szCs w:val="30"/>
          <w:highlight w:val="none"/>
          <w:u w:val="single"/>
        </w:rPr>
      </w:pPr>
      <w:r>
        <w:rPr>
          <w:rFonts w:hint="eastAsia" w:hAnsi="宋体" w:cs="宋体"/>
          <w:b/>
          <w:bCs/>
          <w:sz w:val="30"/>
          <w:szCs w:val="30"/>
          <w:highlight w:val="none"/>
        </w:rPr>
        <w:t>日        期 ：</w:t>
      </w:r>
      <w:r>
        <w:rPr>
          <w:rFonts w:hint="eastAsia" w:hAnsi="宋体" w:cs="宋体"/>
          <w:b/>
          <w:bCs/>
          <w:sz w:val="30"/>
          <w:szCs w:val="30"/>
          <w:highlight w:val="none"/>
          <w:u w:val="single"/>
        </w:rPr>
        <w:t xml:space="preserve">       </w:t>
      </w:r>
      <w:r>
        <w:rPr>
          <w:rFonts w:hint="eastAsia" w:hAnsi="宋体" w:cs="宋体"/>
          <w:b/>
          <w:bCs/>
          <w:sz w:val="30"/>
          <w:szCs w:val="30"/>
          <w:highlight w:val="none"/>
        </w:rPr>
        <w:t>年</w:t>
      </w:r>
      <w:r>
        <w:rPr>
          <w:rFonts w:hint="eastAsia" w:hAnsi="宋体" w:cs="宋体"/>
          <w:b/>
          <w:bCs/>
          <w:sz w:val="30"/>
          <w:szCs w:val="30"/>
          <w:highlight w:val="none"/>
          <w:u w:val="single"/>
        </w:rPr>
        <w:t xml:space="preserve">     </w:t>
      </w:r>
      <w:r>
        <w:rPr>
          <w:rFonts w:hint="eastAsia" w:hAnsi="宋体" w:cs="宋体"/>
          <w:b/>
          <w:bCs/>
          <w:sz w:val="30"/>
          <w:szCs w:val="30"/>
          <w:highlight w:val="none"/>
        </w:rPr>
        <w:t>月</w:t>
      </w:r>
      <w:r>
        <w:rPr>
          <w:rFonts w:hint="eastAsia" w:hAnsi="宋体" w:cs="宋体"/>
          <w:b/>
          <w:bCs/>
          <w:sz w:val="30"/>
          <w:szCs w:val="30"/>
          <w:highlight w:val="none"/>
          <w:u w:val="single"/>
        </w:rPr>
        <w:t xml:space="preserve">     </w:t>
      </w:r>
      <w:r>
        <w:rPr>
          <w:rFonts w:hint="eastAsia" w:hAnsi="宋体" w:cs="宋体"/>
          <w:b/>
          <w:bCs/>
          <w:sz w:val="30"/>
          <w:szCs w:val="30"/>
          <w:highlight w:val="none"/>
        </w:rPr>
        <w:t>日</w:t>
      </w:r>
    </w:p>
    <w:p>
      <w:pPr>
        <w:rPr>
          <w:rFonts w:hint="eastAsia" w:hAnsi="宋体" w:cs="宋体"/>
          <w:b/>
          <w:bCs/>
          <w:sz w:val="32"/>
          <w:szCs w:val="32"/>
          <w:highlight w:val="none"/>
        </w:rPr>
      </w:pPr>
      <w:bookmarkStart w:id="173" w:name="_Toc23267"/>
      <w:bookmarkStart w:id="174" w:name="_Toc363474026"/>
      <w:bookmarkStart w:id="175" w:name="_Toc30983"/>
      <w:bookmarkStart w:id="176" w:name="_Toc426457699"/>
      <w:bookmarkStart w:id="177" w:name="_Toc22537"/>
      <w:bookmarkStart w:id="178" w:name="_Toc403077647"/>
      <w:bookmarkStart w:id="179" w:name="_Toc23850"/>
      <w:bookmarkStart w:id="180" w:name="_Toc17702"/>
      <w:r>
        <w:rPr>
          <w:rFonts w:hint="eastAsia" w:hAnsi="宋体" w:cs="宋体"/>
          <w:b/>
          <w:bCs/>
          <w:sz w:val="32"/>
          <w:szCs w:val="32"/>
          <w:highlight w:val="none"/>
        </w:rPr>
        <w:br w:type="page"/>
      </w:r>
    </w:p>
    <w:p>
      <w:pPr>
        <w:spacing w:line="720" w:lineRule="auto"/>
        <w:jc w:val="center"/>
        <w:rPr>
          <w:rFonts w:hAnsi="宋体" w:cs="宋体"/>
          <w:b/>
          <w:bCs/>
          <w:sz w:val="32"/>
          <w:szCs w:val="32"/>
          <w:highlight w:val="none"/>
        </w:rPr>
      </w:pPr>
      <w:r>
        <w:rPr>
          <w:rFonts w:hint="eastAsia" w:hAnsi="宋体" w:cs="宋体"/>
          <w:b/>
          <w:bCs/>
          <w:sz w:val="32"/>
          <w:szCs w:val="32"/>
          <w:highlight w:val="none"/>
        </w:rPr>
        <w:t>目    录</w:t>
      </w:r>
      <w:bookmarkEnd w:id="173"/>
      <w:bookmarkEnd w:id="174"/>
      <w:bookmarkEnd w:id="175"/>
      <w:bookmarkEnd w:id="176"/>
      <w:bookmarkEnd w:id="177"/>
      <w:bookmarkEnd w:id="178"/>
      <w:bookmarkEnd w:id="179"/>
      <w:bookmarkEnd w:id="180"/>
    </w:p>
    <w:p>
      <w:pPr>
        <w:pStyle w:val="9"/>
        <w:numPr>
          <w:ilvl w:val="0"/>
          <w:numId w:val="1"/>
        </w:numPr>
        <w:spacing w:line="480" w:lineRule="auto"/>
        <w:ind w:firstLine="480"/>
        <w:rPr>
          <w:highlight w:val="none"/>
        </w:rPr>
      </w:pPr>
      <w:r>
        <w:rPr>
          <w:rFonts w:hint="eastAsia"/>
          <w:highlight w:val="none"/>
        </w:rPr>
        <w:t>投标函</w:t>
      </w:r>
    </w:p>
    <w:p>
      <w:pPr>
        <w:pStyle w:val="9"/>
        <w:numPr>
          <w:ilvl w:val="0"/>
          <w:numId w:val="1"/>
        </w:numPr>
        <w:spacing w:line="480" w:lineRule="auto"/>
        <w:ind w:firstLine="480"/>
        <w:rPr>
          <w:highlight w:val="none"/>
        </w:rPr>
      </w:pPr>
      <w:r>
        <w:rPr>
          <w:rFonts w:hint="eastAsia"/>
          <w:highlight w:val="none"/>
        </w:rPr>
        <w:t>投标报价表</w:t>
      </w:r>
    </w:p>
    <w:p>
      <w:pPr>
        <w:pStyle w:val="9"/>
        <w:numPr>
          <w:ilvl w:val="0"/>
          <w:numId w:val="1"/>
        </w:numPr>
        <w:spacing w:line="480" w:lineRule="auto"/>
        <w:ind w:firstLine="480"/>
        <w:rPr>
          <w:highlight w:val="none"/>
        </w:rPr>
      </w:pPr>
      <w:r>
        <w:rPr>
          <w:rFonts w:hint="eastAsia"/>
          <w:highlight w:val="none"/>
        </w:rPr>
        <w:t>资格证明文件</w:t>
      </w:r>
    </w:p>
    <w:p>
      <w:pPr>
        <w:pStyle w:val="9"/>
        <w:numPr>
          <w:ilvl w:val="0"/>
          <w:numId w:val="1"/>
        </w:numPr>
        <w:spacing w:line="480" w:lineRule="auto"/>
        <w:ind w:firstLine="480"/>
        <w:rPr>
          <w:highlight w:val="none"/>
        </w:rPr>
      </w:pPr>
      <w:r>
        <w:rPr>
          <w:rFonts w:hint="eastAsia"/>
          <w:highlight w:val="none"/>
        </w:rPr>
        <w:t>投标方案说明书</w:t>
      </w:r>
    </w:p>
    <w:p>
      <w:pPr>
        <w:pStyle w:val="9"/>
        <w:numPr>
          <w:ilvl w:val="0"/>
          <w:numId w:val="1"/>
        </w:numPr>
        <w:spacing w:line="480" w:lineRule="auto"/>
        <w:ind w:firstLine="480"/>
        <w:rPr>
          <w:highlight w:val="none"/>
        </w:rPr>
      </w:pPr>
      <w:r>
        <w:rPr>
          <w:rFonts w:hint="eastAsia"/>
          <w:highlight w:val="none"/>
        </w:rPr>
        <w:t>商务条款偏离表</w:t>
      </w:r>
    </w:p>
    <w:p>
      <w:pPr>
        <w:pStyle w:val="9"/>
        <w:numPr>
          <w:ilvl w:val="0"/>
          <w:numId w:val="1"/>
        </w:numPr>
        <w:spacing w:line="480" w:lineRule="auto"/>
        <w:ind w:firstLine="480"/>
        <w:rPr>
          <w:highlight w:val="none"/>
        </w:rPr>
      </w:pPr>
      <w:r>
        <w:rPr>
          <w:rFonts w:hint="eastAsia"/>
          <w:highlight w:val="none"/>
        </w:rPr>
        <w:t>投标人承诺书</w:t>
      </w:r>
    </w:p>
    <w:p>
      <w:pPr>
        <w:pStyle w:val="9"/>
        <w:numPr>
          <w:ilvl w:val="0"/>
          <w:numId w:val="1"/>
        </w:numPr>
        <w:spacing w:line="480" w:lineRule="auto"/>
        <w:ind w:firstLine="480"/>
        <w:rPr>
          <w:highlight w:val="none"/>
        </w:rPr>
      </w:pPr>
      <w:r>
        <w:rPr>
          <w:rFonts w:hint="eastAsia"/>
          <w:highlight w:val="none"/>
        </w:rPr>
        <w:t>其他资料</w:t>
      </w:r>
    </w:p>
    <w:p>
      <w:pPr>
        <w:pStyle w:val="4"/>
        <w:rPr>
          <w:highlight w:val="none"/>
        </w:rPr>
      </w:pPr>
      <w:bookmarkStart w:id="181" w:name="_Toc363474027"/>
      <w:bookmarkStart w:id="182" w:name="_Toc403077648"/>
      <w:bookmarkStart w:id="183" w:name="_Toc23833"/>
      <w:bookmarkStart w:id="184" w:name="_Toc28404"/>
      <w:bookmarkStart w:id="185" w:name="_Toc4930"/>
      <w:bookmarkStart w:id="186" w:name="_Toc23702"/>
      <w:bookmarkStart w:id="187" w:name="_Toc426457700"/>
      <w:bookmarkStart w:id="188" w:name="_Toc13414"/>
      <w:bookmarkStart w:id="189" w:name="_Toc14057"/>
      <w:bookmarkStart w:id="190" w:name="_Toc24231"/>
      <w:bookmarkStart w:id="191" w:name="_Toc18434"/>
      <w:r>
        <w:rPr>
          <w:rFonts w:hint="eastAsia"/>
          <w:highlight w:val="none"/>
        </w:rPr>
        <w:br w:type="page"/>
      </w:r>
      <w:r>
        <w:rPr>
          <w:rFonts w:hint="eastAsia"/>
          <w:highlight w:val="none"/>
        </w:rPr>
        <w:t>一、投标</w:t>
      </w:r>
      <w:bookmarkEnd w:id="181"/>
      <w:bookmarkEnd w:id="182"/>
      <w:r>
        <w:rPr>
          <w:rFonts w:hint="eastAsia"/>
          <w:highlight w:val="none"/>
        </w:rPr>
        <w:t>函</w:t>
      </w:r>
      <w:bookmarkEnd w:id="183"/>
      <w:bookmarkEnd w:id="184"/>
      <w:bookmarkEnd w:id="185"/>
      <w:bookmarkEnd w:id="186"/>
      <w:bookmarkEnd w:id="187"/>
      <w:bookmarkEnd w:id="188"/>
      <w:bookmarkEnd w:id="189"/>
      <w:bookmarkEnd w:id="190"/>
      <w:bookmarkEnd w:id="191"/>
    </w:p>
    <w:p>
      <w:pPr>
        <w:pStyle w:val="9"/>
        <w:ind w:firstLine="0" w:firstLineChars="0"/>
        <w:rPr>
          <w:rFonts w:hint="eastAsia" w:eastAsia="宋体"/>
          <w:b/>
          <w:bCs/>
          <w:highlight w:val="none"/>
          <w:lang w:eastAsia="zh-CN"/>
        </w:rPr>
      </w:pPr>
      <w:r>
        <w:rPr>
          <w:rFonts w:hint="eastAsia"/>
          <w:b/>
          <w:bCs/>
          <w:highlight w:val="none"/>
        </w:rPr>
        <w:t>致：</w:t>
      </w:r>
      <w:r>
        <w:rPr>
          <w:rFonts w:hint="eastAsia"/>
          <w:b/>
          <w:bCs/>
          <w:highlight w:val="none"/>
          <w:u w:val="single"/>
        </w:rPr>
        <w:t>（</w:t>
      </w:r>
      <w:r>
        <w:rPr>
          <w:rFonts w:hint="eastAsia"/>
          <w:b/>
          <w:bCs/>
          <w:highlight w:val="none"/>
          <w:u w:val="single"/>
          <w:lang w:eastAsia="zh-CN"/>
        </w:rPr>
        <w:t>招标人</w:t>
      </w:r>
      <w:r>
        <w:rPr>
          <w:rFonts w:hint="eastAsia"/>
          <w:b/>
          <w:bCs/>
          <w:highlight w:val="none"/>
          <w:u w:val="single"/>
        </w:rPr>
        <w:t>名称）/</w:t>
      </w:r>
      <w:r>
        <w:rPr>
          <w:rFonts w:hint="eastAsia"/>
          <w:b/>
          <w:bCs/>
          <w:highlight w:val="none"/>
          <w:u w:val="single"/>
          <w:lang w:eastAsia="zh-CN"/>
        </w:rPr>
        <w:t>腾德工程咨询有限公司</w:t>
      </w:r>
    </w:p>
    <w:p>
      <w:pPr>
        <w:pStyle w:val="9"/>
        <w:ind w:firstLine="480"/>
        <w:rPr>
          <w:highlight w:val="none"/>
        </w:rPr>
      </w:pPr>
      <w:r>
        <w:rPr>
          <w:rFonts w:hint="eastAsia"/>
          <w:highlight w:val="none"/>
        </w:rPr>
        <w:t>根据贵方</w:t>
      </w:r>
      <w:r>
        <w:rPr>
          <w:rFonts w:hint="eastAsia"/>
          <w:highlight w:val="none"/>
          <w:u w:val="single"/>
        </w:rPr>
        <w:t>“       项目名称                 ”</w:t>
      </w:r>
      <w:r>
        <w:rPr>
          <w:rFonts w:hint="eastAsia"/>
          <w:highlight w:val="none"/>
        </w:rPr>
        <w:t>的招标文件</w:t>
      </w:r>
      <w:r>
        <w:rPr>
          <w:rFonts w:hint="eastAsia"/>
          <w:highlight w:val="none"/>
          <w:u w:val="single"/>
        </w:rPr>
        <w:t>(</w:t>
      </w:r>
      <w:r>
        <w:rPr>
          <w:rFonts w:hint="eastAsia"/>
          <w:highlight w:val="none"/>
          <w:u w:val="single"/>
          <w:lang w:val="en-US" w:eastAsia="zh-CN"/>
        </w:rPr>
        <w:t>项目</w:t>
      </w:r>
      <w:r>
        <w:rPr>
          <w:rFonts w:hint="eastAsia"/>
          <w:highlight w:val="none"/>
          <w:u w:val="single"/>
        </w:rPr>
        <w:t>编号：        )</w:t>
      </w:r>
      <w:r>
        <w:rPr>
          <w:rFonts w:hint="eastAsia"/>
          <w:highlight w:val="none"/>
          <w:u w:val="single"/>
          <w:lang w:eastAsia="zh-CN"/>
        </w:rPr>
        <w:t>、（</w:t>
      </w:r>
      <w:r>
        <w:rPr>
          <w:rFonts w:hint="eastAsia"/>
          <w:highlight w:val="none"/>
          <w:u w:val="single"/>
          <w:lang w:val="en-US" w:eastAsia="zh-CN"/>
        </w:rPr>
        <w:t xml:space="preserve">合同包号：          </w:t>
      </w:r>
      <w:r>
        <w:rPr>
          <w:rFonts w:hint="eastAsia"/>
          <w:highlight w:val="none"/>
          <w:u w:val="single"/>
          <w:lang w:eastAsia="zh-CN"/>
        </w:rPr>
        <w:t>）</w:t>
      </w:r>
      <w:r>
        <w:rPr>
          <w:rFonts w:hint="eastAsia"/>
          <w:highlight w:val="none"/>
        </w:rPr>
        <w:t>，签字代表</w:t>
      </w:r>
      <w:r>
        <w:rPr>
          <w:rFonts w:hint="eastAsia"/>
          <w:highlight w:val="none"/>
          <w:u w:val="single"/>
        </w:rPr>
        <w:t>（全名、职务）</w:t>
      </w:r>
      <w:r>
        <w:rPr>
          <w:rFonts w:hint="eastAsia"/>
          <w:highlight w:val="none"/>
        </w:rPr>
        <w:t>经正式授权并代表投标人</w:t>
      </w:r>
      <w:r>
        <w:rPr>
          <w:rFonts w:hint="eastAsia"/>
          <w:highlight w:val="none"/>
          <w:u w:val="single"/>
        </w:rPr>
        <w:t xml:space="preserve">(投标人名称、地址) </w:t>
      </w:r>
      <w:r>
        <w:rPr>
          <w:rFonts w:hint="eastAsia"/>
          <w:highlight w:val="none"/>
        </w:rPr>
        <w:t>。</w:t>
      </w:r>
    </w:p>
    <w:p>
      <w:pPr>
        <w:pStyle w:val="9"/>
        <w:ind w:firstLine="480"/>
        <w:rPr>
          <w:highlight w:val="none"/>
        </w:rPr>
      </w:pPr>
      <w:r>
        <w:rPr>
          <w:rFonts w:hint="eastAsia"/>
          <w:highlight w:val="none"/>
        </w:rPr>
        <w:t>我方承诺如下：</w:t>
      </w:r>
    </w:p>
    <w:p>
      <w:pPr>
        <w:pStyle w:val="9"/>
        <w:ind w:firstLine="480"/>
        <w:rPr>
          <w:highlight w:val="none"/>
        </w:rPr>
      </w:pPr>
      <w:r>
        <w:rPr>
          <w:rFonts w:hint="eastAsia"/>
          <w:highlight w:val="none"/>
        </w:rPr>
        <w:t>（1）投标报价为</w:t>
      </w:r>
      <w:r>
        <w:rPr>
          <w:rFonts w:hint="eastAsia"/>
          <w:b/>
          <w:bCs/>
          <w:highlight w:val="none"/>
          <w:lang w:val="en-US" w:eastAsia="zh-CN"/>
        </w:rPr>
        <w:t>单价：</w:t>
      </w:r>
      <w:r>
        <w:rPr>
          <w:rFonts w:hint="eastAsia"/>
          <w:highlight w:val="none"/>
        </w:rPr>
        <w:t>小写：</w:t>
      </w:r>
      <w:r>
        <w:rPr>
          <w:rFonts w:hint="eastAsia"/>
          <w:highlight w:val="none"/>
          <w:u w:val="single"/>
        </w:rPr>
        <w:t xml:space="preserve">     </w:t>
      </w:r>
      <w:r>
        <w:rPr>
          <w:rFonts w:hint="eastAsia"/>
          <w:highlight w:val="none"/>
        </w:rPr>
        <w:t>（大写：</w:t>
      </w:r>
      <w:r>
        <w:rPr>
          <w:rFonts w:hint="eastAsia"/>
          <w:highlight w:val="none"/>
          <w:u w:val="single"/>
        </w:rPr>
        <w:t xml:space="preserve">     </w:t>
      </w:r>
      <w:r>
        <w:rPr>
          <w:rFonts w:hint="eastAsia"/>
          <w:highlight w:val="none"/>
        </w:rPr>
        <w:t>）</w:t>
      </w:r>
      <w:r>
        <w:rPr>
          <w:rFonts w:hint="eastAsia"/>
          <w:highlight w:val="none"/>
          <w:lang w:eastAsia="zh-CN"/>
        </w:rPr>
        <w:t>；</w:t>
      </w:r>
      <w:r>
        <w:rPr>
          <w:rFonts w:hint="eastAsia"/>
          <w:b/>
          <w:bCs/>
          <w:highlight w:val="none"/>
          <w:lang w:val="en-US" w:eastAsia="zh-CN"/>
        </w:rPr>
        <w:t>总价：</w:t>
      </w:r>
      <w:r>
        <w:rPr>
          <w:rFonts w:hint="eastAsia"/>
          <w:highlight w:val="none"/>
        </w:rPr>
        <w:t>小写：</w:t>
      </w:r>
      <w:r>
        <w:rPr>
          <w:rFonts w:hint="eastAsia"/>
          <w:highlight w:val="none"/>
          <w:u w:val="single"/>
        </w:rPr>
        <w:t xml:space="preserve">     </w:t>
      </w:r>
      <w:r>
        <w:rPr>
          <w:rFonts w:hint="eastAsia"/>
          <w:highlight w:val="none"/>
          <w:u w:val="single"/>
          <w:lang w:val="en-US" w:eastAsia="zh-CN"/>
        </w:rPr>
        <w:t>元</w:t>
      </w:r>
      <w:r>
        <w:rPr>
          <w:rFonts w:hint="eastAsia"/>
          <w:highlight w:val="none"/>
        </w:rPr>
        <w:t>（大写：</w:t>
      </w:r>
      <w:r>
        <w:rPr>
          <w:rFonts w:hint="eastAsia"/>
          <w:highlight w:val="none"/>
          <w:u w:val="single"/>
        </w:rPr>
        <w:t xml:space="preserve">     </w:t>
      </w:r>
      <w:r>
        <w:rPr>
          <w:rFonts w:hint="eastAsia"/>
          <w:highlight w:val="none"/>
          <w:u w:val="single"/>
          <w:lang w:val="en-US" w:eastAsia="zh-CN"/>
        </w:rPr>
        <w:t>元</w:t>
      </w:r>
      <w:r>
        <w:rPr>
          <w:rFonts w:hint="eastAsia"/>
          <w:highlight w:val="none"/>
          <w:u w:val="single"/>
        </w:rPr>
        <w:t xml:space="preserve"> </w:t>
      </w:r>
      <w:r>
        <w:rPr>
          <w:rFonts w:hint="eastAsia"/>
          <w:highlight w:val="none"/>
        </w:rPr>
        <w:t>）。</w:t>
      </w:r>
    </w:p>
    <w:p>
      <w:pPr>
        <w:pStyle w:val="9"/>
        <w:ind w:firstLine="480"/>
        <w:rPr>
          <w:highlight w:val="none"/>
        </w:rPr>
      </w:pPr>
      <w:r>
        <w:rPr>
          <w:rFonts w:hint="eastAsia"/>
          <w:highlight w:val="none"/>
        </w:rPr>
        <w:t>（2）如果中标，我们根据招标文件的规定，履行合同的责任和义务。</w:t>
      </w:r>
    </w:p>
    <w:p>
      <w:pPr>
        <w:pStyle w:val="9"/>
        <w:ind w:firstLine="480"/>
        <w:rPr>
          <w:highlight w:val="none"/>
        </w:rPr>
      </w:pPr>
      <w:r>
        <w:rPr>
          <w:rFonts w:hint="eastAsia"/>
          <w:highlight w:val="none"/>
        </w:rPr>
        <w:t>（3）我们已详细阅读和审核全部招标文件（含修改部分，如有的话）及有关附件，我们知道必须放弃提出含糊不清或误解的问题的权利。</w:t>
      </w:r>
    </w:p>
    <w:p>
      <w:pPr>
        <w:pStyle w:val="9"/>
        <w:ind w:firstLine="480"/>
        <w:rPr>
          <w:highlight w:val="none"/>
        </w:rPr>
      </w:pPr>
      <w:r>
        <w:rPr>
          <w:rFonts w:hint="eastAsia"/>
          <w:highlight w:val="none"/>
        </w:rPr>
        <w:t>（4）我们同意在投标有效期内（自开标之日起</w:t>
      </w:r>
      <w:r>
        <w:rPr>
          <w:rFonts w:hint="eastAsia"/>
          <w:highlight w:val="none"/>
          <w:u w:val="single"/>
        </w:rPr>
        <w:t xml:space="preserve">    </w:t>
      </w:r>
      <w:r>
        <w:rPr>
          <w:rFonts w:hint="eastAsia"/>
          <w:highlight w:val="none"/>
        </w:rPr>
        <w:t>天），本投标函对我方具有约束力。</w:t>
      </w:r>
    </w:p>
    <w:p>
      <w:pPr>
        <w:pStyle w:val="9"/>
        <w:ind w:firstLine="480"/>
        <w:rPr>
          <w:highlight w:val="none"/>
        </w:rPr>
      </w:pPr>
      <w:r>
        <w:rPr>
          <w:rFonts w:hint="eastAsia"/>
          <w:highlight w:val="none"/>
        </w:rPr>
        <w:t>（</w:t>
      </w:r>
      <w:r>
        <w:rPr>
          <w:rFonts w:hint="eastAsia"/>
          <w:highlight w:val="none"/>
          <w:lang w:val="en-US" w:eastAsia="zh-CN"/>
        </w:rPr>
        <w:t>5</w:t>
      </w:r>
      <w:r>
        <w:rPr>
          <w:rFonts w:hint="eastAsia"/>
          <w:highlight w:val="none"/>
        </w:rPr>
        <w:t xml:space="preserve">）同意提供贵方可能另外要求的与本投标有关的任何证据和资料。 </w:t>
      </w:r>
    </w:p>
    <w:p>
      <w:pPr>
        <w:pStyle w:val="9"/>
        <w:ind w:firstLine="480"/>
        <w:rPr>
          <w:highlight w:val="none"/>
        </w:rPr>
      </w:pPr>
      <w:r>
        <w:rPr>
          <w:rFonts w:hint="eastAsia"/>
          <w:highlight w:val="none"/>
        </w:rPr>
        <w:t>（</w:t>
      </w:r>
      <w:r>
        <w:rPr>
          <w:rFonts w:hint="eastAsia"/>
          <w:highlight w:val="none"/>
          <w:lang w:val="en-US" w:eastAsia="zh-CN"/>
        </w:rPr>
        <w:t>6</w:t>
      </w:r>
      <w:r>
        <w:rPr>
          <w:rFonts w:hint="eastAsia"/>
          <w:highlight w:val="none"/>
        </w:rPr>
        <w:t>）我们同意，如果中标，向</w:t>
      </w:r>
      <w:r>
        <w:rPr>
          <w:rFonts w:hint="eastAsia"/>
          <w:highlight w:val="none"/>
          <w:lang w:eastAsia="zh-CN"/>
        </w:rPr>
        <w:t>腾德工程咨询有限公司</w:t>
      </w:r>
      <w:r>
        <w:rPr>
          <w:rFonts w:hint="eastAsia"/>
          <w:highlight w:val="none"/>
        </w:rPr>
        <w:t>交纳招标代理服务费。</w:t>
      </w:r>
    </w:p>
    <w:p>
      <w:pPr>
        <w:pStyle w:val="9"/>
        <w:ind w:firstLine="480"/>
        <w:rPr>
          <w:highlight w:val="none"/>
        </w:rPr>
      </w:pPr>
      <w:r>
        <w:rPr>
          <w:rFonts w:hint="eastAsia"/>
          <w:highlight w:val="none"/>
        </w:rPr>
        <w:t>（</w:t>
      </w:r>
      <w:r>
        <w:rPr>
          <w:rFonts w:hint="eastAsia"/>
          <w:highlight w:val="none"/>
          <w:lang w:val="en-US" w:eastAsia="zh-CN"/>
        </w:rPr>
        <w:t>7</w:t>
      </w:r>
      <w:r>
        <w:rPr>
          <w:rFonts w:hint="eastAsia"/>
          <w:highlight w:val="none"/>
        </w:rPr>
        <w:t>）与本投标有关的一切正式往来通讯为：</w:t>
      </w:r>
    </w:p>
    <w:p>
      <w:pPr>
        <w:pStyle w:val="9"/>
        <w:ind w:firstLine="480"/>
        <w:rPr>
          <w:highlight w:val="none"/>
        </w:rPr>
      </w:pPr>
    </w:p>
    <w:p>
      <w:pPr>
        <w:pStyle w:val="9"/>
        <w:ind w:firstLine="480"/>
        <w:rPr>
          <w:highlight w:val="none"/>
          <w:u w:val="single"/>
        </w:rPr>
      </w:pPr>
      <w:r>
        <w:rPr>
          <w:rFonts w:hint="eastAsia"/>
          <w:highlight w:val="none"/>
        </w:rPr>
        <w:t>联系地址：</w:t>
      </w:r>
      <w:r>
        <w:rPr>
          <w:rFonts w:hint="eastAsia"/>
          <w:highlight w:val="none"/>
          <w:u w:val="single"/>
        </w:rPr>
        <w:t xml:space="preserve">                 </w:t>
      </w:r>
    </w:p>
    <w:p>
      <w:pPr>
        <w:pStyle w:val="9"/>
        <w:ind w:firstLine="480"/>
        <w:rPr>
          <w:b/>
          <w:bCs/>
          <w:highlight w:val="none"/>
        </w:rPr>
      </w:pPr>
      <w:r>
        <w:rPr>
          <w:rFonts w:hint="eastAsia"/>
          <w:highlight w:val="none"/>
        </w:rPr>
        <w:t>邮政编码：</w:t>
      </w:r>
      <w:r>
        <w:rPr>
          <w:rFonts w:hint="eastAsia"/>
          <w:highlight w:val="none"/>
          <w:u w:val="single"/>
        </w:rPr>
        <w:t xml:space="preserve">                 </w:t>
      </w:r>
    </w:p>
    <w:p>
      <w:pPr>
        <w:pStyle w:val="9"/>
        <w:ind w:firstLine="480"/>
        <w:rPr>
          <w:highlight w:val="none"/>
        </w:rPr>
      </w:pPr>
      <w:r>
        <w:rPr>
          <w:rFonts w:hint="eastAsia"/>
          <w:highlight w:val="none"/>
        </w:rPr>
        <w:t>电    话：</w:t>
      </w:r>
      <w:r>
        <w:rPr>
          <w:rFonts w:hint="eastAsia"/>
          <w:highlight w:val="none"/>
          <w:u w:val="single"/>
        </w:rPr>
        <w:t xml:space="preserve">                 </w:t>
      </w:r>
    </w:p>
    <w:p>
      <w:pPr>
        <w:pStyle w:val="9"/>
        <w:ind w:firstLine="480"/>
        <w:rPr>
          <w:highlight w:val="none"/>
        </w:rPr>
      </w:pPr>
      <w:r>
        <w:rPr>
          <w:rFonts w:hint="eastAsia"/>
          <w:highlight w:val="none"/>
        </w:rPr>
        <w:t>传    真：</w:t>
      </w:r>
      <w:r>
        <w:rPr>
          <w:rFonts w:hint="eastAsia"/>
          <w:highlight w:val="none"/>
          <w:u w:val="single"/>
        </w:rPr>
        <w:t xml:space="preserve">                 </w:t>
      </w:r>
    </w:p>
    <w:p>
      <w:pPr>
        <w:pStyle w:val="9"/>
        <w:ind w:firstLine="48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48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480"/>
        <w:rPr>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4"/>
        <w:spacing w:before="0" w:after="0" w:line="240" w:lineRule="auto"/>
        <w:ind w:left="0"/>
        <w:rPr>
          <w:rStyle w:val="30"/>
          <w:b/>
          <w:bCs/>
          <w:highlight w:val="none"/>
        </w:rPr>
      </w:pPr>
      <w:r>
        <w:rPr>
          <w:rFonts w:hint="eastAsia"/>
          <w:sz w:val="28"/>
          <w:highlight w:val="none"/>
        </w:rPr>
        <w:br w:type="page"/>
      </w:r>
      <w:bookmarkStart w:id="192" w:name="_Toc21319"/>
      <w:bookmarkStart w:id="193" w:name="_Toc29025"/>
      <w:bookmarkStart w:id="194" w:name="_Toc17802"/>
      <w:bookmarkStart w:id="195" w:name="_Toc15042"/>
      <w:bookmarkStart w:id="196" w:name="_Toc426457703"/>
      <w:bookmarkStart w:id="197" w:name="_Toc27599"/>
      <w:bookmarkStart w:id="198" w:name="_Toc403077651"/>
      <w:bookmarkStart w:id="199" w:name="_Toc363474030"/>
      <w:bookmarkStart w:id="200" w:name="_Toc4332"/>
      <w:bookmarkStart w:id="201" w:name="_Toc21967"/>
      <w:bookmarkStart w:id="202" w:name="_Toc13499"/>
      <w:r>
        <w:rPr>
          <w:rStyle w:val="30"/>
          <w:rFonts w:hint="eastAsia"/>
          <w:b/>
          <w:bCs/>
          <w:highlight w:val="none"/>
        </w:rPr>
        <w:t>二、投标报价表</w:t>
      </w:r>
      <w:bookmarkEnd w:id="192"/>
      <w:bookmarkEnd w:id="193"/>
      <w:bookmarkEnd w:id="194"/>
      <w:bookmarkEnd w:id="195"/>
      <w:bookmarkEnd w:id="196"/>
      <w:bookmarkEnd w:id="197"/>
      <w:bookmarkEnd w:id="198"/>
      <w:bookmarkEnd w:id="199"/>
      <w:bookmarkEnd w:id="200"/>
      <w:bookmarkEnd w:id="201"/>
      <w:bookmarkEnd w:id="202"/>
    </w:p>
    <w:p>
      <w:pPr>
        <w:pStyle w:val="5"/>
        <w:spacing w:before="0" w:beforeLines="0" w:after="0" w:afterLines="0" w:line="240" w:lineRule="auto"/>
        <w:ind w:left="0"/>
        <w:rPr>
          <w:highlight w:val="none"/>
        </w:rPr>
      </w:pPr>
      <w:r>
        <w:rPr>
          <w:rFonts w:hint="eastAsia"/>
          <w:highlight w:val="none"/>
        </w:rPr>
        <w:t>2.1开标一览表</w:t>
      </w:r>
    </w:p>
    <w:p>
      <w:pPr>
        <w:pStyle w:val="13"/>
        <w:spacing w:line="360" w:lineRule="auto"/>
        <w:rPr>
          <w:rFonts w:hAnsi="宋体"/>
          <w:color w:val="auto"/>
          <w:sz w:val="24"/>
          <w:highlight w:val="none"/>
        </w:rPr>
      </w:pPr>
      <w:r>
        <w:rPr>
          <w:rFonts w:hint="eastAsia" w:hAnsi="宋体"/>
          <w:color w:val="auto"/>
          <w:sz w:val="24"/>
          <w:highlight w:val="none"/>
          <w:lang w:val="en-US" w:eastAsia="zh-CN"/>
        </w:rPr>
        <w:t>项目</w:t>
      </w:r>
      <w:r>
        <w:rPr>
          <w:rFonts w:hint="eastAsia" w:hAnsi="宋体"/>
          <w:color w:val="auto"/>
          <w:sz w:val="24"/>
          <w:highlight w:val="none"/>
        </w:rPr>
        <w:t>编号：</w:t>
      </w:r>
      <w:r>
        <w:rPr>
          <w:rFonts w:hint="eastAsia" w:hAnsi="宋体"/>
          <w:color w:val="auto"/>
          <w:sz w:val="24"/>
          <w:highlight w:val="none"/>
          <w:u w:val="single"/>
        </w:rPr>
        <w:t xml:space="preserve">                    </w:t>
      </w:r>
    </w:p>
    <w:p>
      <w:pPr>
        <w:pStyle w:val="13"/>
        <w:spacing w:line="360" w:lineRule="auto"/>
        <w:rPr>
          <w:rFonts w:ascii="Times New Roman" w:hAnsi="Times New Roman"/>
          <w:color w:val="auto"/>
          <w:sz w:val="24"/>
          <w:szCs w:val="24"/>
          <w:highlight w:val="none"/>
        </w:rPr>
      </w:pPr>
      <w:r>
        <w:rPr>
          <w:rFonts w:hint="eastAsia" w:hAnsi="宋体"/>
          <w:color w:val="auto"/>
          <w:sz w:val="24"/>
          <w:highlight w:val="none"/>
          <w:lang w:val="en-US" w:eastAsia="zh-CN"/>
        </w:rPr>
        <w:t>合同包号</w:t>
      </w:r>
      <w:r>
        <w:rPr>
          <w:rFonts w:hint="eastAsia" w:hAnsi="宋体"/>
          <w:color w:val="auto"/>
          <w:sz w:val="24"/>
          <w:highlight w:val="none"/>
        </w:rPr>
        <w:t>：</w:t>
      </w:r>
      <w:r>
        <w:rPr>
          <w:rFonts w:hint="eastAsia" w:hAnsi="宋体"/>
          <w:color w:val="auto"/>
          <w:sz w:val="24"/>
          <w:highlight w:val="none"/>
          <w:u w:val="single"/>
        </w:rPr>
        <w:t xml:space="preserve">   </w:t>
      </w:r>
      <w:r>
        <w:rPr>
          <w:rFonts w:hint="eastAsia" w:hAnsi="宋体"/>
          <w:b/>
          <w:color w:val="auto"/>
          <w:sz w:val="24"/>
          <w:highlight w:val="none"/>
          <w:u w:val="single"/>
          <w:lang w:val="en-US" w:eastAsia="zh-CN"/>
        </w:rPr>
        <w:t>1</w:t>
      </w:r>
      <w:r>
        <w:rPr>
          <w:rFonts w:hint="eastAsia" w:hAnsi="宋体"/>
          <w:b/>
          <w:color w:val="auto"/>
          <w:sz w:val="24"/>
          <w:highlight w:val="none"/>
          <w:u w:val="single"/>
          <w:lang w:eastAsia="zh-CN"/>
        </w:rPr>
        <w:t>（标准面粉）</w:t>
      </w:r>
      <w:r>
        <w:rPr>
          <w:rFonts w:hint="eastAsia" w:hAnsi="宋体"/>
          <w:color w:val="auto"/>
          <w:sz w:val="24"/>
          <w:highlight w:val="none"/>
          <w:u w:val="single"/>
        </w:rPr>
        <w:t xml:space="preserve">  </w:t>
      </w:r>
      <w:r>
        <w:rPr>
          <w:rFonts w:hint="eastAsia" w:ascii="Times New Roman" w:hAnsi="Times New Roman"/>
          <w:color w:val="auto"/>
          <w:sz w:val="24"/>
          <w:szCs w:val="24"/>
          <w:highlight w:val="none"/>
          <w:u w:val="single"/>
        </w:rPr>
        <w:t xml:space="preserve"> </w:t>
      </w:r>
      <w:r>
        <w:rPr>
          <w:rFonts w:hint="eastAsia" w:ascii="Times New Roman" w:hAnsi="Times New Roman"/>
          <w:color w:val="auto"/>
          <w:sz w:val="24"/>
          <w:szCs w:val="24"/>
          <w:highlight w:val="none"/>
        </w:rPr>
        <w:t xml:space="preserve">        </w:t>
      </w:r>
    </w:p>
    <w:p>
      <w:pPr>
        <w:spacing w:line="360" w:lineRule="auto"/>
        <w:jc w:val="right"/>
        <w:rPr>
          <w:color w:val="auto"/>
          <w:sz w:val="24"/>
          <w:highlight w:val="none"/>
        </w:rPr>
      </w:pP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959"/>
        <w:gridCol w:w="1120"/>
        <w:gridCol w:w="1393"/>
        <w:gridCol w:w="1251"/>
        <w:gridCol w:w="1251"/>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506"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合同包号</w:t>
            </w:r>
          </w:p>
        </w:tc>
        <w:tc>
          <w:tcPr>
            <w:tcW w:w="1074"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产品名称</w:t>
            </w:r>
          </w:p>
        </w:tc>
        <w:tc>
          <w:tcPr>
            <w:tcW w:w="614"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包装</w:t>
            </w:r>
          </w:p>
          <w:p>
            <w:pPr>
              <w:spacing w:line="360" w:lineRule="auto"/>
              <w:jc w:val="center"/>
              <w:rPr>
                <w:rFonts w:ascii="宋体" w:hAnsi="宋体"/>
                <w:color w:val="auto"/>
                <w:sz w:val="24"/>
                <w:highlight w:val="none"/>
              </w:rPr>
            </w:pPr>
            <w:r>
              <w:rPr>
                <w:rFonts w:hint="eastAsia" w:ascii="宋体" w:hAnsi="宋体"/>
                <w:color w:val="auto"/>
                <w:sz w:val="24"/>
                <w:highlight w:val="none"/>
              </w:rPr>
              <w:t>规格</w:t>
            </w:r>
          </w:p>
        </w:tc>
        <w:tc>
          <w:tcPr>
            <w:tcW w:w="764"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综合单价</w:t>
            </w:r>
          </w:p>
          <w:p>
            <w:pPr>
              <w:spacing w:line="360" w:lineRule="auto"/>
              <w:jc w:val="center"/>
              <w:rPr>
                <w:rFonts w:ascii="宋体" w:hAnsi="宋体"/>
                <w:color w:val="auto"/>
                <w:sz w:val="24"/>
                <w:highlight w:val="none"/>
              </w:rPr>
            </w:pPr>
            <w:r>
              <w:rPr>
                <w:rFonts w:hint="eastAsia" w:ascii="宋体" w:hAnsi="宋体"/>
                <w:color w:val="auto"/>
                <w:sz w:val="24"/>
                <w:highlight w:val="none"/>
              </w:rPr>
              <w:t>（元</w:t>
            </w:r>
            <w:r>
              <w:rPr>
                <w:rFonts w:ascii="宋体" w:hAnsi="宋体"/>
                <w:color w:val="auto"/>
                <w:sz w:val="24"/>
                <w:highlight w:val="none"/>
              </w:rPr>
              <w:t>/</w:t>
            </w:r>
            <w:r>
              <w:rPr>
                <w:rFonts w:hint="eastAsia" w:ascii="宋体" w:hAnsi="宋体"/>
                <w:color w:val="auto"/>
                <w:sz w:val="24"/>
                <w:highlight w:val="none"/>
              </w:rPr>
              <w:t>袋）</w:t>
            </w:r>
          </w:p>
        </w:tc>
        <w:tc>
          <w:tcPr>
            <w:tcW w:w="686"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数量</w:t>
            </w:r>
          </w:p>
        </w:tc>
        <w:tc>
          <w:tcPr>
            <w:tcW w:w="686"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合计（元）</w:t>
            </w:r>
          </w:p>
        </w:tc>
        <w:tc>
          <w:tcPr>
            <w:tcW w:w="667"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投标</w:t>
            </w:r>
          </w:p>
          <w:p>
            <w:pPr>
              <w:spacing w:line="360" w:lineRule="auto"/>
              <w:jc w:val="center"/>
              <w:rPr>
                <w:rFonts w:ascii="宋体" w:hAnsi="宋体"/>
                <w:color w:val="auto"/>
                <w:sz w:val="24"/>
                <w:highlight w:val="none"/>
              </w:rPr>
            </w:pPr>
            <w:r>
              <w:rPr>
                <w:rFonts w:hint="eastAsia" w:ascii="宋体" w:hAnsi="宋体"/>
                <w:color w:val="auto"/>
                <w:sz w:val="24"/>
                <w:highlight w:val="none"/>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6" w:type="pct"/>
            <w:vAlign w:val="center"/>
          </w:tcPr>
          <w:p>
            <w:pPr>
              <w:spacing w:line="360" w:lineRule="auto"/>
              <w:jc w:val="center"/>
              <w:rPr>
                <w:rFonts w:ascii="宋体" w:hAnsi="宋体"/>
                <w:color w:val="auto"/>
                <w:sz w:val="24"/>
                <w:highlight w:val="none"/>
              </w:rPr>
            </w:pPr>
            <w:r>
              <w:rPr>
                <w:rFonts w:hint="eastAsia" w:hAnsi="宋体"/>
                <w:color w:val="auto"/>
                <w:sz w:val="24"/>
                <w:highlight w:val="none"/>
                <w:lang w:val="en-US" w:eastAsia="zh-CN"/>
              </w:rPr>
              <w:t>1</w:t>
            </w:r>
          </w:p>
        </w:tc>
        <w:tc>
          <w:tcPr>
            <w:tcW w:w="1074" w:type="pct"/>
            <w:vAlign w:val="center"/>
          </w:tcPr>
          <w:p>
            <w:pPr>
              <w:pStyle w:val="13"/>
              <w:spacing w:line="336" w:lineRule="auto"/>
              <w:jc w:val="center"/>
              <w:rPr>
                <w:rFonts w:ascii="仿宋" w:hAnsi="仿宋" w:cs="仿宋"/>
                <w:color w:val="auto"/>
                <w:sz w:val="24"/>
                <w:szCs w:val="24"/>
                <w:highlight w:val="none"/>
              </w:rPr>
            </w:pPr>
            <w:r>
              <w:rPr>
                <w:rFonts w:hint="eastAsia" w:ascii="仿宋" w:hAnsi="仿宋" w:cs="仿宋"/>
                <w:color w:val="auto"/>
                <w:sz w:val="24"/>
                <w:szCs w:val="24"/>
                <w:highlight w:val="none"/>
                <w:lang w:eastAsia="zh-CN"/>
              </w:rPr>
              <w:t>面粉</w:t>
            </w:r>
          </w:p>
        </w:tc>
        <w:tc>
          <w:tcPr>
            <w:tcW w:w="614" w:type="pct"/>
            <w:vAlign w:val="center"/>
          </w:tcPr>
          <w:p>
            <w:pPr>
              <w:spacing w:line="360" w:lineRule="auto"/>
              <w:jc w:val="left"/>
              <w:rPr>
                <w:rFonts w:ascii="宋体" w:hAnsi="宋体"/>
                <w:color w:val="auto"/>
                <w:sz w:val="24"/>
                <w:highlight w:val="none"/>
              </w:rPr>
            </w:pPr>
            <w:r>
              <w:rPr>
                <w:rFonts w:ascii="宋体" w:hAnsi="宋体"/>
                <w:color w:val="auto"/>
                <w:sz w:val="24"/>
                <w:highlight w:val="none"/>
              </w:rPr>
              <w:t>25KG/</w:t>
            </w:r>
            <w:r>
              <w:rPr>
                <w:rFonts w:hint="eastAsia" w:ascii="宋体" w:hAnsi="宋体"/>
                <w:color w:val="auto"/>
                <w:sz w:val="24"/>
                <w:highlight w:val="none"/>
              </w:rPr>
              <w:t>袋</w:t>
            </w:r>
          </w:p>
        </w:tc>
        <w:tc>
          <w:tcPr>
            <w:tcW w:w="764" w:type="pct"/>
            <w:vAlign w:val="center"/>
          </w:tcPr>
          <w:p>
            <w:pPr>
              <w:spacing w:line="360" w:lineRule="auto"/>
              <w:jc w:val="center"/>
              <w:rPr>
                <w:rFonts w:ascii="宋体" w:hAnsi="宋体"/>
                <w:color w:val="auto"/>
                <w:sz w:val="24"/>
                <w:highlight w:val="none"/>
              </w:rPr>
            </w:pPr>
          </w:p>
        </w:tc>
        <w:tc>
          <w:tcPr>
            <w:tcW w:w="686" w:type="pct"/>
            <w:vAlign w:val="center"/>
          </w:tcPr>
          <w:p>
            <w:pPr>
              <w:spacing w:line="360" w:lineRule="auto"/>
              <w:jc w:val="center"/>
              <w:rPr>
                <w:rFonts w:hint="default" w:ascii="宋体" w:hAnsi="宋体" w:eastAsia="宋体"/>
                <w:color w:val="auto"/>
                <w:sz w:val="24"/>
                <w:highlight w:val="none"/>
                <w:lang w:val="en-US" w:eastAsia="zh-CN"/>
              </w:rPr>
            </w:pPr>
            <w:r>
              <w:rPr>
                <w:rFonts w:hint="default" w:ascii="宋体" w:hAnsi="宋体" w:eastAsia="宋体"/>
                <w:color w:val="auto"/>
                <w:sz w:val="24"/>
                <w:highlight w:val="none"/>
                <w:lang w:val="en-US" w:eastAsia="zh-CN"/>
              </w:rPr>
              <w:t>12000</w:t>
            </w:r>
            <w:r>
              <w:rPr>
                <w:rFonts w:hint="eastAsia" w:hAnsi="宋体"/>
                <w:color w:val="auto"/>
                <w:sz w:val="24"/>
                <w:highlight w:val="none"/>
                <w:lang w:val="en-US" w:eastAsia="zh-CN"/>
              </w:rPr>
              <w:t>袋</w:t>
            </w:r>
          </w:p>
        </w:tc>
        <w:tc>
          <w:tcPr>
            <w:tcW w:w="686" w:type="pct"/>
            <w:vAlign w:val="center"/>
          </w:tcPr>
          <w:p>
            <w:pPr>
              <w:spacing w:line="360" w:lineRule="auto"/>
              <w:jc w:val="center"/>
              <w:rPr>
                <w:rFonts w:ascii="宋体" w:hAnsi="宋体"/>
                <w:color w:val="auto"/>
                <w:sz w:val="24"/>
                <w:highlight w:val="none"/>
              </w:rPr>
            </w:pPr>
          </w:p>
        </w:tc>
        <w:tc>
          <w:tcPr>
            <w:tcW w:w="667" w:type="pct"/>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00" w:type="pct"/>
            <w:gridSpan w:val="7"/>
            <w:vAlign w:val="center"/>
          </w:tcPr>
          <w:p>
            <w:pPr>
              <w:spacing w:line="360" w:lineRule="auto"/>
              <w:jc w:val="left"/>
              <w:rPr>
                <w:rFonts w:ascii="宋体" w:hAnsi="宋体"/>
                <w:color w:val="auto"/>
                <w:sz w:val="24"/>
                <w:highlight w:val="none"/>
              </w:rPr>
            </w:pPr>
            <w:r>
              <w:rPr>
                <w:rFonts w:hint="eastAsia" w:hAnsi="宋体"/>
                <w:color w:val="auto"/>
                <w:sz w:val="24"/>
                <w:highlight w:val="none"/>
                <w:lang w:eastAsia="zh-CN"/>
              </w:rPr>
              <w:t>交货期</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00" w:type="pct"/>
            <w:gridSpan w:val="7"/>
            <w:vAlign w:val="center"/>
          </w:tcPr>
          <w:p>
            <w:pPr>
              <w:spacing w:line="360" w:lineRule="auto"/>
              <w:jc w:val="left"/>
              <w:rPr>
                <w:rFonts w:hint="eastAsia" w:ascii="宋体" w:hAnsi="宋体"/>
                <w:color w:val="auto"/>
                <w:sz w:val="24"/>
                <w:highlight w:val="none"/>
              </w:rPr>
            </w:pPr>
            <w:r>
              <w:rPr>
                <w:rFonts w:hint="eastAsia" w:ascii="宋体" w:hAnsi="宋体"/>
                <w:color w:val="auto"/>
                <w:sz w:val="24"/>
                <w:highlight w:val="none"/>
              </w:rPr>
              <w:t>投标总报价人民币大写：</w:t>
            </w:r>
          </w:p>
        </w:tc>
      </w:tr>
    </w:tbl>
    <w:p>
      <w:pPr>
        <w:spacing w:line="360" w:lineRule="auto"/>
        <w:ind w:firstLine="482" w:firstLineChars="200"/>
        <w:jc w:val="right"/>
        <w:rPr>
          <w:rFonts w:hAnsi="宋体"/>
          <w:b/>
          <w:color w:val="auto"/>
          <w:sz w:val="24"/>
          <w:highlight w:val="none"/>
        </w:rPr>
      </w:pPr>
    </w:p>
    <w:p>
      <w:pPr>
        <w:pStyle w:val="13"/>
        <w:spacing w:line="360" w:lineRule="auto"/>
        <w:rPr>
          <w:rFonts w:hAnsi="宋体"/>
          <w:b/>
          <w:color w:val="auto"/>
          <w:sz w:val="24"/>
          <w:highlight w:val="none"/>
        </w:rPr>
      </w:pPr>
      <w:r>
        <w:rPr>
          <w:rFonts w:hint="eastAsia" w:hAnsi="宋体"/>
          <w:b/>
          <w:color w:val="auto"/>
          <w:sz w:val="24"/>
          <w:highlight w:val="none"/>
        </w:rPr>
        <w:t>说明：</w:t>
      </w:r>
      <w:r>
        <w:rPr>
          <w:rFonts w:hint="eastAsia" w:hAnsi="宋体"/>
          <w:color w:val="auto"/>
          <w:sz w:val="24"/>
          <w:highlight w:val="none"/>
        </w:rPr>
        <w:t>1、投标报价应以人民币为结算货币，单位为元，投标报价包含货款、运费、装卸费、税费等所有费用之和，并</w:t>
      </w:r>
      <w:r>
        <w:rPr>
          <w:rFonts w:hint="eastAsia" w:ascii="宋体" w:hAnsi="宋体" w:eastAsia="宋体" w:cs="Times New Roman"/>
          <w:color w:val="auto"/>
          <w:sz w:val="24"/>
          <w:highlight w:val="none"/>
        </w:rPr>
        <w:t>按</w:t>
      </w:r>
      <w:r>
        <w:rPr>
          <w:rFonts w:hint="eastAsia" w:ascii="宋体" w:hAnsi="宋体" w:eastAsia="宋体" w:cs="Times New Roman"/>
          <w:color w:val="auto"/>
          <w:sz w:val="24"/>
          <w:highlight w:val="none"/>
          <w:lang w:eastAsia="zh-CN"/>
        </w:rPr>
        <w:t>要求送货到采购人</w:t>
      </w:r>
      <w:r>
        <w:rPr>
          <w:rFonts w:hint="eastAsia" w:ascii="宋体" w:hAnsi="宋体" w:eastAsia="宋体" w:cs="Times New Roman"/>
          <w:color w:val="auto"/>
          <w:sz w:val="24"/>
          <w:highlight w:val="none"/>
        </w:rPr>
        <w:t>指定地点。</w:t>
      </w:r>
    </w:p>
    <w:p>
      <w:pPr>
        <w:pStyle w:val="13"/>
        <w:spacing w:line="360" w:lineRule="auto"/>
        <w:ind w:firstLine="720" w:firstLineChars="300"/>
        <w:rPr>
          <w:rFonts w:hAnsi="宋体"/>
          <w:color w:val="auto"/>
          <w:sz w:val="24"/>
          <w:highlight w:val="none"/>
        </w:rPr>
      </w:pPr>
      <w:r>
        <w:rPr>
          <w:rFonts w:hint="eastAsia" w:hAnsi="宋体"/>
          <w:color w:val="auto"/>
          <w:sz w:val="24"/>
          <w:highlight w:val="none"/>
          <w:lang w:val="en-US" w:eastAsia="zh-CN"/>
        </w:rPr>
        <w:t>2</w:t>
      </w:r>
      <w:r>
        <w:rPr>
          <w:rFonts w:hint="eastAsia" w:hAnsi="宋体"/>
          <w:color w:val="auto"/>
          <w:sz w:val="24"/>
          <w:highlight w:val="none"/>
        </w:rPr>
        <w:t>、所有报价保留小数点后两位，第三位按四舍五入计。</w:t>
      </w:r>
    </w:p>
    <w:p>
      <w:pPr>
        <w:spacing w:line="360" w:lineRule="auto"/>
        <w:ind w:firstLine="559" w:firstLineChars="232"/>
        <w:textAlignment w:val="baseline"/>
        <w:rPr>
          <w:rFonts w:ascii="宋体" w:hAnsi="宋体"/>
          <w:b/>
          <w:color w:val="auto"/>
          <w:sz w:val="24"/>
          <w:highlight w:val="none"/>
        </w:rPr>
      </w:pPr>
    </w:p>
    <w:p>
      <w:pPr>
        <w:pStyle w:val="9"/>
        <w:ind w:firstLine="0" w:firstLineChars="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9"/>
        <w:ind w:firstLine="0" w:firstLineChars="0"/>
        <w:rPr>
          <w:color w:val="auto"/>
          <w:highlight w:val="none"/>
        </w:rPr>
      </w:pPr>
    </w:p>
    <w:p>
      <w:pPr>
        <w:pStyle w:val="9"/>
        <w:ind w:firstLine="0" w:firstLineChars="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9"/>
        <w:ind w:firstLine="0" w:firstLineChars="0"/>
        <w:rPr>
          <w:color w:val="auto"/>
          <w:highlight w:val="none"/>
        </w:rPr>
      </w:pPr>
    </w:p>
    <w:p>
      <w:pPr>
        <w:pStyle w:val="9"/>
        <w:ind w:firstLine="0" w:firstLineChars="0"/>
        <w:rPr>
          <w:b/>
          <w:bCs/>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13"/>
        <w:spacing w:line="480" w:lineRule="auto"/>
        <w:jc w:val="center"/>
        <w:rPr>
          <w:rFonts w:hAnsi="宋体"/>
          <w:color w:val="auto"/>
          <w:sz w:val="24"/>
          <w:szCs w:val="28"/>
          <w:highlight w:val="none"/>
        </w:rPr>
      </w:pPr>
      <w:r>
        <w:rPr>
          <w:rFonts w:hAnsi="宋体"/>
          <w:color w:val="auto"/>
          <w:sz w:val="24"/>
          <w:szCs w:val="28"/>
          <w:highlight w:val="none"/>
        </w:rPr>
        <w:br w:type="page"/>
      </w:r>
    </w:p>
    <w:p>
      <w:pPr>
        <w:pStyle w:val="13"/>
        <w:spacing w:line="480" w:lineRule="auto"/>
        <w:jc w:val="center"/>
        <w:rPr>
          <w:rFonts w:hAnsi="宋体"/>
          <w:b/>
          <w:color w:val="auto"/>
          <w:sz w:val="30"/>
          <w:szCs w:val="30"/>
          <w:highlight w:val="none"/>
        </w:rPr>
      </w:pPr>
      <w:r>
        <w:rPr>
          <w:rFonts w:hint="eastAsia" w:hAnsi="宋体"/>
          <w:b/>
          <w:color w:val="auto"/>
          <w:sz w:val="30"/>
          <w:szCs w:val="30"/>
          <w:highlight w:val="none"/>
        </w:rPr>
        <w:t>开标一览表</w:t>
      </w:r>
    </w:p>
    <w:p>
      <w:pPr>
        <w:pStyle w:val="13"/>
        <w:spacing w:line="360" w:lineRule="auto"/>
        <w:rPr>
          <w:rFonts w:hAnsi="宋体"/>
          <w:sz w:val="24"/>
          <w:highlight w:val="none"/>
        </w:rPr>
      </w:pPr>
      <w:r>
        <w:rPr>
          <w:rFonts w:hint="eastAsia" w:hAnsi="宋体"/>
          <w:sz w:val="24"/>
          <w:highlight w:val="none"/>
          <w:lang w:val="en-US" w:eastAsia="zh-CN"/>
        </w:rPr>
        <w:t>项目</w:t>
      </w:r>
      <w:r>
        <w:rPr>
          <w:rFonts w:hint="eastAsia" w:hAnsi="宋体"/>
          <w:sz w:val="24"/>
          <w:highlight w:val="none"/>
        </w:rPr>
        <w:t>编号：</w:t>
      </w:r>
      <w:r>
        <w:rPr>
          <w:rFonts w:hint="eastAsia" w:hAnsi="宋体"/>
          <w:sz w:val="24"/>
          <w:highlight w:val="none"/>
          <w:u w:val="single"/>
        </w:rPr>
        <w:t xml:space="preserve">                     </w:t>
      </w:r>
    </w:p>
    <w:p>
      <w:pPr>
        <w:pStyle w:val="13"/>
        <w:spacing w:line="360" w:lineRule="auto"/>
        <w:rPr>
          <w:rFonts w:ascii="Times New Roman" w:hAnsi="Times New Roman"/>
          <w:sz w:val="24"/>
          <w:szCs w:val="24"/>
          <w:highlight w:val="none"/>
        </w:rPr>
      </w:pPr>
      <w:r>
        <w:rPr>
          <w:rFonts w:hint="eastAsia" w:hAnsi="宋体"/>
          <w:sz w:val="24"/>
          <w:highlight w:val="none"/>
          <w:lang w:val="en-US" w:eastAsia="zh-CN"/>
        </w:rPr>
        <w:t>合同包号</w:t>
      </w:r>
      <w:r>
        <w:rPr>
          <w:rFonts w:hint="eastAsia" w:hAnsi="宋体"/>
          <w:sz w:val="24"/>
          <w:highlight w:val="none"/>
        </w:rPr>
        <w:t>：</w:t>
      </w:r>
      <w:r>
        <w:rPr>
          <w:rFonts w:hint="eastAsia" w:hAnsi="宋体"/>
          <w:sz w:val="24"/>
          <w:highlight w:val="none"/>
          <w:u w:val="single"/>
        </w:rPr>
        <w:t xml:space="preserve">  </w:t>
      </w:r>
      <w:r>
        <w:rPr>
          <w:rFonts w:hint="eastAsia" w:hAnsi="宋体"/>
          <w:b/>
          <w:sz w:val="24"/>
          <w:highlight w:val="none"/>
          <w:u w:val="single"/>
        </w:rPr>
        <w:t xml:space="preserve"> </w:t>
      </w:r>
      <w:r>
        <w:rPr>
          <w:rFonts w:hint="eastAsia" w:hAnsi="宋体"/>
          <w:b/>
          <w:sz w:val="24"/>
          <w:highlight w:val="none"/>
          <w:u w:val="single"/>
          <w:lang w:val="en-US" w:eastAsia="zh-CN"/>
        </w:rPr>
        <w:t>2</w:t>
      </w:r>
      <w:r>
        <w:rPr>
          <w:rFonts w:hint="eastAsia" w:hAnsi="宋体"/>
          <w:b/>
          <w:sz w:val="24"/>
          <w:szCs w:val="22"/>
          <w:highlight w:val="none"/>
          <w:u w:val="single"/>
          <w:lang w:val="en-US" w:eastAsia="zh-CN"/>
        </w:rPr>
        <w:t>（米）</w:t>
      </w:r>
      <w:r>
        <w:rPr>
          <w:rFonts w:hint="eastAsia" w:hAnsi="宋体"/>
          <w:sz w:val="24"/>
          <w:highlight w:val="none"/>
          <w:u w:val="single"/>
        </w:rPr>
        <w:t xml:space="preserve"> </w:t>
      </w:r>
      <w:r>
        <w:rPr>
          <w:rFonts w:hint="eastAsia" w:ascii="Times New Roman" w:hAnsi="Times New Roman"/>
          <w:sz w:val="24"/>
          <w:szCs w:val="24"/>
          <w:highlight w:val="none"/>
          <w:u w:val="single"/>
        </w:rPr>
        <w:t xml:space="preserve">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959"/>
        <w:gridCol w:w="1120"/>
        <w:gridCol w:w="1390"/>
        <w:gridCol w:w="1251"/>
        <w:gridCol w:w="1251"/>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502" w:type="pct"/>
            <w:vAlign w:val="center"/>
          </w:tcPr>
          <w:p>
            <w:pPr>
              <w:spacing w:line="360" w:lineRule="auto"/>
              <w:jc w:val="center"/>
              <w:rPr>
                <w:rFonts w:ascii="宋体" w:hAnsi="宋体"/>
                <w:sz w:val="24"/>
                <w:highlight w:val="none"/>
              </w:rPr>
            </w:pPr>
            <w:r>
              <w:rPr>
                <w:rFonts w:hint="eastAsia" w:ascii="宋体" w:hAnsi="宋体"/>
                <w:sz w:val="24"/>
                <w:highlight w:val="none"/>
              </w:rPr>
              <w:t>合同包号</w:t>
            </w:r>
          </w:p>
        </w:tc>
        <w:tc>
          <w:tcPr>
            <w:tcW w:w="1074" w:type="pct"/>
            <w:vAlign w:val="center"/>
          </w:tcPr>
          <w:p>
            <w:pPr>
              <w:spacing w:line="360" w:lineRule="auto"/>
              <w:jc w:val="center"/>
              <w:rPr>
                <w:rFonts w:ascii="宋体" w:hAnsi="宋体"/>
                <w:sz w:val="24"/>
                <w:highlight w:val="none"/>
              </w:rPr>
            </w:pPr>
            <w:r>
              <w:rPr>
                <w:rFonts w:hint="eastAsia" w:ascii="宋体" w:hAnsi="宋体"/>
                <w:sz w:val="24"/>
                <w:highlight w:val="none"/>
              </w:rPr>
              <w:t>产品名称</w:t>
            </w:r>
          </w:p>
        </w:tc>
        <w:tc>
          <w:tcPr>
            <w:tcW w:w="614" w:type="pct"/>
            <w:vAlign w:val="center"/>
          </w:tcPr>
          <w:p>
            <w:pPr>
              <w:spacing w:line="360" w:lineRule="auto"/>
              <w:jc w:val="center"/>
              <w:rPr>
                <w:rFonts w:ascii="宋体" w:hAnsi="宋体"/>
                <w:sz w:val="24"/>
                <w:highlight w:val="none"/>
              </w:rPr>
            </w:pPr>
            <w:r>
              <w:rPr>
                <w:rFonts w:hint="eastAsia" w:ascii="宋体" w:hAnsi="宋体"/>
                <w:sz w:val="24"/>
                <w:highlight w:val="none"/>
              </w:rPr>
              <w:t>包装</w:t>
            </w:r>
          </w:p>
          <w:p>
            <w:pPr>
              <w:spacing w:line="360" w:lineRule="auto"/>
              <w:jc w:val="center"/>
              <w:rPr>
                <w:rFonts w:ascii="宋体" w:hAnsi="宋体"/>
                <w:sz w:val="24"/>
                <w:highlight w:val="none"/>
              </w:rPr>
            </w:pPr>
            <w:r>
              <w:rPr>
                <w:rFonts w:hint="eastAsia" w:ascii="宋体" w:hAnsi="宋体"/>
                <w:sz w:val="24"/>
                <w:highlight w:val="none"/>
              </w:rPr>
              <w:t>规格</w:t>
            </w:r>
          </w:p>
        </w:tc>
        <w:tc>
          <w:tcPr>
            <w:tcW w:w="762" w:type="pct"/>
            <w:vAlign w:val="center"/>
          </w:tcPr>
          <w:p>
            <w:pPr>
              <w:spacing w:line="360" w:lineRule="auto"/>
              <w:jc w:val="center"/>
              <w:rPr>
                <w:rFonts w:ascii="宋体" w:hAnsi="宋体"/>
                <w:sz w:val="24"/>
                <w:highlight w:val="none"/>
              </w:rPr>
            </w:pPr>
            <w:r>
              <w:rPr>
                <w:rFonts w:hint="eastAsia" w:ascii="宋体" w:hAnsi="宋体"/>
                <w:sz w:val="24"/>
                <w:highlight w:val="none"/>
              </w:rPr>
              <w:t>综合单价</w:t>
            </w:r>
          </w:p>
          <w:p>
            <w:pPr>
              <w:spacing w:line="360" w:lineRule="auto"/>
              <w:jc w:val="center"/>
              <w:rPr>
                <w:rFonts w:ascii="宋体" w:hAnsi="宋体"/>
                <w:sz w:val="24"/>
                <w:highlight w:val="none"/>
              </w:rPr>
            </w:pPr>
            <w:r>
              <w:rPr>
                <w:rFonts w:hint="eastAsia" w:ascii="宋体" w:hAnsi="宋体"/>
                <w:sz w:val="24"/>
                <w:highlight w:val="none"/>
              </w:rPr>
              <w:t>（元</w:t>
            </w:r>
            <w:r>
              <w:rPr>
                <w:rFonts w:ascii="宋体" w:hAnsi="宋体"/>
                <w:sz w:val="24"/>
                <w:highlight w:val="none"/>
              </w:rPr>
              <w:t>/</w:t>
            </w:r>
            <w:r>
              <w:rPr>
                <w:rFonts w:hint="eastAsia" w:ascii="宋体" w:hAnsi="宋体"/>
                <w:sz w:val="24"/>
                <w:highlight w:val="none"/>
              </w:rPr>
              <w:t>袋）</w:t>
            </w:r>
          </w:p>
        </w:tc>
        <w:tc>
          <w:tcPr>
            <w:tcW w:w="686" w:type="pct"/>
            <w:vAlign w:val="center"/>
          </w:tcPr>
          <w:p>
            <w:pPr>
              <w:spacing w:line="360" w:lineRule="auto"/>
              <w:jc w:val="center"/>
              <w:rPr>
                <w:rFonts w:ascii="宋体" w:hAnsi="宋体"/>
                <w:sz w:val="24"/>
                <w:highlight w:val="none"/>
              </w:rPr>
            </w:pPr>
            <w:r>
              <w:rPr>
                <w:rFonts w:hint="eastAsia" w:ascii="宋体" w:hAnsi="宋体"/>
                <w:sz w:val="24"/>
                <w:highlight w:val="none"/>
              </w:rPr>
              <w:t>数量</w:t>
            </w:r>
          </w:p>
        </w:tc>
        <w:tc>
          <w:tcPr>
            <w:tcW w:w="686" w:type="pct"/>
            <w:vAlign w:val="center"/>
          </w:tcPr>
          <w:p>
            <w:pPr>
              <w:spacing w:line="360" w:lineRule="auto"/>
              <w:jc w:val="center"/>
              <w:rPr>
                <w:rFonts w:ascii="宋体" w:hAnsi="宋体"/>
                <w:sz w:val="24"/>
                <w:highlight w:val="none"/>
              </w:rPr>
            </w:pPr>
            <w:r>
              <w:rPr>
                <w:rFonts w:hint="eastAsia" w:ascii="宋体" w:hAnsi="宋体"/>
                <w:sz w:val="24"/>
                <w:highlight w:val="none"/>
              </w:rPr>
              <w:t>合计（元）</w:t>
            </w:r>
          </w:p>
        </w:tc>
        <w:tc>
          <w:tcPr>
            <w:tcW w:w="675" w:type="pct"/>
            <w:vAlign w:val="center"/>
          </w:tcPr>
          <w:p>
            <w:pPr>
              <w:spacing w:line="360" w:lineRule="auto"/>
              <w:jc w:val="center"/>
              <w:rPr>
                <w:rFonts w:ascii="宋体" w:hAnsi="宋体"/>
                <w:sz w:val="24"/>
                <w:highlight w:val="none"/>
              </w:rPr>
            </w:pPr>
            <w:r>
              <w:rPr>
                <w:rFonts w:hint="eastAsia" w:ascii="宋体" w:hAnsi="宋体"/>
                <w:sz w:val="24"/>
                <w:highlight w:val="none"/>
              </w:rPr>
              <w:t>投标</w:t>
            </w:r>
          </w:p>
          <w:p>
            <w:pPr>
              <w:spacing w:line="360" w:lineRule="auto"/>
              <w:jc w:val="center"/>
              <w:rPr>
                <w:rFonts w:ascii="宋体" w:hAnsi="宋体"/>
                <w:sz w:val="24"/>
                <w:highlight w:val="none"/>
              </w:rPr>
            </w:pPr>
            <w:r>
              <w:rPr>
                <w:rFonts w:hint="eastAsia" w:ascii="宋体" w:hAnsi="宋体"/>
                <w:sz w:val="24"/>
                <w:highlight w:val="none"/>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2" w:type="pct"/>
            <w:vAlign w:val="center"/>
          </w:tcPr>
          <w:p>
            <w:pPr>
              <w:spacing w:line="360" w:lineRule="auto"/>
              <w:jc w:val="center"/>
              <w:rPr>
                <w:rFonts w:ascii="宋体" w:hAnsi="宋体"/>
                <w:color w:val="auto"/>
                <w:sz w:val="24"/>
                <w:highlight w:val="none"/>
              </w:rPr>
            </w:pPr>
            <w:r>
              <w:rPr>
                <w:rFonts w:hint="eastAsia" w:hAnsi="宋体"/>
                <w:color w:val="auto"/>
                <w:sz w:val="24"/>
                <w:highlight w:val="none"/>
                <w:lang w:val="en-US" w:eastAsia="zh-CN"/>
              </w:rPr>
              <w:t>2</w:t>
            </w:r>
          </w:p>
        </w:tc>
        <w:tc>
          <w:tcPr>
            <w:tcW w:w="1074"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粳米</w:t>
            </w:r>
          </w:p>
        </w:tc>
        <w:tc>
          <w:tcPr>
            <w:tcW w:w="614" w:type="pct"/>
            <w:vAlign w:val="center"/>
          </w:tcPr>
          <w:p>
            <w:pPr>
              <w:spacing w:line="360" w:lineRule="auto"/>
              <w:jc w:val="left"/>
              <w:rPr>
                <w:rFonts w:ascii="宋体" w:hAnsi="宋体"/>
                <w:color w:val="auto"/>
                <w:sz w:val="24"/>
                <w:highlight w:val="none"/>
              </w:rPr>
            </w:pPr>
            <w:r>
              <w:rPr>
                <w:rFonts w:ascii="宋体" w:hAnsi="宋体"/>
                <w:color w:val="auto"/>
                <w:sz w:val="24"/>
                <w:highlight w:val="none"/>
              </w:rPr>
              <w:t>25KG/</w:t>
            </w:r>
            <w:r>
              <w:rPr>
                <w:rFonts w:hint="eastAsia" w:ascii="宋体" w:hAnsi="宋体"/>
                <w:color w:val="auto"/>
                <w:sz w:val="24"/>
                <w:highlight w:val="none"/>
              </w:rPr>
              <w:t>袋</w:t>
            </w:r>
          </w:p>
        </w:tc>
        <w:tc>
          <w:tcPr>
            <w:tcW w:w="762" w:type="pct"/>
            <w:vAlign w:val="center"/>
          </w:tcPr>
          <w:p>
            <w:pPr>
              <w:spacing w:line="360" w:lineRule="auto"/>
              <w:jc w:val="center"/>
              <w:rPr>
                <w:rFonts w:ascii="宋体" w:hAnsi="宋体"/>
                <w:color w:val="auto"/>
                <w:sz w:val="24"/>
                <w:highlight w:val="none"/>
              </w:rPr>
            </w:pPr>
          </w:p>
        </w:tc>
        <w:tc>
          <w:tcPr>
            <w:tcW w:w="686" w:type="pct"/>
            <w:vAlign w:val="center"/>
          </w:tcPr>
          <w:p>
            <w:pPr>
              <w:spacing w:line="360" w:lineRule="auto"/>
              <w:jc w:val="center"/>
              <w:rPr>
                <w:rFonts w:hint="eastAsia" w:ascii="宋体" w:hAnsi="宋体" w:eastAsia="宋体"/>
                <w:color w:val="auto"/>
                <w:sz w:val="24"/>
                <w:highlight w:val="none"/>
                <w:lang w:eastAsia="zh-CN"/>
              </w:rPr>
            </w:pPr>
            <w:r>
              <w:rPr>
                <w:rFonts w:ascii="宋体" w:hAnsi="宋体"/>
                <w:color w:val="auto"/>
                <w:sz w:val="24"/>
                <w:highlight w:val="none"/>
              </w:rPr>
              <w:t>3250</w:t>
            </w:r>
            <w:r>
              <w:rPr>
                <w:rFonts w:hint="eastAsia" w:hAnsi="宋体"/>
                <w:color w:val="auto"/>
                <w:sz w:val="24"/>
                <w:highlight w:val="none"/>
                <w:lang w:eastAsia="zh-CN"/>
              </w:rPr>
              <w:t>袋</w:t>
            </w:r>
          </w:p>
        </w:tc>
        <w:tc>
          <w:tcPr>
            <w:tcW w:w="686" w:type="pct"/>
            <w:vAlign w:val="center"/>
          </w:tcPr>
          <w:p>
            <w:pPr>
              <w:spacing w:line="360" w:lineRule="auto"/>
              <w:jc w:val="center"/>
              <w:rPr>
                <w:rFonts w:ascii="宋体" w:hAnsi="宋体"/>
                <w:color w:val="auto"/>
                <w:sz w:val="24"/>
                <w:highlight w:val="none"/>
              </w:rPr>
            </w:pPr>
          </w:p>
        </w:tc>
        <w:tc>
          <w:tcPr>
            <w:tcW w:w="675" w:type="pct"/>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5000" w:type="pct"/>
            <w:gridSpan w:val="7"/>
            <w:vAlign w:val="center"/>
          </w:tcPr>
          <w:p>
            <w:pPr>
              <w:spacing w:line="360" w:lineRule="auto"/>
              <w:jc w:val="left"/>
              <w:rPr>
                <w:rFonts w:hint="eastAsia" w:ascii="宋体" w:hAnsi="宋体"/>
                <w:color w:val="auto"/>
                <w:sz w:val="24"/>
                <w:highlight w:val="none"/>
              </w:rPr>
            </w:pPr>
            <w:r>
              <w:rPr>
                <w:rFonts w:hint="eastAsia" w:hAnsi="宋体"/>
                <w:color w:val="auto"/>
                <w:sz w:val="24"/>
                <w:highlight w:val="none"/>
                <w:lang w:eastAsia="zh-CN"/>
              </w:rPr>
              <w:t>交货期</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00" w:type="pct"/>
            <w:gridSpan w:val="7"/>
            <w:vAlign w:val="center"/>
          </w:tcPr>
          <w:p>
            <w:pPr>
              <w:spacing w:line="360" w:lineRule="auto"/>
              <w:jc w:val="left"/>
              <w:rPr>
                <w:rFonts w:hint="eastAsia" w:ascii="宋体" w:hAnsi="宋体"/>
                <w:color w:val="auto"/>
                <w:sz w:val="24"/>
                <w:highlight w:val="none"/>
              </w:rPr>
            </w:pPr>
            <w:r>
              <w:rPr>
                <w:rFonts w:hint="eastAsia" w:ascii="宋体" w:hAnsi="宋体"/>
                <w:color w:val="auto"/>
                <w:sz w:val="24"/>
                <w:highlight w:val="none"/>
              </w:rPr>
              <w:t>投标总报价人民币大写：</w:t>
            </w:r>
          </w:p>
        </w:tc>
      </w:tr>
    </w:tbl>
    <w:p>
      <w:pPr>
        <w:spacing w:line="360" w:lineRule="auto"/>
        <w:ind w:firstLine="482" w:firstLineChars="200"/>
        <w:jc w:val="right"/>
        <w:rPr>
          <w:rFonts w:hAnsi="宋体"/>
          <w:b/>
          <w:color w:val="auto"/>
          <w:sz w:val="24"/>
          <w:highlight w:val="none"/>
        </w:rPr>
      </w:pPr>
    </w:p>
    <w:p>
      <w:pPr>
        <w:pStyle w:val="13"/>
        <w:spacing w:line="360" w:lineRule="auto"/>
        <w:rPr>
          <w:rFonts w:hAnsi="宋体"/>
          <w:b/>
          <w:color w:val="auto"/>
          <w:sz w:val="24"/>
          <w:highlight w:val="none"/>
        </w:rPr>
      </w:pPr>
      <w:r>
        <w:rPr>
          <w:rFonts w:hint="eastAsia" w:hAnsi="宋体"/>
          <w:b/>
          <w:color w:val="auto"/>
          <w:sz w:val="24"/>
          <w:highlight w:val="none"/>
        </w:rPr>
        <w:t>说明：</w:t>
      </w:r>
      <w:r>
        <w:rPr>
          <w:rFonts w:hint="eastAsia" w:hAnsi="宋体"/>
          <w:color w:val="auto"/>
          <w:sz w:val="24"/>
          <w:highlight w:val="none"/>
        </w:rPr>
        <w:t>1、投标报价应以人民币为结算货币，单位为元，投标报价包含货款、运费、装卸费、税费等所有费用之和，并</w:t>
      </w:r>
      <w:r>
        <w:rPr>
          <w:rFonts w:hint="eastAsia" w:ascii="宋体" w:hAnsi="宋体" w:eastAsia="宋体" w:cs="Times New Roman"/>
          <w:color w:val="auto"/>
          <w:sz w:val="24"/>
          <w:highlight w:val="none"/>
        </w:rPr>
        <w:t>按</w:t>
      </w:r>
      <w:r>
        <w:rPr>
          <w:rFonts w:hint="eastAsia" w:ascii="宋体" w:hAnsi="宋体" w:eastAsia="宋体" w:cs="Times New Roman"/>
          <w:color w:val="auto"/>
          <w:sz w:val="24"/>
          <w:highlight w:val="none"/>
          <w:lang w:eastAsia="zh-CN"/>
        </w:rPr>
        <w:t>要求送货到采购人</w:t>
      </w:r>
      <w:r>
        <w:rPr>
          <w:rFonts w:hint="eastAsia" w:ascii="宋体" w:hAnsi="宋体" w:eastAsia="宋体" w:cs="Times New Roman"/>
          <w:color w:val="auto"/>
          <w:sz w:val="24"/>
          <w:highlight w:val="none"/>
        </w:rPr>
        <w:t>指定地点。</w:t>
      </w:r>
    </w:p>
    <w:p>
      <w:pPr>
        <w:pStyle w:val="13"/>
        <w:spacing w:line="360" w:lineRule="auto"/>
        <w:ind w:firstLine="720" w:firstLineChars="300"/>
        <w:rPr>
          <w:rFonts w:hAnsi="宋体"/>
          <w:color w:val="auto"/>
          <w:sz w:val="24"/>
          <w:highlight w:val="none"/>
        </w:rPr>
      </w:pPr>
      <w:r>
        <w:rPr>
          <w:rFonts w:hint="eastAsia" w:hAnsi="宋体"/>
          <w:color w:val="auto"/>
          <w:sz w:val="24"/>
          <w:highlight w:val="none"/>
          <w:lang w:val="en-US" w:eastAsia="zh-CN"/>
        </w:rPr>
        <w:t>2</w:t>
      </w:r>
      <w:r>
        <w:rPr>
          <w:rFonts w:hint="eastAsia" w:hAnsi="宋体"/>
          <w:color w:val="auto"/>
          <w:sz w:val="24"/>
          <w:highlight w:val="none"/>
        </w:rPr>
        <w:t>、所有报价保留小数点后两位，第三位按四舍五入计。</w:t>
      </w:r>
    </w:p>
    <w:p>
      <w:pPr>
        <w:spacing w:line="360" w:lineRule="auto"/>
        <w:ind w:firstLine="559" w:firstLineChars="232"/>
        <w:textAlignment w:val="baseline"/>
        <w:rPr>
          <w:rFonts w:ascii="宋体" w:hAnsi="宋体"/>
          <w:b/>
          <w:color w:val="auto"/>
          <w:sz w:val="24"/>
          <w:highlight w:val="none"/>
        </w:rPr>
      </w:pPr>
    </w:p>
    <w:p>
      <w:pPr>
        <w:pStyle w:val="9"/>
        <w:ind w:firstLine="0" w:firstLineChars="0"/>
        <w:rPr>
          <w:color w:val="auto"/>
          <w:highlight w:val="none"/>
        </w:rPr>
      </w:pPr>
      <w:r>
        <w:rPr>
          <w:rFonts w:hint="eastAsia"/>
          <w:color w:val="auto"/>
          <w:highlight w:val="none"/>
        </w:rPr>
        <w:t>投标人名称：</w:t>
      </w:r>
      <w:r>
        <w:rPr>
          <w:rFonts w:hint="eastAsia"/>
          <w:color w:val="auto"/>
          <w:highlight w:val="none"/>
          <w:u w:val="single"/>
        </w:rPr>
        <w:t xml:space="preserve">                   </w:t>
      </w:r>
      <w:r>
        <w:rPr>
          <w:rFonts w:hint="eastAsia"/>
          <w:color w:val="auto"/>
          <w:highlight w:val="none"/>
        </w:rPr>
        <w:t>（盖单位公章）</w:t>
      </w:r>
    </w:p>
    <w:p>
      <w:pPr>
        <w:pStyle w:val="9"/>
        <w:ind w:firstLine="0" w:firstLineChars="0"/>
        <w:rPr>
          <w:color w:val="auto"/>
          <w:highlight w:val="none"/>
        </w:rPr>
      </w:pPr>
    </w:p>
    <w:p>
      <w:pPr>
        <w:pStyle w:val="9"/>
        <w:ind w:firstLine="0" w:firstLineChars="0"/>
        <w:rPr>
          <w:color w:val="auto"/>
          <w:highlight w:val="none"/>
        </w:rPr>
      </w:pPr>
      <w:r>
        <w:rPr>
          <w:rFonts w:hint="eastAsia"/>
          <w:color w:val="auto"/>
          <w:highlight w:val="none"/>
        </w:rPr>
        <w:t>法定代表人或被授权人：</w:t>
      </w:r>
      <w:r>
        <w:rPr>
          <w:rFonts w:hint="eastAsia"/>
          <w:color w:val="auto"/>
          <w:highlight w:val="none"/>
          <w:u w:val="single"/>
        </w:rPr>
        <w:t xml:space="preserve">         </w:t>
      </w:r>
      <w:r>
        <w:rPr>
          <w:rFonts w:hint="eastAsia"/>
          <w:color w:val="auto"/>
          <w:highlight w:val="none"/>
        </w:rPr>
        <w:t>（签字或盖章）</w:t>
      </w:r>
    </w:p>
    <w:p>
      <w:pPr>
        <w:pStyle w:val="9"/>
        <w:ind w:firstLine="0" w:firstLineChars="0"/>
        <w:rPr>
          <w:color w:val="auto"/>
          <w:highlight w:val="none"/>
        </w:rPr>
      </w:pPr>
    </w:p>
    <w:p>
      <w:pPr>
        <w:pStyle w:val="9"/>
        <w:ind w:firstLine="0" w:firstLineChars="0"/>
        <w:rPr>
          <w:b/>
          <w:bCs/>
          <w:color w:val="auto"/>
          <w:highlight w:val="none"/>
        </w:rPr>
      </w:pP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360" w:lineRule="auto"/>
        <w:ind w:firstLine="4080" w:firstLineChars="1700"/>
        <w:rPr>
          <w:color w:val="auto"/>
          <w:highlight w:val="none"/>
        </w:rPr>
      </w:pPr>
      <w:r>
        <w:rPr>
          <w:rFonts w:ascii="宋体" w:hAnsi="宋体"/>
          <w:color w:val="auto"/>
          <w:sz w:val="24"/>
          <w:szCs w:val="28"/>
          <w:highlight w:val="none"/>
        </w:rPr>
        <w:br w:type="page"/>
      </w:r>
    </w:p>
    <w:p>
      <w:pPr>
        <w:pStyle w:val="13"/>
        <w:spacing w:line="480" w:lineRule="auto"/>
        <w:jc w:val="center"/>
        <w:rPr>
          <w:rFonts w:hAnsi="宋体"/>
          <w:b/>
          <w:color w:val="auto"/>
          <w:sz w:val="30"/>
          <w:szCs w:val="30"/>
          <w:highlight w:val="none"/>
        </w:rPr>
      </w:pPr>
      <w:r>
        <w:rPr>
          <w:rFonts w:hint="eastAsia" w:hAnsi="宋体"/>
          <w:b/>
          <w:color w:val="auto"/>
          <w:sz w:val="30"/>
          <w:szCs w:val="30"/>
          <w:highlight w:val="none"/>
        </w:rPr>
        <w:t>开标一览表</w:t>
      </w:r>
    </w:p>
    <w:p>
      <w:pPr>
        <w:pStyle w:val="13"/>
        <w:spacing w:line="360" w:lineRule="auto"/>
        <w:rPr>
          <w:rFonts w:hAnsi="宋体"/>
          <w:color w:val="auto"/>
          <w:sz w:val="24"/>
          <w:highlight w:val="none"/>
        </w:rPr>
      </w:pPr>
      <w:r>
        <w:rPr>
          <w:rFonts w:hint="eastAsia" w:hAnsi="宋体"/>
          <w:color w:val="auto"/>
          <w:sz w:val="24"/>
          <w:highlight w:val="none"/>
          <w:lang w:val="en-US" w:eastAsia="zh-CN"/>
        </w:rPr>
        <w:t>项目</w:t>
      </w:r>
      <w:r>
        <w:rPr>
          <w:rFonts w:hint="eastAsia" w:hAnsi="宋体"/>
          <w:color w:val="auto"/>
          <w:sz w:val="24"/>
          <w:highlight w:val="none"/>
        </w:rPr>
        <w:t>编号：</w:t>
      </w:r>
      <w:r>
        <w:rPr>
          <w:rFonts w:hint="eastAsia" w:hAnsi="宋体"/>
          <w:color w:val="auto"/>
          <w:sz w:val="24"/>
          <w:highlight w:val="none"/>
          <w:u w:val="single"/>
        </w:rPr>
        <w:t xml:space="preserve">                   </w:t>
      </w:r>
    </w:p>
    <w:p>
      <w:pPr>
        <w:pStyle w:val="13"/>
        <w:spacing w:line="360" w:lineRule="auto"/>
        <w:rPr>
          <w:rFonts w:ascii="Times New Roman" w:hAnsi="Times New Roman"/>
          <w:color w:val="auto"/>
          <w:sz w:val="24"/>
          <w:szCs w:val="24"/>
          <w:highlight w:val="none"/>
        </w:rPr>
      </w:pPr>
      <w:r>
        <w:rPr>
          <w:rFonts w:hint="eastAsia" w:hAnsi="宋体"/>
          <w:color w:val="auto"/>
          <w:sz w:val="24"/>
          <w:highlight w:val="none"/>
          <w:lang w:val="en-US" w:eastAsia="zh-CN"/>
        </w:rPr>
        <w:t>合同</w:t>
      </w:r>
      <w:r>
        <w:rPr>
          <w:rFonts w:hint="eastAsia" w:hAnsi="宋体"/>
          <w:color w:val="auto"/>
          <w:sz w:val="24"/>
          <w:highlight w:val="none"/>
        </w:rPr>
        <w:t>包号：</w:t>
      </w:r>
      <w:r>
        <w:rPr>
          <w:rFonts w:hint="eastAsia" w:hAnsi="宋体"/>
          <w:color w:val="auto"/>
          <w:sz w:val="24"/>
          <w:highlight w:val="none"/>
          <w:u w:val="single"/>
        </w:rPr>
        <w:t xml:space="preserve">  </w:t>
      </w:r>
      <w:r>
        <w:rPr>
          <w:rFonts w:hint="eastAsia" w:hAnsi="宋体"/>
          <w:b/>
          <w:color w:val="auto"/>
          <w:sz w:val="24"/>
          <w:highlight w:val="none"/>
          <w:u w:val="single"/>
          <w:lang w:val="en-US" w:eastAsia="zh-CN"/>
        </w:rPr>
        <w:t>3（</w:t>
      </w:r>
      <w:r>
        <w:rPr>
          <w:rFonts w:hint="eastAsia" w:hAnsi="宋体"/>
          <w:b/>
          <w:color w:val="auto"/>
          <w:sz w:val="24"/>
          <w:highlight w:val="none"/>
          <w:u w:val="single"/>
          <w:lang w:eastAsia="zh-CN"/>
        </w:rPr>
        <w:t>菜籽油</w:t>
      </w:r>
      <w:r>
        <w:rPr>
          <w:rFonts w:hint="eastAsia" w:hAnsi="宋体"/>
          <w:color w:val="auto"/>
          <w:sz w:val="24"/>
          <w:highlight w:val="none"/>
          <w:u w:val="single"/>
        </w:rPr>
        <w:t xml:space="preserve"> </w:t>
      </w:r>
      <w:r>
        <w:rPr>
          <w:rFonts w:hint="eastAsia" w:hAnsi="宋体"/>
          <w:b/>
          <w:color w:val="auto"/>
          <w:sz w:val="24"/>
          <w:highlight w:val="none"/>
          <w:u w:val="single"/>
          <w:lang w:val="en-US" w:eastAsia="zh-CN"/>
        </w:rPr>
        <w:t>）</w:t>
      </w:r>
      <w:r>
        <w:rPr>
          <w:rFonts w:hint="eastAsia" w:ascii="Times New Roman" w:hAnsi="Times New Roman"/>
          <w:color w:val="auto"/>
          <w:sz w:val="24"/>
          <w:szCs w:val="24"/>
          <w:highlight w:val="none"/>
          <w:u w:val="single"/>
        </w:rPr>
        <w:t xml:space="preserve"> </w:t>
      </w:r>
      <w:r>
        <w:rPr>
          <w:rFonts w:hint="eastAsia" w:ascii="Times New Roman" w:hAnsi="Times New Roman"/>
          <w:color w:val="auto"/>
          <w:sz w:val="24"/>
          <w:szCs w:val="24"/>
          <w:highlight w:val="none"/>
        </w:rPr>
        <w:t xml:space="preserve">        </w:t>
      </w:r>
    </w:p>
    <w:p>
      <w:pPr>
        <w:spacing w:line="360" w:lineRule="auto"/>
        <w:jc w:val="right"/>
        <w:rPr>
          <w:color w:val="auto"/>
          <w:sz w:val="24"/>
          <w:highlight w:val="none"/>
        </w:rPr>
      </w:pP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1565"/>
        <w:gridCol w:w="1165"/>
        <w:gridCol w:w="1490"/>
        <w:gridCol w:w="1499"/>
        <w:gridCol w:w="12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503"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合同包号</w:t>
            </w:r>
          </w:p>
        </w:tc>
        <w:tc>
          <w:tcPr>
            <w:tcW w:w="858"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产品名称</w:t>
            </w:r>
          </w:p>
        </w:tc>
        <w:tc>
          <w:tcPr>
            <w:tcW w:w="116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包装</w:t>
            </w:r>
          </w:p>
          <w:p>
            <w:pPr>
              <w:spacing w:line="360" w:lineRule="auto"/>
              <w:jc w:val="center"/>
              <w:rPr>
                <w:rFonts w:ascii="宋体" w:hAnsi="宋体"/>
                <w:color w:val="auto"/>
                <w:sz w:val="24"/>
                <w:highlight w:val="none"/>
              </w:rPr>
            </w:pPr>
            <w:r>
              <w:rPr>
                <w:rFonts w:hint="eastAsia" w:ascii="宋体" w:hAnsi="宋体"/>
                <w:color w:val="auto"/>
                <w:sz w:val="24"/>
                <w:highlight w:val="none"/>
              </w:rPr>
              <w:t>规格</w:t>
            </w:r>
          </w:p>
        </w:tc>
        <w:tc>
          <w:tcPr>
            <w:tcW w:w="1486"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综合单价</w:t>
            </w:r>
          </w:p>
          <w:p>
            <w:pPr>
              <w:spacing w:line="360" w:lineRule="auto"/>
              <w:jc w:val="center"/>
              <w:rPr>
                <w:rFonts w:ascii="宋体" w:hAnsi="宋体"/>
                <w:color w:val="auto"/>
                <w:sz w:val="24"/>
                <w:highlight w:val="none"/>
              </w:rPr>
            </w:pPr>
            <w:r>
              <w:rPr>
                <w:rFonts w:hint="eastAsia" w:ascii="宋体" w:hAnsi="宋体"/>
                <w:color w:val="auto"/>
                <w:sz w:val="24"/>
                <w:highlight w:val="none"/>
              </w:rPr>
              <w:t>（元</w:t>
            </w:r>
            <w:r>
              <w:rPr>
                <w:rFonts w:ascii="宋体" w:hAnsi="宋体"/>
                <w:color w:val="auto"/>
                <w:sz w:val="24"/>
                <w:highlight w:val="none"/>
              </w:rPr>
              <w:t>/</w:t>
            </w:r>
            <w:r>
              <w:rPr>
                <w:rFonts w:hint="eastAsia" w:hAnsi="宋体"/>
                <w:color w:val="auto"/>
                <w:sz w:val="24"/>
                <w:highlight w:val="none"/>
                <w:lang w:val="en-US" w:eastAsia="zh-CN"/>
              </w:rPr>
              <w:t>KG</w:t>
            </w:r>
            <w:r>
              <w:rPr>
                <w:rFonts w:hint="eastAsia" w:ascii="宋体" w:hAnsi="宋体"/>
                <w:color w:val="auto"/>
                <w:sz w:val="24"/>
                <w:highlight w:val="none"/>
              </w:rPr>
              <w:t>）</w:t>
            </w:r>
          </w:p>
        </w:tc>
        <w:tc>
          <w:tcPr>
            <w:tcW w:w="822"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数量</w:t>
            </w:r>
          </w:p>
        </w:tc>
        <w:tc>
          <w:tcPr>
            <w:tcW w:w="686"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合计（元）</w:t>
            </w:r>
          </w:p>
        </w:tc>
        <w:tc>
          <w:tcPr>
            <w:tcW w:w="675" w:type="pct"/>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投标</w:t>
            </w:r>
          </w:p>
          <w:p>
            <w:pPr>
              <w:spacing w:line="360" w:lineRule="auto"/>
              <w:jc w:val="center"/>
              <w:rPr>
                <w:rFonts w:ascii="宋体" w:hAnsi="宋体"/>
                <w:color w:val="auto"/>
                <w:sz w:val="24"/>
                <w:highlight w:val="none"/>
              </w:rPr>
            </w:pPr>
            <w:r>
              <w:rPr>
                <w:rFonts w:hint="eastAsia" w:ascii="宋体" w:hAnsi="宋体"/>
                <w:color w:val="auto"/>
                <w:sz w:val="24"/>
                <w:highlight w:val="none"/>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pct"/>
            <w:vAlign w:val="center"/>
          </w:tcPr>
          <w:p>
            <w:pPr>
              <w:spacing w:line="360" w:lineRule="auto"/>
              <w:jc w:val="center"/>
              <w:rPr>
                <w:rFonts w:hint="eastAsia" w:ascii="宋体" w:hAnsi="宋体" w:eastAsia="宋体"/>
                <w:color w:val="auto"/>
                <w:sz w:val="24"/>
                <w:highlight w:val="none"/>
                <w:lang w:val="en-US" w:eastAsia="zh-CN"/>
              </w:rPr>
            </w:pPr>
            <w:r>
              <w:rPr>
                <w:rFonts w:hint="eastAsia" w:hAnsi="宋体"/>
                <w:color w:val="auto"/>
                <w:sz w:val="24"/>
                <w:highlight w:val="none"/>
                <w:lang w:val="en-US" w:eastAsia="zh-CN"/>
              </w:rPr>
              <w:t>3</w:t>
            </w:r>
          </w:p>
        </w:tc>
        <w:tc>
          <w:tcPr>
            <w:tcW w:w="858" w:type="pct"/>
            <w:vAlign w:val="center"/>
          </w:tcPr>
          <w:p>
            <w:pPr>
              <w:pStyle w:val="13"/>
              <w:spacing w:line="336" w:lineRule="auto"/>
              <w:jc w:val="center"/>
              <w:rPr>
                <w:rFonts w:ascii="仿宋" w:hAnsi="仿宋" w:cs="仿宋"/>
                <w:color w:val="auto"/>
                <w:sz w:val="24"/>
                <w:szCs w:val="24"/>
                <w:highlight w:val="none"/>
              </w:rPr>
            </w:pPr>
            <w:r>
              <w:rPr>
                <w:rFonts w:hint="eastAsia" w:ascii="仿宋" w:hAnsi="仿宋" w:cs="仿宋"/>
                <w:color w:val="auto"/>
                <w:sz w:val="24"/>
                <w:szCs w:val="24"/>
                <w:highlight w:val="none"/>
              </w:rPr>
              <w:t>菜籽油</w:t>
            </w:r>
          </w:p>
        </w:tc>
        <w:tc>
          <w:tcPr>
            <w:tcW w:w="1163" w:type="dxa"/>
            <w:vAlign w:val="center"/>
          </w:tcPr>
          <w:p>
            <w:pPr>
              <w:spacing w:line="360" w:lineRule="auto"/>
              <w:jc w:val="center"/>
              <w:rPr>
                <w:rFonts w:ascii="宋体" w:hAnsi="宋体"/>
                <w:color w:val="auto"/>
                <w:sz w:val="24"/>
                <w:highlight w:val="none"/>
              </w:rPr>
            </w:pPr>
          </w:p>
        </w:tc>
        <w:tc>
          <w:tcPr>
            <w:tcW w:w="1486" w:type="dxa"/>
            <w:vAlign w:val="center"/>
          </w:tcPr>
          <w:p>
            <w:pPr>
              <w:spacing w:line="360" w:lineRule="auto"/>
              <w:jc w:val="center"/>
              <w:rPr>
                <w:rFonts w:ascii="宋体" w:hAnsi="宋体"/>
                <w:color w:val="auto"/>
                <w:sz w:val="24"/>
                <w:highlight w:val="none"/>
              </w:rPr>
            </w:pPr>
          </w:p>
        </w:tc>
        <w:tc>
          <w:tcPr>
            <w:tcW w:w="822" w:type="pct"/>
            <w:vAlign w:val="center"/>
          </w:tcPr>
          <w:p>
            <w:pPr>
              <w:spacing w:line="360" w:lineRule="auto"/>
              <w:jc w:val="center"/>
              <w:rPr>
                <w:rFonts w:hint="eastAsia" w:ascii="宋体" w:hAnsi="宋体" w:eastAsia="宋体"/>
                <w:color w:val="auto"/>
                <w:sz w:val="24"/>
                <w:highlight w:val="none"/>
                <w:lang w:eastAsia="zh-CN"/>
              </w:rPr>
            </w:pPr>
            <w:r>
              <w:rPr>
                <w:rFonts w:ascii="宋体" w:hAnsi="宋体"/>
                <w:color w:val="auto"/>
                <w:sz w:val="24"/>
                <w:highlight w:val="none"/>
              </w:rPr>
              <w:t>26500</w:t>
            </w:r>
            <w:r>
              <w:rPr>
                <w:rFonts w:hint="eastAsia" w:hAnsi="宋体"/>
                <w:color w:val="auto"/>
                <w:sz w:val="24"/>
                <w:highlight w:val="none"/>
                <w:lang w:eastAsia="zh-CN"/>
              </w:rPr>
              <w:t>公斤</w:t>
            </w:r>
          </w:p>
        </w:tc>
        <w:tc>
          <w:tcPr>
            <w:tcW w:w="686" w:type="pct"/>
            <w:vAlign w:val="center"/>
          </w:tcPr>
          <w:p>
            <w:pPr>
              <w:spacing w:line="360" w:lineRule="auto"/>
              <w:jc w:val="center"/>
              <w:rPr>
                <w:rFonts w:ascii="宋体" w:hAnsi="宋体"/>
                <w:color w:val="auto"/>
                <w:sz w:val="24"/>
                <w:highlight w:val="none"/>
              </w:rPr>
            </w:pPr>
          </w:p>
        </w:tc>
        <w:tc>
          <w:tcPr>
            <w:tcW w:w="675" w:type="pct"/>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00" w:type="pct"/>
            <w:gridSpan w:val="7"/>
            <w:vAlign w:val="center"/>
          </w:tcPr>
          <w:p>
            <w:pPr>
              <w:spacing w:line="360" w:lineRule="auto"/>
              <w:jc w:val="left"/>
              <w:rPr>
                <w:rFonts w:ascii="宋体" w:hAnsi="宋体"/>
                <w:color w:val="auto"/>
                <w:sz w:val="24"/>
                <w:highlight w:val="none"/>
              </w:rPr>
            </w:pPr>
            <w:r>
              <w:rPr>
                <w:rFonts w:hint="eastAsia" w:hAnsi="宋体"/>
                <w:color w:val="auto"/>
                <w:sz w:val="24"/>
                <w:highlight w:val="none"/>
                <w:lang w:eastAsia="zh-CN"/>
              </w:rPr>
              <w:t>交货期</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5000" w:type="pct"/>
            <w:gridSpan w:val="7"/>
            <w:vAlign w:val="center"/>
          </w:tcPr>
          <w:p>
            <w:pPr>
              <w:spacing w:line="360" w:lineRule="auto"/>
              <w:jc w:val="left"/>
              <w:rPr>
                <w:rFonts w:ascii="宋体" w:hAnsi="宋体"/>
                <w:sz w:val="24"/>
                <w:highlight w:val="none"/>
              </w:rPr>
            </w:pPr>
            <w:r>
              <w:rPr>
                <w:rFonts w:hint="eastAsia" w:ascii="宋体" w:hAnsi="宋体"/>
                <w:sz w:val="24"/>
                <w:highlight w:val="none"/>
              </w:rPr>
              <w:t>投标总报价人民币大写：</w:t>
            </w:r>
          </w:p>
        </w:tc>
      </w:tr>
    </w:tbl>
    <w:p>
      <w:pPr>
        <w:spacing w:line="360" w:lineRule="auto"/>
        <w:ind w:firstLine="482" w:firstLineChars="200"/>
        <w:jc w:val="left"/>
        <w:rPr>
          <w:b/>
          <w:sz w:val="24"/>
          <w:highlight w:val="none"/>
        </w:rPr>
      </w:pPr>
      <w:r>
        <w:rPr>
          <w:rFonts w:hint="eastAsia"/>
          <w:b/>
          <w:sz w:val="24"/>
          <w:highlight w:val="none"/>
        </w:rPr>
        <w:t>注：</w:t>
      </w:r>
      <w:r>
        <w:rPr>
          <w:rFonts w:hint="eastAsia"/>
          <w:b/>
          <w:color w:val="auto"/>
          <w:sz w:val="24"/>
          <w:highlight w:val="none"/>
        </w:rPr>
        <w:t>包装规格为：请投标人自行填报。</w:t>
      </w:r>
    </w:p>
    <w:p>
      <w:pPr>
        <w:pStyle w:val="13"/>
        <w:spacing w:line="360" w:lineRule="auto"/>
        <w:rPr>
          <w:rFonts w:hAnsi="宋体"/>
          <w:b/>
          <w:sz w:val="24"/>
          <w:highlight w:val="none"/>
        </w:rPr>
      </w:pPr>
      <w:r>
        <w:rPr>
          <w:rFonts w:hint="eastAsia" w:hAnsi="宋体"/>
          <w:b/>
          <w:sz w:val="24"/>
          <w:highlight w:val="none"/>
        </w:rPr>
        <w:t>说明：</w:t>
      </w:r>
      <w:r>
        <w:rPr>
          <w:rFonts w:hint="eastAsia" w:hAnsi="宋体"/>
          <w:sz w:val="24"/>
          <w:highlight w:val="none"/>
        </w:rPr>
        <w:t>1、投标报价应以人民币为结算货币，单位为元，投标报价包含货款、运费、装卸费、税费等所有费用之和，</w:t>
      </w:r>
      <w:r>
        <w:rPr>
          <w:rFonts w:hint="eastAsia" w:hAnsi="宋体"/>
          <w:color w:val="auto"/>
          <w:sz w:val="24"/>
          <w:highlight w:val="none"/>
        </w:rPr>
        <w:t>并</w:t>
      </w:r>
      <w:r>
        <w:rPr>
          <w:rFonts w:hint="eastAsia" w:ascii="宋体" w:hAnsi="宋体" w:eastAsia="宋体" w:cs="Times New Roman"/>
          <w:color w:val="auto"/>
          <w:sz w:val="24"/>
          <w:highlight w:val="none"/>
        </w:rPr>
        <w:t>按</w:t>
      </w:r>
      <w:r>
        <w:rPr>
          <w:rFonts w:hint="eastAsia" w:ascii="宋体" w:hAnsi="宋体" w:eastAsia="宋体" w:cs="Times New Roman"/>
          <w:color w:val="auto"/>
          <w:sz w:val="24"/>
          <w:highlight w:val="none"/>
          <w:lang w:eastAsia="zh-CN"/>
        </w:rPr>
        <w:t>要求送货到采购人</w:t>
      </w:r>
      <w:r>
        <w:rPr>
          <w:rFonts w:hint="eastAsia" w:ascii="宋体" w:hAnsi="宋体" w:eastAsia="宋体" w:cs="Times New Roman"/>
          <w:color w:val="auto"/>
          <w:sz w:val="24"/>
          <w:highlight w:val="none"/>
        </w:rPr>
        <w:t>指定地点。</w:t>
      </w:r>
    </w:p>
    <w:p>
      <w:pPr>
        <w:pStyle w:val="13"/>
        <w:spacing w:line="360" w:lineRule="auto"/>
        <w:ind w:firstLine="720" w:firstLineChars="300"/>
        <w:rPr>
          <w:rFonts w:hAnsi="宋体"/>
          <w:sz w:val="24"/>
          <w:highlight w:val="none"/>
        </w:rPr>
      </w:pPr>
      <w:r>
        <w:rPr>
          <w:rFonts w:hint="eastAsia" w:hAnsi="宋体"/>
          <w:sz w:val="24"/>
          <w:highlight w:val="none"/>
          <w:lang w:val="en-US" w:eastAsia="zh-CN"/>
        </w:rPr>
        <w:t>2</w:t>
      </w:r>
      <w:r>
        <w:rPr>
          <w:rFonts w:hint="eastAsia" w:hAnsi="宋体"/>
          <w:sz w:val="24"/>
          <w:highlight w:val="none"/>
        </w:rPr>
        <w:t>、所有报价保留小数点后两位，第三位按四舍五入计。</w:t>
      </w:r>
    </w:p>
    <w:p>
      <w:pPr>
        <w:spacing w:line="360" w:lineRule="auto"/>
        <w:ind w:firstLine="559" w:firstLineChars="232"/>
        <w:textAlignment w:val="baseline"/>
        <w:rPr>
          <w:rFonts w:ascii="宋体" w:hAnsi="宋体"/>
          <w:b/>
          <w:sz w:val="24"/>
          <w:highlight w:val="none"/>
        </w:rPr>
      </w:pPr>
    </w:p>
    <w:p>
      <w:pPr>
        <w:pStyle w:val="9"/>
        <w:ind w:firstLine="0" w:firstLineChars="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0" w:firstLineChars="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pStyle w:val="9"/>
        <w:ind w:firstLine="0" w:firstLineChars="0"/>
        <w:rPr>
          <w:b/>
          <w:bCs/>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rPr>
          <w:rFonts w:hint="eastAsia"/>
          <w:highlight w:val="none"/>
        </w:rPr>
      </w:pPr>
    </w:p>
    <w:p>
      <w:pPr>
        <w:rPr>
          <w:rFonts w:hint="eastAsia"/>
          <w:highlight w:val="none"/>
        </w:rPr>
      </w:pPr>
      <w:r>
        <w:rPr>
          <w:rFonts w:hint="eastAsia"/>
          <w:highlight w:val="none"/>
        </w:rPr>
        <w:br w:type="page"/>
      </w:r>
    </w:p>
    <w:p>
      <w:pPr>
        <w:pStyle w:val="5"/>
        <w:spacing w:before="666" w:after="666"/>
        <w:rPr>
          <w:highlight w:val="none"/>
        </w:rPr>
      </w:pPr>
      <w:r>
        <w:rPr>
          <w:rFonts w:hint="eastAsia"/>
          <w:highlight w:val="none"/>
        </w:rPr>
        <w:t>2.2投标分项报价表</w:t>
      </w:r>
    </w:p>
    <w:p>
      <w:pPr>
        <w:pStyle w:val="9"/>
        <w:ind w:firstLine="0" w:firstLineChars="0"/>
        <w:rPr>
          <w:highlight w:val="none"/>
        </w:rPr>
      </w:pPr>
      <w:r>
        <w:rPr>
          <w:rFonts w:hint="eastAsia"/>
          <w:highlight w:val="none"/>
        </w:rPr>
        <w:t>项目名称：</w:t>
      </w:r>
    </w:p>
    <w:p>
      <w:pPr>
        <w:pStyle w:val="9"/>
        <w:ind w:firstLine="0" w:firstLineChars="0"/>
        <w:rPr>
          <w:rFonts w:hint="eastAsia"/>
          <w:highlight w:val="none"/>
        </w:rPr>
      </w:pPr>
      <w:r>
        <w:rPr>
          <w:rFonts w:hint="eastAsia"/>
          <w:highlight w:val="none"/>
        </w:rPr>
        <w:t xml:space="preserve">项目编号： </w:t>
      </w:r>
    </w:p>
    <w:p>
      <w:pPr>
        <w:pStyle w:val="9"/>
        <w:ind w:firstLine="0" w:firstLineChars="0"/>
        <w:rPr>
          <w:rFonts w:hint="eastAsia"/>
          <w:bCs/>
          <w:highlight w:val="none"/>
        </w:rPr>
      </w:pPr>
      <w:r>
        <w:rPr>
          <w:rFonts w:hint="eastAsia"/>
          <w:bCs/>
          <w:highlight w:val="none"/>
          <w:lang w:val="en-US" w:eastAsia="zh-CN"/>
        </w:rPr>
        <w:t>合同包号：</w:t>
      </w:r>
      <w:r>
        <w:rPr>
          <w:rFonts w:hint="eastAsia"/>
          <w:bCs/>
          <w:highlight w:val="none"/>
        </w:rPr>
        <w:t xml:space="preserve">         </w:t>
      </w:r>
    </w:p>
    <w:p>
      <w:pPr>
        <w:pStyle w:val="9"/>
        <w:ind w:firstLine="0" w:firstLineChars="0"/>
        <w:rPr>
          <w:b/>
          <w:highlight w:val="none"/>
        </w:rPr>
      </w:pPr>
      <w:r>
        <w:rPr>
          <w:rFonts w:hint="eastAsia"/>
          <w:bCs/>
          <w:highlight w:val="none"/>
        </w:rPr>
        <w:t xml:space="preserve">            </w:t>
      </w:r>
    </w:p>
    <w:tbl>
      <w:tblPr>
        <w:tblStyle w:val="19"/>
        <w:tblW w:w="9934" w:type="dxa"/>
        <w:jc w:val="center"/>
        <w:tblLayout w:type="fixed"/>
        <w:tblCellMar>
          <w:top w:w="0" w:type="dxa"/>
          <w:left w:w="28" w:type="dxa"/>
          <w:bottom w:w="0" w:type="dxa"/>
          <w:right w:w="28" w:type="dxa"/>
        </w:tblCellMar>
      </w:tblPr>
      <w:tblGrid>
        <w:gridCol w:w="812"/>
        <w:gridCol w:w="497"/>
        <w:gridCol w:w="739"/>
        <w:gridCol w:w="671"/>
        <w:gridCol w:w="1048"/>
        <w:gridCol w:w="1026"/>
        <w:gridCol w:w="1177"/>
        <w:gridCol w:w="1001"/>
        <w:gridCol w:w="780"/>
        <w:gridCol w:w="1090"/>
        <w:gridCol w:w="1093"/>
      </w:tblGrid>
      <w:tr>
        <w:tblPrEx>
          <w:tblCellMar>
            <w:top w:w="0" w:type="dxa"/>
            <w:left w:w="28" w:type="dxa"/>
            <w:bottom w:w="0" w:type="dxa"/>
            <w:right w:w="28" w:type="dxa"/>
          </w:tblCellMar>
        </w:tblPrEx>
        <w:trPr>
          <w:trHeight w:val="710" w:hRule="atLeast"/>
          <w:jc w:val="center"/>
        </w:trPr>
        <w:tc>
          <w:tcPr>
            <w:tcW w:w="812" w:type="dxa"/>
            <w:vMerge w:val="restart"/>
            <w:tcBorders>
              <w:top w:val="single" w:color="auto" w:sz="6" w:space="0"/>
              <w:left w:val="single" w:color="auto" w:sz="6" w:space="0"/>
              <w:right w:val="single" w:color="auto" w:sz="4" w:space="0"/>
            </w:tcBorders>
            <w:vAlign w:val="center"/>
          </w:tcPr>
          <w:p>
            <w:pPr>
              <w:pStyle w:val="29"/>
              <w:rPr>
                <w:highlight w:val="none"/>
              </w:rPr>
            </w:pPr>
            <w:r>
              <w:rPr>
                <w:rFonts w:hint="eastAsia"/>
                <w:highlight w:val="none"/>
              </w:rPr>
              <w:t xml:space="preserve">                           产品</w:t>
            </w:r>
          </w:p>
          <w:p>
            <w:pPr>
              <w:pStyle w:val="29"/>
              <w:rPr>
                <w:highlight w:val="none"/>
              </w:rPr>
            </w:pPr>
            <w:r>
              <w:rPr>
                <w:rFonts w:hint="eastAsia"/>
                <w:highlight w:val="none"/>
              </w:rPr>
              <w:t>费用</w:t>
            </w:r>
          </w:p>
        </w:tc>
        <w:tc>
          <w:tcPr>
            <w:tcW w:w="497" w:type="dxa"/>
            <w:tcBorders>
              <w:top w:val="single" w:color="auto" w:sz="6" w:space="0"/>
              <w:left w:val="single" w:color="auto" w:sz="4" w:space="0"/>
              <w:bottom w:val="single" w:color="auto" w:sz="6" w:space="0"/>
            </w:tcBorders>
            <w:vAlign w:val="center"/>
          </w:tcPr>
          <w:p>
            <w:pPr>
              <w:pStyle w:val="29"/>
              <w:rPr>
                <w:highlight w:val="none"/>
              </w:rPr>
            </w:pPr>
            <w:r>
              <w:rPr>
                <w:rFonts w:hint="eastAsia"/>
                <w:highlight w:val="none"/>
              </w:rPr>
              <w:t>序号</w:t>
            </w:r>
          </w:p>
        </w:tc>
        <w:tc>
          <w:tcPr>
            <w:tcW w:w="739" w:type="dxa"/>
            <w:tcBorders>
              <w:top w:val="single" w:color="auto" w:sz="6" w:space="0"/>
              <w:left w:val="single" w:color="auto" w:sz="6" w:space="0"/>
              <w:bottom w:val="single" w:color="auto" w:sz="6" w:space="0"/>
              <w:right w:val="single" w:color="auto" w:sz="6" w:space="0"/>
            </w:tcBorders>
            <w:vAlign w:val="center"/>
          </w:tcPr>
          <w:p>
            <w:pPr>
              <w:pStyle w:val="29"/>
              <w:rPr>
                <w:highlight w:val="none"/>
              </w:rPr>
            </w:pPr>
            <w:r>
              <w:rPr>
                <w:rFonts w:hint="eastAsia"/>
                <w:highlight w:val="none"/>
              </w:rPr>
              <w:t>名称</w:t>
            </w:r>
          </w:p>
        </w:tc>
        <w:tc>
          <w:tcPr>
            <w:tcW w:w="671" w:type="dxa"/>
            <w:tcBorders>
              <w:top w:val="single" w:color="auto" w:sz="6" w:space="0"/>
              <w:left w:val="single" w:color="auto" w:sz="6" w:space="0"/>
              <w:bottom w:val="single" w:color="auto" w:sz="6" w:space="0"/>
              <w:right w:val="single" w:color="auto" w:sz="4" w:space="0"/>
            </w:tcBorders>
            <w:vAlign w:val="center"/>
          </w:tcPr>
          <w:p>
            <w:pPr>
              <w:pStyle w:val="29"/>
              <w:rPr>
                <w:highlight w:val="none"/>
              </w:rPr>
            </w:pPr>
            <w:r>
              <w:rPr>
                <w:rFonts w:hint="eastAsia"/>
                <w:highlight w:val="none"/>
              </w:rPr>
              <w:t>品牌</w:t>
            </w:r>
          </w:p>
        </w:tc>
        <w:tc>
          <w:tcPr>
            <w:tcW w:w="1048" w:type="dxa"/>
            <w:tcBorders>
              <w:top w:val="single" w:color="auto" w:sz="6" w:space="0"/>
              <w:left w:val="single" w:color="auto" w:sz="4" w:space="0"/>
              <w:bottom w:val="single" w:color="auto" w:sz="6" w:space="0"/>
              <w:right w:val="single" w:color="auto" w:sz="6" w:space="0"/>
            </w:tcBorders>
            <w:vAlign w:val="center"/>
          </w:tcPr>
          <w:p>
            <w:pPr>
              <w:spacing w:line="336" w:lineRule="auto"/>
              <w:jc w:val="center"/>
              <w:rPr>
                <w:rFonts w:hint="eastAsia"/>
                <w:highlight w:val="none"/>
              </w:rPr>
            </w:pPr>
            <w:r>
              <w:rPr>
                <w:rFonts w:hint="eastAsia" w:asciiTheme="minorEastAsia" w:hAnsiTheme="minorEastAsia" w:eastAsiaTheme="minorEastAsia"/>
                <w:sz w:val="24"/>
                <w:highlight w:val="none"/>
              </w:rPr>
              <w:t>质量等级</w:t>
            </w:r>
          </w:p>
        </w:tc>
        <w:tc>
          <w:tcPr>
            <w:tcW w:w="1026" w:type="dxa"/>
            <w:tcBorders>
              <w:top w:val="single" w:color="auto" w:sz="6" w:space="0"/>
              <w:left w:val="single" w:color="auto" w:sz="4" w:space="0"/>
              <w:bottom w:val="single" w:color="auto" w:sz="6" w:space="0"/>
              <w:right w:val="single" w:color="auto" w:sz="6" w:space="0"/>
            </w:tcBorders>
            <w:vAlign w:val="center"/>
          </w:tcPr>
          <w:p>
            <w:pPr>
              <w:pStyle w:val="29"/>
              <w:rPr>
                <w:highlight w:val="none"/>
              </w:rPr>
            </w:pPr>
            <w:r>
              <w:rPr>
                <w:rFonts w:hint="eastAsia"/>
                <w:highlight w:val="none"/>
              </w:rPr>
              <w:t>包装规格</w:t>
            </w:r>
          </w:p>
        </w:tc>
        <w:tc>
          <w:tcPr>
            <w:tcW w:w="1177" w:type="dxa"/>
            <w:tcBorders>
              <w:top w:val="single" w:color="auto" w:sz="6" w:space="0"/>
              <w:left w:val="single" w:color="auto" w:sz="6" w:space="0"/>
              <w:bottom w:val="single" w:color="auto" w:sz="6" w:space="0"/>
              <w:right w:val="single" w:color="auto" w:sz="6" w:space="0"/>
            </w:tcBorders>
            <w:vAlign w:val="center"/>
          </w:tcPr>
          <w:p>
            <w:pPr>
              <w:pStyle w:val="29"/>
              <w:rPr>
                <w:highlight w:val="none"/>
              </w:rPr>
            </w:pPr>
            <w:r>
              <w:rPr>
                <w:rFonts w:hint="eastAsia"/>
                <w:highlight w:val="none"/>
              </w:rPr>
              <w:t>产地</w:t>
            </w:r>
            <w:r>
              <w:rPr>
                <w:rFonts w:hint="eastAsia"/>
                <w:highlight w:val="none"/>
                <w:lang w:val="en-US" w:eastAsia="zh-CN"/>
              </w:rPr>
              <w:t>及</w:t>
            </w:r>
            <w:r>
              <w:rPr>
                <w:rFonts w:hint="eastAsia"/>
                <w:highlight w:val="none"/>
              </w:rPr>
              <w:t>用途</w:t>
            </w:r>
          </w:p>
        </w:tc>
        <w:tc>
          <w:tcPr>
            <w:tcW w:w="1001" w:type="dxa"/>
            <w:tcBorders>
              <w:top w:val="single" w:color="auto" w:sz="6" w:space="0"/>
              <w:left w:val="single" w:color="auto" w:sz="6" w:space="0"/>
              <w:bottom w:val="single" w:color="auto" w:sz="6" w:space="0"/>
              <w:right w:val="single" w:color="auto" w:sz="6" w:space="0"/>
            </w:tcBorders>
            <w:vAlign w:val="center"/>
          </w:tcPr>
          <w:p>
            <w:pPr>
              <w:pStyle w:val="29"/>
              <w:rPr>
                <w:rFonts w:hint="eastAsia"/>
                <w:highlight w:val="none"/>
              </w:rPr>
            </w:pPr>
            <w:r>
              <w:rPr>
                <w:rFonts w:hint="eastAsia"/>
                <w:highlight w:val="none"/>
              </w:rPr>
              <w:t>原料属性</w:t>
            </w:r>
          </w:p>
        </w:tc>
        <w:tc>
          <w:tcPr>
            <w:tcW w:w="780" w:type="dxa"/>
            <w:tcBorders>
              <w:top w:val="single" w:color="auto" w:sz="6" w:space="0"/>
              <w:left w:val="single" w:color="auto" w:sz="6" w:space="0"/>
              <w:bottom w:val="single" w:color="auto" w:sz="6" w:space="0"/>
              <w:right w:val="single" w:color="auto" w:sz="6" w:space="0"/>
            </w:tcBorders>
            <w:vAlign w:val="center"/>
          </w:tcPr>
          <w:p>
            <w:pPr>
              <w:pStyle w:val="29"/>
              <w:rPr>
                <w:highlight w:val="none"/>
              </w:rPr>
            </w:pPr>
            <w:r>
              <w:rPr>
                <w:rFonts w:hint="eastAsia"/>
                <w:highlight w:val="none"/>
              </w:rPr>
              <w:t>数量</w:t>
            </w:r>
          </w:p>
        </w:tc>
        <w:tc>
          <w:tcPr>
            <w:tcW w:w="1090" w:type="dxa"/>
            <w:tcBorders>
              <w:top w:val="single" w:color="auto" w:sz="6" w:space="0"/>
              <w:left w:val="single" w:color="auto" w:sz="6" w:space="0"/>
              <w:bottom w:val="single" w:color="auto" w:sz="6" w:space="0"/>
              <w:right w:val="single" w:color="auto" w:sz="6" w:space="0"/>
            </w:tcBorders>
            <w:vAlign w:val="center"/>
          </w:tcPr>
          <w:p>
            <w:pPr>
              <w:pStyle w:val="29"/>
              <w:rPr>
                <w:highlight w:val="none"/>
              </w:rPr>
            </w:pPr>
            <w:r>
              <w:rPr>
                <w:rFonts w:hint="eastAsia"/>
                <w:highlight w:val="none"/>
              </w:rPr>
              <w:t>单价</w:t>
            </w:r>
          </w:p>
          <w:p>
            <w:pPr>
              <w:pStyle w:val="29"/>
              <w:rPr>
                <w:highlight w:val="none"/>
              </w:rPr>
            </w:pPr>
            <w:r>
              <w:rPr>
                <w:rFonts w:hint="eastAsia"/>
                <w:highlight w:val="none"/>
              </w:rPr>
              <w:t>（元）</w:t>
            </w:r>
          </w:p>
        </w:tc>
        <w:tc>
          <w:tcPr>
            <w:tcW w:w="1093" w:type="dxa"/>
            <w:tcBorders>
              <w:top w:val="single" w:color="auto" w:sz="6" w:space="0"/>
              <w:left w:val="single" w:color="auto" w:sz="6" w:space="0"/>
              <w:bottom w:val="single" w:color="auto" w:sz="6" w:space="0"/>
              <w:right w:val="single" w:color="auto" w:sz="6" w:space="0"/>
            </w:tcBorders>
            <w:vAlign w:val="center"/>
          </w:tcPr>
          <w:p>
            <w:pPr>
              <w:pStyle w:val="29"/>
              <w:rPr>
                <w:highlight w:val="none"/>
              </w:rPr>
            </w:pPr>
            <w:r>
              <w:rPr>
                <w:rFonts w:hint="eastAsia"/>
                <w:highlight w:val="none"/>
              </w:rPr>
              <w:t>合价</w:t>
            </w:r>
          </w:p>
          <w:p>
            <w:pPr>
              <w:pStyle w:val="29"/>
              <w:rPr>
                <w:highlight w:val="none"/>
              </w:rPr>
            </w:pPr>
            <w:r>
              <w:rPr>
                <w:rFonts w:hint="eastAsia"/>
                <w:highlight w:val="none"/>
              </w:rPr>
              <w:t>（元）</w:t>
            </w:r>
          </w:p>
        </w:tc>
      </w:tr>
      <w:tr>
        <w:tblPrEx>
          <w:tblCellMar>
            <w:top w:w="0" w:type="dxa"/>
            <w:left w:w="28" w:type="dxa"/>
            <w:bottom w:w="0" w:type="dxa"/>
            <w:right w:w="28" w:type="dxa"/>
          </w:tblCellMar>
        </w:tblPrEx>
        <w:trPr>
          <w:trHeight w:val="569" w:hRule="atLeast"/>
          <w:jc w:val="center"/>
        </w:trPr>
        <w:tc>
          <w:tcPr>
            <w:tcW w:w="812" w:type="dxa"/>
            <w:vMerge w:val="continue"/>
            <w:tcBorders>
              <w:left w:val="single" w:color="auto" w:sz="6" w:space="0"/>
              <w:right w:val="single" w:color="auto" w:sz="4" w:space="0"/>
            </w:tcBorders>
            <w:vAlign w:val="center"/>
          </w:tcPr>
          <w:p>
            <w:pPr>
              <w:pStyle w:val="29"/>
              <w:rPr>
                <w:highlight w:val="none"/>
              </w:rPr>
            </w:pPr>
          </w:p>
        </w:tc>
        <w:tc>
          <w:tcPr>
            <w:tcW w:w="497" w:type="dxa"/>
            <w:tcBorders>
              <w:top w:val="single" w:color="auto" w:sz="6" w:space="0"/>
              <w:left w:val="single" w:color="auto" w:sz="4" w:space="0"/>
              <w:bottom w:val="single" w:color="auto" w:sz="4" w:space="0"/>
            </w:tcBorders>
            <w:vAlign w:val="center"/>
          </w:tcPr>
          <w:p>
            <w:pPr>
              <w:pStyle w:val="29"/>
              <w:rPr>
                <w:highlight w:val="none"/>
              </w:rPr>
            </w:pPr>
            <w:r>
              <w:rPr>
                <w:rFonts w:hint="eastAsia"/>
                <w:highlight w:val="none"/>
              </w:rPr>
              <w:t>1</w:t>
            </w:r>
          </w:p>
        </w:tc>
        <w:tc>
          <w:tcPr>
            <w:tcW w:w="739" w:type="dxa"/>
            <w:tcBorders>
              <w:top w:val="single" w:color="auto" w:sz="6" w:space="0"/>
              <w:left w:val="single" w:color="auto" w:sz="6" w:space="0"/>
              <w:bottom w:val="single" w:color="auto" w:sz="4" w:space="0"/>
              <w:right w:val="single" w:color="auto" w:sz="6" w:space="0"/>
            </w:tcBorders>
            <w:vAlign w:val="center"/>
          </w:tcPr>
          <w:p>
            <w:pPr>
              <w:pStyle w:val="29"/>
              <w:rPr>
                <w:highlight w:val="none"/>
              </w:rPr>
            </w:pPr>
          </w:p>
        </w:tc>
        <w:tc>
          <w:tcPr>
            <w:tcW w:w="671" w:type="dxa"/>
            <w:tcBorders>
              <w:top w:val="single" w:color="auto" w:sz="6" w:space="0"/>
              <w:left w:val="single" w:color="auto" w:sz="6" w:space="0"/>
              <w:bottom w:val="single" w:color="auto" w:sz="4" w:space="0"/>
              <w:right w:val="single" w:color="auto" w:sz="4" w:space="0"/>
            </w:tcBorders>
            <w:vAlign w:val="center"/>
          </w:tcPr>
          <w:p>
            <w:pPr>
              <w:pStyle w:val="29"/>
              <w:rPr>
                <w:highlight w:val="none"/>
              </w:rPr>
            </w:pPr>
          </w:p>
        </w:tc>
        <w:tc>
          <w:tcPr>
            <w:tcW w:w="1048" w:type="dxa"/>
            <w:tcBorders>
              <w:top w:val="single" w:color="auto" w:sz="6" w:space="0"/>
              <w:left w:val="single" w:color="auto" w:sz="4" w:space="0"/>
              <w:bottom w:val="single" w:color="auto" w:sz="4" w:space="0"/>
              <w:right w:val="single" w:color="auto" w:sz="6" w:space="0"/>
            </w:tcBorders>
            <w:vAlign w:val="center"/>
          </w:tcPr>
          <w:p>
            <w:pPr>
              <w:pStyle w:val="29"/>
              <w:rPr>
                <w:highlight w:val="none"/>
              </w:rPr>
            </w:pPr>
          </w:p>
        </w:tc>
        <w:tc>
          <w:tcPr>
            <w:tcW w:w="1026" w:type="dxa"/>
            <w:tcBorders>
              <w:top w:val="single" w:color="auto" w:sz="6" w:space="0"/>
              <w:left w:val="single" w:color="auto" w:sz="4" w:space="0"/>
              <w:bottom w:val="single" w:color="auto" w:sz="4" w:space="0"/>
              <w:right w:val="single" w:color="auto" w:sz="6" w:space="0"/>
            </w:tcBorders>
            <w:vAlign w:val="center"/>
          </w:tcPr>
          <w:p>
            <w:pPr>
              <w:pStyle w:val="29"/>
              <w:rPr>
                <w:highlight w:val="none"/>
              </w:rPr>
            </w:pPr>
          </w:p>
        </w:tc>
        <w:tc>
          <w:tcPr>
            <w:tcW w:w="1177" w:type="dxa"/>
            <w:tcBorders>
              <w:top w:val="single" w:color="auto" w:sz="6" w:space="0"/>
              <w:left w:val="single" w:color="auto" w:sz="6" w:space="0"/>
              <w:bottom w:val="single" w:color="auto" w:sz="4" w:space="0"/>
              <w:right w:val="single" w:color="auto" w:sz="6" w:space="0"/>
            </w:tcBorders>
            <w:vAlign w:val="center"/>
          </w:tcPr>
          <w:p>
            <w:pPr>
              <w:pStyle w:val="29"/>
              <w:rPr>
                <w:highlight w:val="none"/>
              </w:rPr>
            </w:pPr>
          </w:p>
        </w:tc>
        <w:tc>
          <w:tcPr>
            <w:tcW w:w="1001" w:type="dxa"/>
            <w:tcBorders>
              <w:top w:val="single" w:color="auto" w:sz="6" w:space="0"/>
              <w:left w:val="single" w:color="auto" w:sz="6" w:space="0"/>
              <w:bottom w:val="single" w:color="auto" w:sz="4" w:space="0"/>
              <w:right w:val="single" w:color="auto" w:sz="6" w:space="0"/>
            </w:tcBorders>
            <w:vAlign w:val="center"/>
          </w:tcPr>
          <w:p>
            <w:pPr>
              <w:pStyle w:val="29"/>
              <w:rPr>
                <w:highlight w:val="none"/>
              </w:rPr>
            </w:pPr>
          </w:p>
        </w:tc>
        <w:tc>
          <w:tcPr>
            <w:tcW w:w="780" w:type="dxa"/>
            <w:tcBorders>
              <w:top w:val="single" w:color="auto" w:sz="6" w:space="0"/>
              <w:left w:val="single" w:color="auto" w:sz="6" w:space="0"/>
              <w:bottom w:val="single" w:color="auto" w:sz="4" w:space="0"/>
              <w:right w:val="single" w:color="auto" w:sz="6" w:space="0"/>
            </w:tcBorders>
            <w:vAlign w:val="center"/>
          </w:tcPr>
          <w:p>
            <w:pPr>
              <w:pStyle w:val="29"/>
              <w:rPr>
                <w:highlight w:val="none"/>
              </w:rPr>
            </w:pPr>
          </w:p>
        </w:tc>
        <w:tc>
          <w:tcPr>
            <w:tcW w:w="1090" w:type="dxa"/>
            <w:tcBorders>
              <w:top w:val="single" w:color="auto" w:sz="6" w:space="0"/>
              <w:left w:val="single" w:color="auto" w:sz="6" w:space="0"/>
              <w:bottom w:val="single" w:color="auto" w:sz="4" w:space="0"/>
              <w:right w:val="single" w:color="auto" w:sz="6" w:space="0"/>
            </w:tcBorders>
            <w:vAlign w:val="center"/>
          </w:tcPr>
          <w:p>
            <w:pPr>
              <w:pStyle w:val="29"/>
              <w:rPr>
                <w:highlight w:val="none"/>
              </w:rPr>
            </w:pPr>
          </w:p>
        </w:tc>
        <w:tc>
          <w:tcPr>
            <w:tcW w:w="1093" w:type="dxa"/>
            <w:tcBorders>
              <w:top w:val="single" w:color="auto" w:sz="6" w:space="0"/>
              <w:left w:val="single" w:color="auto" w:sz="6" w:space="0"/>
              <w:bottom w:val="single" w:color="auto" w:sz="4" w:space="0"/>
              <w:right w:val="single" w:color="auto" w:sz="6" w:space="0"/>
            </w:tcBorders>
            <w:vAlign w:val="center"/>
          </w:tcPr>
          <w:p>
            <w:pPr>
              <w:pStyle w:val="29"/>
              <w:rPr>
                <w:highlight w:val="none"/>
              </w:rPr>
            </w:pPr>
          </w:p>
        </w:tc>
      </w:tr>
      <w:tr>
        <w:tblPrEx>
          <w:tblCellMar>
            <w:top w:w="0" w:type="dxa"/>
            <w:left w:w="28" w:type="dxa"/>
            <w:bottom w:w="0" w:type="dxa"/>
            <w:right w:w="28" w:type="dxa"/>
          </w:tblCellMar>
        </w:tblPrEx>
        <w:trPr>
          <w:trHeight w:val="564" w:hRule="atLeast"/>
          <w:jc w:val="center"/>
        </w:trPr>
        <w:tc>
          <w:tcPr>
            <w:tcW w:w="812" w:type="dxa"/>
            <w:vMerge w:val="continue"/>
            <w:tcBorders>
              <w:left w:val="single" w:color="auto" w:sz="6" w:space="0"/>
              <w:right w:val="single" w:color="auto" w:sz="4" w:space="0"/>
            </w:tcBorders>
            <w:vAlign w:val="center"/>
          </w:tcPr>
          <w:p>
            <w:pPr>
              <w:pStyle w:val="29"/>
              <w:rPr>
                <w:highlight w:val="none"/>
              </w:rPr>
            </w:pPr>
          </w:p>
        </w:tc>
        <w:tc>
          <w:tcPr>
            <w:tcW w:w="497" w:type="dxa"/>
            <w:tcBorders>
              <w:top w:val="single" w:color="auto" w:sz="4" w:space="0"/>
              <w:left w:val="single" w:color="auto" w:sz="4" w:space="0"/>
              <w:bottom w:val="single" w:color="auto" w:sz="6" w:space="0"/>
            </w:tcBorders>
            <w:vAlign w:val="center"/>
          </w:tcPr>
          <w:p>
            <w:pPr>
              <w:pStyle w:val="29"/>
              <w:rPr>
                <w:highlight w:val="none"/>
              </w:rPr>
            </w:pPr>
            <w:r>
              <w:rPr>
                <w:rFonts w:hint="eastAsia"/>
                <w:highlight w:val="none"/>
              </w:rPr>
              <w:t>2</w:t>
            </w:r>
          </w:p>
        </w:tc>
        <w:tc>
          <w:tcPr>
            <w:tcW w:w="739"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671" w:type="dxa"/>
            <w:tcBorders>
              <w:top w:val="single" w:color="auto" w:sz="4" w:space="0"/>
              <w:left w:val="single" w:color="auto" w:sz="6" w:space="0"/>
              <w:bottom w:val="single" w:color="auto" w:sz="6" w:space="0"/>
              <w:right w:val="single" w:color="auto" w:sz="4" w:space="0"/>
            </w:tcBorders>
            <w:vAlign w:val="center"/>
          </w:tcPr>
          <w:p>
            <w:pPr>
              <w:pStyle w:val="29"/>
              <w:rPr>
                <w:highlight w:val="none"/>
              </w:rPr>
            </w:pPr>
          </w:p>
        </w:tc>
        <w:tc>
          <w:tcPr>
            <w:tcW w:w="1048"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026"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177"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01"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78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3"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r>
      <w:tr>
        <w:tblPrEx>
          <w:tblCellMar>
            <w:top w:w="0" w:type="dxa"/>
            <w:left w:w="28" w:type="dxa"/>
            <w:bottom w:w="0" w:type="dxa"/>
            <w:right w:w="28" w:type="dxa"/>
          </w:tblCellMar>
        </w:tblPrEx>
        <w:trPr>
          <w:trHeight w:val="569" w:hRule="atLeast"/>
          <w:jc w:val="center"/>
        </w:trPr>
        <w:tc>
          <w:tcPr>
            <w:tcW w:w="812" w:type="dxa"/>
            <w:vMerge w:val="continue"/>
            <w:tcBorders>
              <w:left w:val="single" w:color="auto" w:sz="6" w:space="0"/>
              <w:right w:val="single" w:color="auto" w:sz="4" w:space="0"/>
            </w:tcBorders>
            <w:vAlign w:val="center"/>
          </w:tcPr>
          <w:p>
            <w:pPr>
              <w:pStyle w:val="29"/>
              <w:rPr>
                <w:highlight w:val="none"/>
              </w:rPr>
            </w:pPr>
          </w:p>
        </w:tc>
        <w:tc>
          <w:tcPr>
            <w:tcW w:w="497" w:type="dxa"/>
            <w:tcBorders>
              <w:top w:val="single" w:color="auto" w:sz="4" w:space="0"/>
              <w:left w:val="single" w:color="auto" w:sz="4" w:space="0"/>
              <w:bottom w:val="single" w:color="auto" w:sz="6" w:space="0"/>
            </w:tcBorders>
            <w:vAlign w:val="center"/>
          </w:tcPr>
          <w:p>
            <w:pPr>
              <w:pStyle w:val="29"/>
              <w:rPr>
                <w:highlight w:val="none"/>
              </w:rPr>
            </w:pPr>
            <w:r>
              <w:rPr>
                <w:rFonts w:hint="eastAsia"/>
                <w:highlight w:val="none"/>
              </w:rPr>
              <w:t>3</w:t>
            </w:r>
          </w:p>
        </w:tc>
        <w:tc>
          <w:tcPr>
            <w:tcW w:w="739"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671" w:type="dxa"/>
            <w:tcBorders>
              <w:top w:val="single" w:color="auto" w:sz="4" w:space="0"/>
              <w:left w:val="single" w:color="auto" w:sz="6" w:space="0"/>
              <w:bottom w:val="single" w:color="auto" w:sz="6" w:space="0"/>
              <w:right w:val="single" w:color="auto" w:sz="4" w:space="0"/>
            </w:tcBorders>
            <w:vAlign w:val="center"/>
          </w:tcPr>
          <w:p>
            <w:pPr>
              <w:pStyle w:val="29"/>
              <w:rPr>
                <w:highlight w:val="none"/>
              </w:rPr>
            </w:pPr>
          </w:p>
        </w:tc>
        <w:tc>
          <w:tcPr>
            <w:tcW w:w="1048"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026"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177"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01"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78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3"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r>
      <w:tr>
        <w:tblPrEx>
          <w:tblCellMar>
            <w:top w:w="0" w:type="dxa"/>
            <w:left w:w="28" w:type="dxa"/>
            <w:bottom w:w="0" w:type="dxa"/>
            <w:right w:w="28" w:type="dxa"/>
          </w:tblCellMar>
        </w:tblPrEx>
        <w:trPr>
          <w:trHeight w:val="569" w:hRule="atLeast"/>
          <w:jc w:val="center"/>
        </w:trPr>
        <w:tc>
          <w:tcPr>
            <w:tcW w:w="812" w:type="dxa"/>
            <w:vMerge w:val="continue"/>
            <w:tcBorders>
              <w:left w:val="single" w:color="auto" w:sz="6" w:space="0"/>
              <w:right w:val="single" w:color="auto" w:sz="4" w:space="0"/>
            </w:tcBorders>
            <w:vAlign w:val="center"/>
          </w:tcPr>
          <w:p>
            <w:pPr>
              <w:pStyle w:val="29"/>
              <w:rPr>
                <w:highlight w:val="none"/>
              </w:rPr>
            </w:pPr>
          </w:p>
        </w:tc>
        <w:tc>
          <w:tcPr>
            <w:tcW w:w="497" w:type="dxa"/>
            <w:tcBorders>
              <w:top w:val="single" w:color="auto" w:sz="4" w:space="0"/>
              <w:left w:val="single" w:color="auto" w:sz="4" w:space="0"/>
              <w:bottom w:val="single" w:color="auto" w:sz="6" w:space="0"/>
            </w:tcBorders>
            <w:vAlign w:val="center"/>
          </w:tcPr>
          <w:p>
            <w:pPr>
              <w:pStyle w:val="29"/>
              <w:rPr>
                <w:highlight w:val="none"/>
              </w:rPr>
            </w:pPr>
            <w:r>
              <w:rPr>
                <w:rFonts w:hint="eastAsia"/>
                <w:highlight w:val="none"/>
              </w:rPr>
              <w:t>……</w:t>
            </w:r>
          </w:p>
        </w:tc>
        <w:tc>
          <w:tcPr>
            <w:tcW w:w="739"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671" w:type="dxa"/>
            <w:tcBorders>
              <w:top w:val="single" w:color="auto" w:sz="4" w:space="0"/>
              <w:left w:val="single" w:color="auto" w:sz="6" w:space="0"/>
              <w:bottom w:val="single" w:color="auto" w:sz="6" w:space="0"/>
              <w:right w:val="single" w:color="auto" w:sz="4" w:space="0"/>
            </w:tcBorders>
            <w:vAlign w:val="center"/>
          </w:tcPr>
          <w:p>
            <w:pPr>
              <w:pStyle w:val="29"/>
              <w:rPr>
                <w:highlight w:val="none"/>
              </w:rPr>
            </w:pPr>
          </w:p>
        </w:tc>
        <w:tc>
          <w:tcPr>
            <w:tcW w:w="1048"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026"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177"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01"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78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3"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r>
      <w:tr>
        <w:tblPrEx>
          <w:tblCellMar>
            <w:top w:w="0" w:type="dxa"/>
            <w:left w:w="28" w:type="dxa"/>
            <w:bottom w:w="0" w:type="dxa"/>
            <w:right w:w="28" w:type="dxa"/>
          </w:tblCellMar>
        </w:tblPrEx>
        <w:trPr>
          <w:trHeight w:val="569" w:hRule="atLeast"/>
          <w:jc w:val="center"/>
        </w:trPr>
        <w:tc>
          <w:tcPr>
            <w:tcW w:w="812" w:type="dxa"/>
            <w:vMerge w:val="continue"/>
            <w:tcBorders>
              <w:left w:val="single" w:color="auto" w:sz="6" w:space="0"/>
              <w:bottom w:val="single" w:color="auto" w:sz="6" w:space="0"/>
              <w:right w:val="single" w:color="auto" w:sz="4" w:space="0"/>
            </w:tcBorders>
            <w:vAlign w:val="center"/>
          </w:tcPr>
          <w:p>
            <w:pPr>
              <w:pStyle w:val="29"/>
              <w:rPr>
                <w:highlight w:val="none"/>
              </w:rPr>
            </w:pPr>
          </w:p>
        </w:tc>
        <w:tc>
          <w:tcPr>
            <w:tcW w:w="497" w:type="dxa"/>
            <w:tcBorders>
              <w:top w:val="single" w:color="auto" w:sz="4" w:space="0"/>
              <w:left w:val="single" w:color="auto" w:sz="4" w:space="0"/>
              <w:bottom w:val="single" w:color="auto" w:sz="6" w:space="0"/>
            </w:tcBorders>
            <w:vAlign w:val="center"/>
          </w:tcPr>
          <w:p>
            <w:pPr>
              <w:pStyle w:val="29"/>
              <w:rPr>
                <w:highlight w:val="none"/>
              </w:rPr>
            </w:pPr>
            <w:r>
              <w:rPr>
                <w:rFonts w:hint="eastAsia"/>
                <w:highlight w:val="none"/>
              </w:rPr>
              <w:t>……</w:t>
            </w:r>
          </w:p>
        </w:tc>
        <w:tc>
          <w:tcPr>
            <w:tcW w:w="739"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671" w:type="dxa"/>
            <w:tcBorders>
              <w:top w:val="single" w:color="auto" w:sz="4" w:space="0"/>
              <w:left w:val="single" w:color="auto" w:sz="6" w:space="0"/>
              <w:bottom w:val="single" w:color="auto" w:sz="6" w:space="0"/>
              <w:right w:val="single" w:color="auto" w:sz="4" w:space="0"/>
            </w:tcBorders>
            <w:vAlign w:val="center"/>
          </w:tcPr>
          <w:p>
            <w:pPr>
              <w:pStyle w:val="29"/>
              <w:rPr>
                <w:highlight w:val="none"/>
              </w:rPr>
            </w:pPr>
          </w:p>
        </w:tc>
        <w:tc>
          <w:tcPr>
            <w:tcW w:w="1048"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026" w:type="dxa"/>
            <w:tcBorders>
              <w:top w:val="single" w:color="auto" w:sz="4" w:space="0"/>
              <w:left w:val="single" w:color="auto" w:sz="4" w:space="0"/>
              <w:bottom w:val="single" w:color="auto" w:sz="6" w:space="0"/>
              <w:right w:val="single" w:color="auto" w:sz="6" w:space="0"/>
            </w:tcBorders>
            <w:vAlign w:val="center"/>
          </w:tcPr>
          <w:p>
            <w:pPr>
              <w:pStyle w:val="29"/>
              <w:rPr>
                <w:highlight w:val="none"/>
              </w:rPr>
            </w:pPr>
          </w:p>
        </w:tc>
        <w:tc>
          <w:tcPr>
            <w:tcW w:w="1177"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01"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78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0"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c>
          <w:tcPr>
            <w:tcW w:w="1093" w:type="dxa"/>
            <w:tcBorders>
              <w:top w:val="single" w:color="auto" w:sz="4" w:space="0"/>
              <w:left w:val="single" w:color="auto" w:sz="6" w:space="0"/>
              <w:bottom w:val="single" w:color="auto" w:sz="6" w:space="0"/>
              <w:right w:val="single" w:color="auto" w:sz="6" w:space="0"/>
            </w:tcBorders>
            <w:vAlign w:val="center"/>
          </w:tcPr>
          <w:p>
            <w:pPr>
              <w:pStyle w:val="29"/>
              <w:rPr>
                <w:highlight w:val="none"/>
              </w:rPr>
            </w:pPr>
          </w:p>
        </w:tc>
      </w:tr>
      <w:tr>
        <w:tblPrEx>
          <w:tblCellMar>
            <w:top w:w="0" w:type="dxa"/>
            <w:left w:w="28" w:type="dxa"/>
            <w:bottom w:w="0" w:type="dxa"/>
            <w:right w:w="28" w:type="dxa"/>
          </w:tblCellMar>
        </w:tblPrEx>
        <w:trPr>
          <w:trHeight w:val="569" w:hRule="atLeast"/>
          <w:jc w:val="center"/>
        </w:trPr>
        <w:tc>
          <w:tcPr>
            <w:tcW w:w="2048" w:type="dxa"/>
            <w:gridSpan w:val="3"/>
            <w:tcBorders>
              <w:top w:val="single" w:color="auto" w:sz="4" w:space="0"/>
              <w:left w:val="single" w:color="auto" w:sz="6" w:space="0"/>
              <w:bottom w:val="single" w:color="auto" w:sz="6" w:space="0"/>
            </w:tcBorders>
            <w:vAlign w:val="center"/>
          </w:tcPr>
          <w:p>
            <w:pPr>
              <w:pStyle w:val="29"/>
              <w:rPr>
                <w:highlight w:val="none"/>
              </w:rPr>
            </w:pPr>
            <w:r>
              <w:rPr>
                <w:rFonts w:hint="eastAsia"/>
                <w:highlight w:val="none"/>
              </w:rPr>
              <w:t>投标总报价</w:t>
            </w:r>
          </w:p>
        </w:tc>
        <w:tc>
          <w:tcPr>
            <w:tcW w:w="7886" w:type="dxa"/>
            <w:gridSpan w:val="8"/>
            <w:tcBorders>
              <w:top w:val="single" w:color="auto" w:sz="4" w:space="0"/>
              <w:left w:val="single" w:color="auto" w:sz="6" w:space="0"/>
              <w:bottom w:val="single" w:color="auto" w:sz="6" w:space="0"/>
              <w:right w:val="single" w:color="auto" w:sz="6" w:space="0"/>
            </w:tcBorders>
            <w:vAlign w:val="center"/>
          </w:tcPr>
          <w:p>
            <w:pPr>
              <w:pStyle w:val="29"/>
              <w:jc w:val="both"/>
              <w:rPr>
                <w:rFonts w:hint="eastAsia"/>
                <w:highlight w:val="none"/>
              </w:rPr>
            </w:pPr>
            <w:r>
              <w:rPr>
                <w:rFonts w:hint="eastAsia"/>
                <w:highlight w:val="none"/>
              </w:rPr>
              <w:t>大写：                           小写：</w:t>
            </w:r>
          </w:p>
        </w:tc>
      </w:tr>
      <w:tr>
        <w:tblPrEx>
          <w:tblCellMar>
            <w:top w:w="0" w:type="dxa"/>
            <w:left w:w="28" w:type="dxa"/>
            <w:bottom w:w="0" w:type="dxa"/>
            <w:right w:w="28" w:type="dxa"/>
          </w:tblCellMar>
        </w:tblPrEx>
        <w:trPr>
          <w:trHeight w:val="585" w:hRule="atLeast"/>
          <w:jc w:val="center"/>
        </w:trPr>
        <w:tc>
          <w:tcPr>
            <w:tcW w:w="2048" w:type="dxa"/>
            <w:gridSpan w:val="3"/>
            <w:tcBorders>
              <w:top w:val="single" w:color="auto" w:sz="4" w:space="0"/>
              <w:left w:val="single" w:color="auto" w:sz="6" w:space="0"/>
              <w:bottom w:val="single" w:color="auto" w:sz="6" w:space="0"/>
            </w:tcBorders>
            <w:vAlign w:val="center"/>
          </w:tcPr>
          <w:p>
            <w:pPr>
              <w:pStyle w:val="29"/>
              <w:rPr>
                <w:highlight w:val="none"/>
              </w:rPr>
            </w:pPr>
            <w:r>
              <w:rPr>
                <w:rFonts w:hint="eastAsia"/>
                <w:highlight w:val="none"/>
              </w:rPr>
              <w:t>备注</w:t>
            </w:r>
          </w:p>
        </w:tc>
        <w:tc>
          <w:tcPr>
            <w:tcW w:w="7886" w:type="dxa"/>
            <w:gridSpan w:val="8"/>
            <w:tcBorders>
              <w:top w:val="single" w:color="auto" w:sz="4" w:space="0"/>
              <w:left w:val="single" w:color="auto" w:sz="6" w:space="0"/>
              <w:bottom w:val="single" w:color="auto" w:sz="6" w:space="0"/>
              <w:right w:val="single" w:color="auto" w:sz="6" w:space="0"/>
            </w:tcBorders>
            <w:vAlign w:val="center"/>
          </w:tcPr>
          <w:p>
            <w:pPr>
              <w:pStyle w:val="29"/>
              <w:jc w:val="both"/>
              <w:rPr>
                <w:rFonts w:hint="eastAsia"/>
                <w:highlight w:val="none"/>
              </w:rPr>
            </w:pPr>
            <w:r>
              <w:rPr>
                <w:rFonts w:hint="eastAsia"/>
                <w:highlight w:val="none"/>
              </w:rPr>
              <w:t>保留小数点后两位。</w:t>
            </w:r>
          </w:p>
        </w:tc>
      </w:tr>
    </w:tbl>
    <w:p>
      <w:pPr>
        <w:tabs>
          <w:tab w:val="left" w:pos="7200"/>
          <w:tab w:val="left" w:pos="8504"/>
        </w:tabs>
        <w:spacing w:line="360" w:lineRule="auto"/>
        <w:ind w:right="-1"/>
        <w:rPr>
          <w:rFonts w:hAnsi="宋体" w:cs="宋体"/>
          <w:highlight w:val="none"/>
        </w:rPr>
      </w:pPr>
    </w:p>
    <w:p>
      <w:pPr>
        <w:spacing w:line="120" w:lineRule="exact"/>
        <w:rPr>
          <w:rFonts w:hAnsi="宋体" w:cs="宋体"/>
          <w:highlight w:val="none"/>
        </w:rPr>
      </w:pPr>
    </w:p>
    <w:p>
      <w:pPr>
        <w:pStyle w:val="9"/>
        <w:ind w:firstLine="0" w:firstLineChars="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0" w:firstLineChars="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pStyle w:val="9"/>
        <w:ind w:firstLine="0" w:firstLineChars="0"/>
        <w:rPr>
          <w:b/>
          <w:bCs/>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spacing w:line="720" w:lineRule="auto"/>
        <w:ind w:firstLine="480" w:firstLineChars="200"/>
        <w:rPr>
          <w:rFonts w:hAnsi="宋体" w:cs="宋体"/>
          <w:highlight w:val="none"/>
        </w:rPr>
      </w:pPr>
    </w:p>
    <w:p>
      <w:pPr>
        <w:pStyle w:val="9"/>
        <w:ind w:firstLine="0" w:firstLineChars="0"/>
        <w:rPr>
          <w:b/>
          <w:bCs/>
          <w:highlight w:val="none"/>
        </w:rPr>
      </w:pPr>
      <w:r>
        <w:rPr>
          <w:rFonts w:hint="eastAsia"/>
          <w:b/>
          <w:bCs/>
          <w:highlight w:val="none"/>
        </w:rPr>
        <w:t>注：</w:t>
      </w:r>
    </w:p>
    <w:p>
      <w:pPr>
        <w:pStyle w:val="9"/>
        <w:ind w:firstLine="480"/>
        <w:rPr>
          <w:highlight w:val="none"/>
        </w:rPr>
      </w:pPr>
      <w:r>
        <w:rPr>
          <w:rFonts w:hint="eastAsia"/>
          <w:highlight w:val="none"/>
        </w:rPr>
        <w:t>1.如果按单价计算的结果与总价不一致，以单价为准修正总价。</w:t>
      </w:r>
    </w:p>
    <w:p>
      <w:pPr>
        <w:pStyle w:val="9"/>
        <w:ind w:firstLine="480"/>
        <w:rPr>
          <w:highlight w:val="none"/>
        </w:rPr>
      </w:pPr>
      <w:r>
        <w:rPr>
          <w:rFonts w:hint="eastAsia"/>
          <w:highlight w:val="none"/>
        </w:rPr>
        <w:t>2.如果不提供详细分项报价将视为没有实质性响应招标文件。</w:t>
      </w:r>
    </w:p>
    <w:p>
      <w:pPr>
        <w:pStyle w:val="9"/>
        <w:ind w:firstLine="480"/>
        <w:rPr>
          <w:bCs/>
          <w:highlight w:val="none"/>
        </w:rPr>
      </w:pPr>
      <w:r>
        <w:rPr>
          <w:rFonts w:hint="eastAsia"/>
          <w:highlight w:val="none"/>
        </w:rPr>
        <w:t>3.投标人可适当调整该表格式，但不得减少信息内容。</w:t>
      </w:r>
    </w:p>
    <w:p>
      <w:pPr>
        <w:pStyle w:val="4"/>
        <w:rPr>
          <w:highlight w:val="none"/>
        </w:rPr>
      </w:pPr>
      <w:bookmarkStart w:id="203" w:name="_Toc14384"/>
      <w:bookmarkStart w:id="204" w:name="_Toc15398"/>
      <w:bookmarkStart w:id="205" w:name="_Toc31326"/>
      <w:bookmarkStart w:id="206" w:name="_Toc19152"/>
      <w:bookmarkStart w:id="207" w:name="_Toc28866"/>
      <w:bookmarkStart w:id="208" w:name="_Toc609"/>
      <w:bookmarkStart w:id="209" w:name="_Toc8367"/>
      <w:bookmarkStart w:id="210" w:name="_Toc4085"/>
      <w:r>
        <w:rPr>
          <w:rFonts w:hint="eastAsia"/>
          <w:highlight w:val="none"/>
        </w:rPr>
        <w:t>三、</w:t>
      </w:r>
      <w:bookmarkEnd w:id="203"/>
      <w:bookmarkEnd w:id="204"/>
      <w:bookmarkEnd w:id="205"/>
      <w:bookmarkEnd w:id="206"/>
      <w:bookmarkEnd w:id="207"/>
      <w:bookmarkEnd w:id="208"/>
      <w:bookmarkEnd w:id="209"/>
      <w:bookmarkEnd w:id="210"/>
      <w:r>
        <w:rPr>
          <w:rFonts w:hint="eastAsia"/>
          <w:highlight w:val="none"/>
        </w:rPr>
        <w:t>资格证明文件</w:t>
      </w:r>
    </w:p>
    <w:p>
      <w:pPr>
        <w:spacing w:line="312" w:lineRule="auto"/>
        <w:ind w:firstLine="480" w:firstLineChars="200"/>
        <w:rPr>
          <w:highlight w:val="none"/>
        </w:rPr>
      </w:pPr>
      <w:r>
        <w:rPr>
          <w:rFonts w:hint="eastAsia" w:hAnsi="宋体" w:cs="宋体"/>
          <w:szCs w:val="24"/>
          <w:highlight w:val="none"/>
        </w:rPr>
        <w:t>投标人按招标文件的要求，依据</w:t>
      </w:r>
      <w:r>
        <w:rPr>
          <w:rFonts w:hint="eastAsia" w:hAnsi="宋体" w:cs="宋体"/>
          <w:b/>
          <w:bCs/>
          <w:szCs w:val="24"/>
          <w:highlight w:val="none"/>
          <w:lang w:eastAsia="zh-CN"/>
        </w:rPr>
        <w:t>第五章 “评标办法”</w:t>
      </w:r>
      <w:r>
        <w:rPr>
          <w:rFonts w:hint="eastAsia" w:hAnsi="宋体" w:cs="宋体"/>
          <w:b/>
          <w:bCs/>
          <w:szCs w:val="24"/>
          <w:highlight w:val="none"/>
        </w:rPr>
        <w:t>之</w:t>
      </w:r>
      <w:r>
        <w:rPr>
          <w:rFonts w:hint="eastAsia" w:hAnsi="宋体" w:cs="宋体"/>
          <w:b/>
          <w:bCs/>
          <w:szCs w:val="24"/>
          <w:highlight w:val="none"/>
          <w:lang w:eastAsia="zh-CN"/>
        </w:rPr>
        <w:t>“初步审查要素表”</w:t>
      </w:r>
      <w:r>
        <w:rPr>
          <w:rFonts w:hint="eastAsia" w:hAnsi="宋体" w:cs="宋体"/>
          <w:szCs w:val="24"/>
          <w:highlight w:val="none"/>
        </w:rPr>
        <w:t>审查内容逐项提供加盖公章的复印件，缺少其中任何一项，其投标文件将被视为无效文件。</w:t>
      </w:r>
    </w:p>
    <w:p>
      <w:pPr>
        <w:pStyle w:val="6"/>
        <w:rPr>
          <w:highlight w:val="none"/>
        </w:rPr>
      </w:pPr>
      <w:r>
        <w:rPr>
          <w:rFonts w:hint="eastAsia"/>
          <w:highlight w:val="none"/>
        </w:rPr>
        <w:t>后附证明资料（逐项提供加盖公章的复印件）：</w:t>
      </w:r>
    </w:p>
    <w:p>
      <w:pPr>
        <w:spacing w:line="360" w:lineRule="auto"/>
        <w:ind w:left="360" w:hanging="361"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b/>
          <w:bCs/>
          <w:sz w:val="24"/>
          <w:szCs w:val="24"/>
          <w:highlight w:val="none"/>
        </w:rPr>
        <w:t>（1）基本资格条件：</w:t>
      </w:r>
      <w:r>
        <w:rPr>
          <w:rFonts w:hint="eastAsia" w:ascii="宋体" w:hAnsi="宋体" w:eastAsia="宋体" w:cs="宋体"/>
          <w:color w:val="000000" w:themeColor="text1"/>
          <w:sz w:val="24"/>
          <w:highlight w:val="none"/>
          <w:lang w:val="en-US" w:eastAsia="zh-CN" w:bidi="ar-SA"/>
          <w14:textFill>
            <w14:solidFill>
              <w14:schemeClr w14:val="tx1"/>
            </w14:solidFill>
          </w14:textFill>
        </w:rPr>
        <w:t>符合《中华人民共和国政府采购法》第二十二条的规定：</w:t>
      </w:r>
    </w:p>
    <w:p>
      <w:pPr>
        <w:spacing w:line="360" w:lineRule="auto"/>
        <w:ind w:left="360" w:hanging="360"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t>1）具有独立承担民事责任的能力（提供营业执照/事业单位法人证书/非企业专业服务机构执业许可证/自然人身份证）；</w:t>
      </w:r>
    </w:p>
    <w:p>
      <w:pPr>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br w:type="page"/>
      </w:r>
    </w:p>
    <w:p>
      <w:pPr>
        <w:spacing w:line="360" w:lineRule="auto"/>
        <w:ind w:left="360" w:hanging="360"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t>2）具有良好的商业信誉和健全的财务会计制度（提供具有财务审计资质的单位出具的2021年财务报告，或开标截止时间前三个月内公司存款账户开户银行出具的资信证明 ，或信用担保机构出具的投标担保函）；</w:t>
      </w:r>
    </w:p>
    <w:p>
      <w:pPr>
        <w:rPr>
          <w:rFonts w:hint="eastAsia"/>
          <w:highlight w:val="none"/>
        </w:rPr>
      </w:pPr>
      <w:r>
        <w:rPr>
          <w:rFonts w:hint="eastAsia"/>
          <w:highlight w:val="none"/>
        </w:rPr>
        <w:br w:type="page"/>
      </w:r>
    </w:p>
    <w:p>
      <w:pPr>
        <w:pStyle w:val="5"/>
        <w:spacing w:before="666" w:after="666"/>
        <w:rPr>
          <w:highlight w:val="none"/>
        </w:rPr>
      </w:pPr>
      <w:r>
        <w:rPr>
          <w:rFonts w:hint="eastAsia"/>
          <w:highlight w:val="none"/>
        </w:rPr>
        <w:t>投标担保函（参考格式）</w:t>
      </w:r>
    </w:p>
    <w:p>
      <w:pPr>
        <w:pStyle w:val="9"/>
        <w:ind w:firstLine="480"/>
        <w:rPr>
          <w:highlight w:val="none"/>
        </w:rPr>
      </w:pPr>
      <w:r>
        <w:rPr>
          <w:rFonts w:hint="eastAsia"/>
          <w:szCs w:val="32"/>
          <w:highlight w:val="none"/>
        </w:rPr>
        <w:t xml:space="preserve">                     </w:t>
      </w:r>
      <w:r>
        <w:rPr>
          <w:rFonts w:hint="eastAsia"/>
          <w:highlight w:val="none"/>
        </w:rPr>
        <w:t xml:space="preserve">                           编号： </w:t>
      </w:r>
    </w:p>
    <w:p>
      <w:pPr>
        <w:pStyle w:val="9"/>
        <w:ind w:firstLine="480"/>
        <w:rPr>
          <w:highlight w:val="none"/>
        </w:rPr>
      </w:pPr>
    </w:p>
    <w:p>
      <w:pPr>
        <w:pStyle w:val="9"/>
        <w:ind w:firstLine="0" w:firstLineChars="0"/>
        <w:rPr>
          <w:highlight w:val="none"/>
        </w:rPr>
      </w:pPr>
      <w:r>
        <w:rPr>
          <w:rFonts w:hint="eastAsia"/>
          <w:highlight w:val="none"/>
        </w:rPr>
        <w:t>___________________（</w:t>
      </w:r>
      <w:r>
        <w:rPr>
          <w:rFonts w:hint="eastAsia"/>
          <w:highlight w:val="none"/>
          <w:lang w:eastAsia="zh-CN"/>
        </w:rPr>
        <w:t>招标人</w:t>
      </w:r>
      <w:r>
        <w:rPr>
          <w:rFonts w:hint="eastAsia"/>
          <w:highlight w:val="none"/>
        </w:rPr>
        <w:t>或</w:t>
      </w:r>
      <w:r>
        <w:rPr>
          <w:rFonts w:hint="eastAsia"/>
          <w:highlight w:val="none"/>
          <w:lang w:eastAsia="zh-CN"/>
        </w:rPr>
        <w:t>招标代理机构</w:t>
      </w:r>
      <w:r>
        <w:rPr>
          <w:rFonts w:hint="eastAsia"/>
          <w:highlight w:val="none"/>
        </w:rPr>
        <w:t xml:space="preserve">）： </w:t>
      </w:r>
    </w:p>
    <w:p>
      <w:pPr>
        <w:pStyle w:val="9"/>
        <w:ind w:firstLine="480"/>
        <w:rPr>
          <w:highlight w:val="none"/>
        </w:rPr>
      </w:pPr>
      <w:r>
        <w:rPr>
          <w:rFonts w:hint="eastAsia"/>
          <w:highlight w:val="none"/>
        </w:rPr>
        <w:t xml:space="preserve">    鉴于_______________（以下简称“投标人”）拟参加编号为___________的_______项目      （以下简称“本项目”）投标，根据本项目招标文件，投标人参加投标时应向你方交纳投标保证金，且可以投标担保函的形式交纳投标保证金。应投标人的申请，我方以保证的方式向你方提供如下投标保证金担保： </w:t>
      </w:r>
    </w:p>
    <w:p>
      <w:pPr>
        <w:pStyle w:val="9"/>
        <w:ind w:firstLine="482"/>
        <w:rPr>
          <w:b/>
          <w:bCs/>
          <w:highlight w:val="none"/>
        </w:rPr>
      </w:pPr>
      <w:r>
        <w:rPr>
          <w:rFonts w:hint="eastAsia"/>
          <w:b/>
          <w:bCs/>
          <w:highlight w:val="none"/>
        </w:rPr>
        <w:t xml:space="preserve">一、保证责任的情形及保证金额 </w:t>
      </w:r>
    </w:p>
    <w:p>
      <w:pPr>
        <w:pStyle w:val="9"/>
        <w:ind w:firstLine="480"/>
        <w:rPr>
          <w:highlight w:val="none"/>
        </w:rPr>
      </w:pPr>
      <w:r>
        <w:rPr>
          <w:rFonts w:hint="eastAsia"/>
          <w:highlight w:val="none"/>
        </w:rPr>
        <w:t xml:space="preserve">（一）在投标人出现下列情形之一时，我方承担保证责任： </w:t>
      </w:r>
    </w:p>
    <w:p>
      <w:pPr>
        <w:pStyle w:val="9"/>
        <w:ind w:firstLine="480"/>
        <w:rPr>
          <w:highlight w:val="none"/>
        </w:rPr>
      </w:pPr>
      <w:r>
        <w:rPr>
          <w:rFonts w:hint="eastAsia"/>
          <w:highlight w:val="none"/>
        </w:rPr>
        <w:t>1．中标后投标人无正当理由不与</w:t>
      </w:r>
      <w:r>
        <w:rPr>
          <w:rFonts w:hint="eastAsia"/>
          <w:highlight w:val="none"/>
          <w:lang w:eastAsia="zh-CN"/>
        </w:rPr>
        <w:t>招标人</w:t>
      </w:r>
      <w:r>
        <w:rPr>
          <w:rFonts w:hint="eastAsia"/>
          <w:highlight w:val="none"/>
        </w:rPr>
        <w:t>或者</w:t>
      </w:r>
      <w:r>
        <w:rPr>
          <w:rFonts w:hint="eastAsia"/>
          <w:highlight w:val="none"/>
          <w:lang w:eastAsia="zh-CN"/>
        </w:rPr>
        <w:t>招标代理机构</w:t>
      </w:r>
      <w:r>
        <w:rPr>
          <w:rFonts w:hint="eastAsia"/>
          <w:highlight w:val="none"/>
        </w:rPr>
        <w:t xml:space="preserve">签订《政府采购合同》； </w:t>
      </w:r>
    </w:p>
    <w:p>
      <w:pPr>
        <w:pStyle w:val="9"/>
        <w:ind w:firstLine="480"/>
        <w:rPr>
          <w:highlight w:val="none"/>
        </w:rPr>
      </w:pPr>
      <w:r>
        <w:rPr>
          <w:rFonts w:hint="eastAsia"/>
          <w:highlight w:val="none"/>
        </w:rPr>
        <w:t xml:space="preserve">2．招标文件规定的投标人应当缴纳保证金的其他情形。 </w:t>
      </w:r>
    </w:p>
    <w:p>
      <w:pPr>
        <w:pStyle w:val="9"/>
        <w:ind w:firstLine="480"/>
        <w:rPr>
          <w:highlight w:val="none"/>
        </w:rPr>
      </w:pPr>
      <w:r>
        <w:rPr>
          <w:rFonts w:hint="eastAsia"/>
          <w:highlight w:val="none"/>
        </w:rPr>
        <w:t xml:space="preserve">（二）我方承担保证责任的最高金额为人民币______元（大写_________________），即本项目     的投标保证金金额。 </w:t>
      </w:r>
    </w:p>
    <w:p>
      <w:pPr>
        <w:pStyle w:val="9"/>
        <w:ind w:firstLine="482"/>
        <w:rPr>
          <w:b/>
          <w:bCs/>
          <w:highlight w:val="none"/>
        </w:rPr>
      </w:pPr>
      <w:r>
        <w:rPr>
          <w:rFonts w:hint="eastAsia"/>
          <w:b/>
          <w:bCs/>
          <w:highlight w:val="none"/>
        </w:rPr>
        <w:t xml:space="preserve">二、保证的方式及保证期间 </w:t>
      </w:r>
    </w:p>
    <w:p>
      <w:pPr>
        <w:pStyle w:val="9"/>
        <w:ind w:firstLine="480"/>
        <w:rPr>
          <w:highlight w:val="none"/>
        </w:rPr>
      </w:pPr>
      <w:r>
        <w:rPr>
          <w:rFonts w:hint="eastAsia"/>
          <w:highlight w:val="none"/>
        </w:rPr>
        <w:t xml:space="preserve">我方保证的方式为：连带责任保证。 </w:t>
      </w:r>
    </w:p>
    <w:p>
      <w:pPr>
        <w:pStyle w:val="9"/>
        <w:ind w:firstLine="480"/>
        <w:rPr>
          <w:highlight w:val="none"/>
        </w:rPr>
      </w:pPr>
      <w:r>
        <w:rPr>
          <w:rFonts w:hint="eastAsia"/>
          <w:highlight w:val="none"/>
        </w:rPr>
        <w:t xml:space="preserve">我方的保证期间为：自本保函生效之日起______个月止。 </w:t>
      </w:r>
    </w:p>
    <w:p>
      <w:pPr>
        <w:pStyle w:val="9"/>
        <w:ind w:firstLine="482"/>
        <w:rPr>
          <w:b/>
          <w:bCs/>
          <w:highlight w:val="none"/>
        </w:rPr>
      </w:pPr>
      <w:r>
        <w:rPr>
          <w:rFonts w:hint="eastAsia"/>
          <w:b/>
          <w:bCs/>
          <w:highlight w:val="none"/>
        </w:rPr>
        <w:t xml:space="preserve">三、承担保证责任的程序 </w:t>
      </w:r>
    </w:p>
    <w:p>
      <w:pPr>
        <w:pStyle w:val="9"/>
        <w:ind w:firstLine="480"/>
        <w:rPr>
          <w:highlight w:val="none"/>
        </w:rPr>
      </w:pPr>
      <w:r>
        <w:rPr>
          <w:rFonts w:hint="eastAsia"/>
          <w:highlight w:val="none"/>
        </w:rPr>
        <w:t xml:space="preserve">1．你方要求我方承担保证责任的，应在本保函保证期间内向我方发出书面索赔通知。索赔通知应写明要求索赔的金额，支付款项应到达的账号，并附有证明投标人发生我方应承担保证责任情形的事实材料。 </w:t>
      </w:r>
    </w:p>
    <w:p>
      <w:pPr>
        <w:pStyle w:val="9"/>
        <w:ind w:firstLine="480"/>
        <w:rPr>
          <w:highlight w:val="none"/>
        </w:rPr>
      </w:pPr>
      <w:r>
        <w:rPr>
          <w:rFonts w:hint="eastAsia"/>
          <w:highlight w:val="none"/>
        </w:rPr>
        <w:t xml:space="preserve">2．我方在收到索赔通知及相关证明材料后，在_____个工作日内进行审查，符合应承担保证责任情形的，我方应按照你方的要求代投标人向你方支付投标保证金。 </w:t>
      </w:r>
    </w:p>
    <w:p>
      <w:pPr>
        <w:pStyle w:val="9"/>
        <w:ind w:firstLine="482"/>
        <w:rPr>
          <w:b/>
          <w:bCs/>
          <w:highlight w:val="none"/>
        </w:rPr>
      </w:pPr>
      <w:r>
        <w:rPr>
          <w:rFonts w:hint="eastAsia"/>
          <w:b/>
          <w:bCs/>
          <w:highlight w:val="none"/>
        </w:rPr>
        <w:t xml:space="preserve">四、保证责任的终止 </w:t>
      </w:r>
    </w:p>
    <w:p>
      <w:pPr>
        <w:pStyle w:val="9"/>
        <w:ind w:firstLine="480"/>
        <w:rPr>
          <w:highlight w:val="none"/>
        </w:rPr>
      </w:pPr>
      <w:r>
        <w:rPr>
          <w:rFonts w:hint="eastAsia"/>
          <w:highlight w:val="none"/>
        </w:rPr>
        <w:t xml:space="preserve">1．保证期间届满你方未向我方书面主张保证责任的，自保证期间届满次日起，我方保证责任自动终止。 </w:t>
      </w:r>
    </w:p>
    <w:p>
      <w:pPr>
        <w:pStyle w:val="9"/>
        <w:ind w:firstLine="480"/>
        <w:rPr>
          <w:highlight w:val="none"/>
        </w:rPr>
      </w:pPr>
      <w:r>
        <w:rPr>
          <w:rFonts w:hint="eastAsia"/>
          <w:highlight w:val="none"/>
        </w:rPr>
        <w:t xml:space="preserve">2．我方按照本保函向你方履行了保证责任后，自我方向你方支付款项（支付款项从我方账户划出）之日起，保证责任终止。 </w:t>
      </w:r>
    </w:p>
    <w:p>
      <w:pPr>
        <w:pStyle w:val="9"/>
        <w:ind w:firstLine="480"/>
        <w:rPr>
          <w:highlight w:val="none"/>
        </w:rPr>
      </w:pPr>
      <w:r>
        <w:rPr>
          <w:rFonts w:hint="eastAsia"/>
          <w:highlight w:val="none"/>
        </w:rPr>
        <w:t xml:space="preserve">3．按照法律法规的规定或出现我方保证责任终止的其它情形的，我方在本保函项下的保证责任亦终止。 </w:t>
      </w:r>
    </w:p>
    <w:p>
      <w:pPr>
        <w:pStyle w:val="9"/>
        <w:ind w:firstLine="482"/>
        <w:rPr>
          <w:b/>
          <w:bCs/>
          <w:highlight w:val="none"/>
        </w:rPr>
      </w:pPr>
      <w:r>
        <w:rPr>
          <w:rFonts w:hint="eastAsia"/>
          <w:b/>
          <w:bCs/>
          <w:highlight w:val="none"/>
        </w:rPr>
        <w:t xml:space="preserve">五、免责条款 </w:t>
      </w:r>
    </w:p>
    <w:p>
      <w:pPr>
        <w:pStyle w:val="9"/>
        <w:ind w:firstLine="480"/>
        <w:rPr>
          <w:highlight w:val="none"/>
        </w:rPr>
      </w:pPr>
      <w:r>
        <w:rPr>
          <w:rFonts w:hint="eastAsia"/>
          <w:highlight w:val="none"/>
        </w:rPr>
        <w:t xml:space="preserve">1．依照法律规定或你方与投标人的另行约定，全部或者部分免除投标人投标保证金义务时，我方亦免除相应的保证责任。 </w:t>
      </w:r>
    </w:p>
    <w:p>
      <w:pPr>
        <w:pStyle w:val="9"/>
        <w:ind w:firstLine="480"/>
        <w:rPr>
          <w:highlight w:val="none"/>
        </w:rPr>
      </w:pPr>
      <w:r>
        <w:rPr>
          <w:rFonts w:hint="eastAsia"/>
          <w:highlight w:val="none"/>
        </w:rPr>
        <w:t xml:space="preserve">2．因你方原因致使投标人发生本保函第一条第（一）款约定情形的，我方不承担保证责任。 </w:t>
      </w:r>
    </w:p>
    <w:p>
      <w:pPr>
        <w:pStyle w:val="9"/>
        <w:ind w:firstLine="480"/>
        <w:rPr>
          <w:highlight w:val="none"/>
        </w:rPr>
      </w:pPr>
      <w:r>
        <w:rPr>
          <w:rFonts w:hint="eastAsia"/>
          <w:highlight w:val="none"/>
        </w:rPr>
        <w:t xml:space="preserve">3．因不可抗力造成投标人发生本保函第一条约定情形的，我方不承担保证责任。 </w:t>
      </w:r>
    </w:p>
    <w:p>
      <w:pPr>
        <w:pStyle w:val="9"/>
        <w:ind w:firstLine="480"/>
        <w:rPr>
          <w:highlight w:val="none"/>
        </w:rPr>
      </w:pPr>
      <w:r>
        <w:rPr>
          <w:rFonts w:hint="eastAsia"/>
          <w:highlight w:val="none"/>
        </w:rPr>
        <w:t xml:space="preserve">4．你方或其他有权机关对招标文件进行任何澄清或修改，加重我方保证责任的，我方对加重部分不承担保证责任，但该澄清或修改经我方事先书面同意的除外。 </w:t>
      </w:r>
    </w:p>
    <w:p>
      <w:pPr>
        <w:pStyle w:val="9"/>
        <w:ind w:firstLine="482"/>
        <w:rPr>
          <w:b/>
          <w:bCs/>
          <w:highlight w:val="none"/>
        </w:rPr>
      </w:pPr>
      <w:r>
        <w:rPr>
          <w:rFonts w:hint="eastAsia"/>
          <w:b/>
          <w:bCs/>
          <w:highlight w:val="none"/>
        </w:rPr>
        <w:t xml:space="preserve">六、争议的解决 </w:t>
      </w:r>
    </w:p>
    <w:p>
      <w:pPr>
        <w:pStyle w:val="9"/>
        <w:ind w:firstLine="480"/>
        <w:rPr>
          <w:highlight w:val="none"/>
        </w:rPr>
      </w:pPr>
      <w:r>
        <w:rPr>
          <w:rFonts w:hint="eastAsia"/>
          <w:highlight w:val="none"/>
        </w:rPr>
        <w:t xml:space="preserve">因本保函发生的纠纷，由你我双方协商解决，协商不成的，通过诉讼程序解决，诉讼管辖地法院为________________法院。 </w:t>
      </w:r>
    </w:p>
    <w:p>
      <w:pPr>
        <w:pStyle w:val="9"/>
        <w:ind w:firstLine="482"/>
        <w:rPr>
          <w:b/>
          <w:bCs/>
          <w:highlight w:val="none"/>
        </w:rPr>
      </w:pPr>
      <w:r>
        <w:rPr>
          <w:rFonts w:hint="eastAsia"/>
          <w:b/>
          <w:bCs/>
          <w:highlight w:val="none"/>
        </w:rPr>
        <w:t xml:space="preserve">七、保函的生效 </w:t>
      </w:r>
    </w:p>
    <w:p>
      <w:pPr>
        <w:pStyle w:val="9"/>
        <w:ind w:firstLine="480"/>
        <w:rPr>
          <w:highlight w:val="none"/>
        </w:rPr>
      </w:pPr>
      <w:r>
        <w:rPr>
          <w:rFonts w:hint="eastAsia"/>
          <w:highlight w:val="none"/>
        </w:rPr>
        <w:t xml:space="preserve">本保函自我方加盖公章之日起生效。 </w:t>
      </w:r>
    </w:p>
    <w:p>
      <w:pPr>
        <w:spacing w:line="360" w:lineRule="auto"/>
        <w:rPr>
          <w:rFonts w:hAnsi="宋体" w:cs="宋体"/>
          <w:szCs w:val="24"/>
          <w:highlight w:val="none"/>
        </w:rPr>
      </w:pPr>
      <w:r>
        <w:rPr>
          <w:rFonts w:hint="eastAsia" w:hAnsi="宋体" w:cs="宋体"/>
          <w:szCs w:val="24"/>
          <w:highlight w:val="none"/>
        </w:rPr>
        <w:t xml:space="preserve">                             </w:t>
      </w:r>
    </w:p>
    <w:p>
      <w:pPr>
        <w:spacing w:line="360" w:lineRule="auto"/>
        <w:rPr>
          <w:rFonts w:hAnsi="宋体" w:cs="宋体"/>
          <w:szCs w:val="24"/>
          <w:highlight w:val="none"/>
        </w:rPr>
      </w:pPr>
    </w:p>
    <w:p>
      <w:pPr>
        <w:spacing w:line="360" w:lineRule="auto"/>
        <w:rPr>
          <w:rFonts w:hAnsi="宋体" w:cs="宋体"/>
          <w:szCs w:val="24"/>
          <w:highlight w:val="none"/>
        </w:rPr>
      </w:pPr>
    </w:p>
    <w:p>
      <w:pPr>
        <w:pStyle w:val="9"/>
        <w:ind w:firstLine="5040" w:firstLineChars="2100"/>
        <w:rPr>
          <w:highlight w:val="none"/>
        </w:rPr>
      </w:pPr>
      <w:r>
        <w:rPr>
          <w:rFonts w:hint="eastAsia"/>
          <w:highlight w:val="none"/>
        </w:rPr>
        <w:t>保证人：</w:t>
      </w:r>
      <w:r>
        <w:rPr>
          <w:rFonts w:hint="eastAsia"/>
          <w:highlight w:val="none"/>
          <w:u w:val="single"/>
        </w:rPr>
        <w:t xml:space="preserve">                  </w:t>
      </w:r>
      <w:r>
        <w:rPr>
          <w:rFonts w:hint="eastAsia"/>
          <w:highlight w:val="none"/>
        </w:rPr>
        <w:t>（公章）</w:t>
      </w:r>
    </w:p>
    <w:p>
      <w:pPr>
        <w:pStyle w:val="9"/>
        <w:ind w:firstLine="480"/>
        <w:rPr>
          <w:highlight w:val="none"/>
        </w:rPr>
      </w:pPr>
      <w:r>
        <w:rPr>
          <w:rFonts w:hint="eastAsia"/>
          <w:highlight w:val="none"/>
        </w:rPr>
        <w:t xml:space="preserve">                                             </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10"/>
        <w:ind w:left="1440"/>
        <w:rPr>
          <w:highlight w:val="none"/>
        </w:rPr>
      </w:pPr>
    </w:p>
    <w:p>
      <w:pPr>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br w:type="page"/>
      </w:r>
    </w:p>
    <w:p>
      <w:pPr>
        <w:spacing w:line="360" w:lineRule="auto"/>
        <w:ind w:left="360" w:hanging="360" w:hangingChars="150"/>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t>3）有依法缴纳税收和社会保障资金的良好记录（提供开标截止时间前12个月内任一个月份的①正式税收缴费凭据或免税书面声明、②社会保障资金缴纳专用收据或社会保险缴纳清单或社会保障资金免缴纳书面声明）；</w:t>
      </w:r>
    </w:p>
    <w:p>
      <w:pPr>
        <w:rPr>
          <w:rFonts w:hint="eastAsia" w:ascii="宋体" w:hAnsi="宋体" w:eastAsia="宋体" w:cs="宋体"/>
          <w:color w:val="000000" w:themeColor="text1"/>
          <w:sz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bidi="ar-SA"/>
          <w14:textFill>
            <w14:solidFill>
              <w14:schemeClr w14:val="tx1"/>
            </w14:solidFill>
          </w14:textFill>
        </w:rPr>
        <w:br w:type="page"/>
      </w:r>
    </w:p>
    <w:p>
      <w:pPr>
        <w:spacing w:line="360" w:lineRule="auto"/>
        <w:ind w:left="360" w:hanging="360" w:hangingChars="150"/>
        <w:rPr>
          <w:rFonts w:hint="eastAsia" w:ascii="宋体" w:hAnsi="宋体"/>
          <w:sz w:val="24"/>
          <w:szCs w:val="24"/>
          <w:highlight w:val="none"/>
        </w:rPr>
      </w:pPr>
      <w:r>
        <w:rPr>
          <w:rFonts w:hint="eastAsia" w:ascii="宋体" w:hAnsi="宋体" w:eastAsia="宋体" w:cs="宋体"/>
          <w:color w:val="000000" w:themeColor="text1"/>
          <w:sz w:val="24"/>
          <w:highlight w:val="none"/>
          <w:lang w:val="en-US" w:eastAsia="zh-CN" w:bidi="ar-SA"/>
          <w14:textFill>
            <w14:solidFill>
              <w14:schemeClr w14:val="tx1"/>
            </w14:solidFill>
          </w14:textFill>
        </w:rPr>
        <w:t>4）具备履行合同所必需的设备和专业技术能力（提供可充分满足履行合同所需设备和专业技术能力的承诺）</w:t>
      </w:r>
      <w:r>
        <w:rPr>
          <w:rFonts w:hint="eastAsia" w:ascii="宋体" w:hAnsi="宋体"/>
          <w:b/>
          <w:bCs/>
          <w:sz w:val="24"/>
          <w:szCs w:val="24"/>
          <w:highlight w:val="none"/>
          <w:lang w:eastAsia="zh-CN"/>
        </w:rPr>
        <w:t>原件</w:t>
      </w:r>
      <w:r>
        <w:rPr>
          <w:rFonts w:hint="eastAsia" w:ascii="宋体" w:hAnsi="宋体"/>
          <w:sz w:val="24"/>
          <w:szCs w:val="24"/>
          <w:highlight w:val="none"/>
        </w:rPr>
        <w:t>；</w:t>
      </w:r>
    </w:p>
    <w:p>
      <w:pPr>
        <w:pStyle w:val="5"/>
        <w:spacing w:before="666" w:after="666"/>
        <w:rPr>
          <w:highlight w:val="none"/>
        </w:rPr>
      </w:pPr>
      <w:r>
        <w:rPr>
          <w:rFonts w:hint="eastAsia"/>
          <w:highlight w:val="none"/>
        </w:rPr>
        <w:t>履行合同所必需的设备和专业技术能力的承诺</w:t>
      </w:r>
    </w:p>
    <w:p>
      <w:pPr>
        <w:pStyle w:val="9"/>
        <w:ind w:firstLine="0" w:firstLineChars="0"/>
        <w:rPr>
          <w:highlight w:val="none"/>
          <w:u w:val="single"/>
        </w:rPr>
      </w:pPr>
      <w:r>
        <w:rPr>
          <w:rFonts w:hint="eastAsia"/>
          <w:highlight w:val="none"/>
          <w:u w:val="single"/>
        </w:rPr>
        <w:t>（</w:t>
      </w:r>
      <w:r>
        <w:rPr>
          <w:rFonts w:hint="eastAsia"/>
          <w:highlight w:val="none"/>
          <w:u w:val="single"/>
          <w:lang w:eastAsia="zh-CN"/>
        </w:rPr>
        <w:t>招标人</w:t>
      </w:r>
      <w:r>
        <w:rPr>
          <w:rFonts w:hint="eastAsia"/>
          <w:highlight w:val="none"/>
          <w:u w:val="single"/>
        </w:rPr>
        <w:t>名称）：</w:t>
      </w:r>
    </w:p>
    <w:p>
      <w:pPr>
        <w:pStyle w:val="9"/>
        <w:ind w:firstLine="480"/>
        <w:rPr>
          <w:highlight w:val="none"/>
        </w:rPr>
      </w:pPr>
      <w:r>
        <w:rPr>
          <w:rFonts w:hint="eastAsia"/>
          <w:highlight w:val="none"/>
          <w:u w:val="single"/>
        </w:rPr>
        <w:t xml:space="preserve">（投标人名称） </w:t>
      </w:r>
      <w:r>
        <w:rPr>
          <w:rFonts w:hint="eastAsia"/>
          <w:highlight w:val="none"/>
        </w:rPr>
        <w:t>于</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日在中华人民共和国境内</w:t>
      </w:r>
      <w:r>
        <w:rPr>
          <w:rFonts w:hint="eastAsia"/>
          <w:highlight w:val="none"/>
          <w:u w:val="single"/>
        </w:rPr>
        <w:t xml:space="preserve"> （详细注册地址）</w:t>
      </w:r>
      <w:r>
        <w:rPr>
          <w:rFonts w:hint="eastAsia"/>
          <w:highlight w:val="none"/>
        </w:rPr>
        <w:t>合法注册并经营，公司主营业务为</w:t>
      </w:r>
      <w:r>
        <w:rPr>
          <w:rFonts w:hint="eastAsia"/>
          <w:highlight w:val="none"/>
          <w:u w:val="single"/>
        </w:rPr>
        <w:t xml:space="preserve">                          </w:t>
      </w:r>
      <w:r>
        <w:rPr>
          <w:rFonts w:hint="eastAsia"/>
          <w:highlight w:val="none"/>
        </w:rPr>
        <w:t>，营业（生产经营）面积为</w:t>
      </w:r>
      <w:r>
        <w:rPr>
          <w:rFonts w:hint="eastAsia"/>
          <w:highlight w:val="none"/>
          <w:u w:val="single"/>
        </w:rPr>
        <w:t xml:space="preserve">              </w:t>
      </w:r>
      <w:r>
        <w:rPr>
          <w:rFonts w:hint="eastAsia"/>
          <w:highlight w:val="none"/>
        </w:rPr>
        <w:t>，现有员工数量为</w:t>
      </w:r>
      <w:r>
        <w:rPr>
          <w:rFonts w:hint="eastAsia"/>
          <w:highlight w:val="none"/>
          <w:u w:val="single"/>
        </w:rPr>
        <w:t xml:space="preserve">         </w:t>
      </w:r>
      <w:r>
        <w:rPr>
          <w:rFonts w:hint="eastAsia"/>
          <w:highlight w:val="none"/>
        </w:rPr>
        <w:t>，本公司郑重承诺，具有履行本合同所必需的设备和专业技术能力。</w:t>
      </w:r>
    </w:p>
    <w:p>
      <w:pPr>
        <w:pStyle w:val="13"/>
        <w:adjustRightInd w:val="0"/>
        <w:snapToGrid w:val="0"/>
        <w:spacing w:line="500" w:lineRule="exact"/>
        <w:rPr>
          <w:rFonts w:hAnsi="宋体" w:cs="宋体"/>
          <w:spacing w:val="4"/>
          <w:sz w:val="24"/>
          <w:szCs w:val="24"/>
          <w:highlight w:val="none"/>
        </w:rPr>
      </w:pPr>
    </w:p>
    <w:p>
      <w:pPr>
        <w:pStyle w:val="13"/>
        <w:adjustRightInd w:val="0"/>
        <w:snapToGrid w:val="0"/>
        <w:spacing w:line="500" w:lineRule="exact"/>
        <w:rPr>
          <w:rFonts w:hAnsi="宋体" w:cs="宋体"/>
          <w:spacing w:val="4"/>
          <w:sz w:val="24"/>
          <w:szCs w:val="24"/>
          <w:highlight w:val="none"/>
        </w:rPr>
      </w:pPr>
    </w:p>
    <w:p>
      <w:pPr>
        <w:pStyle w:val="9"/>
        <w:ind w:firstLine="3600" w:firstLineChars="150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3600" w:firstLineChars="150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adjustRightInd w:val="0"/>
        <w:snapToGrid w:val="0"/>
        <w:spacing w:line="500" w:lineRule="exact"/>
        <w:ind w:firstLine="3600" w:firstLineChars="1500"/>
        <w:rPr>
          <w:rFonts w:hAnsi="宋体" w:cs="宋体"/>
          <w:szCs w:val="24"/>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2"/>
        <w:rPr>
          <w:highlight w:val="none"/>
        </w:rPr>
      </w:pPr>
    </w:p>
    <w:p>
      <w:pPr>
        <w:rPr>
          <w:rStyle w:val="37"/>
          <w:bCs w:val="0"/>
          <w:highlight w:val="none"/>
        </w:rPr>
      </w:pPr>
      <w:r>
        <w:rPr>
          <w:rStyle w:val="37"/>
          <w:rFonts w:hint="eastAsia"/>
          <w:bCs w:val="0"/>
          <w:highlight w:val="none"/>
        </w:rPr>
        <w:br w:type="page"/>
      </w:r>
    </w:p>
    <w:p>
      <w:pPr>
        <w:rPr>
          <w:highlight w:val="none"/>
        </w:rPr>
      </w:pPr>
      <w:r>
        <w:rPr>
          <w:rFonts w:hint="eastAsia" w:ascii="宋体" w:hAnsi="宋体"/>
          <w:sz w:val="24"/>
          <w:szCs w:val="24"/>
          <w:highlight w:val="none"/>
        </w:rPr>
        <w:t>5</w:t>
      </w:r>
      <w:r>
        <w:rPr>
          <w:rFonts w:hint="eastAsia" w:ascii="宋体" w:hAnsi="宋体"/>
          <w:sz w:val="24"/>
          <w:szCs w:val="24"/>
          <w:highlight w:val="none"/>
          <w:lang w:eastAsia="zh-CN"/>
        </w:rPr>
        <w:t>）</w:t>
      </w:r>
      <w:r>
        <w:rPr>
          <w:rFonts w:hint="eastAsia" w:ascii="宋体" w:hAnsi="宋体" w:eastAsia="宋体" w:cs="宋体"/>
          <w:color w:val="000000" w:themeColor="text1"/>
          <w:sz w:val="24"/>
          <w:highlight w:val="none"/>
          <w:lang w:val="en-US" w:eastAsia="zh-CN" w:bidi="ar-SA"/>
          <w14:textFill>
            <w14:solidFill>
              <w14:schemeClr w14:val="tx1"/>
            </w14:solidFill>
          </w14:textFill>
        </w:rPr>
        <w:t>参加政府采购活动前三年内在经营活动中没有重大违法记录的书面声明（提供承诺）</w:t>
      </w:r>
      <w:r>
        <w:rPr>
          <w:rFonts w:hint="eastAsia" w:ascii="宋体" w:hAnsi="宋体"/>
          <w:b/>
          <w:bCs/>
          <w:sz w:val="24"/>
          <w:szCs w:val="24"/>
          <w:highlight w:val="none"/>
          <w:lang w:eastAsia="zh-CN"/>
        </w:rPr>
        <w:t>原件</w:t>
      </w:r>
      <w:r>
        <w:rPr>
          <w:rFonts w:hint="eastAsia" w:ascii="宋体" w:hAnsi="宋体"/>
          <w:sz w:val="24"/>
          <w:szCs w:val="24"/>
          <w:highlight w:val="none"/>
        </w:rPr>
        <w:t>；</w:t>
      </w:r>
    </w:p>
    <w:p>
      <w:pPr>
        <w:pStyle w:val="5"/>
        <w:spacing w:before="666" w:after="666"/>
        <w:rPr>
          <w:highlight w:val="none"/>
        </w:rPr>
      </w:pPr>
      <w:r>
        <w:rPr>
          <w:rFonts w:hint="eastAsia"/>
          <w:highlight w:val="none"/>
        </w:rPr>
        <w:t>近三年无重大违法、违纪书面声明（格式）</w:t>
      </w:r>
    </w:p>
    <w:p>
      <w:pPr>
        <w:pStyle w:val="9"/>
        <w:ind w:firstLine="0" w:firstLineChars="0"/>
        <w:rPr>
          <w:highlight w:val="none"/>
        </w:rPr>
      </w:pPr>
      <w:r>
        <w:rPr>
          <w:rFonts w:hint="eastAsia"/>
          <w:highlight w:val="none"/>
        </w:rPr>
        <w:t>致：</w:t>
      </w:r>
      <w:r>
        <w:rPr>
          <w:rFonts w:hint="eastAsia"/>
          <w:highlight w:val="none"/>
          <w:u w:val="single"/>
        </w:rPr>
        <w:t xml:space="preserve">     （</w:t>
      </w:r>
      <w:r>
        <w:rPr>
          <w:rFonts w:hint="eastAsia"/>
          <w:highlight w:val="none"/>
          <w:u w:val="single"/>
          <w:lang w:eastAsia="zh-CN"/>
        </w:rPr>
        <w:t>招标人</w:t>
      </w:r>
      <w:r>
        <w:rPr>
          <w:rFonts w:hint="eastAsia"/>
          <w:highlight w:val="none"/>
          <w:u w:val="single"/>
        </w:rPr>
        <w:t xml:space="preserve">名称）  </w:t>
      </w:r>
      <w:r>
        <w:rPr>
          <w:rFonts w:hint="eastAsia"/>
          <w:highlight w:val="none"/>
        </w:rPr>
        <w:t xml:space="preserve"> </w:t>
      </w:r>
    </w:p>
    <w:p>
      <w:pPr>
        <w:pStyle w:val="9"/>
        <w:ind w:firstLine="480"/>
        <w:rPr>
          <w:highlight w:val="none"/>
        </w:rPr>
      </w:pPr>
      <w:r>
        <w:rPr>
          <w:rFonts w:hint="eastAsia"/>
          <w:highlight w:val="none"/>
        </w:rPr>
        <w:t>我单位声明参加本次政府采购活动前三年内，在经营活动中没有重大违纪，以及未被列入失信被执行人、未在重大税收违法案件当事人名单及政府采购严重违法失信行为记录名单中。</w:t>
      </w:r>
    </w:p>
    <w:p>
      <w:pPr>
        <w:pStyle w:val="9"/>
        <w:ind w:firstLine="480"/>
        <w:rPr>
          <w:highlight w:val="none"/>
        </w:rPr>
      </w:pPr>
      <w:r>
        <w:rPr>
          <w:rFonts w:hint="eastAsia"/>
          <w:highlight w:val="none"/>
        </w:rPr>
        <w:t>以上如构成虚假，自愿承担相关法律责任。</w:t>
      </w:r>
    </w:p>
    <w:p>
      <w:pPr>
        <w:pStyle w:val="9"/>
        <w:ind w:firstLine="480"/>
        <w:rPr>
          <w:highlight w:val="none"/>
        </w:rPr>
      </w:pPr>
    </w:p>
    <w:p>
      <w:pPr>
        <w:pStyle w:val="9"/>
        <w:ind w:firstLine="480"/>
        <w:rPr>
          <w:highlight w:val="none"/>
        </w:rPr>
      </w:pPr>
      <w:r>
        <w:rPr>
          <w:rFonts w:hint="eastAsia"/>
          <w:highlight w:val="none"/>
        </w:rPr>
        <w:t>特此声明！</w:t>
      </w:r>
    </w:p>
    <w:p>
      <w:pPr>
        <w:spacing w:line="360" w:lineRule="auto"/>
        <w:ind w:firstLine="480" w:firstLineChars="200"/>
        <w:jc w:val="left"/>
        <w:rPr>
          <w:rFonts w:hAnsi="宋体" w:cs="宋体"/>
          <w:highlight w:val="none"/>
        </w:rPr>
      </w:pPr>
    </w:p>
    <w:p>
      <w:pPr>
        <w:spacing w:line="360" w:lineRule="auto"/>
        <w:ind w:firstLine="480" w:firstLineChars="200"/>
        <w:jc w:val="left"/>
        <w:rPr>
          <w:rFonts w:hAnsi="宋体" w:cs="宋体"/>
          <w:highlight w:val="none"/>
        </w:rPr>
      </w:pPr>
    </w:p>
    <w:p>
      <w:pPr>
        <w:pStyle w:val="9"/>
        <w:ind w:firstLine="3600" w:firstLineChars="150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3600" w:firstLineChars="150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spacing w:line="360" w:lineRule="auto"/>
        <w:ind w:firstLine="3600" w:firstLineChars="1500"/>
        <w:rPr>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jc w:val="center"/>
        <w:rPr>
          <w:rFonts w:hint="eastAsia" w:ascii="宋体" w:hAnsi="宋体"/>
          <w:b/>
          <w:bCs/>
          <w:sz w:val="24"/>
          <w:szCs w:val="24"/>
          <w:highlight w:val="none"/>
          <w:lang w:eastAsia="zh-CN"/>
        </w:rPr>
      </w:pPr>
      <w:r>
        <w:rPr>
          <w:rFonts w:hint="eastAsia" w:ascii="宋体" w:hAnsi="宋体"/>
          <w:b/>
          <w:bCs/>
          <w:sz w:val="24"/>
          <w:szCs w:val="24"/>
          <w:highlight w:val="none"/>
          <w:lang w:eastAsia="zh-CN"/>
        </w:rPr>
        <w:br w:type="page"/>
      </w:r>
    </w:p>
    <w:p>
      <w:pPr>
        <w:spacing w:line="360" w:lineRule="auto"/>
        <w:ind w:left="360" w:hanging="361" w:hangingChars="150"/>
        <w:rPr>
          <w:rFonts w:hint="eastAsia" w:ascii="宋体" w:hAnsi="宋体"/>
          <w:sz w:val="24"/>
          <w:szCs w:val="24"/>
          <w:highlight w:val="none"/>
          <w:lang w:eastAsia="zh-CN"/>
        </w:rPr>
      </w:pPr>
      <w:r>
        <w:rPr>
          <w:rFonts w:hint="eastAsia" w:ascii="宋体" w:hAnsi="宋体"/>
          <w:b/>
          <w:bCs/>
          <w:sz w:val="24"/>
          <w:szCs w:val="24"/>
          <w:highlight w:val="none"/>
          <w:lang w:eastAsia="zh-CN"/>
        </w:rPr>
        <w:t>（</w:t>
      </w:r>
      <w:r>
        <w:rPr>
          <w:rFonts w:hint="eastAsia" w:ascii="宋体" w:hAnsi="宋体"/>
          <w:b/>
          <w:bCs/>
          <w:sz w:val="24"/>
          <w:szCs w:val="24"/>
          <w:highlight w:val="none"/>
          <w:lang w:val="en-US" w:eastAsia="zh-CN"/>
        </w:rPr>
        <w:t>2</w:t>
      </w:r>
      <w:r>
        <w:rPr>
          <w:rFonts w:hint="eastAsia" w:ascii="宋体" w:hAnsi="宋体"/>
          <w:b/>
          <w:bCs/>
          <w:sz w:val="24"/>
          <w:szCs w:val="24"/>
          <w:highlight w:val="none"/>
          <w:lang w:eastAsia="zh-CN"/>
        </w:rPr>
        <w:t>）落实政府采购政策的资格条件：</w:t>
      </w:r>
      <w:r>
        <w:rPr>
          <w:rFonts w:hint="eastAsia" w:hAnsi="宋体" w:cs="宋体"/>
          <w:i w:val="0"/>
          <w:caps w:val="0"/>
          <w:color w:val="auto"/>
          <w:spacing w:val="0"/>
          <w:sz w:val="24"/>
          <w:szCs w:val="24"/>
          <w:highlight w:val="none"/>
          <w:shd w:val="clear" w:fill="FFFFFF"/>
          <w:vertAlign w:val="baseline"/>
          <w:lang w:eastAsia="zh-CN"/>
        </w:rPr>
        <w:t>本项目专门面向中小企业采购，残疾人福利性单位或监狱企业视同为小型、微型企业</w:t>
      </w:r>
      <w:r>
        <w:rPr>
          <w:rFonts w:hint="eastAsia" w:ascii="宋体" w:hAnsi="宋体"/>
          <w:sz w:val="24"/>
          <w:szCs w:val="24"/>
          <w:highlight w:val="none"/>
          <w:lang w:eastAsia="zh-CN"/>
        </w:rPr>
        <w:t>；</w:t>
      </w:r>
    </w:p>
    <w:p>
      <w:pPr>
        <w:pStyle w:val="5"/>
        <w:spacing w:before="666" w:after="666"/>
        <w:rPr>
          <w:highlight w:val="none"/>
        </w:rPr>
      </w:pPr>
      <w:r>
        <w:rPr>
          <w:rFonts w:hint="eastAsia"/>
          <w:highlight w:val="none"/>
        </w:rPr>
        <w:t>投标人基本情况表</w:t>
      </w:r>
    </w:p>
    <w:p>
      <w:pPr>
        <w:jc w:val="left"/>
        <w:rPr>
          <w:rFonts w:hint="default" w:hAnsi="宋体" w:eastAsia="宋体" w:cs="宋体"/>
          <w:szCs w:val="24"/>
          <w:highlight w:val="none"/>
          <w:lang w:val="en-US" w:eastAsia="zh-CN"/>
        </w:rPr>
      </w:pPr>
      <w:r>
        <w:rPr>
          <w:rFonts w:hint="eastAsia" w:hAnsi="宋体" w:cs="宋体"/>
          <w:szCs w:val="24"/>
          <w:highlight w:val="none"/>
        </w:rPr>
        <w:t>项目名称：                    项目编号：</w:t>
      </w:r>
      <w:r>
        <w:rPr>
          <w:rFonts w:hint="eastAsia" w:hAnsi="宋体" w:cs="宋体"/>
          <w:szCs w:val="24"/>
          <w:highlight w:val="none"/>
          <w:lang w:val="en-US"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502"/>
        <w:gridCol w:w="644"/>
        <w:gridCol w:w="1530"/>
        <w:gridCol w:w="2174"/>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73" w:type="dxa"/>
            <w:gridSpan w:val="2"/>
            <w:vAlign w:val="center"/>
          </w:tcPr>
          <w:p>
            <w:pPr>
              <w:pStyle w:val="29"/>
              <w:rPr>
                <w:highlight w:val="none"/>
              </w:rPr>
            </w:pPr>
            <w:r>
              <w:rPr>
                <w:rFonts w:hint="eastAsia"/>
                <w:highlight w:val="none"/>
              </w:rPr>
              <w:t>投标人名称</w:t>
            </w:r>
          </w:p>
        </w:tc>
        <w:tc>
          <w:tcPr>
            <w:tcW w:w="2174" w:type="dxa"/>
            <w:gridSpan w:val="2"/>
            <w:vAlign w:val="center"/>
          </w:tcPr>
          <w:p>
            <w:pPr>
              <w:pStyle w:val="29"/>
              <w:rPr>
                <w:highlight w:val="none"/>
              </w:rPr>
            </w:pPr>
          </w:p>
        </w:tc>
        <w:tc>
          <w:tcPr>
            <w:tcW w:w="2174" w:type="dxa"/>
            <w:vAlign w:val="center"/>
          </w:tcPr>
          <w:p>
            <w:pPr>
              <w:pStyle w:val="29"/>
              <w:rPr>
                <w:highlight w:val="none"/>
              </w:rPr>
            </w:pPr>
            <w:r>
              <w:rPr>
                <w:rFonts w:hint="eastAsia"/>
                <w:highlight w:val="none"/>
              </w:rPr>
              <w:t>法定代表人</w:t>
            </w:r>
          </w:p>
        </w:tc>
        <w:tc>
          <w:tcPr>
            <w:tcW w:w="2178"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73" w:type="dxa"/>
            <w:gridSpan w:val="2"/>
            <w:vAlign w:val="center"/>
          </w:tcPr>
          <w:p>
            <w:pPr>
              <w:pStyle w:val="29"/>
              <w:rPr>
                <w:highlight w:val="none"/>
              </w:rPr>
            </w:pPr>
            <w:r>
              <w:rPr>
                <w:rFonts w:hint="eastAsia"/>
                <w:highlight w:val="none"/>
              </w:rPr>
              <w:t>企业统一社会信</w:t>
            </w:r>
          </w:p>
          <w:p>
            <w:pPr>
              <w:pStyle w:val="29"/>
              <w:rPr>
                <w:highlight w:val="none"/>
              </w:rPr>
            </w:pPr>
            <w:r>
              <w:rPr>
                <w:rFonts w:hint="eastAsia"/>
                <w:highlight w:val="none"/>
              </w:rPr>
              <w:t>用代码</w:t>
            </w:r>
          </w:p>
        </w:tc>
        <w:tc>
          <w:tcPr>
            <w:tcW w:w="2174" w:type="dxa"/>
            <w:gridSpan w:val="2"/>
            <w:vAlign w:val="center"/>
          </w:tcPr>
          <w:p>
            <w:pPr>
              <w:pStyle w:val="29"/>
              <w:rPr>
                <w:highlight w:val="none"/>
              </w:rPr>
            </w:pPr>
          </w:p>
        </w:tc>
        <w:tc>
          <w:tcPr>
            <w:tcW w:w="2174" w:type="dxa"/>
            <w:vAlign w:val="center"/>
          </w:tcPr>
          <w:p>
            <w:pPr>
              <w:pStyle w:val="29"/>
              <w:rPr>
                <w:highlight w:val="none"/>
              </w:rPr>
            </w:pPr>
            <w:r>
              <w:rPr>
                <w:rFonts w:hint="eastAsia"/>
                <w:highlight w:val="none"/>
              </w:rPr>
              <w:t>邮政编码</w:t>
            </w:r>
          </w:p>
        </w:tc>
        <w:tc>
          <w:tcPr>
            <w:tcW w:w="2178"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73" w:type="dxa"/>
            <w:gridSpan w:val="2"/>
            <w:vAlign w:val="center"/>
          </w:tcPr>
          <w:p>
            <w:pPr>
              <w:pStyle w:val="29"/>
              <w:rPr>
                <w:highlight w:val="none"/>
              </w:rPr>
            </w:pPr>
            <w:r>
              <w:rPr>
                <w:rFonts w:hint="eastAsia"/>
                <w:highlight w:val="none"/>
              </w:rPr>
              <w:t>委托代理人</w:t>
            </w:r>
          </w:p>
        </w:tc>
        <w:tc>
          <w:tcPr>
            <w:tcW w:w="2174" w:type="dxa"/>
            <w:gridSpan w:val="2"/>
            <w:vAlign w:val="center"/>
          </w:tcPr>
          <w:p>
            <w:pPr>
              <w:pStyle w:val="29"/>
              <w:rPr>
                <w:highlight w:val="none"/>
              </w:rPr>
            </w:pPr>
          </w:p>
        </w:tc>
        <w:tc>
          <w:tcPr>
            <w:tcW w:w="2174" w:type="dxa"/>
            <w:vAlign w:val="center"/>
          </w:tcPr>
          <w:p>
            <w:pPr>
              <w:pStyle w:val="29"/>
              <w:rPr>
                <w:highlight w:val="none"/>
              </w:rPr>
            </w:pPr>
            <w:r>
              <w:rPr>
                <w:rFonts w:hint="eastAsia"/>
                <w:highlight w:val="none"/>
              </w:rPr>
              <w:t>电子邮箱</w:t>
            </w:r>
          </w:p>
        </w:tc>
        <w:tc>
          <w:tcPr>
            <w:tcW w:w="2178"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73" w:type="dxa"/>
            <w:gridSpan w:val="2"/>
            <w:vAlign w:val="center"/>
          </w:tcPr>
          <w:p>
            <w:pPr>
              <w:pStyle w:val="29"/>
              <w:rPr>
                <w:highlight w:val="none"/>
              </w:rPr>
            </w:pPr>
            <w:r>
              <w:rPr>
                <w:rFonts w:hint="eastAsia"/>
                <w:highlight w:val="none"/>
              </w:rPr>
              <w:t>上年营业收入</w:t>
            </w:r>
          </w:p>
        </w:tc>
        <w:tc>
          <w:tcPr>
            <w:tcW w:w="2174" w:type="dxa"/>
            <w:gridSpan w:val="2"/>
            <w:vAlign w:val="center"/>
          </w:tcPr>
          <w:p>
            <w:pPr>
              <w:pStyle w:val="29"/>
              <w:rPr>
                <w:highlight w:val="none"/>
              </w:rPr>
            </w:pPr>
          </w:p>
        </w:tc>
        <w:tc>
          <w:tcPr>
            <w:tcW w:w="2174" w:type="dxa"/>
            <w:vAlign w:val="center"/>
          </w:tcPr>
          <w:p>
            <w:pPr>
              <w:pStyle w:val="29"/>
              <w:rPr>
                <w:highlight w:val="none"/>
              </w:rPr>
            </w:pPr>
            <w:r>
              <w:rPr>
                <w:rFonts w:hint="eastAsia"/>
                <w:highlight w:val="none"/>
              </w:rPr>
              <w:t>员工总人数</w:t>
            </w:r>
          </w:p>
        </w:tc>
        <w:tc>
          <w:tcPr>
            <w:tcW w:w="2178"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71" w:type="dxa"/>
            <w:vMerge w:val="restart"/>
            <w:vAlign w:val="center"/>
          </w:tcPr>
          <w:p>
            <w:pPr>
              <w:pStyle w:val="29"/>
              <w:rPr>
                <w:highlight w:val="none"/>
              </w:rPr>
            </w:pPr>
            <w:r>
              <w:rPr>
                <w:rFonts w:hint="eastAsia"/>
                <w:highlight w:val="none"/>
              </w:rPr>
              <w:t>营业</w:t>
            </w:r>
          </w:p>
          <w:p>
            <w:pPr>
              <w:pStyle w:val="29"/>
              <w:rPr>
                <w:highlight w:val="none"/>
              </w:rPr>
            </w:pPr>
            <w:r>
              <w:rPr>
                <w:rFonts w:hint="eastAsia"/>
                <w:highlight w:val="none"/>
              </w:rPr>
              <w:t>执照</w:t>
            </w:r>
          </w:p>
        </w:tc>
        <w:tc>
          <w:tcPr>
            <w:tcW w:w="2146" w:type="dxa"/>
            <w:gridSpan w:val="2"/>
            <w:tcBorders>
              <w:right w:val="single" w:color="000000" w:sz="4" w:space="0"/>
            </w:tcBorders>
            <w:vAlign w:val="center"/>
          </w:tcPr>
          <w:p>
            <w:pPr>
              <w:pStyle w:val="29"/>
              <w:rPr>
                <w:highlight w:val="none"/>
              </w:rPr>
            </w:pPr>
            <w:r>
              <w:rPr>
                <w:rFonts w:hint="eastAsia"/>
                <w:highlight w:val="none"/>
              </w:rPr>
              <w:t>注册地址</w:t>
            </w:r>
          </w:p>
        </w:tc>
        <w:tc>
          <w:tcPr>
            <w:tcW w:w="1530" w:type="dxa"/>
            <w:tcBorders>
              <w:left w:val="single" w:color="000000" w:sz="4" w:space="0"/>
            </w:tcBorders>
            <w:vAlign w:val="center"/>
          </w:tcPr>
          <w:p>
            <w:pPr>
              <w:pStyle w:val="29"/>
              <w:rPr>
                <w:highlight w:val="none"/>
              </w:rPr>
            </w:pPr>
          </w:p>
        </w:tc>
        <w:tc>
          <w:tcPr>
            <w:tcW w:w="2174" w:type="dxa"/>
            <w:vAlign w:val="center"/>
          </w:tcPr>
          <w:p>
            <w:pPr>
              <w:pStyle w:val="29"/>
              <w:rPr>
                <w:highlight w:val="none"/>
              </w:rPr>
            </w:pPr>
            <w:r>
              <w:rPr>
                <w:rFonts w:hint="eastAsia"/>
                <w:highlight w:val="none"/>
              </w:rPr>
              <w:t>注册时间</w:t>
            </w:r>
          </w:p>
        </w:tc>
        <w:tc>
          <w:tcPr>
            <w:tcW w:w="2178"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1" w:type="dxa"/>
            <w:vMerge w:val="continue"/>
            <w:vAlign w:val="center"/>
          </w:tcPr>
          <w:p>
            <w:pPr>
              <w:pStyle w:val="29"/>
              <w:rPr>
                <w:highlight w:val="none"/>
              </w:rPr>
            </w:pPr>
          </w:p>
        </w:tc>
        <w:tc>
          <w:tcPr>
            <w:tcW w:w="2146" w:type="dxa"/>
            <w:gridSpan w:val="2"/>
            <w:tcBorders>
              <w:right w:val="single" w:color="000000" w:sz="4" w:space="0"/>
            </w:tcBorders>
            <w:vAlign w:val="center"/>
          </w:tcPr>
          <w:p>
            <w:pPr>
              <w:pStyle w:val="29"/>
              <w:rPr>
                <w:highlight w:val="none"/>
              </w:rPr>
            </w:pPr>
            <w:r>
              <w:rPr>
                <w:rFonts w:hint="eastAsia"/>
                <w:highlight w:val="none"/>
              </w:rPr>
              <w:t>发证机关</w:t>
            </w:r>
          </w:p>
        </w:tc>
        <w:tc>
          <w:tcPr>
            <w:tcW w:w="1530" w:type="dxa"/>
            <w:tcBorders>
              <w:left w:val="single" w:color="000000" w:sz="4" w:space="0"/>
            </w:tcBorders>
            <w:vAlign w:val="center"/>
          </w:tcPr>
          <w:p>
            <w:pPr>
              <w:pStyle w:val="29"/>
              <w:rPr>
                <w:highlight w:val="none"/>
              </w:rPr>
            </w:pPr>
          </w:p>
        </w:tc>
        <w:tc>
          <w:tcPr>
            <w:tcW w:w="2174" w:type="dxa"/>
            <w:vAlign w:val="center"/>
          </w:tcPr>
          <w:p>
            <w:pPr>
              <w:pStyle w:val="29"/>
              <w:rPr>
                <w:highlight w:val="none"/>
              </w:rPr>
            </w:pPr>
            <w:r>
              <w:rPr>
                <w:rFonts w:hint="eastAsia"/>
                <w:highlight w:val="none"/>
              </w:rPr>
              <w:t>发证日期</w:t>
            </w:r>
          </w:p>
        </w:tc>
        <w:tc>
          <w:tcPr>
            <w:tcW w:w="2178"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71" w:type="dxa"/>
            <w:vMerge w:val="continue"/>
            <w:vAlign w:val="center"/>
          </w:tcPr>
          <w:p>
            <w:pPr>
              <w:pStyle w:val="29"/>
              <w:rPr>
                <w:highlight w:val="none"/>
              </w:rPr>
            </w:pPr>
          </w:p>
        </w:tc>
        <w:tc>
          <w:tcPr>
            <w:tcW w:w="2146" w:type="dxa"/>
            <w:gridSpan w:val="2"/>
            <w:tcBorders>
              <w:right w:val="single" w:color="000000" w:sz="4" w:space="0"/>
            </w:tcBorders>
            <w:vAlign w:val="center"/>
          </w:tcPr>
          <w:p>
            <w:pPr>
              <w:pStyle w:val="29"/>
              <w:rPr>
                <w:highlight w:val="none"/>
              </w:rPr>
            </w:pPr>
            <w:r>
              <w:rPr>
                <w:rFonts w:hint="eastAsia"/>
                <w:highlight w:val="none"/>
              </w:rPr>
              <w:t>营业范围（主营）</w:t>
            </w:r>
          </w:p>
        </w:tc>
        <w:tc>
          <w:tcPr>
            <w:tcW w:w="5882" w:type="dxa"/>
            <w:gridSpan w:val="3"/>
            <w:tcBorders>
              <w:left w:val="single" w:color="000000"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1" w:type="dxa"/>
            <w:vMerge w:val="continue"/>
            <w:vAlign w:val="center"/>
          </w:tcPr>
          <w:p>
            <w:pPr>
              <w:pStyle w:val="29"/>
              <w:rPr>
                <w:highlight w:val="none"/>
              </w:rPr>
            </w:pPr>
          </w:p>
        </w:tc>
        <w:tc>
          <w:tcPr>
            <w:tcW w:w="2146" w:type="dxa"/>
            <w:gridSpan w:val="2"/>
            <w:tcBorders>
              <w:right w:val="single" w:color="000000" w:sz="4" w:space="0"/>
            </w:tcBorders>
            <w:vAlign w:val="center"/>
          </w:tcPr>
          <w:p>
            <w:pPr>
              <w:pStyle w:val="29"/>
              <w:rPr>
                <w:highlight w:val="none"/>
              </w:rPr>
            </w:pPr>
            <w:r>
              <w:rPr>
                <w:rFonts w:hint="eastAsia"/>
                <w:highlight w:val="none"/>
              </w:rPr>
              <w:t>营业范围（兼营）</w:t>
            </w:r>
          </w:p>
        </w:tc>
        <w:tc>
          <w:tcPr>
            <w:tcW w:w="5882" w:type="dxa"/>
            <w:gridSpan w:val="3"/>
            <w:tcBorders>
              <w:left w:val="single" w:color="000000"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817" w:type="dxa"/>
            <w:gridSpan w:val="3"/>
            <w:tcBorders>
              <w:right w:val="single" w:color="000000" w:sz="4" w:space="0"/>
            </w:tcBorders>
            <w:vAlign w:val="center"/>
          </w:tcPr>
          <w:p>
            <w:pPr>
              <w:pStyle w:val="29"/>
              <w:rPr>
                <w:highlight w:val="none"/>
              </w:rPr>
            </w:pPr>
            <w:r>
              <w:rPr>
                <w:rFonts w:hint="eastAsia"/>
                <w:highlight w:val="none"/>
              </w:rPr>
              <w:t>基本账户开户行及账号</w:t>
            </w:r>
          </w:p>
        </w:tc>
        <w:tc>
          <w:tcPr>
            <w:tcW w:w="5882" w:type="dxa"/>
            <w:gridSpan w:val="3"/>
            <w:tcBorders>
              <w:left w:val="single" w:color="000000"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817" w:type="dxa"/>
            <w:gridSpan w:val="3"/>
            <w:tcBorders>
              <w:right w:val="single" w:color="000000" w:sz="4" w:space="0"/>
            </w:tcBorders>
            <w:vAlign w:val="center"/>
          </w:tcPr>
          <w:p>
            <w:pPr>
              <w:pStyle w:val="29"/>
              <w:rPr>
                <w:highlight w:val="none"/>
              </w:rPr>
            </w:pPr>
            <w:r>
              <w:rPr>
                <w:rFonts w:hint="eastAsia"/>
                <w:highlight w:val="none"/>
              </w:rPr>
              <w:t>税务登记机关</w:t>
            </w:r>
          </w:p>
        </w:tc>
        <w:tc>
          <w:tcPr>
            <w:tcW w:w="5882" w:type="dxa"/>
            <w:gridSpan w:val="3"/>
            <w:tcBorders>
              <w:left w:val="single" w:color="000000"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699" w:type="dxa"/>
            <w:gridSpan w:val="6"/>
            <w:vAlign w:val="center"/>
          </w:tcPr>
          <w:p>
            <w:pPr>
              <w:pStyle w:val="29"/>
              <w:rPr>
                <w:highlight w:val="none"/>
              </w:rPr>
            </w:pPr>
            <w:r>
              <w:rPr>
                <w:rFonts w:hint="eastAsia"/>
                <w:highlight w:val="none"/>
              </w:rPr>
              <w:t>公司简介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173" w:type="dxa"/>
            <w:gridSpan w:val="2"/>
            <w:vAlign w:val="center"/>
          </w:tcPr>
          <w:p>
            <w:pPr>
              <w:pStyle w:val="29"/>
              <w:rPr>
                <w:highlight w:val="none"/>
              </w:rPr>
            </w:pPr>
            <w:r>
              <w:rPr>
                <w:rFonts w:hint="eastAsia"/>
                <w:highlight w:val="none"/>
              </w:rPr>
              <w:t>备注</w:t>
            </w:r>
          </w:p>
        </w:tc>
        <w:tc>
          <w:tcPr>
            <w:tcW w:w="6526" w:type="dxa"/>
            <w:gridSpan w:val="4"/>
            <w:vAlign w:val="center"/>
          </w:tcPr>
          <w:p>
            <w:pPr>
              <w:pStyle w:val="29"/>
              <w:rPr>
                <w:highlight w:val="none"/>
              </w:rPr>
            </w:pPr>
          </w:p>
        </w:tc>
      </w:tr>
    </w:tbl>
    <w:p>
      <w:pPr>
        <w:rPr>
          <w:highlight w:val="none"/>
        </w:rPr>
      </w:pPr>
    </w:p>
    <w:p>
      <w:pPr>
        <w:pStyle w:val="9"/>
        <w:ind w:firstLine="3600" w:firstLineChars="150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3600" w:firstLineChars="150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ind w:firstLine="3600" w:firstLineChars="1500"/>
        <w:jc w:val="both"/>
        <w:rPr>
          <w:rFonts w:hint="eastAsia"/>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6"/>
        <w:rPr>
          <w:highlight w:val="none"/>
        </w:rPr>
      </w:pPr>
      <w:r>
        <w:rPr>
          <w:rFonts w:hint="eastAsia"/>
          <w:b/>
          <w:bCs/>
          <w:color w:val="auto"/>
          <w:highlight w:val="none"/>
        </w:rPr>
        <w:br w:type="page"/>
      </w:r>
    </w:p>
    <w:p>
      <w:pPr>
        <w:pStyle w:val="5"/>
        <w:spacing w:before="666" w:after="666"/>
        <w:rPr>
          <w:highlight w:val="none"/>
        </w:rPr>
      </w:pPr>
      <w:r>
        <w:rPr>
          <w:rFonts w:hint="eastAsia"/>
          <w:highlight w:val="none"/>
        </w:rPr>
        <w:t>中小企业声明函（货物）(非中小企业不填写)</w:t>
      </w:r>
    </w:p>
    <w:p>
      <w:pPr>
        <w:pStyle w:val="9"/>
        <w:ind w:firstLine="480"/>
        <w:rPr>
          <w:highlight w:val="none"/>
        </w:rPr>
      </w:pPr>
      <w:r>
        <w:rPr>
          <w:rFonts w:hint="eastAsia"/>
          <w:highlight w:val="none"/>
        </w:rPr>
        <w:t>本公司（联合体）郑重声明，根据《政府采购促进中小企业发展管理办法》（财库﹝2020﹞46 号）的规定，本公司（联合体）参加</w:t>
      </w:r>
      <w:r>
        <w:rPr>
          <w:rFonts w:hint="eastAsia"/>
          <w:highlight w:val="none"/>
          <w:u w:val="single"/>
        </w:rPr>
        <w:t>（单位名称）</w:t>
      </w:r>
      <w:r>
        <w:rPr>
          <w:rFonts w:hint="eastAsia"/>
          <w:highlight w:val="none"/>
        </w:rPr>
        <w:t>的</w:t>
      </w:r>
      <w:r>
        <w:rPr>
          <w:rFonts w:hint="eastAsia"/>
          <w:highlight w:val="none"/>
          <w:u w:val="single"/>
        </w:rPr>
        <w:t>（项目名称）</w:t>
      </w:r>
      <w:r>
        <w:rPr>
          <w:rFonts w:hint="eastAsia"/>
          <w:highlight w:val="none"/>
        </w:rPr>
        <w:t>采购活动，提供的货物全部由符合政策要求的中小企业制造。相关企业（含联合体中的中小企业、签订分包意向协议的中小企业） 的具体情况如下：</w:t>
      </w:r>
    </w:p>
    <w:p>
      <w:pPr>
        <w:pStyle w:val="9"/>
        <w:ind w:firstLine="480"/>
        <w:rPr>
          <w:highlight w:val="none"/>
        </w:rPr>
      </w:pPr>
      <w:r>
        <w:rPr>
          <w:rFonts w:hint="eastAsia"/>
          <w:highlight w:val="none"/>
        </w:rPr>
        <w:t>1.</w:t>
      </w:r>
      <w:r>
        <w:rPr>
          <w:rFonts w:hint="eastAsia"/>
          <w:highlight w:val="none"/>
          <w:u w:val="single"/>
        </w:rPr>
        <w:t xml:space="preserve"> （标的名称） </w:t>
      </w:r>
      <w:r>
        <w:rPr>
          <w:rFonts w:hint="eastAsia"/>
          <w:highlight w:val="none"/>
        </w:rPr>
        <w:t>，属于</w:t>
      </w:r>
      <w:r>
        <w:rPr>
          <w:rFonts w:hint="eastAsia"/>
          <w:highlight w:val="none"/>
          <w:u w:val="single"/>
        </w:rPr>
        <w:t>（采购文件中明确的所属行业）</w:t>
      </w:r>
      <w:r>
        <w:rPr>
          <w:rFonts w:hint="eastAsia"/>
          <w:highlight w:val="none"/>
        </w:rPr>
        <w:t>行业；制造商为</w:t>
      </w:r>
      <w:r>
        <w:rPr>
          <w:rFonts w:hint="eastAsia"/>
          <w:highlight w:val="none"/>
          <w:u w:val="single"/>
        </w:rPr>
        <w:t>（企业名称）</w:t>
      </w:r>
      <w:r>
        <w:rPr>
          <w:rFonts w:hint="eastAsia"/>
          <w:highlight w:val="none"/>
        </w:rPr>
        <w:t>，从业人员</w:t>
      </w:r>
      <w:r>
        <w:rPr>
          <w:rFonts w:hint="eastAsia"/>
          <w:highlight w:val="none"/>
          <w:u w:val="single"/>
        </w:rPr>
        <w:t xml:space="preserve"> </w:t>
      </w:r>
      <w:r>
        <w:rPr>
          <w:rFonts w:hint="eastAsia"/>
          <w:highlight w:val="none"/>
          <w:u w:val="single"/>
        </w:rPr>
        <w:tab/>
      </w:r>
      <w:r>
        <w:rPr>
          <w:rFonts w:hint="eastAsia"/>
          <w:highlight w:val="none"/>
        </w:rPr>
        <w:t>人，营业收入为</w:t>
      </w:r>
      <w:r>
        <w:rPr>
          <w:rFonts w:hint="eastAsia"/>
          <w:highlight w:val="none"/>
          <w:u w:val="single"/>
        </w:rPr>
        <w:t xml:space="preserve"> </w:t>
      </w:r>
      <w:r>
        <w:rPr>
          <w:rFonts w:hint="eastAsia"/>
          <w:highlight w:val="none"/>
          <w:u w:val="single"/>
        </w:rPr>
        <w:tab/>
      </w:r>
      <w:r>
        <w:rPr>
          <w:rFonts w:hint="eastAsia"/>
          <w:highlight w:val="none"/>
        </w:rPr>
        <w:t>万元，资产总额为</w:t>
      </w:r>
      <w:r>
        <w:rPr>
          <w:rFonts w:hint="eastAsia"/>
          <w:highlight w:val="none"/>
          <w:u w:val="single"/>
        </w:rPr>
        <w:t xml:space="preserve"> </w:t>
      </w:r>
      <w:r>
        <w:rPr>
          <w:rFonts w:hint="eastAsia"/>
          <w:highlight w:val="none"/>
          <w:u w:val="single"/>
        </w:rPr>
        <w:tab/>
      </w:r>
      <w:r>
        <w:rPr>
          <w:rFonts w:hint="eastAsia"/>
          <w:highlight w:val="none"/>
          <w:u w:val="single"/>
        </w:rPr>
        <w:t xml:space="preserve">   </w:t>
      </w:r>
      <w:r>
        <w:rPr>
          <w:rFonts w:hint="eastAsia"/>
          <w:highlight w:val="none"/>
        </w:rPr>
        <w:t>万元，属于</w:t>
      </w:r>
      <w:r>
        <w:rPr>
          <w:rFonts w:hint="eastAsia"/>
          <w:highlight w:val="none"/>
          <w:u w:val="single"/>
        </w:rPr>
        <w:t>（中型企业、小型企业、微型企业）</w:t>
      </w:r>
      <w:r>
        <w:rPr>
          <w:rFonts w:hint="eastAsia"/>
          <w:highlight w:val="none"/>
        </w:rPr>
        <w:t>；</w:t>
      </w:r>
    </w:p>
    <w:p>
      <w:pPr>
        <w:pStyle w:val="9"/>
        <w:ind w:firstLine="480"/>
        <w:rPr>
          <w:highlight w:val="none"/>
        </w:rPr>
      </w:pPr>
      <w:r>
        <w:rPr>
          <w:rFonts w:hint="eastAsia"/>
          <w:highlight w:val="none"/>
        </w:rPr>
        <w:t>2.</w:t>
      </w:r>
      <w:r>
        <w:rPr>
          <w:rFonts w:hint="eastAsia"/>
          <w:highlight w:val="none"/>
          <w:u w:val="single"/>
        </w:rPr>
        <w:t xml:space="preserve"> （ 标 的 名 称 ） </w:t>
      </w:r>
      <w:r>
        <w:rPr>
          <w:rFonts w:hint="eastAsia"/>
          <w:highlight w:val="none"/>
        </w:rPr>
        <w:t>， 属 于</w:t>
      </w:r>
      <w:r>
        <w:rPr>
          <w:rFonts w:hint="eastAsia"/>
          <w:highlight w:val="none"/>
          <w:u w:val="single"/>
        </w:rPr>
        <w:t xml:space="preserve">（ 采 购 文 件 中 明 确 的 所 属 行 业 ） </w:t>
      </w:r>
      <w:r>
        <w:rPr>
          <w:rFonts w:hint="eastAsia"/>
          <w:highlight w:val="none"/>
        </w:rPr>
        <w:t>行业；制造商为</w:t>
      </w:r>
      <w:r>
        <w:rPr>
          <w:rFonts w:hint="eastAsia"/>
          <w:highlight w:val="none"/>
          <w:u w:val="single"/>
        </w:rPr>
        <w:t>（企业名称）</w:t>
      </w:r>
      <w:r>
        <w:rPr>
          <w:rFonts w:hint="eastAsia"/>
          <w:highlight w:val="none"/>
        </w:rPr>
        <w:t>，从业人员</w:t>
      </w:r>
      <w:r>
        <w:rPr>
          <w:rFonts w:hint="eastAsia"/>
          <w:highlight w:val="none"/>
          <w:u w:val="single"/>
        </w:rPr>
        <w:t xml:space="preserve"> </w:t>
      </w:r>
      <w:r>
        <w:rPr>
          <w:rFonts w:hint="eastAsia"/>
          <w:highlight w:val="none"/>
          <w:u w:val="single"/>
        </w:rPr>
        <w:tab/>
      </w:r>
      <w:r>
        <w:rPr>
          <w:rFonts w:hint="eastAsia"/>
          <w:highlight w:val="none"/>
        </w:rPr>
        <w:t>人，营业收入为</w:t>
      </w:r>
      <w:r>
        <w:rPr>
          <w:rFonts w:hint="eastAsia"/>
          <w:highlight w:val="none"/>
          <w:u w:val="single"/>
        </w:rPr>
        <w:t xml:space="preserve"> </w:t>
      </w:r>
      <w:r>
        <w:rPr>
          <w:rFonts w:hint="eastAsia"/>
          <w:highlight w:val="none"/>
          <w:u w:val="single"/>
        </w:rPr>
        <w:tab/>
      </w:r>
      <w:r>
        <w:rPr>
          <w:rFonts w:hint="eastAsia"/>
          <w:highlight w:val="none"/>
        </w:rPr>
        <w:t>万元，资产总额为</w:t>
      </w:r>
      <w:r>
        <w:rPr>
          <w:rFonts w:hint="eastAsia"/>
          <w:highlight w:val="none"/>
          <w:u w:val="single"/>
        </w:rPr>
        <w:t xml:space="preserve"> </w:t>
      </w:r>
      <w:r>
        <w:rPr>
          <w:rFonts w:hint="eastAsia"/>
          <w:highlight w:val="none"/>
          <w:u w:val="single"/>
        </w:rPr>
        <w:tab/>
      </w:r>
      <w:r>
        <w:rPr>
          <w:rFonts w:hint="eastAsia"/>
          <w:highlight w:val="none"/>
          <w:u w:val="single"/>
        </w:rPr>
        <w:t xml:space="preserve">  </w:t>
      </w:r>
      <w:r>
        <w:rPr>
          <w:rFonts w:hint="eastAsia"/>
          <w:highlight w:val="none"/>
        </w:rPr>
        <w:t>万元，属于</w:t>
      </w:r>
      <w:r>
        <w:rPr>
          <w:rFonts w:hint="eastAsia"/>
          <w:highlight w:val="none"/>
          <w:u w:val="single"/>
        </w:rPr>
        <w:t>（中型企业、小型企业、微型企业）</w:t>
      </w:r>
      <w:r>
        <w:rPr>
          <w:rFonts w:hint="eastAsia"/>
          <w:highlight w:val="none"/>
        </w:rPr>
        <w:t>；</w:t>
      </w:r>
    </w:p>
    <w:p>
      <w:pPr>
        <w:pStyle w:val="9"/>
        <w:ind w:firstLine="480"/>
        <w:rPr>
          <w:highlight w:val="none"/>
        </w:rPr>
      </w:pPr>
      <w:r>
        <w:rPr>
          <w:rFonts w:hint="eastAsia"/>
          <w:highlight w:val="none"/>
        </w:rPr>
        <w:t>……</w:t>
      </w:r>
    </w:p>
    <w:p>
      <w:pPr>
        <w:pStyle w:val="9"/>
        <w:ind w:firstLine="480"/>
        <w:rPr>
          <w:highlight w:val="none"/>
        </w:rPr>
      </w:pPr>
      <w:r>
        <w:rPr>
          <w:rFonts w:hint="eastAsia"/>
          <w:highlight w:val="none"/>
        </w:rPr>
        <w:t>以上企业，不属于大企业的分支机构，不存在控股股东为大企业的情形，也不存在与大企业的负责人为同一人的情形。</w:t>
      </w:r>
    </w:p>
    <w:p>
      <w:pPr>
        <w:pStyle w:val="9"/>
        <w:ind w:firstLine="480"/>
        <w:rPr>
          <w:highlight w:val="none"/>
        </w:rPr>
      </w:pPr>
      <w:r>
        <w:rPr>
          <w:rFonts w:hint="eastAsia"/>
          <w:highlight w:val="none"/>
        </w:rPr>
        <w:t>本企业对上述声明内容的真实性负责。如有虚假，将依法承担相应责任。</w:t>
      </w:r>
    </w:p>
    <w:p>
      <w:pPr>
        <w:pStyle w:val="9"/>
        <w:ind w:firstLine="5040" w:firstLineChars="2100"/>
        <w:rPr>
          <w:highlight w:val="none"/>
          <w:u w:val="single"/>
        </w:rPr>
      </w:pPr>
      <w:r>
        <w:rPr>
          <w:rFonts w:hint="eastAsia"/>
          <w:highlight w:val="none"/>
        </w:rPr>
        <w:t>企业名称（盖章）：</w:t>
      </w:r>
      <w:r>
        <w:rPr>
          <w:rFonts w:hint="eastAsia"/>
          <w:highlight w:val="none"/>
          <w:u w:val="single"/>
        </w:rPr>
        <w:t xml:space="preserve">              </w:t>
      </w:r>
    </w:p>
    <w:p>
      <w:pPr>
        <w:pStyle w:val="9"/>
        <w:ind w:firstLine="5040" w:firstLineChars="2100"/>
        <w:rPr>
          <w:highlight w:val="none"/>
          <w:u w:val="single"/>
        </w:rPr>
      </w:pPr>
      <w:r>
        <w:rPr>
          <w:rFonts w:hint="eastAsia"/>
          <w:highlight w:val="none"/>
        </w:rPr>
        <w:t>日期：</w:t>
      </w:r>
      <w:r>
        <w:rPr>
          <w:rFonts w:hint="eastAsia"/>
          <w:highlight w:val="none"/>
          <w:u w:val="single"/>
        </w:rPr>
        <w:t xml:space="preserve">                         </w:t>
      </w:r>
    </w:p>
    <w:p>
      <w:pPr>
        <w:pStyle w:val="9"/>
        <w:ind w:firstLine="480"/>
        <w:rPr>
          <w:highlight w:val="none"/>
        </w:rPr>
      </w:pPr>
    </w:p>
    <w:p>
      <w:pPr>
        <w:pStyle w:val="9"/>
        <w:ind w:firstLine="480"/>
        <w:rPr>
          <w:rFonts w:hint="eastAsia" w:ascii="宋体" w:hAnsi="宋体" w:eastAsia="宋体" w:cs="宋体"/>
          <w:highlight w:val="none"/>
        </w:rPr>
      </w:pPr>
      <w:r>
        <w:rPr>
          <w:rFonts w:hint="eastAsia" w:ascii="宋体" w:hAnsi="宋体" w:eastAsia="宋体" w:cs="宋体"/>
          <w:highlight w:val="none"/>
          <w:lang w:eastAsia="zh-CN"/>
        </w:rPr>
        <w:t>注：</w:t>
      </w:r>
      <w:r>
        <w:rPr>
          <w:rFonts w:hint="eastAsia" w:ascii="宋体" w:hAnsi="宋体" w:eastAsia="宋体" w:cs="宋体"/>
          <w:highlight w:val="none"/>
        </w:rPr>
        <w:t>从业人员、营业收入、资产总额填报上一年度数据，无上一年度数据的新成立企业可不填报。</w:t>
      </w:r>
    </w:p>
    <w:p>
      <w:pPr>
        <w:rPr>
          <w:highlight w:val="none"/>
        </w:rPr>
      </w:pPr>
      <w:r>
        <w:rPr>
          <w:rFonts w:hint="eastAsia"/>
          <w:highlight w:val="none"/>
        </w:rPr>
        <w:br w:type="page"/>
      </w:r>
    </w:p>
    <w:p>
      <w:pPr>
        <w:pStyle w:val="5"/>
        <w:spacing w:before="666" w:after="666"/>
        <w:rPr>
          <w:spacing w:val="6"/>
          <w:sz w:val="30"/>
          <w:szCs w:val="30"/>
          <w:highlight w:val="none"/>
        </w:rPr>
      </w:pPr>
      <w:bookmarkStart w:id="211" w:name="OLE_LINK13"/>
      <w:bookmarkStart w:id="212" w:name="OLE_LINK14"/>
      <w:r>
        <w:rPr>
          <w:rFonts w:hint="eastAsia"/>
          <w:highlight w:val="none"/>
        </w:rPr>
        <w:t>残疾人福利性单位声明函</w:t>
      </w:r>
      <w:bookmarkEnd w:id="211"/>
      <w:bookmarkEnd w:id="212"/>
    </w:p>
    <w:p>
      <w:pPr>
        <w:pStyle w:val="9"/>
        <w:ind w:firstLine="480"/>
        <w:rPr>
          <w:highlight w:val="none"/>
        </w:rPr>
      </w:pPr>
      <w:r>
        <w:rPr>
          <w:rFonts w:hint="eastAsia"/>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9"/>
        <w:ind w:firstLine="480"/>
        <w:rPr>
          <w:spacing w:val="6"/>
          <w:highlight w:val="none"/>
        </w:rPr>
      </w:pPr>
      <w:r>
        <w:rPr>
          <w:rFonts w:hint="eastAsia"/>
          <w:highlight w:val="none"/>
        </w:rPr>
        <w:t>本单位对上述声明的真实性负责。如有虚假，将依法承担相应责任。</w:t>
      </w:r>
    </w:p>
    <w:p>
      <w:pPr>
        <w:spacing w:line="588" w:lineRule="exact"/>
        <w:ind w:firstLine="504" w:firstLineChars="200"/>
        <w:rPr>
          <w:rFonts w:hAnsi="宋体" w:cs="宋体"/>
          <w:spacing w:val="6"/>
          <w:szCs w:val="24"/>
          <w:highlight w:val="none"/>
        </w:rPr>
      </w:pPr>
    </w:p>
    <w:p>
      <w:pPr>
        <w:pStyle w:val="9"/>
        <w:ind w:firstLine="4800" w:firstLineChars="2000"/>
        <w:rPr>
          <w:highlight w:val="none"/>
        </w:rPr>
      </w:pPr>
      <w:r>
        <w:rPr>
          <w:rFonts w:hint="eastAsia"/>
          <w:highlight w:val="none"/>
        </w:rPr>
        <w:t>单位名称：</w:t>
      </w:r>
      <w:r>
        <w:rPr>
          <w:rFonts w:hint="eastAsia"/>
          <w:highlight w:val="none"/>
          <w:u w:val="single"/>
        </w:rPr>
        <w:t xml:space="preserve">                 </w:t>
      </w:r>
      <w:r>
        <w:rPr>
          <w:rFonts w:hint="eastAsia"/>
          <w:highlight w:val="none"/>
        </w:rPr>
        <w:t>（盖章）</w:t>
      </w:r>
    </w:p>
    <w:p>
      <w:pPr>
        <w:pStyle w:val="9"/>
        <w:ind w:firstLine="4800" w:firstLineChars="2000"/>
        <w:rPr>
          <w:highlight w:val="none"/>
        </w:rPr>
      </w:pPr>
    </w:p>
    <w:p>
      <w:pPr>
        <w:pStyle w:val="9"/>
        <w:ind w:firstLine="4800" w:firstLineChars="2000"/>
        <w:rPr>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tabs>
          <w:tab w:val="left" w:pos="1620"/>
          <w:tab w:val="left" w:pos="1800"/>
        </w:tabs>
        <w:spacing w:line="440" w:lineRule="exact"/>
        <w:ind w:right="617" w:rightChars="257"/>
        <w:rPr>
          <w:rFonts w:hAnsi="宋体" w:cs="宋体"/>
          <w:highlight w:val="none"/>
        </w:rPr>
      </w:pPr>
    </w:p>
    <w:p>
      <w:pPr>
        <w:tabs>
          <w:tab w:val="left" w:pos="1620"/>
          <w:tab w:val="left" w:pos="1800"/>
        </w:tabs>
        <w:spacing w:line="440" w:lineRule="exact"/>
        <w:ind w:right="617" w:rightChars="257"/>
        <w:rPr>
          <w:rFonts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pStyle w:val="2"/>
        <w:rPr>
          <w:rFonts w:ascii="宋体" w:hAnsi="宋体" w:cs="宋体"/>
          <w:highlight w:val="none"/>
        </w:rPr>
      </w:pPr>
    </w:p>
    <w:p>
      <w:pPr>
        <w:rPr>
          <w:highlight w:val="none"/>
        </w:rPr>
      </w:pPr>
      <w:r>
        <w:rPr>
          <w:rFonts w:hint="eastAsia"/>
          <w:highlight w:val="none"/>
        </w:rPr>
        <w:br w:type="page"/>
      </w:r>
    </w:p>
    <w:p>
      <w:pPr>
        <w:pStyle w:val="5"/>
        <w:spacing w:before="666" w:after="666"/>
        <w:rPr>
          <w:highlight w:val="none"/>
        </w:rPr>
      </w:pPr>
      <w:r>
        <w:rPr>
          <w:rFonts w:hint="eastAsia"/>
          <w:highlight w:val="none"/>
        </w:rPr>
        <w:t>监狱企业证明文件</w:t>
      </w:r>
    </w:p>
    <w:p>
      <w:pPr>
        <w:pStyle w:val="9"/>
        <w:ind w:firstLine="480"/>
        <w:rPr>
          <w:highlight w:val="none"/>
        </w:rPr>
      </w:pPr>
      <w:r>
        <w:rPr>
          <w:rFonts w:hint="eastAsia"/>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ind w:firstLine="480"/>
        <w:rPr>
          <w:highlight w:val="none"/>
        </w:rPr>
      </w:pPr>
      <w:r>
        <w:rPr>
          <w:rFonts w:hint="eastAsia"/>
          <w:highlight w:val="none"/>
        </w:rPr>
        <w:t>监狱企业参加政府采购活动时，应当提供由省级以上监狱管理局、戒毒管理局（含新疆生产建设兵团）出具的属于监狱企业的证明文件。</w:t>
      </w:r>
    </w:p>
    <w:p>
      <w:pPr>
        <w:autoSpaceDE w:val="0"/>
        <w:autoSpaceDN w:val="0"/>
        <w:spacing w:line="336" w:lineRule="auto"/>
        <w:ind w:firstLine="120" w:firstLineChars="50"/>
        <w:rPr>
          <w:highlight w:val="none"/>
        </w:rPr>
      </w:pPr>
    </w:p>
    <w:p>
      <w:pPr>
        <w:rPr>
          <w:rFonts w:hint="eastAsia"/>
          <w:b/>
          <w:bCs/>
          <w:color w:val="auto"/>
          <w:highlight w:val="none"/>
        </w:rPr>
      </w:pPr>
      <w:r>
        <w:rPr>
          <w:rFonts w:hint="eastAsia"/>
          <w:b/>
          <w:bCs/>
          <w:color w:val="auto"/>
          <w:highlight w:val="none"/>
        </w:rPr>
        <w:br w:type="page"/>
      </w:r>
    </w:p>
    <w:p>
      <w:pPr>
        <w:pStyle w:val="29"/>
        <w:spacing w:line="360" w:lineRule="auto"/>
        <w:jc w:val="left"/>
        <w:rPr>
          <w:b/>
          <w:bCs/>
          <w:color w:val="auto"/>
          <w:highlight w:val="none"/>
        </w:rPr>
      </w:pPr>
      <w:r>
        <w:rPr>
          <w:rFonts w:hint="eastAsia"/>
          <w:b/>
          <w:bCs/>
          <w:color w:val="auto"/>
          <w:highlight w:val="none"/>
        </w:rPr>
        <w:t>（</w:t>
      </w:r>
      <w:r>
        <w:rPr>
          <w:rFonts w:hint="eastAsia"/>
          <w:b/>
          <w:bCs/>
          <w:color w:val="auto"/>
          <w:highlight w:val="none"/>
          <w:lang w:val="en-US" w:eastAsia="zh-CN"/>
        </w:rPr>
        <w:t>3</w:t>
      </w:r>
      <w:r>
        <w:rPr>
          <w:rFonts w:hint="eastAsia"/>
          <w:b/>
          <w:bCs/>
          <w:color w:val="auto"/>
          <w:highlight w:val="none"/>
        </w:rPr>
        <w:t>）特定资格条件：</w:t>
      </w:r>
    </w:p>
    <w:p>
      <w:pPr>
        <w:pStyle w:val="18"/>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eastAsia="宋体"/>
          <w:color w:val="auto"/>
          <w:highlight w:val="none"/>
          <w:lang w:eastAsia="zh-CN"/>
        </w:rPr>
      </w:pPr>
      <w:r>
        <w:rPr>
          <w:rFonts w:hint="eastAsia" w:eastAsia="宋体"/>
          <w:color w:val="auto"/>
          <w:highlight w:val="none"/>
          <w:lang w:eastAsia="zh-CN"/>
        </w:rPr>
        <w:t>1）法定代表人授权委托书：法定代表人参加投标的，须提供法定代表人身份证明；法定代表人授权他人参加投标的，须提供法定代表人授权委托书。</w:t>
      </w:r>
    </w:p>
    <w:p>
      <w:pPr>
        <w:pStyle w:val="5"/>
        <w:spacing w:before="666" w:after="666"/>
        <w:rPr>
          <w:sz w:val="24"/>
          <w:highlight w:val="none"/>
        </w:rPr>
      </w:pPr>
      <w:r>
        <w:rPr>
          <w:rFonts w:hint="eastAsia"/>
          <w:sz w:val="24"/>
          <w:highlight w:val="none"/>
        </w:rPr>
        <w:t>法定代表人身份证明</w:t>
      </w:r>
      <w:r>
        <w:rPr>
          <w:rStyle w:val="36"/>
          <w:rFonts w:hint="eastAsia"/>
          <w:b/>
          <w:sz w:val="24"/>
          <w:highlight w:val="none"/>
        </w:rPr>
        <w:t>（格式）</w:t>
      </w:r>
    </w:p>
    <w:p>
      <w:pPr>
        <w:pStyle w:val="9"/>
        <w:ind w:firstLine="480"/>
        <w:rPr>
          <w:highlight w:val="none"/>
          <w:u w:val="single"/>
        </w:rPr>
      </w:pPr>
      <w:r>
        <w:rPr>
          <w:rFonts w:hint="eastAsia"/>
          <w:highlight w:val="none"/>
        </w:rPr>
        <w:t>投标人名称：</w:t>
      </w:r>
      <w:r>
        <w:rPr>
          <w:rFonts w:hint="eastAsia"/>
          <w:highlight w:val="none"/>
          <w:u w:val="single"/>
        </w:rPr>
        <w:t xml:space="preserve">                                </w:t>
      </w:r>
    </w:p>
    <w:p>
      <w:pPr>
        <w:pStyle w:val="9"/>
        <w:ind w:firstLine="480"/>
        <w:rPr>
          <w:highlight w:val="none"/>
        </w:rPr>
      </w:pPr>
      <w:r>
        <w:rPr>
          <w:rFonts w:hint="eastAsia"/>
          <w:highlight w:val="none"/>
        </w:rPr>
        <w:t>统一社会信用代码：</w:t>
      </w:r>
      <w:r>
        <w:rPr>
          <w:rFonts w:hint="eastAsia"/>
          <w:highlight w:val="none"/>
          <w:u w:val="single"/>
        </w:rPr>
        <w:t xml:space="preserve">                          </w:t>
      </w:r>
    </w:p>
    <w:p>
      <w:pPr>
        <w:pStyle w:val="9"/>
        <w:ind w:firstLine="480"/>
        <w:rPr>
          <w:highlight w:val="none"/>
        </w:rPr>
      </w:pPr>
      <w:r>
        <w:rPr>
          <w:rFonts w:hint="eastAsia"/>
          <w:highlight w:val="none"/>
        </w:rPr>
        <w:t>注册地址：</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p>
      <w:pPr>
        <w:pStyle w:val="9"/>
        <w:ind w:firstLine="480"/>
        <w:rPr>
          <w:highlight w:val="none"/>
        </w:rPr>
      </w:pPr>
      <w:r>
        <w:rPr>
          <w:rFonts w:hint="eastAsia"/>
          <w:highlight w:val="none"/>
        </w:rPr>
        <w:t>成立时间：</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9"/>
        <w:ind w:firstLine="480"/>
        <w:rPr>
          <w:highlight w:val="none"/>
        </w:rPr>
      </w:pPr>
      <w:r>
        <w:rPr>
          <w:rFonts w:hint="eastAsia"/>
          <w:highlight w:val="none"/>
        </w:rPr>
        <w:t>经营期限：</w:t>
      </w:r>
      <w:r>
        <w:rPr>
          <w:rFonts w:hint="eastAsia"/>
          <w:highlight w:val="none"/>
          <w:u w:val="single"/>
        </w:rPr>
        <w:t xml:space="preserve">                                  </w:t>
      </w:r>
    </w:p>
    <w:p>
      <w:pPr>
        <w:pStyle w:val="9"/>
        <w:ind w:firstLine="480"/>
        <w:rPr>
          <w:highlight w:val="none"/>
        </w:rPr>
      </w:pPr>
      <w:r>
        <w:rPr>
          <w:rFonts w:hint="eastAsia"/>
          <w:highlight w:val="none"/>
        </w:rPr>
        <w:t>姓名：</w:t>
      </w:r>
      <w:r>
        <w:rPr>
          <w:rFonts w:hint="eastAsia"/>
          <w:highlight w:val="none"/>
          <w:u w:val="single"/>
        </w:rPr>
        <w:t xml:space="preserve">      </w:t>
      </w:r>
      <w:r>
        <w:rPr>
          <w:rFonts w:hint="eastAsia"/>
          <w:highlight w:val="none"/>
        </w:rPr>
        <w:t>性别：</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年龄：</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联系电话：</w:t>
      </w:r>
      <w:r>
        <w:rPr>
          <w:rFonts w:hint="eastAsia"/>
          <w:highlight w:val="none"/>
          <w:u w:val="single"/>
        </w:rPr>
        <w:t xml:space="preserve">           </w:t>
      </w:r>
      <w:r>
        <w:rPr>
          <w:rFonts w:hint="eastAsia"/>
          <w:highlight w:val="none"/>
        </w:rPr>
        <w:t>系</w:t>
      </w:r>
      <w:r>
        <w:rPr>
          <w:rFonts w:hint="eastAsia"/>
          <w:highlight w:val="none"/>
          <w:u w:val="single"/>
        </w:rPr>
        <w:t xml:space="preserve">          （投标人名称）</w:t>
      </w:r>
      <w:r>
        <w:rPr>
          <w:rFonts w:hint="eastAsia"/>
          <w:highlight w:val="none"/>
        </w:rPr>
        <w:t>的法定代表人。</w:t>
      </w:r>
    </w:p>
    <w:p>
      <w:pPr>
        <w:pStyle w:val="9"/>
        <w:ind w:firstLine="480"/>
        <w:rPr>
          <w:highlight w:val="none"/>
        </w:rPr>
      </w:pPr>
      <w:r>
        <w:rPr>
          <w:rFonts w:hint="eastAsia"/>
          <w:highlight w:val="none"/>
        </w:rPr>
        <w:t>特此证明。</w:t>
      </w:r>
    </w:p>
    <w:p>
      <w:pPr>
        <w:pStyle w:val="9"/>
        <w:ind w:firstLine="480"/>
        <w:rPr>
          <w:highlight w:val="none"/>
        </w:rPr>
      </w:pPr>
      <w:r>
        <w:rPr>
          <w:rFonts w:hint="eastAsia"/>
          <w:highlight w:val="none"/>
        </w:rPr>
        <w:t>附：法定代表人身份证复印件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947" w:type="dxa"/>
            <w:vAlign w:val="center"/>
          </w:tcPr>
          <w:p>
            <w:pPr>
              <w:pStyle w:val="29"/>
              <w:rPr>
                <w:highlight w:val="none"/>
              </w:rPr>
            </w:pPr>
            <w:r>
              <w:rPr>
                <w:rFonts w:hint="eastAsia"/>
                <w:highlight w:val="none"/>
              </w:rPr>
              <w:t>法人身份证复印件</w:t>
            </w:r>
          </w:p>
          <w:p>
            <w:pPr>
              <w:pStyle w:val="29"/>
              <w:rPr>
                <w:szCs w:val="24"/>
                <w:highlight w:val="none"/>
              </w:rPr>
            </w:pPr>
            <w:r>
              <w:rPr>
                <w:rFonts w:hint="eastAsia"/>
                <w:highlight w:val="none"/>
              </w:rPr>
              <w:t>正、反面</w:t>
            </w:r>
          </w:p>
        </w:tc>
      </w:tr>
    </w:tbl>
    <w:p>
      <w:pPr>
        <w:tabs>
          <w:tab w:val="left" w:pos="8820"/>
        </w:tabs>
        <w:spacing w:line="336" w:lineRule="auto"/>
        <w:jc w:val="center"/>
        <w:rPr>
          <w:rFonts w:hAnsi="宋体" w:cs="宋体"/>
          <w:b/>
          <w:bCs/>
          <w:szCs w:val="24"/>
          <w:highlight w:val="none"/>
        </w:rPr>
      </w:pPr>
    </w:p>
    <w:p>
      <w:pPr>
        <w:pStyle w:val="9"/>
        <w:ind w:firstLine="3600" w:firstLineChars="150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3600" w:firstLineChars="1500"/>
        <w:rPr>
          <w:highlight w:val="none"/>
        </w:rPr>
      </w:pPr>
      <w:r>
        <w:rPr>
          <w:rFonts w:hint="eastAsia"/>
          <w:highlight w:val="none"/>
        </w:rPr>
        <w:t>法定代表人：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wordWrap w:val="0"/>
        <w:spacing w:line="336" w:lineRule="auto"/>
        <w:ind w:right="-159" w:firstLine="3600" w:firstLineChars="1500"/>
        <w:rPr>
          <w:rFonts w:hAnsi="宋体" w:cs="宋体"/>
          <w:szCs w:val="24"/>
          <w:highlight w:val="none"/>
          <w:u w:val="singl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rPr>
          <w:rStyle w:val="36"/>
          <w:highlight w:val="none"/>
        </w:rPr>
      </w:pPr>
      <w:r>
        <w:rPr>
          <w:rStyle w:val="36"/>
          <w:rFonts w:hint="eastAsia"/>
          <w:highlight w:val="none"/>
        </w:rPr>
        <w:br w:type="page"/>
      </w:r>
    </w:p>
    <w:p>
      <w:pPr>
        <w:pStyle w:val="5"/>
        <w:spacing w:before="666" w:after="666"/>
        <w:rPr>
          <w:highlight w:val="none"/>
        </w:rPr>
      </w:pPr>
      <w:r>
        <w:rPr>
          <w:rFonts w:hint="eastAsia"/>
          <w:highlight w:val="none"/>
        </w:rPr>
        <w:t>法定代表人授权委托书（格式）</w:t>
      </w:r>
    </w:p>
    <w:p>
      <w:pPr>
        <w:tabs>
          <w:tab w:val="left" w:pos="8820"/>
        </w:tabs>
        <w:spacing w:line="336" w:lineRule="auto"/>
        <w:ind w:firstLine="570"/>
        <w:rPr>
          <w:rFonts w:hAnsi="宋体" w:cs="宋体"/>
          <w:szCs w:val="24"/>
          <w:highlight w:val="none"/>
        </w:rPr>
      </w:pPr>
    </w:p>
    <w:p>
      <w:pPr>
        <w:pStyle w:val="9"/>
        <w:ind w:firstLine="480"/>
        <w:rPr>
          <w:highlight w:val="none"/>
        </w:rPr>
      </w:pPr>
      <w:r>
        <w:rPr>
          <w:rFonts w:hint="eastAsia"/>
          <w:highlight w:val="none"/>
        </w:rPr>
        <w:t>本授权委托书声明：我</w:t>
      </w:r>
      <w:r>
        <w:rPr>
          <w:rFonts w:hint="eastAsia"/>
          <w:highlight w:val="none"/>
          <w:u w:val="single"/>
        </w:rPr>
        <w:t>（法定代表人姓名）</w:t>
      </w:r>
      <w:r>
        <w:rPr>
          <w:rFonts w:hint="eastAsia"/>
          <w:highlight w:val="none"/>
        </w:rPr>
        <w:t>系注册于</w:t>
      </w:r>
      <w:r>
        <w:rPr>
          <w:rFonts w:hint="eastAsia"/>
          <w:highlight w:val="none"/>
          <w:u w:val="single"/>
        </w:rPr>
        <w:t xml:space="preserve">  （投标人地址）</w:t>
      </w:r>
      <w:r>
        <w:rPr>
          <w:rFonts w:hint="eastAsia"/>
          <w:highlight w:val="none"/>
        </w:rPr>
        <w:t>的</w:t>
      </w:r>
      <w:r>
        <w:rPr>
          <w:rFonts w:hint="eastAsia"/>
          <w:highlight w:val="none"/>
          <w:u w:val="single"/>
        </w:rPr>
        <w:t xml:space="preserve">（投标人名称）  </w:t>
      </w:r>
      <w:r>
        <w:rPr>
          <w:rFonts w:hint="eastAsia"/>
          <w:highlight w:val="none"/>
        </w:rPr>
        <w:t>的法定代表人，现代表公司授权下面签字的</w:t>
      </w:r>
      <w:r>
        <w:rPr>
          <w:rFonts w:hint="eastAsia"/>
          <w:highlight w:val="none"/>
          <w:u w:val="single"/>
        </w:rPr>
        <w:t>（被授权人的姓名、职务）</w:t>
      </w:r>
      <w:r>
        <w:rPr>
          <w:rFonts w:hint="eastAsia"/>
          <w:highlight w:val="none"/>
        </w:rPr>
        <w:t>为我公司合法代理人，代表本公司参加</w:t>
      </w:r>
      <w:r>
        <w:rPr>
          <w:rFonts w:hint="eastAsia"/>
          <w:highlight w:val="none"/>
          <w:u w:val="single"/>
        </w:rPr>
        <w:t xml:space="preserve">  （项目名称）  </w:t>
      </w:r>
      <w:r>
        <w:rPr>
          <w:rFonts w:hint="eastAsia"/>
          <w:highlight w:val="none"/>
        </w:rPr>
        <w:t>项目编号为</w:t>
      </w:r>
      <w:r>
        <w:rPr>
          <w:rFonts w:hint="eastAsia"/>
          <w:highlight w:val="none"/>
          <w:u w:val="single"/>
        </w:rPr>
        <w:t xml:space="preserve">          </w:t>
      </w:r>
      <w:r>
        <w:rPr>
          <w:rFonts w:hint="eastAsia"/>
          <w:highlight w:val="none"/>
        </w:rPr>
        <w:t>的投标活动。代理人在本次投标中所签署的一切文件和处理的一切有关事物，我公司均予承认。</w:t>
      </w:r>
    </w:p>
    <w:tbl>
      <w:tblPr>
        <w:tblStyle w:val="19"/>
        <w:tblW w:w="9019" w:type="dxa"/>
        <w:tblInd w:w="0" w:type="dxa"/>
        <w:tblLayout w:type="fixed"/>
        <w:tblCellMar>
          <w:top w:w="0" w:type="dxa"/>
          <w:left w:w="108" w:type="dxa"/>
          <w:bottom w:w="0" w:type="dxa"/>
          <w:right w:w="108" w:type="dxa"/>
        </w:tblCellMar>
      </w:tblPr>
      <w:tblGrid>
        <w:gridCol w:w="4625"/>
        <w:gridCol w:w="4394"/>
      </w:tblGrid>
      <w:tr>
        <w:tblPrEx>
          <w:tblCellMar>
            <w:top w:w="0" w:type="dxa"/>
            <w:left w:w="108" w:type="dxa"/>
            <w:bottom w:w="0" w:type="dxa"/>
            <w:right w:w="108" w:type="dxa"/>
          </w:tblCellMar>
        </w:tblPrEx>
        <w:trPr>
          <w:trHeight w:val="585" w:hRule="atLeast"/>
        </w:trPr>
        <w:tc>
          <w:tcPr>
            <w:tcW w:w="4625" w:type="dxa"/>
            <w:vAlign w:val="center"/>
          </w:tcPr>
          <w:p>
            <w:pPr>
              <w:pStyle w:val="29"/>
              <w:jc w:val="both"/>
              <w:rPr>
                <w:highlight w:val="none"/>
              </w:rPr>
            </w:pPr>
            <w:r>
              <w:rPr>
                <w:rFonts w:hint="eastAsia"/>
                <w:highlight w:val="none"/>
              </w:rPr>
              <w:t>被授权人签字或盖章：</w:t>
            </w:r>
          </w:p>
        </w:tc>
        <w:tc>
          <w:tcPr>
            <w:tcW w:w="4394" w:type="dxa"/>
            <w:vAlign w:val="center"/>
          </w:tcPr>
          <w:p>
            <w:pPr>
              <w:pStyle w:val="29"/>
              <w:jc w:val="both"/>
              <w:rPr>
                <w:highlight w:val="none"/>
              </w:rPr>
            </w:pPr>
            <w:r>
              <w:rPr>
                <w:rFonts w:hint="eastAsia"/>
                <w:highlight w:val="none"/>
              </w:rPr>
              <w:t>法定代表人签字或盖章：</w:t>
            </w:r>
          </w:p>
        </w:tc>
      </w:tr>
      <w:tr>
        <w:tblPrEx>
          <w:tblCellMar>
            <w:top w:w="0" w:type="dxa"/>
            <w:left w:w="108" w:type="dxa"/>
            <w:bottom w:w="0" w:type="dxa"/>
            <w:right w:w="108" w:type="dxa"/>
          </w:tblCellMar>
        </w:tblPrEx>
        <w:trPr>
          <w:trHeight w:val="585" w:hRule="atLeast"/>
        </w:trPr>
        <w:tc>
          <w:tcPr>
            <w:tcW w:w="4625" w:type="dxa"/>
            <w:vAlign w:val="center"/>
          </w:tcPr>
          <w:p>
            <w:pPr>
              <w:pStyle w:val="29"/>
              <w:jc w:val="both"/>
              <w:rPr>
                <w:highlight w:val="none"/>
              </w:rPr>
            </w:pPr>
            <w:r>
              <w:rPr>
                <w:rFonts w:hint="eastAsia"/>
                <w:highlight w:val="none"/>
              </w:rPr>
              <w:t>职务：</w:t>
            </w:r>
          </w:p>
        </w:tc>
        <w:tc>
          <w:tcPr>
            <w:tcW w:w="4394" w:type="dxa"/>
            <w:vAlign w:val="center"/>
          </w:tcPr>
          <w:p>
            <w:pPr>
              <w:pStyle w:val="29"/>
              <w:jc w:val="both"/>
              <w:rPr>
                <w:highlight w:val="none"/>
              </w:rPr>
            </w:pPr>
            <w:r>
              <w:rPr>
                <w:rFonts w:hint="eastAsia"/>
                <w:highlight w:val="none"/>
              </w:rPr>
              <w:t>职务：</w:t>
            </w:r>
          </w:p>
        </w:tc>
      </w:tr>
      <w:tr>
        <w:tblPrEx>
          <w:tblCellMar>
            <w:top w:w="0" w:type="dxa"/>
            <w:left w:w="108" w:type="dxa"/>
            <w:bottom w:w="0" w:type="dxa"/>
            <w:right w:w="108" w:type="dxa"/>
          </w:tblCellMar>
        </w:tblPrEx>
        <w:trPr>
          <w:trHeight w:val="585" w:hRule="atLeast"/>
        </w:trPr>
        <w:tc>
          <w:tcPr>
            <w:tcW w:w="4625" w:type="dxa"/>
            <w:vAlign w:val="center"/>
          </w:tcPr>
          <w:p>
            <w:pPr>
              <w:pStyle w:val="29"/>
              <w:jc w:val="both"/>
              <w:rPr>
                <w:highlight w:val="none"/>
              </w:rPr>
            </w:pPr>
            <w:r>
              <w:rPr>
                <w:rFonts w:hint="eastAsia"/>
                <w:highlight w:val="none"/>
              </w:rPr>
              <w:t>身份证号：</w:t>
            </w:r>
          </w:p>
        </w:tc>
        <w:tc>
          <w:tcPr>
            <w:tcW w:w="4394" w:type="dxa"/>
            <w:vAlign w:val="center"/>
          </w:tcPr>
          <w:p>
            <w:pPr>
              <w:pStyle w:val="29"/>
              <w:jc w:val="both"/>
              <w:rPr>
                <w:highlight w:val="none"/>
              </w:rPr>
            </w:pPr>
            <w:r>
              <w:rPr>
                <w:rFonts w:hint="eastAsia"/>
                <w:highlight w:val="none"/>
              </w:rPr>
              <w:t>身份证号：</w:t>
            </w:r>
          </w:p>
        </w:tc>
      </w:tr>
      <w:tr>
        <w:tblPrEx>
          <w:tblCellMar>
            <w:top w:w="0" w:type="dxa"/>
            <w:left w:w="108" w:type="dxa"/>
            <w:bottom w:w="0" w:type="dxa"/>
            <w:right w:w="108" w:type="dxa"/>
          </w:tblCellMar>
        </w:tblPrEx>
        <w:trPr>
          <w:trHeight w:val="585" w:hRule="atLeast"/>
        </w:trPr>
        <w:tc>
          <w:tcPr>
            <w:tcW w:w="4625" w:type="dxa"/>
            <w:vAlign w:val="center"/>
          </w:tcPr>
          <w:p>
            <w:pPr>
              <w:pStyle w:val="29"/>
              <w:jc w:val="both"/>
              <w:rPr>
                <w:highlight w:val="none"/>
              </w:rPr>
            </w:pPr>
            <w:r>
              <w:rPr>
                <w:rFonts w:hint="eastAsia"/>
                <w:highlight w:val="none"/>
              </w:rPr>
              <w:t>所在部门：</w:t>
            </w:r>
          </w:p>
        </w:tc>
        <w:tc>
          <w:tcPr>
            <w:tcW w:w="4394" w:type="dxa"/>
            <w:vAlign w:val="center"/>
          </w:tcPr>
          <w:p>
            <w:pPr>
              <w:pStyle w:val="29"/>
              <w:rPr>
                <w:highlight w:val="none"/>
              </w:rPr>
            </w:pPr>
          </w:p>
        </w:tc>
      </w:tr>
      <w:tr>
        <w:tblPrEx>
          <w:tblCellMar>
            <w:top w:w="0" w:type="dxa"/>
            <w:left w:w="108" w:type="dxa"/>
            <w:bottom w:w="0" w:type="dxa"/>
            <w:right w:w="108" w:type="dxa"/>
          </w:tblCellMar>
        </w:tblPrEx>
        <w:trPr>
          <w:trHeight w:val="585" w:hRule="atLeast"/>
        </w:trPr>
        <w:tc>
          <w:tcPr>
            <w:tcW w:w="4625" w:type="dxa"/>
            <w:vAlign w:val="center"/>
          </w:tcPr>
          <w:p>
            <w:pPr>
              <w:pStyle w:val="29"/>
              <w:jc w:val="both"/>
              <w:rPr>
                <w:highlight w:val="none"/>
              </w:rPr>
            </w:pPr>
            <w:r>
              <w:rPr>
                <w:rFonts w:hint="eastAsia"/>
                <w:highlight w:val="none"/>
              </w:rPr>
              <w:t>联系电话：</w:t>
            </w:r>
          </w:p>
        </w:tc>
        <w:tc>
          <w:tcPr>
            <w:tcW w:w="4394" w:type="dxa"/>
            <w:vAlign w:val="center"/>
          </w:tcPr>
          <w:p>
            <w:pPr>
              <w:pStyle w:val="29"/>
              <w:rPr>
                <w:highlight w:val="none"/>
              </w:rPr>
            </w:pPr>
          </w:p>
        </w:tc>
      </w:tr>
    </w:tbl>
    <w:p>
      <w:pPr>
        <w:pStyle w:val="2"/>
        <w:rPr>
          <w:rFonts w:ascii="宋体" w:hAnsi="宋体" w:cs="宋体"/>
          <w:sz w:val="24"/>
          <w:szCs w:val="24"/>
          <w:highlight w:val="none"/>
        </w:rPr>
      </w:pPr>
    </w:p>
    <w:p>
      <w:pPr>
        <w:spacing w:line="336" w:lineRule="auto"/>
        <w:ind w:firstLine="480" w:firstLineChars="200"/>
        <w:rPr>
          <w:rFonts w:hAnsi="宋体" w:cs="宋体"/>
          <w:szCs w:val="24"/>
          <w:highlight w:val="none"/>
        </w:rPr>
      </w:pPr>
      <w:r>
        <w:rPr>
          <w:rStyle w:val="39"/>
          <w:rFonts w:hint="eastAsia"/>
          <w:highlight w:val="none"/>
        </w:rPr>
        <w:t>本授权书有效期自响应文件递交截止之日起</w:t>
      </w:r>
      <w:r>
        <w:rPr>
          <w:rStyle w:val="39"/>
          <w:rFonts w:hint="eastAsia"/>
          <w:highlight w:val="none"/>
          <w:u w:val="single"/>
        </w:rPr>
        <w:t xml:space="preserve">   </w:t>
      </w:r>
      <w:r>
        <w:rPr>
          <w:rStyle w:val="39"/>
          <w:rFonts w:hint="eastAsia"/>
          <w:highlight w:val="none"/>
        </w:rPr>
        <w:t>天，特此声明。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4473" w:type="dxa"/>
            <w:vAlign w:val="center"/>
          </w:tcPr>
          <w:p>
            <w:pPr>
              <w:pStyle w:val="29"/>
              <w:rPr>
                <w:highlight w:val="none"/>
              </w:rPr>
            </w:pPr>
            <w:r>
              <w:rPr>
                <w:rFonts w:hint="eastAsia"/>
                <w:highlight w:val="none"/>
              </w:rPr>
              <w:t>法人身份证复印件</w:t>
            </w:r>
          </w:p>
          <w:p>
            <w:pPr>
              <w:pStyle w:val="29"/>
              <w:rPr>
                <w:highlight w:val="none"/>
              </w:rPr>
            </w:pPr>
            <w:r>
              <w:rPr>
                <w:rFonts w:hint="eastAsia"/>
                <w:highlight w:val="none"/>
              </w:rPr>
              <w:t>正、反面</w:t>
            </w:r>
          </w:p>
        </w:tc>
        <w:tc>
          <w:tcPr>
            <w:tcW w:w="4474" w:type="dxa"/>
            <w:vAlign w:val="center"/>
          </w:tcPr>
          <w:p>
            <w:pPr>
              <w:pStyle w:val="29"/>
              <w:rPr>
                <w:highlight w:val="none"/>
              </w:rPr>
            </w:pPr>
            <w:r>
              <w:rPr>
                <w:rFonts w:hint="eastAsia"/>
                <w:highlight w:val="none"/>
              </w:rPr>
              <w:t>被授权人身份证复印件</w:t>
            </w:r>
          </w:p>
          <w:p>
            <w:pPr>
              <w:pStyle w:val="29"/>
              <w:rPr>
                <w:highlight w:val="none"/>
              </w:rPr>
            </w:pPr>
            <w:r>
              <w:rPr>
                <w:rFonts w:hint="eastAsia"/>
                <w:highlight w:val="none"/>
              </w:rPr>
              <w:t>正、反面</w:t>
            </w:r>
          </w:p>
          <w:p>
            <w:pPr>
              <w:pStyle w:val="29"/>
              <w:rPr>
                <w:highlight w:val="none"/>
              </w:rPr>
            </w:pPr>
          </w:p>
        </w:tc>
      </w:tr>
    </w:tbl>
    <w:p>
      <w:pPr>
        <w:pStyle w:val="2"/>
        <w:rPr>
          <w:rFonts w:ascii="宋体" w:hAnsi="宋体" w:cs="宋体"/>
          <w:sz w:val="24"/>
          <w:szCs w:val="24"/>
          <w:highlight w:val="none"/>
        </w:rPr>
      </w:pPr>
    </w:p>
    <w:p>
      <w:pPr>
        <w:pStyle w:val="9"/>
        <w:ind w:firstLine="3600" w:firstLineChars="150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3600" w:firstLineChars="1500"/>
        <w:rPr>
          <w:highlight w:val="none"/>
        </w:rPr>
      </w:pPr>
      <w:r>
        <w:rPr>
          <w:rFonts w:hint="eastAsia"/>
          <w:highlight w:val="none"/>
        </w:rPr>
        <w:t>法定代表人：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wordWrap w:val="0"/>
        <w:spacing w:line="336" w:lineRule="auto"/>
        <w:ind w:firstLine="3600" w:firstLineChars="1500"/>
        <w:rPr>
          <w:rFonts w:hAnsi="宋体" w:cs="宋体"/>
          <w:szCs w:val="24"/>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spacing w:line="336" w:lineRule="auto"/>
        <w:rPr>
          <w:rFonts w:hAnsi="宋体" w:cs="宋体"/>
          <w:b/>
          <w:bCs/>
          <w:szCs w:val="24"/>
          <w:highlight w:val="none"/>
        </w:rPr>
      </w:pPr>
      <w:r>
        <w:rPr>
          <w:rFonts w:hint="eastAsia" w:hAnsi="宋体" w:cs="宋体"/>
          <w:b/>
          <w:bCs/>
          <w:szCs w:val="24"/>
          <w:highlight w:val="none"/>
        </w:rPr>
        <w:t>注：</w:t>
      </w:r>
    </w:p>
    <w:p>
      <w:pPr>
        <w:spacing w:line="336" w:lineRule="auto"/>
        <w:ind w:firstLine="480" w:firstLineChars="200"/>
        <w:rPr>
          <w:rFonts w:hAnsi="宋体" w:cs="宋体"/>
          <w:szCs w:val="24"/>
          <w:highlight w:val="none"/>
        </w:rPr>
      </w:pPr>
      <w:r>
        <w:rPr>
          <w:rFonts w:hint="eastAsia" w:hAnsi="宋体" w:cs="宋体"/>
          <w:szCs w:val="24"/>
          <w:highlight w:val="none"/>
        </w:rPr>
        <w:t>1.此授权书的有效期应与响应文件有效期一致；</w:t>
      </w:r>
    </w:p>
    <w:p>
      <w:pPr>
        <w:ind w:firstLine="480" w:firstLineChars="200"/>
        <w:rPr>
          <w:rFonts w:hint="eastAsia" w:eastAsia="宋体"/>
          <w:color w:val="auto"/>
          <w:highlight w:val="none"/>
          <w:lang w:eastAsia="zh-CN"/>
        </w:rPr>
      </w:pPr>
      <w:r>
        <w:rPr>
          <w:rFonts w:hint="eastAsia" w:hAnsi="宋体" w:cs="宋体"/>
          <w:szCs w:val="24"/>
          <w:highlight w:val="none"/>
        </w:rPr>
        <w:t>2.</w:t>
      </w:r>
      <w:r>
        <w:rPr>
          <w:rFonts w:hint="eastAsia" w:hAnsi="宋体" w:cs="宋体"/>
          <w:szCs w:val="24"/>
          <w:highlight w:val="none"/>
          <w:lang w:val="zh-CN"/>
        </w:rPr>
        <w:t>法定代表人直接</w:t>
      </w:r>
      <w:r>
        <w:rPr>
          <w:rFonts w:hint="eastAsia" w:hAnsi="宋体" w:cs="宋体"/>
          <w:szCs w:val="24"/>
          <w:highlight w:val="none"/>
        </w:rPr>
        <w:t>投标</w:t>
      </w:r>
      <w:r>
        <w:rPr>
          <w:rFonts w:hint="eastAsia" w:hAnsi="宋体" w:cs="宋体"/>
          <w:szCs w:val="24"/>
          <w:highlight w:val="none"/>
          <w:lang w:val="zh-CN"/>
        </w:rPr>
        <w:t>时无需提供。</w:t>
      </w:r>
      <w:r>
        <w:rPr>
          <w:rFonts w:hint="eastAsia" w:eastAsia="宋体"/>
          <w:color w:val="auto"/>
          <w:highlight w:val="none"/>
          <w:lang w:eastAsia="zh-CN"/>
        </w:rPr>
        <w:br w:type="page"/>
      </w:r>
    </w:p>
    <w:p>
      <w:pPr>
        <w:pStyle w:val="18"/>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eastAsia="宋体"/>
          <w:color w:val="auto"/>
          <w:highlight w:val="none"/>
          <w:lang w:val="en-US" w:eastAsia="zh-CN"/>
        </w:rPr>
      </w:pPr>
      <w:r>
        <w:rPr>
          <w:rFonts w:hint="eastAsia" w:eastAsia="宋体"/>
          <w:color w:val="auto"/>
          <w:highlight w:val="none"/>
          <w:lang w:eastAsia="zh-CN"/>
        </w:rPr>
        <w:t>2）</w:t>
      </w:r>
      <w:r>
        <w:rPr>
          <w:rFonts w:hint="eastAsia" w:ascii="宋体" w:hAnsi="宋体" w:eastAsia="宋体" w:cs="宋体"/>
          <w:i w:val="0"/>
          <w:caps w:val="0"/>
          <w:color w:val="auto"/>
          <w:spacing w:val="0"/>
          <w:sz w:val="24"/>
          <w:szCs w:val="24"/>
          <w:highlight w:val="none"/>
          <w:shd w:val="clear" w:fill="FFFFFF"/>
          <w:vertAlign w:val="baseline"/>
        </w:rPr>
        <w:t>投标人为生产厂家的须提供食品生产许可证；投标人为代理商的须提供食品经营许可证及所投产品生产厂家的食品生产许可证。</w:t>
      </w:r>
    </w:p>
    <w:p>
      <w:pPr>
        <w:rPr>
          <w:rFonts w:hint="eastAsia" w:cs="宋体"/>
          <w:i w:val="0"/>
          <w:caps w:val="0"/>
          <w:color w:val="auto"/>
          <w:spacing w:val="0"/>
          <w:sz w:val="24"/>
          <w:szCs w:val="24"/>
          <w:highlight w:val="none"/>
          <w:shd w:val="clear" w:fill="FFFFFF"/>
          <w:vertAlign w:val="baseline"/>
          <w:lang w:val="en-US" w:eastAsia="zh-CN"/>
        </w:rPr>
      </w:pPr>
      <w:r>
        <w:rPr>
          <w:rFonts w:hint="eastAsia" w:cs="宋体"/>
          <w:i w:val="0"/>
          <w:caps w:val="0"/>
          <w:color w:val="auto"/>
          <w:spacing w:val="0"/>
          <w:sz w:val="24"/>
          <w:szCs w:val="24"/>
          <w:highlight w:val="none"/>
          <w:shd w:val="clear" w:fill="FFFFFF"/>
          <w:vertAlign w:val="baseline"/>
          <w:lang w:val="en-US" w:eastAsia="zh-CN"/>
        </w:rPr>
        <w:br w:type="page"/>
      </w:r>
    </w:p>
    <w:p>
      <w:pPr>
        <w:pStyle w:val="18"/>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cs="宋体"/>
          <w:i w:val="0"/>
          <w:caps w:val="0"/>
          <w:color w:val="auto"/>
          <w:spacing w:val="0"/>
          <w:sz w:val="24"/>
          <w:szCs w:val="24"/>
          <w:highlight w:val="none"/>
          <w:shd w:val="clear" w:fill="FFFFFF"/>
          <w:vertAlign w:val="baseline"/>
          <w:lang w:val="en-US" w:eastAsia="zh-CN"/>
        </w:rPr>
        <w:t>3）单位负责人为同一人或者存在直接控股、管理关系的不同投标人，不得同时参加同一项目同一标包的投标。</w:t>
      </w:r>
    </w:p>
    <w:p>
      <w:pPr>
        <w:pStyle w:val="5"/>
        <w:spacing w:before="666" w:after="666"/>
        <w:rPr>
          <w:highlight w:val="none"/>
          <w:lang w:val="zh-CN"/>
        </w:rPr>
      </w:pPr>
      <w:r>
        <w:rPr>
          <w:rFonts w:hint="eastAsia"/>
          <w:sz w:val="30"/>
          <w:szCs w:val="30"/>
          <w:highlight w:val="none"/>
          <w:lang w:val="zh-CN"/>
        </w:rPr>
        <w:t>投标人企业关系关联承诺书</w:t>
      </w:r>
    </w:p>
    <w:p>
      <w:pPr>
        <w:pStyle w:val="9"/>
        <w:ind w:firstLine="480"/>
        <w:rPr>
          <w:highlight w:val="none"/>
        </w:rPr>
      </w:pPr>
      <w:r>
        <w:rPr>
          <w:rFonts w:hint="eastAsia"/>
          <w:highlight w:val="none"/>
        </w:rPr>
        <w:t>1、投标人在本项目投标中，不存在与其它投标人负责人为同一人，有控股、管理等关联关系承诺：</w:t>
      </w:r>
    </w:p>
    <w:p>
      <w:pPr>
        <w:pStyle w:val="9"/>
        <w:ind w:firstLine="480"/>
        <w:rPr>
          <w:highlight w:val="none"/>
        </w:rPr>
      </w:pPr>
      <w:r>
        <w:rPr>
          <w:rFonts w:hint="eastAsia"/>
          <w:highlight w:val="none"/>
        </w:rPr>
        <w:t>1.1管理关系说明：</w:t>
      </w:r>
    </w:p>
    <w:p>
      <w:pPr>
        <w:pStyle w:val="9"/>
        <w:ind w:firstLine="480"/>
        <w:rPr>
          <w:highlight w:val="none"/>
        </w:rPr>
      </w:pPr>
      <w:r>
        <w:rPr>
          <w:rFonts w:hint="eastAsia"/>
          <w:highlight w:val="none"/>
        </w:rPr>
        <w:t>我单位管理的具有独立法人的下属单位有：</w:t>
      </w:r>
      <w:r>
        <w:rPr>
          <w:rFonts w:hint="eastAsia"/>
          <w:highlight w:val="none"/>
          <w:u w:val="single"/>
        </w:rPr>
        <w:t xml:space="preserve">                 </w:t>
      </w:r>
      <w:r>
        <w:rPr>
          <w:rFonts w:hint="eastAsia"/>
          <w:highlight w:val="none"/>
        </w:rPr>
        <w:t>。</w:t>
      </w:r>
    </w:p>
    <w:p>
      <w:pPr>
        <w:pStyle w:val="9"/>
        <w:ind w:firstLine="480"/>
        <w:rPr>
          <w:highlight w:val="none"/>
        </w:rPr>
      </w:pPr>
      <w:r>
        <w:rPr>
          <w:rFonts w:hint="eastAsia"/>
          <w:highlight w:val="none"/>
        </w:rPr>
        <w:t>我单位的上级管理单位有</w:t>
      </w:r>
      <w:r>
        <w:rPr>
          <w:rFonts w:hint="eastAsia"/>
          <w:highlight w:val="none"/>
          <w:u w:val="single"/>
        </w:rPr>
        <w:t xml:space="preserve">                 </w:t>
      </w:r>
      <w:r>
        <w:rPr>
          <w:rFonts w:hint="eastAsia"/>
          <w:highlight w:val="none"/>
        </w:rPr>
        <w:t>。</w:t>
      </w:r>
    </w:p>
    <w:p>
      <w:pPr>
        <w:pStyle w:val="9"/>
        <w:ind w:firstLine="480"/>
        <w:rPr>
          <w:highlight w:val="none"/>
        </w:rPr>
      </w:pPr>
      <w:r>
        <w:rPr>
          <w:rFonts w:hint="eastAsia"/>
          <w:highlight w:val="none"/>
        </w:rPr>
        <w:t>1.2股权关系说明：</w:t>
      </w:r>
    </w:p>
    <w:p>
      <w:pPr>
        <w:pStyle w:val="9"/>
        <w:ind w:firstLine="480"/>
        <w:rPr>
          <w:highlight w:val="none"/>
        </w:rPr>
      </w:pPr>
      <w:r>
        <w:rPr>
          <w:rFonts w:hint="eastAsia"/>
          <w:highlight w:val="none"/>
        </w:rPr>
        <w:t>我单位控股的单位有</w:t>
      </w:r>
      <w:r>
        <w:rPr>
          <w:rFonts w:hint="eastAsia"/>
          <w:highlight w:val="none"/>
          <w:u w:val="single"/>
        </w:rPr>
        <w:t xml:space="preserve">                 </w:t>
      </w:r>
      <w:r>
        <w:rPr>
          <w:rFonts w:hint="eastAsia"/>
          <w:highlight w:val="none"/>
        </w:rPr>
        <w:t>。</w:t>
      </w:r>
    </w:p>
    <w:p>
      <w:pPr>
        <w:pStyle w:val="9"/>
        <w:ind w:firstLine="480"/>
        <w:rPr>
          <w:highlight w:val="none"/>
        </w:rPr>
      </w:pPr>
      <w:r>
        <w:rPr>
          <w:rFonts w:hint="eastAsia"/>
          <w:highlight w:val="none"/>
        </w:rPr>
        <w:t>我单位被</w:t>
      </w:r>
      <w:r>
        <w:rPr>
          <w:rFonts w:hint="eastAsia"/>
          <w:highlight w:val="none"/>
          <w:u w:val="single"/>
        </w:rPr>
        <w:t xml:space="preserve">                 </w:t>
      </w:r>
      <w:r>
        <w:rPr>
          <w:rFonts w:hint="eastAsia"/>
          <w:highlight w:val="none"/>
        </w:rPr>
        <w:t>单位控股。</w:t>
      </w:r>
    </w:p>
    <w:p>
      <w:pPr>
        <w:pStyle w:val="9"/>
        <w:ind w:firstLine="480"/>
        <w:rPr>
          <w:highlight w:val="none"/>
          <w:u w:val="single"/>
        </w:rPr>
      </w:pPr>
      <w:r>
        <w:rPr>
          <w:rFonts w:hint="eastAsia"/>
          <w:highlight w:val="none"/>
        </w:rPr>
        <w:t>1.3、单位负责人：</w:t>
      </w:r>
      <w:r>
        <w:rPr>
          <w:rFonts w:hint="eastAsia"/>
          <w:highlight w:val="none"/>
          <w:u w:val="single"/>
        </w:rPr>
        <w:t xml:space="preserve">                 </w:t>
      </w:r>
    </w:p>
    <w:p>
      <w:pPr>
        <w:pStyle w:val="9"/>
        <w:ind w:firstLine="480"/>
        <w:rPr>
          <w:highlight w:val="none"/>
        </w:rPr>
      </w:pPr>
      <w:r>
        <w:rPr>
          <w:rFonts w:hint="eastAsia"/>
          <w:highlight w:val="none"/>
        </w:rPr>
        <w:t>2、</w:t>
      </w:r>
      <w:r>
        <w:rPr>
          <w:rFonts w:hint="eastAsia"/>
          <w:highlight w:val="none"/>
          <w:u w:val="single"/>
        </w:rPr>
        <w:t xml:space="preserve">                 </w:t>
      </w:r>
      <w:r>
        <w:rPr>
          <w:rFonts w:hint="eastAsia"/>
          <w:highlight w:val="none"/>
        </w:rPr>
        <w:t>（是或否）为采购项目提供整体设计、规范编制或者项目管理、监理、检测等服务的投标人。</w:t>
      </w:r>
    </w:p>
    <w:p>
      <w:pPr>
        <w:pStyle w:val="9"/>
        <w:ind w:firstLine="480"/>
        <w:rPr>
          <w:highlight w:val="none"/>
          <w:u w:val="single"/>
        </w:rPr>
      </w:pPr>
      <w:r>
        <w:rPr>
          <w:rFonts w:hint="eastAsia"/>
          <w:highlight w:val="none"/>
        </w:rPr>
        <w:t>3、其他与本项目有关的利害关系说明：</w:t>
      </w:r>
      <w:r>
        <w:rPr>
          <w:rFonts w:hint="eastAsia"/>
          <w:highlight w:val="none"/>
          <w:u w:val="single"/>
        </w:rPr>
        <w:t xml:space="preserve">                 </w:t>
      </w:r>
    </w:p>
    <w:p>
      <w:pPr>
        <w:pStyle w:val="9"/>
        <w:ind w:firstLine="480"/>
        <w:rPr>
          <w:highlight w:val="none"/>
          <w:u w:val="single"/>
        </w:rPr>
      </w:pPr>
    </w:p>
    <w:p>
      <w:pPr>
        <w:pStyle w:val="9"/>
        <w:ind w:firstLine="480"/>
        <w:rPr>
          <w:highlight w:val="none"/>
        </w:rPr>
      </w:pPr>
      <w:r>
        <w:rPr>
          <w:rFonts w:hint="eastAsia"/>
          <w:highlight w:val="none"/>
        </w:rPr>
        <w:t>我单位承诺以上说明真实有效，无虚假内容或隐瞒。</w:t>
      </w:r>
    </w:p>
    <w:p>
      <w:pPr>
        <w:spacing w:line="500" w:lineRule="exact"/>
        <w:ind w:firstLine="240" w:firstLineChars="100"/>
        <w:rPr>
          <w:rFonts w:hAnsi="宋体" w:cs="宋体"/>
          <w:szCs w:val="24"/>
          <w:highlight w:val="none"/>
        </w:rPr>
      </w:pPr>
    </w:p>
    <w:p>
      <w:pPr>
        <w:pStyle w:val="2"/>
        <w:rPr>
          <w:highlight w:val="none"/>
        </w:rPr>
      </w:pPr>
    </w:p>
    <w:p>
      <w:pPr>
        <w:pStyle w:val="9"/>
        <w:ind w:firstLine="3600" w:firstLineChars="150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3600" w:firstLineChars="150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spacing w:line="500" w:lineRule="exact"/>
        <w:ind w:firstLine="3600" w:firstLineChars="1500"/>
        <w:rPr>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2"/>
        <w:rPr>
          <w:highlight w:val="none"/>
        </w:rPr>
      </w:pPr>
    </w:p>
    <w:p>
      <w:pPr>
        <w:spacing w:before="166" w:beforeLines="50" w:line="360" w:lineRule="auto"/>
        <w:jc w:val="center"/>
        <w:rPr>
          <w:rFonts w:hAnsi="宋体" w:cs="宋体"/>
          <w:sz w:val="32"/>
          <w:szCs w:val="32"/>
          <w:highlight w:val="none"/>
        </w:rPr>
      </w:pPr>
    </w:p>
    <w:p>
      <w:pPr>
        <w:ind w:firstLine="480" w:firstLineChars="200"/>
        <w:rPr>
          <w:rFonts w:hAnsi="宋体" w:cs="宋体"/>
          <w:szCs w:val="24"/>
          <w:highlight w:val="none"/>
          <w:lang w:val="zh-CN"/>
        </w:rPr>
      </w:pPr>
      <w:bookmarkStart w:id="213" w:name="_Toc31505"/>
      <w:bookmarkStart w:id="214" w:name="_Toc18269"/>
      <w:r>
        <w:rPr>
          <w:rFonts w:hint="eastAsia"/>
          <w:highlight w:val="none"/>
        </w:rPr>
        <w:br w:type="page"/>
      </w:r>
      <w:bookmarkEnd w:id="213"/>
      <w:bookmarkEnd w:id="214"/>
    </w:p>
    <w:p>
      <w:pPr>
        <w:pStyle w:val="4"/>
        <w:rPr>
          <w:highlight w:val="none"/>
        </w:rPr>
      </w:pPr>
      <w:r>
        <w:rPr>
          <w:rFonts w:hint="eastAsia"/>
          <w:highlight w:val="none"/>
          <w:lang w:eastAsia="zh-CN"/>
        </w:rPr>
        <w:t>四、</w:t>
      </w:r>
      <w:r>
        <w:rPr>
          <w:rFonts w:hint="eastAsia"/>
          <w:highlight w:val="none"/>
        </w:rPr>
        <w:t>投标方案说明书</w:t>
      </w:r>
    </w:p>
    <w:p>
      <w:pPr>
        <w:spacing w:line="440" w:lineRule="exact"/>
        <w:ind w:firstLine="482" w:firstLineChars="200"/>
        <w:jc w:val="both"/>
        <w:rPr>
          <w:rFonts w:hAnsi="宋体" w:cs="宋体"/>
          <w:b/>
          <w:bCs/>
          <w:szCs w:val="24"/>
          <w:highlight w:val="none"/>
        </w:rPr>
      </w:pPr>
      <w:r>
        <w:rPr>
          <w:rFonts w:hint="eastAsia" w:hAnsi="宋体" w:cs="宋体"/>
          <w:b/>
          <w:bCs/>
          <w:szCs w:val="24"/>
          <w:highlight w:val="none"/>
        </w:rPr>
        <w:t>投标人根据招标文件</w:t>
      </w:r>
      <w:r>
        <w:rPr>
          <w:rFonts w:hint="eastAsia" w:hAnsi="宋体" w:cs="宋体"/>
          <w:b/>
          <w:bCs/>
          <w:szCs w:val="24"/>
          <w:highlight w:val="none"/>
          <w:lang w:eastAsia="zh-CN"/>
        </w:rPr>
        <w:t>第四章 “采购内容及技术要求”</w:t>
      </w:r>
      <w:r>
        <w:rPr>
          <w:rFonts w:hint="eastAsia" w:hAnsi="宋体" w:cs="宋体"/>
          <w:b/>
          <w:bCs/>
          <w:szCs w:val="24"/>
          <w:highlight w:val="none"/>
        </w:rPr>
        <w:t>及第五章</w:t>
      </w:r>
      <w:r>
        <w:rPr>
          <w:rFonts w:hint="eastAsia" w:hAnsi="宋体" w:cs="宋体"/>
          <w:b/>
          <w:bCs/>
          <w:szCs w:val="24"/>
          <w:highlight w:val="none"/>
          <w:lang w:eastAsia="zh-CN"/>
        </w:rPr>
        <w:t>“</w:t>
      </w:r>
      <w:r>
        <w:rPr>
          <w:rFonts w:hint="eastAsia" w:hAnsi="宋体" w:cs="宋体"/>
          <w:b/>
          <w:bCs/>
          <w:szCs w:val="24"/>
          <w:highlight w:val="none"/>
        </w:rPr>
        <w:t>评标办法</w:t>
      </w:r>
      <w:r>
        <w:rPr>
          <w:rFonts w:hint="eastAsia" w:hAnsi="宋体" w:cs="宋体"/>
          <w:b/>
          <w:bCs/>
          <w:szCs w:val="24"/>
          <w:highlight w:val="none"/>
          <w:lang w:eastAsia="zh-CN"/>
        </w:rPr>
        <w:t>”《</w:t>
      </w:r>
      <w:r>
        <w:rPr>
          <w:rFonts w:hint="eastAsia" w:hAnsi="宋体" w:cs="宋体"/>
          <w:b/>
          <w:bCs/>
          <w:szCs w:val="24"/>
          <w:highlight w:val="none"/>
        </w:rPr>
        <w:t>评标因素及权重分值表</w:t>
      </w:r>
      <w:r>
        <w:rPr>
          <w:rFonts w:hint="eastAsia" w:hAnsi="宋体" w:cs="宋体"/>
          <w:b/>
          <w:bCs/>
          <w:szCs w:val="24"/>
          <w:highlight w:val="none"/>
          <w:lang w:eastAsia="zh-CN"/>
        </w:rPr>
        <w:t>》</w:t>
      </w:r>
      <w:r>
        <w:rPr>
          <w:rFonts w:hint="eastAsia" w:hAnsi="宋体" w:cs="宋体"/>
          <w:b/>
          <w:bCs/>
          <w:szCs w:val="24"/>
          <w:highlight w:val="none"/>
        </w:rPr>
        <w:t>，自主编写方案说明书。</w:t>
      </w:r>
    </w:p>
    <w:p>
      <w:pPr>
        <w:pStyle w:val="6"/>
        <w:rPr>
          <w:rStyle w:val="37"/>
          <w:b/>
          <w:bCs/>
          <w:highlight w:val="none"/>
        </w:rPr>
      </w:pPr>
      <w:r>
        <w:rPr>
          <w:rFonts w:hint="eastAsia"/>
          <w:szCs w:val="24"/>
          <w:highlight w:val="none"/>
        </w:rPr>
        <w:br w:type="page"/>
      </w:r>
      <w:r>
        <w:rPr>
          <w:rStyle w:val="37"/>
          <w:rFonts w:hint="eastAsia"/>
          <w:b/>
          <w:bCs/>
          <w:highlight w:val="none"/>
        </w:rPr>
        <w:t>附表1</w:t>
      </w:r>
    </w:p>
    <w:p>
      <w:pPr>
        <w:pStyle w:val="5"/>
        <w:spacing w:before="666" w:after="666"/>
        <w:rPr>
          <w:rFonts w:hint="eastAsia" w:eastAsia="宋体"/>
          <w:highlight w:val="none"/>
          <w:lang w:eastAsia="zh-CN"/>
        </w:rPr>
      </w:pPr>
      <w:r>
        <w:rPr>
          <w:rFonts w:hint="eastAsia"/>
          <w:highlight w:val="none"/>
          <w:lang w:eastAsia="zh-CN"/>
        </w:rPr>
        <w:t>技术要求响应表</w:t>
      </w:r>
    </w:p>
    <w:tbl>
      <w:tblPr>
        <w:tblStyle w:val="19"/>
        <w:tblW w:w="90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vAlign w:val="center"/>
          </w:tcPr>
          <w:p>
            <w:pPr>
              <w:pStyle w:val="29"/>
              <w:rPr>
                <w:highlight w:val="none"/>
              </w:rPr>
            </w:pPr>
            <w:r>
              <w:rPr>
                <w:rFonts w:hint="eastAsia"/>
                <w:highlight w:val="none"/>
              </w:rPr>
              <w:t>序号</w:t>
            </w:r>
          </w:p>
        </w:tc>
        <w:tc>
          <w:tcPr>
            <w:tcW w:w="1353" w:type="dxa"/>
            <w:vAlign w:val="center"/>
          </w:tcPr>
          <w:p>
            <w:pPr>
              <w:pStyle w:val="29"/>
              <w:rPr>
                <w:rFonts w:hint="eastAsia" w:eastAsia="宋体"/>
                <w:highlight w:val="none"/>
                <w:lang w:eastAsia="zh-CN"/>
              </w:rPr>
            </w:pPr>
            <w:r>
              <w:rPr>
                <w:rFonts w:hint="eastAsia"/>
                <w:highlight w:val="none"/>
                <w:lang w:val="en-US" w:eastAsia="zh-CN"/>
              </w:rPr>
              <w:t>名称</w:t>
            </w:r>
          </w:p>
        </w:tc>
        <w:tc>
          <w:tcPr>
            <w:tcW w:w="1714" w:type="dxa"/>
            <w:vAlign w:val="center"/>
          </w:tcPr>
          <w:p>
            <w:pPr>
              <w:pStyle w:val="29"/>
              <w:rPr>
                <w:rFonts w:hint="eastAsia" w:eastAsia="宋体"/>
                <w:highlight w:val="none"/>
                <w:lang w:eastAsia="zh-CN"/>
              </w:rPr>
            </w:pPr>
            <w:r>
              <w:rPr>
                <w:rFonts w:hint="eastAsia"/>
                <w:highlight w:val="none"/>
              </w:rPr>
              <w:t>招标</w:t>
            </w:r>
            <w:r>
              <w:rPr>
                <w:rFonts w:hint="eastAsia"/>
                <w:highlight w:val="none"/>
                <w:lang w:val="en-US" w:eastAsia="zh-CN"/>
              </w:rPr>
              <w:t>要求</w:t>
            </w:r>
          </w:p>
        </w:tc>
        <w:tc>
          <w:tcPr>
            <w:tcW w:w="2566" w:type="dxa"/>
            <w:vAlign w:val="center"/>
          </w:tcPr>
          <w:p>
            <w:pPr>
              <w:pStyle w:val="29"/>
              <w:rPr>
                <w:rFonts w:hint="eastAsia" w:eastAsia="宋体"/>
                <w:highlight w:val="none"/>
                <w:lang w:eastAsia="zh-CN"/>
              </w:rPr>
            </w:pPr>
            <w:r>
              <w:rPr>
                <w:rFonts w:hint="eastAsia"/>
                <w:highlight w:val="none"/>
              </w:rPr>
              <w:t>投标</w:t>
            </w:r>
            <w:r>
              <w:rPr>
                <w:rFonts w:hint="eastAsia"/>
                <w:highlight w:val="none"/>
                <w:lang w:val="en-US" w:eastAsia="zh-CN"/>
              </w:rPr>
              <w:t>要求</w:t>
            </w:r>
          </w:p>
        </w:tc>
        <w:tc>
          <w:tcPr>
            <w:tcW w:w="1290" w:type="dxa"/>
            <w:vAlign w:val="center"/>
          </w:tcPr>
          <w:p>
            <w:pPr>
              <w:pStyle w:val="29"/>
              <w:rPr>
                <w:highlight w:val="none"/>
              </w:rPr>
            </w:pPr>
            <w:r>
              <w:rPr>
                <w:rFonts w:hint="eastAsia"/>
                <w:highlight w:val="none"/>
              </w:rPr>
              <w:t>偏离说明</w:t>
            </w:r>
          </w:p>
        </w:tc>
        <w:tc>
          <w:tcPr>
            <w:tcW w:w="880" w:type="dxa"/>
            <w:vAlign w:val="center"/>
          </w:tcPr>
          <w:p>
            <w:pPr>
              <w:pStyle w:val="29"/>
              <w:rPr>
                <w:highlight w:val="none"/>
              </w:rPr>
            </w:pPr>
            <w:r>
              <w:rPr>
                <w:rFonts w:hint="eastAsia"/>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pStyle w:val="29"/>
              <w:rPr>
                <w:highlight w:val="none"/>
              </w:rPr>
            </w:pPr>
          </w:p>
        </w:tc>
        <w:tc>
          <w:tcPr>
            <w:tcW w:w="1353" w:type="dxa"/>
          </w:tcPr>
          <w:p>
            <w:pPr>
              <w:pStyle w:val="29"/>
              <w:rPr>
                <w:highlight w:val="none"/>
              </w:rPr>
            </w:pPr>
          </w:p>
        </w:tc>
        <w:tc>
          <w:tcPr>
            <w:tcW w:w="1714" w:type="dxa"/>
          </w:tcPr>
          <w:p>
            <w:pPr>
              <w:pStyle w:val="29"/>
              <w:rPr>
                <w:highlight w:val="none"/>
              </w:rPr>
            </w:pPr>
          </w:p>
        </w:tc>
        <w:tc>
          <w:tcPr>
            <w:tcW w:w="2566" w:type="dxa"/>
          </w:tcPr>
          <w:p>
            <w:pPr>
              <w:pStyle w:val="29"/>
              <w:rPr>
                <w:highlight w:val="none"/>
              </w:rPr>
            </w:pPr>
          </w:p>
        </w:tc>
        <w:tc>
          <w:tcPr>
            <w:tcW w:w="1290" w:type="dxa"/>
          </w:tcPr>
          <w:p>
            <w:pPr>
              <w:pStyle w:val="29"/>
              <w:rPr>
                <w:highlight w:val="none"/>
              </w:rPr>
            </w:pPr>
          </w:p>
        </w:tc>
        <w:tc>
          <w:tcPr>
            <w:tcW w:w="880" w:type="dxa"/>
          </w:tcPr>
          <w:p>
            <w:pPr>
              <w:pStyle w:val="29"/>
              <w:rPr>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pStyle w:val="29"/>
              <w:rPr>
                <w:highlight w:val="none"/>
              </w:rPr>
            </w:pPr>
          </w:p>
        </w:tc>
        <w:tc>
          <w:tcPr>
            <w:tcW w:w="1353" w:type="dxa"/>
          </w:tcPr>
          <w:p>
            <w:pPr>
              <w:pStyle w:val="29"/>
              <w:rPr>
                <w:highlight w:val="none"/>
              </w:rPr>
            </w:pPr>
          </w:p>
        </w:tc>
        <w:tc>
          <w:tcPr>
            <w:tcW w:w="1714" w:type="dxa"/>
          </w:tcPr>
          <w:p>
            <w:pPr>
              <w:pStyle w:val="29"/>
              <w:rPr>
                <w:highlight w:val="none"/>
              </w:rPr>
            </w:pPr>
          </w:p>
        </w:tc>
        <w:tc>
          <w:tcPr>
            <w:tcW w:w="2566" w:type="dxa"/>
          </w:tcPr>
          <w:p>
            <w:pPr>
              <w:pStyle w:val="29"/>
              <w:rPr>
                <w:highlight w:val="none"/>
              </w:rPr>
            </w:pPr>
          </w:p>
        </w:tc>
        <w:tc>
          <w:tcPr>
            <w:tcW w:w="1290" w:type="dxa"/>
          </w:tcPr>
          <w:p>
            <w:pPr>
              <w:pStyle w:val="29"/>
              <w:rPr>
                <w:highlight w:val="none"/>
              </w:rPr>
            </w:pPr>
          </w:p>
        </w:tc>
        <w:tc>
          <w:tcPr>
            <w:tcW w:w="880" w:type="dxa"/>
          </w:tcPr>
          <w:p>
            <w:pPr>
              <w:pStyle w:val="29"/>
              <w:rPr>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Pr>
          <w:p>
            <w:pPr>
              <w:pStyle w:val="29"/>
              <w:rPr>
                <w:highlight w:val="none"/>
              </w:rPr>
            </w:pPr>
          </w:p>
        </w:tc>
        <w:tc>
          <w:tcPr>
            <w:tcW w:w="1353" w:type="dxa"/>
          </w:tcPr>
          <w:p>
            <w:pPr>
              <w:pStyle w:val="29"/>
              <w:rPr>
                <w:highlight w:val="none"/>
              </w:rPr>
            </w:pPr>
          </w:p>
        </w:tc>
        <w:tc>
          <w:tcPr>
            <w:tcW w:w="1714" w:type="dxa"/>
          </w:tcPr>
          <w:p>
            <w:pPr>
              <w:pStyle w:val="29"/>
              <w:rPr>
                <w:highlight w:val="none"/>
              </w:rPr>
            </w:pPr>
          </w:p>
        </w:tc>
        <w:tc>
          <w:tcPr>
            <w:tcW w:w="2566" w:type="dxa"/>
          </w:tcPr>
          <w:p>
            <w:pPr>
              <w:pStyle w:val="29"/>
              <w:rPr>
                <w:highlight w:val="none"/>
              </w:rPr>
            </w:pPr>
          </w:p>
        </w:tc>
        <w:tc>
          <w:tcPr>
            <w:tcW w:w="1290" w:type="dxa"/>
          </w:tcPr>
          <w:p>
            <w:pPr>
              <w:pStyle w:val="29"/>
              <w:rPr>
                <w:highlight w:val="none"/>
              </w:rPr>
            </w:pPr>
          </w:p>
        </w:tc>
        <w:tc>
          <w:tcPr>
            <w:tcW w:w="880" w:type="dxa"/>
          </w:tcPr>
          <w:p>
            <w:pPr>
              <w:pStyle w:val="29"/>
              <w:rPr>
                <w:highlight w:val="none"/>
              </w:rPr>
            </w:pPr>
          </w:p>
        </w:tc>
      </w:tr>
    </w:tbl>
    <w:p>
      <w:pPr>
        <w:tabs>
          <w:tab w:val="left" w:pos="7200"/>
          <w:tab w:val="left" w:pos="8504"/>
        </w:tabs>
        <w:spacing w:line="360" w:lineRule="auto"/>
        <w:ind w:right="-1"/>
        <w:rPr>
          <w:rFonts w:hAnsi="宋体" w:cs="宋体"/>
          <w:highlight w:val="none"/>
        </w:rPr>
      </w:pPr>
    </w:p>
    <w:p>
      <w:pPr>
        <w:spacing w:line="120" w:lineRule="exact"/>
        <w:rPr>
          <w:rFonts w:hAnsi="宋体" w:cs="宋体"/>
          <w:highlight w:val="none"/>
        </w:rPr>
      </w:pPr>
    </w:p>
    <w:p>
      <w:pPr>
        <w:pStyle w:val="9"/>
        <w:ind w:firstLine="0" w:firstLineChars="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0" w:firstLineChars="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pStyle w:val="9"/>
        <w:ind w:firstLine="0" w:firstLineChars="0"/>
        <w:rPr>
          <w:b/>
          <w:bCs/>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adjustRightInd w:val="0"/>
        <w:snapToGrid w:val="0"/>
        <w:spacing w:line="440" w:lineRule="exact"/>
        <w:ind w:left="137" w:leftChars="57" w:firstLine="1446" w:firstLineChars="600"/>
        <w:rPr>
          <w:rFonts w:hAnsi="宋体" w:cs="宋体"/>
          <w:b/>
          <w:bCs/>
          <w:szCs w:val="24"/>
          <w:highlight w:val="none"/>
        </w:rPr>
      </w:pPr>
    </w:p>
    <w:p>
      <w:pPr>
        <w:rPr>
          <w:rFonts w:hAnsi="宋体" w:cs="宋体"/>
          <w:szCs w:val="24"/>
          <w:highlight w:val="none"/>
        </w:rPr>
      </w:pPr>
    </w:p>
    <w:p>
      <w:pPr>
        <w:pStyle w:val="31"/>
        <w:rPr>
          <w:rFonts w:hAnsi="宋体" w:cs="宋体"/>
          <w:szCs w:val="24"/>
          <w:highlight w:val="none"/>
        </w:rPr>
      </w:pPr>
      <w:r>
        <w:rPr>
          <w:rFonts w:hint="eastAsia" w:hAnsi="宋体" w:cs="宋体"/>
          <w:b/>
          <w:bCs/>
          <w:szCs w:val="24"/>
          <w:highlight w:val="none"/>
        </w:rPr>
        <w:t>注：</w:t>
      </w:r>
      <w:r>
        <w:rPr>
          <w:rFonts w:hint="eastAsia" w:hAnsi="宋体" w:cs="宋体"/>
          <w:szCs w:val="24"/>
          <w:highlight w:val="none"/>
        </w:rPr>
        <w:t xml:space="preserve"> </w:t>
      </w:r>
    </w:p>
    <w:p>
      <w:pPr>
        <w:pStyle w:val="9"/>
        <w:numPr>
          <w:ilvl w:val="0"/>
          <w:numId w:val="2"/>
        </w:numPr>
        <w:ind w:firstLine="480"/>
        <w:rPr>
          <w:highlight w:val="none"/>
        </w:rPr>
      </w:pPr>
      <w:r>
        <w:rPr>
          <w:rFonts w:hint="eastAsia"/>
          <w:highlight w:val="none"/>
        </w:rPr>
        <w:t>招标</w:t>
      </w:r>
      <w:r>
        <w:rPr>
          <w:rFonts w:hint="eastAsia"/>
          <w:highlight w:val="none"/>
          <w:lang w:eastAsia="zh-CN"/>
        </w:rPr>
        <w:t>要求</w:t>
      </w:r>
      <w:r>
        <w:rPr>
          <w:rFonts w:hint="eastAsia"/>
          <w:highlight w:val="none"/>
        </w:rPr>
        <w:t>指招标文件</w:t>
      </w:r>
      <w:r>
        <w:rPr>
          <w:rFonts w:hint="eastAsia"/>
          <w:b/>
          <w:bCs/>
          <w:highlight w:val="none"/>
          <w:lang w:eastAsia="zh-CN"/>
        </w:rPr>
        <w:t>第四章“采购内容及技术要求”</w:t>
      </w:r>
      <w:r>
        <w:rPr>
          <w:rFonts w:hint="eastAsia"/>
          <w:highlight w:val="none"/>
        </w:rPr>
        <w:t>中</w:t>
      </w:r>
      <w:r>
        <w:rPr>
          <w:rFonts w:hint="eastAsia"/>
          <w:highlight w:val="none"/>
          <w:lang w:val="en-US" w:eastAsia="zh-CN"/>
        </w:rPr>
        <w:t>所列内容</w:t>
      </w:r>
      <w:r>
        <w:rPr>
          <w:rFonts w:hint="eastAsia"/>
          <w:highlight w:val="none"/>
          <w:lang w:eastAsia="zh-CN"/>
        </w:rPr>
        <w:t>，</w:t>
      </w:r>
      <w:r>
        <w:rPr>
          <w:rFonts w:hint="eastAsia"/>
          <w:highlight w:val="none"/>
        </w:rPr>
        <w:t>投标人应按照招标文件中的内容逐项响应。</w:t>
      </w:r>
    </w:p>
    <w:p>
      <w:pPr>
        <w:pStyle w:val="9"/>
        <w:numPr>
          <w:ilvl w:val="0"/>
          <w:numId w:val="2"/>
        </w:numPr>
        <w:ind w:firstLine="480"/>
        <w:rPr>
          <w:highlight w:val="none"/>
        </w:rPr>
      </w:pPr>
      <w:r>
        <w:rPr>
          <w:rFonts w:hint="eastAsia"/>
          <w:highlight w:val="none"/>
        </w:rPr>
        <w:t>投标</w:t>
      </w:r>
      <w:r>
        <w:rPr>
          <w:rFonts w:hint="eastAsia"/>
          <w:highlight w:val="none"/>
          <w:lang w:eastAsia="zh-CN"/>
        </w:rPr>
        <w:t>要求</w:t>
      </w:r>
      <w:r>
        <w:rPr>
          <w:rFonts w:hint="eastAsia"/>
          <w:highlight w:val="none"/>
        </w:rPr>
        <w:t xml:space="preserve">指投标人拟提供的投标产品的功能及技术规格(参数),投标人应逐条如实填写并提供相应的支持文件。 </w:t>
      </w:r>
    </w:p>
    <w:p>
      <w:pPr>
        <w:pStyle w:val="9"/>
        <w:numPr>
          <w:ilvl w:val="0"/>
          <w:numId w:val="2"/>
        </w:numPr>
        <w:ind w:firstLine="480"/>
        <w:rPr>
          <w:highlight w:val="none"/>
        </w:rPr>
      </w:pPr>
      <w:r>
        <w:rPr>
          <w:rFonts w:hint="eastAsia"/>
          <w:highlight w:val="none"/>
        </w:rPr>
        <w:t>偏离说明填写：优于、满足或低于。</w:t>
      </w:r>
    </w:p>
    <w:p>
      <w:pPr>
        <w:pStyle w:val="9"/>
        <w:numPr>
          <w:ilvl w:val="0"/>
          <w:numId w:val="2"/>
        </w:numPr>
        <w:ind w:firstLine="480"/>
        <w:rPr>
          <w:highlight w:val="none"/>
        </w:rPr>
      </w:pPr>
      <w:r>
        <w:rPr>
          <w:rFonts w:hint="eastAsia"/>
          <w:highlight w:val="none"/>
        </w:rPr>
        <w:t>投标人必须据实填写，不得虚假响应，否则将取消其投标或中标资格。</w:t>
      </w:r>
    </w:p>
    <w:p>
      <w:pPr>
        <w:rPr>
          <w:rFonts w:hAnsi="宋体" w:cs="宋体"/>
          <w:szCs w:val="24"/>
          <w:highlight w:val="none"/>
        </w:rPr>
      </w:pPr>
      <w:r>
        <w:rPr>
          <w:rFonts w:hint="eastAsia" w:hAnsi="宋体" w:cs="宋体"/>
          <w:szCs w:val="24"/>
          <w:highlight w:val="none"/>
        </w:rPr>
        <w:t xml:space="preserve">     </w:t>
      </w:r>
    </w:p>
    <w:p>
      <w:pPr>
        <w:pStyle w:val="6"/>
        <w:rPr>
          <w:rStyle w:val="37"/>
          <w:b/>
          <w:bCs/>
          <w:highlight w:val="none"/>
        </w:rPr>
      </w:pPr>
      <w:bookmarkStart w:id="215" w:name="_Toc225566701"/>
      <w:bookmarkStart w:id="216" w:name="_Toc341541375"/>
      <w:bookmarkStart w:id="217" w:name="_Toc225415860"/>
      <w:bookmarkStart w:id="218" w:name="_Toc225416061"/>
      <w:bookmarkStart w:id="219" w:name="_Toc225412373"/>
      <w:bookmarkStart w:id="220" w:name="_Toc225410181"/>
      <w:bookmarkStart w:id="221" w:name="_Toc396304713"/>
      <w:bookmarkStart w:id="222" w:name="_Toc225412171"/>
      <w:bookmarkStart w:id="223" w:name="_Toc225567481"/>
      <w:bookmarkStart w:id="224" w:name="_Toc225566882"/>
      <w:bookmarkStart w:id="225" w:name="_Toc225409965"/>
      <w:bookmarkStart w:id="226" w:name="_Toc225410807"/>
      <w:bookmarkStart w:id="227" w:name="_Toc225415659"/>
      <w:r>
        <w:rPr>
          <w:rFonts w:hint="eastAsia"/>
          <w:szCs w:val="24"/>
          <w:highlight w:val="none"/>
        </w:rPr>
        <w:br w:type="page"/>
      </w:r>
      <w:r>
        <w:rPr>
          <w:rStyle w:val="37"/>
          <w:rFonts w:hint="eastAsia"/>
          <w:b/>
          <w:bCs/>
          <w:highlight w:val="none"/>
        </w:rPr>
        <w:t>附表2 本项目拟投入人员汇总表</w:t>
      </w:r>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37"/>
          <w:rFonts w:hint="eastAsia"/>
          <w:b/>
          <w:bCs/>
          <w:highlight w:val="none"/>
        </w:rPr>
        <w:t>（如有）</w:t>
      </w:r>
    </w:p>
    <w:p>
      <w:pPr>
        <w:pStyle w:val="5"/>
        <w:spacing w:before="666" w:after="666"/>
        <w:rPr>
          <w:highlight w:val="none"/>
        </w:rPr>
      </w:pPr>
      <w:bookmarkStart w:id="228" w:name="_Toc13827"/>
      <w:bookmarkStart w:id="229" w:name="_Toc25551"/>
      <w:bookmarkStart w:id="230" w:name="_Toc2768"/>
      <w:bookmarkStart w:id="231" w:name="_Toc403077652"/>
      <w:bookmarkStart w:id="232" w:name="_Toc14631"/>
      <w:bookmarkStart w:id="233" w:name="_Toc4115"/>
      <w:bookmarkStart w:id="234" w:name="_Toc426457710"/>
      <w:bookmarkStart w:id="235" w:name="_Toc26523"/>
      <w:bookmarkStart w:id="236" w:name="_Toc214"/>
      <w:bookmarkStart w:id="237" w:name="_Toc19082"/>
      <w:bookmarkStart w:id="238" w:name="_Toc17592"/>
      <w:bookmarkStart w:id="239" w:name="_Toc396304714"/>
      <w:r>
        <w:rPr>
          <w:rFonts w:hint="eastAsia"/>
          <w:highlight w:val="none"/>
        </w:rPr>
        <w:t>（一）本项目拟投入人员汇总表</w:t>
      </w:r>
      <w:bookmarkEnd w:id="228"/>
      <w:bookmarkEnd w:id="229"/>
      <w:bookmarkEnd w:id="230"/>
      <w:bookmarkEnd w:id="231"/>
      <w:bookmarkEnd w:id="232"/>
      <w:bookmarkEnd w:id="233"/>
      <w:bookmarkEnd w:id="234"/>
      <w:bookmarkEnd w:id="235"/>
      <w:bookmarkEnd w:id="236"/>
      <w:bookmarkEnd w:id="237"/>
      <w:bookmarkEnd w:id="238"/>
      <w:bookmarkEnd w:id="239"/>
    </w:p>
    <w:p>
      <w:pPr>
        <w:shd w:val="clear" w:color="auto" w:fill="auto"/>
        <w:spacing w:line="360" w:lineRule="auto"/>
        <w:jc w:val="center"/>
        <w:rPr>
          <w:rFonts w:hint="eastAsia" w:ascii="宋体" w:hAnsi="宋体" w:eastAsia="宋体" w:cs="宋体"/>
          <w:b/>
          <w:bCs/>
          <w:sz w:val="24"/>
          <w:highlight w:val="none"/>
          <w:lang w:val="en-US" w:eastAsia="zh-CN" w:bidi="ar-SA"/>
        </w:rPr>
      </w:pPr>
      <w:r>
        <w:rPr>
          <w:rFonts w:hint="eastAsia" w:ascii="宋体" w:hAnsi="宋体" w:eastAsia="宋体" w:cs="宋体"/>
          <w:b/>
          <w:bCs/>
          <w:sz w:val="24"/>
          <w:highlight w:val="none"/>
          <w:lang w:val="en-US" w:eastAsia="zh-CN" w:bidi="ar-SA"/>
        </w:rPr>
        <w:t>本项目人员情况表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229"/>
        <w:gridCol w:w="1380"/>
        <w:gridCol w:w="2076"/>
        <w:gridCol w:w="1593"/>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958" w:type="dxa"/>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类别</w:t>
            </w:r>
          </w:p>
        </w:tc>
        <w:tc>
          <w:tcPr>
            <w:tcW w:w="1229" w:type="dxa"/>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担任职务</w:t>
            </w:r>
          </w:p>
        </w:tc>
        <w:tc>
          <w:tcPr>
            <w:tcW w:w="1380" w:type="dxa"/>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姓名</w:t>
            </w:r>
          </w:p>
        </w:tc>
        <w:tc>
          <w:tcPr>
            <w:tcW w:w="2076" w:type="dxa"/>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身份证号码</w:t>
            </w:r>
          </w:p>
        </w:tc>
        <w:tc>
          <w:tcPr>
            <w:tcW w:w="1593" w:type="dxa"/>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联系方式</w:t>
            </w:r>
          </w:p>
        </w:tc>
        <w:tc>
          <w:tcPr>
            <w:tcW w:w="1089" w:type="dxa"/>
            <w:noWrap w:val="0"/>
            <w:vAlign w:val="center"/>
          </w:tcPr>
          <w:p>
            <w:pPr>
              <w:shd w:val="clear" w:color="auto" w:fill="auto"/>
              <w:spacing w:line="276" w:lineRule="auto"/>
              <w:ind w:firstLine="240" w:firstLineChars="100"/>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58" w:type="dxa"/>
            <w:vMerge w:val="restart"/>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管</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理</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人</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员</w:t>
            </w: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w:t>
            </w: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58" w:type="dxa"/>
            <w:vMerge w:val="continue"/>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58" w:type="dxa"/>
            <w:vMerge w:val="restart"/>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配</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送</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人</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员</w:t>
            </w: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w:t>
            </w: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958" w:type="dxa"/>
            <w:vMerge w:val="continue"/>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58" w:type="dxa"/>
            <w:vMerge w:val="continue"/>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8" w:type="dxa"/>
            <w:vMerge w:val="restart"/>
            <w:noWrap w:val="0"/>
            <w:vAlign w:val="center"/>
          </w:tcPr>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车辆</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司机</w:t>
            </w:r>
          </w:p>
          <w:p>
            <w:pPr>
              <w:shd w:val="clear" w:color="auto" w:fill="auto"/>
              <w:spacing w:line="276" w:lineRule="auto"/>
              <w:jc w:val="cente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人员</w:t>
            </w: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t>.....</w:t>
            </w: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58" w:type="dxa"/>
            <w:vMerge w:val="continue"/>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8" w:type="dxa"/>
            <w:vMerge w:val="continue"/>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22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380"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2076"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593"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c>
          <w:tcPr>
            <w:tcW w:w="1089" w:type="dxa"/>
            <w:noWrap w:val="0"/>
            <w:vAlign w:val="center"/>
          </w:tcPr>
          <w:p>
            <w:pPr>
              <w:shd w:val="clear" w:color="auto" w:fill="auto"/>
              <w:spacing w:line="276" w:lineRule="auto"/>
              <w:rPr>
                <w:rFonts w:hint="eastAsia" w:ascii="宋体" w:hAnsi="宋体" w:eastAsia="宋体" w:cs="宋体"/>
                <w:sz w:val="24"/>
                <w:highlight w:val="none"/>
                <w:lang w:val="en-US" w:eastAsia="zh-CN" w:bidi="ar-SA"/>
              </w:rPr>
            </w:pPr>
          </w:p>
        </w:tc>
      </w:tr>
    </w:tbl>
    <w:p>
      <w:pPr>
        <w:shd w:val="clear" w:color="auto" w:fill="auto"/>
        <w:spacing w:line="360" w:lineRule="auto"/>
        <w:ind w:firstLine="482" w:firstLineChars="200"/>
        <w:jc w:val="left"/>
        <w:rPr>
          <w:rFonts w:hint="eastAsia" w:ascii="宋体" w:hAnsi="宋体" w:eastAsia="宋体" w:cs="宋体"/>
          <w:b/>
          <w:bCs/>
          <w:sz w:val="24"/>
          <w:highlight w:val="none"/>
          <w:lang w:val="en-US" w:eastAsia="zh-CN" w:bidi="ar-SA"/>
        </w:rPr>
      </w:pPr>
      <w:r>
        <w:rPr>
          <w:rFonts w:hint="eastAsia" w:ascii="宋体" w:hAnsi="宋体" w:eastAsia="宋体" w:cs="宋体"/>
          <w:b/>
          <w:bCs/>
          <w:sz w:val="24"/>
          <w:highlight w:val="none"/>
          <w:lang w:val="en-US" w:eastAsia="zh-CN" w:bidi="ar-SA"/>
        </w:rPr>
        <w:t>后附：</w:t>
      </w:r>
    </w:p>
    <w:p>
      <w:pPr>
        <w:shd w:val="clear" w:color="auto" w:fill="auto"/>
        <w:spacing w:line="360" w:lineRule="auto"/>
        <w:ind w:firstLine="482" w:firstLineChars="200"/>
        <w:jc w:val="left"/>
        <w:rPr>
          <w:rFonts w:hint="eastAsia" w:ascii="宋体" w:hAnsi="宋体" w:eastAsia="宋体" w:cs="宋体"/>
          <w:b/>
          <w:bCs/>
          <w:sz w:val="24"/>
          <w:highlight w:val="none"/>
          <w:lang w:val="en-US" w:eastAsia="zh-CN" w:bidi="ar-SA"/>
        </w:rPr>
      </w:pPr>
      <w:r>
        <w:rPr>
          <w:rFonts w:hint="eastAsia" w:ascii="宋体" w:hAnsi="宋体" w:eastAsia="宋体" w:cs="宋体"/>
          <w:b/>
          <w:bCs/>
          <w:sz w:val="24"/>
          <w:highlight w:val="none"/>
          <w:lang w:val="en-US" w:eastAsia="zh-CN" w:bidi="ar-SA"/>
        </w:rPr>
        <w:t>1、投标企业车辆司机人员身份证明材料及及自有配送货车的车辆身份证明材料；</w:t>
      </w:r>
    </w:p>
    <w:p>
      <w:pPr>
        <w:pStyle w:val="9"/>
        <w:ind w:firstLine="480"/>
        <w:rPr>
          <w:rFonts w:hint="eastAsia" w:ascii="宋体" w:hAnsi="宋体" w:eastAsia="宋体" w:cs="宋体"/>
          <w:b/>
          <w:bCs/>
          <w:sz w:val="24"/>
          <w:highlight w:val="none"/>
          <w:lang w:val="en-US" w:eastAsia="zh-CN" w:bidi="ar-SA"/>
        </w:rPr>
      </w:pPr>
      <w:r>
        <w:rPr>
          <w:rFonts w:hint="eastAsia" w:ascii="宋体" w:hAnsi="宋体" w:eastAsia="宋体" w:cs="宋体"/>
          <w:b/>
          <w:bCs/>
          <w:sz w:val="24"/>
          <w:highlight w:val="none"/>
          <w:lang w:val="en-US" w:eastAsia="zh-CN" w:bidi="ar-SA"/>
        </w:rPr>
        <w:t>2、投标企业的配送人员身份证及健康证。</w:t>
      </w:r>
    </w:p>
    <w:p>
      <w:pPr>
        <w:rPr>
          <w:rFonts w:hint="eastAsia" w:ascii="宋体" w:hAnsi="宋体" w:eastAsia="宋体" w:cs="宋体"/>
          <w:sz w:val="24"/>
          <w:highlight w:val="none"/>
          <w:lang w:val="en-US" w:eastAsia="zh-CN" w:bidi="ar-SA"/>
        </w:rPr>
      </w:pPr>
      <w:r>
        <w:rPr>
          <w:rFonts w:hint="eastAsia" w:ascii="宋体" w:hAnsi="宋体" w:eastAsia="宋体" w:cs="宋体"/>
          <w:sz w:val="24"/>
          <w:highlight w:val="none"/>
          <w:lang w:val="en-US" w:eastAsia="zh-CN" w:bidi="ar-SA"/>
        </w:rPr>
        <w:br w:type="page"/>
      </w:r>
    </w:p>
    <w:p>
      <w:pPr>
        <w:pStyle w:val="5"/>
        <w:spacing w:before="666" w:after="666"/>
        <w:rPr>
          <w:highlight w:val="none"/>
        </w:rPr>
      </w:pPr>
      <w:bookmarkStart w:id="240" w:name="_Toc5833"/>
      <w:bookmarkStart w:id="241" w:name="_Toc225409966"/>
      <w:bookmarkStart w:id="242" w:name="_Toc225567482"/>
      <w:bookmarkStart w:id="243" w:name="_Toc225412374"/>
      <w:bookmarkStart w:id="244" w:name="_Toc15882"/>
      <w:bookmarkStart w:id="245" w:name="_Toc341541376"/>
      <w:bookmarkStart w:id="246" w:name="_Toc8175"/>
      <w:bookmarkStart w:id="247" w:name="_Toc225410182"/>
      <w:bookmarkStart w:id="248" w:name="_Toc16685"/>
      <w:bookmarkStart w:id="249" w:name="_Toc396304715"/>
      <w:bookmarkStart w:id="250" w:name="_Toc14010"/>
      <w:bookmarkStart w:id="251" w:name="_Toc225416062"/>
      <w:bookmarkStart w:id="252" w:name="_Toc225566883"/>
      <w:bookmarkStart w:id="253" w:name="_Toc225415660"/>
      <w:bookmarkStart w:id="254" w:name="_Toc403077653"/>
      <w:bookmarkStart w:id="255" w:name="_Toc426457711"/>
      <w:bookmarkStart w:id="256" w:name="_Toc6668"/>
      <w:bookmarkStart w:id="257" w:name="_Toc5691"/>
      <w:bookmarkStart w:id="258" w:name="_Toc4548"/>
      <w:bookmarkStart w:id="259" w:name="_Toc225412172"/>
      <w:bookmarkStart w:id="260" w:name="_Toc225410808"/>
      <w:bookmarkStart w:id="261" w:name="_Toc26060"/>
      <w:bookmarkStart w:id="262" w:name="_Toc225415861"/>
      <w:bookmarkStart w:id="263" w:name="_Toc225566702"/>
      <w:r>
        <w:rPr>
          <w:rFonts w:hint="eastAsia"/>
          <w:highlight w:val="none"/>
        </w:rPr>
        <w:t>（二） 本项目拟投入主要人员简历表</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32"/>
        <w:spacing w:line="360" w:lineRule="auto"/>
        <w:ind w:firstLine="0" w:firstLineChars="0"/>
        <w:jc w:val="center"/>
        <w:outlineLvl w:val="9"/>
        <w:rPr>
          <w:rFonts w:hAnsi="宋体"/>
          <w:color w:val="auto"/>
          <w:szCs w:val="24"/>
          <w:highlight w:val="none"/>
        </w:rPr>
      </w:pPr>
      <w:bookmarkStart w:id="264" w:name="_Toc26268"/>
      <w:bookmarkStart w:id="265" w:name="_Toc23862"/>
      <w:bookmarkStart w:id="266" w:name="_Toc21195"/>
      <w:bookmarkStart w:id="267" w:name="_Toc23655"/>
      <w:bookmarkStart w:id="268" w:name="_Toc1696"/>
      <w:bookmarkStart w:id="269" w:name="_Toc396304716"/>
      <w:bookmarkStart w:id="270" w:name="_Toc30540"/>
      <w:bookmarkStart w:id="271" w:name="_Toc12576"/>
      <w:bookmarkStart w:id="272" w:name="_Toc4640"/>
      <w:bookmarkStart w:id="273" w:name="_Toc13947"/>
      <w:bookmarkStart w:id="274" w:name="_Toc403077654"/>
      <w:bookmarkStart w:id="275" w:name="_Toc426457712"/>
      <w:r>
        <w:rPr>
          <w:rFonts w:hint="eastAsia" w:hAnsi="宋体"/>
          <w:color w:val="auto"/>
          <w:szCs w:val="24"/>
          <w:highlight w:val="none"/>
        </w:rPr>
        <w:t>本项目拟投入主要人员简历表</w:t>
      </w:r>
      <w:bookmarkEnd w:id="264"/>
      <w:bookmarkEnd w:id="265"/>
      <w:bookmarkEnd w:id="266"/>
      <w:bookmarkEnd w:id="267"/>
      <w:bookmarkEnd w:id="268"/>
      <w:bookmarkEnd w:id="269"/>
      <w:bookmarkEnd w:id="270"/>
      <w:bookmarkEnd w:id="271"/>
      <w:bookmarkEnd w:id="272"/>
      <w:bookmarkEnd w:id="273"/>
      <w:bookmarkEnd w:id="274"/>
      <w:bookmarkEnd w:id="275"/>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29"/>
              <w:rPr>
                <w:highlight w:val="none"/>
              </w:rPr>
            </w:pPr>
            <w:r>
              <w:rPr>
                <w:rFonts w:hint="eastAsia"/>
                <w:highlight w:val="none"/>
              </w:rPr>
              <w:t>姓  名</w:t>
            </w:r>
          </w:p>
        </w:tc>
        <w:tc>
          <w:tcPr>
            <w:tcW w:w="1577" w:type="dxa"/>
            <w:vAlign w:val="center"/>
          </w:tcPr>
          <w:p>
            <w:pPr>
              <w:pStyle w:val="29"/>
              <w:rPr>
                <w:highlight w:val="none"/>
              </w:rPr>
            </w:pPr>
          </w:p>
        </w:tc>
        <w:tc>
          <w:tcPr>
            <w:tcW w:w="1525" w:type="dxa"/>
            <w:vAlign w:val="center"/>
          </w:tcPr>
          <w:p>
            <w:pPr>
              <w:pStyle w:val="29"/>
              <w:rPr>
                <w:highlight w:val="none"/>
              </w:rPr>
            </w:pPr>
            <w:r>
              <w:rPr>
                <w:rFonts w:hint="eastAsia"/>
                <w:highlight w:val="none"/>
              </w:rPr>
              <w:t>性 别</w:t>
            </w:r>
          </w:p>
        </w:tc>
        <w:tc>
          <w:tcPr>
            <w:tcW w:w="1331" w:type="dxa"/>
            <w:gridSpan w:val="2"/>
            <w:vAlign w:val="center"/>
          </w:tcPr>
          <w:p>
            <w:pPr>
              <w:pStyle w:val="29"/>
              <w:rPr>
                <w:highlight w:val="none"/>
              </w:rPr>
            </w:pPr>
          </w:p>
        </w:tc>
        <w:tc>
          <w:tcPr>
            <w:tcW w:w="1709" w:type="dxa"/>
            <w:vAlign w:val="center"/>
          </w:tcPr>
          <w:p>
            <w:pPr>
              <w:pStyle w:val="29"/>
              <w:rPr>
                <w:highlight w:val="none"/>
              </w:rPr>
            </w:pPr>
            <w:r>
              <w:rPr>
                <w:rFonts w:hint="eastAsia"/>
                <w:highlight w:val="none"/>
              </w:rPr>
              <w:t>年 龄</w:t>
            </w:r>
          </w:p>
        </w:tc>
        <w:tc>
          <w:tcPr>
            <w:tcW w:w="1139" w:type="dxa"/>
            <w:gridSpan w:val="2"/>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29"/>
              <w:rPr>
                <w:highlight w:val="none"/>
              </w:rPr>
            </w:pPr>
            <w:r>
              <w:rPr>
                <w:rFonts w:hint="eastAsia"/>
                <w:highlight w:val="none"/>
              </w:rPr>
              <w:t>职  称</w:t>
            </w:r>
          </w:p>
        </w:tc>
        <w:tc>
          <w:tcPr>
            <w:tcW w:w="1577" w:type="dxa"/>
            <w:vAlign w:val="center"/>
          </w:tcPr>
          <w:p>
            <w:pPr>
              <w:pStyle w:val="29"/>
              <w:rPr>
                <w:highlight w:val="none"/>
              </w:rPr>
            </w:pPr>
          </w:p>
        </w:tc>
        <w:tc>
          <w:tcPr>
            <w:tcW w:w="1525" w:type="dxa"/>
            <w:vAlign w:val="center"/>
          </w:tcPr>
          <w:p>
            <w:pPr>
              <w:pStyle w:val="29"/>
              <w:rPr>
                <w:highlight w:val="none"/>
              </w:rPr>
            </w:pPr>
            <w:r>
              <w:rPr>
                <w:rFonts w:hint="eastAsia"/>
                <w:highlight w:val="none"/>
              </w:rPr>
              <w:t>身份证号</w:t>
            </w:r>
          </w:p>
        </w:tc>
        <w:tc>
          <w:tcPr>
            <w:tcW w:w="1331" w:type="dxa"/>
            <w:gridSpan w:val="2"/>
            <w:vAlign w:val="center"/>
          </w:tcPr>
          <w:p>
            <w:pPr>
              <w:pStyle w:val="29"/>
              <w:rPr>
                <w:highlight w:val="none"/>
              </w:rPr>
            </w:pPr>
          </w:p>
        </w:tc>
        <w:tc>
          <w:tcPr>
            <w:tcW w:w="1709" w:type="dxa"/>
            <w:vAlign w:val="center"/>
          </w:tcPr>
          <w:p>
            <w:pPr>
              <w:pStyle w:val="29"/>
              <w:rPr>
                <w:highlight w:val="none"/>
              </w:rPr>
            </w:pPr>
            <w:r>
              <w:rPr>
                <w:rFonts w:hint="eastAsia"/>
                <w:highlight w:val="none"/>
              </w:rPr>
              <w:t>专业/年限</w:t>
            </w:r>
          </w:p>
        </w:tc>
        <w:tc>
          <w:tcPr>
            <w:tcW w:w="1139" w:type="dxa"/>
            <w:gridSpan w:val="2"/>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29"/>
              <w:rPr>
                <w:highlight w:val="none"/>
              </w:rPr>
            </w:pPr>
            <w:r>
              <w:rPr>
                <w:rFonts w:hint="eastAsia"/>
                <w:highlight w:val="none"/>
              </w:rPr>
              <w:t>毕业时间</w:t>
            </w:r>
          </w:p>
        </w:tc>
        <w:tc>
          <w:tcPr>
            <w:tcW w:w="1577" w:type="dxa"/>
            <w:vAlign w:val="center"/>
          </w:tcPr>
          <w:p>
            <w:pPr>
              <w:pStyle w:val="29"/>
              <w:rPr>
                <w:highlight w:val="none"/>
              </w:rPr>
            </w:pPr>
          </w:p>
        </w:tc>
        <w:tc>
          <w:tcPr>
            <w:tcW w:w="1525" w:type="dxa"/>
            <w:vAlign w:val="center"/>
          </w:tcPr>
          <w:p>
            <w:pPr>
              <w:pStyle w:val="29"/>
              <w:rPr>
                <w:highlight w:val="none"/>
              </w:rPr>
            </w:pPr>
            <w:r>
              <w:rPr>
                <w:rFonts w:hint="eastAsia"/>
                <w:highlight w:val="none"/>
              </w:rPr>
              <w:t>毕业学校</w:t>
            </w:r>
          </w:p>
        </w:tc>
        <w:tc>
          <w:tcPr>
            <w:tcW w:w="1331" w:type="dxa"/>
            <w:gridSpan w:val="2"/>
            <w:vAlign w:val="center"/>
          </w:tcPr>
          <w:p>
            <w:pPr>
              <w:pStyle w:val="29"/>
              <w:rPr>
                <w:highlight w:val="none"/>
              </w:rPr>
            </w:pPr>
          </w:p>
        </w:tc>
        <w:tc>
          <w:tcPr>
            <w:tcW w:w="1709" w:type="dxa"/>
            <w:vAlign w:val="center"/>
          </w:tcPr>
          <w:p>
            <w:pPr>
              <w:pStyle w:val="29"/>
              <w:rPr>
                <w:highlight w:val="none"/>
              </w:rPr>
            </w:pPr>
            <w:r>
              <w:rPr>
                <w:rFonts w:hint="eastAsia"/>
                <w:highlight w:val="none"/>
              </w:rPr>
              <w:t>学历/专业</w:t>
            </w:r>
          </w:p>
        </w:tc>
        <w:tc>
          <w:tcPr>
            <w:tcW w:w="1139" w:type="dxa"/>
            <w:gridSpan w:val="2"/>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29"/>
              <w:rPr>
                <w:highlight w:val="none"/>
              </w:rPr>
            </w:pPr>
            <w:r>
              <w:rPr>
                <w:rFonts w:hint="eastAsia"/>
                <w:highlight w:val="none"/>
              </w:rPr>
              <w:t>资格证书</w:t>
            </w:r>
          </w:p>
        </w:tc>
        <w:tc>
          <w:tcPr>
            <w:tcW w:w="1577" w:type="dxa"/>
            <w:vAlign w:val="center"/>
          </w:tcPr>
          <w:p>
            <w:pPr>
              <w:pStyle w:val="29"/>
              <w:rPr>
                <w:highlight w:val="none"/>
              </w:rPr>
            </w:pPr>
          </w:p>
        </w:tc>
        <w:tc>
          <w:tcPr>
            <w:tcW w:w="1525" w:type="dxa"/>
            <w:vAlign w:val="center"/>
          </w:tcPr>
          <w:p>
            <w:pPr>
              <w:pStyle w:val="29"/>
              <w:rPr>
                <w:highlight w:val="none"/>
              </w:rPr>
            </w:pPr>
            <w:r>
              <w:rPr>
                <w:rFonts w:hint="eastAsia"/>
                <w:highlight w:val="none"/>
              </w:rPr>
              <w:t>注册时间</w:t>
            </w:r>
          </w:p>
        </w:tc>
        <w:tc>
          <w:tcPr>
            <w:tcW w:w="1331" w:type="dxa"/>
            <w:gridSpan w:val="2"/>
            <w:vAlign w:val="center"/>
          </w:tcPr>
          <w:p>
            <w:pPr>
              <w:pStyle w:val="29"/>
              <w:rPr>
                <w:highlight w:val="none"/>
              </w:rPr>
            </w:pPr>
          </w:p>
        </w:tc>
        <w:tc>
          <w:tcPr>
            <w:tcW w:w="1709" w:type="dxa"/>
            <w:vAlign w:val="center"/>
          </w:tcPr>
          <w:p>
            <w:pPr>
              <w:pStyle w:val="29"/>
              <w:rPr>
                <w:highlight w:val="none"/>
              </w:rPr>
            </w:pPr>
            <w:r>
              <w:rPr>
                <w:rFonts w:hint="eastAsia"/>
                <w:highlight w:val="none"/>
              </w:rPr>
              <w:t>从业时间</w:t>
            </w:r>
          </w:p>
        </w:tc>
        <w:tc>
          <w:tcPr>
            <w:tcW w:w="1139" w:type="dxa"/>
            <w:gridSpan w:val="2"/>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29"/>
              <w:rPr>
                <w:highlight w:val="none"/>
              </w:rPr>
            </w:pPr>
            <w:r>
              <w:rPr>
                <w:rFonts w:hint="eastAsia"/>
                <w:highlight w:val="none"/>
              </w:rPr>
              <w:t>是否属投标人固定雇员</w:t>
            </w:r>
          </w:p>
        </w:tc>
        <w:tc>
          <w:tcPr>
            <w:tcW w:w="1525" w:type="dxa"/>
            <w:vAlign w:val="center"/>
          </w:tcPr>
          <w:p>
            <w:pPr>
              <w:pStyle w:val="29"/>
              <w:rPr>
                <w:highlight w:val="none"/>
              </w:rPr>
            </w:pPr>
          </w:p>
        </w:tc>
        <w:tc>
          <w:tcPr>
            <w:tcW w:w="3040" w:type="dxa"/>
            <w:gridSpan w:val="3"/>
            <w:vAlign w:val="center"/>
          </w:tcPr>
          <w:p>
            <w:pPr>
              <w:pStyle w:val="29"/>
              <w:rPr>
                <w:highlight w:val="none"/>
              </w:rPr>
            </w:pPr>
            <w:r>
              <w:rPr>
                <w:rFonts w:hint="eastAsia"/>
                <w:highlight w:val="none"/>
              </w:rPr>
              <w:t>为投标人服务时间</w:t>
            </w:r>
          </w:p>
        </w:tc>
        <w:tc>
          <w:tcPr>
            <w:tcW w:w="1139" w:type="dxa"/>
            <w:gridSpan w:val="2"/>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29"/>
              <w:rPr>
                <w:highlight w:val="none"/>
              </w:rPr>
            </w:pPr>
            <w:r>
              <w:rPr>
                <w:rFonts w:hint="eastAsia"/>
                <w:highlight w:val="none"/>
              </w:rPr>
              <w:t>拟在本项目担任职务</w:t>
            </w:r>
          </w:p>
        </w:tc>
        <w:tc>
          <w:tcPr>
            <w:tcW w:w="5704" w:type="dxa"/>
            <w:gridSpan w:val="6"/>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vAlign w:val="center"/>
          </w:tcPr>
          <w:p>
            <w:pPr>
              <w:pStyle w:val="29"/>
              <w:rPr>
                <w:highlight w:val="none"/>
              </w:rPr>
            </w:pPr>
            <w:r>
              <w:rPr>
                <w:rFonts w:hint="eastAsia"/>
                <w:highlight w:val="none"/>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tcPr>
          <w:p>
            <w:pPr>
              <w:pStyle w:val="29"/>
              <w:rPr>
                <w:highlight w:val="none"/>
              </w:rPr>
            </w:pPr>
            <w:r>
              <w:rPr>
                <w:rFonts w:hint="eastAsia"/>
                <w:highlight w:val="none"/>
              </w:rPr>
              <w:t>（教育背景从大学开始，包括毕业院校名称、专业、起始时间。培训填写与专业技术、业务有关的内容）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29"/>
              <w:rPr>
                <w:highlight w:val="none"/>
              </w:rPr>
            </w:pPr>
            <w:r>
              <w:rPr>
                <w:rFonts w:hint="eastAsia"/>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29"/>
              <w:rPr>
                <w:highlight w:val="none"/>
              </w:rPr>
            </w:pPr>
            <w:r>
              <w:rPr>
                <w:rFonts w:hint="eastAsia"/>
                <w:highlight w:val="none"/>
              </w:rPr>
              <w:t>时  间</w:t>
            </w:r>
          </w:p>
        </w:tc>
        <w:tc>
          <w:tcPr>
            <w:tcW w:w="3374" w:type="dxa"/>
            <w:gridSpan w:val="3"/>
            <w:vAlign w:val="center"/>
          </w:tcPr>
          <w:p>
            <w:pPr>
              <w:pStyle w:val="29"/>
              <w:rPr>
                <w:highlight w:val="none"/>
              </w:rPr>
            </w:pPr>
            <w:r>
              <w:rPr>
                <w:rFonts w:hint="eastAsia"/>
                <w:highlight w:val="none"/>
              </w:rPr>
              <w:t>参加过的项目名称</w:t>
            </w:r>
          </w:p>
          <w:p>
            <w:pPr>
              <w:pStyle w:val="29"/>
              <w:rPr>
                <w:highlight w:val="none"/>
              </w:rPr>
            </w:pPr>
            <w:r>
              <w:rPr>
                <w:rFonts w:hint="eastAsia"/>
                <w:highlight w:val="none"/>
              </w:rPr>
              <w:t>及当时所在单位</w:t>
            </w:r>
          </w:p>
        </w:tc>
        <w:tc>
          <w:tcPr>
            <w:tcW w:w="1286" w:type="dxa"/>
            <w:vAlign w:val="center"/>
          </w:tcPr>
          <w:p>
            <w:pPr>
              <w:pStyle w:val="29"/>
              <w:rPr>
                <w:highlight w:val="none"/>
              </w:rPr>
            </w:pPr>
            <w:r>
              <w:rPr>
                <w:rFonts w:hint="eastAsia"/>
                <w:highlight w:val="none"/>
              </w:rPr>
              <w:t>担任何职</w:t>
            </w:r>
          </w:p>
        </w:tc>
        <w:tc>
          <w:tcPr>
            <w:tcW w:w="1761" w:type="dxa"/>
            <w:gridSpan w:val="3"/>
            <w:vAlign w:val="center"/>
          </w:tcPr>
          <w:p>
            <w:pPr>
              <w:pStyle w:val="29"/>
              <w:rPr>
                <w:highlight w:val="none"/>
              </w:rPr>
            </w:pPr>
            <w:r>
              <w:rPr>
                <w:rFonts w:hint="eastAsia"/>
                <w:highlight w:val="none"/>
              </w:rPr>
              <w:t>主要工作内容</w:t>
            </w:r>
          </w:p>
        </w:tc>
        <w:tc>
          <w:tcPr>
            <w:tcW w:w="1132" w:type="dxa"/>
            <w:vAlign w:val="center"/>
          </w:tcPr>
          <w:p>
            <w:pPr>
              <w:pStyle w:val="29"/>
              <w:rPr>
                <w:highlight w:val="none"/>
              </w:rPr>
            </w:pPr>
            <w:r>
              <w:rPr>
                <w:rFonts w:hint="eastAsia"/>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29"/>
              <w:rPr>
                <w:highlight w:val="none"/>
              </w:rPr>
            </w:pPr>
          </w:p>
        </w:tc>
        <w:tc>
          <w:tcPr>
            <w:tcW w:w="3374" w:type="dxa"/>
            <w:gridSpan w:val="3"/>
            <w:vAlign w:val="center"/>
          </w:tcPr>
          <w:p>
            <w:pPr>
              <w:pStyle w:val="29"/>
              <w:rPr>
                <w:highlight w:val="none"/>
              </w:rPr>
            </w:pPr>
          </w:p>
        </w:tc>
        <w:tc>
          <w:tcPr>
            <w:tcW w:w="1286" w:type="dxa"/>
            <w:vAlign w:val="center"/>
          </w:tcPr>
          <w:p>
            <w:pPr>
              <w:pStyle w:val="29"/>
              <w:rPr>
                <w:highlight w:val="none"/>
              </w:rPr>
            </w:pPr>
          </w:p>
        </w:tc>
        <w:tc>
          <w:tcPr>
            <w:tcW w:w="1761" w:type="dxa"/>
            <w:gridSpan w:val="3"/>
            <w:vAlign w:val="center"/>
          </w:tcPr>
          <w:p>
            <w:pPr>
              <w:pStyle w:val="29"/>
              <w:rPr>
                <w:highlight w:val="none"/>
              </w:rPr>
            </w:pPr>
          </w:p>
        </w:tc>
        <w:tc>
          <w:tcPr>
            <w:tcW w:w="1132"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29"/>
              <w:rPr>
                <w:highlight w:val="none"/>
              </w:rPr>
            </w:pPr>
          </w:p>
        </w:tc>
        <w:tc>
          <w:tcPr>
            <w:tcW w:w="3374" w:type="dxa"/>
            <w:gridSpan w:val="3"/>
            <w:vAlign w:val="center"/>
          </w:tcPr>
          <w:p>
            <w:pPr>
              <w:pStyle w:val="29"/>
              <w:rPr>
                <w:highlight w:val="none"/>
              </w:rPr>
            </w:pPr>
          </w:p>
        </w:tc>
        <w:tc>
          <w:tcPr>
            <w:tcW w:w="1286" w:type="dxa"/>
            <w:vAlign w:val="center"/>
          </w:tcPr>
          <w:p>
            <w:pPr>
              <w:pStyle w:val="29"/>
              <w:rPr>
                <w:highlight w:val="none"/>
              </w:rPr>
            </w:pPr>
          </w:p>
        </w:tc>
        <w:tc>
          <w:tcPr>
            <w:tcW w:w="1761" w:type="dxa"/>
            <w:gridSpan w:val="3"/>
            <w:vAlign w:val="center"/>
          </w:tcPr>
          <w:p>
            <w:pPr>
              <w:pStyle w:val="29"/>
              <w:rPr>
                <w:highlight w:val="none"/>
              </w:rPr>
            </w:pPr>
          </w:p>
        </w:tc>
        <w:tc>
          <w:tcPr>
            <w:tcW w:w="1132"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29"/>
              <w:rPr>
                <w:highlight w:val="none"/>
              </w:rPr>
            </w:pPr>
          </w:p>
        </w:tc>
        <w:tc>
          <w:tcPr>
            <w:tcW w:w="3374" w:type="dxa"/>
            <w:gridSpan w:val="3"/>
            <w:vAlign w:val="center"/>
          </w:tcPr>
          <w:p>
            <w:pPr>
              <w:pStyle w:val="29"/>
              <w:rPr>
                <w:highlight w:val="none"/>
              </w:rPr>
            </w:pPr>
          </w:p>
        </w:tc>
        <w:tc>
          <w:tcPr>
            <w:tcW w:w="1286" w:type="dxa"/>
            <w:vAlign w:val="center"/>
          </w:tcPr>
          <w:p>
            <w:pPr>
              <w:pStyle w:val="29"/>
              <w:rPr>
                <w:highlight w:val="none"/>
              </w:rPr>
            </w:pPr>
          </w:p>
        </w:tc>
        <w:tc>
          <w:tcPr>
            <w:tcW w:w="1761" w:type="dxa"/>
            <w:gridSpan w:val="3"/>
            <w:vAlign w:val="center"/>
          </w:tcPr>
          <w:p>
            <w:pPr>
              <w:pStyle w:val="29"/>
              <w:rPr>
                <w:highlight w:val="none"/>
              </w:rPr>
            </w:pPr>
          </w:p>
        </w:tc>
        <w:tc>
          <w:tcPr>
            <w:tcW w:w="1132"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29"/>
              <w:rPr>
                <w:highlight w:val="none"/>
              </w:rPr>
            </w:pPr>
          </w:p>
        </w:tc>
        <w:tc>
          <w:tcPr>
            <w:tcW w:w="3374" w:type="dxa"/>
            <w:gridSpan w:val="3"/>
            <w:vAlign w:val="center"/>
          </w:tcPr>
          <w:p>
            <w:pPr>
              <w:pStyle w:val="29"/>
              <w:rPr>
                <w:highlight w:val="none"/>
              </w:rPr>
            </w:pPr>
          </w:p>
        </w:tc>
        <w:tc>
          <w:tcPr>
            <w:tcW w:w="1286" w:type="dxa"/>
            <w:vAlign w:val="center"/>
          </w:tcPr>
          <w:p>
            <w:pPr>
              <w:pStyle w:val="29"/>
              <w:rPr>
                <w:highlight w:val="none"/>
              </w:rPr>
            </w:pPr>
          </w:p>
        </w:tc>
        <w:tc>
          <w:tcPr>
            <w:tcW w:w="1761" w:type="dxa"/>
            <w:gridSpan w:val="3"/>
            <w:vAlign w:val="center"/>
          </w:tcPr>
          <w:p>
            <w:pPr>
              <w:pStyle w:val="29"/>
              <w:rPr>
                <w:highlight w:val="none"/>
              </w:rPr>
            </w:pPr>
          </w:p>
        </w:tc>
        <w:tc>
          <w:tcPr>
            <w:tcW w:w="1132"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29"/>
              <w:rPr>
                <w:highlight w:val="none"/>
              </w:rPr>
            </w:pPr>
          </w:p>
        </w:tc>
        <w:tc>
          <w:tcPr>
            <w:tcW w:w="3374" w:type="dxa"/>
            <w:gridSpan w:val="3"/>
            <w:vAlign w:val="center"/>
          </w:tcPr>
          <w:p>
            <w:pPr>
              <w:pStyle w:val="29"/>
              <w:rPr>
                <w:highlight w:val="none"/>
              </w:rPr>
            </w:pPr>
          </w:p>
        </w:tc>
        <w:tc>
          <w:tcPr>
            <w:tcW w:w="1286" w:type="dxa"/>
            <w:vAlign w:val="center"/>
          </w:tcPr>
          <w:p>
            <w:pPr>
              <w:pStyle w:val="29"/>
              <w:rPr>
                <w:highlight w:val="none"/>
              </w:rPr>
            </w:pPr>
          </w:p>
        </w:tc>
        <w:tc>
          <w:tcPr>
            <w:tcW w:w="1761" w:type="dxa"/>
            <w:gridSpan w:val="3"/>
            <w:vAlign w:val="center"/>
          </w:tcPr>
          <w:p>
            <w:pPr>
              <w:pStyle w:val="29"/>
              <w:rPr>
                <w:highlight w:val="none"/>
              </w:rPr>
            </w:pPr>
          </w:p>
        </w:tc>
        <w:tc>
          <w:tcPr>
            <w:tcW w:w="1132" w:type="dxa"/>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29"/>
              <w:rPr>
                <w:highlight w:val="none"/>
              </w:rPr>
            </w:pPr>
          </w:p>
        </w:tc>
        <w:tc>
          <w:tcPr>
            <w:tcW w:w="3374" w:type="dxa"/>
            <w:gridSpan w:val="3"/>
            <w:vAlign w:val="center"/>
          </w:tcPr>
          <w:p>
            <w:pPr>
              <w:pStyle w:val="29"/>
              <w:rPr>
                <w:highlight w:val="none"/>
              </w:rPr>
            </w:pPr>
          </w:p>
        </w:tc>
        <w:tc>
          <w:tcPr>
            <w:tcW w:w="1286" w:type="dxa"/>
            <w:vAlign w:val="center"/>
          </w:tcPr>
          <w:p>
            <w:pPr>
              <w:pStyle w:val="29"/>
              <w:rPr>
                <w:highlight w:val="none"/>
              </w:rPr>
            </w:pPr>
          </w:p>
        </w:tc>
        <w:tc>
          <w:tcPr>
            <w:tcW w:w="1761" w:type="dxa"/>
            <w:gridSpan w:val="3"/>
            <w:vAlign w:val="center"/>
          </w:tcPr>
          <w:p>
            <w:pPr>
              <w:pStyle w:val="29"/>
              <w:rPr>
                <w:highlight w:val="none"/>
              </w:rPr>
            </w:pPr>
          </w:p>
        </w:tc>
        <w:tc>
          <w:tcPr>
            <w:tcW w:w="1132" w:type="dxa"/>
            <w:vAlign w:val="center"/>
          </w:tcPr>
          <w:p>
            <w:pPr>
              <w:pStyle w:val="29"/>
              <w:rPr>
                <w:highlight w:val="none"/>
              </w:rPr>
            </w:pPr>
          </w:p>
        </w:tc>
      </w:tr>
    </w:tbl>
    <w:p>
      <w:pPr>
        <w:pStyle w:val="9"/>
        <w:ind w:firstLine="480"/>
        <w:rPr>
          <w:highlight w:val="none"/>
        </w:rPr>
      </w:pPr>
      <w:bookmarkStart w:id="276" w:name="_Toc363474032"/>
      <w:bookmarkStart w:id="277" w:name="_Toc2621"/>
      <w:bookmarkStart w:id="278" w:name="_Toc9218"/>
      <w:bookmarkStart w:id="279" w:name="_Toc426457713"/>
      <w:bookmarkStart w:id="280" w:name="_Toc21284"/>
      <w:bookmarkStart w:id="281" w:name="_Toc1379"/>
      <w:bookmarkStart w:id="282" w:name="_Toc403077655"/>
      <w:bookmarkStart w:id="283" w:name="_Toc23455"/>
      <w:bookmarkStart w:id="284" w:name="_Toc3362"/>
    </w:p>
    <w:p>
      <w:pPr>
        <w:pStyle w:val="9"/>
        <w:ind w:firstLine="0" w:firstLineChars="0"/>
        <w:rPr>
          <w:b/>
          <w:bCs/>
          <w:highlight w:val="none"/>
        </w:rPr>
      </w:pPr>
      <w:r>
        <w:rPr>
          <w:rFonts w:hint="eastAsia"/>
          <w:b/>
          <w:bCs/>
          <w:highlight w:val="none"/>
        </w:rPr>
        <w:t>注：</w:t>
      </w:r>
    </w:p>
    <w:p>
      <w:pPr>
        <w:pStyle w:val="9"/>
        <w:ind w:firstLine="480"/>
        <w:rPr>
          <w:highlight w:val="none"/>
        </w:rPr>
      </w:pPr>
      <w:r>
        <w:rPr>
          <w:rFonts w:hint="eastAsia"/>
          <w:highlight w:val="none"/>
        </w:rPr>
        <w:t>1.表后附身份证、毕业证、职称证、执业资格证、获奖证书（如果有）复印件。</w:t>
      </w:r>
    </w:p>
    <w:p>
      <w:pPr>
        <w:pStyle w:val="9"/>
        <w:ind w:firstLine="480"/>
        <w:rPr>
          <w:highlight w:val="none"/>
        </w:rPr>
      </w:pPr>
      <w:r>
        <w:rPr>
          <w:rFonts w:hint="eastAsia"/>
          <w:highlight w:val="none"/>
        </w:rPr>
        <w:t>2.获奖情况包括项目、集体或个人获奖情况，如有，应附复印件或者扫描件。</w:t>
      </w:r>
    </w:p>
    <w:p>
      <w:pPr>
        <w:pStyle w:val="6"/>
        <w:rPr>
          <w:szCs w:val="24"/>
          <w:highlight w:val="none"/>
        </w:rPr>
      </w:pPr>
      <w:r>
        <w:rPr>
          <w:rFonts w:hint="eastAsia"/>
          <w:sz w:val="32"/>
          <w:szCs w:val="32"/>
          <w:highlight w:val="none"/>
        </w:rPr>
        <w:br w:type="page"/>
      </w:r>
      <w:r>
        <w:rPr>
          <w:rFonts w:hint="eastAsia"/>
          <w:szCs w:val="24"/>
          <w:highlight w:val="none"/>
        </w:rPr>
        <w:t>附表3 类似业绩一览表</w:t>
      </w:r>
    </w:p>
    <w:p>
      <w:pPr>
        <w:rPr>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3663"/>
        <w:gridCol w:w="2241"/>
        <w:gridCol w:w="2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7"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序号</w:t>
            </w: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项目名称</w:t>
            </w: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合同金额</w:t>
            </w: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exact"/>
          <w:jc w:val="center"/>
        </w:trPr>
        <w:tc>
          <w:tcPr>
            <w:tcW w:w="837"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366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241"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bl>
    <w:p>
      <w:pPr>
        <w:rPr>
          <w:rFonts w:hAnsi="宋体" w:cs="宋体"/>
          <w:kern w:val="2"/>
          <w:szCs w:val="24"/>
          <w:highlight w:val="none"/>
        </w:rPr>
      </w:pPr>
    </w:p>
    <w:p>
      <w:pPr>
        <w:pStyle w:val="9"/>
        <w:ind w:firstLine="480"/>
        <w:rPr>
          <w:b/>
          <w:bCs/>
          <w:highlight w:val="none"/>
        </w:rPr>
      </w:pPr>
      <w:r>
        <w:rPr>
          <w:rFonts w:hint="eastAsia"/>
          <w:b/>
          <w:bCs/>
          <w:highlight w:val="none"/>
        </w:rPr>
        <w:t>注：须附相关合同证明资料复印件</w:t>
      </w:r>
      <w:r>
        <w:rPr>
          <w:rFonts w:hint="eastAsia"/>
          <w:b/>
          <w:bCs/>
          <w:highlight w:val="none"/>
          <w:lang w:val="en-US" w:eastAsia="zh-CN"/>
        </w:rPr>
        <w:t>加盖公章</w:t>
      </w:r>
      <w:r>
        <w:rPr>
          <w:rFonts w:hint="eastAsia"/>
          <w:b/>
          <w:bCs/>
          <w:highlight w:val="none"/>
        </w:rPr>
        <w:t>。</w:t>
      </w:r>
    </w:p>
    <w:p>
      <w:pPr>
        <w:pStyle w:val="4"/>
        <w:rPr>
          <w:rStyle w:val="30"/>
          <w:b/>
          <w:bCs/>
          <w:highlight w:val="none"/>
        </w:rPr>
      </w:pPr>
      <w:r>
        <w:rPr>
          <w:rFonts w:hint="eastAsia"/>
          <w:sz w:val="32"/>
          <w:highlight w:val="none"/>
        </w:rPr>
        <w:br w:type="page"/>
      </w:r>
      <w:bookmarkStart w:id="285" w:name="_Toc10895"/>
      <w:bookmarkStart w:id="286" w:name="_Toc3923"/>
      <w:r>
        <w:rPr>
          <w:rStyle w:val="30"/>
          <w:rFonts w:hint="eastAsia"/>
          <w:b/>
          <w:bCs/>
          <w:highlight w:val="none"/>
          <w:lang w:eastAsia="zh-CN"/>
        </w:rPr>
        <w:t>五</w:t>
      </w:r>
      <w:r>
        <w:rPr>
          <w:rStyle w:val="30"/>
          <w:rFonts w:hint="eastAsia"/>
          <w:b/>
          <w:bCs/>
          <w:highlight w:val="none"/>
        </w:rPr>
        <w:t>、</w:t>
      </w:r>
      <w:bookmarkEnd w:id="276"/>
      <w:bookmarkEnd w:id="277"/>
      <w:bookmarkEnd w:id="278"/>
      <w:bookmarkEnd w:id="279"/>
      <w:bookmarkEnd w:id="280"/>
      <w:bookmarkEnd w:id="281"/>
      <w:bookmarkEnd w:id="282"/>
      <w:bookmarkEnd w:id="283"/>
      <w:r>
        <w:rPr>
          <w:rStyle w:val="30"/>
          <w:rFonts w:hint="eastAsia"/>
          <w:b/>
          <w:bCs/>
          <w:highlight w:val="none"/>
        </w:rPr>
        <w:t>商务条款偏离表</w:t>
      </w:r>
      <w:bookmarkEnd w:id="284"/>
      <w:bookmarkEnd w:id="285"/>
      <w:bookmarkEnd w:id="286"/>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r>
              <w:rPr>
                <w:rFonts w:hint="eastAsia"/>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29"/>
              <w:rPr>
                <w:highlight w:val="none"/>
              </w:rPr>
            </w:pPr>
          </w:p>
        </w:tc>
      </w:tr>
    </w:tbl>
    <w:p>
      <w:pPr>
        <w:tabs>
          <w:tab w:val="left" w:pos="7200"/>
          <w:tab w:val="left" w:pos="8504"/>
        </w:tabs>
        <w:spacing w:line="360" w:lineRule="auto"/>
        <w:ind w:right="-1"/>
        <w:rPr>
          <w:rFonts w:hAnsi="宋体" w:cs="宋体"/>
          <w:highlight w:val="none"/>
        </w:rPr>
      </w:pPr>
    </w:p>
    <w:p>
      <w:pPr>
        <w:spacing w:line="120" w:lineRule="exact"/>
        <w:rPr>
          <w:rFonts w:hAnsi="宋体" w:cs="宋体"/>
          <w:highlight w:val="none"/>
        </w:rPr>
      </w:pPr>
    </w:p>
    <w:p>
      <w:pPr>
        <w:pStyle w:val="9"/>
        <w:ind w:firstLine="0" w:firstLineChars="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p>
    <w:p>
      <w:pPr>
        <w:pStyle w:val="9"/>
        <w:ind w:firstLine="0" w:firstLineChars="0"/>
        <w:rPr>
          <w:highlight w:val="none"/>
        </w:rPr>
      </w:pPr>
    </w:p>
    <w:p>
      <w:pPr>
        <w:pStyle w:val="9"/>
        <w:ind w:firstLine="0" w:firstLineChars="0"/>
        <w:rPr>
          <w:highlight w:val="none"/>
        </w:rPr>
      </w:pPr>
      <w:r>
        <w:rPr>
          <w:rFonts w:hint="eastAsia"/>
          <w:highlight w:val="none"/>
        </w:rPr>
        <w:t>法定代表人或被授权人：</w:t>
      </w:r>
      <w:r>
        <w:rPr>
          <w:rFonts w:hint="eastAsia"/>
          <w:highlight w:val="none"/>
          <w:u w:val="single"/>
        </w:rPr>
        <w:t xml:space="preserve">         </w:t>
      </w:r>
      <w:r>
        <w:rPr>
          <w:rFonts w:hint="eastAsia"/>
          <w:highlight w:val="none"/>
        </w:rPr>
        <w:t>（签字或盖章）</w:t>
      </w:r>
    </w:p>
    <w:p>
      <w:pPr>
        <w:pStyle w:val="9"/>
        <w:ind w:firstLine="0" w:firstLineChars="0"/>
        <w:rPr>
          <w:highlight w:val="none"/>
        </w:rPr>
      </w:pPr>
    </w:p>
    <w:p>
      <w:pPr>
        <w:pStyle w:val="9"/>
        <w:ind w:firstLine="0" w:firstLineChars="0"/>
        <w:rPr>
          <w:highlight w:val="none"/>
        </w:rPr>
      </w:pP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2"/>
        <w:rPr>
          <w:rFonts w:hAnsi="宋体" w:cs="宋体"/>
          <w:szCs w:val="24"/>
          <w:highlight w:val="none"/>
        </w:rPr>
      </w:pPr>
    </w:p>
    <w:p>
      <w:pPr>
        <w:pStyle w:val="9"/>
        <w:ind w:firstLine="0" w:firstLineChars="0"/>
        <w:rPr>
          <w:highlight w:val="none"/>
        </w:rPr>
      </w:pPr>
      <w:r>
        <w:rPr>
          <w:rFonts w:hint="eastAsia"/>
          <w:b/>
          <w:bCs/>
          <w:highlight w:val="none"/>
        </w:rPr>
        <w:t>注：</w:t>
      </w:r>
    </w:p>
    <w:p>
      <w:pPr>
        <w:pStyle w:val="9"/>
        <w:ind w:firstLine="480"/>
        <w:rPr>
          <w:highlight w:val="none"/>
        </w:rPr>
      </w:pPr>
      <w:r>
        <w:rPr>
          <w:rFonts w:hint="eastAsia"/>
          <w:highlight w:val="none"/>
        </w:rPr>
        <w:t>1.本表只填写投标文件中与招标文件</w:t>
      </w:r>
      <w:r>
        <w:rPr>
          <w:rFonts w:hint="eastAsia"/>
          <w:b/>
          <w:bCs/>
          <w:highlight w:val="none"/>
          <w:lang w:eastAsia="zh-CN"/>
        </w:rPr>
        <w:t>第三章“商务及合同主要条款”</w:t>
      </w:r>
      <w:r>
        <w:rPr>
          <w:rFonts w:hint="eastAsia"/>
          <w:highlight w:val="none"/>
        </w:rPr>
        <w:t>有偏离（包括正偏离和负偏离）的内容，投标文件中商务响应与招标文件要求完全一致的，不用在此表中列出，但必须提交空白表。</w:t>
      </w:r>
    </w:p>
    <w:p>
      <w:pPr>
        <w:pStyle w:val="9"/>
        <w:ind w:firstLine="480"/>
        <w:rPr>
          <w:highlight w:val="none"/>
        </w:rPr>
      </w:pPr>
      <w:r>
        <w:rPr>
          <w:rFonts w:hint="eastAsia"/>
          <w:highlight w:val="none"/>
        </w:rPr>
        <w:t>2.凡是投标文件的商务响应与招标文件的要求之间存在负偏离（即不能满足招标文件要求）的或者正偏离（即优于招标文件要求），必须在投标文件的“商务条款偏离表”中予以明确响应（偏离填写：正偏离或负偏离）。</w:t>
      </w:r>
    </w:p>
    <w:p>
      <w:pPr>
        <w:pStyle w:val="9"/>
        <w:ind w:firstLine="480"/>
        <w:rPr>
          <w:highlight w:val="none"/>
        </w:rPr>
      </w:pPr>
      <w:r>
        <w:rPr>
          <w:rFonts w:hint="eastAsia"/>
          <w:highlight w:val="none"/>
        </w:rPr>
        <w:t>3.如果在投标文件的“商务条款偏离表”之外发现上述负偏离的，评标时评标委员会将作出对投标人不利的评估。</w:t>
      </w:r>
    </w:p>
    <w:p>
      <w:pPr>
        <w:pStyle w:val="9"/>
        <w:ind w:firstLine="480"/>
        <w:rPr>
          <w:highlight w:val="none"/>
        </w:rPr>
      </w:pPr>
      <w:r>
        <w:rPr>
          <w:rFonts w:hint="eastAsia"/>
          <w:highlight w:val="none"/>
        </w:rPr>
        <w:t>4.投标人必须据实填写，不得虚假响应，否则将取消其投标或中标资格，并按有关规定进处罚。</w:t>
      </w:r>
    </w:p>
    <w:p>
      <w:pPr>
        <w:rPr>
          <w:rStyle w:val="30"/>
          <w:highlight w:val="none"/>
        </w:rPr>
      </w:pPr>
      <w:bookmarkStart w:id="287" w:name="_Toc14939"/>
      <w:bookmarkStart w:id="288" w:name="_Toc24076"/>
      <w:bookmarkStart w:id="289" w:name="_Toc6432"/>
      <w:bookmarkStart w:id="290" w:name="_Toc363474033"/>
      <w:bookmarkStart w:id="291" w:name="_Toc10179"/>
      <w:bookmarkStart w:id="292" w:name="_Toc403077656"/>
      <w:bookmarkStart w:id="293" w:name="_Toc6862"/>
      <w:bookmarkStart w:id="294" w:name="_Toc426457714"/>
      <w:bookmarkStart w:id="295" w:name="_Toc8692"/>
      <w:bookmarkStart w:id="296" w:name="_Toc10058"/>
      <w:r>
        <w:rPr>
          <w:rStyle w:val="30"/>
          <w:rFonts w:hint="eastAsia"/>
          <w:highlight w:val="none"/>
        </w:rPr>
        <w:br w:type="page"/>
      </w:r>
    </w:p>
    <w:p>
      <w:pPr>
        <w:pStyle w:val="4"/>
        <w:rPr>
          <w:rStyle w:val="30"/>
          <w:b/>
          <w:bCs/>
          <w:highlight w:val="none"/>
          <w:lang w:val="zh-CN"/>
        </w:rPr>
      </w:pPr>
      <w:r>
        <w:rPr>
          <w:rStyle w:val="30"/>
          <w:rFonts w:hint="eastAsia"/>
          <w:b/>
          <w:bCs/>
          <w:highlight w:val="none"/>
          <w:lang w:eastAsia="zh-CN"/>
        </w:rPr>
        <w:t>六</w:t>
      </w:r>
      <w:r>
        <w:rPr>
          <w:rStyle w:val="30"/>
          <w:rFonts w:hint="eastAsia"/>
          <w:b/>
          <w:bCs/>
          <w:highlight w:val="none"/>
        </w:rPr>
        <w:t>、</w:t>
      </w:r>
      <w:r>
        <w:rPr>
          <w:rStyle w:val="30"/>
          <w:rFonts w:hint="eastAsia"/>
          <w:b/>
          <w:bCs/>
          <w:highlight w:val="none"/>
          <w:lang w:val="zh-CN"/>
        </w:rPr>
        <w:t>投标人承诺书</w:t>
      </w:r>
      <w:bookmarkEnd w:id="287"/>
      <w:bookmarkEnd w:id="288"/>
    </w:p>
    <w:p>
      <w:pPr>
        <w:pStyle w:val="5"/>
        <w:spacing w:before="666" w:after="666"/>
        <w:rPr>
          <w:highlight w:val="none"/>
        </w:rPr>
      </w:pPr>
      <w:r>
        <w:rPr>
          <w:rFonts w:hint="eastAsia"/>
          <w:highlight w:val="none"/>
        </w:rPr>
        <w:t>陕西省政府采购投标人拒绝政府采购领域商业贿赂承诺书</w:t>
      </w:r>
      <w:bookmarkEnd w:id="289"/>
      <w:bookmarkEnd w:id="290"/>
      <w:bookmarkEnd w:id="291"/>
      <w:bookmarkEnd w:id="292"/>
      <w:bookmarkEnd w:id="293"/>
      <w:bookmarkEnd w:id="294"/>
      <w:bookmarkEnd w:id="295"/>
      <w:bookmarkEnd w:id="296"/>
    </w:p>
    <w:p>
      <w:pPr>
        <w:pStyle w:val="9"/>
        <w:ind w:firstLine="480"/>
        <w:rPr>
          <w:highlight w:val="none"/>
        </w:rPr>
      </w:pPr>
      <w:r>
        <w:rPr>
          <w:rFonts w:hint="eastAsia"/>
          <w:highlight w:val="none"/>
        </w:rPr>
        <w:t>为响应党中央、国务院关于治理政府采购领域商业贿赂行为的号召，我公司在此庄严承诺：</w:t>
      </w:r>
    </w:p>
    <w:p>
      <w:pPr>
        <w:pStyle w:val="9"/>
        <w:ind w:firstLine="480"/>
        <w:rPr>
          <w:highlight w:val="none"/>
        </w:rPr>
      </w:pPr>
      <w:r>
        <w:rPr>
          <w:rFonts w:hint="eastAsia"/>
          <w:highlight w:val="none"/>
        </w:rPr>
        <w:t>1.在参与政府采购活动中遵纪守法、诚信经营、公平竞标。</w:t>
      </w:r>
    </w:p>
    <w:p>
      <w:pPr>
        <w:pStyle w:val="9"/>
        <w:ind w:firstLine="480"/>
        <w:rPr>
          <w:highlight w:val="none"/>
        </w:rPr>
      </w:pPr>
      <w:r>
        <w:rPr>
          <w:rFonts w:hint="eastAsia"/>
          <w:highlight w:val="none"/>
        </w:rPr>
        <w:t>2.不向政府</w:t>
      </w:r>
      <w:r>
        <w:rPr>
          <w:rFonts w:hint="eastAsia"/>
          <w:highlight w:val="none"/>
          <w:lang w:eastAsia="zh-CN"/>
        </w:rPr>
        <w:t>招标人</w:t>
      </w:r>
      <w:r>
        <w:rPr>
          <w:rFonts w:hint="eastAsia"/>
          <w:highlight w:val="none"/>
        </w:rPr>
        <w:t>、</w:t>
      </w:r>
      <w:r>
        <w:rPr>
          <w:rFonts w:hint="eastAsia"/>
          <w:highlight w:val="none"/>
          <w:lang w:eastAsia="zh-CN"/>
        </w:rPr>
        <w:t>招标代理机构</w:t>
      </w:r>
      <w:r>
        <w:rPr>
          <w:rFonts w:hint="eastAsia"/>
          <w:highlight w:val="none"/>
        </w:rPr>
        <w:t>和政府采购评审专家进行任何形式的商业贿赂以谋取交易机会。</w:t>
      </w:r>
    </w:p>
    <w:p>
      <w:pPr>
        <w:pStyle w:val="9"/>
        <w:ind w:firstLine="480"/>
        <w:rPr>
          <w:highlight w:val="none"/>
        </w:rPr>
      </w:pPr>
      <w:r>
        <w:rPr>
          <w:rFonts w:hint="eastAsia"/>
          <w:highlight w:val="none"/>
        </w:rPr>
        <w:t>3.不向政府</w:t>
      </w:r>
      <w:r>
        <w:rPr>
          <w:rFonts w:hint="eastAsia"/>
          <w:highlight w:val="none"/>
          <w:lang w:eastAsia="zh-CN"/>
        </w:rPr>
        <w:t>招标代理机构</w:t>
      </w:r>
      <w:r>
        <w:rPr>
          <w:rFonts w:hint="eastAsia"/>
          <w:highlight w:val="none"/>
        </w:rPr>
        <w:t>和</w:t>
      </w:r>
      <w:r>
        <w:rPr>
          <w:rFonts w:hint="eastAsia"/>
          <w:highlight w:val="none"/>
          <w:lang w:eastAsia="zh-CN"/>
        </w:rPr>
        <w:t>招标人</w:t>
      </w:r>
      <w:r>
        <w:rPr>
          <w:rFonts w:hint="eastAsia"/>
          <w:highlight w:val="none"/>
        </w:rPr>
        <w:t>提供虚假资质文件或采用虚假应标方式参与政府采购市场竞争并谋取中标、成交。</w:t>
      </w:r>
    </w:p>
    <w:p>
      <w:pPr>
        <w:pStyle w:val="9"/>
        <w:ind w:firstLine="480"/>
        <w:rPr>
          <w:highlight w:val="none"/>
        </w:rPr>
      </w:pPr>
      <w:r>
        <w:rPr>
          <w:rFonts w:hint="eastAsia"/>
          <w:highlight w:val="none"/>
        </w:rPr>
        <w:t>4.不采取“围标、陪标”等商业欺诈手段获得政府采购定单。</w:t>
      </w:r>
    </w:p>
    <w:p>
      <w:pPr>
        <w:pStyle w:val="9"/>
        <w:ind w:firstLine="480"/>
        <w:rPr>
          <w:highlight w:val="none"/>
        </w:rPr>
      </w:pPr>
      <w:r>
        <w:rPr>
          <w:rFonts w:hint="eastAsia"/>
          <w:highlight w:val="none"/>
        </w:rPr>
        <w:t>5.不采取不正当手段诋毁、排挤其他投标人。</w:t>
      </w:r>
    </w:p>
    <w:p>
      <w:pPr>
        <w:pStyle w:val="9"/>
        <w:ind w:firstLine="480"/>
        <w:rPr>
          <w:highlight w:val="none"/>
        </w:rPr>
      </w:pPr>
      <w:r>
        <w:rPr>
          <w:rFonts w:hint="eastAsia"/>
          <w:highlight w:val="none"/>
        </w:rPr>
        <w:t>6.不在提供商品和服务时“偷梁换柱、以次充好”损害</w:t>
      </w:r>
      <w:r>
        <w:rPr>
          <w:rFonts w:hint="eastAsia"/>
          <w:highlight w:val="none"/>
          <w:lang w:eastAsia="zh-CN"/>
        </w:rPr>
        <w:t>招标人</w:t>
      </w:r>
      <w:r>
        <w:rPr>
          <w:rFonts w:hint="eastAsia"/>
          <w:highlight w:val="none"/>
        </w:rPr>
        <w:t>的合法权益。</w:t>
      </w:r>
    </w:p>
    <w:p>
      <w:pPr>
        <w:pStyle w:val="9"/>
        <w:ind w:firstLine="480"/>
        <w:rPr>
          <w:highlight w:val="none"/>
        </w:rPr>
      </w:pPr>
      <w:r>
        <w:rPr>
          <w:rFonts w:hint="eastAsia"/>
          <w:highlight w:val="none"/>
        </w:rPr>
        <w:t>7.不与</w:t>
      </w:r>
      <w:r>
        <w:rPr>
          <w:rFonts w:hint="eastAsia"/>
          <w:highlight w:val="none"/>
          <w:lang w:eastAsia="zh-CN"/>
        </w:rPr>
        <w:t>招标人</w:t>
      </w:r>
      <w:r>
        <w:rPr>
          <w:rFonts w:hint="eastAsia"/>
          <w:highlight w:val="none"/>
        </w:rPr>
        <w:t>、</w:t>
      </w:r>
      <w:r>
        <w:rPr>
          <w:rFonts w:hint="eastAsia"/>
          <w:highlight w:val="none"/>
          <w:lang w:eastAsia="zh-CN"/>
        </w:rPr>
        <w:t>招标代理机构</w:t>
      </w:r>
      <w:r>
        <w:rPr>
          <w:rFonts w:hint="eastAsia"/>
          <w:highlight w:val="none"/>
        </w:rPr>
        <w:t>政府采购评审专家或其它投标人恶意串通，进行质疑和投诉，维护政府采购市场秩序。</w:t>
      </w:r>
    </w:p>
    <w:p>
      <w:pPr>
        <w:pStyle w:val="9"/>
        <w:ind w:firstLine="480"/>
        <w:rPr>
          <w:highlight w:val="none"/>
        </w:rPr>
      </w:pPr>
      <w:r>
        <w:rPr>
          <w:rFonts w:hint="eastAsia"/>
          <w:highlight w:val="none"/>
        </w:rPr>
        <w:t>8.尊重和接受政府采购监督管理部门的监督和政府</w:t>
      </w:r>
      <w:r>
        <w:rPr>
          <w:rFonts w:hint="eastAsia"/>
          <w:highlight w:val="none"/>
          <w:lang w:eastAsia="zh-CN"/>
        </w:rPr>
        <w:t>招标代理机构</w:t>
      </w:r>
      <w:r>
        <w:rPr>
          <w:rFonts w:hint="eastAsia"/>
          <w:highlight w:val="none"/>
        </w:rPr>
        <w:t>招标采购要求，承担因违约行为给</w:t>
      </w:r>
      <w:r>
        <w:rPr>
          <w:rFonts w:hint="eastAsia"/>
          <w:highlight w:val="none"/>
          <w:lang w:eastAsia="zh-CN"/>
        </w:rPr>
        <w:t>招标人</w:t>
      </w:r>
      <w:r>
        <w:rPr>
          <w:rFonts w:hint="eastAsia"/>
          <w:highlight w:val="none"/>
        </w:rPr>
        <w:t>造成的损失。</w:t>
      </w:r>
    </w:p>
    <w:p>
      <w:pPr>
        <w:pStyle w:val="9"/>
        <w:ind w:firstLine="480"/>
        <w:rPr>
          <w:highlight w:val="none"/>
        </w:rPr>
      </w:pPr>
      <w:r>
        <w:rPr>
          <w:rFonts w:hint="eastAsia"/>
          <w:highlight w:val="none"/>
        </w:rPr>
        <w:t>9.不发生其他有悖于政府采购公开、公平、公正和诚信原则的行为。</w:t>
      </w:r>
    </w:p>
    <w:p>
      <w:pPr>
        <w:pStyle w:val="9"/>
        <w:ind w:firstLine="0" w:firstLineChars="0"/>
        <w:rPr>
          <w:highlight w:val="none"/>
        </w:rPr>
      </w:pPr>
    </w:p>
    <w:p>
      <w:pPr>
        <w:pStyle w:val="9"/>
        <w:ind w:firstLine="0" w:firstLineChars="0"/>
        <w:rPr>
          <w:highlight w:val="none"/>
        </w:rPr>
      </w:pPr>
      <w:r>
        <w:rPr>
          <w:rFonts w:hint="eastAsia"/>
          <w:highlight w:val="none"/>
        </w:rPr>
        <w:t>投标人名称：</w:t>
      </w:r>
      <w:r>
        <w:rPr>
          <w:rFonts w:hint="eastAsia"/>
          <w:highlight w:val="none"/>
          <w:u w:val="single"/>
        </w:rPr>
        <w:t xml:space="preserve">                       </w:t>
      </w:r>
      <w:r>
        <w:rPr>
          <w:rFonts w:hint="eastAsia"/>
          <w:highlight w:val="none"/>
        </w:rPr>
        <w:t>（盖单位公章）</w:t>
      </w:r>
      <w:r>
        <w:rPr>
          <w:rFonts w:hint="eastAsia"/>
          <w:highlight w:val="none"/>
        </w:rPr>
        <w:br w:type="textWrapping"/>
      </w:r>
      <w:r>
        <w:rPr>
          <w:rFonts w:hint="eastAsia"/>
          <w:highlight w:val="none"/>
        </w:rPr>
        <w:t>法定代表人或被授权人：</w:t>
      </w:r>
      <w:r>
        <w:rPr>
          <w:rFonts w:hint="eastAsia"/>
          <w:highlight w:val="none"/>
          <w:u w:val="single"/>
        </w:rPr>
        <w:t xml:space="preserve">                       </w:t>
      </w:r>
      <w:r>
        <w:rPr>
          <w:rFonts w:hint="eastAsia"/>
          <w:highlight w:val="none"/>
        </w:rPr>
        <w:t>（签字）</w:t>
      </w:r>
      <w:r>
        <w:rPr>
          <w:rFonts w:hint="eastAsia"/>
          <w:highlight w:val="none"/>
        </w:rPr>
        <w:br w:type="textWrapping"/>
      </w:r>
      <w:r>
        <w:rPr>
          <w:rFonts w:hint="eastAsia"/>
          <w:highlight w:val="none"/>
        </w:rPr>
        <w:t>地  址：</w:t>
      </w:r>
      <w:r>
        <w:rPr>
          <w:rFonts w:hint="eastAsia"/>
          <w:highlight w:val="none"/>
          <w:u w:val="single"/>
        </w:rPr>
        <w:t xml:space="preserve">                       </w:t>
      </w:r>
      <w:r>
        <w:rPr>
          <w:rFonts w:hint="eastAsia"/>
          <w:highlight w:val="none"/>
        </w:rPr>
        <w:t>               </w:t>
      </w:r>
    </w:p>
    <w:p>
      <w:pPr>
        <w:widowControl/>
        <w:spacing w:line="408" w:lineRule="auto"/>
        <w:jc w:val="left"/>
        <w:rPr>
          <w:highlight w:val="none"/>
        </w:rPr>
      </w:pPr>
      <w:r>
        <w:rPr>
          <w:rFonts w:hint="eastAsia" w:hAnsi="宋体" w:cs="宋体"/>
          <w:highlight w:val="none"/>
        </w:rPr>
        <w:t>邮  编：</w:t>
      </w:r>
      <w:r>
        <w:rPr>
          <w:rFonts w:hint="eastAsia"/>
          <w:highlight w:val="none"/>
          <w:u w:val="single"/>
        </w:rPr>
        <w:t xml:space="preserve">                       </w:t>
      </w:r>
      <w:r>
        <w:rPr>
          <w:rFonts w:hint="eastAsia" w:hAnsi="宋体" w:cs="宋体"/>
          <w:highlight w:val="none"/>
          <w:u w:val="single"/>
        </w:rPr>
        <w:br w:type="textWrapping"/>
      </w:r>
      <w:r>
        <w:rPr>
          <w:rFonts w:hint="eastAsia" w:hAnsi="宋体" w:cs="宋体"/>
          <w:highlight w:val="none"/>
        </w:rPr>
        <w:t>电  话：</w:t>
      </w:r>
      <w:r>
        <w:rPr>
          <w:rFonts w:hint="eastAsia"/>
          <w:highlight w:val="none"/>
          <w:u w:val="single"/>
        </w:rPr>
        <w:t xml:space="preserve">                       </w:t>
      </w:r>
      <w:r>
        <w:rPr>
          <w:rFonts w:hint="eastAsia" w:hAnsi="宋体" w:cs="宋体"/>
          <w:highlight w:val="none"/>
        </w:rPr>
        <w:t xml:space="preserve">                     </w:t>
      </w:r>
      <w:r>
        <w:rPr>
          <w:rFonts w:hint="eastAsia"/>
          <w:highlight w:val="none"/>
        </w:rPr>
        <w:t>日    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2"/>
        <w:rPr>
          <w:highlight w:val="none"/>
        </w:rPr>
      </w:pPr>
    </w:p>
    <w:p>
      <w:pPr>
        <w:ind w:firstLine="640" w:firstLineChars="200"/>
        <w:rPr>
          <w:rFonts w:hAnsi="宋体" w:cs="宋体"/>
          <w:szCs w:val="24"/>
          <w:highlight w:val="none"/>
          <w:lang w:val="zh-CN"/>
        </w:rPr>
      </w:pPr>
      <w:bookmarkStart w:id="297" w:name="_Toc23245"/>
      <w:bookmarkStart w:id="298" w:name="_Toc8066"/>
      <w:bookmarkStart w:id="299" w:name="_Toc363474034"/>
      <w:bookmarkStart w:id="300" w:name="_Toc7550"/>
      <w:bookmarkStart w:id="301" w:name="_Toc28113"/>
      <w:bookmarkStart w:id="302" w:name="_Toc155"/>
      <w:bookmarkStart w:id="303" w:name="_Toc403077657"/>
      <w:bookmarkStart w:id="304" w:name="_Toc20139"/>
      <w:bookmarkStart w:id="305" w:name="_Toc426457715"/>
      <w:r>
        <w:rPr>
          <w:rFonts w:hint="eastAsia"/>
          <w:sz w:val="32"/>
          <w:szCs w:val="32"/>
          <w:highlight w:val="none"/>
        </w:rPr>
        <w:br w:type="page"/>
      </w:r>
      <w:bookmarkEnd w:id="297"/>
      <w:bookmarkEnd w:id="298"/>
      <w:bookmarkEnd w:id="299"/>
      <w:bookmarkEnd w:id="300"/>
      <w:bookmarkEnd w:id="301"/>
      <w:bookmarkEnd w:id="302"/>
      <w:bookmarkEnd w:id="303"/>
      <w:bookmarkEnd w:id="304"/>
      <w:bookmarkEnd w:id="305"/>
    </w:p>
    <w:p>
      <w:pPr>
        <w:pStyle w:val="4"/>
        <w:ind w:left="0" w:leftChars="0" w:firstLine="0" w:firstLineChars="0"/>
        <w:jc w:val="center"/>
        <w:rPr>
          <w:highlight w:val="none"/>
        </w:rPr>
      </w:pPr>
      <w:bookmarkStart w:id="306" w:name="_Toc2470"/>
      <w:bookmarkStart w:id="307" w:name="_Toc16210"/>
      <w:bookmarkStart w:id="308" w:name="_Toc19075"/>
      <w:bookmarkStart w:id="309" w:name="_Toc30210"/>
      <w:bookmarkStart w:id="310" w:name="_Toc426457701"/>
      <w:bookmarkStart w:id="311" w:name="_Toc403077649"/>
      <w:bookmarkStart w:id="312" w:name="_Toc4867"/>
      <w:bookmarkStart w:id="313" w:name="_Toc16097"/>
      <w:bookmarkStart w:id="314" w:name="_Toc25348"/>
      <w:bookmarkStart w:id="315" w:name="_Toc363474028"/>
      <w:r>
        <w:rPr>
          <w:rFonts w:hint="eastAsia"/>
          <w:highlight w:val="none"/>
        </w:rPr>
        <w:t>七、其他资料</w:t>
      </w:r>
      <w:bookmarkEnd w:id="306"/>
      <w:bookmarkEnd w:id="307"/>
    </w:p>
    <w:p>
      <w:pPr>
        <w:pStyle w:val="9"/>
        <w:ind w:left="0" w:leftChars="0" w:firstLine="0" w:firstLineChars="0"/>
        <w:jc w:val="center"/>
        <w:rPr>
          <w:highlight w:val="none"/>
        </w:rPr>
      </w:pPr>
      <w:r>
        <w:rPr>
          <w:rFonts w:hint="eastAsia"/>
          <w:highlight w:val="none"/>
        </w:rPr>
        <w:t>投标人认为有必要说明的其他内容</w:t>
      </w:r>
    </w:p>
    <w:bookmarkEnd w:id="308"/>
    <w:bookmarkEnd w:id="309"/>
    <w:bookmarkEnd w:id="310"/>
    <w:bookmarkEnd w:id="311"/>
    <w:bookmarkEnd w:id="312"/>
    <w:bookmarkEnd w:id="313"/>
    <w:bookmarkEnd w:id="314"/>
    <w:bookmarkEnd w:id="315"/>
    <w:p>
      <w:pPr>
        <w:rPr>
          <w:rStyle w:val="37"/>
          <w:highlight w:val="none"/>
        </w:rPr>
      </w:pPr>
    </w:p>
    <w:sectPr>
      <w:footerReference r:id="rId11" w:type="default"/>
      <w:pgSz w:w="11906" w:h="16838"/>
      <w:pgMar w:top="1417" w:right="1417" w:bottom="1417" w:left="1417" w:header="992" w:footer="992" w:gutter="170"/>
      <w:pgNumType w:fmt="decimal" w:start="1"/>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cs="宋体"/>
      </w:rPr>
      <w:t>陕西正鸿招标有限公司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default" w:eastAsia="宋体"/>
        <w:sz w:val="18"/>
        <w:szCs w:val="18"/>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宋体" w:hAnsi="宋体" w:cs="宋体"/>
      </w:rPr>
      <w:t>西安科技大学原位红外光谱仪等仪器设备购置项目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66CD3"/>
    <w:multiLevelType w:val="singleLevel"/>
    <w:tmpl w:val="14B66CD3"/>
    <w:lvl w:ilvl="0" w:tentative="0">
      <w:start w:val="1"/>
      <w:numFmt w:val="chineseCounting"/>
      <w:suff w:val="nothing"/>
      <w:lvlText w:val="%1、"/>
      <w:lvlJc w:val="left"/>
      <w:rPr>
        <w:rFonts w:hint="eastAsia"/>
      </w:rPr>
    </w:lvl>
  </w:abstractNum>
  <w:abstractNum w:abstractNumId="1">
    <w:nsid w:val="3E65451F"/>
    <w:multiLevelType w:val="singleLevel"/>
    <w:tmpl w:val="3E65451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NzA3NDE1M2U1MjMwMDlmOGYwZGVmNjY2ZDE3ZmUifQ=="/>
  </w:docVars>
  <w:rsids>
    <w:rsidRoot w:val="7AE25B78"/>
    <w:rsid w:val="00004274"/>
    <w:rsid w:val="0001258B"/>
    <w:rsid w:val="000613DA"/>
    <w:rsid w:val="000D34B5"/>
    <w:rsid w:val="001422BB"/>
    <w:rsid w:val="001B3100"/>
    <w:rsid w:val="0029522A"/>
    <w:rsid w:val="00354009"/>
    <w:rsid w:val="003E24CE"/>
    <w:rsid w:val="00404BBF"/>
    <w:rsid w:val="00414165"/>
    <w:rsid w:val="00440215"/>
    <w:rsid w:val="004F46DE"/>
    <w:rsid w:val="00511E52"/>
    <w:rsid w:val="005A6186"/>
    <w:rsid w:val="006826B6"/>
    <w:rsid w:val="006D4030"/>
    <w:rsid w:val="0070789E"/>
    <w:rsid w:val="007823FE"/>
    <w:rsid w:val="00801407"/>
    <w:rsid w:val="008E6E7E"/>
    <w:rsid w:val="009C73FB"/>
    <w:rsid w:val="00A05765"/>
    <w:rsid w:val="00A27217"/>
    <w:rsid w:val="00A53B1C"/>
    <w:rsid w:val="00A74636"/>
    <w:rsid w:val="00A91AB7"/>
    <w:rsid w:val="00AD6391"/>
    <w:rsid w:val="00B01E72"/>
    <w:rsid w:val="00B44170"/>
    <w:rsid w:val="00E87F9A"/>
    <w:rsid w:val="00EC102A"/>
    <w:rsid w:val="00EC4119"/>
    <w:rsid w:val="00F61512"/>
    <w:rsid w:val="010A7413"/>
    <w:rsid w:val="015730B8"/>
    <w:rsid w:val="015E21BB"/>
    <w:rsid w:val="01731E98"/>
    <w:rsid w:val="0189524B"/>
    <w:rsid w:val="01956426"/>
    <w:rsid w:val="01AF1054"/>
    <w:rsid w:val="01E87408"/>
    <w:rsid w:val="021D31FA"/>
    <w:rsid w:val="02405AB9"/>
    <w:rsid w:val="026E31DD"/>
    <w:rsid w:val="029E741B"/>
    <w:rsid w:val="02A22865"/>
    <w:rsid w:val="02B166E4"/>
    <w:rsid w:val="02CC2F16"/>
    <w:rsid w:val="02DA4287"/>
    <w:rsid w:val="02E26B03"/>
    <w:rsid w:val="02E37B11"/>
    <w:rsid w:val="031659B2"/>
    <w:rsid w:val="03266ABC"/>
    <w:rsid w:val="032C1A36"/>
    <w:rsid w:val="032E3CEC"/>
    <w:rsid w:val="0332366F"/>
    <w:rsid w:val="03406959"/>
    <w:rsid w:val="03A270ED"/>
    <w:rsid w:val="04083E8D"/>
    <w:rsid w:val="040F6FF6"/>
    <w:rsid w:val="04161698"/>
    <w:rsid w:val="041814D9"/>
    <w:rsid w:val="04194790"/>
    <w:rsid w:val="042C05E8"/>
    <w:rsid w:val="047F64F9"/>
    <w:rsid w:val="049F67BB"/>
    <w:rsid w:val="04A25D04"/>
    <w:rsid w:val="04A708BB"/>
    <w:rsid w:val="055B748B"/>
    <w:rsid w:val="055D5BFC"/>
    <w:rsid w:val="05910AD7"/>
    <w:rsid w:val="05DA7F06"/>
    <w:rsid w:val="05DD1B0E"/>
    <w:rsid w:val="06333507"/>
    <w:rsid w:val="06336AAC"/>
    <w:rsid w:val="063911AC"/>
    <w:rsid w:val="06391E01"/>
    <w:rsid w:val="067F2B16"/>
    <w:rsid w:val="069B1796"/>
    <w:rsid w:val="07046AFB"/>
    <w:rsid w:val="07160CB9"/>
    <w:rsid w:val="071B5D00"/>
    <w:rsid w:val="074C79C3"/>
    <w:rsid w:val="07586442"/>
    <w:rsid w:val="07681496"/>
    <w:rsid w:val="07AC487B"/>
    <w:rsid w:val="07AF6E88"/>
    <w:rsid w:val="07B4336F"/>
    <w:rsid w:val="07C5391D"/>
    <w:rsid w:val="07CC0150"/>
    <w:rsid w:val="07E60849"/>
    <w:rsid w:val="07F1360F"/>
    <w:rsid w:val="0805139F"/>
    <w:rsid w:val="080B2583"/>
    <w:rsid w:val="08101F09"/>
    <w:rsid w:val="081606F5"/>
    <w:rsid w:val="085B40C2"/>
    <w:rsid w:val="086A63A0"/>
    <w:rsid w:val="08773E4A"/>
    <w:rsid w:val="08836904"/>
    <w:rsid w:val="089F3D42"/>
    <w:rsid w:val="08D34766"/>
    <w:rsid w:val="08D75366"/>
    <w:rsid w:val="08DE5572"/>
    <w:rsid w:val="08E61FB6"/>
    <w:rsid w:val="09102123"/>
    <w:rsid w:val="0912033F"/>
    <w:rsid w:val="09122582"/>
    <w:rsid w:val="092E3F47"/>
    <w:rsid w:val="094D3648"/>
    <w:rsid w:val="09A11F9E"/>
    <w:rsid w:val="09AF0CBE"/>
    <w:rsid w:val="09D41182"/>
    <w:rsid w:val="09EE751B"/>
    <w:rsid w:val="0A0C303F"/>
    <w:rsid w:val="0A0D0790"/>
    <w:rsid w:val="0A117F61"/>
    <w:rsid w:val="0A2A66DF"/>
    <w:rsid w:val="0A310CEF"/>
    <w:rsid w:val="0A413699"/>
    <w:rsid w:val="0A6712C7"/>
    <w:rsid w:val="0A9501C8"/>
    <w:rsid w:val="0ACE3033"/>
    <w:rsid w:val="0AE84E46"/>
    <w:rsid w:val="0AF953DB"/>
    <w:rsid w:val="0B2E4303"/>
    <w:rsid w:val="0B34104E"/>
    <w:rsid w:val="0B352516"/>
    <w:rsid w:val="0B6836AB"/>
    <w:rsid w:val="0B705D54"/>
    <w:rsid w:val="0B8B4ADE"/>
    <w:rsid w:val="0B8E6FE3"/>
    <w:rsid w:val="0BAB2EE5"/>
    <w:rsid w:val="0BB92EDF"/>
    <w:rsid w:val="0C1F42E6"/>
    <w:rsid w:val="0CA85ABB"/>
    <w:rsid w:val="0CF92E0A"/>
    <w:rsid w:val="0D151C6A"/>
    <w:rsid w:val="0D496A50"/>
    <w:rsid w:val="0D936E2E"/>
    <w:rsid w:val="0DD10C89"/>
    <w:rsid w:val="0DEB7FE4"/>
    <w:rsid w:val="0E4705D1"/>
    <w:rsid w:val="0E4C792D"/>
    <w:rsid w:val="0E665054"/>
    <w:rsid w:val="0EAC77FD"/>
    <w:rsid w:val="0EAF52D8"/>
    <w:rsid w:val="0EBE1F07"/>
    <w:rsid w:val="0EEA088F"/>
    <w:rsid w:val="0EFF5E27"/>
    <w:rsid w:val="0F1B18C8"/>
    <w:rsid w:val="0F1F53BC"/>
    <w:rsid w:val="0F41440A"/>
    <w:rsid w:val="0F516138"/>
    <w:rsid w:val="0F566A47"/>
    <w:rsid w:val="0F693D65"/>
    <w:rsid w:val="0F760432"/>
    <w:rsid w:val="0F8561FD"/>
    <w:rsid w:val="0F9B0AB5"/>
    <w:rsid w:val="0FAB3C9F"/>
    <w:rsid w:val="0FB63842"/>
    <w:rsid w:val="0FBC75D7"/>
    <w:rsid w:val="0FD35650"/>
    <w:rsid w:val="0FFF2AA1"/>
    <w:rsid w:val="1013339C"/>
    <w:rsid w:val="10340862"/>
    <w:rsid w:val="1036371D"/>
    <w:rsid w:val="104B11D6"/>
    <w:rsid w:val="1053067F"/>
    <w:rsid w:val="106B1F3F"/>
    <w:rsid w:val="1079051D"/>
    <w:rsid w:val="1084300B"/>
    <w:rsid w:val="10A70038"/>
    <w:rsid w:val="10E11DAB"/>
    <w:rsid w:val="11132F96"/>
    <w:rsid w:val="112178FC"/>
    <w:rsid w:val="11381592"/>
    <w:rsid w:val="1142004A"/>
    <w:rsid w:val="11473B81"/>
    <w:rsid w:val="11A82E08"/>
    <w:rsid w:val="11C32A09"/>
    <w:rsid w:val="12480071"/>
    <w:rsid w:val="12607D1F"/>
    <w:rsid w:val="1262060D"/>
    <w:rsid w:val="1272150B"/>
    <w:rsid w:val="12826BF8"/>
    <w:rsid w:val="12850F8A"/>
    <w:rsid w:val="12B35398"/>
    <w:rsid w:val="12CC1E8D"/>
    <w:rsid w:val="12DC289E"/>
    <w:rsid w:val="1387770E"/>
    <w:rsid w:val="139A657A"/>
    <w:rsid w:val="13B43BFC"/>
    <w:rsid w:val="13C815E3"/>
    <w:rsid w:val="13E501D2"/>
    <w:rsid w:val="14020171"/>
    <w:rsid w:val="14131370"/>
    <w:rsid w:val="141F5E85"/>
    <w:rsid w:val="144F2247"/>
    <w:rsid w:val="147F1A5B"/>
    <w:rsid w:val="149E2DCC"/>
    <w:rsid w:val="14BA2B15"/>
    <w:rsid w:val="14C42141"/>
    <w:rsid w:val="14D45089"/>
    <w:rsid w:val="14E31B9D"/>
    <w:rsid w:val="14EE37AD"/>
    <w:rsid w:val="15252B80"/>
    <w:rsid w:val="15340194"/>
    <w:rsid w:val="155C4468"/>
    <w:rsid w:val="156C3AD3"/>
    <w:rsid w:val="15993EBF"/>
    <w:rsid w:val="15BB041A"/>
    <w:rsid w:val="15CC5CDB"/>
    <w:rsid w:val="16737500"/>
    <w:rsid w:val="168112F9"/>
    <w:rsid w:val="16B76111"/>
    <w:rsid w:val="16B965DF"/>
    <w:rsid w:val="16BE28AD"/>
    <w:rsid w:val="16CC4534"/>
    <w:rsid w:val="16CF0FA6"/>
    <w:rsid w:val="16FB0571"/>
    <w:rsid w:val="16FB2A4A"/>
    <w:rsid w:val="170C4463"/>
    <w:rsid w:val="171D6079"/>
    <w:rsid w:val="172928B2"/>
    <w:rsid w:val="174C1852"/>
    <w:rsid w:val="17831132"/>
    <w:rsid w:val="1822034B"/>
    <w:rsid w:val="187D3982"/>
    <w:rsid w:val="189074F1"/>
    <w:rsid w:val="189225DB"/>
    <w:rsid w:val="189866C8"/>
    <w:rsid w:val="189B79CA"/>
    <w:rsid w:val="189D2ACE"/>
    <w:rsid w:val="18A36FF2"/>
    <w:rsid w:val="18BF5A03"/>
    <w:rsid w:val="18EB4791"/>
    <w:rsid w:val="19111B3E"/>
    <w:rsid w:val="19806B15"/>
    <w:rsid w:val="19A27FEF"/>
    <w:rsid w:val="19AA6AC5"/>
    <w:rsid w:val="19C5409B"/>
    <w:rsid w:val="19D479CC"/>
    <w:rsid w:val="19D7412C"/>
    <w:rsid w:val="19DD23AF"/>
    <w:rsid w:val="19F519C3"/>
    <w:rsid w:val="1A003428"/>
    <w:rsid w:val="1A1B35B4"/>
    <w:rsid w:val="1A3450B4"/>
    <w:rsid w:val="1A366B7F"/>
    <w:rsid w:val="1A6A1947"/>
    <w:rsid w:val="1A754190"/>
    <w:rsid w:val="1A7D025E"/>
    <w:rsid w:val="1B0F41E0"/>
    <w:rsid w:val="1B525F94"/>
    <w:rsid w:val="1BD54CEE"/>
    <w:rsid w:val="1C06549C"/>
    <w:rsid w:val="1C142407"/>
    <w:rsid w:val="1C2451F6"/>
    <w:rsid w:val="1C803179"/>
    <w:rsid w:val="1CA43CC6"/>
    <w:rsid w:val="1CFC5477"/>
    <w:rsid w:val="1DB40754"/>
    <w:rsid w:val="1E39730B"/>
    <w:rsid w:val="1E3D22C1"/>
    <w:rsid w:val="1E3D7AF5"/>
    <w:rsid w:val="1E79294F"/>
    <w:rsid w:val="1EAD4814"/>
    <w:rsid w:val="1EE85463"/>
    <w:rsid w:val="1EF41F53"/>
    <w:rsid w:val="1F1E0B22"/>
    <w:rsid w:val="1F5452D1"/>
    <w:rsid w:val="1F601D11"/>
    <w:rsid w:val="1F7B45E9"/>
    <w:rsid w:val="1F8D248A"/>
    <w:rsid w:val="1FB234F9"/>
    <w:rsid w:val="1FB479E8"/>
    <w:rsid w:val="1FB83462"/>
    <w:rsid w:val="201A5A08"/>
    <w:rsid w:val="201B4D96"/>
    <w:rsid w:val="201E6E8F"/>
    <w:rsid w:val="208F03B0"/>
    <w:rsid w:val="209F3264"/>
    <w:rsid w:val="20A97100"/>
    <w:rsid w:val="20B04CCB"/>
    <w:rsid w:val="20B71AB5"/>
    <w:rsid w:val="20C20CED"/>
    <w:rsid w:val="21360F1E"/>
    <w:rsid w:val="218912A4"/>
    <w:rsid w:val="21C71571"/>
    <w:rsid w:val="21D360B9"/>
    <w:rsid w:val="21D83FDC"/>
    <w:rsid w:val="21E415F0"/>
    <w:rsid w:val="21F53B22"/>
    <w:rsid w:val="22035845"/>
    <w:rsid w:val="22082DA6"/>
    <w:rsid w:val="22216DC4"/>
    <w:rsid w:val="222601C6"/>
    <w:rsid w:val="224F66CC"/>
    <w:rsid w:val="224F6D74"/>
    <w:rsid w:val="225A0D66"/>
    <w:rsid w:val="225F693D"/>
    <w:rsid w:val="227351F1"/>
    <w:rsid w:val="22755063"/>
    <w:rsid w:val="228D242C"/>
    <w:rsid w:val="22BE751D"/>
    <w:rsid w:val="22F81FF1"/>
    <w:rsid w:val="22F97667"/>
    <w:rsid w:val="22FE3FA3"/>
    <w:rsid w:val="23AD677C"/>
    <w:rsid w:val="23BB7759"/>
    <w:rsid w:val="23D33D53"/>
    <w:rsid w:val="23DA6AE5"/>
    <w:rsid w:val="23F02417"/>
    <w:rsid w:val="23F17B1E"/>
    <w:rsid w:val="23FE2D70"/>
    <w:rsid w:val="241556C2"/>
    <w:rsid w:val="24166FC9"/>
    <w:rsid w:val="242014A1"/>
    <w:rsid w:val="24A529FC"/>
    <w:rsid w:val="24B21DA9"/>
    <w:rsid w:val="24B42F60"/>
    <w:rsid w:val="24D5280D"/>
    <w:rsid w:val="24E92817"/>
    <w:rsid w:val="250561D2"/>
    <w:rsid w:val="252A6BAF"/>
    <w:rsid w:val="25356248"/>
    <w:rsid w:val="25651FC9"/>
    <w:rsid w:val="259737E8"/>
    <w:rsid w:val="25A91F7B"/>
    <w:rsid w:val="25DD18F7"/>
    <w:rsid w:val="261D3339"/>
    <w:rsid w:val="26293DC0"/>
    <w:rsid w:val="266E7F70"/>
    <w:rsid w:val="267B1B4D"/>
    <w:rsid w:val="26B37B3C"/>
    <w:rsid w:val="26B92ED3"/>
    <w:rsid w:val="26EC6832"/>
    <w:rsid w:val="26FD57FB"/>
    <w:rsid w:val="271B17C9"/>
    <w:rsid w:val="27893232"/>
    <w:rsid w:val="279500AE"/>
    <w:rsid w:val="27B922B8"/>
    <w:rsid w:val="27D41DF6"/>
    <w:rsid w:val="27FC1D2E"/>
    <w:rsid w:val="280460B9"/>
    <w:rsid w:val="28085355"/>
    <w:rsid w:val="281B64C1"/>
    <w:rsid w:val="28525702"/>
    <w:rsid w:val="287A097E"/>
    <w:rsid w:val="28810AE6"/>
    <w:rsid w:val="288D7862"/>
    <w:rsid w:val="28C3764F"/>
    <w:rsid w:val="28D13B85"/>
    <w:rsid w:val="28EB1606"/>
    <w:rsid w:val="28F1208A"/>
    <w:rsid w:val="2907413E"/>
    <w:rsid w:val="29B24BC0"/>
    <w:rsid w:val="29E04CEA"/>
    <w:rsid w:val="29EF19CF"/>
    <w:rsid w:val="2A0F4DA2"/>
    <w:rsid w:val="2A5E5F22"/>
    <w:rsid w:val="2A8837D3"/>
    <w:rsid w:val="2A9144DE"/>
    <w:rsid w:val="2AA36DE8"/>
    <w:rsid w:val="2AA67D85"/>
    <w:rsid w:val="2AD46371"/>
    <w:rsid w:val="2ADE5764"/>
    <w:rsid w:val="2AEA2F25"/>
    <w:rsid w:val="2B1D0712"/>
    <w:rsid w:val="2B401DCE"/>
    <w:rsid w:val="2B486B30"/>
    <w:rsid w:val="2B495DDC"/>
    <w:rsid w:val="2B562E0C"/>
    <w:rsid w:val="2B710CDF"/>
    <w:rsid w:val="2B7D1944"/>
    <w:rsid w:val="2BE4680A"/>
    <w:rsid w:val="2BF32D91"/>
    <w:rsid w:val="2C31056E"/>
    <w:rsid w:val="2C810CE5"/>
    <w:rsid w:val="2C8F214A"/>
    <w:rsid w:val="2C94723B"/>
    <w:rsid w:val="2CBC4CA2"/>
    <w:rsid w:val="2CC64E87"/>
    <w:rsid w:val="2CC80170"/>
    <w:rsid w:val="2D443C00"/>
    <w:rsid w:val="2D553F58"/>
    <w:rsid w:val="2D5D54C1"/>
    <w:rsid w:val="2D695F02"/>
    <w:rsid w:val="2DCD6027"/>
    <w:rsid w:val="2DDB2F86"/>
    <w:rsid w:val="2DEC7275"/>
    <w:rsid w:val="2DF34860"/>
    <w:rsid w:val="2E222639"/>
    <w:rsid w:val="2E496815"/>
    <w:rsid w:val="2E4C0911"/>
    <w:rsid w:val="2EAB56A1"/>
    <w:rsid w:val="2EC0441F"/>
    <w:rsid w:val="2EC12F79"/>
    <w:rsid w:val="2F34132A"/>
    <w:rsid w:val="2F4938C1"/>
    <w:rsid w:val="2F516310"/>
    <w:rsid w:val="2F6B1289"/>
    <w:rsid w:val="2F757A66"/>
    <w:rsid w:val="2F8042D7"/>
    <w:rsid w:val="3019253B"/>
    <w:rsid w:val="303F379C"/>
    <w:rsid w:val="30B03386"/>
    <w:rsid w:val="30CE10A0"/>
    <w:rsid w:val="30CF60FF"/>
    <w:rsid w:val="315C3788"/>
    <w:rsid w:val="31672BFE"/>
    <w:rsid w:val="31800692"/>
    <w:rsid w:val="319A7B72"/>
    <w:rsid w:val="31AE23E6"/>
    <w:rsid w:val="31B43394"/>
    <w:rsid w:val="31C84B78"/>
    <w:rsid w:val="31E1653B"/>
    <w:rsid w:val="322E5B21"/>
    <w:rsid w:val="324C1DC4"/>
    <w:rsid w:val="32610562"/>
    <w:rsid w:val="326F2778"/>
    <w:rsid w:val="32C01964"/>
    <w:rsid w:val="32CD2BE3"/>
    <w:rsid w:val="32DB1789"/>
    <w:rsid w:val="33153593"/>
    <w:rsid w:val="33194345"/>
    <w:rsid w:val="33211838"/>
    <w:rsid w:val="33314D5E"/>
    <w:rsid w:val="33433A5B"/>
    <w:rsid w:val="334E3387"/>
    <w:rsid w:val="338C7428"/>
    <w:rsid w:val="33B4797A"/>
    <w:rsid w:val="33BF71A0"/>
    <w:rsid w:val="33D453FD"/>
    <w:rsid w:val="33D951B4"/>
    <w:rsid w:val="33E414E6"/>
    <w:rsid w:val="33F00D0E"/>
    <w:rsid w:val="34091BF6"/>
    <w:rsid w:val="34296534"/>
    <w:rsid w:val="34537D85"/>
    <w:rsid w:val="34767593"/>
    <w:rsid w:val="347744CB"/>
    <w:rsid w:val="349C700F"/>
    <w:rsid w:val="34D92B3B"/>
    <w:rsid w:val="34F23498"/>
    <w:rsid w:val="35441593"/>
    <w:rsid w:val="35464FF3"/>
    <w:rsid w:val="356D583A"/>
    <w:rsid w:val="35810BEA"/>
    <w:rsid w:val="35BE6D4B"/>
    <w:rsid w:val="35FB37C2"/>
    <w:rsid w:val="36236F54"/>
    <w:rsid w:val="36621E8B"/>
    <w:rsid w:val="36760EF9"/>
    <w:rsid w:val="368D556D"/>
    <w:rsid w:val="3698760B"/>
    <w:rsid w:val="36C346E4"/>
    <w:rsid w:val="36C75462"/>
    <w:rsid w:val="36C84712"/>
    <w:rsid w:val="36F60275"/>
    <w:rsid w:val="371D5740"/>
    <w:rsid w:val="374E6144"/>
    <w:rsid w:val="37536778"/>
    <w:rsid w:val="377B038F"/>
    <w:rsid w:val="378A544B"/>
    <w:rsid w:val="37926927"/>
    <w:rsid w:val="37B84C57"/>
    <w:rsid w:val="37F83847"/>
    <w:rsid w:val="38152E75"/>
    <w:rsid w:val="3859439C"/>
    <w:rsid w:val="38655B63"/>
    <w:rsid w:val="3885291E"/>
    <w:rsid w:val="38967039"/>
    <w:rsid w:val="38E26E61"/>
    <w:rsid w:val="38F700E4"/>
    <w:rsid w:val="390810EF"/>
    <w:rsid w:val="392125AA"/>
    <w:rsid w:val="39450AA9"/>
    <w:rsid w:val="39556A2C"/>
    <w:rsid w:val="39686A25"/>
    <w:rsid w:val="398B25B1"/>
    <w:rsid w:val="3995796A"/>
    <w:rsid w:val="39961C7B"/>
    <w:rsid w:val="39A35459"/>
    <w:rsid w:val="39A571FD"/>
    <w:rsid w:val="39B52A87"/>
    <w:rsid w:val="39C8790B"/>
    <w:rsid w:val="39F45366"/>
    <w:rsid w:val="39FD6825"/>
    <w:rsid w:val="3A09798E"/>
    <w:rsid w:val="3A117349"/>
    <w:rsid w:val="3A3D2730"/>
    <w:rsid w:val="3A471991"/>
    <w:rsid w:val="3A625C4A"/>
    <w:rsid w:val="3A8E37F4"/>
    <w:rsid w:val="3A906F45"/>
    <w:rsid w:val="3AA362A5"/>
    <w:rsid w:val="3AAE1769"/>
    <w:rsid w:val="3AC37790"/>
    <w:rsid w:val="3AD74503"/>
    <w:rsid w:val="3ADC1004"/>
    <w:rsid w:val="3B0243AE"/>
    <w:rsid w:val="3B16469F"/>
    <w:rsid w:val="3B171822"/>
    <w:rsid w:val="3B383C19"/>
    <w:rsid w:val="3B854387"/>
    <w:rsid w:val="3B9670A6"/>
    <w:rsid w:val="3C052EF3"/>
    <w:rsid w:val="3C0A73D1"/>
    <w:rsid w:val="3CA362FD"/>
    <w:rsid w:val="3CC20A40"/>
    <w:rsid w:val="3D315984"/>
    <w:rsid w:val="3D8E6F52"/>
    <w:rsid w:val="3DD43653"/>
    <w:rsid w:val="3DDE00DB"/>
    <w:rsid w:val="3DDF5951"/>
    <w:rsid w:val="3DED423B"/>
    <w:rsid w:val="3E09766E"/>
    <w:rsid w:val="3E291F34"/>
    <w:rsid w:val="3E5F3F8F"/>
    <w:rsid w:val="3E6618CA"/>
    <w:rsid w:val="3EAD56E7"/>
    <w:rsid w:val="3EC4393F"/>
    <w:rsid w:val="3EC911B2"/>
    <w:rsid w:val="3EFE7203"/>
    <w:rsid w:val="3F565C4D"/>
    <w:rsid w:val="3F5C5DE8"/>
    <w:rsid w:val="3F69229B"/>
    <w:rsid w:val="3F715C82"/>
    <w:rsid w:val="3F8370EA"/>
    <w:rsid w:val="3F8E13DC"/>
    <w:rsid w:val="3F8F7E6C"/>
    <w:rsid w:val="3FB9187E"/>
    <w:rsid w:val="3FD83E68"/>
    <w:rsid w:val="3FD870C5"/>
    <w:rsid w:val="401459F7"/>
    <w:rsid w:val="4021659D"/>
    <w:rsid w:val="40325696"/>
    <w:rsid w:val="40382F92"/>
    <w:rsid w:val="40881342"/>
    <w:rsid w:val="40883C80"/>
    <w:rsid w:val="40B13F96"/>
    <w:rsid w:val="40B30760"/>
    <w:rsid w:val="40CD237A"/>
    <w:rsid w:val="40D22ED6"/>
    <w:rsid w:val="41001F5C"/>
    <w:rsid w:val="410F0F3D"/>
    <w:rsid w:val="411A557E"/>
    <w:rsid w:val="415C53F3"/>
    <w:rsid w:val="416A71D0"/>
    <w:rsid w:val="4189261F"/>
    <w:rsid w:val="418B0114"/>
    <w:rsid w:val="41A5138A"/>
    <w:rsid w:val="41D55B63"/>
    <w:rsid w:val="41F42A7B"/>
    <w:rsid w:val="42042450"/>
    <w:rsid w:val="42162D96"/>
    <w:rsid w:val="4219105E"/>
    <w:rsid w:val="42444459"/>
    <w:rsid w:val="42653DA1"/>
    <w:rsid w:val="42704DAE"/>
    <w:rsid w:val="42706A4F"/>
    <w:rsid w:val="42770A0C"/>
    <w:rsid w:val="427E19AD"/>
    <w:rsid w:val="42AF2B31"/>
    <w:rsid w:val="42BD2550"/>
    <w:rsid w:val="42EC074C"/>
    <w:rsid w:val="43253018"/>
    <w:rsid w:val="43274BBC"/>
    <w:rsid w:val="43355326"/>
    <w:rsid w:val="438A0218"/>
    <w:rsid w:val="43A01517"/>
    <w:rsid w:val="43A56F37"/>
    <w:rsid w:val="43E33BF9"/>
    <w:rsid w:val="43FF0875"/>
    <w:rsid w:val="4419398C"/>
    <w:rsid w:val="444B68D4"/>
    <w:rsid w:val="44581D6B"/>
    <w:rsid w:val="44603483"/>
    <w:rsid w:val="448B573D"/>
    <w:rsid w:val="449F484B"/>
    <w:rsid w:val="44BB193B"/>
    <w:rsid w:val="44C012A9"/>
    <w:rsid w:val="44D22845"/>
    <w:rsid w:val="44E419F6"/>
    <w:rsid w:val="44E62215"/>
    <w:rsid w:val="45186B13"/>
    <w:rsid w:val="457F0D32"/>
    <w:rsid w:val="45EE126F"/>
    <w:rsid w:val="46420213"/>
    <w:rsid w:val="464F3F4F"/>
    <w:rsid w:val="466D6E3B"/>
    <w:rsid w:val="46787D24"/>
    <w:rsid w:val="46F057FA"/>
    <w:rsid w:val="47062DDE"/>
    <w:rsid w:val="47293869"/>
    <w:rsid w:val="477D618C"/>
    <w:rsid w:val="478111D1"/>
    <w:rsid w:val="478D7300"/>
    <w:rsid w:val="47DB76FE"/>
    <w:rsid w:val="482E15B0"/>
    <w:rsid w:val="483409ED"/>
    <w:rsid w:val="48362EDE"/>
    <w:rsid w:val="4839656E"/>
    <w:rsid w:val="487E3FE2"/>
    <w:rsid w:val="487E62BF"/>
    <w:rsid w:val="48835CE6"/>
    <w:rsid w:val="48876D39"/>
    <w:rsid w:val="488803FD"/>
    <w:rsid w:val="488E4838"/>
    <w:rsid w:val="48D357D2"/>
    <w:rsid w:val="48D621CC"/>
    <w:rsid w:val="48EA65AD"/>
    <w:rsid w:val="491962DF"/>
    <w:rsid w:val="49304476"/>
    <w:rsid w:val="49480267"/>
    <w:rsid w:val="49510060"/>
    <w:rsid w:val="49BE0E26"/>
    <w:rsid w:val="49F31C17"/>
    <w:rsid w:val="49FD1865"/>
    <w:rsid w:val="4A0049BE"/>
    <w:rsid w:val="4A281B71"/>
    <w:rsid w:val="4A3461B7"/>
    <w:rsid w:val="4A696610"/>
    <w:rsid w:val="4A7C2312"/>
    <w:rsid w:val="4A7D1EC2"/>
    <w:rsid w:val="4A8C5241"/>
    <w:rsid w:val="4AEF7897"/>
    <w:rsid w:val="4B4549F4"/>
    <w:rsid w:val="4B6E17A2"/>
    <w:rsid w:val="4B925306"/>
    <w:rsid w:val="4B997AE4"/>
    <w:rsid w:val="4BBA7E0B"/>
    <w:rsid w:val="4BBE0C63"/>
    <w:rsid w:val="4BC52A02"/>
    <w:rsid w:val="4BE21B77"/>
    <w:rsid w:val="4BE3326E"/>
    <w:rsid w:val="4BE64F74"/>
    <w:rsid w:val="4BEB17A9"/>
    <w:rsid w:val="4C0E691D"/>
    <w:rsid w:val="4C1A7275"/>
    <w:rsid w:val="4C256175"/>
    <w:rsid w:val="4C2E5DA4"/>
    <w:rsid w:val="4C3E67D2"/>
    <w:rsid w:val="4C976591"/>
    <w:rsid w:val="4CB238C9"/>
    <w:rsid w:val="4CD2672F"/>
    <w:rsid w:val="4CD30A40"/>
    <w:rsid w:val="4CEB3302"/>
    <w:rsid w:val="4CF319A3"/>
    <w:rsid w:val="4D445AC4"/>
    <w:rsid w:val="4D510D6B"/>
    <w:rsid w:val="4D7029CB"/>
    <w:rsid w:val="4DBB7E8E"/>
    <w:rsid w:val="4DE90E6A"/>
    <w:rsid w:val="4DFF067C"/>
    <w:rsid w:val="4E070058"/>
    <w:rsid w:val="4E0848DC"/>
    <w:rsid w:val="4E102E02"/>
    <w:rsid w:val="4E2A0930"/>
    <w:rsid w:val="4E640A54"/>
    <w:rsid w:val="4EBA5538"/>
    <w:rsid w:val="4EDB5967"/>
    <w:rsid w:val="4EF246F2"/>
    <w:rsid w:val="4EFA4674"/>
    <w:rsid w:val="4F2E525F"/>
    <w:rsid w:val="4F4A74FA"/>
    <w:rsid w:val="4F547DDD"/>
    <w:rsid w:val="4F934AB3"/>
    <w:rsid w:val="4FB4318C"/>
    <w:rsid w:val="4FBE3FF8"/>
    <w:rsid w:val="4FC37905"/>
    <w:rsid w:val="4FCA48A4"/>
    <w:rsid w:val="4FE41566"/>
    <w:rsid w:val="4FEF610B"/>
    <w:rsid w:val="4FFD55BB"/>
    <w:rsid w:val="50096DED"/>
    <w:rsid w:val="501D6CCD"/>
    <w:rsid w:val="503F42FE"/>
    <w:rsid w:val="50504B20"/>
    <w:rsid w:val="50742DDB"/>
    <w:rsid w:val="50B054D8"/>
    <w:rsid w:val="51353BAD"/>
    <w:rsid w:val="5168065E"/>
    <w:rsid w:val="517F5D4C"/>
    <w:rsid w:val="51976749"/>
    <w:rsid w:val="51DB2589"/>
    <w:rsid w:val="51E81F2E"/>
    <w:rsid w:val="524E55A1"/>
    <w:rsid w:val="526867B6"/>
    <w:rsid w:val="52CF2B04"/>
    <w:rsid w:val="52D1298C"/>
    <w:rsid w:val="52D833CC"/>
    <w:rsid w:val="53114AD1"/>
    <w:rsid w:val="532854C1"/>
    <w:rsid w:val="5352317D"/>
    <w:rsid w:val="535F00DF"/>
    <w:rsid w:val="537A2504"/>
    <w:rsid w:val="5387430F"/>
    <w:rsid w:val="53931DE8"/>
    <w:rsid w:val="53CA2DAB"/>
    <w:rsid w:val="53E142C2"/>
    <w:rsid w:val="53FE01DC"/>
    <w:rsid w:val="54055682"/>
    <w:rsid w:val="541A7469"/>
    <w:rsid w:val="543060BF"/>
    <w:rsid w:val="544D6993"/>
    <w:rsid w:val="54AA4C06"/>
    <w:rsid w:val="54BE6593"/>
    <w:rsid w:val="5547407C"/>
    <w:rsid w:val="555A2FE5"/>
    <w:rsid w:val="55820977"/>
    <w:rsid w:val="55921AB1"/>
    <w:rsid w:val="559657F8"/>
    <w:rsid w:val="55A66EBB"/>
    <w:rsid w:val="55B03571"/>
    <w:rsid w:val="55DA604E"/>
    <w:rsid w:val="55F95997"/>
    <w:rsid w:val="561501C2"/>
    <w:rsid w:val="56781E1F"/>
    <w:rsid w:val="56EC0441"/>
    <w:rsid w:val="57104198"/>
    <w:rsid w:val="574259FA"/>
    <w:rsid w:val="57490A0B"/>
    <w:rsid w:val="57704A56"/>
    <w:rsid w:val="579F0791"/>
    <w:rsid w:val="57AD4110"/>
    <w:rsid w:val="5807316E"/>
    <w:rsid w:val="58526067"/>
    <w:rsid w:val="586D2B4E"/>
    <w:rsid w:val="586E25A8"/>
    <w:rsid w:val="58732243"/>
    <w:rsid w:val="587C2F6C"/>
    <w:rsid w:val="58EA5B11"/>
    <w:rsid w:val="58ED3929"/>
    <w:rsid w:val="590D56E2"/>
    <w:rsid w:val="591C685C"/>
    <w:rsid w:val="593C6EB2"/>
    <w:rsid w:val="595A2D4B"/>
    <w:rsid w:val="59944019"/>
    <w:rsid w:val="59970C3D"/>
    <w:rsid w:val="59A76714"/>
    <w:rsid w:val="59B47C93"/>
    <w:rsid w:val="59B6263D"/>
    <w:rsid w:val="59B95475"/>
    <w:rsid w:val="59BC12E9"/>
    <w:rsid w:val="59C930E1"/>
    <w:rsid w:val="59CD0258"/>
    <w:rsid w:val="59DC4AFF"/>
    <w:rsid w:val="59EC4266"/>
    <w:rsid w:val="5A0D0A2D"/>
    <w:rsid w:val="5A441419"/>
    <w:rsid w:val="5A457301"/>
    <w:rsid w:val="5A76675B"/>
    <w:rsid w:val="5AD52E68"/>
    <w:rsid w:val="5AED0B4C"/>
    <w:rsid w:val="5AF43851"/>
    <w:rsid w:val="5AFD030D"/>
    <w:rsid w:val="5B0C0287"/>
    <w:rsid w:val="5B26685B"/>
    <w:rsid w:val="5B2C5AAF"/>
    <w:rsid w:val="5B5A1BF2"/>
    <w:rsid w:val="5B962EEF"/>
    <w:rsid w:val="5BA403DD"/>
    <w:rsid w:val="5BA40B13"/>
    <w:rsid w:val="5BAB35F1"/>
    <w:rsid w:val="5BAB6AEA"/>
    <w:rsid w:val="5BB01537"/>
    <w:rsid w:val="5BB24877"/>
    <w:rsid w:val="5BE2525D"/>
    <w:rsid w:val="5C071293"/>
    <w:rsid w:val="5C081EE1"/>
    <w:rsid w:val="5C3B2029"/>
    <w:rsid w:val="5C520BB0"/>
    <w:rsid w:val="5C707360"/>
    <w:rsid w:val="5CC523AD"/>
    <w:rsid w:val="5CE00FB9"/>
    <w:rsid w:val="5D8A05A3"/>
    <w:rsid w:val="5DA33C2C"/>
    <w:rsid w:val="5DB011B4"/>
    <w:rsid w:val="5DB81596"/>
    <w:rsid w:val="5E383D0F"/>
    <w:rsid w:val="5E551FB5"/>
    <w:rsid w:val="5E574768"/>
    <w:rsid w:val="5E726A19"/>
    <w:rsid w:val="5E8A0E25"/>
    <w:rsid w:val="5EBB31CF"/>
    <w:rsid w:val="5EBE1E73"/>
    <w:rsid w:val="5EEB1C33"/>
    <w:rsid w:val="5F43018E"/>
    <w:rsid w:val="5F7B4389"/>
    <w:rsid w:val="5F941B98"/>
    <w:rsid w:val="5FBD1853"/>
    <w:rsid w:val="60155157"/>
    <w:rsid w:val="601831F9"/>
    <w:rsid w:val="60413BFC"/>
    <w:rsid w:val="6052548F"/>
    <w:rsid w:val="606D2174"/>
    <w:rsid w:val="607170D2"/>
    <w:rsid w:val="60786190"/>
    <w:rsid w:val="609470E5"/>
    <w:rsid w:val="60B30D2F"/>
    <w:rsid w:val="60B95F0E"/>
    <w:rsid w:val="60DC6F8B"/>
    <w:rsid w:val="60E45AB4"/>
    <w:rsid w:val="60F26425"/>
    <w:rsid w:val="610D0751"/>
    <w:rsid w:val="61110279"/>
    <w:rsid w:val="61126B5E"/>
    <w:rsid w:val="61244348"/>
    <w:rsid w:val="612755FB"/>
    <w:rsid w:val="612D0C16"/>
    <w:rsid w:val="61382F1E"/>
    <w:rsid w:val="614C32FC"/>
    <w:rsid w:val="61744DC6"/>
    <w:rsid w:val="61A824A6"/>
    <w:rsid w:val="61E96899"/>
    <w:rsid w:val="61F46873"/>
    <w:rsid w:val="61F77633"/>
    <w:rsid w:val="621719D8"/>
    <w:rsid w:val="623B2DB1"/>
    <w:rsid w:val="625E20A6"/>
    <w:rsid w:val="627C4BA9"/>
    <w:rsid w:val="6294107E"/>
    <w:rsid w:val="62CA5FB8"/>
    <w:rsid w:val="62D437E3"/>
    <w:rsid w:val="62E847EC"/>
    <w:rsid w:val="63123C73"/>
    <w:rsid w:val="63171D4B"/>
    <w:rsid w:val="63402D3C"/>
    <w:rsid w:val="63453E8A"/>
    <w:rsid w:val="637E3588"/>
    <w:rsid w:val="63B43933"/>
    <w:rsid w:val="63F74C7A"/>
    <w:rsid w:val="63FC70D8"/>
    <w:rsid w:val="645B4B75"/>
    <w:rsid w:val="64757BB9"/>
    <w:rsid w:val="64763058"/>
    <w:rsid w:val="6485675B"/>
    <w:rsid w:val="64F82194"/>
    <w:rsid w:val="65353527"/>
    <w:rsid w:val="654F3A66"/>
    <w:rsid w:val="655A29E1"/>
    <w:rsid w:val="655F1294"/>
    <w:rsid w:val="656004F1"/>
    <w:rsid w:val="656D318B"/>
    <w:rsid w:val="65730A8D"/>
    <w:rsid w:val="65A52E3D"/>
    <w:rsid w:val="65AE7D85"/>
    <w:rsid w:val="65CE6EB4"/>
    <w:rsid w:val="65CF15F1"/>
    <w:rsid w:val="65D23456"/>
    <w:rsid w:val="660B04E5"/>
    <w:rsid w:val="661B1149"/>
    <w:rsid w:val="662C4530"/>
    <w:rsid w:val="66A870A3"/>
    <w:rsid w:val="66D132A5"/>
    <w:rsid w:val="66F44798"/>
    <w:rsid w:val="66F50178"/>
    <w:rsid w:val="670D586B"/>
    <w:rsid w:val="67624D1E"/>
    <w:rsid w:val="676812AB"/>
    <w:rsid w:val="676C5255"/>
    <w:rsid w:val="677575E8"/>
    <w:rsid w:val="679528D8"/>
    <w:rsid w:val="67975357"/>
    <w:rsid w:val="679A508E"/>
    <w:rsid w:val="67B15BED"/>
    <w:rsid w:val="67CA6CC4"/>
    <w:rsid w:val="67FC17B6"/>
    <w:rsid w:val="67FC6264"/>
    <w:rsid w:val="682F23A5"/>
    <w:rsid w:val="68352E03"/>
    <w:rsid w:val="684B3582"/>
    <w:rsid w:val="685E5537"/>
    <w:rsid w:val="689E1461"/>
    <w:rsid w:val="68A813B7"/>
    <w:rsid w:val="68E767AA"/>
    <w:rsid w:val="68E82E50"/>
    <w:rsid w:val="68F71545"/>
    <w:rsid w:val="6904492C"/>
    <w:rsid w:val="69143608"/>
    <w:rsid w:val="692F6B22"/>
    <w:rsid w:val="6949123B"/>
    <w:rsid w:val="69526584"/>
    <w:rsid w:val="69594F9D"/>
    <w:rsid w:val="698A2163"/>
    <w:rsid w:val="699A7177"/>
    <w:rsid w:val="69AF626B"/>
    <w:rsid w:val="69B20C2D"/>
    <w:rsid w:val="69B54560"/>
    <w:rsid w:val="69C74CF6"/>
    <w:rsid w:val="6A8D58B6"/>
    <w:rsid w:val="6AA11BE9"/>
    <w:rsid w:val="6AB23DFA"/>
    <w:rsid w:val="6B011B09"/>
    <w:rsid w:val="6B071EFF"/>
    <w:rsid w:val="6B21597B"/>
    <w:rsid w:val="6B2F5911"/>
    <w:rsid w:val="6B63525D"/>
    <w:rsid w:val="6BB22C67"/>
    <w:rsid w:val="6BBA33C4"/>
    <w:rsid w:val="6BBB3C6F"/>
    <w:rsid w:val="6BC1539F"/>
    <w:rsid w:val="6BD61602"/>
    <w:rsid w:val="6BF74C68"/>
    <w:rsid w:val="6C142F78"/>
    <w:rsid w:val="6C3B2AC5"/>
    <w:rsid w:val="6C3D124A"/>
    <w:rsid w:val="6C6352D8"/>
    <w:rsid w:val="6C6E774B"/>
    <w:rsid w:val="6C8E2488"/>
    <w:rsid w:val="6C95778D"/>
    <w:rsid w:val="6CE121AC"/>
    <w:rsid w:val="6CFA16AD"/>
    <w:rsid w:val="6D010BA5"/>
    <w:rsid w:val="6D0A7740"/>
    <w:rsid w:val="6D22786E"/>
    <w:rsid w:val="6D4E1885"/>
    <w:rsid w:val="6D6024F4"/>
    <w:rsid w:val="6D895660"/>
    <w:rsid w:val="6D8C7172"/>
    <w:rsid w:val="6D8E7368"/>
    <w:rsid w:val="6DDC5208"/>
    <w:rsid w:val="6DDE559D"/>
    <w:rsid w:val="6DE22ECA"/>
    <w:rsid w:val="6DF260BE"/>
    <w:rsid w:val="6DF42ACC"/>
    <w:rsid w:val="6DF717EF"/>
    <w:rsid w:val="6E235103"/>
    <w:rsid w:val="6E3178C0"/>
    <w:rsid w:val="6E7079D8"/>
    <w:rsid w:val="6E7A77D5"/>
    <w:rsid w:val="6EA312C4"/>
    <w:rsid w:val="6EA67728"/>
    <w:rsid w:val="6EAD4736"/>
    <w:rsid w:val="6EBC42B6"/>
    <w:rsid w:val="6EE04C9B"/>
    <w:rsid w:val="6EF52489"/>
    <w:rsid w:val="6EFE2E34"/>
    <w:rsid w:val="6F290392"/>
    <w:rsid w:val="6F3D2E01"/>
    <w:rsid w:val="6F4C696E"/>
    <w:rsid w:val="6F5A6D58"/>
    <w:rsid w:val="6F5D19F9"/>
    <w:rsid w:val="6F8A0358"/>
    <w:rsid w:val="6FA77490"/>
    <w:rsid w:val="6FB80185"/>
    <w:rsid w:val="6FC03975"/>
    <w:rsid w:val="6FD62698"/>
    <w:rsid w:val="6FD84C33"/>
    <w:rsid w:val="6FE84CBB"/>
    <w:rsid w:val="6FEF32DC"/>
    <w:rsid w:val="7018783B"/>
    <w:rsid w:val="706305B2"/>
    <w:rsid w:val="706A131D"/>
    <w:rsid w:val="707D03E7"/>
    <w:rsid w:val="70971D81"/>
    <w:rsid w:val="70D27CAC"/>
    <w:rsid w:val="70FF7A34"/>
    <w:rsid w:val="71421785"/>
    <w:rsid w:val="715D072E"/>
    <w:rsid w:val="716335F4"/>
    <w:rsid w:val="718B58B5"/>
    <w:rsid w:val="718C4C5B"/>
    <w:rsid w:val="718F1FE5"/>
    <w:rsid w:val="719F09F0"/>
    <w:rsid w:val="71C73063"/>
    <w:rsid w:val="71C73D96"/>
    <w:rsid w:val="71CC59FE"/>
    <w:rsid w:val="71D62FB3"/>
    <w:rsid w:val="71F301F1"/>
    <w:rsid w:val="720553A9"/>
    <w:rsid w:val="721B1170"/>
    <w:rsid w:val="72275A6E"/>
    <w:rsid w:val="723E1920"/>
    <w:rsid w:val="724242DB"/>
    <w:rsid w:val="72551616"/>
    <w:rsid w:val="729D337C"/>
    <w:rsid w:val="729E2E91"/>
    <w:rsid w:val="72A86AE6"/>
    <w:rsid w:val="72AE6265"/>
    <w:rsid w:val="72BC5F0A"/>
    <w:rsid w:val="72C30D17"/>
    <w:rsid w:val="72D019E8"/>
    <w:rsid w:val="72F93721"/>
    <w:rsid w:val="72FB6396"/>
    <w:rsid w:val="73036A07"/>
    <w:rsid w:val="730E00FF"/>
    <w:rsid w:val="731803B4"/>
    <w:rsid w:val="73343C02"/>
    <w:rsid w:val="73357DDA"/>
    <w:rsid w:val="736A4798"/>
    <w:rsid w:val="73773081"/>
    <w:rsid w:val="73851166"/>
    <w:rsid w:val="738B7489"/>
    <w:rsid w:val="739D0561"/>
    <w:rsid w:val="741F034C"/>
    <w:rsid w:val="744608D8"/>
    <w:rsid w:val="744B4783"/>
    <w:rsid w:val="74595F92"/>
    <w:rsid w:val="748A7747"/>
    <w:rsid w:val="74A02FC2"/>
    <w:rsid w:val="74A1162B"/>
    <w:rsid w:val="74A75EC6"/>
    <w:rsid w:val="74AF3517"/>
    <w:rsid w:val="74C363BA"/>
    <w:rsid w:val="74CB03F4"/>
    <w:rsid w:val="74CD4D33"/>
    <w:rsid w:val="7535447F"/>
    <w:rsid w:val="7542011D"/>
    <w:rsid w:val="754F593F"/>
    <w:rsid w:val="756E6451"/>
    <w:rsid w:val="757B4BC3"/>
    <w:rsid w:val="758A04F4"/>
    <w:rsid w:val="75A27357"/>
    <w:rsid w:val="761D10CA"/>
    <w:rsid w:val="762C7ED0"/>
    <w:rsid w:val="76477075"/>
    <w:rsid w:val="765428D4"/>
    <w:rsid w:val="76627065"/>
    <w:rsid w:val="76643330"/>
    <w:rsid w:val="76C909FA"/>
    <w:rsid w:val="76CC21A9"/>
    <w:rsid w:val="76DE394D"/>
    <w:rsid w:val="76F5154A"/>
    <w:rsid w:val="772C1420"/>
    <w:rsid w:val="773E4C74"/>
    <w:rsid w:val="77454B26"/>
    <w:rsid w:val="77491189"/>
    <w:rsid w:val="778342D6"/>
    <w:rsid w:val="77845621"/>
    <w:rsid w:val="77B06332"/>
    <w:rsid w:val="77D21D23"/>
    <w:rsid w:val="77D260DB"/>
    <w:rsid w:val="77DC5AF0"/>
    <w:rsid w:val="78022526"/>
    <w:rsid w:val="78033EC4"/>
    <w:rsid w:val="780D7F6D"/>
    <w:rsid w:val="7832670E"/>
    <w:rsid w:val="78713DC1"/>
    <w:rsid w:val="78806B92"/>
    <w:rsid w:val="789A4D4B"/>
    <w:rsid w:val="78AF224C"/>
    <w:rsid w:val="78AF4121"/>
    <w:rsid w:val="78BA2601"/>
    <w:rsid w:val="78E755E4"/>
    <w:rsid w:val="78FD1405"/>
    <w:rsid w:val="792F0A1C"/>
    <w:rsid w:val="79C27863"/>
    <w:rsid w:val="79D71F69"/>
    <w:rsid w:val="7A060094"/>
    <w:rsid w:val="7A0F353F"/>
    <w:rsid w:val="7A18609B"/>
    <w:rsid w:val="7A2575F1"/>
    <w:rsid w:val="7A371BAF"/>
    <w:rsid w:val="7A6C77D6"/>
    <w:rsid w:val="7A707A2F"/>
    <w:rsid w:val="7A984E37"/>
    <w:rsid w:val="7AA12392"/>
    <w:rsid w:val="7AA8347C"/>
    <w:rsid w:val="7AAE536D"/>
    <w:rsid w:val="7AD62FE7"/>
    <w:rsid w:val="7AE25B78"/>
    <w:rsid w:val="7B1D72AC"/>
    <w:rsid w:val="7B2818EB"/>
    <w:rsid w:val="7B382AB6"/>
    <w:rsid w:val="7B3C16D5"/>
    <w:rsid w:val="7B4066DD"/>
    <w:rsid w:val="7B5E7F30"/>
    <w:rsid w:val="7B791CD4"/>
    <w:rsid w:val="7B797DC7"/>
    <w:rsid w:val="7B867AD3"/>
    <w:rsid w:val="7B8A7267"/>
    <w:rsid w:val="7B9A0926"/>
    <w:rsid w:val="7BC417A7"/>
    <w:rsid w:val="7BF57973"/>
    <w:rsid w:val="7C0043F8"/>
    <w:rsid w:val="7C15327D"/>
    <w:rsid w:val="7C364AA1"/>
    <w:rsid w:val="7C400EF1"/>
    <w:rsid w:val="7C692B0D"/>
    <w:rsid w:val="7C73657A"/>
    <w:rsid w:val="7D2D70E0"/>
    <w:rsid w:val="7D533204"/>
    <w:rsid w:val="7D5B4767"/>
    <w:rsid w:val="7D805A1C"/>
    <w:rsid w:val="7D9036DC"/>
    <w:rsid w:val="7D914273"/>
    <w:rsid w:val="7DCE3CA0"/>
    <w:rsid w:val="7DEF678C"/>
    <w:rsid w:val="7E271D96"/>
    <w:rsid w:val="7E5020A2"/>
    <w:rsid w:val="7E662E27"/>
    <w:rsid w:val="7E791E88"/>
    <w:rsid w:val="7E892F73"/>
    <w:rsid w:val="7EB44258"/>
    <w:rsid w:val="7EC46746"/>
    <w:rsid w:val="7ED56C59"/>
    <w:rsid w:val="7EEE0606"/>
    <w:rsid w:val="7EF857EF"/>
    <w:rsid w:val="7F1663D3"/>
    <w:rsid w:val="7F2A08DE"/>
    <w:rsid w:val="7F437511"/>
    <w:rsid w:val="7F642AAA"/>
    <w:rsid w:val="7F994D81"/>
    <w:rsid w:val="7FC566DD"/>
    <w:rsid w:val="7FD34D39"/>
    <w:rsid w:val="7FF1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5"/>
    <w:qFormat/>
    <w:uiPriority w:val="0"/>
    <w:pPr>
      <w:keepNext/>
      <w:adjustRightInd w:val="0"/>
      <w:snapToGrid w:val="0"/>
      <w:spacing w:before="100" w:beforeLines="100" w:line="480" w:lineRule="auto"/>
      <w:jc w:val="center"/>
      <w:outlineLvl w:val="0"/>
    </w:pPr>
    <w:rPr>
      <w:rFonts w:hAnsi="宋体" w:cs="宋体"/>
      <w:b/>
      <w:kern w:val="2"/>
      <w:sz w:val="32"/>
    </w:rPr>
  </w:style>
  <w:style w:type="paragraph" w:styleId="4">
    <w:name w:val="heading 2"/>
    <w:basedOn w:val="1"/>
    <w:next w:val="1"/>
    <w:link w:val="30"/>
    <w:qFormat/>
    <w:uiPriority w:val="9"/>
    <w:pPr>
      <w:keepNext/>
      <w:keepLines/>
      <w:widowControl/>
      <w:spacing w:before="260" w:after="260"/>
      <w:ind w:left="284"/>
      <w:jc w:val="center"/>
      <w:outlineLvl w:val="1"/>
    </w:pPr>
    <w:rPr>
      <w:rFonts w:hAnsi="宋体" w:cs="宋体"/>
      <w:b/>
      <w:bCs/>
      <w:sz w:val="30"/>
      <w:szCs w:val="32"/>
    </w:rPr>
  </w:style>
  <w:style w:type="paragraph" w:styleId="5">
    <w:name w:val="heading 3"/>
    <w:basedOn w:val="1"/>
    <w:next w:val="1"/>
    <w:link w:val="36"/>
    <w:qFormat/>
    <w:uiPriority w:val="0"/>
    <w:pPr>
      <w:keepNext/>
      <w:spacing w:before="200" w:beforeLines="200" w:after="200" w:afterLines="200" w:line="400" w:lineRule="exact"/>
      <w:jc w:val="center"/>
      <w:outlineLvl w:val="2"/>
    </w:pPr>
    <w:rPr>
      <w:rFonts w:hAnsi="宋体" w:cs="宋体"/>
      <w:b/>
      <w:bCs/>
      <w:kern w:val="2"/>
      <w:sz w:val="28"/>
      <w:szCs w:val="24"/>
    </w:rPr>
  </w:style>
  <w:style w:type="paragraph" w:styleId="6">
    <w:name w:val="heading 4"/>
    <w:basedOn w:val="1"/>
    <w:next w:val="1"/>
    <w:link w:val="37"/>
    <w:qFormat/>
    <w:uiPriority w:val="0"/>
    <w:pPr>
      <w:keepNext/>
      <w:keepLines/>
      <w:tabs>
        <w:tab w:val="left" w:pos="864"/>
      </w:tabs>
      <w:adjustRightInd w:val="0"/>
      <w:snapToGrid w:val="0"/>
      <w:spacing w:before="120" w:line="360" w:lineRule="auto"/>
      <w:outlineLvl w:val="3"/>
    </w:pPr>
    <w:rPr>
      <w:rFonts w:hAnsi="宋体" w:cs="宋体"/>
      <w:b/>
      <w:bCs/>
      <w:kern w:val="2"/>
      <w:szCs w:val="28"/>
    </w:rPr>
  </w:style>
  <w:style w:type="paragraph" w:styleId="7">
    <w:name w:val="heading 5"/>
    <w:basedOn w:val="1"/>
    <w:next w:val="1"/>
    <w:link w:val="38"/>
    <w:semiHidden/>
    <w:unhideWhenUsed/>
    <w:qFormat/>
    <w:uiPriority w:val="0"/>
    <w:pPr>
      <w:keepNext/>
      <w:keepLines/>
      <w:spacing w:before="280" w:after="290" w:line="372" w:lineRule="auto"/>
      <w:outlineLvl w:val="4"/>
    </w:pPr>
    <w:rPr>
      <w:b/>
      <w:sz w:val="28"/>
    </w:rPr>
  </w:style>
  <w:style w:type="paragraph" w:styleId="8">
    <w:name w:val="heading 6"/>
    <w:basedOn w:val="1"/>
    <w:next w:val="1"/>
    <w:qFormat/>
    <w:uiPriority w:val="0"/>
    <w:pPr>
      <w:keepNext/>
      <w:keepLines/>
      <w:adjustRightInd w:val="0"/>
      <w:spacing w:line="320" w:lineRule="atLeast"/>
      <w:outlineLvl w:val="5"/>
    </w:pPr>
    <w:rPr>
      <w:rFonts w:ascii="Arial" w:hAnsi="Arial" w:eastAsia="黑体"/>
      <w:b/>
      <w:kern w:val="0"/>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9">
    <w:name w:val="Normal Indent"/>
    <w:basedOn w:val="1"/>
    <w:next w:val="10"/>
    <w:link w:val="39"/>
    <w:qFormat/>
    <w:uiPriority w:val="0"/>
    <w:pPr>
      <w:adjustRightInd w:val="0"/>
      <w:snapToGrid w:val="0"/>
      <w:spacing w:line="360" w:lineRule="auto"/>
      <w:ind w:firstLine="420" w:firstLineChars="200"/>
    </w:pPr>
    <w:rPr>
      <w:rFonts w:hAnsi="宋体" w:cs="宋体"/>
      <w:kern w:val="2"/>
      <w:szCs w:val="24"/>
    </w:rPr>
  </w:style>
  <w:style w:type="paragraph" w:styleId="10">
    <w:name w:val="toc 4"/>
    <w:basedOn w:val="1"/>
    <w:next w:val="1"/>
    <w:unhideWhenUsed/>
    <w:qFormat/>
    <w:uiPriority w:val="39"/>
    <w:pPr>
      <w:ind w:left="1260" w:leftChars="600"/>
    </w:pPr>
  </w:style>
  <w:style w:type="paragraph" w:styleId="11">
    <w:name w:val="annotation text"/>
    <w:basedOn w:val="1"/>
    <w:qFormat/>
    <w:uiPriority w:val="0"/>
    <w:pPr>
      <w:jc w:val="left"/>
    </w:pPr>
  </w:style>
  <w:style w:type="paragraph" w:styleId="12">
    <w:name w:val="Body Text Indent"/>
    <w:basedOn w:val="1"/>
    <w:qFormat/>
    <w:uiPriority w:val="0"/>
    <w:pPr>
      <w:widowControl/>
      <w:ind w:firstLine="652" w:firstLineChars="233"/>
    </w:pPr>
    <w:rPr>
      <w:rFonts w:ascii="Times New Roman"/>
      <w:sz w:val="28"/>
    </w:rPr>
  </w:style>
  <w:style w:type="paragraph" w:styleId="13">
    <w:name w:val="Plain Text"/>
    <w:basedOn w:val="1"/>
    <w:qFormat/>
    <w:uiPriority w:val="0"/>
    <w:rPr>
      <w:rFonts w:hAnsi="Courier New"/>
      <w:kern w:val="2"/>
      <w:sz w:val="21"/>
    </w:rPr>
  </w:style>
  <w:style w:type="paragraph" w:styleId="14">
    <w:name w:val="Balloon Text"/>
    <w:basedOn w:val="1"/>
    <w:link w:val="40"/>
    <w:qFormat/>
    <w:uiPriority w:val="0"/>
    <w:rPr>
      <w:sz w:val="18"/>
      <w:szCs w:val="18"/>
    </w:rPr>
  </w:style>
  <w:style w:type="paragraph" w:styleId="15">
    <w:name w:val="footer"/>
    <w:basedOn w:val="1"/>
    <w:next w:val="2"/>
    <w:qFormat/>
    <w:uiPriority w:val="99"/>
    <w:pPr>
      <w:tabs>
        <w:tab w:val="center" w:pos="4153"/>
        <w:tab w:val="right" w:pos="8306"/>
      </w:tabs>
      <w:snapToGrid w:val="0"/>
      <w:jc w:val="left"/>
    </w:pPr>
    <w:rPr>
      <w:rFonts w:ascii="Times New Roman"/>
      <w:kern w:val="2"/>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7">
    <w:name w:val="toc 1"/>
    <w:basedOn w:val="1"/>
    <w:next w:val="1"/>
    <w:unhideWhenUsed/>
    <w:qFormat/>
    <w:uiPriority w:val="39"/>
    <w:pPr>
      <w:tabs>
        <w:tab w:val="left" w:pos="1418"/>
        <w:tab w:val="right" w:leader="dot" w:pos="8302"/>
      </w:tabs>
      <w:spacing w:line="480" w:lineRule="auto"/>
    </w:pPr>
    <w:rPr>
      <w:rFonts w:hAnsi="宋体"/>
      <w:b/>
      <w:sz w:val="28"/>
    </w:rPr>
  </w:style>
  <w:style w:type="paragraph" w:styleId="18">
    <w:name w:val="Normal (Web)"/>
    <w:basedOn w:val="1"/>
    <w:qFormat/>
    <w:uiPriority w:val="99"/>
    <w:pPr>
      <w:widowControl/>
      <w:spacing w:before="100" w:beforeAutospacing="1" w:after="100" w:afterAutospacing="1"/>
      <w:jc w:val="left"/>
    </w:pPr>
    <w:rPr>
      <w:rFonts w:hAnsi="宋体"/>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page number"/>
    <w:qFormat/>
    <w:uiPriority w:val="0"/>
  </w:style>
  <w:style w:type="character" w:styleId="24">
    <w:name w:val="annotation reference"/>
    <w:qFormat/>
    <w:uiPriority w:val="0"/>
    <w:rPr>
      <w:sz w:val="21"/>
      <w:szCs w:val="21"/>
    </w:rPr>
  </w:style>
  <w:style w:type="character" w:customStyle="1" w:styleId="25">
    <w:name w:val="标题 1 字符"/>
    <w:link w:val="3"/>
    <w:qFormat/>
    <w:uiPriority w:val="0"/>
    <w:rPr>
      <w:rFonts w:ascii="宋体" w:hAnsi="宋体" w:eastAsia="宋体" w:cs="宋体"/>
      <w:b/>
      <w:kern w:val="2"/>
      <w:sz w:val="32"/>
    </w:rPr>
  </w:style>
  <w:style w:type="paragraph" w:customStyle="1" w:styleId="26">
    <w:name w:val="表格文字"/>
    <w:basedOn w:val="1"/>
    <w:qFormat/>
    <w:uiPriority w:val="0"/>
    <w:pPr>
      <w:spacing w:before="120" w:after="120"/>
    </w:pPr>
    <w:rPr>
      <w:rFonts w:ascii="新宋体" w:hAnsi="宋体" w:eastAsia="新宋体"/>
      <w:bCs/>
      <w:color w:val="000000"/>
      <w:sz w:val="18"/>
      <w:szCs w:val="18"/>
    </w:rPr>
  </w:style>
  <w:style w:type="paragraph" w:customStyle="1" w:styleId="27">
    <w:name w:val="列出段落1"/>
    <w:basedOn w:val="1"/>
    <w:qFormat/>
    <w:uiPriority w:val="34"/>
    <w:pPr>
      <w:ind w:firstLine="420" w:firstLineChars="200"/>
    </w:pPr>
  </w:style>
  <w:style w:type="paragraph" w:customStyle="1" w:styleId="28">
    <w:name w:val="招标书 正文"/>
    <w:basedOn w:val="1"/>
    <w:qFormat/>
    <w:uiPriority w:val="0"/>
    <w:pPr>
      <w:widowControl/>
      <w:snapToGrid w:val="0"/>
      <w:spacing w:line="560" w:lineRule="exact"/>
      <w:ind w:firstLine="560" w:firstLineChars="200"/>
      <w:jc w:val="left"/>
    </w:pPr>
    <w:rPr>
      <w:rFonts w:hAnsi="宋体"/>
      <w:color w:val="000000"/>
      <w:szCs w:val="28"/>
    </w:rPr>
  </w:style>
  <w:style w:type="paragraph" w:customStyle="1" w:styleId="29">
    <w:name w:val="表格"/>
    <w:basedOn w:val="1"/>
    <w:qFormat/>
    <w:uiPriority w:val="0"/>
    <w:pPr>
      <w:jc w:val="center"/>
    </w:pPr>
    <w:rPr>
      <w:rFonts w:hAnsi="宋体" w:cs="宋体"/>
    </w:rPr>
  </w:style>
  <w:style w:type="character" w:customStyle="1" w:styleId="30">
    <w:name w:val="标题 2 字符"/>
    <w:link w:val="4"/>
    <w:qFormat/>
    <w:uiPriority w:val="9"/>
    <w:rPr>
      <w:rFonts w:ascii="宋体" w:hAnsi="宋体" w:eastAsia="宋体" w:cs="宋体"/>
      <w:b/>
      <w:bCs/>
      <w:sz w:val="30"/>
      <w:szCs w:val="32"/>
    </w:rPr>
  </w:style>
  <w:style w:type="paragraph" w:customStyle="1" w:styleId="31">
    <w:name w:val="纯文本1"/>
    <w:basedOn w:val="1"/>
    <w:qFormat/>
    <w:uiPriority w:val="0"/>
    <w:pPr>
      <w:spacing w:line="324" w:lineRule="auto"/>
    </w:pPr>
    <w:rPr>
      <w:rFonts w:hAnsi="Courier New" w:cs="Courier New"/>
      <w:szCs w:val="21"/>
    </w:rPr>
  </w:style>
  <w:style w:type="paragraph" w:customStyle="1" w:styleId="32">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33">
    <w:name w:val="表格文字中"/>
    <w:basedOn w:val="1"/>
    <w:qFormat/>
    <w:uiPriority w:val="0"/>
    <w:pPr>
      <w:adjustRightInd w:val="0"/>
      <w:snapToGrid w:val="0"/>
      <w:ind w:left="22" w:leftChars="8"/>
      <w:jc w:val="center"/>
    </w:pPr>
    <w:rPr>
      <w:szCs w:val="24"/>
    </w:rPr>
  </w:style>
  <w:style w:type="paragraph" w:customStyle="1" w:styleId="34">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35">
    <w:name w:val="标题 3 字符"/>
    <w:qFormat/>
    <w:uiPriority w:val="0"/>
    <w:rPr>
      <w:rFonts w:ascii="Times New Roman" w:hAnsi="Times New Roman" w:eastAsia="宋体"/>
      <w:b/>
      <w:bCs/>
      <w:kern w:val="2"/>
      <w:sz w:val="28"/>
      <w:szCs w:val="24"/>
    </w:rPr>
  </w:style>
  <w:style w:type="character" w:customStyle="1" w:styleId="36">
    <w:name w:val="标题 3 字符1"/>
    <w:link w:val="5"/>
    <w:qFormat/>
    <w:uiPriority w:val="0"/>
    <w:rPr>
      <w:rFonts w:ascii="宋体" w:hAnsi="宋体" w:eastAsia="宋体" w:cs="宋体"/>
      <w:b/>
      <w:sz w:val="28"/>
    </w:rPr>
  </w:style>
  <w:style w:type="character" w:customStyle="1" w:styleId="37">
    <w:name w:val="标题 4 字符"/>
    <w:link w:val="6"/>
    <w:qFormat/>
    <w:uiPriority w:val="0"/>
    <w:rPr>
      <w:rFonts w:ascii="宋体" w:hAnsi="宋体" w:eastAsia="宋体" w:cs="宋体"/>
      <w:b/>
      <w:bCs/>
      <w:kern w:val="2"/>
      <w:szCs w:val="28"/>
    </w:rPr>
  </w:style>
  <w:style w:type="character" w:customStyle="1" w:styleId="38">
    <w:name w:val="标题 5 字符"/>
    <w:link w:val="7"/>
    <w:qFormat/>
    <w:uiPriority w:val="0"/>
    <w:rPr>
      <w:b/>
      <w:sz w:val="28"/>
    </w:rPr>
  </w:style>
  <w:style w:type="character" w:customStyle="1" w:styleId="39">
    <w:name w:val="正文缩进 字符"/>
    <w:link w:val="9"/>
    <w:qFormat/>
    <w:uiPriority w:val="0"/>
    <w:rPr>
      <w:rFonts w:ascii="宋体" w:hAnsi="宋体" w:eastAsia="宋体" w:cs="宋体"/>
      <w:kern w:val="2"/>
      <w:sz w:val="24"/>
      <w:szCs w:val="24"/>
    </w:rPr>
  </w:style>
  <w:style w:type="character" w:customStyle="1" w:styleId="40">
    <w:name w:val="批注框文本 字符"/>
    <w:basedOn w:val="21"/>
    <w:link w:val="14"/>
    <w:qFormat/>
    <w:uiPriority w:val="0"/>
    <w:rPr>
      <w:rFonts w:ascii="宋体"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30802</Words>
  <Characters>33054</Characters>
  <Lines>287</Lines>
  <Paragraphs>80</Paragraphs>
  <TotalTime>2</TotalTime>
  <ScaleCrop>false</ScaleCrop>
  <LinksUpToDate>false</LinksUpToDate>
  <CharactersWithSpaces>35303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2021-07-21T06:46:00Z</dcterms:created>
  <dc:creator>Administrator</dc:creator>
  <cp:lastModifiedBy>申佩玉</cp:lastModifiedBy>
  <cp:lastPrinted>2021-10-14T05:52:00Z</cp:lastPrinted>
  <dcterms:modified xsi:type="dcterms:W3CDTF">2023-04-20T09:23:37Z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DDC62D9236E5440D9456679730CA696D</vt:lpwstr>
  </property>
</Properties>
</file>