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合同包1(2023—2024年度沣东新城校园安保服务):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合同包预算金额：15,120,000.00元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合同包最高限价：15,120,000.00元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571"/>
        <w:gridCol w:w="1651"/>
        <w:gridCol w:w="662"/>
        <w:gridCol w:w="998"/>
        <w:gridCol w:w="1605"/>
        <w:gridCol w:w="1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其他教育服务</w:t>
            </w:r>
          </w:p>
        </w:tc>
        <w:tc>
          <w:tcPr>
            <w:tcW w:w="108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校园安保服务</w:t>
            </w:r>
          </w:p>
        </w:tc>
        <w:tc>
          <w:tcPr>
            <w:tcW w:w="43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77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15,120,000.00</w:t>
            </w:r>
          </w:p>
        </w:tc>
        <w:tc>
          <w:tcPr>
            <w:tcW w:w="63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15,120,000.00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23B77CA3"/>
    <w:rsid w:val="23B7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2023-07-31T02:46:00Z</dcterms:created>
  <dc:creator>陕西中技招标有限公司</dc:creator>
  <cp:lastModifiedBy>陕西中技招标有限公司</cp:lastModifiedBy>
  <dcterms:modified xsi:type="dcterms:W3CDTF">2023-07-31T02:46:45Z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0C57120B4F2E4C56820720F3FCDF39B2_11</vt:lpwstr>
  </property>
</Properties>
</file>