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color w:val="auto"/>
        </w:rPr>
      </w:pPr>
      <w:r>
        <w:rPr>
          <w:rFonts w:hint="eastAsia" w:ascii="仿宋" w:hAnsi="仿宋" w:eastAsia="仿宋" w:cs="仿宋"/>
          <w:b/>
          <w:bCs w:val="0"/>
          <w:color w:val="auto"/>
          <w:sz w:val="30"/>
          <w:szCs w:val="30"/>
          <w:lang w:val="en-US" w:eastAsia="zh-CN"/>
        </w:rPr>
        <w:t>采购内容及要求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1、项目名称：西咸新区丝路经济带能源金融贸易区市政道路保洁、设施环卫及公厕管理服务项目（二次）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2、采购人：西咸新区丝路经济带能源金融贸易区管理办公室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3、项目编号：ZCSP-西咸新区本级-2023-00435（JXZB2023-W256）</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采购内容</w:t>
      </w:r>
      <w:bookmarkStart w:id="1" w:name="_GoBack"/>
      <w:bookmarkEnd w:id="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（一）采购内容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本项目采购内容为西咸新区丝路经济带能源金融贸易区现有及新增的道路清扫保洁及公厕管理工作。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（二）采购内容及说明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西咸新区丝路经济带能源金融贸易区市政道路保洁、设施环卫及公厕管理服务项目（二次）</w:t>
      </w:r>
      <w:r>
        <w:rPr>
          <w:rFonts w:hint="eastAsia" w:ascii="仿宋" w:hAnsi="仿宋" w:eastAsia="仿宋" w:cs="仿宋"/>
          <w:b w:val="0"/>
          <w:bCs w:val="0"/>
          <w:color w:val="auto"/>
          <w:sz w:val="24"/>
          <w:szCs w:val="24"/>
          <w:highlight w:val="none"/>
          <w:lang w:val="en-US" w:eastAsia="zh-CN"/>
        </w:rPr>
        <w:t>，具体内容如下：</w:t>
      </w:r>
    </w:p>
    <w:tbl>
      <w:tblPr>
        <w:tblStyle w:val="3"/>
        <w:tblW w:w="883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489"/>
        <w:gridCol w:w="1785"/>
        <w:gridCol w:w="1196"/>
        <w:gridCol w:w="897"/>
        <w:gridCol w:w="160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506" w:type="dxa"/>
            <w:gridSpan w:val="2"/>
            <w:noWrap w:val="0"/>
            <w:vAlign w:val="center"/>
          </w:tcPr>
          <w:p>
            <w:pPr>
              <w:spacing w:line="280" w:lineRule="exact"/>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包号</w:t>
            </w:r>
          </w:p>
        </w:tc>
        <w:tc>
          <w:tcPr>
            <w:tcW w:w="1785" w:type="dxa"/>
            <w:noWrap w:val="0"/>
            <w:vAlign w:val="center"/>
          </w:tcPr>
          <w:p>
            <w:pPr>
              <w:spacing w:line="280" w:lineRule="exact"/>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预算金额</w:t>
            </w:r>
          </w:p>
          <w:p>
            <w:pPr>
              <w:spacing w:line="280" w:lineRule="exact"/>
              <w:jc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lang w:val="en-US" w:eastAsia="zh-CN"/>
              </w:rPr>
              <w:t>（元）</w:t>
            </w:r>
          </w:p>
        </w:tc>
        <w:tc>
          <w:tcPr>
            <w:tcW w:w="1196" w:type="dxa"/>
            <w:noWrap w:val="0"/>
            <w:vAlign w:val="center"/>
          </w:tcPr>
          <w:p>
            <w:pPr>
              <w:spacing w:line="280" w:lineRule="exact"/>
              <w:jc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lang w:val="en-US" w:eastAsia="zh-CN"/>
              </w:rPr>
              <w:t>服务内容</w:t>
            </w:r>
          </w:p>
        </w:tc>
        <w:tc>
          <w:tcPr>
            <w:tcW w:w="897" w:type="dxa"/>
            <w:noWrap w:val="0"/>
            <w:vAlign w:val="center"/>
          </w:tcPr>
          <w:p>
            <w:pPr>
              <w:spacing w:line="280" w:lineRule="exact"/>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服务</w:t>
            </w:r>
          </w:p>
          <w:p>
            <w:pPr>
              <w:spacing w:line="280" w:lineRule="exact"/>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地点</w:t>
            </w:r>
          </w:p>
        </w:tc>
        <w:tc>
          <w:tcPr>
            <w:tcW w:w="1608" w:type="dxa"/>
            <w:noWrap w:val="0"/>
            <w:vAlign w:val="center"/>
          </w:tcPr>
          <w:p>
            <w:pPr>
              <w:spacing w:line="280" w:lineRule="exact"/>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数量</w:t>
            </w:r>
          </w:p>
        </w:tc>
        <w:tc>
          <w:tcPr>
            <w:tcW w:w="845" w:type="dxa"/>
            <w:noWrap w:val="0"/>
            <w:vAlign w:val="center"/>
          </w:tcPr>
          <w:p>
            <w:pPr>
              <w:spacing w:line="280" w:lineRule="exact"/>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017" w:type="dxa"/>
            <w:vMerge w:val="restart"/>
            <w:noWrap w:val="0"/>
            <w:vAlign w:val="center"/>
          </w:tcPr>
          <w:p>
            <w:pPr>
              <w:spacing w:line="28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第一包</w:t>
            </w:r>
          </w:p>
        </w:tc>
        <w:tc>
          <w:tcPr>
            <w:tcW w:w="1489" w:type="dxa"/>
            <w:vMerge w:val="restart"/>
            <w:noWrap w:val="0"/>
            <w:vAlign w:val="center"/>
          </w:tcPr>
          <w:p>
            <w:pPr>
              <w:spacing w:line="28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能源金贸片区市政道路保洁、设施环卫及公厕管理服务</w:t>
            </w:r>
          </w:p>
        </w:tc>
        <w:tc>
          <w:tcPr>
            <w:tcW w:w="1785" w:type="dxa"/>
            <w:vMerge w:val="restart"/>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￥39,650,500.42元</w:t>
            </w:r>
          </w:p>
        </w:tc>
        <w:tc>
          <w:tcPr>
            <w:tcW w:w="1196" w:type="dxa"/>
            <w:vMerge w:val="restart"/>
            <w:noWrap w:val="0"/>
            <w:vAlign w:val="center"/>
          </w:tcPr>
          <w:p>
            <w:pPr>
              <w:spacing w:line="28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市政道路保洁、设施环卫及公厕管理服务</w:t>
            </w:r>
          </w:p>
        </w:tc>
        <w:tc>
          <w:tcPr>
            <w:tcW w:w="897" w:type="dxa"/>
            <w:vMerge w:val="restart"/>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color w:val="auto"/>
                <w:sz w:val="18"/>
                <w:szCs w:val="18"/>
                <w:highlight w:val="none"/>
                <w:lang w:val="en-US" w:eastAsia="zh-CN"/>
              </w:rPr>
              <w:t>能源金贸片区</w:t>
            </w:r>
          </w:p>
        </w:tc>
        <w:tc>
          <w:tcPr>
            <w:tcW w:w="1608" w:type="dxa"/>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1649221.04㎡</w:t>
            </w:r>
          </w:p>
        </w:tc>
        <w:tc>
          <w:tcPr>
            <w:tcW w:w="845" w:type="dxa"/>
            <w:vMerge w:val="restart"/>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017" w:type="dxa"/>
            <w:vMerge w:val="continue"/>
            <w:noWrap w:val="0"/>
            <w:vAlign w:val="center"/>
          </w:tcPr>
          <w:p>
            <w:pPr>
              <w:spacing w:line="280" w:lineRule="exact"/>
              <w:jc w:val="center"/>
              <w:rPr>
                <w:rFonts w:hint="eastAsia" w:ascii="仿宋" w:hAnsi="仿宋" w:eastAsia="仿宋" w:cs="仿宋"/>
                <w:color w:val="auto"/>
                <w:sz w:val="18"/>
                <w:szCs w:val="18"/>
                <w:highlight w:val="none"/>
                <w:lang w:val="en-US" w:eastAsia="zh-CN"/>
              </w:rPr>
            </w:pPr>
          </w:p>
        </w:tc>
        <w:tc>
          <w:tcPr>
            <w:tcW w:w="1489" w:type="dxa"/>
            <w:vMerge w:val="continue"/>
            <w:noWrap w:val="0"/>
            <w:vAlign w:val="center"/>
          </w:tcPr>
          <w:p>
            <w:pPr>
              <w:spacing w:line="280" w:lineRule="exact"/>
              <w:jc w:val="center"/>
              <w:rPr>
                <w:rFonts w:hint="eastAsia" w:ascii="仿宋" w:hAnsi="仿宋" w:eastAsia="仿宋" w:cs="仿宋"/>
                <w:color w:val="auto"/>
                <w:sz w:val="18"/>
                <w:szCs w:val="18"/>
                <w:highlight w:val="none"/>
                <w:lang w:val="en-US" w:eastAsia="zh-CN"/>
              </w:rPr>
            </w:pPr>
          </w:p>
        </w:tc>
        <w:tc>
          <w:tcPr>
            <w:tcW w:w="1785" w:type="dxa"/>
            <w:vMerge w:val="continue"/>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p>
        </w:tc>
        <w:tc>
          <w:tcPr>
            <w:tcW w:w="1196" w:type="dxa"/>
            <w:vMerge w:val="continue"/>
            <w:noWrap w:val="0"/>
            <w:vAlign w:val="center"/>
          </w:tcPr>
          <w:p>
            <w:pPr>
              <w:spacing w:line="280" w:lineRule="exact"/>
              <w:jc w:val="center"/>
              <w:rPr>
                <w:rFonts w:hint="eastAsia" w:ascii="仿宋" w:hAnsi="仿宋" w:eastAsia="仿宋" w:cs="仿宋"/>
                <w:color w:val="auto"/>
                <w:sz w:val="18"/>
                <w:szCs w:val="18"/>
                <w:highlight w:val="none"/>
                <w:lang w:val="en-US" w:eastAsia="zh-CN"/>
              </w:rPr>
            </w:pPr>
          </w:p>
        </w:tc>
        <w:tc>
          <w:tcPr>
            <w:tcW w:w="897" w:type="dxa"/>
            <w:vMerge w:val="continue"/>
            <w:noWrap w:val="0"/>
            <w:vAlign w:val="center"/>
          </w:tcPr>
          <w:p>
            <w:pPr>
              <w:spacing w:line="280" w:lineRule="exact"/>
              <w:jc w:val="center"/>
              <w:rPr>
                <w:rFonts w:hint="eastAsia" w:ascii="仿宋" w:hAnsi="仿宋" w:eastAsia="仿宋" w:cs="仿宋"/>
                <w:color w:val="auto"/>
                <w:sz w:val="18"/>
                <w:szCs w:val="18"/>
                <w:highlight w:val="none"/>
                <w:lang w:val="en-US" w:eastAsia="zh-CN"/>
              </w:rPr>
            </w:pPr>
          </w:p>
        </w:tc>
        <w:tc>
          <w:tcPr>
            <w:tcW w:w="1608" w:type="dxa"/>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公厕6所</w:t>
            </w:r>
          </w:p>
        </w:tc>
        <w:tc>
          <w:tcPr>
            <w:tcW w:w="845" w:type="dxa"/>
            <w:vMerge w:val="continue"/>
            <w:tcBorders/>
            <w:noWrap w:val="0"/>
            <w:vAlign w:val="center"/>
          </w:tcPr>
          <w:p>
            <w:pPr>
              <w:spacing w:line="280" w:lineRule="exact"/>
              <w:jc w:val="center"/>
              <w:rPr>
                <w:rFonts w:hint="eastAsia" w:ascii="仿宋" w:hAnsi="仿宋" w:eastAsia="仿宋" w:cs="仿宋"/>
                <w:b w:val="0"/>
                <w:bCs w:val="0"/>
                <w:color w:val="auto"/>
                <w:sz w:val="18"/>
                <w:szCs w:val="18"/>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服务期</w:t>
      </w:r>
      <w:r>
        <w:rPr>
          <w:rFonts w:hint="eastAsia" w:ascii="仿宋" w:hAnsi="仿宋" w:eastAsia="仿宋" w:cs="仿宋"/>
          <w:b w:val="0"/>
          <w:bCs w:val="0"/>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服务期为</w:t>
      </w:r>
      <w:r>
        <w:rPr>
          <w:rFonts w:hint="eastAsia" w:ascii="仿宋" w:hAnsi="仿宋" w:eastAsia="仿宋" w:cs="仿宋"/>
          <w:b w:val="0"/>
          <w:bCs w:val="0"/>
          <w:color w:val="auto"/>
          <w:sz w:val="24"/>
          <w:szCs w:val="24"/>
          <w:highlight w:val="none"/>
          <w:lang w:val="zh-CN" w:eastAsia="zh-CN"/>
        </w:rPr>
        <w:t>12个月。</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lang w:val="zh-CN" w:eastAsia="zh-CN"/>
        </w:rPr>
      </w:pPr>
      <w:bookmarkStart w:id="0" w:name="_Toc10787"/>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zh-CN" w:eastAsia="zh-CN"/>
        </w:rPr>
        <w:t>、技术要求</w:t>
      </w:r>
      <w:bookmarkEnd w:id="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西咸新区丝路经济带能源金融贸易区市政道路保洁、设施环卫及公厕管理服务项目</w:t>
      </w:r>
      <w:r>
        <w:rPr>
          <w:rFonts w:hint="eastAsia" w:ascii="仿宋" w:hAnsi="仿宋" w:eastAsia="仿宋" w:cs="仿宋"/>
          <w:b w:val="0"/>
          <w:bCs w:val="0"/>
          <w:color w:val="auto"/>
          <w:sz w:val="24"/>
          <w:szCs w:val="24"/>
          <w:highlight w:val="none"/>
          <w:lang w:val="en-US" w:eastAsia="zh-CN"/>
        </w:rPr>
        <w:t>服务标准及要求按下列文件的规定执行：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《城市道路清扫保洁技术规范》（DB6101/T3057-2019）；</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eastAsia="zh-CN"/>
        </w:rPr>
        <w:t>《西安市城市道路精细化作业标准》；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西咸新区丝路经济带能源金融贸易区</w:t>
      </w:r>
      <w:r>
        <w:rPr>
          <w:rFonts w:hint="eastAsia" w:ascii="仿宋" w:hAnsi="仿宋" w:eastAsia="仿宋" w:cs="仿宋"/>
          <w:b w:val="0"/>
          <w:bCs w:val="0"/>
          <w:color w:val="auto"/>
          <w:sz w:val="24"/>
          <w:szCs w:val="24"/>
          <w:highlight w:val="none"/>
          <w:lang w:val="en-US" w:eastAsia="zh-CN"/>
        </w:rPr>
        <w:t>市容环境卫生工作标准》；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4、若相关文件进行更新，按照最新文件要求进行执行。</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五、保洁范围与内容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具体作业区域详见作业面积表及公共厕所明细表。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保洁内容包含：市政道路（含车行道、辅道、人行道、车行隧道、立交桥、高架桥、涵洞、人行过街天桥、小广场、景观带及道路两旁绿化带等其他设施）的人工清扫保洁；道路相邻绿化带或绿地以及人行道树坑垃圾捡拾清掏清运和清扫保洁；道路相邻果皮箱的垃圾清掏清运、擦拭和管护；道路相邻城市家具的擦拭；公厕日常维护管理及化粪池清掏；道路沿线野广告的清理；道路的冲洗清扫作业;道路夏季雨后积水路面积水清除作业和冬季下雪及雪后路面融雪除雪作业，扫雪除冰设备日常维护保养工作;道路保洁突发事件的应急处理;环卫工人休息室使用维护;环卫设施垃圾分类有关工作;协助甲方进行相关投诉处理、领导督查、社会舆情(含媒体监督)等其他处理工作。</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YzA2ODBlNjZkYWVmNGIxNzA0NmY2OWRkMjIxZjgifQ=="/>
  </w:docVars>
  <w:rsids>
    <w:rsidRoot w:val="56932763"/>
    <w:rsid w:val="10C50464"/>
    <w:rsid w:val="56932763"/>
    <w:rsid w:val="571921A6"/>
    <w:rsid w:val="63FD2873"/>
    <w:rsid w:val="7AB0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867</Characters>
  <Lines>0</Lines>
  <Paragraphs>0</Paragraphs>
  <TotalTime>1</TotalTime>
  <ScaleCrop>false</ScaleCrop>
  <LinksUpToDate>false</LinksUpToDate>
  <CharactersWithSpaces>868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2023-06-29T09:32:00Z</dcterms:created>
  <dc:creator>时间指针</dc:creator>
  <cp:lastModifiedBy>时间指针</cp:lastModifiedBy>
  <dcterms:modified xsi:type="dcterms:W3CDTF">2023-07-28T02:40:28Z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43954B8D3B2642C5B446DFF5CBE5D06F_11</vt:lpwstr>
  </property>
</Properties>
</file>