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34" w:beforeLines="100" w:after="334" w:afterLines="100"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34" w:beforeLines="100" w:after="334" w:afterLines="100" w:line="24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 w:asci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采购内容及技术要求</w:t>
      </w:r>
    </w:p>
    <w:p>
      <w:pPr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00"/>
        <w:gridCol w:w="6315"/>
        <w:gridCol w:w="70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62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包1（</w:t>
            </w:r>
            <w:r>
              <w:rPr>
                <w:rFonts w:hint="eastAsia" w:ascii="宋体" w:hAnsi="宋体" w:eastAsia="宋体"/>
                <w:vertAlign w:val="baseline"/>
                <w:rtl w:val="0"/>
                <w:lang w:val="zh-TW" w:eastAsia="zh-TW"/>
              </w:rPr>
              <w:t>干眼检测仪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31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0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73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rtl w:val="0"/>
                <w:lang w:val="zh-TW" w:eastAsia="zh-TW"/>
              </w:rPr>
              <w:t>干眼检测仪</w:t>
            </w:r>
          </w:p>
        </w:tc>
        <w:tc>
          <w:tcPr>
            <w:tcW w:w="6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产品功能和硬件部分参数：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、功能：可用于干眼筛查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诊断干眼程度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和眼前节的检查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、图像采集装置：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裂隙灯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外挂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单反数码相机（非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CCD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，像素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hAnsi="宋体" w:cs="宋体"/>
                <w:sz w:val="24"/>
                <w:szCs w:val="24"/>
                <w:rtl w:val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万像素</w:t>
            </w:r>
            <w:r>
              <w:rPr>
                <w:rFonts w:hint="eastAsia" w:hAnsi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、无线型裂隙灯光学体：照明电源线，相机数据线，拍摄控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均隐藏在光学体内；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、一体挂架式干眼检查装置（无外置电源线连接，装置一体化整体设计，不需要部件组合拆卸转换）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提供相应证明材料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" w:firstLineChars="187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、放大倍率：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6X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10X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16X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25X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/>
              </w:rPr>
              <w:t>40X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" w:firstLineChars="187"/>
              <w:textAlignment w:val="auto"/>
              <w:rPr>
                <w:rFonts w:hint="eastAsia" w:ascii="宋体" w:hAnsi="宋体" w:eastAsia="宋体" w:cs="宋体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CN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、所有检查项目由一台设备完成。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干眼及前节应用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" w:firstLineChars="18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干眼检查包括但不限于下列几项：泪河高度、泪膜破裂时间、脂质层分析、睑板腺分析、睑缘观察、眼红分析。同时可以对检查项目出具具体数值和分级信息。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泪河高度：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红外光检查模式（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提供相应证明材料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" w:line="240" w:lineRule="auto"/>
              <w:ind w:firstLine="240" w:firstLineChars="1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泪膜破裂时间：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红外光检查模式（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提供相应证明材料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专用眼前节干眼一体化软件系统：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具备干眼进展分析功能和报告单模块。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专业级处理系统，软件与硬件为同一生产厂家，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可以免费升级。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提供相应证明材料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 w:eastAsia="zh-CN"/>
              </w:rPr>
              <w:t>四、产品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设备主机（含电动升降台）1台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.原装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专业电脑1套（i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以上处理器、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T硬盘）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,22寸以上液晶显示器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彩色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墨仓式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喷墨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打印机1台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96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注：以上产品数据均为参考项，供应商可自行选择高于本参数的优质产品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00"/>
        <w:gridCol w:w="6315"/>
        <w:gridCol w:w="70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2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包2（</w:t>
            </w:r>
            <w:r>
              <w:rPr>
                <w:rFonts w:hint="eastAsia"/>
                <w:vertAlign w:val="baseline"/>
                <w:lang w:val="en-US" w:eastAsia="zh-CN"/>
              </w:rPr>
              <w:t>干眼治疗仪（优化脉冲光）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0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7" w:hRule="atLeast"/>
        </w:trPr>
        <w:tc>
          <w:tcPr>
            <w:tcW w:w="73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干眼治疗仪（优化脉冲光）</w:t>
            </w:r>
          </w:p>
        </w:tc>
        <w:tc>
          <w:tcPr>
            <w:tcW w:w="6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sz w:val="24"/>
              </w:rPr>
              <w:t>适用范围：获得国家药监局批准适用于因蠕形螨、炎症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血管异常增生等原因引起的睑板腺功能障碍（MGD）的治疗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脉冲数量：一次激发治疗，子脉冲数10个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以上（含10个）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sz w:val="24"/>
              </w:rPr>
              <w:t>★出光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等待</w:t>
            </w:r>
            <w:r>
              <w:rPr>
                <w:rFonts w:hint="eastAsia" w:ascii="宋体" w:hAnsi="宋体" w:cs="宋体"/>
                <w:sz w:val="24"/>
              </w:rPr>
              <w:t>：出光激发时，无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sz w:val="24"/>
              </w:rPr>
              <w:t>充电等待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无延迟，可连续出光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cs="宋体"/>
                <w:sz w:val="24"/>
              </w:rPr>
              <w:t>能量范围：根据患者年龄及不同程度可选择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应具备：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低能量区间：5J/ cm²～9J/cm²，适应于儿童患者治疗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高能量区间：10J/ cm²～15J/cm²，适应于成人患者治疗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cs="宋体"/>
                <w:sz w:val="24"/>
              </w:rPr>
              <w:t>能量档位：治疗能量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hint="eastAsia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档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治疗波长：580-1200nm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cs="宋体"/>
                <w:sz w:val="24"/>
              </w:rPr>
              <w:t>★能量步</w:t>
            </w:r>
            <w:r>
              <w:rPr>
                <w:rFonts w:hint="eastAsia" w:ascii="宋体" w:hAnsi="宋体" w:cs="宋体"/>
                <w:color w:val="auto"/>
                <w:sz w:val="24"/>
              </w:rPr>
              <w:t>长：0.5J逐级增减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★光斑面积：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10mm*5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0mm、15*25mm、6*10mm（小光斑） 三种可选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宋体" w:hAnsi="宋体" w:cs="宋体"/>
                <w:sz w:val="24"/>
              </w:rPr>
              <w:t>温度监测：具备温度全程安全监测实时显示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光脉冲技术：具备优化光脉冲技术（MOPT）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冷却模式：具备水冷、蓝宝石接触式冷却装置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治疗手柄：启动开关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3个，便于不同操作手法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连接方式：手柄与主机的连接为可拆卸式连接方式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操作界面：操作界面有安全提示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操作开关：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具备独立</w:t>
            </w:r>
            <w:r>
              <w:rPr>
                <w:rFonts w:hint="eastAsia" w:ascii="宋体" w:hAnsi="宋体" w:cs="宋体"/>
                <w:sz w:val="24"/>
              </w:rPr>
              <w:t>应急启停按钮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触控屏中文显示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智能操作系统，界面有计数显示及部件运行状态菜单显示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辅助设备：落地式原厂眼科专用雾化仪2台（需带药物离子导入功能），原厂设备手柄5个（需与干眼治疗仪（优化脉冲光）兼容使用）.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62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注：以上产品数据均为参考项，供应商可自行选择高于本参数的优质产品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NzNjYzZhMTI1ZDlmMjY3MzNjZDk2YmYzZDcxOTcifQ=="/>
  </w:docVars>
  <w:rsids>
    <w:rsidRoot w:val="168C0AB2"/>
    <w:rsid w:val="168C0AB2"/>
    <w:rsid w:val="50B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ind w:firstLine="480"/>
    </w:pPr>
    <w:rPr>
      <w:rFonts w:ascii="宋体" w:hAnsi="宋体"/>
    </w:rPr>
  </w:style>
  <w:style w:type="paragraph" w:styleId="5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960" w:lineRule="auto"/>
      <w:ind w:left="420" w:leftChars="200"/>
    </w:pPr>
  </w:style>
  <w:style w:type="paragraph" w:styleId="6">
    <w:name w:val="Body Text First Indent 2"/>
    <w:basedOn w:val="4"/>
    <w:next w:val="5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L.</dc:creator>
  <cp:lastModifiedBy>L.</cp:lastModifiedBy>
  <dcterms:modified xsi:type="dcterms:W3CDTF">2023-11-01T06:33:43Z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52A2D0E983814E5B98331C56B7CFF330_11</vt:lpwstr>
  </property>
</Properties>
</file>