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233" w:afterLines="50"/>
        <w:jc w:val="center"/>
        <w:textAlignment w:val="auto"/>
        <w:rPr>
          <w:rFonts w:ascii="仿宋" w:hAnsi="仿宋" w:eastAsia="仿宋" w:cs="Times New Roman"/>
          <w:b/>
          <w:color w:val="auto"/>
          <w:sz w:val="32"/>
          <w:szCs w:val="32"/>
          <w:highlight w:val="none"/>
        </w:rPr>
      </w:pPr>
      <w:bookmarkStart w:id="0" w:name="_Toc19419"/>
      <w:r>
        <w:rPr>
          <w:rStyle w:val="9"/>
          <w:rFonts w:hint="eastAsia" w:cs="Times New Roman"/>
          <w:color w:val="auto"/>
          <w:szCs w:val="24"/>
          <w:highlight w:val="none"/>
        </w:rPr>
        <w:t>第五章</w:t>
      </w:r>
      <w:r>
        <w:rPr>
          <w:rStyle w:val="9"/>
          <w:rFonts w:cs="Times New Roman"/>
          <w:color w:val="auto"/>
          <w:szCs w:val="24"/>
          <w:highlight w:val="none"/>
        </w:rPr>
        <w:t xml:space="preserve">  </w:t>
      </w:r>
      <w:r>
        <w:rPr>
          <w:rStyle w:val="9"/>
          <w:rFonts w:hint="eastAsia" w:cs="Times New Roman"/>
          <w:color w:val="auto"/>
          <w:szCs w:val="24"/>
          <w:highlight w:val="none"/>
        </w:rPr>
        <w:t>采购需求及要求</w:t>
      </w:r>
      <w:bookmarkEnd w:id="0"/>
    </w:p>
    <w:p>
      <w:pPr>
        <w:widowControl w:val="0"/>
        <w:adjustRightInd/>
        <w:snapToGrid/>
        <w:spacing w:after="0" w:line="440" w:lineRule="exact"/>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一、项目总体要求</w:t>
      </w:r>
    </w:p>
    <w:p>
      <w:pPr>
        <w:widowControl w:val="0"/>
        <w:adjustRightInd/>
        <w:snapToGrid/>
        <w:spacing w:after="0" w:line="440" w:lineRule="exact"/>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本采购项目为交钥匙项目，含所有设备</w:t>
      </w:r>
      <w:bookmarkStart w:id="1" w:name="_GoBack"/>
      <w:bookmarkEnd w:id="1"/>
      <w:r>
        <w:rPr>
          <w:rFonts w:hint="eastAsia" w:ascii="仿宋" w:hAnsi="仿宋" w:eastAsia="仿宋" w:cs="仿宋"/>
          <w:color w:val="auto"/>
          <w:kern w:val="2"/>
          <w:sz w:val="24"/>
          <w:szCs w:val="24"/>
          <w:highlight w:val="none"/>
          <w:lang w:val="en-US" w:eastAsia="zh-CN" w:bidi="ar-SA"/>
        </w:rPr>
        <w:t>、服务、运输、安装、调试、质保、售后服务、安全责任等，方便实用、验收合格，达到使用条件。</w:t>
      </w:r>
    </w:p>
    <w:p>
      <w:pPr>
        <w:widowControl w:val="0"/>
        <w:adjustRightInd/>
        <w:snapToGrid/>
        <w:spacing w:after="0" w:line="440" w:lineRule="exact"/>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二、供货要求</w:t>
      </w:r>
    </w:p>
    <w:p>
      <w:pPr>
        <w:widowControl w:val="0"/>
        <w:adjustRightInd/>
        <w:snapToGrid/>
        <w:spacing w:after="0" w:line="440" w:lineRule="exact"/>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SA"/>
        </w:rPr>
        <w:t>交货期：合同签订之日起30日历天。</w:t>
      </w:r>
    </w:p>
    <w:p>
      <w:pPr>
        <w:widowControl w:val="0"/>
        <w:adjustRightInd/>
        <w:snapToGrid/>
        <w:spacing w:after="0" w:line="440" w:lineRule="exact"/>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2"/>
          <w:sz w:val="24"/>
          <w:szCs w:val="24"/>
          <w:highlight w:val="none"/>
          <w:lang w:val="en-US" w:eastAsia="zh-CN" w:bidi="ar-SA"/>
        </w:rPr>
        <w:t>售后服务：整车验收合格之日起质保期不少于1年。保修期内由乙方免费提供原厂保修，终身维护。人为因素造成的设备损坏且需要维修的情况，不在免费保修内。</w:t>
      </w:r>
    </w:p>
    <w:p>
      <w:pPr>
        <w:widowControl w:val="0"/>
        <w:adjustRightInd/>
        <w:snapToGrid/>
        <w:spacing w:after="0" w:line="440" w:lineRule="exact"/>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3、交货地点：采购人指定地点</w:t>
      </w:r>
    </w:p>
    <w:p>
      <w:pPr>
        <w:widowControl w:val="0"/>
        <w:adjustRightInd/>
        <w:snapToGrid/>
        <w:spacing w:after="0" w:line="440" w:lineRule="exact"/>
        <w:ind w:firstLine="480" w:firstLineChars="200"/>
        <w:jc w:val="both"/>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4、▲产品质量：合格</w:t>
      </w:r>
    </w:p>
    <w:p>
      <w:pPr>
        <w:widowControl w:val="0"/>
        <w:adjustRightInd/>
        <w:snapToGrid/>
        <w:spacing w:after="0" w:line="440" w:lineRule="exact"/>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三、采购需求一览表</w:t>
      </w:r>
    </w:p>
    <w:p>
      <w:pPr>
        <w:widowControl w:val="0"/>
        <w:adjustRightInd/>
        <w:snapToGrid/>
        <w:spacing w:after="0" w:line="440" w:lineRule="exact"/>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采购人不限制投标产品品牌，投标人自主选择品牌，如下表中出现品牌，投标人可忽略。</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2"/>
        <w:gridCol w:w="2382"/>
        <w:gridCol w:w="1190"/>
        <w:gridCol w:w="1381"/>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016" w:type="pct"/>
            <w:noWrap w:val="0"/>
            <w:vAlign w:val="center"/>
          </w:tcPr>
          <w:p>
            <w:pPr>
              <w:pStyle w:val="4"/>
              <w:ind w:left="0" w:leftChars="0" w:firstLine="0" w:firstLineChars="0"/>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1397" w:type="pct"/>
            <w:noWrap w:val="0"/>
            <w:vAlign w:val="center"/>
          </w:tcPr>
          <w:p>
            <w:pPr>
              <w:pStyle w:val="4"/>
              <w:ind w:left="0" w:leftChars="0" w:firstLine="0" w:firstLineChars="0"/>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产品名称</w:t>
            </w:r>
          </w:p>
        </w:tc>
        <w:tc>
          <w:tcPr>
            <w:tcW w:w="698" w:type="pct"/>
            <w:noWrap w:val="0"/>
            <w:vAlign w:val="center"/>
          </w:tcPr>
          <w:p>
            <w:pPr>
              <w:pStyle w:val="4"/>
              <w:ind w:left="0" w:leftChars="0" w:firstLine="0" w:firstLineChars="0"/>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单位</w:t>
            </w:r>
          </w:p>
        </w:tc>
        <w:tc>
          <w:tcPr>
            <w:tcW w:w="810" w:type="pct"/>
            <w:noWrap w:val="0"/>
            <w:vAlign w:val="center"/>
          </w:tcPr>
          <w:p>
            <w:pPr>
              <w:pStyle w:val="4"/>
              <w:ind w:left="0" w:leftChars="0" w:firstLine="0" w:firstLineChars="0"/>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数量</w:t>
            </w:r>
          </w:p>
        </w:tc>
        <w:tc>
          <w:tcPr>
            <w:tcW w:w="1076" w:type="pct"/>
            <w:noWrap w:val="0"/>
            <w:vAlign w:val="center"/>
          </w:tcPr>
          <w:p>
            <w:pPr>
              <w:pStyle w:val="4"/>
              <w:ind w:left="0" w:leftChars="0" w:firstLine="0" w:firstLineChars="0"/>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16" w:type="pct"/>
            <w:noWrap w:val="0"/>
            <w:vAlign w:val="center"/>
          </w:tcPr>
          <w:p>
            <w:pPr>
              <w:pStyle w:val="4"/>
              <w:ind w:left="0" w:leftChars="0" w:firstLine="0" w:firstLineChars="0"/>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w:t>
            </w:r>
          </w:p>
        </w:tc>
        <w:tc>
          <w:tcPr>
            <w:tcW w:w="1397" w:type="pct"/>
            <w:noWrap w:val="0"/>
            <w:vAlign w:val="center"/>
          </w:tcPr>
          <w:p>
            <w:pPr>
              <w:pStyle w:val="4"/>
              <w:ind w:left="0" w:leftChars="0" w:firstLine="0" w:firstLineChars="0"/>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240L塑料垃圾桶</w:t>
            </w:r>
          </w:p>
        </w:tc>
        <w:tc>
          <w:tcPr>
            <w:tcW w:w="698" w:type="pct"/>
            <w:noWrap w:val="0"/>
            <w:vAlign w:val="center"/>
          </w:tcPr>
          <w:p>
            <w:pPr>
              <w:pStyle w:val="4"/>
              <w:ind w:left="0" w:leftChars="0" w:firstLine="0" w:firstLineChars="0"/>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个</w:t>
            </w:r>
          </w:p>
        </w:tc>
        <w:tc>
          <w:tcPr>
            <w:tcW w:w="810" w:type="pct"/>
            <w:noWrap w:val="0"/>
            <w:vAlign w:val="center"/>
          </w:tcPr>
          <w:p>
            <w:pPr>
              <w:pStyle w:val="4"/>
              <w:ind w:left="0" w:leftChars="0" w:firstLine="0" w:firstLineChars="0"/>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10000</w:t>
            </w:r>
          </w:p>
        </w:tc>
        <w:tc>
          <w:tcPr>
            <w:tcW w:w="1076" w:type="pct"/>
            <w:noWrap w:val="0"/>
            <w:vAlign w:val="center"/>
          </w:tcPr>
          <w:p>
            <w:pPr>
              <w:pStyle w:val="4"/>
              <w:ind w:left="0" w:leftChars="0" w:firstLine="0" w:firstLineChars="0"/>
              <w:jc w:val="center"/>
              <w:rPr>
                <w:rFonts w:hint="eastAsia" w:ascii="仿宋" w:hAnsi="仿宋" w:eastAsia="仿宋" w:cs="仿宋"/>
                <w:b/>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16" w:type="pct"/>
            <w:noWrap w:val="0"/>
            <w:vAlign w:val="center"/>
          </w:tcPr>
          <w:p>
            <w:pPr>
              <w:pStyle w:val="4"/>
              <w:ind w:left="0" w:leftChars="0" w:firstLine="0" w:firstLineChars="0"/>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2</w:t>
            </w:r>
          </w:p>
        </w:tc>
        <w:tc>
          <w:tcPr>
            <w:tcW w:w="1397" w:type="pct"/>
            <w:noWrap w:val="0"/>
            <w:vAlign w:val="center"/>
          </w:tcPr>
          <w:p>
            <w:pPr>
              <w:pStyle w:val="4"/>
              <w:ind w:left="0" w:leftChars="0" w:firstLine="0" w:firstLineChars="0"/>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12吨压缩式垃圾车</w:t>
            </w:r>
          </w:p>
        </w:tc>
        <w:tc>
          <w:tcPr>
            <w:tcW w:w="698" w:type="pct"/>
            <w:noWrap w:val="0"/>
            <w:vAlign w:val="center"/>
          </w:tcPr>
          <w:p>
            <w:pPr>
              <w:pStyle w:val="4"/>
              <w:ind w:left="0" w:leftChars="0" w:firstLine="0" w:firstLineChars="0"/>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辆</w:t>
            </w:r>
          </w:p>
        </w:tc>
        <w:tc>
          <w:tcPr>
            <w:tcW w:w="810" w:type="pct"/>
            <w:noWrap w:val="0"/>
            <w:vAlign w:val="center"/>
          </w:tcPr>
          <w:p>
            <w:pPr>
              <w:pStyle w:val="4"/>
              <w:ind w:left="0" w:leftChars="0" w:firstLine="0" w:firstLineChars="0"/>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w:t>
            </w:r>
          </w:p>
        </w:tc>
        <w:tc>
          <w:tcPr>
            <w:tcW w:w="1076" w:type="pct"/>
            <w:noWrap w:val="0"/>
            <w:vAlign w:val="center"/>
          </w:tcPr>
          <w:p>
            <w:pPr>
              <w:pStyle w:val="4"/>
              <w:ind w:left="0" w:leftChars="0" w:firstLine="0" w:firstLineChars="0"/>
              <w:jc w:val="center"/>
              <w:rPr>
                <w:rFonts w:hint="eastAsia" w:ascii="仿宋" w:hAnsi="仿宋" w:eastAsia="仿宋" w:cs="仿宋"/>
                <w:b/>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16" w:type="pct"/>
            <w:noWrap w:val="0"/>
            <w:vAlign w:val="center"/>
          </w:tcPr>
          <w:p>
            <w:pPr>
              <w:pStyle w:val="4"/>
              <w:ind w:left="0" w:leftChars="0" w:firstLine="0" w:firstLineChars="0"/>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3</w:t>
            </w:r>
          </w:p>
        </w:tc>
        <w:tc>
          <w:tcPr>
            <w:tcW w:w="1397" w:type="pct"/>
            <w:noWrap w:val="0"/>
            <w:vAlign w:val="center"/>
          </w:tcPr>
          <w:p>
            <w:pPr>
              <w:pStyle w:val="4"/>
              <w:ind w:left="0" w:leftChars="0" w:firstLine="0" w:firstLineChars="0"/>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7吨压缩式垃圾车</w:t>
            </w:r>
          </w:p>
        </w:tc>
        <w:tc>
          <w:tcPr>
            <w:tcW w:w="698" w:type="pct"/>
            <w:noWrap w:val="0"/>
            <w:vAlign w:val="center"/>
          </w:tcPr>
          <w:p>
            <w:pPr>
              <w:pStyle w:val="4"/>
              <w:ind w:left="0" w:leftChars="0" w:firstLine="0" w:firstLineChars="0"/>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辆</w:t>
            </w:r>
          </w:p>
        </w:tc>
        <w:tc>
          <w:tcPr>
            <w:tcW w:w="810" w:type="pct"/>
            <w:noWrap w:val="0"/>
            <w:vAlign w:val="center"/>
          </w:tcPr>
          <w:p>
            <w:pPr>
              <w:pStyle w:val="4"/>
              <w:ind w:left="0" w:leftChars="0" w:firstLine="0" w:firstLineChars="0"/>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10</w:t>
            </w:r>
          </w:p>
        </w:tc>
        <w:tc>
          <w:tcPr>
            <w:tcW w:w="1076" w:type="pct"/>
            <w:noWrap w:val="0"/>
            <w:vAlign w:val="center"/>
          </w:tcPr>
          <w:p>
            <w:pPr>
              <w:pStyle w:val="4"/>
              <w:ind w:left="0" w:leftChars="0" w:firstLine="0" w:firstLineChars="0"/>
              <w:jc w:val="center"/>
              <w:rPr>
                <w:rFonts w:hint="eastAsia" w:ascii="仿宋" w:hAnsi="仿宋" w:eastAsia="仿宋" w:cs="仿宋"/>
                <w:b/>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16" w:type="pct"/>
            <w:noWrap w:val="0"/>
            <w:vAlign w:val="center"/>
          </w:tcPr>
          <w:p>
            <w:pPr>
              <w:pStyle w:val="4"/>
              <w:ind w:left="0" w:leftChars="0" w:firstLine="0" w:firstLineChars="0"/>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4</w:t>
            </w:r>
          </w:p>
        </w:tc>
        <w:tc>
          <w:tcPr>
            <w:tcW w:w="1397" w:type="pct"/>
            <w:noWrap w:val="0"/>
            <w:vAlign w:val="center"/>
          </w:tcPr>
          <w:p>
            <w:pPr>
              <w:pStyle w:val="4"/>
              <w:ind w:left="0" w:leftChars="0" w:firstLine="0" w:firstLineChars="0"/>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18吨多功能抑尘车</w:t>
            </w:r>
          </w:p>
        </w:tc>
        <w:tc>
          <w:tcPr>
            <w:tcW w:w="698" w:type="pct"/>
            <w:noWrap w:val="0"/>
            <w:vAlign w:val="center"/>
          </w:tcPr>
          <w:p>
            <w:pPr>
              <w:pStyle w:val="4"/>
              <w:ind w:left="0" w:leftChars="0" w:firstLine="0" w:firstLineChars="0"/>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辆</w:t>
            </w:r>
          </w:p>
        </w:tc>
        <w:tc>
          <w:tcPr>
            <w:tcW w:w="810" w:type="pct"/>
            <w:noWrap w:val="0"/>
            <w:vAlign w:val="center"/>
          </w:tcPr>
          <w:p>
            <w:pPr>
              <w:pStyle w:val="4"/>
              <w:ind w:left="0" w:leftChars="0" w:firstLine="0" w:firstLineChars="0"/>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w:t>
            </w:r>
          </w:p>
        </w:tc>
        <w:tc>
          <w:tcPr>
            <w:tcW w:w="1076" w:type="pct"/>
            <w:noWrap w:val="0"/>
            <w:vAlign w:val="center"/>
          </w:tcPr>
          <w:p>
            <w:pPr>
              <w:pStyle w:val="4"/>
              <w:ind w:left="0" w:leftChars="0" w:firstLine="0" w:firstLineChars="0"/>
              <w:jc w:val="center"/>
              <w:rPr>
                <w:rFonts w:hint="eastAsia" w:ascii="仿宋" w:hAnsi="仿宋" w:eastAsia="仿宋" w:cs="仿宋"/>
                <w:b/>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16" w:type="pct"/>
            <w:noWrap w:val="0"/>
            <w:vAlign w:val="center"/>
          </w:tcPr>
          <w:p>
            <w:pPr>
              <w:pStyle w:val="4"/>
              <w:ind w:left="0" w:leftChars="0" w:firstLine="0" w:firstLineChars="0"/>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5</w:t>
            </w:r>
          </w:p>
        </w:tc>
        <w:tc>
          <w:tcPr>
            <w:tcW w:w="1397" w:type="pct"/>
            <w:noWrap w:val="0"/>
            <w:vAlign w:val="center"/>
          </w:tcPr>
          <w:p>
            <w:pPr>
              <w:pStyle w:val="4"/>
              <w:ind w:left="0" w:leftChars="0" w:firstLine="0" w:firstLineChars="0"/>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7吨洒水车</w:t>
            </w:r>
          </w:p>
        </w:tc>
        <w:tc>
          <w:tcPr>
            <w:tcW w:w="698" w:type="pct"/>
            <w:noWrap w:val="0"/>
            <w:vAlign w:val="center"/>
          </w:tcPr>
          <w:p>
            <w:pPr>
              <w:pStyle w:val="4"/>
              <w:ind w:left="0" w:leftChars="0" w:firstLine="0" w:firstLineChars="0"/>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辆</w:t>
            </w:r>
          </w:p>
        </w:tc>
        <w:tc>
          <w:tcPr>
            <w:tcW w:w="810" w:type="pct"/>
            <w:noWrap w:val="0"/>
            <w:vAlign w:val="center"/>
          </w:tcPr>
          <w:p>
            <w:pPr>
              <w:pStyle w:val="4"/>
              <w:ind w:left="0" w:leftChars="0" w:firstLine="0" w:firstLineChars="0"/>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2</w:t>
            </w:r>
          </w:p>
        </w:tc>
        <w:tc>
          <w:tcPr>
            <w:tcW w:w="1076" w:type="pct"/>
            <w:noWrap w:val="0"/>
            <w:vAlign w:val="center"/>
          </w:tcPr>
          <w:p>
            <w:pPr>
              <w:pStyle w:val="4"/>
              <w:ind w:left="0" w:leftChars="0" w:firstLine="0" w:firstLineChars="0"/>
              <w:jc w:val="center"/>
              <w:rPr>
                <w:rFonts w:hint="eastAsia" w:ascii="仿宋" w:hAnsi="仿宋" w:eastAsia="仿宋" w:cs="仿宋"/>
                <w:b/>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16" w:type="pct"/>
            <w:noWrap w:val="0"/>
            <w:vAlign w:val="center"/>
          </w:tcPr>
          <w:p>
            <w:pPr>
              <w:pStyle w:val="4"/>
              <w:ind w:left="0" w:leftChars="0" w:firstLine="0" w:firstLineChars="0"/>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6</w:t>
            </w:r>
          </w:p>
        </w:tc>
        <w:tc>
          <w:tcPr>
            <w:tcW w:w="1397" w:type="pct"/>
            <w:noWrap w:val="0"/>
            <w:vAlign w:val="center"/>
          </w:tcPr>
          <w:p>
            <w:pPr>
              <w:pStyle w:val="4"/>
              <w:ind w:left="0" w:leftChars="0" w:firstLine="0" w:firstLineChars="0"/>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7吨车厢可卸式垃圾车及垃圾箱</w:t>
            </w:r>
          </w:p>
        </w:tc>
        <w:tc>
          <w:tcPr>
            <w:tcW w:w="698" w:type="pct"/>
            <w:noWrap w:val="0"/>
            <w:vAlign w:val="center"/>
          </w:tcPr>
          <w:p>
            <w:pPr>
              <w:pStyle w:val="4"/>
              <w:ind w:left="0" w:leftChars="0" w:firstLine="0" w:firstLineChars="0"/>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辆</w:t>
            </w:r>
          </w:p>
        </w:tc>
        <w:tc>
          <w:tcPr>
            <w:tcW w:w="810" w:type="pct"/>
            <w:noWrap w:val="0"/>
            <w:vAlign w:val="center"/>
          </w:tcPr>
          <w:p>
            <w:pPr>
              <w:pStyle w:val="4"/>
              <w:ind w:left="0" w:leftChars="0" w:firstLine="0" w:firstLineChars="0"/>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w:t>
            </w:r>
          </w:p>
        </w:tc>
        <w:tc>
          <w:tcPr>
            <w:tcW w:w="1076" w:type="pct"/>
            <w:noWrap w:val="0"/>
            <w:vAlign w:val="center"/>
          </w:tcPr>
          <w:p>
            <w:pPr>
              <w:pStyle w:val="4"/>
              <w:ind w:left="0" w:leftChars="0" w:firstLine="0" w:firstLineChars="0"/>
              <w:jc w:val="center"/>
              <w:rPr>
                <w:rFonts w:hint="eastAsia" w:ascii="仿宋" w:hAnsi="仿宋" w:eastAsia="仿宋" w:cs="仿宋"/>
                <w:b/>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16" w:type="pct"/>
            <w:noWrap w:val="0"/>
            <w:vAlign w:val="center"/>
          </w:tcPr>
          <w:p>
            <w:pPr>
              <w:pStyle w:val="4"/>
              <w:ind w:left="0" w:leftChars="0" w:firstLine="0" w:firstLineChars="0"/>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7</w:t>
            </w:r>
          </w:p>
        </w:tc>
        <w:tc>
          <w:tcPr>
            <w:tcW w:w="1397" w:type="pct"/>
            <w:noWrap w:val="0"/>
            <w:vAlign w:val="center"/>
          </w:tcPr>
          <w:p>
            <w:pPr>
              <w:pStyle w:val="4"/>
              <w:ind w:left="0" w:leftChars="0" w:firstLine="0" w:firstLineChars="0"/>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三轮六桶车</w:t>
            </w:r>
          </w:p>
        </w:tc>
        <w:tc>
          <w:tcPr>
            <w:tcW w:w="698" w:type="pct"/>
            <w:noWrap w:val="0"/>
            <w:vAlign w:val="center"/>
          </w:tcPr>
          <w:p>
            <w:pPr>
              <w:pStyle w:val="4"/>
              <w:ind w:left="0" w:leftChars="0" w:firstLine="0" w:firstLineChars="0"/>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辆</w:t>
            </w:r>
          </w:p>
        </w:tc>
        <w:tc>
          <w:tcPr>
            <w:tcW w:w="810" w:type="pct"/>
            <w:noWrap w:val="0"/>
            <w:vAlign w:val="center"/>
          </w:tcPr>
          <w:p>
            <w:pPr>
              <w:pStyle w:val="4"/>
              <w:ind w:left="0" w:leftChars="0" w:firstLine="0" w:firstLineChars="0"/>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136</w:t>
            </w:r>
          </w:p>
        </w:tc>
        <w:tc>
          <w:tcPr>
            <w:tcW w:w="1076" w:type="pct"/>
            <w:noWrap w:val="0"/>
            <w:vAlign w:val="center"/>
          </w:tcPr>
          <w:p>
            <w:pPr>
              <w:pStyle w:val="4"/>
              <w:ind w:left="0" w:leftChars="0" w:firstLine="0" w:firstLineChars="0"/>
              <w:jc w:val="center"/>
              <w:rPr>
                <w:rFonts w:hint="eastAsia" w:ascii="仿宋" w:hAnsi="仿宋" w:eastAsia="仿宋" w:cs="仿宋"/>
                <w:b/>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16" w:type="pct"/>
            <w:noWrap w:val="0"/>
            <w:vAlign w:val="center"/>
          </w:tcPr>
          <w:p>
            <w:pPr>
              <w:pStyle w:val="4"/>
              <w:ind w:left="0" w:leftChars="0" w:firstLine="0" w:firstLineChars="0"/>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8</w:t>
            </w:r>
          </w:p>
        </w:tc>
        <w:tc>
          <w:tcPr>
            <w:tcW w:w="1397" w:type="pct"/>
            <w:noWrap w:val="0"/>
            <w:vAlign w:val="center"/>
          </w:tcPr>
          <w:p>
            <w:pPr>
              <w:pStyle w:val="4"/>
              <w:ind w:left="0" w:leftChars="0" w:firstLine="0" w:firstLineChars="0"/>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三轮四桶车</w:t>
            </w:r>
          </w:p>
        </w:tc>
        <w:tc>
          <w:tcPr>
            <w:tcW w:w="698" w:type="pct"/>
            <w:noWrap w:val="0"/>
            <w:vAlign w:val="center"/>
          </w:tcPr>
          <w:p>
            <w:pPr>
              <w:pStyle w:val="4"/>
              <w:ind w:left="0" w:leftChars="0" w:firstLine="0" w:firstLineChars="0"/>
              <w:jc w:val="center"/>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辆</w:t>
            </w:r>
          </w:p>
        </w:tc>
        <w:tc>
          <w:tcPr>
            <w:tcW w:w="810" w:type="pct"/>
            <w:noWrap w:val="0"/>
            <w:vAlign w:val="center"/>
          </w:tcPr>
          <w:p>
            <w:pPr>
              <w:pStyle w:val="4"/>
              <w:ind w:left="0" w:leftChars="0" w:firstLine="0" w:firstLineChars="0"/>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10</w:t>
            </w:r>
          </w:p>
        </w:tc>
        <w:tc>
          <w:tcPr>
            <w:tcW w:w="1076" w:type="pct"/>
            <w:noWrap w:val="0"/>
            <w:vAlign w:val="center"/>
          </w:tcPr>
          <w:p>
            <w:pPr>
              <w:pStyle w:val="4"/>
              <w:ind w:left="0" w:leftChars="0" w:firstLine="0" w:firstLineChars="0"/>
              <w:jc w:val="center"/>
              <w:rPr>
                <w:rFonts w:hint="eastAsia" w:ascii="仿宋" w:hAnsi="仿宋" w:eastAsia="仿宋" w:cs="仿宋"/>
                <w:b/>
                <w:bCs/>
                <w:color w:val="auto"/>
                <w:sz w:val="24"/>
                <w:szCs w:val="24"/>
                <w:highlight w:val="none"/>
                <w:vertAlign w:val="baseline"/>
                <w:lang w:val="en-US" w:eastAsia="zh-CN"/>
              </w:rPr>
            </w:pPr>
          </w:p>
        </w:tc>
      </w:tr>
    </w:tbl>
    <w:p>
      <w:pPr>
        <w:pStyle w:val="5"/>
        <w:rPr>
          <w:rFonts w:hint="eastAsia" w:hAnsi="Times New Roman" w:eastAsia="宋体" w:cs="Times New Roman"/>
          <w:color w:val="auto"/>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四、设备技术参数和</w:t>
      </w:r>
      <w:r>
        <w:rPr>
          <w:rFonts w:hint="eastAsia" w:ascii="仿宋" w:hAnsi="仿宋" w:eastAsia="仿宋" w:cs="仿宋"/>
          <w:b/>
          <w:bCs/>
          <w:color w:val="auto"/>
          <w:sz w:val="24"/>
          <w:szCs w:val="24"/>
          <w:highlight w:val="none"/>
          <w:lang w:val="en-US" w:eastAsia="zh-CN"/>
        </w:rPr>
        <w:t>性能要求</w:t>
      </w:r>
    </w:p>
    <w:p>
      <w:pPr>
        <w:jc w:val="center"/>
        <w:rPr>
          <w:rFonts w:hint="eastAsia" w:ascii="仿宋" w:hAnsi="仿宋" w:eastAsia="仿宋" w:cs="仿宋"/>
          <w:b/>
          <w:color w:val="auto"/>
          <w:sz w:val="24"/>
          <w:szCs w:val="24"/>
          <w:highlight w:val="none"/>
        </w:rPr>
      </w:pPr>
    </w:p>
    <w:p>
      <w:pPr>
        <w:jc w:val="center"/>
        <w:rPr>
          <w:rFonts w:hint="eastAsia" w:ascii="仿宋" w:hAnsi="仿宋" w:eastAsia="仿宋" w:cs="仿宋"/>
          <w:color w:val="auto"/>
          <w:sz w:val="24"/>
          <w:szCs w:val="24"/>
          <w:highlight w:val="non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495" w:type="dxa"/>
            <w:tcBorders>
              <w:top w:val="nil"/>
              <w:left w:val="nil"/>
              <w:bottom w:val="single" w:color="auto" w:sz="4" w:space="0"/>
              <w:right w:val="nil"/>
            </w:tcBorders>
            <w:noWrap w:val="0"/>
            <w:vAlign w:val="top"/>
          </w:tcPr>
          <w:p>
            <w:pPr>
              <w:pStyle w:val="2"/>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b/>
                <w:bCs/>
                <w:kern w:val="2"/>
                <w:sz w:val="24"/>
                <w:szCs w:val="24"/>
                <w:lang w:val="en-US" w:eastAsia="zh-CN" w:bidi="ar-SA"/>
              </w:rPr>
              <w:t>240L塑料垃圾桶采购技术参数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5" w:type="dxa"/>
            <w:tcBorders>
              <w:top w:val="single" w:color="auto" w:sz="4" w:space="0"/>
            </w:tcBorders>
            <w:noWrap w:val="0"/>
            <w:vAlign w:val="top"/>
          </w:tcPr>
          <w:p>
            <w:pPr>
              <w:pStyle w:val="2"/>
              <w:numPr>
                <w:ilvl w:val="0"/>
                <w:numId w:val="0"/>
              </w:numP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1.规格尺寸:740*570*1070mm（240L）</w:t>
            </w:r>
          </w:p>
          <w:p>
            <w:pPr>
              <w:pStyle w:val="2"/>
              <w:numPr>
                <w:ilvl w:val="0"/>
                <w:numId w:val="0"/>
              </w:numP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kern w:val="2"/>
                <w:sz w:val="24"/>
                <w:szCs w:val="24"/>
                <w:lang w:val="en-US" w:eastAsia="zh-CN" w:bidi="ar-SA"/>
              </w:rPr>
              <w:t>2.高密度聚乙烯100%新料（HDPE原生料）经过磨具注塑一次成型，</w:t>
            </w:r>
          </w:p>
          <w:p>
            <w:pPr>
              <w:pStyle w:val="2"/>
              <w:numPr>
                <w:ilvl w:val="0"/>
                <w:numId w:val="0"/>
              </w:numP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kern w:val="2"/>
                <w:sz w:val="24"/>
                <w:szCs w:val="24"/>
                <w:lang w:val="en-US" w:eastAsia="zh-CN" w:bidi="ar-SA"/>
              </w:rPr>
              <w:t>3.整体重量≥15kg，桶体重量≥10.5kg，桶盖重量≥1.5kg；</w:t>
            </w:r>
          </w:p>
          <w:p>
            <w:pPr>
              <w:pStyle w:val="2"/>
              <w:numPr>
                <w:ilvl w:val="0"/>
                <w:numId w:val="0"/>
              </w:numP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kern w:val="2"/>
                <w:sz w:val="24"/>
                <w:szCs w:val="24"/>
                <w:lang w:val="en-US" w:eastAsia="zh-CN" w:bidi="ar-SA"/>
              </w:rPr>
              <w:t>4.橡胶轮：不低于Ø200mm，轮轴重量≥3.2kg；内圈聚乙烯带合金销钉一根，外圈橡胶；底轴：Ø22mm×550mm，实心轴，橡胶轮与底轴连接方式：直接插入，卡簧固定，不易卸掉，防止盗失；</w:t>
            </w:r>
          </w:p>
          <w:p>
            <w:pPr>
              <w:pStyle w:val="2"/>
              <w:numPr>
                <w:ilvl w:val="0"/>
                <w:numId w:val="0"/>
              </w:numP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kern w:val="2"/>
                <w:sz w:val="24"/>
                <w:szCs w:val="24"/>
                <w:lang w:val="en-US" w:eastAsia="zh-CN" w:bidi="ar-SA"/>
              </w:rPr>
              <w:t>5.桶体壁厚≥4.8MM，桶体底部可镶12颗钢质耐磨钉，增强桶底的耐磨性能；顶盖有加强筋结构，有足够的机械强度和良好的耐冲击韧性；垃圾桶裙边内部有网状加强筋，有更大的承重拉力，可以上挂车，与环卫垃圾车紧密衔接配合，结实耐用。</w:t>
            </w:r>
          </w:p>
          <w:p>
            <w:pPr>
              <w:pStyle w:val="2"/>
              <w:numPr>
                <w:ilvl w:val="0"/>
                <w:numId w:val="0"/>
              </w:numP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kern w:val="2"/>
                <w:sz w:val="24"/>
                <w:szCs w:val="24"/>
                <w:lang w:val="en-US" w:eastAsia="zh-CN" w:bidi="ar-SA"/>
              </w:rPr>
              <w:t>6.桶身把手采用两段式分体设计，把手外置防滑粒，增强拉手的摩擦力和牢固度；表面光滑平整，无波纹、无划痕、无黑点、无杂质、无气泡、无裂纹；在-30℃至65℃的气温下使用，不变形，不开裂；颜色为军绿色、蓝色、红色、黑色，至少两年不褪色，桶体按照陕西省生活垃圾分类标准印制分类标识（绿色：厨余垃圾，红色：有害垃圾；蓝色：可回收物；灰色：其他垃圾），也可按采购方要求配加logo、宣传标语等。</w:t>
            </w:r>
          </w:p>
        </w:tc>
      </w:tr>
    </w:tbl>
    <w:p>
      <w:pPr>
        <w:pStyle w:val="2"/>
        <w:rPr>
          <w:rFonts w:hint="eastAsia" w:ascii="仿宋" w:hAnsi="仿宋" w:eastAsia="仿宋" w:cs="仿宋"/>
          <w:color w:val="auto"/>
          <w:kern w:val="2"/>
          <w:sz w:val="24"/>
          <w:szCs w:val="24"/>
          <w:highlight w:val="none"/>
          <w:lang w:val="en-US" w:eastAsia="zh-CN" w:bidi="ar-SA"/>
        </w:rPr>
      </w:pPr>
    </w:p>
    <w:tbl>
      <w:tblPr>
        <w:tblStyle w:val="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00"/>
        <w:gridCol w:w="5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000" w:type="pct"/>
            <w:gridSpan w:val="2"/>
            <w:tcBorders>
              <w:top w:val="nil"/>
              <w:left w:val="nil"/>
              <w:bottom w:val="nil"/>
              <w:right w:val="nil"/>
            </w:tcBorders>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12 吨级压缩式垃圾车采购技术参数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995" w:type="pct"/>
            <w:tcBorders>
              <w:top w:val="single" w:color="000000" w:sz="4" w:space="0"/>
              <w:left w:val="single" w:color="000000" w:sz="4" w:space="0"/>
              <w:bottom w:val="single" w:color="000000" w:sz="4" w:space="0"/>
              <w:right w:val="single" w:color="000000" w:sz="4" w:space="0"/>
            </w:tcBorders>
            <w:shd w:val="clear" w:color="auto" w:fill="CCCCCC"/>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   目</w:t>
            </w:r>
          </w:p>
        </w:tc>
        <w:tc>
          <w:tcPr>
            <w:tcW w:w="3004" w:type="pct"/>
            <w:tcBorders>
              <w:top w:val="single" w:color="000000" w:sz="4" w:space="0"/>
              <w:left w:val="single" w:color="000000" w:sz="4" w:space="0"/>
              <w:bottom w:val="single" w:color="000000" w:sz="4" w:space="0"/>
              <w:right w:val="single" w:color="000000" w:sz="4" w:space="0"/>
            </w:tcBorders>
            <w:shd w:val="clear" w:color="auto" w:fill="CCCCCC"/>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型  号  及  参  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7.底盘型号</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市场主流产品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8.发动机型号</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市场主流产品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9.燃油种类</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柴油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10.★外形尺寸(长×宽×高)（mm）</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≥7000（mm）×2400（mm）×3000（mm）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11.★最大总质量 (kg)</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≤12000（kg）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12.★整备质量(kg)</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≤7600（kg）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13.★额定载质量(kg)</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14.底盘型号</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国六柴油系列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15.★发动机额定功率</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≥125（Kw）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16.垃圾箱容积</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17.★接近角/离去角</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18.★前悬/后悬</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≥1130（mm）/2300（mm）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19.填装器料斗容积</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20.上料循环时间</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21.卸料循环时间</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≤45(s)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22.监控系统</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具有在驾驶室内观察倒车情况的倒车影像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23.排放标准</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国Ⅵ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24.驾驶室</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原厂空调、方向助力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25.推铲</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优质型材与低合金钢板焊接而成，三级液压油缸驱动，垃圾箱侧板须采用整板折弯成型。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26.控制模式</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采用“CAN总线+专用控制器模式”，作业控制盒需要在在驾驶室内和车尾分别安装，以便控制；自控系统由发动机功率输出、全自动控制，自动选择怠速及加速状态。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27.液压系统</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使用“双泵”系统、双向压缩技术；上料机构配置为塑桶机构；填装器下部须配置有污水箱。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28.其他</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1.垃圾箱后端须配置有独立锁紧机构，对填装器进行锁紧；关闭时，密封条始终保持压缩状态。</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2.填装器与垃圾箱结合面处配置有密封结构形式，密封条须使用特殊橡胶材质，同时配置有双重密封技术。</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3.配备防下降开关、报警装置、安全撑杆急停按钮等安全配置。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 w:hRule="atLeast"/>
          <w:jc w:val="center"/>
        </w:trPr>
        <w:tc>
          <w:tcPr>
            <w:tcW w:w="5000" w:type="pct"/>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注：</w:t>
            </w: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报价包括设备价、运输费、车辆挂牌费、购置税、售后服务费、质量保修（1年）、附属配件、雇员费用、保险费（包括但不限于机动车交通事故责任强制保险费、第三责任险&lt;保额150万元&gt;）、税费及其他伴随费用等</w:t>
            </w:r>
          </w:p>
          <w:p>
            <w:pPr>
              <w:rPr>
                <w:rFonts w:hint="default" w:ascii="仿宋" w:hAnsi="仿宋" w:eastAsia="仿宋" w:cs="仿宋"/>
                <w:sz w:val="24"/>
                <w:szCs w:val="24"/>
                <w:lang w:val="en-US" w:eastAsia="zh-CN"/>
              </w:rPr>
            </w:pPr>
            <w:r>
              <w:rPr>
                <w:rFonts w:hint="eastAsia" w:ascii="仿宋" w:hAnsi="仿宋" w:eastAsia="仿宋" w:cs="仿宋"/>
                <w:b/>
                <w:bCs/>
                <w:sz w:val="24"/>
                <w:szCs w:val="24"/>
                <w:lang w:val="en-US" w:eastAsia="zh-CN"/>
              </w:rPr>
              <w:t>2、投标人需提供投标产品在工信部的汽车产品公告参数页截图。</w:t>
            </w:r>
          </w:p>
        </w:tc>
      </w:tr>
    </w:tbl>
    <w:p>
      <w:pPr>
        <w:rPr>
          <w:rFonts w:hint="eastAsia" w:ascii="Times New Roman" w:hAnsi="Times New Roman" w:eastAsia="宋体" w:cs="Times New Roman"/>
          <w:lang w:val="en-US" w:eastAsia="zh-CN"/>
        </w:rPr>
      </w:pPr>
    </w:p>
    <w:tbl>
      <w:tblPr>
        <w:tblStyle w:val="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00"/>
        <w:gridCol w:w="5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000" w:type="pct"/>
            <w:gridSpan w:val="2"/>
            <w:tcBorders>
              <w:top w:val="nil"/>
              <w:left w:val="nil"/>
              <w:bottom w:val="nil"/>
              <w:right w:val="nil"/>
            </w:tcBorders>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7吨级压缩式垃圾车采购技术参数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995" w:type="pct"/>
            <w:tcBorders>
              <w:top w:val="single" w:color="000000" w:sz="4" w:space="0"/>
              <w:left w:val="single" w:color="000000" w:sz="4" w:space="0"/>
              <w:bottom w:val="single" w:color="000000" w:sz="4" w:space="0"/>
              <w:right w:val="single" w:color="000000" w:sz="4" w:space="0"/>
            </w:tcBorders>
            <w:shd w:val="clear" w:color="auto" w:fill="CCCCCC"/>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   目</w:t>
            </w:r>
          </w:p>
        </w:tc>
        <w:tc>
          <w:tcPr>
            <w:tcW w:w="3004" w:type="pct"/>
            <w:tcBorders>
              <w:top w:val="single" w:color="000000" w:sz="4" w:space="0"/>
              <w:left w:val="single" w:color="000000" w:sz="4" w:space="0"/>
              <w:bottom w:val="single" w:color="000000" w:sz="4" w:space="0"/>
              <w:right w:val="single" w:color="000000" w:sz="4" w:space="0"/>
            </w:tcBorders>
            <w:shd w:val="clear" w:color="auto" w:fill="CCCCCC"/>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型  号  及  参  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29.底盘型号</w:t>
            </w:r>
          </w:p>
        </w:tc>
        <w:tc>
          <w:tcPr>
            <w:tcW w:w="51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市场主流产品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30.发动机型号</w:t>
            </w:r>
          </w:p>
        </w:tc>
        <w:tc>
          <w:tcPr>
            <w:tcW w:w="51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市场主流产品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31.燃油种类</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柴油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32.★外形尺寸(长×宽×高)（mm）</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≥6050（mm）×2200（mm）×2450（mm）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33.★最大总质量 (kg)</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≤7400（kg）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34.★整备质量(kg)</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≤5200（kg）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35.★额定载质量(kg)</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36.底盘型号</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国六柴油系列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37.★发动机额定功率</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≥85（Kw）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38.垃圾箱容积</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≥6.2(m³)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39.★接近角/离去角</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40.填装器料斗容积</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≥0.8(m³)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41.上料循环时间</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42.卸料循环时间</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≤45(s)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43.监控系统</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具有在驾驶室内观察倒车情况的倒车影像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44.排放标准</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国Ⅵ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45.驾驶室</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原厂空调、方向助力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46.推铲</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优质型材与低合金钢板焊接而成，三级液压油缸驱动，垃圾箱侧板须采用整板折弯成型。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47.控制模式</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采用“控制盒+控制器+CAN总线操作面板”，作业控制盒需要在在驾驶室内和车尾分别安装，以便控制；自控系统由发动机功率输出、全自动控制，自动选择怠速及加速状态。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48.液压系统</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使用“双泵”系统、双向压缩技术；上料机构配置为塑桶机构；填装器下部须配置有污水箱。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1995" w:type="pct"/>
            <w:tcBorders>
              <w:top w:val="single" w:color="000000" w:sz="4" w:space="0"/>
              <w:left w:val="single" w:color="000000" w:sz="4" w:space="0"/>
              <w:bottom w:val="single" w:color="auto"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49.其他</w:t>
            </w:r>
          </w:p>
        </w:tc>
        <w:tc>
          <w:tcPr>
            <w:tcW w:w="3004" w:type="pct"/>
            <w:tcBorders>
              <w:top w:val="single" w:color="000000" w:sz="4" w:space="0"/>
              <w:left w:val="single" w:color="000000" w:sz="4" w:space="0"/>
              <w:bottom w:val="single" w:color="auto"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1.垃圾箱后端须配置有独立锁紧机构，对填装器进行锁紧；关闭时，密封条始终保持压缩状态。</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2.填装器与垃圾箱结合面处配置有密封结构形式，密封条须使用特殊橡胶材质，同时配置有双重密封技术。</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3.配备防下降开关、报警装置、安全撑杆急停按钮等安全配置。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000" w:type="pct"/>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注：</w:t>
            </w: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报价包括设备价、运输费、车辆挂牌费、购置税、售后服务费、质量保修（1年）、附属配件、雇员费用、保险费（包括但不限于机动车交通事故责任强制保险费、第三责任险&lt;保额150万元&gt;）、税费及其他伴随费用等。</w:t>
            </w:r>
          </w:p>
          <w:p>
            <w:pPr>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2、投标人需提供投标产品在工信部的汽车产品公告参数页截图。</w:t>
            </w:r>
          </w:p>
        </w:tc>
      </w:tr>
    </w:tbl>
    <w:p>
      <w:pPr>
        <w:rPr>
          <w:rFonts w:hint="eastAsia" w:ascii="Times New Roman" w:hAnsi="Times New Roman" w:eastAsia="宋体" w:cs="Times New Roman"/>
          <w:lang w:val="en-US" w:eastAsia="zh-CN"/>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00"/>
        <w:gridCol w:w="5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gridSpan w:val="2"/>
            <w:tcBorders>
              <w:top w:val="nil"/>
              <w:left w:val="nil"/>
              <w:bottom w:val="nil"/>
              <w:right w:val="nil"/>
            </w:tcBorders>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18吨级多功能抑尘车采购技术参数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995" w:type="pct"/>
            <w:tcBorders>
              <w:top w:val="single" w:color="000000" w:sz="4" w:space="0"/>
              <w:left w:val="single" w:color="000000" w:sz="4" w:space="0"/>
              <w:bottom w:val="single" w:color="000000" w:sz="4" w:space="0"/>
              <w:right w:val="single" w:color="000000" w:sz="4" w:space="0"/>
            </w:tcBorders>
            <w:shd w:val="clear" w:color="auto" w:fill="CCCCCC"/>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   目</w:t>
            </w:r>
          </w:p>
        </w:tc>
        <w:tc>
          <w:tcPr>
            <w:tcW w:w="3004" w:type="pct"/>
            <w:tcBorders>
              <w:top w:val="single" w:color="000000" w:sz="4" w:space="0"/>
              <w:left w:val="single" w:color="000000" w:sz="4" w:space="0"/>
              <w:bottom w:val="single" w:color="000000" w:sz="4" w:space="0"/>
              <w:right w:val="single" w:color="000000" w:sz="4" w:space="0"/>
            </w:tcBorders>
            <w:shd w:val="clear" w:color="auto" w:fill="CCCCCC"/>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型  号  及  参  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50.底盘型号</w:t>
            </w:r>
          </w:p>
        </w:tc>
        <w:tc>
          <w:tcPr>
            <w:tcW w:w="51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市场主流产品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51.发动机型号</w:t>
            </w:r>
          </w:p>
        </w:tc>
        <w:tc>
          <w:tcPr>
            <w:tcW w:w="51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市场主流产品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52.燃油种类</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柴油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53.★外形尺寸(长×宽×高)</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≤8360（mm）×2490（mm）×3350（mm）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54.★最大总质量</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≥18000（kg）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55.★整备质量</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≤8550（kg）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56.★额定载质量</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57.底盘型号</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国六柴油系列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58.★发动机额定功率</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≥160（Kw）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59.接近角/离去角</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60.罐体（公告）有效容积</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61.洒水宽度</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62.后圆锥喷嘴冲洗宽度</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63.水枪射程</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≥38（m）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64.风炮射程</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65.风炮俯仰角度</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66.风炮回转角度</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67.监控系统</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须设有彩色视频后视系统，具有在驾驶室内监视风炮喷射方向和角度以及倒车影像。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68.排放标准</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国Ⅵ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69.驾驶室</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原厂空调、方向助力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70.水罐</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采用一次性包罐成型技术，并通过渗透无损探伤检测；</w:t>
            </w:r>
            <w:r>
              <w:rPr>
                <w:rFonts w:hint="eastAsia" w:ascii="仿宋" w:hAnsi="仿宋" w:eastAsia="仿宋" w:cs="仿宋"/>
                <w:sz w:val="24"/>
                <w:szCs w:val="24"/>
                <w:highlight w:val="none"/>
                <w:lang w:val="en-US" w:eastAsia="zh-CN"/>
              </w:rPr>
              <w:t>水罐内部防波板缓冲结构设计，涂刷优于或等于环</w:t>
            </w:r>
            <w:r>
              <w:rPr>
                <w:rFonts w:hint="eastAsia" w:ascii="仿宋" w:hAnsi="仿宋" w:eastAsia="仿宋" w:cs="仿宋"/>
                <w:sz w:val="24"/>
                <w:szCs w:val="24"/>
                <w:lang w:val="en-US" w:eastAsia="zh-CN"/>
              </w:rPr>
              <w:t>氧煤沥青漆专业防腐涂层；底架采用框架结构。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71.控制模式</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采用“电气控制+手动操作+远程遥控器”。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72.风机系统</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采用底盘变速箱侧取力，油泵为上装的高压水泵马达提供动力；风机系统操作配备手动控制和远程遥控器控制。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73.风炮系统</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配置过滤器；低压水路系统配置滤网三通过滤器及排污阀；过滤器及手控阀等都须布置在方便人员操作的位置；水压不低于3mpa。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74.其他</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1.低压水泵须采用知名品牌自吸式双级离心泵。</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2.配有功能齐全的低压水路系统，包括鸭嘴冲洗装置、后对冲冲洗装置、后洒水装置、绿化浇灌装置以及水枪。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5000" w:type="pct"/>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注：</w:t>
            </w: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报价包括设备价、运输费、车辆挂牌费、购置税、售后服务费、质量保修（1年）、附属配件、雇员费用、保险费（包括但不限于机动车交通事故责任强制保险费、第三责任险&lt;保额150万元&gt;）、税费及其他伴随费用等。</w:t>
            </w:r>
          </w:p>
          <w:p>
            <w:pPr>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2、投标人需提供投标产品在工信部的汽车产品公告参数页截图。</w:t>
            </w:r>
          </w:p>
        </w:tc>
      </w:tr>
    </w:tbl>
    <w:p>
      <w:pPr>
        <w:rPr>
          <w:rFonts w:hint="eastAsia" w:ascii="Times New Roman" w:hAnsi="Times New Roman" w:eastAsia="宋体" w:cs="Times New Roman"/>
          <w:lang w:val="en-US" w:eastAsia="zh-CN"/>
        </w:rPr>
      </w:pPr>
    </w:p>
    <w:tbl>
      <w:tblPr>
        <w:tblStyle w:val="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00"/>
        <w:gridCol w:w="5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000" w:type="pct"/>
            <w:gridSpan w:val="2"/>
            <w:tcBorders>
              <w:top w:val="nil"/>
              <w:left w:val="nil"/>
              <w:bottom w:val="nil"/>
              <w:right w:val="nil"/>
            </w:tcBorders>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7吨级洒水车采购技术参数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995" w:type="pct"/>
            <w:tcBorders>
              <w:top w:val="single" w:color="000000" w:sz="4" w:space="0"/>
              <w:left w:val="single" w:color="000000" w:sz="4" w:space="0"/>
              <w:bottom w:val="single" w:color="000000" w:sz="4" w:space="0"/>
              <w:right w:val="single" w:color="000000" w:sz="4" w:space="0"/>
            </w:tcBorders>
            <w:shd w:val="clear" w:color="auto" w:fill="CCCCCC"/>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   目</w:t>
            </w:r>
          </w:p>
        </w:tc>
        <w:tc>
          <w:tcPr>
            <w:tcW w:w="3004" w:type="pct"/>
            <w:tcBorders>
              <w:top w:val="single" w:color="000000" w:sz="4" w:space="0"/>
              <w:left w:val="single" w:color="000000" w:sz="4" w:space="0"/>
              <w:bottom w:val="single" w:color="000000" w:sz="4" w:space="0"/>
              <w:right w:val="single" w:color="000000" w:sz="4" w:space="0"/>
            </w:tcBorders>
            <w:shd w:val="clear" w:color="auto" w:fill="CCCCCC"/>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型  号  及  参  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75.底盘型号</w:t>
            </w:r>
          </w:p>
        </w:tc>
        <w:tc>
          <w:tcPr>
            <w:tcW w:w="51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市场主流产品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76.发动机型号</w:t>
            </w:r>
          </w:p>
        </w:tc>
        <w:tc>
          <w:tcPr>
            <w:tcW w:w="51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市场主流产品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77.燃油种类</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柴油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78.★外形尺寸(长×宽×高)</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≤6350（mm）×2000（mm）×2300（mm）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79.★最大总质量</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≤7400（kg）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80.★整备质量</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≤3350（kg）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81.★额定载质量</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82.底盘型号</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国六柴油系列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83.★发动机额定功率</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≥85（Kw）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84.水罐总容积</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85.★接近角/离去角</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86.鸭嘴冲洗宽度</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87.洒水宽度</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88.对冲冲洗宽度</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89.水炮射程</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≥28（m）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90.监控系统</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具有在驾驶室内观察倒车情况的倒车影像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91.排放标准</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国Ⅵ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92.驾驶室</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原厂空调、方向助力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93.水罐</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采用一次性包罐成型技术，并通过渗透无损探伤检测</w:t>
            </w:r>
            <w:r>
              <w:rPr>
                <w:rFonts w:hint="eastAsia" w:ascii="仿宋" w:hAnsi="仿宋" w:eastAsia="仿宋" w:cs="仿宋"/>
                <w:sz w:val="24"/>
                <w:szCs w:val="24"/>
                <w:highlight w:val="none"/>
                <w:lang w:val="en-US" w:eastAsia="zh-CN"/>
              </w:rPr>
              <w:t>；水罐内部防波板缓冲结构设计，涂刷优于或等于环氧</w:t>
            </w:r>
            <w:r>
              <w:rPr>
                <w:rFonts w:hint="eastAsia" w:ascii="仿宋" w:hAnsi="仿宋" w:eastAsia="仿宋" w:cs="仿宋"/>
                <w:sz w:val="24"/>
                <w:szCs w:val="24"/>
                <w:lang w:val="en-US" w:eastAsia="zh-CN"/>
              </w:rPr>
              <w:t>煤沥青漆专业防腐涂层；底架采用框架结构。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94.控制模式</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采用“手动操作+控制开关”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95.水炮</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铝制远射程水炮,且可0 ～ 360°旋转、炮体可上下俯仰操作，可调节水流的喷射形状。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96.其他</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1.低压水泵须采用知名品牌自吸式双级离心泵。</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2.配置鸭嘴冲洗装置、对冲冲洗装置、洒水装置、水炮；前鸭嘴冲洗装置、前对冲冲洗装置须由气动切断阀控制开和关。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3" w:hRule="atLeast"/>
          <w:jc w:val="center"/>
        </w:trPr>
        <w:tc>
          <w:tcPr>
            <w:tcW w:w="5000" w:type="pct"/>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注：</w:t>
            </w: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报价包括设备价、运输费、车辆挂牌费、购置税、售后服务费、质量保修（1年）、附属配件、雇员费用、保险费（包括但不限于机动车交通事故责任强制保险费、第三责任险&lt;保额150万元&gt;）、税费及其他伴随费用等。</w:t>
            </w:r>
          </w:p>
          <w:p>
            <w:pPr>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2、投标人需提供投标产品在工信部的汽车产品公告参数页截图。</w:t>
            </w:r>
          </w:p>
        </w:tc>
      </w:tr>
    </w:tbl>
    <w:p>
      <w:pPr>
        <w:pStyle w:val="2"/>
        <w:rPr>
          <w:rFonts w:hint="eastAsia" w:ascii="Times New Roman" w:hAnsi="Times New Roman" w:eastAsia="宋体" w:cs="Times New Roman"/>
          <w:lang w:val="en-US" w:eastAsia="zh-CN"/>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00"/>
        <w:gridCol w:w="5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2"/>
            <w:tcBorders>
              <w:top w:val="nil"/>
              <w:left w:val="nil"/>
              <w:bottom w:val="nil"/>
              <w:right w:val="nil"/>
            </w:tcBorders>
            <w:noWrap/>
            <w:vAlign w:val="center"/>
          </w:tcPr>
          <w:p>
            <w:pPr>
              <w:jc w:val="center"/>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7吨级车厢可卸式垃圾车及垃圾箱技术参数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995" w:type="pct"/>
            <w:tcBorders>
              <w:top w:val="single" w:color="000000" w:sz="4" w:space="0"/>
              <w:left w:val="single" w:color="000000" w:sz="4" w:space="0"/>
              <w:bottom w:val="single" w:color="000000" w:sz="4" w:space="0"/>
              <w:right w:val="single" w:color="000000" w:sz="4" w:space="0"/>
            </w:tcBorders>
            <w:shd w:val="clear" w:color="auto" w:fill="CCCCCC"/>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   目</w:t>
            </w:r>
          </w:p>
        </w:tc>
        <w:tc>
          <w:tcPr>
            <w:tcW w:w="3004" w:type="pct"/>
            <w:tcBorders>
              <w:top w:val="single" w:color="000000" w:sz="4" w:space="0"/>
              <w:left w:val="single" w:color="000000" w:sz="4" w:space="0"/>
              <w:bottom w:val="single" w:color="000000" w:sz="4" w:space="0"/>
              <w:right w:val="single" w:color="000000" w:sz="4" w:space="0"/>
            </w:tcBorders>
            <w:shd w:val="clear" w:color="auto" w:fill="CCCCCC"/>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型  号  及  参  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97.底盘型号</w:t>
            </w:r>
          </w:p>
        </w:tc>
        <w:tc>
          <w:tcPr>
            <w:tcW w:w="51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市场主流产品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98.发动机型号</w:t>
            </w:r>
          </w:p>
        </w:tc>
        <w:tc>
          <w:tcPr>
            <w:tcW w:w="510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市场主流产品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99.燃油种类</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柴油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100.★外形尺寸(长×宽×高)</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≥5350（mm）×1950（mm）×2200（mm）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101.★最大总质量</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≤8300（kg）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102.★整备质量</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≤3400（kg）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103.★额定载质量</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≥4280（kg）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104.底盘型号</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国六柴油系列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105.★发动机额定功率</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≥85（Kw）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106.★接近角/离去角</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107.拉箱作业时间</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108.卸箱作业时间</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≤45（s）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109.卸料循环作业时间</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≤70（s）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110.自卸角度</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111.钩心高度</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112.外导入宽度</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≥1070（mm）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113.额定提升能力</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114.上装液压系统压力</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115.监控系统</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具有在驾驶室内观察倒车情况的倒车影像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116.排放标准</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国Ⅵ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117.驾驶室</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原厂空调、方向助力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118.拉臂装置</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配备</w:t>
            </w:r>
            <w:r>
              <w:rPr>
                <w:rFonts w:hint="eastAsia" w:ascii="仿宋" w:hAnsi="仿宋" w:eastAsia="仿宋" w:cs="仿宋"/>
                <w:sz w:val="24"/>
                <w:szCs w:val="24"/>
                <w:highlight w:val="none"/>
                <w:lang w:val="en-US" w:eastAsia="zh-CN"/>
              </w:rPr>
              <w:t>优于或等于</w:t>
            </w:r>
            <w:r>
              <w:rPr>
                <w:rFonts w:hint="eastAsia" w:ascii="仿宋" w:hAnsi="仿宋" w:eastAsia="仿宋" w:cs="仿宋"/>
                <w:sz w:val="24"/>
                <w:szCs w:val="24"/>
                <w:lang w:val="en-US" w:eastAsia="zh-CN"/>
              </w:rPr>
              <w:t>3吨中置单举升油缸拉臂，结构件符合国家标准的高强度钢材；拉臂装置须安装在底盘，实现拉箱、卸箱和卸料等功能。拉臂装置须配置箱体锁用于锁紧箱体，限制箱体移动，并在卸料过程中起到保护拉臂装置的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119.液压系统</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配备开式系统，由举升回路﹑锁紧回路组成，系统最大工作压力须达到25MPa。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120.电气系统</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从底盘电源取电，通过开关、继电器及接近开关的控制，实现主臂的升降开关、滑动臂的伸缩开关等功能。电气系统须设置安全逻辑控制关系。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121.控制模式</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采用操作盒控制，且安装于车辆驾驶室内部，须由电源按钮和拉臂操作盒两部分组成，操作者可在驾驶室内就可以完成所有的动作。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122.其他</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1.配置蜂鸣器，车辆拉臂装置进行动作时发出声音报警且车辆须装配有安全支撑装置等安全配置。</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2.配套的垃圾箱后门与箱体配置机械锁紧密封。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配套垃圾箱技术参数要求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123.长×宽×高</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≥3700（mm）×1800（mm）×1550（mm）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124.箱体容积 </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125.钩心高度 </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126.导轨外宽度</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≥1060（mm）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995" w:type="pct"/>
            <w:tcBorders>
              <w:top w:val="single" w:color="000000" w:sz="4" w:space="0"/>
              <w:left w:val="single" w:color="000000" w:sz="4" w:space="0"/>
              <w:bottom w:val="single" w:color="auto"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127.垃圾箱体</w:t>
            </w:r>
          </w:p>
        </w:tc>
        <w:tc>
          <w:tcPr>
            <w:tcW w:w="3004" w:type="pct"/>
            <w:tcBorders>
              <w:top w:val="single" w:color="000000" w:sz="4" w:space="0"/>
              <w:left w:val="single" w:color="000000" w:sz="4" w:space="0"/>
              <w:bottom w:val="single" w:color="auto" w:sz="4" w:space="0"/>
              <w:right w:val="single" w:color="000000" w:sz="4" w:space="0"/>
            </w:tcBorders>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一辆车配备两个箱体，箱体须采用冷轧板一次性冲压而成，垃圾箱两侧采用电阻焊加二保焊焊接，箱体底板须一次冲压成型并使用加强筋，底部须采用2个万向脚</w:t>
            </w:r>
            <w:r>
              <w:rPr>
                <w:rFonts w:hint="eastAsia" w:ascii="仿宋" w:hAnsi="仿宋" w:eastAsia="仿宋" w:cs="仿宋"/>
                <w:strike w:val="0"/>
                <w:dstrike w:val="0"/>
                <w:sz w:val="24"/>
                <w:szCs w:val="24"/>
                <w:highlight w:val="none"/>
                <w:lang w:val="en-US" w:eastAsia="zh-CN"/>
              </w:rPr>
              <w:t>轮、2个定向脚轮确保转向正常。底漆须采用阴极电泳工艺或类似工艺，内底部须采用汽车装甲技术或类似技术，</w:t>
            </w:r>
            <w:r>
              <w:rPr>
                <w:rFonts w:hint="eastAsia" w:ascii="仿宋" w:hAnsi="仿宋" w:eastAsia="仿宋" w:cs="仿宋"/>
                <w:sz w:val="24"/>
                <w:szCs w:val="24"/>
                <w:lang w:val="en-US" w:eastAsia="zh-CN"/>
              </w:rPr>
              <w:t>配置涂复合高分子防腐防刮涂层。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2" w:hRule="atLeast"/>
        </w:trPr>
        <w:tc>
          <w:tcPr>
            <w:tcW w:w="5000" w:type="pct"/>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注：</w:t>
            </w: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报价包括设备价、运输费、车辆挂牌费、购置税、售后服务费、质量保修（1年）、附属配件、雇员费用、保险费（包括但不限于机动车交通事故责任强制保险费、第三责任险&lt;保额150万元&gt;）、税费及其他伴随费用等。</w:t>
            </w:r>
          </w:p>
          <w:p>
            <w:pPr>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2、投标人需提供投标产品在工信部的汽车产品公告参数页截图。</w:t>
            </w:r>
          </w:p>
        </w:tc>
      </w:tr>
    </w:tbl>
    <w:p>
      <w:pPr>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rPr>
          <w:rFonts w:hint="eastAsia" w:ascii="Times New Roman" w:hAnsi="Times New Roman" w:eastAsia="宋体" w:cs="Times New Roman"/>
          <w:lang w:val="en-US" w:eastAsia="zh-CN"/>
        </w:rPr>
      </w:pPr>
    </w:p>
    <w:p>
      <w:pPr>
        <w:pStyle w:val="2"/>
        <w:rPr>
          <w:rFonts w:hint="eastAsia" w:ascii="Times New Roman" w:hAnsi="Times New Roman" w:eastAsia="宋体" w:cs="Times New Roman"/>
          <w:lang w:val="en-US" w:eastAsia="zh-CN"/>
        </w:rPr>
      </w:pPr>
    </w:p>
    <w:p>
      <w:pPr>
        <w:rPr>
          <w:rFonts w:hint="eastAsia" w:ascii="Times New Roman" w:hAnsi="Times New Roman" w:eastAsia="宋体" w:cs="Times New Roman"/>
          <w:lang w:val="en-US" w:eastAsia="zh-CN"/>
        </w:rPr>
      </w:pPr>
    </w:p>
    <w:tbl>
      <w:tblPr>
        <w:tblStyle w:val="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00"/>
        <w:gridCol w:w="5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5000" w:type="pct"/>
            <w:gridSpan w:val="2"/>
            <w:tcBorders>
              <w:top w:val="nil"/>
              <w:left w:val="nil"/>
              <w:bottom w:val="nil"/>
              <w:right w:val="nil"/>
            </w:tcBorders>
            <w:noWrap/>
            <w:vAlign w:val="center"/>
          </w:tcPr>
          <w:p>
            <w:pPr>
              <w:pStyle w:val="2"/>
              <w:jc w:val="center"/>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三轮六桶车技术参数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995" w:type="pct"/>
            <w:tcBorders>
              <w:top w:val="single" w:color="000000" w:sz="4" w:space="0"/>
              <w:left w:val="single" w:color="000000" w:sz="4" w:space="0"/>
              <w:bottom w:val="single" w:color="000000" w:sz="4" w:space="0"/>
              <w:right w:val="single" w:color="000000" w:sz="4" w:space="0"/>
            </w:tcBorders>
            <w:shd w:val="clear" w:color="auto" w:fill="CCCCCC"/>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   目</w:t>
            </w:r>
          </w:p>
        </w:tc>
        <w:tc>
          <w:tcPr>
            <w:tcW w:w="3004" w:type="pct"/>
            <w:tcBorders>
              <w:top w:val="single" w:color="000000" w:sz="4" w:space="0"/>
              <w:left w:val="single" w:color="000000" w:sz="4" w:space="0"/>
              <w:bottom w:val="single" w:color="000000" w:sz="4" w:space="0"/>
              <w:right w:val="single" w:color="000000" w:sz="4" w:space="0"/>
            </w:tcBorders>
            <w:shd w:val="clear" w:color="auto" w:fill="CCCCCC"/>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型  号  及  参  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128.外形尺寸(长×宽×高)</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≥3850（mm）×1400（mm）×1750（mm）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129.箱体尺寸(长×宽×高)</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≥2400（mm）×1400（mm）×500（mm）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130.整备质量</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≤1000（kg）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131.额定载质量</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132.轴距</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≥2650（mm）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133.额定电压</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134.额定功率</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135.续航里程</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≥60（km）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136.泵站功率</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≥0.8（Kw）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137.尾板举升力</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138.电池容量</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≥100（Ah）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139.充电时间</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140.额定电压</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141.电池</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配置优于或等于72V、100AH铅酸水电池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142.电机</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配置优于或等于72V、3KW直流无刷电机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143.电控</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配备智能电控系统，须实现智能控制器自保护功能，防电磁干扰、防飞车、启动延时和倒车减速等安全保护功能。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144充电机</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配备</w:t>
            </w:r>
            <w:r>
              <w:rPr>
                <w:rFonts w:hint="eastAsia" w:ascii="仿宋" w:hAnsi="仿宋" w:eastAsia="仿宋" w:cs="仿宋"/>
                <w:sz w:val="24"/>
                <w:szCs w:val="24"/>
                <w:highlight w:val="none"/>
                <w:lang w:val="en-US" w:eastAsia="zh-CN"/>
              </w:rPr>
              <w:t>优于或等于72V</w:t>
            </w:r>
            <w:r>
              <w:rPr>
                <w:rFonts w:hint="eastAsia" w:ascii="仿宋" w:hAnsi="仿宋" w:eastAsia="仿宋" w:cs="仿宋"/>
                <w:sz w:val="24"/>
                <w:szCs w:val="24"/>
                <w:lang w:val="en-US" w:eastAsia="zh-CN"/>
              </w:rPr>
              <w:t>智能充电器，充电器须设有断路保护装置。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145.座椅</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配备皮革软座椅，皮革软靠垫。</w:t>
            </w:r>
          </w:p>
        </w:tc>
      </w:tr>
      <w:tr>
        <w:tblPrEx>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146.后视镜</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配备大视野无死角后视镜。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147.灯光及信号</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足双大灯多LED灯珠+转向灯+倒车蜂鸣器+刹车灯+整体后尾灯+LED爆闪警示灯+倒车影像。</w:t>
            </w:r>
          </w:p>
        </w:tc>
      </w:tr>
      <w:tr>
        <w:tblPrEx>
          <w:tblCellMar>
            <w:top w:w="0" w:type="dxa"/>
            <w:left w:w="108" w:type="dxa"/>
            <w:bottom w:w="0" w:type="dxa"/>
            <w:right w:w="108" w:type="dxa"/>
          </w:tblCellMar>
        </w:tblPrEx>
        <w:trPr>
          <w:trHeight w:val="540"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148.驾驶室</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配置单大灯简易驾驶室，配有雨刮器、一体式双大灯、中网、钢化玻璃。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149.箱体材质</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采用全金属材质+框架式护栏结构。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150.后桥</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采用连式一体电动差速后桥，制动鼓直径≥220mm，需配置高低档。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151.车架</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采用框架式结构，主梁须采用内撑加强结构。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152.轮胎</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采用重载轮胎。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153.制动系统</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采用油刹。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154.转向方式</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采用龙头把式转向机构。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155.悬挂系统</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前悬挂系统须采用双筒外簧式带阻尼液压减震器；后悬挂系统须采用滑板支撑式板簧。</w:t>
            </w:r>
          </w:p>
        </w:tc>
      </w:tr>
      <w:tr>
        <w:tblPrEx>
          <w:tblCellMar>
            <w:top w:w="0" w:type="dxa"/>
            <w:left w:w="108" w:type="dxa"/>
            <w:bottom w:w="0" w:type="dxa"/>
            <w:right w:w="108" w:type="dxa"/>
          </w:tblCellMar>
        </w:tblPrEx>
        <w:trPr>
          <w:trHeight w:val="810" w:hRule="atLeast"/>
          <w:jc w:val="center"/>
        </w:trPr>
        <w:tc>
          <w:tcPr>
            <w:tcW w:w="1995" w:type="pct"/>
            <w:tcBorders>
              <w:top w:val="single" w:color="000000" w:sz="4" w:space="0"/>
              <w:left w:val="single" w:color="000000" w:sz="4" w:space="0"/>
              <w:bottom w:val="single" w:color="auto"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156.液压尾板</w:t>
            </w:r>
          </w:p>
        </w:tc>
        <w:tc>
          <w:tcPr>
            <w:tcW w:w="3004" w:type="pct"/>
            <w:tcBorders>
              <w:top w:val="single" w:color="000000" w:sz="4" w:space="0"/>
              <w:left w:val="single" w:color="000000" w:sz="4" w:space="0"/>
              <w:bottom w:val="single" w:color="auto"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液压系统采用齿轮泵式液压动力单元，配备电磁阀控制系统；液压尾板由液压油缸举升，尾板动作开、降、升、关（配防护链条）。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1" w:hRule="atLeast"/>
          <w:jc w:val="center"/>
        </w:trPr>
        <w:tc>
          <w:tcPr>
            <w:tcW w:w="5000" w:type="pct"/>
            <w:gridSpan w:val="2"/>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报价包括设备价、运输费、车辆挂牌费、购置税、售后服务费、质量保修（1年）、附属配件、雇员费用、保险费、税费及其他伴随费用等。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000" w:type="pct"/>
            <w:gridSpan w:val="2"/>
            <w:tcBorders>
              <w:top w:val="nil"/>
              <w:left w:val="nil"/>
              <w:bottom w:val="nil"/>
              <w:right w:val="nil"/>
            </w:tcBorders>
            <w:noWrap/>
            <w:vAlign w:val="center"/>
          </w:tcPr>
          <w:p>
            <w:pPr>
              <w:pStyle w:val="2"/>
              <w:jc w:val="center"/>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三轮四桶车技术参数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995" w:type="pct"/>
            <w:tcBorders>
              <w:top w:val="single" w:color="000000" w:sz="4" w:space="0"/>
              <w:left w:val="single" w:color="000000" w:sz="4" w:space="0"/>
              <w:bottom w:val="single" w:color="000000" w:sz="4" w:space="0"/>
              <w:right w:val="single" w:color="000000" w:sz="4" w:space="0"/>
            </w:tcBorders>
            <w:shd w:val="clear" w:color="auto" w:fill="CCCCCC"/>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   目</w:t>
            </w:r>
          </w:p>
        </w:tc>
        <w:tc>
          <w:tcPr>
            <w:tcW w:w="3004" w:type="pct"/>
            <w:tcBorders>
              <w:top w:val="single" w:color="000000" w:sz="4" w:space="0"/>
              <w:left w:val="single" w:color="000000" w:sz="4" w:space="0"/>
              <w:bottom w:val="single" w:color="000000" w:sz="4" w:space="0"/>
              <w:right w:val="single" w:color="000000" w:sz="4" w:space="0"/>
            </w:tcBorders>
            <w:shd w:val="clear" w:color="auto" w:fill="CCCCCC"/>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型  号  及  参  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157.外形尺寸(长×宽×高)</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≥3380（mm）×1400（mm）×1200（mm）</w:t>
            </w:r>
          </w:p>
        </w:tc>
      </w:tr>
      <w:tr>
        <w:tblPrEx>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158.整备质量</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≤480（kg）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159.额定载质量</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160.轴距</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≥2150（mm）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161.额定电压</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≥60（V）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162.额定功率</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163.续航里程</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≥60（km）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164.电池容量</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≥32（Ah）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165.充电时间</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166.电池</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配置优于或等于60 V、32AH铅酸水电池或优于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167.电机</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配置优于或等于60V、1300W直流电机或优于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168.电控</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配备防电磁干扰、防飞车、启动延时和倒车减速等安全功能。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169.充电机</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配备智能充电器，充电器须配置断路保护装置，蓄电池充电完毕后可自动断电。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170.座椅</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配备皮革软座椅，皮革软靠垫。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171.后视镜</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配备电动车专用无死角后视镜。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172.灯光及信号</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足双大灯多LED灯珠+转向灯+倒车蜂鸣器+刹车灯+整体后尾灯+LED爆闪警示灯+倒车影像。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173.驾驶室</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配备LED大灯+转向灯+倒车报警器+左右旋转警示灯。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174.箱体材质</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采用冷轧钢板，折弯整体焊接喷塑。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175.后桥</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采用连式一体电动差速后桥。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176.车架</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框架式结构，主梁须采用内撑加强结构。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177.轮胎</w:t>
            </w:r>
          </w:p>
        </w:tc>
        <w:tc>
          <w:tcPr>
            <w:tcW w:w="3004"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采用重载轮胎。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995" w:type="pct"/>
            <w:tcBorders>
              <w:top w:val="single" w:color="000000" w:sz="4" w:space="0"/>
              <w:left w:val="single" w:color="000000" w:sz="4" w:space="0"/>
              <w:bottom w:val="single" w:color="auto"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178.制动系统</w:t>
            </w:r>
          </w:p>
        </w:tc>
        <w:tc>
          <w:tcPr>
            <w:tcW w:w="3004" w:type="pct"/>
            <w:tcBorders>
              <w:top w:val="single" w:color="000000" w:sz="4" w:space="0"/>
              <w:left w:val="single" w:color="000000" w:sz="4" w:space="0"/>
              <w:bottom w:val="single" w:color="auto" w:sz="4" w:space="0"/>
              <w:right w:val="single" w:color="000000"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后轮采用毂式机械制动+驻车制动。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jc w:val="center"/>
        </w:trPr>
        <w:tc>
          <w:tcPr>
            <w:tcW w:w="5000" w:type="pct"/>
            <w:gridSpan w:val="2"/>
            <w:tcBorders>
              <w:top w:val="single" w:color="auto" w:sz="4" w:space="0"/>
              <w:left w:val="single" w:color="auto" w:sz="4" w:space="0"/>
              <w:bottom w:val="single" w:color="auto" w:sz="4" w:space="0"/>
              <w:right w:val="single" w:color="auto" w:sz="4" w:space="0"/>
            </w:tcBorders>
            <w:noWrap w:val="0"/>
            <w:vAlign w:val="center"/>
          </w:tcPr>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报价包括设备价、运输费、车辆挂牌费、购置税、售后服务费、质量保修（1年）、附属配件、雇员费用、保险费、税费及其他伴随费用等。</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xZjZlMmM3OGNlZjRjMGM0ZTAwMDU3MzEyMTJhNGMifQ=="/>
  </w:docVars>
  <w:rsids>
    <w:rsidRoot w:val="7FBD4F4C"/>
    <w:rsid w:val="7FBD4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link w:val="9"/>
    <w:qFormat/>
    <w:uiPriority w:val="0"/>
    <w:pPr>
      <w:keepNext/>
      <w:keepLines/>
      <w:widowControl w:val="0"/>
      <w:autoSpaceDE w:val="0"/>
      <w:autoSpaceDN w:val="0"/>
      <w:adjustRightInd w:val="0"/>
      <w:spacing w:before="240" w:after="120" w:line="300" w:lineRule="auto"/>
      <w:jc w:val="center"/>
      <w:outlineLvl w:val="0"/>
    </w:pPr>
    <w:rPr>
      <w:rFonts w:ascii="宋体" w:hAnsi="宋体" w:eastAsia="仿宋" w:cs="Times New Roman"/>
      <w:b/>
      <w:kern w:val="44"/>
      <w:sz w:val="32"/>
      <w:szCs w:val="20"/>
      <w:lang w:val="en-US" w:eastAsia="zh-CN" w:bidi="ar-SA"/>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oc 1"/>
    <w:next w:val="1"/>
    <w:uiPriority w:val="39"/>
    <w:pPr>
      <w:widowControl w:val="0"/>
      <w:jc w:val="both"/>
    </w:pPr>
    <w:rPr>
      <w:rFonts w:ascii="Times New Roman" w:hAnsi="Times New Roman" w:eastAsia="宋体" w:cs="Times New Roman"/>
      <w:kern w:val="2"/>
      <w:sz w:val="21"/>
      <w:szCs w:val="24"/>
      <w:lang w:val="en-US" w:eastAsia="zh-CN" w:bidi="ar-SA"/>
    </w:rPr>
  </w:style>
  <w:style w:type="paragraph" w:styleId="4">
    <w:name w:val="Body Text"/>
    <w:next w:val="1"/>
    <w:uiPriority w:val="0"/>
    <w:pPr>
      <w:widowControl w:val="0"/>
      <w:tabs>
        <w:tab w:val="left" w:pos="567"/>
      </w:tabs>
      <w:spacing w:before="120" w:line="22" w:lineRule="atLeast"/>
      <w:jc w:val="both"/>
    </w:pPr>
    <w:rPr>
      <w:rFonts w:ascii="宋体" w:hAnsi="宋体" w:eastAsia="宋体" w:cs="Times New Roman"/>
      <w:kern w:val="2"/>
      <w:sz w:val="24"/>
      <w:szCs w:val="24"/>
      <w:lang w:val="en-US" w:eastAsia="zh-CN" w:bidi="ar-SA"/>
    </w:rPr>
  </w:style>
  <w:style w:type="paragraph" w:styleId="5">
    <w:name w:val="footer"/>
    <w:qFormat/>
    <w:uiPriority w:val="99"/>
    <w:pPr>
      <w:widowControl w:val="0"/>
      <w:tabs>
        <w:tab w:val="center" w:pos="4153"/>
        <w:tab w:val="right" w:pos="8306"/>
      </w:tabs>
      <w:autoSpaceDE w:val="0"/>
      <w:autoSpaceDN w:val="0"/>
      <w:adjustRightInd w:val="0"/>
      <w:snapToGrid w:val="0"/>
      <w:jc w:val="left"/>
    </w:pPr>
    <w:rPr>
      <w:rFonts w:ascii="宋体" w:hAnsi="Times New Roman" w:eastAsia="宋体" w:cs="Times New Roman"/>
      <w:kern w:val="0"/>
      <w:sz w:val="18"/>
      <w:szCs w:val="20"/>
      <w:lang w:val="en-US" w:eastAsia="zh-CN" w:bidi="ar-SA"/>
    </w:rPr>
  </w:style>
  <w:style w:type="table" w:styleId="7">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Char"/>
    <w:link w:val="3"/>
    <w:qFormat/>
    <w:uiPriority w:val="0"/>
    <w:rPr>
      <w:rFonts w:ascii="宋体" w:hAnsi="宋体" w:eastAsia="仿宋"/>
      <w:b/>
      <w:kern w:val="44"/>
      <w:sz w:val="32"/>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2023-09-12T07:22:00Z</dcterms:created>
  <dc:creator>王书刚</dc:creator>
  <cp:lastModifiedBy>王书刚</cp:lastModifiedBy>
  <dcterms:modified xsi:type="dcterms:W3CDTF">2023-09-12T07:22:55Z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0A263B9D480E4D7A957A23AF6F801203_11</vt:lpwstr>
  </property>
</Properties>
</file>