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hAnsi="宋体" w:eastAsia="宋体" w:cs="宋体"/>
          <w:b/>
          <w:sz w:val="36"/>
          <w:highlight w:val="none"/>
          <w:lang w:val="en-US" w:eastAsia="zh-CN"/>
        </w:rPr>
      </w:pPr>
      <w:r>
        <w:rPr>
          <w:rFonts w:hint="eastAsia" w:hAnsi="宋体" w:cs="宋体"/>
          <w:b/>
          <w:bCs/>
          <w:sz w:val="32"/>
          <w:szCs w:val="32"/>
          <w:highlight w:val="none"/>
          <w:lang w:eastAsia="zh-CN"/>
        </w:rPr>
        <w:t>采购</w:t>
      </w:r>
      <w:r>
        <w:rPr>
          <w:rFonts w:hint="eastAsia" w:hAnsi="宋体" w:cs="宋体"/>
          <w:b/>
          <w:bCs/>
          <w:sz w:val="32"/>
          <w:szCs w:val="32"/>
          <w:highlight w:val="none"/>
        </w:rPr>
        <w:t>项目编号：YC23314001（CGQ）009</w:t>
      </w:r>
    </w:p>
    <w:p>
      <w:pPr>
        <w:bidi w:val="0"/>
        <w:rPr>
          <w:rFonts w:hint="eastAsia"/>
          <w:highlight w:val="none"/>
          <w:lang w:eastAsia="zh-CN"/>
        </w:rPr>
      </w:pPr>
    </w:p>
    <w:p>
      <w:pPr>
        <w:pStyle w:val="45"/>
        <w:spacing w:line="360" w:lineRule="auto"/>
        <w:rPr>
          <w:rFonts w:hint="eastAsia" w:ascii="宋体" w:hAnsi="宋体" w:cs="宋体"/>
          <w:b/>
          <w:bCs/>
          <w:sz w:val="32"/>
          <w:szCs w:val="32"/>
          <w:highlight w:val="none"/>
          <w:lang w:eastAsia="zh-CN"/>
        </w:rPr>
      </w:pPr>
    </w:p>
    <w:p>
      <w:pPr>
        <w:spacing w:line="360" w:lineRule="auto"/>
        <w:rPr>
          <w:rFonts w:hint="eastAsia" w:ascii="宋体" w:hAnsi="宋体" w:cs="宋体"/>
          <w:highlight w:val="none"/>
        </w:rPr>
      </w:pPr>
      <w:r>
        <w:rPr>
          <w:rFonts w:hint="eastAsia" w:ascii="宋体" w:hAnsi="宋体" w:cs="宋体"/>
          <w:highlight w:val="none"/>
        </w:rPr>
        <w:t xml:space="preserve">  </w:t>
      </w:r>
    </w:p>
    <w:p>
      <w:pPr>
        <w:spacing w:line="360" w:lineRule="auto"/>
        <w:jc w:val="center"/>
        <w:rPr>
          <w:rFonts w:hint="default" w:ascii="宋体" w:hAnsi="宋体" w:cs="宋体"/>
          <w:b/>
          <w:bCs/>
          <w:sz w:val="48"/>
          <w:szCs w:val="48"/>
          <w:highlight w:val="none"/>
          <w:lang w:val="en-US"/>
        </w:rPr>
      </w:pPr>
      <w:r>
        <w:rPr>
          <w:rFonts w:hint="default" w:ascii="宋体" w:hAnsi="宋体" w:cs="宋体"/>
          <w:b/>
          <w:bCs/>
          <w:sz w:val="48"/>
          <w:szCs w:val="48"/>
          <w:highlight w:val="none"/>
          <w:lang w:val="en-US"/>
        </w:rPr>
        <w:t>陕能赵石畔煤电一体化项目雷龙湾电厂二期（2×1000MW）考古勘探技术服务及报告编制</w:t>
      </w:r>
    </w:p>
    <w:p>
      <w:pPr>
        <w:spacing w:line="360" w:lineRule="auto"/>
        <w:jc w:val="both"/>
        <w:rPr>
          <w:rFonts w:hint="eastAsia" w:ascii="宋体" w:hAnsi="宋体" w:cs="宋体"/>
          <w:b/>
          <w:bCs/>
          <w:sz w:val="72"/>
          <w:szCs w:val="72"/>
          <w:highlight w:val="none"/>
        </w:rPr>
      </w:pPr>
    </w:p>
    <w:p>
      <w:pPr>
        <w:spacing w:line="360" w:lineRule="auto"/>
        <w:jc w:val="center"/>
        <w:rPr>
          <w:rFonts w:hint="eastAsia" w:ascii="宋体" w:hAnsi="宋体" w:cs="宋体"/>
          <w:sz w:val="28"/>
          <w:szCs w:val="28"/>
          <w:highlight w:val="none"/>
        </w:rPr>
      </w:pPr>
      <w:r>
        <w:rPr>
          <w:rFonts w:hint="eastAsia" w:ascii="宋体" w:hAnsi="宋体" w:cs="宋体"/>
          <w:b/>
          <w:bCs/>
          <w:sz w:val="72"/>
          <w:szCs w:val="72"/>
          <w:highlight w:val="none"/>
        </w:rPr>
        <w:t>竞争性谈判文件</w:t>
      </w:r>
    </w:p>
    <w:p>
      <w:pPr>
        <w:bidi w:val="0"/>
        <w:spacing w:line="360" w:lineRule="auto"/>
        <w:rPr>
          <w:rFonts w:hint="eastAsia"/>
          <w:highlight w:val="none"/>
        </w:rPr>
      </w:pPr>
    </w:p>
    <w:p>
      <w:pPr>
        <w:bidi w:val="0"/>
        <w:spacing w:line="360" w:lineRule="auto"/>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autoSpaceDE w:val="0"/>
        <w:spacing w:line="360" w:lineRule="auto"/>
        <w:ind w:firstLine="723" w:firstLineChars="200"/>
        <w:rPr>
          <w:rFonts w:hint="default" w:ascii="宋体" w:hAnsi="宋体" w:cs="宋体"/>
          <w:b/>
          <w:bCs/>
          <w:sz w:val="36"/>
          <w:szCs w:val="36"/>
          <w:highlight w:val="none"/>
          <w:lang w:val="en-US" w:eastAsia="zh-CN"/>
        </w:rPr>
      </w:pPr>
      <w:r>
        <w:rPr>
          <w:rFonts w:hint="eastAsia" w:ascii="宋体" w:hAnsi="宋体" w:cs="宋体"/>
          <w:b/>
          <w:bCs/>
          <w:sz w:val="36"/>
          <w:szCs w:val="36"/>
          <w:highlight w:val="none"/>
        </w:rPr>
        <w:t>采   购   人：</w:t>
      </w:r>
      <w:r>
        <w:rPr>
          <w:rFonts w:hint="eastAsia" w:ascii="宋体" w:hAnsi="宋体" w:cs="宋体"/>
          <w:b/>
          <w:bCs/>
          <w:sz w:val="36"/>
          <w:szCs w:val="36"/>
          <w:highlight w:val="none"/>
          <w:lang w:val="en-US" w:eastAsia="zh-CN"/>
        </w:rPr>
        <w:t>榆林市文物考古勘探工作队</w:t>
      </w:r>
    </w:p>
    <w:p>
      <w:pPr>
        <w:autoSpaceDE w:val="0"/>
        <w:spacing w:line="360" w:lineRule="auto"/>
        <w:ind w:firstLine="723" w:firstLineChars="200"/>
        <w:rPr>
          <w:rFonts w:hint="eastAsia" w:ascii="宋体" w:hAnsi="宋体" w:cs="宋体"/>
          <w:b/>
          <w:bCs/>
          <w:sz w:val="36"/>
          <w:szCs w:val="36"/>
          <w:highlight w:val="none"/>
        </w:rPr>
      </w:pPr>
      <w:r>
        <w:rPr>
          <w:rFonts w:hint="eastAsia" w:ascii="宋体" w:hAnsi="宋体" w:cs="宋体"/>
          <w:b/>
          <w:bCs/>
          <w:sz w:val="36"/>
          <w:szCs w:val="36"/>
          <w:highlight w:val="none"/>
        </w:rPr>
        <w:t>采购代理机构：</w:t>
      </w:r>
      <w:r>
        <w:rPr>
          <w:rFonts w:hint="eastAsia" w:ascii="宋体" w:hAnsi="宋体" w:cs="宋体"/>
          <w:b/>
          <w:bCs/>
          <w:sz w:val="36"/>
          <w:szCs w:val="36"/>
          <w:highlight w:val="none"/>
          <w:lang w:val="en-US" w:eastAsia="zh-CN"/>
        </w:rPr>
        <w:t>亿诚建设项目管理有限公司</w:t>
      </w:r>
    </w:p>
    <w:p>
      <w:pPr>
        <w:spacing w:line="360" w:lineRule="auto"/>
        <w:jc w:val="cente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t>二零二</w:t>
      </w:r>
      <w:r>
        <w:rPr>
          <w:rFonts w:hint="eastAsia" w:ascii="宋体" w:hAnsi="宋体" w:cs="宋体"/>
          <w:b/>
          <w:bCs/>
          <w:sz w:val="36"/>
          <w:szCs w:val="36"/>
          <w:highlight w:val="none"/>
          <w:lang w:val="en-US" w:eastAsia="zh-CN"/>
        </w:rPr>
        <w:t>三</w:t>
      </w:r>
      <w:r>
        <w:rPr>
          <w:rFonts w:hint="eastAsia" w:ascii="宋体" w:hAnsi="宋体" w:cs="宋体"/>
          <w:b/>
          <w:bCs/>
          <w:sz w:val="36"/>
          <w:szCs w:val="36"/>
          <w:highlight w:val="none"/>
          <w:lang w:eastAsia="zh-CN"/>
        </w:rPr>
        <w:t>年</w:t>
      </w:r>
      <w:r>
        <w:rPr>
          <w:rFonts w:hint="eastAsia" w:ascii="宋体" w:hAnsi="宋体" w:cs="宋体"/>
          <w:b/>
          <w:bCs/>
          <w:sz w:val="36"/>
          <w:szCs w:val="36"/>
          <w:highlight w:val="none"/>
          <w:lang w:val="en-US" w:eastAsia="zh-CN"/>
        </w:rPr>
        <w:t>九</w:t>
      </w:r>
      <w:r>
        <w:rPr>
          <w:rFonts w:hint="eastAsia" w:ascii="宋体" w:hAnsi="宋体" w:cs="宋体"/>
          <w:b/>
          <w:bCs/>
          <w:sz w:val="36"/>
          <w:szCs w:val="36"/>
          <w:highlight w:val="none"/>
          <w:lang w:eastAsia="zh-CN"/>
        </w:rPr>
        <w:t>月</w:t>
      </w:r>
    </w:p>
    <w:p>
      <w:pP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br w:type="page"/>
      </w:r>
    </w:p>
    <w:sdt>
      <w:sdtPr>
        <w:rPr>
          <w:rFonts w:ascii="宋体" w:hAnsi="宋体" w:eastAsia="宋体" w:cs="Times New Roman"/>
          <w:b/>
          <w:bCs/>
          <w:kern w:val="2"/>
          <w:sz w:val="20"/>
          <w:szCs w:val="20"/>
          <w:highlight w:val="none"/>
          <w:lang w:val="en-US" w:eastAsia="zh-CN" w:bidi="ar-SA"/>
        </w:rPr>
        <w:id w:val="147459033"/>
        <w15:color w:val="DBDBDB"/>
        <w:docPartObj>
          <w:docPartGallery w:val="Table of Contents"/>
          <w:docPartUnique/>
        </w:docPartObj>
      </w:sdtPr>
      <w:sdtEndPr>
        <w:rPr>
          <w:rFonts w:hint="eastAsia" w:ascii="宋体" w:hAnsi="宋体" w:eastAsia="宋体" w:cs="宋体"/>
          <w:b/>
          <w:bCs/>
          <w:kern w:val="2"/>
          <w:sz w:val="21"/>
          <w:szCs w:val="30"/>
          <w:highlight w:val="none"/>
          <w:lang w:val="en-US" w:eastAsia="zh-CN" w:bidi="ar-SA"/>
        </w:rPr>
      </w:sdtEndPr>
      <w:sdtContent>
        <w:p>
          <w:pPr>
            <w:spacing w:line="360" w:lineRule="auto"/>
            <w:jc w:val="center"/>
            <w:rPr>
              <w:b/>
              <w:bCs/>
              <w:sz w:val="36"/>
              <w:szCs w:val="36"/>
              <w:highlight w:val="none"/>
            </w:rPr>
          </w:pPr>
          <w:r>
            <w:rPr>
              <w:rFonts w:ascii="宋体" w:hAnsi="宋体" w:eastAsia="宋体"/>
              <w:b/>
              <w:bCs/>
              <w:sz w:val="36"/>
              <w:szCs w:val="36"/>
              <w:highlight w:val="none"/>
            </w:rPr>
            <w:t>目录</w:t>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TOC \o "1-3" \h \u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_Toc30492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 xml:space="preserve">第一部分 </w:t>
          </w: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_Toc30492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_Toc28175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一、项目基本情况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_Toc28175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_Toc28544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二、申请人的资格要求：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_Toc28544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_Toc3906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三、获取采购文件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_Toc3906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_Toc32493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四、响应文件提交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_Toc32493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_Toc20873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五、开启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_Toc20873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六、公告期限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_Toc21484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七、其他补充事宜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_Toc21484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_Toc22466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八、对本次招标提出询问，请按以下方式联系。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_Toc22466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_Toc13518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eastAsia="zh-CN"/>
            </w:rPr>
            <w:t>二</w:t>
          </w:r>
          <w:r>
            <w:rPr>
              <w:rFonts w:hint="eastAsia" w:ascii="宋体" w:hAnsi="宋体" w:eastAsia="宋体" w:cs="宋体"/>
              <w:sz w:val="24"/>
              <w:szCs w:val="24"/>
              <w:highlight w:val="none"/>
            </w:rPr>
            <w:t>部分 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_Toc13518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_Toc28590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第三部分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_Toc28590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_Toc26101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_Toc26101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_Toc30616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1、适用范围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_Toc30616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_Toc27069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2、定义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_Toc27069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_Toc20695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3、谈判依据及原则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_Toc20695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_Toc2780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4、合格的</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_Toc2780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_Toc22271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5、保密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_Toc22271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_Toc27501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6、投标费用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_Toc27501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_Toc19792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7、踏勘现场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_Toc19792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_Toc27922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 xml:space="preserve">8、 </w:t>
          </w:r>
          <w:r>
            <w:rPr>
              <w:rFonts w:hint="eastAsia" w:ascii="宋体" w:hAnsi="宋体" w:eastAsia="宋体" w:cs="宋体"/>
              <w:sz w:val="24"/>
              <w:szCs w:val="24"/>
              <w:highlight w:val="none"/>
            </w:rPr>
            <w:t>供应商在开标现场须提供以下资质文件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_Toc27922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_Toc5305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二、谈判文件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_Toc5305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_Toc17265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1、谈判文件的构成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_Toc17265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_Toc22259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2、谈判文件的澄清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_Toc22259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_Toc19292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3、谈判文件的修改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_Toc19292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_Toc30595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三、响应文件的编写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_Toc30595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_Toc21594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1、响应文件编制的原则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_Toc21594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_Toc14200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2、响应文件语言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_Toc14200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_Toc16947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3、计量单位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_Toc16947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_Toc11646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4、响应文件的组成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_Toc11646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_Toc30681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_Toc30681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_Toc3587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6、投标报价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_Toc3587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_Toc19448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7、投标货币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_Toc19448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_Toc2025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8、证明供应商资格的证明文件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_Toc2025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_Toc24986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9、证明工程的合格性和符合谈判文件规定的文件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_Toc24986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_Toc7981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lang w:val="en-US" w:eastAsia="zh-CN"/>
            </w:rPr>
            <w:t xml:space="preserve">10、 </w:t>
          </w:r>
          <w:r>
            <w:rPr>
              <w:rFonts w:hint="eastAsia" w:ascii="宋体" w:hAnsi="宋体" w:eastAsia="宋体" w:cs="宋体"/>
              <w:sz w:val="24"/>
              <w:szCs w:val="24"/>
              <w:highlight w:val="none"/>
            </w:rPr>
            <w:t>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_Toc7981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_Toc27888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11、投标有效期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_Toc27888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_Toc31972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12、响应文件的签署及格式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_Toc31972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_Toc31552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四、响应文件的递交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_Toc31552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_Toc26552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五、谈判、确定成交供应商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_Toc26552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_Toc21789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1、谈判程序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_Toc21789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_Toc30774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2、谈判小组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_Toc30774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3、评审程序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_Toc511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_Toc11409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4、响应文件的初审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_Toc11409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_Toc12679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_Toc12679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_Toc16211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6、响应文件的澄清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_Toc16211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_Toc32722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7、评审原则及主要方法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_Toc32722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8、定标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_Toc30098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六.通知与签约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_Toc30098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_Toc12710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成交通知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_Toc12710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_Toc27075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成交合同的签订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_Toc27075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_Toc2958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成交代理服务费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_Toc2958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_Toc23096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七、供应商提出质疑应符合中华人民共和国财政部令第94号《政府采购质疑和投诉办法》的规定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_Toc23096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_Toc23242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第四部分 合同条款（仅供参考）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_Toc23242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_Toc14673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第五部分 评标方法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_Toc14673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_Toc19252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1、第一阶段：资格性审查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_Toc19252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_Toc25238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2、第二阶段：符合性审查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_Toc25238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_Toc29949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3、第三阶段：技术和商务评审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_Toc29949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_Toc13588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4、谈判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_Toc13588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_Toc19478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5、确定成交供应商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_Toc19478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_Toc2474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第六部分 采购内容及技术要求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_Toc2474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_Toc28626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第七部分 商务要求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_Toc28626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_Toc11428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部分 附件-竞争性谈判响应文件格式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_Toc11428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_Toc1154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一、谈判函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_Toc1154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_Toc32091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二、首轮报价一览表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_Toc32091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_Toc20262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分项报价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_Toc20262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_Toc11190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 xml:space="preserve">二、 </w:t>
          </w:r>
          <w:r>
            <w:rPr>
              <w:rFonts w:hint="eastAsia" w:ascii="宋体" w:hAnsi="宋体" w:eastAsia="宋体" w:cs="宋体"/>
              <w:sz w:val="24"/>
              <w:szCs w:val="24"/>
              <w:highlight w:val="none"/>
            </w:rPr>
            <w:t>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_Toc11190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_Toc19297 </w:instrText>
          </w:r>
          <w:r>
            <w:rPr>
              <w:rFonts w:hint="eastAsia" w:ascii="宋体" w:hAnsi="宋体" w:eastAsia="宋体" w:cs="宋体"/>
              <w:bCs w:val="0"/>
              <w:sz w:val="24"/>
              <w:szCs w:val="24"/>
              <w:highlight w:val="none"/>
            </w:rPr>
            <w:fldChar w:fldCharType="separate"/>
          </w:r>
          <w:r>
            <w:rPr>
              <w:rFonts w:hint="eastAsia" w:ascii="宋体" w:hAnsi="宋体" w:eastAsia="宋体" w:cs="宋体"/>
              <w:snapToGrid w:val="0"/>
              <w:kern w:val="0"/>
              <w:sz w:val="24"/>
              <w:szCs w:val="24"/>
              <w:highlight w:val="none"/>
              <w:lang w:bidi="ar"/>
            </w:rPr>
            <w:t>投标保证金缴款凭证</w:t>
          </w:r>
          <w:r>
            <w:rPr>
              <w:rFonts w:hint="eastAsia" w:ascii="宋体" w:hAnsi="宋体" w:eastAsia="宋体" w:cs="宋体"/>
              <w:snapToGrid w:val="0"/>
              <w:kern w:val="0"/>
              <w:sz w:val="24"/>
              <w:szCs w:val="24"/>
              <w:highlight w:val="none"/>
              <w:lang w:eastAsia="zh-CN" w:bidi="ar"/>
            </w:rPr>
            <w:t>；</w:t>
          </w:r>
          <w:r>
            <w:rPr>
              <w:rFonts w:hint="eastAsia" w:ascii="宋体" w:hAnsi="宋体" w:eastAsia="宋体" w:cs="宋体"/>
              <w:snapToGrid w:val="0"/>
              <w:kern w:val="0"/>
              <w:sz w:val="24"/>
              <w:szCs w:val="24"/>
              <w:highlight w:val="none"/>
              <w:lang w:val="en-US" w:eastAsia="zh-CN" w:bidi="ar"/>
            </w:rPr>
            <w:t>或投标信用（保证金）承诺书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_Toc19297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_Toc2745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、法定代表人证明书、法定代表人授权委托书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_Toc2745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_Toc30292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1、法定代表人证明书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_Toc30292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_Toc26760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_Toc26760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_Toc7438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rPr>
            <w:t>五</w:t>
          </w:r>
          <w:r>
            <w:rPr>
              <w:rFonts w:hint="eastAsia" w:ascii="宋体" w:hAnsi="宋体" w:eastAsia="宋体" w:cs="宋体"/>
              <w:bCs/>
              <w:sz w:val="24"/>
              <w:szCs w:val="24"/>
              <w:highlight w:val="none"/>
            </w:rPr>
            <w:t>、商务及服务偏离表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_Toc7438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_Toc8071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、供应商为本项目提供的资格证明文件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_Toc8071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_Toc13229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_Toc13229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_Toc29056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资格证明原件主要内容（谈判文件规定的资格证明原件复印件）。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_Toc29056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_Toc8809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）其他可以证明投标供应商实力的文件。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_Toc8809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_Toc1271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项目实施方案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_Toc1271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_Toc8226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、供应商拒绝政府采购领域商业贿赂承诺书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_Toc8226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_Toc24080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_Toc24080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_Toc11815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_Toc11815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_Toc14260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_Toc14260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_Toc10052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_Toc10052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_Toc1756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_Toc1756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_Toc9324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、服务承诺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_Toc9324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 xml:space="preserve"> 供应商性质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_Toc19311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附件1</w:t>
          </w:r>
          <w:r>
            <w:rPr>
              <w:rFonts w:hint="eastAsia" w:ascii="宋体" w:hAnsi="宋体" w:eastAsia="宋体" w:cs="宋体"/>
              <w:sz w:val="24"/>
              <w:szCs w:val="24"/>
              <w:highlight w:val="none"/>
              <w:lang w:eastAsia="zh-CN"/>
            </w:rPr>
            <w:t>：中小企业声明函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_Toc19311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_Toc2335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残疾人福利性单位声明函 (非残疾人福利企业不填写)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_Toc2335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附件3：</w:t>
          </w:r>
          <w:r>
            <w:rPr>
              <w:rFonts w:hint="eastAsia" w:ascii="宋体" w:hAnsi="宋体" w:eastAsia="宋体" w:cs="宋体"/>
              <w:sz w:val="24"/>
              <w:szCs w:val="24"/>
              <w:highlight w:val="none"/>
            </w:rPr>
            <w:t>监狱、戒毒企业声明函 (非监狱、戒毒企业不填写)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_Toc13809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十一、</w:t>
          </w:r>
          <w:r>
            <w:rPr>
              <w:rFonts w:hint="eastAsia" w:ascii="宋体" w:hAnsi="宋体" w:eastAsia="宋体" w:cs="宋体"/>
              <w:sz w:val="24"/>
              <w:szCs w:val="24"/>
              <w:highlight w:val="none"/>
            </w:rPr>
            <w:t xml:space="preserve"> 第二次报价表（最终报价表）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_Toc13809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_Toc31297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附件4：陕西省政府采购服务类项目供应商信用承诺书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_Toc31297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spacing w:line="360" w:lineRule="auto"/>
            <w:rPr>
              <w:rFonts w:hint="eastAsia" w:ascii="宋体" w:hAnsi="宋体" w:cs="宋体"/>
              <w:b/>
              <w:sz w:val="32"/>
              <w:szCs w:val="32"/>
              <w:highlight w:val="none"/>
            </w:rPr>
            <w:sectPr>
              <w:footerReference r:id="rId3" w:type="default"/>
              <w:footnotePr>
                <w:pos w:val="beneathText"/>
              </w:footnotePr>
              <w:pgSz w:w="11906" w:h="16838"/>
              <w:pgMar w:top="1440" w:right="1080" w:bottom="1440" w:left="1080" w:header="851" w:footer="992" w:gutter="0"/>
              <w:pgBorders>
                <w:top w:val="none" w:sz="0" w:space="0"/>
                <w:left w:val="none" w:sz="0" w:space="0"/>
                <w:bottom w:val="none" w:sz="0" w:space="0"/>
                <w:right w:val="none" w:sz="0" w:space="0"/>
              </w:pgBorders>
              <w:pgNumType w:start="1" w:chapStyle="1" w:chapSep="colon"/>
              <w:cols w:space="720" w:num="1"/>
              <w:docGrid w:linePitch="312" w:charSpace="0"/>
            </w:sectPr>
          </w:pPr>
          <w:r>
            <w:rPr>
              <w:rFonts w:hint="eastAsia" w:ascii="宋体" w:hAnsi="宋体" w:eastAsia="宋体" w:cs="宋体"/>
              <w:bCs w:val="0"/>
              <w:sz w:val="24"/>
              <w:szCs w:val="24"/>
              <w:highlight w:val="none"/>
            </w:rPr>
            <w:fldChar w:fldCharType="end"/>
          </w:r>
        </w:p>
      </w:sdtContent>
    </w:sdt>
    <w:p>
      <w:pPr>
        <w:pStyle w:val="5"/>
        <w:bidi w:val="0"/>
        <w:spacing w:before="0" w:beforeAutospacing="0" w:after="0" w:afterAutospacing="0"/>
        <w:jc w:val="center"/>
        <w:rPr>
          <w:rFonts w:hint="eastAsia"/>
          <w:highlight w:val="none"/>
          <w:lang w:val="en-US" w:eastAsia="zh-CN"/>
        </w:rPr>
      </w:pPr>
      <w:bookmarkStart w:id="0" w:name="_Toc8666"/>
      <w:bookmarkStart w:id="1" w:name="_Toc30492"/>
      <w:bookmarkStart w:id="2" w:name="_Toc15054"/>
      <w:bookmarkStart w:id="3" w:name="_Toc12467"/>
      <w:bookmarkStart w:id="4" w:name="_Toc4127"/>
      <w:r>
        <w:rPr>
          <w:rFonts w:hint="eastAsia"/>
          <w:highlight w:val="none"/>
        </w:rPr>
        <w:t xml:space="preserve">第一部分 </w:t>
      </w:r>
      <w:r>
        <w:rPr>
          <w:rFonts w:hint="eastAsia"/>
          <w:highlight w:val="none"/>
          <w:lang w:eastAsia="zh-CN"/>
        </w:rPr>
        <w:t>竞争性谈判</w:t>
      </w:r>
      <w:r>
        <w:rPr>
          <w:rFonts w:hint="eastAsia"/>
          <w:highlight w:val="none"/>
        </w:rPr>
        <w:t>公告</w:t>
      </w:r>
      <w:bookmarkEnd w:id="0"/>
      <w:bookmarkEnd w:id="1"/>
      <w:bookmarkEnd w:id="2"/>
      <w:bookmarkEnd w:id="3"/>
      <w:bookmarkEnd w:id="4"/>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Lines="0" w:beforeAutospacing="0" w:after="0" w:afterLines="0" w:afterAutospacing="0" w:line="600" w:lineRule="atLeast"/>
        <w:ind w:left="0" w:right="0" w:firstLine="0"/>
        <w:jc w:val="center"/>
        <w:textAlignment w:val="baseline"/>
        <w:rPr>
          <w:rFonts w:hint="eastAsia" w:ascii="宋体" w:hAnsi="宋体" w:eastAsia="宋体" w:cs="宋体"/>
          <w:b/>
          <w:bCs/>
          <w:color w:val="000000"/>
          <w:kern w:val="0"/>
          <w:sz w:val="32"/>
          <w:szCs w:val="24"/>
          <w:highlight w:val="none"/>
          <w:lang w:val="en-US" w:eastAsia="zh-CN" w:bidi="ar-SA"/>
        </w:rPr>
      </w:pPr>
      <w:bookmarkStart w:id="5" w:name="_Toc16282"/>
      <w:bookmarkStart w:id="6" w:name="_Toc21011"/>
      <w:bookmarkStart w:id="7" w:name="_Toc24088"/>
      <w:bookmarkStart w:id="8" w:name="_Toc20160"/>
      <w:r>
        <w:rPr>
          <w:rFonts w:hint="eastAsia" w:ascii="宋体" w:hAnsi="宋体" w:eastAsia="宋体" w:cs="宋体"/>
          <w:b/>
          <w:bCs/>
          <w:color w:val="000000"/>
          <w:kern w:val="0"/>
          <w:sz w:val="32"/>
          <w:szCs w:val="24"/>
          <w:highlight w:val="none"/>
          <w:lang w:val="en-US" w:eastAsia="zh-CN" w:bidi="ar-SA"/>
        </w:rPr>
        <w:t>榆林市文物考古勘探工作队陕能赵石畔煤电一体化项目雷龙湾电厂二期（2×1000MW）考古勘探技术服务及报告编制竞争性谈判公告</w:t>
      </w:r>
    </w:p>
    <w:p>
      <w:pPr>
        <w:bidi w:val="0"/>
        <w:rPr>
          <w:rFonts w:hint="eastAsia"/>
          <w:b/>
          <w:bCs/>
          <w:sz w:val="24"/>
          <w:szCs w:val="24"/>
          <w:highlight w:val="none"/>
          <w:lang w:val="en-US" w:eastAsia="zh-CN"/>
        </w:rPr>
      </w:pPr>
      <w:r>
        <w:rPr>
          <w:rFonts w:hint="eastAsia"/>
          <w:b/>
          <w:bCs/>
          <w:sz w:val="24"/>
          <w:szCs w:val="24"/>
          <w:highlight w:val="none"/>
          <w:lang w:val="en-US" w:eastAsia="zh-CN"/>
        </w:rPr>
        <w:t>项目概况</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Lines="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陕能赵石畔煤电一体化项目雷龙湾电厂二期（2×1000MW）考古勘探技术服务及报告编制</w:t>
      </w:r>
      <w:r>
        <w:rPr>
          <w:rFonts w:hint="eastAsia" w:ascii="宋体" w:hAnsi="宋体" w:eastAsia="宋体" w:cs="宋体"/>
          <w:color w:val="000000"/>
          <w:kern w:val="0"/>
          <w:sz w:val="24"/>
          <w:szCs w:val="21"/>
          <w:highlight w:val="none"/>
          <w:lang w:val="en-US" w:eastAsia="zh-CN" w:bidi="ar-SA"/>
        </w:rPr>
        <w:t>采购项目的潜在供应商应在榆林市榆阳区肤施路南段环馨路5号金轩楼2楼20</w:t>
      </w:r>
      <w:r>
        <w:rPr>
          <w:rFonts w:hint="eastAsia" w:ascii="宋体" w:hAnsi="宋体" w:cs="宋体"/>
          <w:color w:val="000000"/>
          <w:kern w:val="0"/>
          <w:sz w:val="24"/>
          <w:szCs w:val="21"/>
          <w:highlight w:val="none"/>
          <w:lang w:val="en-US" w:eastAsia="zh-CN" w:bidi="ar-SA"/>
        </w:rPr>
        <w:t>1</w:t>
      </w:r>
      <w:r>
        <w:rPr>
          <w:rFonts w:hint="eastAsia" w:ascii="宋体" w:hAnsi="宋体" w:eastAsia="宋体" w:cs="宋体"/>
          <w:color w:val="000000"/>
          <w:kern w:val="0"/>
          <w:sz w:val="24"/>
          <w:szCs w:val="21"/>
          <w:highlight w:val="none"/>
          <w:lang w:val="en-US" w:eastAsia="zh-CN" w:bidi="ar-SA"/>
        </w:rPr>
        <w:t>室获取采购文件，并于2023年0</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21</w:t>
      </w:r>
      <w:r>
        <w:rPr>
          <w:rFonts w:hint="eastAsia" w:ascii="宋体" w:hAnsi="宋体" w:eastAsia="宋体" w:cs="宋体"/>
          <w:color w:val="000000"/>
          <w:kern w:val="0"/>
          <w:sz w:val="24"/>
          <w:szCs w:val="21"/>
          <w:highlight w:val="none"/>
          <w:lang w:val="en-US" w:eastAsia="zh-CN" w:bidi="ar-SA"/>
        </w:rPr>
        <w:t>日09时00分（北京时间）前提交响应文件。</w:t>
      </w:r>
    </w:p>
    <w:p>
      <w:pPr>
        <w:pStyle w:val="6"/>
        <w:bidi w:val="0"/>
        <w:spacing w:before="47" w:beforeAutospacing="0" w:after="0" w:afterAutospacing="0"/>
        <w:rPr>
          <w:rFonts w:hint="eastAsia"/>
          <w:highlight w:val="none"/>
          <w:lang w:val="en-US" w:eastAsia="zh-CN"/>
        </w:rPr>
      </w:pPr>
      <w:bookmarkStart w:id="9" w:name="_Toc28175"/>
      <w:r>
        <w:rPr>
          <w:rFonts w:hint="eastAsia"/>
          <w:highlight w:val="none"/>
          <w:lang w:val="en-US" w:eastAsia="zh-CN"/>
        </w:rPr>
        <w:t>一、项目基本情况</w:t>
      </w:r>
      <w:bookmarkEnd w:id="9"/>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项目编号：</w:t>
      </w:r>
      <w:r>
        <w:rPr>
          <w:rFonts w:hint="eastAsia" w:ascii="宋体" w:hAnsi="宋体" w:cs="宋体"/>
          <w:color w:val="000000"/>
          <w:kern w:val="0"/>
          <w:sz w:val="24"/>
          <w:szCs w:val="21"/>
          <w:highlight w:val="none"/>
          <w:lang w:val="en-US" w:eastAsia="zh-CN" w:bidi="ar-SA"/>
        </w:rPr>
        <w:t>YC23314001（CGQ）009</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项目名称：</w:t>
      </w:r>
      <w:r>
        <w:rPr>
          <w:rFonts w:hint="eastAsia" w:ascii="宋体" w:hAnsi="宋体" w:cs="宋体"/>
          <w:color w:val="000000"/>
          <w:kern w:val="0"/>
          <w:sz w:val="24"/>
          <w:szCs w:val="21"/>
          <w:highlight w:val="none"/>
          <w:lang w:val="en-US" w:eastAsia="zh-CN" w:bidi="ar-SA"/>
        </w:rPr>
        <w:t>陕能赵石畔煤电一体化项目雷龙湾电厂二期（2×1000MW）考古勘探技术服务及报告编制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采购方式：竞争性谈判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预算金额：</w:t>
      </w:r>
      <w:r>
        <w:rPr>
          <w:rFonts w:hint="eastAsia" w:ascii="宋体" w:hAnsi="宋体" w:cs="宋体"/>
          <w:color w:val="000000"/>
          <w:kern w:val="0"/>
          <w:sz w:val="24"/>
          <w:szCs w:val="21"/>
          <w:highlight w:val="none"/>
          <w:lang w:val="en-US" w:eastAsia="zh-CN" w:bidi="ar-SA"/>
        </w:rPr>
        <w:t>380000.00</w:t>
      </w:r>
      <w:r>
        <w:rPr>
          <w:rFonts w:hint="eastAsia" w:ascii="宋体" w:hAnsi="宋体" w:eastAsia="宋体" w:cs="宋体"/>
          <w:color w:val="000000"/>
          <w:kern w:val="0"/>
          <w:sz w:val="24"/>
          <w:szCs w:val="21"/>
          <w:highlight w:val="none"/>
          <w:lang w:val="en-US" w:eastAsia="zh-CN" w:bidi="ar-SA"/>
        </w:rPr>
        <w:t>元</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采购需求：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陕能赵石畔煤电一体化项目雷龙湾电厂二期（2×1000MW）考古勘探技术服务及报告编制</w:t>
      </w:r>
      <w:r>
        <w:rPr>
          <w:rFonts w:hint="eastAsia" w:ascii="宋体" w:hAnsi="宋体" w:eastAsia="宋体" w:cs="宋体"/>
          <w:color w:val="000000"/>
          <w:kern w:val="0"/>
          <w:sz w:val="24"/>
          <w:szCs w:val="21"/>
          <w:highlight w:val="none"/>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合同包预算金额：</w:t>
      </w:r>
      <w:r>
        <w:rPr>
          <w:rFonts w:hint="eastAsia" w:ascii="宋体" w:hAnsi="宋体" w:cs="宋体"/>
          <w:color w:val="000000"/>
          <w:kern w:val="0"/>
          <w:sz w:val="24"/>
          <w:szCs w:val="21"/>
          <w:highlight w:val="none"/>
          <w:lang w:val="en-US" w:eastAsia="zh-CN" w:bidi="ar-SA"/>
        </w:rPr>
        <w:t>380000.00</w:t>
      </w:r>
      <w:r>
        <w:rPr>
          <w:rFonts w:hint="eastAsia" w:ascii="宋体" w:hAnsi="宋体" w:eastAsia="宋体" w:cs="宋体"/>
          <w:color w:val="000000"/>
          <w:kern w:val="0"/>
          <w:sz w:val="24"/>
          <w:szCs w:val="21"/>
          <w:highlight w:val="none"/>
          <w:lang w:val="en-US" w:eastAsia="zh-CN" w:bidi="ar-SA"/>
        </w:rPr>
        <w:t>元</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合同包最高限价：</w:t>
      </w:r>
      <w:r>
        <w:rPr>
          <w:rFonts w:hint="eastAsia" w:ascii="宋体" w:hAnsi="宋体" w:cs="宋体"/>
          <w:color w:val="000000"/>
          <w:kern w:val="0"/>
          <w:sz w:val="24"/>
          <w:szCs w:val="21"/>
          <w:highlight w:val="none"/>
          <w:lang w:val="en-US" w:eastAsia="zh-CN" w:bidi="ar-SA"/>
        </w:rPr>
        <w:t>380000.00</w:t>
      </w:r>
      <w:r>
        <w:rPr>
          <w:rFonts w:hint="eastAsia" w:ascii="宋体" w:hAnsi="宋体" w:eastAsia="宋体" w:cs="宋体"/>
          <w:color w:val="000000"/>
          <w:kern w:val="0"/>
          <w:sz w:val="24"/>
          <w:szCs w:val="21"/>
          <w:highlight w:val="none"/>
          <w:lang w:val="en-US" w:eastAsia="zh-CN" w:bidi="ar-SA"/>
        </w:rPr>
        <w:t>元</w:t>
      </w:r>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2"/>
        <w:gridCol w:w="1787"/>
        <w:gridCol w:w="3041"/>
        <w:gridCol w:w="720"/>
        <w:gridCol w:w="1271"/>
        <w:gridCol w:w="1320"/>
        <w:gridCol w:w="13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45" w:hRule="atLeast"/>
          <w:tblHeader/>
        </w:trPr>
        <w:tc>
          <w:tcPr>
            <w:tcW w:w="30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品目号</w:t>
            </w:r>
          </w:p>
        </w:tc>
        <w:tc>
          <w:tcPr>
            <w:tcW w:w="9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品目名称</w:t>
            </w:r>
          </w:p>
        </w:tc>
        <w:tc>
          <w:tcPr>
            <w:tcW w:w="15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采购标的</w:t>
            </w:r>
          </w:p>
        </w:tc>
        <w:tc>
          <w:tcPr>
            <w:tcW w:w="3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数量（单位）</w:t>
            </w:r>
          </w:p>
        </w:tc>
        <w:tc>
          <w:tcPr>
            <w:tcW w:w="68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技术规格、参数及要求</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品目预算(元)</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30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w:t>
            </w:r>
          </w:p>
        </w:tc>
        <w:tc>
          <w:tcPr>
            <w:tcW w:w="9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文物和文化保护服务</w:t>
            </w:r>
          </w:p>
        </w:tc>
        <w:tc>
          <w:tcPr>
            <w:tcW w:w="15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陕能赵石畔煤电一体化项目雷龙湾电厂二期（2×1000MW）考古勘探技术服务及报告编制</w:t>
            </w:r>
          </w:p>
        </w:tc>
        <w:tc>
          <w:tcPr>
            <w:tcW w:w="3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1(项)</w:t>
            </w:r>
          </w:p>
        </w:tc>
        <w:tc>
          <w:tcPr>
            <w:tcW w:w="68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详见采购文件</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380000.00</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380000.00</w:t>
            </w:r>
          </w:p>
        </w:tc>
      </w:tr>
    </w:tbl>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本合同包不接受联合体投标</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合同履行期限：合同签订后20日内完工（具体服务起止日期可随合同签订时间相应顺延）</w:t>
      </w:r>
      <w:r>
        <w:rPr>
          <w:rFonts w:hint="eastAsia" w:ascii="宋体" w:hAnsi="宋体" w:cs="宋体"/>
          <w:color w:val="000000"/>
          <w:kern w:val="0"/>
          <w:sz w:val="24"/>
          <w:szCs w:val="21"/>
          <w:highlight w:val="none"/>
          <w:lang w:val="en-US" w:eastAsia="zh-CN" w:bidi="ar-SA"/>
        </w:rPr>
        <w:t>。</w:t>
      </w:r>
    </w:p>
    <w:p>
      <w:pPr>
        <w:pStyle w:val="6"/>
        <w:bidi w:val="0"/>
        <w:spacing w:before="0" w:beforeAutospacing="0" w:after="0" w:afterAutospacing="0"/>
        <w:rPr>
          <w:rFonts w:hint="eastAsia"/>
          <w:highlight w:val="none"/>
          <w:lang w:val="en-US" w:eastAsia="zh-CN"/>
        </w:rPr>
      </w:pPr>
      <w:bookmarkStart w:id="10" w:name="_Toc28544"/>
      <w:r>
        <w:rPr>
          <w:rFonts w:hint="eastAsia"/>
          <w:highlight w:val="none"/>
          <w:lang w:val="en-US" w:eastAsia="zh-CN"/>
        </w:rPr>
        <w:t>二、申请人的资格要求：</w:t>
      </w:r>
      <w:bookmarkEnd w:id="10"/>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1.满足《中华人民共和国政府采购法》第二十二条规定;</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2.落实政府采购政策需满足的资格要求：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陕能赵石畔煤电一体化项目雷龙湾电厂二期（2×1000MW）考古勘探技术服务及报告编制</w:t>
      </w:r>
      <w:r>
        <w:rPr>
          <w:rFonts w:hint="eastAsia" w:ascii="宋体" w:hAnsi="宋体" w:eastAsia="宋体" w:cs="宋体"/>
          <w:color w:val="000000"/>
          <w:kern w:val="0"/>
          <w:sz w:val="24"/>
          <w:szCs w:val="21"/>
          <w:highlight w:val="none"/>
          <w:lang w:val="en-US" w:eastAsia="zh-CN" w:bidi="ar-SA"/>
        </w:rPr>
        <w:t>)落实政府采购政策需满足的资格要求如下: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w:t>
      </w:r>
      <w:r>
        <w:rPr>
          <w:rFonts w:hint="eastAsia" w:ascii="宋体" w:hAnsi="宋体" w:eastAsia="宋体" w:cs="宋体"/>
          <w:color w:val="000000"/>
          <w:kern w:val="0"/>
          <w:sz w:val="24"/>
          <w:szCs w:val="21"/>
          <w:highlight w:val="none"/>
          <w:lang w:val="en-US" w:eastAsia="zh-CN" w:bidi="ar-SA"/>
        </w:rPr>
        <w:t>《政府采购促进中小企业发展管理办法》的通知--财库〔2020〕46号；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2、</w:t>
      </w:r>
      <w:r>
        <w:rPr>
          <w:rFonts w:hint="eastAsia" w:ascii="宋体" w:hAnsi="宋体" w:eastAsia="宋体" w:cs="宋体"/>
          <w:color w:val="000000"/>
          <w:kern w:val="0"/>
          <w:sz w:val="24"/>
          <w:szCs w:val="21"/>
          <w:highlight w:val="none"/>
          <w:lang w:val="en-US" w:eastAsia="zh-CN" w:bidi="ar-SA"/>
        </w:rPr>
        <w:t>《财政部司法部关于政府采购支持监狱企业发展有关问题的通知》（财库〔2014〕68号）；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3、</w:t>
      </w:r>
      <w:r>
        <w:rPr>
          <w:rFonts w:hint="eastAsia" w:ascii="宋体" w:hAnsi="宋体" w:eastAsia="宋体" w:cs="宋体"/>
          <w:color w:val="000000"/>
          <w:kern w:val="0"/>
          <w:sz w:val="24"/>
          <w:szCs w:val="21"/>
          <w:highlight w:val="none"/>
          <w:lang w:val="en-US" w:eastAsia="zh-CN" w:bidi="ar-SA"/>
        </w:rPr>
        <w:t>《国务院办公厅关于建立政府强制采购节能产品制度的通知》（国办发〔2007〕51号）；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4、</w:t>
      </w:r>
      <w:r>
        <w:rPr>
          <w:rFonts w:hint="eastAsia" w:ascii="宋体" w:hAnsi="宋体" w:eastAsia="宋体" w:cs="宋体"/>
          <w:color w:val="000000"/>
          <w:kern w:val="0"/>
          <w:sz w:val="24"/>
          <w:szCs w:val="21"/>
          <w:highlight w:val="none"/>
          <w:lang w:val="en-US" w:eastAsia="zh-CN" w:bidi="ar-SA"/>
        </w:rPr>
        <w:t>根据《陕西省财政厅关于进一步加大政府采购支持中小企业力度的通知》（陕财办采〔2022〕5号）；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5、</w:t>
      </w:r>
      <w:r>
        <w:rPr>
          <w:rFonts w:hint="eastAsia" w:ascii="宋体" w:hAnsi="宋体" w:eastAsia="宋体" w:cs="宋体"/>
          <w:color w:val="000000"/>
          <w:kern w:val="0"/>
          <w:sz w:val="24"/>
          <w:szCs w:val="21"/>
          <w:highlight w:val="none"/>
          <w:lang w:val="en-US" w:eastAsia="zh-CN" w:bidi="ar-SA"/>
        </w:rPr>
        <w:t>《榆林市财政局关于进一步加大政府采购支持中小企业力度的通知》（榆政财采发〔2022〕10号）；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6、</w:t>
      </w:r>
      <w:r>
        <w:rPr>
          <w:rFonts w:hint="eastAsia" w:ascii="宋体" w:hAnsi="宋体" w:eastAsia="宋体" w:cs="宋体"/>
          <w:color w:val="000000"/>
          <w:kern w:val="0"/>
          <w:sz w:val="24"/>
          <w:szCs w:val="21"/>
          <w:highlight w:val="none"/>
          <w:lang w:val="en-US" w:eastAsia="zh-CN" w:bidi="ar-SA"/>
        </w:rPr>
        <w:t>《陕西省财政厅关于印发《陕西省中小企业政府采购信用融资办法》（陕财办采〔2018〕23号）；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7、</w:t>
      </w:r>
      <w:r>
        <w:rPr>
          <w:rFonts w:hint="eastAsia" w:ascii="宋体" w:hAnsi="宋体" w:eastAsia="宋体" w:cs="宋体"/>
          <w:color w:val="000000"/>
          <w:kern w:val="0"/>
          <w:sz w:val="24"/>
          <w:szCs w:val="21"/>
          <w:highlight w:val="none"/>
          <w:lang w:val="en-US" w:eastAsia="zh-CN" w:bidi="ar-SA"/>
        </w:rPr>
        <w:t>《财政部民政部中国残疾人联合会关于促进残疾人就业政府采购政策的通知》（财库〔2017〕141号）；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《关于在政府采购活动中查询及使用信用记录有关问题的通知》（财库〔2016〕125号；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《节能产品政府采购实施意见》（财库[2004]185号）；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《环境标志产品政府采购实施的意见》（财库[2006]90号）；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11、</w:t>
      </w:r>
      <w:r>
        <w:rPr>
          <w:rFonts w:hint="eastAsia" w:ascii="宋体" w:hAnsi="宋体" w:eastAsia="宋体" w:cs="宋体"/>
          <w:color w:val="000000"/>
          <w:kern w:val="0"/>
          <w:sz w:val="24"/>
          <w:szCs w:val="21"/>
          <w:highlight w:val="none"/>
          <w:lang w:val="en-US" w:eastAsia="zh-CN" w:bidi="ar-SA"/>
        </w:rPr>
        <w:t>陕西省财政厅关于进一步落实政府采购支持中小企业相关政策的通知-陕财办采〔2023〕3号；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陕西省财政厅关于进一步优化政府采购营商环境有关事项的通知-陕财办采〔2023〕4号；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13、</w:t>
      </w:r>
      <w:r>
        <w:rPr>
          <w:rFonts w:hint="eastAsia" w:ascii="宋体" w:hAnsi="宋体" w:eastAsia="宋体" w:cs="宋体"/>
          <w:color w:val="000000"/>
          <w:kern w:val="0"/>
          <w:sz w:val="24"/>
          <w:szCs w:val="21"/>
          <w:highlight w:val="none"/>
          <w:lang w:val="en-US" w:eastAsia="zh-CN" w:bidi="ar-SA"/>
        </w:rPr>
        <w:t>其他需要落实的政府采购政策。</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3.本项目的特定资格要求：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陕能赵石畔煤电一体化项目雷龙湾电厂二期（2×1000MW）考古勘探技术服务及报告编制</w:t>
      </w:r>
      <w:r>
        <w:rPr>
          <w:rFonts w:hint="eastAsia" w:ascii="宋体" w:hAnsi="宋体" w:eastAsia="宋体" w:cs="宋体"/>
          <w:color w:val="000000"/>
          <w:kern w:val="0"/>
          <w:sz w:val="24"/>
          <w:szCs w:val="21"/>
          <w:highlight w:val="none"/>
          <w:lang w:val="en-US" w:eastAsia="zh-CN" w:bidi="ar-SA"/>
        </w:rPr>
        <w:t>)特定资格要求如下: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11、本项目不专门面向中小企业采购。</w:t>
      </w:r>
    </w:p>
    <w:p>
      <w:pPr>
        <w:pStyle w:val="6"/>
        <w:bidi w:val="0"/>
        <w:spacing w:before="0" w:beforeAutospacing="0" w:after="0" w:afterAutospacing="0"/>
        <w:rPr>
          <w:rFonts w:hint="eastAsia"/>
          <w:highlight w:val="none"/>
          <w:lang w:val="en-US" w:eastAsia="zh-CN"/>
        </w:rPr>
      </w:pPr>
      <w:bookmarkStart w:id="11" w:name="_Toc3906"/>
      <w:r>
        <w:rPr>
          <w:rFonts w:hint="eastAsia"/>
          <w:highlight w:val="none"/>
          <w:lang w:val="en-US" w:eastAsia="zh-CN"/>
        </w:rPr>
        <w:t>三、获取采购文件</w:t>
      </w:r>
      <w:bookmarkEnd w:id="11"/>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时间：2023年0</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18</w:t>
      </w:r>
      <w:r>
        <w:rPr>
          <w:rFonts w:hint="eastAsia" w:ascii="宋体" w:hAnsi="宋体" w:eastAsia="宋体" w:cs="宋体"/>
          <w:color w:val="000000"/>
          <w:kern w:val="0"/>
          <w:sz w:val="24"/>
          <w:szCs w:val="21"/>
          <w:highlight w:val="none"/>
          <w:lang w:val="en-US" w:eastAsia="zh-CN" w:bidi="ar-SA"/>
        </w:rPr>
        <w:t>日至2023年0</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20</w:t>
      </w:r>
      <w:r>
        <w:rPr>
          <w:rFonts w:hint="eastAsia" w:ascii="宋体" w:hAnsi="宋体" w:eastAsia="宋体" w:cs="宋体"/>
          <w:color w:val="000000"/>
          <w:kern w:val="0"/>
          <w:sz w:val="24"/>
          <w:szCs w:val="21"/>
          <w:highlight w:val="none"/>
          <w:lang w:val="en-US" w:eastAsia="zh-CN" w:bidi="ar-SA"/>
        </w:rPr>
        <w:t>日，每天上午09:00:00至11:30:00，下午14:30:00至17:00:00（北京时间）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途径：榆林市榆阳区肤施路南段环馨路5号金轩楼2楼201室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方式：现场获取</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售价：0元</w:t>
      </w:r>
    </w:p>
    <w:p>
      <w:pPr>
        <w:pStyle w:val="6"/>
        <w:bidi w:val="0"/>
        <w:spacing w:before="0" w:beforeAutospacing="0" w:after="0" w:afterAutospacing="0"/>
        <w:rPr>
          <w:rFonts w:hint="eastAsia"/>
          <w:highlight w:val="none"/>
          <w:lang w:val="en-US" w:eastAsia="zh-CN"/>
        </w:rPr>
      </w:pPr>
      <w:bookmarkStart w:id="12" w:name="_Toc32493"/>
      <w:r>
        <w:rPr>
          <w:rFonts w:hint="eastAsia"/>
          <w:highlight w:val="none"/>
          <w:lang w:val="en-US" w:eastAsia="zh-CN"/>
        </w:rPr>
        <w:t>四、响应文件提交</w:t>
      </w:r>
      <w:bookmarkEnd w:id="12"/>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截止时间：2023年</w:t>
      </w:r>
      <w:r>
        <w:rPr>
          <w:rFonts w:hint="eastAsia" w:ascii="宋体" w:hAnsi="宋体" w:cs="宋体"/>
          <w:color w:val="000000"/>
          <w:kern w:val="0"/>
          <w:sz w:val="24"/>
          <w:szCs w:val="21"/>
          <w:highlight w:val="none"/>
          <w:lang w:val="en-US" w:eastAsia="zh-CN" w:bidi="ar-SA"/>
        </w:rPr>
        <w:t>09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21</w:t>
      </w:r>
      <w:r>
        <w:rPr>
          <w:rFonts w:hint="eastAsia" w:ascii="宋体" w:hAnsi="宋体" w:eastAsia="宋体" w:cs="宋体"/>
          <w:color w:val="000000"/>
          <w:kern w:val="0"/>
          <w:sz w:val="24"/>
          <w:szCs w:val="21"/>
          <w:highlight w:val="none"/>
          <w:lang w:val="en-US" w:eastAsia="zh-CN" w:bidi="ar-SA"/>
        </w:rPr>
        <w:t>日09时00分00秒（北京时间）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地点：</w:t>
      </w:r>
      <w:r>
        <w:rPr>
          <w:rFonts w:hint="eastAsia" w:ascii="宋体" w:hAnsi="宋体" w:cs="宋体"/>
          <w:color w:val="000000"/>
          <w:kern w:val="0"/>
          <w:sz w:val="24"/>
          <w:szCs w:val="21"/>
          <w:highlight w:val="none"/>
          <w:lang w:val="en-US" w:eastAsia="zh-CN" w:bidi="ar-SA"/>
        </w:rPr>
        <w:t>榆林市榆阳区肤施路南段环馨路5号金轩楼2楼201室</w:t>
      </w:r>
    </w:p>
    <w:p>
      <w:pPr>
        <w:pStyle w:val="6"/>
        <w:bidi w:val="0"/>
        <w:spacing w:before="0" w:beforeAutospacing="0" w:after="0" w:afterAutospacing="0"/>
        <w:rPr>
          <w:rFonts w:hint="eastAsia"/>
          <w:highlight w:val="none"/>
          <w:lang w:val="en-US" w:eastAsia="zh-CN"/>
        </w:rPr>
      </w:pPr>
      <w:bookmarkStart w:id="13" w:name="_Toc20873"/>
      <w:r>
        <w:rPr>
          <w:rFonts w:hint="eastAsia"/>
          <w:highlight w:val="none"/>
          <w:lang w:val="en-US" w:eastAsia="zh-CN"/>
        </w:rPr>
        <w:t>五、开启</w:t>
      </w:r>
      <w:bookmarkEnd w:id="13"/>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时间：2023年0</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21</w:t>
      </w:r>
      <w:r>
        <w:rPr>
          <w:rFonts w:hint="eastAsia" w:ascii="宋体" w:hAnsi="宋体" w:eastAsia="宋体" w:cs="宋体"/>
          <w:color w:val="000000"/>
          <w:kern w:val="0"/>
          <w:sz w:val="24"/>
          <w:szCs w:val="21"/>
          <w:highlight w:val="none"/>
          <w:lang w:val="en-US" w:eastAsia="zh-CN" w:bidi="ar-SA"/>
        </w:rPr>
        <w:t>日09时00分00秒（北京时间）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地点：</w:t>
      </w:r>
      <w:r>
        <w:rPr>
          <w:rFonts w:hint="eastAsia" w:ascii="宋体" w:hAnsi="宋体" w:cs="宋体"/>
          <w:color w:val="000000"/>
          <w:kern w:val="0"/>
          <w:sz w:val="24"/>
          <w:szCs w:val="21"/>
          <w:highlight w:val="none"/>
          <w:lang w:val="en-US" w:eastAsia="zh-CN" w:bidi="ar-SA"/>
        </w:rPr>
        <w:t>榆林市榆阳区肤施路南段环馨路5号金轩楼2楼201室</w:t>
      </w:r>
    </w:p>
    <w:p>
      <w:pPr>
        <w:pStyle w:val="6"/>
        <w:bidi w:val="0"/>
        <w:spacing w:before="0" w:beforeAutospacing="0" w:after="0" w:afterAutospacing="0"/>
        <w:rPr>
          <w:rFonts w:hint="eastAsia"/>
          <w:highlight w:val="none"/>
          <w:lang w:val="en-US" w:eastAsia="zh-CN"/>
        </w:rPr>
      </w:pPr>
      <w:bookmarkStart w:id="14" w:name="_Toc2444"/>
      <w:r>
        <w:rPr>
          <w:rFonts w:hint="eastAsia"/>
          <w:highlight w:val="none"/>
          <w:lang w:val="en-US" w:eastAsia="zh-CN"/>
        </w:rPr>
        <w:t>六、公告期限</w:t>
      </w:r>
      <w:bookmarkEnd w:id="14"/>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自本公告发布之日起3个工作日。</w:t>
      </w:r>
    </w:p>
    <w:p>
      <w:pPr>
        <w:pStyle w:val="6"/>
        <w:bidi w:val="0"/>
        <w:spacing w:before="0" w:beforeAutospacing="0" w:after="0" w:afterAutospacing="0"/>
        <w:rPr>
          <w:rFonts w:hint="eastAsia"/>
          <w:highlight w:val="none"/>
          <w:lang w:val="en-US" w:eastAsia="zh-CN"/>
        </w:rPr>
      </w:pPr>
      <w:bookmarkStart w:id="15" w:name="_Toc21484"/>
      <w:bookmarkStart w:id="16" w:name="_Toc22466"/>
      <w:r>
        <w:rPr>
          <w:rFonts w:hint="eastAsia"/>
          <w:highlight w:val="none"/>
          <w:lang w:val="en-US" w:eastAsia="zh-CN"/>
        </w:rPr>
        <w:t>七、其他补充事宜</w:t>
      </w:r>
      <w:bookmarkEnd w:id="15"/>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注：报名以现场报名和网上报名两种方式为准，二者缺一不可。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1.平台报名：</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未办理陕西省公共资源交易中心CA锁的可到榆林市市民中心四楼交易中心窗口办理，咨询电话0912-3515031、029-88661298或4006-369-888（陕西CA联系电话），报名成功与否以平台确认信息为准。报名程序：登录陕西省公共资源交易中心，进入电子交易平台，点击政府采购交易系统企业端CA锁登录，点击交易乙方，查询报名。报名已现场报名和网上报名为准，二者缺一不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2.请供应商按照陕西省财政厅关于政府采购</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注册登记有关事项的通知中的要求，通过陕西省政府采购网（http://www.ccgp-shaanxi.gov.cn/）注册登记加入陕西省政府采购供应商库，并接受财政部门监督管理；</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3.现场报名：即日起请携带单</w:t>
      </w:r>
      <w:r>
        <w:rPr>
          <w:rFonts w:hint="eastAsia" w:ascii="宋体" w:hAnsi="宋体" w:eastAsia="宋体" w:cs="宋体"/>
          <w:color w:val="000000"/>
          <w:kern w:val="0"/>
          <w:sz w:val="28"/>
          <w:szCs w:val="28"/>
          <w:highlight w:val="none"/>
          <w:lang w:val="en-US" w:eastAsia="zh-CN" w:bidi="ar-SA"/>
        </w:rPr>
        <w:t>位介绍信原件、经办人身份证原件加盖单位公章的复印件、有效的陕西省公共资源交易平台投标回执单加盖单位公章，在亿诚建设项目管理有限公司获取</w:t>
      </w:r>
      <w:r>
        <w:rPr>
          <w:rFonts w:hint="eastAsia" w:ascii="宋体" w:hAnsi="宋体" w:eastAsia="宋体" w:cs="宋体"/>
          <w:color w:val="000000"/>
          <w:kern w:val="0"/>
          <w:sz w:val="24"/>
          <w:szCs w:val="21"/>
          <w:highlight w:val="none"/>
          <w:lang w:val="en-US" w:eastAsia="zh-CN" w:bidi="ar-SA"/>
        </w:rPr>
        <w:t>竞争性谈判文件，谢绝邮寄。竞争性谈判文件获取时间：（2023年</w:t>
      </w:r>
      <w:r>
        <w:rPr>
          <w:rFonts w:hint="eastAsia" w:ascii="宋体" w:hAnsi="宋体" w:cs="宋体"/>
          <w:color w:val="000000"/>
          <w:kern w:val="0"/>
          <w:sz w:val="24"/>
          <w:szCs w:val="21"/>
          <w:highlight w:val="none"/>
          <w:lang w:val="en-US" w:eastAsia="zh-CN" w:bidi="ar-SA"/>
        </w:rPr>
        <w:t>09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18</w:t>
      </w:r>
      <w:r>
        <w:rPr>
          <w:rFonts w:hint="eastAsia" w:ascii="宋体" w:hAnsi="宋体" w:eastAsia="宋体" w:cs="宋体"/>
          <w:color w:val="000000"/>
          <w:kern w:val="0"/>
          <w:sz w:val="24"/>
          <w:szCs w:val="21"/>
          <w:highlight w:val="none"/>
          <w:lang w:val="en-US" w:eastAsia="zh-CN" w:bidi="ar-SA"/>
        </w:rPr>
        <w:t>日09时起至2023年</w:t>
      </w:r>
      <w:r>
        <w:rPr>
          <w:rFonts w:hint="eastAsia" w:ascii="宋体" w:hAnsi="宋体" w:cs="宋体"/>
          <w:color w:val="000000"/>
          <w:kern w:val="0"/>
          <w:sz w:val="24"/>
          <w:szCs w:val="21"/>
          <w:highlight w:val="none"/>
          <w:lang w:val="en-US" w:eastAsia="zh-CN" w:bidi="ar-SA"/>
        </w:rPr>
        <w:t>09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20</w:t>
      </w:r>
      <w:r>
        <w:rPr>
          <w:rFonts w:hint="eastAsia" w:ascii="宋体" w:hAnsi="宋体" w:eastAsia="宋体" w:cs="宋体"/>
          <w:color w:val="000000"/>
          <w:kern w:val="0"/>
          <w:sz w:val="24"/>
          <w:szCs w:val="21"/>
          <w:highlight w:val="none"/>
          <w:lang w:val="en-US" w:eastAsia="zh-CN" w:bidi="ar-SA"/>
        </w:rPr>
        <w:t>日17时）内每天上午09:00-11:30,下午14：30-17：00（北京时间、下同；节假日除外）。</w:t>
      </w:r>
    </w:p>
    <w:p>
      <w:pPr>
        <w:pStyle w:val="6"/>
        <w:bidi w:val="0"/>
        <w:spacing w:before="0" w:beforeAutospacing="0" w:after="0" w:afterAutospacing="0"/>
        <w:rPr>
          <w:rFonts w:hint="eastAsia"/>
          <w:highlight w:val="none"/>
          <w:lang w:val="en-US" w:eastAsia="zh-CN"/>
        </w:rPr>
      </w:pPr>
      <w:r>
        <w:rPr>
          <w:rFonts w:hint="eastAsia"/>
          <w:highlight w:val="none"/>
          <w:lang w:val="en-US" w:eastAsia="zh-CN"/>
        </w:rPr>
        <w:t>八、对本次招标提出询问，请按以下方式联系。</w:t>
      </w:r>
      <w:bookmarkEnd w:id="16"/>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1.采购人信息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名称：榆林市文物考古勘探工作队</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地址：榆林市榆阳区通达路高科城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w:t>
      </w:r>
      <w:r>
        <w:rPr>
          <w:rFonts w:hint="eastAsia" w:ascii="宋体" w:hAnsi="宋体" w:cs="宋体"/>
          <w:color w:val="000000"/>
          <w:kern w:val="0"/>
          <w:sz w:val="24"/>
          <w:szCs w:val="21"/>
          <w:highlight w:val="none"/>
          <w:lang w:val="en-US" w:eastAsia="zh-CN" w:bidi="ar-SA"/>
        </w:rPr>
        <w:t>15719128383</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2.采购代理机构信息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w:t>
      </w:r>
      <w:bookmarkStart w:id="412" w:name="_GoBack"/>
      <w:r>
        <w:rPr>
          <w:rFonts w:hint="eastAsia" w:ascii="宋体" w:hAnsi="宋体" w:eastAsia="宋体" w:cs="宋体"/>
          <w:color w:val="000000"/>
          <w:kern w:val="0"/>
          <w:sz w:val="24"/>
          <w:szCs w:val="21"/>
          <w:highlight w:val="none"/>
          <w:lang w:val="en-US" w:eastAsia="zh-CN" w:bidi="ar-SA"/>
        </w:rPr>
        <w:t>亿诚建设项目管理有限公司</w:t>
      </w:r>
      <w:bookmarkEnd w:id="412"/>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w:t>
      </w:r>
      <w:r>
        <w:rPr>
          <w:rFonts w:hint="eastAsia" w:ascii="宋体" w:hAnsi="宋体" w:cs="宋体"/>
          <w:color w:val="000000"/>
          <w:kern w:val="0"/>
          <w:sz w:val="24"/>
          <w:szCs w:val="21"/>
          <w:highlight w:val="none"/>
          <w:lang w:val="en-US" w:eastAsia="zh-CN" w:bidi="ar-SA"/>
        </w:rPr>
        <w:t>榆林市榆阳区肤施路南段环馨路5号金轩楼2楼201室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联系方式：18992274597</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3.项目联系方式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项目联系人：任涛</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电话：18992274597</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right"/>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亿诚建设项目管理有限公司</w:t>
      </w:r>
    </w:p>
    <w:p>
      <w:pPr>
        <w:spacing w:line="360" w:lineRule="auto"/>
        <w:rPr>
          <w:rFonts w:hint="eastAsia" w:ascii="宋体" w:hAnsi="宋体" w:cs="宋体"/>
          <w:sz w:val="32"/>
          <w:szCs w:val="16"/>
          <w:highlight w:val="none"/>
        </w:rPr>
      </w:pPr>
      <w:r>
        <w:rPr>
          <w:rFonts w:hint="eastAsia" w:ascii="宋体" w:hAnsi="宋体" w:cs="宋体"/>
          <w:sz w:val="32"/>
          <w:szCs w:val="16"/>
          <w:highlight w:val="none"/>
        </w:rPr>
        <w:br w:type="page"/>
      </w:r>
    </w:p>
    <w:p>
      <w:pPr>
        <w:pStyle w:val="5"/>
        <w:spacing w:before="0" w:after="0" w:line="360" w:lineRule="auto"/>
        <w:jc w:val="center"/>
        <w:rPr>
          <w:rFonts w:hint="eastAsia" w:ascii="宋体" w:hAnsi="宋体" w:cs="宋体"/>
          <w:sz w:val="32"/>
          <w:szCs w:val="16"/>
          <w:highlight w:val="none"/>
        </w:rPr>
      </w:pPr>
      <w:bookmarkStart w:id="17" w:name="_Toc13518"/>
      <w:r>
        <w:rPr>
          <w:rFonts w:hint="eastAsia" w:ascii="宋体" w:hAnsi="宋体" w:cs="宋体"/>
          <w:sz w:val="32"/>
          <w:szCs w:val="16"/>
          <w:highlight w:val="none"/>
        </w:rPr>
        <w:t>第</w:t>
      </w:r>
      <w:r>
        <w:rPr>
          <w:rFonts w:hint="eastAsia" w:ascii="宋体" w:hAnsi="宋体" w:cs="宋体"/>
          <w:sz w:val="32"/>
          <w:szCs w:val="16"/>
          <w:highlight w:val="none"/>
          <w:lang w:eastAsia="zh-CN"/>
        </w:rPr>
        <w:t>二</w:t>
      </w:r>
      <w:r>
        <w:rPr>
          <w:rFonts w:hint="eastAsia" w:ascii="宋体" w:hAnsi="宋体" w:cs="宋体"/>
          <w:sz w:val="32"/>
          <w:szCs w:val="16"/>
          <w:highlight w:val="none"/>
        </w:rPr>
        <w:t>部分 供应商须知前附表</w:t>
      </w:r>
      <w:bookmarkEnd w:id="5"/>
      <w:bookmarkEnd w:id="6"/>
      <w:bookmarkEnd w:id="7"/>
      <w:bookmarkEnd w:id="8"/>
      <w:bookmarkEnd w:id="17"/>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4" w:type="dxa"/>
            <w:noWrap w:val="0"/>
            <w:vAlign w:val="center"/>
          </w:tcPr>
          <w:p>
            <w:pPr>
              <w:spacing w:line="360" w:lineRule="auto"/>
              <w:jc w:val="left"/>
              <w:rPr>
                <w:rFonts w:hint="eastAsia" w:ascii="宋体" w:hAnsi="宋体" w:cs="宋体"/>
                <w:b/>
                <w:sz w:val="24"/>
                <w:highlight w:val="none"/>
              </w:rPr>
            </w:pPr>
            <w:r>
              <w:rPr>
                <w:rFonts w:hint="eastAsia" w:ascii="宋体" w:hAnsi="宋体" w:cs="宋体"/>
                <w:b/>
                <w:sz w:val="24"/>
                <w:highlight w:val="none"/>
              </w:rPr>
              <w:t>序号</w:t>
            </w:r>
          </w:p>
        </w:tc>
        <w:tc>
          <w:tcPr>
            <w:tcW w:w="9175" w:type="dxa"/>
            <w:noWrap w:val="0"/>
            <w:vAlign w:val="center"/>
          </w:tcPr>
          <w:p>
            <w:pPr>
              <w:spacing w:line="360" w:lineRule="auto"/>
              <w:ind w:firstLine="482" w:firstLineChars="200"/>
              <w:jc w:val="center"/>
              <w:rPr>
                <w:rFonts w:hint="eastAsia" w:ascii="宋体" w:hAnsi="宋体" w:cs="宋体"/>
                <w:b/>
                <w:sz w:val="24"/>
                <w:highlight w:val="none"/>
              </w:rPr>
            </w:pPr>
            <w:r>
              <w:rPr>
                <w:rFonts w:hint="eastAsia" w:ascii="宋体" w:hAnsi="宋体" w:cs="宋体"/>
                <w:b/>
                <w:sz w:val="24"/>
                <w:highlight w:val="none"/>
              </w:rPr>
              <w:t>内  容  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9175" w:type="dxa"/>
            <w:noWrap w:val="0"/>
            <w:vAlign w:val="center"/>
          </w:tcPr>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采购项目名称：</w:t>
            </w:r>
            <w:r>
              <w:rPr>
                <w:rFonts w:hint="eastAsia" w:ascii="宋体" w:hAnsi="宋体" w:cs="宋体"/>
                <w:sz w:val="24"/>
                <w:highlight w:val="none"/>
                <w:lang w:eastAsia="zh-CN"/>
              </w:rPr>
              <w:t>陕能赵石畔煤电一体化项目雷龙湾电厂二期（2×1000MW）考古勘探技术服务及报告编制</w:t>
            </w:r>
          </w:p>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采购项目编号：</w:t>
            </w:r>
            <w:r>
              <w:rPr>
                <w:rFonts w:hint="eastAsia" w:ascii="宋体" w:hAnsi="宋体" w:cs="宋体"/>
                <w:sz w:val="24"/>
                <w:highlight w:val="none"/>
                <w:lang w:val="en-US" w:eastAsia="zh-CN"/>
              </w:rPr>
              <w:t>YC23314001（CGQ）009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2</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项目性质：财政拨款</w:t>
            </w:r>
          </w:p>
          <w:p>
            <w:pPr>
              <w:spacing w:line="360" w:lineRule="auto"/>
              <w:rPr>
                <w:rFonts w:hint="eastAsia" w:ascii="宋体" w:hAnsi="宋体" w:cs="宋体"/>
                <w:sz w:val="24"/>
                <w:highlight w:val="none"/>
              </w:rPr>
            </w:pPr>
            <w:r>
              <w:rPr>
                <w:rFonts w:hint="eastAsia" w:ascii="宋体" w:hAnsi="宋体" w:cs="宋体"/>
                <w:sz w:val="24"/>
                <w:highlight w:val="none"/>
              </w:rPr>
              <w:t>本项目采购预算：</w:t>
            </w:r>
            <w:r>
              <w:rPr>
                <w:rFonts w:hint="eastAsia" w:ascii="宋体" w:hAnsi="宋体" w:cs="宋体"/>
                <w:sz w:val="24"/>
                <w:highlight w:val="none"/>
                <w:lang w:val="en-US" w:eastAsia="zh-CN"/>
              </w:rPr>
              <w:t>380000.00</w:t>
            </w:r>
            <w:r>
              <w:rPr>
                <w:rFonts w:hint="eastAsia" w:ascii="宋体" w:hAnsi="宋体" w:cs="宋体"/>
                <w:sz w:val="24"/>
                <w:highlight w:val="none"/>
              </w:rPr>
              <w:t>元</w:t>
            </w:r>
          </w:p>
          <w:p>
            <w:pPr>
              <w:spacing w:line="360" w:lineRule="auto"/>
              <w:rPr>
                <w:rFonts w:hint="eastAsia" w:ascii="宋体" w:hAnsi="宋体" w:cs="宋体"/>
                <w:color w:val="000000"/>
                <w:kern w:val="0"/>
                <w:sz w:val="24"/>
                <w:highlight w:val="none"/>
              </w:rPr>
            </w:pPr>
            <w:r>
              <w:rPr>
                <w:rFonts w:hint="eastAsia" w:ascii="宋体" w:hAnsi="宋体" w:cs="宋体"/>
                <w:sz w:val="24"/>
                <w:highlight w:val="none"/>
              </w:rPr>
              <w:t>供应商报价超出采购预算，作为不实质响应竞争性谈判文件，按无效谈判响应处理。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3</w:t>
            </w:r>
          </w:p>
        </w:tc>
        <w:tc>
          <w:tcPr>
            <w:tcW w:w="9175" w:type="dxa"/>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采购人：</w:t>
            </w:r>
            <w:r>
              <w:rPr>
                <w:rFonts w:hint="eastAsia" w:ascii="宋体" w:hAnsi="宋体" w:cs="宋体"/>
                <w:sz w:val="24"/>
                <w:highlight w:val="none"/>
                <w:lang w:eastAsia="zh-CN"/>
              </w:rPr>
              <w:t>榆林市文物考古勘探工作队</w:t>
            </w:r>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采购代理机构：</w:t>
            </w:r>
            <w:r>
              <w:rPr>
                <w:rFonts w:hint="eastAsia" w:ascii="宋体" w:hAnsi="宋体" w:cs="宋体"/>
                <w:color w:val="000000"/>
                <w:kern w:val="0"/>
                <w:sz w:val="24"/>
                <w:highlight w:val="none"/>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4</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采购内容具体见竞争性谈判文件第</w:t>
            </w:r>
            <w:r>
              <w:rPr>
                <w:rFonts w:hint="eastAsia" w:ascii="宋体" w:hAnsi="宋体" w:cs="宋体"/>
                <w:sz w:val="24"/>
                <w:highlight w:val="none"/>
                <w:lang w:val="en-US" w:eastAsia="zh-CN"/>
              </w:rPr>
              <w:t>六</w:t>
            </w:r>
            <w:r>
              <w:rPr>
                <w:rFonts w:hint="eastAsia" w:ascii="宋体" w:hAnsi="宋体" w:cs="宋体"/>
                <w:sz w:val="24"/>
                <w:highlight w:val="none"/>
              </w:rPr>
              <w:t>部分采购内容及技术需求</w:t>
            </w:r>
          </w:p>
          <w:p>
            <w:pPr>
              <w:spacing w:line="360" w:lineRule="auto"/>
              <w:rPr>
                <w:rFonts w:hint="eastAsia" w:ascii="宋体" w:hAnsi="宋体" w:cs="宋体"/>
                <w:sz w:val="24"/>
                <w:highlight w:val="none"/>
              </w:rPr>
            </w:pPr>
            <w:r>
              <w:rPr>
                <w:rFonts w:hint="eastAsia" w:ascii="宋体" w:hAnsi="宋体" w:cs="宋体"/>
                <w:sz w:val="24"/>
                <w:highlight w:val="none"/>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5</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竞争性谈判响应文件截止时间及开标时间和地点：</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竞争性谈判响应文件截止时间：202</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9</w:t>
            </w:r>
            <w:r>
              <w:rPr>
                <w:rFonts w:hint="eastAsia" w:ascii="宋体" w:hAnsi="宋体" w:cs="宋体"/>
                <w:sz w:val="24"/>
                <w:highlight w:val="none"/>
              </w:rPr>
              <w:t>-</w:t>
            </w:r>
            <w:r>
              <w:rPr>
                <w:rFonts w:hint="eastAsia" w:ascii="宋体" w:hAnsi="宋体" w:cs="宋体"/>
                <w:sz w:val="24"/>
                <w:highlight w:val="none"/>
                <w:lang w:val="en-US" w:eastAsia="zh-CN"/>
              </w:rPr>
              <w:t>21</w:t>
            </w:r>
            <w:r>
              <w:rPr>
                <w:rFonts w:hint="eastAsia" w:ascii="宋体" w:hAnsi="宋体" w:cs="宋体"/>
                <w:sz w:val="24"/>
                <w:highlight w:val="none"/>
              </w:rPr>
              <w:t xml:space="preserve">   </w:t>
            </w:r>
            <w:r>
              <w:rPr>
                <w:rFonts w:hint="eastAsia" w:ascii="宋体" w:hAnsi="宋体" w:cs="宋体"/>
                <w:sz w:val="24"/>
                <w:highlight w:val="none"/>
                <w:lang w:val="en-US" w:eastAsia="zh-CN"/>
              </w:rPr>
              <w:t>9</w:t>
            </w:r>
            <w:r>
              <w:rPr>
                <w:rFonts w:hint="eastAsia" w:ascii="宋体" w:hAnsi="宋体" w:cs="宋体"/>
                <w:sz w:val="24"/>
                <w:highlight w:val="none"/>
              </w:rPr>
              <w:t>：</w:t>
            </w:r>
            <w:r>
              <w:rPr>
                <w:rFonts w:hint="eastAsia" w:ascii="宋体" w:hAnsi="宋体" w:cs="宋体"/>
                <w:sz w:val="24"/>
                <w:highlight w:val="none"/>
                <w:lang w:val="en-US" w:eastAsia="zh-CN"/>
              </w:rPr>
              <w:t>0</w:t>
            </w:r>
            <w:r>
              <w:rPr>
                <w:rFonts w:hint="eastAsia" w:ascii="宋体" w:hAnsi="宋体" w:cs="宋体"/>
                <w:sz w:val="24"/>
                <w:highlight w:val="none"/>
              </w:rPr>
              <w:t>0</w:t>
            </w:r>
            <w:r>
              <w:rPr>
                <w:rFonts w:hint="eastAsia" w:ascii="宋体" w:hAnsi="宋体" w:cs="宋体"/>
                <w:sz w:val="24"/>
                <w:highlight w:val="none"/>
                <w:lang w:eastAsia="zh-CN"/>
              </w:rPr>
              <w:t>；</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开标时间：202</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9</w:t>
            </w:r>
            <w:r>
              <w:rPr>
                <w:rFonts w:hint="eastAsia" w:ascii="宋体" w:hAnsi="宋体" w:cs="宋体"/>
                <w:sz w:val="24"/>
                <w:highlight w:val="none"/>
              </w:rPr>
              <w:t>-</w:t>
            </w:r>
            <w:r>
              <w:rPr>
                <w:rFonts w:hint="eastAsia" w:ascii="宋体" w:hAnsi="宋体" w:cs="宋体"/>
                <w:sz w:val="24"/>
                <w:highlight w:val="none"/>
                <w:lang w:val="en-US" w:eastAsia="zh-CN"/>
              </w:rPr>
              <w:t>21</w:t>
            </w:r>
            <w:r>
              <w:rPr>
                <w:rFonts w:hint="eastAsia" w:ascii="宋体" w:hAnsi="宋体" w:cs="宋体"/>
                <w:sz w:val="24"/>
                <w:highlight w:val="none"/>
              </w:rPr>
              <w:t xml:space="preserve">   </w:t>
            </w:r>
            <w:r>
              <w:rPr>
                <w:rFonts w:hint="eastAsia" w:ascii="宋体" w:hAnsi="宋体" w:cs="宋体"/>
                <w:sz w:val="24"/>
                <w:highlight w:val="none"/>
                <w:lang w:val="en-US" w:eastAsia="zh-CN"/>
              </w:rPr>
              <w:t>9</w:t>
            </w:r>
            <w:r>
              <w:rPr>
                <w:rFonts w:hint="eastAsia" w:ascii="宋体" w:hAnsi="宋体" w:cs="宋体"/>
                <w:sz w:val="24"/>
                <w:highlight w:val="none"/>
              </w:rPr>
              <w:t>：</w:t>
            </w:r>
            <w:r>
              <w:rPr>
                <w:rFonts w:hint="eastAsia" w:ascii="宋体" w:hAnsi="宋体" w:cs="宋体"/>
                <w:sz w:val="24"/>
                <w:highlight w:val="none"/>
                <w:lang w:val="en-US" w:eastAsia="zh-CN"/>
              </w:rPr>
              <w:t>0</w:t>
            </w:r>
            <w:r>
              <w:rPr>
                <w:rFonts w:hint="eastAsia" w:ascii="宋体" w:hAnsi="宋体" w:cs="宋体"/>
                <w:sz w:val="24"/>
                <w:highlight w:val="none"/>
              </w:rPr>
              <w:t>0</w:t>
            </w:r>
            <w:r>
              <w:rPr>
                <w:rFonts w:hint="eastAsia" w:ascii="宋体" w:hAnsi="宋体" w:cs="宋体"/>
                <w:sz w:val="24"/>
                <w:highlight w:val="none"/>
                <w:lang w:eastAsia="zh-CN"/>
              </w:rPr>
              <w:t>；</w:t>
            </w:r>
          </w:p>
          <w:p>
            <w:pPr>
              <w:spacing w:line="360" w:lineRule="auto"/>
              <w:rPr>
                <w:rFonts w:hint="eastAsia" w:ascii="宋体" w:hAnsi="宋体" w:cs="宋体"/>
                <w:sz w:val="24"/>
                <w:highlight w:val="none"/>
                <w:lang w:eastAsia="zh-CN"/>
              </w:rPr>
            </w:pPr>
            <w:r>
              <w:rPr>
                <w:rFonts w:hint="eastAsia" w:ascii="宋体" w:hAnsi="宋体" w:cs="宋体"/>
                <w:sz w:val="24"/>
                <w:highlight w:val="none"/>
              </w:rPr>
              <w:t>开标地点：</w:t>
            </w:r>
            <w:r>
              <w:rPr>
                <w:rFonts w:hint="eastAsia" w:ascii="宋体" w:hAnsi="宋体" w:cs="宋体"/>
                <w:sz w:val="24"/>
                <w:highlight w:val="none"/>
                <w:lang w:eastAsia="zh-CN"/>
              </w:rPr>
              <w:t>榆林市榆阳区肤施路南段环馨路5号金轩楼2楼201室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6</w:t>
            </w:r>
          </w:p>
        </w:tc>
        <w:tc>
          <w:tcPr>
            <w:tcW w:w="9175" w:type="dxa"/>
            <w:noWrap w:val="0"/>
            <w:vAlign w:val="center"/>
          </w:tcPr>
          <w:p>
            <w:pPr>
              <w:numPr>
                <w:ilvl w:val="0"/>
                <w:numId w:val="0"/>
              </w:numPr>
              <w:spacing w:line="360" w:lineRule="auto"/>
              <w:rPr>
                <w:rFonts w:hint="eastAsia" w:ascii="宋体" w:hAnsi="宋体" w:cs="宋体"/>
                <w:sz w:val="24"/>
                <w:highlight w:val="none"/>
              </w:rPr>
            </w:pPr>
            <w:r>
              <w:rPr>
                <w:rFonts w:hint="eastAsia" w:ascii="宋体" w:hAnsi="宋体" w:cs="宋体"/>
                <w:sz w:val="24"/>
                <w:highlight w:val="none"/>
                <w:lang w:val="en-US" w:eastAsia="zh-CN"/>
              </w:rPr>
              <w:t>服务期：合同签订后20日内完工（具体服务起止日期可随合同签订时间相应顺延）</w:t>
            </w:r>
            <w:r>
              <w:rPr>
                <w:rFonts w:hint="eastAsia" w:ascii="宋体" w:hAnsi="宋体" w:cs="宋体"/>
                <w:color w:val="auto"/>
                <w:sz w:val="24"/>
                <w:szCs w:val="24"/>
                <w:highlight w:val="none"/>
                <w:lang w:val="en-US" w:eastAsia="zh-CN"/>
              </w:rPr>
              <w:t>。</w:t>
            </w:r>
          </w:p>
          <w:p>
            <w:pPr>
              <w:spacing w:line="360" w:lineRule="auto"/>
              <w:rPr>
                <w:rFonts w:hint="default" w:ascii="宋体" w:hAnsi="宋体" w:cs="宋体"/>
                <w:sz w:val="24"/>
                <w:highlight w:val="none"/>
                <w:lang w:val="en-US" w:eastAsia="zh-CN"/>
              </w:rPr>
            </w:pPr>
            <w:r>
              <w:rPr>
                <w:rFonts w:hint="eastAsia" w:ascii="宋体" w:hAnsi="宋体" w:cs="宋体"/>
                <w:sz w:val="24"/>
                <w:highlight w:val="none"/>
              </w:rPr>
              <w:t>服务质量：</w:t>
            </w:r>
            <w:r>
              <w:rPr>
                <w:rFonts w:hint="eastAsia" w:ascii="宋体" w:hAnsi="宋体" w:cs="宋体"/>
                <w:sz w:val="24"/>
                <w:highlight w:val="none"/>
                <w:lang w:val="en-US" w:eastAsia="zh-CN"/>
              </w:rPr>
              <w:t>质量</w:t>
            </w:r>
            <w:r>
              <w:rPr>
                <w:rFonts w:hint="eastAsia" w:ascii="宋体" w:hAnsi="宋体" w:cs="宋体"/>
                <w:sz w:val="24"/>
                <w:highlight w:val="none"/>
              </w:rPr>
              <w:t>符合国家要求</w:t>
            </w:r>
            <w:r>
              <w:rPr>
                <w:rFonts w:hint="eastAsia" w:ascii="宋体" w:hAnsi="宋体" w:cs="宋体"/>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7</w:t>
            </w:r>
          </w:p>
        </w:tc>
        <w:tc>
          <w:tcPr>
            <w:tcW w:w="9175" w:type="dxa"/>
            <w:noWrap w:val="0"/>
            <w:vAlign w:val="center"/>
          </w:tcPr>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服务地点：</w:t>
            </w:r>
            <w:r>
              <w:rPr>
                <w:rFonts w:hint="eastAsia" w:ascii="宋体" w:hAnsi="宋体" w:cs="宋体"/>
                <w:color w:val="auto"/>
                <w:sz w:val="24"/>
                <w:highlight w:val="none"/>
                <w:lang w:eastAsia="zh-CN"/>
              </w:rPr>
              <w:t>榆林市文物考古勘探工作队</w:t>
            </w:r>
            <w:r>
              <w:rPr>
                <w:rFonts w:hint="eastAsia" w:ascii="宋体" w:hAnsi="宋体" w:cs="宋体"/>
                <w:color w:val="auto"/>
                <w:sz w:val="24"/>
                <w:highlight w:val="none"/>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8</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付款方式：</w:t>
            </w:r>
            <w:r>
              <w:rPr>
                <w:rFonts w:hint="eastAsia" w:ascii="宋体" w:hAnsi="宋体" w:cs="宋体"/>
                <w:sz w:val="24"/>
                <w:highlight w:val="none"/>
                <w:lang w:val="en-US" w:eastAsia="zh-CN"/>
              </w:rPr>
              <w:t>合同约定</w:t>
            </w:r>
            <w:r>
              <w:rPr>
                <w:rFonts w:hint="eastAsia"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9</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谈判有效期：竞争性谈判响应文件从谈判之日起，谈判有效期为90日历天。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0</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竞争性谈判响应文件：正本壹份、</w:t>
            </w:r>
            <w:r>
              <w:rPr>
                <w:rFonts w:hint="eastAsia" w:ascii="宋体" w:hAnsi="宋体" w:cs="宋体"/>
                <w:sz w:val="24"/>
                <w:highlight w:val="none"/>
                <w:lang w:eastAsia="zh-CN"/>
              </w:rPr>
              <w:t>副本</w:t>
            </w:r>
            <w:r>
              <w:rPr>
                <w:rFonts w:hint="eastAsia" w:ascii="宋体" w:hAnsi="宋体" w:cs="宋体"/>
                <w:sz w:val="24"/>
                <w:highlight w:val="none"/>
                <w:lang w:val="en-US" w:eastAsia="zh-CN"/>
              </w:rPr>
              <w:t>叁</w:t>
            </w:r>
            <w:r>
              <w:rPr>
                <w:rFonts w:hint="eastAsia" w:ascii="宋体" w:hAnsi="宋体" w:cs="宋体"/>
                <w:sz w:val="24"/>
                <w:highlight w:val="none"/>
                <w:lang w:eastAsia="zh-CN"/>
              </w:rPr>
              <w:t>份</w:t>
            </w:r>
            <w:r>
              <w:rPr>
                <w:rFonts w:hint="eastAsia" w:ascii="宋体" w:hAnsi="宋体" w:cs="宋体"/>
                <w:sz w:val="24"/>
                <w:highlight w:val="none"/>
              </w:rPr>
              <w:t>、电子版U盘一份（Word版响应文件）、谈判报价表壹份及资格证明原件壹套。竞争性谈判响应文件正、副本须各自装订成册，统一编码（要求胶装、不得出现活页）。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1</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踏勘现场：</w:t>
            </w:r>
            <w:r>
              <w:rPr>
                <w:rFonts w:hint="eastAsia" w:ascii="宋体" w:hAnsi="宋体" w:cs="宋体"/>
                <w:sz w:val="24"/>
                <w:szCs w:val="24"/>
                <w:highlight w:val="none"/>
              </w:rPr>
              <w:t>不组织踏勘。</w:t>
            </w:r>
            <w:r>
              <w:rPr>
                <w:rFonts w:hint="eastAsia" w:ascii="宋体" w:hAnsi="宋体" w:cs="宋体"/>
                <w:sz w:val="24"/>
                <w:szCs w:val="24"/>
                <w:highlight w:val="none"/>
                <w:lang w:eastAsia="zh-CN"/>
              </w:rPr>
              <w:t>供应商</w:t>
            </w:r>
            <w:r>
              <w:rPr>
                <w:rFonts w:hint="eastAsia" w:ascii="宋体" w:hAnsi="宋体" w:cs="宋体"/>
                <w:sz w:val="24"/>
                <w:highlight w:val="none"/>
              </w:rPr>
              <w:t>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2</w:t>
            </w:r>
          </w:p>
        </w:tc>
        <w:tc>
          <w:tcPr>
            <w:tcW w:w="9175" w:type="dxa"/>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szCs w:val="24"/>
                <w:highlight w:val="none"/>
              </w:rPr>
              <w:t>答疑：采购人不统一召开答疑会，如</w:t>
            </w:r>
            <w:r>
              <w:rPr>
                <w:rFonts w:hint="eastAsia" w:ascii="宋体" w:hAnsi="宋体" w:cs="宋体"/>
                <w:sz w:val="24"/>
                <w:highlight w:val="none"/>
              </w:rPr>
              <w:t>供应商若对竞争性谈判文件有疑问的，应当在谈判截止时间2日前以书面形式向采购代理机构提出，</w:t>
            </w:r>
            <w:r>
              <w:rPr>
                <w:rFonts w:hint="eastAsia" w:ascii="宋体" w:hAnsi="宋体" w:cs="宋体"/>
                <w:sz w:val="24"/>
                <w:szCs w:val="24"/>
                <w:highlight w:val="none"/>
              </w:rPr>
              <w:t>以便采购人澄清</w:t>
            </w:r>
            <w:r>
              <w:rPr>
                <w:rFonts w:hint="eastAsia" w:ascii="宋体" w:hAnsi="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3</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供应商的法定代表人或其授权代表应当参加谈判，谈判现场须提交以下资质原件及竞争性谈判文件要求的其他证明材料原件，并单独密封（密封同竞争性谈判响应文件）且与竞争性谈判响应文件同时递交。</w:t>
            </w:r>
          </w:p>
          <w:p>
            <w:pPr>
              <w:spacing w:line="360" w:lineRule="auto"/>
              <w:rPr>
                <w:rFonts w:hint="eastAsia" w:ascii="宋体" w:hAnsi="宋体" w:cs="宋体"/>
                <w:b/>
                <w:bCs/>
                <w:sz w:val="24"/>
                <w:highlight w:val="none"/>
              </w:rPr>
            </w:pPr>
            <w:r>
              <w:rPr>
                <w:rFonts w:hint="eastAsia" w:ascii="宋体" w:hAnsi="宋体" w:cs="宋体"/>
                <w:b/>
                <w:bCs/>
                <w:sz w:val="24"/>
                <w:highlight w:val="none"/>
                <w:lang w:eastAsia="zh-CN"/>
              </w:rPr>
              <w:t>供应商</w:t>
            </w:r>
            <w:r>
              <w:rPr>
                <w:rFonts w:hint="eastAsia" w:ascii="宋体" w:hAnsi="宋体" w:cs="宋体"/>
                <w:b/>
                <w:bCs/>
                <w:sz w:val="24"/>
                <w:highlight w:val="none"/>
              </w:rPr>
              <w:t>应具备《中华人民共和国政府采购法》第二十二条规定的条件,并具备以下条件：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shd w:val="clear"/>
                <w:lang w:val="en-US" w:eastAsia="zh-CN" w:bidi="ar-SA"/>
              </w:rPr>
              <w:t>投标信用承诺书代替投标保证金。需在网上提交投标信用(保证金）承诺或承诺书网上截图附在响应文件中。（截图示例及承诺书格式详见谈判文件格式）；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snapToGrid w:val="0"/>
                <w:color w:val="000000"/>
                <w:kern w:val="0"/>
                <w:sz w:val="24"/>
                <w:szCs w:val="24"/>
                <w:highlight w:val="none"/>
                <w:lang w:val="en-US" w:eastAsia="zh-CN" w:bidi="ar"/>
              </w:rPr>
            </w:pPr>
            <w:r>
              <w:rPr>
                <w:rFonts w:hint="eastAsia" w:ascii="宋体" w:hAnsi="宋体" w:eastAsia="宋体" w:cs="宋体"/>
                <w:color w:val="000000"/>
                <w:kern w:val="0"/>
                <w:sz w:val="24"/>
                <w:szCs w:val="21"/>
                <w:highlight w:val="none"/>
                <w:lang w:val="en-US" w:eastAsia="zh-CN" w:bidi="ar-SA"/>
              </w:rPr>
              <w:t>11、本项目不专门面向中小企业采购。</w:t>
            </w:r>
          </w:p>
          <w:p>
            <w:pPr>
              <w:numPr>
                <w:ilvl w:val="0"/>
                <w:numId w:val="0"/>
              </w:numPr>
              <w:spacing w:line="360" w:lineRule="auto"/>
              <w:ind w:firstLine="482" w:firstLineChars="200"/>
              <w:rPr>
                <w:rFonts w:hint="eastAsia" w:ascii="宋体" w:hAnsi="宋体" w:cs="宋体"/>
                <w:sz w:val="24"/>
                <w:highlight w:val="none"/>
              </w:rPr>
            </w:pPr>
            <w:r>
              <w:rPr>
                <w:rFonts w:hint="eastAsia" w:ascii="宋体" w:hAnsi="宋体" w:cs="宋体"/>
                <w:b/>
                <w:bCs/>
                <w:sz w:val="24"/>
                <w:highlight w:val="none"/>
              </w:rPr>
              <w:t>注：上述资质为必备资质，须在谈判截止时间之前提供上述资质原件</w:t>
            </w:r>
            <w:r>
              <w:rPr>
                <w:rFonts w:hint="eastAsia" w:ascii="宋体" w:hAnsi="宋体" w:cs="宋体"/>
                <w:b/>
                <w:bCs/>
                <w:sz w:val="24"/>
                <w:highlight w:val="none"/>
                <w:lang w:eastAsia="zh-CN"/>
              </w:rPr>
              <w:t>（身份证除外）</w:t>
            </w:r>
            <w:r>
              <w:rPr>
                <w:rFonts w:hint="eastAsia" w:ascii="宋体" w:hAnsi="宋体" w:cs="宋体"/>
                <w:b/>
                <w:bCs/>
                <w:sz w:val="24"/>
                <w:highlight w:val="none"/>
              </w:rPr>
              <w:t>单独密封递交，密封方式同竞争性谈判响应文件一致，欠缺其中任何一项或未按要求密封的，视认为资格审查不合格，按无效响应文件处理。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4</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5</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szCs w:val="24"/>
                <w:highlight w:val="none"/>
              </w:rPr>
              <w:t>本项目不接受备选方案。且不允许成交后另行转包或者再分包。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6</w:t>
            </w:r>
          </w:p>
        </w:tc>
        <w:tc>
          <w:tcPr>
            <w:tcW w:w="9175" w:type="dxa"/>
            <w:noWrap w:val="0"/>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代理服务费：按照国家标准向中标单位收取。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7</w:t>
            </w:r>
          </w:p>
        </w:tc>
        <w:tc>
          <w:tcPr>
            <w:tcW w:w="9175" w:type="dxa"/>
            <w:noWrap w:val="0"/>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谈判会议现场，由采购人对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代表进行身份核验。</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（1）法定代表人到场的须手持法定代表人身份证明及法定代表身份证原件；</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（2）授权代表到场的须手持法定代表人授权书及其身份证原件；</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未按照以上要求提供有效资料的，身份查验不合格按无效投标处理。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18</w:t>
            </w:r>
          </w:p>
        </w:tc>
        <w:tc>
          <w:tcPr>
            <w:tcW w:w="9175" w:type="dxa"/>
            <w:noWrap w:val="0"/>
            <w:vAlign w:val="center"/>
          </w:tcPr>
          <w:p>
            <w:pPr>
              <w:spacing w:line="360" w:lineRule="auto"/>
              <w:rPr>
                <w:rFonts w:hint="eastAsia" w:ascii="宋体" w:hAnsi="宋体" w:eastAsia="宋体" w:cs="宋体"/>
                <w:sz w:val="24"/>
                <w:szCs w:val="24"/>
                <w:highlight w:val="none"/>
              </w:rPr>
            </w:pPr>
            <w:r>
              <w:rPr>
                <w:rFonts w:hint="eastAsia" w:eastAsia="宋体"/>
                <w:sz w:val="24"/>
                <w:szCs w:val="24"/>
                <w:highlight w:val="none"/>
              </w:rPr>
              <w:t>保证金：本项目实施以“投标信用承诺书”代替保证金。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19</w:t>
            </w:r>
          </w:p>
        </w:tc>
        <w:tc>
          <w:tcPr>
            <w:tcW w:w="9175" w:type="dxa"/>
            <w:noWrap w:val="0"/>
            <w:vAlign w:val="center"/>
          </w:tcPr>
          <w:p>
            <w:pPr>
              <w:spacing w:line="360" w:lineRule="auto"/>
              <w:rPr>
                <w:rFonts w:hint="eastAsia" w:ascii="宋体" w:hAnsi="宋体" w:cs="宋体"/>
                <w:color w:val="000000"/>
                <w:sz w:val="24"/>
                <w:highlight w:val="none"/>
              </w:rPr>
            </w:pPr>
            <w:r>
              <w:rPr>
                <w:rFonts w:hint="eastAsia" w:ascii="宋体" w:hAnsi="宋体" w:cs="宋体"/>
                <w:sz w:val="24"/>
                <w:szCs w:val="24"/>
                <w:highlight w:val="none"/>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w:t>
            </w:r>
            <w:r>
              <w:rPr>
                <w:rFonts w:hint="eastAsia" w:ascii="宋体" w:hAnsi="宋体" w:eastAsia="宋体" w:cs="宋体"/>
                <w:sz w:val="24"/>
                <w:szCs w:val="24"/>
                <w:highlight w:val="none"/>
              </w:rPr>
              <w:t>吊销</w:t>
            </w:r>
            <w:r>
              <w:rPr>
                <w:rFonts w:hint="eastAsia" w:ascii="宋体" w:hAnsi="宋体" w:cs="宋体"/>
                <w:sz w:val="24"/>
                <w:szCs w:val="24"/>
                <w:highlight w:val="none"/>
              </w:rPr>
              <w:t>营业执照；构成犯罪的，依法追究刑事责任，同时纳入黑名单系统。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20</w:t>
            </w:r>
          </w:p>
        </w:tc>
        <w:tc>
          <w:tcPr>
            <w:tcW w:w="9175" w:type="dxa"/>
            <w:noWrap w:val="0"/>
            <w:vAlign w:val="center"/>
          </w:tcPr>
          <w:p>
            <w:pPr>
              <w:spacing w:line="360" w:lineRule="auto"/>
              <w:rPr>
                <w:rFonts w:hint="eastAsia" w:ascii="宋体" w:hAnsi="宋体" w:cs="宋体"/>
                <w:sz w:val="24"/>
                <w:szCs w:val="24"/>
                <w:highlight w:val="none"/>
              </w:rPr>
            </w:pPr>
            <w:r>
              <w:rPr>
                <w:rFonts w:hint="eastAsia" w:ascii="宋体" w:hAnsi="宋体" w:cs="宋体"/>
                <w:sz w:val="24"/>
                <w:szCs w:val="24"/>
                <w:highlight w:val="none"/>
              </w:rPr>
              <w:t>谈判文件解释权：本谈判文件由采购人和采购代理机构解释。未尽事宜，参照法律法规、规章及规范性文件的相关规定。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21</w:t>
            </w:r>
          </w:p>
        </w:tc>
        <w:tc>
          <w:tcPr>
            <w:tcW w:w="9175" w:type="dxa"/>
            <w:noWrap w:val="0"/>
            <w:vAlign w:val="center"/>
          </w:tcPr>
          <w:p>
            <w:pPr>
              <w:spacing w:line="360" w:lineRule="auto"/>
              <w:rPr>
                <w:rFonts w:hint="default" w:ascii="宋体" w:hAnsi="宋体" w:eastAsia="宋体" w:cs="宋体"/>
                <w:sz w:val="24"/>
                <w:szCs w:val="24"/>
                <w:highlight w:val="none"/>
                <w:lang w:val="en-US" w:eastAsia="zh-CN"/>
              </w:rPr>
            </w:pPr>
            <w:r>
              <w:rPr>
                <w:rFonts w:hint="default" w:ascii="宋体" w:hAnsi="宋体" w:cs="宋体"/>
                <w:sz w:val="24"/>
                <w:szCs w:val="24"/>
                <w:highlight w:val="none"/>
              </w:rPr>
              <w:t>支持中小企业</w:t>
            </w:r>
            <w:r>
              <w:rPr>
                <w:rFonts w:hint="eastAsia" w:ascii="宋体" w:hAnsi="宋体" w:cs="宋体"/>
                <w:sz w:val="24"/>
                <w:szCs w:val="24"/>
                <w:highlight w:val="none"/>
                <w:lang w:eastAsia="zh-CN"/>
              </w:rPr>
              <w:t>：</w:t>
            </w:r>
            <w:r>
              <w:rPr>
                <w:rFonts w:hint="eastAsia" w:ascii="宋体" w:hAnsi="宋体" w:cs="宋体"/>
                <w:sz w:val="24"/>
                <w:szCs w:val="24"/>
                <w:highlight w:val="none"/>
              </w:rPr>
              <w:t>支</w:t>
            </w:r>
            <w:r>
              <w:rPr>
                <w:rFonts w:hint="default" w:ascii="宋体" w:hAnsi="宋体" w:cs="宋体"/>
                <w:sz w:val="24"/>
                <w:szCs w:val="24"/>
                <w:highlight w:val="none"/>
              </w:rPr>
              <w:t>持中小企业根据《政府采购促进中小企业发展管理办法》（财库〔2020〕46号）</w:t>
            </w:r>
            <w:r>
              <w:rPr>
                <w:rFonts w:hint="eastAsia" w:ascii="宋体" w:hAnsi="宋体" w:cs="宋体"/>
                <w:sz w:val="24"/>
                <w:szCs w:val="24"/>
                <w:highlight w:val="none"/>
                <w:lang w:eastAsia="zh-CN"/>
              </w:rPr>
              <w:t>、</w:t>
            </w:r>
            <w:r>
              <w:rPr>
                <w:rFonts w:hint="default" w:ascii="宋体" w:hAnsi="宋体" w:cs="宋体"/>
                <w:sz w:val="24"/>
                <w:szCs w:val="24"/>
                <w:highlight w:val="none"/>
              </w:rPr>
              <w:t>《关于进一步加大政府采购支持中小企业力度的通知》（财库〔2022〕19号）</w:t>
            </w:r>
            <w:r>
              <w:rPr>
                <w:rFonts w:hint="eastAsia" w:ascii="宋体" w:hAnsi="宋体" w:cs="宋体"/>
                <w:sz w:val="24"/>
                <w:szCs w:val="24"/>
                <w:highlight w:val="none"/>
                <w:lang w:val="en-US" w:eastAsia="zh-CN"/>
              </w:rPr>
              <w:t>和</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陕西省财政厅关于进一步落实政府采购支持中小企业相关政策的通知-陕财办采〔2023〕3号</w:t>
            </w:r>
            <w:r>
              <w:rPr>
                <w:rFonts w:hint="default" w:ascii="宋体" w:hAnsi="宋体" w:cs="宋体"/>
                <w:sz w:val="24"/>
                <w:szCs w:val="24"/>
                <w:highlight w:val="none"/>
              </w:rPr>
              <w:t>规定，本项目</w:t>
            </w:r>
            <w:r>
              <w:rPr>
                <w:rFonts w:hint="eastAsia" w:ascii="宋体" w:hAnsi="宋体" w:cs="宋体"/>
                <w:sz w:val="24"/>
                <w:szCs w:val="24"/>
                <w:highlight w:val="none"/>
                <w:lang w:val="en-US" w:eastAsia="zh-CN"/>
              </w:rPr>
              <w:t>非</w:t>
            </w:r>
            <w:r>
              <w:rPr>
                <w:rFonts w:hint="default" w:ascii="宋体" w:hAnsi="宋体" w:cs="宋体"/>
                <w:sz w:val="24"/>
                <w:szCs w:val="24"/>
                <w:highlight w:val="none"/>
              </w:rPr>
              <w:t>专门面向中小企业采购，</w:t>
            </w:r>
            <w:r>
              <w:rPr>
                <w:rFonts w:hint="eastAsia" w:ascii="宋体" w:hAnsi="宋体" w:cs="宋体"/>
                <w:sz w:val="24"/>
                <w:szCs w:val="24"/>
                <w:highlight w:val="none"/>
                <w:lang w:val="en-US" w:eastAsia="zh-CN"/>
              </w:rPr>
              <w:t>对其进行支持</w:t>
            </w:r>
            <w:r>
              <w:rPr>
                <w:rFonts w:hint="default" w:ascii="宋体" w:hAnsi="宋体" w:cs="宋体"/>
                <w:sz w:val="24"/>
                <w:szCs w:val="24"/>
                <w:highlight w:val="none"/>
              </w:rPr>
              <w:t>中小企业</w:t>
            </w:r>
            <w:r>
              <w:rPr>
                <w:rFonts w:hint="eastAsia" w:ascii="宋体" w:hAnsi="宋体" w:cs="宋体"/>
                <w:sz w:val="24"/>
                <w:szCs w:val="24"/>
                <w:highlight w:val="none"/>
                <w:lang w:val="en-US" w:eastAsia="zh-CN"/>
              </w:rPr>
              <w:t>给予20%价格优惠。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22</w:t>
            </w:r>
          </w:p>
        </w:tc>
        <w:tc>
          <w:tcPr>
            <w:tcW w:w="9175" w:type="dxa"/>
            <w:noWrap w:val="0"/>
            <w:vAlign w:val="center"/>
          </w:tcPr>
          <w:p>
            <w:pPr>
              <w:widowControl/>
              <w:kinsoku w:val="0"/>
              <w:autoSpaceDE w:val="0"/>
              <w:autoSpaceDN w:val="0"/>
              <w:adjustRightInd w:val="0"/>
              <w:snapToGrid w:val="0"/>
              <w:spacing w:before="52" w:afterAutospacing="0" w:line="360" w:lineRule="auto"/>
              <w:ind w:left="22" w:right="15" w:firstLine="16"/>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1、农</w:t>
            </w:r>
            <w:r>
              <w:rPr>
                <w:rFonts w:hint="eastAsia" w:ascii="宋体" w:hAnsi="宋体" w:eastAsia="宋体" w:cs="宋体"/>
                <w:snapToGrid w:val="0"/>
                <w:color w:val="000000"/>
                <w:spacing w:val="7"/>
                <w:kern w:val="0"/>
                <w:sz w:val="24"/>
                <w:szCs w:val="24"/>
                <w:highlight w:val="none"/>
              </w:rPr>
              <w:t>、</w:t>
            </w:r>
            <w:r>
              <w:rPr>
                <w:rFonts w:hint="eastAsia" w:ascii="宋体" w:hAnsi="宋体" w:eastAsia="宋体" w:cs="宋体"/>
                <w:snapToGrid w:val="0"/>
                <w:color w:val="000000"/>
                <w:spacing w:val="4"/>
                <w:kern w:val="0"/>
                <w:sz w:val="24"/>
                <w:szCs w:val="24"/>
                <w:highlight w:val="none"/>
              </w:rPr>
              <w:t>林、牧、渔业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营业收入20000万元以下的为中小微型企业。</w:t>
            </w:r>
            <w:r>
              <w:rPr>
                <w:rFonts w:hint="eastAsia" w:ascii="宋体" w:hAnsi="宋体" w:eastAsia="宋体" w:cs="宋体"/>
                <w:snapToGrid w:val="0"/>
                <w:color w:val="000000"/>
                <w:spacing w:val="8"/>
                <w:kern w:val="0"/>
                <w:sz w:val="24"/>
                <w:szCs w:val="24"/>
                <w:highlight w:val="none"/>
              </w:rPr>
              <w:t>其中，营业收入</w:t>
            </w:r>
            <w:r>
              <w:rPr>
                <w:rFonts w:hint="eastAsia" w:ascii="宋体" w:hAnsi="宋体" w:eastAsia="宋体" w:cs="宋体"/>
                <w:snapToGrid w:val="0"/>
                <w:color w:val="000000"/>
                <w:spacing w:val="4"/>
                <w:kern w:val="0"/>
                <w:sz w:val="24"/>
                <w:szCs w:val="24"/>
                <w:highlight w:val="none"/>
              </w:rPr>
              <w:t>500万元及以上的为中型企业,营业收入50万元及以</w:t>
            </w:r>
            <w:r>
              <w:rPr>
                <w:rFonts w:hint="eastAsia" w:ascii="宋体" w:hAnsi="宋体" w:eastAsia="宋体" w:cs="宋体"/>
                <w:snapToGrid w:val="0"/>
                <w:color w:val="000000"/>
                <w:spacing w:val="5"/>
                <w:kern w:val="0"/>
                <w:sz w:val="24"/>
                <w:szCs w:val="24"/>
                <w:highlight w:val="none"/>
              </w:rPr>
              <w:t>上</w:t>
            </w:r>
            <w:r>
              <w:rPr>
                <w:rFonts w:hint="eastAsia" w:ascii="宋体" w:hAnsi="宋体" w:eastAsia="宋体" w:cs="宋体"/>
                <w:snapToGrid w:val="0"/>
                <w:color w:val="000000"/>
                <w:spacing w:val="4"/>
                <w:kern w:val="0"/>
                <w:sz w:val="24"/>
                <w:szCs w:val="24"/>
                <w:highlight w:val="none"/>
              </w:rPr>
              <w:t>的为小型企业，营业收入50万元以下的为微型企业。</w:t>
            </w:r>
          </w:p>
          <w:p>
            <w:pPr>
              <w:widowControl/>
              <w:kinsoku w:val="0"/>
              <w:autoSpaceDE w:val="0"/>
              <w:autoSpaceDN w:val="0"/>
              <w:adjustRightInd w:val="0"/>
              <w:snapToGrid w:val="0"/>
              <w:spacing w:beforeAutospacing="0" w:afterAutospacing="0" w:line="360" w:lineRule="auto"/>
              <w:ind w:left="21" w:right="13" w:firstLine="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2、工业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从业人员1000人以下或营业收入40000万元以下的为中小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从业人员300人及以上</w:t>
            </w:r>
            <w:r>
              <w:rPr>
                <w:rFonts w:hint="eastAsia" w:ascii="宋体" w:hAnsi="宋体" w:eastAsia="宋体" w:cs="宋体"/>
                <w:snapToGrid w:val="0"/>
                <w:color w:val="000000"/>
                <w:spacing w:val="1"/>
                <w:kern w:val="0"/>
                <w:sz w:val="24"/>
                <w:szCs w:val="24"/>
                <w:highlight w:val="none"/>
              </w:rPr>
              <w:t>，且营业收入2000万元及以</w:t>
            </w:r>
            <w:r>
              <w:rPr>
                <w:rFonts w:hint="eastAsia" w:ascii="宋体" w:hAnsi="宋体" w:eastAsia="宋体" w:cs="宋体"/>
                <w:snapToGrid w:val="0"/>
                <w:color w:val="000000"/>
                <w:spacing w:val="2"/>
                <w:kern w:val="0"/>
                <w:sz w:val="24"/>
                <w:szCs w:val="24"/>
                <w:highlight w:val="none"/>
              </w:rPr>
              <w:t>上的为中型企业；从业人员20人及以上，且</w:t>
            </w:r>
            <w:r>
              <w:rPr>
                <w:rFonts w:hint="eastAsia" w:ascii="宋体" w:hAnsi="宋体" w:eastAsia="宋体" w:cs="宋体"/>
                <w:snapToGrid w:val="0"/>
                <w:color w:val="000000"/>
                <w:spacing w:val="1"/>
                <w:kern w:val="0"/>
                <w:sz w:val="24"/>
                <w:szCs w:val="24"/>
                <w:highlight w:val="none"/>
              </w:rPr>
              <w:t>营业收入300万元及以上</w:t>
            </w:r>
            <w:r>
              <w:rPr>
                <w:rFonts w:hint="eastAsia" w:ascii="宋体" w:hAnsi="宋体" w:eastAsia="宋体" w:cs="宋体"/>
                <w:snapToGrid w:val="0"/>
                <w:color w:val="000000"/>
                <w:spacing w:val="2"/>
                <w:kern w:val="0"/>
                <w:sz w:val="24"/>
                <w:szCs w:val="24"/>
                <w:highlight w:val="none"/>
              </w:rPr>
              <w:t>的为小型企业；从业人员20人以下或营业收</w:t>
            </w:r>
            <w:r>
              <w:rPr>
                <w:rFonts w:hint="eastAsia" w:ascii="宋体" w:hAnsi="宋体" w:eastAsia="宋体" w:cs="宋体"/>
                <w:snapToGrid w:val="0"/>
                <w:color w:val="000000"/>
                <w:spacing w:val="1"/>
                <w:kern w:val="0"/>
                <w:sz w:val="24"/>
                <w:szCs w:val="24"/>
                <w:highlight w:val="none"/>
              </w:rPr>
              <w:t>入300万元以下的为微型</w:t>
            </w:r>
            <w:r>
              <w:rPr>
                <w:rFonts w:hint="eastAsia" w:ascii="宋体" w:hAnsi="宋体" w:eastAsia="宋体" w:cs="宋体"/>
                <w:snapToGrid w:val="0"/>
                <w:color w:val="000000"/>
                <w:spacing w:val="4"/>
                <w:kern w:val="0"/>
                <w:sz w:val="24"/>
                <w:szCs w:val="24"/>
                <w:highlight w:val="none"/>
              </w:rPr>
              <w:t>企</w:t>
            </w:r>
            <w:r>
              <w:rPr>
                <w:rFonts w:hint="eastAsia" w:ascii="宋体" w:hAnsi="宋体" w:eastAsia="宋体" w:cs="宋体"/>
                <w:snapToGrid w:val="0"/>
                <w:color w:val="000000"/>
                <w:spacing w:val="3"/>
                <w:kern w:val="0"/>
                <w:sz w:val="24"/>
                <w:szCs w:val="24"/>
                <w:highlight w:val="none"/>
              </w:rPr>
              <w:t>业。</w:t>
            </w:r>
          </w:p>
          <w:p>
            <w:pPr>
              <w:widowControl/>
              <w:kinsoku w:val="0"/>
              <w:autoSpaceDE w:val="0"/>
              <w:autoSpaceDN w:val="0"/>
              <w:adjustRightInd w:val="0"/>
              <w:snapToGrid w:val="0"/>
              <w:spacing w:beforeAutospacing="0" w:line="360" w:lineRule="auto"/>
              <w:ind w:left="23" w:right="15" w:firstLine="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3、建</w:t>
            </w:r>
            <w:r>
              <w:rPr>
                <w:rFonts w:hint="eastAsia" w:ascii="宋体" w:hAnsi="宋体" w:eastAsia="宋体" w:cs="宋体"/>
                <w:snapToGrid w:val="0"/>
                <w:color w:val="000000"/>
                <w:spacing w:val="4"/>
                <w:kern w:val="0"/>
                <w:sz w:val="24"/>
                <w:szCs w:val="24"/>
                <w:highlight w:val="none"/>
              </w:rPr>
              <w:t>筑业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营业收入80000万元以下或资产总额80000万元以下的为</w:t>
            </w:r>
            <w:r>
              <w:rPr>
                <w:rFonts w:hint="eastAsia" w:ascii="宋体" w:hAnsi="宋体" w:eastAsia="宋体" w:cs="宋体"/>
                <w:snapToGrid w:val="0"/>
                <w:color w:val="000000"/>
                <w:spacing w:val="2"/>
                <w:kern w:val="0"/>
                <w:sz w:val="24"/>
                <w:szCs w:val="24"/>
                <w:highlight w:val="none"/>
              </w:rPr>
              <w:t>中小微型企业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营业收入600</w:t>
            </w:r>
            <w:r>
              <w:rPr>
                <w:rFonts w:hint="eastAsia" w:ascii="宋体" w:hAnsi="宋体" w:eastAsia="宋体" w:cs="宋体"/>
                <w:snapToGrid w:val="0"/>
                <w:color w:val="000000"/>
                <w:spacing w:val="1"/>
                <w:kern w:val="0"/>
                <w:sz w:val="24"/>
                <w:szCs w:val="24"/>
                <w:highlight w:val="none"/>
              </w:rPr>
              <w:t>0万元及以上，且资产总额5000万</w:t>
            </w:r>
            <w:r>
              <w:rPr>
                <w:rFonts w:hint="eastAsia" w:ascii="宋体" w:hAnsi="宋体" w:eastAsia="宋体" w:cs="宋体"/>
                <w:snapToGrid w:val="0"/>
                <w:color w:val="000000"/>
                <w:spacing w:val="2"/>
                <w:kern w:val="0"/>
                <w:sz w:val="24"/>
                <w:szCs w:val="24"/>
                <w:highlight w:val="none"/>
              </w:rPr>
              <w:t>元及以上的为中型企业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营业收入300</w:t>
            </w:r>
            <w:r>
              <w:rPr>
                <w:rFonts w:hint="eastAsia" w:ascii="宋体" w:hAnsi="宋体" w:eastAsia="宋体" w:cs="宋体"/>
                <w:snapToGrid w:val="0"/>
                <w:color w:val="000000"/>
                <w:spacing w:val="1"/>
                <w:kern w:val="0"/>
                <w:sz w:val="24"/>
                <w:szCs w:val="24"/>
                <w:highlight w:val="none"/>
              </w:rPr>
              <w:t>万元及以上，且资产总额300万</w:t>
            </w:r>
            <w:r>
              <w:rPr>
                <w:rFonts w:hint="eastAsia" w:ascii="宋体" w:hAnsi="宋体" w:eastAsia="宋体" w:cs="宋体"/>
                <w:snapToGrid w:val="0"/>
                <w:color w:val="000000"/>
                <w:spacing w:val="8"/>
                <w:kern w:val="0"/>
                <w:sz w:val="24"/>
                <w:szCs w:val="24"/>
                <w:highlight w:val="none"/>
              </w:rPr>
              <w:t>元及以上的为</w:t>
            </w:r>
            <w:r>
              <w:rPr>
                <w:rFonts w:hint="eastAsia" w:ascii="宋体" w:hAnsi="宋体" w:eastAsia="宋体" w:cs="宋体"/>
                <w:snapToGrid w:val="0"/>
                <w:color w:val="000000"/>
                <w:spacing w:val="7"/>
                <w:kern w:val="0"/>
                <w:sz w:val="24"/>
                <w:szCs w:val="24"/>
                <w:highlight w:val="none"/>
              </w:rPr>
              <w:t>小</w:t>
            </w:r>
            <w:r>
              <w:rPr>
                <w:rFonts w:hint="eastAsia" w:ascii="宋体" w:hAnsi="宋体" w:eastAsia="宋体" w:cs="宋体"/>
                <w:snapToGrid w:val="0"/>
                <w:color w:val="000000"/>
                <w:spacing w:val="4"/>
                <w:kern w:val="0"/>
                <w:sz w:val="24"/>
                <w:szCs w:val="24"/>
                <w:highlight w:val="none"/>
              </w:rPr>
              <w:t>型企业；营业收入300万元以下或资产总额300万元</w:t>
            </w:r>
            <w:r>
              <w:rPr>
                <w:rFonts w:hint="eastAsia" w:ascii="宋体" w:hAnsi="宋体" w:eastAsia="宋体" w:cs="宋体"/>
                <w:snapToGrid w:val="0"/>
                <w:color w:val="000000"/>
                <w:spacing w:val="12"/>
                <w:kern w:val="0"/>
                <w:sz w:val="24"/>
                <w:szCs w:val="24"/>
                <w:highlight w:val="none"/>
              </w:rPr>
              <w:t>以</w:t>
            </w:r>
            <w:r>
              <w:rPr>
                <w:rFonts w:hint="eastAsia" w:ascii="宋体" w:hAnsi="宋体" w:eastAsia="宋体" w:cs="宋体"/>
                <w:snapToGrid w:val="0"/>
                <w:color w:val="000000"/>
                <w:spacing w:val="7"/>
                <w:kern w:val="0"/>
                <w:sz w:val="24"/>
                <w:szCs w:val="24"/>
                <w:highlight w:val="none"/>
              </w:rPr>
              <w:t>下的为微型企业。</w:t>
            </w:r>
          </w:p>
          <w:p>
            <w:pPr>
              <w:widowControl/>
              <w:kinsoku w:val="0"/>
              <w:autoSpaceDE w:val="0"/>
              <w:autoSpaceDN w:val="0"/>
              <w:adjustRightInd w:val="0"/>
              <w:snapToGrid w:val="0"/>
              <w:spacing w:before="55" w:line="360" w:lineRule="auto"/>
              <w:ind w:left="27" w:firstLine="13"/>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4、批发业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从业人员200人以下或营业</w:t>
            </w:r>
            <w:r>
              <w:rPr>
                <w:rFonts w:hint="eastAsia" w:ascii="宋体" w:hAnsi="宋体" w:eastAsia="宋体" w:cs="宋体"/>
                <w:snapToGrid w:val="0"/>
                <w:color w:val="000000"/>
                <w:spacing w:val="1"/>
                <w:kern w:val="0"/>
                <w:sz w:val="24"/>
                <w:szCs w:val="24"/>
                <w:highlight w:val="none"/>
              </w:rPr>
              <w:t>收入40000万元以下的为中小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从业人员20人及以上,</w:t>
            </w:r>
            <w:r>
              <w:rPr>
                <w:rFonts w:hint="eastAsia" w:ascii="宋体" w:hAnsi="宋体" w:eastAsia="宋体" w:cs="宋体"/>
                <w:snapToGrid w:val="0"/>
                <w:color w:val="000000"/>
                <w:spacing w:val="1"/>
                <w:kern w:val="0"/>
                <w:sz w:val="24"/>
                <w:szCs w:val="24"/>
                <w:highlight w:val="none"/>
              </w:rPr>
              <w:t>且营业收入5000万元及以上</w:t>
            </w:r>
            <w:r>
              <w:rPr>
                <w:rFonts w:hint="eastAsia" w:ascii="宋体" w:hAnsi="宋体" w:eastAsia="宋体" w:cs="宋体"/>
                <w:snapToGrid w:val="0"/>
                <w:color w:val="000000"/>
                <w:spacing w:val="4"/>
                <w:kern w:val="0"/>
                <w:sz w:val="24"/>
                <w:szCs w:val="24"/>
                <w:highlight w:val="none"/>
              </w:rPr>
              <w:t>的为中型企业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w:t>
            </w:r>
            <w:r>
              <w:rPr>
                <w:rFonts w:hint="eastAsia" w:ascii="宋体" w:hAnsi="宋体" w:eastAsia="宋体" w:cs="宋体"/>
                <w:snapToGrid w:val="0"/>
                <w:color w:val="000000"/>
                <w:spacing w:val="3"/>
                <w:kern w:val="0"/>
                <w:sz w:val="24"/>
                <w:szCs w:val="24"/>
                <w:highlight w:val="none"/>
              </w:rPr>
              <w:t>业</w:t>
            </w:r>
            <w:r>
              <w:rPr>
                <w:rFonts w:hint="eastAsia" w:ascii="宋体" w:hAnsi="宋体" w:eastAsia="宋体" w:cs="宋体"/>
                <w:snapToGrid w:val="0"/>
                <w:color w:val="000000"/>
                <w:spacing w:val="2"/>
                <w:kern w:val="0"/>
                <w:sz w:val="24"/>
                <w:szCs w:val="24"/>
                <w:highlight w:val="none"/>
              </w:rPr>
              <w:t>人员5人及以上,且营业收入1000万元及以上的为小型企业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从业人员5人以下或营业收入1000万元以下的为微型</w:t>
            </w:r>
            <w:r>
              <w:rPr>
                <w:rFonts w:hint="eastAsia" w:ascii="宋体" w:hAnsi="宋体" w:eastAsia="宋体" w:cs="宋体"/>
                <w:snapToGrid w:val="0"/>
                <w:color w:val="000000"/>
                <w:spacing w:val="1"/>
                <w:kern w:val="0"/>
                <w:sz w:val="24"/>
                <w:szCs w:val="24"/>
                <w:highlight w:val="none"/>
              </w:rPr>
              <w:t>企</w:t>
            </w:r>
            <w:r>
              <w:rPr>
                <w:rFonts w:hint="eastAsia" w:ascii="宋体" w:hAnsi="宋体" w:eastAsia="宋体" w:cs="宋体"/>
                <w:snapToGrid w:val="0"/>
                <w:color w:val="000000"/>
                <w:kern w:val="0"/>
                <w:sz w:val="24"/>
                <w:szCs w:val="24"/>
                <w:highlight w:val="none"/>
              </w:rPr>
              <w:t>业。</w:t>
            </w:r>
          </w:p>
          <w:p>
            <w:pPr>
              <w:widowControl/>
              <w:kinsoku w:val="0"/>
              <w:autoSpaceDE w:val="0"/>
              <w:autoSpaceDN w:val="0"/>
              <w:adjustRightInd w:val="0"/>
              <w:snapToGrid w:val="0"/>
              <w:spacing w:afterAutospacing="0" w:line="360" w:lineRule="auto"/>
              <w:ind w:left="20" w:right="15" w:firstLine="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5、零售业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从业人员300</w:t>
            </w:r>
            <w:r>
              <w:rPr>
                <w:rFonts w:hint="eastAsia" w:ascii="宋体" w:hAnsi="宋体" w:eastAsia="宋体" w:cs="宋体"/>
                <w:snapToGrid w:val="0"/>
                <w:color w:val="000000"/>
                <w:spacing w:val="1"/>
                <w:kern w:val="0"/>
                <w:sz w:val="24"/>
                <w:szCs w:val="24"/>
                <w:highlight w:val="none"/>
              </w:rPr>
              <w:t>人以下或营业收入20000万元以下的为中小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从业人员50人及以上，且营</w:t>
            </w:r>
            <w:r>
              <w:rPr>
                <w:rFonts w:hint="eastAsia" w:ascii="宋体" w:hAnsi="宋体" w:eastAsia="宋体" w:cs="宋体"/>
                <w:snapToGrid w:val="0"/>
                <w:color w:val="000000"/>
                <w:spacing w:val="1"/>
                <w:kern w:val="0"/>
                <w:sz w:val="24"/>
                <w:szCs w:val="24"/>
                <w:highlight w:val="none"/>
              </w:rPr>
              <w:t>业收入500万元及以上</w:t>
            </w:r>
            <w:r>
              <w:rPr>
                <w:rFonts w:hint="eastAsia" w:ascii="宋体" w:hAnsi="宋体" w:eastAsia="宋体" w:cs="宋体"/>
                <w:snapToGrid w:val="0"/>
                <w:color w:val="000000"/>
                <w:spacing w:val="2"/>
                <w:kern w:val="0"/>
                <w:sz w:val="24"/>
                <w:szCs w:val="24"/>
                <w:highlight w:val="none"/>
              </w:rPr>
              <w:t>的为中型企业；从业人员10人及以上，且营业</w:t>
            </w:r>
            <w:r>
              <w:rPr>
                <w:rFonts w:hint="eastAsia" w:ascii="宋体" w:hAnsi="宋体" w:eastAsia="宋体" w:cs="宋体"/>
                <w:snapToGrid w:val="0"/>
                <w:color w:val="000000"/>
                <w:spacing w:val="1"/>
                <w:kern w:val="0"/>
                <w:sz w:val="24"/>
                <w:szCs w:val="24"/>
                <w:highlight w:val="none"/>
              </w:rPr>
              <w:t>收入100万元及以上的</w:t>
            </w:r>
            <w:r>
              <w:rPr>
                <w:rFonts w:hint="eastAsia" w:ascii="宋体" w:hAnsi="宋体" w:eastAsia="宋体" w:cs="宋体"/>
                <w:snapToGrid w:val="0"/>
                <w:color w:val="000000"/>
                <w:spacing w:val="2"/>
                <w:kern w:val="0"/>
                <w:sz w:val="24"/>
                <w:szCs w:val="24"/>
                <w:highlight w:val="none"/>
              </w:rPr>
              <w:t>为小型企业；从业人员10人以下或营业收入</w:t>
            </w:r>
            <w:r>
              <w:rPr>
                <w:rFonts w:hint="eastAsia" w:ascii="宋体" w:hAnsi="宋体" w:eastAsia="宋体" w:cs="宋体"/>
                <w:snapToGrid w:val="0"/>
                <w:color w:val="000000"/>
                <w:spacing w:val="1"/>
                <w:kern w:val="0"/>
                <w:sz w:val="24"/>
                <w:szCs w:val="24"/>
                <w:highlight w:val="none"/>
              </w:rPr>
              <w:t>100万元以下的为微型企业</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afterAutospacing="0" w:line="360" w:lineRule="auto"/>
              <w:ind w:left="20" w:right="15" w:firstLine="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6、交通</w:t>
            </w:r>
            <w:r>
              <w:rPr>
                <w:rFonts w:hint="eastAsia" w:ascii="宋体" w:hAnsi="宋体" w:eastAsia="宋体" w:cs="宋体"/>
                <w:snapToGrid w:val="0"/>
                <w:color w:val="000000"/>
                <w:spacing w:val="7"/>
                <w:kern w:val="0"/>
                <w:sz w:val="24"/>
                <w:szCs w:val="24"/>
                <w:highlight w:val="none"/>
              </w:rPr>
              <w:t>运</w:t>
            </w:r>
            <w:r>
              <w:rPr>
                <w:rFonts w:hint="eastAsia" w:ascii="宋体" w:hAnsi="宋体" w:eastAsia="宋体" w:cs="宋体"/>
                <w:snapToGrid w:val="0"/>
                <w:color w:val="000000"/>
                <w:spacing w:val="4"/>
                <w:kern w:val="0"/>
                <w:sz w:val="24"/>
                <w:szCs w:val="24"/>
                <w:highlight w:val="none"/>
              </w:rPr>
              <w:t>输业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从业人员1000人以下或营业收入30000万元以下的</w:t>
            </w:r>
            <w:r>
              <w:rPr>
                <w:rFonts w:hint="eastAsia" w:ascii="宋体" w:hAnsi="宋体" w:eastAsia="宋体" w:cs="宋体"/>
                <w:snapToGrid w:val="0"/>
                <w:color w:val="000000"/>
                <w:spacing w:val="8"/>
                <w:kern w:val="0"/>
                <w:sz w:val="24"/>
                <w:szCs w:val="24"/>
                <w:highlight w:val="none"/>
              </w:rPr>
              <w:t>为中小微型企</w:t>
            </w:r>
            <w:r>
              <w:rPr>
                <w:rFonts w:hint="eastAsia" w:ascii="宋体" w:hAnsi="宋体" w:eastAsia="宋体" w:cs="宋体"/>
                <w:snapToGrid w:val="0"/>
                <w:color w:val="000000"/>
                <w:spacing w:val="6"/>
                <w:kern w:val="0"/>
                <w:sz w:val="24"/>
                <w:szCs w:val="24"/>
                <w:highlight w:val="none"/>
              </w:rPr>
              <w:t>业</w:t>
            </w:r>
            <w:r>
              <w:rPr>
                <w:rFonts w:hint="eastAsia" w:ascii="宋体" w:hAnsi="宋体" w:cs="宋体"/>
                <w:snapToGrid w:val="0"/>
                <w:color w:val="000000"/>
                <w:spacing w:val="6"/>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其中，从业人员300人及以上，且营业收入3000万</w:t>
            </w:r>
            <w:r>
              <w:rPr>
                <w:rFonts w:hint="eastAsia" w:ascii="宋体" w:hAnsi="宋体" w:eastAsia="宋体" w:cs="宋体"/>
                <w:snapToGrid w:val="0"/>
                <w:color w:val="000000"/>
                <w:spacing w:val="2"/>
                <w:kern w:val="0"/>
                <w:sz w:val="24"/>
                <w:szCs w:val="24"/>
                <w:highlight w:val="none"/>
              </w:rPr>
              <w:t>元及以上的为中型企业；从业人员20人及以上</w:t>
            </w:r>
            <w:r>
              <w:rPr>
                <w:rFonts w:hint="eastAsia" w:ascii="宋体" w:hAnsi="宋体" w:eastAsia="宋体" w:cs="宋体"/>
                <w:snapToGrid w:val="0"/>
                <w:color w:val="000000"/>
                <w:spacing w:val="1"/>
                <w:kern w:val="0"/>
                <w:sz w:val="24"/>
                <w:szCs w:val="24"/>
                <w:highlight w:val="none"/>
              </w:rPr>
              <w:t>，且营业收入200万元</w:t>
            </w:r>
            <w:r>
              <w:rPr>
                <w:rFonts w:hint="eastAsia" w:ascii="宋体" w:hAnsi="宋体" w:eastAsia="宋体" w:cs="宋体"/>
                <w:snapToGrid w:val="0"/>
                <w:color w:val="000000"/>
                <w:spacing w:val="2"/>
                <w:kern w:val="0"/>
                <w:sz w:val="24"/>
                <w:szCs w:val="24"/>
                <w:highlight w:val="none"/>
              </w:rPr>
              <w:t>及以上的为小型企业；从业人员20人以下或营</w:t>
            </w:r>
            <w:r>
              <w:rPr>
                <w:rFonts w:hint="eastAsia" w:ascii="宋体" w:hAnsi="宋体" w:eastAsia="宋体" w:cs="宋体"/>
                <w:snapToGrid w:val="0"/>
                <w:color w:val="000000"/>
                <w:spacing w:val="1"/>
                <w:kern w:val="0"/>
                <w:sz w:val="24"/>
                <w:szCs w:val="24"/>
                <w:highlight w:val="none"/>
              </w:rPr>
              <w:t>业收入200万元以下的</w:t>
            </w:r>
            <w:r>
              <w:rPr>
                <w:rFonts w:hint="eastAsia" w:ascii="宋体" w:hAnsi="宋体" w:eastAsia="宋体" w:cs="宋体"/>
                <w:snapToGrid w:val="0"/>
                <w:color w:val="000000"/>
                <w:spacing w:val="7"/>
                <w:kern w:val="0"/>
                <w:sz w:val="24"/>
                <w:szCs w:val="24"/>
                <w:highlight w:val="none"/>
              </w:rPr>
              <w:t>为微型企业</w:t>
            </w:r>
            <w:r>
              <w:rPr>
                <w:rFonts w:hint="eastAsia" w:ascii="宋体" w:hAnsi="宋体" w:eastAsia="宋体" w:cs="宋体"/>
                <w:snapToGrid w:val="0"/>
                <w:color w:val="000000"/>
                <w:spacing w:val="6"/>
                <w:kern w:val="0"/>
                <w:sz w:val="24"/>
                <w:szCs w:val="24"/>
                <w:highlight w:val="none"/>
              </w:rPr>
              <w:t>。</w:t>
            </w:r>
          </w:p>
          <w:p>
            <w:pPr>
              <w:widowControl/>
              <w:kinsoku w:val="0"/>
              <w:autoSpaceDE w:val="0"/>
              <w:autoSpaceDN w:val="0"/>
              <w:adjustRightInd w:val="0"/>
              <w:snapToGrid w:val="0"/>
              <w:spacing w:beforeAutospacing="0" w:afterAutospacing="0" w:line="360" w:lineRule="auto"/>
              <w:ind w:left="20" w:right="13" w:firstLine="6"/>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7、仓储业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从业人员200</w:t>
            </w:r>
            <w:r>
              <w:rPr>
                <w:rFonts w:hint="eastAsia" w:ascii="宋体" w:hAnsi="宋体" w:eastAsia="宋体" w:cs="宋体"/>
                <w:snapToGrid w:val="0"/>
                <w:color w:val="000000"/>
                <w:spacing w:val="1"/>
                <w:kern w:val="0"/>
                <w:sz w:val="24"/>
                <w:szCs w:val="24"/>
                <w:highlight w:val="none"/>
              </w:rPr>
              <w:t>人以下或营业收入30000万元以下的为中小</w:t>
            </w:r>
            <w:r>
              <w:rPr>
                <w:rFonts w:hint="eastAsia" w:ascii="宋体" w:hAnsi="宋体" w:eastAsia="宋体" w:cs="宋体"/>
                <w:snapToGrid w:val="0"/>
                <w:color w:val="000000"/>
                <w:spacing w:val="2"/>
                <w:kern w:val="0"/>
                <w:sz w:val="24"/>
                <w:szCs w:val="24"/>
                <w:highlight w:val="none"/>
              </w:rPr>
              <w:t>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从业人员100人及以上</w:t>
            </w:r>
            <w:r>
              <w:rPr>
                <w:rFonts w:hint="eastAsia" w:ascii="宋体" w:hAnsi="宋体" w:eastAsia="宋体" w:cs="宋体"/>
                <w:snapToGrid w:val="0"/>
                <w:color w:val="000000"/>
                <w:spacing w:val="1"/>
                <w:kern w:val="0"/>
                <w:sz w:val="24"/>
                <w:szCs w:val="24"/>
                <w:highlight w:val="none"/>
              </w:rPr>
              <w:t>，且营业收入1000万元及以上</w:t>
            </w:r>
            <w:r>
              <w:rPr>
                <w:rFonts w:hint="eastAsia" w:ascii="宋体" w:hAnsi="宋体" w:eastAsia="宋体" w:cs="宋体"/>
                <w:snapToGrid w:val="0"/>
                <w:color w:val="000000"/>
                <w:spacing w:val="5"/>
                <w:kern w:val="0"/>
                <w:sz w:val="24"/>
                <w:szCs w:val="24"/>
                <w:highlight w:val="none"/>
              </w:rPr>
              <w:t>的为中型企业；从业人员20人及以上,且营业收入100万元及以</w:t>
            </w:r>
            <w:r>
              <w:rPr>
                <w:rFonts w:hint="eastAsia" w:ascii="宋体" w:hAnsi="宋体" w:eastAsia="宋体" w:cs="宋体"/>
                <w:snapToGrid w:val="0"/>
                <w:color w:val="000000"/>
                <w:spacing w:val="4"/>
                <w:kern w:val="0"/>
                <w:sz w:val="24"/>
                <w:szCs w:val="24"/>
                <w:highlight w:val="none"/>
              </w:rPr>
              <w:t>上</w:t>
            </w:r>
            <w:r>
              <w:rPr>
                <w:rFonts w:hint="eastAsia" w:ascii="宋体" w:hAnsi="宋体" w:eastAsia="宋体" w:cs="宋体"/>
                <w:snapToGrid w:val="0"/>
                <w:color w:val="000000"/>
                <w:kern w:val="0"/>
                <w:sz w:val="24"/>
                <w:szCs w:val="24"/>
                <w:highlight w:val="none"/>
              </w:rPr>
              <w:t>的</w:t>
            </w:r>
            <w:r>
              <w:rPr>
                <w:rFonts w:hint="eastAsia" w:ascii="宋体" w:hAnsi="宋体" w:eastAsia="宋体" w:cs="宋体"/>
                <w:snapToGrid w:val="0"/>
                <w:color w:val="000000"/>
                <w:spacing w:val="5"/>
                <w:kern w:val="0"/>
                <w:sz w:val="24"/>
                <w:szCs w:val="24"/>
                <w:highlight w:val="none"/>
              </w:rPr>
              <w:t>为小型企业</w:t>
            </w:r>
            <w:r>
              <w:rPr>
                <w:rFonts w:hint="eastAsia" w:ascii="宋体" w:hAnsi="宋体" w:cs="宋体"/>
                <w:snapToGrid w:val="0"/>
                <w:color w:val="000000"/>
                <w:spacing w:val="5"/>
                <w:kern w:val="0"/>
                <w:sz w:val="24"/>
                <w:szCs w:val="24"/>
                <w:highlight w:val="none"/>
                <w:lang w:eastAsia="zh-CN"/>
              </w:rPr>
              <w:t>；</w:t>
            </w:r>
            <w:r>
              <w:rPr>
                <w:rFonts w:hint="eastAsia" w:ascii="宋体" w:hAnsi="宋体" w:eastAsia="宋体" w:cs="宋体"/>
                <w:snapToGrid w:val="0"/>
                <w:color w:val="000000"/>
                <w:spacing w:val="5"/>
                <w:kern w:val="0"/>
                <w:sz w:val="24"/>
                <w:szCs w:val="24"/>
                <w:highlight w:val="none"/>
              </w:rPr>
              <w:t>从业人员20人以下或营业收入100万元以下的为微型</w:t>
            </w:r>
            <w:r>
              <w:rPr>
                <w:rFonts w:hint="eastAsia" w:ascii="宋体" w:hAnsi="宋体" w:eastAsia="宋体" w:cs="宋体"/>
                <w:snapToGrid w:val="0"/>
                <w:color w:val="000000"/>
                <w:spacing w:val="1"/>
                <w:kern w:val="0"/>
                <w:sz w:val="24"/>
                <w:szCs w:val="24"/>
                <w:highlight w:val="none"/>
              </w:rPr>
              <w:t>企业</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afterAutospacing="0" w:line="360" w:lineRule="auto"/>
              <w:ind w:left="21" w:right="1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8、邮政业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从业人员1000人以</w:t>
            </w:r>
            <w:r>
              <w:rPr>
                <w:rFonts w:hint="eastAsia" w:ascii="宋体" w:hAnsi="宋体" w:eastAsia="宋体" w:cs="宋体"/>
                <w:snapToGrid w:val="0"/>
                <w:color w:val="000000"/>
                <w:spacing w:val="1"/>
                <w:kern w:val="0"/>
                <w:sz w:val="24"/>
                <w:szCs w:val="24"/>
                <w:highlight w:val="none"/>
              </w:rPr>
              <w:t>下或营业收入30000万元以下的为中小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从业人员300人及以上</w:t>
            </w:r>
            <w:r>
              <w:rPr>
                <w:rFonts w:hint="eastAsia" w:ascii="宋体" w:hAnsi="宋体" w:eastAsia="宋体" w:cs="宋体"/>
                <w:snapToGrid w:val="0"/>
                <w:color w:val="000000"/>
                <w:spacing w:val="1"/>
                <w:kern w:val="0"/>
                <w:sz w:val="24"/>
                <w:szCs w:val="24"/>
                <w:highlight w:val="none"/>
              </w:rPr>
              <w:t>，且营业收入2000万元及以</w:t>
            </w:r>
            <w:r>
              <w:rPr>
                <w:rFonts w:hint="eastAsia" w:ascii="宋体" w:hAnsi="宋体" w:eastAsia="宋体" w:cs="宋体"/>
                <w:snapToGrid w:val="0"/>
                <w:color w:val="000000"/>
                <w:spacing w:val="5"/>
                <w:kern w:val="0"/>
                <w:sz w:val="24"/>
                <w:szCs w:val="24"/>
                <w:highlight w:val="none"/>
              </w:rPr>
              <w:t>上的为中型企业；从业人员20人及以上,且营业收入100万元及</w:t>
            </w:r>
            <w:r>
              <w:rPr>
                <w:rFonts w:hint="eastAsia" w:ascii="宋体" w:hAnsi="宋体" w:eastAsia="宋体" w:cs="宋体"/>
                <w:snapToGrid w:val="0"/>
                <w:color w:val="000000"/>
                <w:spacing w:val="3"/>
                <w:kern w:val="0"/>
                <w:sz w:val="24"/>
                <w:szCs w:val="24"/>
                <w:highlight w:val="none"/>
              </w:rPr>
              <w:t>以</w:t>
            </w:r>
            <w:r>
              <w:rPr>
                <w:rFonts w:hint="eastAsia" w:ascii="宋体" w:hAnsi="宋体" w:eastAsia="宋体" w:cs="宋体"/>
                <w:snapToGrid w:val="0"/>
                <w:color w:val="000000"/>
                <w:kern w:val="0"/>
                <w:sz w:val="24"/>
                <w:szCs w:val="24"/>
                <w:highlight w:val="none"/>
              </w:rPr>
              <w:t>上</w:t>
            </w:r>
            <w:r>
              <w:rPr>
                <w:rFonts w:hint="eastAsia" w:ascii="宋体" w:hAnsi="宋体" w:eastAsia="宋体" w:cs="宋体"/>
                <w:snapToGrid w:val="0"/>
                <w:color w:val="000000"/>
                <w:spacing w:val="2"/>
                <w:kern w:val="0"/>
                <w:sz w:val="24"/>
                <w:szCs w:val="24"/>
                <w:highlight w:val="none"/>
              </w:rPr>
              <w:t>的为小型企业；从业人员20人以下或营业收</w:t>
            </w:r>
            <w:r>
              <w:rPr>
                <w:rFonts w:hint="eastAsia" w:ascii="宋体" w:hAnsi="宋体" w:eastAsia="宋体" w:cs="宋体"/>
                <w:snapToGrid w:val="0"/>
                <w:color w:val="000000"/>
                <w:spacing w:val="1"/>
                <w:kern w:val="0"/>
                <w:sz w:val="24"/>
                <w:szCs w:val="24"/>
                <w:highlight w:val="none"/>
              </w:rPr>
              <w:t>入100万元以下的为微型</w:t>
            </w:r>
            <w:r>
              <w:rPr>
                <w:rFonts w:hint="eastAsia" w:ascii="宋体" w:hAnsi="宋体" w:eastAsia="宋体" w:cs="宋体"/>
                <w:snapToGrid w:val="0"/>
                <w:color w:val="000000"/>
                <w:spacing w:val="4"/>
                <w:kern w:val="0"/>
                <w:sz w:val="24"/>
                <w:szCs w:val="24"/>
                <w:highlight w:val="none"/>
              </w:rPr>
              <w:t>企</w:t>
            </w:r>
            <w:r>
              <w:rPr>
                <w:rFonts w:hint="eastAsia" w:ascii="宋体" w:hAnsi="宋体" w:eastAsia="宋体" w:cs="宋体"/>
                <w:snapToGrid w:val="0"/>
                <w:color w:val="000000"/>
                <w:spacing w:val="3"/>
                <w:kern w:val="0"/>
                <w:sz w:val="24"/>
                <w:szCs w:val="24"/>
                <w:highlight w:val="none"/>
              </w:rPr>
              <w:t>业。</w:t>
            </w:r>
          </w:p>
          <w:p>
            <w:pPr>
              <w:widowControl/>
              <w:kinsoku w:val="0"/>
              <w:autoSpaceDE w:val="0"/>
              <w:autoSpaceDN w:val="0"/>
              <w:adjustRightInd w:val="0"/>
              <w:snapToGrid w:val="0"/>
              <w:spacing w:beforeAutospacing="0" w:afterAutospacing="0" w:line="360" w:lineRule="auto"/>
              <w:ind w:left="20" w:right="15" w:firstLine="1"/>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9、住宿业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从业人员300人以下或营业收入10000万元以下的为中小</w:t>
            </w:r>
            <w:r>
              <w:rPr>
                <w:rFonts w:hint="eastAsia" w:ascii="宋体" w:hAnsi="宋体" w:eastAsia="宋体" w:cs="宋体"/>
                <w:snapToGrid w:val="0"/>
                <w:color w:val="000000"/>
                <w:spacing w:val="2"/>
                <w:kern w:val="0"/>
                <w:sz w:val="24"/>
                <w:szCs w:val="24"/>
                <w:highlight w:val="none"/>
              </w:rPr>
              <w:t>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从业人员100人及以上</w:t>
            </w:r>
            <w:r>
              <w:rPr>
                <w:rFonts w:hint="eastAsia" w:ascii="宋体" w:hAnsi="宋体" w:eastAsia="宋体" w:cs="宋体"/>
                <w:snapToGrid w:val="0"/>
                <w:color w:val="000000"/>
                <w:spacing w:val="1"/>
                <w:kern w:val="0"/>
                <w:sz w:val="24"/>
                <w:szCs w:val="24"/>
                <w:highlight w:val="none"/>
              </w:rPr>
              <w:t>，且营业收入2000万元及以上</w:t>
            </w:r>
            <w:r>
              <w:rPr>
                <w:rFonts w:hint="eastAsia" w:ascii="宋体" w:hAnsi="宋体" w:eastAsia="宋体" w:cs="宋体"/>
                <w:snapToGrid w:val="0"/>
                <w:color w:val="000000"/>
                <w:spacing w:val="5"/>
                <w:kern w:val="0"/>
                <w:sz w:val="24"/>
                <w:szCs w:val="24"/>
                <w:highlight w:val="none"/>
              </w:rPr>
              <w:t>的为中型企业；从业人员10人及以上,且营业收入100万元及以</w:t>
            </w:r>
            <w:r>
              <w:rPr>
                <w:rFonts w:hint="eastAsia" w:ascii="宋体" w:hAnsi="宋体" w:eastAsia="宋体" w:cs="宋体"/>
                <w:snapToGrid w:val="0"/>
                <w:color w:val="000000"/>
                <w:spacing w:val="4"/>
                <w:kern w:val="0"/>
                <w:sz w:val="24"/>
                <w:szCs w:val="24"/>
                <w:highlight w:val="none"/>
              </w:rPr>
              <w:t>上</w:t>
            </w:r>
            <w:r>
              <w:rPr>
                <w:rFonts w:hint="eastAsia" w:ascii="宋体" w:hAnsi="宋体" w:eastAsia="宋体" w:cs="宋体"/>
                <w:snapToGrid w:val="0"/>
                <w:color w:val="000000"/>
                <w:kern w:val="0"/>
                <w:sz w:val="24"/>
                <w:szCs w:val="24"/>
                <w:highlight w:val="none"/>
              </w:rPr>
              <w:t>的</w:t>
            </w:r>
            <w:r>
              <w:rPr>
                <w:rFonts w:hint="eastAsia" w:ascii="宋体" w:hAnsi="宋体" w:eastAsia="宋体" w:cs="宋体"/>
                <w:snapToGrid w:val="0"/>
                <w:color w:val="000000"/>
                <w:spacing w:val="2"/>
                <w:kern w:val="0"/>
                <w:sz w:val="24"/>
                <w:szCs w:val="24"/>
                <w:highlight w:val="none"/>
              </w:rPr>
              <w:t>为小型企业；从业人员10人以下或营业收入</w:t>
            </w:r>
            <w:r>
              <w:rPr>
                <w:rFonts w:hint="eastAsia" w:ascii="宋体" w:hAnsi="宋体" w:eastAsia="宋体" w:cs="宋体"/>
                <w:snapToGrid w:val="0"/>
                <w:color w:val="000000"/>
                <w:spacing w:val="1"/>
                <w:kern w:val="0"/>
                <w:sz w:val="24"/>
                <w:szCs w:val="24"/>
                <w:highlight w:val="none"/>
              </w:rPr>
              <w:t>100万元以下的为微型企业</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line="360" w:lineRule="auto"/>
              <w:ind w:left="28" w:right="15" w:hanging="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7"/>
                <w:kern w:val="0"/>
                <w:sz w:val="24"/>
                <w:szCs w:val="24"/>
                <w:highlight w:val="none"/>
              </w:rPr>
              <w:t>1</w:t>
            </w:r>
            <w:r>
              <w:rPr>
                <w:rFonts w:hint="eastAsia" w:ascii="宋体" w:hAnsi="宋体" w:eastAsia="宋体" w:cs="宋体"/>
                <w:snapToGrid w:val="0"/>
                <w:color w:val="000000"/>
                <w:spacing w:val="4"/>
                <w:kern w:val="0"/>
                <w:sz w:val="24"/>
                <w:szCs w:val="24"/>
                <w:highlight w:val="none"/>
              </w:rPr>
              <w:t>0、餐饮业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从业人员300人以下或营业收入10000万元以下的为中</w:t>
            </w:r>
            <w:r>
              <w:rPr>
                <w:rFonts w:hint="eastAsia" w:ascii="宋体" w:hAnsi="宋体" w:eastAsia="宋体" w:cs="宋体"/>
                <w:snapToGrid w:val="0"/>
                <w:color w:val="000000"/>
                <w:spacing w:val="2"/>
                <w:kern w:val="0"/>
                <w:sz w:val="24"/>
                <w:szCs w:val="24"/>
                <w:highlight w:val="none"/>
              </w:rPr>
              <w:t>小微型企业。其中，从业人员</w:t>
            </w:r>
            <w:r>
              <w:rPr>
                <w:rFonts w:hint="eastAsia" w:ascii="宋体" w:hAnsi="宋体" w:eastAsia="宋体" w:cs="宋体"/>
                <w:snapToGrid w:val="0"/>
                <w:color w:val="000000"/>
                <w:spacing w:val="1"/>
                <w:kern w:val="0"/>
                <w:sz w:val="24"/>
                <w:szCs w:val="24"/>
                <w:highlight w:val="none"/>
              </w:rPr>
              <w:t>100人及以上，且营业收入2000万元及</w:t>
            </w:r>
            <w:r>
              <w:rPr>
                <w:rFonts w:hint="eastAsia" w:ascii="宋体" w:hAnsi="宋体" w:eastAsia="宋体" w:cs="宋体"/>
                <w:snapToGrid w:val="0"/>
                <w:color w:val="000000"/>
                <w:spacing w:val="8"/>
                <w:kern w:val="0"/>
                <w:sz w:val="24"/>
                <w:szCs w:val="24"/>
                <w:highlight w:val="none"/>
              </w:rPr>
              <w:t>以上的为中</w:t>
            </w:r>
            <w:r>
              <w:rPr>
                <w:rFonts w:hint="eastAsia" w:ascii="宋体" w:hAnsi="宋体" w:eastAsia="宋体" w:cs="宋体"/>
                <w:snapToGrid w:val="0"/>
                <w:color w:val="000000"/>
                <w:spacing w:val="6"/>
                <w:kern w:val="0"/>
                <w:sz w:val="24"/>
                <w:szCs w:val="24"/>
                <w:highlight w:val="none"/>
              </w:rPr>
              <w:t>型</w:t>
            </w:r>
            <w:r>
              <w:rPr>
                <w:rFonts w:hint="eastAsia" w:ascii="宋体" w:hAnsi="宋体" w:eastAsia="宋体" w:cs="宋体"/>
                <w:snapToGrid w:val="0"/>
                <w:color w:val="000000"/>
                <w:spacing w:val="4"/>
                <w:kern w:val="0"/>
                <w:sz w:val="24"/>
                <w:szCs w:val="24"/>
                <w:highlight w:val="none"/>
              </w:rPr>
              <w:t>企业；从业人员10人及以上,且营业收入100万元及以</w:t>
            </w:r>
            <w:r>
              <w:rPr>
                <w:rFonts w:hint="eastAsia" w:ascii="宋体" w:hAnsi="宋体" w:eastAsia="宋体" w:cs="宋体"/>
                <w:snapToGrid w:val="0"/>
                <w:color w:val="000000"/>
                <w:spacing w:val="2"/>
                <w:kern w:val="0"/>
                <w:sz w:val="24"/>
                <w:szCs w:val="24"/>
                <w:highlight w:val="none"/>
              </w:rPr>
              <w:t>上的为小型企业；从业人员10人以下或</w:t>
            </w:r>
            <w:r>
              <w:rPr>
                <w:rFonts w:hint="eastAsia" w:ascii="宋体" w:hAnsi="宋体" w:eastAsia="宋体" w:cs="宋体"/>
                <w:snapToGrid w:val="0"/>
                <w:color w:val="000000"/>
                <w:spacing w:val="1"/>
                <w:kern w:val="0"/>
                <w:sz w:val="24"/>
                <w:szCs w:val="24"/>
                <w:highlight w:val="none"/>
              </w:rPr>
              <w:t>营业收入100万元以下的为微</w:t>
            </w:r>
            <w:r>
              <w:rPr>
                <w:rFonts w:hint="eastAsia" w:ascii="宋体" w:hAnsi="宋体" w:eastAsia="宋体" w:cs="宋体"/>
                <w:snapToGrid w:val="0"/>
                <w:color w:val="000000"/>
                <w:spacing w:val="4"/>
                <w:kern w:val="0"/>
                <w:sz w:val="24"/>
                <w:szCs w:val="24"/>
                <w:highlight w:val="none"/>
              </w:rPr>
              <w:t>型</w:t>
            </w:r>
            <w:r>
              <w:rPr>
                <w:rFonts w:hint="eastAsia" w:ascii="宋体" w:hAnsi="宋体" w:eastAsia="宋体" w:cs="宋体"/>
                <w:snapToGrid w:val="0"/>
                <w:color w:val="000000"/>
                <w:spacing w:val="3"/>
                <w:kern w:val="0"/>
                <w:sz w:val="24"/>
                <w:szCs w:val="24"/>
                <w:highlight w:val="none"/>
              </w:rPr>
              <w:t>企业。</w:t>
            </w:r>
          </w:p>
          <w:p>
            <w:pPr>
              <w:widowControl/>
              <w:kinsoku w:val="0"/>
              <w:autoSpaceDE w:val="0"/>
              <w:autoSpaceDN w:val="0"/>
              <w:adjustRightInd w:val="0"/>
              <w:snapToGrid w:val="0"/>
              <w:spacing w:before="3" w:afterAutospacing="0" w:line="360" w:lineRule="auto"/>
              <w:ind w:left="23" w:right="13" w:firstLine="1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6"/>
                <w:kern w:val="0"/>
                <w:sz w:val="24"/>
                <w:szCs w:val="24"/>
                <w:highlight w:val="none"/>
              </w:rPr>
              <w:t>1</w:t>
            </w:r>
            <w:r>
              <w:rPr>
                <w:rFonts w:hint="eastAsia" w:ascii="宋体" w:hAnsi="宋体" w:eastAsia="宋体" w:cs="宋体"/>
                <w:snapToGrid w:val="0"/>
                <w:color w:val="000000"/>
                <w:spacing w:val="4"/>
                <w:kern w:val="0"/>
                <w:sz w:val="24"/>
                <w:szCs w:val="24"/>
                <w:highlight w:val="none"/>
              </w:rPr>
              <w:t>1、信息传输业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从业人员2000人以下或营业收入100000万元以下</w:t>
            </w:r>
            <w:r>
              <w:rPr>
                <w:rFonts w:hint="eastAsia" w:ascii="宋体" w:hAnsi="宋体" w:eastAsia="宋体" w:cs="宋体"/>
                <w:snapToGrid w:val="0"/>
                <w:color w:val="000000"/>
                <w:spacing w:val="8"/>
                <w:kern w:val="0"/>
                <w:sz w:val="24"/>
                <w:szCs w:val="24"/>
                <w:highlight w:val="none"/>
              </w:rPr>
              <w:t>的为中小微型企业。其中,从业人员100人及以上，且营业收入100</w:t>
            </w:r>
            <w:r>
              <w:rPr>
                <w:rFonts w:hint="eastAsia" w:ascii="宋体" w:hAnsi="宋体" w:eastAsia="宋体" w:cs="宋体"/>
                <w:snapToGrid w:val="0"/>
                <w:color w:val="000000"/>
                <w:spacing w:val="6"/>
                <w:kern w:val="0"/>
                <w:sz w:val="24"/>
                <w:szCs w:val="24"/>
                <w:highlight w:val="none"/>
              </w:rPr>
              <w:t>0</w:t>
            </w:r>
            <w:r>
              <w:rPr>
                <w:rFonts w:hint="eastAsia" w:ascii="宋体" w:hAnsi="宋体" w:eastAsia="宋体" w:cs="宋体"/>
                <w:snapToGrid w:val="0"/>
                <w:color w:val="000000"/>
                <w:spacing w:val="8"/>
                <w:kern w:val="0"/>
                <w:sz w:val="24"/>
                <w:szCs w:val="24"/>
                <w:highlight w:val="none"/>
              </w:rPr>
              <w:t>万元及以上的</w:t>
            </w:r>
            <w:r>
              <w:rPr>
                <w:rFonts w:hint="eastAsia" w:ascii="宋体" w:hAnsi="宋体" w:eastAsia="宋体" w:cs="宋体"/>
                <w:snapToGrid w:val="0"/>
                <w:color w:val="000000"/>
                <w:spacing w:val="7"/>
                <w:kern w:val="0"/>
                <w:sz w:val="24"/>
                <w:szCs w:val="24"/>
                <w:highlight w:val="none"/>
              </w:rPr>
              <w:t>为</w:t>
            </w:r>
            <w:r>
              <w:rPr>
                <w:rFonts w:hint="eastAsia" w:ascii="宋体" w:hAnsi="宋体" w:eastAsia="宋体" w:cs="宋体"/>
                <w:snapToGrid w:val="0"/>
                <w:color w:val="000000"/>
                <w:spacing w:val="4"/>
                <w:kern w:val="0"/>
                <w:sz w:val="24"/>
                <w:szCs w:val="24"/>
                <w:highlight w:val="none"/>
              </w:rPr>
              <w:t>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从业人员10人及以上，且营业收入100万</w:t>
            </w:r>
            <w:r>
              <w:rPr>
                <w:rFonts w:hint="eastAsia" w:ascii="宋体" w:hAnsi="宋体" w:eastAsia="宋体" w:cs="宋体"/>
                <w:snapToGrid w:val="0"/>
                <w:color w:val="000000"/>
                <w:spacing w:val="2"/>
                <w:kern w:val="0"/>
                <w:sz w:val="24"/>
                <w:szCs w:val="24"/>
                <w:highlight w:val="none"/>
              </w:rPr>
              <w:t>元及以上的为小型企业；从业人员10人</w:t>
            </w:r>
            <w:r>
              <w:rPr>
                <w:rFonts w:hint="eastAsia" w:ascii="宋体" w:hAnsi="宋体" w:eastAsia="宋体" w:cs="宋体"/>
                <w:snapToGrid w:val="0"/>
                <w:color w:val="000000"/>
                <w:spacing w:val="1"/>
                <w:kern w:val="0"/>
                <w:sz w:val="24"/>
                <w:szCs w:val="24"/>
                <w:highlight w:val="none"/>
              </w:rPr>
              <w:t>以下或营业收入100万元以下</w:t>
            </w:r>
            <w:r>
              <w:rPr>
                <w:rFonts w:hint="eastAsia" w:ascii="宋体" w:hAnsi="宋体" w:eastAsia="宋体" w:cs="宋体"/>
                <w:snapToGrid w:val="0"/>
                <w:color w:val="000000"/>
                <w:spacing w:val="7"/>
                <w:kern w:val="0"/>
                <w:sz w:val="24"/>
                <w:szCs w:val="24"/>
                <w:highlight w:val="none"/>
              </w:rPr>
              <w:t>的为微型企业</w:t>
            </w:r>
            <w:r>
              <w:rPr>
                <w:rFonts w:hint="eastAsia" w:ascii="宋体" w:hAnsi="宋体" w:eastAsia="宋体" w:cs="宋体"/>
                <w:snapToGrid w:val="0"/>
                <w:color w:val="000000"/>
                <w:spacing w:val="6"/>
                <w:kern w:val="0"/>
                <w:sz w:val="24"/>
                <w:szCs w:val="24"/>
                <w:highlight w:val="none"/>
              </w:rPr>
              <w:t>。</w:t>
            </w:r>
          </w:p>
          <w:p>
            <w:pPr>
              <w:widowControl/>
              <w:kinsoku w:val="0"/>
              <w:autoSpaceDE w:val="0"/>
              <w:autoSpaceDN w:val="0"/>
              <w:adjustRightInd w:val="0"/>
              <w:snapToGrid w:val="0"/>
              <w:spacing w:beforeAutospacing="0" w:afterAutospacing="0" w:line="360" w:lineRule="auto"/>
              <w:ind w:left="20" w:right="15" w:firstLine="18"/>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4"/>
                <w:kern w:val="0"/>
                <w:sz w:val="24"/>
                <w:szCs w:val="24"/>
                <w:highlight w:val="none"/>
              </w:rPr>
              <w:t>1</w:t>
            </w:r>
            <w:r>
              <w:rPr>
                <w:rFonts w:hint="eastAsia" w:ascii="宋体" w:hAnsi="宋体" w:eastAsia="宋体" w:cs="宋体"/>
                <w:snapToGrid w:val="0"/>
                <w:color w:val="000000"/>
                <w:spacing w:val="11"/>
                <w:kern w:val="0"/>
                <w:sz w:val="24"/>
                <w:szCs w:val="24"/>
                <w:highlight w:val="none"/>
              </w:rPr>
              <w:t>2</w:t>
            </w:r>
            <w:r>
              <w:rPr>
                <w:rFonts w:hint="eastAsia" w:ascii="宋体" w:hAnsi="宋体" w:eastAsia="宋体" w:cs="宋体"/>
                <w:snapToGrid w:val="0"/>
                <w:color w:val="000000"/>
                <w:spacing w:val="7"/>
                <w:kern w:val="0"/>
                <w:sz w:val="24"/>
                <w:szCs w:val="24"/>
                <w:highlight w:val="none"/>
              </w:rPr>
              <w:t>、软件和信息技术服务业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7"/>
                <w:kern w:val="0"/>
                <w:sz w:val="24"/>
                <w:szCs w:val="24"/>
                <w:highlight w:val="none"/>
              </w:rPr>
              <w:t>从业人员300人以下或营业收入10000</w:t>
            </w:r>
            <w:r>
              <w:rPr>
                <w:rFonts w:hint="eastAsia" w:ascii="宋体" w:hAnsi="宋体" w:eastAsia="宋体" w:cs="宋体"/>
                <w:snapToGrid w:val="0"/>
                <w:color w:val="000000"/>
                <w:spacing w:val="16"/>
                <w:kern w:val="0"/>
                <w:sz w:val="24"/>
                <w:szCs w:val="24"/>
                <w:highlight w:val="none"/>
              </w:rPr>
              <w:t>万元以</w:t>
            </w:r>
            <w:r>
              <w:rPr>
                <w:rFonts w:hint="eastAsia" w:ascii="宋体" w:hAnsi="宋体" w:eastAsia="宋体" w:cs="宋体"/>
                <w:snapToGrid w:val="0"/>
                <w:color w:val="000000"/>
                <w:spacing w:val="9"/>
                <w:kern w:val="0"/>
                <w:sz w:val="24"/>
                <w:szCs w:val="24"/>
                <w:highlight w:val="none"/>
              </w:rPr>
              <w:t>下</w:t>
            </w:r>
            <w:r>
              <w:rPr>
                <w:rFonts w:hint="eastAsia" w:ascii="宋体" w:hAnsi="宋体" w:eastAsia="宋体" w:cs="宋体"/>
                <w:snapToGrid w:val="0"/>
                <w:color w:val="000000"/>
                <w:spacing w:val="8"/>
                <w:kern w:val="0"/>
                <w:sz w:val="24"/>
                <w:szCs w:val="24"/>
                <w:highlight w:val="none"/>
              </w:rPr>
              <w:t>的为中小微型企业。其中，从业人员100人及以上，且营业</w:t>
            </w:r>
            <w:r>
              <w:rPr>
                <w:rFonts w:hint="eastAsia" w:ascii="宋体" w:hAnsi="宋体" w:eastAsia="宋体" w:cs="宋体"/>
                <w:snapToGrid w:val="0"/>
                <w:color w:val="000000"/>
                <w:spacing w:val="2"/>
                <w:kern w:val="0"/>
                <w:sz w:val="24"/>
                <w:szCs w:val="24"/>
                <w:highlight w:val="none"/>
              </w:rPr>
              <w:t>收入1000万元及以上的为中型企业；从业</w:t>
            </w:r>
            <w:r>
              <w:rPr>
                <w:rFonts w:hint="eastAsia" w:ascii="宋体" w:hAnsi="宋体" w:eastAsia="宋体" w:cs="宋体"/>
                <w:snapToGrid w:val="0"/>
                <w:color w:val="000000"/>
                <w:spacing w:val="1"/>
                <w:kern w:val="0"/>
                <w:sz w:val="24"/>
                <w:szCs w:val="24"/>
                <w:highlight w:val="none"/>
              </w:rPr>
              <w:t>人员10人及以上,且营业收</w:t>
            </w:r>
            <w:r>
              <w:rPr>
                <w:rFonts w:hint="eastAsia" w:ascii="宋体" w:hAnsi="宋体" w:eastAsia="宋体" w:cs="宋体"/>
                <w:snapToGrid w:val="0"/>
                <w:color w:val="000000"/>
                <w:spacing w:val="-2"/>
                <w:kern w:val="0"/>
                <w:sz w:val="24"/>
                <w:szCs w:val="24"/>
                <w:highlight w:val="none"/>
              </w:rPr>
              <w:t>入50万元及以上的为小型企业；从</w:t>
            </w:r>
            <w:r>
              <w:rPr>
                <w:rFonts w:hint="eastAsia" w:ascii="宋体" w:hAnsi="宋体" w:eastAsia="宋体" w:cs="宋体"/>
                <w:snapToGrid w:val="0"/>
                <w:color w:val="000000"/>
                <w:spacing w:val="-1"/>
                <w:kern w:val="0"/>
                <w:sz w:val="24"/>
                <w:szCs w:val="24"/>
                <w:highlight w:val="none"/>
              </w:rPr>
              <w:t>业人员10人以下或营业收入50万</w:t>
            </w:r>
            <w:r>
              <w:rPr>
                <w:rFonts w:hint="eastAsia" w:ascii="宋体" w:hAnsi="宋体" w:eastAsia="宋体" w:cs="宋体"/>
                <w:snapToGrid w:val="0"/>
                <w:color w:val="000000"/>
                <w:spacing w:val="9"/>
                <w:kern w:val="0"/>
                <w:sz w:val="24"/>
                <w:szCs w:val="24"/>
                <w:highlight w:val="none"/>
              </w:rPr>
              <w:t>元</w:t>
            </w:r>
            <w:r>
              <w:rPr>
                <w:rFonts w:hint="eastAsia" w:ascii="宋体" w:hAnsi="宋体" w:eastAsia="宋体" w:cs="宋体"/>
                <w:snapToGrid w:val="0"/>
                <w:color w:val="000000"/>
                <w:spacing w:val="8"/>
                <w:kern w:val="0"/>
                <w:sz w:val="24"/>
                <w:szCs w:val="24"/>
                <w:highlight w:val="none"/>
              </w:rPr>
              <w:t>以下的为微型企业。</w:t>
            </w:r>
          </w:p>
          <w:p>
            <w:pPr>
              <w:widowControl/>
              <w:kinsoku w:val="0"/>
              <w:autoSpaceDE w:val="0"/>
              <w:autoSpaceDN w:val="0"/>
              <w:adjustRightInd w:val="0"/>
              <w:snapToGrid w:val="0"/>
              <w:spacing w:beforeAutospacing="0" w:afterAutospacing="0" w:line="360" w:lineRule="auto"/>
              <w:ind w:left="21" w:right="13" w:firstLine="17"/>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
                <w:kern w:val="0"/>
                <w:sz w:val="24"/>
                <w:szCs w:val="24"/>
                <w:highlight w:val="none"/>
              </w:rPr>
              <w:t>13、房地产开发经营</w:t>
            </w:r>
            <w:r>
              <w:rPr>
                <w:rFonts w:hint="eastAsia" w:ascii="宋体" w:hAnsi="宋体" w:cs="宋体"/>
                <w:snapToGrid w:val="0"/>
                <w:color w:val="000000"/>
                <w:spacing w:val="1"/>
                <w:kern w:val="0"/>
                <w:sz w:val="24"/>
                <w:szCs w:val="24"/>
                <w:highlight w:val="none"/>
                <w:lang w:eastAsia="zh-CN"/>
              </w:rPr>
              <w:t>：</w:t>
            </w:r>
            <w:r>
              <w:rPr>
                <w:rFonts w:hint="eastAsia" w:ascii="宋体" w:hAnsi="宋体" w:eastAsia="宋体" w:cs="宋体"/>
                <w:snapToGrid w:val="0"/>
                <w:color w:val="000000"/>
                <w:spacing w:val="1"/>
                <w:kern w:val="0"/>
                <w:sz w:val="24"/>
                <w:szCs w:val="24"/>
                <w:highlight w:val="none"/>
              </w:rPr>
              <w:t>营业收入200000万元以下或资产总额10000万</w:t>
            </w:r>
            <w:r>
              <w:rPr>
                <w:rFonts w:hint="eastAsia" w:ascii="宋体" w:hAnsi="宋体" w:eastAsia="宋体" w:cs="宋体"/>
                <w:snapToGrid w:val="0"/>
                <w:color w:val="000000"/>
                <w:spacing w:val="16"/>
                <w:kern w:val="0"/>
                <w:sz w:val="24"/>
                <w:szCs w:val="24"/>
                <w:highlight w:val="none"/>
              </w:rPr>
              <w:t>元以</w:t>
            </w:r>
            <w:r>
              <w:rPr>
                <w:rFonts w:hint="eastAsia" w:ascii="宋体" w:hAnsi="宋体" w:eastAsia="宋体" w:cs="宋体"/>
                <w:snapToGrid w:val="0"/>
                <w:color w:val="000000"/>
                <w:spacing w:val="10"/>
                <w:kern w:val="0"/>
                <w:sz w:val="24"/>
                <w:szCs w:val="24"/>
                <w:highlight w:val="none"/>
              </w:rPr>
              <w:t>下</w:t>
            </w:r>
            <w:r>
              <w:rPr>
                <w:rFonts w:hint="eastAsia" w:ascii="宋体" w:hAnsi="宋体" w:eastAsia="宋体" w:cs="宋体"/>
                <w:snapToGrid w:val="0"/>
                <w:color w:val="000000"/>
                <w:spacing w:val="8"/>
                <w:kern w:val="0"/>
                <w:sz w:val="24"/>
                <w:szCs w:val="24"/>
                <w:highlight w:val="none"/>
              </w:rPr>
              <w:t>的为中小微型企业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8"/>
                <w:kern w:val="0"/>
                <w:sz w:val="24"/>
                <w:szCs w:val="24"/>
                <w:highlight w:val="none"/>
              </w:rPr>
              <w:t>其中，营业收入1000万元及以上，且资产总额500</w:t>
            </w:r>
            <w:r>
              <w:rPr>
                <w:rFonts w:hint="eastAsia" w:ascii="宋体" w:hAnsi="宋体" w:eastAsia="宋体" w:cs="宋体"/>
                <w:snapToGrid w:val="0"/>
                <w:color w:val="000000"/>
                <w:spacing w:val="5"/>
                <w:kern w:val="0"/>
                <w:sz w:val="24"/>
                <w:szCs w:val="24"/>
                <w:highlight w:val="none"/>
              </w:rPr>
              <w:t>0</w:t>
            </w:r>
            <w:r>
              <w:rPr>
                <w:rFonts w:hint="eastAsia" w:ascii="宋体" w:hAnsi="宋体" w:eastAsia="宋体" w:cs="宋体"/>
                <w:snapToGrid w:val="0"/>
                <w:color w:val="000000"/>
                <w:spacing w:val="4"/>
                <w:kern w:val="0"/>
                <w:sz w:val="24"/>
                <w:szCs w:val="24"/>
                <w:highlight w:val="none"/>
              </w:rPr>
              <w:t>万元及以上的为中型企业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营业收入100万元及以上，且资</w:t>
            </w:r>
            <w:r>
              <w:rPr>
                <w:rFonts w:hint="eastAsia" w:ascii="宋体" w:hAnsi="宋体" w:eastAsia="宋体" w:cs="宋体"/>
                <w:snapToGrid w:val="0"/>
                <w:color w:val="000000"/>
                <w:spacing w:val="2"/>
                <w:kern w:val="0"/>
                <w:sz w:val="24"/>
                <w:szCs w:val="24"/>
                <w:highlight w:val="none"/>
              </w:rPr>
              <w:t>产总额2000万元及以上的为小型企业；</w:t>
            </w:r>
            <w:r>
              <w:rPr>
                <w:rFonts w:hint="eastAsia" w:ascii="宋体" w:hAnsi="宋体" w:eastAsia="宋体" w:cs="宋体"/>
                <w:snapToGrid w:val="0"/>
                <w:color w:val="000000"/>
                <w:spacing w:val="1"/>
                <w:kern w:val="0"/>
                <w:sz w:val="24"/>
                <w:szCs w:val="24"/>
                <w:highlight w:val="none"/>
              </w:rPr>
              <w:t>营业收入100万元以下或资产</w:t>
            </w:r>
            <w:r>
              <w:rPr>
                <w:rFonts w:hint="eastAsia" w:ascii="宋体" w:hAnsi="宋体" w:eastAsia="宋体" w:cs="宋体"/>
                <w:snapToGrid w:val="0"/>
                <w:color w:val="000000"/>
                <w:spacing w:val="2"/>
                <w:kern w:val="0"/>
                <w:sz w:val="24"/>
                <w:szCs w:val="24"/>
                <w:highlight w:val="none"/>
              </w:rPr>
              <w:t>总</w:t>
            </w:r>
            <w:r>
              <w:rPr>
                <w:rFonts w:hint="eastAsia" w:ascii="宋体" w:hAnsi="宋体" w:eastAsia="宋体" w:cs="宋体"/>
                <w:snapToGrid w:val="0"/>
                <w:color w:val="000000"/>
                <w:spacing w:val="1"/>
                <w:kern w:val="0"/>
                <w:sz w:val="24"/>
                <w:szCs w:val="24"/>
                <w:highlight w:val="none"/>
              </w:rPr>
              <w:t>额2000万元以下的为微型企业。</w:t>
            </w:r>
          </w:p>
          <w:p>
            <w:pPr>
              <w:widowControl/>
              <w:kinsoku w:val="0"/>
              <w:autoSpaceDE w:val="0"/>
              <w:autoSpaceDN w:val="0"/>
              <w:adjustRightInd w:val="0"/>
              <w:snapToGrid w:val="0"/>
              <w:spacing w:beforeAutospacing="0" w:afterAutospacing="0" w:line="360" w:lineRule="auto"/>
              <w:ind w:left="21" w:right="13" w:firstLine="17"/>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1</w:t>
            </w:r>
            <w:r>
              <w:rPr>
                <w:rFonts w:hint="eastAsia" w:ascii="宋体" w:hAnsi="宋体" w:eastAsia="宋体" w:cs="宋体"/>
                <w:snapToGrid w:val="0"/>
                <w:color w:val="000000"/>
                <w:spacing w:val="1"/>
                <w:kern w:val="0"/>
                <w:sz w:val="24"/>
                <w:szCs w:val="24"/>
                <w:highlight w:val="none"/>
              </w:rPr>
              <w:t>4、物业管理</w:t>
            </w:r>
            <w:r>
              <w:rPr>
                <w:rFonts w:hint="eastAsia" w:ascii="宋体" w:hAnsi="宋体" w:cs="宋体"/>
                <w:snapToGrid w:val="0"/>
                <w:color w:val="000000"/>
                <w:spacing w:val="1"/>
                <w:kern w:val="0"/>
                <w:sz w:val="24"/>
                <w:szCs w:val="24"/>
                <w:highlight w:val="none"/>
                <w:lang w:eastAsia="zh-CN"/>
              </w:rPr>
              <w:t>：</w:t>
            </w:r>
            <w:r>
              <w:rPr>
                <w:rFonts w:hint="eastAsia" w:ascii="宋体" w:hAnsi="宋体" w:eastAsia="宋体" w:cs="宋体"/>
                <w:snapToGrid w:val="0"/>
                <w:color w:val="000000"/>
                <w:spacing w:val="1"/>
                <w:kern w:val="0"/>
                <w:sz w:val="24"/>
                <w:szCs w:val="24"/>
                <w:highlight w:val="none"/>
              </w:rPr>
              <w:t>从业人员1000人以下或营业收入5000万元以下的为中</w:t>
            </w:r>
            <w:r>
              <w:rPr>
                <w:rFonts w:hint="eastAsia" w:ascii="宋体" w:hAnsi="宋体" w:eastAsia="宋体" w:cs="宋体"/>
                <w:snapToGrid w:val="0"/>
                <w:color w:val="000000"/>
                <w:spacing w:val="8"/>
                <w:kern w:val="0"/>
                <w:sz w:val="24"/>
                <w:szCs w:val="24"/>
                <w:highlight w:val="none"/>
              </w:rPr>
              <w:t>小微型企业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7"/>
                <w:kern w:val="0"/>
                <w:sz w:val="24"/>
                <w:szCs w:val="24"/>
                <w:highlight w:val="none"/>
              </w:rPr>
              <w:t>其</w:t>
            </w:r>
            <w:r>
              <w:rPr>
                <w:rFonts w:hint="eastAsia" w:ascii="宋体" w:hAnsi="宋体" w:eastAsia="宋体" w:cs="宋体"/>
                <w:snapToGrid w:val="0"/>
                <w:color w:val="000000"/>
                <w:spacing w:val="4"/>
                <w:kern w:val="0"/>
                <w:sz w:val="24"/>
                <w:szCs w:val="24"/>
                <w:highlight w:val="none"/>
              </w:rPr>
              <w:t>中，从业人员300人及以上,且营业收入1000万元及</w:t>
            </w:r>
            <w:r>
              <w:rPr>
                <w:rFonts w:hint="eastAsia" w:ascii="宋体" w:hAnsi="宋体" w:eastAsia="宋体" w:cs="宋体"/>
                <w:snapToGrid w:val="0"/>
                <w:color w:val="000000"/>
                <w:spacing w:val="2"/>
                <w:kern w:val="0"/>
                <w:sz w:val="24"/>
                <w:szCs w:val="24"/>
                <w:highlight w:val="none"/>
              </w:rPr>
              <w:t>以上的为中型企业；从业人员100人及以</w:t>
            </w:r>
            <w:r>
              <w:rPr>
                <w:rFonts w:hint="eastAsia" w:ascii="宋体" w:hAnsi="宋体" w:eastAsia="宋体" w:cs="宋体"/>
                <w:snapToGrid w:val="0"/>
                <w:color w:val="000000"/>
                <w:spacing w:val="1"/>
                <w:kern w:val="0"/>
                <w:sz w:val="24"/>
                <w:szCs w:val="24"/>
                <w:highlight w:val="none"/>
              </w:rPr>
              <w:t>上,且营业收入500万元及以</w:t>
            </w:r>
            <w:r>
              <w:rPr>
                <w:rFonts w:hint="eastAsia" w:ascii="宋体" w:hAnsi="宋体" w:eastAsia="宋体" w:cs="宋体"/>
                <w:snapToGrid w:val="0"/>
                <w:color w:val="000000"/>
                <w:spacing w:val="5"/>
                <w:kern w:val="0"/>
                <w:sz w:val="24"/>
                <w:szCs w:val="24"/>
                <w:highlight w:val="none"/>
              </w:rPr>
              <w:t>上的为小型企业；从业人员100人以下或营业收入500万元以下</w:t>
            </w:r>
            <w:r>
              <w:rPr>
                <w:rFonts w:hint="eastAsia" w:ascii="宋体" w:hAnsi="宋体" w:eastAsia="宋体" w:cs="宋体"/>
                <w:snapToGrid w:val="0"/>
                <w:color w:val="000000"/>
                <w:spacing w:val="3"/>
                <w:kern w:val="0"/>
                <w:sz w:val="24"/>
                <w:szCs w:val="24"/>
                <w:highlight w:val="none"/>
              </w:rPr>
              <w:t>的</w:t>
            </w:r>
            <w:r>
              <w:rPr>
                <w:rFonts w:hint="eastAsia" w:ascii="宋体" w:hAnsi="宋体" w:eastAsia="宋体" w:cs="宋体"/>
                <w:snapToGrid w:val="0"/>
                <w:color w:val="000000"/>
                <w:kern w:val="0"/>
                <w:sz w:val="24"/>
                <w:szCs w:val="24"/>
                <w:highlight w:val="none"/>
              </w:rPr>
              <w:t>为</w:t>
            </w:r>
            <w:r>
              <w:rPr>
                <w:rFonts w:hint="eastAsia" w:ascii="宋体" w:hAnsi="宋体" w:eastAsia="宋体" w:cs="宋体"/>
                <w:snapToGrid w:val="0"/>
                <w:color w:val="000000"/>
                <w:spacing w:val="6"/>
                <w:kern w:val="0"/>
                <w:sz w:val="24"/>
                <w:szCs w:val="24"/>
                <w:highlight w:val="none"/>
              </w:rPr>
              <w:t>微型企业。</w:t>
            </w:r>
          </w:p>
          <w:p>
            <w:pPr>
              <w:widowControl/>
              <w:kinsoku w:val="0"/>
              <w:autoSpaceDE w:val="0"/>
              <w:autoSpaceDN w:val="0"/>
              <w:adjustRightInd w:val="0"/>
              <w:snapToGrid w:val="0"/>
              <w:spacing w:beforeAutospacing="0" w:afterAutospacing="0" w:line="360" w:lineRule="auto"/>
              <w:ind w:left="23" w:right="15" w:firstLine="1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1</w:t>
            </w:r>
            <w:r>
              <w:rPr>
                <w:rFonts w:hint="eastAsia" w:ascii="宋体" w:hAnsi="宋体" w:eastAsia="宋体" w:cs="宋体"/>
                <w:snapToGrid w:val="0"/>
                <w:color w:val="000000"/>
                <w:spacing w:val="1"/>
                <w:kern w:val="0"/>
                <w:sz w:val="24"/>
                <w:szCs w:val="24"/>
                <w:highlight w:val="none"/>
              </w:rPr>
              <w:t>5、租赁和商务服务业</w:t>
            </w:r>
            <w:r>
              <w:rPr>
                <w:rFonts w:hint="eastAsia" w:ascii="宋体" w:hAnsi="宋体" w:cs="宋体"/>
                <w:snapToGrid w:val="0"/>
                <w:color w:val="000000"/>
                <w:spacing w:val="1"/>
                <w:kern w:val="0"/>
                <w:sz w:val="24"/>
                <w:szCs w:val="24"/>
                <w:highlight w:val="none"/>
                <w:lang w:eastAsia="zh-CN"/>
              </w:rPr>
              <w:t>：</w:t>
            </w:r>
            <w:r>
              <w:rPr>
                <w:rFonts w:hint="eastAsia" w:ascii="宋体" w:hAnsi="宋体" w:eastAsia="宋体" w:cs="宋体"/>
                <w:snapToGrid w:val="0"/>
                <w:color w:val="000000"/>
                <w:spacing w:val="1"/>
                <w:kern w:val="0"/>
                <w:sz w:val="24"/>
                <w:szCs w:val="24"/>
                <w:highlight w:val="none"/>
              </w:rPr>
              <w:t>从业人员300人以下或资产总额120000万元</w:t>
            </w:r>
            <w:r>
              <w:rPr>
                <w:rFonts w:hint="eastAsia" w:ascii="宋体" w:hAnsi="宋体" w:eastAsia="宋体" w:cs="宋体"/>
                <w:snapToGrid w:val="0"/>
                <w:color w:val="000000"/>
                <w:spacing w:val="-2"/>
                <w:kern w:val="0"/>
                <w:sz w:val="24"/>
                <w:szCs w:val="24"/>
                <w:highlight w:val="none"/>
              </w:rPr>
              <w:t>以下的为中小微型企业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其中，从业人员100</w:t>
            </w:r>
            <w:r>
              <w:rPr>
                <w:rFonts w:hint="eastAsia" w:ascii="宋体" w:hAnsi="宋体" w:eastAsia="宋体" w:cs="宋体"/>
                <w:snapToGrid w:val="0"/>
                <w:color w:val="000000"/>
                <w:spacing w:val="-1"/>
                <w:kern w:val="0"/>
                <w:sz w:val="24"/>
                <w:szCs w:val="24"/>
                <w:highlight w:val="none"/>
              </w:rPr>
              <w:t>人及以上，且资产总额8000</w:t>
            </w:r>
            <w:r>
              <w:rPr>
                <w:rFonts w:hint="eastAsia" w:ascii="宋体" w:hAnsi="宋体" w:eastAsia="宋体" w:cs="宋体"/>
                <w:snapToGrid w:val="0"/>
                <w:color w:val="000000"/>
                <w:spacing w:val="2"/>
                <w:kern w:val="0"/>
                <w:sz w:val="24"/>
                <w:szCs w:val="24"/>
                <w:highlight w:val="none"/>
              </w:rPr>
              <w:t>万元及以上的为中型企业；从业人员10</w:t>
            </w:r>
            <w:r>
              <w:rPr>
                <w:rFonts w:hint="eastAsia" w:ascii="宋体" w:hAnsi="宋体" w:eastAsia="宋体" w:cs="宋体"/>
                <w:snapToGrid w:val="0"/>
                <w:color w:val="000000"/>
                <w:spacing w:val="1"/>
                <w:kern w:val="0"/>
                <w:sz w:val="24"/>
                <w:szCs w:val="24"/>
                <w:highlight w:val="none"/>
              </w:rPr>
              <w:t>人及以上，且资产总额100万</w:t>
            </w:r>
            <w:r>
              <w:rPr>
                <w:rFonts w:hint="eastAsia" w:ascii="宋体" w:hAnsi="宋体" w:eastAsia="宋体" w:cs="宋体"/>
                <w:snapToGrid w:val="0"/>
                <w:color w:val="000000"/>
                <w:spacing w:val="8"/>
                <w:kern w:val="0"/>
                <w:sz w:val="24"/>
                <w:szCs w:val="24"/>
                <w:highlight w:val="none"/>
              </w:rPr>
              <w:t>元及以上的为小型企业。</w:t>
            </w:r>
          </w:p>
          <w:p>
            <w:pPr>
              <w:widowControl/>
              <w:kinsoku w:val="0"/>
              <w:autoSpaceDE w:val="0"/>
              <w:autoSpaceDN w:val="0"/>
              <w:adjustRightInd w:val="0"/>
              <w:snapToGrid w:val="0"/>
              <w:spacing w:beforeAutospacing="0" w:line="360" w:lineRule="auto"/>
              <w:ind w:left="24" w:right="15" w:firstLine="14"/>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16、</w:t>
            </w:r>
            <w:r>
              <w:rPr>
                <w:rFonts w:hint="eastAsia" w:ascii="宋体" w:hAnsi="宋体" w:eastAsia="宋体" w:cs="宋体"/>
                <w:snapToGrid w:val="0"/>
                <w:color w:val="000000"/>
                <w:spacing w:val="7"/>
                <w:kern w:val="0"/>
                <w:sz w:val="24"/>
                <w:szCs w:val="24"/>
                <w:highlight w:val="none"/>
              </w:rPr>
              <w:t>其</w:t>
            </w:r>
            <w:r>
              <w:rPr>
                <w:rFonts w:hint="eastAsia" w:ascii="宋体" w:hAnsi="宋体" w:eastAsia="宋体" w:cs="宋体"/>
                <w:snapToGrid w:val="0"/>
                <w:color w:val="000000"/>
                <w:spacing w:val="4"/>
                <w:kern w:val="0"/>
                <w:sz w:val="24"/>
                <w:szCs w:val="24"/>
                <w:highlight w:val="none"/>
              </w:rPr>
              <w:t>他未列明行业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从业人员300人以下的为中小微型企业。其中，</w:t>
            </w:r>
            <w:r>
              <w:rPr>
                <w:rFonts w:hint="eastAsia" w:ascii="宋体" w:hAnsi="宋体" w:eastAsia="宋体" w:cs="宋体"/>
                <w:snapToGrid w:val="0"/>
                <w:color w:val="000000"/>
                <w:spacing w:val="8"/>
                <w:kern w:val="0"/>
                <w:sz w:val="24"/>
                <w:szCs w:val="24"/>
                <w:highlight w:val="none"/>
              </w:rPr>
              <w:t>从业人员1</w:t>
            </w:r>
            <w:r>
              <w:rPr>
                <w:rFonts w:hint="eastAsia" w:ascii="宋体" w:hAnsi="宋体" w:eastAsia="宋体" w:cs="宋体"/>
                <w:snapToGrid w:val="0"/>
                <w:color w:val="000000"/>
                <w:spacing w:val="6"/>
                <w:kern w:val="0"/>
                <w:sz w:val="24"/>
                <w:szCs w:val="24"/>
                <w:highlight w:val="none"/>
              </w:rPr>
              <w:t>0</w:t>
            </w:r>
            <w:r>
              <w:rPr>
                <w:rFonts w:hint="eastAsia" w:ascii="宋体" w:hAnsi="宋体" w:eastAsia="宋体" w:cs="宋体"/>
                <w:snapToGrid w:val="0"/>
                <w:color w:val="000000"/>
                <w:spacing w:val="4"/>
                <w:kern w:val="0"/>
                <w:sz w:val="24"/>
                <w:szCs w:val="24"/>
                <w:highlight w:val="none"/>
              </w:rPr>
              <w:t>0人及以上的为中型企业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从业人员10人及以上的为小型企业</w:t>
            </w:r>
            <w:r>
              <w:rPr>
                <w:rFonts w:hint="eastAsia" w:ascii="宋体" w:hAnsi="宋体" w:eastAsia="宋体" w:cs="宋体"/>
                <w:snapToGrid w:val="0"/>
                <w:color w:val="000000"/>
                <w:spacing w:val="3"/>
                <w:kern w:val="0"/>
                <w:sz w:val="24"/>
                <w:szCs w:val="24"/>
                <w:highlight w:val="none"/>
              </w:rPr>
              <w:t>；</w:t>
            </w:r>
            <w:r>
              <w:rPr>
                <w:rFonts w:hint="eastAsia" w:ascii="宋体" w:hAnsi="宋体" w:eastAsia="宋体" w:cs="宋体"/>
                <w:snapToGrid w:val="0"/>
                <w:color w:val="000000"/>
                <w:spacing w:val="2"/>
                <w:kern w:val="0"/>
                <w:sz w:val="24"/>
                <w:szCs w:val="24"/>
                <w:highlight w:val="none"/>
              </w:rPr>
              <w:t>从业人员10人以下的为微型企业。</w:t>
            </w:r>
          </w:p>
          <w:p>
            <w:p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napToGrid w:val="0"/>
                <w:color w:val="auto"/>
                <w:spacing w:val="11"/>
                <w:kern w:val="0"/>
                <w:sz w:val="24"/>
                <w:szCs w:val="24"/>
                <w:highlight w:val="none"/>
                <w:shd w:val="clear"/>
                <w14:textOutline w14:w="4358" w14:cap="sq" w14:cmpd="sng">
                  <w14:solidFill>
                    <w14:srgbClr w14:val="000000"/>
                  </w14:solidFill>
                  <w14:prstDash w14:val="solid"/>
                  <w14:bevel/>
                </w14:textOutline>
              </w:rPr>
              <w:t>本</w:t>
            </w:r>
            <w:r>
              <w:rPr>
                <w:rFonts w:hint="eastAsia" w:ascii="宋体" w:hAnsi="宋体" w:eastAsia="宋体" w:cs="宋体"/>
                <w:snapToGrid w:val="0"/>
                <w:color w:val="auto"/>
                <w:spacing w:val="10"/>
                <w:kern w:val="0"/>
                <w:sz w:val="24"/>
                <w:szCs w:val="24"/>
                <w:highlight w:val="none"/>
                <w:shd w:val="clear"/>
                <w14:textOutline w14:w="4358" w14:cap="sq" w14:cmpd="sng">
                  <w14:solidFill>
                    <w14:srgbClr w14:val="000000"/>
                  </w14:solidFill>
                  <w14:prstDash w14:val="solid"/>
                  <w14:bevel/>
                </w14:textOutline>
              </w:rPr>
              <w:t>项目属于：其他未列明行业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23</w:t>
            </w:r>
          </w:p>
        </w:tc>
        <w:tc>
          <w:tcPr>
            <w:tcW w:w="9175" w:type="dxa"/>
            <w:noWrap w:val="0"/>
            <w:vAlign w:val="center"/>
          </w:tcPr>
          <w:p>
            <w:pPr>
              <w:widowControl/>
              <w:kinsoku w:val="0"/>
              <w:autoSpaceDE w:val="0"/>
              <w:autoSpaceDN w:val="0"/>
              <w:adjustRightInd w:val="0"/>
              <w:snapToGrid w:val="0"/>
              <w:spacing w:beforeAutospacing="0" w:afterAutospacing="0" w:line="360" w:lineRule="auto"/>
              <w:ind w:left="21" w:right="15" w:firstLine="500" w:firstLineChars="200"/>
              <w:jc w:val="left"/>
              <w:textAlignment w:val="baseline"/>
              <w:rPr>
                <w:rFonts w:hint="eastAsia" w:ascii="宋体" w:hAnsi="宋体" w:eastAsia="宋体" w:cs="宋体"/>
                <w:snapToGrid w:val="0"/>
                <w:color w:val="000000"/>
                <w:spacing w:val="5"/>
                <w:kern w:val="0"/>
                <w:sz w:val="24"/>
                <w:szCs w:val="24"/>
                <w:highlight w:val="none"/>
              </w:rPr>
            </w:pPr>
            <w:r>
              <w:rPr>
                <w:rFonts w:hint="eastAsia" w:ascii="宋体" w:hAnsi="宋体" w:eastAsia="宋体" w:cs="宋体"/>
                <w:snapToGrid w:val="0"/>
                <w:color w:val="000000"/>
                <w:spacing w:val="5"/>
                <w:kern w:val="0"/>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w:t>
            </w:r>
            <w:r>
              <w:rPr>
                <w:rFonts w:hint="eastAsia" w:ascii="宋体" w:hAnsi="宋体" w:eastAsia="宋体" w:cs="宋体"/>
                <w:snapToGrid w:val="0"/>
                <w:color w:val="000000"/>
                <w:spacing w:val="5"/>
                <w:kern w:val="0"/>
                <w:sz w:val="24"/>
                <w:szCs w:val="24"/>
                <w:highlight w:val="none"/>
                <w:lang w:val="en-US" w:eastAsia="zh-CN"/>
              </w:rPr>
              <w:t>管理</w:t>
            </w:r>
            <w:r>
              <w:rPr>
                <w:rFonts w:hint="eastAsia" w:ascii="宋体" w:hAnsi="宋体" w:eastAsia="宋体" w:cs="宋体"/>
                <w:snapToGrid w:val="0"/>
                <w:color w:val="000000"/>
                <w:spacing w:val="5"/>
                <w:kern w:val="0"/>
                <w:sz w:val="24"/>
                <w:szCs w:val="24"/>
                <w:highlight w:val="none"/>
              </w:rPr>
              <w:t>办法》（财库〔20</w:t>
            </w:r>
            <w:r>
              <w:rPr>
                <w:rFonts w:hint="eastAsia" w:ascii="宋体" w:hAnsi="宋体" w:eastAsia="宋体" w:cs="宋体"/>
                <w:snapToGrid w:val="0"/>
                <w:color w:val="000000"/>
                <w:spacing w:val="5"/>
                <w:kern w:val="0"/>
                <w:sz w:val="24"/>
                <w:szCs w:val="24"/>
                <w:highlight w:val="none"/>
                <w:lang w:val="en-US" w:eastAsia="zh-CN"/>
              </w:rPr>
              <w:t>20</w:t>
            </w:r>
            <w:r>
              <w:rPr>
                <w:rFonts w:hint="eastAsia" w:ascii="宋体" w:hAnsi="宋体" w:eastAsia="宋体" w:cs="宋体"/>
                <w:snapToGrid w:val="0"/>
                <w:color w:val="000000"/>
                <w:spacing w:val="5"/>
                <w:kern w:val="0"/>
                <w:sz w:val="24"/>
                <w:szCs w:val="24"/>
                <w:highlight w:val="none"/>
              </w:rPr>
              <w:t>〕</w:t>
            </w:r>
            <w:r>
              <w:rPr>
                <w:rFonts w:hint="eastAsia" w:ascii="宋体" w:hAnsi="宋体" w:eastAsia="宋体" w:cs="宋体"/>
                <w:snapToGrid w:val="0"/>
                <w:color w:val="000000"/>
                <w:spacing w:val="5"/>
                <w:kern w:val="0"/>
                <w:sz w:val="24"/>
                <w:szCs w:val="24"/>
                <w:highlight w:val="none"/>
                <w:lang w:val="en-US" w:eastAsia="zh-CN"/>
              </w:rPr>
              <w:t>46</w:t>
            </w:r>
            <w:r>
              <w:rPr>
                <w:rFonts w:hint="eastAsia" w:ascii="宋体" w:hAnsi="宋体" w:eastAsia="宋体" w:cs="宋体"/>
                <w:snapToGrid w:val="0"/>
                <w:color w:val="000000"/>
                <w:spacing w:val="5"/>
                <w:kern w:val="0"/>
                <w:sz w:val="24"/>
                <w:szCs w:val="24"/>
                <w:highlight w:val="none"/>
              </w:rPr>
              <w:t>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eastAsia="宋体" w:cs="宋体"/>
                <w:snapToGrid w:val="0"/>
                <w:color w:val="000000"/>
                <w:spacing w:val="5"/>
                <w:kern w:val="0"/>
                <w:sz w:val="24"/>
                <w:szCs w:val="24"/>
                <w:highlight w:val="none"/>
              </w:rPr>
              <w:drawing>
                <wp:inline distT="0" distB="0" distL="114300" distR="114300">
                  <wp:extent cx="190500" cy="142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190500" cy="142875"/>
                          </a:xfrm>
                          <a:prstGeom prst="rect">
                            <a:avLst/>
                          </a:prstGeom>
                          <a:noFill/>
                          <a:ln>
                            <a:noFill/>
                          </a:ln>
                        </pic:spPr>
                      </pic:pic>
                    </a:graphicData>
                  </a:graphic>
                </wp:inline>
              </w:drawing>
            </w:r>
            <w:r>
              <w:rPr>
                <w:rFonts w:hint="eastAsia" w:ascii="宋体" w:hAnsi="宋体" w:eastAsia="宋体" w:cs="宋体"/>
                <w:snapToGrid w:val="0"/>
                <w:color w:val="000000"/>
                <w:spacing w:val="5"/>
                <w:kern w:val="0"/>
                <w:sz w:val="24"/>
                <w:szCs w:val="24"/>
                <w:highlight w:val="none"/>
              </w:rPr>
              <w:t>http://www.ccgp-shaanxi.gov.cn/zcdservice/zcd/shanxi/）在线申请，依法参加政府采购信用融资活动。</w:t>
            </w:r>
          </w:p>
          <w:p>
            <w:pPr>
              <w:widowControl/>
              <w:kinsoku w:val="0"/>
              <w:autoSpaceDE w:val="0"/>
              <w:autoSpaceDN w:val="0"/>
              <w:adjustRightInd w:val="0"/>
              <w:snapToGrid w:val="0"/>
              <w:spacing w:beforeAutospacing="0" w:afterAutospacing="0" w:line="360" w:lineRule="auto"/>
              <w:ind w:left="21" w:right="15" w:firstLine="500" w:firstLineChars="200"/>
              <w:jc w:val="left"/>
              <w:textAlignment w:val="baseline"/>
              <w:rPr>
                <w:rFonts w:hint="eastAsia"/>
                <w:highlight w:val="none"/>
              </w:rPr>
            </w:pPr>
            <w:r>
              <w:rPr>
                <w:rFonts w:hint="eastAsia" w:ascii="宋体" w:hAnsi="宋体" w:eastAsia="宋体" w:cs="宋体"/>
                <w:snapToGrid w:val="0"/>
                <w:color w:val="000000"/>
                <w:spacing w:val="5"/>
                <w:kern w:val="0"/>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p>
        </w:tc>
      </w:tr>
    </w:tbl>
    <w:p>
      <w:pPr>
        <w:spacing w:line="360" w:lineRule="auto"/>
        <w:rPr>
          <w:rFonts w:hint="eastAsia" w:ascii="宋体" w:hAnsi="宋体" w:cs="宋体"/>
          <w:sz w:val="32"/>
          <w:szCs w:val="32"/>
          <w:highlight w:val="none"/>
        </w:rPr>
      </w:pPr>
      <w:bookmarkStart w:id="18" w:name="_Toc124"/>
      <w:bookmarkStart w:id="19" w:name="_Toc3483"/>
      <w:bookmarkStart w:id="20" w:name="_Toc895"/>
      <w:bookmarkStart w:id="21" w:name="_Toc17899"/>
      <w:r>
        <w:rPr>
          <w:rFonts w:hint="eastAsia" w:ascii="宋体" w:hAnsi="宋体" w:cs="宋体"/>
          <w:sz w:val="32"/>
          <w:szCs w:val="32"/>
          <w:highlight w:val="none"/>
        </w:rPr>
        <w:br w:type="page"/>
      </w:r>
    </w:p>
    <w:p>
      <w:pPr>
        <w:pStyle w:val="5"/>
        <w:spacing w:before="0" w:after="0" w:line="360" w:lineRule="auto"/>
        <w:jc w:val="center"/>
        <w:rPr>
          <w:rFonts w:hint="eastAsia" w:ascii="宋体" w:hAnsi="宋体" w:cs="宋体"/>
          <w:b w:val="0"/>
          <w:szCs w:val="32"/>
          <w:highlight w:val="none"/>
        </w:rPr>
      </w:pPr>
      <w:bookmarkStart w:id="22" w:name="_Toc28590"/>
      <w:r>
        <w:rPr>
          <w:rFonts w:hint="eastAsia" w:ascii="宋体" w:hAnsi="宋体" w:cs="宋体"/>
          <w:sz w:val="32"/>
          <w:szCs w:val="32"/>
          <w:highlight w:val="none"/>
        </w:rPr>
        <w:t>第三部分 供应商须知</w:t>
      </w:r>
      <w:bookmarkEnd w:id="18"/>
      <w:bookmarkEnd w:id="19"/>
      <w:bookmarkEnd w:id="20"/>
      <w:bookmarkEnd w:id="21"/>
      <w:bookmarkEnd w:id="22"/>
    </w:p>
    <w:p>
      <w:pPr>
        <w:pStyle w:val="6"/>
        <w:bidi w:val="0"/>
        <w:rPr>
          <w:rFonts w:hint="eastAsia"/>
          <w:highlight w:val="none"/>
        </w:rPr>
      </w:pPr>
      <w:bookmarkStart w:id="23" w:name="_Toc28196"/>
      <w:bookmarkStart w:id="24" w:name="_Toc26101"/>
      <w:r>
        <w:rPr>
          <w:rFonts w:hint="eastAsia"/>
          <w:highlight w:val="none"/>
        </w:rPr>
        <w:t>一、总则</w:t>
      </w:r>
      <w:bookmarkEnd w:id="23"/>
      <w:bookmarkEnd w:id="24"/>
    </w:p>
    <w:p>
      <w:pPr>
        <w:pStyle w:val="8"/>
        <w:bidi w:val="0"/>
        <w:rPr>
          <w:rFonts w:hint="eastAsia"/>
          <w:highlight w:val="none"/>
        </w:rPr>
      </w:pPr>
      <w:bookmarkStart w:id="25" w:name="_Toc20228"/>
      <w:bookmarkStart w:id="26" w:name="_Toc30616"/>
      <w:r>
        <w:rPr>
          <w:rFonts w:hint="eastAsia"/>
          <w:highlight w:val="none"/>
        </w:rPr>
        <w:t>1、适用范围</w:t>
      </w:r>
      <w:bookmarkEnd w:id="25"/>
      <w:bookmarkEnd w:id="2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1.1本谈判文件仅适用于本项目的服务。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本次采购属服务类政府采购，采购人，采购代理机构、供应商、谈判小组的相关行为均受《中华人民共和国政府采购法》财政部规章及政府采购项目所在地有关法规、规章的约束，其权利受到上述法律法规的保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1.3本谈判文件解释权归采购代理机构所有。</w:t>
      </w:r>
    </w:p>
    <w:p>
      <w:pPr>
        <w:pStyle w:val="8"/>
        <w:bidi w:val="0"/>
        <w:rPr>
          <w:rFonts w:hint="eastAsia"/>
          <w:highlight w:val="none"/>
        </w:rPr>
      </w:pPr>
      <w:bookmarkStart w:id="27" w:name="_Toc27069"/>
      <w:bookmarkStart w:id="28" w:name="_Toc11053"/>
      <w:r>
        <w:rPr>
          <w:rFonts w:hint="eastAsia"/>
          <w:highlight w:val="none"/>
        </w:rPr>
        <w:t>2、定义</w:t>
      </w:r>
      <w:bookmarkEnd w:id="27"/>
      <w:bookmarkEnd w:id="2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2.1采购人：系指</w:t>
      </w:r>
      <w:r>
        <w:rPr>
          <w:rFonts w:hint="eastAsia" w:ascii="宋体" w:hAnsi="宋体" w:cs="宋体"/>
          <w:sz w:val="24"/>
          <w:szCs w:val="24"/>
          <w:highlight w:val="none"/>
          <w:lang w:eastAsia="zh-CN"/>
        </w:rPr>
        <w:t>榆林市文物考古勘探工作队</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2.2供应商：系是指响应谈判且符合谈判文件规定的资格条件和参加投标竞争的法人、其他组织或者自然人。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2.3“服务”系指谈判文件规定供应商须承担的策划、设计服务以及其他伴随义务。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2.5谈判小组：系指根据《中华人民共和国政府采购法》等法律法规规定，由采购人代表和有关专家组成以确定成交人或者推荐成交候选人的临时组织。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2.6成交人：系指通过竞争性谈判，经谈判小组评审确定的符合采购需求、质量和服务要求，并对谈判文件做出实质性响应，取得与采购人签订合同资格的</w:t>
      </w:r>
      <w:r>
        <w:rPr>
          <w:rFonts w:hint="eastAsia" w:ascii="宋体" w:hAnsi="宋体" w:cs="宋体"/>
          <w:sz w:val="24"/>
          <w:szCs w:val="24"/>
          <w:highlight w:val="none"/>
          <w:lang w:eastAsia="zh-CN"/>
        </w:rPr>
        <w:t>供应商</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2.7采购代理机构：</w:t>
      </w:r>
      <w:r>
        <w:rPr>
          <w:rFonts w:hint="eastAsia" w:ascii="宋体" w:hAnsi="宋体" w:cs="宋体"/>
          <w:sz w:val="24"/>
          <w:szCs w:val="24"/>
          <w:highlight w:val="none"/>
          <w:lang w:eastAsia="zh-CN"/>
        </w:rPr>
        <w:t>亿诚建设项目管理有限公司</w:t>
      </w:r>
      <w:r>
        <w:rPr>
          <w:rFonts w:hint="eastAsia" w:ascii="宋体" w:hAnsi="宋体" w:cs="宋体"/>
          <w:sz w:val="24"/>
          <w:szCs w:val="24"/>
          <w:highlight w:val="none"/>
        </w:rPr>
        <w:t>。</w:t>
      </w:r>
    </w:p>
    <w:p>
      <w:pPr>
        <w:pStyle w:val="8"/>
        <w:bidi w:val="0"/>
        <w:rPr>
          <w:rFonts w:hint="eastAsia"/>
          <w:highlight w:val="none"/>
        </w:rPr>
      </w:pPr>
      <w:bookmarkStart w:id="29" w:name="_Toc5443"/>
      <w:bookmarkStart w:id="30" w:name="_Toc20695"/>
      <w:r>
        <w:rPr>
          <w:rFonts w:hint="eastAsia"/>
          <w:highlight w:val="none"/>
        </w:rPr>
        <w:t>3、谈判依据及原则</w:t>
      </w:r>
      <w:bookmarkEnd w:id="29"/>
      <w:bookmarkEnd w:id="3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3.1《中华人民共和国政府采购法》；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3.2《中华人民共和国政府采购法实施条例》；</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3</w:t>
      </w:r>
      <w:r>
        <w:rPr>
          <w:rFonts w:hint="eastAsia" w:ascii="宋体" w:hAnsi="宋体" w:cs="宋体"/>
          <w:sz w:val="24"/>
          <w:szCs w:val="24"/>
          <w:highlight w:val="none"/>
        </w:rPr>
        <w:t>《中华人民共和国合同法》；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4</w:t>
      </w:r>
      <w:r>
        <w:rPr>
          <w:rFonts w:hint="eastAsia" w:ascii="宋体" w:hAnsi="宋体" w:cs="宋体"/>
          <w:sz w:val="24"/>
          <w:szCs w:val="24"/>
          <w:highlight w:val="none"/>
        </w:rPr>
        <w:t>其他有关法律、行政法规及省市规范性文件规定。</w:t>
      </w:r>
    </w:p>
    <w:p>
      <w:pPr>
        <w:pStyle w:val="8"/>
        <w:bidi w:val="0"/>
        <w:rPr>
          <w:rFonts w:hint="eastAsia"/>
          <w:highlight w:val="none"/>
          <w:lang w:eastAsia="zh-CN"/>
        </w:rPr>
      </w:pPr>
      <w:bookmarkStart w:id="31" w:name="_Toc2780"/>
      <w:bookmarkStart w:id="32" w:name="_Toc961"/>
      <w:r>
        <w:rPr>
          <w:rFonts w:hint="eastAsia"/>
          <w:highlight w:val="none"/>
        </w:rPr>
        <w:t>4、合格的</w:t>
      </w:r>
      <w:r>
        <w:rPr>
          <w:rFonts w:hint="eastAsia"/>
          <w:highlight w:val="none"/>
          <w:lang w:eastAsia="zh-CN"/>
        </w:rPr>
        <w:t>供应商</w:t>
      </w:r>
      <w:bookmarkEnd w:id="31"/>
      <w:bookmarkEnd w:id="32"/>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4.1</w:t>
      </w:r>
      <w:r>
        <w:rPr>
          <w:rFonts w:hint="eastAsia" w:ascii="宋体" w:hAnsi="宋体" w:cs="宋体"/>
          <w:sz w:val="24"/>
          <w:szCs w:val="24"/>
          <w:highlight w:val="none"/>
          <w:lang w:eastAsia="zh-CN"/>
        </w:rPr>
        <w:t>供应商</w:t>
      </w:r>
      <w:r>
        <w:rPr>
          <w:rFonts w:hint="eastAsia" w:ascii="宋体" w:hAnsi="宋体" w:cs="宋体"/>
          <w:sz w:val="24"/>
          <w:szCs w:val="24"/>
          <w:highlight w:val="none"/>
        </w:rPr>
        <w:t>应符合《中华人民共和国政府采购法》及相关条款及有关的中国法律和法规。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4.2凡符合</w:t>
      </w:r>
      <w:r>
        <w:rPr>
          <w:rFonts w:hint="eastAsia" w:ascii="宋体" w:hAnsi="宋体" w:cs="宋体"/>
          <w:sz w:val="24"/>
          <w:szCs w:val="24"/>
          <w:highlight w:val="none"/>
          <w:lang w:eastAsia="zh-CN"/>
        </w:rPr>
        <w:t>供应商</w:t>
      </w:r>
      <w:r>
        <w:rPr>
          <w:rFonts w:hint="eastAsia" w:ascii="宋体" w:hAnsi="宋体" w:cs="宋体"/>
          <w:sz w:val="24"/>
          <w:szCs w:val="24"/>
          <w:highlight w:val="none"/>
        </w:rPr>
        <w:t>资格要求且有能力提供采购工程的</w:t>
      </w:r>
      <w:r>
        <w:rPr>
          <w:rFonts w:hint="eastAsia" w:ascii="宋体" w:hAnsi="宋体" w:cs="宋体"/>
          <w:sz w:val="24"/>
          <w:szCs w:val="24"/>
          <w:highlight w:val="none"/>
          <w:lang w:eastAsia="zh-CN"/>
        </w:rPr>
        <w:t>供应商</w:t>
      </w:r>
      <w:r>
        <w:rPr>
          <w:rFonts w:hint="eastAsia" w:ascii="宋体" w:hAnsi="宋体" w:cs="宋体"/>
          <w:sz w:val="24"/>
          <w:szCs w:val="24"/>
          <w:highlight w:val="none"/>
        </w:rPr>
        <w:t>均可投标。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w:t>
      </w:r>
      <w:r>
        <w:rPr>
          <w:rFonts w:hint="eastAsia" w:ascii="宋体" w:hAnsi="宋体" w:cs="宋体"/>
          <w:sz w:val="24"/>
          <w:szCs w:val="24"/>
          <w:highlight w:val="none"/>
          <w:lang w:eastAsia="zh-CN"/>
        </w:rPr>
        <w:t>供应商</w:t>
      </w:r>
      <w:r>
        <w:rPr>
          <w:rFonts w:hint="eastAsia" w:ascii="宋体" w:hAnsi="宋体" w:cs="宋体"/>
          <w:sz w:val="24"/>
          <w:szCs w:val="24"/>
          <w:highlight w:val="none"/>
        </w:rPr>
        <w:t>必须在谈判公告载明的地点购买谈判文件并登记备案，未经购买谈判文件并登记备案的潜在</w:t>
      </w:r>
      <w:r>
        <w:rPr>
          <w:rFonts w:hint="eastAsia" w:ascii="宋体" w:hAnsi="宋体" w:cs="宋体"/>
          <w:sz w:val="24"/>
          <w:szCs w:val="24"/>
          <w:highlight w:val="none"/>
          <w:lang w:eastAsia="zh-CN"/>
        </w:rPr>
        <w:t>供应商</w:t>
      </w:r>
      <w:r>
        <w:rPr>
          <w:rFonts w:hint="eastAsia" w:ascii="宋体" w:hAnsi="宋体" w:cs="宋体"/>
          <w:sz w:val="24"/>
          <w:szCs w:val="24"/>
          <w:highlight w:val="none"/>
        </w:rPr>
        <w:t>均无资格参加本次投标。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4.4</w:t>
      </w:r>
      <w:r>
        <w:rPr>
          <w:rFonts w:hint="eastAsia" w:ascii="宋体" w:hAnsi="宋体" w:cs="宋体"/>
          <w:sz w:val="24"/>
          <w:szCs w:val="24"/>
          <w:highlight w:val="none"/>
          <w:lang w:eastAsia="zh-CN"/>
        </w:rPr>
        <w:t>供应商</w:t>
      </w:r>
      <w:r>
        <w:rPr>
          <w:rFonts w:hint="eastAsia" w:ascii="宋体" w:hAnsi="宋体" w:cs="宋体"/>
          <w:sz w:val="24"/>
          <w:szCs w:val="24"/>
          <w:highlight w:val="none"/>
        </w:rPr>
        <w:t>在过去和现在都不应直接或间接地与采购人为采购本次谈判的工程和服务进行设计，编制规范和其他文件所委托的咨询公司或其附属机构有任何关联。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4.5只有在法律上和财务上独立，合法运作，并独立于采购代理机构和采购人的供货人才能参加投标。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4.6</w:t>
      </w:r>
      <w:r>
        <w:rPr>
          <w:rFonts w:hint="eastAsia" w:ascii="宋体" w:hAnsi="宋体" w:cs="宋体"/>
          <w:sz w:val="24"/>
          <w:szCs w:val="24"/>
          <w:highlight w:val="none"/>
          <w:lang w:val="en-US" w:eastAsia="zh-CN"/>
        </w:rPr>
        <w:t>供应商单位负责人为同一人或者存在直接控股、管理关系的不同供应商，不得参加同一合同项下的本次政府采购活动；为本采购项目提供整体设计、规范编制或者项目管理、监理、检测等服务的供应商，不得再参加本采购项目的其他采购活动。</w:t>
      </w:r>
    </w:p>
    <w:p>
      <w:pPr>
        <w:pStyle w:val="8"/>
        <w:bidi w:val="0"/>
        <w:rPr>
          <w:rFonts w:hint="eastAsia"/>
          <w:highlight w:val="none"/>
        </w:rPr>
      </w:pPr>
      <w:bookmarkStart w:id="33" w:name="_Toc22271"/>
      <w:bookmarkStart w:id="34" w:name="_Toc30897"/>
      <w:r>
        <w:rPr>
          <w:rFonts w:hint="eastAsia"/>
          <w:highlight w:val="none"/>
        </w:rPr>
        <w:t>5、保密</w:t>
      </w:r>
      <w:bookmarkEnd w:id="33"/>
      <w:bookmarkEnd w:id="34"/>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参与谈判投标活动的当事人应对谈判文件和响应文件中的商业秘密、技术秘密和个人隐私等保密，违者应对由此造成的后果承担法律责任。</w:t>
      </w:r>
    </w:p>
    <w:p>
      <w:pPr>
        <w:pStyle w:val="8"/>
        <w:bidi w:val="0"/>
        <w:rPr>
          <w:rFonts w:hint="eastAsia"/>
          <w:highlight w:val="none"/>
        </w:rPr>
      </w:pPr>
      <w:bookmarkStart w:id="35" w:name="_Toc27501"/>
      <w:bookmarkStart w:id="36" w:name="_Toc17556"/>
      <w:r>
        <w:rPr>
          <w:rFonts w:hint="eastAsia"/>
          <w:highlight w:val="none"/>
        </w:rPr>
        <w:t>6、投标费用</w:t>
      </w:r>
      <w:bookmarkEnd w:id="35"/>
      <w:bookmarkEnd w:id="3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供应商应承担所有与编写和提交响应文件有关的费用，无论响应过程中的做法和结果如何，采购人和采购代理机构在任何情况下均无义务和责任承担这些费用。</w:t>
      </w:r>
    </w:p>
    <w:p>
      <w:pPr>
        <w:pStyle w:val="8"/>
        <w:bidi w:val="0"/>
        <w:rPr>
          <w:rFonts w:hint="eastAsia"/>
          <w:highlight w:val="none"/>
        </w:rPr>
      </w:pPr>
      <w:bookmarkStart w:id="37" w:name="_Toc23816"/>
      <w:bookmarkStart w:id="38" w:name="_Toc19792"/>
      <w:r>
        <w:rPr>
          <w:rFonts w:hint="eastAsia"/>
          <w:highlight w:val="none"/>
        </w:rPr>
        <w:t>7、踏勘现场</w:t>
      </w:r>
      <w:bookmarkEnd w:id="37"/>
      <w:bookmarkEnd w:id="3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7.1本项目不组织踏勘现场的，</w:t>
      </w:r>
      <w:r>
        <w:rPr>
          <w:rFonts w:hint="eastAsia" w:ascii="宋体" w:hAnsi="宋体" w:cs="宋体"/>
          <w:sz w:val="24"/>
          <w:szCs w:val="24"/>
          <w:highlight w:val="none"/>
          <w:lang w:eastAsia="zh-CN"/>
        </w:rPr>
        <w:t>供应商</w:t>
      </w:r>
      <w:r>
        <w:rPr>
          <w:rFonts w:hint="eastAsia" w:ascii="宋体" w:hAnsi="宋体" w:cs="宋体"/>
          <w:sz w:val="24"/>
          <w:szCs w:val="24"/>
          <w:highlight w:val="none"/>
        </w:rPr>
        <w:t>自行踏勘并承担踏勘现场所发生的自身费用、责任和风险。</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7.2供应商经采购人允许，可进入项目现场踏勘，但不得因此使采购人承担有关责任和蒙受损失。</w:t>
      </w:r>
    </w:p>
    <w:p>
      <w:pPr>
        <w:pStyle w:val="8"/>
        <w:numPr>
          <w:ilvl w:val="0"/>
          <w:numId w:val="2"/>
        </w:numPr>
        <w:bidi w:val="0"/>
        <w:rPr>
          <w:rFonts w:hint="eastAsia"/>
          <w:highlight w:val="none"/>
        </w:rPr>
      </w:pPr>
      <w:bookmarkStart w:id="39" w:name="_Toc27922"/>
      <w:bookmarkStart w:id="40" w:name="_Toc27336"/>
      <w:r>
        <w:rPr>
          <w:rFonts w:hint="eastAsia"/>
          <w:highlight w:val="none"/>
        </w:rPr>
        <w:t>供应商在开标现场须提供以下资质文件</w:t>
      </w:r>
      <w:bookmarkEnd w:id="39"/>
      <w:bookmarkEnd w:id="40"/>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8.1供应商须具备独立承担民事责任能力的法人或其他组织，并出具合法有效的营业执照或事业单位法人证书等国家规定的相关证明；</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8.2供应商须提供完成本项目文物考古勘探能力的证明材料；</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8.4税收缴纳证明：提供2022年9月份至今已缴纳的至少一个月的纳税证明或完税证明，依法免税的单位应提供相关证明材料（任意税种）；</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8.5社会保障资金缴纳证明：提供2022年9月份至今已缴存的至少一个月的社会保障资金缴存单据，依法不需要缴纳社会保障资金的单位应提供相关证明材料；</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8.6参加政府采购活动前3年内，在经营活动中没有重大违法记录的书面声明；</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8.7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供应商、法定代表人）；不得为中国政府采购网（www.ccgp.gov.cn）政府采购严重违法失信行为记录名单中被财政部门禁止参加政府采购活动的供应商（提供信用中国网站下载的供应商信用信息信用报告和网查截图全部加盖供应商公章）；</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8.8本项目不接受联合体投标，单位负责人为同一人或者存在直接控股、管理关系的不同供应商，不得参加同一合同项下的政府采购活动；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8.9供应商应在“信用中国（陕西榆林）”网站进行注册、登录，自主上报信用承诺书（网址：https://credit.yl.gov.cn/）。承诺事项：《榆林市政府采购工程类/货物类/服务类项目供应商信用承诺书》，需上传承诺附件；承诺有效期为一年。供应商需提供信用中国（陕西榆林）上报成功的网查截图及榆林市政府采购货物类项目供应商信用承诺书原件详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8.10投标信用承诺书代替投标保证金。需在网上提交投标信用(保证金）承诺或承诺书网上截图附在响应文件中。（截图示例及承诺书格式详见谈判文件格式）；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eastAsia="宋体" w:cs="宋体"/>
          <w:snapToGrid w:val="0"/>
          <w:color w:val="000000"/>
          <w:kern w:val="0"/>
          <w:sz w:val="24"/>
          <w:szCs w:val="24"/>
          <w:highlight w:val="no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8.11本项目不专门面向中小企业采购。</w:t>
      </w:r>
    </w:p>
    <w:p>
      <w:pPr>
        <w:spacing w:line="360" w:lineRule="auto"/>
        <w:ind w:firstLine="482" w:firstLineChars="200"/>
        <w:rPr>
          <w:rFonts w:hint="eastAsia" w:ascii="宋体" w:hAnsi="宋体" w:cs="宋体"/>
          <w:b/>
          <w:bCs/>
          <w:sz w:val="24"/>
          <w:szCs w:val="24"/>
          <w:highlight w:val="none"/>
        </w:rPr>
      </w:pPr>
      <w:r>
        <w:rPr>
          <w:rFonts w:hint="eastAsia" w:ascii="宋体" w:hAnsi="宋体" w:eastAsia="宋体" w:cs="宋体"/>
          <w:b/>
          <w:bCs/>
          <w:sz w:val="24"/>
          <w:szCs w:val="24"/>
          <w:highlight w:val="none"/>
          <w:lang w:eastAsia="zh-CN"/>
        </w:rPr>
        <w:t>谈判</w:t>
      </w:r>
      <w:r>
        <w:rPr>
          <w:rFonts w:hint="eastAsia" w:ascii="宋体" w:hAnsi="宋体" w:eastAsia="宋体" w:cs="宋体"/>
          <w:b/>
          <w:bCs/>
          <w:sz w:val="24"/>
          <w:szCs w:val="24"/>
          <w:highlight w:val="none"/>
        </w:rPr>
        <w:t>当天</w:t>
      </w:r>
      <w:r>
        <w:rPr>
          <w:rFonts w:hint="eastAsia" w:ascii="宋体" w:hAnsi="宋体" w:cs="宋体"/>
          <w:b/>
          <w:bCs/>
          <w:sz w:val="24"/>
          <w:szCs w:val="24"/>
          <w:highlight w:val="none"/>
        </w:rPr>
        <w:t>，请将上述资格证明文件的原件</w:t>
      </w:r>
      <w:r>
        <w:rPr>
          <w:rFonts w:hint="eastAsia" w:ascii="宋体" w:hAnsi="宋体" w:cs="宋体"/>
          <w:b/>
          <w:bCs/>
          <w:sz w:val="24"/>
          <w:szCs w:val="24"/>
          <w:highlight w:val="none"/>
          <w:lang w:eastAsia="zh-CN"/>
        </w:rPr>
        <w:t>（身份证除外）</w:t>
      </w:r>
      <w:r>
        <w:rPr>
          <w:rFonts w:hint="eastAsia" w:ascii="宋体" w:hAnsi="宋体" w:cs="宋体"/>
          <w:b/>
          <w:bCs/>
          <w:sz w:val="24"/>
          <w:szCs w:val="24"/>
          <w:highlight w:val="none"/>
        </w:rPr>
        <w:t>进行密封同谈判响应文件一起递交。若供应商资格审查不合格按无效投标处理。由此引起的不利后果，</w:t>
      </w:r>
      <w:r>
        <w:rPr>
          <w:rFonts w:hint="eastAsia" w:ascii="宋体" w:hAnsi="宋体" w:cs="宋体"/>
          <w:b/>
          <w:bCs/>
          <w:sz w:val="24"/>
          <w:szCs w:val="24"/>
          <w:highlight w:val="none"/>
          <w:lang w:eastAsia="zh-CN"/>
        </w:rPr>
        <w:t>供应商</w:t>
      </w:r>
      <w:r>
        <w:rPr>
          <w:rFonts w:hint="eastAsia" w:ascii="宋体" w:hAnsi="宋体" w:cs="宋体"/>
          <w:b/>
          <w:bCs/>
          <w:sz w:val="24"/>
          <w:szCs w:val="24"/>
          <w:highlight w:val="none"/>
        </w:rPr>
        <w:t>需自行承担。</w:t>
      </w:r>
    </w:p>
    <w:p>
      <w:pPr>
        <w:pStyle w:val="6"/>
        <w:bidi w:val="0"/>
        <w:rPr>
          <w:rFonts w:hint="eastAsia"/>
          <w:highlight w:val="none"/>
        </w:rPr>
      </w:pPr>
      <w:bookmarkStart w:id="41" w:name="_Toc5305"/>
      <w:bookmarkStart w:id="42" w:name="_Toc22775"/>
      <w:r>
        <w:rPr>
          <w:rFonts w:hint="eastAsia"/>
          <w:highlight w:val="none"/>
        </w:rPr>
        <w:t>二、谈判文件</w:t>
      </w:r>
      <w:bookmarkEnd w:id="41"/>
      <w:bookmarkEnd w:id="42"/>
    </w:p>
    <w:p>
      <w:pPr>
        <w:pStyle w:val="8"/>
        <w:bidi w:val="0"/>
        <w:rPr>
          <w:rFonts w:hint="eastAsia"/>
          <w:highlight w:val="none"/>
        </w:rPr>
      </w:pPr>
      <w:bookmarkStart w:id="43" w:name="_Toc233435923"/>
      <w:bookmarkStart w:id="44" w:name="_Toc17265"/>
      <w:bookmarkStart w:id="45" w:name="_Toc31520"/>
      <w:bookmarkStart w:id="46" w:name="_Toc10855"/>
      <w:r>
        <w:rPr>
          <w:rFonts w:hint="eastAsia"/>
          <w:highlight w:val="none"/>
        </w:rPr>
        <w:t>1、谈判文件的构成</w:t>
      </w:r>
      <w:bookmarkEnd w:id="43"/>
      <w:bookmarkEnd w:id="44"/>
      <w:bookmarkEnd w:id="45"/>
      <w:bookmarkEnd w:id="4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1.1谈判文件用以阐明所需提供的服务、采购、投标报价程序和合同条件。谈判文件包括：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1.1.1谈判公告</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1.1.2供应商须知前附表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1.1.3供应商须知</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1.1.4合同主要条款</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1.1.5评标方法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1.1.6采购内容及技术要求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1.1.7附件—竞争性谈判响应文件格式</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1.2供应商应认真阅读谈判文件中所有的事项、格式条款和规范要求等。供应商没有对谈判文件全面做出实质性响应是供应商的风险。谈判小组有权拒绝没有对谈判文件要求做出实质性响应的投标。</w:t>
      </w:r>
    </w:p>
    <w:p>
      <w:pPr>
        <w:pStyle w:val="8"/>
        <w:bidi w:val="0"/>
        <w:rPr>
          <w:rFonts w:hint="eastAsia"/>
          <w:highlight w:val="none"/>
        </w:rPr>
      </w:pPr>
      <w:bookmarkStart w:id="47" w:name="_Toc22259"/>
      <w:bookmarkStart w:id="48" w:name="_Toc233435924"/>
      <w:bookmarkStart w:id="49" w:name="_Toc27267"/>
      <w:bookmarkStart w:id="50" w:name="_Toc11494"/>
      <w:r>
        <w:rPr>
          <w:rFonts w:hint="eastAsia"/>
          <w:highlight w:val="none"/>
        </w:rPr>
        <w:t>2、谈判文件的澄清</w:t>
      </w:r>
      <w:bookmarkEnd w:id="47"/>
      <w:bookmarkEnd w:id="48"/>
      <w:bookmarkEnd w:id="49"/>
      <w:bookmarkEnd w:id="5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2.1任何要求对谈判文件澄清的供应商，应在购买谈判文件后在规定时间内，均应以书面形式通知采购代理机构。采购代理机构将视情况确定采用适当方式予以澄清或以书面形式予以答复，涉及变更或修正内容在政府采购发布媒体上发布更正公告，并以书面形式通知所有谈判文件收受人，且作为谈判文件的组成部分。</w:t>
      </w:r>
    </w:p>
    <w:p>
      <w:pPr>
        <w:pStyle w:val="8"/>
        <w:bidi w:val="0"/>
        <w:rPr>
          <w:rFonts w:hint="eastAsia"/>
          <w:highlight w:val="none"/>
        </w:rPr>
      </w:pPr>
      <w:bookmarkStart w:id="51" w:name="_Toc19292"/>
      <w:bookmarkStart w:id="52" w:name="_Toc233435925"/>
      <w:bookmarkStart w:id="53" w:name="_Toc31813"/>
      <w:bookmarkStart w:id="54" w:name="_Toc13233"/>
      <w:r>
        <w:rPr>
          <w:rFonts w:hint="eastAsia"/>
          <w:highlight w:val="none"/>
        </w:rPr>
        <w:t>3、谈判文件的修改</w:t>
      </w:r>
      <w:bookmarkEnd w:id="51"/>
      <w:bookmarkEnd w:id="52"/>
      <w:bookmarkEnd w:id="53"/>
      <w:bookmarkEnd w:id="54"/>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3.1在投标截止期前，无论出于何种原因，采购人可主动地或在解答供应商要求澄清的问题时对谈判文件进行修改。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3.2谈判文件的修改将以书面形式通知所有谈判文件的收受人，供应商在收到该通知后应立即以书面的形式予以确认。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澄清或修改的内容可能影响响应文件编制的，采购人或者采购代理机构应当在投标截止时间至少3个工作日前，以书面形式通知所有获取谈判文件的潜在的供应商；不足3个工作日的，采购人或者采购代理机构应当顺延提交响应文件的截止时间。</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3.4谈判文件的修改书将构成谈判文件的一部分，对采购人和供应商都具有约束力。</w:t>
      </w:r>
    </w:p>
    <w:p>
      <w:pPr>
        <w:pStyle w:val="6"/>
        <w:bidi w:val="0"/>
        <w:rPr>
          <w:rFonts w:hint="eastAsia"/>
          <w:highlight w:val="none"/>
        </w:rPr>
      </w:pPr>
      <w:bookmarkStart w:id="55" w:name="_Toc2037"/>
      <w:bookmarkStart w:id="56" w:name="_Toc30595"/>
      <w:r>
        <w:rPr>
          <w:rFonts w:hint="eastAsia"/>
          <w:highlight w:val="none"/>
        </w:rPr>
        <w:t>三、响应文件的编写</w:t>
      </w:r>
      <w:bookmarkEnd w:id="55"/>
      <w:bookmarkEnd w:id="56"/>
    </w:p>
    <w:p>
      <w:pPr>
        <w:pStyle w:val="8"/>
        <w:bidi w:val="0"/>
        <w:rPr>
          <w:rFonts w:hint="eastAsia"/>
          <w:highlight w:val="none"/>
        </w:rPr>
      </w:pPr>
      <w:bookmarkStart w:id="57" w:name="_Toc5084"/>
      <w:bookmarkStart w:id="58" w:name="_Toc1386"/>
      <w:bookmarkStart w:id="59" w:name="_Toc233435927"/>
      <w:bookmarkStart w:id="60" w:name="_Toc21594"/>
      <w:r>
        <w:rPr>
          <w:rFonts w:hint="eastAsia"/>
          <w:highlight w:val="none"/>
        </w:rPr>
        <w:t>1、响应文件编制的原则</w:t>
      </w:r>
      <w:bookmarkEnd w:id="57"/>
      <w:bookmarkEnd w:id="58"/>
      <w:bookmarkEnd w:id="59"/>
      <w:bookmarkEnd w:id="6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供应商应在认真阅读谈判文件所有内容的基础上，按照谈判文件的要求编制完整的响应文件。谈判文件中对响应文件格式有要求的，应按格式逐项填写内容，不准有空项；无相应内容可填的项应填写“无”、“没有相应指标”等明确的回答文字。响应文件中留有空项的，将被视为不完整响应的响应文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1.2供应商必须保证响应文件所提供的全部资料真实可靠，并接受对其中任何资料进一步审查的要求。</w:t>
      </w:r>
      <w:r>
        <w:rPr>
          <w:rFonts w:hint="eastAsia" w:ascii="宋体" w:hAnsi="宋体" w:cs="宋体"/>
          <w:sz w:val="24"/>
          <w:szCs w:val="24"/>
          <w:highlight w:val="none"/>
          <w:lang w:eastAsia="zh-CN"/>
        </w:rPr>
        <w:t>供应商</w:t>
      </w:r>
      <w:r>
        <w:rPr>
          <w:rFonts w:hint="eastAsia" w:ascii="宋体" w:hAnsi="宋体" w:cs="宋体"/>
          <w:sz w:val="24"/>
          <w:szCs w:val="24"/>
          <w:highlight w:val="none"/>
        </w:rPr>
        <w:t>应保证其竞争性谈判响应文件中所提供的所有有关谈判的资料、信息是真实的。因竞争性谈判响应文件中所提供的有关谈判的资料、信息不真实、或者其来源不合法而导致的所有法律责任，由</w:t>
      </w:r>
      <w:r>
        <w:rPr>
          <w:rFonts w:hint="eastAsia" w:ascii="宋体" w:hAnsi="宋体" w:cs="宋体"/>
          <w:sz w:val="24"/>
          <w:szCs w:val="24"/>
          <w:highlight w:val="none"/>
          <w:lang w:eastAsia="zh-CN"/>
        </w:rPr>
        <w:t>供应商</w:t>
      </w:r>
      <w:r>
        <w:rPr>
          <w:rFonts w:hint="eastAsia" w:ascii="宋体" w:hAnsi="宋体" w:cs="宋体"/>
          <w:sz w:val="24"/>
          <w:szCs w:val="24"/>
          <w:highlight w:val="none"/>
        </w:rPr>
        <w:t>自行承担。</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1.3响应文件须对谈判文件中的内容做出实质性和完整的响应，否则其投标将被视为无效投标。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1.4供应商须注意：为合理节约政府采购评审成本，提倡诚实信用的投标行为，特别要求供应商应本着诚信精神，在本次响应文件的偏离表和其它偏离文件中(若本次谈判文件中没有提供偏离表或其它偏离文件样本，供应商亦应当自制偏离表并装订于本次响应文件中，并应当在总目录及分目录上清楚表明所在页数)，以审慎的态度明确、清楚地披露各项偏离。若供应商对某一事项是否存在或是否属于偏离不能确定，亦必须在偏离表中清楚地表明该偏离事项，并可以注明‘不能确定’的字样。任何情况下，对于供应商没有在偏离表中明确、清楚地披露的事项，包括可能属于被供应商在偏离表中遗漏的事项，一旦在评审中被发现存在负偏离或被认定为属于负偏离，则评委会有权视该条款是否为主要技术、商务条款而决定是否对该投标予以拒绝。</w:t>
      </w:r>
    </w:p>
    <w:p>
      <w:pPr>
        <w:pStyle w:val="8"/>
        <w:bidi w:val="0"/>
        <w:rPr>
          <w:rFonts w:hint="eastAsia"/>
          <w:highlight w:val="none"/>
        </w:rPr>
      </w:pPr>
      <w:bookmarkStart w:id="61" w:name="_Toc5928"/>
      <w:bookmarkStart w:id="62" w:name="_Toc15935"/>
      <w:bookmarkStart w:id="63" w:name="_Toc14200"/>
      <w:r>
        <w:rPr>
          <w:rFonts w:hint="eastAsia"/>
          <w:highlight w:val="none"/>
        </w:rPr>
        <w:t>2、响应文件语言</w:t>
      </w:r>
      <w:bookmarkEnd w:id="61"/>
      <w:bookmarkEnd w:id="62"/>
      <w:bookmarkEnd w:id="6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2.1由供应商编写的响应文件和往来信件应以简体中文书写。</w:t>
      </w:r>
    </w:p>
    <w:p>
      <w:pPr>
        <w:pStyle w:val="8"/>
        <w:bidi w:val="0"/>
        <w:rPr>
          <w:rFonts w:hint="eastAsia"/>
          <w:highlight w:val="none"/>
        </w:rPr>
      </w:pPr>
      <w:bookmarkStart w:id="64" w:name="_Toc16947"/>
      <w:bookmarkStart w:id="65" w:name="_Toc5367"/>
      <w:bookmarkStart w:id="66" w:name="_Toc2004"/>
      <w:bookmarkStart w:id="67" w:name="_Toc233435928"/>
      <w:r>
        <w:rPr>
          <w:rFonts w:hint="eastAsia"/>
          <w:highlight w:val="none"/>
        </w:rPr>
        <w:t>3、计量单位</w:t>
      </w:r>
      <w:bookmarkEnd w:id="64"/>
      <w:bookmarkEnd w:id="65"/>
      <w:bookmarkEnd w:id="66"/>
      <w:bookmarkEnd w:id="6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3.1除在谈判文件的技术规格中另有规定外，计量单位应使用中华人民共和国法定计量单位。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3.2附有外文资料的须翻译成中文，并加盖供应商公章，如果翻译的中文资料与外文资料出现差异与矛盾时，以中文为准，其准确性由供应商负责。</w:t>
      </w:r>
    </w:p>
    <w:p>
      <w:pPr>
        <w:pStyle w:val="8"/>
        <w:bidi w:val="0"/>
        <w:rPr>
          <w:rFonts w:hint="eastAsia"/>
          <w:highlight w:val="none"/>
        </w:rPr>
      </w:pPr>
      <w:bookmarkStart w:id="68" w:name="_Toc8225"/>
      <w:bookmarkStart w:id="69" w:name="_Toc233435929"/>
      <w:bookmarkStart w:id="70" w:name="_Toc32004"/>
      <w:bookmarkStart w:id="71" w:name="_Toc11646"/>
      <w:r>
        <w:rPr>
          <w:rFonts w:hint="eastAsia"/>
          <w:highlight w:val="none"/>
        </w:rPr>
        <w:t>4、响应文件的组成</w:t>
      </w:r>
      <w:bookmarkEnd w:id="68"/>
      <w:bookmarkEnd w:id="69"/>
      <w:bookmarkEnd w:id="70"/>
      <w:bookmarkEnd w:id="7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4.1所有采购工程只允许供应商有一个投标方案，不接受任何有选择的方案和报价（包括有条件的折扣）。供应商未按要求，提供了选择方案和/或报价的，其投标将视为无效。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4.2供应商编写的响应文件应包括并不局限于下列部分：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4.2.1投标函、首轮报价一览表、服务所有表格以及所有附件内容。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4.2.2按照供应商须知要求出具的供应商资格证明文件。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4.2.3按照供应商须知要求供应商需出具的符合谈判文件规定的证明文件及其认为需加以说明的其他内容。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4.2.4谈判文件要求供应商提供的其他内容。</w:t>
      </w:r>
    </w:p>
    <w:p>
      <w:pPr>
        <w:pStyle w:val="8"/>
        <w:bidi w:val="0"/>
        <w:rPr>
          <w:rFonts w:hint="eastAsia"/>
          <w:highlight w:val="none"/>
        </w:rPr>
      </w:pPr>
      <w:bookmarkStart w:id="72" w:name="_Toc24016"/>
      <w:bookmarkStart w:id="73" w:name="_Toc23834"/>
      <w:bookmarkStart w:id="74" w:name="_Toc30681"/>
      <w:bookmarkStart w:id="75" w:name="_Toc233435930"/>
      <w:r>
        <w:rPr>
          <w:rFonts w:hint="eastAsia"/>
          <w:highlight w:val="none"/>
        </w:rPr>
        <w:t>5、响应文件格式</w:t>
      </w:r>
      <w:bookmarkEnd w:id="72"/>
      <w:bookmarkEnd w:id="73"/>
      <w:bookmarkEnd w:id="74"/>
      <w:bookmarkEnd w:id="75"/>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5.1供应商须按谈判文件中提供的响应文件格式填写相关证明资料等。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5.2响应文件的编制可在谈判文件提供的格式基础上扩展加页。需供应商自行编写的投标内容，供应商应采用简洁、清晰的文件格式。</w:t>
      </w:r>
    </w:p>
    <w:p>
      <w:pPr>
        <w:pStyle w:val="8"/>
        <w:bidi w:val="0"/>
        <w:rPr>
          <w:rFonts w:hint="eastAsia"/>
          <w:highlight w:val="none"/>
        </w:rPr>
      </w:pPr>
      <w:bookmarkStart w:id="76" w:name="_Toc233435931"/>
      <w:bookmarkStart w:id="77" w:name="_Toc110"/>
      <w:bookmarkStart w:id="78" w:name="_Toc3587"/>
      <w:bookmarkStart w:id="79" w:name="_Toc7579"/>
      <w:r>
        <w:rPr>
          <w:rFonts w:hint="eastAsia"/>
          <w:highlight w:val="none"/>
        </w:rPr>
        <w:t>6、投标</w:t>
      </w:r>
      <w:bookmarkEnd w:id="76"/>
      <w:r>
        <w:rPr>
          <w:rFonts w:hint="eastAsia"/>
          <w:highlight w:val="none"/>
        </w:rPr>
        <w:t>报价</w:t>
      </w:r>
      <w:bookmarkEnd w:id="77"/>
      <w:bookmarkEnd w:id="78"/>
      <w:bookmarkEnd w:id="79"/>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6.1供应商应按包对所列的所有内容进行响应，不得将采购内容拆开响应。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6.2包括完成该项目的服务、企业管理费、利润、规费、税金、保险费、政策性文件规定费用及合同包含的所有责任、义务和风险等各项费用。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6.3本次谈判报价有两次报价机会，最终报价不得更改。谈判报价（即首轮报价）不得有选择性报价和附有条件的报价，且第一次报价不得等于或者高于预算价，最终报价不得等于或者高于第一次报价，否则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6.4谈判时，响应文件以正本为准。响应文件中《首轮报价一览表》中“投标总报价”与《首轮报价明细表》中的“总价”不一致的，以《首轮报价一览表》为准；大写金额和小写金额不一致的，以大写金额为准；总价金额与单价汇总金额不一致的，以单价金额计算结果为准；单价金额小数点有明显错位的，应以总价为准，并修正单价；对不同文字文本响应文件的解释发生异议的，以中文文本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6.5凡本谈判文件要求（或允许）及供应商认为需要进行投标报价的各项费用项目（不论是否要求进入投标），若投标时未报或未在谈判文件中予以说明，采购人将认为这些费用供应商已记取，并包含在总报价中（项目内容、项目量调整除外）。供应商按上述要求填写“首轮报价明细表”只是为了方便采购人对响应文件进行比较，并不限制采购人以其它方式签订合同的权力。</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6.6供应商不得以低于成本的报价参加投标，当谈判小组认为供应商的报价明显低于其他通过符合性审查供应商的报价，有可能影响服务质量或者不能诚信履约的，应当要求供应商提供书面说明，并提交相关证明，不能证明其报价合理性的，可视为无效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6.7本次采购为包质量、包服务期、包售后、包验收的全过程费用。因供应商对谈判文件阅读不深、理解不透、误解、疏漏、或因市场行情了解不清造成的后果和风险均由供应商自负。</w:t>
      </w: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6.8最低报价不是中标的唯一依据；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6.9采购人只接受供应商提供的唯一响应方案，不接受备选方案。</w:t>
      </w:r>
    </w:p>
    <w:p>
      <w:pPr>
        <w:pStyle w:val="8"/>
        <w:bidi w:val="0"/>
        <w:rPr>
          <w:rFonts w:hint="eastAsia"/>
          <w:highlight w:val="none"/>
        </w:rPr>
      </w:pPr>
      <w:bookmarkStart w:id="80" w:name="_Toc6844"/>
      <w:bookmarkStart w:id="81" w:name="_Toc233435932"/>
      <w:bookmarkStart w:id="82" w:name="_Toc19448"/>
      <w:bookmarkStart w:id="83" w:name="_Toc23045"/>
      <w:r>
        <w:rPr>
          <w:rFonts w:hint="eastAsia"/>
          <w:highlight w:val="none"/>
        </w:rPr>
        <w:t>7、投标货币</w:t>
      </w:r>
      <w:bookmarkEnd w:id="80"/>
      <w:bookmarkEnd w:id="81"/>
      <w:bookmarkEnd w:id="82"/>
      <w:bookmarkEnd w:id="8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7.1采购人只接受人民币作为唯一投标报价货币。</w:t>
      </w:r>
    </w:p>
    <w:p>
      <w:pPr>
        <w:pStyle w:val="8"/>
        <w:bidi w:val="0"/>
        <w:rPr>
          <w:rFonts w:hint="eastAsia"/>
          <w:highlight w:val="none"/>
        </w:rPr>
      </w:pPr>
      <w:bookmarkStart w:id="84" w:name="_Toc1176"/>
      <w:bookmarkStart w:id="85" w:name="_Toc19357"/>
      <w:bookmarkStart w:id="86" w:name="_Toc233435933"/>
      <w:bookmarkStart w:id="87" w:name="_Toc2025"/>
      <w:r>
        <w:rPr>
          <w:rFonts w:hint="eastAsia"/>
          <w:highlight w:val="none"/>
        </w:rPr>
        <w:t>8、证明供应商资格的证明文件</w:t>
      </w:r>
      <w:bookmarkEnd w:id="84"/>
      <w:bookmarkEnd w:id="85"/>
      <w:bookmarkEnd w:id="86"/>
      <w:bookmarkEnd w:id="8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8.1供应商必须按要求提交证明文件，以证明其有资格参加投标和入选后有履行合同的能力，并作为其响应文件的一部分。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8.1.1供应商应具有履行合同所需的财务、技术和服务能力；</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8.1.2供应商应有能力履行谈判文件所规定的由供应商在服务地点的技术支持和服务；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8.1.3供应商认为能够证明供应商及其提供服务资质或服务质量的证明文件。</w:t>
      </w:r>
    </w:p>
    <w:p>
      <w:pPr>
        <w:pStyle w:val="8"/>
        <w:bidi w:val="0"/>
        <w:rPr>
          <w:rFonts w:hint="eastAsia"/>
          <w:highlight w:val="none"/>
        </w:rPr>
      </w:pPr>
      <w:bookmarkStart w:id="88" w:name="_Toc29614"/>
      <w:bookmarkStart w:id="89" w:name="_Toc233435934"/>
      <w:bookmarkStart w:id="90" w:name="_Toc2999"/>
      <w:bookmarkStart w:id="91" w:name="_Toc24986"/>
      <w:r>
        <w:rPr>
          <w:rFonts w:hint="eastAsia"/>
          <w:highlight w:val="none"/>
        </w:rPr>
        <w:t>9、证明工程的合格性和符合谈判文件规定的文件</w:t>
      </w:r>
      <w:bookmarkEnd w:id="88"/>
      <w:bookmarkEnd w:id="89"/>
      <w:bookmarkEnd w:id="90"/>
      <w:bookmarkEnd w:id="9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9.1供应商应对谈判文件中的各项条款做出清晰准确的答复。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9.2提供证明服务与谈判文件的要求相一致的文件，它可以是文字资料、图表、数据、证书、业主证明，包括：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9.2.1公司简介；</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9.2.2相关证明资料；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9.2.3主要技术指标和性能的详细说明，至少要包括对谈判文件提出的指标的响应；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9.2.4提供项目实施服务方案，说明供应商将在被授标后，合同执行计划等；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9.2.5供应商提供的服务要求在中华人民共和国境内拥有合法的知识产权，最终用户应拥有合法的使用权。</w:t>
      </w:r>
    </w:p>
    <w:p>
      <w:pPr>
        <w:pStyle w:val="8"/>
        <w:numPr>
          <w:ilvl w:val="0"/>
          <w:numId w:val="3"/>
        </w:numPr>
        <w:bidi w:val="0"/>
        <w:rPr>
          <w:rFonts w:hint="eastAsia"/>
          <w:highlight w:val="none"/>
          <w:lang w:val="en-US" w:eastAsia="zh-CN"/>
        </w:rPr>
      </w:pPr>
      <w:bookmarkStart w:id="92" w:name="_Toc23843"/>
      <w:bookmarkStart w:id="93" w:name="_Toc233435935"/>
      <w:bookmarkStart w:id="94" w:name="_Toc12021"/>
      <w:bookmarkStart w:id="95" w:name="_Toc7981"/>
      <w:r>
        <w:rPr>
          <w:rFonts w:hint="eastAsia"/>
          <w:highlight w:val="none"/>
        </w:rPr>
        <w:t>投标保证金</w:t>
      </w:r>
      <w:bookmarkEnd w:id="92"/>
      <w:bookmarkEnd w:id="93"/>
      <w:bookmarkEnd w:id="94"/>
      <w:bookmarkEnd w:id="95"/>
    </w:p>
    <w:p>
      <w:pPr>
        <w:spacing w:line="360" w:lineRule="auto"/>
        <w:ind w:firstLine="480" w:firstLineChars="200"/>
        <w:rPr>
          <w:rFonts w:hint="default" w:ascii="宋体" w:hAnsi="宋体" w:cs="宋体"/>
          <w:sz w:val="24"/>
          <w:szCs w:val="24"/>
          <w:highlight w:val="none"/>
          <w:lang w:val="en-US" w:eastAsia="zh-CN"/>
        </w:rPr>
      </w:pPr>
      <w:bookmarkStart w:id="96" w:name="_Toc18267"/>
      <w:bookmarkStart w:id="97" w:name="_Toc233435936"/>
      <w:r>
        <w:rPr>
          <w:rFonts w:hint="eastAsia" w:ascii="宋体" w:hAnsi="宋体" w:cs="宋体"/>
          <w:sz w:val="24"/>
          <w:szCs w:val="24"/>
          <w:highlight w:val="none"/>
          <w:lang w:val="en-US" w:eastAsia="zh-CN"/>
        </w:rPr>
        <w:t>供应商需按照供应商须知前附表规定的方式缴纳投标保证金。</w:t>
      </w:r>
    </w:p>
    <w:p>
      <w:pPr>
        <w:pStyle w:val="8"/>
        <w:bidi w:val="0"/>
        <w:rPr>
          <w:rFonts w:hint="eastAsia"/>
          <w:highlight w:val="none"/>
        </w:rPr>
      </w:pPr>
      <w:bookmarkStart w:id="98" w:name="_Toc27888"/>
      <w:bookmarkStart w:id="99" w:name="_Toc13118"/>
      <w:r>
        <w:rPr>
          <w:rFonts w:hint="eastAsia"/>
          <w:highlight w:val="none"/>
        </w:rPr>
        <w:t>11、投标有效期</w:t>
      </w:r>
      <w:bookmarkEnd w:id="96"/>
      <w:bookmarkEnd w:id="97"/>
      <w:bookmarkEnd w:id="98"/>
      <w:bookmarkEnd w:id="99"/>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11.1响应文件从谈判之日起，投标有效期为90天。响应文件的有效期比本须知规定的有效期短的，将被视为非响应投标，采购人有权拒绝。</w:t>
      </w:r>
    </w:p>
    <w:p>
      <w:pPr>
        <w:pStyle w:val="8"/>
        <w:bidi w:val="0"/>
        <w:rPr>
          <w:rFonts w:hint="eastAsia"/>
          <w:highlight w:val="none"/>
        </w:rPr>
      </w:pPr>
      <w:bookmarkStart w:id="100" w:name="_Toc233435937"/>
      <w:bookmarkStart w:id="101" w:name="_Toc13303"/>
      <w:bookmarkStart w:id="102" w:name="_Toc4908"/>
      <w:bookmarkStart w:id="103" w:name="_Toc31972"/>
      <w:r>
        <w:rPr>
          <w:rFonts w:hint="eastAsia"/>
          <w:highlight w:val="none"/>
        </w:rPr>
        <w:t>12、响应文件的签署及格式</w:t>
      </w:r>
      <w:bookmarkEnd w:id="100"/>
      <w:bookmarkEnd w:id="101"/>
      <w:bookmarkEnd w:id="102"/>
      <w:bookmarkEnd w:id="10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12.1响应文件的正本和副本均用A4纸打印，注明“正本”“副本”字样;统一装订、编码，在每一页的正下方清楚标明页码</w:t>
      </w:r>
      <w:r>
        <w:rPr>
          <w:rFonts w:hint="eastAsia" w:ascii="宋体" w:hAnsi="宋体" w:cs="宋体"/>
          <w:sz w:val="24"/>
          <w:szCs w:val="24"/>
          <w:highlight w:val="none"/>
          <w:lang w:eastAsia="zh-CN"/>
        </w:rPr>
        <w:t>；</w:t>
      </w:r>
      <w:r>
        <w:rPr>
          <w:rFonts w:hint="eastAsia" w:ascii="宋体" w:hAnsi="宋体" w:cs="宋体"/>
          <w:sz w:val="24"/>
          <w:szCs w:val="24"/>
          <w:highlight w:val="none"/>
        </w:rPr>
        <w:t>谈判文件要求供应商法定代表人或其授权代表签字处，均须本人用黑色中性签字笔签署（包括姓和名）并加盖单位公章，不得用签名章、签字章等代替，也不得由他人代签，否则其投标无效。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12.2“投标函”、“法定代表人授权委托书”和“政府采购诚信承诺书”、“政府采购商业贿赂承诺书”必须由法定代表人签署，否则其投标无效。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12.3除供应商对错处作必要修改外，响应文件中不许有加行、涂抹或改写。若有修改须由签署响应文件的人在旁边签字并加盖单位公章才有效。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12.4采购人不接受以电报、电话、传真、电子邮件形式的投标。</w:t>
      </w:r>
    </w:p>
    <w:p>
      <w:pPr>
        <w:pStyle w:val="6"/>
        <w:bidi w:val="0"/>
        <w:rPr>
          <w:rFonts w:hint="eastAsia"/>
          <w:highlight w:val="none"/>
        </w:rPr>
      </w:pPr>
      <w:bookmarkStart w:id="104" w:name="_Toc233435938"/>
      <w:bookmarkStart w:id="105" w:name="_Toc7879"/>
      <w:bookmarkStart w:id="106" w:name="_Toc31552"/>
      <w:bookmarkStart w:id="107" w:name="_Toc22575"/>
      <w:r>
        <w:rPr>
          <w:rFonts w:hint="eastAsia"/>
          <w:highlight w:val="none"/>
        </w:rPr>
        <w:t>四、响应文件的递交</w:t>
      </w:r>
      <w:bookmarkEnd w:id="104"/>
      <w:bookmarkEnd w:id="105"/>
      <w:bookmarkEnd w:id="106"/>
      <w:bookmarkEnd w:id="107"/>
    </w:p>
    <w:p>
      <w:pPr>
        <w:spacing w:line="360" w:lineRule="auto"/>
        <w:ind w:firstLine="480" w:firstLineChars="200"/>
        <w:rPr>
          <w:rFonts w:hint="eastAsia" w:ascii="宋体" w:hAnsi="宋体" w:cs="宋体"/>
          <w:sz w:val="24"/>
          <w:highlight w:val="none"/>
        </w:rPr>
      </w:pPr>
      <w:bookmarkStart w:id="108" w:name="_Toc233435939"/>
      <w:bookmarkStart w:id="109" w:name="_Toc19219"/>
      <w:r>
        <w:rPr>
          <w:rFonts w:hint="eastAsia" w:ascii="宋体" w:hAnsi="宋体" w:cs="宋体"/>
          <w:sz w:val="24"/>
          <w:highlight w:val="none"/>
        </w:rPr>
        <w:t>1、各供应商应将谈判响应文件的正本、所有副本、资质证明原件、首轮报价一览表、电子版U盘（word版）一份，用单独的信封分别密封，且在信封上标明“正本”、“副本”、“电子版、“首轮报价一览表”“资格证明原件”字样。</w:t>
      </w:r>
    </w:p>
    <w:p>
      <w:pPr>
        <w:spacing w:line="360" w:lineRule="auto"/>
        <w:ind w:firstLine="483"/>
        <w:rPr>
          <w:rFonts w:hint="eastAsia" w:ascii="宋体" w:hAnsi="宋体" w:cs="宋体"/>
          <w:sz w:val="24"/>
          <w:highlight w:val="none"/>
        </w:rPr>
      </w:pPr>
      <w:r>
        <w:rPr>
          <w:rFonts w:hint="eastAsia" w:ascii="宋体" w:hAnsi="宋体" w:cs="宋体"/>
          <w:sz w:val="24"/>
          <w:highlight w:val="none"/>
        </w:rPr>
        <w:t>2、谈判响应文件的密封：</w:t>
      </w:r>
      <w:r>
        <w:rPr>
          <w:rFonts w:hint="eastAsia" w:ascii="宋体" w:hAnsi="宋体" w:cs="宋体"/>
          <w:sz w:val="24"/>
          <w:szCs w:val="24"/>
          <w:highlight w:val="none"/>
        </w:rPr>
        <w:t>响应文件必须密封递交。对封装材料及样式不作特别规定，但供应商应当保证其封装的可靠性，不致因搬运、堆放等原因散开。</w:t>
      </w:r>
      <w:r>
        <w:rPr>
          <w:rFonts w:hint="eastAsia" w:ascii="宋体" w:hAnsi="宋体" w:cs="宋体"/>
          <w:sz w:val="24"/>
          <w:highlight w:val="none"/>
        </w:rPr>
        <w:t>封袋应加贴封条，用封条在投标文件袋的上方开口处密封，填写密封日期,并在封线（骑缝）处加盖单位公章、法人章并由法定代表人或委托代理人签字，封袋正面要粘贴</w:t>
      </w:r>
      <w:r>
        <w:rPr>
          <w:rFonts w:hint="eastAsia" w:ascii="宋体" w:hAnsi="宋体" w:cs="宋体"/>
          <w:sz w:val="24"/>
          <w:highlight w:val="none"/>
          <w:lang w:eastAsia="zh-CN"/>
        </w:rPr>
        <w:t>供应商</w:t>
      </w:r>
      <w:r>
        <w:rPr>
          <w:rFonts w:hint="eastAsia" w:ascii="宋体" w:hAnsi="宋体" w:cs="宋体"/>
          <w:sz w:val="24"/>
          <w:highlight w:val="none"/>
        </w:rPr>
        <w:t>全称、采购项目名称、采购项目编号、并注明“在202</w:t>
      </w:r>
      <w:r>
        <w:rPr>
          <w:rFonts w:hint="eastAsia" w:ascii="宋体" w:hAnsi="宋体" w:cs="宋体"/>
          <w:sz w:val="24"/>
          <w:highlight w:val="none"/>
          <w:lang w:val="en-US" w:eastAsia="zh-CN"/>
        </w:rPr>
        <w:t>3</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r>
        <w:rPr>
          <w:rFonts w:hint="eastAsia" w:ascii="宋体" w:hAnsi="宋体" w:cs="宋体"/>
          <w:sz w:val="24"/>
          <w:highlight w:val="none"/>
          <w:u w:val="single"/>
        </w:rPr>
        <w:t xml:space="preserve">     </w:t>
      </w:r>
      <w:r>
        <w:rPr>
          <w:rFonts w:hint="eastAsia" w:ascii="宋体" w:hAnsi="宋体" w:cs="宋体"/>
          <w:sz w:val="24"/>
          <w:highlight w:val="none"/>
        </w:rPr>
        <w:t>时前不得启封”字样。</w:t>
      </w:r>
    </w:p>
    <w:p>
      <w:pPr>
        <w:spacing w:line="360" w:lineRule="auto"/>
        <w:ind w:firstLine="480" w:firstLineChars="200"/>
        <w:rPr>
          <w:rFonts w:hint="eastAsia" w:ascii="宋体" w:hAnsi="宋体" w:cs="宋体"/>
          <w:sz w:val="24"/>
          <w:highlight w:val="none"/>
        </w:rPr>
      </w:pPr>
      <w:r>
        <w:rPr>
          <w:rFonts w:hint="eastAsia" w:ascii="宋体" w:hAnsi="宋体" w:cs="宋体"/>
          <w:sz w:val="24"/>
          <w:szCs w:val="24"/>
          <w:highlight w:val="none"/>
        </w:rPr>
        <w:t>3、如果供应商未按上述要求密封及加写标记，误投或过早启封的响应文件，出现此类情况的响应文件，采购代理机构将拒绝接收，并退回供应商。采购人或采购代理机构不予受理，其投标无效。</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采购代理机构收到谈判响应文件的时间不得迟于谈判文件规定的截止时间。谈判响应文件在递交过程中，采购代理机构只负责谈判响应文件的接收、登记和组织工作，对谈判响应文件的有效性不负任何责任。在截止期后，各供应商递交的任何谈判响应文件采购代理机构将拒绝接收。</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谈判响应文件送达后，在截止期前，经采购代理机构同意后各供应商可以修改或撤回其谈判响应文件。修改或撤回的内容应按谈判文件的规定编制、密封、标记和发送。并在谈判响应文件扉页加注“修改”或“撤回”字样。</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6、谈判截止时间后到谈判前，各供应商不得对其谈判响应文件做任何修改。</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7</w:t>
      </w:r>
      <w:r>
        <w:rPr>
          <w:rFonts w:hint="eastAsia" w:ascii="宋体" w:hAnsi="宋体" w:cs="宋体"/>
          <w:sz w:val="24"/>
          <w:highlight w:val="none"/>
        </w:rPr>
        <w:t>、谈判响应文件中的资格审查</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highlight w:val="none"/>
        </w:rPr>
        <w:t>资质审查提供的资质证明原件应单独提供，以便在谈判期间由采购人及采购代理机构进行资格审查，确认后向大会宣布资格审查结果。资质证明原件审核后退回各单位。在开标后的任何时间采购人及谈判小组都有权随时要求审查谈判响应文件提供的其他资格证明文件的原件，如果不能及时提供，按无效投标处理。</w:t>
      </w:r>
    </w:p>
    <w:bookmarkEnd w:id="108"/>
    <w:bookmarkEnd w:id="109"/>
    <w:p>
      <w:pPr>
        <w:pStyle w:val="6"/>
        <w:bidi w:val="0"/>
        <w:rPr>
          <w:rFonts w:hint="eastAsia"/>
          <w:highlight w:val="none"/>
        </w:rPr>
      </w:pPr>
      <w:bookmarkStart w:id="110" w:name="_Toc22623"/>
      <w:bookmarkStart w:id="111" w:name="_Toc233435941"/>
      <w:bookmarkStart w:id="112" w:name="_Toc31515"/>
      <w:bookmarkStart w:id="113" w:name="_Toc26552"/>
      <w:r>
        <w:rPr>
          <w:rFonts w:hint="eastAsia"/>
          <w:highlight w:val="none"/>
        </w:rPr>
        <w:t>五、</w:t>
      </w:r>
      <w:bookmarkEnd w:id="110"/>
      <w:bookmarkEnd w:id="111"/>
      <w:bookmarkEnd w:id="112"/>
      <w:r>
        <w:rPr>
          <w:rFonts w:hint="eastAsia"/>
          <w:highlight w:val="none"/>
        </w:rPr>
        <w:t>谈判、确定成交供应商</w:t>
      </w:r>
      <w:bookmarkEnd w:id="113"/>
    </w:p>
    <w:p>
      <w:pPr>
        <w:pStyle w:val="8"/>
        <w:bidi w:val="0"/>
        <w:rPr>
          <w:rFonts w:hint="eastAsia"/>
          <w:highlight w:val="none"/>
        </w:rPr>
      </w:pPr>
      <w:bookmarkStart w:id="114" w:name="_Toc21789"/>
      <w:bookmarkStart w:id="115" w:name="_Toc18240"/>
      <w:bookmarkStart w:id="116" w:name="_Toc12985"/>
      <w:bookmarkStart w:id="117" w:name="_Toc233435942"/>
      <w:r>
        <w:rPr>
          <w:rFonts w:hint="eastAsia"/>
          <w:highlight w:val="none"/>
        </w:rPr>
        <w:t>1、谈判程序</w:t>
      </w:r>
      <w:bookmarkEnd w:id="114"/>
      <w:bookmarkEnd w:id="115"/>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1.1谈判会由采购人或采购代理机构主持。</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（1）介绍采购单位参会人员及谈判截止时间前递交响应文件的供应商名称；</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（2）宣读谈判纪律、签署拒绝商业贿赂承诺书；</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（3）对供应商代表进行身份核验；</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（4）供应商代表检查所有响应文件密封情况，并签字确认；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（5）开标（不宣读报价）、资格审查；</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（6）由谈判小组进行评审，如有必要则与供应商分别进行谈判；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（7）进行最终报价；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（8）谈判结束。</w:t>
      </w:r>
    </w:p>
    <w:bookmarkEnd w:id="116"/>
    <w:bookmarkEnd w:id="117"/>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1.2采购人及采购代理机构按谈判公告中规定的时间和地点接受供应商递交的响应文件。供应商派授权代表签到，并参加谈判。供应商未参加谈判的，视同自动放弃谈判，其响应文件按无效投标处理。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1.3供应商少于三家的，采购人或者采购代理机构应退回供应商递交的响应文件，采购人和采购代理机构应依法重新组织</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，且不承担任何费用和责任。</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1.4检查响应文件密封情况，由供应商的法人或授权代表检查响应文件的密封情况并由法定代表人或其授权代表签字确认。</w:t>
      </w:r>
    </w:p>
    <w:p>
      <w:pPr>
        <w:pStyle w:val="8"/>
        <w:bidi w:val="0"/>
        <w:rPr>
          <w:rFonts w:hint="eastAsia"/>
          <w:highlight w:val="none"/>
        </w:rPr>
      </w:pPr>
      <w:bookmarkStart w:id="118" w:name="_Toc12989"/>
      <w:bookmarkStart w:id="119" w:name="_Toc30774"/>
      <w:bookmarkStart w:id="120" w:name="_Toc16772"/>
      <w:r>
        <w:rPr>
          <w:rFonts w:hint="eastAsia"/>
          <w:highlight w:val="none"/>
        </w:rPr>
        <w:t>2、</w:t>
      </w:r>
      <w:bookmarkEnd w:id="118"/>
      <w:r>
        <w:rPr>
          <w:rFonts w:hint="eastAsia"/>
          <w:highlight w:val="none"/>
        </w:rPr>
        <w:t>谈判小组</w:t>
      </w:r>
      <w:bookmarkEnd w:id="119"/>
      <w:bookmarkEnd w:id="120"/>
    </w:p>
    <w:p>
      <w:pPr>
        <w:spacing w:line="360" w:lineRule="auto"/>
        <w:ind w:firstLine="480" w:firstLineChars="200"/>
        <w:rPr>
          <w:rFonts w:hint="eastAsia" w:ascii="宋体" w:hAnsi="宋体" w:cs="宋体"/>
          <w:sz w:val="24"/>
          <w:szCs w:val="24"/>
          <w:highlight w:val="none"/>
        </w:rPr>
      </w:pPr>
      <w:bookmarkStart w:id="121" w:name="_Toc233435944"/>
      <w:r>
        <w:rPr>
          <w:rFonts w:hint="eastAsia" w:ascii="宋体" w:hAnsi="宋体" w:cs="宋体"/>
          <w:sz w:val="24"/>
          <w:szCs w:val="24"/>
          <w:highlight w:val="none"/>
        </w:rPr>
        <w:t>2.1根据本次采购项目的特点，参照《中华人民共和国政府采购法》等有关规定组建谈判小组。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2.2谈判小组成员由采购人代表和有关技术、经济等方面的专家组成，其中技术、经济专家人数不少于谈判小组总人数的2/3</w:t>
      </w:r>
      <w:r>
        <w:rPr>
          <w:rFonts w:hint="eastAsia" w:ascii="宋体" w:hAnsi="宋体" w:cs="宋体"/>
          <w:sz w:val="24"/>
          <w:szCs w:val="24"/>
          <w:highlight w:val="none"/>
          <w:lang w:eastAsia="zh-CN"/>
        </w:rPr>
        <w:t>。</w:t>
      </w:r>
      <w:r>
        <w:rPr>
          <w:rFonts w:hint="eastAsia" w:ascii="宋体" w:hAnsi="宋体" w:cs="宋体"/>
          <w:sz w:val="24"/>
          <w:szCs w:val="24"/>
          <w:highlight w:val="none"/>
        </w:rPr>
        <w:t>本项目谈判小组专家的产生方式符合国家和地方有关评审专家产生方式的规定。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2.3谈判小组成员对各供应商响应文件进行审查、质疑、评估和比较，并推荐出成交候选</w:t>
      </w:r>
      <w:r>
        <w:rPr>
          <w:rFonts w:hint="eastAsia" w:ascii="宋体" w:hAnsi="宋体" w:cs="宋体"/>
          <w:sz w:val="24"/>
          <w:szCs w:val="24"/>
          <w:highlight w:val="none"/>
          <w:lang w:eastAsia="zh-CN"/>
        </w:rPr>
        <w:t>供应商</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2.4谈判小组负责具体评标事务，并独立履行下列职责：</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2.4.1审查、评价响应文件是否符合谈判文件的商务、技术等实质性要求；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2.4.2要求供应商对响应文件有关事项作出澄清或者说明；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2.4.3对响应文件进行比较和评价；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2.4.4确定成交候选人名单，以及根据采购人委托直接确定成交人；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2.4.5向采购人、采购代理机构或者有关部门报告评标中发现的违法行为。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2.5谈判小组及其成员不得有下列行为：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2.5.1确定参与评标至评标结束前私自接触供应商；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2.5.2接受供应商提出的与响应文件不一致的澄清或者说明；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2.5.3违反评标纪律发表倾向性意见或者征询采购人的倾向性意见；</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2.5.4对需要专业判断的主观评审因素协商评分；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2.5.5在评标过程中擅离职守，影响评标程序正常进行的；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2.5.6记录、复制或者带走任何评标资料；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2.5.7其他不遵守评标纪律的行为。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2.6谈判小组成员有前五项行为之一的，其评审意见无效，并不得获取评审劳务报酬和报销异地评审差旅费。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2.7义务及监管制度：</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2.7.1谈判小组在评审期间应当严格遵守评审工作纪律，主动出具身份证明，将手机等通讯工具或者相关电子设备交由采购人或者采购代理机构统一保管，不得记录，复制或者带走任何评审资料；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2.7.2谈判小组应当按照客观、公正、审慎的原则，根据谈判文件规定的评审程序、评审方法和评审标准进行独立评审；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2.7.3及时向财政部门报告评审过程中发现的采购人、采购代理机构向评审专家做倾向性、误导性的解释或者说明，以及供应商行贿、提供虚假材料或者串通等违法行为；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2.7.4维护国家利益、社会公共利益和当事人的合法权益；</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2.7.5参加由财政部门组织的专题学习、培训；</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2.7.6法律、法规规定的其他义务；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2.7.7谈判小组遵从《陕西省政府采购评审专家管理实施办法》的各项监督管理制度。</w:t>
      </w:r>
    </w:p>
    <w:p>
      <w:pPr>
        <w:pStyle w:val="8"/>
        <w:bidi w:val="0"/>
        <w:rPr>
          <w:rFonts w:hint="eastAsia"/>
          <w:highlight w:val="none"/>
        </w:rPr>
      </w:pPr>
      <w:bookmarkStart w:id="122" w:name="_Toc26029"/>
      <w:bookmarkStart w:id="123" w:name="_Toc511"/>
      <w:r>
        <w:rPr>
          <w:rFonts w:hint="eastAsia"/>
          <w:highlight w:val="none"/>
        </w:rPr>
        <w:t>3、评审程序</w:t>
      </w:r>
      <w:bookmarkEnd w:id="122"/>
      <w:bookmarkEnd w:id="12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（1）宣布评审纪律以及回避提示；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（2）推荐谈判小组组长；</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（3）响应文件的初审；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（5）谈判；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（7）响应文件澄清；</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（8）响应文件的评估和比较</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（9）确定成交供应商；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（10）编写评审报告。</w:t>
      </w:r>
    </w:p>
    <w:p>
      <w:pPr>
        <w:pStyle w:val="8"/>
        <w:bidi w:val="0"/>
        <w:rPr>
          <w:rFonts w:hint="eastAsia"/>
          <w:highlight w:val="none"/>
        </w:rPr>
      </w:pPr>
      <w:bookmarkStart w:id="124" w:name="_Toc26247"/>
      <w:bookmarkStart w:id="125" w:name="_Toc11409"/>
      <w:bookmarkStart w:id="126" w:name="_Toc18506"/>
      <w:r>
        <w:rPr>
          <w:rFonts w:hint="eastAsia"/>
          <w:highlight w:val="none"/>
        </w:rPr>
        <w:t>4、响应文件的初审</w:t>
      </w:r>
      <w:bookmarkEnd w:id="121"/>
      <w:bookmarkEnd w:id="124"/>
      <w:bookmarkEnd w:id="125"/>
      <w:bookmarkEnd w:id="126"/>
    </w:p>
    <w:p>
      <w:pPr>
        <w:widowControl/>
        <w:kinsoku w:val="0"/>
        <w:autoSpaceDE w:val="0"/>
        <w:autoSpaceDN w:val="0"/>
        <w:adjustRightInd w:val="0"/>
        <w:snapToGrid w:val="0"/>
        <w:spacing w:before="185" w:line="374" w:lineRule="auto"/>
        <w:ind w:left="24" w:right="80" w:firstLine="483"/>
        <w:jc w:val="left"/>
        <w:textAlignment w:val="baseline"/>
        <w:rPr>
          <w:rFonts w:hint="eastAsia" w:ascii="宋体" w:hAnsi="宋体" w:cs="宋体"/>
          <w:sz w:val="24"/>
          <w:szCs w:val="24"/>
          <w:highlight w:val="none"/>
        </w:rPr>
      </w:pPr>
      <w:r>
        <w:rPr>
          <w:rFonts w:hint="eastAsia" w:ascii="宋体" w:hAnsi="宋体" w:cs="宋体"/>
          <w:sz w:val="24"/>
          <w:szCs w:val="24"/>
          <w:highlight w:val="none"/>
        </w:rPr>
        <w:t>4.1响应文件的资格性</w:t>
      </w:r>
      <w:r>
        <w:rPr>
          <w:rFonts w:hint="eastAsia" w:ascii="宋体" w:hAnsi="宋体" w:cs="宋体"/>
          <w:sz w:val="24"/>
          <w:szCs w:val="24"/>
          <w:highlight w:val="none"/>
          <w:lang w:val="en-US" w:eastAsia="zh-CN"/>
        </w:rPr>
        <w:t>审查</w:t>
      </w:r>
      <w:r>
        <w:rPr>
          <w:rFonts w:hint="eastAsia" w:ascii="宋体" w:hAnsi="宋体" w:cs="宋体"/>
          <w:sz w:val="24"/>
          <w:szCs w:val="24"/>
          <w:highlight w:val="none"/>
        </w:rPr>
        <w:t>：采购人</w:t>
      </w:r>
      <w:r>
        <w:rPr>
          <w:rFonts w:hint="eastAsia" w:ascii="宋体" w:hAnsi="宋体" w:cs="宋体"/>
          <w:sz w:val="24"/>
          <w:szCs w:val="24"/>
          <w:highlight w:val="none"/>
          <w:lang w:val="en-US" w:eastAsia="zh-CN"/>
        </w:rPr>
        <w:t>或</w:t>
      </w:r>
      <w:r>
        <w:rPr>
          <w:rFonts w:hint="eastAsia" w:ascii="宋体" w:hAnsi="宋体" w:cs="宋体"/>
          <w:sz w:val="24"/>
          <w:szCs w:val="24"/>
          <w:highlight w:val="none"/>
        </w:rPr>
        <w:t>采购代理机构对</w:t>
      </w:r>
      <w:r>
        <w:rPr>
          <w:rFonts w:hint="eastAsia" w:ascii="宋体" w:hAnsi="宋体" w:cs="宋体"/>
          <w:sz w:val="24"/>
          <w:szCs w:val="24"/>
          <w:highlight w:val="none"/>
          <w:lang w:eastAsia="zh-CN"/>
        </w:rPr>
        <w:t>供应商</w:t>
      </w:r>
      <w:r>
        <w:rPr>
          <w:rFonts w:hint="eastAsia" w:ascii="宋体" w:hAnsi="宋体" w:cs="宋体"/>
          <w:sz w:val="24"/>
          <w:szCs w:val="24"/>
          <w:highlight w:val="none"/>
        </w:rPr>
        <w:t>必备资质证明文件进行审查，签字确认检查结果。</w:t>
      </w:r>
      <w:r>
        <w:rPr>
          <w:rFonts w:ascii="宋体" w:hAnsi="宋体" w:eastAsia="宋体" w:cs="宋体"/>
          <w:snapToGrid w:val="0"/>
          <w:color w:val="000000"/>
          <w:spacing w:val="7"/>
          <w:kern w:val="0"/>
          <w:sz w:val="24"/>
          <w:szCs w:val="24"/>
          <w:highlight w:val="none"/>
        </w:rPr>
        <w:t>不符合招标文件要求的资格审查按无效</w:t>
      </w:r>
      <w:r>
        <w:rPr>
          <w:rFonts w:ascii="宋体" w:hAnsi="宋体" w:eastAsia="宋体" w:cs="宋体"/>
          <w:snapToGrid w:val="0"/>
          <w:color w:val="000000"/>
          <w:spacing w:val="5"/>
          <w:kern w:val="0"/>
          <w:sz w:val="24"/>
          <w:szCs w:val="24"/>
          <w:highlight w:val="none"/>
        </w:rPr>
        <w:t>文</w:t>
      </w:r>
      <w:r>
        <w:rPr>
          <w:rFonts w:ascii="宋体" w:hAnsi="宋体" w:eastAsia="宋体" w:cs="宋体"/>
          <w:snapToGrid w:val="0"/>
          <w:color w:val="000000"/>
          <w:spacing w:val="16"/>
          <w:kern w:val="0"/>
          <w:sz w:val="24"/>
          <w:szCs w:val="24"/>
          <w:highlight w:val="none"/>
        </w:rPr>
        <w:t>件</w:t>
      </w:r>
      <w:r>
        <w:rPr>
          <w:rFonts w:ascii="宋体" w:hAnsi="宋体" w:eastAsia="宋体" w:cs="宋体"/>
          <w:snapToGrid w:val="0"/>
          <w:color w:val="000000"/>
          <w:spacing w:val="11"/>
          <w:kern w:val="0"/>
          <w:sz w:val="24"/>
          <w:szCs w:val="24"/>
          <w:highlight w:val="none"/>
        </w:rPr>
        <w:t>处</w:t>
      </w:r>
      <w:r>
        <w:rPr>
          <w:rFonts w:ascii="宋体" w:hAnsi="宋体" w:eastAsia="宋体" w:cs="宋体"/>
          <w:snapToGrid w:val="0"/>
          <w:color w:val="000000"/>
          <w:spacing w:val="8"/>
          <w:kern w:val="0"/>
          <w:sz w:val="24"/>
          <w:szCs w:val="24"/>
          <w:highlight w:val="none"/>
        </w:rPr>
        <w:t>理，不得进入后续评审工作。</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4.2响应文件符合性审查：谈判小组依据谈判文件的规定，从响应文件的有效性、完整性和对谈判文件的响应程度进行审查，以确定是否对谈判文件的实质性内容响应。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4.3出现下列情况者（但不限于），</w:t>
      </w:r>
      <w:r>
        <w:rPr>
          <w:rFonts w:hint="eastAsia" w:ascii="宋体" w:hAnsi="宋体" w:cs="宋体"/>
          <w:b/>
          <w:bCs/>
          <w:sz w:val="24"/>
          <w:szCs w:val="24"/>
          <w:highlight w:val="none"/>
        </w:rPr>
        <w:t>按无效投标处理</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4.3.1供应商没有经过正常渠道购买谈判文件或供应商的名称与登记领取谈判文件的单位名称不符；</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4.3.2响应文件没有法定代表人授权书（法人直接投标除外）或授权书的合法性或有效性不符合谈判文件规定；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4.3.3</w:t>
      </w:r>
      <w:r>
        <w:rPr>
          <w:rFonts w:hint="eastAsia" w:ascii="宋体" w:hAnsi="宋体" w:cs="宋体"/>
          <w:sz w:val="24"/>
          <w:szCs w:val="24"/>
          <w:highlight w:val="none"/>
          <w:lang w:val="en-US" w:eastAsia="zh-CN"/>
        </w:rPr>
        <w:t>供应商不具备谈判文件中规定的资格要求或符合性不符合要求的</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4.3.4供应商未按谈判文件要求提供投标保证金的；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4.3.5响应文件的格式不符合谈判文件要求的或者关键内容字迹模糊、无法辨认的；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4.3.6超出采购预算，采购人无法支付的；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4.3.7响应文件未按谈判文件规定有效签字和盖章的；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4.3.8投标有效期不足的；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4.3.9投标内容出现漏项或数量与要求不符，出现重大负偏差；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4.3.10投标内容的技术指标达不到谈判文件要求，降低了产品档次或影响产品性能、功能；</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4.3.11投标报价与市场价偏离较大，形成不正当竞争；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w:t>
      </w:r>
      <w:r>
        <w:rPr>
          <w:rFonts w:hint="eastAsia" w:ascii="宋体" w:hAnsi="宋体" w:cs="宋体"/>
          <w:sz w:val="24"/>
          <w:szCs w:val="24"/>
          <w:highlight w:val="none"/>
          <w:lang w:val="en-US" w:eastAsia="zh-CN"/>
        </w:rPr>
        <w:t>2</w:t>
      </w:r>
      <w:r>
        <w:rPr>
          <w:rFonts w:hint="eastAsia" w:ascii="宋体" w:hAnsi="宋体" w:cs="宋体"/>
          <w:sz w:val="24"/>
          <w:szCs w:val="24"/>
          <w:highlight w:val="none"/>
        </w:rPr>
        <w:t>提供虚假证明，开具虚假资质，出现虚假应答，或者以其他方式弄虚作假，除按无效标处理外，还进行相应的处罚；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4.3.13</w:t>
      </w:r>
      <w:r>
        <w:rPr>
          <w:rFonts w:hint="eastAsia" w:ascii="宋体" w:hAnsi="宋体" w:cs="宋体"/>
          <w:sz w:val="24"/>
          <w:szCs w:val="24"/>
          <w:highlight w:val="none"/>
        </w:rPr>
        <w:t>供应商针对同一项目递交两份或多份内容不同的</w:t>
      </w:r>
      <w:r>
        <w:rPr>
          <w:rFonts w:hint="eastAsia" w:ascii="宋体" w:hAnsi="宋体" w:cs="宋体"/>
          <w:sz w:val="24"/>
          <w:szCs w:val="24"/>
          <w:highlight w:val="none"/>
          <w:lang w:eastAsia="zh-CN"/>
        </w:rPr>
        <w:t>响应</w:t>
      </w:r>
      <w:r>
        <w:rPr>
          <w:rFonts w:hint="eastAsia" w:ascii="宋体" w:hAnsi="宋体" w:cs="宋体"/>
          <w:sz w:val="24"/>
          <w:szCs w:val="24"/>
          <w:highlight w:val="none"/>
        </w:rPr>
        <w:t>文件，未书面声明哪一份是有效的或出现选择性报价的；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4.3.14</w:t>
      </w:r>
      <w:r>
        <w:rPr>
          <w:rFonts w:hint="eastAsia" w:ascii="宋体" w:hAnsi="宋体" w:cs="宋体"/>
          <w:sz w:val="24"/>
          <w:szCs w:val="24"/>
          <w:highlight w:val="none"/>
        </w:rPr>
        <w:t>供应商有围标、串标现象（不同</w:t>
      </w:r>
      <w:r>
        <w:rPr>
          <w:rFonts w:hint="eastAsia" w:ascii="宋体" w:hAnsi="宋体" w:cs="宋体"/>
          <w:sz w:val="24"/>
          <w:szCs w:val="24"/>
          <w:highlight w:val="none"/>
          <w:lang w:eastAsia="zh-CN"/>
        </w:rPr>
        <w:t>供应商</w:t>
      </w:r>
      <w:r>
        <w:rPr>
          <w:rFonts w:hint="eastAsia" w:ascii="宋体" w:hAnsi="宋体" w:cs="宋体"/>
          <w:sz w:val="24"/>
          <w:szCs w:val="24"/>
          <w:highlight w:val="none"/>
        </w:rPr>
        <w:t>的投标文件错漏之处一致的、不同供应商的投标报价或者报价组成异常一致的或者成规律性变化的），经查证属实的。</w:t>
      </w:r>
    </w:p>
    <w:p>
      <w:pPr>
        <w:pStyle w:val="8"/>
        <w:bidi w:val="0"/>
        <w:rPr>
          <w:rFonts w:hint="eastAsia"/>
          <w:highlight w:val="none"/>
        </w:rPr>
      </w:pPr>
      <w:bookmarkStart w:id="127" w:name="_Toc26986"/>
      <w:bookmarkStart w:id="128" w:name="_Toc12679"/>
      <w:r>
        <w:rPr>
          <w:rFonts w:hint="eastAsia"/>
          <w:highlight w:val="none"/>
        </w:rPr>
        <w:t>5、谈判</w:t>
      </w:r>
      <w:bookmarkEnd w:id="127"/>
      <w:bookmarkEnd w:id="12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5.1谈判小组所有成员应当集中与单一供应商分别进行谈判，并给予所有参加谈判的供应商平等的谈判机会。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5.2在谈判过程中谈判的任何一方不得向他人透露与谈判有关的技术资料、价格或其他信息。</w:t>
      </w:r>
    </w:p>
    <w:p>
      <w:pPr>
        <w:pStyle w:val="8"/>
        <w:bidi w:val="0"/>
        <w:rPr>
          <w:rFonts w:hint="eastAsia"/>
          <w:highlight w:val="none"/>
        </w:rPr>
      </w:pPr>
      <w:bookmarkStart w:id="129" w:name="_Toc10267"/>
      <w:bookmarkStart w:id="130" w:name="_Toc26693"/>
      <w:bookmarkStart w:id="131" w:name="_Toc16211"/>
      <w:r>
        <w:rPr>
          <w:rFonts w:hint="eastAsia"/>
          <w:highlight w:val="none"/>
        </w:rPr>
        <w:t>6、响应文件的澄清</w:t>
      </w:r>
      <w:bookmarkEnd w:id="129"/>
      <w:bookmarkEnd w:id="130"/>
      <w:bookmarkEnd w:id="13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6.1对于响应文件中含义不明确、同类问题表述不一致或者有明显文字和计算错误的内容，谈判小组应当以书面形式要求供应商作出必要的澄清、说明或者补正。</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6.1.1供应商的澄清、说明或者补正应当以书面形式，并加盖公章，或者由法定代表人或其授权的代表签字。供应商的澄清、说明或者补正不得超出响应文件的范围或者改变响应文件的实质性内容。</w:t>
      </w:r>
    </w:p>
    <w:p>
      <w:pPr>
        <w:spacing w:line="360" w:lineRule="auto"/>
        <w:ind w:firstLine="480" w:firstLineChars="200"/>
        <w:rPr>
          <w:rFonts w:hint="eastAsia" w:ascii="宋体" w:hAnsi="宋体" w:cs="宋体"/>
          <w:sz w:val="24"/>
          <w:szCs w:val="24"/>
          <w:highlight w:val="none"/>
        </w:rPr>
      </w:pPr>
      <w:bookmarkStart w:id="132" w:name="_Toc16924"/>
      <w:bookmarkStart w:id="133" w:name="_Toc233435945"/>
      <w:r>
        <w:rPr>
          <w:rFonts w:hint="eastAsia" w:ascii="宋体" w:hAnsi="宋体" w:cs="宋体"/>
          <w:sz w:val="24"/>
          <w:szCs w:val="24"/>
          <w:highlight w:val="none"/>
        </w:rPr>
        <w:t>6.2响应文件的评估和比较</w:t>
      </w:r>
      <w:bookmarkEnd w:id="132"/>
      <w:bookmarkEnd w:id="13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谈判小组将对初审合格有效的响应文件进行评估和比较。</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谈判小组在评标过程中，发现响应文件出现下列情况之一者，按以下原则修正：</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6.2.1首轮报价一览表(报价表)内容与响应文件中相应内容不一致的，以首轮报价一览表(报价表)为准；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6.2.2大写金额和小写金额不一致的，以大写金额为准；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6.2.3单价金额小数点或者百分比有明显错位的，以首轮报价一览表的总价为准，并修改单价；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6.2.4总价金额与按单价汇总金额不一致的，以单价金额计算结果为准；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6.2.5如果用文字表示的数值与用数字表示的数值不一致，以文字表示的值为准；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6.2.6对不同文字文本响应文件的解释发生异议的，以中文文本为准；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6.2.7正本与副本不一致的，以正本为准；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6.3对于响应文件中不构成实质性偏差的小的不正规、不一致或不规则，采购人可以接受，但这种接受不能损害或影响任何供应商的相对排序。</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6.4如果投标实质上没有响应谈判文件的要求，其投标将作为无效标处理，供应商不得通过修正或撤消不合要求的偏离或保留从而使其投标成为实质上响应的投标。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6.5按照谈判文件规定的评标方法和标准，对资格性审查和符合性审查均合格的有效响应文件进行详细评审，综合比较和评价，最低报价不作为中标的唯一条件。</w:t>
      </w:r>
    </w:p>
    <w:p>
      <w:pPr>
        <w:pStyle w:val="8"/>
        <w:bidi w:val="0"/>
        <w:rPr>
          <w:rFonts w:hint="eastAsia"/>
          <w:highlight w:val="none"/>
        </w:rPr>
      </w:pPr>
      <w:bookmarkStart w:id="134" w:name="_Toc32722"/>
      <w:bookmarkStart w:id="135" w:name="_Toc13363"/>
      <w:bookmarkStart w:id="136" w:name="_Toc233435946"/>
      <w:bookmarkStart w:id="137" w:name="_Toc20203"/>
      <w:r>
        <w:rPr>
          <w:rFonts w:hint="eastAsia"/>
          <w:highlight w:val="none"/>
        </w:rPr>
        <w:t>7、评审原则及主要方法</w:t>
      </w:r>
      <w:bookmarkEnd w:id="134"/>
      <w:bookmarkEnd w:id="135"/>
      <w:bookmarkEnd w:id="136"/>
      <w:bookmarkEnd w:id="13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7.1谈判将遵循公平、公正和择优的原则，对所有供应商的响应文件评估，都采用相同的程序和标准。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7.2评审过程的保密：评审将在严格保密的状态下进行，谈判结束后，直至授予成交供应商合同为止，凡属于对响应文件的审查﹑澄清﹑评价和比较有关的资料均严格保密；在响应文件的评审、比较、成交候选人推荐以及授予合同的过程中，供应商向采购人和谈判小组施加影响的任何行为，都将会导致其投标被拒绝。</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7.3评审办法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7.3.1比照最低评标价法，是指以价格为主要因素确定成交供应商的评审方法，即谈判小组从质量和服务均能满足谈判文件实质性响应要求的供应商中，直接确定最终报价最低的供应商或推荐成交候选供应商的评审方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7.3.2若两家及以上供应商在最终轮次报价中报价相同且最低的，确定技术指标更优者为成交供应商，最终轮次报价及技术指标均相同的，确定服务更优者为成交供应商。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7.4谈判小组认为供应商的报价明显低于其他通过符合性审查供应商的报价，有可能影响质量或者不能诚信履约的，应当要求其在谈判现场合理的时间内提供书面说明，必要时提交相关证明材料；供应商不能证明其报价合理性的，谈判小组应当将其作为无效标处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7.5串标行为认定：供应商应当遵循公平竞争的原则，不得恶意串通，不得妨碍其他供应商的竞争行为，不得损害采购人或者其他供应商的合法权益。</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在谈判过程中发现供应商有上述情形的，谈判小组应当认定其投标无效，并书面报告本级财政部门。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有下列情形之一的，视为供应商串通投标，其投标无效：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（一）不同供应商的响应文件由同一单位或者个人编制；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（二）不同供应商委托同一单位或者个人办理投标事宜；</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（三）不同供应商的响应文件载明的项目管理成员或者联系人员为同一人；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（四）不同供应商的响应文件异常一致或者投标报价呈规律性差异；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（五）不同供应商的响应文件相互混装；</w:t>
      </w:r>
    </w:p>
    <w:p>
      <w:pPr>
        <w:pStyle w:val="8"/>
        <w:bidi w:val="0"/>
        <w:rPr>
          <w:rFonts w:hint="eastAsia"/>
          <w:highlight w:val="none"/>
        </w:rPr>
      </w:pPr>
      <w:bookmarkStart w:id="138" w:name="_Toc18178"/>
      <w:bookmarkStart w:id="139" w:name="_Toc221"/>
      <w:r>
        <w:rPr>
          <w:rFonts w:hint="eastAsia"/>
          <w:highlight w:val="none"/>
        </w:rPr>
        <w:t>8、定标</w:t>
      </w:r>
      <w:bookmarkEnd w:id="138"/>
      <w:bookmarkEnd w:id="139"/>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8.1在谈判期间，出现符合专业条件的供应商或者对谈判文件作出实质性响应的供应商不足三家情形的，按照《中华人民共和国政府采购法》相关规定执行。</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8.2综合比较与评价后，质量和服务均能满足谈判文件且最终报价最低的供应商作为成交候选人或者成交人。最终报价相同的，按技术指标优劣顺序排列。</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8.3谈判小组推荐成交候选人名单，或者受采购人委托按照事先确定的办法直接确定成交人。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8.4第一成交候选人除因法定不可抗力外不得随意放弃中标资格，否则承担相应法律责任。第一成交候选人确因不可抗力不能履行政府采购合同，或因被查实存在影响成交结果的违法行为等情形，不符合中标条件的，采购人可按照谈判小组提出的成交候选人名单排序依次确定其他成交候选人为成交人；依次确定其他成交候选人与采购人预期差距较大，或对采购人明显不利的，采购人可重新组织谈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8.5采购代理机构应在谈判结束后二个工作日内，将评标报告送采购人定标。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8.6采购人在收到评标报告后五个工作日内，根据评标报告对评标过程及结果进行审核后确定成交供应商，复函采购代理机构。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8.7采购代理机构在接到采购人的定标复函后，在财政部门指定的政府采购信息发布媒体上公告，并按照规定向中标供应商发《成交通知书》。</w:t>
      </w:r>
    </w:p>
    <w:p>
      <w:pPr>
        <w:pStyle w:val="6"/>
        <w:bidi w:val="0"/>
        <w:rPr>
          <w:rFonts w:hint="eastAsia"/>
          <w:highlight w:val="none"/>
        </w:rPr>
      </w:pPr>
      <w:bookmarkStart w:id="140" w:name="_Hlt497547134"/>
      <w:bookmarkEnd w:id="140"/>
      <w:bookmarkStart w:id="141" w:name="_Hlt491765714"/>
      <w:bookmarkEnd w:id="141"/>
      <w:bookmarkStart w:id="142" w:name="_Toc1666"/>
      <w:bookmarkStart w:id="143" w:name="_Toc2081"/>
      <w:bookmarkStart w:id="144" w:name="_Toc30098"/>
      <w:bookmarkStart w:id="145" w:name="_Toc27962"/>
      <w:bookmarkStart w:id="146" w:name="_Toc30582"/>
      <w:bookmarkStart w:id="147" w:name="_Toc4236"/>
      <w:bookmarkStart w:id="148" w:name="_Toc14129"/>
      <w:r>
        <w:rPr>
          <w:rFonts w:hint="eastAsia"/>
          <w:highlight w:val="none"/>
        </w:rPr>
        <w:t>六.通知与签约</w:t>
      </w:r>
      <w:bookmarkEnd w:id="142"/>
      <w:bookmarkEnd w:id="143"/>
      <w:bookmarkEnd w:id="144"/>
      <w:bookmarkEnd w:id="145"/>
    </w:p>
    <w:p>
      <w:pPr>
        <w:pStyle w:val="8"/>
        <w:bidi w:val="0"/>
        <w:rPr>
          <w:rFonts w:hint="eastAsia"/>
          <w:highlight w:val="none"/>
        </w:rPr>
      </w:pPr>
      <w:bookmarkStart w:id="149" w:name="_Toc8412"/>
      <w:bookmarkStart w:id="150" w:name="_Toc12710"/>
      <w:r>
        <w:rPr>
          <w:rFonts w:hint="eastAsia"/>
          <w:highlight w:val="none"/>
          <w:lang w:val="en-US" w:eastAsia="zh-CN"/>
        </w:rPr>
        <w:t>9、</w:t>
      </w:r>
      <w:r>
        <w:rPr>
          <w:rFonts w:hint="eastAsia"/>
          <w:highlight w:val="none"/>
        </w:rPr>
        <w:t>成交通知</w:t>
      </w:r>
      <w:bookmarkEnd w:id="149"/>
      <w:bookmarkEnd w:id="150"/>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.1 采购代理机构向成交人发出《成交通知书》。</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.2成交通知书对采购人和成交人具有同等法律效力。成交通知书发出之后，采购人改变成交结果，或者成交人放弃成交，应当承担相应的法律责任。</w:t>
      </w:r>
    </w:p>
    <w:p>
      <w:pPr>
        <w:pStyle w:val="8"/>
        <w:bidi w:val="0"/>
        <w:rPr>
          <w:highlight w:val="none"/>
        </w:rPr>
      </w:pPr>
      <w:bookmarkStart w:id="151" w:name="_Toc27075"/>
      <w:bookmarkStart w:id="152" w:name="_Toc11272"/>
      <w:r>
        <w:rPr>
          <w:rFonts w:hint="eastAsia"/>
          <w:highlight w:val="none"/>
          <w:lang w:val="en-US" w:eastAsia="zh-CN"/>
        </w:rPr>
        <w:t>10、</w:t>
      </w:r>
      <w:r>
        <w:rPr>
          <w:rFonts w:hint="eastAsia"/>
          <w:highlight w:val="none"/>
        </w:rPr>
        <w:t>成交</w:t>
      </w:r>
      <w:r>
        <w:rPr>
          <w:highlight w:val="none"/>
        </w:rPr>
        <w:t>合同的签订</w:t>
      </w:r>
      <w:bookmarkEnd w:id="151"/>
      <w:bookmarkEnd w:id="152"/>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10</w:t>
      </w:r>
      <w:r>
        <w:rPr>
          <w:rFonts w:hint="eastAsia" w:ascii="宋体" w:hAnsi="宋体" w:cs="Times New Roman"/>
          <w:color w:val="auto"/>
          <w:kern w:val="0"/>
          <w:sz w:val="24"/>
          <w:szCs w:val="24"/>
          <w:highlight w:val="none"/>
        </w:rPr>
        <w:t>.1采购人应当自成交通知书发出之日起</w:t>
      </w:r>
      <w:r>
        <w:rPr>
          <w:rFonts w:hint="eastAsia" w:ascii="宋体" w:hAnsi="宋体" w:cs="Times New Roman"/>
          <w:color w:val="auto"/>
          <w:kern w:val="0"/>
          <w:sz w:val="24"/>
          <w:szCs w:val="24"/>
          <w:highlight w:val="none"/>
          <w:lang w:val="en-US" w:eastAsia="zh-CN"/>
        </w:rPr>
        <w:t>十</w:t>
      </w:r>
      <w:r>
        <w:rPr>
          <w:rFonts w:hint="eastAsia" w:ascii="宋体" w:hAnsi="宋体" w:cs="Times New Roman"/>
          <w:color w:val="auto"/>
          <w:kern w:val="0"/>
          <w:sz w:val="24"/>
          <w:szCs w:val="24"/>
          <w:highlight w:val="none"/>
        </w:rPr>
        <w:t>日内，按照竞争性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响应文件（包括评审中形成的澄清文件）的约定，与成交供应商签订书面合同。所签订的合同不得对竞争性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响应文件（包括评审中形成的澄清文件）作实质性修改。</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10</w:t>
      </w:r>
      <w:r>
        <w:rPr>
          <w:rFonts w:hint="eastAsia" w:ascii="宋体" w:hAnsi="宋体" w:cs="Times New Roman"/>
          <w:color w:val="auto"/>
          <w:kern w:val="0"/>
          <w:sz w:val="24"/>
          <w:szCs w:val="24"/>
          <w:highlight w:val="none"/>
        </w:rPr>
        <w:t>.2采购人自采购合同签订之日起七个工作日内，将采购合同副本报同级人民政府财政部门备案。</w:t>
      </w:r>
    </w:p>
    <w:p>
      <w:pPr>
        <w:pStyle w:val="8"/>
        <w:bidi w:val="0"/>
        <w:rPr>
          <w:rFonts w:hint="eastAsia"/>
          <w:highlight w:val="none"/>
        </w:rPr>
      </w:pPr>
      <w:bookmarkStart w:id="153" w:name="_Toc27595"/>
      <w:bookmarkStart w:id="154" w:name="_Toc2958"/>
      <w:r>
        <w:rPr>
          <w:rFonts w:hint="eastAsia"/>
          <w:highlight w:val="none"/>
          <w:lang w:val="en-US" w:eastAsia="zh-CN"/>
        </w:rPr>
        <w:t>11、</w:t>
      </w:r>
      <w:r>
        <w:rPr>
          <w:rFonts w:hint="eastAsia"/>
          <w:highlight w:val="none"/>
        </w:rPr>
        <w:t>成交</w:t>
      </w:r>
      <w:r>
        <w:rPr>
          <w:highlight w:val="none"/>
        </w:rPr>
        <w:t>代理服务费</w:t>
      </w:r>
      <w:bookmarkEnd w:id="153"/>
      <w:bookmarkEnd w:id="154"/>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11</w:t>
      </w:r>
      <w:r>
        <w:rPr>
          <w:rFonts w:hint="eastAsia" w:ascii="宋体" w:hAnsi="宋体" w:cs="Times New Roman"/>
          <w:color w:val="auto"/>
          <w:kern w:val="0"/>
          <w:sz w:val="24"/>
          <w:szCs w:val="24"/>
          <w:highlight w:val="none"/>
        </w:rPr>
        <w:t>.1按国家计委颁发的《招标代理服务收费管理暂行办法》（计价格[2002]1980号）和国家发展改革委员会办公厅颁发的《关于招标代理服务收费有关问题的通知》（发改办价格[2003]857号）的有关规定执行。</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11</w:t>
      </w:r>
      <w:r>
        <w:rPr>
          <w:rFonts w:hint="eastAsia" w:ascii="宋体" w:hAnsi="宋体" w:cs="Times New Roman"/>
          <w:color w:val="auto"/>
          <w:kern w:val="0"/>
          <w:sz w:val="24"/>
          <w:szCs w:val="24"/>
          <w:highlight w:val="none"/>
        </w:rPr>
        <w:t>.2成交单位在领取成交通知书前，须向采购代理机构一次性支付招标代理服务费。</w:t>
      </w:r>
    </w:p>
    <w:p>
      <w:pPr>
        <w:pStyle w:val="6"/>
        <w:bidi w:val="0"/>
        <w:rPr>
          <w:rFonts w:hint="eastAsia"/>
          <w:highlight w:val="none"/>
        </w:rPr>
      </w:pPr>
      <w:bookmarkStart w:id="155" w:name="_Toc23096"/>
      <w:r>
        <w:rPr>
          <w:rFonts w:hint="eastAsia"/>
          <w:highlight w:val="none"/>
        </w:rPr>
        <w:t>七、供应商提出质疑应符合中华人民共和国财政部令第94号《政府采购质疑和投诉办法》的规定</w:t>
      </w:r>
      <w:bookmarkEnd w:id="155"/>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1、提出质疑的供应商应当是参与所质疑项目采购活动的供应商。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3、供应商提出质疑应当提交质疑函和必要的证明材料。质疑函应当包括：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3.1供应商的姓名或者名称、地址、邮编、联系人及联系电话；</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3.2质疑项目的名称、编号；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3.3具体、明确的质疑事项和与质疑事项相关的请求；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3.4事实依据；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3.5必要的法律依据；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3.6提出质疑的日期。</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质疑函应采用财政部颁布的《政府采购供应商质疑函范本》。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供应商为自然人的，应当由本人签字；供应商为法人或者其他组织的，应当由法定代表人、主要负责人，或者其授权代表签字或者盖章，并加盖公章。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供应商可以委托代理人进行质疑。其授权委托书应当载明代理人的姓名或者名称、代理事项、具体权限、期限和相关事项。供应商为自然人的，应当由本人签字；供应商为法人或者其他组织的，应当由法定代表人、主要负责人签字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5、质疑答复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采购人、采购代理机构在收到质疑函后七个工作日内做出答复。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质疑接收方式：供应商以书面形式将质疑函原件和必要的证明材料送至接收部门，法定代表人、主要负责人、自然人提交质疑函须提交其身份证原件、复印件，代理人提交质疑函须提交授权委托书及授权人和被授权人身份证原件、复印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7、投诉人在全国范围12个月内三次以上投诉查无实据的，由财政部门列入不良行为记录名单。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8、投诉人有下列行为之一的，属于虚假、恶意投诉，由财政部门列入不良行为记录名单，禁止其1至3年内参加政府采购活动：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（一）捏造事实;</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（二）提供虚假材料;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（三）以非法手段取得证明材料。证据来源的合法性存在明显疑问，投诉人无法证明其取得方式合法的，视为以非法手段取得证明材料。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9、质疑人须在质疑书和相关证明材料每一页上加盖公章原件送至质疑函递交地址，扫描发送至</w:t>
      </w:r>
      <w:r>
        <w:rPr>
          <w:rFonts w:hint="eastAsia" w:ascii="宋体" w:hAnsi="宋体" w:cs="宋体"/>
          <w:sz w:val="24"/>
          <w:szCs w:val="24"/>
          <w:highlight w:val="none"/>
          <w:lang w:eastAsia="zh-CN"/>
        </w:rPr>
        <w:t>874715</w:t>
      </w:r>
      <w:r>
        <w:rPr>
          <w:rFonts w:hint="eastAsia" w:ascii="宋体" w:hAnsi="宋体" w:cs="宋体"/>
          <w:sz w:val="24"/>
          <w:szCs w:val="24"/>
          <w:highlight w:val="none"/>
          <w:lang w:val="en-US" w:eastAsia="zh-CN"/>
        </w:rPr>
        <w:t>0</w:t>
      </w:r>
      <w:r>
        <w:rPr>
          <w:rFonts w:hint="eastAsia" w:ascii="宋体" w:hAnsi="宋体" w:cs="宋体"/>
          <w:sz w:val="24"/>
          <w:szCs w:val="24"/>
          <w:highlight w:val="none"/>
          <w:lang w:eastAsia="zh-CN"/>
        </w:rPr>
        <w:t>69@qq.com</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质疑提出时间：质疑需在有效期内提出，逾期不予受理。</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质疑递交地址：</w:t>
      </w:r>
      <w:r>
        <w:rPr>
          <w:rFonts w:hint="eastAsia" w:ascii="宋体" w:hAnsi="宋体" w:cs="宋体"/>
          <w:sz w:val="24"/>
          <w:szCs w:val="24"/>
          <w:highlight w:val="none"/>
          <w:lang w:eastAsia="zh-CN"/>
        </w:rPr>
        <w:t>榆林市榆阳区肤施路南段环馨路5号金轩楼2楼201室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lang w:val="en-US" w:eastAsia="zh-CN"/>
        </w:rPr>
        <w:t>任</w:t>
      </w:r>
      <w:r>
        <w:rPr>
          <w:rFonts w:hint="eastAsia" w:ascii="宋体" w:hAnsi="宋体" w:cs="宋体"/>
          <w:sz w:val="24"/>
          <w:szCs w:val="24"/>
          <w:highlight w:val="none"/>
        </w:rPr>
        <w:t>工    联系电话：18992274597</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供应商和其他利害关系人认为本次谈判活动违反法律、法规和规章规定的，有权向项目所在地财政局提出投诉，质疑是投诉的前置条件。</w:t>
      </w:r>
    </w:p>
    <w:p>
      <w:pPr>
        <w:spacing w:line="360" w:lineRule="auto"/>
        <w:rPr>
          <w:rFonts w:hint="eastAsia" w:ascii="宋体" w:hAnsi="宋体" w:cs="宋体"/>
          <w:sz w:val="32"/>
          <w:szCs w:val="16"/>
          <w:highlight w:val="none"/>
        </w:rPr>
      </w:pPr>
      <w:bookmarkStart w:id="156" w:name="_Toc14581"/>
      <w:r>
        <w:rPr>
          <w:rFonts w:hint="eastAsia" w:ascii="宋体" w:hAnsi="宋体" w:cs="宋体"/>
          <w:sz w:val="32"/>
          <w:szCs w:val="16"/>
          <w:highlight w:val="none"/>
        </w:rPr>
        <w:br w:type="page"/>
      </w:r>
    </w:p>
    <w:p>
      <w:pPr>
        <w:pStyle w:val="5"/>
        <w:spacing w:before="0" w:after="0" w:line="360" w:lineRule="auto"/>
        <w:jc w:val="center"/>
        <w:rPr>
          <w:rFonts w:hint="eastAsia" w:ascii="宋体" w:hAnsi="宋体" w:cs="宋体"/>
          <w:b w:val="0"/>
          <w:bCs/>
          <w:szCs w:val="32"/>
          <w:highlight w:val="none"/>
        </w:rPr>
      </w:pPr>
      <w:bookmarkStart w:id="157" w:name="_Toc23242"/>
      <w:r>
        <w:rPr>
          <w:rFonts w:hint="eastAsia" w:ascii="宋体" w:hAnsi="宋体" w:cs="宋体"/>
          <w:sz w:val="32"/>
          <w:szCs w:val="16"/>
          <w:highlight w:val="none"/>
        </w:rPr>
        <w:t>第四部分 合同条款（仅供参考）</w:t>
      </w:r>
      <w:bookmarkEnd w:id="146"/>
      <w:bookmarkEnd w:id="147"/>
      <w:bookmarkEnd w:id="148"/>
      <w:bookmarkEnd w:id="156"/>
      <w:bookmarkEnd w:id="157"/>
    </w:p>
    <w:p>
      <w:pPr>
        <w:jc w:val="center"/>
        <w:rPr>
          <w:rStyle w:val="76"/>
          <w:rFonts w:ascii="华文中宋" w:hAnsi="华文中宋" w:eastAsia="华文中宋"/>
          <w:b/>
          <w:sz w:val="48"/>
          <w:szCs w:val="48"/>
          <w:highlight w:val="none"/>
        </w:rPr>
      </w:pPr>
      <w:bookmarkStart w:id="158" w:name="_Toc26683"/>
      <w:bookmarkStart w:id="159" w:name="_Toc9052"/>
      <w:bookmarkStart w:id="160" w:name="_Toc24654"/>
      <w:bookmarkStart w:id="161" w:name="_Toc31247"/>
      <w:bookmarkStart w:id="162" w:name="_Toc23255"/>
      <w:bookmarkStart w:id="163" w:name="_Toc27476"/>
    </w:p>
    <w:p>
      <w:pPr>
        <w:jc w:val="center"/>
        <w:rPr>
          <w:rFonts w:hint="eastAsia" w:ascii="宋体" w:hAnsi="宋体" w:eastAsia="宋体" w:cs="宋体"/>
          <w:sz w:val="32"/>
          <w:szCs w:val="32"/>
          <w:highlight w:val="none"/>
          <w:lang w:val="en-US" w:eastAsia="zh-CN"/>
        </w:rPr>
      </w:pPr>
    </w:p>
    <w:p>
      <w:pPr>
        <w:jc w:val="center"/>
        <w:rPr>
          <w:rStyle w:val="76"/>
          <w:rFonts w:hint="eastAsia" w:ascii="宋体" w:hAnsi="宋体" w:eastAsia="宋体" w:cs="宋体"/>
          <w:sz w:val="48"/>
          <w:szCs w:val="48"/>
          <w:highlight w:val="none"/>
        </w:rPr>
      </w:pPr>
      <w:r>
        <w:rPr>
          <w:rStyle w:val="76"/>
          <w:rFonts w:hint="eastAsia" w:ascii="宋体" w:hAnsi="宋体" w:eastAsia="宋体" w:cs="宋体"/>
          <w:b/>
          <w:sz w:val="48"/>
          <w:szCs w:val="48"/>
          <w:highlight w:val="none"/>
        </w:rPr>
        <w:t>基本建设工程考古勘探</w:t>
      </w:r>
      <w:r>
        <w:rPr>
          <w:rStyle w:val="76"/>
          <w:rFonts w:hint="eastAsia" w:ascii="宋体" w:hAnsi="宋体" w:eastAsia="宋体" w:cs="宋体"/>
          <w:b/>
          <w:sz w:val="48"/>
          <w:szCs w:val="48"/>
          <w:highlight w:val="none"/>
          <w:lang w:val="en-US" w:eastAsia="zh-CN"/>
        </w:rPr>
        <w:t>劳务协作</w:t>
      </w:r>
      <w:r>
        <w:rPr>
          <w:rStyle w:val="76"/>
          <w:rFonts w:hint="eastAsia" w:ascii="宋体" w:hAnsi="宋体" w:eastAsia="宋体" w:cs="宋体"/>
          <w:b/>
          <w:sz w:val="48"/>
          <w:szCs w:val="48"/>
          <w:highlight w:val="none"/>
        </w:rPr>
        <w:t>协议书</w:t>
      </w:r>
    </w:p>
    <w:p>
      <w:pPr>
        <w:jc w:val="center"/>
        <w:rPr>
          <w:rStyle w:val="76"/>
          <w:rFonts w:hint="eastAsia" w:ascii="宋体" w:hAnsi="宋体" w:eastAsia="宋体" w:cs="宋体"/>
          <w:sz w:val="32"/>
          <w:szCs w:val="32"/>
          <w:highlight w:val="none"/>
        </w:rPr>
      </w:pPr>
      <w:r>
        <w:rPr>
          <w:rStyle w:val="76"/>
          <w:rFonts w:hint="eastAsia" w:ascii="宋体" w:hAnsi="宋体" w:eastAsia="宋体" w:cs="宋体"/>
          <w:sz w:val="32"/>
          <w:szCs w:val="32"/>
          <w:highlight w:val="none"/>
          <w:lang w:val="en-US" w:eastAsia="zh-CN"/>
        </w:rPr>
        <w:t>榆</w:t>
      </w:r>
      <w:r>
        <w:rPr>
          <w:rStyle w:val="76"/>
          <w:rFonts w:hint="eastAsia" w:ascii="宋体" w:hAnsi="宋体" w:eastAsia="宋体" w:cs="宋体"/>
          <w:sz w:val="32"/>
          <w:szCs w:val="32"/>
          <w:highlight w:val="none"/>
        </w:rPr>
        <w:t>·勘〔202</w:t>
      </w:r>
      <w:r>
        <w:rPr>
          <w:rStyle w:val="76"/>
          <w:rFonts w:hint="eastAsia" w:ascii="宋体" w:hAnsi="宋体" w:eastAsia="宋体" w:cs="宋体"/>
          <w:sz w:val="32"/>
          <w:szCs w:val="32"/>
          <w:highlight w:val="none"/>
          <w:lang w:val="en-US" w:eastAsia="zh-CN"/>
        </w:rPr>
        <w:t>3</w:t>
      </w:r>
      <w:r>
        <w:rPr>
          <w:rStyle w:val="76"/>
          <w:rFonts w:hint="eastAsia" w:ascii="宋体" w:hAnsi="宋体" w:eastAsia="宋体" w:cs="宋体"/>
          <w:sz w:val="32"/>
          <w:szCs w:val="32"/>
          <w:highlight w:val="none"/>
        </w:rPr>
        <w:t>〕  号</w:t>
      </w:r>
    </w:p>
    <w:p>
      <w:pPr>
        <w:spacing w:before="156" w:after="156"/>
        <w:jc w:val="center"/>
        <w:rPr>
          <w:rStyle w:val="76"/>
          <w:rFonts w:hint="eastAsia" w:ascii="宋体" w:hAnsi="宋体" w:eastAsia="宋体" w:cs="宋体"/>
          <w:b/>
          <w:sz w:val="32"/>
          <w:szCs w:val="32"/>
          <w:highlight w:val="none"/>
        </w:rPr>
      </w:pPr>
    </w:p>
    <w:p>
      <w:pPr>
        <w:spacing w:before="156" w:after="156"/>
        <w:jc w:val="center"/>
        <w:rPr>
          <w:rStyle w:val="76"/>
          <w:rFonts w:hint="eastAsia" w:ascii="宋体" w:hAnsi="宋体" w:eastAsia="宋体" w:cs="宋体"/>
          <w:b/>
          <w:sz w:val="32"/>
          <w:szCs w:val="32"/>
          <w:highlight w:val="none"/>
        </w:rPr>
      </w:pPr>
    </w:p>
    <w:p>
      <w:pPr>
        <w:spacing w:before="156" w:after="156"/>
        <w:jc w:val="center"/>
        <w:rPr>
          <w:rStyle w:val="76"/>
          <w:rFonts w:hint="eastAsia" w:ascii="宋体" w:hAnsi="宋体" w:eastAsia="宋体" w:cs="宋体"/>
          <w:b/>
          <w:sz w:val="32"/>
          <w:szCs w:val="32"/>
          <w:highlight w:val="none"/>
        </w:rPr>
      </w:pPr>
    </w:p>
    <w:p>
      <w:pPr>
        <w:ind w:left="3639" w:leftChars="1064" w:hanging="1405" w:hangingChars="500"/>
        <w:rPr>
          <w:rStyle w:val="76"/>
          <w:rFonts w:hint="eastAsia" w:ascii="宋体" w:hAnsi="宋体" w:eastAsia="宋体" w:cs="宋体"/>
          <w:b/>
          <w:sz w:val="28"/>
          <w:szCs w:val="28"/>
          <w:highlight w:val="none"/>
        </w:rPr>
      </w:pPr>
    </w:p>
    <w:p>
      <w:pPr>
        <w:ind w:left="3639" w:leftChars="1064" w:hanging="1405" w:hangingChars="500"/>
        <w:rPr>
          <w:rStyle w:val="76"/>
          <w:rFonts w:hint="eastAsia" w:ascii="宋体" w:hAnsi="宋体" w:eastAsia="宋体" w:cs="宋体"/>
          <w:b/>
          <w:sz w:val="28"/>
          <w:szCs w:val="28"/>
          <w:highlight w:val="none"/>
        </w:rPr>
      </w:pPr>
    </w:p>
    <w:p>
      <w:pPr>
        <w:widowControl w:val="0"/>
        <w:spacing w:after="120"/>
        <w:jc w:val="both"/>
        <w:rPr>
          <w:rStyle w:val="76"/>
          <w:rFonts w:hint="eastAsia" w:ascii="宋体" w:hAnsi="宋体" w:eastAsia="宋体" w:cs="宋体"/>
          <w:b/>
          <w:kern w:val="2"/>
          <w:sz w:val="28"/>
          <w:szCs w:val="28"/>
          <w:highlight w:val="none"/>
          <w:lang w:val="en-US" w:eastAsia="zh-CN" w:bidi="ar-SA"/>
        </w:rPr>
      </w:pPr>
    </w:p>
    <w:p>
      <w:pPr>
        <w:bidi w:val="0"/>
        <w:rPr>
          <w:rStyle w:val="76"/>
          <w:rFonts w:hint="eastAsia" w:ascii="宋体" w:hAnsi="宋体" w:eastAsia="宋体" w:cs="宋体"/>
          <w:b/>
          <w:sz w:val="28"/>
          <w:szCs w:val="28"/>
          <w:highlight w:val="none"/>
        </w:rPr>
      </w:pPr>
    </w:p>
    <w:p>
      <w:pPr>
        <w:widowControl/>
        <w:autoSpaceDE/>
        <w:autoSpaceDN/>
        <w:spacing w:before="180" w:after="120" w:line="240" w:lineRule="auto"/>
        <w:ind w:left="720" w:firstLine="0"/>
        <w:jc w:val="both"/>
        <w:rPr>
          <w:rStyle w:val="76"/>
          <w:rFonts w:hint="eastAsia" w:ascii="宋体" w:hAnsi="宋体" w:eastAsia="宋体" w:cs="宋体"/>
          <w:b/>
          <w:kern w:val="2"/>
          <w:sz w:val="28"/>
          <w:szCs w:val="28"/>
          <w:highlight w:val="none"/>
          <w:lang w:val="en-US" w:eastAsia="zh-CN" w:bidi="ar-SA"/>
        </w:rPr>
      </w:pPr>
    </w:p>
    <w:p>
      <w:pPr>
        <w:rPr>
          <w:rStyle w:val="76"/>
          <w:rFonts w:hint="eastAsia" w:ascii="宋体" w:hAnsi="宋体" w:eastAsia="宋体" w:cs="宋体"/>
          <w:b/>
          <w:sz w:val="28"/>
          <w:szCs w:val="28"/>
          <w:highlight w:val="none"/>
        </w:rPr>
      </w:pPr>
    </w:p>
    <w:p>
      <w:pPr>
        <w:widowControl w:val="0"/>
        <w:spacing w:after="120"/>
        <w:jc w:val="both"/>
        <w:rPr>
          <w:rFonts w:hint="eastAsia" w:ascii="Times New Roman" w:hAnsi="Times New Roman" w:eastAsia="宋体" w:cs="Times New Roman"/>
          <w:kern w:val="2"/>
          <w:sz w:val="21"/>
          <w:szCs w:val="21"/>
          <w:highlight w:val="none"/>
          <w:lang w:val="en-US" w:eastAsia="zh-CN" w:bidi="ar-SA"/>
        </w:rPr>
      </w:pPr>
    </w:p>
    <w:p>
      <w:pPr>
        <w:jc w:val="left"/>
        <w:rPr>
          <w:rStyle w:val="76"/>
          <w:rFonts w:hint="eastAsia" w:ascii="宋体" w:hAnsi="宋体" w:eastAsia="宋体" w:cs="宋体"/>
          <w:b/>
          <w:sz w:val="28"/>
          <w:szCs w:val="28"/>
          <w:highlight w:val="none"/>
        </w:rPr>
      </w:pPr>
    </w:p>
    <w:p>
      <w:pPr>
        <w:jc w:val="left"/>
        <w:rPr>
          <w:rFonts w:hint="eastAsia" w:ascii="宋体" w:hAnsi="宋体" w:eastAsia="宋体" w:cs="宋体"/>
          <w:b/>
          <w:bCs/>
          <w:color w:val="auto"/>
          <w:sz w:val="28"/>
          <w:szCs w:val="28"/>
          <w:highlight w:val="none"/>
          <w:u w:val="none"/>
          <w:lang w:val="en-US" w:eastAsia="zh-CN"/>
        </w:rPr>
      </w:pPr>
      <w:r>
        <w:rPr>
          <w:rStyle w:val="76"/>
          <w:rFonts w:hint="eastAsia" w:ascii="宋体" w:hAnsi="宋体" w:eastAsia="宋体" w:cs="宋体"/>
          <w:b/>
          <w:sz w:val="28"/>
          <w:szCs w:val="28"/>
          <w:highlight w:val="none"/>
        </w:rPr>
        <w:t>项目名称：</w:t>
      </w:r>
      <w:r>
        <w:rPr>
          <w:rStyle w:val="76"/>
          <w:rFonts w:hint="eastAsia" w:ascii="宋体" w:hAnsi="宋体" w:eastAsia="宋体" w:cs="宋体"/>
          <w:b/>
          <w:sz w:val="28"/>
          <w:szCs w:val="28"/>
          <w:highlight w:val="none"/>
          <w:u w:val="single"/>
          <w:lang w:val="en-US" w:eastAsia="zh-CN"/>
        </w:rPr>
        <w:t xml:space="preserve">                                    </w:t>
      </w:r>
      <w:r>
        <w:rPr>
          <w:rStyle w:val="76"/>
          <w:rFonts w:hint="eastAsia" w:ascii="宋体" w:hAnsi="宋体" w:eastAsia="宋体" w:cs="宋体"/>
          <w:b/>
          <w:sz w:val="28"/>
          <w:szCs w:val="28"/>
          <w:highlight w:val="none"/>
          <w:u w:val="none"/>
          <w:lang w:val="en-US" w:eastAsia="zh-CN"/>
        </w:rPr>
        <w:t>建设项目</w:t>
      </w:r>
    </w:p>
    <w:p>
      <w:pPr>
        <w:jc w:val="left"/>
        <w:rPr>
          <w:rStyle w:val="76"/>
          <w:rFonts w:hint="eastAsia" w:ascii="宋体" w:hAnsi="宋体" w:eastAsia="宋体" w:cs="宋体"/>
          <w:b/>
          <w:bCs w:val="0"/>
          <w:sz w:val="28"/>
          <w:szCs w:val="28"/>
          <w:highlight w:val="none"/>
          <w:u w:val="single"/>
          <w:lang w:val="en-US" w:eastAsia="zh-CN"/>
        </w:rPr>
      </w:pPr>
      <w:r>
        <w:rPr>
          <w:rStyle w:val="76"/>
          <w:rFonts w:hint="eastAsia" w:ascii="宋体" w:hAnsi="宋体" w:eastAsia="宋体" w:cs="宋体"/>
          <w:b/>
          <w:bCs w:val="0"/>
          <w:sz w:val="28"/>
          <w:szCs w:val="28"/>
          <w:highlight w:val="none"/>
        </w:rPr>
        <w:t>项目地址：</w:t>
      </w:r>
      <w:r>
        <w:rPr>
          <w:rStyle w:val="76"/>
          <w:rFonts w:hint="eastAsia" w:ascii="宋体" w:hAnsi="宋体" w:eastAsia="宋体" w:cs="宋体"/>
          <w:b/>
          <w:bCs w:val="0"/>
          <w:sz w:val="28"/>
          <w:szCs w:val="28"/>
          <w:highlight w:val="none"/>
          <w:u w:val="single"/>
          <w:lang w:val="en-US" w:eastAsia="zh-CN"/>
        </w:rPr>
        <w:t xml:space="preserve">                                            </w:t>
      </w:r>
    </w:p>
    <w:p>
      <w:pPr>
        <w:jc w:val="left"/>
        <w:rPr>
          <w:rFonts w:hint="eastAsia" w:ascii="宋体" w:hAnsi="宋体" w:eastAsia="宋体" w:cs="宋体"/>
          <w:b/>
          <w:sz w:val="28"/>
          <w:szCs w:val="28"/>
          <w:highlight w:val="none"/>
        </w:rPr>
      </w:pPr>
      <w:r>
        <w:rPr>
          <w:rStyle w:val="76"/>
          <w:rFonts w:hint="eastAsia" w:ascii="宋体" w:hAnsi="宋体" w:eastAsia="宋体" w:cs="宋体"/>
          <w:b/>
          <w:sz w:val="28"/>
          <w:szCs w:val="28"/>
          <w:highlight w:val="none"/>
        </w:rPr>
        <w:t>建设单位：榆林市文物考古勘探工作队</w:t>
      </w:r>
    </w:p>
    <w:p>
      <w:pPr>
        <w:spacing w:line="360" w:lineRule="auto"/>
        <w:ind w:firstLine="2530" w:firstLineChars="900"/>
        <w:jc w:val="left"/>
        <w:rPr>
          <w:rFonts w:hint="eastAsia" w:ascii="宋体" w:hAnsi="宋体" w:eastAsia="宋体" w:cs="宋体"/>
          <w:sz w:val="32"/>
          <w:szCs w:val="32"/>
          <w:highlight w:val="none"/>
          <w:lang w:val="en-US" w:eastAsia="zh-CN"/>
        </w:rPr>
      </w:pPr>
      <w:r>
        <w:rPr>
          <w:rFonts w:hint="eastAsia" w:ascii="宋体" w:hAnsi="宋体" w:eastAsia="宋体" w:cs="宋体"/>
          <w:b/>
          <w:sz w:val="28"/>
          <w:szCs w:val="28"/>
          <w:highlight w:val="none"/>
        </w:rPr>
        <w:t xml:space="preserve">签署时间： </w:t>
      </w:r>
      <w:r>
        <w:rPr>
          <w:rFonts w:hint="eastAsia" w:ascii="宋体" w:hAnsi="宋体" w:eastAsia="宋体" w:cs="宋体"/>
          <w:b/>
          <w:sz w:val="28"/>
          <w:szCs w:val="28"/>
          <w:highlight w:val="none"/>
          <w:lang w:val="en-US" w:eastAsia="zh-CN"/>
        </w:rPr>
        <w:t>2023</w:t>
      </w:r>
      <w:r>
        <w:rPr>
          <w:rFonts w:hint="eastAsia" w:ascii="宋体" w:hAnsi="宋体" w:eastAsia="宋体" w:cs="宋体"/>
          <w:b/>
          <w:sz w:val="28"/>
          <w:szCs w:val="28"/>
          <w:highlight w:val="none"/>
        </w:rPr>
        <w:t xml:space="preserve">  年   月</w:t>
      </w:r>
    </w:p>
    <w:p>
      <w:pPr>
        <w:rPr>
          <w:rFonts w:hint="eastAsia" w:ascii="宋体" w:hAnsi="宋体" w:eastAsia="宋体" w:cs="宋体"/>
          <w:sz w:val="48"/>
          <w:szCs w:val="48"/>
          <w:highlight w:val="none"/>
          <w:lang w:val="en-US" w:eastAsia="zh-CN"/>
        </w:rPr>
      </w:pPr>
      <w:r>
        <w:rPr>
          <w:rFonts w:hint="eastAsia" w:ascii="宋体" w:hAnsi="宋体" w:eastAsia="宋体" w:cs="宋体"/>
          <w:sz w:val="48"/>
          <w:szCs w:val="48"/>
          <w:highlight w:val="none"/>
          <w:lang w:val="en-US" w:eastAsia="zh-CN"/>
        </w:rPr>
        <w:br w:type="page"/>
      </w:r>
    </w:p>
    <w:p>
      <w:pPr>
        <w:jc w:val="center"/>
        <w:rPr>
          <w:rFonts w:hint="eastAsia" w:ascii="宋体" w:hAnsi="宋体" w:eastAsia="宋体" w:cs="宋体"/>
          <w:sz w:val="24"/>
          <w:szCs w:val="24"/>
          <w:highlight w:val="none"/>
        </w:rPr>
      </w:pPr>
      <w:r>
        <w:rPr>
          <w:rFonts w:hint="eastAsia" w:ascii="宋体" w:hAnsi="宋体" w:eastAsia="宋体" w:cs="宋体"/>
          <w:sz w:val="48"/>
          <w:szCs w:val="48"/>
          <w:highlight w:val="none"/>
          <w:lang w:val="en-US" w:eastAsia="zh-CN"/>
        </w:rPr>
        <w:t>基本建设工程</w:t>
      </w:r>
      <w:r>
        <w:rPr>
          <w:rFonts w:hint="eastAsia" w:ascii="宋体" w:hAnsi="宋体" w:eastAsia="宋体" w:cs="宋体"/>
          <w:sz w:val="48"/>
          <w:szCs w:val="48"/>
          <w:highlight w:val="none"/>
        </w:rPr>
        <w:t>考古勘探</w:t>
      </w:r>
      <w:r>
        <w:rPr>
          <w:rFonts w:hint="eastAsia" w:ascii="宋体" w:hAnsi="宋体" w:eastAsia="宋体" w:cs="宋体"/>
          <w:sz w:val="48"/>
          <w:szCs w:val="48"/>
          <w:highlight w:val="none"/>
          <w:lang w:val="en-US" w:eastAsia="zh-CN"/>
        </w:rPr>
        <w:t>劳务协作协议书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甲方:榆林市文物考古勘探工作队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乙方: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为了加快推进我市基本建设项目</w:t>
      </w:r>
      <w:r>
        <w:rPr>
          <w:rFonts w:hint="eastAsia" w:ascii="宋体" w:hAnsi="宋体" w:eastAsia="宋体" w:cs="宋体"/>
          <w:sz w:val="24"/>
          <w:szCs w:val="24"/>
          <w:highlight w:val="none"/>
        </w:rPr>
        <w:t>考古勘探</w:t>
      </w:r>
      <w:r>
        <w:rPr>
          <w:rFonts w:hint="eastAsia" w:ascii="宋体" w:hAnsi="宋体" w:eastAsia="宋体" w:cs="宋体"/>
          <w:sz w:val="24"/>
          <w:szCs w:val="24"/>
          <w:highlight w:val="none"/>
          <w:lang w:val="en-US" w:eastAsia="zh-CN"/>
        </w:rPr>
        <w:t>工作，满足基本建设勘探需求，切</w:t>
      </w:r>
      <w:r>
        <w:rPr>
          <w:rFonts w:hint="eastAsia" w:ascii="宋体" w:hAnsi="宋体" w:eastAsia="宋体" w:cs="宋体"/>
          <w:sz w:val="24"/>
          <w:szCs w:val="24"/>
          <w:highlight w:val="none"/>
        </w:rPr>
        <w:t>实有效保护好地下文物遗存</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充分利用各方人才</w:t>
      </w:r>
      <w:r>
        <w:rPr>
          <w:rFonts w:hint="eastAsia" w:ascii="宋体" w:hAnsi="宋体" w:eastAsia="宋体" w:cs="宋体"/>
          <w:sz w:val="24"/>
          <w:szCs w:val="24"/>
          <w:highlight w:val="none"/>
          <w:lang w:val="en-US" w:eastAsia="zh-CN"/>
        </w:rPr>
        <w:t>和勘探技术</w:t>
      </w:r>
      <w:r>
        <w:rPr>
          <w:rFonts w:hint="eastAsia" w:ascii="宋体" w:hAnsi="宋体" w:eastAsia="宋体" w:cs="宋体"/>
          <w:sz w:val="24"/>
          <w:szCs w:val="24"/>
          <w:highlight w:val="none"/>
        </w:rPr>
        <w:t>力量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遵循平等、自愿、公平和诚实信用原则，</w:t>
      </w:r>
      <w:r>
        <w:rPr>
          <w:rFonts w:hint="eastAsia" w:ascii="宋体" w:hAnsi="宋体" w:eastAsia="宋体" w:cs="宋体"/>
          <w:sz w:val="24"/>
          <w:szCs w:val="24"/>
          <w:highlight w:val="none"/>
          <w:lang w:val="en-US" w:eastAsia="zh-CN"/>
        </w:rPr>
        <w:t>甲方邀请乙方作为本项目劳务协作单位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根据相关法律法规，</w:t>
      </w:r>
      <w:r>
        <w:rPr>
          <w:rFonts w:hint="eastAsia" w:ascii="宋体" w:hAnsi="宋体" w:eastAsia="宋体" w:cs="宋体"/>
          <w:sz w:val="24"/>
          <w:szCs w:val="24"/>
          <w:highlight w:val="none"/>
        </w:rPr>
        <w:t>甲方同意将</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rPr>
        <w:t>建设用地</w:t>
      </w:r>
      <w:r>
        <w:rPr>
          <w:rFonts w:hint="eastAsia" w:ascii="宋体" w:hAnsi="宋体" w:eastAsia="宋体" w:cs="宋体"/>
          <w:sz w:val="24"/>
          <w:szCs w:val="24"/>
          <w:highlight w:val="none"/>
        </w:rPr>
        <w:t>的考古勘探工作交乙方</w:t>
      </w:r>
      <w:r>
        <w:rPr>
          <w:rFonts w:hint="eastAsia" w:ascii="宋体" w:hAnsi="宋体" w:eastAsia="宋体" w:cs="宋体"/>
          <w:sz w:val="24"/>
          <w:szCs w:val="24"/>
          <w:highlight w:val="none"/>
          <w:lang w:val="en-US" w:eastAsia="zh-CN"/>
        </w:rPr>
        <w:t>(劳务协作单位）承担</w:t>
      </w:r>
      <w:r>
        <w:rPr>
          <w:rFonts w:hint="eastAsia" w:ascii="宋体" w:hAnsi="宋体" w:eastAsia="宋体" w:cs="宋体"/>
          <w:sz w:val="24"/>
          <w:szCs w:val="24"/>
          <w:highlight w:val="none"/>
        </w:rPr>
        <w:t>，该工程</w:t>
      </w:r>
      <w:r>
        <w:rPr>
          <w:rFonts w:hint="eastAsia" w:ascii="宋体" w:hAnsi="宋体" w:eastAsia="宋体" w:cs="宋体"/>
          <w:sz w:val="24"/>
          <w:szCs w:val="24"/>
          <w:highlight w:val="none"/>
          <w:lang w:val="en-US" w:eastAsia="zh-CN"/>
        </w:rPr>
        <w:t>位于</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境内</w:t>
      </w:r>
      <w:r>
        <w:rPr>
          <w:rFonts w:hint="eastAsia" w:ascii="宋体" w:hAnsi="宋体" w:eastAsia="宋体" w:cs="宋体"/>
          <w:sz w:val="24"/>
          <w:szCs w:val="24"/>
          <w:highlight w:val="none"/>
        </w:rPr>
        <w:t>，</w:t>
      </w:r>
      <w:r>
        <w:rPr>
          <w:rFonts w:hint="eastAsia" w:ascii="宋体" w:hAnsi="宋体" w:eastAsia="宋体" w:cs="宋体"/>
          <w:b w:val="0"/>
          <w:bCs w:val="0"/>
          <w:color w:val="auto"/>
          <w:spacing w:val="-12"/>
          <w:sz w:val="24"/>
          <w:szCs w:val="24"/>
          <w:highlight w:val="none"/>
        </w:rPr>
        <w:t>占地面积</w:t>
      </w:r>
      <w:r>
        <w:rPr>
          <w:rFonts w:hint="eastAsia" w:ascii="宋体" w:hAnsi="宋体" w:eastAsia="宋体" w:cs="宋体"/>
          <w:b w:val="0"/>
          <w:bCs w:val="0"/>
          <w:color w:val="auto"/>
          <w:spacing w:val="-12"/>
          <w:sz w:val="24"/>
          <w:szCs w:val="24"/>
          <w:highlight w:val="none"/>
          <w:u w:val="single"/>
          <w:lang w:val="en-US" w:eastAsia="zh-CN"/>
        </w:rPr>
        <w:t xml:space="preserve">              </w:t>
      </w:r>
      <w:r>
        <w:rPr>
          <w:rFonts w:hint="eastAsia" w:ascii="宋体" w:hAnsi="宋体" w:eastAsia="宋体" w:cs="宋体"/>
          <w:b w:val="0"/>
          <w:bCs w:val="0"/>
          <w:color w:val="auto"/>
          <w:spacing w:val="-12"/>
          <w:sz w:val="24"/>
          <w:szCs w:val="24"/>
          <w:highlight w:val="none"/>
        </w:rPr>
        <w:t>平方米。</w:t>
      </w:r>
      <w:r>
        <w:rPr>
          <w:rFonts w:hint="eastAsia" w:ascii="宋体" w:hAnsi="宋体" w:eastAsia="宋体" w:cs="宋体"/>
          <w:sz w:val="24"/>
          <w:szCs w:val="24"/>
          <w:highlight w:val="none"/>
        </w:rPr>
        <w:t>就该项目的考古勘探有关事项达成如下协议: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一、甲乙双方的工作责任：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甲乙双方必须严格执行《中华人民共和国文物保护法》、《田野考古工作</w:t>
      </w:r>
      <w:r>
        <w:rPr>
          <w:rFonts w:hint="eastAsia" w:ascii="宋体" w:hAnsi="宋体" w:eastAsia="宋体" w:cs="宋体"/>
          <w:sz w:val="24"/>
          <w:szCs w:val="24"/>
          <w:highlight w:val="none"/>
          <w:lang w:val="en-US" w:eastAsia="zh-CN"/>
        </w:rPr>
        <w:t>规程</w:t>
      </w:r>
      <w:r>
        <w:rPr>
          <w:rFonts w:hint="eastAsia" w:ascii="宋体" w:hAnsi="宋体" w:eastAsia="宋体" w:cs="宋体"/>
          <w:sz w:val="24"/>
          <w:szCs w:val="24"/>
          <w:highlight w:val="none"/>
        </w:rPr>
        <w:t xml:space="preserve"> 》等有关法</w:t>
      </w:r>
      <w:r>
        <w:rPr>
          <w:rFonts w:hint="eastAsia" w:ascii="宋体" w:hAnsi="宋体" w:eastAsia="宋体" w:cs="宋体"/>
          <w:sz w:val="24"/>
          <w:szCs w:val="24"/>
          <w:highlight w:val="none"/>
          <w:lang w:val="en-US" w:eastAsia="zh-CN"/>
        </w:rPr>
        <w:t>规之</w:t>
      </w:r>
      <w:r>
        <w:rPr>
          <w:rFonts w:hint="eastAsia" w:ascii="宋体" w:hAnsi="宋体" w:eastAsia="宋体" w:cs="宋体"/>
          <w:sz w:val="24"/>
          <w:szCs w:val="24"/>
          <w:highlight w:val="none"/>
        </w:rPr>
        <w:t>规定</w:t>
      </w:r>
      <w:r>
        <w:rPr>
          <w:rFonts w:hint="eastAsia" w:ascii="宋体" w:hAnsi="宋体" w:eastAsia="宋体" w:cs="宋体"/>
          <w:sz w:val="24"/>
          <w:szCs w:val="24"/>
          <w:highlight w:val="none"/>
          <w:lang w:val="en-US" w:eastAsia="zh-CN"/>
        </w:rPr>
        <w:t>实施</w:t>
      </w:r>
      <w:r>
        <w:rPr>
          <w:rFonts w:hint="eastAsia" w:ascii="宋体" w:hAnsi="宋体" w:eastAsia="宋体" w:cs="宋体"/>
          <w:sz w:val="24"/>
          <w:szCs w:val="24"/>
          <w:highlight w:val="none"/>
        </w:rPr>
        <w:t>，应结合传统勘探手段，科学、高效的获取地下文化遗存信息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确保文化遗产不受破坏。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2、凡乙方承接的考古勘探工程，必须对其勘探成果的准确性承担全部责任。如违反操作规定出现错探、漏探、偏差等质量事故，甲方有权对乙方进行经济处罚、中止协议，</w:t>
      </w:r>
      <w:r>
        <w:rPr>
          <w:rFonts w:hint="eastAsia" w:ascii="宋体" w:hAnsi="宋体" w:eastAsia="宋体" w:cs="宋体"/>
          <w:sz w:val="24"/>
          <w:szCs w:val="24"/>
          <w:highlight w:val="none"/>
          <w:lang w:val="en-US" w:eastAsia="zh-CN"/>
        </w:rPr>
        <w:t>情节严重的永久</w:t>
      </w:r>
      <w:r>
        <w:rPr>
          <w:rFonts w:hint="eastAsia" w:ascii="宋体" w:hAnsi="宋体" w:eastAsia="宋体" w:cs="宋体"/>
          <w:sz w:val="24"/>
          <w:szCs w:val="24"/>
          <w:highlight w:val="none"/>
        </w:rPr>
        <w:t>取消其</w:t>
      </w:r>
      <w:r>
        <w:rPr>
          <w:rFonts w:hint="eastAsia" w:ascii="宋体" w:hAnsi="宋体" w:eastAsia="宋体" w:cs="宋体"/>
          <w:sz w:val="24"/>
          <w:szCs w:val="24"/>
          <w:highlight w:val="none"/>
          <w:lang w:val="en-US" w:eastAsia="zh-CN"/>
        </w:rPr>
        <w:t>与我队的劳务协作项目</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3、乙方</w:t>
      </w:r>
      <w:r>
        <w:rPr>
          <w:rFonts w:hint="eastAsia" w:ascii="宋体" w:hAnsi="宋体" w:eastAsia="宋体" w:cs="宋体"/>
          <w:sz w:val="24"/>
          <w:szCs w:val="24"/>
          <w:highlight w:val="none"/>
        </w:rPr>
        <w:t>勘探工作需按照国家文物局颁布实施的《田野考古工作规程》、《考古勘探工作规程》（试行）严格实施，应结合传统勘探手段，科学、高效的获取地下文化遗存信息。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4、乙方</w:t>
      </w:r>
      <w:r>
        <w:rPr>
          <w:rFonts w:hint="eastAsia" w:ascii="宋体" w:hAnsi="宋体" w:eastAsia="宋体" w:cs="宋体"/>
          <w:sz w:val="24"/>
          <w:szCs w:val="24"/>
          <w:highlight w:val="none"/>
        </w:rPr>
        <w:t>勘探单位应确定专门的负责人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具备文物相关职称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、探工</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要有探工证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、测绘员、资料员等组成勘探队伍，做到科学组织、分工明确。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5、乙方</w:t>
      </w:r>
      <w:r>
        <w:rPr>
          <w:rFonts w:hint="eastAsia" w:ascii="宋体" w:hAnsi="宋体" w:eastAsia="宋体" w:cs="宋体"/>
          <w:sz w:val="24"/>
          <w:szCs w:val="24"/>
          <w:highlight w:val="none"/>
        </w:rPr>
        <w:t>勘探工作实施前，应制定科学、详实的工作计划，明确工作任务、技术路线、人员分工和职责、工作进度、文物保护措施和应急预案等。考古勘探工作计划是考古勘探工作检查、验收的重要依据。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6、乙方</w:t>
      </w:r>
      <w:r>
        <w:rPr>
          <w:rFonts w:hint="eastAsia" w:ascii="宋体" w:hAnsi="宋体" w:eastAsia="宋体" w:cs="宋体"/>
          <w:sz w:val="24"/>
          <w:szCs w:val="24"/>
          <w:highlight w:val="none"/>
        </w:rPr>
        <w:t>对勘探出的遗迹要详细测量和准确记录。测量设备包括全站仪、RTK等，采用数字化技术记录时，应配备笔记本电脑、平板电脑等移动电子设备，及时记录、存储和处理所获数据。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勘探单位实施勘探作业时，工作人员应统一着装， 服装上应有统一标识，佩戴工作证。工作证（牌）上应注明勘探单位、姓名、职务、工种等信息，并附本人照片。勘探装备、测绘装备、工地车辆及临时设施上应设置明确的勘探单位标识。勘探工地应设置必要的标识、围挡，说明作业区域范围、勘探工作基本信息和危险地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8、乙方</w:t>
      </w:r>
      <w:r>
        <w:rPr>
          <w:rFonts w:hint="eastAsia" w:ascii="宋体" w:hAnsi="宋体" w:eastAsia="宋体" w:cs="宋体"/>
          <w:sz w:val="24"/>
          <w:szCs w:val="24"/>
          <w:highlight w:val="none"/>
        </w:rPr>
        <w:t>工作开始前，勘探单位应根据《考古勘探工作规程》（试行）要求，确定勘探分区与勘探单元。根据建设单位提供的测绘控制点，设置勘探坐标原点，构建测控系统，以保证测绘数据与城乡规划坐标系统相对接。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9、乙方</w:t>
      </w:r>
      <w:r>
        <w:rPr>
          <w:rFonts w:hint="eastAsia" w:ascii="宋体" w:hAnsi="宋体" w:eastAsia="宋体" w:cs="宋体"/>
          <w:sz w:val="24"/>
          <w:szCs w:val="24"/>
          <w:highlight w:val="none"/>
        </w:rPr>
        <w:t>勘探工作实施前，应明确布孔方法与勘探孔距。并绘制勘探区域探孔布设平面示意图，作为工作依据及检查验收的必备材料。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10、乙方</w:t>
      </w:r>
      <w:r>
        <w:rPr>
          <w:rFonts w:hint="eastAsia" w:ascii="宋体" w:hAnsi="宋体" w:eastAsia="宋体" w:cs="宋体"/>
          <w:sz w:val="24"/>
          <w:szCs w:val="24"/>
          <w:highlight w:val="none"/>
        </w:rPr>
        <w:t>勘探应根据地形地势采用等距梅花状布孔法，探孔应错列分布。采用每平方米布孔5个梅花点进行勘探工作，以准确掌握地下遗存分布情况。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11、乙方</w:t>
      </w:r>
      <w:r>
        <w:rPr>
          <w:rFonts w:hint="eastAsia" w:ascii="宋体" w:hAnsi="宋体" w:eastAsia="宋体" w:cs="宋体"/>
          <w:sz w:val="24"/>
          <w:szCs w:val="24"/>
          <w:highlight w:val="none"/>
        </w:rPr>
        <w:t>勘探作业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勘探单位应按照勘探工作计划，对勘探区域进行普探和重点卡探，并科学研判地下遗存类型。探孔深度应到达原生地层，重要遗迹应尽量减少穿透式勘探。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（一）普探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1、普探是在勘探区域内逐行勘探，提取土样并记录。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2、探孔应排列规整，土样依次摆放整齐。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3、探孔记录应包括各堆积层距离地面的深度、土质土色、致密度、包含物、堆积状况研判结论等。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4、发现遗迹现象时，应现场在探孔布设图上标注记号。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5、探孔内文物标本采集和样品采样时，均应以探孔为出土单位登记，采集或采样标签应填写规范。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6、应选择最能够反映堆积特征、有利于研判遗迹单位性质的探孔作为标准探孔。标准探孔除进行文字记录外，须现场留取图像清晰、色彩真实的探孔土样的照片记录。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（二）重点卡探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1、发现重要遗迹现象时，应进行重点卡探，进一步掌握遗迹形制，探明堆积范围、厚度。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2、堆积特征清楚、明确的大型夯土建筑遗迹等，应重点确认夯土遗存，以少量探孔进行穿透式勘探，了解遗迹堆积和叠压状况。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3、古墓葬应探至墓口，重点确定墓葬开口形状，尽量少的探孔数量确定深度信息。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4、重要遗迹应布设“十”字形排孔，了解遗迹的纵、横剖面及堆积情况。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5、重点卡探的所有探孔及堆积信息，均应标注在勘探单元探孔布设图上。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（三）遗迹研判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1、应根据遗迹形制、土样、提取物性状等，初步分析遗迹类型、性质，现场记录研判结果。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2、记录内容应包括分布范围（含涉及探孔编号）、埋藏情况（距现地表深度和开口层位）、形制结构、堆积状况（含与相关遗迹关系）、保存状况等，绘制平、剖面图。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3、土样中包含物或遗迹形制特征明显时，应初步判断遗迹年代。遗迹单位确认后，应及时在勘探单元探孔布设图上标注遗迹单元的平面形制。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（四）遗迹编号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经考古勘探发现、并初步确认的遗迹单位，应以勘探分区为单位统一编号。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（五）堆积记录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1、勘探过程中，应做好地层堆积描述和遗迹单位记录。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2、探孔记录应以勘探单元为单位，采用表格形式。内容应包括勘探分区、勘探单元、探孔编号、探孔三维坐标、地层堆积（包括距现地表深度、土质、土色、致密度、包含物、堆积性质、采集遗物等）等。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3、探孔地层堆积特性的判断和描述按照以下方式进行：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（1）土色。描述顺序依次为土色的深浅、色调、主色。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（2）土质。一般分为黏土和淤泥（土）。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根据土中包含物颗粒状况，又可以分为粉沙（直径小于0.1毫米）、细沙(直径0.1-0.25毫米)、粗沙(直径0.25-2.0毫米)、砾石/卵石（直径大于2.0毫米，细砾2-64毫米，粗砾64-256毫米）等。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（3）致密度。判断土壤致密程度，包括疏松、较疏松、较致密、致密等。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判断参考标准为：疏松——非常轻易用手碾碎；较疏松——较容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易用手碾碎；较致密——需用力才能用手捻碎；致密——几乎无法用手捻碎等。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（六）文物标本采集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采集文物标本时，应以探孔为单位，准确记录文物标本被发现时的三维坐标信息，并说明埋藏环境。采集的文物标本应在工作完成后连同各项资料及时移交至基建考古办公室。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12、乙方</w:t>
      </w:r>
      <w:r>
        <w:rPr>
          <w:rFonts w:hint="eastAsia" w:ascii="宋体" w:hAnsi="宋体" w:eastAsia="宋体" w:cs="宋体"/>
          <w:sz w:val="24"/>
          <w:szCs w:val="24"/>
          <w:highlight w:val="none"/>
        </w:rPr>
        <w:t>测绘成图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（一）应在既有测绘系统的基础上，利用全站仪或RTK等测绘仪器测量遗迹单位，并绘制勘探区域平面图。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（二）测绘图须注明图名、图号、比例、绘图者、审定者、绘图日期、图例、方向等必要说明。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13、乙方</w:t>
      </w:r>
      <w:r>
        <w:rPr>
          <w:rFonts w:hint="eastAsia" w:ascii="宋体" w:hAnsi="宋体" w:eastAsia="宋体" w:cs="宋体"/>
          <w:sz w:val="24"/>
          <w:szCs w:val="24"/>
          <w:highlight w:val="none"/>
        </w:rPr>
        <w:t>勘探单位要严格执行勘探工作标准与要求，规范各类图文记录，注意做好确保勘探信息保密工作。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二、合同金额及工作时间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勘探费用计人民币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、上述工程从20</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日开始至20</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日结束。其中因甲方要求或雨雪天气及其他不可抗拒外力而造成的延误，工期顺延。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三、付款方式：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（1）合同生效后1个工作日内，支付合同总价的40%作为预付款。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（2）勘探工作完成后，支付合同总价的50%作为进度款。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（3）勘探报告编制完成后，支付合同总价的10%作为尾款。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 xml:space="preserve"> 检查验收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勘探项目需进行中期检查与结项验收。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需进行中期检查的，勘探工作进行到百分之五十时，勘探单位向</w:t>
      </w:r>
      <w:r>
        <w:rPr>
          <w:rFonts w:hint="eastAsia" w:ascii="宋体" w:hAnsi="宋体" w:eastAsia="宋体" w:cs="宋体"/>
          <w:sz w:val="24"/>
          <w:szCs w:val="24"/>
          <w:highlight w:val="none"/>
          <w:lang w:val="en-US" w:eastAsia="zh-CN"/>
        </w:rPr>
        <w:t>业务办</w:t>
      </w:r>
      <w:r>
        <w:rPr>
          <w:rFonts w:hint="eastAsia" w:ascii="宋体" w:hAnsi="宋体" w:eastAsia="宋体" w:cs="宋体"/>
          <w:sz w:val="24"/>
          <w:szCs w:val="24"/>
          <w:highlight w:val="none"/>
        </w:rPr>
        <w:t>提交中期检查申请单。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业务办根据勘探项目所在地、遗迹类别、时代等信息，安排人员进行现场检查与项目验收，并出具检查或验收意见书，并将验收报告交政府采购办、</w:t>
      </w:r>
      <w:r>
        <w:rPr>
          <w:rFonts w:hint="eastAsia" w:ascii="宋体" w:hAnsi="宋体" w:eastAsia="宋体" w:cs="宋体"/>
          <w:sz w:val="24"/>
          <w:szCs w:val="24"/>
          <w:highlight w:val="none"/>
          <w:lang w:val="en-US" w:eastAsia="zh-CN"/>
        </w:rPr>
        <w:t>业务</w:t>
      </w:r>
      <w:r>
        <w:rPr>
          <w:rFonts w:hint="eastAsia" w:ascii="宋体" w:hAnsi="宋体" w:eastAsia="宋体" w:cs="宋体"/>
          <w:sz w:val="24"/>
          <w:szCs w:val="24"/>
          <w:highlight w:val="none"/>
        </w:rPr>
        <w:t>办公室备案。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验收时要求：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1、勘探要求。能够了解和记录遗迹位置、范围、形制结构、堆积状况，遗址性质和价值的研判准确、科学。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2、记录要求。图文资料、影像记录、基础数据等齐备、规范，编写完成考古勘探工作报告。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3、布孔要求。一般情况下，布孔密度为1米×1米梅花状孔网。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4、深度要求。普探以探至生土为止。如发现遗迹，以能够确定范围边界、遗迹表面（或开口）埋藏深度和自身堆积厚度（或深度） 为止。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验收合格后，勘探单位应组织人员将所有探孔用素土或纯净沙土回填、夯实。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资料管理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勘探资料包括工作日志、考勤表、遗迹登记表、现场探孔布设图、勘探区域总平面图、重点遗迹平剖面图、勘探工作照片等。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勘探工作完成、并经验收合格后，勘探单位应及时组织编写符合我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要求的工作报告，并连同勘探资料、文物标本一同移交考古</w:t>
      </w:r>
      <w:r>
        <w:rPr>
          <w:rFonts w:hint="eastAsia" w:ascii="宋体" w:hAnsi="宋体" w:eastAsia="宋体" w:cs="宋体"/>
          <w:sz w:val="24"/>
          <w:szCs w:val="24"/>
          <w:highlight w:val="none"/>
          <w:lang w:val="en-US" w:eastAsia="zh-CN"/>
        </w:rPr>
        <w:t>队业务</w:t>
      </w:r>
      <w:r>
        <w:rPr>
          <w:rFonts w:hint="eastAsia" w:ascii="宋体" w:hAnsi="宋体" w:eastAsia="宋体" w:cs="宋体"/>
          <w:sz w:val="24"/>
          <w:szCs w:val="24"/>
          <w:highlight w:val="none"/>
        </w:rPr>
        <w:t>办公室。《考古勘探工作报告》</w:t>
      </w:r>
      <w:r>
        <w:rPr>
          <w:rFonts w:hint="eastAsia" w:ascii="宋体" w:hAnsi="宋体" w:eastAsia="宋体" w:cs="宋体"/>
          <w:sz w:val="24"/>
          <w:szCs w:val="24"/>
          <w:highlight w:val="none"/>
          <w:lang w:val="en-US" w:eastAsia="zh-CN"/>
        </w:rPr>
        <w:t>壹式六份及电子版</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处罚措施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勘探单位必须严格遵守国家法律、法规及省文物主管部门关于考古勘探的相关规定。有下列行为之一，视情节轻重，予以相应处理。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签订协议的勘探单位，不得拖欠工人与所雇用当地群众的工资及其他各类费用，由此对我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声誉造成影响的，视情况给予警告、停工整顿</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情节严重的永不得在我队开展勘探项目</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2、勘探工作结束后未及时提交《考古</w:t>
      </w:r>
      <w:r>
        <w:rPr>
          <w:rFonts w:hint="eastAsia" w:ascii="宋体" w:hAnsi="宋体" w:eastAsia="宋体" w:cs="宋体"/>
          <w:sz w:val="24"/>
          <w:szCs w:val="24"/>
          <w:highlight w:val="none"/>
          <w:lang w:val="en-US" w:eastAsia="zh-CN"/>
        </w:rPr>
        <w:t>调查</w:t>
      </w:r>
      <w:r>
        <w:rPr>
          <w:rFonts w:hint="eastAsia" w:ascii="宋体" w:hAnsi="宋体" w:eastAsia="宋体" w:cs="宋体"/>
          <w:sz w:val="24"/>
          <w:szCs w:val="24"/>
          <w:highlight w:val="none"/>
        </w:rPr>
        <w:t>勘探</w:t>
      </w:r>
      <w:r>
        <w:rPr>
          <w:rFonts w:hint="eastAsia" w:ascii="宋体" w:hAnsi="宋体" w:eastAsia="宋体" w:cs="宋体"/>
          <w:sz w:val="24"/>
          <w:szCs w:val="24"/>
          <w:highlight w:val="none"/>
          <w:lang w:val="en-US" w:eastAsia="zh-CN"/>
        </w:rPr>
        <w:t>工作</w:t>
      </w:r>
      <w:r>
        <w:rPr>
          <w:rFonts w:hint="eastAsia" w:ascii="宋体" w:hAnsi="宋体" w:eastAsia="宋体" w:cs="宋体"/>
          <w:sz w:val="24"/>
          <w:szCs w:val="24"/>
          <w:highlight w:val="none"/>
        </w:rPr>
        <w:t>报告》与资料的，每延迟一天，扣除协议金额的1‰。探孔密度、深度不符合标准者必须补探，按照双方签署的协议扣除一定比例的经费；由于未及时申请中期检查、结项验收而导致项目已施工而无法检查、验收，按照协议扣除项目尾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3、未收到“考古勘探项目通知书”，擅自进行考古勘探的单位，由我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向相关单位发函，3个月内不得参与我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实施的勘探项目。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4、因管理或技术原因，在施工中发生漏探、漏报，隐匿不报的，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年之内不得参与我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实施的勘探项目，并追回所转协议款项。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5、造成古遗址、古墓葬和珍贵文物损毁构成犯罪或引起重大社会影响的，勘探单位及负责人永久不得参与我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实施的勘探项目，并追回所转协议款项，并依法追究违法责任。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6、劳务单位未经考古</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同意</w:t>
      </w:r>
      <w:r>
        <w:rPr>
          <w:rFonts w:hint="eastAsia" w:ascii="宋体" w:hAnsi="宋体" w:eastAsia="宋体" w:cs="宋体"/>
          <w:sz w:val="24"/>
          <w:szCs w:val="24"/>
          <w:highlight w:val="none"/>
          <w:lang w:val="en-US" w:eastAsia="zh-CN"/>
        </w:rPr>
        <w:t>不得</w:t>
      </w:r>
      <w:r>
        <w:rPr>
          <w:rFonts w:hint="eastAsia" w:ascii="宋体" w:hAnsi="宋体" w:eastAsia="宋体" w:cs="宋体"/>
          <w:sz w:val="24"/>
          <w:szCs w:val="24"/>
          <w:highlight w:val="none"/>
        </w:rPr>
        <w:t>先行进场开展考古勘探；不得在同行业内出现相互不正当竞争；不得出现漏探、少探等情况；不得做出有损我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利益与名誉等事件。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7、附则与劳务合同具有同等法律效力。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本协议一式四份，甲乙双方各执二份。本协议自签字、盖章之日起生效。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5760" w:hanging="4320" w:hangingChars="18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甲方：榆林市文物考古勘探工作队     乙方：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法人：                           法人：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委托代表人：                     委托代表人：</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2023</w:t>
      </w:r>
      <w:r>
        <w:rPr>
          <w:rFonts w:hint="eastAsia" w:ascii="宋体" w:hAnsi="宋体" w:eastAsia="宋体" w:cs="宋体"/>
          <w:sz w:val="24"/>
          <w:szCs w:val="24"/>
          <w:highlight w:val="none"/>
        </w:rPr>
        <w:t>年   月   日</w:t>
      </w:r>
    </w:p>
    <w:p>
      <w:pPr>
        <w:rPr>
          <w:rFonts w:eastAsia="宋体"/>
          <w:highlight w:val="none"/>
        </w:rPr>
      </w:pPr>
    </w:p>
    <w:p>
      <w:pPr>
        <w:spacing w:line="360" w:lineRule="auto"/>
        <w:ind w:firstLine="482" w:firstLineChars="200"/>
        <w:rPr>
          <w:rFonts w:hint="eastAsia" w:ascii="宋体" w:hAnsi="宋体" w:eastAsia="宋体" w:cs="宋体"/>
          <w:highlight w:val="none"/>
        </w:rPr>
      </w:pPr>
      <w:r>
        <w:rPr>
          <w:rFonts w:hint="eastAsia" w:ascii="宋体" w:hAnsi="宋体" w:eastAsia="宋体" w:cs="宋体"/>
          <w:b/>
          <w:color w:val="000000"/>
          <w:sz w:val="24"/>
          <w:highlight w:val="none"/>
        </w:rPr>
        <w:t>注：本合同</w:t>
      </w:r>
      <w:r>
        <w:rPr>
          <w:rFonts w:hint="eastAsia" w:ascii="宋体" w:hAnsi="宋体" w:eastAsia="宋体" w:cs="宋体"/>
          <w:b/>
          <w:color w:val="000000"/>
          <w:sz w:val="24"/>
          <w:highlight w:val="none"/>
          <w:lang w:val="en-US" w:eastAsia="zh-CN"/>
        </w:rPr>
        <w:t>仅供参考</w:t>
      </w:r>
      <w:r>
        <w:rPr>
          <w:rFonts w:hint="eastAsia" w:ascii="宋体" w:hAnsi="宋体" w:eastAsia="宋体" w:cs="宋体"/>
          <w:b/>
          <w:color w:val="000000"/>
          <w:sz w:val="24"/>
          <w:highlight w:val="none"/>
        </w:rPr>
        <w:t>，使用过程中，请结合具体项目，充实细化。</w:t>
      </w:r>
    </w:p>
    <w:p>
      <w:pPr>
        <w:pStyle w:val="5"/>
        <w:spacing w:before="20" w:after="20" w:line="360" w:lineRule="auto"/>
        <w:jc w:val="center"/>
        <w:outlineLvl w:val="0"/>
        <w:rPr>
          <w:rFonts w:hint="eastAsia" w:ascii="宋体" w:hAnsi="宋体" w:cs="宋体"/>
          <w:b w:val="0"/>
          <w:bCs/>
          <w:szCs w:val="32"/>
          <w:highlight w:val="none"/>
        </w:rPr>
      </w:pPr>
      <w:r>
        <w:rPr>
          <w:rFonts w:hint="eastAsia"/>
          <w:sz w:val="32"/>
          <w:szCs w:val="15"/>
          <w:highlight w:val="none"/>
        </w:rPr>
        <w:br w:type="page"/>
      </w:r>
      <w:bookmarkStart w:id="164" w:name="_Toc14673"/>
      <w:r>
        <w:rPr>
          <w:rFonts w:hint="eastAsia"/>
          <w:sz w:val="32"/>
          <w:szCs w:val="15"/>
          <w:highlight w:val="none"/>
        </w:rPr>
        <w:t>第五部分 评标方法</w:t>
      </w:r>
      <w:bookmarkEnd w:id="158"/>
      <w:bookmarkEnd w:id="159"/>
      <w:bookmarkEnd w:id="160"/>
      <w:bookmarkEnd w:id="161"/>
      <w:bookmarkEnd w:id="162"/>
      <w:bookmarkEnd w:id="163"/>
      <w:bookmarkEnd w:id="164"/>
    </w:p>
    <w:p>
      <w:pPr>
        <w:spacing w:line="360" w:lineRule="auto"/>
        <w:ind w:firstLine="482" w:firstLineChars="200"/>
        <w:outlineLvl w:val="1"/>
        <w:rPr>
          <w:rFonts w:hint="eastAsia" w:ascii="宋体" w:hAnsi="宋体" w:cs="宋体"/>
          <w:b/>
          <w:bCs/>
          <w:sz w:val="24"/>
          <w:szCs w:val="24"/>
          <w:highlight w:val="none"/>
        </w:rPr>
      </w:pPr>
      <w:bookmarkStart w:id="165" w:name="_Toc19252"/>
      <w:bookmarkStart w:id="166" w:name="_Toc12117"/>
      <w:bookmarkStart w:id="167" w:name="_Toc30388"/>
      <w:r>
        <w:rPr>
          <w:rFonts w:hint="eastAsia" w:ascii="宋体" w:hAnsi="宋体" w:cs="宋体"/>
          <w:b/>
          <w:bCs/>
          <w:sz w:val="24"/>
          <w:szCs w:val="24"/>
          <w:highlight w:val="none"/>
        </w:rPr>
        <w:t>1、第一阶段：资格性审查</w:t>
      </w:r>
      <w:bookmarkEnd w:id="165"/>
      <w:bookmarkEnd w:id="166"/>
      <w:bookmarkEnd w:id="16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依据法律法规和谈判文件的规定，对所有供应商的商务部分中的资格证明（包括信用情况）、投标保证金等进行审查</w:t>
      </w:r>
      <w:r>
        <w:rPr>
          <w:rFonts w:hint="eastAsia" w:ascii="宋体" w:hAnsi="宋体" w:cs="宋体"/>
          <w:sz w:val="24"/>
          <w:szCs w:val="24"/>
          <w:highlight w:val="none"/>
          <w:lang w:val="en-US" w:eastAsia="zh-CN"/>
        </w:rPr>
        <w:t>见下表</w:t>
      </w:r>
      <w:r>
        <w:rPr>
          <w:rFonts w:hint="eastAsia" w:ascii="宋体" w:hAnsi="宋体" w:cs="宋体"/>
          <w:sz w:val="24"/>
          <w:szCs w:val="24"/>
          <w:highlight w:val="none"/>
        </w:rPr>
        <w:t>，并确定供应商是否具备谈判资格，填写资格审查表并签字确认。</w:t>
      </w:r>
    </w:p>
    <w:tbl>
      <w:tblPr>
        <w:tblStyle w:val="3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218"/>
        <w:gridCol w:w="6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序号</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审查项</w:t>
            </w:r>
          </w:p>
        </w:tc>
        <w:tc>
          <w:tcPr>
            <w:tcW w:w="3375"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w:t>
            </w:r>
          </w:p>
        </w:tc>
        <w:tc>
          <w:tcPr>
            <w:tcW w:w="1114"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营业执照</w:t>
            </w:r>
          </w:p>
        </w:tc>
        <w:tc>
          <w:tcPr>
            <w:tcW w:w="3375" w:type="pct"/>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jc w:val="both"/>
              <w:textAlignment w:val="baseline"/>
              <w:rPr>
                <w:rFonts w:hint="eastAsia" w:ascii="宋体" w:hAnsi="宋体" w:eastAsia="宋体" w:cs="宋体"/>
                <w:sz w:val="24"/>
                <w:szCs w:val="24"/>
                <w:highlight w:val="none"/>
                <w:vertAlign w:val="baseline"/>
                <w:lang w:eastAsia="zh-CN"/>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须具备独立承担民事责任能力的法人或其他组织，并出具合法有效的营业执照或事业单位法人证书等国家规定的相关证明；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2</w:t>
            </w:r>
          </w:p>
        </w:tc>
        <w:tc>
          <w:tcPr>
            <w:tcW w:w="1114" w:type="pct"/>
            <w:vAlign w:val="center"/>
          </w:tcPr>
          <w:p>
            <w:pPr>
              <w:keepNext w:val="0"/>
              <w:keepLines w:val="0"/>
              <w:widowControl/>
              <w:suppressLineNumbers w:val="0"/>
              <w:spacing w:before="0" w:beforeAutospacing="0" w:after="0" w:afterAutospacing="0" w:line="360" w:lineRule="auto"/>
              <w:ind w:right="0"/>
              <w:jc w:val="center"/>
              <w:rPr>
                <w:rFonts w:hint="default" w:ascii="宋体" w:hAnsi="宋体" w:eastAsia="宋体" w:cs="宋体"/>
                <w:kern w:val="0"/>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文物考古勘探能力的证明材料</w:t>
            </w:r>
          </w:p>
        </w:tc>
        <w:tc>
          <w:tcPr>
            <w:tcW w:w="3375" w:type="pct"/>
            <w:vAlign w:val="center"/>
          </w:tcPr>
          <w:p>
            <w:pPr>
              <w:widowControl w:val="0"/>
              <w:spacing w:line="360" w:lineRule="auto"/>
              <w:ind w:left="0" w:leftChars="0" w:firstLine="0" w:firstLineChars="0"/>
              <w:jc w:val="both"/>
              <w:rPr>
                <w:rFonts w:hint="default" w:ascii="宋体" w:hAnsi="宋体" w:eastAsia="宋体" w:cs="宋体"/>
                <w:kern w:val="2"/>
                <w:sz w:val="24"/>
                <w:szCs w:val="24"/>
                <w:highlight w:val="none"/>
                <w:vertAlign w:val="baseline"/>
                <w:lang w:val="en-US" w:eastAsia="zh-CN" w:bidi="ar-SA"/>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须提供完成本项目文物考古勘探能力的证明材料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3</w:t>
            </w:r>
          </w:p>
        </w:tc>
        <w:tc>
          <w:tcPr>
            <w:tcW w:w="1114" w:type="pct"/>
            <w:vAlign w:val="center"/>
          </w:tcPr>
          <w:p>
            <w:pPr>
              <w:widowControl w:val="0"/>
              <w:spacing w:line="360" w:lineRule="auto"/>
              <w:ind w:firstLine="42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财务状况报告</w:t>
            </w:r>
          </w:p>
        </w:tc>
        <w:tc>
          <w:tcPr>
            <w:tcW w:w="3375" w:type="pct"/>
            <w:vAlign w:val="center"/>
          </w:tcPr>
          <w:p>
            <w:pPr>
              <w:keepNext w:val="0"/>
              <w:keepLines w:val="0"/>
              <w:widowControl/>
              <w:suppressLineNumbers w:val="0"/>
              <w:spacing w:before="0" w:beforeAutospacing="0" w:after="0" w:afterAutospacing="0" w:line="360" w:lineRule="auto"/>
              <w:ind w:right="0"/>
              <w:jc w:val="both"/>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4</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税收缴纳证明</w:t>
            </w:r>
          </w:p>
        </w:tc>
        <w:tc>
          <w:tcPr>
            <w:tcW w:w="3375" w:type="pct"/>
            <w:vAlign w:val="center"/>
          </w:tcPr>
          <w:p>
            <w:pPr>
              <w:keepNext w:val="0"/>
              <w:keepLines w:val="0"/>
              <w:widowControl/>
              <w:suppressLineNumbers w:val="0"/>
              <w:spacing w:before="0" w:beforeAutospacing="0" w:after="0" w:afterAutospacing="0" w:line="360" w:lineRule="auto"/>
              <w:ind w:right="0"/>
              <w:jc w:val="left"/>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提供2022年</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9</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月份至今已缴纳的至少一个月的纳税证明或完税证明，依法免税的单位应提供相关证明材料（任意税种）；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5</w:t>
            </w:r>
          </w:p>
        </w:tc>
        <w:tc>
          <w:tcPr>
            <w:tcW w:w="1114" w:type="pct"/>
            <w:vAlign w:val="center"/>
          </w:tcPr>
          <w:p>
            <w:pPr>
              <w:widowControl w:val="0"/>
              <w:spacing w:line="360" w:lineRule="auto"/>
              <w:ind w:firstLine="42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社会保障资金缴纳证明</w:t>
            </w:r>
          </w:p>
        </w:tc>
        <w:tc>
          <w:tcPr>
            <w:tcW w:w="3375" w:type="pct"/>
            <w:vAlign w:val="center"/>
          </w:tcPr>
          <w:p>
            <w:pPr>
              <w:keepNext w:val="0"/>
              <w:keepLines w:val="0"/>
              <w:widowControl/>
              <w:suppressLineNumbers w:val="0"/>
              <w:spacing w:beforeAutospacing="1" w:afterAutospacing="1" w:line="360" w:lineRule="auto"/>
              <w:jc w:val="left"/>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提供2022年</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9</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月份至今已缴存的至少一个月的社会保障资金缴存单据，依法不需要缴纳社会保障资金的单位应提供相关证明材料；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6</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书面声明</w:t>
            </w:r>
          </w:p>
        </w:tc>
        <w:tc>
          <w:tcPr>
            <w:tcW w:w="3375" w:type="pct"/>
            <w:vAlign w:val="center"/>
          </w:tcPr>
          <w:p>
            <w:pPr>
              <w:widowControl w:val="0"/>
              <w:spacing w:line="360" w:lineRule="auto"/>
              <w:ind w:left="0" w:leftChars="0" w:firstLine="0" w:firstLineChars="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9"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7</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信誉要求</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、法定代表人）；不得为中国政府采购网（www.ccgp.gov.cn）政府采购严重违法失信行为记录名单中被财政部门禁止参加政府采购活动的</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（提供信用中国网站下载的</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信用信息信用报告和网查截图全部加盖</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8</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非联合体</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本项目不接受联合体投标，单位负责人为同一人或者存在直接控股、管理关系的不同</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3"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9</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信用中国（陕西榆林）</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应在“信用中国（陕西榆林）”网站进行注册、登录，自主上报信用承诺书（网址：https://credit.yl.gov.cn/）。承诺事项：《榆林市政府采购工程类/货物类/服务类项目</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信用承诺书》，需上传承诺附件；承诺有效期为一年。</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需提供信用中国（陕西榆林）上报成功的网查截图及榆林市政府采购货物类项目</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信用承诺书原件详见附件)；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10</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投标保证金</w:t>
            </w:r>
          </w:p>
        </w:tc>
        <w:tc>
          <w:tcPr>
            <w:tcW w:w="3375" w:type="pct"/>
            <w:vAlign w:val="center"/>
          </w:tcPr>
          <w:p>
            <w:pPr>
              <w:widowControl w:val="0"/>
              <w:spacing w:line="360" w:lineRule="auto"/>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投标信用承诺书代替投标保证金。需在网上提交投标信用(保证金）承诺或承诺书网上截图附在响应文件中。（截图示例及承诺书格式详见谈判文件格式）；</w:t>
            </w:r>
          </w:p>
        </w:tc>
      </w:tr>
    </w:tbl>
    <w:p>
      <w:pPr>
        <w:rPr>
          <w:rFonts w:hint="eastAsia" w:ascii="宋体" w:hAnsi="宋体" w:cs="宋体"/>
          <w:b/>
          <w:bCs/>
          <w:sz w:val="24"/>
          <w:szCs w:val="24"/>
          <w:highlight w:val="none"/>
        </w:rPr>
      </w:pPr>
      <w:bookmarkStart w:id="168" w:name="_Toc20309"/>
      <w:bookmarkStart w:id="169" w:name="_Toc24423"/>
      <w:r>
        <w:rPr>
          <w:rFonts w:hint="eastAsia" w:ascii="宋体" w:hAnsi="宋体" w:cs="宋体"/>
          <w:b/>
          <w:bCs/>
          <w:sz w:val="24"/>
          <w:szCs w:val="24"/>
          <w:highlight w:val="none"/>
        </w:rPr>
        <w:br w:type="page"/>
      </w:r>
    </w:p>
    <w:p>
      <w:pPr>
        <w:spacing w:line="360" w:lineRule="auto"/>
        <w:ind w:firstLine="482" w:firstLineChars="200"/>
        <w:outlineLvl w:val="1"/>
        <w:rPr>
          <w:rFonts w:hint="eastAsia" w:ascii="宋体" w:hAnsi="宋体" w:cs="宋体"/>
          <w:b/>
          <w:bCs/>
          <w:sz w:val="24"/>
          <w:szCs w:val="24"/>
          <w:highlight w:val="none"/>
        </w:rPr>
      </w:pPr>
      <w:bookmarkStart w:id="170" w:name="_Toc25238"/>
      <w:r>
        <w:rPr>
          <w:rFonts w:hint="eastAsia" w:ascii="宋体" w:hAnsi="宋体" w:cs="宋体"/>
          <w:b/>
          <w:bCs/>
          <w:sz w:val="24"/>
          <w:szCs w:val="24"/>
          <w:highlight w:val="none"/>
        </w:rPr>
        <w:t>2、第二阶段：符合性审查</w:t>
      </w:r>
      <w:bookmarkEnd w:id="168"/>
      <w:bookmarkEnd w:id="169"/>
      <w:bookmarkEnd w:id="170"/>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rPr>
        <w:t>2.1谈判小组依据谈判文件的规定，对供应商的响应文件的有效性、完整性以及对谈判文件的响应程度进行审查，以确定是否对谈判文件的实质性要求作出响应。</w:t>
      </w:r>
      <w:r>
        <w:rPr>
          <w:rFonts w:hint="eastAsia" w:ascii="宋体" w:hAnsi="宋体" w:cs="宋体"/>
          <w:sz w:val="24"/>
          <w:szCs w:val="24"/>
          <w:highlight w:val="none"/>
          <w:lang w:val="en-US" w:eastAsia="zh-CN"/>
        </w:rPr>
        <w:t>详见附表一</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在资格性和符合性审查同时，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附表一：</w:t>
      </w:r>
    </w:p>
    <w:tbl>
      <w:tblPr>
        <w:tblStyle w:val="31"/>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2350"/>
        <w:gridCol w:w="6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序号</w:t>
            </w:r>
          </w:p>
        </w:tc>
        <w:tc>
          <w:tcPr>
            <w:tcW w:w="2350"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符合性审查项</w:t>
            </w:r>
          </w:p>
        </w:tc>
        <w:tc>
          <w:tcPr>
            <w:tcW w:w="6970"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rPr>
            </w:pPr>
            <w:r>
              <w:rPr>
                <w:rFonts w:ascii="Times New Roman" w:hAnsi="Times New Roman" w:eastAsia="宋体" w:cs="Times New Roman"/>
                <w:sz w:val="24"/>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1</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before="212" w:line="324" w:lineRule="auto"/>
              <w:ind w:left="171" w:leftChars="0" w:right="43" w:rightChars="0" w:hanging="120" w:firstLine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纸质响应文件正、副本数量及装订方式</w:t>
            </w:r>
          </w:p>
        </w:tc>
        <w:tc>
          <w:tcPr>
            <w:tcW w:w="6970" w:type="dxa"/>
            <w:vAlign w:val="center"/>
          </w:tcPr>
          <w:p>
            <w:pPr>
              <w:keepNext w:val="0"/>
              <w:keepLines w:val="0"/>
              <w:pageBreakBefore w:val="0"/>
              <w:widowControl w:val="0"/>
              <w:kinsoku/>
              <w:wordWrap/>
              <w:overflowPunct/>
              <w:topLinePunct w:val="0"/>
              <w:autoSpaceDE/>
              <w:autoSpaceDN/>
              <w:bidi w:val="0"/>
              <w:adjustRightInd/>
              <w:snapToGrid/>
              <w:spacing w:line="324" w:lineRule="auto"/>
              <w:ind w:right="91" w:rightChars="0"/>
              <w:jc w:val="both"/>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均符合竞争性谈判文件要求。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2</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响应文件签署、盖章</w:t>
            </w:r>
          </w:p>
        </w:tc>
        <w:tc>
          <w:tcPr>
            <w:tcW w:w="6970" w:type="dxa"/>
            <w:vAlign w:val="center"/>
          </w:tcPr>
          <w:p>
            <w:pPr>
              <w:keepNext w:val="0"/>
              <w:keepLines w:val="0"/>
              <w:pageBreakBefore w:val="0"/>
              <w:widowControl w:val="0"/>
              <w:kinsoku/>
              <w:wordWrap/>
              <w:overflowPunct/>
              <w:topLinePunct w:val="0"/>
              <w:autoSpaceDE/>
              <w:autoSpaceDN/>
              <w:bidi w:val="0"/>
              <w:adjustRightInd/>
              <w:snapToGrid/>
              <w:spacing w:before="13"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均按竞争性谈判文件要求进行。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3</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w:t>
            </w:r>
          </w:p>
        </w:tc>
        <w:tc>
          <w:tcPr>
            <w:tcW w:w="6970" w:type="dxa"/>
            <w:vAlign w:val="center"/>
          </w:tcPr>
          <w:p>
            <w:pPr>
              <w:keepNext w:val="0"/>
              <w:keepLines w:val="0"/>
              <w:pageBreakBefore w:val="0"/>
              <w:widowControl w:val="0"/>
              <w:kinsoku/>
              <w:wordWrap/>
              <w:overflowPunct/>
              <w:topLinePunct w:val="0"/>
              <w:autoSpaceDE/>
              <w:autoSpaceDN/>
              <w:bidi w:val="0"/>
              <w:adjustRightInd/>
              <w:snapToGrid/>
              <w:spacing w:before="12"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响应文件有效期（包括法定代表人授权委托书）符合竞争性谈判文件的要求。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4</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首次报价</w:t>
            </w:r>
          </w:p>
        </w:tc>
        <w:tc>
          <w:tcPr>
            <w:tcW w:w="6970" w:type="dxa"/>
            <w:vAlign w:val="center"/>
          </w:tcPr>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spacing w:val="-3"/>
                <w:kern w:val="2"/>
                <w:sz w:val="24"/>
                <w:szCs w:val="21"/>
                <w:highlight w:val="none"/>
                <w:lang w:val="en-US" w:eastAsia="zh-CN" w:bidi="ar-SA"/>
              </w:rPr>
            </w:pPr>
            <w:r>
              <w:rPr>
                <w:rFonts w:ascii="宋体" w:hAnsi="宋体" w:eastAsia="宋体" w:cs="宋体"/>
                <w:spacing w:val="-3"/>
                <w:kern w:val="2"/>
                <w:sz w:val="24"/>
                <w:szCs w:val="21"/>
                <w:highlight w:val="none"/>
                <w:lang w:val="en-US" w:eastAsia="zh-CN" w:bidi="ar-SA"/>
              </w:rPr>
              <w:t>首次报价符合唯一性要求：</w:t>
            </w:r>
          </w:p>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报价一览表填写符合要求；</w:t>
            </w:r>
          </w:p>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计量单位、报价货币均符合竞争性谈判文件要求；</w:t>
            </w:r>
          </w:p>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rightChars="0" w:firstLine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未超出采购预算或竞争性谈判文件规定的上限控制价。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5</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实施方案</w:t>
            </w:r>
          </w:p>
        </w:tc>
        <w:tc>
          <w:tcPr>
            <w:tcW w:w="6970" w:type="dxa"/>
            <w:vAlign w:val="center"/>
          </w:tcPr>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考古勘探方案质量控制；</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考古勘探工作计划；</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w:t>
            </w:r>
            <w:r>
              <w:rPr>
                <w:rFonts w:hint="default" w:ascii="宋体" w:hAnsi="宋体" w:eastAsia="宋体" w:cs="宋体"/>
                <w:kern w:val="2"/>
                <w:sz w:val="24"/>
                <w:szCs w:val="21"/>
                <w:highlight w:val="none"/>
                <w:lang w:val="en-US" w:eastAsia="zh-CN" w:bidi="ar-SA"/>
              </w:rPr>
              <w:t>安全管理体系与措施</w:t>
            </w:r>
            <w:r>
              <w:rPr>
                <w:rFonts w:hint="eastAsia" w:ascii="宋体" w:hAnsi="宋体" w:eastAsia="宋体" w:cs="宋体"/>
                <w:kern w:val="2"/>
                <w:sz w:val="24"/>
                <w:szCs w:val="21"/>
                <w:highlight w:val="none"/>
                <w:lang w:val="en-US" w:eastAsia="zh-CN" w:bidi="ar-SA"/>
              </w:rPr>
              <w:t>；</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bCs/>
                <w:kern w:val="2"/>
                <w:sz w:val="24"/>
                <w:szCs w:val="24"/>
                <w:highlight w:val="none"/>
                <w:lang w:val="en-US" w:eastAsia="zh-CN" w:bidi="ar-SA"/>
              </w:rPr>
              <w:t>项目组管理人员组成；</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w:t>
            </w:r>
            <w:r>
              <w:rPr>
                <w:rFonts w:hint="eastAsia" w:ascii="宋体" w:hAnsi="宋体" w:eastAsia="宋体" w:cs="宋体"/>
                <w:bCs/>
                <w:kern w:val="2"/>
                <w:sz w:val="24"/>
                <w:szCs w:val="24"/>
                <w:highlight w:val="none"/>
                <w:lang w:val="en-US" w:eastAsia="zh-CN" w:bidi="ar-SA"/>
              </w:rPr>
              <w:t>应急预案；</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拟</w:t>
            </w:r>
            <w:r>
              <w:rPr>
                <w:rFonts w:hint="eastAsia" w:ascii="宋体" w:hAnsi="宋体" w:eastAsia="宋体" w:cs="宋体"/>
                <w:kern w:val="2"/>
                <w:sz w:val="24"/>
                <w:szCs w:val="24"/>
                <w:highlight w:val="none"/>
                <w:lang w:val="en-US" w:eastAsia="zh-CN" w:bidi="ar-SA"/>
              </w:rPr>
              <w:t>投入设备的配置情况；</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default" w:ascii="宋体" w:hAnsi="宋体" w:eastAsia="宋体" w:cs="宋体"/>
                <w:kern w:val="2"/>
                <w:sz w:val="24"/>
                <w:szCs w:val="21"/>
                <w:highlight w:val="none"/>
                <w:lang w:val="en-US" w:eastAsia="zh-CN" w:bidi="ar-SA"/>
              </w:rPr>
              <w:t>针对本项目提出合理建议</w:t>
            </w:r>
            <w:r>
              <w:rPr>
                <w:rFonts w:hint="eastAsia" w:ascii="宋体" w:hAnsi="宋体" w:eastAsia="宋体" w:cs="宋体"/>
                <w:kern w:val="2"/>
                <w:sz w:val="24"/>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6</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中小企业声明函</w:t>
            </w:r>
          </w:p>
        </w:tc>
        <w:tc>
          <w:tcPr>
            <w:tcW w:w="69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22" w:line="324" w:lineRule="auto"/>
              <w:ind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提供符合要求的中小企业声明函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7</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实质性条款响应</w:t>
            </w:r>
          </w:p>
        </w:tc>
        <w:tc>
          <w:tcPr>
            <w:tcW w:w="6970" w:type="dxa"/>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Times New Roman" w:hAnsi="Times New Roman" w:eastAsia="宋体" w:cs="Times New Roman"/>
                <w:sz w:val="24"/>
                <w:highlight w:val="none"/>
              </w:rPr>
            </w:pPr>
            <w:r>
              <w:rPr>
                <w:rFonts w:ascii="宋体" w:hAnsi="宋体" w:eastAsia="宋体" w:cs="宋体"/>
                <w:kern w:val="2"/>
                <w:sz w:val="24"/>
                <w:szCs w:val="21"/>
                <w:highlight w:val="none"/>
                <w:lang w:val="en-US" w:eastAsia="zh-CN" w:bidi="ar-SA"/>
              </w:rPr>
              <w:t>完全响应</w:t>
            </w:r>
            <w:r>
              <w:rPr>
                <w:rFonts w:hint="eastAsia" w:ascii="宋体" w:hAnsi="宋体" w:eastAsia="宋体" w:cs="宋体"/>
                <w:kern w:val="2"/>
                <w:sz w:val="24"/>
                <w:szCs w:val="21"/>
                <w:highlight w:val="none"/>
                <w:lang w:val="en-US" w:eastAsia="zh-CN" w:bidi="ar-SA"/>
              </w:rPr>
              <w:t>谈判</w:t>
            </w:r>
            <w:r>
              <w:rPr>
                <w:rFonts w:ascii="宋体" w:hAnsi="宋体" w:eastAsia="宋体" w:cs="宋体"/>
                <w:kern w:val="2"/>
                <w:sz w:val="24"/>
                <w:szCs w:val="21"/>
                <w:highlight w:val="none"/>
                <w:lang w:val="en-US" w:eastAsia="zh-CN" w:bidi="ar-SA"/>
              </w:rPr>
              <w:t>文件要求的各项技术/服务/商务实</w:t>
            </w:r>
            <w:r>
              <w:rPr>
                <w:rFonts w:hint="eastAsia" w:ascii="宋体" w:hAnsi="宋体" w:eastAsia="宋体" w:cs="宋体"/>
                <w:kern w:val="2"/>
                <w:sz w:val="24"/>
                <w:szCs w:val="21"/>
                <w:highlight w:val="none"/>
                <w:lang w:val="en-US" w:eastAsia="zh-CN" w:bidi="ar-SA"/>
              </w:rPr>
              <w:t>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8</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其他</w:t>
            </w:r>
          </w:p>
        </w:tc>
        <w:tc>
          <w:tcPr>
            <w:tcW w:w="6970" w:type="dxa"/>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完全理解并接受法律法规和谈判文件对供应商的各项要求和责任义务，没有出现法律法规或谈判文件明确规定的其他被视为“无效响应”的情形。</w:t>
            </w:r>
          </w:p>
        </w:tc>
      </w:tr>
    </w:tbl>
    <w:p>
      <w:pPr>
        <w:spacing w:line="360" w:lineRule="auto"/>
        <w:rPr>
          <w:rFonts w:hint="eastAsia" w:ascii="宋体" w:hAnsi="宋体" w:cs="宋体"/>
          <w:b/>
          <w:bCs/>
          <w:sz w:val="24"/>
          <w:szCs w:val="24"/>
          <w:highlight w:val="none"/>
        </w:rPr>
      </w:pPr>
    </w:p>
    <w:p>
      <w:pPr>
        <w:spacing w:line="360" w:lineRule="auto"/>
        <w:ind w:firstLine="482" w:firstLineChars="200"/>
        <w:outlineLvl w:val="1"/>
        <w:rPr>
          <w:rFonts w:hint="eastAsia" w:ascii="宋体" w:hAnsi="宋体" w:cs="宋体"/>
          <w:sz w:val="24"/>
          <w:szCs w:val="24"/>
          <w:highlight w:val="none"/>
        </w:rPr>
      </w:pPr>
      <w:bookmarkStart w:id="171" w:name="_Toc22793"/>
      <w:bookmarkStart w:id="172" w:name="_Toc29949"/>
      <w:bookmarkStart w:id="173" w:name="_Toc23212"/>
      <w:r>
        <w:rPr>
          <w:rFonts w:hint="eastAsia" w:ascii="宋体" w:hAnsi="宋体" w:cs="宋体"/>
          <w:b/>
          <w:bCs/>
          <w:sz w:val="24"/>
          <w:szCs w:val="24"/>
          <w:highlight w:val="none"/>
        </w:rPr>
        <w:t>3、第三阶段：技术和商务评审</w:t>
      </w:r>
      <w:bookmarkEnd w:id="171"/>
      <w:bookmarkEnd w:id="172"/>
      <w:bookmarkEnd w:id="173"/>
    </w:p>
    <w:p>
      <w:pPr>
        <w:spacing w:line="360" w:lineRule="auto"/>
        <w:ind w:firstLine="480" w:firstLineChars="200"/>
        <w:rPr>
          <w:rFonts w:hint="eastAsia" w:ascii="宋体" w:hAnsi="宋体" w:cs="宋体"/>
          <w:sz w:val="24"/>
          <w:szCs w:val="24"/>
          <w:highlight w:val="none"/>
        </w:rPr>
      </w:pPr>
      <w:bookmarkStart w:id="174" w:name="_Toc1761"/>
      <w:bookmarkStart w:id="175" w:name="_Toc22818"/>
      <w:r>
        <w:rPr>
          <w:rFonts w:hint="eastAsia" w:ascii="宋体" w:hAnsi="宋体" w:cs="宋体"/>
          <w:sz w:val="24"/>
          <w:szCs w:val="24"/>
          <w:highlight w:val="none"/>
        </w:rPr>
        <w:t>3.1按照谈判文件要求，审查供应商所提供</w:t>
      </w:r>
      <w:r>
        <w:rPr>
          <w:rFonts w:hint="eastAsia" w:ascii="宋体" w:hAnsi="宋体" w:cs="宋体"/>
          <w:sz w:val="24"/>
          <w:szCs w:val="24"/>
          <w:highlight w:val="none"/>
          <w:lang w:val="en-US" w:eastAsia="zh-CN"/>
        </w:rPr>
        <w:t>响应文件</w:t>
      </w:r>
      <w:r>
        <w:rPr>
          <w:rFonts w:hint="eastAsia" w:ascii="宋体" w:hAnsi="宋体" w:cs="宋体"/>
          <w:sz w:val="24"/>
          <w:szCs w:val="24"/>
          <w:highlight w:val="none"/>
        </w:rPr>
        <w:t>及所报</w:t>
      </w:r>
      <w:r>
        <w:rPr>
          <w:rFonts w:hint="eastAsia" w:ascii="宋体" w:hAnsi="宋体" w:cs="宋体"/>
          <w:sz w:val="24"/>
          <w:szCs w:val="24"/>
          <w:highlight w:val="none"/>
          <w:lang w:val="en-US" w:eastAsia="zh-CN"/>
        </w:rPr>
        <w:t>清单</w:t>
      </w:r>
      <w:r>
        <w:rPr>
          <w:rFonts w:hint="eastAsia" w:ascii="宋体" w:hAnsi="宋体" w:cs="宋体"/>
          <w:sz w:val="24"/>
          <w:szCs w:val="24"/>
          <w:highlight w:val="none"/>
        </w:rPr>
        <w:t>中所需货物</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服务</w:t>
      </w:r>
      <w:r>
        <w:rPr>
          <w:rFonts w:hint="eastAsia" w:ascii="宋体" w:hAnsi="宋体" w:cs="宋体"/>
          <w:sz w:val="24"/>
          <w:szCs w:val="24"/>
          <w:highlight w:val="none"/>
          <w:lang w:eastAsia="zh-CN"/>
        </w:rPr>
        <w:t>）</w:t>
      </w:r>
      <w:r>
        <w:rPr>
          <w:rFonts w:hint="eastAsia" w:ascii="宋体" w:hAnsi="宋体" w:cs="宋体"/>
          <w:sz w:val="24"/>
          <w:szCs w:val="24"/>
          <w:highlight w:val="none"/>
        </w:rPr>
        <w:t>的规格、参数、质量、数量及相关服务等，记录实质性响应、技术偏离</w:t>
      </w:r>
      <w:r>
        <w:rPr>
          <w:rFonts w:hint="eastAsia" w:ascii="宋体" w:hAnsi="宋体" w:cs="宋体"/>
          <w:sz w:val="24"/>
          <w:szCs w:val="24"/>
          <w:highlight w:val="none"/>
          <w:lang w:val="en-US" w:eastAsia="zh-CN"/>
        </w:rPr>
        <w:t>等事项；</w:t>
      </w:r>
      <w:r>
        <w:rPr>
          <w:rFonts w:hint="eastAsia" w:ascii="宋体" w:hAnsi="宋体" w:cs="宋体"/>
          <w:sz w:val="24"/>
          <w:szCs w:val="24"/>
          <w:highlight w:val="none"/>
        </w:rPr>
        <w:t>进行技术部分评审。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3.2按照谈判文件要求，审查供应商报价、业绩等，记录相关事项，进行商务部分评审。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谈判小组针对技术部分进行评审，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当供应商实质性条款不满足、非实质性条款负偏离的或者未提供符合谈判文件规定的技术支持资料时，其报价无效。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谈判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要求供应商澄清、说明或者更正响应文件应当以书面形式作出。供应商的澄清、说明或者更正应当由法定代表人或其授权代表签字且加盖公章。由授权代表签字的，应当附法定代表人授权书。供应商为自然人的，应当由本人签字并附身份证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谈判小组判断响应文件的响应性仅基于响应文件本身而不靠外部因素。未响应实质性条款的，谈判小组有权确定其报价无效，供应商不能通过修正、撤销或者澄清不符之处而使其报价成为实质性响应的报价。</w:t>
      </w:r>
    </w:p>
    <w:p>
      <w:pPr>
        <w:spacing w:line="360" w:lineRule="auto"/>
        <w:ind w:firstLine="482" w:firstLineChars="200"/>
        <w:outlineLvl w:val="1"/>
        <w:rPr>
          <w:rFonts w:hint="eastAsia" w:ascii="宋体" w:hAnsi="宋体" w:cs="宋体"/>
          <w:b/>
          <w:bCs/>
          <w:sz w:val="24"/>
          <w:szCs w:val="24"/>
          <w:highlight w:val="none"/>
        </w:rPr>
      </w:pPr>
      <w:bookmarkStart w:id="176" w:name="_Toc13588"/>
      <w:bookmarkStart w:id="177" w:name="_Toc26880"/>
      <w:bookmarkStart w:id="178" w:name="_Toc10046"/>
      <w:bookmarkStart w:id="179" w:name="_Toc8561"/>
      <w:r>
        <w:rPr>
          <w:rFonts w:hint="eastAsia" w:ascii="宋体" w:hAnsi="宋体" w:cs="宋体"/>
          <w:b/>
          <w:bCs/>
          <w:sz w:val="24"/>
          <w:szCs w:val="24"/>
          <w:highlight w:val="none"/>
        </w:rPr>
        <w:t>4、谈判</w:t>
      </w:r>
      <w:bookmarkEnd w:id="176"/>
      <w:bookmarkEnd w:id="177"/>
      <w:bookmarkEnd w:id="178"/>
      <w:bookmarkEnd w:id="179"/>
    </w:p>
    <w:p>
      <w:pPr>
        <w:spacing w:line="360" w:lineRule="auto"/>
        <w:ind w:firstLine="480" w:firstLineChars="200"/>
        <w:rPr>
          <w:rFonts w:hint="eastAsia" w:ascii="宋体" w:hAnsi="宋体" w:cs="宋体"/>
          <w:sz w:val="24"/>
          <w:szCs w:val="24"/>
          <w:highlight w:val="none"/>
        </w:rPr>
      </w:pPr>
      <w:bookmarkStart w:id="180" w:name="_Toc13142"/>
      <w:r>
        <w:rPr>
          <w:rFonts w:hint="eastAsia" w:ascii="宋体" w:hAnsi="宋体" w:cs="宋体"/>
          <w:sz w:val="24"/>
          <w:szCs w:val="24"/>
          <w:highlight w:val="none"/>
        </w:rPr>
        <w:t>4.1谈判小组所有成员集中与实质性响应谈判文件的单一供应商分别进行谈判，并给予所有参加谈判的供应商平等的谈判机会。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谈判小组通过随机方式确定参加谈判供应商的谈判顺序。在谈判中，在谈判过程中谈判的任何一方不得向他人透露与谈判有关的技术资料、价格或其他信息。</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4.2谈判文件应详细列明采购标的的技术、服务要求。谈判结束后，谈判小组应当要求所有继续参加谈判的供应商在规定时间内提交最终报价，最终报价是供应商响应文件的有效组成部分。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谈判实行两轮报价法，第二轮报价为最终报价。供应商的响应文件为第一轮报价（即首轮报价）。参加谈判的供应商第二轮报价不得等于或高于其第一轮报价，否则谈判小组有权据此确定其为无效报价，提交最终报价的供应商不得少于三家。</w:t>
      </w:r>
      <w:r>
        <w:rPr>
          <w:spacing w:val="-3"/>
          <w:sz w:val="24"/>
          <w:highlight w:val="none"/>
        </w:rPr>
        <w:t>（</w:t>
      </w:r>
      <w:r>
        <w:rPr>
          <w:spacing w:val="-5"/>
          <w:sz w:val="24"/>
          <w:highlight w:val="none"/>
        </w:rPr>
        <w:t>注：落实政府采购政策进行价格调整的，以调整后的价</w:t>
      </w:r>
      <w:r>
        <w:rPr>
          <w:spacing w:val="-7"/>
          <w:sz w:val="24"/>
          <w:highlight w:val="none"/>
        </w:rPr>
        <w:t>格作为评审价</w:t>
      </w:r>
      <w:r>
        <w:rPr>
          <w:sz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竞争性谈判</w:t>
      </w:r>
      <w:r>
        <w:rPr>
          <w:rFonts w:hint="eastAsia" w:ascii="宋体" w:hAnsi="宋体" w:cs="宋体"/>
          <w:sz w:val="24"/>
          <w:szCs w:val="24"/>
          <w:highlight w:val="none"/>
        </w:rPr>
        <w:t>过程中提交</w:t>
      </w:r>
      <w:r>
        <w:rPr>
          <w:rFonts w:hint="eastAsia" w:ascii="宋体" w:hAnsi="宋体" w:cs="宋体"/>
          <w:sz w:val="24"/>
          <w:szCs w:val="24"/>
          <w:highlight w:val="none"/>
          <w:lang w:eastAsia="zh-CN"/>
        </w:rPr>
        <w:t>响应文件</w:t>
      </w:r>
      <w:r>
        <w:rPr>
          <w:rFonts w:hint="eastAsia" w:ascii="宋体" w:hAnsi="宋体" w:cs="宋体"/>
          <w:sz w:val="24"/>
          <w:szCs w:val="24"/>
          <w:highlight w:val="none"/>
        </w:rPr>
        <w:t>或经评审实质性响应</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文件要求的</w:t>
      </w:r>
      <w:r>
        <w:rPr>
          <w:rFonts w:hint="eastAsia" w:ascii="宋体" w:hAnsi="宋体" w:cs="宋体"/>
          <w:sz w:val="24"/>
          <w:szCs w:val="24"/>
          <w:highlight w:val="none"/>
          <w:lang w:eastAsia="zh-CN"/>
        </w:rPr>
        <w:t>供应商</w:t>
      </w:r>
      <w:r>
        <w:rPr>
          <w:rFonts w:hint="eastAsia" w:ascii="宋体" w:hAnsi="宋体" w:cs="宋体"/>
          <w:sz w:val="24"/>
          <w:szCs w:val="24"/>
          <w:highlight w:val="none"/>
        </w:rPr>
        <w:t>只有两家，且经财政部门批准采用竞争性谈判方式采购的项目，采购人或其委托的采购代理机构应当根据</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文件中的采购需求编制谈判文件，按照竞争性谈判规定程序重新组织采购。符合本款情形的提交最终报价的供应商最低数量可以为两家。</w:t>
      </w:r>
    </w:p>
    <w:p>
      <w:pPr>
        <w:shd w:val="clear"/>
        <w:spacing w:line="360" w:lineRule="auto"/>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4.4根据</w:t>
      </w:r>
      <w:r>
        <w:rPr>
          <w:rFonts w:hint="eastAsia" w:ascii="宋体" w:hAnsi="宋体" w:cs="宋体"/>
          <w:sz w:val="24"/>
          <w:szCs w:val="24"/>
          <w:highlight w:val="none"/>
          <w:lang w:val="en-US" w:eastAsia="zh-CN"/>
        </w:rPr>
        <w:t>《政府采购促进中小企业发展管理办法》（财库【2020】46号）及榆林市财政局关于进一步加大政府采购支持中小企业力度的通知》（榆政财采发〔2022〕10号）</w:t>
      </w:r>
      <w:r>
        <w:rPr>
          <w:rFonts w:hint="eastAsia" w:ascii="宋体" w:hAnsi="宋体" w:cs="宋体"/>
          <w:sz w:val="24"/>
          <w:szCs w:val="24"/>
          <w:highlight w:val="none"/>
          <w:lang w:eastAsia="zh-CN"/>
        </w:rPr>
        <w:t>的规定中、小、微企业参加投标时对小型和微型企业产品的价格给予</w:t>
      </w:r>
      <w:r>
        <w:rPr>
          <w:rFonts w:hint="eastAsia" w:ascii="宋体" w:hAnsi="宋体" w:cs="宋体"/>
          <w:sz w:val="24"/>
          <w:szCs w:val="24"/>
          <w:highlight w:val="none"/>
          <w:lang w:val="en-US" w:eastAsia="zh-CN"/>
        </w:rPr>
        <w:t>20</w:t>
      </w:r>
      <w:r>
        <w:rPr>
          <w:rFonts w:hint="eastAsia" w:ascii="宋体" w:hAnsi="宋体" w:cs="宋体"/>
          <w:sz w:val="24"/>
          <w:szCs w:val="24"/>
          <w:highlight w:val="none"/>
          <w:lang w:eastAsia="zh-CN"/>
        </w:rPr>
        <w:t>%的扣除，用扣除后的价格参与评审。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.1中小企业（含中型、小型、微型企业，下同）应当同时符合以下条件：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.1.1符合中小企业划分标准。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.1.2提供本企业制造的货物，或者提供其他中小企业制造的货物。本项所称货物不包括使用大型企业注册商标的货物。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.2小型、微型企业提供中型企业制造的货物的，视同为中型企业。</w:t>
      </w:r>
    </w:p>
    <w:p>
      <w:pPr>
        <w:pStyle w:val="26"/>
        <w:keepNext w:val="0"/>
        <w:keepLines w:val="0"/>
        <w:widowControl/>
        <w:suppressLineNumbers w:val="0"/>
        <w:spacing w:before="0" w:beforeAutospacing="0" w:after="0" w:afterAutospacing="0" w:line="360" w:lineRule="auto"/>
        <w:ind w:left="0" w:right="0" w:firstLine="480" w:firstLineChars="200"/>
        <w:rPr>
          <w:rFonts w:hint="eastAsia" w:ascii="宋体" w:hAnsi="宋体" w:cs="宋体"/>
          <w:b/>
          <w:bCs/>
          <w:sz w:val="24"/>
          <w:szCs w:val="24"/>
          <w:highlight w:val="none"/>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.3中、小、微企业参加政府采购项目投标时，必须提</w:t>
      </w:r>
      <w:r>
        <w:rPr>
          <w:rFonts w:hint="eastAsia" w:ascii="宋体" w:hAnsi="宋体" w:eastAsia="宋体" w:cs="宋体"/>
          <w:bCs/>
          <w:color w:val="auto"/>
          <w:sz w:val="24"/>
          <w:highlight w:val="none"/>
        </w:rPr>
        <w:t>供《中小企业声明函》</w:t>
      </w:r>
      <w:r>
        <w:rPr>
          <w:rFonts w:hint="eastAsia" w:ascii="宋体" w:hAnsi="宋体" w:eastAsia="宋体" w:cs="宋体"/>
          <w:bCs/>
          <w:color w:val="auto"/>
          <w:sz w:val="24"/>
          <w:highlight w:val="none"/>
          <w:lang w:eastAsia="zh-CN"/>
        </w:rPr>
        <w:t>，否则不得享受相关中小企业扶持政策</w:t>
      </w:r>
      <w:r>
        <w:rPr>
          <w:rFonts w:hint="eastAsia" w:ascii="宋体" w:hAnsi="宋体" w:cs="宋体"/>
          <w:bCs/>
          <w:color w:val="auto"/>
          <w:sz w:val="24"/>
          <w:highlight w:val="none"/>
        </w:rPr>
        <w:t>。</w:t>
      </w:r>
    </w:p>
    <w:p>
      <w:pPr>
        <w:spacing w:line="360" w:lineRule="auto"/>
        <w:ind w:firstLine="482" w:firstLineChars="200"/>
        <w:outlineLvl w:val="1"/>
        <w:rPr>
          <w:rFonts w:hint="eastAsia" w:ascii="宋体" w:hAnsi="宋体" w:cs="宋体"/>
          <w:sz w:val="24"/>
          <w:szCs w:val="24"/>
          <w:highlight w:val="none"/>
        </w:rPr>
      </w:pPr>
      <w:bookmarkStart w:id="181" w:name="_Toc9355"/>
      <w:bookmarkStart w:id="182" w:name="_Toc22868"/>
      <w:bookmarkStart w:id="183" w:name="_Toc19478"/>
      <w:r>
        <w:rPr>
          <w:rFonts w:hint="eastAsia" w:ascii="宋体" w:hAnsi="宋体" w:cs="宋体"/>
          <w:b/>
          <w:bCs/>
          <w:sz w:val="24"/>
          <w:szCs w:val="24"/>
          <w:highlight w:val="none"/>
        </w:rPr>
        <w:t>5、确定成交供应商</w:t>
      </w:r>
      <w:bookmarkEnd w:id="180"/>
      <w:bookmarkEnd w:id="181"/>
      <w:bookmarkEnd w:id="182"/>
      <w:bookmarkEnd w:id="18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5.1谈判小组从质量和服务均能满足谈判文件实质性响应要求的供应商中，确定最终报价最低的供应商作为成交供应商。</w:t>
      </w:r>
    </w:p>
    <w:p>
      <w:pPr>
        <w:spacing w:line="360" w:lineRule="auto"/>
        <w:ind w:firstLine="480" w:firstLineChars="20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5.2若两家及以上供应商最终报价最低且相同的，确定技术指标更优者为成交供应商，最终报价及技术指标均相同的，确定服务更优者为成交供应商。</w:t>
      </w:r>
    </w:p>
    <w:p>
      <w:pPr>
        <w:pStyle w:val="5"/>
        <w:bidi w:val="0"/>
        <w:spacing w:before="0" w:beforeAutospacing="0" w:after="0" w:afterAutospacing="0"/>
        <w:jc w:val="center"/>
        <w:rPr>
          <w:rFonts w:hint="eastAsia" w:ascii="宋体" w:hAnsi="宋体" w:cs="宋体"/>
          <w:b w:val="0"/>
          <w:bCs/>
          <w:color w:val="000000"/>
          <w:szCs w:val="32"/>
          <w:highlight w:val="none"/>
        </w:rPr>
      </w:pPr>
      <w:r>
        <w:rPr>
          <w:rFonts w:hint="eastAsia" w:ascii="宋体" w:hAnsi="宋体" w:eastAsia="宋体" w:cs="宋体"/>
          <w:b w:val="0"/>
          <w:kern w:val="2"/>
          <w:sz w:val="24"/>
          <w:szCs w:val="24"/>
          <w:highlight w:val="none"/>
          <w:lang w:val="en-US" w:eastAsia="zh-CN" w:bidi="ar-SA"/>
        </w:rPr>
        <w:br w:type="page"/>
      </w:r>
      <w:bookmarkStart w:id="184" w:name="_Toc2474"/>
      <w:r>
        <w:rPr>
          <w:rStyle w:val="43"/>
          <w:rFonts w:hint="eastAsia"/>
          <w:b/>
          <w:sz w:val="32"/>
          <w:szCs w:val="32"/>
          <w:highlight w:val="none"/>
          <w:lang w:val="en-US" w:eastAsia="zh-CN"/>
        </w:rPr>
        <w:t>第六部分 采购内容及技术要求</w:t>
      </w:r>
      <w:bookmarkEnd w:id="174"/>
      <w:bookmarkEnd w:id="175"/>
      <w:bookmarkEnd w:id="184"/>
    </w:p>
    <w:p>
      <w:pPr>
        <w:shd w:val="clear"/>
        <w:spacing w:beforeAutospacing="0" w:line="360" w:lineRule="auto"/>
        <w:jc w:val="center"/>
        <w:rPr>
          <w:rFonts w:hint="eastAsia" w:ascii="宋体" w:hAnsi="宋体" w:eastAsia="宋体" w:cs="宋体"/>
          <w:b/>
          <w:bCs/>
          <w:sz w:val="28"/>
          <w:szCs w:val="28"/>
          <w:highlight w:val="none"/>
        </w:rPr>
      </w:pPr>
      <w:bookmarkStart w:id="185" w:name="_Toc1933"/>
      <w:r>
        <w:rPr>
          <w:rFonts w:hint="eastAsia" w:ascii="宋体" w:hAnsi="宋体" w:eastAsia="宋体" w:cs="宋体"/>
          <w:b/>
          <w:bCs/>
          <w:sz w:val="28"/>
          <w:szCs w:val="28"/>
          <w:highlight w:val="none"/>
        </w:rPr>
        <w:t>关于</w:t>
      </w:r>
      <w:r>
        <w:rPr>
          <w:rFonts w:hint="eastAsia" w:ascii="宋体" w:hAnsi="宋体" w:cs="宋体"/>
          <w:b/>
          <w:bCs/>
          <w:sz w:val="28"/>
          <w:szCs w:val="28"/>
          <w:highlight w:val="none"/>
          <w:lang w:eastAsia="zh-CN"/>
        </w:rPr>
        <w:t>陕能赵石畔煤电一体化项目雷龙湾电厂二期（2×1000MW）考古勘探技术服务及报告编制</w:t>
      </w:r>
      <w:r>
        <w:rPr>
          <w:rFonts w:hint="eastAsia" w:ascii="宋体" w:hAnsi="宋体" w:eastAsia="宋体" w:cs="宋体"/>
          <w:b/>
          <w:bCs/>
          <w:sz w:val="28"/>
          <w:szCs w:val="28"/>
          <w:highlight w:val="none"/>
        </w:rPr>
        <w:t>实施采购需求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一、项目背景</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为严格执行《中华人民共和国文物保护法》《田野考古工作规程》等有关法律法规之规定，加快推进我市基本建设项目考古勘探工作，满足基本建设勘探需求，切实有效保护好地下文物遗存，充分利用各方人才和勘探技术力量，积极开展相关基本建设项目的文物考古勘探工作。</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二、项目概况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陕能赵石畔煤电一体化项目雷龙湾电厂二期(2X1000MW)工程位于横山区，占地面积213356.235平方米。此次考古勘探的具体工作内容和目标：一是了解项目用地范围内地下文物资源的分布与保存状况，二是须准确详尽的探明项目用地范围内可能埋藏的古遗址及古墓葬等，从而为后续文物发掘、保护展示与利用等提供基础资料，并为项目建设规划等提供前期决策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三、工作要求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《田野考古工作规程》、《考古勘探工作规程》（试行）严格实施，应结合传统勘探手段，科学、高效的获取地下文化遗存信息。</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1.勘探单位应确定专门的负责人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具备文物相关职称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、探工</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提供探工证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、测绘员、资料员等组成，做到科学组织、分工明确。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2．勘探工作实施前，应制定科学、详实的工作计划，明确工作任务、技术路线、人员分工和职责、工作进度、文物保护措施和应急预案等。考古勘探工作计划是考古勘探工作检查、验收的重要依据。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3.对勘探出的遗迹要详细测量和准确记录。测量设备包括全站仪、RTK等，采用数字化技术记录时，应配备笔记本电脑、平板电脑等移动电子设备，及时记录、存储和处理所获数据。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勘探单位实施勘探作业时，工作人员应统一着装，服装应有勘探单位统一标识，佩戴工作证。工作证（牌）上应注明勘探单位、姓名、职务、工种等信息，并附本人照片。勘探装备、测绘装备、工地车辆及临时设施上应设置明确的勘探单位标识。勘探工地应设置必要的标识、围挡，说明作业区域范围、勘探工作基本信息和危险地段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工作开始前，勘探单位应根据《考古勘探工作规程》（试行）要求，确定勘探分区与勘探单元。根据建设单位提供的测绘控制点，设置勘探坐标原点，构建测控系统，以保证测绘数据与城乡规划坐标系统相对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6.勘探工作实施前，应明确布孔方法与勘探孔距。并绘制勘探区域探孔布设平面示意图，作为工作依据及检查验收的必备材料。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7.勘探应根据地形地势采用等距梅花状布孔法，探孔应错列分布。采用每平方米布孔5个梅花点进行勘探工作，以准确掌握地下遗存分布情况。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三、勘探作业：</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1.勘探单位应按照勘探工作计划，对勘探区域进行普探和重点卡探，并科学研判地下遗存类型。探孔深度应到达原生地层，重要遗迹应尽量减少穿透式勘探。</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（一）普探</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1、普探是在勘探区域内逐行勘探，提取土样并记录。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2、探孔应排列规整，土样依次摆放整齐。</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3、探孔记录应包括各堆积层距离地面的深度、土质土色、致密度、包含物、堆积状况研判结论等。</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4、发现遗迹现象时，应现场在探孔布设图上标注记号。</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5、探孔内文物标本采集和样品采样时，均应以探孔为出土单位登记，采集或采样标签应填写规范。</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6、应选择最能够反映堆积特征、有利于研判遗迹单位性质的探孔作为标准探孔。标准探孔除进行文字记录外，须现场留取图像清晰、色彩真实的探孔土样的照片记录。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（二）重点卡探</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1、发现重要遗迹现象时，应进行重点卡探，进一步掌握遗迹形制，探明堆积范围、厚度。</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2、堆积特征清楚、明确的大型夯土建筑遗迹等，应重点确认夯土遗存，以少量探孔进行穿透式勘探，了解遗迹堆积和叠压状况。</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3、古墓葬应探至墓口，重点确定墓葬开口形状，尽量少的探孔数量确定深度信息。</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4、重要遗迹应布设“十”字形排孔，了解遗迹的纵、横剖面及堆积情况。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5、重点卡探的所有探孔及堆积信息，均应标注在勘探单元探孔布设图上。</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（三）遗迹研判</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1、应根据遗迹形制、土样、提取物性状等，初步分析遗迹类型、性质，现场记录研判结果。</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2、记录内容应包括分布范围（含涉及探孔编号）、埋藏情况（距现地表深度和开口层位）、形制结构、堆积状况（含与相关遗迹关系）、保存状况等，绘制平、剖面图。</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3、土样中包含物或遗迹形制特征明显时，应初步判断遗迹年代。遗迹单位确认后，应及时在勘探单元探孔布设图上标注遗迹单元的平面形制。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（四）遗迹编号</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经考古勘探发现、并初步确认的遗迹单位，应以勘探分区为单位统一编号。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（五）堆积记录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1、勘探过程中，应做好地层堆积描述和遗迹单位记录。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2、探孔记录应以勘探单元为单位，采用表格形式。内容应包括勘探分区、勘探单元、探孔编号、探孔三维坐标、地层堆积（ 包括距现地表深度、土质、土色、致密度、包含物、堆积性质、采集遗物等）等。</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3、探孔地层堆积特性的判断和描述述按照以下方式进行：</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（1）土色。描述顺序依次为土色的深浅、色调、主色。</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（2）土质。一般分为黏土和淤泥（土）。根据土中包含物颗粒状况，又可以分为粉沙（直径小于0.1毫米）、细沙(直径0.1-0.25毫米)、粗沙(直径0.25-2.0毫米)、砾石/卵石（直径大于2.0毫米。细砾 2-64 毫米，粗砾64- 256毫米）等。</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致密度。判断土壤致密程度，包括疏松、较疏松、较致密、致密等。判断参考标准为：疏松——非常轻易用手碾碎；较疏松——较容易用手碾碎；较致密——需用力才能用手捻碎；致密——几乎无法用手捻碎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（六）文物标本采集</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采集文物标本时，应以探孔为单位，准确记录文物标本被发现时的三维坐标信息，并说明埋藏环境。采集的文物标本应在工作完成后连同各项资料及时移交至基建考古办公室。</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（七）测绘成图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1、（一）应在既有测绘系统的基础上，利用全站仪或 RTK 等测绘仪器测量遗迹单位，并绘制勘探区域平面图。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（二）测绘图须注明图名、图号、比例、绘图者、审定者、绘图日期、图例、方向等必要说明。</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2、勘探单位要严格执行勘探工作标准与要求，规范各类图文记录，注意做好确保勘探信息保密工作。</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四、需提交的资料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1、提供详细考古勘探报告纸质版3份《考古勘探报告》、检查和验收表格、勘探过程资料并附电子版原件；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2、提供有关勘探地点的详细电子版资料，图纸包括测绘地形图、遗迹分布总平面图、重点或代表性遗迹平剖面图等；照片包括勘探前地貌、布孔照、重要遗迹现场照、每天工作照片等，重要遗址需要高空照；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3、提供勘探区域的GPS坐标、勘探范围的地理坐标；</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4、勘探报告需详细、规范，符合国家文物局新颁布的《田野考古勘探工作规程》（试行）。</w:t>
      </w:r>
    </w:p>
    <w:p>
      <w:pPr>
        <w:keepNext w:val="0"/>
        <w:keepLines w:val="0"/>
        <w:pageBreakBefore w:val="0"/>
        <w:widowControl w:val="0"/>
        <w:shd w:val="clear"/>
        <w:kinsoku/>
        <w:wordWrap/>
        <w:overflowPunct/>
        <w:topLinePunct w:val="0"/>
        <w:autoSpaceDE/>
        <w:autoSpaceDN/>
        <w:bidi w:val="0"/>
        <w:adjustRightInd/>
        <w:snapToGrid/>
        <w:spacing w:after="159" w:afterLines="50" w:after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5、勘探资料包括工作日志、考勤表、遗迹登记表、重点遗迹平剖面图、勘探区域总平面图、勘探工作照片等。</w:t>
      </w:r>
    </w:p>
    <w:p>
      <w:pPr>
        <w:widowControl/>
        <w:adjustRightInd w:val="0"/>
        <w:snapToGrid w:val="0"/>
        <w:spacing w:beforeAutospacing="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五、</w:t>
      </w:r>
      <w:r>
        <w:rPr>
          <w:rFonts w:hint="eastAsia" w:ascii="宋体" w:hAnsi="宋体" w:eastAsia="宋体" w:cs="宋体"/>
          <w:sz w:val="24"/>
          <w:szCs w:val="24"/>
          <w:highlight w:val="none"/>
        </w:rPr>
        <w:t>验收时要求</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rPr>
        <w:t>1、勘探要求。能够了解和记录遗迹位置、范围、形制结构、堆积状况，遗址性质和价值的研判准确、科学。</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rPr>
        <w:t>2、记录要求。图文资料、影像记录、基础数据等齐备、规范，编写完成考古勘探工作报告。</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rPr>
        <w:t>3、布孔要求。一般情况下，布孔密度为1米×1米梅花状孔网。</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rPr>
        <w:t>4、深度要求。普探以探至生土为止。如发现遗迹，以能够确定范围边界、遗迹表面（或开口）埋藏深度和自身堆积厚度（或深度）为止。</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lang w:val="en-US" w:eastAsia="zh-CN"/>
        </w:rPr>
        <w:t>5、</w:t>
      </w:r>
      <w:r>
        <w:rPr>
          <w:rFonts w:hint="eastAsia" w:ascii="宋体" w:hAnsi="宋体" w:eastAsia="宋体" w:cs="宋体"/>
          <w:color w:val="333333"/>
          <w:sz w:val="24"/>
          <w:szCs w:val="24"/>
          <w:highlight w:val="none"/>
        </w:rPr>
        <w:t>验收合格后，勘探单位应组织人员将所有探孔用素土或纯净沙土回填、夯实。</w:t>
      </w:r>
    </w:p>
    <w:p>
      <w:pPr>
        <w:keepNext w:val="0"/>
        <w:keepLines w:val="0"/>
        <w:pageBreakBefore w:val="0"/>
        <w:widowControl w:val="0"/>
        <w:shd w:val="clear"/>
        <w:kinsoku/>
        <w:wordWrap/>
        <w:overflowPunct/>
        <w:topLinePunct w:val="0"/>
        <w:autoSpaceDE/>
        <w:autoSpaceDN/>
        <w:bidi w:val="0"/>
        <w:adjustRightInd/>
        <w:snapToGrid/>
        <w:spacing w:beforeAutospacing="0"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六、其他要求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1、严格按照国家文物局2017年度颁布的《考古勘探工作规程(试行)》的相关规定，并参考</w:t>
      </w:r>
      <w:r>
        <w:rPr>
          <w:rFonts w:hint="eastAsia" w:ascii="宋体" w:hAnsi="宋体" w:cs="宋体"/>
          <w:color w:val="auto"/>
          <w:sz w:val="24"/>
          <w:szCs w:val="24"/>
          <w:highlight w:val="none"/>
          <w:lang w:val="en-US" w:eastAsia="zh-CN"/>
        </w:rPr>
        <w:t>当地</w:t>
      </w:r>
      <w:r>
        <w:rPr>
          <w:rFonts w:hint="eastAsia" w:ascii="宋体" w:hAnsi="宋体" w:eastAsia="宋体" w:cs="宋体"/>
          <w:color w:val="auto"/>
          <w:sz w:val="24"/>
          <w:szCs w:val="24"/>
          <w:highlight w:val="none"/>
        </w:rPr>
        <w:t>的地理条件、地下遗存埋藏状况，结合传统勘探手段，获取地下文化遗存信息，确保文化遗产不受破坏。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2、普探布点间距1米，加点位置偏差</w:t>
      </w:r>
      <w:r>
        <w:rPr>
          <w:rFonts w:hint="eastAsia" w:ascii="宋体" w:hAnsi="宋体" w:cs="宋体"/>
          <w:color w:val="auto"/>
          <w:sz w:val="24"/>
          <w:szCs w:val="24"/>
          <w:highlight w:val="none"/>
          <w:lang w:val="en-US" w:eastAsia="zh-CN"/>
        </w:rPr>
        <w:t>&lt;</w:t>
      </w:r>
      <w:r>
        <w:rPr>
          <w:rFonts w:hint="eastAsia" w:ascii="宋体" w:hAnsi="宋体" w:eastAsia="宋体" w:cs="宋体"/>
          <w:color w:val="auto"/>
          <w:sz w:val="24"/>
          <w:szCs w:val="24"/>
          <w:highlight w:val="none"/>
        </w:rPr>
        <w:t>10厘米，深度为天然原始土层以下20厘米。勘探出的古遗址、古墓葬等古文化遗迹应有明显的地面标记。</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3、对勘探出的古遗址、古墓葬等做好绘图、照相、测绘、定点等工作，重要或代表性遗迹单位应有平剖面图。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lang w:val="en-US" w:eastAsia="zh-CN" w:bidi="ar-SA"/>
        </w:rPr>
      </w:pPr>
      <w:r>
        <w:rPr>
          <w:rFonts w:hint="eastAsia" w:ascii="宋体" w:hAnsi="宋体" w:eastAsia="宋体" w:cs="宋体"/>
          <w:snapToGrid/>
          <w:color w:val="000000"/>
          <w:kern w:val="2"/>
          <w:sz w:val="24"/>
          <w:szCs w:val="24"/>
          <w:highlight w:val="none"/>
          <w:lang w:val="en-US" w:eastAsia="zh-CN" w:bidi="ar-SA"/>
        </w:rPr>
        <w:t>4、勘探工期</w:t>
      </w:r>
      <w:r>
        <w:rPr>
          <w:rFonts w:hint="eastAsia" w:ascii="宋体" w:hAnsi="宋体" w:cs="宋体"/>
          <w:snapToGrid/>
          <w:color w:val="000000"/>
          <w:kern w:val="2"/>
          <w:sz w:val="24"/>
          <w:szCs w:val="24"/>
          <w:highlight w:val="none"/>
          <w:lang w:val="en-US" w:eastAsia="zh-CN" w:bidi="ar-SA"/>
        </w:rPr>
        <w:t>15</w:t>
      </w:r>
      <w:r>
        <w:rPr>
          <w:rFonts w:hint="eastAsia" w:ascii="宋体" w:hAnsi="宋体" w:eastAsia="宋体" w:cs="宋体"/>
          <w:snapToGrid/>
          <w:color w:val="000000"/>
          <w:kern w:val="2"/>
          <w:sz w:val="24"/>
          <w:szCs w:val="24"/>
          <w:highlight w:val="none"/>
          <w:lang w:val="en-US" w:eastAsia="zh-CN" w:bidi="ar-SA"/>
        </w:rPr>
        <w:t>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highlight w:val="none"/>
        </w:rPr>
      </w:pPr>
      <w:r>
        <w:rPr>
          <w:rFonts w:hint="eastAsia" w:ascii="宋体" w:hAnsi="宋体" w:eastAsia="宋体" w:cs="宋体"/>
          <w:snapToGrid/>
          <w:color w:val="000000"/>
          <w:kern w:val="2"/>
          <w:sz w:val="24"/>
          <w:szCs w:val="24"/>
          <w:highlight w:val="none"/>
          <w:lang w:val="en-US" w:eastAsia="zh-CN" w:bidi="ar-SA"/>
        </w:rPr>
        <w:t>5、报告编制时间:勘探完工后5日。</w:t>
      </w:r>
    </w:p>
    <w:p>
      <w:pPr>
        <w:rPr>
          <w:rStyle w:val="43"/>
          <w:rFonts w:hint="eastAsia" w:ascii="宋体" w:hAnsi="宋体" w:eastAsia="宋体" w:cs="宋体"/>
          <w:color w:val="auto"/>
          <w:sz w:val="32"/>
          <w:szCs w:val="16"/>
          <w:highlight w:val="none"/>
          <w:lang w:val="en-US" w:eastAsia="zh-CN"/>
        </w:rPr>
      </w:pPr>
      <w:r>
        <w:rPr>
          <w:rStyle w:val="43"/>
          <w:rFonts w:hint="eastAsia" w:ascii="宋体" w:hAnsi="宋体" w:eastAsia="宋体" w:cs="宋体"/>
          <w:color w:val="auto"/>
          <w:sz w:val="32"/>
          <w:szCs w:val="16"/>
          <w:highlight w:val="none"/>
          <w:lang w:val="en-US" w:eastAsia="zh-CN"/>
        </w:rPr>
        <w:br w:type="page"/>
      </w:r>
    </w:p>
    <w:p>
      <w:pPr>
        <w:spacing w:line="360" w:lineRule="auto"/>
        <w:jc w:val="center"/>
        <w:outlineLvl w:val="0"/>
        <w:rPr>
          <w:rStyle w:val="43"/>
          <w:rFonts w:hint="default" w:ascii="宋体" w:hAnsi="宋体" w:eastAsia="宋体" w:cs="宋体"/>
          <w:sz w:val="32"/>
          <w:szCs w:val="16"/>
          <w:highlight w:val="none"/>
          <w:lang w:val="en-US" w:eastAsia="zh-CN"/>
        </w:rPr>
      </w:pPr>
      <w:bookmarkStart w:id="186" w:name="_Toc4816"/>
      <w:bookmarkStart w:id="187" w:name="_Toc28626"/>
      <w:r>
        <w:rPr>
          <w:rStyle w:val="43"/>
          <w:rFonts w:hint="eastAsia" w:ascii="宋体" w:hAnsi="宋体" w:eastAsia="宋体" w:cs="宋体"/>
          <w:sz w:val="32"/>
          <w:szCs w:val="16"/>
          <w:highlight w:val="none"/>
          <w:lang w:val="en-US" w:eastAsia="zh-CN"/>
        </w:rPr>
        <w:t>第七部分 商务要求</w:t>
      </w:r>
      <w:bookmarkEnd w:id="186"/>
      <w:bookmarkEnd w:id="187"/>
    </w:p>
    <w:p>
      <w:pPr>
        <w:numPr>
          <w:ilvl w:val="0"/>
          <w:numId w:val="6"/>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服务期</w:t>
      </w:r>
    </w:p>
    <w:p>
      <w:pPr>
        <w:numPr>
          <w:ilvl w:val="0"/>
          <w:numId w:val="0"/>
        </w:numPr>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勘探工期:</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eastAsia="zh-CN"/>
        </w:rPr>
        <w:t>天。报告编制时间:</w:t>
      </w:r>
      <w:r>
        <w:rPr>
          <w:rFonts w:hint="eastAsia" w:ascii="宋体" w:hAnsi="宋体" w:eastAsia="宋体" w:cs="宋体"/>
          <w:snapToGrid/>
          <w:color w:val="000000"/>
          <w:kern w:val="2"/>
          <w:sz w:val="24"/>
          <w:szCs w:val="24"/>
          <w:highlight w:val="none"/>
          <w:lang w:val="en-US" w:eastAsia="zh-CN" w:bidi="ar-SA"/>
        </w:rPr>
        <w:t>勘探</w:t>
      </w:r>
      <w:r>
        <w:rPr>
          <w:rFonts w:hint="eastAsia" w:ascii="宋体" w:hAnsi="宋体" w:eastAsia="宋体" w:cs="宋体"/>
          <w:color w:val="auto"/>
          <w:sz w:val="24"/>
          <w:szCs w:val="24"/>
          <w:highlight w:val="none"/>
          <w:lang w:val="en-US" w:eastAsia="zh-CN"/>
        </w:rPr>
        <w:t>完工后5日。</w:t>
      </w:r>
    </w:p>
    <w:p>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、合同价款</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文件的规定及企业自身的情况报价。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除非合同中另有规定，</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的报价应为完成</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文件约定的所有工作所需各项费用的总和。合同总价一次包死，不受市场价变化的影响，不受实际工作量变化的影响。</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、款项结算</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1、合同款的支付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按合同约定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2、结算方式：银行转帐，采购单位持中标通知书、采购合同、项目验收报告、发票复印件办理相关支付手续。</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val="en-US" w:eastAsia="zh-CN"/>
        </w:rPr>
        <w:t>标准</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质量</w:t>
      </w:r>
      <w:r>
        <w:rPr>
          <w:rFonts w:hint="eastAsia" w:ascii="宋体" w:hAnsi="宋体" w:eastAsia="宋体" w:cs="宋体"/>
          <w:color w:val="auto"/>
          <w:sz w:val="24"/>
          <w:szCs w:val="24"/>
          <w:highlight w:val="none"/>
        </w:rPr>
        <w:t>符合国家要求</w:t>
      </w:r>
      <w:r>
        <w:rPr>
          <w:rFonts w:hint="eastAsia" w:ascii="宋体" w:hAnsi="宋体" w:eastAsia="宋体" w:cs="宋体"/>
          <w:color w:val="auto"/>
          <w:sz w:val="24"/>
          <w:szCs w:val="24"/>
          <w:highlight w:val="none"/>
          <w:lang w:eastAsia="zh-CN"/>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rPr>
        <w:t>、违约责任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1、按《合同法》中的相关条款执行。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2、未按合同要求提供或工程质量不能满足技术要求，采购单位有权终止合同和对供方违约行为进行追究，同时按相关法律法规的有关规定进行相应的处罚。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rPr>
        <w:t>、验收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编制完成后，由甲方组织有关专家进行评审和验收，评审和验收标准应符合相应主管部门的组织的审查要求，并取得相应主管部门审查批复文件，评审达不到甲方、监管要求的，继续完善至符合甲方、监管要求。</w:t>
      </w:r>
    </w:p>
    <w:p>
      <w:pPr>
        <w:rPr>
          <w:rStyle w:val="43"/>
          <w:rFonts w:hint="eastAsia" w:ascii="宋体" w:hAnsi="宋体" w:cs="宋体"/>
          <w:sz w:val="32"/>
          <w:szCs w:val="16"/>
          <w:highlight w:val="none"/>
          <w:lang w:val="en-US" w:eastAsia="zh-CN"/>
        </w:rPr>
      </w:pPr>
      <w:r>
        <w:rPr>
          <w:rStyle w:val="43"/>
          <w:rFonts w:hint="eastAsia" w:ascii="宋体" w:hAnsi="宋体" w:cs="宋体"/>
          <w:sz w:val="32"/>
          <w:szCs w:val="16"/>
          <w:highlight w:val="none"/>
          <w:lang w:val="en-US" w:eastAsia="zh-CN"/>
        </w:rPr>
        <w:br w:type="page"/>
      </w:r>
    </w:p>
    <w:p>
      <w:pPr>
        <w:spacing w:line="360" w:lineRule="auto"/>
        <w:jc w:val="center"/>
        <w:outlineLvl w:val="0"/>
        <w:rPr>
          <w:rFonts w:hint="eastAsia" w:ascii="宋体" w:hAnsi="宋体" w:cs="宋体"/>
          <w:b/>
          <w:bCs/>
          <w:color w:val="000000"/>
          <w:sz w:val="32"/>
          <w:szCs w:val="32"/>
          <w:highlight w:val="none"/>
        </w:rPr>
      </w:pPr>
      <w:bookmarkStart w:id="188" w:name="_Toc11428"/>
      <w:r>
        <w:rPr>
          <w:rStyle w:val="43"/>
          <w:rFonts w:hint="eastAsia" w:ascii="宋体" w:hAnsi="宋体" w:cs="宋体"/>
          <w:sz w:val="32"/>
          <w:szCs w:val="16"/>
          <w:highlight w:val="none"/>
        </w:rPr>
        <w:t>第</w:t>
      </w:r>
      <w:r>
        <w:rPr>
          <w:rStyle w:val="43"/>
          <w:rFonts w:hint="eastAsia" w:ascii="宋体" w:hAnsi="宋体" w:cs="宋体"/>
          <w:sz w:val="32"/>
          <w:szCs w:val="16"/>
          <w:highlight w:val="none"/>
          <w:lang w:val="en-US" w:eastAsia="zh-CN"/>
        </w:rPr>
        <w:t>八</w:t>
      </w:r>
      <w:r>
        <w:rPr>
          <w:rStyle w:val="43"/>
          <w:rFonts w:hint="eastAsia" w:ascii="宋体" w:hAnsi="宋体" w:cs="宋体"/>
          <w:sz w:val="32"/>
          <w:szCs w:val="16"/>
          <w:highlight w:val="none"/>
        </w:rPr>
        <w:t>部分 附件-竞争性谈判响应文件格式</w:t>
      </w:r>
      <w:bookmarkEnd w:id="185"/>
      <w:bookmarkEnd w:id="188"/>
    </w:p>
    <w:p>
      <w:pPr>
        <w:spacing w:line="360" w:lineRule="auto"/>
        <w:jc w:val="right"/>
        <w:outlineLvl w:val="9"/>
        <w:rPr>
          <w:rFonts w:hint="eastAsia" w:ascii="宋体" w:hAnsi="宋体" w:cs="宋体"/>
          <w:b/>
          <w:bCs/>
          <w:color w:val="000000"/>
          <w:sz w:val="32"/>
          <w:szCs w:val="32"/>
          <w:highlight w:val="none"/>
        </w:rPr>
      </w:pPr>
      <w:r>
        <w:rPr>
          <w:rFonts w:hint="eastAsia" w:ascii="宋体" w:hAnsi="宋体" w:cs="宋体"/>
          <w:b/>
          <w:bCs/>
          <w:color w:val="000000"/>
          <w:sz w:val="28"/>
          <w:szCs w:val="28"/>
          <w:highlight w:val="none"/>
        </w:rPr>
        <w:t xml:space="preserve"> </w:t>
      </w:r>
      <w:bookmarkStart w:id="189" w:name="_Toc1117"/>
      <w:bookmarkStart w:id="190" w:name="_Toc12194"/>
      <w:bookmarkStart w:id="191" w:name="_Toc28078"/>
      <w:bookmarkStart w:id="192" w:name="_Toc3548"/>
    </w:p>
    <w:bookmarkEnd w:id="189"/>
    <w:bookmarkEnd w:id="190"/>
    <w:bookmarkEnd w:id="191"/>
    <w:bookmarkEnd w:id="192"/>
    <w:p>
      <w:pPr>
        <w:bidi w:val="0"/>
        <w:rPr>
          <w:rFonts w:hint="eastAsia"/>
          <w:b/>
          <w:bCs/>
          <w:sz w:val="36"/>
          <w:szCs w:val="36"/>
          <w:highlight w:val="none"/>
        </w:rPr>
      </w:pPr>
      <w:bookmarkStart w:id="193" w:name="_Toc12670"/>
      <w:bookmarkStart w:id="194" w:name="_Toc21782"/>
      <w:bookmarkStart w:id="195" w:name="_Toc8975"/>
      <w:bookmarkStart w:id="196" w:name="_Toc20477"/>
      <w:bookmarkStart w:id="197" w:name="_Toc32317"/>
      <w:bookmarkStart w:id="198" w:name="_Toc11575"/>
      <w:r>
        <w:rPr>
          <w:rFonts w:hint="eastAsia"/>
          <w:b/>
          <w:bCs/>
          <w:sz w:val="36"/>
          <w:szCs w:val="36"/>
          <w:highlight w:val="none"/>
        </w:rPr>
        <w:t>采购项目编号：</w:t>
      </w:r>
      <w:bookmarkEnd w:id="193"/>
      <w:bookmarkEnd w:id="194"/>
    </w:p>
    <w:p>
      <w:pPr>
        <w:bidi w:val="0"/>
        <w:jc w:val="right"/>
        <w:rPr>
          <w:rFonts w:hint="eastAsia"/>
          <w:highlight w:val="none"/>
        </w:rPr>
      </w:pPr>
      <w:r>
        <w:rPr>
          <w:rFonts w:hint="eastAsia"/>
          <w:highlight w:val="none"/>
        </w:rPr>
        <w:t xml:space="preserve">                                     </w:t>
      </w:r>
      <w:r>
        <w:rPr>
          <w:rFonts w:hint="eastAsia"/>
          <w:highlight w:val="none"/>
          <w:lang w:val="en-US" w:eastAsia="zh-CN"/>
        </w:rPr>
        <w:t xml:space="preserve">         </w:t>
      </w:r>
      <w:r>
        <w:rPr>
          <w:rFonts w:hint="eastAsia"/>
          <w:b/>
          <w:bCs/>
          <w:sz w:val="32"/>
          <w:szCs w:val="32"/>
          <w:highlight w:val="none"/>
        </w:rPr>
        <w:t xml:space="preserve"> </w:t>
      </w:r>
      <w:bookmarkStart w:id="199" w:name="_Toc28439"/>
      <w:bookmarkStart w:id="200" w:name="_Toc1643"/>
      <w:bookmarkStart w:id="201" w:name="_Toc16319"/>
      <w:bookmarkStart w:id="202" w:name="_Toc8882"/>
      <w:r>
        <w:rPr>
          <w:rFonts w:hint="eastAsia"/>
          <w:b/>
          <w:bCs/>
          <w:sz w:val="32"/>
          <w:szCs w:val="32"/>
          <w:highlight w:val="none"/>
        </w:rPr>
        <w:t>（正本/副本）</w:t>
      </w:r>
      <w:bookmarkEnd w:id="199"/>
      <w:bookmarkEnd w:id="200"/>
      <w:bookmarkEnd w:id="201"/>
      <w:bookmarkEnd w:id="202"/>
    </w:p>
    <w:p>
      <w:pPr>
        <w:spacing w:line="360" w:lineRule="auto"/>
        <w:rPr>
          <w:rFonts w:hint="eastAsia" w:ascii="宋体" w:hAnsi="宋体" w:cs="宋体"/>
          <w:color w:val="000000"/>
          <w:highlight w:val="none"/>
        </w:rPr>
      </w:pPr>
    </w:p>
    <w:p>
      <w:pPr>
        <w:bidi w:val="0"/>
        <w:jc w:val="center"/>
        <w:rPr>
          <w:rFonts w:hint="eastAsia"/>
          <w:b/>
          <w:bCs/>
          <w:sz w:val="72"/>
          <w:szCs w:val="72"/>
          <w:highlight w:val="none"/>
          <w:u w:val="single"/>
          <w:lang w:val="en-US" w:eastAsia="zh-CN"/>
        </w:rPr>
      </w:pPr>
      <w:bookmarkStart w:id="203" w:name="_Toc821"/>
      <w:bookmarkStart w:id="204" w:name="_Toc31152"/>
    </w:p>
    <w:p>
      <w:pPr>
        <w:bidi w:val="0"/>
        <w:jc w:val="center"/>
        <w:rPr>
          <w:rFonts w:hint="eastAsia"/>
          <w:b/>
          <w:bCs/>
          <w:sz w:val="72"/>
          <w:szCs w:val="72"/>
          <w:highlight w:val="none"/>
        </w:rPr>
      </w:pPr>
      <w:r>
        <w:rPr>
          <w:rFonts w:hint="eastAsia"/>
          <w:b/>
          <w:bCs/>
          <w:sz w:val="72"/>
          <w:szCs w:val="72"/>
          <w:highlight w:val="none"/>
          <w:u w:val="single"/>
          <w:lang w:val="en-US" w:eastAsia="zh-CN"/>
        </w:rPr>
        <w:t xml:space="preserve">                </w:t>
      </w:r>
      <w:r>
        <w:rPr>
          <w:rFonts w:hint="eastAsia"/>
          <w:b/>
          <w:bCs/>
          <w:sz w:val="72"/>
          <w:szCs w:val="72"/>
          <w:highlight w:val="none"/>
        </w:rPr>
        <w:t>项目</w:t>
      </w:r>
      <w:bookmarkEnd w:id="203"/>
      <w:bookmarkEnd w:id="204"/>
    </w:p>
    <w:p>
      <w:pPr>
        <w:spacing w:line="360" w:lineRule="auto"/>
        <w:outlineLvl w:val="9"/>
        <w:rPr>
          <w:rFonts w:hint="eastAsia" w:ascii="宋体" w:hAnsi="宋体" w:cs="宋体"/>
          <w:b/>
          <w:bCs/>
          <w:color w:val="000000"/>
          <w:sz w:val="52"/>
          <w:szCs w:val="52"/>
          <w:highlight w:val="none"/>
        </w:rPr>
      </w:pPr>
    </w:p>
    <w:p>
      <w:pPr>
        <w:bidi w:val="0"/>
        <w:rPr>
          <w:rFonts w:hint="eastAsia"/>
          <w:highlight w:val="none"/>
        </w:rPr>
      </w:pPr>
      <w:bookmarkStart w:id="205" w:name="_Toc28083"/>
      <w:bookmarkStart w:id="206" w:name="_Toc6313"/>
    </w:p>
    <w:p>
      <w:pPr>
        <w:bidi w:val="0"/>
        <w:rPr>
          <w:rFonts w:hint="eastAsia"/>
          <w:highlight w:val="none"/>
        </w:rPr>
      </w:pPr>
    </w:p>
    <w:p>
      <w:pPr>
        <w:bidi w:val="0"/>
        <w:rPr>
          <w:rFonts w:hint="eastAsia"/>
          <w:highlight w:val="none"/>
        </w:rPr>
      </w:pPr>
    </w:p>
    <w:p>
      <w:pPr>
        <w:bidi w:val="0"/>
        <w:rPr>
          <w:rFonts w:hint="eastAsia"/>
          <w:highlight w:val="none"/>
        </w:rPr>
      </w:pPr>
    </w:p>
    <w:p>
      <w:pPr>
        <w:bidi w:val="0"/>
        <w:jc w:val="center"/>
        <w:rPr>
          <w:rFonts w:hint="eastAsia"/>
          <w:b/>
          <w:bCs/>
          <w:sz w:val="48"/>
          <w:szCs w:val="48"/>
          <w:highlight w:val="none"/>
        </w:rPr>
      </w:pPr>
      <w:bookmarkStart w:id="207" w:name="_Toc4795"/>
      <w:r>
        <w:rPr>
          <w:rFonts w:hint="eastAsia"/>
          <w:b/>
          <w:bCs/>
          <w:sz w:val="48"/>
          <w:szCs w:val="48"/>
          <w:highlight w:val="none"/>
        </w:rPr>
        <w:t>竞争性谈判响应</w:t>
      </w:r>
      <w:bookmarkStart w:id="208" w:name="_Toc21139"/>
      <w:bookmarkStart w:id="209" w:name="_Toc7852"/>
      <w:r>
        <w:rPr>
          <w:rFonts w:hint="eastAsia"/>
          <w:b/>
          <w:bCs/>
          <w:sz w:val="48"/>
          <w:szCs w:val="48"/>
          <w:highlight w:val="none"/>
        </w:rPr>
        <w:t>文</w:t>
      </w:r>
      <w:bookmarkEnd w:id="208"/>
      <w:bookmarkEnd w:id="209"/>
      <w:bookmarkStart w:id="210" w:name="_Toc32332"/>
      <w:bookmarkStart w:id="211" w:name="_Toc4654"/>
      <w:r>
        <w:rPr>
          <w:rFonts w:hint="eastAsia"/>
          <w:b/>
          <w:bCs/>
          <w:sz w:val="48"/>
          <w:szCs w:val="48"/>
          <w:highlight w:val="none"/>
        </w:rPr>
        <w:t>件</w:t>
      </w:r>
      <w:bookmarkEnd w:id="205"/>
      <w:bookmarkEnd w:id="206"/>
      <w:bookmarkEnd w:id="207"/>
      <w:bookmarkEnd w:id="210"/>
      <w:bookmarkEnd w:id="211"/>
    </w:p>
    <w:p>
      <w:pPr>
        <w:spacing w:line="360" w:lineRule="auto"/>
        <w:rPr>
          <w:rFonts w:hint="eastAsia" w:ascii="宋体" w:hAnsi="宋体" w:cs="宋体"/>
          <w:highlight w:val="none"/>
        </w:rPr>
      </w:pPr>
    </w:p>
    <w:p>
      <w:pPr>
        <w:spacing w:line="360" w:lineRule="auto"/>
        <w:ind w:firstLine="1044" w:firstLineChars="200"/>
        <w:jc w:val="center"/>
        <w:rPr>
          <w:rFonts w:hint="eastAsia" w:ascii="宋体" w:hAnsi="宋体" w:cs="宋体"/>
          <w:b/>
          <w:bCs/>
          <w:color w:val="000000"/>
          <w:sz w:val="52"/>
          <w:szCs w:val="52"/>
          <w:highlight w:val="none"/>
        </w:rPr>
      </w:pPr>
    </w:p>
    <w:p>
      <w:pPr>
        <w:rPr>
          <w:rFonts w:hint="eastAsia" w:ascii="宋体" w:hAnsi="宋体" w:cs="宋体"/>
          <w:b/>
          <w:bCs/>
          <w:color w:val="000000"/>
          <w:sz w:val="52"/>
          <w:szCs w:val="52"/>
          <w:highlight w:val="none"/>
        </w:rPr>
      </w:pPr>
    </w:p>
    <w:p>
      <w:pPr>
        <w:pStyle w:val="2"/>
        <w:rPr>
          <w:rFonts w:hint="eastAsia" w:ascii="宋体" w:hAnsi="宋体" w:cs="宋体"/>
          <w:b/>
          <w:bCs/>
          <w:color w:val="000000"/>
          <w:sz w:val="52"/>
          <w:szCs w:val="52"/>
          <w:highlight w:val="none"/>
        </w:rPr>
      </w:pPr>
    </w:p>
    <w:p>
      <w:pPr>
        <w:rPr>
          <w:rFonts w:hint="eastAsia"/>
          <w:highlight w:val="none"/>
        </w:rPr>
      </w:pPr>
    </w:p>
    <w:p>
      <w:pPr>
        <w:pStyle w:val="2"/>
        <w:rPr>
          <w:rFonts w:hint="eastAsia"/>
          <w:highlight w:val="none"/>
        </w:rPr>
      </w:pPr>
    </w:p>
    <w:p>
      <w:pPr>
        <w:bidi w:val="0"/>
        <w:spacing w:line="360" w:lineRule="auto"/>
        <w:ind w:firstLine="964" w:firstLineChars="300"/>
        <w:rPr>
          <w:rFonts w:hint="eastAsia" w:ascii="宋体" w:hAnsi="宋体" w:cs="宋体"/>
          <w:b/>
          <w:bCs/>
          <w:sz w:val="32"/>
          <w:szCs w:val="32"/>
          <w:highlight w:val="none"/>
        </w:rPr>
      </w:pPr>
      <w:bookmarkStart w:id="212" w:name="_Toc19948"/>
      <w:bookmarkStart w:id="213" w:name="_Toc11465"/>
      <w:bookmarkStart w:id="214" w:name="_Toc10070"/>
      <w:bookmarkStart w:id="215" w:name="_Toc18274"/>
      <w:bookmarkStart w:id="216" w:name="_Toc21814"/>
      <w:bookmarkStart w:id="217" w:name="_Toc14929"/>
      <w:bookmarkStart w:id="218" w:name="_Toc31831"/>
      <w:r>
        <w:rPr>
          <w:rFonts w:hint="eastAsia" w:ascii="宋体" w:hAnsi="宋体" w:cs="宋体"/>
          <w:b/>
          <w:bCs/>
          <w:sz w:val="32"/>
          <w:szCs w:val="32"/>
          <w:highlight w:val="none"/>
        </w:rPr>
        <w:t>投 标 人：</w:t>
      </w:r>
      <w:bookmarkEnd w:id="212"/>
      <w:bookmarkEnd w:id="213"/>
      <w:bookmarkEnd w:id="214"/>
      <w:bookmarkEnd w:id="215"/>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rPr>
        <w:t>（盖章）</w:t>
      </w:r>
      <w:bookmarkEnd w:id="216"/>
      <w:bookmarkEnd w:id="217"/>
      <w:bookmarkEnd w:id="218"/>
    </w:p>
    <w:p>
      <w:pPr>
        <w:bidi w:val="0"/>
        <w:spacing w:line="360" w:lineRule="auto"/>
        <w:ind w:firstLine="964" w:firstLineChars="300"/>
        <w:rPr>
          <w:rFonts w:hint="eastAsia" w:ascii="宋体" w:hAnsi="宋体" w:cs="宋体"/>
          <w:b/>
          <w:bCs/>
          <w:sz w:val="32"/>
          <w:szCs w:val="32"/>
          <w:highlight w:val="none"/>
        </w:rPr>
      </w:pPr>
      <w:bookmarkStart w:id="219" w:name="_Toc25153"/>
      <w:bookmarkStart w:id="220" w:name="_Toc532"/>
      <w:bookmarkStart w:id="221" w:name="_Toc7246"/>
      <w:bookmarkStart w:id="222" w:name="_Toc20547"/>
      <w:bookmarkStart w:id="223" w:name="_Toc24533"/>
      <w:bookmarkStart w:id="224" w:name="_Toc11392"/>
      <w:bookmarkStart w:id="225" w:name="_Toc13548"/>
      <w:r>
        <w:rPr>
          <w:rFonts w:hint="eastAsia" w:ascii="宋体" w:hAnsi="宋体" w:cs="宋体"/>
          <w:b/>
          <w:bCs/>
          <w:sz w:val="32"/>
          <w:szCs w:val="32"/>
          <w:highlight w:val="none"/>
        </w:rPr>
        <w:t>法定代表人或被授权人：</w:t>
      </w:r>
      <w:bookmarkEnd w:id="219"/>
      <w:bookmarkEnd w:id="220"/>
      <w:bookmarkEnd w:id="221"/>
      <w:bookmarkEnd w:id="222"/>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rPr>
        <w:t>（签字或盖章）</w:t>
      </w:r>
      <w:bookmarkEnd w:id="223"/>
      <w:bookmarkEnd w:id="224"/>
      <w:bookmarkEnd w:id="225"/>
    </w:p>
    <w:p>
      <w:pPr>
        <w:bidi w:val="0"/>
        <w:spacing w:line="360" w:lineRule="auto"/>
        <w:ind w:firstLine="964" w:firstLineChars="300"/>
        <w:rPr>
          <w:rFonts w:hint="eastAsia" w:ascii="宋体" w:hAnsi="宋体" w:cs="宋体"/>
          <w:highlight w:val="none"/>
        </w:rPr>
      </w:pPr>
      <w:bookmarkStart w:id="226" w:name="_Toc28903"/>
      <w:bookmarkStart w:id="227" w:name="_Toc3631"/>
      <w:bookmarkStart w:id="228" w:name="_Toc30755"/>
      <w:bookmarkStart w:id="229" w:name="_Toc20592"/>
      <w:bookmarkStart w:id="230" w:name="_Toc22736"/>
      <w:bookmarkStart w:id="231" w:name="_Toc26484"/>
      <w:bookmarkStart w:id="232" w:name="_Toc14"/>
      <w:r>
        <w:rPr>
          <w:rFonts w:hint="eastAsia" w:ascii="宋体" w:hAnsi="宋体" w:cs="宋体"/>
          <w:b/>
          <w:bCs/>
          <w:sz w:val="32"/>
          <w:szCs w:val="32"/>
          <w:highlight w:val="none"/>
        </w:rPr>
        <w:t>时    间：</w:t>
      </w:r>
      <w:bookmarkEnd w:id="226"/>
      <w:bookmarkEnd w:id="227"/>
      <w:bookmarkEnd w:id="228"/>
      <w:bookmarkEnd w:id="229"/>
      <w:bookmarkEnd w:id="230"/>
      <w:bookmarkEnd w:id="231"/>
      <w:bookmarkEnd w:id="232"/>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u w:val="single"/>
          <w:lang w:val="en-US" w:eastAsia="zh-CN"/>
        </w:rPr>
        <w:t xml:space="preserve">   </w:t>
      </w:r>
      <w:r>
        <w:rPr>
          <w:rFonts w:hint="eastAsia" w:ascii="宋体" w:hAnsi="宋体" w:cs="宋体"/>
          <w:b/>
          <w:bCs/>
          <w:sz w:val="32"/>
          <w:szCs w:val="32"/>
          <w:highlight w:val="none"/>
          <w:u w:val="single"/>
        </w:rPr>
        <w:t xml:space="preserve">  </w:t>
      </w:r>
    </w:p>
    <w:p>
      <w:pPr>
        <w:spacing w:line="360" w:lineRule="auto"/>
        <w:rPr>
          <w:rFonts w:hint="eastAsia" w:ascii="宋体" w:hAnsi="宋体" w:cs="宋体"/>
          <w:b/>
          <w:bCs/>
          <w:sz w:val="32"/>
          <w:szCs w:val="32"/>
          <w:highlight w:val="none"/>
        </w:rPr>
      </w:pPr>
      <w:r>
        <w:rPr>
          <w:rFonts w:hint="eastAsia" w:ascii="宋体" w:hAnsi="宋体" w:cs="宋体"/>
          <w:b/>
          <w:bCs/>
          <w:sz w:val="32"/>
          <w:szCs w:val="32"/>
          <w:highlight w:val="none"/>
        </w:rPr>
        <w:br w:type="page"/>
      </w:r>
    </w:p>
    <w:p>
      <w:pPr>
        <w:bidi w:val="0"/>
        <w:jc w:val="center"/>
        <w:rPr>
          <w:rFonts w:hint="eastAsia"/>
          <w:b/>
          <w:bCs/>
          <w:sz w:val="40"/>
          <w:szCs w:val="40"/>
          <w:highlight w:val="none"/>
        </w:rPr>
      </w:pPr>
      <w:bookmarkStart w:id="233" w:name="_Toc10877"/>
      <w:bookmarkStart w:id="234" w:name="_Toc27565"/>
      <w:r>
        <w:rPr>
          <w:rFonts w:hint="eastAsia"/>
          <w:b/>
          <w:bCs/>
          <w:sz w:val="40"/>
          <w:szCs w:val="40"/>
          <w:highlight w:val="none"/>
        </w:rPr>
        <w:t>目录</w:t>
      </w:r>
      <w:bookmarkEnd w:id="195"/>
      <w:bookmarkEnd w:id="196"/>
      <w:bookmarkEnd w:id="197"/>
      <w:bookmarkEnd w:id="198"/>
      <w:bookmarkEnd w:id="233"/>
      <w:bookmarkEnd w:id="234"/>
    </w:p>
    <w:p>
      <w:pPr>
        <w:rPr>
          <w:rFonts w:hint="eastAsia" w:ascii="宋体" w:hAnsi="宋体" w:eastAsia="宋体" w:cs="宋体"/>
          <w:highlight w:val="none"/>
        </w:rPr>
      </w:pPr>
      <w:bookmarkStart w:id="235" w:name="_Toc27972"/>
      <w:bookmarkStart w:id="236" w:name="_Toc12159"/>
      <w:bookmarkStart w:id="237" w:name="_Toc7742"/>
      <w:bookmarkStart w:id="238" w:name="_Toc7232"/>
      <w:bookmarkStart w:id="239" w:name="_Toc2650"/>
      <w:bookmarkStart w:id="240" w:name="_Toc16648"/>
      <w:r>
        <w:rPr>
          <w:rFonts w:hint="eastAsia" w:ascii="宋体" w:hAnsi="宋体" w:eastAsia="宋体" w:cs="宋体"/>
          <w:highlight w:val="none"/>
        </w:rPr>
        <w:br w:type="page"/>
      </w:r>
    </w:p>
    <w:p>
      <w:pPr>
        <w:pStyle w:val="6"/>
        <w:spacing w:before="0" w:after="0" w:line="360" w:lineRule="auto"/>
        <w:jc w:val="center"/>
        <w:rPr>
          <w:rFonts w:hint="eastAsia" w:ascii="宋体" w:hAnsi="宋体" w:eastAsia="宋体" w:cs="宋体"/>
          <w:highlight w:val="none"/>
        </w:rPr>
      </w:pPr>
      <w:bookmarkStart w:id="241" w:name="_Toc1154"/>
      <w:r>
        <w:rPr>
          <w:rFonts w:hint="eastAsia" w:ascii="宋体" w:hAnsi="宋体" w:eastAsia="宋体" w:cs="宋体"/>
          <w:highlight w:val="none"/>
        </w:rPr>
        <w:t>一、谈判函</w:t>
      </w:r>
      <w:bookmarkEnd w:id="235"/>
      <w:bookmarkEnd w:id="236"/>
      <w:bookmarkEnd w:id="237"/>
      <w:bookmarkEnd w:id="238"/>
      <w:bookmarkEnd w:id="239"/>
      <w:bookmarkEnd w:id="240"/>
      <w:bookmarkEnd w:id="241"/>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致：</w:t>
      </w:r>
      <w:r>
        <w:rPr>
          <w:rFonts w:hint="eastAsia" w:ascii="宋体" w:hAnsi="宋体" w:cs="宋体"/>
          <w:sz w:val="24"/>
          <w:highlight w:val="none"/>
          <w:lang w:eastAsia="zh-CN"/>
        </w:rPr>
        <w:t>亿诚建设项目管理有限公司</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根据贵方为</w:t>
      </w:r>
      <w:r>
        <w:rPr>
          <w:rFonts w:hint="eastAsia" w:ascii="宋体" w:hAnsi="宋体" w:cs="宋体"/>
          <w:sz w:val="24"/>
          <w:highlight w:val="none"/>
          <w:u w:val="single"/>
        </w:rPr>
        <w:t>（采购项目名称、采购项目编号</w:t>
      </w:r>
      <w:r>
        <w:rPr>
          <w:rFonts w:hint="eastAsia" w:ascii="宋体" w:hAnsi="宋体" w:cs="宋体"/>
          <w:sz w:val="24"/>
          <w:highlight w:val="none"/>
        </w:rPr>
        <w:t>）的竞争性谈判文件，签字代表</w:t>
      </w:r>
      <w:r>
        <w:rPr>
          <w:rFonts w:hint="eastAsia" w:ascii="宋体" w:hAnsi="宋体" w:cs="宋体"/>
          <w:sz w:val="24"/>
          <w:highlight w:val="none"/>
          <w:u w:val="single"/>
        </w:rPr>
        <w:t>(全名、职务)</w:t>
      </w:r>
      <w:r>
        <w:rPr>
          <w:rFonts w:hint="eastAsia" w:ascii="宋体" w:hAnsi="宋体" w:cs="宋体"/>
          <w:sz w:val="24"/>
          <w:highlight w:val="none"/>
        </w:rPr>
        <w:t>经正式授权并代表</w:t>
      </w:r>
      <w:r>
        <w:rPr>
          <w:rFonts w:hint="eastAsia" w:ascii="宋体" w:hAnsi="宋体" w:cs="宋体"/>
          <w:sz w:val="24"/>
          <w:highlight w:val="none"/>
          <w:u w:val="single"/>
        </w:rPr>
        <w:t>(供应商名称、地址）</w:t>
      </w:r>
      <w:r>
        <w:rPr>
          <w:rFonts w:hint="eastAsia" w:ascii="宋体" w:hAnsi="宋体" w:cs="宋体"/>
          <w:sz w:val="24"/>
          <w:highlight w:val="none"/>
        </w:rPr>
        <w:t>提交包含下述内容的谈判响应文件正本一份、副本一式</w:t>
      </w:r>
      <w:r>
        <w:rPr>
          <w:rFonts w:hint="eastAsia" w:ascii="宋体" w:hAnsi="宋体" w:cs="宋体"/>
          <w:sz w:val="24"/>
          <w:highlight w:val="none"/>
          <w:u w:val="single"/>
          <w:lang w:val="en-US" w:eastAsia="zh-CN"/>
        </w:rPr>
        <w:t>叁</w:t>
      </w:r>
      <w:r>
        <w:rPr>
          <w:rFonts w:hint="eastAsia" w:ascii="宋体" w:hAnsi="宋体" w:cs="宋体"/>
          <w:sz w:val="24"/>
          <w:highlight w:val="none"/>
        </w:rPr>
        <w:t>份，电子版</w:t>
      </w:r>
      <w:r>
        <w:rPr>
          <w:rFonts w:hint="eastAsia" w:ascii="宋体" w:hAnsi="宋体" w:cs="宋体"/>
          <w:sz w:val="24"/>
          <w:highlight w:val="none"/>
          <w:u w:val="single"/>
        </w:rPr>
        <w:t>壹</w:t>
      </w:r>
      <w:r>
        <w:rPr>
          <w:rFonts w:hint="eastAsia" w:ascii="宋体" w:hAnsi="宋体" w:cs="宋体"/>
          <w:sz w:val="24"/>
          <w:highlight w:val="none"/>
        </w:rPr>
        <w:t>份，资格证明原件</w:t>
      </w:r>
      <w:r>
        <w:rPr>
          <w:rFonts w:hint="eastAsia" w:ascii="宋体" w:hAnsi="宋体" w:cs="宋体"/>
          <w:sz w:val="24"/>
          <w:highlight w:val="none"/>
          <w:u w:val="single"/>
        </w:rPr>
        <w:t>壹</w:t>
      </w:r>
      <w:r>
        <w:rPr>
          <w:rFonts w:hint="eastAsia" w:ascii="宋体" w:hAnsi="宋体" w:cs="宋体"/>
          <w:sz w:val="24"/>
          <w:highlight w:val="none"/>
        </w:rPr>
        <w:t>套，首轮报价一览表</w:t>
      </w:r>
      <w:r>
        <w:rPr>
          <w:rFonts w:hint="eastAsia" w:ascii="宋体" w:hAnsi="宋体" w:cs="宋体"/>
          <w:sz w:val="24"/>
          <w:highlight w:val="none"/>
          <w:u w:val="single"/>
        </w:rPr>
        <w:t>壹</w:t>
      </w:r>
      <w:r>
        <w:rPr>
          <w:rFonts w:hint="eastAsia" w:ascii="宋体" w:hAnsi="宋体" w:cs="宋体"/>
          <w:sz w:val="24"/>
          <w:highlight w:val="none"/>
        </w:rPr>
        <w:t>份。</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(1)谈判函</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(2)首轮报价一览表</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(3)按供应商须知要求提供的全部文件和谈判文件要求的响应文件。</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(4)供应商资格证明文件。</w:t>
      </w:r>
    </w:p>
    <w:p>
      <w:pPr>
        <w:spacing w:line="360" w:lineRule="auto"/>
        <w:ind w:firstLine="480"/>
        <w:rPr>
          <w:rFonts w:hint="eastAsia" w:ascii="宋体" w:hAnsi="宋体" w:cs="宋体"/>
          <w:sz w:val="24"/>
          <w:highlight w:val="none"/>
        </w:rPr>
      </w:pPr>
      <w:r>
        <w:rPr>
          <w:rFonts w:hint="eastAsia" w:ascii="宋体" w:hAnsi="宋体" w:cs="宋体"/>
          <w:sz w:val="24"/>
          <w:highlight w:val="none"/>
        </w:rPr>
        <w:t>(5)已交纳谈判保证金，金额为</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据此函，签字代表宣布同意如下：</w:t>
      </w:r>
    </w:p>
    <w:p>
      <w:pPr>
        <w:spacing w:line="360" w:lineRule="auto"/>
        <w:ind w:firstLine="470" w:firstLineChars="196"/>
        <w:rPr>
          <w:rFonts w:hint="eastAsia" w:ascii="宋体" w:hAnsi="宋体" w:cs="宋体"/>
          <w:sz w:val="24"/>
          <w:highlight w:val="none"/>
        </w:rPr>
      </w:pPr>
      <w:r>
        <w:rPr>
          <w:rFonts w:hint="eastAsia" w:ascii="宋体" w:hAnsi="宋体" w:cs="宋体"/>
          <w:sz w:val="24"/>
          <w:highlight w:val="none"/>
        </w:rPr>
        <w:t>1、所附谈判报价表中规定的谈判报价为：</w:t>
      </w:r>
      <w:r>
        <w:rPr>
          <w:rFonts w:hint="eastAsia" w:ascii="宋体" w:hAnsi="宋体" w:cs="宋体"/>
          <w:sz w:val="24"/>
          <w:highlight w:val="none"/>
          <w:u w:val="single"/>
        </w:rPr>
        <w:t xml:space="preserve">        </w:t>
      </w:r>
      <w:r>
        <w:rPr>
          <w:rFonts w:hint="eastAsia" w:ascii="宋体" w:hAnsi="宋体" w:cs="宋体"/>
          <w:sz w:val="24"/>
          <w:highlight w:val="none"/>
        </w:rPr>
        <w:t>元（即：大写金额：</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left="599" w:leftChars="230" w:hanging="116" w:hangingChars="50"/>
        <w:rPr>
          <w:rFonts w:hint="eastAsia" w:ascii="宋体" w:hAnsi="宋体" w:cs="宋体"/>
          <w:sz w:val="24"/>
          <w:highlight w:val="none"/>
        </w:rPr>
      </w:pPr>
      <w:r>
        <w:rPr>
          <w:rFonts w:hint="eastAsia" w:ascii="宋体" w:hAnsi="宋体" w:cs="宋体"/>
          <w:spacing w:val="-4"/>
          <w:sz w:val="24"/>
          <w:highlight w:val="none"/>
        </w:rPr>
        <w:t>2、若我方成交，我方保证按</w:t>
      </w:r>
      <w:r>
        <w:rPr>
          <w:rFonts w:hint="eastAsia" w:ascii="宋体" w:hAnsi="宋体" w:cs="宋体"/>
          <w:spacing w:val="-4"/>
          <w:sz w:val="24"/>
          <w:highlight w:val="none"/>
          <w:lang w:val="en-US" w:eastAsia="zh-CN"/>
        </w:rPr>
        <w:t>服务期</w:t>
      </w:r>
      <w:r>
        <w:rPr>
          <w:rFonts w:hint="eastAsia" w:ascii="宋体" w:hAnsi="宋体" w:cs="宋体"/>
          <w:spacing w:val="-4"/>
          <w:sz w:val="24"/>
          <w:highlight w:val="none"/>
          <w:u w:val="single"/>
        </w:rPr>
        <w:t xml:space="preserve">       </w:t>
      </w:r>
      <w:r>
        <w:rPr>
          <w:rFonts w:hint="eastAsia" w:ascii="宋体" w:hAnsi="宋体" w:cs="宋体"/>
          <w:spacing w:val="-4"/>
          <w:sz w:val="24"/>
          <w:highlight w:val="none"/>
        </w:rPr>
        <w:t>。</w:t>
      </w:r>
      <w:r>
        <w:rPr>
          <w:rFonts w:hint="eastAsia" w:ascii="宋体" w:hAnsi="宋体" w:cs="宋体"/>
          <w:sz w:val="24"/>
          <w:highlight w:val="none"/>
        </w:rPr>
        <w:t>我方保证服务质量等级达到</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3、供应商将按谈判文件的规定履行合同责任和义务</w:t>
      </w:r>
      <w:r>
        <w:rPr>
          <w:rFonts w:hint="eastAsia" w:ascii="宋体" w:hAnsi="宋体" w:cs="宋体"/>
          <w:sz w:val="24"/>
          <w:highlight w:val="none"/>
          <w:lang w:eastAsia="zh-CN"/>
        </w:rPr>
        <w:t>；</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4、供应商已详细审查全部谈判文件，包括修改文件（如有的话）以及全部参考资料和有关附件。我们完全理解并同意放弃对这方面有不明及误解的权利；</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5</w:t>
      </w:r>
      <w:r>
        <w:rPr>
          <w:rFonts w:hint="eastAsia" w:ascii="宋体" w:hAnsi="宋体" w:cs="宋体"/>
          <w:sz w:val="24"/>
          <w:highlight w:val="none"/>
        </w:rPr>
        <w:t>、供应商同意提供按照贵方可能要求的与其报价有关的一切数据或资料。</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6</w:t>
      </w:r>
      <w:r>
        <w:rPr>
          <w:rFonts w:hint="eastAsia" w:ascii="宋体" w:hAnsi="宋体" w:cs="宋体"/>
          <w:sz w:val="24"/>
          <w:highlight w:val="none"/>
        </w:rPr>
        <w:t>、我方完全理解最低报价不是成交的唯一条件，并尊重谈判小组的评审结论和成交结果。</w:t>
      </w:r>
    </w:p>
    <w:p>
      <w:pPr>
        <w:pStyle w:val="45"/>
        <w:spacing w:after="0" w:afterAutospacing="0" w:line="360" w:lineRule="auto"/>
        <w:ind w:firstLine="468" w:firstLineChars="200"/>
        <w:rPr>
          <w:rFonts w:hint="default" w:eastAsia="宋体"/>
          <w:highlight w:val="none"/>
          <w:u w:val="single"/>
          <w:lang w:val="en-US" w:eastAsia="zh-CN"/>
        </w:rPr>
      </w:pPr>
      <w:r>
        <w:rPr>
          <w:rFonts w:hint="eastAsia" w:ascii="宋体" w:hAnsi="宋体" w:eastAsia="宋体" w:cs="宋体"/>
          <w:sz w:val="24"/>
          <w:highlight w:val="none"/>
          <w:lang w:val="en-US" w:eastAsia="zh-CN"/>
        </w:rPr>
        <w:t>7、其他</w:t>
      </w:r>
      <w:r>
        <w:rPr>
          <w:rFonts w:hint="eastAsia" w:ascii="宋体" w:hAnsi="宋体" w:eastAsia="宋体" w:cs="宋体"/>
          <w:sz w:val="24"/>
          <w:highlight w:val="none"/>
          <w:u w:val="single"/>
          <w:lang w:val="en-US" w:eastAsia="zh-CN"/>
        </w:rPr>
        <w:t xml:space="preserve">                                             </w:t>
      </w:r>
    </w:p>
    <w:p>
      <w:pPr>
        <w:spacing w:beforeAutospacing="0"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8</w:t>
      </w:r>
      <w:r>
        <w:rPr>
          <w:rFonts w:hint="eastAsia" w:ascii="宋体" w:hAnsi="宋体" w:cs="宋体"/>
          <w:sz w:val="24"/>
          <w:highlight w:val="none"/>
        </w:rPr>
        <w:t>、与本谈判有关的一切正式往来通讯请寄：</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u w:val="single"/>
        </w:rPr>
        <w:t xml:space="preserve">                     </w:t>
      </w:r>
      <w:r>
        <w:rPr>
          <w:rFonts w:hint="eastAsia" w:ascii="宋体" w:hAnsi="宋体" w:cs="宋体"/>
          <w:sz w:val="24"/>
          <w:highlight w:val="none"/>
        </w:rPr>
        <w:t xml:space="preserve">   邮编：</w:t>
      </w:r>
      <w:r>
        <w:rPr>
          <w:rFonts w:hint="eastAsia" w:ascii="宋体" w:hAnsi="宋体" w:cs="宋体"/>
          <w:sz w:val="24"/>
          <w:highlight w:val="none"/>
          <w:u w:val="singl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电话：</w:t>
      </w:r>
      <w:r>
        <w:rPr>
          <w:rFonts w:hint="eastAsia" w:ascii="宋体" w:hAnsi="宋体" w:cs="宋体"/>
          <w:sz w:val="24"/>
          <w:highlight w:val="none"/>
          <w:u w:val="single"/>
        </w:rPr>
        <w:t xml:space="preserve">                      </w:t>
      </w:r>
      <w:r>
        <w:rPr>
          <w:rFonts w:hint="eastAsia" w:ascii="宋体" w:hAnsi="宋体" w:cs="宋体"/>
          <w:sz w:val="24"/>
          <w:highlight w:val="none"/>
        </w:rPr>
        <w:t xml:space="preserve">  传真：</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供应商</w:t>
      </w:r>
      <w:r>
        <w:rPr>
          <w:rFonts w:hint="eastAsia" w:ascii="宋体" w:hAnsi="宋体" w:cs="宋体"/>
          <w:sz w:val="24"/>
          <w:highlight w:val="none"/>
          <w:lang w:val="en-US" w:eastAsia="zh-CN"/>
        </w:rPr>
        <w:t>法定</w:t>
      </w:r>
      <w:r>
        <w:rPr>
          <w:rFonts w:hint="eastAsia" w:ascii="宋体" w:hAnsi="宋体" w:cs="宋体"/>
          <w:sz w:val="24"/>
          <w:highlight w:val="none"/>
        </w:rPr>
        <w:t>代表</w:t>
      </w:r>
      <w:r>
        <w:rPr>
          <w:rFonts w:hint="eastAsia" w:ascii="宋体" w:hAnsi="宋体" w:cs="宋体"/>
          <w:sz w:val="24"/>
          <w:highlight w:val="none"/>
          <w:lang w:val="en-US" w:eastAsia="zh-CN"/>
        </w:rPr>
        <w:t>人</w:t>
      </w:r>
      <w:r>
        <w:rPr>
          <w:rFonts w:hint="eastAsia" w:ascii="宋体" w:hAnsi="宋体" w:cs="宋体"/>
          <w:sz w:val="24"/>
          <w:highlight w:val="none"/>
        </w:rPr>
        <w:t>姓名、职务（印刷体）：</w:t>
      </w:r>
      <w:r>
        <w:rPr>
          <w:rFonts w:hint="eastAsia" w:ascii="宋体" w:hAnsi="宋体" w:cs="宋体"/>
          <w:sz w:val="24"/>
          <w:highlight w:val="none"/>
          <w:u w:val="singl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供应商名称：</w:t>
      </w:r>
      <w:r>
        <w:rPr>
          <w:rFonts w:hint="eastAsia" w:ascii="宋体" w:hAnsi="宋体" w:cs="宋体"/>
          <w:sz w:val="24"/>
          <w:highlight w:val="none"/>
          <w:u w:val="single"/>
        </w:rPr>
        <w:t xml:space="preserve">                    </w:t>
      </w:r>
      <w:r>
        <w:rPr>
          <w:rFonts w:hint="eastAsia" w:ascii="宋体" w:hAnsi="宋体" w:cs="宋体"/>
          <w:sz w:val="24"/>
          <w:highlight w:val="none"/>
        </w:rPr>
        <w:t>（公章）</w:t>
      </w:r>
    </w:p>
    <w:p>
      <w:pPr>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rPr>
        <w:t>法定代表人签字</w:t>
      </w:r>
      <w:r>
        <w:rPr>
          <w:rFonts w:hint="eastAsia" w:ascii="宋体" w:hAnsi="宋体" w:cs="宋体"/>
          <w:sz w:val="24"/>
          <w:highlight w:val="none"/>
          <w:lang w:val="en-US" w:eastAsia="zh-CN"/>
        </w:rPr>
        <w:t>或</w:t>
      </w:r>
      <w:r>
        <w:rPr>
          <w:rFonts w:hint="eastAsia" w:ascii="宋体" w:hAnsi="宋体" w:cs="宋体"/>
          <w:sz w:val="24"/>
          <w:highlight w:val="none"/>
        </w:rPr>
        <w:t>盖章：</w:t>
      </w:r>
      <w:r>
        <w:rPr>
          <w:rFonts w:hint="eastAsia" w:ascii="宋体" w:hAnsi="宋体" w:cs="宋体"/>
          <w:sz w:val="24"/>
          <w:highlight w:val="none"/>
          <w:u w:val="singl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日期： </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spacing w:line="360" w:lineRule="auto"/>
        <w:rPr>
          <w:rFonts w:hint="eastAsia" w:ascii="宋体" w:hAnsi="宋体" w:eastAsia="宋体" w:cs="宋体"/>
          <w:szCs w:val="32"/>
          <w:highlight w:val="none"/>
        </w:rPr>
      </w:pPr>
      <w:bookmarkStart w:id="242" w:name="_Toc233435984"/>
      <w:bookmarkStart w:id="243" w:name="_Toc9401"/>
      <w:bookmarkStart w:id="244" w:name="_Toc27283"/>
      <w:bookmarkStart w:id="245" w:name="_Toc128557264"/>
      <w:bookmarkStart w:id="246" w:name="_Toc5535"/>
      <w:bookmarkStart w:id="247" w:name="_Toc27099"/>
      <w:bookmarkStart w:id="248" w:name="_Toc21734"/>
      <w:bookmarkStart w:id="249" w:name="_Toc31173"/>
      <w:r>
        <w:rPr>
          <w:rFonts w:hint="eastAsia" w:ascii="宋体" w:hAnsi="宋体" w:eastAsia="宋体" w:cs="宋体"/>
          <w:szCs w:val="32"/>
          <w:highlight w:val="none"/>
        </w:rPr>
        <w:br w:type="page"/>
      </w:r>
    </w:p>
    <w:p>
      <w:pPr>
        <w:pStyle w:val="6"/>
        <w:spacing w:before="0" w:after="0" w:line="360" w:lineRule="auto"/>
        <w:jc w:val="center"/>
        <w:rPr>
          <w:rFonts w:hint="eastAsia" w:ascii="宋体" w:hAnsi="宋体" w:eastAsia="宋体" w:cs="宋体"/>
          <w:b w:val="0"/>
          <w:sz w:val="18"/>
          <w:szCs w:val="18"/>
          <w:highlight w:val="none"/>
        </w:rPr>
      </w:pPr>
      <w:bookmarkStart w:id="250" w:name="_Toc10162"/>
      <w:bookmarkStart w:id="251" w:name="_Toc32091"/>
      <w:bookmarkStart w:id="252" w:name="_Toc26225"/>
      <w:bookmarkStart w:id="253" w:name="_Toc14823"/>
      <w:r>
        <w:rPr>
          <w:rFonts w:hint="eastAsia" w:ascii="宋体" w:hAnsi="宋体" w:eastAsia="宋体" w:cs="宋体"/>
          <w:szCs w:val="32"/>
          <w:highlight w:val="none"/>
        </w:rPr>
        <w:t>二、首轮报价一览表</w:t>
      </w:r>
      <w:bookmarkEnd w:id="242"/>
      <w:bookmarkEnd w:id="243"/>
      <w:bookmarkEnd w:id="244"/>
      <w:bookmarkEnd w:id="245"/>
      <w:bookmarkEnd w:id="246"/>
      <w:bookmarkEnd w:id="247"/>
      <w:bookmarkEnd w:id="248"/>
      <w:bookmarkEnd w:id="249"/>
      <w:bookmarkEnd w:id="250"/>
      <w:bookmarkEnd w:id="251"/>
      <w:bookmarkEnd w:id="252"/>
      <w:bookmarkEnd w:id="253"/>
    </w:p>
    <w:tbl>
      <w:tblPr>
        <w:tblStyle w:val="30"/>
        <w:tblW w:w="4999"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369"/>
        <w:gridCol w:w="759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采购项目编号</w:t>
            </w:r>
          </w:p>
        </w:tc>
        <w:tc>
          <w:tcPr>
            <w:tcW w:w="3810" w:type="pct"/>
            <w:tcBorders>
              <w:bottom w:val="single" w:color="auto" w:sz="4" w:space="0"/>
            </w:tcBorders>
            <w:noWrap w:val="0"/>
            <w:vAlign w:val="center"/>
          </w:tcPr>
          <w:p>
            <w:pPr>
              <w:spacing w:line="360" w:lineRule="auto"/>
              <w:jc w:val="center"/>
              <w:rPr>
                <w:rFonts w:hint="eastAsia" w:ascii="宋体" w:hAnsi="宋体" w:cs="宋体"/>
                <w:cap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单位名称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18"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highlight w:val="none"/>
              </w:rPr>
              <w:t>谈判报价</w:t>
            </w:r>
          </w:p>
        </w:tc>
        <w:tc>
          <w:tcPr>
            <w:tcW w:w="3810" w:type="pct"/>
            <w:noWrap w:val="0"/>
            <w:vAlign w:val="center"/>
          </w:tcPr>
          <w:p>
            <w:pPr>
              <w:spacing w:line="360" w:lineRule="auto"/>
              <w:jc w:val="left"/>
              <w:rPr>
                <w:rFonts w:hint="eastAsia" w:ascii="宋体" w:hAnsi="宋体" w:cs="宋体"/>
                <w:b/>
                <w:bCs/>
                <w:sz w:val="24"/>
                <w:highlight w:val="none"/>
              </w:rPr>
            </w:pPr>
            <w:r>
              <w:rPr>
                <w:rFonts w:hint="eastAsia" w:ascii="宋体" w:hAnsi="宋体" w:cs="宋体"/>
                <w:b/>
                <w:bCs/>
                <w:sz w:val="24"/>
                <w:highlight w:val="none"/>
              </w:rPr>
              <w:t>人 民 币（大写）：</w:t>
            </w:r>
          </w:p>
          <w:p>
            <w:pPr>
              <w:spacing w:line="360" w:lineRule="auto"/>
              <w:jc w:val="left"/>
              <w:rPr>
                <w:rFonts w:hint="eastAsia" w:ascii="宋体" w:hAnsi="宋体" w:cs="宋体"/>
                <w:sz w:val="24"/>
                <w:highlight w:val="none"/>
              </w:rPr>
            </w:pPr>
            <w:r>
              <w:rPr>
                <w:rFonts w:hint="eastAsia" w:ascii="宋体" w:hAnsi="宋体" w:cs="宋体"/>
                <w:b/>
                <w:bCs/>
                <w:sz w:val="24"/>
                <w:highlight w:val="none"/>
              </w:rPr>
              <w:t>人 民 币（小写）：</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lang w:val="en-US" w:eastAsia="zh-CN"/>
              </w:rPr>
              <w:t>服务期</w:t>
            </w:r>
          </w:p>
        </w:tc>
        <w:tc>
          <w:tcPr>
            <w:tcW w:w="3810"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服务质量</w:t>
            </w:r>
          </w:p>
        </w:tc>
        <w:tc>
          <w:tcPr>
            <w:tcW w:w="3810"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投标声明</w:t>
            </w:r>
          </w:p>
        </w:tc>
        <w:tc>
          <w:tcPr>
            <w:tcW w:w="3810" w:type="pct"/>
            <w:noWrap w:val="0"/>
            <w:vAlign w:val="center"/>
          </w:tcPr>
          <w:p>
            <w:pPr>
              <w:spacing w:line="360" w:lineRule="auto"/>
              <w:jc w:val="center"/>
              <w:rPr>
                <w:rFonts w:hint="eastAsia" w:ascii="宋体" w:hAnsi="宋体" w:cs="宋体"/>
                <w:b/>
                <w:bCs/>
                <w:sz w:val="24"/>
                <w:highlight w:val="none"/>
              </w:rPr>
            </w:pPr>
          </w:p>
        </w:tc>
      </w:tr>
    </w:tbl>
    <w:p>
      <w:pPr>
        <w:spacing w:line="360" w:lineRule="auto"/>
        <w:rPr>
          <w:rFonts w:hint="eastAsia" w:ascii="宋体" w:hAnsi="宋体" w:cs="宋体"/>
          <w:sz w:val="24"/>
          <w:highlight w:val="none"/>
          <w:u w:val="single"/>
        </w:rPr>
      </w:pPr>
    </w:p>
    <w:p>
      <w:pPr>
        <w:spacing w:line="360" w:lineRule="auto"/>
        <w:jc w:val="right"/>
        <w:rPr>
          <w:rFonts w:hint="eastAsia" w:ascii="宋体" w:hAnsi="宋体" w:cs="宋体"/>
          <w:sz w:val="24"/>
          <w:highlight w:val="none"/>
          <w:u w:val="single"/>
        </w:rPr>
      </w:pPr>
    </w:p>
    <w:p>
      <w:pPr>
        <w:spacing w:line="360" w:lineRule="auto"/>
        <w:ind w:right="-161" w:firstLine="2640" w:firstLineChars="1100"/>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（公章）</w:t>
      </w:r>
    </w:p>
    <w:p>
      <w:pPr>
        <w:spacing w:line="360" w:lineRule="auto"/>
        <w:ind w:right="-161" w:firstLine="2640" w:firstLineChars="1100"/>
        <w:rPr>
          <w:rFonts w:hint="eastAsia" w:ascii="宋体" w:hAnsi="宋体" w:cs="宋体"/>
          <w:sz w:val="24"/>
          <w:szCs w:val="24"/>
          <w:highlight w:val="none"/>
          <w:u w:val="single"/>
        </w:rPr>
      </w:pPr>
      <w:r>
        <w:rPr>
          <w:rFonts w:hint="eastAsia" w:ascii="宋体" w:hAnsi="宋体" w:cs="宋体"/>
          <w:sz w:val="24"/>
          <w:szCs w:val="24"/>
          <w:highlight w:val="none"/>
        </w:rPr>
        <w:t>法定代表人签字</w:t>
      </w:r>
      <w:r>
        <w:rPr>
          <w:rFonts w:hint="eastAsia" w:ascii="宋体" w:hAnsi="宋体" w:cs="宋体"/>
          <w:sz w:val="24"/>
          <w:szCs w:val="24"/>
          <w:highlight w:val="none"/>
          <w:lang w:val="en-US" w:eastAsia="zh-CN"/>
        </w:rPr>
        <w:t>或</w:t>
      </w:r>
      <w:r>
        <w:rPr>
          <w:rFonts w:hint="eastAsia" w:ascii="宋体" w:hAnsi="宋体" w:cs="宋体"/>
          <w:sz w:val="24"/>
          <w:szCs w:val="24"/>
          <w:highlight w:val="none"/>
        </w:rPr>
        <w:t>盖章：</w:t>
      </w:r>
      <w:r>
        <w:rPr>
          <w:rFonts w:hint="eastAsia" w:ascii="宋体" w:hAnsi="宋体" w:cs="宋体"/>
          <w:sz w:val="24"/>
          <w:szCs w:val="24"/>
          <w:highlight w:val="none"/>
          <w:u w:val="single"/>
        </w:rPr>
        <w:t xml:space="preserve">                 </w:t>
      </w:r>
    </w:p>
    <w:p>
      <w:pPr>
        <w:spacing w:line="360" w:lineRule="auto"/>
        <w:ind w:firstLine="2640" w:firstLineChars="1100"/>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bookmarkStart w:id="254" w:name="_Toc15290"/>
      <w:bookmarkStart w:id="255" w:name="_Toc7499"/>
      <w:bookmarkStart w:id="256" w:name="_Toc23888"/>
      <w:bookmarkStart w:id="257" w:name="_Toc16233"/>
      <w:bookmarkStart w:id="258" w:name="_Toc5162"/>
    </w:p>
    <w:p>
      <w:pPr>
        <w:rPr>
          <w:rFonts w:hint="eastAsia" w:ascii="宋体" w:hAnsi="宋体" w:cs="宋体"/>
          <w:sz w:val="24"/>
          <w:szCs w:val="24"/>
          <w:highlight w:val="none"/>
        </w:rPr>
      </w:pPr>
      <w:r>
        <w:rPr>
          <w:rFonts w:hint="eastAsia" w:ascii="宋体" w:hAnsi="宋体" w:cs="宋体"/>
          <w:sz w:val="24"/>
          <w:szCs w:val="24"/>
          <w:highlight w:val="none"/>
        </w:rPr>
        <w:br w:type="page"/>
      </w:r>
    </w:p>
    <w:p>
      <w:pPr>
        <w:pStyle w:val="8"/>
        <w:spacing w:before="0" w:after="0" w:line="360" w:lineRule="auto"/>
        <w:jc w:val="center"/>
        <w:rPr>
          <w:rFonts w:hint="eastAsia" w:ascii="宋体" w:hAnsi="宋体" w:cs="宋体"/>
          <w:highlight w:val="none"/>
          <w:lang w:val="en-US" w:eastAsia="zh-CN"/>
        </w:rPr>
      </w:pPr>
      <w:bookmarkStart w:id="259" w:name="_Toc20262"/>
      <w:r>
        <w:rPr>
          <w:rFonts w:hint="eastAsia" w:ascii="宋体" w:hAnsi="宋体" w:cs="宋体"/>
          <w:highlight w:val="none"/>
          <w:lang w:val="en-US" w:eastAsia="zh-CN"/>
        </w:rPr>
        <w:t>分项报价</w:t>
      </w:r>
      <w:bookmarkEnd w:id="259"/>
    </w:p>
    <w:p>
      <w:pPr>
        <w:rPr>
          <w:rFonts w:hint="eastAsia" w:ascii="宋体" w:hAnsi="宋体" w:cs="宋体"/>
          <w:highlight w:val="none"/>
          <w:lang w:val="en-US" w:eastAsia="zh-CN"/>
        </w:rPr>
      </w:pPr>
    </w:p>
    <w:p>
      <w:pPr>
        <w:rPr>
          <w:rFonts w:hint="eastAsia" w:ascii="宋体" w:hAnsi="宋体" w:cs="宋体"/>
          <w:highlight w:val="none"/>
          <w:lang w:val="en-US" w:eastAsia="zh-CN"/>
        </w:rPr>
      </w:pPr>
    </w:p>
    <w:p>
      <w:pPr>
        <w:rPr>
          <w:rFonts w:hint="eastAsia" w:ascii="宋体" w:hAnsi="宋体" w:cs="宋体"/>
          <w:highlight w:val="none"/>
          <w:lang w:val="en-US" w:eastAsia="zh-CN"/>
        </w:rPr>
      </w:pPr>
    </w:p>
    <w:p>
      <w:pPr>
        <w:rPr>
          <w:rFonts w:hint="eastAsia" w:ascii="宋体" w:hAnsi="宋体" w:cs="宋体"/>
          <w:highlight w:val="none"/>
          <w:lang w:val="en-US" w:eastAsia="zh-CN"/>
        </w:rPr>
      </w:pPr>
      <w:r>
        <w:rPr>
          <w:rFonts w:hint="eastAsia" w:ascii="宋体" w:hAnsi="宋体" w:cs="宋体"/>
          <w:highlight w:val="none"/>
          <w:lang w:val="en-US" w:eastAsia="zh-CN"/>
        </w:rPr>
        <w:t>注：格式自拟</w:t>
      </w:r>
    </w:p>
    <w:p>
      <w:pPr>
        <w:pStyle w:val="2"/>
        <w:rPr>
          <w:rFonts w:hint="eastAsia" w:ascii="宋体" w:hAnsi="宋体" w:cs="宋体"/>
          <w:highlight w:val="none"/>
          <w:lang w:val="en-US" w:eastAsia="zh-CN"/>
        </w:rPr>
      </w:pPr>
    </w:p>
    <w:p>
      <w:pPr>
        <w:pStyle w:val="4"/>
        <w:ind w:left="0" w:leftChars="0" w:firstLine="0" w:firstLineChars="0"/>
        <w:rPr>
          <w:rFonts w:hint="default"/>
          <w:highlight w:val="none"/>
          <w:lang w:val="en-US" w:eastAsia="zh-CN"/>
        </w:rPr>
      </w:pPr>
    </w:p>
    <w:p>
      <w:pPr>
        <w:rPr>
          <w:rFonts w:hint="eastAsia" w:ascii="宋体" w:hAnsi="宋体" w:cs="宋体"/>
          <w:sz w:val="24"/>
          <w:szCs w:val="24"/>
          <w:highlight w:val="none"/>
        </w:rPr>
      </w:pPr>
      <w:r>
        <w:rPr>
          <w:rFonts w:hint="eastAsia" w:ascii="宋体" w:hAnsi="宋体" w:cs="宋体"/>
          <w:sz w:val="24"/>
          <w:szCs w:val="24"/>
          <w:highlight w:val="none"/>
        </w:rPr>
        <w:br w:type="page"/>
      </w:r>
    </w:p>
    <w:bookmarkEnd w:id="254"/>
    <w:bookmarkEnd w:id="255"/>
    <w:bookmarkEnd w:id="256"/>
    <w:bookmarkEnd w:id="257"/>
    <w:bookmarkEnd w:id="258"/>
    <w:p>
      <w:pPr>
        <w:pStyle w:val="6"/>
        <w:numPr>
          <w:ilvl w:val="0"/>
          <w:numId w:val="6"/>
        </w:numPr>
        <w:bidi w:val="0"/>
        <w:ind w:left="0" w:leftChars="0" w:firstLine="643" w:firstLineChars="200"/>
        <w:jc w:val="center"/>
        <w:rPr>
          <w:rFonts w:hint="eastAsia"/>
          <w:highlight w:val="none"/>
        </w:rPr>
      </w:pPr>
      <w:bookmarkStart w:id="260" w:name="_Toc11190"/>
      <w:bookmarkStart w:id="261" w:name="_Toc11065"/>
      <w:bookmarkStart w:id="262" w:name="_Toc28462"/>
      <w:bookmarkStart w:id="263" w:name="_Toc29455"/>
      <w:bookmarkStart w:id="264" w:name="_Toc5328"/>
      <w:bookmarkStart w:id="265" w:name="_Toc4334"/>
      <w:bookmarkStart w:id="266" w:name="_Toc6128"/>
      <w:bookmarkStart w:id="267" w:name="_Toc20951"/>
      <w:bookmarkStart w:id="268" w:name="_Toc16322"/>
      <w:bookmarkStart w:id="269" w:name="_Toc716"/>
      <w:bookmarkStart w:id="270" w:name="_Toc233435986"/>
      <w:bookmarkStart w:id="271" w:name="_Toc5699"/>
      <w:bookmarkStart w:id="272" w:name="_Toc497551825"/>
      <w:bookmarkStart w:id="273" w:name="_Toc497546923"/>
      <w:bookmarkStart w:id="274" w:name="_Toc497712138"/>
      <w:bookmarkStart w:id="275" w:name="_Hlt491766443"/>
      <w:bookmarkStart w:id="276" w:name="_Toc497711590"/>
      <w:bookmarkStart w:id="277" w:name="_Toc385992405"/>
      <w:bookmarkStart w:id="278" w:name="_Toc389620245"/>
      <w:bookmarkStart w:id="279" w:name="_Toc492955464"/>
      <w:r>
        <w:rPr>
          <w:rFonts w:hint="eastAsia"/>
          <w:highlight w:val="none"/>
        </w:rPr>
        <w:t>投标保证金</w:t>
      </w:r>
      <w:bookmarkEnd w:id="260"/>
      <w:bookmarkEnd w:id="261"/>
    </w:p>
    <w:p>
      <w:pPr>
        <w:spacing w:beforeAutospacing="0" w:afterAutospacing="0" w:line="401" w:lineRule="auto"/>
        <w:ind w:firstLine="491"/>
        <w:jc w:val="center"/>
        <w:rPr>
          <w:rFonts w:ascii="宋体" w:hAnsi="宋体" w:eastAsia="宋体" w:cs="宋体"/>
          <w:b/>
          <w:bCs/>
          <w:spacing w:val="8"/>
          <w:sz w:val="30"/>
          <w:szCs w:val="30"/>
          <w:highlight w:val="none"/>
        </w:rPr>
      </w:pPr>
      <w:r>
        <w:rPr>
          <w:rFonts w:ascii="宋体" w:hAnsi="宋体" w:eastAsia="宋体" w:cs="宋体"/>
          <w:b/>
          <w:bCs/>
          <w:spacing w:val="8"/>
          <w:sz w:val="30"/>
          <w:szCs w:val="30"/>
          <w:highlight w:val="none"/>
        </w:rPr>
        <w:t>投标信用承诺书(投标保证金)</w:t>
      </w:r>
    </w:p>
    <w:p>
      <w:pPr>
        <w:spacing w:beforeAutospacing="0" w:line="401" w:lineRule="auto"/>
        <w:ind w:left="484"/>
        <w:rPr>
          <w:rFonts w:ascii="宋体" w:hAnsi="宋体" w:eastAsia="宋体" w:cs="宋体"/>
          <w:sz w:val="23"/>
          <w:szCs w:val="23"/>
          <w:highlight w:val="none"/>
        </w:rPr>
      </w:pPr>
      <w:r>
        <w:rPr>
          <w:rFonts w:ascii="宋体" w:hAnsi="宋体" w:eastAsia="宋体" w:cs="宋体"/>
          <w:spacing w:val="6"/>
          <w:sz w:val="23"/>
          <w:szCs w:val="23"/>
          <w:highlight w:val="none"/>
        </w:rPr>
        <w:t>项</w:t>
      </w:r>
      <w:r>
        <w:rPr>
          <w:rFonts w:ascii="宋体" w:hAnsi="宋体" w:eastAsia="宋体" w:cs="宋体"/>
          <w:spacing w:val="5"/>
          <w:sz w:val="23"/>
          <w:szCs w:val="23"/>
          <w:highlight w:val="none"/>
        </w:rPr>
        <w:t>目名称：</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line="228" w:lineRule="auto"/>
        <w:ind w:left="483"/>
        <w:rPr>
          <w:rFonts w:ascii="宋体" w:hAnsi="宋体" w:eastAsia="宋体" w:cs="宋体"/>
          <w:sz w:val="23"/>
          <w:szCs w:val="23"/>
          <w:highlight w:val="none"/>
        </w:rPr>
      </w:pPr>
      <w:r>
        <w:rPr>
          <w:rFonts w:hint="eastAsia" w:ascii="宋体" w:hAnsi="宋体" w:cs="宋体"/>
          <w:spacing w:val="5"/>
          <w:sz w:val="23"/>
          <w:szCs w:val="23"/>
          <w:highlight w:val="none"/>
          <w:lang w:eastAsia="zh-CN"/>
        </w:rPr>
        <w:t>供应商</w:t>
      </w:r>
      <w:r>
        <w:rPr>
          <w:rFonts w:ascii="宋体" w:hAnsi="宋体" w:eastAsia="宋体" w:cs="宋体"/>
          <w:spacing w:val="4"/>
          <w:sz w:val="23"/>
          <w:szCs w:val="23"/>
          <w:highlight w:val="none"/>
        </w:rPr>
        <w:t>：</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before="214" w:line="402" w:lineRule="auto"/>
        <w:ind w:right="0" w:rightChars="0" w:firstLine="486"/>
        <w:rPr>
          <w:rFonts w:ascii="宋体" w:hAnsi="宋体" w:eastAsia="宋体" w:cs="宋体"/>
          <w:sz w:val="23"/>
          <w:szCs w:val="23"/>
          <w:highlight w:val="none"/>
        </w:rPr>
      </w:pPr>
      <w:r>
        <w:rPr>
          <w:rFonts w:ascii="宋体" w:hAnsi="宋体" w:eastAsia="宋体" w:cs="宋体"/>
          <w:spacing w:val="-6"/>
          <w:sz w:val="23"/>
          <w:szCs w:val="23"/>
          <w:highlight w:val="none"/>
        </w:rPr>
        <w:t>统一社</w:t>
      </w:r>
      <w:r>
        <w:rPr>
          <w:rFonts w:ascii="宋体" w:hAnsi="宋体" w:eastAsia="宋体" w:cs="宋体"/>
          <w:spacing w:val="-4"/>
          <w:sz w:val="23"/>
          <w:szCs w:val="23"/>
          <w:highlight w:val="none"/>
        </w:rPr>
        <w:t>会</w:t>
      </w:r>
      <w:r>
        <w:rPr>
          <w:rFonts w:ascii="宋体" w:hAnsi="宋体" w:eastAsia="宋体" w:cs="宋体"/>
          <w:spacing w:val="-3"/>
          <w:sz w:val="23"/>
          <w:szCs w:val="23"/>
          <w:highlight w:val="none"/>
        </w:rPr>
        <w:t>信用代码：</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3"/>
          <w:sz w:val="23"/>
          <w:szCs w:val="23"/>
          <w:highlight w:val="none"/>
        </w:rPr>
        <w:t>法人代表：</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9"/>
          <w:sz w:val="23"/>
          <w:szCs w:val="23"/>
          <w:highlight w:val="none"/>
        </w:rPr>
        <w:t>在本项目标段招投标活动中，我公司(单位)自愿作出以下投标信用承诺</w:t>
      </w:r>
      <w:r>
        <w:rPr>
          <w:rFonts w:ascii="宋体" w:hAnsi="宋体" w:eastAsia="宋体" w:cs="宋体"/>
          <w:spacing w:val="5"/>
          <w:sz w:val="23"/>
          <w:szCs w:val="23"/>
          <w:highlight w:val="none"/>
        </w:rPr>
        <w:t>：</w:t>
      </w:r>
    </w:p>
    <w:p>
      <w:pPr>
        <w:spacing w:line="227" w:lineRule="auto"/>
        <w:ind w:left="492"/>
        <w:rPr>
          <w:rFonts w:ascii="宋体" w:hAnsi="宋体" w:eastAsia="宋体" w:cs="宋体"/>
          <w:sz w:val="23"/>
          <w:szCs w:val="23"/>
          <w:highlight w:val="none"/>
        </w:rPr>
      </w:pPr>
      <w:r>
        <w:rPr>
          <w:rFonts w:ascii="宋体" w:hAnsi="宋体" w:eastAsia="宋体" w:cs="宋体"/>
          <w:spacing w:val="8"/>
          <w:sz w:val="23"/>
          <w:szCs w:val="23"/>
          <w:highlight w:val="none"/>
        </w:rPr>
        <w:t>(一)能严格遵守法律法规、职业道德和行业规范</w:t>
      </w:r>
      <w:r>
        <w:rPr>
          <w:rFonts w:ascii="宋体" w:hAnsi="宋体" w:eastAsia="宋体" w:cs="宋体"/>
          <w:spacing w:val="7"/>
          <w:sz w:val="23"/>
          <w:szCs w:val="23"/>
          <w:highlight w:val="none"/>
        </w:rPr>
        <w:t>。</w:t>
      </w:r>
    </w:p>
    <w:p>
      <w:pPr>
        <w:spacing w:before="220" w:line="401" w:lineRule="auto"/>
        <w:ind w:firstLine="491"/>
        <w:rPr>
          <w:rFonts w:ascii="宋体" w:hAnsi="宋体" w:eastAsia="宋体" w:cs="宋体"/>
          <w:sz w:val="23"/>
          <w:szCs w:val="23"/>
          <w:highlight w:val="none"/>
        </w:rPr>
      </w:pPr>
      <w:r>
        <w:rPr>
          <w:rFonts w:ascii="宋体" w:hAnsi="宋体" w:eastAsia="宋体" w:cs="宋体"/>
          <w:spacing w:val="20"/>
          <w:sz w:val="23"/>
          <w:szCs w:val="23"/>
          <w:highlight w:val="none"/>
        </w:rPr>
        <w:t>(</w:t>
      </w:r>
      <w:r>
        <w:rPr>
          <w:rFonts w:ascii="宋体" w:hAnsi="宋体" w:eastAsia="宋体" w:cs="宋体"/>
          <w:spacing w:val="18"/>
          <w:sz w:val="23"/>
          <w:szCs w:val="23"/>
          <w:highlight w:val="none"/>
        </w:rPr>
        <w:t>二</w:t>
      </w:r>
      <w:r>
        <w:rPr>
          <w:rFonts w:ascii="宋体" w:hAnsi="宋体" w:eastAsia="宋体" w:cs="宋体"/>
          <w:spacing w:val="10"/>
          <w:sz w:val="23"/>
          <w:szCs w:val="23"/>
          <w:highlight w:val="none"/>
        </w:rPr>
        <w:t>)不得有以下违法违规行为：1.围标串标；以他人名义或者其他方式弄虚作假投</w:t>
      </w:r>
      <w:r>
        <w:rPr>
          <w:rFonts w:ascii="宋体" w:hAnsi="宋体" w:eastAsia="宋体" w:cs="宋体"/>
          <w:spacing w:val="16"/>
          <w:sz w:val="23"/>
          <w:szCs w:val="23"/>
          <w:highlight w:val="none"/>
        </w:rPr>
        <w:t>标</w:t>
      </w:r>
      <w:r>
        <w:rPr>
          <w:rFonts w:ascii="宋体" w:hAnsi="宋体" w:eastAsia="宋体" w:cs="宋体"/>
          <w:spacing w:val="13"/>
          <w:sz w:val="23"/>
          <w:szCs w:val="23"/>
          <w:highlight w:val="none"/>
        </w:rPr>
        <w:t>；</w:t>
      </w:r>
      <w:r>
        <w:rPr>
          <w:rFonts w:ascii="宋体" w:hAnsi="宋体" w:eastAsia="宋体" w:cs="宋体"/>
          <w:spacing w:val="8"/>
          <w:sz w:val="23"/>
          <w:szCs w:val="23"/>
          <w:highlight w:val="none"/>
        </w:rPr>
        <w:t>出让出租资格、资质证书供他人投标；恶意竞标、强揽工程；以暴力、威胁、利诱等</w:t>
      </w:r>
      <w:r>
        <w:rPr>
          <w:rFonts w:ascii="宋体" w:hAnsi="宋体" w:eastAsia="宋体" w:cs="宋体"/>
          <w:spacing w:val="13"/>
          <w:sz w:val="23"/>
          <w:szCs w:val="23"/>
          <w:highlight w:val="none"/>
        </w:rPr>
        <w:t>手</w:t>
      </w:r>
      <w:r>
        <w:rPr>
          <w:rFonts w:ascii="宋体" w:hAnsi="宋体" w:eastAsia="宋体" w:cs="宋体"/>
          <w:spacing w:val="8"/>
          <w:sz w:val="23"/>
          <w:szCs w:val="23"/>
          <w:highlight w:val="none"/>
        </w:rPr>
        <w:t>段阻止或者控制其他潜在</w:t>
      </w:r>
      <w:r>
        <w:rPr>
          <w:rFonts w:hint="eastAsia" w:ascii="宋体" w:hAnsi="宋体" w:cs="宋体"/>
          <w:spacing w:val="8"/>
          <w:sz w:val="23"/>
          <w:szCs w:val="23"/>
          <w:highlight w:val="none"/>
          <w:lang w:eastAsia="zh-CN"/>
        </w:rPr>
        <w:t>供应商</w:t>
      </w:r>
      <w:r>
        <w:rPr>
          <w:rFonts w:ascii="宋体" w:hAnsi="宋体" w:eastAsia="宋体" w:cs="宋体"/>
          <w:spacing w:val="8"/>
          <w:sz w:val="23"/>
          <w:szCs w:val="23"/>
          <w:highlight w:val="none"/>
        </w:rPr>
        <w:t>参与招投标活动。2.向招投标监督部门、交易中心、招</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人、招标代理机构、评审委员会及其成员等当事主体赠送财物。3.投标截止后至中标人</w:t>
      </w:r>
      <w:r>
        <w:rPr>
          <w:rFonts w:ascii="宋体" w:hAnsi="宋体" w:eastAsia="宋体" w:cs="宋体"/>
          <w:spacing w:val="13"/>
          <w:sz w:val="23"/>
          <w:szCs w:val="23"/>
          <w:highlight w:val="none"/>
        </w:rPr>
        <w:t>确</w:t>
      </w:r>
      <w:r>
        <w:rPr>
          <w:rFonts w:ascii="宋体" w:hAnsi="宋体" w:eastAsia="宋体" w:cs="宋体"/>
          <w:spacing w:val="8"/>
          <w:sz w:val="23"/>
          <w:szCs w:val="23"/>
          <w:highlight w:val="none"/>
        </w:rPr>
        <w:t>定前，修改或者撤销投标文件。4.在被确定为中标人后无正当理由：不按照招标文件和</w:t>
      </w:r>
      <w:r>
        <w:rPr>
          <w:rFonts w:ascii="宋体" w:hAnsi="宋体" w:eastAsia="宋体" w:cs="宋体"/>
          <w:spacing w:val="16"/>
          <w:sz w:val="23"/>
          <w:szCs w:val="23"/>
          <w:highlight w:val="none"/>
        </w:rPr>
        <w:t>投</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文件与招标人签订合同；在签订合同时向招标人提出附加条件、或者改变投标文件的</w:t>
      </w:r>
      <w:r>
        <w:rPr>
          <w:rFonts w:ascii="宋体" w:hAnsi="宋体" w:eastAsia="宋体" w:cs="宋体"/>
          <w:spacing w:val="13"/>
          <w:sz w:val="23"/>
          <w:szCs w:val="23"/>
          <w:highlight w:val="none"/>
        </w:rPr>
        <w:t>实</w:t>
      </w:r>
      <w:r>
        <w:rPr>
          <w:rFonts w:ascii="宋体" w:hAnsi="宋体" w:eastAsia="宋体" w:cs="宋体"/>
          <w:spacing w:val="8"/>
          <w:sz w:val="23"/>
          <w:szCs w:val="23"/>
          <w:highlight w:val="none"/>
        </w:rPr>
        <w:t>质性内容；放弃中标；不按照招标文件的规定提交履约信用承诺。5.招投标法规定的其</w:t>
      </w:r>
      <w:r>
        <w:rPr>
          <w:rFonts w:ascii="宋体" w:hAnsi="宋体" w:eastAsia="宋体" w:cs="宋体"/>
          <w:sz w:val="23"/>
          <w:szCs w:val="23"/>
          <w:highlight w:val="none"/>
        </w:rPr>
        <w:t xml:space="preserve"> </w:t>
      </w:r>
      <w:r>
        <w:rPr>
          <w:rFonts w:ascii="宋体" w:hAnsi="宋体" w:eastAsia="宋体" w:cs="宋体"/>
          <w:spacing w:val="11"/>
          <w:sz w:val="23"/>
          <w:szCs w:val="23"/>
          <w:highlight w:val="none"/>
        </w:rPr>
        <w:t>它</w:t>
      </w:r>
      <w:r>
        <w:rPr>
          <w:rFonts w:ascii="宋体" w:hAnsi="宋体" w:eastAsia="宋体" w:cs="宋体"/>
          <w:spacing w:val="7"/>
          <w:sz w:val="23"/>
          <w:szCs w:val="23"/>
          <w:highlight w:val="none"/>
        </w:rPr>
        <w:t>违法违规行为。</w:t>
      </w:r>
    </w:p>
    <w:p>
      <w:pPr>
        <w:spacing w:before="1" w:line="406" w:lineRule="auto"/>
        <w:ind w:left="2" w:firstLine="489"/>
        <w:rPr>
          <w:rFonts w:ascii="宋体" w:hAnsi="宋体" w:eastAsia="宋体" w:cs="宋体"/>
          <w:sz w:val="23"/>
          <w:szCs w:val="23"/>
          <w:highlight w:val="none"/>
        </w:rPr>
      </w:pPr>
      <w:r>
        <w:rPr>
          <w:rFonts w:ascii="宋体" w:hAnsi="宋体" w:eastAsia="宋体" w:cs="宋体"/>
          <w:spacing w:val="10"/>
          <w:sz w:val="23"/>
          <w:szCs w:val="23"/>
          <w:highlight w:val="none"/>
        </w:rPr>
        <w:t>(三)若我公司(单位)及相关参与人员违背以上承诺事项，即被视为失信企业(</w:t>
      </w:r>
      <w:r>
        <w:rPr>
          <w:rFonts w:ascii="宋体" w:hAnsi="宋体" w:eastAsia="宋体" w:cs="宋体"/>
          <w:spacing w:val="8"/>
          <w:sz w:val="23"/>
          <w:szCs w:val="23"/>
          <w:highlight w:val="none"/>
        </w:rPr>
        <w:t>法</w:t>
      </w:r>
      <w:r>
        <w:rPr>
          <w:rFonts w:ascii="宋体" w:hAnsi="宋体" w:eastAsia="宋体" w:cs="宋体"/>
          <w:spacing w:val="5"/>
          <w:sz w:val="23"/>
          <w:szCs w:val="23"/>
          <w:highlight w:val="none"/>
        </w:rPr>
        <w:t>人)，依据《关于对公共资源交易领域严重失信主体开展联合惩戒的备忘录》(发改法</w:t>
      </w:r>
      <w:r>
        <w:rPr>
          <w:rFonts w:ascii="宋体" w:hAnsi="宋体" w:eastAsia="宋体" w:cs="宋体"/>
          <w:spacing w:val="1"/>
          <w:sz w:val="23"/>
          <w:szCs w:val="23"/>
          <w:highlight w:val="none"/>
        </w:rPr>
        <w:t>规</w:t>
      </w:r>
      <w:r>
        <w:rPr>
          <w:rFonts w:ascii="宋体" w:hAnsi="宋体" w:eastAsia="宋体" w:cs="宋体"/>
          <w:spacing w:val="-6"/>
          <w:sz w:val="23"/>
          <w:szCs w:val="23"/>
          <w:highlight w:val="none"/>
        </w:rPr>
        <w:t>[</w:t>
      </w:r>
      <w:r>
        <w:rPr>
          <w:rFonts w:ascii="宋体" w:hAnsi="宋体" w:eastAsia="宋体" w:cs="宋体"/>
          <w:spacing w:val="-4"/>
          <w:sz w:val="23"/>
          <w:szCs w:val="23"/>
          <w:highlight w:val="none"/>
        </w:rPr>
        <w:t>2</w:t>
      </w:r>
      <w:r>
        <w:rPr>
          <w:rFonts w:ascii="宋体" w:hAnsi="宋体" w:eastAsia="宋体" w:cs="宋体"/>
          <w:spacing w:val="-3"/>
          <w:sz w:val="23"/>
          <w:szCs w:val="23"/>
          <w:highlight w:val="none"/>
        </w:rPr>
        <w:t>018]457号)，自愿接受1至3年内限制参与公共资源交易活动。</w:t>
      </w:r>
    </w:p>
    <w:p>
      <w:pPr>
        <w:spacing w:line="402" w:lineRule="auto"/>
        <w:rPr>
          <w:rFonts w:ascii="Arial"/>
          <w:sz w:val="21"/>
          <w:highlight w:val="none"/>
        </w:rPr>
      </w:pPr>
    </w:p>
    <w:p>
      <w:pPr>
        <w:spacing w:before="76" w:line="227" w:lineRule="auto"/>
        <w:ind w:left="0" w:leftChars="0" w:firstLine="0" w:firstLineChars="0"/>
        <w:rPr>
          <w:rFonts w:hint="eastAsia" w:ascii="宋体" w:hAnsi="宋体" w:eastAsia="宋体" w:cs="宋体"/>
          <w:sz w:val="23"/>
          <w:szCs w:val="23"/>
          <w:highlight w:val="none"/>
          <w:lang w:eastAsia="zh-CN"/>
        </w:rPr>
      </w:pPr>
      <w:r>
        <w:rPr>
          <w:rFonts w:ascii="宋体" w:hAnsi="宋体" w:eastAsia="宋体" w:cs="宋体"/>
          <w:spacing w:val="1"/>
          <w:sz w:val="23"/>
          <w:szCs w:val="23"/>
          <w:highlight w:val="none"/>
        </w:rPr>
        <w:t xml:space="preserve">法定代表人(签章)：             </w:t>
      </w:r>
      <w:r>
        <w:rPr>
          <w:rFonts w:ascii="宋体" w:hAnsi="宋体" w:eastAsia="宋体" w:cs="宋体"/>
          <w:sz w:val="23"/>
          <w:szCs w:val="23"/>
          <w:highlight w:val="none"/>
        </w:rPr>
        <w:t xml:space="preserve">        </w:t>
      </w:r>
      <w:r>
        <w:rPr>
          <w:rFonts w:hint="eastAsia" w:ascii="宋体" w:hAnsi="宋体" w:cs="宋体"/>
          <w:sz w:val="23"/>
          <w:szCs w:val="23"/>
          <w:highlight w:val="none"/>
          <w:lang w:eastAsia="zh-CN"/>
        </w:rPr>
        <w:t>供应商</w:t>
      </w:r>
      <w:r>
        <w:rPr>
          <w:rFonts w:ascii="宋体" w:hAnsi="宋体" w:eastAsia="宋体" w:cs="宋体"/>
          <w:sz w:val="23"/>
          <w:szCs w:val="23"/>
          <w:highlight w:val="none"/>
        </w:rPr>
        <w:t>(盖章)：</w:t>
      </w:r>
    </w:p>
    <w:p>
      <w:pPr>
        <w:spacing w:line="320" w:lineRule="auto"/>
        <w:rPr>
          <w:rFonts w:ascii="Arial"/>
          <w:sz w:val="21"/>
          <w:highlight w:val="none"/>
        </w:rPr>
      </w:pPr>
    </w:p>
    <w:p>
      <w:pPr>
        <w:spacing w:line="320" w:lineRule="auto"/>
        <w:rPr>
          <w:rFonts w:ascii="Arial"/>
          <w:sz w:val="21"/>
          <w:highlight w:val="none"/>
        </w:rPr>
      </w:pPr>
    </w:p>
    <w:p>
      <w:pPr>
        <w:spacing w:before="75" w:line="227" w:lineRule="auto"/>
        <w:ind w:left="480"/>
        <w:jc w:val="right"/>
        <w:rPr>
          <w:rFonts w:ascii="宋体" w:hAnsi="宋体" w:eastAsia="宋体" w:cs="宋体"/>
          <w:sz w:val="23"/>
          <w:szCs w:val="23"/>
          <w:highlight w:val="none"/>
        </w:rPr>
      </w:pPr>
      <w:r>
        <w:rPr>
          <w:rFonts w:ascii="宋体" w:hAnsi="宋体" w:eastAsia="宋体" w:cs="宋体"/>
          <w:spacing w:val="2"/>
          <w:sz w:val="23"/>
          <w:szCs w:val="23"/>
          <w:highlight w:val="none"/>
        </w:rPr>
        <w:t xml:space="preserve">承诺时间：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月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w:t>
      </w:r>
      <w:r>
        <w:rPr>
          <w:rFonts w:ascii="宋体" w:hAnsi="宋体" w:eastAsia="宋体" w:cs="宋体"/>
          <w:spacing w:val="1"/>
          <w:sz w:val="23"/>
          <w:szCs w:val="23"/>
          <w:highlight w:val="none"/>
        </w:rPr>
        <w:t>日</w:t>
      </w:r>
    </w:p>
    <w:p>
      <w:pPr>
        <w:spacing w:line="320" w:lineRule="auto"/>
        <w:rPr>
          <w:rFonts w:ascii="Arial"/>
          <w:sz w:val="21"/>
          <w:highlight w:val="none"/>
        </w:rPr>
      </w:pPr>
    </w:p>
    <w:p>
      <w:pPr>
        <w:spacing w:before="75" w:line="360" w:lineRule="auto"/>
        <w:ind w:left="3"/>
        <w:rPr>
          <w:rFonts w:hint="eastAsia"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rPr>
        <w:t>说明：</w:t>
      </w:r>
      <w:r>
        <w:rPr>
          <w:rFonts w:hint="eastAsia" w:ascii="宋体" w:hAnsi="宋体" w:cs="宋体"/>
          <w:b/>
          <w:bCs/>
          <w:kern w:val="2"/>
          <w:sz w:val="24"/>
          <w:szCs w:val="24"/>
          <w:highlight w:val="none"/>
          <w:lang w:val="en-US" w:eastAsia="zh-CN"/>
        </w:rPr>
        <w:t>1.</w:t>
      </w:r>
      <w:r>
        <w:rPr>
          <w:rFonts w:hint="eastAsia" w:ascii="宋体" w:hAnsi="宋体" w:eastAsia="宋体" w:cs="宋体"/>
          <w:b/>
          <w:bCs/>
          <w:kern w:val="2"/>
          <w:sz w:val="24"/>
          <w:szCs w:val="24"/>
          <w:highlight w:val="none"/>
        </w:rPr>
        <w:t>本承诺书效力和作用等同投标保证金，其有效期与投标有效期一致</w:t>
      </w:r>
      <w:r>
        <w:rPr>
          <w:rFonts w:hint="eastAsia" w:ascii="宋体" w:hAnsi="宋体" w:cs="宋体"/>
          <w:b/>
          <w:bCs/>
          <w:kern w:val="2"/>
          <w:sz w:val="24"/>
          <w:szCs w:val="24"/>
          <w:highlight w:val="none"/>
          <w:lang w:eastAsia="zh-CN"/>
        </w:rPr>
        <w:t>；</w:t>
      </w:r>
    </w:p>
    <w:p>
      <w:pPr>
        <w:spacing w:before="75" w:line="360" w:lineRule="auto"/>
        <w:ind w:left="3" w:firstLine="723" w:firstLineChars="300"/>
        <w:rPr>
          <w:rFonts w:hint="eastAsia" w:ascii="宋体" w:hAnsi="宋体" w:cs="宋体"/>
          <w:kern w:val="2"/>
          <w:sz w:val="21"/>
          <w:szCs w:val="21"/>
          <w:highlight w:val="none"/>
        </w:rPr>
      </w:pPr>
      <w:r>
        <w:rPr>
          <w:rFonts w:hint="eastAsia" w:ascii="宋体" w:hAnsi="宋体" w:cs="宋体"/>
          <w:b/>
          <w:bCs/>
          <w:kern w:val="2"/>
          <w:sz w:val="24"/>
          <w:szCs w:val="24"/>
          <w:highlight w:val="none"/>
          <w:lang w:val="en-US" w:eastAsia="zh-CN"/>
        </w:rPr>
        <w:t>2.</w:t>
      </w:r>
      <w:r>
        <w:rPr>
          <w:rFonts w:hint="eastAsia" w:ascii="宋体" w:hAnsi="宋体" w:eastAsia="宋体" w:cs="宋体"/>
          <w:b/>
          <w:bCs/>
          <w:kern w:val="2"/>
          <w:sz w:val="24"/>
          <w:szCs w:val="24"/>
          <w:highlight w:val="none"/>
          <w:lang w:val="en-US" w:eastAsia="zh-CN"/>
        </w:rPr>
        <w:t>后附信用中国（陕西榆林）网站自主上报的信用截图</w:t>
      </w:r>
      <w:r>
        <w:rPr>
          <w:rFonts w:hint="eastAsia" w:ascii="宋体" w:hAnsi="宋体" w:cs="宋体"/>
          <w:b/>
          <w:bCs/>
          <w:kern w:val="2"/>
          <w:sz w:val="24"/>
          <w:szCs w:val="24"/>
          <w:highlight w:val="none"/>
          <w:lang w:val="en-US" w:eastAsia="zh-CN"/>
        </w:rPr>
        <w:t>。</w:t>
      </w:r>
    </w:p>
    <w:p>
      <w:pPr>
        <w:spacing w:line="360" w:lineRule="auto"/>
        <w:rPr>
          <w:rFonts w:hint="eastAsia" w:ascii="宋体" w:hAnsi="宋体" w:eastAsia="宋体" w:cs="宋体"/>
          <w:szCs w:val="22"/>
          <w:highlight w:val="none"/>
        </w:rPr>
      </w:pPr>
      <w:r>
        <w:rPr>
          <w:rFonts w:hint="eastAsia" w:ascii="宋体" w:hAnsi="宋体" w:eastAsia="宋体" w:cs="宋体"/>
          <w:szCs w:val="22"/>
          <w:highlight w:val="none"/>
        </w:rPr>
        <w:br w:type="page"/>
      </w:r>
    </w:p>
    <w:p>
      <w:pPr>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240" w:lineRule="auto"/>
        <w:ind w:left="0" w:right="0"/>
        <w:jc w:val="center"/>
        <w:textAlignment w:val="baseline"/>
        <w:outlineLvl w:val="2"/>
        <w:rPr>
          <w:rFonts w:hint="default" w:ascii="宋体" w:hAnsi="宋体" w:eastAsia="宋体" w:cs="宋体"/>
          <w:b/>
          <w:snapToGrid w:val="0"/>
          <w:color w:val="000000"/>
          <w:kern w:val="0"/>
          <w:sz w:val="32"/>
          <w:szCs w:val="22"/>
          <w:highlight w:val="none"/>
          <w:lang w:val="en-US" w:eastAsia="zh-CN" w:bidi="ar"/>
        </w:rPr>
      </w:pPr>
      <w:bookmarkStart w:id="280" w:name="_Toc13813"/>
      <w:bookmarkStart w:id="281" w:name="_Toc19297"/>
      <w:bookmarkStart w:id="282" w:name="_Toc5427"/>
      <w:bookmarkStart w:id="283" w:name="_Toc25747"/>
      <w:r>
        <w:rPr>
          <w:rFonts w:hint="eastAsia" w:ascii="宋体" w:hAnsi="宋体" w:eastAsia="宋体" w:cs="宋体"/>
          <w:b/>
          <w:snapToGrid w:val="0"/>
          <w:color w:val="000000"/>
          <w:kern w:val="0"/>
          <w:sz w:val="32"/>
          <w:szCs w:val="22"/>
          <w:highlight w:val="none"/>
          <w:lang w:bidi="ar"/>
        </w:rPr>
        <w:t>投标保证金缴款凭证</w:t>
      </w:r>
      <w:r>
        <w:rPr>
          <w:rFonts w:hint="eastAsia" w:ascii="宋体" w:hAnsi="宋体" w:eastAsia="宋体" w:cs="宋体"/>
          <w:b/>
          <w:snapToGrid w:val="0"/>
          <w:color w:val="000000"/>
          <w:kern w:val="0"/>
          <w:sz w:val="32"/>
          <w:szCs w:val="22"/>
          <w:highlight w:val="none"/>
          <w:lang w:eastAsia="zh-CN" w:bidi="ar"/>
        </w:rPr>
        <w:t>；</w:t>
      </w:r>
      <w:r>
        <w:rPr>
          <w:rFonts w:hint="eastAsia" w:ascii="宋体" w:hAnsi="宋体" w:eastAsia="宋体" w:cs="宋体"/>
          <w:b/>
          <w:snapToGrid w:val="0"/>
          <w:color w:val="000000"/>
          <w:kern w:val="0"/>
          <w:sz w:val="32"/>
          <w:szCs w:val="22"/>
          <w:highlight w:val="none"/>
          <w:lang w:val="en-US" w:eastAsia="zh-CN" w:bidi="ar"/>
        </w:rPr>
        <w:t>或投标信用（保证金）承诺书</w:t>
      </w:r>
      <w:bookmarkEnd w:id="280"/>
      <w:bookmarkEnd w:id="281"/>
      <w:bookmarkEnd w:id="282"/>
      <w:bookmarkEnd w:id="283"/>
    </w:p>
    <w:p>
      <w:pPr>
        <w:widowControl w:val="0"/>
        <w:kinsoku w:val="0"/>
        <w:autoSpaceDE w:val="0"/>
        <w:autoSpaceDN w:val="0"/>
        <w:adjustRightInd w:val="0"/>
        <w:snapToGrid w:val="0"/>
        <w:spacing w:line="240" w:lineRule="auto"/>
        <w:jc w:val="center"/>
        <w:textAlignment w:val="auto"/>
        <w:rPr>
          <w:rFonts w:hint="eastAsia" w:ascii="Arial" w:hAnsi="Arial" w:eastAsia="Arial" w:cs="宋体"/>
          <w:snapToGrid w:val="0"/>
          <w:color w:val="000000"/>
          <w:kern w:val="2"/>
          <w:sz w:val="24"/>
          <w:szCs w:val="21"/>
          <w:highlight w:val="none"/>
          <w:lang w:eastAsia="zh-CN"/>
        </w:rPr>
      </w:pPr>
      <w:r>
        <w:rPr>
          <w:rFonts w:hint="eastAsia" w:ascii="Arial" w:hAnsi="Arial" w:eastAsia="Arial" w:cs="宋体"/>
          <w:snapToGrid w:val="0"/>
          <w:color w:val="000000"/>
          <w:kern w:val="2"/>
          <w:sz w:val="24"/>
          <w:szCs w:val="21"/>
          <w:highlight w:val="none"/>
          <w:lang w:eastAsia="zh-CN"/>
        </w:rPr>
        <w:t>（</w:t>
      </w:r>
      <w:r>
        <w:rPr>
          <w:rFonts w:hint="eastAsia" w:ascii="Arial" w:hAnsi="Arial" w:eastAsia="Arial" w:cs="宋体"/>
          <w:snapToGrid w:val="0"/>
          <w:color w:val="000000"/>
          <w:kern w:val="2"/>
          <w:sz w:val="24"/>
          <w:szCs w:val="21"/>
          <w:highlight w:val="none"/>
          <w:lang w:val="en-US" w:eastAsia="zh-CN"/>
        </w:rPr>
        <w:t>网站截图示例</w:t>
      </w:r>
      <w:r>
        <w:rPr>
          <w:rFonts w:hint="eastAsia" w:ascii="Arial" w:hAnsi="Arial" w:eastAsia="Arial" w:cs="宋体"/>
          <w:snapToGrid w:val="0"/>
          <w:color w:val="000000"/>
          <w:kern w:val="2"/>
          <w:sz w:val="24"/>
          <w:szCs w:val="21"/>
          <w:highlight w:val="none"/>
          <w:lang w:eastAsia="zh-CN"/>
        </w:rPr>
        <w:t>）</w:t>
      </w:r>
    </w:p>
    <w:p>
      <w:pPr>
        <w:widowControl w:val="0"/>
        <w:kinsoku w:val="0"/>
        <w:autoSpaceDE w:val="0"/>
        <w:autoSpaceDN w:val="0"/>
        <w:adjustRightInd w:val="0"/>
        <w:snapToGrid w:val="0"/>
        <w:spacing w:line="240" w:lineRule="auto"/>
        <w:jc w:val="both"/>
        <w:textAlignment w:val="auto"/>
        <w:rPr>
          <w:rFonts w:hint="eastAsia" w:ascii="Arial" w:hAnsi="Arial" w:eastAsia="Arial" w:cs="宋体"/>
          <w:snapToGrid w:val="0"/>
          <w:color w:val="000000"/>
          <w:kern w:val="2"/>
          <w:sz w:val="24"/>
          <w:szCs w:val="21"/>
          <w:highlight w:val="none"/>
          <w:lang w:val="en-US" w:eastAsia="zh-CN"/>
        </w:rPr>
      </w:pPr>
      <w:r>
        <w:rPr>
          <w:rFonts w:hint="eastAsia" w:ascii="宋体" w:hAnsi="宋体" w:eastAsia="宋体" w:cs="宋体"/>
          <w:snapToGrid w:val="0"/>
          <w:color w:val="000000"/>
          <w:kern w:val="0"/>
          <w:sz w:val="18"/>
          <w:szCs w:val="18"/>
          <w:highlight w:val="none"/>
          <w:lang w:eastAsia="zh-CN"/>
        </w:rPr>
        <w:drawing>
          <wp:inline distT="0" distB="0" distL="114300" distR="114300">
            <wp:extent cx="6615430" cy="4246880"/>
            <wp:effectExtent l="0" t="0" r="13970" b="1270"/>
            <wp:docPr id="4" name="图片 1" descr="4070660fdff4da88769f8db89617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4070660fdff4da88769f8db89617d96"/>
                    <pic:cNvPicPr>
                      <a:picLocks noChangeAspect="1"/>
                    </pic:cNvPicPr>
                  </pic:nvPicPr>
                  <pic:blipFill>
                    <a:blip r:embed="rId8"/>
                    <a:stretch>
                      <a:fillRect/>
                    </a:stretch>
                  </pic:blipFill>
                  <pic:spPr>
                    <a:xfrm>
                      <a:off x="0" y="0"/>
                      <a:ext cx="6615430" cy="4246880"/>
                    </a:xfrm>
                    <a:prstGeom prst="rect">
                      <a:avLst/>
                    </a:prstGeom>
                    <a:noFill/>
                    <a:ln>
                      <a:noFill/>
                    </a:ln>
                  </pic:spPr>
                </pic:pic>
              </a:graphicData>
            </a:graphic>
          </wp:inline>
        </w:drawing>
      </w:r>
    </w:p>
    <w:p>
      <w:pPr>
        <w:widowControl/>
        <w:kinsoku w:val="0"/>
        <w:autoSpaceDE w:val="0"/>
        <w:autoSpaceDN w:val="0"/>
        <w:adjustRightInd w:val="0"/>
        <w:snapToGrid w:val="0"/>
        <w:spacing w:line="240" w:lineRule="auto"/>
        <w:ind w:firstLine="220" w:firstLineChars="100"/>
        <w:jc w:val="left"/>
        <w:textAlignment w:val="baseline"/>
        <w:rPr>
          <w:rFonts w:hint="eastAsia" w:ascii="宋体" w:hAnsi="宋体" w:eastAsia="Arial" w:cs="宋体"/>
          <w:b/>
          <w:bCs/>
          <w:snapToGrid w:val="0"/>
          <w:color w:val="FF0000"/>
          <w:kern w:val="0"/>
          <w:sz w:val="22"/>
          <w:szCs w:val="22"/>
          <w:highlight w:val="none"/>
          <w:lang w:val="en-US" w:eastAsia="zh-CN"/>
        </w:rPr>
      </w:pPr>
      <w:r>
        <w:rPr>
          <w:rFonts w:hint="eastAsia" w:ascii="宋体" w:hAnsi="宋体" w:eastAsia="Arial" w:cs="宋体"/>
          <w:b/>
          <w:bCs/>
          <w:snapToGrid w:val="0"/>
          <w:color w:val="FF0000"/>
          <w:kern w:val="0"/>
          <w:sz w:val="22"/>
          <w:szCs w:val="22"/>
          <w:highlight w:val="none"/>
          <w:lang w:val="en-US" w:eastAsia="zh-CN"/>
        </w:rPr>
        <w:t>投标信用（保证金）承诺书的承诺附件格式详见“投标信用承诺书”</w:t>
      </w:r>
    </w:p>
    <w:p>
      <w:pPr>
        <w:rPr>
          <w:rFonts w:hint="eastAsia"/>
          <w:highlight w:val="none"/>
        </w:rPr>
      </w:pPr>
      <w:r>
        <w:rPr>
          <w:rFonts w:hint="eastAsia" w:ascii="宋体" w:hAnsi="宋体" w:eastAsia="宋体" w:cs="宋体"/>
          <w:szCs w:val="22"/>
          <w:highlight w:val="none"/>
          <w:lang w:val="en-US" w:eastAsia="zh-CN"/>
        </w:rPr>
        <w:br w:type="page"/>
      </w:r>
    </w:p>
    <w:p>
      <w:pPr>
        <w:pStyle w:val="6"/>
        <w:adjustRightInd w:val="0"/>
        <w:spacing w:before="0" w:after="0" w:line="360" w:lineRule="auto"/>
        <w:jc w:val="center"/>
        <w:textAlignment w:val="baseline"/>
        <w:rPr>
          <w:rFonts w:hint="eastAsia" w:ascii="宋体" w:hAnsi="宋体" w:eastAsia="宋体" w:cs="宋体"/>
          <w:szCs w:val="22"/>
          <w:highlight w:val="none"/>
        </w:rPr>
      </w:pPr>
      <w:bookmarkStart w:id="284" w:name="_Toc2745"/>
      <w:bookmarkStart w:id="285" w:name="_Toc14662"/>
      <w:r>
        <w:rPr>
          <w:rFonts w:hint="eastAsia" w:ascii="宋体" w:hAnsi="宋体" w:eastAsia="宋体" w:cs="宋体"/>
          <w:szCs w:val="22"/>
          <w:highlight w:val="none"/>
          <w:lang w:val="en-US" w:eastAsia="zh-CN"/>
        </w:rPr>
        <w:t>四</w:t>
      </w:r>
      <w:r>
        <w:rPr>
          <w:rFonts w:hint="eastAsia" w:ascii="宋体" w:hAnsi="宋体" w:eastAsia="宋体" w:cs="宋体"/>
          <w:szCs w:val="22"/>
          <w:highlight w:val="none"/>
        </w:rPr>
        <w:t>、法定代表人证明书、法定代表人授权委托书</w:t>
      </w:r>
      <w:bookmarkEnd w:id="262"/>
      <w:bookmarkEnd w:id="263"/>
      <w:bookmarkEnd w:id="264"/>
      <w:bookmarkEnd w:id="265"/>
      <w:bookmarkEnd w:id="284"/>
      <w:bookmarkEnd w:id="285"/>
    </w:p>
    <w:p>
      <w:pPr>
        <w:pStyle w:val="8"/>
        <w:spacing w:before="0" w:after="0" w:line="360" w:lineRule="auto"/>
        <w:jc w:val="center"/>
        <w:rPr>
          <w:rFonts w:hint="eastAsia" w:ascii="宋体" w:hAnsi="宋体" w:cs="宋体"/>
          <w:szCs w:val="22"/>
          <w:highlight w:val="none"/>
        </w:rPr>
      </w:pPr>
      <w:bookmarkStart w:id="286" w:name="_Toc14444"/>
      <w:bookmarkStart w:id="287" w:name="_Toc19324"/>
      <w:bookmarkStart w:id="288" w:name="_Toc1848"/>
      <w:bookmarkStart w:id="289" w:name="_Toc3883"/>
      <w:bookmarkStart w:id="290" w:name="_Toc5751"/>
      <w:bookmarkStart w:id="291" w:name="_Toc22201"/>
      <w:bookmarkStart w:id="292" w:name="_Toc30292"/>
      <w:r>
        <w:rPr>
          <w:rFonts w:hint="eastAsia" w:ascii="宋体" w:hAnsi="宋体" w:cs="宋体"/>
          <w:highlight w:val="none"/>
        </w:rPr>
        <w:t>1、法定代表人证明书</w:t>
      </w:r>
      <w:bookmarkEnd w:id="286"/>
      <w:bookmarkEnd w:id="287"/>
      <w:bookmarkEnd w:id="288"/>
      <w:bookmarkEnd w:id="289"/>
      <w:bookmarkEnd w:id="290"/>
      <w:bookmarkEnd w:id="291"/>
      <w:bookmarkEnd w:id="292"/>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249"/>
        <w:gridCol w:w="2246"/>
        <w:gridCol w:w="190"/>
        <w:gridCol w:w="1589"/>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978" w:type="dxa"/>
            <w:gridSpan w:val="6"/>
            <w:noWrap w:val="0"/>
            <w:vAlign w:val="center"/>
          </w:tcPr>
          <w:p>
            <w:pPr>
              <w:tabs>
                <w:tab w:val="left" w:pos="210"/>
              </w:tabs>
              <w:spacing w:line="360" w:lineRule="auto"/>
              <w:rPr>
                <w:rFonts w:hint="eastAsia" w:ascii="宋体" w:hAnsi="宋体" w:cs="宋体"/>
                <w:kern w:val="0"/>
                <w:sz w:val="24"/>
                <w:highlight w:val="none"/>
                <w:u w:val="single"/>
              </w:rPr>
            </w:pPr>
            <w:r>
              <w:rPr>
                <w:rFonts w:hint="eastAsia" w:ascii="宋体" w:hAnsi="宋体" w:cs="宋体"/>
                <w:kern w:val="0"/>
                <w:sz w:val="24"/>
                <w:highlight w:val="none"/>
              </w:rPr>
              <w:t>致：</w:t>
            </w:r>
            <w:r>
              <w:rPr>
                <w:rFonts w:hint="eastAsia" w:ascii="宋体" w:hAnsi="宋体" w:cs="宋体"/>
                <w:kern w:val="0"/>
                <w:sz w:val="24"/>
                <w:highlight w:val="none"/>
                <w:u w:val="single"/>
              </w:rPr>
              <w:t>代理公司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90" w:type="dxa"/>
            <w:vMerge w:val="restart"/>
            <w:noWrap w:val="0"/>
            <w:vAlign w:val="center"/>
          </w:tcPr>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企</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业</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法</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企业名称</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法定地址</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邮政编码</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工商登记机关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税务登记机关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机构代码证号</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姓名</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（签名）</w:t>
            </w: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性别</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职务</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联系电话</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传真</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5085" w:type="dxa"/>
            <w:gridSpan w:val="3"/>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法定代表人身份证（正、反面）复印件</w:t>
            </w:r>
          </w:p>
        </w:tc>
        <w:tc>
          <w:tcPr>
            <w:tcW w:w="3893" w:type="dxa"/>
            <w:gridSpan w:val="3"/>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085" w:type="dxa"/>
            <w:gridSpan w:val="3"/>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3893" w:type="dxa"/>
            <w:gridSpan w:val="3"/>
            <w:noWrap w:val="0"/>
            <w:vAlign w:val="bottom"/>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（公章）</w:t>
            </w:r>
          </w:p>
          <w:p>
            <w:pPr>
              <w:tabs>
                <w:tab w:val="left" w:pos="210"/>
              </w:tabs>
              <w:spacing w:line="360" w:lineRule="auto"/>
              <w:jc w:val="center"/>
              <w:rPr>
                <w:rFonts w:hint="eastAsia" w:ascii="宋体" w:hAnsi="宋体" w:cs="宋体"/>
                <w:kern w:val="0"/>
                <w:sz w:val="24"/>
                <w:highlight w:val="none"/>
              </w:rPr>
            </w:pPr>
          </w:p>
          <w:p>
            <w:pPr>
              <w:tabs>
                <w:tab w:val="left" w:pos="210"/>
              </w:tabs>
              <w:spacing w:line="360" w:lineRule="auto"/>
              <w:jc w:val="center"/>
              <w:rPr>
                <w:rFonts w:hint="eastAsia" w:ascii="宋体" w:hAnsi="宋体" w:cs="宋体"/>
                <w:kern w:val="0"/>
                <w:sz w:val="24"/>
                <w:highlight w:val="none"/>
              </w:rPr>
            </w:pPr>
          </w:p>
          <w:p>
            <w:pPr>
              <w:tabs>
                <w:tab w:val="left" w:pos="210"/>
              </w:tabs>
              <w:spacing w:line="360" w:lineRule="auto"/>
              <w:jc w:val="center"/>
              <w:rPr>
                <w:rFonts w:hint="eastAsia" w:ascii="宋体" w:hAnsi="宋体" w:cs="宋体"/>
                <w:kern w:val="0"/>
                <w:sz w:val="24"/>
                <w:highlight w:val="none"/>
              </w:rPr>
            </w:pPr>
          </w:p>
          <w:p>
            <w:pPr>
              <w:tabs>
                <w:tab w:val="left" w:pos="210"/>
              </w:tabs>
              <w:spacing w:line="360" w:lineRule="auto"/>
              <w:jc w:val="right"/>
              <w:rPr>
                <w:rFonts w:hint="eastAsia" w:ascii="宋体" w:hAnsi="宋体" w:cs="宋体"/>
                <w:kern w:val="0"/>
                <w:sz w:val="24"/>
                <w:highlight w:val="none"/>
              </w:rPr>
            </w:pPr>
            <w:r>
              <w:rPr>
                <w:rFonts w:hint="eastAsia" w:ascii="宋体" w:hAnsi="宋体" w:cs="宋体"/>
                <w:kern w:val="0"/>
                <w:sz w:val="24"/>
                <w:highlight w:val="none"/>
              </w:rPr>
              <w:t xml:space="preserve">年  月  日 </w:t>
            </w:r>
          </w:p>
        </w:tc>
      </w:tr>
    </w:tbl>
    <w:p>
      <w:pPr>
        <w:spacing w:line="360" w:lineRule="auto"/>
        <w:ind w:firstLine="420" w:firstLineChars="200"/>
        <w:rPr>
          <w:rFonts w:hint="eastAsia" w:ascii="宋体" w:hAnsi="宋体" w:cs="宋体"/>
          <w:highlight w:val="none"/>
        </w:rPr>
      </w:pPr>
      <w:bookmarkStart w:id="293" w:name="_Toc15689"/>
      <w:r>
        <w:rPr>
          <w:rFonts w:hint="eastAsia" w:ascii="宋体" w:hAnsi="宋体" w:cs="宋体"/>
          <w:highlight w:val="none"/>
        </w:rPr>
        <w:t>注：法定代表人参加投标的，开标现场手持此证明书及身份证原件以备核验身份，不提供者视为不响应竞争性谈判文件，按无效标处理。</w:t>
      </w:r>
      <w:bookmarkEnd w:id="293"/>
      <w:bookmarkStart w:id="294" w:name="_Toc19462"/>
      <w:bookmarkStart w:id="295" w:name="_Toc25588"/>
      <w:bookmarkStart w:id="296" w:name="_Toc1201"/>
      <w:bookmarkStart w:id="297" w:name="_Toc21"/>
      <w:bookmarkStart w:id="298" w:name="_Toc27732"/>
      <w:bookmarkStart w:id="299" w:name="_Toc4738"/>
    </w:p>
    <w:p>
      <w:pPr>
        <w:rPr>
          <w:rFonts w:hint="eastAsia" w:ascii="宋体" w:hAnsi="宋体" w:cs="宋体"/>
          <w:highlight w:val="none"/>
        </w:rPr>
      </w:pPr>
      <w:r>
        <w:rPr>
          <w:rFonts w:hint="eastAsia" w:ascii="宋体" w:hAnsi="宋体" w:cs="宋体"/>
          <w:highlight w:val="none"/>
        </w:rPr>
        <w:br w:type="page"/>
      </w:r>
    </w:p>
    <w:p>
      <w:pPr>
        <w:pStyle w:val="8"/>
        <w:bidi w:val="0"/>
        <w:jc w:val="center"/>
        <w:rPr>
          <w:rFonts w:hint="eastAsia"/>
          <w:highlight w:val="none"/>
        </w:rPr>
      </w:pPr>
      <w:bookmarkStart w:id="300" w:name="_Toc26760"/>
      <w:r>
        <w:rPr>
          <w:rFonts w:hint="eastAsia"/>
          <w:highlight w:val="none"/>
        </w:rPr>
        <w:t>2、法定代表人授权委托书</w:t>
      </w:r>
      <w:bookmarkEnd w:id="294"/>
      <w:bookmarkEnd w:id="295"/>
      <w:bookmarkEnd w:id="296"/>
      <w:bookmarkEnd w:id="297"/>
      <w:bookmarkEnd w:id="298"/>
      <w:bookmarkEnd w:id="299"/>
      <w:bookmarkEnd w:id="300"/>
    </w:p>
    <w:p>
      <w:pPr>
        <w:tabs>
          <w:tab w:val="left" w:pos="8820"/>
        </w:tabs>
        <w:spacing w:line="360" w:lineRule="auto"/>
        <w:ind w:firstLine="570"/>
        <w:rPr>
          <w:rFonts w:hint="eastAsia" w:ascii="宋体" w:hAnsi="宋体" w:cs="宋体"/>
          <w:sz w:val="24"/>
          <w:szCs w:val="24"/>
          <w:highlight w:val="none"/>
          <w:u w:val="single"/>
        </w:rPr>
      </w:pPr>
      <w:r>
        <w:rPr>
          <w:rFonts w:hint="eastAsia" w:ascii="宋体" w:hAnsi="宋体" w:cs="宋体"/>
          <w:sz w:val="24"/>
          <w:szCs w:val="24"/>
          <w:highlight w:val="none"/>
        </w:rPr>
        <w:t>本授权委托书声明：我</w:t>
      </w:r>
      <w:r>
        <w:rPr>
          <w:rFonts w:hint="eastAsia" w:ascii="宋体" w:hAnsi="宋体" w:cs="宋体"/>
          <w:sz w:val="24"/>
          <w:szCs w:val="24"/>
          <w:highlight w:val="none"/>
          <w:u w:val="single"/>
        </w:rPr>
        <w:t>（法定代表人姓名）</w:t>
      </w:r>
      <w:r>
        <w:rPr>
          <w:rFonts w:hint="eastAsia" w:ascii="宋体" w:hAnsi="宋体" w:cs="宋体"/>
          <w:sz w:val="24"/>
          <w:szCs w:val="24"/>
          <w:highlight w:val="none"/>
        </w:rPr>
        <w:t>系注册于</w:t>
      </w:r>
      <w:r>
        <w:rPr>
          <w:rFonts w:hint="eastAsia" w:ascii="宋体" w:hAnsi="宋体" w:cs="宋体"/>
          <w:sz w:val="24"/>
          <w:szCs w:val="24"/>
          <w:highlight w:val="none"/>
          <w:u w:val="single"/>
        </w:rPr>
        <w:t xml:space="preserve">  （供应商地址） </w:t>
      </w:r>
      <w:r>
        <w:rPr>
          <w:rFonts w:hint="eastAsia" w:ascii="宋体" w:hAnsi="宋体" w:cs="宋体"/>
          <w:sz w:val="24"/>
          <w:szCs w:val="24"/>
          <w:highlight w:val="none"/>
        </w:rPr>
        <w:t>的</w:t>
      </w:r>
      <w:r>
        <w:rPr>
          <w:rFonts w:hint="eastAsia" w:ascii="宋体" w:hAnsi="宋体" w:cs="宋体"/>
          <w:sz w:val="24"/>
          <w:szCs w:val="24"/>
          <w:highlight w:val="none"/>
          <w:u w:val="single"/>
        </w:rPr>
        <w:t xml:space="preserve">（供应商名称）  </w:t>
      </w:r>
      <w:r>
        <w:rPr>
          <w:rFonts w:hint="eastAsia" w:ascii="宋体" w:hAnsi="宋体" w:cs="宋体"/>
          <w:sz w:val="24"/>
          <w:szCs w:val="24"/>
          <w:highlight w:val="none"/>
        </w:rPr>
        <w:t>的法定代表人，现代表公司授权下面签字的</w:t>
      </w:r>
      <w:r>
        <w:rPr>
          <w:rFonts w:hint="eastAsia" w:ascii="宋体" w:hAnsi="宋体" w:cs="宋体"/>
          <w:sz w:val="24"/>
          <w:szCs w:val="24"/>
          <w:highlight w:val="none"/>
          <w:u w:val="single"/>
        </w:rPr>
        <w:t>（被授权人的姓名、职务）</w:t>
      </w:r>
      <w:r>
        <w:rPr>
          <w:rFonts w:hint="eastAsia" w:ascii="宋体" w:hAnsi="宋体" w:cs="宋体"/>
          <w:sz w:val="24"/>
          <w:szCs w:val="24"/>
          <w:highlight w:val="none"/>
        </w:rPr>
        <w:t>为我公司合法代理人，代表本公司参加</w:t>
      </w:r>
      <w:r>
        <w:rPr>
          <w:rFonts w:hint="eastAsia" w:ascii="宋体" w:hAnsi="宋体" w:cs="宋体"/>
          <w:sz w:val="24"/>
          <w:szCs w:val="24"/>
          <w:highlight w:val="none"/>
          <w:u w:val="single"/>
        </w:rPr>
        <w:t xml:space="preserve">  （采购项目名称） (</w:t>
      </w:r>
      <w:r>
        <w:rPr>
          <w:rFonts w:hint="eastAsia" w:ascii="宋体" w:hAnsi="宋体" w:cs="宋体"/>
          <w:sz w:val="24"/>
          <w:szCs w:val="24"/>
          <w:highlight w:val="none"/>
        </w:rPr>
        <w:t>采购项目编号)为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的谈判活动。代理人在本次谈判中所签署的一切文件和处理的一切有关事物，我公司均予承认。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本授权书于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日签字（盖章）生效，有效期自谈判之日起</w:t>
      </w:r>
      <w:r>
        <w:rPr>
          <w:rFonts w:hint="eastAsia" w:ascii="宋体" w:hAnsi="宋体" w:cs="宋体"/>
          <w:sz w:val="24"/>
          <w:szCs w:val="24"/>
          <w:highlight w:val="none"/>
          <w:u w:val="single"/>
        </w:rPr>
        <w:t xml:space="preserve">   </w:t>
      </w:r>
      <w:r>
        <w:rPr>
          <w:rFonts w:hint="eastAsia" w:ascii="宋体" w:hAnsi="宋体" w:cs="宋体"/>
          <w:sz w:val="24"/>
          <w:szCs w:val="24"/>
          <w:highlight w:val="none"/>
        </w:rPr>
        <w:t>天，特此声明。</w:t>
      </w:r>
    </w:p>
    <w:p>
      <w:pPr>
        <w:bidi w:val="0"/>
        <w:spacing w:line="360" w:lineRule="auto"/>
        <w:ind w:firstLine="240" w:firstLineChars="100"/>
        <w:rPr>
          <w:rFonts w:hint="eastAsia"/>
          <w:sz w:val="24"/>
          <w:szCs w:val="24"/>
          <w:highlight w:val="none"/>
        </w:rPr>
      </w:pPr>
      <w:bookmarkStart w:id="301" w:name="_Toc6676"/>
      <w:bookmarkStart w:id="302" w:name="_Toc27869"/>
      <w:bookmarkStart w:id="303" w:name="_Toc8738"/>
      <w:bookmarkStart w:id="304" w:name="_Toc10073"/>
      <w:bookmarkStart w:id="305" w:name="_Toc26857"/>
      <w:bookmarkStart w:id="306" w:name="_Toc14203"/>
      <w:bookmarkStart w:id="307" w:name="_Toc8158"/>
      <w:bookmarkStart w:id="308" w:name="_Toc18949"/>
      <w:bookmarkStart w:id="309" w:name="_Toc6882"/>
      <w:bookmarkStart w:id="310" w:name="_Toc1100"/>
      <w:r>
        <w:rPr>
          <w:rFonts w:hint="eastAsia"/>
          <w:sz w:val="24"/>
          <w:szCs w:val="24"/>
          <w:highlight w:val="none"/>
        </w:rPr>
        <w:t>附：法定代表人、被授权人身份证复印件。（注：如使用二代身份证需复印正、反两面）</w:t>
      </w:r>
      <w:bookmarkEnd w:id="301"/>
      <w:bookmarkEnd w:id="302"/>
      <w:bookmarkEnd w:id="303"/>
      <w:bookmarkEnd w:id="304"/>
      <w:bookmarkEnd w:id="305"/>
      <w:bookmarkEnd w:id="306"/>
      <w:bookmarkEnd w:id="307"/>
      <w:bookmarkEnd w:id="308"/>
      <w:bookmarkEnd w:id="309"/>
      <w:bookmarkEnd w:id="310"/>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1"/>
        <w:gridCol w:w="4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2495"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法定代表人身份证复印件</w:t>
            </w:r>
          </w:p>
          <w:p>
            <w:pPr>
              <w:spacing w:line="360" w:lineRule="auto"/>
              <w:jc w:val="center"/>
              <w:rPr>
                <w:rFonts w:hint="eastAsia" w:ascii="宋体" w:hAnsi="宋体" w:eastAsia="宋体" w:cs="宋体"/>
                <w:highlight w:val="none"/>
                <w:lang w:eastAsia="zh-CN"/>
              </w:rPr>
            </w:pPr>
            <w:r>
              <w:rPr>
                <w:rFonts w:hint="eastAsia" w:ascii="宋体" w:hAnsi="宋体" w:cs="宋体"/>
                <w:highlight w:val="none"/>
                <w:lang w:eastAsia="zh-CN"/>
              </w:rPr>
              <w:t>（</w:t>
            </w:r>
            <w:r>
              <w:rPr>
                <w:rFonts w:hint="eastAsia" w:ascii="宋体" w:hAnsi="宋体" w:cs="宋体"/>
                <w:highlight w:val="none"/>
                <w:lang w:val="en-US" w:eastAsia="zh-CN"/>
              </w:rPr>
              <w:t>正面</w:t>
            </w:r>
            <w:r>
              <w:rPr>
                <w:rFonts w:hint="eastAsia" w:ascii="宋体" w:hAnsi="宋体" w:cs="宋体"/>
                <w:highlight w:val="none"/>
                <w:lang w:eastAsia="zh-CN"/>
              </w:rPr>
              <w:t>）</w:t>
            </w:r>
          </w:p>
        </w:tc>
        <w:tc>
          <w:tcPr>
            <w:tcW w:w="2504" w:type="pct"/>
            <w:tcBorders>
              <w:lef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被授权人身份证复印件</w:t>
            </w:r>
          </w:p>
          <w:p>
            <w:pPr>
              <w:spacing w:line="360" w:lineRule="auto"/>
              <w:jc w:val="center"/>
              <w:rPr>
                <w:rFonts w:hint="eastAsia" w:ascii="宋体" w:hAnsi="宋体" w:cs="宋体"/>
                <w:highlight w:val="none"/>
              </w:rPr>
            </w:pPr>
            <w:r>
              <w:rPr>
                <w:rFonts w:hint="eastAsia" w:ascii="宋体" w:hAnsi="宋体" w:cs="宋体"/>
                <w:highlight w:val="none"/>
                <w:lang w:eastAsia="zh-CN"/>
              </w:rPr>
              <w:t>（</w:t>
            </w:r>
            <w:r>
              <w:rPr>
                <w:rFonts w:hint="eastAsia" w:ascii="宋体" w:hAnsi="宋体" w:cs="宋体"/>
                <w:highlight w:val="none"/>
                <w:lang w:val="en-US" w:eastAsia="zh-CN"/>
              </w:rPr>
              <w:t>正面</w:t>
            </w:r>
            <w:r>
              <w:rPr>
                <w:rFonts w:hint="eastAsia" w:ascii="宋体" w:hAnsi="宋体" w:cs="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2495"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法定代表人身份证复印件</w:t>
            </w:r>
          </w:p>
          <w:p>
            <w:pPr>
              <w:spacing w:line="360" w:lineRule="auto"/>
              <w:jc w:val="center"/>
              <w:rPr>
                <w:rFonts w:hint="eastAsia" w:ascii="宋体" w:hAnsi="宋体" w:eastAsia="宋体" w:cs="宋体"/>
                <w:highlight w:val="none"/>
                <w:lang w:eastAsia="zh-CN"/>
              </w:rPr>
            </w:pPr>
            <w:r>
              <w:rPr>
                <w:rFonts w:hint="eastAsia" w:ascii="宋体" w:hAnsi="宋体" w:cs="宋体"/>
                <w:highlight w:val="none"/>
                <w:lang w:eastAsia="zh-CN"/>
              </w:rPr>
              <w:t>（</w:t>
            </w:r>
            <w:r>
              <w:rPr>
                <w:rFonts w:hint="eastAsia" w:ascii="宋体" w:hAnsi="宋体" w:cs="宋体"/>
                <w:highlight w:val="none"/>
                <w:lang w:val="en-US" w:eastAsia="zh-CN"/>
              </w:rPr>
              <w:t>反面</w:t>
            </w:r>
            <w:r>
              <w:rPr>
                <w:rFonts w:hint="eastAsia" w:ascii="宋体" w:hAnsi="宋体" w:cs="宋体"/>
                <w:highlight w:val="none"/>
                <w:lang w:eastAsia="zh-CN"/>
              </w:rPr>
              <w:t>）</w:t>
            </w:r>
          </w:p>
        </w:tc>
        <w:tc>
          <w:tcPr>
            <w:tcW w:w="2504" w:type="pct"/>
            <w:tcBorders>
              <w:lef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被授权人身份证复印件</w:t>
            </w:r>
          </w:p>
          <w:p>
            <w:pPr>
              <w:spacing w:line="360" w:lineRule="auto"/>
              <w:jc w:val="center"/>
              <w:rPr>
                <w:rFonts w:hint="eastAsia" w:ascii="宋体" w:hAnsi="宋体" w:cs="宋体"/>
                <w:highlight w:val="none"/>
              </w:rPr>
            </w:pPr>
            <w:r>
              <w:rPr>
                <w:rFonts w:hint="eastAsia" w:ascii="宋体" w:hAnsi="宋体" w:cs="宋体"/>
                <w:highlight w:val="none"/>
                <w:lang w:eastAsia="zh-CN"/>
              </w:rPr>
              <w:t>（</w:t>
            </w:r>
            <w:r>
              <w:rPr>
                <w:rFonts w:hint="eastAsia" w:ascii="宋体" w:hAnsi="宋体" w:cs="宋体"/>
                <w:highlight w:val="none"/>
                <w:lang w:val="en-US" w:eastAsia="zh-CN"/>
              </w:rPr>
              <w:t>反面</w:t>
            </w:r>
            <w:r>
              <w:rPr>
                <w:rFonts w:hint="eastAsia" w:ascii="宋体" w:hAnsi="宋体" w:cs="宋体"/>
                <w:highlight w:val="none"/>
                <w:lang w:eastAsia="zh-CN"/>
              </w:rPr>
              <w:t>）</w:t>
            </w:r>
          </w:p>
        </w:tc>
      </w:tr>
    </w:tbl>
    <w:p>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注：此授权书的有效期应与竞争性谈判响应文件有效期一致。身份证正反面复印件必须依次加盖单位鲜章。</w:t>
      </w:r>
      <w:r>
        <w:rPr>
          <w:rFonts w:hint="eastAsia" w:ascii="宋体" w:hAnsi="宋体" w:cs="宋体"/>
          <w:sz w:val="22"/>
          <w:highlight w:val="none"/>
        </w:rPr>
        <w:t>开标现场手持此授权书及被授权人身份证原件以备核验身份，不提供者视为不响应</w:t>
      </w:r>
      <w:r>
        <w:rPr>
          <w:rFonts w:hint="eastAsia" w:ascii="宋体" w:hAnsi="宋体" w:cs="宋体"/>
          <w:sz w:val="22"/>
          <w:highlight w:val="none"/>
          <w:lang w:eastAsia="zh-CN"/>
        </w:rPr>
        <w:t>竞争性谈判</w:t>
      </w:r>
      <w:r>
        <w:rPr>
          <w:rFonts w:hint="eastAsia" w:ascii="宋体" w:hAnsi="宋体" w:cs="宋体"/>
          <w:sz w:val="22"/>
          <w:highlight w:val="none"/>
        </w:rPr>
        <w:t>文件，按无效标处理。</w:t>
      </w:r>
    </w:p>
    <w:p>
      <w:pPr>
        <w:spacing w:line="360" w:lineRule="auto"/>
        <w:ind w:firstLine="3360" w:firstLineChars="1400"/>
        <w:rPr>
          <w:rFonts w:hint="eastAsia" w:ascii="宋体" w:hAnsi="宋体" w:cs="宋体"/>
          <w:sz w:val="24"/>
          <w:szCs w:val="24"/>
          <w:highlight w:val="none"/>
        </w:rPr>
      </w:pPr>
    </w:p>
    <w:p>
      <w:pPr>
        <w:spacing w:line="360" w:lineRule="auto"/>
        <w:ind w:firstLine="3360" w:firstLineChars="1400"/>
        <w:rPr>
          <w:rFonts w:hint="eastAsia" w:ascii="宋体" w:hAnsi="宋体" w:cs="宋体"/>
          <w:sz w:val="24"/>
          <w:szCs w:val="24"/>
          <w:highlight w:val="none"/>
        </w:rPr>
      </w:pPr>
      <w:r>
        <w:rPr>
          <w:rFonts w:hint="eastAsia" w:ascii="宋体" w:hAnsi="宋体" w:cs="宋体"/>
          <w:sz w:val="24"/>
          <w:szCs w:val="24"/>
          <w:highlight w:val="none"/>
        </w:rPr>
        <w:t>供应商：</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（公章）</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                            法定代表人（</w:t>
      </w:r>
      <w:r>
        <w:rPr>
          <w:rFonts w:hint="eastAsia" w:ascii="宋体" w:hAnsi="宋体" w:cs="宋体"/>
          <w:sz w:val="24"/>
          <w:highlight w:val="none"/>
        </w:rPr>
        <w:t>签字</w:t>
      </w:r>
      <w:r>
        <w:rPr>
          <w:rFonts w:hint="eastAsia" w:ascii="宋体" w:hAnsi="宋体" w:cs="宋体"/>
          <w:sz w:val="24"/>
          <w:highlight w:val="none"/>
          <w:lang w:val="en-US" w:eastAsia="zh-CN"/>
        </w:rPr>
        <w:t>或</w:t>
      </w:r>
      <w:r>
        <w:rPr>
          <w:rFonts w:hint="eastAsia" w:ascii="宋体" w:hAnsi="宋体" w:cs="宋体"/>
          <w:sz w:val="24"/>
          <w:highlight w:val="none"/>
        </w:rPr>
        <w:t>盖章</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                            被 授 权人（签字确认）：</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360" w:lineRule="auto"/>
        <w:rPr>
          <w:rFonts w:ascii="宋体" w:hAnsi="宋体" w:cs="宋体"/>
          <w:highlight w:val="none"/>
          <w:u w:val="single"/>
        </w:rPr>
      </w:pPr>
      <w:r>
        <w:rPr>
          <w:rFonts w:hint="eastAsia" w:ascii="宋体" w:hAnsi="宋体" w:cs="宋体"/>
          <w:highlight w:val="none"/>
        </w:rPr>
        <w:t xml:space="preserve">                               </w:t>
      </w:r>
      <w:r>
        <w:rPr>
          <w:rFonts w:hint="eastAsia" w:ascii="宋体" w:hAnsi="宋体" w:cs="宋体"/>
          <w:sz w:val="24"/>
          <w:szCs w:val="24"/>
          <w:highlight w:val="none"/>
        </w:rPr>
        <w:t xml:space="preserve"> 日  期：</w:t>
      </w:r>
      <w:r>
        <w:rPr>
          <w:rFonts w:hint="eastAsia" w:ascii="宋体" w:hAnsi="宋体" w:cs="宋体"/>
          <w:sz w:val="24"/>
          <w:szCs w:val="24"/>
          <w:highlight w:val="none"/>
          <w:u w:val="single"/>
        </w:rPr>
        <w:t xml:space="preserve">                      </w:t>
      </w:r>
    </w:p>
    <w:p>
      <w:pPr>
        <w:pStyle w:val="2"/>
        <w:spacing w:line="360" w:lineRule="auto"/>
        <w:rPr>
          <w:rFonts w:hint="eastAsia" w:ascii="宋体" w:hAnsi="宋体" w:cs="宋体"/>
          <w:highlight w:val="none"/>
        </w:rPr>
      </w:pPr>
    </w:p>
    <w:p>
      <w:pPr>
        <w:spacing w:line="360" w:lineRule="auto"/>
        <w:rPr>
          <w:rFonts w:hint="eastAsia" w:ascii="宋体" w:hAnsi="宋体" w:eastAsia="宋体" w:cs="宋体"/>
          <w:bCs/>
          <w:highlight w:val="none"/>
        </w:rPr>
      </w:pPr>
      <w:bookmarkStart w:id="311" w:name="_Toc8142"/>
      <w:bookmarkStart w:id="312" w:name="_Toc2907"/>
      <w:r>
        <w:rPr>
          <w:rFonts w:hint="eastAsia" w:ascii="宋体" w:hAnsi="宋体" w:eastAsia="宋体" w:cs="宋体"/>
          <w:bCs/>
          <w:highlight w:val="none"/>
        </w:rPr>
        <w:br w:type="page"/>
      </w:r>
    </w:p>
    <w:p>
      <w:pPr>
        <w:pStyle w:val="6"/>
        <w:spacing w:before="0" w:after="0" w:line="360" w:lineRule="auto"/>
        <w:jc w:val="center"/>
        <w:rPr>
          <w:rFonts w:hint="eastAsia" w:ascii="宋体" w:hAnsi="宋体" w:eastAsia="宋体" w:cs="宋体"/>
          <w:b w:val="0"/>
          <w:highlight w:val="none"/>
        </w:rPr>
      </w:pPr>
      <w:bookmarkStart w:id="313" w:name="_Toc2820"/>
      <w:bookmarkStart w:id="314" w:name="_Toc29147"/>
      <w:bookmarkStart w:id="315" w:name="_Toc7438"/>
      <w:bookmarkStart w:id="316" w:name="_Toc5144"/>
      <w:r>
        <w:rPr>
          <w:rFonts w:hint="eastAsia" w:ascii="宋体" w:hAnsi="宋体" w:eastAsia="宋体" w:cs="宋体"/>
          <w:bCs/>
          <w:highlight w:val="none"/>
          <w:lang w:val="en-US" w:eastAsia="zh-CN"/>
        </w:rPr>
        <w:t>五</w:t>
      </w:r>
      <w:r>
        <w:rPr>
          <w:rFonts w:hint="eastAsia" w:ascii="宋体" w:hAnsi="宋体" w:eastAsia="宋体" w:cs="宋体"/>
          <w:bCs/>
          <w:highlight w:val="none"/>
        </w:rPr>
        <w:t>、商务及服务偏离表</w:t>
      </w:r>
      <w:bookmarkEnd w:id="266"/>
      <w:bookmarkEnd w:id="267"/>
      <w:bookmarkEnd w:id="268"/>
      <w:bookmarkEnd w:id="269"/>
      <w:bookmarkEnd w:id="270"/>
      <w:bookmarkEnd w:id="271"/>
      <w:bookmarkEnd w:id="311"/>
      <w:bookmarkEnd w:id="312"/>
      <w:bookmarkEnd w:id="313"/>
      <w:bookmarkEnd w:id="314"/>
      <w:bookmarkEnd w:id="315"/>
      <w:bookmarkEnd w:id="316"/>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1、商务偏离表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3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94"/>
        <w:gridCol w:w="1537"/>
        <w:gridCol w:w="2520"/>
        <w:gridCol w:w="2428"/>
        <w:gridCol w:w="13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94" w:type="dxa"/>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1537" w:type="dxa"/>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内容</w:t>
            </w:r>
          </w:p>
        </w:tc>
        <w:tc>
          <w:tcPr>
            <w:tcW w:w="25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谈判文件商务要求</w:t>
            </w:r>
          </w:p>
        </w:tc>
        <w:tc>
          <w:tcPr>
            <w:tcW w:w="2428"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响应文件商务响应</w:t>
            </w:r>
          </w:p>
        </w:tc>
        <w:tc>
          <w:tcPr>
            <w:tcW w:w="1367"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偏离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cs="宋体"/>
          <w:sz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保证：除商务偏差表列出的偏差外，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bookmarkEnd w:id="272"/>
    <w:bookmarkEnd w:id="273"/>
    <w:bookmarkEnd w:id="274"/>
    <w:bookmarkEnd w:id="275"/>
    <w:bookmarkEnd w:id="276"/>
    <w:bookmarkEnd w:id="277"/>
    <w:bookmarkEnd w:id="278"/>
    <w:bookmarkEnd w:id="279"/>
    <w:p>
      <w:pPr>
        <w:adjustRightInd w:val="0"/>
        <w:spacing w:line="360" w:lineRule="auto"/>
        <w:ind w:firstLine="480" w:firstLineChars="200"/>
        <w:jc w:val="left"/>
        <w:rPr>
          <w:rFonts w:hint="eastAsia" w:ascii="宋体" w:hAnsi="宋体" w:cs="宋体"/>
          <w:sz w:val="24"/>
          <w:szCs w:val="24"/>
          <w:highlight w:val="none"/>
          <w:lang w:eastAsia="zh-CN"/>
        </w:rPr>
      </w:pPr>
      <w:bookmarkStart w:id="317" w:name="_Hlt491573425"/>
      <w:bookmarkEnd w:id="317"/>
      <w:bookmarkStart w:id="318" w:name="_Hlt491765868"/>
      <w:bookmarkEnd w:id="318"/>
      <w:bookmarkStart w:id="319" w:name="_Hlt491572882"/>
      <w:bookmarkEnd w:id="319"/>
      <w:bookmarkStart w:id="320" w:name="_Toc1878"/>
      <w:bookmarkStart w:id="321" w:name="_Toc24408"/>
      <w:bookmarkStart w:id="322" w:name="_Toc19079"/>
      <w:bookmarkStart w:id="323" w:name="_Toc6771"/>
      <w:bookmarkStart w:id="324" w:name="_Toc23307"/>
      <w:bookmarkStart w:id="325" w:name="_Toc15281"/>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rPr>
          <w:rFonts w:hint="eastAsia" w:ascii="宋体" w:hAnsi="宋体" w:cs="宋体"/>
          <w:b/>
          <w:bCs/>
          <w:sz w:val="32"/>
          <w:szCs w:val="24"/>
          <w:highlight w:val="none"/>
        </w:rPr>
      </w:pPr>
      <w:r>
        <w:rPr>
          <w:rFonts w:hint="eastAsia" w:ascii="宋体" w:hAnsi="宋体" w:cs="宋体"/>
          <w:b/>
          <w:bCs/>
          <w:sz w:val="32"/>
          <w:szCs w:val="24"/>
          <w:highlight w:val="none"/>
        </w:rPr>
        <w:br w:type="page"/>
      </w:r>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2、服务偏离表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3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92"/>
        <w:gridCol w:w="1665"/>
        <w:gridCol w:w="2730"/>
        <w:gridCol w:w="2630"/>
        <w:gridCol w:w="1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59" w:type="pct"/>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849" w:type="pct"/>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服务内容</w:t>
            </w:r>
          </w:p>
        </w:tc>
        <w:tc>
          <w:tcPr>
            <w:tcW w:w="1392"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谈判文件要求数据</w:t>
            </w:r>
          </w:p>
        </w:tc>
        <w:tc>
          <w:tcPr>
            <w:tcW w:w="1341"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响应文件实际数据</w:t>
            </w:r>
          </w:p>
        </w:tc>
        <w:tc>
          <w:tcPr>
            <w:tcW w:w="755"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保证：除服务偏离表列出的偏差外，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br w:type="page"/>
      </w:r>
    </w:p>
    <w:p>
      <w:pPr>
        <w:pStyle w:val="6"/>
        <w:spacing w:before="0" w:after="0" w:line="360" w:lineRule="auto"/>
        <w:jc w:val="center"/>
        <w:rPr>
          <w:rFonts w:hint="eastAsia" w:ascii="宋体" w:hAnsi="宋体" w:eastAsia="宋体" w:cs="宋体"/>
          <w:b w:val="0"/>
          <w:highlight w:val="none"/>
        </w:rPr>
      </w:pPr>
      <w:bookmarkStart w:id="326" w:name="_Toc1452"/>
      <w:bookmarkStart w:id="327" w:name="_Toc8071"/>
      <w:bookmarkStart w:id="328" w:name="_Toc19312"/>
      <w:bookmarkStart w:id="329" w:name="_Toc9966"/>
      <w:bookmarkStart w:id="330" w:name="_Toc824"/>
      <w:bookmarkStart w:id="331" w:name="_Toc11974"/>
      <w:r>
        <w:rPr>
          <w:rFonts w:hint="eastAsia" w:ascii="宋体" w:hAnsi="宋体" w:eastAsia="宋体" w:cs="宋体"/>
          <w:highlight w:val="none"/>
          <w:lang w:val="en-US" w:eastAsia="zh-CN"/>
        </w:rPr>
        <w:t>六</w:t>
      </w:r>
      <w:r>
        <w:rPr>
          <w:rFonts w:hint="eastAsia" w:ascii="宋体" w:hAnsi="宋体" w:eastAsia="宋体" w:cs="宋体"/>
          <w:highlight w:val="none"/>
        </w:rPr>
        <w:t>、供应商为本项目提供的资格证明文件</w:t>
      </w:r>
      <w:bookmarkEnd w:id="320"/>
      <w:bookmarkEnd w:id="321"/>
      <w:bookmarkEnd w:id="322"/>
      <w:bookmarkEnd w:id="323"/>
      <w:bookmarkEnd w:id="324"/>
      <w:bookmarkEnd w:id="325"/>
      <w:bookmarkEnd w:id="326"/>
      <w:bookmarkEnd w:id="327"/>
      <w:bookmarkEnd w:id="328"/>
      <w:bookmarkEnd w:id="329"/>
      <w:bookmarkEnd w:id="330"/>
      <w:bookmarkEnd w:id="331"/>
    </w:p>
    <w:p>
      <w:pPr>
        <w:pStyle w:val="8"/>
        <w:bidi w:val="0"/>
        <w:jc w:val="center"/>
        <w:rPr>
          <w:rFonts w:hint="eastAsia"/>
          <w:highlight w:val="none"/>
        </w:rPr>
      </w:pPr>
      <w:bookmarkStart w:id="332" w:name="_Toc13229"/>
      <w:r>
        <w:rPr>
          <w:rFonts w:hint="eastAsia"/>
          <w:highlight w:val="none"/>
          <w:lang w:eastAsia="zh-CN"/>
        </w:rPr>
        <w:t>（</w:t>
      </w:r>
      <w:r>
        <w:rPr>
          <w:rFonts w:hint="eastAsia"/>
          <w:highlight w:val="none"/>
          <w:lang w:val="en-US" w:eastAsia="zh-CN"/>
        </w:rPr>
        <w:t>一</w:t>
      </w:r>
      <w:r>
        <w:rPr>
          <w:rFonts w:hint="eastAsia"/>
          <w:highlight w:val="none"/>
          <w:lang w:eastAsia="zh-CN"/>
        </w:rPr>
        <w:t>）供应商</w:t>
      </w:r>
      <w:r>
        <w:rPr>
          <w:rFonts w:hint="eastAsia"/>
          <w:highlight w:val="none"/>
        </w:rPr>
        <w:t>概况</w:t>
      </w:r>
      <w:bookmarkEnd w:id="332"/>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4"/>
        <w:gridCol w:w="622"/>
        <w:gridCol w:w="833"/>
        <w:gridCol w:w="900"/>
        <w:gridCol w:w="1657"/>
        <w:gridCol w:w="1588"/>
        <w:gridCol w:w="1530"/>
        <w:gridCol w:w="20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供应商名称</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法定代表人</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统一社会信用代码</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邮政编码</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授权代表</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企业类型</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上年营业收入</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员工总人数</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restar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营业执照</w:t>
            </w: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成立时间</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注册地址</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continue"/>
            <w:noWrap w:val="0"/>
            <w:vAlign w:val="center"/>
          </w:tcPr>
          <w:p>
            <w:pPr>
              <w:topLinePunct/>
              <w:spacing w:line="360" w:lineRule="auto"/>
              <w:jc w:val="center"/>
              <w:rPr>
                <w:rFonts w:hint="eastAsia" w:ascii="宋体" w:hAnsi="宋体" w:cs="宋体"/>
                <w:highlight w:val="none"/>
              </w:rPr>
            </w:pP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发证机关</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发证日期</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0"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基本账户开户行及帐号</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8"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经营范围</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9" w:hRule="atLeast"/>
          <w:jc w:val="center"/>
        </w:trPr>
        <w:tc>
          <w:tcPr>
            <w:tcW w:w="726" w:type="pct"/>
            <w:gridSpan w:val="2"/>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备注</w:t>
            </w:r>
          </w:p>
        </w:tc>
        <w:tc>
          <w:tcPr>
            <w:tcW w:w="4273" w:type="pct"/>
            <w:gridSpan w:val="6"/>
            <w:noWrap w:val="0"/>
            <w:vAlign w:val="center"/>
          </w:tcPr>
          <w:p>
            <w:pPr>
              <w:topLinePunct/>
              <w:spacing w:line="360" w:lineRule="auto"/>
              <w:rPr>
                <w:rFonts w:hint="eastAsia" w:ascii="宋体" w:hAnsi="宋体" w:cs="宋体"/>
                <w:highlight w:val="none"/>
              </w:rPr>
            </w:pPr>
          </w:p>
        </w:tc>
      </w:tr>
    </w:tbl>
    <w:p>
      <w:pPr>
        <w:spacing w:line="360" w:lineRule="auto"/>
        <w:rPr>
          <w:rFonts w:hint="eastAsia" w:ascii="宋体" w:hAnsi="宋体" w:cs="宋体"/>
          <w:highlight w:val="none"/>
        </w:rPr>
      </w:pPr>
    </w:p>
    <w:p>
      <w:pPr>
        <w:spacing w:line="360" w:lineRule="auto"/>
        <w:ind w:left="107" w:leftChars="51" w:firstLine="3840" w:firstLineChars="1600"/>
        <w:rPr>
          <w:rFonts w:hint="eastAsia" w:ascii="宋体" w:hAnsi="宋体" w:cs="宋体"/>
          <w:sz w:val="24"/>
          <w:highlight w:val="none"/>
          <w:u w:val="single"/>
        </w:rPr>
      </w:pPr>
      <w:r>
        <w:rPr>
          <w:rFonts w:hint="eastAsia" w:ascii="宋体" w:hAnsi="宋体" w:cs="宋体"/>
          <w:sz w:val="24"/>
          <w:highlight w:val="none"/>
          <w:lang w:val="en-US" w:eastAsia="zh-CN"/>
        </w:rPr>
        <w:t>法人</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rPr>
        <w:t xml:space="preserve"> （盖章）</w:t>
      </w:r>
    </w:p>
    <w:p>
      <w:pPr>
        <w:spacing w:line="360" w:lineRule="auto"/>
        <w:ind w:firstLine="3960" w:firstLineChars="1650"/>
        <w:rPr>
          <w:rFonts w:hint="eastAsia" w:ascii="宋体" w:hAnsi="宋体" w:cs="宋体"/>
          <w:sz w:val="24"/>
          <w:highlight w:val="none"/>
        </w:rPr>
      </w:pPr>
      <w:r>
        <w:rPr>
          <w:rFonts w:hint="eastAsia" w:ascii="宋体" w:hAnsi="宋体" w:cs="宋体"/>
          <w:sz w:val="24"/>
          <w:highlight w:val="none"/>
        </w:rPr>
        <w:t>日期：    年  月   日</w:t>
      </w:r>
    </w:p>
    <w:p>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rPr>
        <w:br w:type="page"/>
      </w:r>
    </w:p>
    <w:p>
      <w:pPr>
        <w:pStyle w:val="8"/>
        <w:bidi w:val="0"/>
        <w:spacing w:after="156" w:afterAutospacing="0"/>
        <w:rPr>
          <w:rFonts w:hint="eastAsia"/>
          <w:highlight w:val="none"/>
        </w:rPr>
      </w:pPr>
      <w:bookmarkStart w:id="333" w:name="_Toc29056"/>
      <w:r>
        <w:rPr>
          <w:rFonts w:hint="eastAsia"/>
          <w:highlight w:val="none"/>
          <w:lang w:eastAsia="zh-CN"/>
        </w:rPr>
        <w:t>（</w:t>
      </w:r>
      <w:r>
        <w:rPr>
          <w:rFonts w:hint="eastAsia"/>
          <w:highlight w:val="none"/>
          <w:lang w:val="en-US" w:eastAsia="zh-CN"/>
        </w:rPr>
        <w:t>二</w:t>
      </w:r>
      <w:r>
        <w:rPr>
          <w:rFonts w:hint="eastAsia"/>
          <w:highlight w:val="none"/>
          <w:lang w:eastAsia="zh-CN"/>
        </w:rPr>
        <w:t>）供应商</w:t>
      </w:r>
      <w:r>
        <w:rPr>
          <w:rFonts w:hint="eastAsia"/>
          <w:highlight w:val="none"/>
        </w:rPr>
        <w:t>资格证明原件主要内容（谈判文件规定的资格证明原件复印件）。</w:t>
      </w:r>
      <w:bookmarkEnd w:id="333"/>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spacing w:line="360" w:lineRule="auto"/>
        <w:ind w:firstLine="480" w:firstLineChars="200"/>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pStyle w:val="8"/>
        <w:bidi w:val="0"/>
        <w:spacing w:after="156" w:afterAutospacing="0"/>
        <w:rPr>
          <w:rFonts w:hint="eastAsia"/>
          <w:highlight w:val="none"/>
          <w:lang w:eastAsia="zh-CN"/>
        </w:rPr>
      </w:pPr>
      <w:bookmarkStart w:id="334" w:name="_Toc8809"/>
      <w:r>
        <w:rPr>
          <w:rFonts w:hint="eastAsia"/>
          <w:highlight w:val="none"/>
          <w:lang w:eastAsia="zh-CN"/>
        </w:rPr>
        <w:t>（</w:t>
      </w:r>
      <w:r>
        <w:rPr>
          <w:rFonts w:hint="eastAsia"/>
          <w:highlight w:val="none"/>
          <w:lang w:val="en-US" w:eastAsia="zh-CN"/>
        </w:rPr>
        <w:t>三</w:t>
      </w:r>
      <w:r>
        <w:rPr>
          <w:rFonts w:hint="eastAsia"/>
          <w:highlight w:val="none"/>
          <w:lang w:eastAsia="zh-CN"/>
        </w:rPr>
        <w:t>）其他可以证明投标供应商实力的文件。</w:t>
      </w:r>
      <w:bookmarkEnd w:id="334"/>
    </w:p>
    <w:p>
      <w:pPr>
        <w:spacing w:line="360" w:lineRule="auto"/>
        <w:ind w:firstLine="482" w:firstLineChars="200"/>
        <w:rPr>
          <w:rFonts w:hint="eastAsia" w:ascii="宋体" w:hAnsi="宋体" w:cs="宋体"/>
          <w:sz w:val="24"/>
          <w:szCs w:val="24"/>
          <w:highlight w:val="none"/>
        </w:rPr>
      </w:pPr>
      <w:r>
        <w:rPr>
          <w:rFonts w:hint="eastAsia" w:ascii="宋体" w:hAnsi="宋体" w:cs="宋体"/>
          <w:b/>
          <w:bCs/>
          <w:sz w:val="24"/>
          <w:szCs w:val="24"/>
          <w:highlight w:val="none"/>
        </w:rPr>
        <w:t>以上资料：所有资料扫描件加盖公章附在响应文件正、副本中，原件备查。</w:t>
      </w:r>
    </w:p>
    <w:p>
      <w:pPr>
        <w:spacing w:line="360" w:lineRule="auto"/>
        <w:ind w:firstLine="562" w:firstLineChars="200"/>
        <w:rPr>
          <w:rFonts w:hint="eastAsia" w:ascii="宋体" w:hAnsi="宋体" w:cs="宋体"/>
          <w:highlight w:val="none"/>
        </w:rPr>
      </w:pPr>
      <w:bookmarkStart w:id="335" w:name="_Toc23501"/>
      <w:bookmarkStart w:id="336" w:name="_Toc18149"/>
      <w:bookmarkStart w:id="337" w:name="_Toc6831"/>
      <w:bookmarkStart w:id="338" w:name="_Toc32715"/>
      <w:bookmarkStart w:id="339" w:name="_Toc12406"/>
      <w:bookmarkStart w:id="340" w:name="_Toc13886"/>
      <w:bookmarkStart w:id="341" w:name="_Toc22622"/>
      <w:bookmarkStart w:id="342" w:name="_Toc2193"/>
      <w:bookmarkStart w:id="343" w:name="_Toc14516"/>
      <w:r>
        <w:rPr>
          <w:rFonts w:hint="eastAsia" w:ascii="宋体" w:hAnsi="宋体" w:cs="宋体"/>
          <w:b/>
          <w:sz w:val="28"/>
          <w:szCs w:val="28"/>
          <w:highlight w:val="none"/>
        </w:rPr>
        <w:br w:type="page"/>
      </w:r>
      <w:bookmarkEnd w:id="335"/>
      <w:bookmarkEnd w:id="336"/>
      <w:bookmarkEnd w:id="337"/>
      <w:bookmarkEnd w:id="338"/>
      <w:bookmarkEnd w:id="339"/>
      <w:bookmarkEnd w:id="340"/>
      <w:bookmarkEnd w:id="341"/>
      <w:bookmarkEnd w:id="342"/>
    </w:p>
    <w:p>
      <w:pPr>
        <w:bidi w:val="0"/>
        <w:rPr>
          <w:rFonts w:hint="eastAsia" w:ascii="宋体" w:hAnsi="宋体" w:eastAsia="宋体" w:cs="宋体"/>
          <w:b/>
          <w:sz w:val="28"/>
          <w:szCs w:val="28"/>
          <w:highlight w:val="none"/>
        </w:rPr>
      </w:pPr>
      <w:r>
        <w:rPr>
          <w:rFonts w:hint="eastAsia" w:ascii="宋体" w:hAnsi="宋体" w:eastAsia="宋体" w:cs="宋体"/>
          <w:b/>
          <w:sz w:val="28"/>
          <w:szCs w:val="28"/>
          <w:highlight w:val="none"/>
        </w:rPr>
        <w:t>附件</w:t>
      </w:r>
      <w:r>
        <w:rPr>
          <w:rFonts w:hint="eastAsia" w:ascii="宋体" w:hAnsi="宋体" w:cs="宋体"/>
          <w:b/>
          <w:sz w:val="28"/>
          <w:szCs w:val="28"/>
          <w:highlight w:val="none"/>
          <w:lang w:val="en-US" w:eastAsia="zh-CN"/>
        </w:rPr>
        <w:t>1</w:t>
      </w:r>
      <w:r>
        <w:rPr>
          <w:rFonts w:hint="eastAsia" w:ascii="宋体" w:hAnsi="宋体" w:eastAsia="宋体" w:cs="宋体"/>
          <w:b/>
          <w:sz w:val="28"/>
          <w:szCs w:val="28"/>
          <w:highlight w:val="none"/>
          <w:lang w:eastAsia="zh-CN"/>
        </w:rPr>
        <w:t>：</w:t>
      </w:r>
      <w:r>
        <w:rPr>
          <w:rFonts w:hint="eastAsia" w:ascii="宋体" w:hAnsi="宋体" w:eastAsia="宋体" w:cs="宋体"/>
          <w:b/>
          <w:sz w:val="28"/>
          <w:szCs w:val="28"/>
          <w:highlight w:val="none"/>
        </w:rPr>
        <w:t>同类项目经验一览表（如有）</w:t>
      </w:r>
    </w:p>
    <w:tbl>
      <w:tblPr>
        <w:tblStyle w:val="3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78"/>
        <w:gridCol w:w="1827"/>
        <w:gridCol w:w="1574"/>
        <w:gridCol w:w="1801"/>
        <w:gridCol w:w="1603"/>
        <w:gridCol w:w="21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序号</w:t>
            </w:r>
          </w:p>
        </w:tc>
        <w:tc>
          <w:tcPr>
            <w:tcW w:w="932"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项目名称</w:t>
            </w:r>
          </w:p>
        </w:tc>
        <w:tc>
          <w:tcPr>
            <w:tcW w:w="803"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项目内容</w:t>
            </w: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合同金额</w:t>
            </w:r>
          </w:p>
          <w:p>
            <w:pPr>
              <w:spacing w:line="360" w:lineRule="auto"/>
              <w:jc w:val="center"/>
              <w:rPr>
                <w:rFonts w:hint="eastAsia" w:ascii="宋体" w:hAnsi="宋体" w:cs="宋体"/>
                <w:b/>
                <w:bCs/>
                <w:highlight w:val="none"/>
              </w:rPr>
            </w:pPr>
            <w:r>
              <w:rPr>
                <w:rFonts w:hint="eastAsia" w:ascii="宋体" w:hAnsi="宋体" w:cs="宋体"/>
                <w:b/>
                <w:bCs/>
                <w:highlight w:val="none"/>
              </w:rPr>
              <w:t>（元）</w:t>
            </w:r>
          </w:p>
        </w:tc>
        <w:tc>
          <w:tcPr>
            <w:tcW w:w="81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完成日期</w:t>
            </w:r>
          </w:p>
        </w:tc>
        <w:tc>
          <w:tcPr>
            <w:tcW w:w="1077"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业主名称、联系人及电话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1</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2</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3</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4</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5</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bl>
    <w:p>
      <w:pPr>
        <w:snapToGrid w:val="0"/>
        <w:spacing w:before="120" w:line="360" w:lineRule="auto"/>
        <w:ind w:right="357"/>
        <w:rPr>
          <w:rFonts w:hint="eastAsia" w:ascii="宋体" w:hAnsi="宋体" w:cs="宋体"/>
          <w:highlight w:val="none"/>
        </w:rPr>
      </w:pPr>
    </w:p>
    <w:p>
      <w:pPr>
        <w:spacing w:line="360" w:lineRule="auto"/>
        <w:ind w:firstLine="440" w:firstLineChars="200"/>
        <w:rPr>
          <w:rFonts w:hint="eastAsia" w:ascii="宋体" w:hAnsi="宋体" w:cs="宋体"/>
          <w:sz w:val="22"/>
          <w:szCs w:val="20"/>
          <w:highlight w:val="none"/>
        </w:rPr>
      </w:pPr>
      <w:r>
        <w:rPr>
          <w:rFonts w:hint="eastAsia" w:ascii="宋体" w:hAnsi="宋体" w:cs="宋体"/>
          <w:sz w:val="22"/>
          <w:szCs w:val="20"/>
          <w:highlight w:val="none"/>
        </w:rPr>
        <w:t>注：1、供应商应如实列出以上情况，如有隐瞒，一经查实将导致其报价申请被拒绝。</w:t>
      </w:r>
    </w:p>
    <w:p>
      <w:pPr>
        <w:spacing w:line="360" w:lineRule="auto"/>
        <w:ind w:firstLine="440" w:firstLineChars="200"/>
        <w:rPr>
          <w:rFonts w:hint="eastAsia" w:ascii="宋体" w:hAnsi="宋体" w:cs="宋体"/>
          <w:sz w:val="22"/>
          <w:szCs w:val="20"/>
          <w:highlight w:val="none"/>
        </w:rPr>
      </w:pPr>
      <w:r>
        <w:rPr>
          <w:rFonts w:hint="eastAsia" w:ascii="宋体" w:hAnsi="宋体" w:cs="宋体"/>
          <w:sz w:val="22"/>
          <w:szCs w:val="20"/>
          <w:highlight w:val="none"/>
        </w:rPr>
        <w:t>2、供应商应提供双方签订的合同（合同复印件加盖公章装订在谈判响应文件中，原件开标现场备查，</w:t>
      </w:r>
      <w:r>
        <w:rPr>
          <w:rFonts w:hint="eastAsia" w:ascii="宋体" w:hAnsi="宋体" w:cs="宋体"/>
          <w:sz w:val="22"/>
          <w:szCs w:val="20"/>
          <w:highlight w:val="none"/>
          <w:lang w:eastAsia="zh-CN"/>
        </w:rPr>
        <w:t>供应商</w:t>
      </w:r>
      <w:r>
        <w:rPr>
          <w:rFonts w:hint="eastAsia" w:ascii="宋体" w:hAnsi="宋体" w:cs="宋体"/>
          <w:sz w:val="22"/>
          <w:szCs w:val="20"/>
          <w:highlight w:val="none"/>
        </w:rPr>
        <w:t>提供的业绩如有弄虚作假行为，一经查实，除取消其投标资格外，造成影响和损失的采购人将依法追究）。</w:t>
      </w:r>
    </w:p>
    <w:p>
      <w:pPr>
        <w:spacing w:line="360" w:lineRule="auto"/>
        <w:rPr>
          <w:rFonts w:hint="eastAsia" w:ascii="宋体" w:hAnsi="宋体" w:cs="宋体"/>
          <w:highlight w:val="none"/>
        </w:rPr>
      </w:pPr>
    </w:p>
    <w:p>
      <w:pPr>
        <w:spacing w:line="360" w:lineRule="auto"/>
        <w:rPr>
          <w:rFonts w:hint="eastAsia" w:ascii="宋体" w:hAnsi="宋体" w:cs="宋体"/>
          <w:highlight w:val="none"/>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rPr>
          <w:rFonts w:hint="eastAsia" w:ascii="宋体" w:hAnsi="宋体" w:eastAsia="宋体" w:cs="宋体"/>
          <w:sz w:val="24"/>
          <w:szCs w:val="24"/>
          <w:highlight w:val="none"/>
        </w:rPr>
      </w:pPr>
      <w:bookmarkStart w:id="344" w:name="_Toc25592"/>
      <w:bookmarkStart w:id="345" w:name="_Toc6818"/>
      <w:bookmarkStart w:id="346" w:name="_Toc22289"/>
      <w:r>
        <w:rPr>
          <w:rFonts w:hint="eastAsia" w:ascii="宋体" w:hAnsi="宋体" w:cs="宋体"/>
          <w:highlight w:val="none"/>
          <w:lang w:val="en-US" w:eastAsia="zh-CN"/>
        </w:rPr>
        <w:br w:type="page"/>
      </w:r>
    </w:p>
    <w:p>
      <w:pPr>
        <w:bidi w:val="0"/>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附件</w:t>
      </w:r>
      <w:r>
        <w:rPr>
          <w:rFonts w:hint="eastAsia" w:ascii="宋体" w:hAnsi="宋体" w:cs="宋体"/>
          <w:b/>
          <w:sz w:val="28"/>
          <w:szCs w:val="28"/>
          <w:highlight w:val="none"/>
          <w:lang w:val="en-US" w:eastAsia="zh-CN"/>
        </w:rPr>
        <w:t>2</w:t>
      </w:r>
      <w:r>
        <w:rPr>
          <w:rFonts w:hint="eastAsia" w:ascii="宋体" w:hAnsi="宋体" w:eastAsia="宋体" w:cs="宋体"/>
          <w:b/>
          <w:sz w:val="28"/>
          <w:szCs w:val="28"/>
          <w:highlight w:val="none"/>
          <w:lang w:val="en-US" w:eastAsia="zh-CN"/>
        </w:rPr>
        <w:t>：供应商书面声明函</w:t>
      </w:r>
    </w:p>
    <w:p>
      <w:pPr>
        <w:bidi w:val="0"/>
        <w:jc w:val="center"/>
        <w:rPr>
          <w:rFonts w:ascii="Arial"/>
          <w:sz w:val="24"/>
          <w:szCs w:val="24"/>
          <w:highlight w:val="none"/>
        </w:rPr>
      </w:pPr>
      <w:r>
        <w:rPr>
          <w:rFonts w:ascii="宋体" w:hAnsi="宋体" w:eastAsia="宋体" w:cs="宋体"/>
          <w:spacing w:val="12"/>
          <w:sz w:val="31"/>
          <w:szCs w:val="31"/>
          <w:highlight w:val="none"/>
          <w14:textOutline w14:w="5793" w14:cap="sq" w14:cmpd="sng">
            <w14:solidFill>
              <w14:srgbClr w14:val="000000"/>
            </w14:solidFill>
            <w14:prstDash w14:val="solid"/>
            <w14:bevel/>
          </w14:textOutline>
        </w:rPr>
        <w:t>供</w:t>
      </w:r>
      <w:r>
        <w:rPr>
          <w:rFonts w:ascii="宋体" w:hAnsi="宋体" w:eastAsia="宋体" w:cs="宋体"/>
          <w:spacing w:val="9"/>
          <w:sz w:val="31"/>
          <w:szCs w:val="31"/>
          <w:highlight w:val="none"/>
          <w14:textOutline w14:w="5793" w14:cap="sq" w14:cmpd="sng">
            <w14:solidFill>
              <w14:srgbClr w14:val="000000"/>
            </w14:solidFill>
            <w14:prstDash w14:val="solid"/>
            <w14:bevel/>
          </w14:textOutline>
        </w:rPr>
        <w:t>应商书面声明函</w:t>
      </w:r>
    </w:p>
    <w:p>
      <w:pPr>
        <w:spacing w:before="75" w:line="360" w:lineRule="auto"/>
        <w:ind w:left="18"/>
        <w:rPr>
          <w:rFonts w:ascii="宋体" w:hAnsi="宋体" w:eastAsia="宋体" w:cs="宋体"/>
          <w:sz w:val="24"/>
          <w:szCs w:val="24"/>
          <w:highlight w:val="none"/>
        </w:rPr>
      </w:pPr>
      <w:r>
        <w:rPr>
          <w:rFonts w:hint="eastAsia" w:ascii="宋体" w:hAnsi="宋体" w:eastAsia="宋体" w:cs="宋体"/>
          <w:color w:val="333333"/>
          <w:spacing w:val="14"/>
          <w:sz w:val="24"/>
          <w:szCs w:val="24"/>
          <w:highlight w:val="none"/>
          <w:lang w:val="en-US" w:eastAsia="zh-CN"/>
        </w:rPr>
        <w:t>(采购人)</w:t>
      </w:r>
      <w:r>
        <w:rPr>
          <w:rFonts w:ascii="宋体" w:hAnsi="宋体" w:eastAsia="宋体" w:cs="宋体"/>
          <w:spacing w:val="7"/>
          <w:sz w:val="24"/>
          <w:szCs w:val="24"/>
          <w:highlight w:val="none"/>
        </w:rPr>
        <w:t>：</w:t>
      </w:r>
    </w:p>
    <w:p>
      <w:pPr>
        <w:spacing w:before="218" w:afterAutospacing="0" w:line="360" w:lineRule="auto"/>
        <w:ind w:left="482"/>
        <w:rPr>
          <w:rFonts w:ascii="宋体" w:hAnsi="宋体" w:eastAsia="宋体" w:cs="宋体"/>
          <w:sz w:val="24"/>
          <w:szCs w:val="24"/>
          <w:highlight w:val="none"/>
        </w:rPr>
      </w:pPr>
      <w:r>
        <w:rPr>
          <w:rFonts w:ascii="宋体" w:hAnsi="宋体" w:eastAsia="宋体" w:cs="宋体"/>
          <w:spacing w:val="-10"/>
          <w:sz w:val="24"/>
          <w:szCs w:val="24"/>
          <w:highlight w:val="none"/>
        </w:rPr>
        <w:t>我方作</w:t>
      </w:r>
      <w:r>
        <w:rPr>
          <w:rFonts w:ascii="宋体" w:hAnsi="宋体" w:eastAsia="宋体" w:cs="宋体"/>
          <w:spacing w:val="-7"/>
          <w:sz w:val="24"/>
          <w:szCs w:val="24"/>
          <w:highlight w:val="none"/>
        </w:rPr>
        <w:t>为</w:t>
      </w:r>
      <w:r>
        <w:rPr>
          <w:rFonts w:ascii="宋体" w:hAnsi="宋体" w:eastAsia="宋体" w:cs="宋体"/>
          <w:spacing w:val="-5"/>
          <w:sz w:val="24"/>
          <w:szCs w:val="24"/>
          <w:highlight w:val="none"/>
        </w:rPr>
        <w:t>《</w:t>
      </w:r>
      <w:r>
        <w:rPr>
          <w:rFonts w:ascii="宋体" w:hAnsi="宋体" w:eastAsia="宋体" w:cs="宋体"/>
          <w:spacing w:val="-5"/>
          <w:sz w:val="24"/>
          <w:szCs w:val="24"/>
          <w:highlight w:val="none"/>
          <w:u w:val="single" w:color="auto"/>
        </w:rPr>
        <w:t xml:space="preserve"> 项目名称 </w:t>
      </w:r>
      <w:r>
        <w:rPr>
          <w:rFonts w:ascii="宋体" w:hAnsi="宋体" w:eastAsia="宋体" w:cs="宋体"/>
          <w:spacing w:val="-5"/>
          <w:sz w:val="24"/>
          <w:szCs w:val="24"/>
          <w:highlight w:val="none"/>
        </w:rPr>
        <w:t>》(项目编号：</w:t>
      </w:r>
      <w:r>
        <w:rPr>
          <w:rFonts w:ascii="宋体" w:hAnsi="宋体" w:eastAsia="宋体" w:cs="宋体"/>
          <w:spacing w:val="-5"/>
          <w:sz w:val="24"/>
          <w:szCs w:val="24"/>
          <w:highlight w:val="none"/>
          <w:u w:val="single" w:color="auto"/>
        </w:rPr>
        <w:t xml:space="preserve">            </w:t>
      </w:r>
      <w:r>
        <w:rPr>
          <w:rFonts w:ascii="宋体" w:hAnsi="宋体" w:eastAsia="宋体" w:cs="宋体"/>
          <w:spacing w:val="-5"/>
          <w:sz w:val="24"/>
          <w:szCs w:val="24"/>
          <w:highlight w:val="none"/>
        </w:rPr>
        <w:t>)的供应商，在此郑重声明：</w:t>
      </w:r>
    </w:p>
    <w:p>
      <w:pPr>
        <w:spacing w:beforeAutospacing="0" w:afterAutospacing="0" w:line="360" w:lineRule="auto"/>
        <w:ind w:right="2" w:firstLine="498"/>
        <w:rPr>
          <w:rFonts w:ascii="宋体" w:hAnsi="宋体" w:eastAsia="宋体" w:cs="宋体"/>
          <w:sz w:val="24"/>
          <w:szCs w:val="24"/>
          <w:highlight w:val="none"/>
        </w:rPr>
      </w:pPr>
      <w:r>
        <w:rPr>
          <w:rFonts w:ascii="宋体" w:hAnsi="宋体" w:eastAsia="宋体" w:cs="宋体"/>
          <w:spacing w:val="12"/>
          <w:sz w:val="24"/>
          <w:szCs w:val="24"/>
          <w:highlight w:val="none"/>
        </w:rPr>
        <w:t>1、在参</w:t>
      </w:r>
      <w:r>
        <w:rPr>
          <w:rFonts w:ascii="宋体" w:hAnsi="宋体" w:eastAsia="宋体" w:cs="宋体"/>
          <w:spacing w:val="11"/>
          <w:sz w:val="24"/>
          <w:szCs w:val="24"/>
          <w:highlight w:val="none"/>
        </w:rPr>
        <w:t>加</w:t>
      </w:r>
      <w:r>
        <w:rPr>
          <w:rFonts w:ascii="宋体" w:hAnsi="宋体" w:eastAsia="宋体" w:cs="宋体"/>
          <w:spacing w:val="6"/>
          <w:sz w:val="24"/>
          <w:szCs w:val="24"/>
          <w:highlight w:val="none"/>
        </w:rPr>
        <w:t>本次政府采购活动前3年内的经营活动中____(填“没有”或“有”)重</w:t>
      </w:r>
      <w:r>
        <w:rPr>
          <w:rFonts w:ascii="宋体" w:hAnsi="宋体" w:eastAsia="宋体" w:cs="宋体"/>
          <w:spacing w:val="10"/>
          <w:sz w:val="24"/>
          <w:szCs w:val="24"/>
          <w:highlight w:val="none"/>
        </w:rPr>
        <w:t>大</w:t>
      </w:r>
      <w:r>
        <w:rPr>
          <w:rFonts w:ascii="宋体" w:hAnsi="宋体" w:eastAsia="宋体" w:cs="宋体"/>
          <w:spacing w:val="6"/>
          <w:sz w:val="24"/>
          <w:szCs w:val="24"/>
          <w:highlight w:val="none"/>
        </w:rPr>
        <w:t>违</w:t>
      </w:r>
      <w:r>
        <w:rPr>
          <w:rFonts w:ascii="宋体" w:hAnsi="宋体" w:eastAsia="宋体" w:cs="宋体"/>
          <w:spacing w:val="5"/>
          <w:sz w:val="24"/>
          <w:szCs w:val="24"/>
          <w:highlight w:val="none"/>
        </w:rPr>
        <w:t>法记录。供应商在参加政府采购活动前3年内因违法经营被禁止在一定期限内参加政</w:t>
      </w:r>
      <w:r>
        <w:rPr>
          <w:rFonts w:ascii="宋体" w:hAnsi="宋体" w:eastAsia="宋体" w:cs="宋体"/>
          <w:spacing w:val="18"/>
          <w:sz w:val="24"/>
          <w:szCs w:val="24"/>
          <w:highlight w:val="none"/>
        </w:rPr>
        <w:t>府采</w:t>
      </w:r>
      <w:r>
        <w:rPr>
          <w:rFonts w:ascii="宋体" w:hAnsi="宋体" w:eastAsia="宋体" w:cs="宋体"/>
          <w:spacing w:val="9"/>
          <w:sz w:val="24"/>
          <w:szCs w:val="24"/>
          <w:highlight w:val="none"/>
        </w:rPr>
        <w:t>购活动，期限届满的，可以参加政府采购活动，但应提供期限届满的证明材料。</w:t>
      </w:r>
    </w:p>
    <w:p>
      <w:pPr>
        <w:spacing w:beforeAutospacing="0" w:afterAutospacing="0" w:line="360" w:lineRule="auto"/>
        <w:ind w:left="485"/>
        <w:rPr>
          <w:rFonts w:ascii="宋体" w:hAnsi="宋体" w:eastAsia="宋体" w:cs="宋体"/>
          <w:sz w:val="24"/>
          <w:szCs w:val="24"/>
          <w:highlight w:val="none"/>
        </w:rPr>
      </w:pPr>
      <w:r>
        <w:rPr>
          <w:rFonts w:hint="eastAsia" w:ascii="宋体" w:hAnsi="宋体" w:cs="宋体"/>
          <w:spacing w:val="8"/>
          <w:sz w:val="24"/>
          <w:szCs w:val="24"/>
          <w:highlight w:val="none"/>
          <w:lang w:val="en-US" w:eastAsia="zh-CN"/>
        </w:rPr>
        <w:t>2</w:t>
      </w:r>
      <w:r>
        <w:rPr>
          <w:rFonts w:ascii="宋体" w:hAnsi="宋体" w:eastAsia="宋体" w:cs="宋体"/>
          <w:spacing w:val="8"/>
          <w:sz w:val="24"/>
          <w:szCs w:val="24"/>
          <w:highlight w:val="none"/>
        </w:rPr>
        <w:t>、我方______(填“未被列入”或“被列入”)重大税收违法案件当事人名单。</w:t>
      </w:r>
    </w:p>
    <w:p>
      <w:pPr>
        <w:spacing w:beforeAutospacing="0" w:line="360" w:lineRule="auto"/>
        <w:ind w:left="2" w:right="2" w:firstLine="477"/>
        <w:rPr>
          <w:rFonts w:ascii="宋体" w:hAnsi="宋体" w:eastAsia="宋体" w:cs="宋体"/>
          <w:sz w:val="24"/>
          <w:szCs w:val="24"/>
          <w:highlight w:val="none"/>
        </w:rPr>
      </w:pPr>
      <w:r>
        <w:rPr>
          <w:rFonts w:hint="eastAsia" w:ascii="宋体" w:hAnsi="宋体" w:cs="宋体"/>
          <w:spacing w:val="10"/>
          <w:sz w:val="24"/>
          <w:szCs w:val="24"/>
          <w:highlight w:val="none"/>
          <w:lang w:val="en-US" w:eastAsia="zh-CN"/>
        </w:rPr>
        <w:t>3</w:t>
      </w:r>
      <w:r>
        <w:rPr>
          <w:rFonts w:ascii="宋体" w:hAnsi="宋体" w:eastAsia="宋体" w:cs="宋体"/>
          <w:spacing w:val="10"/>
          <w:sz w:val="24"/>
          <w:szCs w:val="24"/>
          <w:highlight w:val="none"/>
        </w:rPr>
        <w:t>、我方______(填“未被列入”或“被列入”)政府采购严重违法失信行为记录名</w:t>
      </w:r>
      <w:r>
        <w:rPr>
          <w:rFonts w:ascii="宋体" w:hAnsi="宋体" w:eastAsia="宋体" w:cs="宋体"/>
          <w:spacing w:val="-1"/>
          <w:sz w:val="24"/>
          <w:szCs w:val="24"/>
          <w:highlight w:val="none"/>
        </w:rPr>
        <w:t>单。</w:t>
      </w:r>
    </w:p>
    <w:p>
      <w:pPr>
        <w:spacing w:before="2" w:line="360" w:lineRule="auto"/>
        <w:ind w:firstLine="483"/>
        <w:rPr>
          <w:rFonts w:ascii="宋体" w:hAnsi="宋体" w:eastAsia="宋体" w:cs="宋体"/>
          <w:sz w:val="24"/>
          <w:szCs w:val="24"/>
          <w:highlight w:val="none"/>
        </w:rPr>
      </w:pPr>
      <w:r>
        <w:rPr>
          <w:rFonts w:ascii="宋体" w:hAnsi="宋体" w:eastAsia="宋体" w:cs="宋体"/>
          <w:spacing w:val="15"/>
          <w:sz w:val="24"/>
          <w:szCs w:val="24"/>
          <w:highlight w:val="none"/>
        </w:rPr>
        <w:t>如</w:t>
      </w:r>
      <w:r>
        <w:rPr>
          <w:rFonts w:ascii="宋体" w:hAnsi="宋体" w:eastAsia="宋体" w:cs="宋体"/>
          <w:spacing w:val="8"/>
          <w:sz w:val="24"/>
          <w:szCs w:val="24"/>
          <w:highlight w:val="none"/>
        </w:rPr>
        <w:t>有不实，我方将无条件地退出本项目的采购活动，并遵照《政府采购法》有关“提</w:t>
      </w:r>
      <w:r>
        <w:rPr>
          <w:rFonts w:ascii="宋体" w:hAnsi="宋体" w:eastAsia="宋体" w:cs="宋体"/>
          <w:spacing w:val="16"/>
          <w:sz w:val="24"/>
          <w:szCs w:val="24"/>
          <w:highlight w:val="none"/>
        </w:rPr>
        <w:t>供</w:t>
      </w:r>
      <w:r>
        <w:rPr>
          <w:rFonts w:ascii="宋体" w:hAnsi="宋体" w:eastAsia="宋体" w:cs="宋体"/>
          <w:spacing w:val="8"/>
          <w:sz w:val="24"/>
          <w:szCs w:val="24"/>
          <w:highlight w:val="none"/>
        </w:rPr>
        <w:t>虚假材料的规定”接受处罚。</w:t>
      </w:r>
    </w:p>
    <w:p>
      <w:pPr>
        <w:spacing w:line="360" w:lineRule="auto"/>
        <w:ind w:left="480"/>
        <w:rPr>
          <w:rFonts w:ascii="宋体" w:hAnsi="宋体" w:eastAsia="宋体" w:cs="宋体"/>
          <w:sz w:val="24"/>
          <w:szCs w:val="24"/>
          <w:highlight w:val="none"/>
        </w:rPr>
      </w:pPr>
      <w:r>
        <w:rPr>
          <w:rFonts w:ascii="宋体" w:hAnsi="宋体" w:eastAsia="宋体" w:cs="宋体"/>
          <w:spacing w:val="6"/>
          <w:sz w:val="24"/>
          <w:szCs w:val="24"/>
          <w:highlight w:val="none"/>
        </w:rPr>
        <w:t>特此声明。</w:t>
      </w:r>
    </w:p>
    <w:p>
      <w:pPr>
        <w:spacing w:line="360" w:lineRule="auto"/>
        <w:rPr>
          <w:rFonts w:ascii="Arial"/>
          <w:sz w:val="24"/>
          <w:szCs w:val="24"/>
          <w:highlight w:val="none"/>
        </w:rPr>
      </w:pPr>
    </w:p>
    <w:p>
      <w:pPr>
        <w:spacing w:line="360" w:lineRule="auto"/>
        <w:rPr>
          <w:rFonts w:ascii="Arial"/>
          <w:sz w:val="24"/>
          <w:szCs w:val="24"/>
          <w:highlight w:val="none"/>
        </w:rPr>
      </w:pPr>
    </w:p>
    <w:p>
      <w:pPr>
        <w:spacing w:line="360" w:lineRule="auto"/>
        <w:rPr>
          <w:rFonts w:ascii="Arial"/>
          <w:sz w:val="24"/>
          <w:szCs w:val="24"/>
          <w:highlight w:val="none"/>
        </w:rPr>
      </w:pPr>
    </w:p>
    <w:p>
      <w:pPr>
        <w:spacing w:before="76" w:line="360" w:lineRule="auto"/>
        <w:rPr>
          <w:rFonts w:ascii="宋体" w:hAnsi="宋体" w:eastAsia="宋体" w:cs="宋体"/>
          <w:sz w:val="24"/>
          <w:szCs w:val="24"/>
          <w:highlight w:val="none"/>
        </w:rPr>
      </w:pPr>
      <w:r>
        <w:rPr>
          <w:rFonts w:ascii="宋体" w:hAnsi="宋体" w:eastAsia="宋体" w:cs="宋体"/>
          <w:spacing w:val="-3"/>
          <w:sz w:val="24"/>
          <w:szCs w:val="24"/>
          <w:highlight w:val="none"/>
        </w:rPr>
        <w:t>供应商全称：  (公章</w:t>
      </w:r>
      <w:r>
        <w:rPr>
          <w:rFonts w:ascii="宋体" w:hAnsi="宋体" w:eastAsia="宋体" w:cs="宋体"/>
          <w:spacing w:val="-2"/>
          <w:sz w:val="24"/>
          <w:szCs w:val="24"/>
          <w:highlight w:val="none"/>
        </w:rPr>
        <w:t>)</w:t>
      </w:r>
    </w:p>
    <w:p>
      <w:pPr>
        <w:spacing w:line="360" w:lineRule="auto"/>
        <w:rPr>
          <w:rFonts w:ascii="Arial"/>
          <w:sz w:val="24"/>
          <w:szCs w:val="24"/>
          <w:highlight w:val="none"/>
        </w:rPr>
      </w:pPr>
    </w:p>
    <w:p>
      <w:pPr>
        <w:spacing w:before="75" w:line="360" w:lineRule="auto"/>
        <w:ind w:left="1"/>
        <w:rPr>
          <w:rFonts w:ascii="宋体" w:hAnsi="宋体" w:eastAsia="宋体" w:cs="宋体"/>
          <w:sz w:val="24"/>
          <w:szCs w:val="24"/>
          <w:highlight w:val="none"/>
        </w:rPr>
      </w:pPr>
      <w:r>
        <w:rPr>
          <w:rFonts w:ascii="宋体" w:hAnsi="宋体" w:eastAsia="宋体" w:cs="宋体"/>
          <w:spacing w:val="8"/>
          <w:sz w:val="24"/>
          <w:szCs w:val="24"/>
          <w:highlight w:val="none"/>
        </w:rPr>
        <w:t>法定代表人或被授权人 (签字或盖章)：</w:t>
      </w:r>
    </w:p>
    <w:p>
      <w:pPr>
        <w:spacing w:line="360" w:lineRule="auto"/>
        <w:rPr>
          <w:rFonts w:ascii="Arial"/>
          <w:sz w:val="24"/>
          <w:szCs w:val="24"/>
          <w:highlight w:val="none"/>
        </w:rPr>
      </w:pPr>
    </w:p>
    <w:p>
      <w:pPr>
        <w:spacing w:line="360" w:lineRule="auto"/>
        <w:rPr>
          <w:rFonts w:ascii="Arial"/>
          <w:sz w:val="24"/>
          <w:szCs w:val="24"/>
          <w:highlight w:val="none"/>
        </w:rPr>
      </w:pPr>
    </w:p>
    <w:p>
      <w:pPr>
        <w:spacing w:line="360" w:lineRule="auto"/>
        <w:rPr>
          <w:rFonts w:ascii="Arial"/>
          <w:sz w:val="24"/>
          <w:szCs w:val="24"/>
          <w:highlight w:val="none"/>
        </w:rPr>
      </w:pPr>
    </w:p>
    <w:p>
      <w:pPr>
        <w:spacing w:line="360" w:lineRule="auto"/>
        <w:rPr>
          <w:rFonts w:hint="eastAsia" w:ascii="宋体" w:hAnsi="宋体" w:eastAsia="宋体" w:cs="宋体"/>
          <w:sz w:val="24"/>
          <w:szCs w:val="24"/>
          <w:highlight w:val="none"/>
        </w:rPr>
      </w:pPr>
      <w:r>
        <w:rPr>
          <w:rFonts w:ascii="宋体" w:hAnsi="宋体" w:eastAsia="宋体" w:cs="宋体"/>
          <w:spacing w:val="-2"/>
          <w:sz w:val="24"/>
          <w:szCs w:val="24"/>
          <w:highlight w:val="none"/>
        </w:rPr>
        <w:t>日期：</w:t>
      </w:r>
      <w:r>
        <w:rPr>
          <w:rFonts w:ascii="宋体" w:hAnsi="宋体" w:eastAsia="宋体" w:cs="宋体"/>
          <w:spacing w:val="-1"/>
          <w:sz w:val="24"/>
          <w:szCs w:val="24"/>
          <w:highlight w:val="none"/>
        </w:rPr>
        <w:t xml:space="preserve">    年       月      日</w:t>
      </w:r>
      <w:r>
        <w:rPr>
          <w:rFonts w:hint="eastAsia" w:ascii="宋体" w:hAnsi="宋体" w:eastAsia="宋体" w:cs="宋体"/>
          <w:sz w:val="24"/>
          <w:szCs w:val="24"/>
          <w:highlight w:val="none"/>
        </w:rPr>
        <w:br w:type="page"/>
      </w:r>
    </w:p>
    <w:p>
      <w:pPr>
        <w:bidi w:val="0"/>
        <w:rPr>
          <w:rFonts w:hint="eastAsia" w:ascii="宋体" w:hAnsi="宋体" w:eastAsia="宋体" w:cs="宋体"/>
          <w:b/>
          <w:sz w:val="28"/>
          <w:szCs w:val="28"/>
          <w:highlight w:val="none"/>
          <w:lang w:val="en-US" w:eastAsia="zh-CN"/>
        </w:rPr>
      </w:pPr>
      <w:bookmarkStart w:id="347" w:name="_Toc23746"/>
      <w:bookmarkStart w:id="348" w:name="_Toc25074"/>
      <w:r>
        <w:rPr>
          <w:rFonts w:hint="eastAsia" w:ascii="宋体" w:hAnsi="宋体" w:eastAsia="宋体" w:cs="宋体"/>
          <w:b/>
          <w:sz w:val="28"/>
          <w:szCs w:val="28"/>
          <w:highlight w:val="none"/>
          <w:lang w:val="en-US" w:eastAsia="zh-CN"/>
        </w:rPr>
        <w:t>附件</w:t>
      </w:r>
      <w:r>
        <w:rPr>
          <w:rFonts w:hint="eastAsia" w:ascii="宋体" w:hAnsi="宋体" w:cs="宋体"/>
          <w:b/>
          <w:sz w:val="28"/>
          <w:szCs w:val="28"/>
          <w:highlight w:val="none"/>
          <w:lang w:val="en-US" w:eastAsia="zh-CN"/>
        </w:rPr>
        <w:t>3</w:t>
      </w:r>
      <w:r>
        <w:rPr>
          <w:rFonts w:hint="eastAsia" w:ascii="宋体" w:hAnsi="宋体" w:eastAsia="宋体" w:cs="宋体"/>
          <w:b/>
          <w:sz w:val="28"/>
          <w:szCs w:val="28"/>
          <w:highlight w:val="none"/>
          <w:lang w:val="en-US" w:eastAsia="zh-CN"/>
        </w:rPr>
        <w:t>：</w:t>
      </w:r>
    </w:p>
    <w:p>
      <w:pPr>
        <w:spacing w:before="299" w:line="225" w:lineRule="auto"/>
        <w:ind w:left="2698"/>
        <w:rPr>
          <w:rFonts w:ascii="Arial"/>
          <w:sz w:val="21"/>
          <w:highlight w:val="none"/>
        </w:rPr>
      </w:pPr>
      <w:r>
        <w:rPr>
          <w:rFonts w:ascii="宋体" w:hAnsi="宋体" w:eastAsia="宋体" w:cs="宋体"/>
          <w:spacing w:val="10"/>
          <w:sz w:val="29"/>
          <w:szCs w:val="29"/>
          <w:highlight w:val="none"/>
          <w14:textOutline w14:w="5448" w14:cap="sq" w14:cmpd="sng">
            <w14:solidFill>
              <w14:srgbClr w14:val="000000"/>
            </w14:solidFill>
            <w14:prstDash w14:val="solid"/>
            <w14:bevel/>
          </w14:textOutline>
        </w:rPr>
        <w:t>供应商企业关系关联承诺书</w:t>
      </w:r>
    </w:p>
    <w:p>
      <w:pPr>
        <w:spacing w:before="75" w:line="360" w:lineRule="auto"/>
        <w:ind w:left="49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1、供应商股东及股权证明。</w:t>
      </w:r>
    </w:p>
    <w:p>
      <w:pPr>
        <w:spacing w:before="75" w:line="360" w:lineRule="auto"/>
        <w:ind w:firstLine="479"/>
        <w:rPr>
          <w:rFonts w:hint="eastAsia" w:ascii="宋体" w:hAnsi="宋体" w:eastAsia="宋体" w:cs="宋体"/>
          <w:sz w:val="24"/>
          <w:szCs w:val="24"/>
          <w:highlight w:val="none"/>
        </w:rPr>
      </w:pPr>
      <w:r>
        <w:rPr>
          <w:rFonts w:hint="eastAsia" w:ascii="宋体" w:hAnsi="宋体" w:eastAsia="宋体" w:cs="宋体"/>
          <w:spacing w:val="21"/>
          <w:sz w:val="24"/>
          <w:szCs w:val="24"/>
          <w:highlight w:val="none"/>
        </w:rPr>
        <w:t>2</w:t>
      </w:r>
      <w:r>
        <w:rPr>
          <w:rFonts w:hint="eastAsia" w:ascii="宋体" w:hAnsi="宋体" w:eastAsia="宋体" w:cs="宋体"/>
          <w:spacing w:val="11"/>
          <w:sz w:val="24"/>
          <w:szCs w:val="24"/>
          <w:highlight w:val="none"/>
        </w:rPr>
        <w:t>、供应商在本项目谈判中，不存在与其它供应商负责人为同一人，有控股、管理等</w:t>
      </w:r>
      <w:r>
        <w:rPr>
          <w:rFonts w:hint="eastAsia" w:ascii="宋体" w:hAnsi="宋体" w:eastAsia="宋体" w:cs="宋体"/>
          <w:spacing w:val="10"/>
          <w:sz w:val="24"/>
          <w:szCs w:val="24"/>
          <w:highlight w:val="none"/>
        </w:rPr>
        <w:t>关</w:t>
      </w:r>
      <w:r>
        <w:rPr>
          <w:rFonts w:hint="eastAsia" w:ascii="宋体" w:hAnsi="宋体" w:eastAsia="宋体" w:cs="宋体"/>
          <w:spacing w:val="6"/>
          <w:sz w:val="24"/>
          <w:szCs w:val="24"/>
          <w:highlight w:val="none"/>
        </w:rPr>
        <w:t>联关系承诺。</w:t>
      </w:r>
    </w:p>
    <w:p>
      <w:pPr>
        <w:spacing w:afterAutospacing="0" w:line="360" w:lineRule="auto"/>
        <w:ind w:left="479"/>
        <w:rPr>
          <w:rFonts w:hint="eastAsia" w:ascii="宋体" w:hAnsi="宋体" w:eastAsia="宋体" w:cs="宋体"/>
          <w:sz w:val="24"/>
          <w:szCs w:val="24"/>
          <w:highlight w:val="none"/>
        </w:rPr>
      </w:pPr>
      <w:r>
        <w:rPr>
          <w:rFonts w:hint="eastAsia" w:ascii="宋体" w:hAnsi="宋体" w:eastAsia="宋体" w:cs="宋体"/>
          <w:spacing w:val="12"/>
          <w:position w:val="1"/>
          <w:sz w:val="24"/>
          <w:szCs w:val="24"/>
          <w:highlight w:val="none"/>
        </w:rPr>
        <w:t>2</w:t>
      </w:r>
      <w:r>
        <w:rPr>
          <w:rFonts w:hint="eastAsia" w:ascii="宋体" w:hAnsi="宋体" w:eastAsia="宋体" w:cs="宋体"/>
          <w:spacing w:val="6"/>
          <w:position w:val="1"/>
          <w:sz w:val="24"/>
          <w:szCs w:val="24"/>
          <w:highlight w:val="none"/>
        </w:rPr>
        <w:t>-1、管理关系说明：</w:t>
      </w:r>
    </w:p>
    <w:p>
      <w:pPr>
        <w:spacing w:beforeAutospacing="0" w:line="360" w:lineRule="auto"/>
        <w:ind w:left="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我单位管理的具有独立法人的下属单位有：</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pPr>
        <w:spacing w:afterAutospacing="0" w:line="360" w:lineRule="auto"/>
        <w:ind w:left="478"/>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我单</w:t>
      </w:r>
      <w:r>
        <w:rPr>
          <w:rFonts w:hint="eastAsia" w:ascii="宋体" w:hAnsi="宋体" w:eastAsia="宋体" w:cs="宋体"/>
          <w:spacing w:val="6"/>
          <w:sz w:val="24"/>
          <w:szCs w:val="24"/>
          <w:highlight w:val="none"/>
        </w:rPr>
        <w:t>位的上级管理单位有</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6"/>
          <w:sz w:val="24"/>
          <w:szCs w:val="24"/>
          <w:highlight w:val="none"/>
        </w:rPr>
        <w:t>。</w:t>
      </w:r>
    </w:p>
    <w:p>
      <w:pPr>
        <w:spacing w:beforeAutospacing="0" w:afterAutospacing="0" w:line="360" w:lineRule="auto"/>
        <w:ind w:left="479"/>
        <w:rPr>
          <w:rFonts w:hint="eastAsia" w:ascii="宋体" w:hAnsi="宋体" w:eastAsia="宋体" w:cs="宋体"/>
          <w:sz w:val="24"/>
          <w:szCs w:val="24"/>
          <w:highlight w:val="none"/>
        </w:rPr>
      </w:pPr>
      <w:r>
        <w:rPr>
          <w:rFonts w:hint="eastAsia" w:ascii="宋体" w:hAnsi="宋体" w:eastAsia="宋体" w:cs="宋体"/>
          <w:spacing w:val="12"/>
          <w:position w:val="1"/>
          <w:sz w:val="24"/>
          <w:szCs w:val="24"/>
          <w:highlight w:val="none"/>
        </w:rPr>
        <w:t>2</w:t>
      </w:r>
      <w:r>
        <w:rPr>
          <w:rFonts w:hint="eastAsia" w:ascii="宋体" w:hAnsi="宋体" w:eastAsia="宋体" w:cs="宋体"/>
          <w:spacing w:val="6"/>
          <w:position w:val="1"/>
          <w:sz w:val="24"/>
          <w:szCs w:val="24"/>
          <w:highlight w:val="none"/>
        </w:rPr>
        <w:t>-2、股权关系说明：</w:t>
      </w:r>
    </w:p>
    <w:p>
      <w:pPr>
        <w:spacing w:beforeAutospacing="0" w:afterAutospacing="0" w:line="360" w:lineRule="auto"/>
        <w:ind w:left="478"/>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我</w:t>
      </w:r>
      <w:r>
        <w:rPr>
          <w:rFonts w:hint="eastAsia" w:ascii="宋体" w:hAnsi="宋体" w:eastAsia="宋体" w:cs="宋体"/>
          <w:spacing w:val="6"/>
          <w:sz w:val="24"/>
          <w:szCs w:val="24"/>
          <w:highlight w:val="none"/>
        </w:rPr>
        <w:t>单位控股的单位有</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6"/>
          <w:sz w:val="24"/>
          <w:szCs w:val="24"/>
          <w:highlight w:val="none"/>
        </w:rPr>
        <w:t>。</w:t>
      </w:r>
    </w:p>
    <w:p>
      <w:pPr>
        <w:spacing w:beforeAutospacing="0" w:line="360" w:lineRule="auto"/>
        <w:ind w:left="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我单位被</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 xml:space="preserve"> 单位控股</w:t>
      </w:r>
      <w:r>
        <w:rPr>
          <w:rFonts w:hint="eastAsia" w:ascii="宋体" w:hAnsi="宋体" w:eastAsia="宋体" w:cs="宋体"/>
          <w:sz w:val="24"/>
          <w:szCs w:val="24"/>
          <w:highlight w:val="none"/>
        </w:rPr>
        <w:t>。</w:t>
      </w:r>
    </w:p>
    <w:p>
      <w:pPr>
        <w:spacing w:afterAutospacing="0" w:line="360" w:lineRule="auto"/>
        <w:ind w:left="479"/>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2</w:t>
      </w:r>
      <w:r>
        <w:rPr>
          <w:rFonts w:hint="eastAsia" w:ascii="宋体" w:hAnsi="宋体" w:eastAsia="宋体" w:cs="宋体"/>
          <w:spacing w:val="6"/>
          <w:position w:val="1"/>
          <w:sz w:val="24"/>
          <w:szCs w:val="24"/>
          <w:highlight w:val="none"/>
        </w:rPr>
        <w:t>-3、单位负责人：</w:t>
      </w:r>
    </w:p>
    <w:p>
      <w:pPr>
        <w:spacing w:beforeAutospacing="0" w:afterAutospacing="0" w:line="360" w:lineRule="auto"/>
        <w:ind w:left="479" w:leftChars="228" w:firstLine="0" w:firstLineChars="0"/>
        <w:rPr>
          <w:rFonts w:hint="eastAsia" w:ascii="宋体" w:hAnsi="宋体" w:eastAsia="宋体" w:cs="宋体"/>
          <w:sz w:val="24"/>
          <w:szCs w:val="24"/>
          <w:highlight w:val="none"/>
        </w:rPr>
      </w:pPr>
      <w:r>
        <w:rPr>
          <w:rFonts w:hint="eastAsia" w:ascii="宋体" w:hAnsi="宋体" w:eastAsia="宋体" w:cs="宋体"/>
          <w:spacing w:val="14"/>
          <w:position w:val="1"/>
          <w:sz w:val="24"/>
          <w:szCs w:val="24"/>
          <w:highlight w:val="none"/>
        </w:rPr>
        <w:t>3</w:t>
      </w:r>
      <w:r>
        <w:rPr>
          <w:rFonts w:hint="eastAsia" w:ascii="宋体" w:hAnsi="宋体" w:eastAsia="宋体" w:cs="宋体"/>
          <w:spacing w:val="8"/>
          <w:position w:val="1"/>
          <w:sz w:val="24"/>
          <w:szCs w:val="24"/>
          <w:highlight w:val="none"/>
        </w:rPr>
        <w:t>、其他与本项目有关的利害关系说明：</w:t>
      </w:r>
    </w:p>
    <w:p>
      <w:pPr>
        <w:spacing w:beforeAutospacing="0" w:line="360" w:lineRule="auto"/>
        <w:ind w:left="478"/>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我</w:t>
      </w:r>
      <w:r>
        <w:rPr>
          <w:rFonts w:hint="eastAsia" w:ascii="宋体" w:hAnsi="宋体" w:eastAsia="宋体" w:cs="宋体"/>
          <w:spacing w:val="9"/>
          <w:sz w:val="24"/>
          <w:szCs w:val="24"/>
          <w:highlight w:val="none"/>
        </w:rPr>
        <w:t>单位承诺以上说明真实有效，无虚假内容或隐瞒。</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before="76" w:line="360" w:lineRule="auto"/>
        <w:ind w:left="476"/>
        <w:rPr>
          <w:rFonts w:hint="eastAsia" w:ascii="宋体" w:hAnsi="宋体" w:eastAsia="宋体" w:cs="宋体"/>
          <w:sz w:val="24"/>
          <w:szCs w:val="24"/>
          <w:highlight w:val="none"/>
        </w:rPr>
      </w:pPr>
      <w:r>
        <w:rPr>
          <w:rFonts w:hint="eastAsia" w:ascii="宋体" w:hAnsi="宋体" w:cs="宋体"/>
          <w:spacing w:val="-3"/>
          <w:sz w:val="24"/>
          <w:szCs w:val="24"/>
          <w:highlight w:val="none"/>
          <w:lang w:val="en-US" w:eastAsia="zh-CN"/>
        </w:rPr>
        <w:t>法人</w:t>
      </w:r>
      <w:r>
        <w:rPr>
          <w:rFonts w:hint="eastAsia" w:ascii="宋体" w:hAnsi="宋体" w:eastAsia="宋体" w:cs="宋体"/>
          <w:spacing w:val="-3"/>
          <w:sz w:val="24"/>
          <w:szCs w:val="24"/>
          <w:highlight w:val="none"/>
        </w:rPr>
        <w:t>：(公章</w:t>
      </w:r>
      <w:r>
        <w:rPr>
          <w:rFonts w:hint="eastAsia" w:ascii="宋体" w:hAnsi="宋体" w:eastAsia="宋体" w:cs="宋体"/>
          <w:spacing w:val="-2"/>
          <w:sz w:val="24"/>
          <w:szCs w:val="24"/>
          <w:highlight w:val="none"/>
        </w:rPr>
        <w:t>)</w:t>
      </w:r>
    </w:p>
    <w:p>
      <w:pPr>
        <w:spacing w:line="360" w:lineRule="auto"/>
        <w:rPr>
          <w:rFonts w:hint="eastAsia" w:ascii="宋体" w:hAnsi="宋体" w:eastAsia="宋体" w:cs="宋体"/>
          <w:sz w:val="24"/>
          <w:szCs w:val="24"/>
          <w:highlight w:val="none"/>
        </w:rPr>
      </w:pPr>
    </w:p>
    <w:p>
      <w:pPr>
        <w:spacing w:before="75" w:line="360" w:lineRule="auto"/>
        <w:ind w:left="47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日期：</w:t>
      </w:r>
      <w:r>
        <w:rPr>
          <w:rFonts w:hint="eastAsia" w:ascii="宋体" w:hAnsi="宋体" w:eastAsia="宋体" w:cs="宋体"/>
          <w:spacing w:val="-1"/>
          <w:sz w:val="24"/>
          <w:szCs w:val="24"/>
          <w:highlight w:val="none"/>
        </w:rPr>
        <w:t xml:space="preserve">    年    月    日</w:t>
      </w:r>
    </w:p>
    <w:p>
      <w:pPr>
        <w:rPr>
          <w:rFonts w:hint="eastAsia"/>
          <w:highlight w:val="none"/>
        </w:rPr>
      </w:pPr>
      <w:r>
        <w:rPr>
          <w:rFonts w:hint="eastAsia"/>
          <w:highlight w:val="none"/>
        </w:rPr>
        <w:br w:type="page"/>
      </w:r>
    </w:p>
    <w:p>
      <w:pPr>
        <w:pStyle w:val="6"/>
        <w:bidi w:val="0"/>
        <w:jc w:val="center"/>
        <w:rPr>
          <w:rFonts w:hint="default"/>
          <w:highlight w:val="none"/>
          <w:lang w:val="en-US" w:eastAsia="zh-CN"/>
        </w:rPr>
      </w:pPr>
      <w:bookmarkStart w:id="349" w:name="_Toc1271"/>
      <w:r>
        <w:rPr>
          <w:rFonts w:hint="eastAsia"/>
          <w:highlight w:val="none"/>
          <w:lang w:val="en-US" w:eastAsia="zh-CN"/>
        </w:rPr>
        <w:t>七</w:t>
      </w:r>
      <w:r>
        <w:rPr>
          <w:rFonts w:hint="eastAsia"/>
          <w:highlight w:val="none"/>
        </w:rPr>
        <w:t>、</w:t>
      </w:r>
      <w:bookmarkEnd w:id="344"/>
      <w:bookmarkEnd w:id="345"/>
      <w:bookmarkEnd w:id="346"/>
      <w:r>
        <w:rPr>
          <w:rFonts w:hint="eastAsia"/>
          <w:highlight w:val="none"/>
          <w:lang w:val="en-US" w:eastAsia="zh-CN"/>
        </w:rPr>
        <w:t>项目实施方案</w:t>
      </w:r>
      <w:bookmarkEnd w:id="347"/>
      <w:bookmarkEnd w:id="348"/>
      <w:bookmarkEnd w:id="349"/>
    </w:p>
    <w:p>
      <w:pPr>
        <w:spacing w:line="360" w:lineRule="auto"/>
        <w:ind w:firstLine="480" w:firstLineChars="200"/>
        <w:jc w:val="center"/>
        <w:rPr>
          <w:rFonts w:hint="eastAsia" w:ascii="宋体" w:hAnsi="宋体" w:eastAsia="宋体" w:cs="宋体"/>
          <w:sz w:val="24"/>
          <w:highlight w:val="none"/>
          <w:lang w:val="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格式自拟</w:t>
      </w:r>
      <w:r>
        <w:rPr>
          <w:rFonts w:hint="eastAsia" w:ascii="宋体" w:hAnsi="宋体" w:cs="宋体"/>
          <w:sz w:val="24"/>
          <w:szCs w:val="24"/>
          <w:highlight w:val="none"/>
          <w:lang w:eastAsia="zh-CN"/>
        </w:rPr>
        <w:t>）</w:t>
      </w:r>
    </w:p>
    <w:p>
      <w:pPr>
        <w:pStyle w:val="48"/>
        <w:spacing w:line="360" w:lineRule="auto"/>
        <w:rPr>
          <w:rFonts w:hint="eastAsia" w:ascii="宋体" w:hAnsi="宋体" w:cs="宋体"/>
          <w:highlight w:val="none"/>
        </w:rPr>
      </w:pPr>
      <w:r>
        <w:rPr>
          <w:rFonts w:hint="eastAsia" w:ascii="宋体" w:hAnsi="宋体" w:eastAsia="宋体" w:cs="宋体"/>
          <w:sz w:val="24"/>
          <w:highlight w:val="none"/>
          <w:lang w:val="zh-CN"/>
        </w:rPr>
        <w:br w:type="page"/>
      </w:r>
    </w:p>
    <w:p>
      <w:pPr>
        <w:pStyle w:val="6"/>
        <w:bidi w:val="0"/>
        <w:jc w:val="center"/>
        <w:rPr>
          <w:rFonts w:hint="eastAsia" w:ascii="宋体" w:hAnsi="宋体" w:eastAsia="宋体" w:cs="宋体"/>
          <w:szCs w:val="32"/>
          <w:highlight w:val="none"/>
        </w:rPr>
      </w:pPr>
      <w:bookmarkStart w:id="350" w:name="_Toc28892"/>
      <w:bookmarkStart w:id="351" w:name="_Toc8226"/>
      <w:bookmarkStart w:id="352" w:name="_Toc8563"/>
      <w:bookmarkStart w:id="353" w:name="_Toc11150"/>
      <w:bookmarkStart w:id="354" w:name="_Toc9332"/>
      <w:bookmarkStart w:id="355" w:name="_Toc21714"/>
      <w:bookmarkStart w:id="356" w:name="_Toc342554740"/>
      <w:bookmarkStart w:id="357" w:name="_Toc9723"/>
      <w:bookmarkStart w:id="358" w:name="_Toc6056"/>
      <w:r>
        <w:rPr>
          <w:rStyle w:val="43"/>
          <w:rFonts w:hint="eastAsia" w:ascii="宋体" w:hAnsi="宋体" w:eastAsia="宋体" w:cs="宋体"/>
          <w:b/>
          <w:sz w:val="32"/>
          <w:szCs w:val="16"/>
          <w:highlight w:val="none"/>
          <w:lang w:val="en-US" w:eastAsia="zh-CN"/>
        </w:rPr>
        <w:t>八</w:t>
      </w:r>
      <w:r>
        <w:rPr>
          <w:rStyle w:val="43"/>
          <w:rFonts w:hint="eastAsia" w:ascii="宋体" w:hAnsi="宋体" w:eastAsia="宋体" w:cs="宋体"/>
          <w:b/>
          <w:sz w:val="32"/>
          <w:szCs w:val="16"/>
          <w:highlight w:val="none"/>
        </w:rPr>
        <w:t>、供应商拒绝政府采购领域商业贿赂承诺书</w:t>
      </w:r>
      <w:bookmarkEnd w:id="350"/>
      <w:bookmarkEnd w:id="351"/>
      <w:bookmarkEnd w:id="352"/>
      <w:bookmarkEnd w:id="353"/>
      <w:bookmarkEnd w:id="354"/>
      <w:bookmarkEnd w:id="355"/>
      <w:bookmarkEnd w:id="356"/>
      <w:bookmarkEnd w:id="357"/>
      <w:bookmarkEnd w:id="358"/>
    </w:p>
    <w:p>
      <w:pPr>
        <w:pStyle w:val="8"/>
        <w:bidi w:val="0"/>
        <w:jc w:val="center"/>
        <w:rPr>
          <w:rFonts w:hint="eastAsia"/>
          <w:highlight w:val="none"/>
        </w:rPr>
      </w:pPr>
      <w:bookmarkStart w:id="359" w:name="_Toc24080"/>
      <w:r>
        <w:rPr>
          <w:rFonts w:hint="eastAsia"/>
          <w:highlight w:val="none"/>
        </w:rPr>
        <w:t>承诺书（一）</w:t>
      </w:r>
      <w:bookmarkEnd w:id="359"/>
    </w:p>
    <w:p>
      <w:pPr>
        <w:widowControl/>
        <w:spacing w:line="360" w:lineRule="auto"/>
        <w:ind w:firstLine="480" w:firstLineChars="2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为响应党中央、国务院关于治理政府采购领域商业贿赂行为的号召，我单位在此庄严承诺：</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1、在参与政府采购活动中遵纪守法、诚信经营、公平竞标。</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2、不向政府采购人、采购代理机构和政府采购评审专家进行任何形式的商业贿赂以谋取交易机会。</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3、不向政府采购代理机构和采购人提供虚假资质文件或采用虚假应标方式参与政府采购市场竞争并谋取中标、成交。</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4、不采取“围标、陪标”等商业欺诈手段获得政府采购定单。</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5、不采取不正当手段低毁、排挤其他供应商。</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6、不在提供商品和服务时“偷梁换柱、以次充好”损害采购人的合法权益。</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7、不与采购人、采购代理机构政府采购评审专家或其它供应商恶意串通，进行质疑和投诉，维护政府采购市场秩序。</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8、尊重和接受政府采购监督管理部门的监督和政府采购代理机构</w:t>
      </w:r>
      <w:r>
        <w:rPr>
          <w:rFonts w:hint="eastAsia" w:ascii="宋体" w:hAnsi="宋体" w:cs="宋体"/>
          <w:kern w:val="0"/>
          <w:sz w:val="24"/>
          <w:highlight w:val="none"/>
          <w:lang w:eastAsia="zh-CN"/>
        </w:rPr>
        <w:t>竞争性谈判</w:t>
      </w:r>
      <w:r>
        <w:rPr>
          <w:rFonts w:hint="eastAsia" w:ascii="宋体" w:hAnsi="宋体" w:cs="宋体"/>
          <w:kern w:val="0"/>
          <w:sz w:val="24"/>
          <w:highlight w:val="none"/>
        </w:rPr>
        <w:t>采购要求，承担因违约行为给采购人造成的损失。</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9、不发生其他有悖于政府采购公开、公平、公正和诚信原则的行为。</w:t>
      </w:r>
    </w:p>
    <w:p>
      <w:pPr>
        <w:widowControl/>
        <w:spacing w:line="360" w:lineRule="auto"/>
        <w:ind w:firstLine="720" w:firstLineChars="300"/>
        <w:jc w:val="left"/>
        <w:rPr>
          <w:rFonts w:hint="eastAsia" w:ascii="宋体" w:hAnsi="宋体" w:cs="宋体"/>
          <w:kern w:val="0"/>
          <w:sz w:val="24"/>
          <w:highlight w:val="none"/>
        </w:rPr>
      </w:pP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承诺单位：</w:t>
      </w:r>
      <w:r>
        <w:rPr>
          <w:rFonts w:hint="eastAsia" w:ascii="宋体" w:hAnsi="宋体" w:cs="宋体"/>
          <w:kern w:val="0"/>
          <w:sz w:val="24"/>
          <w:highlight w:val="none"/>
          <w:u w:val="single"/>
        </w:rPr>
        <w:t>　　                        　</w:t>
      </w:r>
      <w:r>
        <w:rPr>
          <w:rFonts w:hint="eastAsia" w:ascii="宋体" w:hAnsi="宋体" w:cs="宋体"/>
          <w:kern w:val="0"/>
          <w:sz w:val="24"/>
          <w:highlight w:val="none"/>
        </w:rPr>
        <w:t>（盖章）</w:t>
      </w: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全权代表：</w:t>
      </w:r>
      <w:r>
        <w:rPr>
          <w:rFonts w:hint="eastAsia" w:ascii="宋体" w:hAnsi="宋体" w:cs="宋体"/>
          <w:kern w:val="0"/>
          <w:sz w:val="24"/>
          <w:highlight w:val="none"/>
          <w:u w:val="single"/>
        </w:rPr>
        <w:t>　　　　　     　　　       　</w:t>
      </w:r>
      <w:r>
        <w:rPr>
          <w:rFonts w:hint="eastAsia" w:ascii="宋体" w:hAnsi="宋体" w:cs="宋体"/>
          <w:kern w:val="0"/>
          <w:sz w:val="24"/>
          <w:highlight w:val="none"/>
        </w:rPr>
        <w:t>（签字）</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地　　址：</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邮    编：</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eastAsia="宋体" w:cs="宋体"/>
          <w:kern w:val="0"/>
          <w:sz w:val="24"/>
          <w:highlight w:val="none"/>
          <w:u w:val="single"/>
          <w:lang w:eastAsia="zh-CN"/>
        </w:rPr>
      </w:pPr>
      <w:r>
        <w:rPr>
          <w:rFonts w:hint="eastAsia" w:ascii="宋体" w:hAnsi="宋体" w:cs="宋体"/>
          <w:kern w:val="0"/>
          <w:sz w:val="24"/>
          <w:highlight w:val="none"/>
        </w:rPr>
        <w:t>电　　话：</w:t>
      </w:r>
      <w:r>
        <w:rPr>
          <w:rFonts w:hint="eastAsia" w:ascii="宋体" w:hAnsi="宋体" w:cs="宋体"/>
          <w:kern w:val="0"/>
          <w:sz w:val="24"/>
          <w:highlight w:val="none"/>
          <w:u w:val="single"/>
        </w:rPr>
        <w:t>　　　                　　　　</w:t>
      </w:r>
    </w:p>
    <w:p>
      <w:pPr>
        <w:widowControl/>
        <w:spacing w:line="360" w:lineRule="auto"/>
        <w:ind w:firstLine="720" w:firstLineChars="300"/>
        <w:jc w:val="right"/>
        <w:rPr>
          <w:rFonts w:hint="eastAsia" w:ascii="宋体" w:hAnsi="宋体" w:cs="宋体"/>
          <w:kern w:val="0"/>
          <w:sz w:val="28"/>
          <w:szCs w:val="28"/>
          <w:highlight w:val="none"/>
        </w:rPr>
      </w:pPr>
      <w:r>
        <w:rPr>
          <w:rFonts w:hint="eastAsia" w:ascii="宋体" w:hAnsi="宋体" w:cs="宋体"/>
          <w:kern w:val="0"/>
          <w:sz w:val="24"/>
          <w:highlight w:val="none"/>
        </w:rPr>
        <w:t xml:space="preserve">  年</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月</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日</w:t>
      </w:r>
    </w:p>
    <w:p>
      <w:pPr>
        <w:pStyle w:val="8"/>
        <w:bidi w:val="0"/>
        <w:jc w:val="center"/>
        <w:rPr>
          <w:rFonts w:hint="eastAsia" w:ascii="宋体" w:hAnsi="宋体" w:cs="宋体"/>
          <w:b/>
          <w:sz w:val="32"/>
          <w:szCs w:val="32"/>
          <w:highlight w:val="none"/>
        </w:rPr>
      </w:pPr>
      <w:r>
        <w:rPr>
          <w:rFonts w:hint="eastAsia" w:ascii="宋体" w:hAnsi="宋体" w:cs="宋体"/>
          <w:b/>
          <w:sz w:val="32"/>
          <w:szCs w:val="32"/>
          <w:highlight w:val="none"/>
        </w:rPr>
        <w:br w:type="page"/>
      </w:r>
      <w:bookmarkStart w:id="360" w:name="_Toc11815"/>
      <w:r>
        <w:rPr>
          <w:rFonts w:hint="eastAsia" w:ascii="宋体" w:hAnsi="宋体" w:cs="宋体"/>
          <w:b/>
          <w:sz w:val="32"/>
          <w:szCs w:val="32"/>
          <w:highlight w:val="none"/>
        </w:rPr>
        <w:t>承诺书（二）</w:t>
      </w:r>
      <w:bookmarkEnd w:id="360"/>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项目的供应商，本公司承诺：在参加本项目</w:t>
            </w:r>
            <w:r>
              <w:rPr>
                <w:rFonts w:hint="eastAsia" w:ascii="宋体" w:hAnsi="宋体" w:cs="宋体"/>
                <w:sz w:val="24"/>
                <w:highlight w:val="none"/>
                <w:lang w:eastAsia="zh-CN"/>
              </w:rPr>
              <w:t>竞争性谈判</w:t>
            </w:r>
            <w:r>
              <w:rPr>
                <w:rFonts w:hint="eastAsia" w:ascii="宋体" w:hAnsi="宋体" w:cs="宋体"/>
                <w:sz w:val="24"/>
                <w:highlight w:val="none"/>
              </w:rPr>
              <w:t>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 xml:space="preserve"> 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8"/>
        <w:bidi w:val="0"/>
        <w:jc w:val="center"/>
        <w:rPr>
          <w:rFonts w:hint="eastAsia"/>
          <w:highlight w:val="none"/>
        </w:rPr>
      </w:pPr>
      <w:bookmarkStart w:id="361" w:name="_Toc14260"/>
      <w:r>
        <w:rPr>
          <w:rFonts w:hint="eastAsia"/>
          <w:highlight w:val="none"/>
        </w:rPr>
        <w:t>承诺书（三）</w:t>
      </w:r>
      <w:bookmarkEnd w:id="361"/>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项目的供应商，本公司郑重申告并承诺：近三年受到有关行政主管部门的行政处理、不良行为记录为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spacing w:line="360" w:lineRule="auto"/>
        <w:jc w:val="center"/>
        <w:rPr>
          <w:rFonts w:hint="eastAsia" w:ascii="宋体" w:hAnsi="宋体" w:cs="宋体"/>
          <w:b/>
          <w:sz w:val="32"/>
          <w:szCs w:val="32"/>
          <w:highlight w:val="none"/>
        </w:rPr>
      </w:pPr>
    </w:p>
    <w:p>
      <w:pPr>
        <w:pStyle w:val="8"/>
        <w:bidi w:val="0"/>
        <w:jc w:val="center"/>
        <w:rPr>
          <w:rFonts w:hint="eastAsia"/>
          <w:highlight w:val="none"/>
        </w:rPr>
      </w:pPr>
      <w:bookmarkStart w:id="362" w:name="_Toc10052"/>
      <w:r>
        <w:rPr>
          <w:rFonts w:hint="eastAsia"/>
          <w:highlight w:val="none"/>
        </w:rPr>
        <w:t>承诺书（四）</w:t>
      </w:r>
      <w:bookmarkEnd w:id="362"/>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项目的供应商，本公司郑重申告：近三年因产品供货问题（水货、替代品、次品、翻新品等）的不法行为记录为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本公司承诺：本次</w:t>
            </w:r>
            <w:r>
              <w:rPr>
                <w:rFonts w:hint="eastAsia" w:ascii="宋体" w:hAnsi="宋体" w:cs="宋体"/>
                <w:sz w:val="24"/>
                <w:highlight w:val="none"/>
                <w:lang w:eastAsia="zh-CN"/>
              </w:rPr>
              <w:t>竞争性谈判</w:t>
            </w:r>
            <w:r>
              <w:rPr>
                <w:rFonts w:hint="eastAsia" w:ascii="宋体" w:hAnsi="宋体" w:cs="宋体"/>
                <w:sz w:val="24"/>
                <w:highlight w:val="none"/>
              </w:rPr>
              <w:t>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8"/>
        <w:bidi w:val="0"/>
        <w:jc w:val="center"/>
        <w:rPr>
          <w:rFonts w:hint="eastAsia"/>
          <w:highlight w:val="none"/>
        </w:rPr>
      </w:pPr>
      <w:bookmarkStart w:id="363" w:name="_Toc1756"/>
      <w:r>
        <w:rPr>
          <w:rFonts w:hint="eastAsia"/>
          <w:highlight w:val="none"/>
        </w:rPr>
        <w:t>承诺书（五）</w:t>
      </w:r>
      <w:bookmarkEnd w:id="363"/>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项目的供应商，本公司承诺：参加本次</w:t>
            </w:r>
            <w:r>
              <w:rPr>
                <w:rFonts w:hint="eastAsia" w:ascii="宋体" w:hAnsi="宋体" w:cs="宋体"/>
                <w:sz w:val="24"/>
                <w:highlight w:val="none"/>
                <w:lang w:eastAsia="zh-CN"/>
              </w:rPr>
              <w:t>竞争性谈判</w:t>
            </w:r>
            <w:r>
              <w:rPr>
                <w:rFonts w:hint="eastAsia" w:ascii="宋体" w:hAnsi="宋体" w:cs="宋体"/>
                <w:sz w:val="24"/>
                <w:highlight w:val="none"/>
              </w:rPr>
              <w:t>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autoSpaceDE w:val="0"/>
        <w:autoSpaceDN w:val="0"/>
        <w:adjustRightInd w:val="0"/>
        <w:spacing w:line="360" w:lineRule="auto"/>
        <w:rPr>
          <w:rFonts w:hint="eastAsia" w:ascii="宋体" w:hAnsi="宋体" w:cs="宋体"/>
          <w:highlight w:val="none"/>
        </w:rPr>
        <w:sectPr>
          <w:footerReference r:id="rId4" w:type="default"/>
          <w:pgSz w:w="11906" w:h="16838"/>
          <w:pgMar w:top="1440" w:right="1080" w:bottom="1440" w:left="1080" w:header="851" w:footer="992" w:gutter="0"/>
          <w:pgNumType w:fmt="decimal" w:start="1"/>
          <w:cols w:space="720" w:num="1"/>
          <w:docGrid w:type="lines" w:linePitch="312" w:charSpace="0"/>
        </w:sectPr>
      </w:pPr>
    </w:p>
    <w:p>
      <w:pPr>
        <w:pStyle w:val="6"/>
        <w:spacing w:before="0" w:after="0" w:line="360" w:lineRule="auto"/>
        <w:jc w:val="center"/>
        <w:rPr>
          <w:rFonts w:hint="eastAsia" w:ascii="宋体" w:hAnsi="宋体" w:eastAsia="宋体" w:cs="宋体"/>
          <w:highlight w:val="none"/>
          <w:u w:val="single"/>
        </w:rPr>
      </w:pPr>
      <w:bookmarkStart w:id="364" w:name="_Toc28921"/>
      <w:bookmarkStart w:id="365" w:name="_Toc30564"/>
      <w:bookmarkStart w:id="366" w:name="_Toc12167"/>
      <w:bookmarkStart w:id="367" w:name="_Toc22665"/>
      <w:bookmarkStart w:id="368" w:name="_Toc224"/>
      <w:bookmarkStart w:id="369" w:name="_Toc28693"/>
      <w:bookmarkStart w:id="370" w:name="_Toc9324"/>
      <w:bookmarkStart w:id="371" w:name="_Toc5255"/>
      <w:bookmarkStart w:id="372" w:name="_Toc23940"/>
      <w:bookmarkStart w:id="373" w:name="_Toc2656"/>
      <w:r>
        <w:rPr>
          <w:rFonts w:hint="eastAsia" w:ascii="宋体" w:hAnsi="宋体" w:eastAsia="宋体" w:cs="宋体"/>
          <w:highlight w:val="none"/>
          <w:lang w:val="en-US" w:eastAsia="zh-CN"/>
        </w:rPr>
        <w:t>九</w:t>
      </w:r>
      <w:r>
        <w:rPr>
          <w:rFonts w:hint="eastAsia" w:ascii="宋体" w:hAnsi="宋体" w:eastAsia="宋体" w:cs="宋体"/>
          <w:highlight w:val="none"/>
        </w:rPr>
        <w:t>、</w:t>
      </w:r>
      <w:bookmarkEnd w:id="343"/>
      <w:bookmarkEnd w:id="364"/>
      <w:bookmarkEnd w:id="365"/>
      <w:bookmarkEnd w:id="366"/>
      <w:bookmarkEnd w:id="367"/>
      <w:r>
        <w:rPr>
          <w:rFonts w:hint="eastAsia" w:ascii="宋体" w:hAnsi="宋体" w:eastAsia="宋体" w:cs="宋体"/>
          <w:highlight w:val="none"/>
        </w:rPr>
        <w:t>服务承诺</w:t>
      </w:r>
      <w:bookmarkEnd w:id="368"/>
      <w:bookmarkEnd w:id="369"/>
      <w:bookmarkEnd w:id="370"/>
      <w:bookmarkEnd w:id="371"/>
      <w:bookmarkEnd w:id="372"/>
      <w:bookmarkEnd w:id="373"/>
    </w:p>
    <w:p>
      <w:pPr>
        <w:spacing w:line="360" w:lineRule="auto"/>
        <w:rPr>
          <w:rFonts w:hint="eastAsia" w:ascii="宋体" w:hAnsi="宋体" w:cs="宋体"/>
          <w:highlight w:val="none"/>
        </w:rPr>
      </w:pPr>
      <w:r>
        <w:rPr>
          <w:rFonts w:hint="eastAsia" w:ascii="宋体" w:hAnsi="宋体" w:cs="宋体"/>
          <w:sz w:val="24"/>
          <w:szCs w:val="24"/>
          <w:highlight w:val="none"/>
        </w:rPr>
        <w:t>致：</w:t>
      </w:r>
      <w:r>
        <w:rPr>
          <w:rFonts w:hint="eastAsia" w:ascii="宋体" w:hAnsi="宋体" w:cs="宋体"/>
          <w:sz w:val="24"/>
          <w:highlight w:val="none"/>
          <w:u w:val="single"/>
        </w:rPr>
        <w:t xml:space="preserve">    （采购人）    </w:t>
      </w:r>
    </w:p>
    <w:p>
      <w:pPr>
        <w:spacing w:line="360" w:lineRule="auto"/>
        <w:ind w:firstLine="480" w:firstLineChars="200"/>
        <w:rPr>
          <w:rFonts w:hint="eastAsia" w:ascii="宋体" w:hAnsi="宋体" w:cs="宋体"/>
          <w:sz w:val="24"/>
          <w:highlight w:val="none"/>
        </w:rPr>
      </w:pPr>
      <w:bookmarkStart w:id="374" w:name="_Toc86547257"/>
      <w:bookmarkStart w:id="375" w:name="_Toc86117413"/>
      <w:r>
        <w:rPr>
          <w:rFonts w:hint="eastAsia" w:ascii="宋体" w:hAnsi="宋体" w:cs="宋体"/>
          <w:sz w:val="24"/>
          <w:highlight w:val="none"/>
        </w:rPr>
        <w:t>我公司对参加此次“</w:t>
      </w:r>
      <w:r>
        <w:rPr>
          <w:rFonts w:hint="eastAsia" w:ascii="宋体" w:hAnsi="宋体" w:cs="宋体"/>
          <w:sz w:val="24"/>
          <w:highlight w:val="none"/>
          <w:u w:val="single"/>
        </w:rPr>
        <w:t xml:space="preserve">                                  </w:t>
      </w:r>
      <w:r>
        <w:rPr>
          <w:rFonts w:hint="eastAsia" w:ascii="宋体" w:hAnsi="宋体" w:cs="宋体"/>
          <w:sz w:val="24"/>
          <w:highlight w:val="none"/>
        </w:rPr>
        <w:t>项目”所提供的服务做如下承诺：</w:t>
      </w:r>
      <w:bookmarkEnd w:id="374"/>
      <w:bookmarkEnd w:id="375"/>
    </w:p>
    <w:p>
      <w:pPr>
        <w:spacing w:line="360" w:lineRule="auto"/>
        <w:rPr>
          <w:rFonts w:hint="eastAsia" w:ascii="宋体" w:hAnsi="宋体" w:cs="宋体"/>
          <w:highlight w:val="none"/>
        </w:rPr>
      </w:pPr>
      <w:bookmarkStart w:id="376" w:name="_Toc86117414"/>
      <w:bookmarkStart w:id="377" w:name="_Toc86547258"/>
      <w:r>
        <w:rPr>
          <w:rFonts w:hint="eastAsia" w:ascii="宋体" w:hAnsi="宋体" w:cs="宋体"/>
          <w:sz w:val="24"/>
          <w:highlight w:val="none"/>
        </w:rPr>
        <w:t>（承诺内容）</w:t>
      </w:r>
      <w:bookmarkEnd w:id="376"/>
      <w:bookmarkEnd w:id="377"/>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jc w:val="right"/>
        <w:rPr>
          <w:rFonts w:hint="eastAsia" w:ascii="宋体" w:hAnsi="宋体" w:cs="宋体"/>
          <w:sz w:val="24"/>
          <w:highlight w:val="none"/>
        </w:rPr>
      </w:pPr>
    </w:p>
    <w:p>
      <w:pPr>
        <w:rPr>
          <w:rFonts w:hint="eastAsia" w:ascii="宋体" w:hAnsi="宋体" w:cs="宋体"/>
          <w:sz w:val="32"/>
          <w:szCs w:val="16"/>
          <w:highlight w:val="none"/>
          <w:lang w:val="en-US" w:eastAsia="zh-CN"/>
        </w:rPr>
      </w:pPr>
      <w:bookmarkStart w:id="378" w:name="_Toc9630"/>
      <w:bookmarkStart w:id="379" w:name="_Toc6737"/>
      <w:bookmarkStart w:id="380" w:name="_Toc6475"/>
      <w:bookmarkStart w:id="381" w:name="_Toc3173"/>
      <w:bookmarkStart w:id="382" w:name="_Toc1084"/>
      <w:bookmarkStart w:id="383" w:name="_Toc5582"/>
      <w:r>
        <w:rPr>
          <w:rFonts w:hint="eastAsia" w:ascii="宋体" w:hAnsi="宋体" w:cs="宋体"/>
          <w:sz w:val="32"/>
          <w:szCs w:val="16"/>
          <w:highlight w:val="none"/>
          <w:lang w:val="en-US" w:eastAsia="zh-CN"/>
        </w:rPr>
        <w:br w:type="page"/>
      </w:r>
    </w:p>
    <w:bookmarkEnd w:id="378"/>
    <w:bookmarkEnd w:id="379"/>
    <w:bookmarkEnd w:id="380"/>
    <w:bookmarkEnd w:id="381"/>
    <w:bookmarkEnd w:id="382"/>
    <w:bookmarkEnd w:id="383"/>
    <w:p>
      <w:pPr>
        <w:pStyle w:val="6"/>
        <w:spacing w:before="0" w:after="0" w:line="360" w:lineRule="auto"/>
        <w:jc w:val="center"/>
        <w:rPr>
          <w:rFonts w:hint="eastAsia" w:ascii="宋体" w:hAnsi="宋体" w:eastAsia="宋体" w:cs="宋体"/>
          <w:highlight w:val="none"/>
        </w:rPr>
      </w:pPr>
      <w:bookmarkStart w:id="384" w:name="_Toc293"/>
      <w:bookmarkStart w:id="385" w:name="_Toc10386"/>
      <w:r>
        <w:rPr>
          <w:rFonts w:hint="eastAsia" w:ascii="宋体" w:hAnsi="宋体" w:eastAsia="宋体" w:cs="宋体"/>
          <w:highlight w:val="none"/>
          <w:lang w:val="en-US" w:eastAsia="zh-CN"/>
        </w:rPr>
        <w:t>十</w:t>
      </w:r>
      <w:r>
        <w:rPr>
          <w:rFonts w:hint="eastAsia" w:ascii="宋体" w:hAnsi="宋体" w:eastAsia="宋体" w:cs="宋体"/>
          <w:highlight w:val="none"/>
        </w:rPr>
        <w:t xml:space="preserve"> 供应商性质</w:t>
      </w:r>
      <w:bookmarkEnd w:id="384"/>
      <w:bookmarkEnd w:id="385"/>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cs="宋体"/>
          <w:snapToGrid w:val="0"/>
          <w:color w:val="auto"/>
          <w:kern w:val="0"/>
          <w:sz w:val="24"/>
          <w:szCs w:val="24"/>
          <w:highlight w:val="none"/>
          <w:lang w:eastAsia="zh-CN"/>
        </w:rPr>
        <w:t>供应商</w:t>
      </w:r>
      <w:r>
        <w:rPr>
          <w:rFonts w:hint="eastAsia" w:ascii="宋体" w:hAnsi="宋体" w:eastAsia="宋体" w:cs="宋体"/>
          <w:snapToGrid w:val="0"/>
          <w:color w:val="auto"/>
          <w:kern w:val="0"/>
          <w:sz w:val="24"/>
          <w:szCs w:val="24"/>
          <w:highlight w:val="none"/>
        </w:rPr>
        <w:t>为小</w:t>
      </w:r>
      <w:r>
        <w:rPr>
          <w:rFonts w:hint="eastAsia" w:ascii="宋体" w:hAnsi="宋体" w:eastAsia="宋体" w:cs="宋体"/>
          <w:snapToGrid w:val="0"/>
          <w:color w:val="auto"/>
          <w:kern w:val="0"/>
          <w:sz w:val="24"/>
          <w:szCs w:val="24"/>
          <w:highlight w:val="none"/>
          <w:lang w:val="en-US" w:eastAsia="zh-CN"/>
        </w:rPr>
        <w:t>微</w:t>
      </w:r>
      <w:r>
        <w:rPr>
          <w:rFonts w:hint="eastAsia" w:ascii="宋体" w:hAnsi="宋体" w:eastAsia="宋体" w:cs="宋体"/>
          <w:snapToGrid w:val="0"/>
          <w:color w:val="auto"/>
          <w:kern w:val="0"/>
          <w:sz w:val="24"/>
          <w:szCs w:val="24"/>
          <w:highlight w:val="none"/>
        </w:rPr>
        <w:t>企业或残疾人福利性单位的，应按下文给定格式填写声明函。未提供或未按给定格式提供声明函的，将不能享受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cs="宋体"/>
          <w:snapToGrid w:val="0"/>
          <w:color w:val="auto"/>
          <w:kern w:val="0"/>
          <w:sz w:val="24"/>
          <w:szCs w:val="24"/>
          <w:highlight w:val="none"/>
          <w:lang w:eastAsia="zh-CN"/>
        </w:rPr>
        <w:t>供应商</w:t>
      </w:r>
      <w:r>
        <w:rPr>
          <w:rFonts w:hint="eastAsia" w:ascii="宋体" w:hAnsi="宋体" w:eastAsia="宋体" w:cs="宋体"/>
          <w:snapToGrid w:val="0"/>
          <w:color w:val="auto"/>
          <w:kern w:val="0"/>
          <w:sz w:val="24"/>
          <w:szCs w:val="24"/>
          <w:highlight w:val="none"/>
        </w:rPr>
        <w:t>为监狱企业的，应当提供由省级以上监狱管理局、戒毒管理局（含新疆生产建设兵团）出具的属于监狱企业的证明函（格式不限定）。未提供证明函的，将不能享受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b/>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特别提醒：仅当服务商属于小微企业、或残疾人福利性单位、或监狱企业时才需填写相应的声明函/证明函，否则应当将其留空。</w:t>
      </w:r>
      <w:r>
        <w:rPr>
          <w:rFonts w:hint="eastAsia" w:ascii="宋体" w:hAnsi="宋体" w:cs="宋体"/>
          <w:snapToGrid w:val="0"/>
          <w:color w:val="auto"/>
          <w:kern w:val="0"/>
          <w:sz w:val="24"/>
          <w:szCs w:val="24"/>
          <w:highlight w:val="none"/>
          <w:lang w:eastAsia="zh-CN"/>
        </w:rPr>
        <w:t>供应商</w:t>
      </w:r>
      <w:r>
        <w:rPr>
          <w:rFonts w:hint="eastAsia" w:ascii="宋体" w:hAnsi="宋体" w:eastAsia="宋体" w:cs="宋体"/>
          <w:snapToGrid w:val="0"/>
          <w:color w:val="auto"/>
          <w:kern w:val="0"/>
          <w:sz w:val="24"/>
          <w:szCs w:val="24"/>
          <w:highlight w:val="none"/>
        </w:rPr>
        <w:t>性质将随成交公告一同公布，接受社会监督。</w:t>
      </w:r>
    </w:p>
    <w:p>
      <w:pPr>
        <w:rPr>
          <w:rFonts w:hint="eastAsia"/>
          <w:highlight w:val="none"/>
          <w:lang w:val="en-US" w:eastAsia="zh-CN"/>
        </w:rPr>
      </w:pPr>
      <w:r>
        <w:rPr>
          <w:rFonts w:hint="eastAsia"/>
          <w:highlight w:val="none"/>
          <w:lang w:val="en-US" w:eastAsia="zh-CN"/>
        </w:rPr>
        <w:br w:type="page"/>
      </w:r>
    </w:p>
    <w:p>
      <w:pPr>
        <w:pStyle w:val="8"/>
        <w:bidi w:val="0"/>
        <w:rPr>
          <w:rFonts w:hint="eastAsia"/>
          <w:highlight w:val="none"/>
        </w:rPr>
      </w:pPr>
      <w:bookmarkStart w:id="386" w:name="_Toc20590"/>
      <w:bookmarkStart w:id="387" w:name="_Toc28759"/>
      <w:bookmarkStart w:id="388" w:name="_Toc32544"/>
      <w:bookmarkStart w:id="389" w:name="_Toc849"/>
      <w:bookmarkStart w:id="390" w:name="_Toc12971"/>
      <w:bookmarkStart w:id="391" w:name="_Toc11662"/>
      <w:bookmarkStart w:id="392" w:name="_Toc11553"/>
      <w:bookmarkStart w:id="393" w:name="_Toc12991"/>
      <w:bookmarkStart w:id="394" w:name="_Toc17432"/>
      <w:bookmarkStart w:id="395" w:name="_Toc19311"/>
      <w:r>
        <w:rPr>
          <w:rFonts w:hint="eastAsia"/>
          <w:highlight w:val="none"/>
        </w:rPr>
        <w:t>附件1</w:t>
      </w:r>
      <w:r>
        <w:rPr>
          <w:rFonts w:hint="eastAsia"/>
          <w:highlight w:val="none"/>
          <w:lang w:eastAsia="zh-CN"/>
        </w:rPr>
        <w:t>：</w:t>
      </w:r>
      <w:bookmarkEnd w:id="386"/>
      <w:bookmarkEnd w:id="387"/>
      <w:bookmarkEnd w:id="388"/>
      <w:bookmarkEnd w:id="389"/>
      <w:bookmarkEnd w:id="390"/>
      <w:bookmarkEnd w:id="391"/>
      <w:bookmarkEnd w:id="392"/>
      <w:bookmarkEnd w:id="393"/>
      <w:bookmarkEnd w:id="394"/>
      <w:r>
        <w:rPr>
          <w:rFonts w:hint="eastAsia"/>
          <w:highlight w:val="none"/>
          <w:lang w:eastAsia="zh-CN"/>
        </w:rPr>
        <w:t>中小企业声明函</w:t>
      </w:r>
      <w:bookmarkEnd w:id="395"/>
    </w:p>
    <w:p>
      <w:pPr>
        <w:bidi w:val="0"/>
        <w:spacing w:line="360" w:lineRule="auto"/>
        <w:jc w:val="center"/>
        <w:rPr>
          <w:b/>
          <w:bCs/>
          <w:sz w:val="36"/>
          <w:szCs w:val="36"/>
          <w:highlight w:val="none"/>
        </w:rPr>
      </w:pPr>
      <w:bookmarkStart w:id="396" w:name="_Toc17757"/>
      <w:bookmarkStart w:id="397" w:name="_Toc24987"/>
      <w:r>
        <w:rPr>
          <w:b/>
          <w:bCs/>
          <w:sz w:val="36"/>
          <w:szCs w:val="36"/>
          <w:highlight w:val="none"/>
        </w:rPr>
        <w:t>中小企业声明函</w:t>
      </w:r>
      <w:bookmarkEnd w:id="396"/>
      <w:bookmarkEnd w:id="397"/>
    </w:p>
    <w:p>
      <w:pPr>
        <w:pStyle w:val="2"/>
        <w:keepNext w:val="0"/>
        <w:keepLines w:val="0"/>
        <w:pageBreakBefore w:val="0"/>
        <w:widowControl w:val="0"/>
        <w:kinsoku/>
        <w:wordWrap/>
        <w:overflowPunct/>
        <w:topLinePunct w:val="0"/>
        <w:autoSpaceDE w:val="0"/>
        <w:autoSpaceDN w:val="0"/>
        <w:bidi w:val="0"/>
        <w:adjustRightInd/>
        <w:snapToGrid/>
        <w:spacing w:beforeAutospacing="0" w:line="360" w:lineRule="auto"/>
        <w:ind w:left="0" w:right="0" w:firstLine="640"/>
        <w:jc w:val="both"/>
        <w:textAlignment w:val="auto"/>
        <w:rPr>
          <w:rFonts w:eastAsia="宋体"/>
          <w:i w:val="0"/>
          <w:iCs w:val="0"/>
          <w:spacing w:val="0"/>
          <w:sz w:val="24"/>
          <w:szCs w:val="24"/>
          <w:highlight w:val="none"/>
        </w:rPr>
      </w:pPr>
      <w:r>
        <w:rPr>
          <w:rFonts w:eastAsia="宋体"/>
          <w:i w:val="0"/>
          <w:iCs w:val="0"/>
          <w:spacing w:val="0"/>
          <w:sz w:val="24"/>
          <w:szCs w:val="24"/>
          <w:highlight w:val="none"/>
        </w:rPr>
        <w:t>本公司（联合体）郑重声明，根据《政府采购促进中小企业发展管理办法》（财库</w:t>
      </w:r>
      <w:r>
        <w:rPr>
          <w:rFonts w:hint="eastAsia" w:ascii="宋体" w:eastAsia="宋体"/>
          <w:i w:val="0"/>
          <w:iCs w:val="0"/>
          <w:spacing w:val="0"/>
          <w:sz w:val="24"/>
          <w:szCs w:val="24"/>
          <w:highlight w:val="none"/>
        </w:rPr>
        <w:t>﹝</w:t>
      </w:r>
      <w:r>
        <w:rPr>
          <w:rFonts w:eastAsia="宋体"/>
          <w:i w:val="0"/>
          <w:iCs w:val="0"/>
          <w:spacing w:val="0"/>
          <w:sz w:val="24"/>
          <w:szCs w:val="24"/>
          <w:highlight w:val="none"/>
        </w:rPr>
        <w:t>2020</w:t>
      </w:r>
      <w:r>
        <w:rPr>
          <w:rFonts w:hint="eastAsia" w:ascii="宋体" w:eastAsia="宋体"/>
          <w:i w:val="0"/>
          <w:iCs w:val="0"/>
          <w:spacing w:val="0"/>
          <w:sz w:val="24"/>
          <w:szCs w:val="24"/>
          <w:highlight w:val="none"/>
        </w:rPr>
        <w:t>﹞</w:t>
      </w:r>
      <w:r>
        <w:rPr>
          <w:rFonts w:eastAsia="宋体"/>
          <w:i w:val="0"/>
          <w:iCs w:val="0"/>
          <w:spacing w:val="0"/>
          <w:sz w:val="24"/>
          <w:szCs w:val="24"/>
          <w:highlight w:val="none"/>
        </w:rPr>
        <w:t>46号）的规定，本公司（联合体）参加</w:t>
      </w:r>
      <w:r>
        <w:rPr>
          <w:rFonts w:eastAsia="宋体"/>
          <w:i w:val="0"/>
          <w:iCs w:val="0"/>
          <w:spacing w:val="0"/>
          <w:sz w:val="24"/>
          <w:szCs w:val="24"/>
          <w:highlight w:val="none"/>
          <w:u w:val="single"/>
        </w:rPr>
        <w:t>（单位名称）</w:t>
      </w:r>
      <w:r>
        <w:rPr>
          <w:rFonts w:eastAsia="宋体"/>
          <w:i w:val="0"/>
          <w:iCs w:val="0"/>
          <w:spacing w:val="0"/>
          <w:sz w:val="24"/>
          <w:szCs w:val="24"/>
          <w:highlight w:val="none"/>
        </w:rPr>
        <w:t>的</w:t>
      </w:r>
      <w:r>
        <w:rPr>
          <w:rFonts w:eastAsia="宋体"/>
          <w:i w:val="0"/>
          <w:iCs w:val="0"/>
          <w:spacing w:val="0"/>
          <w:sz w:val="24"/>
          <w:szCs w:val="24"/>
          <w:highlight w:val="none"/>
          <w:u w:val="single"/>
        </w:rPr>
        <w:t>（项目名称）</w:t>
      </w:r>
      <w:r>
        <w:rPr>
          <w:rFonts w:eastAsia="宋体"/>
          <w:i w:val="0"/>
          <w:iCs w:val="0"/>
          <w:spacing w:val="0"/>
          <w:sz w:val="24"/>
          <w:szCs w:val="24"/>
          <w:highlight w:val="none"/>
        </w:rPr>
        <w:t>采购活动，服务全部由符合政策要求的中小企业承接。相关企业（含联合体中的中小企业、签订分包意向协议的中小企业）的具体情况如下：</w:t>
      </w:r>
    </w:p>
    <w:p>
      <w:pPr>
        <w:pStyle w:val="2"/>
        <w:keepNext w:val="0"/>
        <w:keepLines w:val="0"/>
        <w:pageBreakBefore w:val="0"/>
        <w:widowControl w:val="0"/>
        <w:numPr>
          <w:ilvl w:val="0"/>
          <w:numId w:val="7"/>
        </w:numPr>
        <w:kinsoku/>
        <w:wordWrap/>
        <w:overflowPunct/>
        <w:topLinePunct w:val="0"/>
        <w:autoSpaceDE w:val="0"/>
        <w:autoSpaceDN w:val="0"/>
        <w:bidi w:val="0"/>
        <w:adjustRightInd/>
        <w:snapToGrid/>
        <w:spacing w:beforeAutospacing="0" w:line="360" w:lineRule="auto"/>
        <w:ind w:left="0" w:right="0" w:firstLine="640"/>
        <w:jc w:val="both"/>
        <w:textAlignment w:val="auto"/>
        <w:rPr>
          <w:rFonts w:eastAsia="宋体"/>
          <w:i w:val="0"/>
          <w:iCs w:val="0"/>
          <w:spacing w:val="0"/>
          <w:w w:val="99"/>
          <w:sz w:val="24"/>
          <w:szCs w:val="24"/>
          <w:highlight w:val="none"/>
        </w:rPr>
      </w:pPr>
      <w:r>
        <w:rPr>
          <w:rFonts w:eastAsia="宋体"/>
          <w:i w:val="0"/>
          <w:iCs w:val="0"/>
          <w:spacing w:val="0"/>
          <w:w w:val="96"/>
          <w:sz w:val="24"/>
          <w:szCs w:val="24"/>
          <w:highlight w:val="none"/>
          <w:u w:val="single"/>
        </w:rPr>
        <w:t>（标的名称）</w:t>
      </w:r>
      <w:r>
        <w:rPr>
          <w:rFonts w:eastAsia="宋体"/>
          <w:i w:val="0"/>
          <w:iCs w:val="0"/>
          <w:spacing w:val="0"/>
          <w:w w:val="99"/>
          <w:sz w:val="24"/>
          <w:szCs w:val="24"/>
          <w:highlight w:val="none"/>
          <w:u w:val="none"/>
        </w:rPr>
        <w:t>，</w:t>
      </w:r>
      <w:r>
        <w:rPr>
          <w:rFonts w:ascii="仿宋" w:hAnsi="仿宋" w:eastAsia="宋体" w:cs="仿宋"/>
          <w:i w:val="0"/>
          <w:iCs w:val="0"/>
          <w:spacing w:val="0"/>
          <w:sz w:val="24"/>
          <w:szCs w:val="24"/>
          <w:highlight w:val="none"/>
          <w:u w:val="none"/>
          <w:lang w:val="zh-CN" w:eastAsia="zh-CN" w:bidi="zh-CN"/>
        </w:rPr>
        <w:t>属于</w:t>
      </w:r>
      <w:r>
        <w:rPr>
          <w:rFonts w:eastAsia="宋体"/>
          <w:i w:val="0"/>
          <w:iCs w:val="0"/>
          <w:spacing w:val="0"/>
          <w:w w:val="96"/>
          <w:sz w:val="24"/>
          <w:szCs w:val="24"/>
          <w:highlight w:val="none"/>
          <w:u w:val="none"/>
        </w:rPr>
        <w:t>（</w:t>
      </w:r>
      <w:r>
        <w:rPr>
          <w:rFonts w:eastAsia="宋体"/>
          <w:i w:val="0"/>
          <w:iCs w:val="0"/>
          <w:spacing w:val="0"/>
          <w:w w:val="96"/>
          <w:sz w:val="24"/>
          <w:szCs w:val="24"/>
          <w:highlight w:val="none"/>
          <w:u w:val="single"/>
        </w:rPr>
        <w:t>采购文件中明确的所属行业）</w:t>
      </w:r>
      <w:r>
        <w:rPr>
          <w:rFonts w:eastAsia="宋体"/>
          <w:i w:val="0"/>
          <w:iCs w:val="0"/>
          <w:spacing w:val="0"/>
          <w:w w:val="99"/>
          <w:sz w:val="24"/>
          <w:szCs w:val="24"/>
          <w:highlight w:val="none"/>
          <w:u w:val="none"/>
        </w:rPr>
        <w:t>；</w:t>
      </w:r>
      <w:r>
        <w:rPr>
          <w:rFonts w:eastAsia="宋体"/>
          <w:i w:val="0"/>
          <w:iCs w:val="0"/>
          <w:spacing w:val="0"/>
          <w:w w:val="99"/>
          <w:sz w:val="24"/>
          <w:szCs w:val="24"/>
          <w:highlight w:val="none"/>
        </w:rPr>
        <w:t>承建（承接）企业为</w:t>
      </w:r>
      <w:r>
        <w:rPr>
          <w:rFonts w:eastAsia="宋体"/>
          <w:i w:val="0"/>
          <w:iCs w:val="0"/>
          <w:spacing w:val="0"/>
          <w:w w:val="96"/>
          <w:sz w:val="24"/>
          <w:szCs w:val="24"/>
          <w:highlight w:val="none"/>
          <w:u w:val="single"/>
        </w:rPr>
        <w:t>（企业名称）</w:t>
      </w:r>
      <w:r>
        <w:rPr>
          <w:rFonts w:eastAsia="宋体"/>
          <w:i w:val="0"/>
          <w:iCs w:val="0"/>
          <w:spacing w:val="0"/>
          <w:w w:val="99"/>
          <w:sz w:val="24"/>
          <w:szCs w:val="24"/>
          <w:highlight w:val="none"/>
        </w:rPr>
        <w:t>，从业人员</w:t>
      </w:r>
      <w:r>
        <w:rPr>
          <w:rFonts w:ascii="Times New Roman" w:eastAsia="宋体"/>
          <w:i w:val="0"/>
          <w:iCs w:val="0"/>
          <w:spacing w:val="0"/>
          <w:w w:val="99"/>
          <w:sz w:val="24"/>
          <w:szCs w:val="24"/>
          <w:highlight w:val="none"/>
          <w:u w:val="single"/>
        </w:rPr>
        <w:t xml:space="preserve"> </w:t>
      </w:r>
      <w:r>
        <w:rPr>
          <w:rFonts w:hint="eastAsia"/>
          <w:i w:val="0"/>
          <w:iCs w:val="0"/>
          <w:spacing w:val="0"/>
          <w:w w:val="99"/>
          <w:sz w:val="24"/>
          <w:szCs w:val="24"/>
          <w:highlight w:val="none"/>
          <w:u w:val="single"/>
          <w:lang w:val="en-US" w:eastAsia="zh-CN"/>
        </w:rPr>
        <w:t xml:space="preserve">   </w:t>
      </w:r>
      <w:r>
        <w:rPr>
          <w:rFonts w:eastAsia="宋体"/>
          <w:i w:val="0"/>
          <w:iCs w:val="0"/>
          <w:spacing w:val="0"/>
          <w:w w:val="99"/>
          <w:sz w:val="24"/>
          <w:szCs w:val="24"/>
          <w:highlight w:val="none"/>
        </w:rPr>
        <w:t>人，</w:t>
      </w:r>
      <w:r>
        <w:rPr>
          <w:rFonts w:eastAsia="宋体"/>
          <w:i w:val="0"/>
          <w:iCs w:val="0"/>
          <w:spacing w:val="0"/>
          <w:sz w:val="24"/>
          <w:szCs w:val="24"/>
          <w:highlight w:val="none"/>
          <w:u w:val="none"/>
        </w:rPr>
        <w:t>营业</w:t>
      </w:r>
      <w:r>
        <w:rPr>
          <w:rFonts w:eastAsia="宋体"/>
          <w:i w:val="0"/>
          <w:iCs w:val="0"/>
          <w:spacing w:val="0"/>
          <w:sz w:val="24"/>
          <w:szCs w:val="24"/>
          <w:highlight w:val="none"/>
        </w:rPr>
        <w:t>收入为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rPr>
        <w:t>万元，资产总额为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rPr>
        <w:t>万元，属于</w:t>
      </w:r>
      <w:r>
        <w:rPr>
          <w:rFonts w:eastAsia="宋体"/>
          <w:i w:val="0"/>
          <w:iCs w:val="0"/>
          <w:spacing w:val="0"/>
          <w:sz w:val="24"/>
          <w:szCs w:val="24"/>
          <w:highlight w:val="none"/>
          <w:u w:val="single"/>
        </w:rPr>
        <w:t>（中型企业、</w:t>
      </w:r>
      <w:r>
        <w:rPr>
          <w:rFonts w:eastAsia="宋体"/>
          <w:i w:val="0"/>
          <w:iCs w:val="0"/>
          <w:spacing w:val="0"/>
          <w:w w:val="96"/>
          <w:sz w:val="24"/>
          <w:szCs w:val="24"/>
          <w:highlight w:val="none"/>
          <w:u w:val="single"/>
        </w:rPr>
        <w:t>小型企业、微型企业）</w:t>
      </w:r>
      <w:r>
        <w:rPr>
          <w:rFonts w:eastAsia="宋体"/>
          <w:i w:val="0"/>
          <w:iCs w:val="0"/>
          <w:spacing w:val="0"/>
          <w:w w:val="99"/>
          <w:sz w:val="24"/>
          <w:szCs w:val="24"/>
          <w:highlight w:val="none"/>
        </w:rPr>
        <w:t>；</w:t>
      </w:r>
    </w:p>
    <w:p>
      <w:pPr>
        <w:pStyle w:val="2"/>
        <w:keepNext w:val="0"/>
        <w:keepLines w:val="0"/>
        <w:pageBreakBefore w:val="0"/>
        <w:widowControl w:val="0"/>
        <w:numPr>
          <w:ilvl w:val="0"/>
          <w:numId w:val="7"/>
        </w:numPr>
        <w:kinsoku/>
        <w:wordWrap/>
        <w:overflowPunct/>
        <w:topLinePunct w:val="0"/>
        <w:autoSpaceDE w:val="0"/>
        <w:autoSpaceDN w:val="0"/>
        <w:bidi w:val="0"/>
        <w:adjustRightInd/>
        <w:snapToGrid/>
        <w:spacing w:beforeAutospacing="0" w:line="360" w:lineRule="auto"/>
        <w:ind w:left="0" w:right="0" w:firstLine="640"/>
        <w:jc w:val="both"/>
        <w:textAlignment w:val="auto"/>
        <w:rPr>
          <w:rFonts w:eastAsia="宋体"/>
          <w:i w:val="0"/>
          <w:iCs w:val="0"/>
          <w:spacing w:val="0"/>
          <w:sz w:val="24"/>
          <w:szCs w:val="24"/>
          <w:highlight w:val="none"/>
          <w:u w:val="none"/>
        </w:rPr>
      </w:pPr>
      <w:r>
        <w:rPr>
          <w:rFonts w:eastAsia="宋体"/>
          <w:i w:val="0"/>
          <w:iCs w:val="0"/>
          <w:spacing w:val="0"/>
          <w:w w:val="96"/>
          <w:sz w:val="24"/>
          <w:szCs w:val="24"/>
          <w:highlight w:val="none"/>
          <w:u w:val="single"/>
        </w:rPr>
        <w:t>（标的名称）</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属于</w:t>
      </w:r>
      <w:r>
        <w:rPr>
          <w:rFonts w:eastAsia="宋体"/>
          <w:i w:val="0"/>
          <w:iCs w:val="0"/>
          <w:spacing w:val="0"/>
          <w:w w:val="96"/>
          <w:sz w:val="24"/>
          <w:szCs w:val="24"/>
          <w:highlight w:val="none"/>
          <w:u w:val="none"/>
        </w:rPr>
        <w:t>（</w:t>
      </w:r>
      <w:r>
        <w:rPr>
          <w:rFonts w:eastAsia="宋体"/>
          <w:i w:val="0"/>
          <w:iCs w:val="0"/>
          <w:spacing w:val="0"/>
          <w:w w:val="96"/>
          <w:sz w:val="24"/>
          <w:szCs w:val="24"/>
          <w:highlight w:val="none"/>
          <w:u w:val="single"/>
        </w:rPr>
        <w:t>采购文件中明确的所属行业）</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承建（承接）企业为</w:t>
      </w:r>
      <w:r>
        <w:rPr>
          <w:rFonts w:eastAsia="宋体"/>
          <w:i w:val="0"/>
          <w:iCs w:val="0"/>
          <w:spacing w:val="0"/>
          <w:w w:val="96"/>
          <w:sz w:val="24"/>
          <w:szCs w:val="24"/>
          <w:highlight w:val="none"/>
          <w:u w:val="single"/>
        </w:rPr>
        <w:t>（企业名称）</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从业人员</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u w:val="none"/>
        </w:rPr>
        <w:t>人</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营业收入为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u w:val="none"/>
        </w:rPr>
        <w:t>万元，资产总额为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u w:val="none"/>
        </w:rPr>
        <w:t>万元，属于</w:t>
      </w:r>
      <w:r>
        <w:rPr>
          <w:rFonts w:eastAsia="宋体"/>
          <w:i w:val="0"/>
          <w:iCs w:val="0"/>
          <w:spacing w:val="0"/>
          <w:sz w:val="24"/>
          <w:szCs w:val="24"/>
          <w:highlight w:val="none"/>
          <w:u w:val="single"/>
        </w:rPr>
        <w:t>（中型企业、</w:t>
      </w:r>
      <w:r>
        <w:rPr>
          <w:rFonts w:eastAsia="宋体"/>
          <w:i w:val="0"/>
          <w:iCs w:val="0"/>
          <w:spacing w:val="0"/>
          <w:w w:val="96"/>
          <w:sz w:val="24"/>
          <w:szCs w:val="24"/>
          <w:highlight w:val="none"/>
          <w:u w:val="single"/>
        </w:rPr>
        <w:t>小型企业、微型企业）</w:t>
      </w:r>
      <w:r>
        <w:rPr>
          <w:rFonts w:eastAsia="宋体"/>
          <w:i w:val="0"/>
          <w:iCs w:val="0"/>
          <w:spacing w:val="0"/>
          <w:w w:val="99"/>
          <w:sz w:val="24"/>
          <w:szCs w:val="24"/>
          <w:highlight w:val="none"/>
          <w:u w:val="none"/>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960" w:firstLineChars="400"/>
        <w:textAlignment w:val="auto"/>
        <w:rPr>
          <w:rFonts w:eastAsia="宋体"/>
          <w:i w:val="0"/>
          <w:iCs w:val="0"/>
          <w:spacing w:val="0"/>
          <w:sz w:val="24"/>
          <w:szCs w:val="24"/>
          <w:highlight w:val="none"/>
        </w:rPr>
      </w:pPr>
      <w:r>
        <w:rPr>
          <w:rFonts w:eastAsia="宋体"/>
          <w:i w:val="0"/>
          <w:iCs w:val="0"/>
          <w:spacing w:val="0"/>
          <w:sz w:val="24"/>
          <w:szCs w:val="24"/>
          <w:highlight w:val="none"/>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5"/>
        <w:jc w:val="both"/>
        <w:textAlignment w:val="auto"/>
        <w:rPr>
          <w:rFonts w:eastAsia="宋体"/>
          <w:i w:val="0"/>
          <w:iCs w:val="0"/>
          <w:spacing w:val="0"/>
          <w:sz w:val="24"/>
          <w:szCs w:val="24"/>
          <w:highlight w:val="none"/>
        </w:rPr>
      </w:pPr>
      <w:r>
        <w:rPr>
          <w:rFonts w:eastAsia="宋体"/>
          <w:i w:val="0"/>
          <w:iCs w:val="0"/>
          <w:spacing w:val="0"/>
          <w:sz w:val="24"/>
          <w:szCs w:val="24"/>
          <w:highlight w:val="none"/>
        </w:rPr>
        <w:t>以上企业，不属于大企业的分支机构，不存在控股股东为大企业的情形，也不存在与大企业的负责人为同一人的情形。</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textAlignment w:val="auto"/>
        <w:rPr>
          <w:rFonts w:eastAsia="宋体"/>
          <w:i w:val="0"/>
          <w:iCs w:val="0"/>
          <w:spacing w:val="0"/>
          <w:sz w:val="24"/>
          <w:szCs w:val="24"/>
          <w:highlight w:val="none"/>
        </w:rPr>
      </w:pPr>
      <w:r>
        <w:rPr>
          <w:rFonts w:eastAsia="宋体"/>
          <w:i w:val="0"/>
          <w:iCs w:val="0"/>
          <w:spacing w:val="0"/>
          <w:sz w:val="24"/>
          <w:szCs w:val="24"/>
          <w:highlight w:val="none"/>
        </w:rPr>
        <w:t>本企业对上述声明内容的真实性负责。如有虚假，将依法承担相应责任。</w:t>
      </w:r>
    </w:p>
    <w:p>
      <w:pPr>
        <w:spacing w:line="360" w:lineRule="auto"/>
        <w:rPr>
          <w:rFonts w:eastAsia="宋体"/>
          <w:i w:val="0"/>
          <w:iCs w:val="0"/>
          <w:spacing w:val="0"/>
          <w:w w:val="99"/>
          <w:sz w:val="24"/>
          <w:szCs w:val="24"/>
          <w:highlight w:val="none"/>
        </w:rPr>
      </w:pPr>
    </w:p>
    <w:p>
      <w:pPr>
        <w:spacing w:line="360" w:lineRule="auto"/>
        <w:rPr>
          <w:rFonts w:eastAsia="宋体"/>
          <w:i w:val="0"/>
          <w:iCs w:val="0"/>
          <w:spacing w:val="0"/>
          <w:w w:val="99"/>
          <w:sz w:val="24"/>
          <w:szCs w:val="24"/>
          <w:highlight w:val="none"/>
        </w:rPr>
      </w:pPr>
    </w:p>
    <w:p>
      <w:pPr>
        <w:spacing w:line="360" w:lineRule="auto"/>
        <w:rPr>
          <w:rFonts w:eastAsia="宋体"/>
          <w:i w:val="0"/>
          <w:iCs w:val="0"/>
          <w:spacing w:val="0"/>
          <w:w w:val="99"/>
          <w:sz w:val="24"/>
          <w:szCs w:val="24"/>
          <w:highlight w:val="none"/>
        </w:rPr>
      </w:pPr>
      <w:r>
        <w:rPr>
          <w:rFonts w:eastAsia="宋体"/>
          <w:i w:val="0"/>
          <w:iCs w:val="0"/>
          <w:spacing w:val="0"/>
          <w:w w:val="99"/>
          <w:sz w:val="24"/>
          <w:szCs w:val="24"/>
          <w:highlight w:val="none"/>
        </w:rPr>
        <w:t>企业名称（盖章）：</w:t>
      </w:r>
    </w:p>
    <w:p>
      <w:pPr>
        <w:spacing w:line="360" w:lineRule="auto"/>
        <w:rPr>
          <w:rFonts w:hint="eastAsia" w:ascii="宋体" w:hAnsi="宋体" w:cs="宋体"/>
          <w:b/>
          <w:sz w:val="24"/>
          <w:highlight w:val="none"/>
        </w:rPr>
      </w:pPr>
      <w:r>
        <w:rPr>
          <w:rFonts w:eastAsia="宋体"/>
          <w:i w:val="0"/>
          <w:iCs w:val="0"/>
          <w:spacing w:val="0"/>
          <w:sz w:val="24"/>
          <w:szCs w:val="24"/>
          <w:highlight w:val="none"/>
        </w:rPr>
        <w:t>日期</w:t>
      </w:r>
    </w:p>
    <w:p>
      <w:pPr>
        <w:spacing w:line="360" w:lineRule="auto"/>
        <w:rPr>
          <w:rFonts w:hint="eastAsia" w:ascii="宋体" w:hAnsi="宋体" w:cs="宋体"/>
          <w:b/>
          <w:sz w:val="32"/>
          <w:szCs w:val="32"/>
          <w:highlight w:val="none"/>
        </w:rPr>
      </w:pPr>
      <w:r>
        <w:rPr>
          <w:rFonts w:hint="eastAsia" w:ascii="宋体" w:hAnsi="宋体" w:cs="宋体"/>
          <w:b/>
          <w:sz w:val="32"/>
          <w:szCs w:val="32"/>
          <w:highlight w:val="none"/>
        </w:rPr>
        <w:br w:type="page"/>
      </w:r>
    </w:p>
    <w:p>
      <w:pPr>
        <w:pStyle w:val="8"/>
        <w:bidi w:val="0"/>
        <w:rPr>
          <w:rFonts w:hint="eastAsia" w:ascii="宋体" w:hAnsi="宋体" w:cs="宋体"/>
          <w:b/>
          <w:spacing w:val="6"/>
          <w:sz w:val="24"/>
          <w:szCs w:val="24"/>
          <w:highlight w:val="none"/>
        </w:rPr>
      </w:pPr>
      <w:bookmarkStart w:id="398" w:name="_Toc32214"/>
      <w:bookmarkStart w:id="399" w:name="_Toc31700"/>
      <w:bookmarkStart w:id="400" w:name="OLE_LINK13"/>
      <w:bookmarkStart w:id="401" w:name="_Toc2335"/>
      <w:bookmarkStart w:id="402" w:name="_Toc7823"/>
      <w:r>
        <w:rPr>
          <w:rFonts w:hint="eastAsia"/>
          <w:highlight w:val="none"/>
        </w:rPr>
        <w:t>附件</w:t>
      </w:r>
      <w:r>
        <w:rPr>
          <w:rFonts w:hint="eastAsia"/>
          <w:highlight w:val="none"/>
          <w:lang w:val="en-US" w:eastAsia="zh-CN"/>
        </w:rPr>
        <w:t>2</w:t>
      </w:r>
      <w:r>
        <w:rPr>
          <w:rFonts w:hint="eastAsia"/>
          <w:highlight w:val="none"/>
          <w:lang w:eastAsia="zh-CN"/>
        </w:rPr>
        <w:t>：</w:t>
      </w:r>
      <w:r>
        <w:rPr>
          <w:rFonts w:hint="eastAsia"/>
          <w:highlight w:val="none"/>
        </w:rPr>
        <w:t>残疾人福利性单位声明函</w:t>
      </w:r>
      <w:bookmarkEnd w:id="398"/>
      <w:bookmarkEnd w:id="399"/>
      <w:bookmarkEnd w:id="400"/>
      <w:r>
        <w:rPr>
          <w:rFonts w:ascii="宋体" w:hAnsi="宋体" w:eastAsia="宋体" w:cs="宋体"/>
          <w:sz w:val="28"/>
          <w:szCs w:val="28"/>
          <w:highlight w:val="none"/>
        </w:rPr>
        <w:t xml:space="preserve"> </w:t>
      </w:r>
      <w:r>
        <w:rPr>
          <w:rFonts w:hint="eastAsia"/>
          <w:highlight w:val="none"/>
        </w:rPr>
        <w:t>(非残疾人福利企业不填写)</w:t>
      </w:r>
      <w:bookmarkEnd w:id="401"/>
      <w:bookmarkEnd w:id="402"/>
    </w:p>
    <w:p>
      <w:pPr>
        <w:spacing w:line="360" w:lineRule="auto"/>
        <w:ind w:firstLine="504" w:firstLineChars="200"/>
        <w:rPr>
          <w:rFonts w:hint="eastAsia" w:ascii="宋体" w:hAnsi="宋体" w:cs="宋体"/>
          <w:spacing w:val="6"/>
          <w:sz w:val="24"/>
          <w:szCs w:val="24"/>
          <w:highlight w:val="none"/>
        </w:rPr>
      </w:pPr>
      <w:r>
        <w:rPr>
          <w:rFonts w:hint="eastAsia" w:ascii="宋体" w:hAnsi="宋体" w:cs="宋体"/>
          <w:spacing w:val="6"/>
          <w:sz w:val="24"/>
          <w:szCs w:val="24"/>
          <w:highlight w:val="none"/>
        </w:rPr>
        <w:t>本单位郑重声明，根据《财政部 民政部 中国残疾人联合会关于促进残疾人就业政府采购政策的通知》（财库</w:t>
      </w:r>
      <w:r>
        <w:rPr>
          <w:rFonts w:hint="eastAsia" w:ascii="宋体" w:hAnsi="宋体" w:cs="宋体"/>
          <w:sz w:val="24"/>
          <w:szCs w:val="24"/>
          <w:highlight w:val="none"/>
        </w:rPr>
        <w:t>〔2017〕141</w:t>
      </w:r>
      <w:r>
        <w:rPr>
          <w:rFonts w:hint="eastAsia" w:ascii="宋体" w:hAnsi="宋体" w:cs="宋体"/>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宋体" w:hAnsi="宋体" w:cs="宋体"/>
          <w:spacing w:val="6"/>
          <w:sz w:val="24"/>
          <w:szCs w:val="24"/>
          <w:highlight w:val="none"/>
        </w:rPr>
      </w:pPr>
      <w:r>
        <w:rPr>
          <w:rFonts w:hint="eastAsia" w:ascii="宋体" w:hAnsi="宋体" w:cs="宋体"/>
          <w:spacing w:val="6"/>
          <w:sz w:val="24"/>
          <w:szCs w:val="24"/>
          <w:highlight w:val="none"/>
        </w:rPr>
        <w:t>本单位对上述声明的真实性负责。如有虚假，将依法承担相应责任。</w:t>
      </w:r>
    </w:p>
    <w:p>
      <w:pPr>
        <w:spacing w:line="360" w:lineRule="auto"/>
        <w:ind w:firstLine="504" w:firstLineChars="200"/>
        <w:rPr>
          <w:rFonts w:hint="eastAsia" w:ascii="宋体" w:hAnsi="宋体" w:cs="宋体"/>
          <w:spacing w:val="6"/>
          <w:sz w:val="24"/>
          <w:szCs w:val="24"/>
          <w:highlight w:val="none"/>
        </w:rPr>
      </w:pPr>
    </w:p>
    <w:p>
      <w:pPr>
        <w:spacing w:line="360" w:lineRule="auto"/>
        <w:ind w:firstLine="504" w:firstLineChars="200"/>
        <w:rPr>
          <w:rFonts w:hint="eastAsia" w:ascii="宋体" w:hAnsi="宋体" w:cs="宋体"/>
          <w:spacing w:val="6"/>
          <w:sz w:val="24"/>
          <w:szCs w:val="24"/>
          <w:highlight w:val="none"/>
        </w:rPr>
      </w:pPr>
    </w:p>
    <w:p>
      <w:pPr>
        <w:tabs>
          <w:tab w:val="left" w:pos="4860"/>
        </w:tabs>
        <w:spacing w:line="360" w:lineRule="auto"/>
        <w:ind w:right="1560" w:firstLine="504" w:firstLineChars="200"/>
        <w:jc w:val="center"/>
        <w:rPr>
          <w:rFonts w:hint="eastAsia" w:ascii="宋体" w:hAnsi="宋体" w:cs="宋体"/>
          <w:spacing w:val="6"/>
          <w:sz w:val="24"/>
          <w:szCs w:val="24"/>
          <w:highlight w:val="none"/>
        </w:rPr>
      </w:pPr>
      <w:r>
        <w:rPr>
          <w:rFonts w:hint="eastAsia" w:ascii="宋体" w:hAnsi="宋体" w:cs="宋体"/>
          <w:spacing w:val="6"/>
          <w:sz w:val="24"/>
          <w:szCs w:val="24"/>
          <w:highlight w:val="none"/>
        </w:rPr>
        <w:t xml:space="preserve">               单位名称（盖章）：</w:t>
      </w:r>
    </w:p>
    <w:p>
      <w:pPr>
        <w:tabs>
          <w:tab w:val="left" w:pos="4860"/>
        </w:tabs>
        <w:spacing w:line="360" w:lineRule="auto"/>
        <w:ind w:right="1560" w:firstLine="504" w:firstLineChars="200"/>
        <w:jc w:val="center"/>
        <w:rPr>
          <w:rFonts w:hint="eastAsia" w:ascii="宋体" w:hAnsi="宋体" w:cs="宋体"/>
          <w:spacing w:val="6"/>
          <w:sz w:val="24"/>
          <w:szCs w:val="24"/>
          <w:highlight w:val="none"/>
        </w:rPr>
      </w:pPr>
      <w:r>
        <w:rPr>
          <w:rFonts w:hint="eastAsia" w:ascii="宋体" w:hAnsi="宋体" w:cs="宋体"/>
          <w:spacing w:val="6"/>
          <w:sz w:val="24"/>
          <w:szCs w:val="24"/>
          <w:highlight w:val="none"/>
        </w:rPr>
        <w:t xml:space="preserve">       日  期：</w:t>
      </w:r>
    </w:p>
    <w:p>
      <w:pPr>
        <w:rPr>
          <w:rFonts w:hint="eastAsia" w:ascii="宋体" w:hAnsi="宋体" w:cs="宋体"/>
          <w:spacing w:val="6"/>
          <w:sz w:val="24"/>
          <w:szCs w:val="24"/>
          <w:highlight w:val="none"/>
        </w:rPr>
      </w:pPr>
      <w:r>
        <w:rPr>
          <w:rFonts w:hint="eastAsia" w:ascii="宋体" w:hAnsi="宋体" w:cs="宋体"/>
          <w:spacing w:val="6"/>
          <w:sz w:val="24"/>
          <w:szCs w:val="24"/>
          <w:highlight w:val="none"/>
        </w:rPr>
        <w:br w:type="page"/>
      </w:r>
    </w:p>
    <w:p>
      <w:pPr>
        <w:pStyle w:val="8"/>
        <w:bidi w:val="0"/>
        <w:rPr>
          <w:rFonts w:hint="eastAsia"/>
          <w:highlight w:val="none"/>
        </w:rPr>
      </w:pPr>
      <w:bookmarkStart w:id="403" w:name="_Toc25449"/>
      <w:bookmarkStart w:id="404" w:name="_Toc155"/>
      <w:r>
        <w:rPr>
          <w:rFonts w:hint="eastAsia"/>
          <w:highlight w:val="none"/>
          <w:lang w:val="en-US" w:eastAsia="zh-CN"/>
        </w:rPr>
        <w:t>附件3：</w:t>
      </w:r>
      <w:r>
        <w:rPr>
          <w:rFonts w:hint="eastAsia"/>
          <w:highlight w:val="none"/>
        </w:rPr>
        <w:t>监狱、戒毒企业声明函 (非监狱、戒毒企业不填写)</w:t>
      </w:r>
      <w:bookmarkEnd w:id="403"/>
      <w:bookmarkEnd w:id="404"/>
    </w:p>
    <w:p>
      <w:pPr>
        <w:spacing w:before="260" w:line="375" w:lineRule="auto"/>
        <w:ind w:firstLine="480"/>
        <w:rPr>
          <w:rFonts w:ascii="宋体" w:hAnsi="宋体" w:eastAsia="宋体" w:cs="宋体"/>
          <w:sz w:val="23"/>
          <w:szCs w:val="23"/>
          <w:highlight w:val="none"/>
        </w:rPr>
      </w:pPr>
      <w:r>
        <w:rPr>
          <w:rFonts w:ascii="宋体" w:hAnsi="宋体" w:eastAsia="宋体" w:cs="宋体"/>
          <w:spacing w:val="4"/>
          <w:sz w:val="23"/>
          <w:szCs w:val="23"/>
          <w:highlight w:val="none"/>
        </w:rPr>
        <w:t>本</w:t>
      </w:r>
      <w:r>
        <w:rPr>
          <w:rFonts w:ascii="宋体" w:hAnsi="宋体" w:eastAsia="宋体" w:cs="宋体"/>
          <w:spacing w:val="3"/>
          <w:sz w:val="23"/>
          <w:szCs w:val="23"/>
          <w:highlight w:val="none"/>
        </w:rPr>
        <w:t>单</w:t>
      </w:r>
      <w:r>
        <w:rPr>
          <w:rFonts w:ascii="宋体" w:hAnsi="宋体" w:eastAsia="宋体" w:cs="宋体"/>
          <w:spacing w:val="2"/>
          <w:sz w:val="23"/>
          <w:szCs w:val="23"/>
          <w:highlight w:val="none"/>
        </w:rPr>
        <w:t>位郑重声明，根据《财政部 司法部 关于政府采购支持监狱企业发展有关问题的通知》(财库〔</w:t>
      </w:r>
      <w:r>
        <w:rPr>
          <w:rFonts w:ascii="楷体" w:hAnsi="楷体" w:eastAsia="楷体" w:cs="楷体"/>
          <w:spacing w:val="2"/>
          <w:sz w:val="23"/>
          <w:szCs w:val="23"/>
          <w:highlight w:val="none"/>
        </w:rPr>
        <w:t>2014</w:t>
      </w:r>
      <w:r>
        <w:rPr>
          <w:rFonts w:ascii="宋体" w:hAnsi="宋体" w:eastAsia="宋体" w:cs="宋体"/>
          <w:spacing w:val="2"/>
          <w:sz w:val="23"/>
          <w:szCs w:val="23"/>
          <w:highlight w:val="none"/>
        </w:rPr>
        <w:t>〕</w:t>
      </w:r>
      <w:r>
        <w:rPr>
          <w:rFonts w:ascii="楷体" w:hAnsi="楷体" w:eastAsia="楷体" w:cs="楷体"/>
          <w:spacing w:val="2"/>
          <w:sz w:val="23"/>
          <w:szCs w:val="23"/>
          <w:highlight w:val="none"/>
        </w:rPr>
        <w:t>68</w:t>
      </w:r>
      <w:r>
        <w:rPr>
          <w:rFonts w:ascii="宋体" w:hAnsi="宋体" w:eastAsia="宋体" w:cs="宋体"/>
          <w:spacing w:val="2"/>
          <w:sz w:val="23"/>
          <w:szCs w:val="23"/>
          <w:highlight w:val="none"/>
        </w:rPr>
        <w:t>号)的规定，本单位为符合条件的监狱、戒毒企业，且本单位</w:t>
      </w:r>
      <w:r>
        <w:rPr>
          <w:rFonts w:ascii="宋体" w:hAnsi="宋体" w:eastAsia="宋体" w:cs="宋体"/>
          <w:spacing w:val="1"/>
          <w:sz w:val="23"/>
          <w:szCs w:val="23"/>
          <w:highlight w:val="none"/>
        </w:rPr>
        <w:t>参</w:t>
      </w:r>
      <w:r>
        <w:rPr>
          <w:rFonts w:ascii="宋体" w:hAnsi="宋体" w:eastAsia="宋体" w:cs="宋体"/>
          <w:spacing w:val="14"/>
          <w:sz w:val="23"/>
          <w:szCs w:val="23"/>
          <w:highlight w:val="none"/>
        </w:rPr>
        <w:t>加</w:t>
      </w:r>
      <w:r>
        <w:rPr>
          <w:rFonts w:ascii="宋体" w:hAnsi="宋体" w:eastAsia="宋体" w:cs="宋体"/>
          <w:spacing w:val="13"/>
          <w:sz w:val="23"/>
          <w:szCs w:val="23"/>
          <w:highlight w:val="none"/>
        </w:rPr>
        <w:t>的</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项目采购活动提供本单位制造的货物(由本单位承担工程</w:t>
      </w:r>
      <w:r>
        <w:rPr>
          <w:rFonts w:ascii="楷体" w:hAnsi="楷体" w:eastAsia="楷体" w:cs="楷体"/>
          <w:spacing w:val="7"/>
          <w:sz w:val="23"/>
          <w:szCs w:val="23"/>
          <w:highlight w:val="none"/>
        </w:rPr>
        <w:t>/</w:t>
      </w:r>
      <w:r>
        <w:rPr>
          <w:rFonts w:ascii="宋体" w:hAnsi="宋体" w:eastAsia="宋体" w:cs="宋体"/>
          <w:spacing w:val="7"/>
          <w:sz w:val="23"/>
          <w:szCs w:val="23"/>
          <w:highlight w:val="none"/>
        </w:rPr>
        <w:t>提供服务)，</w:t>
      </w:r>
      <w:r>
        <w:rPr>
          <w:rFonts w:ascii="宋体" w:hAnsi="宋体" w:eastAsia="宋体" w:cs="宋体"/>
          <w:spacing w:val="8"/>
          <w:sz w:val="23"/>
          <w:szCs w:val="23"/>
          <w:highlight w:val="none"/>
        </w:rPr>
        <w:t>或者</w:t>
      </w:r>
      <w:r>
        <w:rPr>
          <w:rFonts w:ascii="宋体" w:hAnsi="宋体" w:eastAsia="宋体" w:cs="宋体"/>
          <w:spacing w:val="7"/>
          <w:sz w:val="23"/>
          <w:szCs w:val="23"/>
          <w:highlight w:val="none"/>
        </w:rPr>
        <w:t>提</w:t>
      </w:r>
      <w:r>
        <w:rPr>
          <w:rFonts w:ascii="宋体" w:hAnsi="宋体" w:eastAsia="宋体" w:cs="宋体"/>
          <w:spacing w:val="4"/>
          <w:sz w:val="23"/>
          <w:szCs w:val="23"/>
          <w:highlight w:val="none"/>
        </w:rPr>
        <w:t>供其他监狱、戒毒企业制造的货物(不包括使用非监狱、戒毒企业注册商标的货物)。</w:t>
      </w:r>
    </w:p>
    <w:p>
      <w:pPr>
        <w:spacing w:line="226" w:lineRule="auto"/>
        <w:ind w:left="480"/>
        <w:rPr>
          <w:rFonts w:ascii="宋体" w:hAnsi="宋体" w:eastAsia="宋体" w:cs="宋体"/>
          <w:sz w:val="23"/>
          <w:szCs w:val="23"/>
          <w:highlight w:val="none"/>
        </w:rPr>
      </w:pPr>
      <w:r>
        <w:rPr>
          <w:rFonts w:ascii="宋体" w:hAnsi="宋体" w:eastAsia="宋体" w:cs="宋体"/>
          <w:spacing w:val="18"/>
          <w:sz w:val="23"/>
          <w:szCs w:val="23"/>
          <w:highlight w:val="none"/>
        </w:rPr>
        <w:t>本</w:t>
      </w:r>
      <w:r>
        <w:rPr>
          <w:rFonts w:ascii="宋体" w:hAnsi="宋体" w:eastAsia="宋体" w:cs="宋体"/>
          <w:spacing w:val="9"/>
          <w:sz w:val="23"/>
          <w:szCs w:val="23"/>
          <w:highlight w:val="none"/>
        </w:rPr>
        <w:t>单位对上述声明的真实性负责。如有虚假，将依法承担相应责任。</w:t>
      </w:r>
    </w:p>
    <w:p>
      <w:pPr>
        <w:spacing w:line="259"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line="260" w:lineRule="auto"/>
        <w:rPr>
          <w:rFonts w:ascii="Arial"/>
          <w:sz w:val="21"/>
          <w:highlight w:val="none"/>
        </w:rPr>
      </w:pPr>
    </w:p>
    <w:p>
      <w:pPr>
        <w:spacing w:before="75" w:line="227" w:lineRule="auto"/>
        <w:ind w:left="3801"/>
        <w:rPr>
          <w:rFonts w:ascii="宋体" w:hAnsi="宋体" w:eastAsia="宋体" w:cs="宋体"/>
          <w:sz w:val="23"/>
          <w:szCs w:val="23"/>
          <w:highlight w:val="none"/>
        </w:rPr>
      </w:pPr>
      <w:r>
        <w:rPr>
          <w:rFonts w:ascii="宋体" w:hAnsi="宋体" w:eastAsia="宋体" w:cs="宋体"/>
          <w:spacing w:val="7"/>
          <w:sz w:val="23"/>
          <w:szCs w:val="23"/>
          <w:highlight w:val="none"/>
        </w:rPr>
        <w:t>供应商全称(公章)</w:t>
      </w:r>
      <w:r>
        <w:rPr>
          <w:rFonts w:ascii="宋体" w:hAnsi="宋体" w:eastAsia="宋体" w:cs="宋体"/>
          <w:spacing w:val="6"/>
          <w:sz w:val="23"/>
          <w:szCs w:val="23"/>
          <w:highlight w:val="none"/>
        </w:rPr>
        <w:t>：</w:t>
      </w:r>
      <w:r>
        <w:rPr>
          <w:rFonts w:ascii="宋体" w:hAnsi="宋体" w:eastAsia="宋体" w:cs="宋体"/>
          <w:sz w:val="23"/>
          <w:szCs w:val="23"/>
          <w:highlight w:val="none"/>
          <w:u w:val="single" w:color="auto"/>
        </w:rPr>
        <w:t xml:space="preserve">                    </w:t>
      </w:r>
    </w:p>
    <w:p>
      <w:pPr>
        <w:spacing w:line="286" w:lineRule="auto"/>
        <w:rPr>
          <w:rFonts w:ascii="Arial"/>
          <w:sz w:val="21"/>
          <w:highlight w:val="none"/>
        </w:rPr>
      </w:pPr>
    </w:p>
    <w:p>
      <w:pPr>
        <w:spacing w:line="287" w:lineRule="auto"/>
        <w:rPr>
          <w:rFonts w:ascii="Arial"/>
          <w:sz w:val="21"/>
          <w:highlight w:val="none"/>
        </w:rPr>
      </w:pPr>
    </w:p>
    <w:p>
      <w:pPr>
        <w:spacing w:before="75" w:line="227" w:lineRule="auto"/>
        <w:ind w:left="3972"/>
        <w:rPr>
          <w:rFonts w:ascii="宋体" w:hAnsi="宋体" w:eastAsia="宋体" w:cs="宋体"/>
          <w:sz w:val="23"/>
          <w:szCs w:val="23"/>
          <w:highlight w:val="none"/>
        </w:rPr>
      </w:pPr>
      <w:r>
        <w:rPr>
          <w:rFonts w:ascii="宋体" w:hAnsi="宋体" w:eastAsia="宋体" w:cs="宋体"/>
          <w:spacing w:val="-11"/>
          <w:sz w:val="23"/>
          <w:szCs w:val="23"/>
          <w:highlight w:val="none"/>
        </w:rPr>
        <w:t>日</w:t>
      </w:r>
      <w:r>
        <w:rPr>
          <w:rFonts w:ascii="宋体" w:hAnsi="宋体" w:eastAsia="宋体" w:cs="宋体"/>
          <w:spacing w:val="-7"/>
          <w:sz w:val="23"/>
          <w:szCs w:val="23"/>
          <w:highlight w:val="none"/>
        </w:rPr>
        <w:t xml:space="preserve">  期：</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年</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 xml:space="preserve"> 月</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 xml:space="preserve"> 日</w:t>
      </w:r>
    </w:p>
    <w:p>
      <w:pPr>
        <w:spacing w:line="258"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before="75" w:line="388" w:lineRule="auto"/>
        <w:ind w:left="3" w:right="64" w:firstLine="479"/>
        <w:rPr>
          <w:rFonts w:ascii="宋体" w:hAnsi="宋体" w:eastAsia="宋体" w:cs="宋体"/>
          <w:sz w:val="23"/>
          <w:szCs w:val="23"/>
          <w:highlight w:val="none"/>
        </w:rPr>
      </w:pPr>
      <w:r>
        <w:rPr>
          <w:rFonts w:ascii="宋体" w:hAnsi="宋体" w:eastAsia="宋体" w:cs="宋体"/>
          <w:spacing w:val="14"/>
          <w:sz w:val="23"/>
          <w:szCs w:val="23"/>
          <w:highlight w:val="none"/>
        </w:rPr>
        <w:t>备</w:t>
      </w:r>
      <w:r>
        <w:rPr>
          <w:rFonts w:ascii="宋体" w:hAnsi="宋体" w:eastAsia="宋体" w:cs="宋体"/>
          <w:spacing w:val="8"/>
          <w:sz w:val="23"/>
          <w:szCs w:val="23"/>
          <w:highlight w:val="none"/>
        </w:rPr>
        <w:t>注：供应商提供的《监狱、戒毒企业声明函》必须真实有效，供应商应当提供由省</w:t>
      </w:r>
      <w:r>
        <w:rPr>
          <w:rFonts w:ascii="宋体" w:hAnsi="宋体" w:eastAsia="宋体" w:cs="宋体"/>
          <w:spacing w:val="16"/>
          <w:sz w:val="23"/>
          <w:szCs w:val="23"/>
          <w:highlight w:val="none"/>
        </w:rPr>
        <w:t>级以</w:t>
      </w:r>
      <w:r>
        <w:rPr>
          <w:rFonts w:ascii="宋体" w:hAnsi="宋体" w:eastAsia="宋体" w:cs="宋体"/>
          <w:spacing w:val="8"/>
          <w:sz w:val="23"/>
          <w:szCs w:val="23"/>
          <w:highlight w:val="none"/>
        </w:rPr>
        <w:t>上监狱管理局、戒毒管理局</w:t>
      </w:r>
      <w:r>
        <w:rPr>
          <w:rFonts w:ascii="楷体" w:hAnsi="楷体" w:eastAsia="楷体" w:cs="楷体"/>
          <w:spacing w:val="8"/>
          <w:sz w:val="23"/>
          <w:szCs w:val="23"/>
          <w:highlight w:val="none"/>
        </w:rPr>
        <w:t>(</w:t>
      </w:r>
      <w:r>
        <w:rPr>
          <w:rFonts w:ascii="宋体" w:hAnsi="宋体" w:eastAsia="宋体" w:cs="宋体"/>
          <w:spacing w:val="8"/>
          <w:sz w:val="23"/>
          <w:szCs w:val="23"/>
          <w:highlight w:val="none"/>
        </w:rPr>
        <w:t>含新疆生产建设兵团</w:t>
      </w:r>
      <w:r>
        <w:rPr>
          <w:rFonts w:ascii="楷体" w:hAnsi="楷体" w:eastAsia="楷体" w:cs="楷体"/>
          <w:spacing w:val="8"/>
          <w:sz w:val="23"/>
          <w:szCs w:val="23"/>
          <w:highlight w:val="none"/>
        </w:rPr>
        <w:t>)</w:t>
      </w:r>
      <w:r>
        <w:rPr>
          <w:rFonts w:ascii="宋体" w:hAnsi="宋体" w:eastAsia="宋体" w:cs="宋体"/>
          <w:spacing w:val="8"/>
          <w:sz w:val="23"/>
          <w:szCs w:val="23"/>
          <w:highlight w:val="none"/>
        </w:rPr>
        <w:t>出具的属于监狱企业的证明文件。</w:t>
      </w:r>
    </w:p>
    <w:p>
      <w:pPr>
        <w:spacing w:line="360" w:lineRule="auto"/>
        <w:rPr>
          <w:rFonts w:hint="eastAsia" w:ascii="宋体" w:hAnsi="宋体" w:cs="宋体"/>
          <w:b/>
          <w:spacing w:val="6"/>
          <w:sz w:val="36"/>
          <w:szCs w:val="36"/>
          <w:highlight w:val="none"/>
        </w:rPr>
      </w:pPr>
      <w:r>
        <w:rPr>
          <w:rFonts w:hint="eastAsia" w:ascii="宋体" w:hAnsi="宋体" w:cs="宋体"/>
          <w:b/>
          <w:spacing w:val="6"/>
          <w:sz w:val="36"/>
          <w:szCs w:val="36"/>
          <w:highlight w:val="none"/>
        </w:rPr>
        <w:br w:type="page"/>
      </w:r>
    </w:p>
    <w:p>
      <w:pPr>
        <w:pStyle w:val="6"/>
        <w:bidi w:val="0"/>
        <w:jc w:val="center"/>
        <w:rPr>
          <w:rFonts w:hint="eastAsia"/>
          <w:highlight w:val="none"/>
        </w:rPr>
      </w:pPr>
      <w:bookmarkStart w:id="405" w:name="_Toc13809"/>
      <w:bookmarkStart w:id="406" w:name="_Toc17942"/>
      <w:r>
        <w:rPr>
          <w:rFonts w:hint="eastAsia"/>
          <w:highlight w:val="none"/>
          <w:lang w:val="en-US" w:eastAsia="zh-CN"/>
        </w:rPr>
        <w:t>十一、</w:t>
      </w:r>
      <w:r>
        <w:rPr>
          <w:rFonts w:hint="eastAsia"/>
          <w:highlight w:val="none"/>
        </w:rPr>
        <w:t xml:space="preserve"> 第二次报价表（最终报价表）</w:t>
      </w:r>
      <w:bookmarkEnd w:id="405"/>
      <w:bookmarkEnd w:id="406"/>
    </w:p>
    <w:tbl>
      <w:tblPr>
        <w:tblStyle w:val="30"/>
        <w:tblW w:w="4999"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60"/>
        <w:gridCol w:w="790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8" w:hRule="atLeast"/>
          <w:jc w:val="center"/>
        </w:trPr>
        <w:tc>
          <w:tcPr>
            <w:tcW w:w="1034" w:type="pct"/>
            <w:tcBorders>
              <w:bottom w:val="single" w:color="auto" w:sz="4" w:space="0"/>
            </w:tcBorders>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采购项目名称</w:t>
            </w:r>
          </w:p>
        </w:tc>
        <w:tc>
          <w:tcPr>
            <w:tcW w:w="3965" w:type="pct"/>
            <w:noWrap w:val="0"/>
            <w:vAlign w:val="center"/>
          </w:tcPr>
          <w:p>
            <w:pPr>
              <w:pStyle w:val="5"/>
              <w:spacing w:line="360" w:lineRule="auto"/>
              <w:jc w:val="center"/>
              <w:outlineLvl w:val="9"/>
              <w:rPr>
                <w:rFonts w:hint="eastAsia" w:ascii="宋体" w:hAnsi="宋体" w:cs="宋体"/>
                <w:b w:val="0"/>
                <w:kern w:val="2"/>
                <w:sz w:val="24"/>
                <w:szCs w:val="21"/>
                <w:highlight w:val="none"/>
                <w:lang w:val="en-US"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034" w:type="pct"/>
            <w:tcBorders>
              <w:bottom w:val="single" w:color="auto" w:sz="4" w:space="0"/>
            </w:tcBorders>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采购项目编号</w:t>
            </w:r>
          </w:p>
        </w:tc>
        <w:tc>
          <w:tcPr>
            <w:tcW w:w="3965" w:type="pct"/>
            <w:tcBorders>
              <w:bottom w:val="single" w:color="auto" w:sz="4" w:space="0"/>
            </w:tcBorders>
            <w:noWrap w:val="0"/>
            <w:vAlign w:val="center"/>
          </w:tcPr>
          <w:p>
            <w:pPr>
              <w:spacing w:line="360" w:lineRule="auto"/>
              <w:jc w:val="center"/>
              <w:rPr>
                <w:rFonts w:hint="eastAsia" w:ascii="宋体" w:hAnsi="宋体" w:cs="宋体"/>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9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供应商名称</w:t>
            </w:r>
          </w:p>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(单位名称)</w:t>
            </w:r>
          </w:p>
        </w:tc>
        <w:tc>
          <w:tcPr>
            <w:tcW w:w="3965"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20"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谈判报价</w:t>
            </w:r>
          </w:p>
        </w:tc>
        <w:tc>
          <w:tcPr>
            <w:tcW w:w="3965" w:type="pct"/>
            <w:noWrap w:val="0"/>
            <w:vAlign w:val="center"/>
          </w:tcPr>
          <w:p>
            <w:pPr>
              <w:spacing w:line="360" w:lineRule="auto"/>
              <w:jc w:val="both"/>
              <w:rPr>
                <w:rFonts w:hint="eastAsia" w:ascii="宋体" w:hAnsi="宋体" w:cs="宋体"/>
                <w:b/>
                <w:bCs/>
                <w:sz w:val="24"/>
                <w:highlight w:val="none"/>
              </w:rPr>
            </w:pPr>
            <w:r>
              <w:rPr>
                <w:rFonts w:hint="eastAsia" w:ascii="宋体" w:hAnsi="宋体" w:cs="宋体"/>
                <w:b/>
                <w:bCs/>
                <w:sz w:val="24"/>
                <w:highlight w:val="none"/>
              </w:rPr>
              <w:t>人 民 币（大写）：</w:t>
            </w:r>
            <w:r>
              <w:rPr>
                <w:rFonts w:hint="eastAsia" w:ascii="宋体" w:hAnsi="宋体" w:cs="宋体"/>
                <w:b/>
                <w:bCs/>
                <w:sz w:val="24"/>
                <w:highlight w:val="none"/>
                <w:u w:val="single"/>
              </w:rPr>
              <w:t xml:space="preserve">                  </w:t>
            </w:r>
          </w:p>
          <w:p>
            <w:pPr>
              <w:spacing w:line="360" w:lineRule="auto"/>
              <w:jc w:val="both"/>
              <w:rPr>
                <w:rFonts w:hint="eastAsia" w:ascii="宋体" w:hAnsi="宋体" w:cs="宋体"/>
                <w:b/>
                <w:bCs/>
                <w:sz w:val="24"/>
                <w:highlight w:val="none"/>
              </w:rPr>
            </w:pPr>
            <w:r>
              <w:rPr>
                <w:rFonts w:hint="eastAsia" w:ascii="宋体" w:hAnsi="宋体" w:cs="宋体"/>
                <w:b/>
                <w:bCs/>
                <w:sz w:val="24"/>
                <w:highlight w:val="none"/>
              </w:rPr>
              <w:t>人 民 币（小写）：</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元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服务期</w:t>
            </w:r>
          </w:p>
        </w:tc>
        <w:tc>
          <w:tcPr>
            <w:tcW w:w="3965"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服务质量</w:t>
            </w:r>
          </w:p>
        </w:tc>
        <w:tc>
          <w:tcPr>
            <w:tcW w:w="3965" w:type="pct"/>
            <w:noWrap w:val="0"/>
            <w:vAlign w:val="center"/>
          </w:tcPr>
          <w:p>
            <w:pPr>
              <w:spacing w:line="360" w:lineRule="auto"/>
              <w:jc w:val="center"/>
              <w:rPr>
                <w:rFonts w:hint="eastAsia" w:ascii="宋体" w:hAnsi="宋体" w:cs="宋体"/>
                <w:b/>
                <w:bCs/>
                <w:sz w:val="24"/>
                <w:highlight w:val="none"/>
              </w:rPr>
            </w:pPr>
          </w:p>
        </w:tc>
      </w:tr>
    </w:tbl>
    <w:p>
      <w:pPr>
        <w:spacing w:line="360" w:lineRule="auto"/>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(公章):</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法定代表人/授权代表人（签字）：</w:t>
      </w:r>
    </w:p>
    <w:p>
      <w:pPr>
        <w:spacing w:line="360" w:lineRule="auto"/>
        <w:ind w:right="150"/>
        <w:rPr>
          <w:rFonts w:hint="eastAsia" w:ascii="宋体" w:hAnsi="宋体" w:cs="宋体"/>
          <w:sz w:val="24"/>
          <w:highlight w:val="none"/>
        </w:rPr>
      </w:pPr>
    </w:p>
    <w:p>
      <w:pPr>
        <w:wordWrap w:val="0"/>
        <w:spacing w:line="360" w:lineRule="auto"/>
        <w:ind w:right="150" w:firstLine="957" w:firstLineChars="399"/>
        <w:jc w:val="right"/>
        <w:rPr>
          <w:rFonts w:hint="eastAsia" w:ascii="宋体" w:hAnsi="宋体" w:cs="宋体"/>
          <w:sz w:val="24"/>
          <w:highlight w:val="none"/>
        </w:rPr>
      </w:pPr>
      <w:r>
        <w:rPr>
          <w:rFonts w:hint="eastAsia" w:ascii="宋体" w:hAnsi="宋体" w:cs="宋体"/>
          <w:sz w:val="24"/>
          <w:highlight w:val="none"/>
        </w:rPr>
        <w:t>年     月     日</w:t>
      </w:r>
    </w:p>
    <w:p>
      <w:pPr>
        <w:pStyle w:val="25"/>
        <w:wordWrap/>
        <w:rPr>
          <w:rFonts w:hint="eastAsia"/>
          <w:highlight w:val="none"/>
        </w:rPr>
      </w:pPr>
    </w:p>
    <w:p>
      <w:pPr>
        <w:autoSpaceDE w:val="0"/>
        <w:autoSpaceDN w:val="0"/>
        <w:adjustRightInd w:val="0"/>
        <w:spacing w:line="360" w:lineRule="auto"/>
        <w:rPr>
          <w:rFonts w:hint="eastAsia" w:ascii="宋体" w:hAnsi="宋体" w:cs="宋体"/>
          <w:highlight w:val="none"/>
        </w:rPr>
      </w:pPr>
      <w:r>
        <w:rPr>
          <w:rFonts w:hint="eastAsia" w:ascii="宋体" w:hAnsi="宋体" w:cs="宋体"/>
          <w:b/>
          <w:sz w:val="24"/>
          <w:highlight w:val="none"/>
        </w:rPr>
        <w:t>（注意：“第二次报价表（最终报价表）”不装入投标响应文件中，谈判结束后所有继续参加谈判的供应商，按谈判小组要求在规定的时间内统一提交。“第二次报价表（最终报价表）”供应商自行准备）</w:t>
      </w:r>
    </w:p>
    <w:p>
      <w:pPr>
        <w:tabs>
          <w:tab w:val="left" w:pos="4860"/>
        </w:tabs>
        <w:spacing w:line="360" w:lineRule="auto"/>
        <w:ind w:right="1560" w:firstLine="480" w:firstLineChars="200"/>
        <w:jc w:val="center"/>
        <w:rPr>
          <w:rFonts w:hint="eastAsia" w:ascii="宋体" w:hAnsi="宋体" w:cs="宋体"/>
          <w:color w:val="000000"/>
          <w:sz w:val="24"/>
          <w:szCs w:val="24"/>
          <w:highlight w:val="none"/>
        </w:rPr>
      </w:pPr>
    </w:p>
    <w:p>
      <w:pPr>
        <w:spacing w:line="360" w:lineRule="auto"/>
        <w:rPr>
          <w:rFonts w:hint="eastAsia" w:ascii="宋体" w:hAnsi="宋体" w:cs="宋体"/>
          <w:b/>
          <w:spacing w:val="6"/>
          <w:sz w:val="36"/>
          <w:szCs w:val="36"/>
          <w:highlight w:val="none"/>
        </w:rPr>
      </w:pPr>
      <w:bookmarkStart w:id="407" w:name="_Toc15250"/>
      <w:bookmarkStart w:id="408" w:name="_Toc29521"/>
      <w:r>
        <w:rPr>
          <w:rFonts w:hint="eastAsia" w:ascii="宋体" w:hAnsi="宋体" w:cs="宋体"/>
          <w:b/>
          <w:spacing w:val="6"/>
          <w:sz w:val="36"/>
          <w:szCs w:val="36"/>
          <w:highlight w:val="none"/>
        </w:rPr>
        <w:br w:type="page"/>
      </w:r>
    </w:p>
    <w:bookmarkEnd w:id="407"/>
    <w:bookmarkEnd w:id="408"/>
    <w:p>
      <w:pPr>
        <w:spacing w:line="360" w:lineRule="auto"/>
        <w:jc w:val="both"/>
        <w:rPr>
          <w:rFonts w:hint="eastAsia" w:ascii="宋体" w:hAnsi="宋体" w:eastAsia="宋体" w:cs="宋体"/>
          <w:bCs w:val="0"/>
          <w:highlight w:val="none"/>
          <w:lang w:val="en-US" w:eastAsia="zh-CN"/>
        </w:rPr>
      </w:pPr>
      <w:bookmarkStart w:id="409" w:name="_Toc10243"/>
      <w:r>
        <w:rPr>
          <w:rFonts w:hint="eastAsia" w:ascii="宋体" w:hAnsi="宋体" w:eastAsia="宋体" w:cs="宋体"/>
          <w:b/>
          <w:bCs/>
          <w:sz w:val="28"/>
          <w:szCs w:val="28"/>
          <w:highlight w:val="none"/>
          <w:lang w:val="en-US" w:eastAsia="zh-CN"/>
        </w:rPr>
        <w:t>“信用中国”网站查询的信用报告</w:t>
      </w: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10605" cy="3481070"/>
            <wp:effectExtent l="0" t="0" r="44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72200" cy="3448685"/>
            <wp:effectExtent l="0" t="0" r="0"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5993130" cy="3397250"/>
            <wp:effectExtent l="0" t="0" r="762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19165" cy="3403600"/>
            <wp:effectExtent l="0" t="0" r="635"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025515" cy="3397885"/>
            <wp:effectExtent l="0" t="0" r="13335" b="1206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84570" cy="3452495"/>
            <wp:effectExtent l="0" t="0" r="11430" b="146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20765" cy="3474720"/>
            <wp:effectExtent l="0" t="0" r="13335"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97575" cy="3375025"/>
            <wp:effectExtent l="0" t="0" r="3175" b="158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hint="eastAsia" w:ascii="Times New Roman" w:hAnsi="Times New Roman" w:eastAsia="宋体" w:cs="Times New Roman"/>
          <w:color w:val="auto"/>
          <w:sz w:val="32"/>
          <w:szCs w:val="32"/>
          <w:highlight w:val="none"/>
        </w:rPr>
      </w:pPr>
      <w:r>
        <w:rPr>
          <w:rFonts w:ascii="Times New Roman" w:hAnsi="Times New Roman" w:eastAsia="宋体" w:cs="Times New Roman"/>
          <w:szCs w:val="20"/>
          <w:highlight w:val="none"/>
        </w:rPr>
        <w:drawing>
          <wp:inline distT="0" distB="0" distL="114300" distR="114300">
            <wp:extent cx="6045200" cy="3383280"/>
            <wp:effectExtent l="0" t="0" r="12700" b="762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45200" cy="3409950"/>
            <wp:effectExtent l="0" t="0" r="1270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p>
      <w:pPr>
        <w:rPr>
          <w:rFonts w:hint="eastAsia" w:ascii="宋体" w:hAnsi="宋体" w:eastAsia="宋体" w:cs="宋体"/>
          <w:b/>
          <w:kern w:val="2"/>
          <w:sz w:val="32"/>
          <w:szCs w:val="32"/>
          <w:highlight w:val="none"/>
          <w:lang w:val="en-US" w:eastAsia="zh-CN" w:bidi="ar-SA"/>
        </w:rPr>
      </w:pPr>
      <w:r>
        <w:rPr>
          <w:rFonts w:hint="eastAsia" w:ascii="宋体" w:hAnsi="宋体" w:eastAsia="宋体" w:cs="宋体"/>
          <w:b/>
          <w:kern w:val="2"/>
          <w:sz w:val="32"/>
          <w:szCs w:val="32"/>
          <w:highlight w:val="none"/>
          <w:lang w:val="en-US" w:eastAsia="zh-CN" w:bidi="ar-SA"/>
        </w:rPr>
        <w:br w:type="page"/>
      </w:r>
    </w:p>
    <w:p>
      <w:pPr>
        <w:pStyle w:val="6"/>
        <w:bidi w:val="0"/>
        <w:rPr>
          <w:rFonts w:hint="eastAsia" w:ascii="宋体" w:hAnsi="宋体" w:cs="宋体"/>
          <w:highlight w:val="none"/>
          <w:shd w:val="clear" w:color="auto" w:fill="FFFFFF"/>
        </w:rPr>
      </w:pPr>
      <w:bookmarkStart w:id="410" w:name="_Toc11918"/>
      <w:bookmarkStart w:id="411" w:name="_Toc31297"/>
      <w:r>
        <w:rPr>
          <w:rFonts w:hint="eastAsia"/>
          <w:highlight w:val="none"/>
          <w:lang w:val="en-US" w:eastAsia="zh-CN"/>
        </w:rPr>
        <w:t>附件4</w:t>
      </w:r>
      <w:bookmarkEnd w:id="409"/>
      <w:bookmarkEnd w:id="410"/>
      <w:r>
        <w:rPr>
          <w:rFonts w:hint="eastAsia"/>
          <w:highlight w:val="none"/>
          <w:lang w:val="en-US" w:eastAsia="zh-CN"/>
        </w:rPr>
        <w:t>：陕西省政府采购服务类项目供应商信用承诺书</w:t>
      </w:r>
      <w:bookmarkEnd w:id="411"/>
    </w:p>
    <w:p>
      <w:pPr>
        <w:pStyle w:val="26"/>
        <w:widowControl/>
        <w:shd w:val="clear" w:color="auto"/>
        <w:adjustRightInd w:val="0"/>
        <w:snapToGrid w:val="0"/>
        <w:spacing w:line="360" w:lineRule="auto"/>
        <w:ind w:firstLine="480"/>
        <w:jc w:val="center"/>
        <w:rPr>
          <w:rFonts w:hint="eastAsia" w:ascii="宋体" w:hAnsi="宋体" w:cs="宋体"/>
          <w:sz w:val="36"/>
          <w:szCs w:val="36"/>
          <w:highlight w:val="none"/>
        </w:rPr>
      </w:pPr>
      <w:r>
        <w:rPr>
          <w:rFonts w:hint="eastAsia" w:ascii="宋体" w:hAnsi="宋体" w:cs="宋体"/>
          <w:sz w:val="36"/>
          <w:szCs w:val="36"/>
          <w:highlight w:val="none"/>
          <w:shd w:val="clear" w:color="auto" w:fill="FFFFFF"/>
        </w:rPr>
        <w:t>陕西省政府采购服务类项目供应商信用承诺书</w:t>
      </w:r>
    </w:p>
    <w:p>
      <w:pPr>
        <w:pStyle w:val="26"/>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市场主体名称：</w:t>
      </w:r>
    </w:p>
    <w:p>
      <w:pPr>
        <w:pStyle w:val="26"/>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证件类型：统一社会信用代码</w:t>
      </w:r>
    </w:p>
    <w:p>
      <w:pPr>
        <w:pStyle w:val="26"/>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证件号码：</w:t>
      </w:r>
    </w:p>
    <w:p>
      <w:pPr>
        <w:pStyle w:val="26"/>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法人代表：</w:t>
      </w:r>
    </w:p>
    <w:p>
      <w:pPr>
        <w:pStyle w:val="26"/>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承诺有效期限：    年     月    日—    年    月      日</w:t>
      </w:r>
    </w:p>
    <w:p>
      <w:pPr>
        <w:pStyle w:val="26"/>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承诺内容：</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为维护公开、公平、公正的政府采购市场秩序，树立诚实守信的政府采购供应商形象，本单位自愿做出以下承诺：</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一、承诺本单位严格遵守国家法律、法规和规章，全面履行应尽的责任和义务，全面做到履约守信，具备《政府采购法》第二十二条第一款规定的条件;</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三、承诺本单位严格依法开展生产经营活动，主动接受行业监管，自愿接受依法开展的日常检查；违法失信经营后将自愿接受约束和惩戒，并依法承担相应责任；</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四、承诺本单位自觉接受行政管理部门、行业组织、社会公众、新闻舆论的监督；</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六、承诺本单位提出政府采购质疑和投诉坚持依法依规、诚实信用原则，在全国范围12个月内没有三次以上查无实据的政府采购投诉；</w:t>
      </w:r>
    </w:p>
    <w:p>
      <w:pPr>
        <w:pStyle w:val="26"/>
        <w:widowControl/>
        <w:shd w:val="clear" w:color="auto"/>
        <w:adjustRightInd w:val="0"/>
        <w:snapToGrid w:val="0"/>
        <w:spacing w:line="360" w:lineRule="auto"/>
        <w:ind w:firstLine="640"/>
        <w:jc w:val="both"/>
        <w:rPr>
          <w:rFonts w:hint="eastAsia" w:ascii="宋体" w:hAnsi="宋体" w:eastAsia="宋体" w:cs="宋体"/>
          <w:highlight w:val="none"/>
          <w:lang w:eastAsia="zh-CN"/>
        </w:rPr>
      </w:pPr>
      <w:r>
        <w:rPr>
          <w:rFonts w:hint="eastAsia" w:ascii="宋体" w:hAnsi="宋体" w:cs="宋体"/>
          <w:highlight w:val="none"/>
          <w:shd w:val="clear" w:color="auto" w:fill="FFFFFF"/>
        </w:rPr>
        <w:t>七、根据政府采购相关法律法规的规定需要作出的其他承诺：</w:t>
      </w:r>
      <w:r>
        <w:rPr>
          <w:rFonts w:hint="eastAsia" w:ascii="宋体" w:hAnsi="宋体" w:cs="宋体"/>
          <w:highlight w:val="none"/>
          <w:u w:val="single"/>
          <w:shd w:val="clear" w:color="auto" w:fill="FFFFFF"/>
        </w:rPr>
        <w:t>                                                                            </w:t>
      </w:r>
      <w:r>
        <w:rPr>
          <w:rFonts w:hint="eastAsia" w:ascii="宋体" w:hAnsi="宋体" w:cs="宋体"/>
          <w:highlight w:val="none"/>
          <w:u w:val="single"/>
          <w:shd w:val="clear" w:color="auto" w:fill="FFFFFF"/>
          <w:lang w:eastAsia="zh-CN"/>
        </w:rPr>
        <w:t>；</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         承诺单位（盖章）：</w:t>
      </w:r>
    </w:p>
    <w:p>
      <w:pPr>
        <w:pStyle w:val="26"/>
        <w:widowControl/>
        <w:shd w:val="clear" w:color="auto"/>
        <w:adjustRightInd w:val="0"/>
        <w:snapToGrid w:val="0"/>
        <w:spacing w:line="360" w:lineRule="auto"/>
        <w:ind w:firstLine="640"/>
        <w:jc w:val="both"/>
        <w:rPr>
          <w:rFonts w:hint="eastAsia" w:ascii="宋体" w:hAnsi="宋体" w:cs="宋体"/>
          <w:highlight w:val="none"/>
          <w:shd w:val="clear" w:color="auto" w:fill="FFFFFF"/>
        </w:rPr>
      </w:pPr>
      <w:r>
        <w:rPr>
          <w:rFonts w:hint="eastAsia" w:ascii="宋体" w:hAnsi="宋体" w:cs="宋体"/>
          <w:highlight w:val="none"/>
          <w:shd w:val="clear" w:color="auto" w:fill="FFFFFF"/>
        </w:rPr>
        <w:t>       法定代表人（负责人）：</w:t>
      </w:r>
    </w:p>
    <w:p>
      <w:pPr>
        <w:pStyle w:val="26"/>
        <w:widowControl/>
        <w:shd w:val="clear" w:color="auto"/>
        <w:adjustRightInd w:val="0"/>
        <w:snapToGrid w:val="0"/>
        <w:spacing w:line="360" w:lineRule="auto"/>
        <w:ind w:firstLine="1920" w:firstLineChars="80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法定代表人（负责人）身份证号：</w:t>
      </w:r>
    </w:p>
    <w:p>
      <w:pPr>
        <w:pStyle w:val="26"/>
        <w:widowControl/>
        <w:shd w:val="clear" w:color="auto"/>
        <w:adjustRightInd w:val="0"/>
        <w:snapToGrid w:val="0"/>
        <w:spacing w:line="360" w:lineRule="auto"/>
        <w:ind w:firstLine="640"/>
        <w:jc w:val="both"/>
        <w:rPr>
          <w:rFonts w:hint="eastAsia" w:ascii="宋体" w:hAnsi="宋体" w:cs="宋体"/>
          <w:highlight w:val="none"/>
          <w:shd w:val="clear" w:color="auto" w:fill="FFFFFF"/>
          <w:lang w:eastAsia="zh-CN"/>
        </w:rPr>
      </w:pPr>
      <w:r>
        <w:rPr>
          <w:rFonts w:hint="eastAsia" w:ascii="宋体" w:hAnsi="宋体" w:cs="宋体"/>
          <w:highlight w:val="none"/>
          <w:shd w:val="clear" w:color="auto" w:fill="FFFFFF"/>
        </w:rPr>
        <w:t>        承诺日期</w:t>
      </w:r>
      <w:r>
        <w:rPr>
          <w:rFonts w:hint="eastAsia" w:ascii="宋体" w:hAnsi="宋体" w:cs="宋体"/>
          <w:highlight w:val="none"/>
          <w:shd w:val="clear" w:color="auto" w:fill="FFFFFF"/>
          <w:lang w:eastAsia="zh-CN"/>
        </w:rPr>
        <w:t>：</w:t>
      </w:r>
    </w:p>
    <w:p>
      <w:pPr>
        <w:pStyle w:val="2"/>
        <w:ind w:firstLine="843" w:firstLineChars="300"/>
        <w:rPr>
          <w:rFonts w:hint="default" w:eastAsia="宋体"/>
          <w:highlight w:val="none"/>
          <w:lang w:val="en-US" w:eastAsia="zh-CN"/>
        </w:rPr>
      </w:pPr>
      <w:r>
        <w:rPr>
          <w:rFonts w:hint="eastAsia" w:ascii="宋体" w:hAnsi="宋体" w:eastAsia="宋体" w:cs="宋体"/>
          <w:b/>
          <w:bCs/>
          <w:sz w:val="28"/>
          <w:szCs w:val="28"/>
          <w:highlight w:val="none"/>
          <w:lang w:val="en-US" w:eastAsia="zh-CN"/>
        </w:rPr>
        <w:t>注：</w:t>
      </w:r>
      <w:r>
        <w:rPr>
          <w:rFonts w:hint="eastAsia" w:ascii="宋体" w:hAnsi="宋体" w:cs="宋体"/>
          <w:b/>
          <w:bCs/>
          <w:sz w:val="28"/>
          <w:szCs w:val="28"/>
          <w:highlight w:val="none"/>
          <w:lang w:val="en-US" w:eastAsia="zh-CN"/>
        </w:rPr>
        <w:t>1</w:t>
      </w:r>
      <w:r>
        <w:rPr>
          <w:rFonts w:hint="eastAsia" w:ascii="宋体" w:hAnsi="宋体" w:cs="宋体"/>
          <w:b/>
          <w:bCs/>
          <w:sz w:val="24"/>
          <w:szCs w:val="24"/>
          <w:highlight w:val="none"/>
          <w:lang w:val="en-US" w:eastAsia="zh-CN"/>
        </w:rPr>
        <w:t>.承诺有效期限自承诺之日起1年；</w:t>
      </w:r>
    </w:p>
    <w:p>
      <w:pPr>
        <w:spacing w:before="75" w:line="360" w:lineRule="auto"/>
        <w:ind w:left="3" w:firstLine="1446" w:firstLineChars="600"/>
        <w:rPr>
          <w:rFonts w:hint="default" w:ascii="宋体" w:hAnsi="宋体" w:eastAsia="宋体" w:cs="宋体"/>
          <w:b/>
          <w:bCs/>
          <w:sz w:val="28"/>
          <w:szCs w:val="28"/>
          <w:highlight w:val="none"/>
          <w:lang w:val="en-US" w:eastAsia="zh-CN"/>
        </w:rPr>
      </w:pP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后附信用中国（陕西榆林）网站自主上报的信用截图</w:t>
      </w:r>
      <w:r>
        <w:rPr>
          <w:rFonts w:hint="eastAsia" w:ascii="宋体" w:hAnsi="宋体" w:cs="宋体"/>
          <w:b/>
          <w:bCs/>
          <w:sz w:val="24"/>
          <w:szCs w:val="24"/>
          <w:highlight w:val="none"/>
          <w:lang w:val="en-US" w:eastAsia="zh-CN"/>
        </w:rPr>
        <w:t>。</w:t>
      </w:r>
    </w:p>
    <w:p>
      <w:pPr>
        <w:rPr>
          <w:rFonts w:hint="eastAsia" w:eastAsia="宋体"/>
          <w:highlight w:val="none"/>
          <w:lang w:eastAsia="zh-CN"/>
        </w:rPr>
      </w:pPr>
      <w:r>
        <w:rPr>
          <w:rFonts w:hint="eastAsia" w:eastAsia="宋体"/>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528" w:beforeLines="169" w:beforeAutospacing="0" w:after="471" w:afterLines="150" w:afterAutospacing="0" w:line="240" w:lineRule="auto"/>
        <w:ind w:firstLine="562" w:firstLineChars="200"/>
        <w:jc w:val="center"/>
        <w:textAlignment w:val="auto"/>
        <w:rPr>
          <w:rFonts w:hint="eastAsia" w:ascii="宋体" w:hAnsi="宋体" w:eastAsia="宋体" w:cs="宋体"/>
          <w:sz w:val="24"/>
          <w:szCs w:val="24"/>
          <w:highlight w:val="none"/>
        </w:rPr>
      </w:pPr>
      <w:r>
        <w:rPr>
          <w:rFonts w:hint="eastAsia" w:ascii="宋体" w:hAnsi="宋体" w:cs="宋体"/>
          <w:b/>
          <w:bCs/>
          <w:sz w:val="28"/>
          <w:szCs w:val="28"/>
          <w:highlight w:val="none"/>
          <w:lang w:eastAsia="zh-CN"/>
        </w:rPr>
        <w:t>供应商</w:t>
      </w:r>
      <w:r>
        <w:rPr>
          <w:rFonts w:hint="eastAsia" w:ascii="宋体" w:hAnsi="宋体" w:cs="宋体"/>
          <w:b/>
          <w:bCs/>
          <w:sz w:val="28"/>
          <w:szCs w:val="28"/>
          <w:highlight w:val="none"/>
          <w:lang w:val="en-US" w:eastAsia="zh-CN"/>
        </w:rPr>
        <w:t>委托代理人员</w:t>
      </w:r>
      <w:r>
        <w:rPr>
          <w:rFonts w:hint="eastAsia" w:ascii="宋体" w:hAnsi="宋体" w:eastAsia="宋体" w:cs="宋体"/>
          <w:b/>
          <w:bCs/>
          <w:sz w:val="28"/>
          <w:szCs w:val="28"/>
          <w:highlight w:val="none"/>
          <w:lang w:eastAsia="zh-CN"/>
        </w:rPr>
        <w:t>信用承诺书</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u w:val="single"/>
          <w:lang w:val="en-US" w:eastAsia="zh-CN"/>
        </w:rPr>
        <w:t xml:space="preserve">                        </w:t>
      </w:r>
      <w:r>
        <w:rPr>
          <w:rFonts w:hint="eastAsia" w:asciiTheme="minorEastAsia" w:hAnsiTheme="minorEastAsia" w:cstheme="minorEastAsia"/>
          <w:kern w:val="2"/>
          <w:sz w:val="24"/>
          <w:szCs w:val="24"/>
          <w:highlight w:val="none"/>
          <w:lang w:val="en-US" w:eastAsia="zh-CN" w:bidi="ar"/>
        </w:rPr>
        <w:t>（标段）</w:t>
      </w:r>
      <w:r>
        <w:rPr>
          <w:rFonts w:hint="eastAsia" w:ascii="宋体" w:hAnsi="宋体" w:eastAsia="宋体" w:cs="宋体"/>
          <w:sz w:val="24"/>
          <w:szCs w:val="24"/>
          <w:highlight w:val="none"/>
        </w:rPr>
        <w:t>项目招投标活动中，我公司（单位）郑重作出以下信用承诺：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（三）自愿接受招投标监督部门和有关行政监督部门的依法检查。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宋体" w:hAnsi="宋体" w:eastAsia="宋体" w:cs="宋体"/>
          <w:sz w:val="24"/>
          <w:szCs w:val="24"/>
          <w:highlight w:val="none"/>
        </w:rPr>
        <w:t>（五）若我公司（单位）及相关参与人员违背以上承诺事项，即被视为失信企（法人），依据《关于对公共资源交易领域严重失信主体开展联合惩戒的备忘录》(发改法规［2018] 457号），自愿接受失信联合惩戒和依法给予的行政处罚（处理），并依法承担赔偿责任和刑事责任。</w:t>
      </w:r>
    </w:p>
    <w:p>
      <w:pPr>
        <w:pStyle w:val="6"/>
        <w:keepNext/>
        <w:keepLines/>
        <w:pageBreakBefore w:val="0"/>
        <w:widowControl/>
        <w:kinsoku/>
        <w:wordWrap/>
        <w:overflowPunct/>
        <w:topLinePunct w:val="0"/>
        <w:autoSpaceDE/>
        <w:autoSpaceDN/>
        <w:bidi w:val="0"/>
        <w:adjustRightInd/>
        <w:snapToGrid/>
        <w:spacing w:before="0" w:after="0"/>
        <w:ind w:left="283"/>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sz w:val="24"/>
          <w:szCs w:val="24"/>
          <w:highlight w:val="none"/>
          <w:lang w:val="en-US" w:eastAsia="zh-CN"/>
        </w:rPr>
        <w:t>承诺有效期限：</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 至</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cs="宋体"/>
          <w:color w:val="000000"/>
          <w:sz w:val="24"/>
          <w:szCs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b w:val="0"/>
          <w:bCs/>
          <w:sz w:val="24"/>
          <w:szCs w:val="24"/>
          <w:highlight w:val="none"/>
          <w:u w:val="single"/>
          <w:lang w:val="en-US" w:eastAsia="zh-CN"/>
        </w:rPr>
      </w:pPr>
      <w:r>
        <w:rPr>
          <w:rFonts w:hint="eastAsia"/>
          <w:b w:val="0"/>
          <w:bCs/>
          <w:sz w:val="24"/>
          <w:szCs w:val="24"/>
          <w:highlight w:val="none"/>
          <w:lang w:val="en-US" w:eastAsia="zh-CN"/>
        </w:rPr>
        <w:t>供应商：</w:t>
      </w:r>
      <w:r>
        <w:rPr>
          <w:rFonts w:hint="eastAsia"/>
          <w:b w:val="0"/>
          <w:bCs/>
          <w:sz w:val="24"/>
          <w:szCs w:val="24"/>
          <w:highlight w:val="none"/>
          <w:u w:val="none"/>
          <w:lang w:val="en-US" w:eastAsia="zh-CN"/>
        </w:rPr>
        <w:t xml:space="preserve"> </w:t>
      </w:r>
      <w:r>
        <w:rPr>
          <w:rFonts w:hint="eastAsia"/>
          <w:b w:val="0"/>
          <w:bCs/>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highlight w:val="none"/>
          <w:u w:val="single"/>
          <w:lang w:val="en-US" w:eastAsia="zh-CN"/>
        </w:rPr>
      </w:pPr>
      <w:r>
        <w:rPr>
          <w:rFonts w:hint="eastAsia"/>
          <w:sz w:val="24"/>
          <w:szCs w:val="24"/>
          <w:highlight w:val="none"/>
          <w:lang w:val="en-US" w:eastAsia="zh-CN"/>
        </w:rPr>
        <w:t>承诺人（签字）：</w:t>
      </w:r>
      <w:r>
        <w:rPr>
          <w:rFonts w:hint="eastAsia"/>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lang w:eastAsia="zh-CN"/>
        </w:rPr>
      </w:pPr>
      <w:r>
        <w:rPr>
          <w:rFonts w:hint="eastAsia"/>
          <w:sz w:val="24"/>
          <w:szCs w:val="24"/>
          <w:highlight w:val="none"/>
          <w:lang w:val="en-US" w:eastAsia="zh-CN"/>
        </w:rPr>
        <w:t>承诺时间：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pPr>
        <w:pStyle w:val="2"/>
        <w:ind w:firstLine="843" w:firstLineChars="300"/>
        <w:rPr>
          <w:rFonts w:hint="eastAsia" w:ascii="宋体" w:hAnsi="宋体" w:cs="宋体"/>
          <w:b/>
          <w:bCs/>
          <w:sz w:val="24"/>
          <w:szCs w:val="24"/>
          <w:highlight w:val="none"/>
          <w:lang w:val="en-US" w:eastAsia="zh-CN"/>
        </w:rPr>
      </w:pPr>
      <w:r>
        <w:rPr>
          <w:rFonts w:hint="eastAsia" w:ascii="宋体" w:hAnsi="宋体" w:eastAsia="宋体" w:cs="宋体"/>
          <w:b/>
          <w:bCs/>
          <w:sz w:val="28"/>
          <w:szCs w:val="28"/>
          <w:highlight w:val="none"/>
          <w:lang w:val="en-US" w:eastAsia="zh-CN"/>
        </w:rPr>
        <w:t>注：</w:t>
      </w:r>
      <w:r>
        <w:rPr>
          <w:rFonts w:hint="eastAsia" w:ascii="宋体" w:hAnsi="宋体" w:cs="宋体"/>
          <w:b/>
          <w:bCs/>
          <w:sz w:val="28"/>
          <w:szCs w:val="28"/>
          <w:highlight w:val="none"/>
          <w:lang w:val="en-US" w:eastAsia="zh-CN"/>
        </w:rPr>
        <w:t>1、</w:t>
      </w:r>
      <w:r>
        <w:rPr>
          <w:rFonts w:hint="eastAsia" w:ascii="宋体" w:hAnsi="宋体" w:eastAsia="宋体" w:cs="宋体"/>
          <w:b/>
          <w:bCs/>
          <w:sz w:val="24"/>
          <w:szCs w:val="24"/>
          <w:highlight w:val="none"/>
          <w:lang w:val="en-US" w:eastAsia="zh-CN"/>
        </w:rPr>
        <w:t>后附信用中国（陕西榆林）网站自主上报的信用截图</w:t>
      </w:r>
      <w:r>
        <w:rPr>
          <w:rFonts w:hint="eastAsia" w:ascii="宋体" w:hAnsi="宋体" w:cs="宋体"/>
          <w:b/>
          <w:bCs/>
          <w:sz w:val="24"/>
          <w:szCs w:val="24"/>
          <w:highlight w:val="none"/>
          <w:lang w:val="en-US" w:eastAsia="zh-CN"/>
        </w:rPr>
        <w:t>。</w:t>
      </w:r>
    </w:p>
    <w:p>
      <w:pPr>
        <w:widowControl/>
        <w:kinsoku w:val="0"/>
        <w:autoSpaceDE w:val="0"/>
        <w:autoSpaceDN w:val="0"/>
        <w:adjustRightInd w:val="0"/>
        <w:snapToGrid w:val="0"/>
        <w:spacing w:line="240" w:lineRule="auto"/>
        <w:ind w:firstLine="1446" w:firstLineChars="600"/>
        <w:jc w:val="left"/>
        <w:textAlignment w:val="baseline"/>
        <w:rPr>
          <w:rFonts w:hint="eastAsia"/>
          <w:highlight w:val="none"/>
          <w:lang w:eastAsia="zh-CN"/>
        </w:rPr>
      </w:pPr>
      <w:r>
        <w:rPr>
          <w:rFonts w:hint="eastAsia" w:ascii="Times New Roman" w:hAnsi="宋体" w:eastAsia="宋体" w:cs="宋体"/>
          <w:b/>
          <w:snapToGrid/>
          <w:color w:val="auto"/>
          <w:kern w:val="2"/>
          <w:sz w:val="24"/>
          <w:szCs w:val="16"/>
          <w:highlight w:val="none"/>
          <w:lang w:val="en-US" w:eastAsia="zh-CN" w:bidi="ar-SA"/>
        </w:rPr>
        <w:t>2、</w:t>
      </w:r>
      <w:r>
        <w:rPr>
          <w:rFonts w:hint="eastAsia" w:hAnsi="宋体" w:cs="宋体"/>
          <w:b/>
          <w:snapToGrid/>
          <w:color w:val="auto"/>
          <w:kern w:val="2"/>
          <w:sz w:val="24"/>
          <w:szCs w:val="16"/>
          <w:highlight w:val="none"/>
          <w:lang w:val="en-US" w:eastAsia="zh-CN" w:bidi="ar-SA"/>
        </w:rPr>
        <w:t>供应商</w:t>
      </w:r>
      <w:r>
        <w:rPr>
          <w:rFonts w:hint="eastAsia" w:ascii="Times New Roman" w:hAnsi="宋体" w:eastAsia="宋体" w:cs="宋体"/>
          <w:b/>
          <w:snapToGrid/>
          <w:color w:val="auto"/>
          <w:kern w:val="2"/>
          <w:sz w:val="24"/>
          <w:szCs w:val="16"/>
          <w:highlight w:val="none"/>
          <w:lang w:val="en-US" w:eastAsia="zh-CN" w:bidi="ar-SA"/>
        </w:rPr>
        <w:t>委托代理人员信用承诺书需被委托人自己上传，不得用单位账号上传承诺书。</w:t>
      </w:r>
    </w:p>
    <w:sectPr>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hapStyle="1" w:chapSep="colon"/>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1)">
    <w:altName w:val="Arial"/>
    <w:panose1 w:val="00000000000000000000"/>
    <w:charset w:val="00"/>
    <w:family w:val="swiss"/>
    <w:pitch w:val="default"/>
    <w:sig w:usb0="00000000" w:usb1="00000000" w:usb2="00000008" w:usb3="00000000" w:csb0="000001F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02"/>
    <w:family w:val="decorative"/>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pPr>
                      <w:pStyle w:val="19"/>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FE702"/>
    <w:multiLevelType w:val="singleLevel"/>
    <w:tmpl w:val="8CEFE702"/>
    <w:lvl w:ilvl="0" w:tentative="0">
      <w:start w:val="1"/>
      <w:numFmt w:val="decimal"/>
      <w:suff w:val="nothing"/>
      <w:lvlText w:val="（%1）"/>
      <w:lvlJc w:val="left"/>
    </w:lvl>
  </w:abstractNum>
  <w:abstractNum w:abstractNumId="1">
    <w:nsid w:val="AD825F89"/>
    <w:multiLevelType w:val="singleLevel"/>
    <w:tmpl w:val="AD825F89"/>
    <w:lvl w:ilvl="0" w:tentative="0">
      <w:start w:val="1"/>
      <w:numFmt w:val="decimal"/>
      <w:suff w:val="nothing"/>
      <w:lvlText w:val="（%1）"/>
      <w:lvlJc w:val="left"/>
      <w:pPr>
        <w:ind w:left="-4"/>
      </w:pPr>
      <w:rPr>
        <w:rFonts w:hint="default"/>
        <w:b w:val="0"/>
        <w:bCs w:val="0"/>
      </w:rPr>
    </w:lvl>
  </w:abstractNum>
  <w:abstractNum w:abstractNumId="2">
    <w:nsid w:val="B67F2E8E"/>
    <w:multiLevelType w:val="singleLevel"/>
    <w:tmpl w:val="B67F2E8E"/>
    <w:lvl w:ilvl="0" w:tentative="0">
      <w:start w:val="1"/>
      <w:numFmt w:val="decimal"/>
      <w:suff w:val="nothing"/>
      <w:lvlText w:val="%1、"/>
      <w:lvlJc w:val="left"/>
    </w:lvl>
  </w:abstractNum>
  <w:abstractNum w:abstractNumId="3">
    <w:nsid w:val="24578AC9"/>
    <w:multiLevelType w:val="singleLevel"/>
    <w:tmpl w:val="24578AC9"/>
    <w:lvl w:ilvl="0" w:tentative="0">
      <w:start w:val="8"/>
      <w:numFmt w:val="decimal"/>
      <w:suff w:val="nothing"/>
      <w:lvlText w:val="%1、"/>
      <w:lvlJc w:val="left"/>
    </w:lvl>
  </w:abstractNum>
  <w:abstractNum w:abstractNumId="4">
    <w:nsid w:val="41CF3644"/>
    <w:multiLevelType w:val="singleLevel"/>
    <w:tmpl w:val="41CF3644"/>
    <w:lvl w:ilvl="0" w:tentative="0">
      <w:start w:val="1"/>
      <w:numFmt w:val="chineseCounting"/>
      <w:suff w:val="nothing"/>
      <w:lvlText w:val="%1、"/>
      <w:lvlJc w:val="left"/>
      <w:rPr>
        <w:rFonts w:hint="eastAsia"/>
      </w:rPr>
    </w:lvl>
  </w:abstractNum>
  <w:abstractNum w:abstractNumId="5">
    <w:nsid w:val="6B27D4EE"/>
    <w:multiLevelType w:val="singleLevel"/>
    <w:tmpl w:val="6B27D4EE"/>
    <w:lvl w:ilvl="0" w:tentative="0">
      <w:start w:val="10"/>
      <w:numFmt w:val="decimal"/>
      <w:suff w:val="nothing"/>
      <w:lvlText w:val="%1、"/>
      <w:lvlJc w:val="left"/>
    </w:lvl>
  </w:abstractNum>
  <w:abstractNum w:abstractNumId="6">
    <w:nsid w:val="724B0212"/>
    <w:multiLevelType w:val="multilevel"/>
    <w:tmpl w:val="724B0212"/>
    <w:lvl w:ilvl="0" w:tentative="0">
      <w:start w:val="1"/>
      <w:numFmt w:val="decimal"/>
      <w:pStyle w:val="50"/>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3"/>
  </w:num>
  <w:num w:numId="3">
    <w:abstractNumId w:val="5"/>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yMGZjNjdlN2VlNTQwOWMwMTNhNTc4ZTJhMTZmODUifQ=="/>
  </w:docVars>
  <w:rsids>
    <w:rsidRoot w:val="1DEC3F14"/>
    <w:rsid w:val="003752C8"/>
    <w:rsid w:val="004C49AC"/>
    <w:rsid w:val="00E371FE"/>
    <w:rsid w:val="00E455F8"/>
    <w:rsid w:val="00F40070"/>
    <w:rsid w:val="01233A9E"/>
    <w:rsid w:val="01671BDD"/>
    <w:rsid w:val="018650DF"/>
    <w:rsid w:val="01BE7323"/>
    <w:rsid w:val="01C82461"/>
    <w:rsid w:val="029864DE"/>
    <w:rsid w:val="02BA51E5"/>
    <w:rsid w:val="03255AA0"/>
    <w:rsid w:val="03BD5AE4"/>
    <w:rsid w:val="03FE7EAB"/>
    <w:rsid w:val="042A735D"/>
    <w:rsid w:val="04363AE8"/>
    <w:rsid w:val="045301F6"/>
    <w:rsid w:val="04BC0CAD"/>
    <w:rsid w:val="04FF037E"/>
    <w:rsid w:val="050140F6"/>
    <w:rsid w:val="0577480B"/>
    <w:rsid w:val="05A70C30"/>
    <w:rsid w:val="05C3315A"/>
    <w:rsid w:val="060379FA"/>
    <w:rsid w:val="060C0620"/>
    <w:rsid w:val="062E4A77"/>
    <w:rsid w:val="064B0A03"/>
    <w:rsid w:val="068E3768"/>
    <w:rsid w:val="06952D48"/>
    <w:rsid w:val="06A92350"/>
    <w:rsid w:val="06FF6413"/>
    <w:rsid w:val="0708351A"/>
    <w:rsid w:val="07492616"/>
    <w:rsid w:val="075C1AB8"/>
    <w:rsid w:val="0797489E"/>
    <w:rsid w:val="07DC0503"/>
    <w:rsid w:val="08273ADA"/>
    <w:rsid w:val="08B946DA"/>
    <w:rsid w:val="08CD6EE3"/>
    <w:rsid w:val="08FF0EBE"/>
    <w:rsid w:val="093B0542"/>
    <w:rsid w:val="0946032A"/>
    <w:rsid w:val="09CF6571"/>
    <w:rsid w:val="0A0C7033"/>
    <w:rsid w:val="0A1D6586"/>
    <w:rsid w:val="0A1D733A"/>
    <w:rsid w:val="0A5847B8"/>
    <w:rsid w:val="0B325009"/>
    <w:rsid w:val="0B90402D"/>
    <w:rsid w:val="0BB33D4E"/>
    <w:rsid w:val="0C1344C4"/>
    <w:rsid w:val="0C50326D"/>
    <w:rsid w:val="0CAE32A6"/>
    <w:rsid w:val="0CC25F19"/>
    <w:rsid w:val="0CEA3204"/>
    <w:rsid w:val="0D156991"/>
    <w:rsid w:val="0D2C7AC8"/>
    <w:rsid w:val="0D4252AC"/>
    <w:rsid w:val="0D517B72"/>
    <w:rsid w:val="0D7A79C9"/>
    <w:rsid w:val="0D7D30DD"/>
    <w:rsid w:val="0DCA769C"/>
    <w:rsid w:val="0E3F5C2E"/>
    <w:rsid w:val="0E675630"/>
    <w:rsid w:val="0E7476E7"/>
    <w:rsid w:val="0F5B5353"/>
    <w:rsid w:val="0FB87AA7"/>
    <w:rsid w:val="0FBB2283"/>
    <w:rsid w:val="10090303"/>
    <w:rsid w:val="10150A56"/>
    <w:rsid w:val="10304BDC"/>
    <w:rsid w:val="10680EA3"/>
    <w:rsid w:val="107C4C0E"/>
    <w:rsid w:val="109776BD"/>
    <w:rsid w:val="110765F0"/>
    <w:rsid w:val="11077236"/>
    <w:rsid w:val="111A6548"/>
    <w:rsid w:val="112F5B47"/>
    <w:rsid w:val="11CD0552"/>
    <w:rsid w:val="11E701D0"/>
    <w:rsid w:val="11EA4A7C"/>
    <w:rsid w:val="12767ED2"/>
    <w:rsid w:val="12843C71"/>
    <w:rsid w:val="128B14A3"/>
    <w:rsid w:val="12AA36D7"/>
    <w:rsid w:val="12B72672"/>
    <w:rsid w:val="12B96AED"/>
    <w:rsid w:val="12D76496"/>
    <w:rsid w:val="12E36023"/>
    <w:rsid w:val="130134CA"/>
    <w:rsid w:val="13143CA2"/>
    <w:rsid w:val="13335413"/>
    <w:rsid w:val="13405DEA"/>
    <w:rsid w:val="13651160"/>
    <w:rsid w:val="1386545F"/>
    <w:rsid w:val="13904FC3"/>
    <w:rsid w:val="13917771"/>
    <w:rsid w:val="13B862C8"/>
    <w:rsid w:val="13EA1322"/>
    <w:rsid w:val="14520C23"/>
    <w:rsid w:val="14676D23"/>
    <w:rsid w:val="146A5814"/>
    <w:rsid w:val="14700951"/>
    <w:rsid w:val="14A276E9"/>
    <w:rsid w:val="14BF7518"/>
    <w:rsid w:val="154A73F4"/>
    <w:rsid w:val="15543E30"/>
    <w:rsid w:val="15681628"/>
    <w:rsid w:val="159863B1"/>
    <w:rsid w:val="15C4489B"/>
    <w:rsid w:val="163C4F8E"/>
    <w:rsid w:val="164F4743"/>
    <w:rsid w:val="167115D2"/>
    <w:rsid w:val="1672275E"/>
    <w:rsid w:val="16B74615"/>
    <w:rsid w:val="16BA138B"/>
    <w:rsid w:val="16C80B2F"/>
    <w:rsid w:val="16D2144F"/>
    <w:rsid w:val="16DE614F"/>
    <w:rsid w:val="17092996"/>
    <w:rsid w:val="17D9680D"/>
    <w:rsid w:val="17FF3C8E"/>
    <w:rsid w:val="185D11EC"/>
    <w:rsid w:val="187813B3"/>
    <w:rsid w:val="18943B3D"/>
    <w:rsid w:val="18F002B2"/>
    <w:rsid w:val="18F205A4"/>
    <w:rsid w:val="19126B92"/>
    <w:rsid w:val="192D5062"/>
    <w:rsid w:val="19E27BFB"/>
    <w:rsid w:val="1A600FF5"/>
    <w:rsid w:val="1A7C7F4E"/>
    <w:rsid w:val="1A872550"/>
    <w:rsid w:val="1AFA05B0"/>
    <w:rsid w:val="1B9B0F1F"/>
    <w:rsid w:val="1CB13834"/>
    <w:rsid w:val="1CF739BD"/>
    <w:rsid w:val="1D0E695C"/>
    <w:rsid w:val="1D13631D"/>
    <w:rsid w:val="1D436C02"/>
    <w:rsid w:val="1D6E17A5"/>
    <w:rsid w:val="1D976F4E"/>
    <w:rsid w:val="1DEC3F14"/>
    <w:rsid w:val="1E081BFA"/>
    <w:rsid w:val="1E403142"/>
    <w:rsid w:val="1E432C32"/>
    <w:rsid w:val="1E967206"/>
    <w:rsid w:val="1EDA74E2"/>
    <w:rsid w:val="1EDC7F5E"/>
    <w:rsid w:val="1EE47F71"/>
    <w:rsid w:val="1F0B3750"/>
    <w:rsid w:val="1F6B0AE6"/>
    <w:rsid w:val="201725C8"/>
    <w:rsid w:val="20523600"/>
    <w:rsid w:val="20601879"/>
    <w:rsid w:val="209B333E"/>
    <w:rsid w:val="212270F6"/>
    <w:rsid w:val="213A1625"/>
    <w:rsid w:val="21691381"/>
    <w:rsid w:val="21B24356"/>
    <w:rsid w:val="21CA15BA"/>
    <w:rsid w:val="22405E06"/>
    <w:rsid w:val="227C5DA6"/>
    <w:rsid w:val="22AF0896"/>
    <w:rsid w:val="22F707A5"/>
    <w:rsid w:val="22FF35CB"/>
    <w:rsid w:val="23040BE2"/>
    <w:rsid w:val="23403BE4"/>
    <w:rsid w:val="23686699"/>
    <w:rsid w:val="23A56F38"/>
    <w:rsid w:val="23E67263"/>
    <w:rsid w:val="242D4701"/>
    <w:rsid w:val="243A562E"/>
    <w:rsid w:val="248A3369"/>
    <w:rsid w:val="24A54079"/>
    <w:rsid w:val="24C83E91"/>
    <w:rsid w:val="24FA3908"/>
    <w:rsid w:val="256E7030"/>
    <w:rsid w:val="257B7155"/>
    <w:rsid w:val="25B71843"/>
    <w:rsid w:val="25BF7042"/>
    <w:rsid w:val="25F807A6"/>
    <w:rsid w:val="26F91E08"/>
    <w:rsid w:val="271512FF"/>
    <w:rsid w:val="27192967"/>
    <w:rsid w:val="278B049D"/>
    <w:rsid w:val="27AA72E2"/>
    <w:rsid w:val="28173165"/>
    <w:rsid w:val="28462482"/>
    <w:rsid w:val="286E72D5"/>
    <w:rsid w:val="29357D34"/>
    <w:rsid w:val="2936586D"/>
    <w:rsid w:val="297553C5"/>
    <w:rsid w:val="29A41597"/>
    <w:rsid w:val="29CF45FA"/>
    <w:rsid w:val="2A25006E"/>
    <w:rsid w:val="2A2E4796"/>
    <w:rsid w:val="2A552F76"/>
    <w:rsid w:val="2A68414C"/>
    <w:rsid w:val="2A7678DC"/>
    <w:rsid w:val="2A847C5B"/>
    <w:rsid w:val="2AF7727E"/>
    <w:rsid w:val="2AFC57E6"/>
    <w:rsid w:val="2C05565E"/>
    <w:rsid w:val="2C29790B"/>
    <w:rsid w:val="2C963BB6"/>
    <w:rsid w:val="2CD2648D"/>
    <w:rsid w:val="2CF71713"/>
    <w:rsid w:val="2D067C4C"/>
    <w:rsid w:val="2D1F7A9D"/>
    <w:rsid w:val="2D40315E"/>
    <w:rsid w:val="2D616C31"/>
    <w:rsid w:val="2D7B4B34"/>
    <w:rsid w:val="2D834DF9"/>
    <w:rsid w:val="2DCD7B70"/>
    <w:rsid w:val="2DE60480"/>
    <w:rsid w:val="2E003612"/>
    <w:rsid w:val="2E1F0FC6"/>
    <w:rsid w:val="2E78375E"/>
    <w:rsid w:val="2EC2722A"/>
    <w:rsid w:val="2EE87609"/>
    <w:rsid w:val="2F584DDB"/>
    <w:rsid w:val="2FA379D4"/>
    <w:rsid w:val="2FBE001C"/>
    <w:rsid w:val="2FCE736A"/>
    <w:rsid w:val="30035821"/>
    <w:rsid w:val="30136908"/>
    <w:rsid w:val="30403475"/>
    <w:rsid w:val="309537C1"/>
    <w:rsid w:val="31C205E6"/>
    <w:rsid w:val="32522FA4"/>
    <w:rsid w:val="32A93554"/>
    <w:rsid w:val="33A15FD9"/>
    <w:rsid w:val="34030A42"/>
    <w:rsid w:val="344828F8"/>
    <w:rsid w:val="344A6670"/>
    <w:rsid w:val="34701152"/>
    <w:rsid w:val="347B35FA"/>
    <w:rsid w:val="348002E4"/>
    <w:rsid w:val="3489249A"/>
    <w:rsid w:val="348F0ACB"/>
    <w:rsid w:val="34CF642A"/>
    <w:rsid w:val="34E2448F"/>
    <w:rsid w:val="35154772"/>
    <w:rsid w:val="35A770FE"/>
    <w:rsid w:val="35B32950"/>
    <w:rsid w:val="35BF75DF"/>
    <w:rsid w:val="3627042C"/>
    <w:rsid w:val="363D1C84"/>
    <w:rsid w:val="363E2205"/>
    <w:rsid w:val="36433137"/>
    <w:rsid w:val="365305C5"/>
    <w:rsid w:val="36617CA1"/>
    <w:rsid w:val="367125DA"/>
    <w:rsid w:val="369E0EF6"/>
    <w:rsid w:val="36B94409"/>
    <w:rsid w:val="36D7535E"/>
    <w:rsid w:val="373552A4"/>
    <w:rsid w:val="37445C21"/>
    <w:rsid w:val="375D2B5F"/>
    <w:rsid w:val="379215D9"/>
    <w:rsid w:val="37B602DB"/>
    <w:rsid w:val="37ED5C91"/>
    <w:rsid w:val="37F039D3"/>
    <w:rsid w:val="38194CD8"/>
    <w:rsid w:val="383218F5"/>
    <w:rsid w:val="38433D36"/>
    <w:rsid w:val="387463B2"/>
    <w:rsid w:val="389D13B5"/>
    <w:rsid w:val="38A91892"/>
    <w:rsid w:val="38B642D4"/>
    <w:rsid w:val="391E271B"/>
    <w:rsid w:val="39331DC9"/>
    <w:rsid w:val="39406294"/>
    <w:rsid w:val="39785A2E"/>
    <w:rsid w:val="39FA4695"/>
    <w:rsid w:val="39FD5F33"/>
    <w:rsid w:val="3A2221C0"/>
    <w:rsid w:val="3A4C7833"/>
    <w:rsid w:val="3A5B15D7"/>
    <w:rsid w:val="3A775CE5"/>
    <w:rsid w:val="3B393EBA"/>
    <w:rsid w:val="3B5F50F7"/>
    <w:rsid w:val="3B8E32E7"/>
    <w:rsid w:val="3BF93960"/>
    <w:rsid w:val="3C060552"/>
    <w:rsid w:val="3C335493"/>
    <w:rsid w:val="3C7D1176"/>
    <w:rsid w:val="3C912080"/>
    <w:rsid w:val="3CAF1BA3"/>
    <w:rsid w:val="3CC3186F"/>
    <w:rsid w:val="3D5B3B5C"/>
    <w:rsid w:val="3DC75184"/>
    <w:rsid w:val="3DD31485"/>
    <w:rsid w:val="3DE14523"/>
    <w:rsid w:val="3E261732"/>
    <w:rsid w:val="3E817133"/>
    <w:rsid w:val="3E8B1D5F"/>
    <w:rsid w:val="3ECF0FD6"/>
    <w:rsid w:val="3ED92ACB"/>
    <w:rsid w:val="3F312907"/>
    <w:rsid w:val="3FCC1E51"/>
    <w:rsid w:val="3FD55988"/>
    <w:rsid w:val="400437A6"/>
    <w:rsid w:val="4036327C"/>
    <w:rsid w:val="403A3A3D"/>
    <w:rsid w:val="40D21EC7"/>
    <w:rsid w:val="40D7128C"/>
    <w:rsid w:val="41073ED6"/>
    <w:rsid w:val="4171741B"/>
    <w:rsid w:val="41CD6CF7"/>
    <w:rsid w:val="4269060A"/>
    <w:rsid w:val="42A076D3"/>
    <w:rsid w:val="42DE7867"/>
    <w:rsid w:val="42E64638"/>
    <w:rsid w:val="432A697B"/>
    <w:rsid w:val="43454BD3"/>
    <w:rsid w:val="43A45017"/>
    <w:rsid w:val="43AB0165"/>
    <w:rsid w:val="43CC0E50"/>
    <w:rsid w:val="43D53264"/>
    <w:rsid w:val="43FC3F5B"/>
    <w:rsid w:val="43FE7FBC"/>
    <w:rsid w:val="44625310"/>
    <w:rsid w:val="44F4340B"/>
    <w:rsid w:val="450D5023"/>
    <w:rsid w:val="45383663"/>
    <w:rsid w:val="456A0921"/>
    <w:rsid w:val="45C049E4"/>
    <w:rsid w:val="45F8417E"/>
    <w:rsid w:val="46013DBB"/>
    <w:rsid w:val="46362EF9"/>
    <w:rsid w:val="46951499"/>
    <w:rsid w:val="46A2053F"/>
    <w:rsid w:val="46AB7443"/>
    <w:rsid w:val="470262B2"/>
    <w:rsid w:val="473A5685"/>
    <w:rsid w:val="477C5DA4"/>
    <w:rsid w:val="47A81BD4"/>
    <w:rsid w:val="47A90442"/>
    <w:rsid w:val="47D66741"/>
    <w:rsid w:val="48106360"/>
    <w:rsid w:val="481E59F2"/>
    <w:rsid w:val="48427933"/>
    <w:rsid w:val="48757D08"/>
    <w:rsid w:val="48855264"/>
    <w:rsid w:val="48A357EC"/>
    <w:rsid w:val="492B48C1"/>
    <w:rsid w:val="49306839"/>
    <w:rsid w:val="493A1D15"/>
    <w:rsid w:val="49D547D7"/>
    <w:rsid w:val="4A2969BA"/>
    <w:rsid w:val="4AAA2FAB"/>
    <w:rsid w:val="4ABA7028"/>
    <w:rsid w:val="4ACF1226"/>
    <w:rsid w:val="4AD7205D"/>
    <w:rsid w:val="4ADB7BCB"/>
    <w:rsid w:val="4ADF5D5F"/>
    <w:rsid w:val="4AF173EE"/>
    <w:rsid w:val="4B3D2633"/>
    <w:rsid w:val="4B5C51AF"/>
    <w:rsid w:val="4B7A3887"/>
    <w:rsid w:val="4B9304A5"/>
    <w:rsid w:val="4BA30F80"/>
    <w:rsid w:val="4BE56910"/>
    <w:rsid w:val="4C150FBA"/>
    <w:rsid w:val="4C2C24BA"/>
    <w:rsid w:val="4C5145E8"/>
    <w:rsid w:val="4C742085"/>
    <w:rsid w:val="4C85381C"/>
    <w:rsid w:val="4CA95082"/>
    <w:rsid w:val="4CB31F72"/>
    <w:rsid w:val="4CE94821"/>
    <w:rsid w:val="4D931994"/>
    <w:rsid w:val="4DB96B59"/>
    <w:rsid w:val="4DEF478F"/>
    <w:rsid w:val="4E1A3B33"/>
    <w:rsid w:val="4E3D0275"/>
    <w:rsid w:val="4E8F45E7"/>
    <w:rsid w:val="4EA2112B"/>
    <w:rsid w:val="4EC45545"/>
    <w:rsid w:val="4EDB463D"/>
    <w:rsid w:val="4F7223C9"/>
    <w:rsid w:val="4FE439C5"/>
    <w:rsid w:val="502E69EF"/>
    <w:rsid w:val="505E56E1"/>
    <w:rsid w:val="5085479A"/>
    <w:rsid w:val="508B5BEF"/>
    <w:rsid w:val="509B0528"/>
    <w:rsid w:val="50E347CF"/>
    <w:rsid w:val="512A365A"/>
    <w:rsid w:val="51F25BDA"/>
    <w:rsid w:val="523227C6"/>
    <w:rsid w:val="52666914"/>
    <w:rsid w:val="53087098"/>
    <w:rsid w:val="533A5ABE"/>
    <w:rsid w:val="535F7965"/>
    <w:rsid w:val="537806AC"/>
    <w:rsid w:val="53EA6C2E"/>
    <w:rsid w:val="53EB01EA"/>
    <w:rsid w:val="54115EB0"/>
    <w:rsid w:val="545F207B"/>
    <w:rsid w:val="546450D5"/>
    <w:rsid w:val="54977204"/>
    <w:rsid w:val="54997D66"/>
    <w:rsid w:val="54B83630"/>
    <w:rsid w:val="55106F91"/>
    <w:rsid w:val="553B5E36"/>
    <w:rsid w:val="5560698D"/>
    <w:rsid w:val="55801A9A"/>
    <w:rsid w:val="55CE6CAA"/>
    <w:rsid w:val="55DB7EF9"/>
    <w:rsid w:val="55E633FD"/>
    <w:rsid w:val="5606725E"/>
    <w:rsid w:val="563E3B05"/>
    <w:rsid w:val="565A22EB"/>
    <w:rsid w:val="569476CE"/>
    <w:rsid w:val="5700304C"/>
    <w:rsid w:val="572E2DAA"/>
    <w:rsid w:val="573A6BA0"/>
    <w:rsid w:val="580A1AEF"/>
    <w:rsid w:val="587B6F29"/>
    <w:rsid w:val="58AC7489"/>
    <w:rsid w:val="58C3061C"/>
    <w:rsid w:val="58D42829"/>
    <w:rsid w:val="59253085"/>
    <w:rsid w:val="59310D69"/>
    <w:rsid w:val="597B2CA5"/>
    <w:rsid w:val="59975605"/>
    <w:rsid w:val="59BB12F3"/>
    <w:rsid w:val="59D64D5C"/>
    <w:rsid w:val="59E85597"/>
    <w:rsid w:val="59F14D15"/>
    <w:rsid w:val="5A6574B1"/>
    <w:rsid w:val="5A696FA1"/>
    <w:rsid w:val="5A955FE8"/>
    <w:rsid w:val="5AA12BDF"/>
    <w:rsid w:val="5AA4622B"/>
    <w:rsid w:val="5AE1122D"/>
    <w:rsid w:val="5B0E1379"/>
    <w:rsid w:val="5B8A5421"/>
    <w:rsid w:val="5B953DC6"/>
    <w:rsid w:val="5BFA36A0"/>
    <w:rsid w:val="5C001B87"/>
    <w:rsid w:val="5C34586C"/>
    <w:rsid w:val="5C781EAD"/>
    <w:rsid w:val="5C79623E"/>
    <w:rsid w:val="5CE82020"/>
    <w:rsid w:val="5D38765E"/>
    <w:rsid w:val="5D5A0E23"/>
    <w:rsid w:val="5DA6315A"/>
    <w:rsid w:val="5DE74DAC"/>
    <w:rsid w:val="5DFB0858"/>
    <w:rsid w:val="5E145476"/>
    <w:rsid w:val="5E260208"/>
    <w:rsid w:val="5E485C2D"/>
    <w:rsid w:val="5E9F7435"/>
    <w:rsid w:val="5EF332DD"/>
    <w:rsid w:val="5EF57055"/>
    <w:rsid w:val="5F09639B"/>
    <w:rsid w:val="5F9F6A80"/>
    <w:rsid w:val="5FCF3D4A"/>
    <w:rsid w:val="60082DB8"/>
    <w:rsid w:val="605B738C"/>
    <w:rsid w:val="607401A8"/>
    <w:rsid w:val="607D7175"/>
    <w:rsid w:val="607E193D"/>
    <w:rsid w:val="609A4358"/>
    <w:rsid w:val="61500EBB"/>
    <w:rsid w:val="615025B6"/>
    <w:rsid w:val="617036E2"/>
    <w:rsid w:val="61C15914"/>
    <w:rsid w:val="62162102"/>
    <w:rsid w:val="625C73EB"/>
    <w:rsid w:val="629152E7"/>
    <w:rsid w:val="62AE40EB"/>
    <w:rsid w:val="62E93375"/>
    <w:rsid w:val="62EB64DB"/>
    <w:rsid w:val="636A6698"/>
    <w:rsid w:val="636C18B0"/>
    <w:rsid w:val="63D062E3"/>
    <w:rsid w:val="63D53536"/>
    <w:rsid w:val="63D731CD"/>
    <w:rsid w:val="63FD473D"/>
    <w:rsid w:val="640D6BEF"/>
    <w:rsid w:val="640E0518"/>
    <w:rsid w:val="64495558"/>
    <w:rsid w:val="64572560"/>
    <w:rsid w:val="648D2F0A"/>
    <w:rsid w:val="64F8164D"/>
    <w:rsid w:val="652369C1"/>
    <w:rsid w:val="652B701A"/>
    <w:rsid w:val="65510D5D"/>
    <w:rsid w:val="65670581"/>
    <w:rsid w:val="65A417D5"/>
    <w:rsid w:val="65F862EA"/>
    <w:rsid w:val="660F7FAA"/>
    <w:rsid w:val="6615622F"/>
    <w:rsid w:val="6647640D"/>
    <w:rsid w:val="666A5908"/>
    <w:rsid w:val="66A01F9C"/>
    <w:rsid w:val="66A1772B"/>
    <w:rsid w:val="67163762"/>
    <w:rsid w:val="672809BA"/>
    <w:rsid w:val="675B2367"/>
    <w:rsid w:val="67A81A1A"/>
    <w:rsid w:val="67F36D9B"/>
    <w:rsid w:val="67F500C6"/>
    <w:rsid w:val="680432B4"/>
    <w:rsid w:val="684150B9"/>
    <w:rsid w:val="686D4100"/>
    <w:rsid w:val="687479C1"/>
    <w:rsid w:val="68CA3033"/>
    <w:rsid w:val="68E07260"/>
    <w:rsid w:val="68EA7D6B"/>
    <w:rsid w:val="68EB6F13"/>
    <w:rsid w:val="68ED244F"/>
    <w:rsid w:val="69564B94"/>
    <w:rsid w:val="6A06154D"/>
    <w:rsid w:val="6A4B221F"/>
    <w:rsid w:val="6B87197D"/>
    <w:rsid w:val="6BDB3A77"/>
    <w:rsid w:val="6C514C7A"/>
    <w:rsid w:val="6C5D448C"/>
    <w:rsid w:val="6C5E15D7"/>
    <w:rsid w:val="6C754DD8"/>
    <w:rsid w:val="6D0A01BF"/>
    <w:rsid w:val="6D597677"/>
    <w:rsid w:val="6D822D5A"/>
    <w:rsid w:val="6D8C23F7"/>
    <w:rsid w:val="6E0946A8"/>
    <w:rsid w:val="6E1D068C"/>
    <w:rsid w:val="6E755ABD"/>
    <w:rsid w:val="6EAA77FD"/>
    <w:rsid w:val="6EC44232"/>
    <w:rsid w:val="6FBF379C"/>
    <w:rsid w:val="6FF40E86"/>
    <w:rsid w:val="70512A2B"/>
    <w:rsid w:val="705A7660"/>
    <w:rsid w:val="70744E31"/>
    <w:rsid w:val="70827DBA"/>
    <w:rsid w:val="708C17E3"/>
    <w:rsid w:val="709427D5"/>
    <w:rsid w:val="70F27898"/>
    <w:rsid w:val="71285068"/>
    <w:rsid w:val="714D3EFB"/>
    <w:rsid w:val="716A5681"/>
    <w:rsid w:val="7188305A"/>
    <w:rsid w:val="71A52B5D"/>
    <w:rsid w:val="727F2885"/>
    <w:rsid w:val="72E26977"/>
    <w:rsid w:val="73214465"/>
    <w:rsid w:val="73D0240C"/>
    <w:rsid w:val="744F0B5E"/>
    <w:rsid w:val="74651F5F"/>
    <w:rsid w:val="74B70838"/>
    <w:rsid w:val="75142680"/>
    <w:rsid w:val="757D229D"/>
    <w:rsid w:val="75861C08"/>
    <w:rsid w:val="75B4336E"/>
    <w:rsid w:val="7621477C"/>
    <w:rsid w:val="76423819"/>
    <w:rsid w:val="76434905"/>
    <w:rsid w:val="76720CF3"/>
    <w:rsid w:val="76816FC9"/>
    <w:rsid w:val="768A40CF"/>
    <w:rsid w:val="77210BD3"/>
    <w:rsid w:val="7742316E"/>
    <w:rsid w:val="77CD0717"/>
    <w:rsid w:val="77E85551"/>
    <w:rsid w:val="78A05E2C"/>
    <w:rsid w:val="78A23952"/>
    <w:rsid w:val="78FB3062"/>
    <w:rsid w:val="797C23F5"/>
    <w:rsid w:val="79946AE4"/>
    <w:rsid w:val="79B55907"/>
    <w:rsid w:val="7AA34B52"/>
    <w:rsid w:val="7B2A40D3"/>
    <w:rsid w:val="7B5D0004"/>
    <w:rsid w:val="7B705F89"/>
    <w:rsid w:val="7BA164BD"/>
    <w:rsid w:val="7BA21E8B"/>
    <w:rsid w:val="7BB14156"/>
    <w:rsid w:val="7BB1648C"/>
    <w:rsid w:val="7BCA7A4A"/>
    <w:rsid w:val="7BE23537"/>
    <w:rsid w:val="7C167562"/>
    <w:rsid w:val="7C336FB7"/>
    <w:rsid w:val="7C356F8A"/>
    <w:rsid w:val="7C3B0C1A"/>
    <w:rsid w:val="7C436A6E"/>
    <w:rsid w:val="7C572CA5"/>
    <w:rsid w:val="7CD442F6"/>
    <w:rsid w:val="7CDA0729"/>
    <w:rsid w:val="7CF36E72"/>
    <w:rsid w:val="7D584F27"/>
    <w:rsid w:val="7DFB58B2"/>
    <w:rsid w:val="7E5D031B"/>
    <w:rsid w:val="7E70374D"/>
    <w:rsid w:val="7E9F77B7"/>
    <w:rsid w:val="7ECE4FDF"/>
    <w:rsid w:val="7F4F3AEF"/>
    <w:rsid w:val="7FAF6B2C"/>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link w:val="43"/>
    <w:qFormat/>
    <w:uiPriority w:val="0"/>
    <w:pPr>
      <w:keepNext/>
      <w:keepLines/>
      <w:spacing w:before="340" w:after="330" w:line="576" w:lineRule="auto"/>
      <w:outlineLvl w:val="0"/>
    </w:pPr>
    <w:rPr>
      <w:b/>
      <w:kern w:val="44"/>
      <w:sz w:val="44"/>
      <w:szCs w:val="20"/>
    </w:rPr>
  </w:style>
  <w:style w:type="paragraph" w:styleId="6">
    <w:name w:val="heading 2"/>
    <w:basedOn w:val="1"/>
    <w:next w:val="7"/>
    <w:qFormat/>
    <w:uiPriority w:val="0"/>
    <w:pPr>
      <w:keepNext/>
      <w:keepLines/>
      <w:spacing w:before="260" w:after="260" w:line="415" w:lineRule="auto"/>
      <w:outlineLvl w:val="1"/>
    </w:pPr>
    <w:rPr>
      <w:rFonts w:ascii="Arial" w:hAnsi="Arial" w:eastAsia="黑体"/>
      <w:b/>
      <w:sz w:val="32"/>
    </w:rPr>
  </w:style>
  <w:style w:type="paragraph" w:styleId="8">
    <w:name w:val="heading 3"/>
    <w:basedOn w:val="1"/>
    <w:next w:val="1"/>
    <w:qFormat/>
    <w:uiPriority w:val="0"/>
    <w:pPr>
      <w:keepNext/>
      <w:keepLines/>
      <w:spacing w:before="260" w:after="260" w:line="412" w:lineRule="auto"/>
      <w:outlineLvl w:val="2"/>
    </w:pPr>
    <w:rPr>
      <w:b/>
      <w:bCs/>
      <w:sz w:val="32"/>
      <w:szCs w:val="32"/>
    </w:rPr>
  </w:style>
  <w:style w:type="paragraph" w:styleId="9">
    <w:name w:val="heading 4"/>
    <w:basedOn w:val="1"/>
    <w:next w:val="1"/>
    <w:qFormat/>
    <w:uiPriority w:val="9"/>
    <w:pPr>
      <w:keepNext/>
      <w:keepLines/>
      <w:spacing w:before="280" w:after="290" w:line="376" w:lineRule="auto"/>
      <w:outlineLvl w:val="3"/>
    </w:pPr>
    <w:rPr>
      <w:rFonts w:ascii="Cambria" w:hAnsi="Cambria" w:eastAsia="宋体" w:cs="Times New Roman"/>
      <w:b/>
      <w:bCs/>
    </w:rPr>
  </w:style>
  <w:style w:type="paragraph" w:styleId="10">
    <w:name w:val="heading 5"/>
    <w:basedOn w:val="1"/>
    <w:next w:val="1"/>
    <w:qFormat/>
    <w:uiPriority w:val="1"/>
    <w:pPr>
      <w:spacing w:before="39"/>
      <w:ind w:left="1138"/>
      <w:outlineLvl w:val="5"/>
    </w:pPr>
    <w:rPr>
      <w:rFonts w:ascii="宋体" w:hAnsi="宋体" w:eastAsia="宋体" w:cs="宋体"/>
      <w:b/>
      <w:bCs/>
      <w:sz w:val="24"/>
      <w:szCs w:val="24"/>
      <w:lang w:val="zh-CN" w:eastAsia="zh-CN" w:bidi="zh-CN"/>
    </w:rPr>
  </w:style>
  <w:style w:type="paragraph" w:styleId="11">
    <w:name w:val="heading 6"/>
    <w:next w:val="1"/>
    <w:semiHidden/>
    <w:unhideWhenUsed/>
    <w:qFormat/>
    <w:uiPriority w:val="0"/>
    <w:pPr>
      <w:widowControl w:val="0"/>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RFI Heading 2nd Level Char"/>
    <w:basedOn w:val="1"/>
    <w:next w:val="4"/>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4">
    <w:name w:val="Normal 0.51"/>
    <w:basedOn w:val="1"/>
    <w:next w:val="1"/>
    <w:qFormat/>
    <w:uiPriority w:val="0"/>
    <w:pPr>
      <w:widowControl/>
      <w:autoSpaceDE/>
      <w:autoSpaceDN/>
      <w:spacing w:before="180" w:after="120" w:line="240" w:lineRule="auto"/>
      <w:ind w:left="720" w:firstLine="0"/>
      <w:jc w:val="both"/>
    </w:pPr>
    <w:rPr>
      <w:rFonts w:ascii="Times New Roman" w:eastAsia="宋体"/>
      <w:sz w:val="24"/>
    </w:rPr>
  </w:style>
  <w:style w:type="paragraph" w:styleId="7">
    <w:name w:val="Normal Indent"/>
    <w:basedOn w:val="1"/>
    <w:qFormat/>
    <w:uiPriority w:val="0"/>
    <w:pPr>
      <w:ind w:firstLine="420"/>
    </w:pPr>
    <w:rPr>
      <w:szCs w:val="20"/>
    </w:rPr>
  </w:style>
  <w:style w:type="paragraph" w:styleId="12">
    <w:name w:val="annotation text"/>
    <w:basedOn w:val="1"/>
    <w:semiHidden/>
    <w:qFormat/>
    <w:uiPriority w:val="0"/>
    <w:pPr>
      <w:jc w:val="left"/>
    </w:pPr>
  </w:style>
  <w:style w:type="paragraph" w:styleId="13">
    <w:name w:val="Body Text Indent"/>
    <w:basedOn w:val="1"/>
    <w:qFormat/>
    <w:uiPriority w:val="0"/>
    <w:pPr>
      <w:ind w:left="1083" w:leftChars="30" w:hanging="1020" w:hangingChars="425"/>
    </w:pPr>
    <w:rPr>
      <w:rFonts w:ascii="宋体" w:hAnsi="宋体"/>
      <w:sz w:val="24"/>
    </w:rPr>
  </w:style>
  <w:style w:type="paragraph" w:styleId="14">
    <w:name w:val="List 2"/>
    <w:basedOn w:val="1"/>
    <w:qFormat/>
    <w:uiPriority w:val="0"/>
    <w:pPr>
      <w:ind w:left="100" w:leftChars="200" w:hanging="200" w:hangingChars="200"/>
    </w:pPr>
    <w:rPr>
      <w:szCs w:val="24"/>
    </w:rPr>
  </w:style>
  <w:style w:type="paragraph" w:styleId="15">
    <w:name w:val="Block Text"/>
    <w:basedOn w:val="1"/>
    <w:qFormat/>
    <w:uiPriority w:val="99"/>
    <w:pPr>
      <w:spacing w:after="120"/>
      <w:ind w:left="1440" w:leftChars="700" w:right="1440" w:rightChars="700"/>
    </w:pPr>
  </w:style>
  <w:style w:type="paragraph" w:styleId="16">
    <w:name w:val="toc 3"/>
    <w:basedOn w:val="1"/>
    <w:next w:val="1"/>
    <w:qFormat/>
    <w:uiPriority w:val="0"/>
    <w:pPr>
      <w:ind w:left="840" w:leftChars="400"/>
    </w:pPr>
  </w:style>
  <w:style w:type="paragraph" w:styleId="17">
    <w:name w:val="Plain Text"/>
    <w:basedOn w:val="1"/>
    <w:qFormat/>
    <w:uiPriority w:val="0"/>
    <w:rPr>
      <w:rFonts w:hint="eastAsia" w:ascii="宋体" w:hAnsi="Courier New"/>
      <w:sz w:val="24"/>
    </w:rPr>
  </w:style>
  <w:style w:type="paragraph" w:styleId="18">
    <w:name w:val="Date"/>
    <w:basedOn w:val="1"/>
    <w:next w:val="1"/>
    <w:qFormat/>
    <w:uiPriority w:val="99"/>
    <w:rPr>
      <w:kern w:val="0"/>
      <w:sz w:val="24"/>
    </w:rPr>
  </w:style>
  <w:style w:type="paragraph" w:styleId="19">
    <w:name w:val="footer"/>
    <w:basedOn w:val="1"/>
    <w:next w:val="1"/>
    <w:qFormat/>
    <w:uiPriority w:val="0"/>
    <w:pPr>
      <w:snapToGrid w:val="0"/>
      <w:jc w:val="left"/>
    </w:pPr>
    <w:rPr>
      <w:sz w:val="18"/>
      <w:szCs w:val="18"/>
    </w:rPr>
  </w:style>
  <w:style w:type="paragraph" w:styleId="20">
    <w:name w:val="envelope return"/>
    <w:basedOn w:val="1"/>
    <w:qFormat/>
    <w:uiPriority w:val="0"/>
    <w:pPr>
      <w:snapToGrid w:val="0"/>
    </w:pPr>
    <w:rPr>
      <w:rFonts w:ascii="Arial" w:hAnsi="Arial"/>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0"/>
    <w:pPr>
      <w:spacing w:before="120" w:after="120"/>
      <w:jc w:val="left"/>
    </w:pPr>
    <w:rPr>
      <w:b/>
      <w:bCs/>
      <w:caps/>
      <w:sz w:val="20"/>
    </w:rPr>
  </w:style>
  <w:style w:type="paragraph" w:styleId="23">
    <w:name w:val="List"/>
    <w:basedOn w:val="1"/>
    <w:qFormat/>
    <w:uiPriority w:val="0"/>
    <w:pPr>
      <w:ind w:left="200" w:hanging="200" w:hangingChars="200"/>
    </w:pPr>
  </w:style>
  <w:style w:type="paragraph" w:styleId="24">
    <w:name w:val="toc 2"/>
    <w:basedOn w:val="1"/>
    <w:next w:val="1"/>
    <w:qFormat/>
    <w:uiPriority w:val="0"/>
    <w:pPr>
      <w:ind w:left="420" w:leftChars="200"/>
    </w:pPr>
  </w:style>
  <w:style w:type="paragraph" w:styleId="25">
    <w:name w:val="Body Text 2"/>
    <w:basedOn w:val="1"/>
    <w:qFormat/>
    <w:uiPriority w:val="0"/>
    <w:rPr>
      <w:rFonts w:ascii="楷体_GB2312" w:hAnsi="Copperplate Gothic Bold" w:eastAsia="楷体_GB2312"/>
      <w:kern w:val="2"/>
      <w:sz w:val="28"/>
    </w:rPr>
  </w:style>
  <w:style w:type="paragraph" w:styleId="26">
    <w:name w:val="Normal (Web)"/>
    <w:basedOn w:val="1"/>
    <w:next w:val="20"/>
    <w:qFormat/>
    <w:uiPriority w:val="0"/>
    <w:pPr>
      <w:jc w:val="left"/>
    </w:pPr>
    <w:rPr>
      <w:kern w:val="0"/>
      <w:sz w:val="24"/>
      <w:szCs w:val="24"/>
    </w:rPr>
  </w:style>
  <w:style w:type="paragraph" w:styleId="27">
    <w:name w:val="Title"/>
    <w:basedOn w:val="1"/>
    <w:next w:val="1"/>
    <w:qFormat/>
    <w:uiPriority w:val="10"/>
    <w:pPr>
      <w:spacing w:before="240" w:after="60"/>
      <w:jc w:val="center"/>
      <w:outlineLvl w:val="0"/>
    </w:pPr>
    <w:rPr>
      <w:rFonts w:ascii="Cambria" w:hAnsi="Cambria"/>
      <w:b/>
      <w:color w:val="000000"/>
      <w:kern w:val="0"/>
      <w:sz w:val="32"/>
      <w:szCs w:val="32"/>
    </w:rPr>
  </w:style>
  <w:style w:type="paragraph" w:styleId="28">
    <w:name w:val="Body Text First Indent"/>
    <w:basedOn w:val="2"/>
    <w:qFormat/>
    <w:uiPriority w:val="0"/>
    <w:pPr>
      <w:spacing w:after="120" w:afterLines="0" w:afterAutospacing="0"/>
      <w:ind w:firstLine="420" w:firstLineChars="100"/>
    </w:pPr>
    <w:rPr>
      <w:sz w:val="21"/>
    </w:rPr>
  </w:style>
  <w:style w:type="paragraph" w:styleId="29">
    <w:name w:val="Body Text First Indent 2"/>
    <w:basedOn w:val="13"/>
    <w:unhideWhenUsed/>
    <w:qFormat/>
    <w:uiPriority w:val="99"/>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sz w:val="27"/>
      <w:szCs w:val="27"/>
    </w:rPr>
  </w:style>
  <w:style w:type="character" w:styleId="34">
    <w:name w:val="FollowedHyperlink"/>
    <w:basedOn w:val="32"/>
    <w:qFormat/>
    <w:uiPriority w:val="0"/>
    <w:rPr>
      <w:color w:val="333333"/>
      <w:u w:val="none"/>
    </w:rPr>
  </w:style>
  <w:style w:type="character" w:styleId="35">
    <w:name w:val="Emphasis"/>
    <w:basedOn w:val="32"/>
    <w:qFormat/>
    <w:uiPriority w:val="0"/>
  </w:style>
  <w:style w:type="character" w:styleId="36">
    <w:name w:val="HTML Definition"/>
    <w:basedOn w:val="32"/>
    <w:qFormat/>
    <w:uiPriority w:val="0"/>
    <w:rPr>
      <w:i/>
      <w:iCs/>
    </w:rPr>
  </w:style>
  <w:style w:type="character" w:styleId="37">
    <w:name w:val="Hyperlink"/>
    <w:basedOn w:val="32"/>
    <w:qFormat/>
    <w:uiPriority w:val="0"/>
    <w:rPr>
      <w:color w:val="333333"/>
      <w:u w:val="none"/>
    </w:rPr>
  </w:style>
  <w:style w:type="character" w:styleId="38">
    <w:name w:val="HTML Code"/>
    <w:basedOn w:val="32"/>
    <w:qFormat/>
    <w:uiPriority w:val="0"/>
    <w:rPr>
      <w:rFonts w:ascii="Consolas" w:hAnsi="Consolas" w:eastAsia="Consolas" w:cs="Consolas"/>
      <w:color w:val="C7254E"/>
      <w:sz w:val="21"/>
      <w:szCs w:val="21"/>
      <w:shd w:val="clear" w:fill="F9F2F4"/>
    </w:rPr>
  </w:style>
  <w:style w:type="character" w:styleId="39">
    <w:name w:val="HTML Cite"/>
    <w:basedOn w:val="32"/>
    <w:qFormat/>
    <w:uiPriority w:val="0"/>
  </w:style>
  <w:style w:type="character" w:styleId="40">
    <w:name w:val="HTML Keyboard"/>
    <w:basedOn w:val="32"/>
    <w:qFormat/>
    <w:uiPriority w:val="0"/>
    <w:rPr>
      <w:rFonts w:hint="default" w:ascii="Consolas" w:hAnsi="Consolas" w:eastAsia="Consolas" w:cs="Consolas"/>
      <w:color w:val="FFFFFF"/>
      <w:sz w:val="21"/>
      <w:szCs w:val="21"/>
      <w:shd w:val="clear" w:fill="333333"/>
    </w:rPr>
  </w:style>
  <w:style w:type="character" w:styleId="41">
    <w:name w:val="HTML Sample"/>
    <w:basedOn w:val="32"/>
    <w:qFormat/>
    <w:uiPriority w:val="0"/>
    <w:rPr>
      <w:rFonts w:hint="default" w:ascii="Consolas" w:hAnsi="Consolas" w:eastAsia="Consolas" w:cs="Consolas"/>
      <w:sz w:val="21"/>
      <w:szCs w:val="21"/>
    </w:rPr>
  </w:style>
  <w:style w:type="paragraph" w:customStyle="1" w:styleId="42">
    <w:name w:val="*正文"/>
    <w:basedOn w:val="1"/>
    <w:qFormat/>
    <w:uiPriority w:val="0"/>
    <w:pPr>
      <w:widowControl/>
      <w:spacing w:before="120" w:after="100" w:afterAutospacing="1"/>
      <w:ind w:left="720" w:firstLine="200" w:firstLineChars="200"/>
      <w:jc w:val="center"/>
    </w:pPr>
    <w:rPr>
      <w:rFonts w:ascii="仿宋_GB2312" w:hAnsi="仿宋_GB2312" w:eastAsia="宋体" w:cs="宋体"/>
      <w:sz w:val="24"/>
    </w:rPr>
  </w:style>
  <w:style w:type="character" w:customStyle="1" w:styleId="43">
    <w:name w:val="标题 1 Char"/>
    <w:link w:val="5"/>
    <w:qFormat/>
    <w:uiPriority w:val="0"/>
    <w:rPr>
      <w:b/>
      <w:kern w:val="44"/>
      <w:sz w:val="44"/>
      <w:szCs w:val="20"/>
    </w:rPr>
  </w:style>
  <w:style w:type="paragraph" w:customStyle="1" w:styleId="44">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45">
    <w:name w:val="Style1"/>
    <w:qFormat/>
    <w:uiPriority w:val="0"/>
    <w:pPr>
      <w:spacing w:after="120"/>
      <w:jc w:val="both"/>
    </w:pPr>
    <w:rPr>
      <w:rFonts w:ascii="Calibri" w:hAnsi="Calibri" w:eastAsia="Times New Roman" w:cs="Times New Roman"/>
      <w:color w:val="000000"/>
      <w:spacing w:val="-3"/>
      <w:sz w:val="24"/>
      <w:szCs w:val="24"/>
      <w:lang w:val="en-US" w:eastAsia="zh-CN" w:bidi="ar-SA"/>
    </w:rPr>
  </w:style>
  <w:style w:type="paragraph" w:customStyle="1" w:styleId="46">
    <w:name w:val="NormalIndent"/>
    <w:basedOn w:val="1"/>
    <w:qFormat/>
    <w:uiPriority w:val="0"/>
    <w:pPr>
      <w:spacing w:line="240" w:lineRule="auto"/>
      <w:ind w:firstLine="420"/>
      <w:jc w:val="both"/>
      <w:textAlignment w:val="baseline"/>
    </w:pPr>
  </w:style>
  <w:style w:type="paragraph" w:customStyle="1" w:styleId="47">
    <w:name w:val="正文缩进1"/>
    <w:basedOn w:val="1"/>
    <w:qFormat/>
    <w:uiPriority w:val="0"/>
    <w:pPr>
      <w:ind w:firstLine="420" w:firstLineChars="200"/>
    </w:pPr>
  </w:style>
  <w:style w:type="paragraph" w:customStyle="1" w:styleId="48">
    <w:name w:val="首行缩进"/>
    <w:basedOn w:val="1"/>
    <w:qFormat/>
    <w:uiPriority w:val="0"/>
    <w:pPr>
      <w:spacing w:line="360" w:lineRule="auto"/>
      <w:ind w:firstLine="480" w:firstLineChars="200"/>
    </w:pPr>
    <w:rPr>
      <w:sz w:val="24"/>
      <w:szCs w:val="22"/>
      <w:lang w:val="zh-CN"/>
    </w:rPr>
  </w:style>
  <w:style w:type="paragraph" w:customStyle="1" w:styleId="49">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50">
    <w:name w:val="3级"/>
    <w:basedOn w:val="51"/>
    <w:qFormat/>
    <w:uiPriority w:val="0"/>
    <w:pPr>
      <w:numPr>
        <w:ilvl w:val="0"/>
        <w:numId w:val="1"/>
      </w:numPr>
      <w:ind w:firstLineChars="0"/>
      <w:outlineLvl w:val="2"/>
    </w:pPr>
  </w:style>
  <w:style w:type="paragraph" w:customStyle="1" w:styleId="51">
    <w:name w:val="列出段落1"/>
    <w:basedOn w:val="1"/>
    <w:qFormat/>
    <w:uiPriority w:val="0"/>
    <w:pPr>
      <w:ind w:firstLine="420" w:firstLineChars="200"/>
    </w:pPr>
    <w:rPr>
      <w:rFonts w:ascii="Calibri" w:hAnsi="Calibri"/>
      <w:szCs w:val="22"/>
    </w:rPr>
  </w:style>
  <w:style w:type="paragraph" w:customStyle="1" w:styleId="52">
    <w:name w:val="Table Paragraph"/>
    <w:basedOn w:val="1"/>
    <w:qFormat/>
    <w:uiPriority w:val="1"/>
    <w:rPr>
      <w:rFonts w:ascii="宋体" w:hAnsi="宋体" w:eastAsia="宋体" w:cs="宋体"/>
      <w:lang w:val="en-US" w:eastAsia="zh-CN" w:bidi="ar-SA"/>
    </w:rPr>
  </w:style>
  <w:style w:type="character" w:customStyle="1" w:styleId="53">
    <w:name w:val="indent"/>
    <w:basedOn w:val="32"/>
    <w:qFormat/>
    <w:uiPriority w:val="0"/>
  </w:style>
  <w:style w:type="character" w:customStyle="1" w:styleId="54">
    <w:name w:val="hour_am"/>
    <w:basedOn w:val="32"/>
    <w:qFormat/>
    <w:uiPriority w:val="0"/>
  </w:style>
  <w:style w:type="character" w:customStyle="1" w:styleId="55">
    <w:name w:val="hover3"/>
    <w:basedOn w:val="32"/>
    <w:qFormat/>
    <w:uiPriority w:val="0"/>
    <w:rPr>
      <w:shd w:val="clear" w:fill="EEEEEE"/>
    </w:rPr>
  </w:style>
  <w:style w:type="character" w:customStyle="1" w:styleId="56">
    <w:name w:val="hour_pm"/>
    <w:basedOn w:val="32"/>
    <w:qFormat/>
    <w:uiPriority w:val="0"/>
  </w:style>
  <w:style w:type="character" w:customStyle="1" w:styleId="57">
    <w:name w:val="old"/>
    <w:basedOn w:val="32"/>
    <w:qFormat/>
    <w:uiPriority w:val="0"/>
    <w:rPr>
      <w:color w:val="999999"/>
    </w:rPr>
  </w:style>
  <w:style w:type="character" w:customStyle="1" w:styleId="58">
    <w:name w:val="glyphicon4"/>
    <w:basedOn w:val="32"/>
    <w:qFormat/>
    <w:uiPriority w:val="0"/>
  </w:style>
  <w:style w:type="character" w:customStyle="1" w:styleId="59">
    <w:name w:val="button"/>
    <w:basedOn w:val="32"/>
    <w:qFormat/>
    <w:uiPriority w:val="0"/>
  </w:style>
  <w:style w:type="character" w:customStyle="1" w:styleId="60">
    <w:name w:val="tmpztreemove_arrow"/>
    <w:basedOn w:val="32"/>
    <w:qFormat/>
    <w:uiPriority w:val="0"/>
    <w:rPr>
      <w:shd w:val="clear" w:fill="FFFFFF"/>
    </w:rPr>
  </w:style>
  <w:style w:type="character" w:customStyle="1" w:styleId="61">
    <w:name w:val="hover"/>
    <w:basedOn w:val="32"/>
    <w:qFormat/>
    <w:uiPriority w:val="0"/>
    <w:rPr>
      <w:shd w:val="clear" w:fill="EEEEEE"/>
    </w:rPr>
  </w:style>
  <w:style w:type="paragraph" w:customStyle="1" w:styleId="62">
    <w:name w:val="title1"/>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63">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64">
    <w:name w:val="phone"/>
    <w:basedOn w:val="32"/>
    <w:qFormat/>
    <w:uiPriority w:val="0"/>
    <w:rPr>
      <w:color w:val="FF8833"/>
      <w:sz w:val="18"/>
      <w:szCs w:val="18"/>
    </w:rPr>
  </w:style>
  <w:style w:type="character" w:customStyle="1" w:styleId="65">
    <w:name w:val="number"/>
    <w:basedOn w:val="32"/>
    <w:qFormat/>
    <w:uiPriority w:val="0"/>
    <w:rPr>
      <w:color w:val="FF8833"/>
      <w:sz w:val="18"/>
      <w:szCs w:val="18"/>
    </w:rPr>
  </w:style>
  <w:style w:type="character" w:customStyle="1" w:styleId="66">
    <w:name w:val="proollist"/>
    <w:basedOn w:val="32"/>
    <w:qFormat/>
    <w:uiPriority w:val="0"/>
  </w:style>
  <w:style w:type="character" w:customStyle="1" w:styleId="67">
    <w:name w:val="beforeinfotext"/>
    <w:basedOn w:val="32"/>
    <w:qFormat/>
    <w:uiPriority w:val="0"/>
    <w:rPr>
      <w:color w:val="666666"/>
    </w:rPr>
  </w:style>
  <w:style w:type="character" w:customStyle="1" w:styleId="68">
    <w:name w:val="stclosebtn"/>
    <w:basedOn w:val="32"/>
    <w:qFormat/>
    <w:uiPriority w:val="0"/>
  </w:style>
  <w:style w:type="paragraph" w:customStyle="1" w:styleId="69">
    <w:name w:val="Heading #1|1"/>
    <w:basedOn w:val="1"/>
    <w:qFormat/>
    <w:uiPriority w:val="0"/>
    <w:pPr>
      <w:widowControl w:val="0"/>
      <w:shd w:val="clear" w:color="auto" w:fill="auto"/>
      <w:spacing w:after="240"/>
      <w:jc w:val="center"/>
      <w:outlineLvl w:val="0"/>
    </w:pPr>
    <w:rPr>
      <w:rFonts w:ascii="宋体" w:hAnsi="宋体" w:eastAsia="宋体" w:cs="宋体"/>
      <w:sz w:val="40"/>
      <w:szCs w:val="40"/>
      <w:u w:val="none"/>
      <w:shd w:val="clear" w:color="auto" w:fill="auto"/>
      <w:lang w:val="zh-TW" w:eastAsia="zh-TW" w:bidi="zh-TW"/>
    </w:rPr>
  </w:style>
  <w:style w:type="paragraph" w:customStyle="1" w:styleId="70">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styleId="71">
    <w:name w:val="List Paragraph"/>
    <w:basedOn w:val="1"/>
    <w:qFormat/>
    <w:uiPriority w:val="34"/>
    <w:pPr>
      <w:ind w:firstLine="420" w:firstLineChars="200"/>
    </w:pPr>
  </w:style>
  <w:style w:type="character" w:customStyle="1" w:styleId="72">
    <w:name w:val="glyphicon"/>
    <w:basedOn w:val="32"/>
    <w:qFormat/>
    <w:uiPriority w:val="0"/>
  </w:style>
  <w:style w:type="paragraph" w:customStyle="1" w:styleId="73">
    <w:name w:val="WPSOffice手动目录 1"/>
    <w:qFormat/>
    <w:uiPriority w:val="0"/>
    <w:pPr>
      <w:ind w:leftChars="0"/>
    </w:pPr>
    <w:rPr>
      <w:rFonts w:ascii="Times New Roman" w:hAnsi="Times New Roman" w:eastAsia="宋体" w:cs="Times New Roman"/>
      <w:sz w:val="20"/>
      <w:szCs w:val="20"/>
    </w:rPr>
  </w:style>
  <w:style w:type="paragraph" w:customStyle="1" w:styleId="74">
    <w:name w:val="WPSOffice手动目录 2"/>
    <w:qFormat/>
    <w:uiPriority w:val="0"/>
    <w:pPr>
      <w:ind w:leftChars="200"/>
    </w:pPr>
    <w:rPr>
      <w:rFonts w:ascii="Times New Roman" w:hAnsi="Times New Roman" w:eastAsia="宋体" w:cs="Times New Roman"/>
      <w:sz w:val="20"/>
      <w:szCs w:val="20"/>
    </w:rPr>
  </w:style>
  <w:style w:type="paragraph" w:customStyle="1" w:styleId="75">
    <w:name w:val="WPSOffice手动目录 3"/>
    <w:qFormat/>
    <w:uiPriority w:val="0"/>
    <w:pPr>
      <w:ind w:leftChars="400"/>
    </w:pPr>
    <w:rPr>
      <w:rFonts w:ascii="Times New Roman" w:hAnsi="Times New Roman" w:eastAsia="宋体" w:cs="Times New Roman"/>
      <w:sz w:val="20"/>
      <w:szCs w:val="20"/>
    </w:rPr>
  </w:style>
  <w:style w:type="character" w:customStyle="1" w:styleId="76">
    <w:name w:val="NormalCharacter"/>
    <w:link w:val="77"/>
    <w:semiHidden/>
    <w:qFormat/>
    <w:uiPriority w:val="0"/>
  </w:style>
  <w:style w:type="paragraph" w:customStyle="1" w:styleId="77">
    <w:name w:val="UserStyle_34"/>
    <w:basedOn w:val="1"/>
    <w:link w:val="76"/>
    <w:qFormat/>
    <w:uiPriority w:val="0"/>
  </w:style>
  <w:style w:type="character" w:customStyle="1" w:styleId="78">
    <w:name w:val="size"/>
    <w:basedOn w:val="32"/>
    <w:qFormat/>
    <w:uiPriority w:val="0"/>
    <w:rPr>
      <w:i/>
      <w:iCs/>
      <w:sz w:val="15"/>
      <w:szCs w:val="15"/>
    </w:rPr>
  </w:style>
  <w:style w:type="character" w:customStyle="1" w:styleId="79">
    <w:name w:val="me_close"/>
    <w:basedOn w:val="32"/>
    <w:qFormat/>
    <w:uiPriority w:val="0"/>
    <w:rPr>
      <w:b/>
      <w:bCs/>
      <w:color w:val="FFFFFF"/>
      <w:sz w:val="18"/>
      <w:szCs w:val="18"/>
      <w:shd w:val="clear" w:fill="6843FF"/>
    </w:rPr>
  </w:style>
  <w:style w:type="table" w:customStyle="1" w:styleId="8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38704</Words>
  <Characters>41052</Characters>
  <Lines>0</Lines>
  <Paragraphs>0</Paragraphs>
  <TotalTime>51</TotalTime>
  <ScaleCrop>false</ScaleCrop>
  <LinksUpToDate>false</LinksUpToDate>
  <CharactersWithSpaces>43324</CharactersWithSpaces>
  <Application>WPS Office_12.1.0.15673_F1E327BC-269C-435d-A152-05C5408002CA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2021-07-06T01:07:00Z</dcterms:created>
  <dc:creator>雪域</dc:creator>
  <cp:lastModifiedBy>RT</cp:lastModifiedBy>
  <cp:lastPrinted>2022-08-09T10:07:00Z</cp:lastPrinted>
  <dcterms:modified xsi:type="dcterms:W3CDTF">2023-09-20T02:53:18Z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2052-12.1.0.15673</vt:lpwstr>
  </property>
  <property fmtid="{D5CDD505-2E9C-101B-9397-08002B2CF9AE}" pid="3" name="ICV">
    <vt:lpwstr>0B761E707A384B828F09C8B185A28319</vt:lpwstr>
  </property>
</Properties>
</file>