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hAnsi="宋体" w:eastAsia="宋体" w:cs="宋体"/>
          <w:b/>
          <w:sz w:val="36"/>
          <w:highlight w:val="none"/>
          <w:lang w:val="en-US" w:eastAsia="zh-CN"/>
        </w:rPr>
      </w:pPr>
      <w:r>
        <w:rPr>
          <w:rFonts w:hint="eastAsia" w:hAnsi="宋体" w:cs="宋体"/>
          <w:b/>
          <w:bCs/>
          <w:sz w:val="32"/>
          <w:szCs w:val="32"/>
          <w:highlight w:val="none"/>
          <w:lang w:eastAsia="zh-CN"/>
        </w:rPr>
        <w:t>采购</w:t>
      </w:r>
      <w:r>
        <w:rPr>
          <w:rFonts w:hint="eastAsia" w:hAnsi="宋体" w:cs="宋体"/>
          <w:b/>
          <w:bCs/>
          <w:sz w:val="32"/>
          <w:szCs w:val="32"/>
          <w:highlight w:val="none"/>
        </w:rPr>
        <w:t>项目编号：YC23314001（CGQ）008</w:t>
      </w:r>
    </w:p>
    <w:p>
      <w:pPr>
        <w:bidi w:val="0"/>
        <w:rPr>
          <w:rFonts w:hint="eastAsia"/>
          <w:highlight w:val="none"/>
          <w:lang w:eastAsia="zh-CN"/>
        </w:rPr>
      </w:pPr>
    </w:p>
    <w:p>
      <w:pPr>
        <w:pStyle w:val="48"/>
        <w:spacing w:line="360" w:lineRule="auto"/>
        <w:rPr>
          <w:rFonts w:hint="eastAsia" w:ascii="宋体" w:hAnsi="宋体" w:cs="宋体"/>
          <w:b/>
          <w:bCs/>
          <w:sz w:val="32"/>
          <w:szCs w:val="32"/>
          <w:highlight w:val="none"/>
          <w:lang w:eastAsia="zh-CN"/>
        </w:rPr>
      </w:pPr>
    </w:p>
    <w:p>
      <w:pPr>
        <w:spacing w:line="360" w:lineRule="auto"/>
        <w:rPr>
          <w:rFonts w:hint="eastAsia" w:ascii="宋体" w:hAnsi="宋体" w:cs="宋体"/>
          <w:highlight w:val="none"/>
        </w:rPr>
      </w:pPr>
      <w:r>
        <w:rPr>
          <w:rFonts w:hint="eastAsia" w:ascii="宋体" w:hAnsi="宋体" w:cs="宋体"/>
          <w:highlight w:val="none"/>
        </w:rPr>
        <w:t xml:space="preserve">  </w:t>
      </w:r>
    </w:p>
    <w:p>
      <w:pPr>
        <w:spacing w:line="360" w:lineRule="auto"/>
        <w:jc w:val="center"/>
        <w:rPr>
          <w:rFonts w:hint="eastAsia" w:ascii="宋体" w:hAnsi="宋体" w:cs="宋体"/>
          <w:b/>
          <w:bCs/>
          <w:sz w:val="48"/>
          <w:szCs w:val="48"/>
          <w:highlight w:val="none"/>
        </w:rPr>
      </w:pPr>
      <w:r>
        <w:rPr>
          <w:rFonts w:hint="eastAsia" w:ascii="宋体" w:hAnsi="宋体" w:cs="宋体"/>
          <w:b/>
          <w:bCs/>
          <w:sz w:val="48"/>
          <w:szCs w:val="48"/>
          <w:highlight w:val="none"/>
          <w:lang w:val="en-US" w:eastAsia="zh-CN"/>
        </w:rPr>
        <w:t>农科大道（杲升路-榆麻路）道路建设用地文物调查、勘探报告编辑及技术服务项目</w:t>
      </w:r>
    </w:p>
    <w:p>
      <w:pPr>
        <w:spacing w:line="360" w:lineRule="auto"/>
        <w:jc w:val="center"/>
        <w:rPr>
          <w:rFonts w:hint="eastAsia" w:ascii="宋体" w:hAnsi="宋体" w:cs="宋体"/>
          <w:b/>
          <w:bCs/>
          <w:sz w:val="48"/>
          <w:szCs w:val="48"/>
          <w:highlight w:val="none"/>
        </w:rPr>
      </w:pPr>
    </w:p>
    <w:p>
      <w:pPr>
        <w:spacing w:line="360" w:lineRule="auto"/>
        <w:jc w:val="both"/>
        <w:rPr>
          <w:rFonts w:hint="eastAsia" w:ascii="宋体" w:hAnsi="宋体" w:cs="宋体"/>
          <w:b/>
          <w:bCs/>
          <w:sz w:val="72"/>
          <w:szCs w:val="72"/>
          <w:highlight w:val="none"/>
        </w:rPr>
      </w:pPr>
    </w:p>
    <w:p>
      <w:pPr>
        <w:spacing w:line="360" w:lineRule="auto"/>
        <w:jc w:val="center"/>
        <w:rPr>
          <w:rFonts w:hint="eastAsia" w:ascii="宋体" w:hAnsi="宋体" w:cs="宋体"/>
          <w:sz w:val="28"/>
          <w:szCs w:val="28"/>
          <w:highlight w:val="none"/>
        </w:rPr>
      </w:pPr>
      <w:r>
        <w:rPr>
          <w:rFonts w:hint="eastAsia" w:ascii="宋体" w:hAnsi="宋体" w:cs="宋体"/>
          <w:b/>
          <w:bCs/>
          <w:sz w:val="72"/>
          <w:szCs w:val="72"/>
          <w:highlight w:val="none"/>
        </w:rPr>
        <w:t>竞争性谈判文件</w:t>
      </w:r>
    </w:p>
    <w:p>
      <w:pPr>
        <w:bidi w:val="0"/>
        <w:spacing w:line="360" w:lineRule="auto"/>
        <w:rPr>
          <w:rFonts w:hint="eastAsia"/>
          <w:highlight w:val="none"/>
        </w:rPr>
      </w:pPr>
    </w:p>
    <w:p>
      <w:pPr>
        <w:bidi w:val="0"/>
        <w:spacing w:line="360" w:lineRule="auto"/>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autoSpaceDE w:val="0"/>
        <w:spacing w:line="360" w:lineRule="auto"/>
        <w:ind w:firstLine="723" w:firstLineChars="200"/>
        <w:rPr>
          <w:rFonts w:hint="default" w:ascii="宋体" w:hAnsi="宋体" w:cs="宋体"/>
          <w:b/>
          <w:bCs/>
          <w:sz w:val="36"/>
          <w:szCs w:val="36"/>
          <w:highlight w:val="none"/>
          <w:lang w:val="en-US" w:eastAsia="zh-CN"/>
        </w:rPr>
      </w:pPr>
      <w:r>
        <w:rPr>
          <w:rFonts w:hint="eastAsia" w:ascii="宋体" w:hAnsi="宋体" w:cs="宋体"/>
          <w:b/>
          <w:bCs/>
          <w:sz w:val="36"/>
          <w:szCs w:val="36"/>
          <w:highlight w:val="none"/>
        </w:rPr>
        <w:t>采   购   人：</w:t>
      </w:r>
      <w:r>
        <w:rPr>
          <w:rFonts w:hint="eastAsia" w:ascii="宋体" w:hAnsi="宋体" w:cs="宋体"/>
          <w:b/>
          <w:bCs/>
          <w:sz w:val="36"/>
          <w:szCs w:val="36"/>
          <w:highlight w:val="none"/>
          <w:lang w:val="en-US" w:eastAsia="zh-CN"/>
        </w:rPr>
        <w:t>榆林市文物考古勘探工作队</w:t>
      </w:r>
    </w:p>
    <w:p>
      <w:pPr>
        <w:autoSpaceDE w:val="0"/>
        <w:spacing w:line="360" w:lineRule="auto"/>
        <w:ind w:firstLine="723" w:firstLineChars="200"/>
        <w:rPr>
          <w:rFonts w:hint="eastAsia" w:ascii="宋体" w:hAnsi="宋体" w:cs="宋体"/>
          <w:b/>
          <w:bCs/>
          <w:sz w:val="36"/>
          <w:szCs w:val="36"/>
          <w:highlight w:val="none"/>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val="en-US" w:eastAsia="zh-CN"/>
        </w:rPr>
        <w:t>亿诚建设项目管理有限公司</w:t>
      </w:r>
    </w:p>
    <w:p>
      <w:pPr>
        <w:spacing w:line="360" w:lineRule="auto"/>
        <w:jc w:val="cente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t>二零二</w:t>
      </w:r>
      <w:r>
        <w:rPr>
          <w:rFonts w:hint="eastAsia" w:ascii="宋体" w:hAnsi="宋体" w:cs="宋体"/>
          <w:b/>
          <w:bCs/>
          <w:sz w:val="36"/>
          <w:szCs w:val="36"/>
          <w:highlight w:val="none"/>
          <w:lang w:val="en-US" w:eastAsia="zh-CN"/>
        </w:rPr>
        <w:t>三</w:t>
      </w:r>
      <w:r>
        <w:rPr>
          <w:rFonts w:hint="eastAsia" w:ascii="宋体" w:hAnsi="宋体" w:cs="宋体"/>
          <w:b/>
          <w:bCs/>
          <w:sz w:val="36"/>
          <w:szCs w:val="36"/>
          <w:highlight w:val="none"/>
          <w:lang w:eastAsia="zh-CN"/>
        </w:rPr>
        <w:t>年</w:t>
      </w:r>
      <w:r>
        <w:rPr>
          <w:rFonts w:hint="eastAsia" w:ascii="宋体" w:hAnsi="宋体" w:cs="宋体"/>
          <w:b/>
          <w:bCs/>
          <w:sz w:val="36"/>
          <w:szCs w:val="36"/>
          <w:highlight w:val="none"/>
          <w:lang w:val="en-US" w:eastAsia="zh-CN"/>
        </w:rPr>
        <w:t>八</w:t>
      </w:r>
      <w:r>
        <w:rPr>
          <w:rFonts w:hint="eastAsia" w:ascii="宋体" w:hAnsi="宋体" w:cs="宋体"/>
          <w:b/>
          <w:bCs/>
          <w:sz w:val="36"/>
          <w:szCs w:val="36"/>
          <w:highlight w:val="none"/>
          <w:lang w:eastAsia="zh-CN"/>
        </w:rPr>
        <w:t>月</w:t>
      </w:r>
    </w:p>
    <w:p>
      <w:pP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br w:type="page"/>
      </w:r>
    </w:p>
    <w:sdt>
      <w:sdtPr>
        <w:rPr>
          <w:rFonts w:ascii="宋体" w:hAnsi="宋体" w:eastAsia="宋体" w:cs="Times New Roman"/>
          <w:b/>
          <w:bCs/>
          <w:kern w:val="2"/>
          <w:sz w:val="20"/>
          <w:szCs w:val="20"/>
          <w:highlight w:val="none"/>
          <w:lang w:val="en-US" w:eastAsia="zh-CN" w:bidi="ar-SA"/>
        </w:rPr>
        <w:id w:val="147459033"/>
        <w15:color w:val="DBDBDB"/>
        <w:docPartObj>
          <w:docPartGallery w:val="Table of Contents"/>
          <w:docPartUnique/>
        </w:docPartObj>
      </w:sdtPr>
      <w:sdtEndPr>
        <w:rPr>
          <w:rFonts w:hint="eastAsia" w:ascii="宋体" w:hAnsi="宋体" w:eastAsia="宋体" w:cs="宋体"/>
          <w:b/>
          <w:bCs/>
          <w:kern w:val="2"/>
          <w:sz w:val="21"/>
          <w:szCs w:val="30"/>
          <w:highlight w:val="none"/>
          <w:lang w:val="en-US" w:eastAsia="zh-CN" w:bidi="ar-SA"/>
        </w:rPr>
      </w:sdtEndPr>
      <w:sdtContent>
        <w:p>
          <w:pPr>
            <w:spacing w:line="360" w:lineRule="auto"/>
            <w:jc w:val="center"/>
            <w:rPr>
              <w:b/>
              <w:bCs/>
              <w:sz w:val="36"/>
              <w:szCs w:val="36"/>
              <w:highlight w:val="none"/>
            </w:rPr>
          </w:pPr>
          <w:r>
            <w:rPr>
              <w:rFonts w:ascii="宋体" w:hAnsi="宋体" w:eastAsia="宋体"/>
              <w:b/>
              <w:bCs/>
              <w:sz w:val="36"/>
              <w:szCs w:val="36"/>
              <w:highlight w:val="none"/>
            </w:rPr>
            <w:t>目录</w:t>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"1-3" \h \u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_Toc17310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第一部分 </w:t>
          </w: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_Toc17310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一、项目基本情况</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_Toc20858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二、申请人的资格要求：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_Toc20858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_Toc23291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三、获取采购文件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_Toc23291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_Toc20284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四、响应文件提交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_Toc20284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_Toc24249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五、开启</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_Toc24249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_Toc15130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六、公告期限</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_Toc15130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_Toc6539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七、其他补充事宜</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_Toc6539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_Toc18219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八、对本次招标提出询问，请按以下方式联系。</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_Toc18219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_Toc14441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部分 供应商须知前附表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_Toc14441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_Toc14210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_Toc14210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_Toc15915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_Toc15915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_Toc26887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1.资金来源</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_Toc26887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 名词解释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_Toc22862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3.合格的供应商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_Toc22862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_Toc11926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产品（含服务）的合格性和合法性</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_Toc11926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_Toc6040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响应文件内容的真实性</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_Toc6040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_Toc31988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_Toc31988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_Toc6888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文件构成</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_Toc6888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_Toc2400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文件的修改和澄清</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_Toc2400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_Toc3503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_Toc3503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_Toc22409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语言和</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货币</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_Toc22409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_Toc25561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9.竞争性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响应文件的构成</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_Toc25561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_Toc30398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10.竞争性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_Toc30398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_Toc30274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11.谈判报价</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_Toc30274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_Toc28683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12.证明供应商合格的资格证明文件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_Toc28683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_Toc30431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13.证明的合格性和竞争性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文件规定的文件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_Toc30431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_Toc11846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14.</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保证金</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_Toc11846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_Toc27421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有效期</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_Toc27421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_Toc30569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16.竞争性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响应文件的式样和签署</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_Toc30569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四.竞争性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响应文件的递交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_Toc1600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_Toc19412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17.竞争性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响应文件的密封和标记</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_Toc19412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_Toc17969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18.竞争性谈判响应文件的递交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_Toc17969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_Toc25183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19.谈判的修改与撤回</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_Toc25183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_Toc19062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20.迟交的竞争性谈判响应文件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_Toc19062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五.</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与评标</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_Toc25336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21.</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_Toc25336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_Toc30349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22．评审组织及评审原则</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_Toc30349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_Toc28833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23．评审过程的保密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_Toc28833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_Toc32666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24．评审方法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_Toc32666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_Toc18428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25．评审程序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_Toc18428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六.成交、通知与签约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_Toc2081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_Toc20547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26．成交程序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_Toc20547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_Toc8412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27．成交通知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_Toc8412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_Toc11272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28. 成交合同的签订</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_Toc11272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_Toc27595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29.成交代理服务费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_Toc27595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_Toc16413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30.供应商提出质疑应符合中华人民共和国财政部令第94号《政府采购质疑和投诉办法》的规定</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_Toc16413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_Toc8711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第四部分 合同条款（仅供参考）</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_Toc8711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_Toc21144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第五部分 评标方法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_Toc21144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_Toc9509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1、第一阶段：资格性审查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_Toc9509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_Toc2863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2、第二阶段：符合性审查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_Toc2863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_Toc24753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3、第三阶段：技术和商务评审</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_Toc24753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_Toc10046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4、谈判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_Toc10046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_Toc9355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5、确定成交供应商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_Toc9355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_Toc1846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第六部分 采购内容及技术要求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_Toc1846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_Toc10032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第七部分  商务要求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_Toc10032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_Toc10308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部分 附件-竞争性谈判响应文件格式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_Toc10308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_Toc5933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_Toc5933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_Toc29811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_Toc29811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_Toc7506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、投标保证金</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_Toc7506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_Toc25747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_Toc25747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_Toc32098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_Toc32098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_Toc2734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_Toc12623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_Toc12623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_Toc4307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_Toc4307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_Toc31552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_Toc31552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_Toc22395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_Toc22395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_Toc3323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资格证明（谈判文件规定的资格证明原件复印件）。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_Toc3323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_Toc30676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三、其他可以证明投标供应商实力的文件。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_Toc30676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afterAutospacing="0"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_Toc5993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_Toc5993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before="0" w:beforeAutospacing="0" w:after="0" w:afterAutospacing="0" w:line="360" w:lineRule="auto"/>
            <w:ind w:left="0" w:leftChars="0" w:firstLine="840" w:firstLineChars="350"/>
            <w:rPr>
              <w:rFonts w:hint="eastAsia" w:ascii="宋体" w:hAnsi="宋体" w:eastAsia="宋体" w:cs="宋体"/>
              <w:b w:val="0"/>
              <w:bCs/>
              <w:caps w:val="0"/>
              <w:kern w:val="2"/>
              <w:sz w:val="24"/>
              <w:szCs w:val="24"/>
              <w:highlight w:val="none"/>
              <w:lang w:val="en-US" w:eastAsia="zh-CN" w:bidi="ar-SA"/>
            </w:rPr>
          </w:pPr>
          <w:r>
            <w:rPr>
              <w:rFonts w:hint="eastAsia" w:ascii="宋体" w:hAnsi="宋体" w:eastAsia="宋体" w:cs="宋体"/>
              <w:b w:val="0"/>
              <w:bCs/>
              <w:caps w:val="0"/>
              <w:kern w:val="2"/>
              <w:sz w:val="24"/>
              <w:szCs w:val="24"/>
              <w:highlight w:val="none"/>
              <w:lang w:val="en-US" w:eastAsia="zh-CN" w:bidi="ar-SA"/>
            </w:rPr>
            <w:fldChar w:fldCharType="begin"/>
          </w:r>
          <w:r>
            <w:rPr>
              <w:rFonts w:hint="eastAsia" w:ascii="宋体" w:hAnsi="宋体" w:eastAsia="宋体" w:cs="宋体"/>
              <w:b w:val="0"/>
              <w:bCs/>
              <w:caps w:val="0"/>
              <w:kern w:val="2"/>
              <w:sz w:val="24"/>
              <w:szCs w:val="24"/>
              <w:highlight w:val="none"/>
              <w:lang w:val="en-US" w:eastAsia="zh-CN" w:bidi="ar-SA"/>
            </w:rPr>
            <w:instrText xml:space="preserve"> HYPERLINK \l _Toc20924 </w:instrText>
          </w:r>
          <w:r>
            <w:rPr>
              <w:rFonts w:hint="eastAsia" w:ascii="宋体" w:hAnsi="宋体" w:eastAsia="宋体" w:cs="宋体"/>
              <w:b w:val="0"/>
              <w:bCs/>
              <w:caps w:val="0"/>
              <w:kern w:val="2"/>
              <w:sz w:val="24"/>
              <w:szCs w:val="24"/>
              <w:highlight w:val="none"/>
              <w:lang w:val="en-US" w:eastAsia="zh-CN" w:bidi="ar-SA"/>
            </w:rPr>
            <w:fldChar w:fldCharType="separate"/>
          </w:r>
          <w:r>
            <w:rPr>
              <w:rFonts w:hint="eastAsia" w:ascii="宋体" w:hAnsi="宋体" w:eastAsia="宋体" w:cs="宋体"/>
              <w:b w:val="0"/>
              <w:bCs/>
              <w:caps w:val="0"/>
              <w:kern w:val="2"/>
              <w:sz w:val="24"/>
              <w:szCs w:val="24"/>
              <w:highlight w:val="none"/>
              <w:lang w:val="en-US" w:eastAsia="zh-CN" w:bidi="ar-SA"/>
            </w:rPr>
            <w:t>附表一：同类业绩统计样表</w:t>
          </w:r>
          <w:r>
            <w:rPr>
              <w:rFonts w:hint="eastAsia" w:ascii="宋体" w:hAnsi="宋体" w:eastAsia="宋体" w:cs="宋体"/>
              <w:b w:val="0"/>
              <w:bCs/>
              <w:caps w:val="0"/>
              <w:kern w:val="2"/>
              <w:sz w:val="24"/>
              <w:szCs w:val="24"/>
              <w:highlight w:val="none"/>
              <w:lang w:val="en-US" w:eastAsia="zh-CN" w:bidi="ar-SA"/>
            </w:rPr>
            <w:tab/>
          </w:r>
          <w:r>
            <w:rPr>
              <w:rFonts w:hint="eastAsia" w:ascii="宋体" w:hAnsi="宋体" w:eastAsia="宋体" w:cs="宋体"/>
              <w:b w:val="0"/>
              <w:bCs/>
              <w:caps w:val="0"/>
              <w:kern w:val="2"/>
              <w:sz w:val="24"/>
              <w:szCs w:val="24"/>
              <w:highlight w:val="none"/>
              <w:lang w:val="en-US" w:eastAsia="zh-CN" w:bidi="ar-SA"/>
            </w:rPr>
            <w:fldChar w:fldCharType="begin"/>
          </w:r>
          <w:r>
            <w:rPr>
              <w:rFonts w:hint="eastAsia" w:ascii="宋体" w:hAnsi="宋体" w:eastAsia="宋体" w:cs="宋体"/>
              <w:b w:val="0"/>
              <w:bCs/>
              <w:caps w:val="0"/>
              <w:kern w:val="2"/>
              <w:sz w:val="24"/>
              <w:szCs w:val="24"/>
              <w:highlight w:val="none"/>
              <w:lang w:val="en-US" w:eastAsia="zh-CN" w:bidi="ar-SA"/>
            </w:rPr>
            <w:instrText xml:space="preserve"> PAGEREF _Toc20924 \h </w:instrText>
          </w:r>
          <w:r>
            <w:rPr>
              <w:rFonts w:hint="eastAsia" w:ascii="宋体" w:hAnsi="宋体" w:eastAsia="宋体" w:cs="宋体"/>
              <w:b w:val="0"/>
              <w:bCs/>
              <w:caps w:val="0"/>
              <w:kern w:val="2"/>
              <w:sz w:val="24"/>
              <w:szCs w:val="24"/>
              <w:highlight w:val="none"/>
              <w:lang w:val="en-US" w:eastAsia="zh-CN" w:bidi="ar-SA"/>
            </w:rPr>
            <w:fldChar w:fldCharType="separate"/>
          </w:r>
          <w:r>
            <w:rPr>
              <w:rFonts w:hint="eastAsia" w:ascii="宋体" w:hAnsi="宋体" w:eastAsia="宋体" w:cs="宋体"/>
              <w:b w:val="0"/>
              <w:bCs/>
              <w:caps w:val="0"/>
              <w:kern w:val="2"/>
              <w:sz w:val="24"/>
              <w:szCs w:val="24"/>
              <w:highlight w:val="none"/>
              <w:lang w:val="en-US" w:eastAsia="zh-CN" w:bidi="ar-SA"/>
            </w:rPr>
            <w:t>64</w:t>
          </w:r>
          <w:r>
            <w:rPr>
              <w:rFonts w:hint="eastAsia" w:ascii="宋体" w:hAnsi="宋体" w:eastAsia="宋体" w:cs="宋体"/>
              <w:b w:val="0"/>
              <w:bCs/>
              <w:caps w:val="0"/>
              <w:kern w:val="2"/>
              <w:sz w:val="24"/>
              <w:szCs w:val="24"/>
              <w:highlight w:val="none"/>
              <w:lang w:val="en-US" w:eastAsia="zh-CN" w:bidi="ar-SA"/>
            </w:rPr>
            <w:fldChar w:fldCharType="end"/>
          </w:r>
          <w:r>
            <w:rPr>
              <w:rFonts w:hint="eastAsia" w:ascii="宋体" w:hAnsi="宋体" w:eastAsia="宋体" w:cs="宋体"/>
              <w:b w:val="0"/>
              <w:bCs/>
              <w:caps w:val="0"/>
              <w:kern w:val="2"/>
              <w:sz w:val="24"/>
              <w:szCs w:val="24"/>
              <w:highlight w:val="none"/>
              <w:lang w:val="en-US" w:eastAsia="zh-CN" w:bidi="ar-SA"/>
            </w:rPr>
            <w:fldChar w:fldCharType="end"/>
          </w:r>
        </w:p>
        <w:p>
          <w:pPr>
            <w:pStyle w:val="16"/>
            <w:tabs>
              <w:tab w:val="right" w:leader="dot" w:pos="9746"/>
            </w:tabs>
            <w:spacing w:beforeAutospacing="0"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_Toc27456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附表二：拟投入本项目人员汇总表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_Toc27456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_Toc18989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附表三：拟投入本项目的主要人员简历表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_Toc18989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_Toc23591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_Toc23591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_Toc18023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_Toc18023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_Toc25036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_Toc25036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_Toc4387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_Toc4387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_Toc3772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_Toc3772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_Toc649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_Toc29447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_Toc29447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_Toc18636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_Toc18636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_Toc28915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十一、</w:t>
          </w:r>
          <w:r>
            <w:rPr>
              <w:rFonts w:hint="eastAsia" w:ascii="宋体" w:hAnsi="宋体" w:eastAsia="宋体" w:cs="宋体"/>
              <w:sz w:val="24"/>
              <w:szCs w:val="24"/>
              <w:highlight w:val="none"/>
            </w:rPr>
            <w:t xml:space="preserve"> 第二次报价表（最终报价表）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_Toc28915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spacing w:line="360" w:lineRule="auto"/>
            <w:jc w:val="left"/>
            <w:rPr>
              <w:rFonts w:hint="eastAsia" w:ascii="宋体" w:hAnsi="宋体" w:cs="宋体"/>
              <w:b/>
              <w:sz w:val="32"/>
              <w:szCs w:val="32"/>
              <w:highlight w:val="none"/>
            </w:rPr>
            <w:sectPr>
              <w:footerReference r:id="rId3" w:type="default"/>
              <w:footnotePr>
                <w:pos w:val="beneathText"/>
              </w:footnotePr>
              <w:pgSz w:w="11906" w:h="16838"/>
              <w:pgMar w:top="1440" w:right="1080" w:bottom="1440" w:left="1080" w:header="851" w:footer="992" w:gutter="0"/>
              <w:pgBorders>
                <w:top w:val="none" w:sz="0" w:space="0"/>
                <w:left w:val="none" w:sz="0" w:space="0"/>
                <w:bottom w:val="none" w:sz="0" w:space="0"/>
                <w:right w:val="none" w:sz="0" w:space="0"/>
              </w:pgBorders>
              <w:pgNumType w:start="1" w:chapStyle="1" w:chapSep="colon"/>
              <w:cols w:space="720" w:num="1"/>
              <w:docGrid w:linePitch="312" w:charSpace="0"/>
            </w:sectPr>
          </w:pPr>
          <w:r>
            <w:rPr>
              <w:rFonts w:hint="eastAsia" w:ascii="宋体" w:hAnsi="宋体" w:eastAsia="宋体" w:cs="宋体"/>
              <w:bCs w:val="0"/>
              <w:sz w:val="24"/>
              <w:szCs w:val="24"/>
              <w:highlight w:val="none"/>
            </w:rPr>
            <w:fldChar w:fldCharType="end"/>
          </w:r>
        </w:p>
      </w:sdtContent>
    </w:sdt>
    <w:p>
      <w:pPr>
        <w:pStyle w:val="5"/>
        <w:bidi w:val="0"/>
        <w:spacing w:before="0" w:beforeAutospacing="0" w:after="0" w:afterAutospacing="0"/>
        <w:jc w:val="center"/>
        <w:rPr>
          <w:rFonts w:hint="eastAsia"/>
          <w:highlight w:val="none"/>
          <w:lang w:val="en-US" w:eastAsia="zh-CN"/>
        </w:rPr>
      </w:pPr>
      <w:bookmarkStart w:id="0" w:name="_Toc12467"/>
      <w:bookmarkStart w:id="1" w:name="_Toc17310"/>
      <w:bookmarkStart w:id="2" w:name="_Toc15054"/>
      <w:bookmarkStart w:id="3" w:name="_Toc8666"/>
      <w:bookmarkStart w:id="4" w:name="_Toc4127"/>
      <w:r>
        <w:rPr>
          <w:rFonts w:hint="eastAsia"/>
          <w:highlight w:val="none"/>
        </w:rPr>
        <w:t xml:space="preserve">第一部分 </w:t>
      </w:r>
      <w:r>
        <w:rPr>
          <w:rFonts w:hint="eastAsia"/>
          <w:highlight w:val="none"/>
          <w:lang w:eastAsia="zh-CN"/>
        </w:rPr>
        <w:t>竞争性谈判</w:t>
      </w:r>
      <w:r>
        <w:rPr>
          <w:rFonts w:hint="eastAsia"/>
          <w:highlight w:val="none"/>
        </w:rPr>
        <w:t>公告</w:t>
      </w:r>
      <w:bookmarkEnd w:id="0"/>
      <w:bookmarkEnd w:id="1"/>
      <w:bookmarkEnd w:id="2"/>
      <w:bookmarkEnd w:id="3"/>
      <w:bookmarkEnd w:id="4"/>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Lines="0" w:beforeAutospacing="0" w:after="0" w:afterLines="0" w:afterAutospacing="0" w:line="600" w:lineRule="atLeast"/>
        <w:ind w:left="0" w:right="0" w:firstLine="0"/>
        <w:jc w:val="center"/>
        <w:textAlignment w:val="baseline"/>
        <w:rPr>
          <w:rFonts w:hint="eastAsia" w:ascii="宋体" w:hAnsi="宋体" w:eastAsia="宋体" w:cs="宋体"/>
          <w:b/>
          <w:bCs/>
          <w:color w:val="000000"/>
          <w:kern w:val="0"/>
          <w:sz w:val="32"/>
          <w:szCs w:val="24"/>
          <w:highlight w:val="none"/>
          <w:lang w:val="en-US" w:eastAsia="zh-CN" w:bidi="ar-SA"/>
        </w:rPr>
      </w:pPr>
      <w:bookmarkStart w:id="5" w:name="_Toc16282"/>
      <w:bookmarkStart w:id="6" w:name="_Toc20160"/>
      <w:bookmarkStart w:id="7" w:name="_Toc24088"/>
      <w:bookmarkStart w:id="8" w:name="_Toc21011"/>
      <w:r>
        <w:rPr>
          <w:rFonts w:hint="eastAsia" w:ascii="宋体" w:hAnsi="宋体" w:cs="宋体"/>
          <w:b/>
          <w:bCs/>
          <w:color w:val="000000"/>
          <w:kern w:val="0"/>
          <w:sz w:val="32"/>
          <w:szCs w:val="24"/>
          <w:highlight w:val="none"/>
          <w:lang w:val="en-US" w:eastAsia="zh-CN" w:bidi="ar-SA"/>
        </w:rPr>
        <w:t>农科大道（杲升路-榆麻路）道路建设用地文物调查、勘探报告编辑及技术服务项目</w:t>
      </w:r>
      <w:r>
        <w:rPr>
          <w:rFonts w:hint="default" w:ascii="宋体" w:hAnsi="宋体" w:eastAsia="宋体" w:cs="宋体"/>
          <w:b/>
          <w:bCs/>
          <w:color w:val="000000"/>
          <w:kern w:val="0"/>
          <w:sz w:val="32"/>
          <w:szCs w:val="24"/>
          <w:highlight w:val="none"/>
          <w:lang w:val="en-US" w:eastAsia="zh-CN" w:bidi="ar-SA"/>
        </w:rPr>
        <w:t>竞争性谈判公告</w:t>
      </w:r>
    </w:p>
    <w:p>
      <w:pPr>
        <w:bidi w:val="0"/>
        <w:rPr>
          <w:rFonts w:hint="eastAsia"/>
          <w:b/>
          <w:bCs/>
          <w:sz w:val="22"/>
          <w:szCs w:val="22"/>
          <w:highlight w:val="none"/>
          <w:lang w:val="en-US" w:eastAsia="zh-CN"/>
        </w:rPr>
      </w:pPr>
      <w:r>
        <w:rPr>
          <w:rFonts w:hint="eastAsia"/>
          <w:b/>
          <w:bCs/>
          <w:sz w:val="22"/>
          <w:szCs w:val="22"/>
          <w:highlight w:val="none"/>
          <w:lang w:val="en-US" w:eastAsia="zh-CN"/>
        </w:rPr>
        <w:t>项目概况</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农科大道（杲升路-榆麻路）道路建设用地文物调查、勘探报告编辑及技术服务项目</w:t>
      </w:r>
      <w:r>
        <w:rPr>
          <w:rFonts w:hint="eastAsia" w:ascii="宋体" w:hAnsi="宋体" w:eastAsia="宋体" w:cs="宋体"/>
          <w:color w:val="000000"/>
          <w:kern w:val="0"/>
          <w:sz w:val="24"/>
          <w:szCs w:val="21"/>
          <w:highlight w:val="none"/>
          <w:lang w:val="en-US" w:eastAsia="zh-CN" w:bidi="ar-SA"/>
        </w:rPr>
        <w:t>潜在的供应商可在（陕西省）公共资源交易中心平台CA锁免费下载获取采购文件，并于</w:t>
      </w:r>
      <w:r>
        <w:rPr>
          <w:rFonts w:hint="eastAsia" w:ascii="宋体" w:hAnsi="宋体" w:eastAsia="宋体" w:cs="宋体"/>
          <w:color w:val="000000"/>
          <w:kern w:val="0"/>
          <w:sz w:val="24"/>
          <w:szCs w:val="21"/>
          <w:highlight w:val="none"/>
          <w:shd w:val="clear"/>
          <w:lang w:val="en-US" w:eastAsia="zh-CN" w:bidi="ar-SA"/>
        </w:rPr>
        <w:t>202</w:t>
      </w:r>
      <w:r>
        <w:rPr>
          <w:rFonts w:hint="eastAsia" w:ascii="宋体" w:hAnsi="宋体" w:cs="宋体"/>
          <w:color w:val="000000"/>
          <w:kern w:val="0"/>
          <w:sz w:val="24"/>
          <w:szCs w:val="21"/>
          <w:highlight w:val="none"/>
          <w:shd w:val="clear"/>
          <w:lang w:val="en-US" w:eastAsia="zh-CN" w:bidi="ar-SA"/>
        </w:rPr>
        <w:t>3年08月24日09</w:t>
      </w:r>
      <w:r>
        <w:rPr>
          <w:rFonts w:hint="eastAsia" w:ascii="宋体" w:hAnsi="宋体" w:eastAsia="宋体" w:cs="宋体"/>
          <w:color w:val="000000"/>
          <w:kern w:val="0"/>
          <w:sz w:val="24"/>
          <w:szCs w:val="21"/>
          <w:highlight w:val="none"/>
          <w:shd w:val="clear"/>
          <w:lang w:val="en-US" w:eastAsia="zh-CN" w:bidi="ar-SA"/>
        </w:rPr>
        <w:t>:30:00</w:t>
      </w:r>
      <w:r>
        <w:rPr>
          <w:rFonts w:hint="eastAsia" w:ascii="宋体" w:hAnsi="宋体" w:eastAsia="宋体" w:cs="宋体"/>
          <w:color w:val="000000"/>
          <w:kern w:val="0"/>
          <w:sz w:val="24"/>
          <w:szCs w:val="21"/>
          <w:highlight w:val="none"/>
          <w:lang w:val="en-US" w:eastAsia="zh-CN" w:bidi="ar-SA"/>
        </w:rPr>
        <w:t>前递交响应文件。</w:t>
      </w:r>
    </w:p>
    <w:p>
      <w:pPr>
        <w:pStyle w:val="6"/>
        <w:bidi w:val="0"/>
        <w:spacing w:after="0" w:afterAutospacing="0"/>
        <w:rPr>
          <w:rFonts w:hint="eastAsia"/>
          <w:highlight w:val="none"/>
          <w:lang w:val="en-US" w:eastAsia="zh-CN"/>
        </w:rPr>
      </w:pPr>
      <w:bookmarkStart w:id="9" w:name="_Toc117"/>
      <w:r>
        <w:rPr>
          <w:rFonts w:hint="eastAsia"/>
          <w:highlight w:val="none"/>
          <w:lang w:val="en-US" w:eastAsia="zh-CN"/>
        </w:rPr>
        <w:t>一、项目基本情况</w:t>
      </w:r>
      <w:bookmarkEnd w:id="9"/>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项目编号：</w:t>
      </w:r>
      <w:r>
        <w:rPr>
          <w:rFonts w:hint="eastAsia" w:ascii="宋体" w:hAnsi="宋体" w:cs="宋体"/>
          <w:color w:val="000000"/>
          <w:kern w:val="0"/>
          <w:sz w:val="24"/>
          <w:szCs w:val="21"/>
          <w:highlight w:val="none"/>
          <w:lang w:val="en-US" w:eastAsia="zh-CN" w:bidi="ar-SA"/>
        </w:rPr>
        <w:t>YC23314001（CGQ）008</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项目名称：</w:t>
      </w:r>
      <w:r>
        <w:rPr>
          <w:rFonts w:hint="eastAsia" w:ascii="宋体" w:hAnsi="宋体" w:cs="宋体"/>
          <w:color w:val="000000"/>
          <w:kern w:val="0"/>
          <w:sz w:val="24"/>
          <w:szCs w:val="21"/>
          <w:highlight w:val="none"/>
          <w:lang w:val="en-US" w:eastAsia="zh-CN" w:bidi="ar-SA"/>
        </w:rPr>
        <w:t>农科大道（杲升路-榆麻路）道路建设用地文物调查、勘探报告编辑及技术服务项目</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采购方式：竞争性谈判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预算金额：</w:t>
      </w:r>
      <w:r>
        <w:rPr>
          <w:rFonts w:hint="eastAsia" w:ascii="宋体" w:hAnsi="宋体" w:cs="宋体"/>
          <w:color w:val="000000"/>
          <w:kern w:val="0"/>
          <w:sz w:val="24"/>
          <w:szCs w:val="21"/>
          <w:highlight w:val="none"/>
          <w:lang w:val="en-US" w:eastAsia="zh-CN" w:bidi="ar-SA"/>
        </w:rPr>
        <w:t>537563.00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采购需求：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农科大道（杲升路-榆麻路）道路建设用地文物调查、勘探报告编辑及技术服务项目</w:t>
      </w:r>
      <w:r>
        <w:rPr>
          <w:rFonts w:hint="eastAsia" w:ascii="宋体" w:hAnsi="宋体" w:eastAsia="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合同包预算金额：</w:t>
      </w:r>
      <w:r>
        <w:rPr>
          <w:rFonts w:hint="eastAsia" w:ascii="宋体" w:hAnsi="宋体" w:cs="宋体"/>
          <w:color w:val="000000"/>
          <w:kern w:val="0"/>
          <w:sz w:val="24"/>
          <w:szCs w:val="21"/>
          <w:highlight w:val="none"/>
          <w:lang w:val="en-US" w:eastAsia="zh-CN" w:bidi="ar-SA"/>
        </w:rPr>
        <w:t>537563.00</w:t>
      </w:r>
      <w:r>
        <w:rPr>
          <w:rFonts w:hint="eastAsia" w:ascii="宋体" w:hAnsi="宋体" w:eastAsia="宋体" w:cs="宋体"/>
          <w:color w:val="000000"/>
          <w:kern w:val="0"/>
          <w:sz w:val="24"/>
          <w:szCs w:val="21"/>
          <w:highlight w:val="none"/>
          <w:lang w:val="en-US" w:eastAsia="zh-CN" w:bidi="ar-SA"/>
        </w:rPr>
        <w:t>元</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合同包最高限价：</w:t>
      </w:r>
      <w:r>
        <w:rPr>
          <w:rFonts w:hint="eastAsia" w:ascii="宋体" w:hAnsi="宋体" w:cs="宋体"/>
          <w:color w:val="000000"/>
          <w:kern w:val="0"/>
          <w:sz w:val="24"/>
          <w:szCs w:val="21"/>
          <w:highlight w:val="none"/>
          <w:lang w:val="en-US" w:eastAsia="zh-CN" w:bidi="ar-SA"/>
        </w:rPr>
        <w:t>537563.00</w:t>
      </w:r>
      <w:r>
        <w:rPr>
          <w:rFonts w:hint="eastAsia" w:ascii="宋体" w:hAnsi="宋体" w:eastAsia="宋体" w:cs="宋体"/>
          <w:color w:val="000000"/>
          <w:kern w:val="0"/>
          <w:sz w:val="24"/>
          <w:szCs w:val="21"/>
          <w:highlight w:val="none"/>
          <w:lang w:val="en-US" w:eastAsia="zh-CN" w:bidi="ar-SA"/>
        </w:rPr>
        <w:t>元</w:t>
      </w:r>
    </w:p>
    <w:tbl>
      <w:tblPr>
        <w:tblStyle w:val="3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7"/>
        <w:gridCol w:w="1784"/>
        <w:gridCol w:w="3038"/>
        <w:gridCol w:w="720"/>
        <w:gridCol w:w="1264"/>
        <w:gridCol w:w="1328"/>
        <w:gridCol w:w="1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blHeader/>
        </w:trPr>
        <w:tc>
          <w:tcPr>
            <w:tcW w:w="25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品目号</w:t>
            </w:r>
          </w:p>
        </w:tc>
        <w:tc>
          <w:tcPr>
            <w:tcW w:w="89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品目名称</w:t>
            </w:r>
          </w:p>
        </w:tc>
        <w:tc>
          <w:tcPr>
            <w:tcW w:w="152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采购标的</w:t>
            </w:r>
          </w:p>
        </w:tc>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数量（单位）</w:t>
            </w:r>
          </w:p>
        </w:tc>
        <w:tc>
          <w:tcPr>
            <w:tcW w:w="6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技术规格、参数及要求</w:t>
            </w:r>
          </w:p>
        </w:tc>
        <w:tc>
          <w:tcPr>
            <w:tcW w:w="6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品目预算(元)</w:t>
            </w:r>
          </w:p>
        </w:tc>
        <w:tc>
          <w:tcPr>
            <w:tcW w:w="6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25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w:t>
            </w:r>
          </w:p>
        </w:tc>
        <w:tc>
          <w:tcPr>
            <w:tcW w:w="89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文物和文化保护服务</w:t>
            </w:r>
          </w:p>
        </w:tc>
        <w:tc>
          <w:tcPr>
            <w:tcW w:w="152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农科大道（杲升路-榆麻路）道路建设用地文物调查、勘探报告编辑及技术服务项目</w:t>
            </w:r>
          </w:p>
        </w:tc>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1(项)</w:t>
            </w:r>
          </w:p>
        </w:tc>
        <w:tc>
          <w:tcPr>
            <w:tcW w:w="6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详见采购文件</w:t>
            </w:r>
          </w:p>
        </w:tc>
        <w:tc>
          <w:tcPr>
            <w:tcW w:w="6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537563.00</w:t>
            </w:r>
          </w:p>
        </w:tc>
        <w:tc>
          <w:tcPr>
            <w:tcW w:w="66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537563.00</w:t>
            </w:r>
          </w:p>
        </w:tc>
      </w:tr>
    </w:tbl>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本合同包不接受联合体投标</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合同履行期限：合同签订后</w:t>
      </w:r>
      <w:r>
        <w:rPr>
          <w:rFonts w:hint="eastAsia" w:ascii="宋体" w:hAnsi="宋体" w:cs="宋体"/>
          <w:color w:val="000000"/>
          <w:kern w:val="0"/>
          <w:sz w:val="24"/>
          <w:szCs w:val="21"/>
          <w:highlight w:val="none"/>
          <w:lang w:val="en-US" w:eastAsia="zh-CN" w:bidi="ar-SA"/>
        </w:rPr>
        <w:t>55</w:t>
      </w:r>
      <w:r>
        <w:rPr>
          <w:rFonts w:hint="eastAsia" w:ascii="宋体" w:hAnsi="宋体" w:eastAsia="宋体" w:cs="宋体"/>
          <w:color w:val="000000"/>
          <w:kern w:val="0"/>
          <w:sz w:val="24"/>
          <w:szCs w:val="21"/>
          <w:highlight w:val="none"/>
          <w:lang w:val="en-US" w:eastAsia="zh-CN" w:bidi="ar-SA"/>
        </w:rPr>
        <w:t>日内完工（具体服务起止日期可随合同签订时间相应顺延）。</w:t>
      </w:r>
    </w:p>
    <w:p>
      <w:pPr>
        <w:pStyle w:val="6"/>
        <w:bidi w:val="0"/>
        <w:spacing w:before="0" w:beforeAutospacing="0" w:after="0" w:afterAutospacing="0"/>
        <w:rPr>
          <w:rFonts w:hint="eastAsia"/>
          <w:highlight w:val="none"/>
          <w:lang w:val="en-US" w:eastAsia="zh-CN"/>
        </w:rPr>
      </w:pPr>
      <w:bookmarkStart w:id="10" w:name="_Toc20858"/>
      <w:r>
        <w:rPr>
          <w:rFonts w:hint="eastAsia"/>
          <w:highlight w:val="none"/>
          <w:lang w:val="en-US" w:eastAsia="zh-CN"/>
        </w:rPr>
        <w:t>二、申请人的资格要求：</w:t>
      </w:r>
      <w:bookmarkEnd w:id="10"/>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1.满足《中华人民共和国政府采购法》第二十二条规定;</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2.落实政府采购政策需满足的资格要求：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农科大道（杲升路-榆麻路）道路建设用地文物调查、勘探报告编辑及技术服务项目</w:t>
      </w:r>
      <w:r>
        <w:rPr>
          <w:rFonts w:hint="eastAsia" w:ascii="宋体" w:hAnsi="宋体" w:eastAsia="宋体" w:cs="宋体"/>
          <w:color w:val="000000"/>
          <w:kern w:val="0"/>
          <w:sz w:val="24"/>
          <w:szCs w:val="21"/>
          <w:highlight w:val="none"/>
          <w:lang w:val="en-US" w:eastAsia="zh-CN" w:bidi="ar-SA"/>
        </w:rPr>
        <w:t>)落实政府采购政策需满足的资格要求如下: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①《政府采购促进中小企业发展管理办法》的通知--财库〔2020〕46号；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②《财政部司法部关于政府采购支持监狱企业发展有关问题的通知》（财库〔2014〕68号）；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③《国务院办公厅关于建立政府强制采购节能产品制度的通知》（国办发〔2007〕51号）；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④根据《陕西省财政厅关于进一步加大政府采购支持中小企业力度的通知》（陕财办采〔2022〕5号）；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⑤《榆林市财政局关于进一步加大政府采购支持中小企业力度的通知》（榆政财采发〔2022〕10号）；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⑥《陕西省财政厅关于印发《陕西省中小企业政府采购信用融资办法》（陕财办采〔2018〕23号）；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⑦《财政部民政部中国残疾人联合会关于促进残疾人就业政府采购政策的通知》（财库〔2017〕141号）；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⑧《关于在政府采购活动中查询及使用信用记录有关问题的通知》（财库〔2016〕125号；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⑨《节能产品政府采购实施意见》（财库[2004]185号）；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⑩《环境标志产品政府采购实施的意见》（财库[2006]90号）；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⑪陕西省财政厅关于进一步落实政府采购支持中小企业相关政策的通知-陕财办采〔2023〕3号；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⑫陕西省财政厅关于进一步优化政府采购营商环境有关事项的通知-陕财办采〔2023〕4号；</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⑬其他需要落实的政府采购政策。</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3.本项目的特定资格要求：</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农科大道（杲升路-榆麻路）道路建设用地文物调查、勘探报告编辑及技术服务项目</w:t>
      </w:r>
      <w:r>
        <w:rPr>
          <w:rFonts w:hint="eastAsia" w:ascii="宋体" w:hAnsi="宋体" w:eastAsia="宋体" w:cs="宋体"/>
          <w:color w:val="000000"/>
          <w:kern w:val="0"/>
          <w:sz w:val="24"/>
          <w:szCs w:val="21"/>
          <w:highlight w:val="none"/>
          <w:lang w:val="en-US" w:eastAsia="zh-CN" w:bidi="ar-SA"/>
        </w:rPr>
        <w:t>)特定资格要求如下:</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1、供应商须具备独立承担民事责任能力的法人或其他组织，并出具合法有效的营业执照或事业单位法人证书等国家规定的相关证明；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政府采购严重违法失信行为记录名单；</w:t>
      </w:r>
      <w:r>
        <w:rPr>
          <w:rFonts w:hint="eastAsia" w:ascii="宋体" w:hAnsi="宋体" w:eastAsia="宋体" w:cs="宋体"/>
          <w:sz w:val="24"/>
          <w:szCs w:val="24"/>
          <w:highlight w:val="none"/>
        </w:rPr>
        <w:t>不得列入中国执行信息公开网（http://shixin.court.gov.cn/）失信被执行人名单（被执行人包括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、法定代表人）、不得在中国裁判文书网（http://wenshu.court.gov.cn/）有行贿犯罪记录（被执行人包括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eastAsia="zh-CN"/>
        </w:rPr>
        <w:t>；</w:t>
      </w:r>
      <w:r>
        <w:rPr>
          <w:rFonts w:hint="eastAsia" w:ascii="宋体" w:hAnsi="宋体" w:eastAsia="宋体" w:cs="宋体"/>
          <w:color w:val="000000"/>
          <w:kern w:val="0"/>
          <w:sz w:val="24"/>
          <w:szCs w:val="21"/>
          <w:highlight w:val="none"/>
          <w:lang w:val="en-US" w:eastAsia="zh-CN" w:bidi="ar-SA"/>
        </w:rPr>
        <w:t>不得为中国政府采购网（www.ccgp.gov.cn）政府采购严重违法失信行为记录名单中被财政部门禁止参加政府采购活动的供应商</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提供信用中国网站下载的供应商信用信息信用报告和网查截图全部加盖供应商公章</w:t>
      </w:r>
      <w:r>
        <w:rPr>
          <w:rFonts w:hint="eastAsia" w:ascii="宋体" w:hAnsi="宋体" w:cs="宋体"/>
          <w:color w:val="000000"/>
          <w:kern w:val="0"/>
          <w:sz w:val="24"/>
          <w:szCs w:val="21"/>
          <w:highlight w:val="none"/>
          <w:lang w:val="en-US" w:eastAsia="zh-CN" w:bidi="ar-SA"/>
        </w:rPr>
        <w:t>（查询日期为从谈判文件获取之日起至响应文件截止日前但最终以投标截止日当天查询结果为准）</w:t>
      </w:r>
      <w:r>
        <w:rPr>
          <w:rFonts w:hint="eastAsia" w:ascii="宋体" w:hAnsi="宋体" w:eastAsia="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8、本项目不接受联合体投标，单位负责人为同一人或者存在直接控股、管理关系的不同供应商，不得参加同一合同项下的政府采购活动；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11、本项目不专门面向中小企业采购。</w:t>
      </w:r>
    </w:p>
    <w:p>
      <w:pPr>
        <w:pStyle w:val="6"/>
        <w:bidi w:val="0"/>
        <w:spacing w:before="0" w:beforeAutospacing="0" w:after="0" w:afterAutospacing="0"/>
        <w:rPr>
          <w:rFonts w:hint="eastAsia"/>
          <w:highlight w:val="none"/>
          <w:lang w:val="en-US" w:eastAsia="zh-CN"/>
        </w:rPr>
      </w:pPr>
      <w:bookmarkStart w:id="11" w:name="_Toc23291"/>
      <w:r>
        <w:rPr>
          <w:rFonts w:hint="eastAsia"/>
          <w:highlight w:val="none"/>
          <w:lang w:val="en-US" w:eastAsia="zh-CN"/>
        </w:rPr>
        <w:t>三、获取采购文件</w:t>
      </w:r>
      <w:bookmarkEnd w:id="11"/>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w:t>
      </w:r>
      <w:r>
        <w:rPr>
          <w:rFonts w:hint="eastAsia" w:ascii="宋体" w:hAnsi="宋体" w:cs="宋体"/>
          <w:color w:val="000000"/>
          <w:kern w:val="0"/>
          <w:sz w:val="24"/>
          <w:szCs w:val="21"/>
          <w:highlight w:val="none"/>
          <w:lang w:val="en-US" w:eastAsia="zh-CN" w:bidi="ar-SA"/>
        </w:rPr>
        <w:t>08</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21</w:t>
      </w:r>
      <w:r>
        <w:rPr>
          <w:rFonts w:hint="eastAsia" w:ascii="宋体" w:hAnsi="宋体" w:eastAsia="宋体" w:cs="宋体"/>
          <w:color w:val="000000"/>
          <w:kern w:val="0"/>
          <w:sz w:val="24"/>
          <w:szCs w:val="21"/>
          <w:highlight w:val="none"/>
          <w:lang w:val="en-US" w:eastAsia="zh-CN" w:bidi="ar-SA"/>
        </w:rPr>
        <w:t>日至2023年</w:t>
      </w:r>
      <w:r>
        <w:rPr>
          <w:rFonts w:hint="eastAsia" w:ascii="宋体" w:hAnsi="宋体" w:cs="宋体"/>
          <w:color w:val="000000"/>
          <w:kern w:val="0"/>
          <w:sz w:val="24"/>
          <w:szCs w:val="21"/>
          <w:highlight w:val="none"/>
          <w:lang w:val="en-US" w:eastAsia="zh-CN" w:bidi="ar-SA"/>
        </w:rPr>
        <w:t>08</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23</w:t>
      </w:r>
      <w:r>
        <w:rPr>
          <w:rFonts w:hint="eastAsia" w:ascii="宋体" w:hAnsi="宋体" w:eastAsia="宋体" w:cs="宋体"/>
          <w:color w:val="000000"/>
          <w:kern w:val="0"/>
          <w:sz w:val="24"/>
          <w:szCs w:val="21"/>
          <w:highlight w:val="none"/>
          <w:lang w:val="en-US" w:eastAsia="zh-CN" w:bidi="ar-SA"/>
        </w:rPr>
        <w:t>日，每天上午09:00:00至11:30:00，下午14:30:00至17:00:00（北京时间）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途径：全国公共资源交易中心平台（陕西省.榆林市）CA锁自行下载</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方式：网上报名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售价：0元</w:t>
      </w:r>
    </w:p>
    <w:p>
      <w:pPr>
        <w:pStyle w:val="6"/>
        <w:bidi w:val="0"/>
        <w:spacing w:before="0" w:beforeAutospacing="0" w:after="0" w:afterAutospacing="0"/>
        <w:rPr>
          <w:rFonts w:hint="eastAsia"/>
          <w:highlight w:val="none"/>
          <w:lang w:val="en-US" w:eastAsia="zh-CN"/>
        </w:rPr>
      </w:pPr>
      <w:bookmarkStart w:id="12" w:name="_Toc20284"/>
      <w:r>
        <w:rPr>
          <w:rFonts w:hint="eastAsia"/>
          <w:highlight w:val="none"/>
          <w:lang w:val="en-US" w:eastAsia="zh-CN"/>
        </w:rPr>
        <w:t>四、响应文件提交</w:t>
      </w:r>
      <w:bookmarkEnd w:id="12"/>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时间：2023年0</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24</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09</w:t>
      </w:r>
      <w:r>
        <w:rPr>
          <w:rFonts w:hint="eastAsia" w:ascii="宋体" w:hAnsi="宋体" w:eastAsia="宋体" w:cs="宋体"/>
          <w:color w:val="000000"/>
          <w:kern w:val="0"/>
          <w:sz w:val="24"/>
          <w:szCs w:val="21"/>
          <w:highlight w:val="none"/>
          <w:lang w:val="en-US" w:eastAsia="zh-CN" w:bidi="ar-SA"/>
        </w:rPr>
        <w:t>时30分00秒（北京时间）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提交</w:t>
      </w:r>
      <w:r>
        <w:rPr>
          <w:rFonts w:hint="eastAsia" w:ascii="宋体" w:hAnsi="宋体" w:cs="宋体"/>
          <w:color w:val="000000"/>
          <w:kern w:val="0"/>
          <w:sz w:val="24"/>
          <w:szCs w:val="21"/>
          <w:highlight w:val="none"/>
          <w:lang w:val="en-US" w:eastAsia="zh-CN" w:bidi="ar-SA"/>
        </w:rPr>
        <w:t>响应文件</w:t>
      </w:r>
      <w:r>
        <w:rPr>
          <w:rFonts w:hint="eastAsia" w:ascii="宋体" w:hAnsi="宋体" w:eastAsia="宋体" w:cs="宋体"/>
          <w:color w:val="000000"/>
          <w:kern w:val="0"/>
          <w:sz w:val="24"/>
          <w:szCs w:val="21"/>
          <w:highlight w:val="none"/>
          <w:lang w:val="en-US" w:eastAsia="zh-CN" w:bidi="ar-SA"/>
        </w:rPr>
        <w:t>地点：陕西省公共资源交易平台递交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开标地点：榆林市公共资源交易中心十楼开标</w:t>
      </w:r>
      <w:r>
        <w:rPr>
          <w:rFonts w:hint="eastAsia" w:ascii="宋体" w:hAnsi="宋体" w:cs="宋体"/>
          <w:color w:val="000000"/>
          <w:kern w:val="0"/>
          <w:sz w:val="24"/>
          <w:szCs w:val="21"/>
          <w:highlight w:val="none"/>
          <w:lang w:val="en-US" w:eastAsia="zh-CN" w:bidi="ar-SA"/>
        </w:rPr>
        <w:t>12</w:t>
      </w:r>
      <w:r>
        <w:rPr>
          <w:rFonts w:hint="eastAsia" w:ascii="宋体" w:hAnsi="宋体" w:eastAsia="宋体" w:cs="宋体"/>
          <w:color w:val="000000"/>
          <w:kern w:val="0"/>
          <w:sz w:val="24"/>
          <w:szCs w:val="21"/>
          <w:highlight w:val="none"/>
          <w:lang w:val="en-US" w:eastAsia="zh-CN" w:bidi="ar-SA"/>
        </w:rPr>
        <w:t>室</w:t>
      </w:r>
    </w:p>
    <w:p>
      <w:pPr>
        <w:pStyle w:val="6"/>
        <w:bidi w:val="0"/>
        <w:spacing w:before="0" w:beforeAutospacing="0" w:after="0" w:afterAutospacing="0"/>
        <w:rPr>
          <w:rFonts w:hint="eastAsia"/>
          <w:highlight w:val="none"/>
          <w:lang w:val="en-US" w:eastAsia="zh-CN"/>
        </w:rPr>
      </w:pPr>
      <w:bookmarkStart w:id="13" w:name="_Toc24249"/>
      <w:r>
        <w:rPr>
          <w:rFonts w:hint="eastAsia"/>
          <w:highlight w:val="none"/>
          <w:lang w:val="en-US" w:eastAsia="zh-CN"/>
        </w:rPr>
        <w:t>五、开启</w:t>
      </w:r>
      <w:bookmarkEnd w:id="13"/>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时间：2023年0</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24</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09</w:t>
      </w:r>
      <w:r>
        <w:rPr>
          <w:rFonts w:hint="eastAsia" w:ascii="宋体" w:hAnsi="宋体" w:eastAsia="宋体" w:cs="宋体"/>
          <w:color w:val="000000"/>
          <w:kern w:val="0"/>
          <w:sz w:val="24"/>
          <w:szCs w:val="21"/>
          <w:highlight w:val="none"/>
          <w:lang w:val="en-US" w:eastAsia="zh-CN" w:bidi="ar-SA"/>
        </w:rPr>
        <w:t>时30分00秒（北京时间）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地点：榆林市公共资源交易中心十楼开标室</w:t>
      </w:r>
      <w:r>
        <w:rPr>
          <w:rFonts w:hint="eastAsia" w:ascii="宋体" w:hAnsi="宋体" w:cs="宋体"/>
          <w:color w:val="000000"/>
          <w:kern w:val="0"/>
          <w:sz w:val="24"/>
          <w:szCs w:val="21"/>
          <w:highlight w:val="none"/>
          <w:lang w:val="en-US" w:eastAsia="zh-CN" w:bidi="ar-SA"/>
        </w:rPr>
        <w:t>12</w:t>
      </w:r>
    </w:p>
    <w:p>
      <w:pPr>
        <w:pStyle w:val="6"/>
        <w:bidi w:val="0"/>
        <w:spacing w:before="0" w:beforeAutospacing="0" w:after="0" w:afterAutospacing="0"/>
        <w:rPr>
          <w:rFonts w:hint="eastAsia"/>
          <w:highlight w:val="none"/>
          <w:lang w:val="en-US" w:eastAsia="zh-CN"/>
        </w:rPr>
      </w:pPr>
      <w:bookmarkStart w:id="14" w:name="_Toc15130"/>
      <w:r>
        <w:rPr>
          <w:rFonts w:hint="eastAsia"/>
          <w:highlight w:val="none"/>
          <w:lang w:val="en-US" w:eastAsia="zh-CN"/>
        </w:rPr>
        <w:t>六、公告期限</w:t>
      </w:r>
      <w:bookmarkEnd w:id="14"/>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自本公告发布之日起3个工作日。</w:t>
      </w:r>
    </w:p>
    <w:p>
      <w:pPr>
        <w:pStyle w:val="6"/>
        <w:bidi w:val="0"/>
        <w:spacing w:before="0" w:beforeAutospacing="0" w:after="0" w:afterAutospacing="0"/>
        <w:rPr>
          <w:rFonts w:hint="eastAsia"/>
          <w:highlight w:val="none"/>
          <w:lang w:val="en-US" w:eastAsia="zh-CN"/>
        </w:rPr>
      </w:pPr>
      <w:bookmarkStart w:id="15" w:name="_Toc6539"/>
      <w:r>
        <w:rPr>
          <w:rFonts w:hint="eastAsia"/>
          <w:highlight w:val="none"/>
          <w:lang w:val="en-US" w:eastAsia="zh-CN"/>
        </w:rPr>
        <w:t>七、其他补充事宜</w:t>
      </w:r>
      <w:bookmarkEnd w:id="15"/>
    </w:p>
    <w:p>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48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1、</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初次使用交易平台，须先完成诚信入库登记、CA锁认证及企业信息绑定。相关操作流程详见全国公共资源交易平台（陕西省）网站首页“服务指南”下载专区中的《陕西省公共资源交易中心政府采购项目投标指南》。</w:t>
      </w:r>
    </w:p>
    <w:p>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48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2、报名已网上报名为准，</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可登录全国公共资源交易中心平台（陕西省）（http://www.sxggzyjy.cn/）,选择“电子交易平台-陕西政府采购交易系统-陕西省公共资源交易平台-</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”进行登录，登录后选择“交易乙方”身份进入</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界面进行报名并免费下载</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竞争性谈判文件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w:t>
      </w: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
        </w:rPr>
        <w:t>CA锁购买：市民大厦3楼，E18、E19窗口，联系电话：0912-3452148</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,或下载手机APP：陕公共资源交易服务，线上购买。</w:t>
      </w:r>
    </w:p>
    <w:p>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48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3、本项目采用电子化招投标方式和“不见面”开标形式，</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使用数字认证证书（CA 锁）对</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进行签章、加密、递交及开标时解密等相关招投标事宜。不见面开标系统的签到和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解密事宜请登录全国公共资源交易平台（陕西省˙榆林市）（http://yl.sxggzyjy.cn/），选择“服务指南”，点击“下载专区”，点击榆林不见面开标系统操作手册（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）、榆林不见面开标大厅</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询标操作手册V1.0，请</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仔细阅读操作手册，了解操作流程，熟练掌握不见面开标、不见面询标操作相关事宜，若无法正常投标，</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自行承担责任。电子</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制作软件技术支持热线：400-998-0000，</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应于</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递交截止时间前任意时段登录交易平台〖首页〉电子交易平台〉企业端〗在线提交电子</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，逾期提交系统将拒绝接收。</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可登录榆林交易平台〖首页〉不见面开标〗在线参与开评标过程，详见《榆林市不见面开标大厅操作手册（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）》（交易平台〖首页〉服务指南〉下载专区〗中的《榆林市不见面开标大厅操作手册（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48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4、请</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按照陕西省财政厅关于政府采购</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注册登记有关事项的通知中的要求，通过陕西省政府采购网（http://www.ccgp-shaanxi.gov.cn/）注册登记加入陕西省政府采购</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库。</w:t>
      </w:r>
    </w:p>
    <w:p>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48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5、</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应随时关注发布的变更公告，当澄清或修改的内容影响</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编制时，将在交易平台上同步发布答疑文件，此时</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应从“项目流程·〉答疑文件下载”下载最新发布的答疑文件（*.SXSCF格式），并使用该文件重新编制电子</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（*.SXSTF格式），使用旧版电子</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竞争性谈判文件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或旧版答疑文件制作的电子</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响应文件</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，系统将拒绝接收。</w:t>
      </w:r>
    </w:p>
    <w:p>
      <w:pPr>
        <w:pStyle w:val="6"/>
        <w:bidi w:val="0"/>
        <w:spacing w:before="0" w:beforeAutospacing="0" w:after="0" w:afterAutospacing="0"/>
        <w:rPr>
          <w:rFonts w:hint="eastAsia"/>
          <w:highlight w:val="none"/>
          <w:lang w:val="en-US" w:eastAsia="zh-CN"/>
        </w:rPr>
      </w:pPr>
      <w:bookmarkStart w:id="16" w:name="_Toc18219"/>
      <w:r>
        <w:rPr>
          <w:rFonts w:hint="eastAsia"/>
          <w:highlight w:val="none"/>
          <w:lang w:val="en-US" w:eastAsia="zh-CN"/>
        </w:rPr>
        <w:t>八、对本次招标提出询问，请按以下方式联系。</w:t>
      </w:r>
      <w:bookmarkEnd w:id="16"/>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1.采购人信息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名称：榆林市文物考古勘探工作队</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地址：榆林市榆阳区通达路高科城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w:t>
      </w: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
        </w:rPr>
        <w:t>15719128383</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2.采购代理机构信息</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名称：亿诚建设项目管理有限公司</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w:t>
      </w: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
        </w:rPr>
        <w:t>榆林市榆阳区肤施路南段环馨路5号金轩楼2楼201室</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联系方式：18992274597</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3.项目联系方式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项目联系人：任涛</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电话：18992274597</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亿诚建设项目管理有限公司</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5"/>
        <w:spacing w:before="0" w:after="0" w:line="360" w:lineRule="auto"/>
        <w:jc w:val="center"/>
        <w:rPr>
          <w:rFonts w:hint="eastAsia" w:ascii="宋体" w:hAnsi="宋体" w:cs="宋体"/>
          <w:sz w:val="32"/>
          <w:szCs w:val="16"/>
          <w:highlight w:val="none"/>
        </w:rPr>
      </w:pPr>
      <w:bookmarkStart w:id="17" w:name="_Toc14441"/>
      <w:r>
        <w:rPr>
          <w:rFonts w:hint="eastAsia" w:ascii="宋体" w:hAnsi="宋体" w:cs="宋体"/>
          <w:sz w:val="32"/>
          <w:szCs w:val="16"/>
          <w:highlight w:val="none"/>
        </w:rPr>
        <w:t>第</w:t>
      </w:r>
      <w:r>
        <w:rPr>
          <w:rFonts w:hint="eastAsia" w:ascii="宋体" w:hAnsi="宋体" w:cs="宋体"/>
          <w:sz w:val="32"/>
          <w:szCs w:val="16"/>
          <w:highlight w:val="none"/>
          <w:lang w:eastAsia="zh-CN"/>
        </w:rPr>
        <w:t>二</w:t>
      </w:r>
      <w:r>
        <w:rPr>
          <w:rFonts w:hint="eastAsia" w:ascii="宋体" w:hAnsi="宋体" w:cs="宋体"/>
          <w:sz w:val="32"/>
          <w:szCs w:val="16"/>
          <w:highlight w:val="none"/>
        </w:rPr>
        <w:t>部分 供应商须知前附表</w:t>
      </w:r>
      <w:bookmarkEnd w:id="5"/>
      <w:bookmarkEnd w:id="6"/>
      <w:bookmarkEnd w:id="7"/>
      <w:bookmarkEnd w:id="8"/>
      <w:bookmarkEnd w:id="17"/>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94" w:type="pct"/>
            <w:noWrap w:val="0"/>
            <w:vAlign w:val="center"/>
          </w:tcPr>
          <w:p>
            <w:pPr>
              <w:spacing w:line="360" w:lineRule="auto"/>
              <w:jc w:val="left"/>
              <w:rPr>
                <w:rFonts w:hint="eastAsia" w:ascii="宋体" w:hAnsi="宋体" w:cs="宋体"/>
                <w:b/>
                <w:sz w:val="24"/>
                <w:highlight w:val="none"/>
              </w:rPr>
            </w:pPr>
            <w:r>
              <w:rPr>
                <w:rFonts w:hint="eastAsia" w:ascii="宋体" w:hAnsi="宋体" w:cs="宋体"/>
                <w:b/>
                <w:sz w:val="24"/>
                <w:highlight w:val="none"/>
              </w:rPr>
              <w:t>序号</w:t>
            </w:r>
          </w:p>
        </w:tc>
        <w:tc>
          <w:tcPr>
            <w:tcW w:w="4605" w:type="pct"/>
            <w:noWrap w:val="0"/>
            <w:vAlign w:val="center"/>
          </w:tcPr>
          <w:p>
            <w:pPr>
              <w:spacing w:line="360" w:lineRule="auto"/>
              <w:ind w:firstLine="482" w:firstLineChars="200"/>
              <w:jc w:val="center"/>
              <w:rPr>
                <w:rFonts w:hint="eastAsia" w:ascii="宋体" w:hAnsi="宋体" w:cs="宋体"/>
                <w:b/>
                <w:sz w:val="24"/>
                <w:highlight w:val="none"/>
              </w:rPr>
            </w:pPr>
            <w:r>
              <w:rPr>
                <w:rFonts w:hint="eastAsia" w:ascii="宋体" w:hAnsi="宋体" w:cs="宋体"/>
                <w:b/>
                <w:sz w:val="24"/>
                <w:highlight w:val="none"/>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4605" w:type="pct"/>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采购项目名称：</w:t>
            </w:r>
            <w:r>
              <w:rPr>
                <w:rFonts w:hint="eastAsia" w:ascii="宋体" w:hAnsi="宋体" w:cs="宋体"/>
                <w:sz w:val="24"/>
                <w:highlight w:val="none"/>
                <w:lang w:val="en-US" w:eastAsia="zh-CN"/>
              </w:rPr>
              <w:t>农科大道（杲升路-榆麻路）道路建设用地文物调查、勘探报告编辑及技术服务项目</w:t>
            </w:r>
          </w:p>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采购项目编号：</w:t>
            </w:r>
            <w:r>
              <w:rPr>
                <w:rFonts w:hint="eastAsia" w:ascii="宋体" w:hAnsi="宋体" w:cs="宋体"/>
                <w:sz w:val="24"/>
                <w:highlight w:val="none"/>
                <w:lang w:val="en-US" w:eastAsia="zh-CN"/>
              </w:rPr>
              <w:t>YC23314001（CGQ）008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项目性质：财政拨款</w:t>
            </w:r>
          </w:p>
          <w:p>
            <w:pPr>
              <w:spacing w:line="360" w:lineRule="auto"/>
              <w:rPr>
                <w:rFonts w:hint="eastAsia" w:ascii="宋体" w:hAnsi="宋体" w:cs="宋体"/>
                <w:sz w:val="24"/>
                <w:highlight w:val="none"/>
              </w:rPr>
            </w:pPr>
            <w:r>
              <w:rPr>
                <w:rFonts w:hint="eastAsia" w:ascii="宋体" w:hAnsi="宋体" w:cs="宋体"/>
                <w:sz w:val="24"/>
                <w:highlight w:val="none"/>
              </w:rPr>
              <w:t>本项目采购预算：</w:t>
            </w:r>
            <w:r>
              <w:rPr>
                <w:rFonts w:hint="eastAsia" w:ascii="宋体" w:hAnsi="宋体" w:cs="宋体"/>
                <w:sz w:val="24"/>
                <w:highlight w:val="none"/>
                <w:lang w:val="en-US" w:eastAsia="zh-CN"/>
              </w:rPr>
              <w:t>537563.00</w:t>
            </w:r>
            <w:r>
              <w:rPr>
                <w:rFonts w:hint="eastAsia" w:ascii="宋体" w:hAnsi="宋体" w:cs="宋体"/>
                <w:sz w:val="24"/>
                <w:highlight w:val="none"/>
              </w:rPr>
              <w:t>元</w:t>
            </w:r>
          </w:p>
          <w:p>
            <w:pPr>
              <w:spacing w:line="360" w:lineRule="auto"/>
              <w:rPr>
                <w:rFonts w:hint="eastAsia" w:ascii="宋体" w:hAnsi="宋体" w:cs="宋体"/>
                <w:color w:val="000000"/>
                <w:kern w:val="0"/>
                <w:sz w:val="24"/>
                <w:highlight w:val="none"/>
              </w:rPr>
            </w:pPr>
            <w:r>
              <w:rPr>
                <w:rFonts w:hint="eastAsia" w:ascii="宋体" w:hAnsi="宋体" w:cs="宋体"/>
                <w:sz w:val="24"/>
                <w:highlight w:val="none"/>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4605" w:type="pct"/>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采购人：</w:t>
            </w:r>
            <w:r>
              <w:rPr>
                <w:rFonts w:hint="eastAsia" w:ascii="宋体" w:hAnsi="宋体" w:cs="宋体"/>
                <w:sz w:val="24"/>
                <w:highlight w:val="none"/>
                <w:lang w:eastAsia="zh-CN"/>
              </w:rPr>
              <w:t>榆林市文物考古勘探工作队</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采购代理机构：</w:t>
            </w:r>
            <w:r>
              <w:rPr>
                <w:rFonts w:hint="eastAsia" w:ascii="宋体" w:hAnsi="宋体" w:cs="宋体"/>
                <w:color w:val="000000"/>
                <w:kern w:val="0"/>
                <w:sz w:val="24"/>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采购内容具体见竞争性谈判文件第</w:t>
            </w:r>
            <w:r>
              <w:rPr>
                <w:rFonts w:hint="eastAsia" w:ascii="宋体" w:hAnsi="宋体" w:cs="宋体"/>
                <w:sz w:val="24"/>
                <w:highlight w:val="none"/>
                <w:lang w:val="en-US" w:eastAsia="zh-CN"/>
              </w:rPr>
              <w:t>六</w:t>
            </w:r>
            <w:r>
              <w:rPr>
                <w:rFonts w:hint="eastAsia" w:ascii="宋体" w:hAnsi="宋体" w:cs="宋体"/>
                <w:sz w:val="24"/>
                <w:highlight w:val="none"/>
              </w:rPr>
              <w:t>部分采购内容及技术需求</w:t>
            </w:r>
          </w:p>
          <w:p>
            <w:pPr>
              <w:spacing w:line="360" w:lineRule="auto"/>
              <w:rPr>
                <w:rFonts w:hint="eastAsia" w:ascii="宋体" w:hAnsi="宋体" w:cs="宋体"/>
                <w:sz w:val="24"/>
                <w:highlight w:val="none"/>
              </w:rPr>
            </w:pPr>
            <w:r>
              <w:rPr>
                <w:rFonts w:hint="eastAsia" w:ascii="宋体" w:hAnsi="宋体" w:cs="宋体"/>
                <w:sz w:val="24"/>
                <w:highlight w:val="none"/>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竞争性谈判响应文件截止时间及开标时间和地点：</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竞争性谈判响应文件截止时间：</w:t>
            </w:r>
            <w:r>
              <w:rPr>
                <w:rFonts w:hint="eastAsia" w:ascii="宋体" w:hAnsi="宋体" w:cs="宋体"/>
                <w:sz w:val="24"/>
                <w:highlight w:val="none"/>
                <w:shd w:val="clear"/>
              </w:rPr>
              <w:t>202</w:t>
            </w:r>
            <w:r>
              <w:rPr>
                <w:rFonts w:hint="eastAsia" w:ascii="宋体" w:hAnsi="宋体" w:cs="宋体"/>
                <w:sz w:val="24"/>
                <w:highlight w:val="none"/>
                <w:shd w:val="clear"/>
                <w:lang w:val="en-US" w:eastAsia="zh-CN"/>
              </w:rPr>
              <w:t>3</w:t>
            </w:r>
            <w:r>
              <w:rPr>
                <w:rFonts w:hint="eastAsia" w:ascii="宋体" w:hAnsi="宋体" w:cs="宋体"/>
                <w:sz w:val="24"/>
                <w:highlight w:val="none"/>
                <w:shd w:val="clear"/>
              </w:rPr>
              <w:t>-</w:t>
            </w:r>
            <w:r>
              <w:rPr>
                <w:rFonts w:hint="eastAsia" w:ascii="宋体" w:hAnsi="宋体" w:cs="宋体"/>
                <w:sz w:val="24"/>
                <w:highlight w:val="none"/>
                <w:shd w:val="clear"/>
                <w:lang w:val="en-US" w:eastAsia="zh-CN"/>
              </w:rPr>
              <w:t>8</w:t>
            </w:r>
            <w:r>
              <w:rPr>
                <w:rFonts w:hint="eastAsia" w:ascii="宋体" w:hAnsi="宋体" w:cs="宋体"/>
                <w:sz w:val="24"/>
                <w:highlight w:val="none"/>
                <w:shd w:val="clear"/>
              </w:rPr>
              <w:t>-</w:t>
            </w:r>
            <w:r>
              <w:rPr>
                <w:rFonts w:hint="eastAsia" w:ascii="宋体" w:hAnsi="宋体" w:cs="宋体"/>
                <w:sz w:val="24"/>
                <w:highlight w:val="none"/>
                <w:shd w:val="clear"/>
                <w:lang w:val="en-US" w:eastAsia="zh-CN"/>
              </w:rPr>
              <w:t>24</w:t>
            </w:r>
            <w:r>
              <w:rPr>
                <w:rFonts w:hint="eastAsia" w:ascii="宋体" w:hAnsi="宋体" w:cs="宋体"/>
                <w:sz w:val="24"/>
                <w:highlight w:val="none"/>
                <w:shd w:val="clear"/>
              </w:rPr>
              <w:t xml:space="preserve"> </w:t>
            </w:r>
            <w:r>
              <w:rPr>
                <w:rFonts w:hint="eastAsia" w:ascii="宋体" w:hAnsi="宋体" w:cs="宋体"/>
                <w:sz w:val="24"/>
                <w:highlight w:val="none"/>
                <w:shd w:val="clear"/>
                <w:lang w:val="en-US" w:eastAsia="zh-CN"/>
              </w:rPr>
              <w:t>9:30</w:t>
            </w:r>
            <w:r>
              <w:rPr>
                <w:rFonts w:hint="eastAsia" w:ascii="宋体" w:hAnsi="宋体" w:cs="宋体"/>
                <w:sz w:val="24"/>
                <w:highlight w:val="none"/>
                <w:lang w:eastAsia="zh-CN"/>
              </w:rPr>
              <w:t>；</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开标时间：202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8</w:t>
            </w:r>
            <w:r>
              <w:rPr>
                <w:rFonts w:hint="eastAsia" w:ascii="宋体" w:hAnsi="宋体" w:cs="宋体"/>
                <w:sz w:val="24"/>
                <w:highlight w:val="none"/>
              </w:rPr>
              <w:t>-</w:t>
            </w:r>
            <w:r>
              <w:rPr>
                <w:rFonts w:hint="eastAsia" w:ascii="宋体" w:hAnsi="宋体" w:cs="宋体"/>
                <w:sz w:val="24"/>
                <w:highlight w:val="none"/>
                <w:lang w:val="en-US" w:eastAsia="zh-CN"/>
              </w:rPr>
              <w:t>24</w:t>
            </w:r>
            <w:r>
              <w:rPr>
                <w:rFonts w:hint="eastAsia" w:ascii="宋体" w:hAnsi="宋体" w:cs="宋体"/>
                <w:sz w:val="24"/>
                <w:highlight w:val="none"/>
              </w:rPr>
              <w:t xml:space="preserve"> </w:t>
            </w:r>
            <w:r>
              <w:rPr>
                <w:rFonts w:hint="eastAsia" w:ascii="宋体" w:hAnsi="宋体" w:cs="宋体"/>
                <w:sz w:val="24"/>
                <w:highlight w:val="none"/>
                <w:lang w:val="en-US" w:eastAsia="zh-CN"/>
              </w:rPr>
              <w:t>9:30</w:t>
            </w:r>
            <w:r>
              <w:rPr>
                <w:rFonts w:hint="eastAsia" w:ascii="宋体" w:hAnsi="宋体" w:cs="宋体"/>
                <w:sz w:val="24"/>
                <w:highlight w:val="none"/>
                <w:shd w:val="clear"/>
                <w:lang w:eastAsia="zh-CN"/>
              </w:rPr>
              <w:t>；</w:t>
            </w:r>
          </w:p>
          <w:p>
            <w:pPr>
              <w:spacing w:line="360" w:lineRule="auto"/>
              <w:rPr>
                <w:rFonts w:hint="default" w:ascii="宋体" w:hAnsi="宋体" w:cs="宋体"/>
                <w:sz w:val="24"/>
                <w:highlight w:val="none"/>
                <w:lang w:val="en-US" w:eastAsia="zh-CN"/>
              </w:rPr>
            </w:pPr>
            <w:r>
              <w:rPr>
                <w:rFonts w:hint="eastAsia" w:ascii="宋体" w:hAnsi="宋体" w:cs="宋体"/>
                <w:sz w:val="24"/>
                <w:highlight w:val="none"/>
              </w:rPr>
              <w:t>开标地点：</w:t>
            </w:r>
            <w:r>
              <w:rPr>
                <w:rFonts w:hint="eastAsia" w:ascii="宋体" w:hAnsi="宋体" w:eastAsia="宋体" w:cs="宋体"/>
                <w:color w:val="000000"/>
                <w:kern w:val="0"/>
                <w:sz w:val="24"/>
                <w:szCs w:val="21"/>
                <w:highlight w:val="none"/>
                <w:shd w:val="clear"/>
                <w:lang w:val="en-US" w:eastAsia="zh-CN" w:bidi="ar-SA"/>
              </w:rPr>
              <w:t>榆林市公共资源交易中心十楼开标室</w:t>
            </w:r>
            <w:r>
              <w:rPr>
                <w:rFonts w:hint="eastAsia" w:ascii="宋体" w:hAnsi="宋体" w:cs="宋体"/>
                <w:color w:val="000000"/>
                <w:kern w:val="0"/>
                <w:sz w:val="24"/>
                <w:szCs w:val="21"/>
                <w:highlight w:val="none"/>
                <w:shd w:val="clear"/>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4605" w:type="pct"/>
            <w:noWrap w:val="0"/>
            <w:vAlign w:val="center"/>
          </w:tcPr>
          <w:p>
            <w:pPr>
              <w:numPr>
                <w:ilvl w:val="0"/>
                <w:numId w:val="0"/>
              </w:numPr>
              <w:spacing w:line="360" w:lineRule="auto"/>
              <w:rPr>
                <w:rFonts w:hint="eastAsia" w:ascii="宋体" w:hAnsi="宋体" w:cs="宋体"/>
                <w:sz w:val="24"/>
                <w:highlight w:val="none"/>
              </w:rPr>
            </w:pPr>
            <w:r>
              <w:rPr>
                <w:rFonts w:hint="eastAsia" w:ascii="宋体" w:hAnsi="宋体" w:cs="宋体"/>
                <w:sz w:val="24"/>
                <w:highlight w:val="none"/>
                <w:lang w:val="en-US" w:eastAsia="zh-CN"/>
              </w:rPr>
              <w:t>服务期：合同签订后55日内完工（具体服务起止日期可随合同签订时间相应顺延）。</w:t>
            </w:r>
          </w:p>
          <w:p>
            <w:pPr>
              <w:spacing w:line="360" w:lineRule="auto"/>
              <w:rPr>
                <w:rFonts w:hint="default" w:ascii="宋体" w:hAnsi="宋体" w:cs="宋体"/>
                <w:sz w:val="24"/>
                <w:highlight w:val="none"/>
                <w:lang w:val="en-US" w:eastAsia="zh-CN"/>
              </w:rPr>
            </w:pPr>
            <w:r>
              <w:rPr>
                <w:rFonts w:hint="eastAsia" w:ascii="宋体" w:hAnsi="宋体" w:cs="宋体"/>
                <w:sz w:val="24"/>
                <w:highlight w:val="none"/>
              </w:rPr>
              <w:t>服务质量：</w:t>
            </w:r>
            <w:r>
              <w:rPr>
                <w:rFonts w:hint="eastAsia" w:ascii="宋体" w:hAnsi="宋体" w:cs="宋体"/>
                <w:sz w:val="24"/>
                <w:highlight w:val="none"/>
                <w:lang w:val="en-US" w:eastAsia="zh-CN"/>
              </w:rPr>
              <w:t>质量</w:t>
            </w:r>
            <w:r>
              <w:rPr>
                <w:rFonts w:hint="eastAsia" w:ascii="宋体" w:hAnsi="宋体" w:cs="宋体"/>
                <w:sz w:val="24"/>
                <w:highlight w:val="none"/>
              </w:rPr>
              <w:t>符合国家要求</w:t>
            </w:r>
            <w:r>
              <w:rPr>
                <w:rFonts w:hint="eastAsia" w:ascii="宋体" w:hAnsi="宋体" w:cs="宋体"/>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4605" w:type="pct"/>
            <w:noWrap w:val="0"/>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eastAsia="zh-CN"/>
              </w:rPr>
              <w:t>榆林市文物考古勘探工作队</w:t>
            </w:r>
            <w:r>
              <w:rPr>
                <w:rFonts w:hint="eastAsia" w:ascii="宋体" w:hAnsi="宋体" w:cs="宋体"/>
                <w:color w:val="auto"/>
                <w:sz w:val="24"/>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付款方式：</w:t>
            </w:r>
            <w:r>
              <w:rPr>
                <w:rFonts w:hint="eastAsia" w:ascii="宋体" w:hAnsi="宋体" w:cs="宋体"/>
                <w:sz w:val="24"/>
                <w:highlight w:val="none"/>
                <w:lang w:val="en-US" w:eastAsia="zh-CN"/>
              </w:rPr>
              <w:t>合同约定</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谈判有效期：竞争性谈判响应文件从谈判之日起，谈判有效期为90日历天。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10</w:t>
            </w:r>
          </w:p>
        </w:tc>
        <w:tc>
          <w:tcPr>
            <w:tcW w:w="4605" w:type="pct"/>
            <w:noWrap w:val="0"/>
            <w:vAlign w:val="center"/>
          </w:tcPr>
          <w:p>
            <w:pPr>
              <w:spacing w:line="36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不见面开标</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该项目将采取“不见面”开标的形式，</w:t>
            </w:r>
            <w:r>
              <w:rPr>
                <w:rFonts w:hint="eastAsia" w:ascii="宋体" w:hAnsi="宋体" w:cs="宋体"/>
                <w:sz w:val="24"/>
                <w:highlight w:val="none"/>
                <w:lang w:eastAsia="zh-CN"/>
              </w:rPr>
              <w:t>供应商</w:t>
            </w:r>
            <w:r>
              <w:rPr>
                <w:rFonts w:hint="eastAsia" w:ascii="宋体" w:hAnsi="宋体" w:cs="宋体"/>
                <w:sz w:val="24"/>
                <w:highlight w:val="none"/>
              </w:rPr>
              <w:t>无须到达开标现场，即可在网上直接参与开标活动。相关注意事项如下：</w:t>
            </w:r>
          </w:p>
          <w:p>
            <w:pPr>
              <w:spacing w:line="360" w:lineRule="auto"/>
              <w:rPr>
                <w:rFonts w:hint="eastAsia" w:ascii="宋体" w:hAnsi="宋体" w:cs="宋体"/>
                <w:sz w:val="24"/>
                <w:highlight w:val="none"/>
              </w:rPr>
            </w:pPr>
            <w:r>
              <w:rPr>
                <w:rFonts w:hint="eastAsia" w:ascii="宋体" w:hAnsi="宋体" w:cs="宋体"/>
                <w:sz w:val="24"/>
                <w:highlight w:val="none"/>
              </w:rPr>
              <w:t>1、开标当日，请各</w:t>
            </w:r>
            <w:r>
              <w:rPr>
                <w:rFonts w:hint="eastAsia" w:ascii="宋体" w:hAnsi="宋体" w:cs="宋体"/>
                <w:sz w:val="24"/>
                <w:highlight w:val="none"/>
                <w:lang w:eastAsia="zh-CN"/>
              </w:rPr>
              <w:t>供应商</w:t>
            </w:r>
            <w:r>
              <w:rPr>
                <w:rFonts w:hint="eastAsia" w:ascii="宋体" w:hAnsi="宋体" w:cs="宋体"/>
                <w:sz w:val="24"/>
                <w:highlight w:val="none"/>
              </w:rPr>
              <w:t>在开标截止时间前至少提前半小时登录“不见面”开标系统登录方式有以下几种：</w:t>
            </w:r>
          </w:p>
          <w:p>
            <w:pPr>
              <w:spacing w:line="360" w:lineRule="auto"/>
              <w:rPr>
                <w:rFonts w:hint="eastAsia" w:ascii="宋体" w:hAnsi="宋体" w:cs="宋体"/>
                <w:sz w:val="24"/>
                <w:highlight w:val="none"/>
                <w:lang w:eastAsia="zh-CN"/>
              </w:rPr>
            </w:pPr>
            <w:r>
              <w:rPr>
                <w:rFonts w:hint="eastAsia" w:ascii="宋体" w:hAnsi="宋体" w:cs="宋体"/>
                <w:sz w:val="24"/>
                <w:highlight w:val="none"/>
              </w:rPr>
              <w:t>1)IE浏览器输入网址：http://111.20.184.126:8084/BidOpeningHall/bidhall/dqxianyang/login</w:t>
            </w:r>
            <w:r>
              <w:rPr>
                <w:rFonts w:hint="eastAsia" w:ascii="宋体" w:hAnsi="宋体" w:cs="宋体"/>
                <w:sz w:val="24"/>
                <w:highlight w:val="none"/>
                <w:lang w:eastAsia="zh-CN"/>
              </w:rPr>
              <w:t>；</w:t>
            </w:r>
          </w:p>
          <w:p>
            <w:pPr>
              <w:spacing w:line="360" w:lineRule="auto"/>
              <w:rPr>
                <w:rFonts w:hint="eastAsia" w:ascii="宋体" w:hAnsi="宋体" w:cs="宋体"/>
                <w:sz w:val="24"/>
                <w:highlight w:val="none"/>
              </w:rPr>
            </w:pPr>
            <w:r>
              <w:rPr>
                <w:rFonts w:hint="eastAsia" w:ascii="宋体" w:hAnsi="宋体" w:cs="宋体"/>
                <w:sz w:val="24"/>
                <w:highlight w:val="none"/>
              </w:rPr>
              <w:t>2)在【全国公共资源交易平台(陕西省·榆林市)】网站首页点击不见面开标模块进入；</w:t>
            </w:r>
          </w:p>
          <w:p>
            <w:pPr>
              <w:spacing w:afterAutospacing="0" w:line="360" w:lineRule="auto"/>
              <w:rPr>
                <w:rFonts w:hint="eastAsia" w:ascii="宋体" w:hAnsi="宋体" w:cs="宋体"/>
                <w:sz w:val="24"/>
                <w:highlight w:val="none"/>
              </w:rPr>
            </w:pPr>
            <w:r>
              <w:rPr>
                <w:rFonts w:hint="eastAsia" w:ascii="宋体" w:hAnsi="宋体" w:cs="宋体"/>
                <w:sz w:val="24"/>
                <w:highlight w:val="none"/>
              </w:rPr>
              <w:t>3)在【全国公共资源交易平台 (陕西省)】网站首页点击不见面开标模块选择榆林市进入。</w:t>
            </w:r>
          </w:p>
          <w:p>
            <w:pPr>
              <w:widowControl/>
              <w:kinsoku w:val="0"/>
              <w:autoSpaceDE w:val="0"/>
              <w:autoSpaceDN w:val="0"/>
              <w:adjustRightInd w:val="0"/>
              <w:snapToGrid w:val="0"/>
              <w:spacing w:beforeAutospacing="0" w:afterAutospacing="0" w:line="376" w:lineRule="auto"/>
              <w:ind w:left="23" w:right="15" w:hanging="2"/>
              <w:jc w:val="left"/>
              <w:textAlignment w:val="baseline"/>
              <w:rPr>
                <w:rFonts w:hint="eastAsia" w:ascii="宋体" w:hAnsi="宋体" w:eastAsia="宋体" w:cs="宋体"/>
                <w:b/>
                <w:bCs/>
                <w:snapToGrid w:val="0"/>
                <w:color w:val="000000"/>
                <w:spacing w:val="13"/>
                <w:kern w:val="0"/>
                <w:sz w:val="24"/>
                <w:szCs w:val="24"/>
                <w:highlight w:val="none"/>
              </w:rPr>
            </w:pPr>
            <w:r>
              <w:rPr>
                <w:rFonts w:hint="eastAsia" w:ascii="宋体" w:hAnsi="宋体" w:eastAsia="宋体" w:cs="宋体"/>
                <w:b/>
                <w:bCs/>
                <w:snapToGrid w:val="0"/>
                <w:color w:val="000000"/>
                <w:spacing w:val="13"/>
                <w:kern w:val="0"/>
                <w:sz w:val="24"/>
                <w:szCs w:val="24"/>
                <w:highlight w:val="none"/>
              </w:rPr>
              <w:t>注：登录不见面开标系统请选择 IE11 浏览器</w:t>
            </w:r>
          </w:p>
          <w:p>
            <w:pPr>
              <w:widowControl/>
              <w:kinsoku w:val="0"/>
              <w:autoSpaceDE w:val="0"/>
              <w:autoSpaceDN w:val="0"/>
              <w:adjustRightInd w:val="0"/>
              <w:snapToGrid w:val="0"/>
              <w:spacing w:beforeAutospacing="0" w:afterAutospacing="0" w:line="376" w:lineRule="auto"/>
              <w:ind w:left="23" w:right="15" w:hanging="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5"/>
                <w:kern w:val="0"/>
                <w:sz w:val="24"/>
                <w:szCs w:val="24"/>
                <w:highlight w:val="none"/>
              </w:rPr>
              <w:t>2、</w:t>
            </w:r>
            <w:r>
              <w:rPr>
                <w:rFonts w:hint="eastAsia" w:ascii="宋体" w:hAnsi="宋体" w:cs="宋体"/>
                <w:snapToGrid w:val="0"/>
                <w:color w:val="000000"/>
                <w:spacing w:val="5"/>
                <w:kern w:val="0"/>
                <w:sz w:val="24"/>
                <w:szCs w:val="24"/>
                <w:highlight w:val="none"/>
                <w:lang w:eastAsia="zh-CN"/>
              </w:rPr>
              <w:t>供应商</w:t>
            </w:r>
            <w:r>
              <w:rPr>
                <w:rFonts w:hint="eastAsia" w:ascii="宋体" w:hAnsi="宋体" w:eastAsia="宋体" w:cs="宋体"/>
                <w:snapToGrid w:val="0"/>
                <w:color w:val="000000"/>
                <w:spacing w:val="5"/>
                <w:kern w:val="0"/>
                <w:sz w:val="24"/>
                <w:szCs w:val="24"/>
                <w:highlight w:val="none"/>
              </w:rPr>
              <w:t>应按要求及时签到</w:t>
            </w:r>
            <w:r>
              <w:rPr>
                <w:rFonts w:hint="eastAsia" w:ascii="宋体" w:hAnsi="宋体" w:eastAsia="宋体" w:cs="宋体"/>
                <w:b/>
                <w:bCs/>
                <w:snapToGrid w:val="0"/>
                <w:color w:val="000000"/>
                <w:spacing w:val="13"/>
                <w:kern w:val="0"/>
                <w:sz w:val="24"/>
                <w:szCs w:val="24"/>
                <w:highlight w:val="none"/>
              </w:rPr>
              <w:t>(签到时间为投标截止时间前1小时内，如果未签到将视为放弃投标资格)，</w:t>
            </w:r>
            <w:r>
              <w:rPr>
                <w:rFonts w:hint="eastAsia" w:ascii="宋体" w:hAnsi="宋体" w:eastAsia="宋体" w:cs="宋体"/>
                <w:snapToGrid w:val="0"/>
                <w:color w:val="000000"/>
                <w:spacing w:val="13"/>
                <w:kern w:val="0"/>
                <w:sz w:val="24"/>
                <w:szCs w:val="24"/>
                <w:highlight w:val="none"/>
              </w:rPr>
              <w:t>评审过程中，评标委员会可能</w:t>
            </w:r>
            <w:r>
              <w:rPr>
                <w:rFonts w:hint="eastAsia" w:ascii="宋体" w:hAnsi="宋体" w:eastAsia="宋体" w:cs="宋体"/>
                <w:snapToGrid w:val="0"/>
                <w:color w:val="000000"/>
                <w:spacing w:val="10"/>
                <w:kern w:val="0"/>
                <w:sz w:val="24"/>
                <w:szCs w:val="24"/>
                <w:highlight w:val="none"/>
              </w:rPr>
              <w:t>会</w:t>
            </w:r>
            <w:r>
              <w:rPr>
                <w:rFonts w:hint="eastAsia" w:ascii="宋体" w:hAnsi="宋体" w:eastAsia="宋体" w:cs="宋体"/>
                <w:snapToGrid w:val="0"/>
                <w:color w:val="000000"/>
                <w:spacing w:val="24"/>
                <w:kern w:val="0"/>
                <w:sz w:val="24"/>
                <w:szCs w:val="24"/>
                <w:highlight w:val="none"/>
              </w:rPr>
              <w:t>就</w:t>
            </w:r>
            <w:r>
              <w:rPr>
                <w:rFonts w:hint="eastAsia" w:ascii="宋体" w:hAnsi="宋体" w:eastAsia="宋体" w:cs="宋体"/>
                <w:snapToGrid w:val="0"/>
                <w:color w:val="000000"/>
                <w:spacing w:val="13"/>
                <w:kern w:val="0"/>
                <w:sz w:val="24"/>
                <w:szCs w:val="24"/>
                <w:highlight w:val="none"/>
              </w:rPr>
              <w:t>某些问题要求</w:t>
            </w:r>
            <w:r>
              <w:rPr>
                <w:rFonts w:hint="eastAsia" w:ascii="宋体" w:hAnsi="宋体" w:cs="宋体"/>
                <w:snapToGrid w:val="0"/>
                <w:color w:val="000000"/>
                <w:spacing w:val="13"/>
                <w:kern w:val="0"/>
                <w:sz w:val="24"/>
                <w:szCs w:val="24"/>
                <w:highlight w:val="none"/>
                <w:lang w:eastAsia="zh-CN"/>
              </w:rPr>
              <w:t>供应商</w:t>
            </w:r>
            <w:r>
              <w:rPr>
                <w:rFonts w:hint="eastAsia" w:ascii="宋体" w:hAnsi="宋体" w:eastAsia="宋体" w:cs="宋体"/>
                <w:snapToGrid w:val="0"/>
                <w:color w:val="000000"/>
                <w:spacing w:val="13"/>
                <w:kern w:val="0"/>
                <w:sz w:val="24"/>
                <w:szCs w:val="24"/>
                <w:highlight w:val="none"/>
              </w:rPr>
              <w:t>进行在线澄清，请</w:t>
            </w:r>
            <w:r>
              <w:rPr>
                <w:rFonts w:hint="eastAsia" w:ascii="宋体" w:hAnsi="宋体" w:cs="宋体"/>
                <w:snapToGrid w:val="0"/>
                <w:color w:val="000000"/>
                <w:spacing w:val="13"/>
                <w:kern w:val="0"/>
                <w:sz w:val="24"/>
                <w:szCs w:val="24"/>
                <w:highlight w:val="none"/>
                <w:lang w:eastAsia="zh-CN"/>
              </w:rPr>
              <w:t>供应商</w:t>
            </w:r>
            <w:r>
              <w:rPr>
                <w:rFonts w:hint="eastAsia" w:ascii="宋体" w:hAnsi="宋体" w:eastAsia="宋体" w:cs="宋体"/>
                <w:snapToGrid w:val="0"/>
                <w:color w:val="000000"/>
                <w:spacing w:val="13"/>
                <w:kern w:val="0"/>
                <w:sz w:val="24"/>
                <w:szCs w:val="24"/>
                <w:highlight w:val="none"/>
              </w:rPr>
              <w:t>保持在线直到评审结</w:t>
            </w:r>
            <w:r>
              <w:rPr>
                <w:rFonts w:hint="eastAsia" w:ascii="宋体" w:hAnsi="宋体" w:eastAsia="宋体" w:cs="宋体"/>
                <w:snapToGrid w:val="0"/>
                <w:color w:val="000000"/>
                <w:spacing w:val="-1"/>
                <w:kern w:val="0"/>
                <w:sz w:val="24"/>
                <w:szCs w:val="24"/>
                <w:highlight w:val="none"/>
              </w:rPr>
              <w:t>束</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38" w:lineRule="auto"/>
              <w:ind w:left="22" w:firstLine="3"/>
              <w:jc w:val="left"/>
              <w:textAlignment w:val="baseline"/>
              <w:rPr>
                <w:rFonts w:hint="eastAsia" w:ascii="宋体" w:hAnsi="宋体" w:eastAsia="宋体" w:cs="宋体"/>
                <w:snapToGrid w:val="0"/>
                <w:color w:val="000000"/>
                <w:kern w:val="0"/>
                <w:sz w:val="24"/>
                <w:szCs w:val="24"/>
                <w:highlight w:val="none"/>
                <w:lang w:eastAsia="zh-CN"/>
              </w:rPr>
            </w:pPr>
            <w:r>
              <w:rPr>
                <w:rFonts w:hint="eastAsia" w:ascii="宋体" w:hAnsi="宋体" w:eastAsia="宋体" w:cs="宋体"/>
                <w:snapToGrid w:val="0"/>
                <w:color w:val="000000"/>
                <w:spacing w:val="9"/>
                <w:kern w:val="0"/>
                <w:sz w:val="24"/>
                <w:szCs w:val="24"/>
                <w:highlight w:val="none"/>
              </w:rPr>
              <w:t>3</w:t>
            </w:r>
            <w:r>
              <w:rPr>
                <w:rFonts w:hint="eastAsia" w:ascii="宋体" w:hAnsi="宋体" w:eastAsia="宋体" w:cs="宋体"/>
                <w:snapToGrid w:val="0"/>
                <w:color w:val="000000"/>
                <w:spacing w:val="7"/>
                <w:kern w:val="0"/>
                <w:sz w:val="24"/>
                <w:szCs w:val="24"/>
                <w:highlight w:val="none"/>
              </w:rPr>
              <w:t>、</w:t>
            </w:r>
            <w:r>
              <w:rPr>
                <w:rFonts w:hint="eastAsia" w:ascii="宋体" w:hAnsi="宋体" w:cs="宋体"/>
                <w:snapToGrid w:val="0"/>
                <w:color w:val="000000"/>
                <w:spacing w:val="7"/>
                <w:kern w:val="0"/>
                <w:sz w:val="24"/>
                <w:szCs w:val="24"/>
                <w:highlight w:val="none"/>
                <w:lang w:val="en-US" w:eastAsia="zh-CN"/>
              </w:rPr>
              <w:t>供应商</w:t>
            </w:r>
            <w:r>
              <w:rPr>
                <w:rFonts w:hint="eastAsia" w:ascii="宋体" w:hAnsi="宋体" w:eastAsia="宋体" w:cs="宋体"/>
                <w:snapToGrid w:val="0"/>
                <w:color w:val="000000"/>
                <w:spacing w:val="7"/>
                <w:kern w:val="0"/>
                <w:sz w:val="24"/>
                <w:szCs w:val="24"/>
                <w:highlight w:val="none"/>
              </w:rPr>
              <w:t>在开标时无需提交纸质</w:t>
            </w:r>
            <w:r>
              <w:rPr>
                <w:rFonts w:hint="eastAsia" w:ascii="宋体" w:hAnsi="宋体" w:cs="宋体"/>
                <w:snapToGrid w:val="0"/>
                <w:color w:val="000000"/>
                <w:spacing w:val="7"/>
                <w:kern w:val="0"/>
                <w:sz w:val="24"/>
                <w:szCs w:val="24"/>
                <w:highlight w:val="none"/>
                <w:lang w:eastAsia="zh-CN"/>
              </w:rPr>
              <w:t>响应文件</w:t>
            </w:r>
            <w:r>
              <w:rPr>
                <w:rFonts w:hint="eastAsia" w:ascii="宋体" w:hAnsi="宋体" w:eastAsia="宋体" w:cs="宋体"/>
                <w:snapToGrid w:val="0"/>
                <w:color w:val="000000"/>
                <w:spacing w:val="7"/>
                <w:kern w:val="0"/>
                <w:sz w:val="24"/>
                <w:szCs w:val="24"/>
                <w:highlight w:val="none"/>
              </w:rPr>
              <w:t>，待开标结束后，需邮</w:t>
            </w:r>
            <w:r>
              <w:rPr>
                <w:rFonts w:hint="eastAsia" w:ascii="宋体" w:hAnsi="宋体" w:eastAsia="宋体" w:cs="宋体"/>
                <w:snapToGrid w:val="0"/>
                <w:color w:val="000000"/>
                <w:spacing w:val="19"/>
                <w:kern w:val="0"/>
                <w:sz w:val="24"/>
                <w:szCs w:val="24"/>
                <w:highlight w:val="none"/>
              </w:rPr>
              <w:t>寄</w:t>
            </w:r>
            <w:r>
              <w:rPr>
                <w:rFonts w:hint="eastAsia" w:ascii="宋体" w:hAnsi="宋体" w:eastAsia="宋体" w:cs="宋体"/>
                <w:snapToGrid w:val="0"/>
                <w:color w:val="000000"/>
                <w:spacing w:val="11"/>
                <w:kern w:val="0"/>
                <w:sz w:val="24"/>
                <w:szCs w:val="24"/>
                <w:highlight w:val="none"/>
              </w:rPr>
              <w:t>补交</w:t>
            </w:r>
            <w:r>
              <w:rPr>
                <w:rFonts w:hint="eastAsia" w:ascii="宋体" w:hAnsi="宋体" w:eastAsia="宋体" w:cs="宋体"/>
                <w:snapToGrid w:val="0"/>
                <w:color w:val="auto"/>
                <w:spacing w:val="11"/>
                <w:kern w:val="0"/>
                <w:sz w:val="24"/>
                <w:szCs w:val="24"/>
                <w:highlight w:val="none"/>
                <w:shd w:val="clear"/>
              </w:rPr>
              <w:t>一正</w:t>
            </w:r>
            <w:r>
              <w:rPr>
                <w:rFonts w:hint="eastAsia" w:ascii="宋体" w:hAnsi="宋体" w:cs="宋体"/>
                <w:snapToGrid w:val="0"/>
                <w:color w:val="auto"/>
                <w:spacing w:val="11"/>
                <w:kern w:val="0"/>
                <w:sz w:val="24"/>
                <w:szCs w:val="24"/>
                <w:highlight w:val="none"/>
                <w:shd w:val="clear"/>
                <w:lang w:val="en-US" w:eastAsia="zh-CN"/>
              </w:rPr>
              <w:t>叁副</w:t>
            </w:r>
            <w:r>
              <w:rPr>
                <w:rFonts w:hint="eastAsia" w:ascii="宋体" w:hAnsi="宋体" w:eastAsia="宋体" w:cs="宋体"/>
                <w:snapToGrid w:val="0"/>
                <w:color w:val="auto"/>
                <w:spacing w:val="11"/>
                <w:kern w:val="0"/>
                <w:sz w:val="24"/>
                <w:szCs w:val="24"/>
                <w:highlight w:val="none"/>
                <w:shd w:val="clear"/>
              </w:rPr>
              <w:t>纸</w:t>
            </w:r>
            <w:r>
              <w:rPr>
                <w:rFonts w:hint="eastAsia" w:ascii="宋体" w:hAnsi="宋体" w:eastAsia="宋体" w:cs="宋体"/>
                <w:snapToGrid w:val="0"/>
                <w:color w:val="000000"/>
                <w:spacing w:val="11"/>
                <w:kern w:val="0"/>
                <w:sz w:val="24"/>
                <w:szCs w:val="24"/>
                <w:highlight w:val="none"/>
              </w:rPr>
              <w:t>质</w:t>
            </w:r>
            <w:r>
              <w:rPr>
                <w:rFonts w:hint="eastAsia" w:ascii="宋体" w:hAnsi="宋体" w:cs="宋体"/>
                <w:snapToGrid w:val="0"/>
                <w:color w:val="000000"/>
                <w:spacing w:val="11"/>
                <w:kern w:val="0"/>
                <w:sz w:val="24"/>
                <w:szCs w:val="24"/>
                <w:highlight w:val="none"/>
                <w:lang w:eastAsia="zh-CN"/>
              </w:rPr>
              <w:t>响应文件</w:t>
            </w:r>
            <w:r>
              <w:rPr>
                <w:rFonts w:hint="eastAsia" w:ascii="宋体" w:hAnsi="宋体" w:eastAsia="宋体" w:cs="宋体"/>
                <w:snapToGrid w:val="0"/>
                <w:color w:val="000000"/>
                <w:spacing w:val="10"/>
                <w:kern w:val="0"/>
                <w:sz w:val="24"/>
                <w:szCs w:val="24"/>
                <w:highlight w:val="none"/>
                <w:lang w:eastAsia="zh-CN"/>
              </w:rPr>
              <w:t>。</w:t>
            </w:r>
          </w:p>
          <w:p>
            <w:pPr>
              <w:widowControl/>
              <w:kinsoku w:val="0"/>
              <w:autoSpaceDE w:val="0"/>
              <w:autoSpaceDN w:val="0"/>
              <w:adjustRightInd w:val="0"/>
              <w:snapToGrid w:val="0"/>
              <w:spacing w:beforeAutospacing="0" w:afterAutospacing="0" w:line="326" w:lineRule="auto"/>
              <w:ind w:left="21" w:right="15" w:hanging="1"/>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8"/>
                <w:kern w:val="0"/>
                <w:sz w:val="24"/>
                <w:szCs w:val="24"/>
                <w:highlight w:val="none"/>
              </w:rPr>
              <w:t>4</w:t>
            </w:r>
            <w:r>
              <w:rPr>
                <w:rFonts w:hint="eastAsia" w:ascii="宋体" w:hAnsi="宋体" w:eastAsia="宋体" w:cs="宋体"/>
                <w:snapToGrid w:val="0"/>
                <w:color w:val="000000"/>
                <w:spacing w:val="10"/>
                <w:kern w:val="0"/>
                <w:sz w:val="24"/>
                <w:szCs w:val="24"/>
                <w:highlight w:val="none"/>
              </w:rPr>
              <w:t>、</w:t>
            </w:r>
            <w:r>
              <w:rPr>
                <w:rFonts w:hint="eastAsia" w:ascii="宋体" w:hAnsi="宋体" w:eastAsia="宋体" w:cs="宋体"/>
                <w:snapToGrid w:val="0"/>
                <w:color w:val="000000"/>
                <w:spacing w:val="9"/>
                <w:kern w:val="0"/>
                <w:sz w:val="24"/>
                <w:szCs w:val="24"/>
                <w:highlight w:val="none"/>
              </w:rPr>
              <w:t>开标过程中，</w:t>
            </w:r>
            <w:r>
              <w:rPr>
                <w:rFonts w:hint="eastAsia" w:ascii="宋体" w:hAnsi="宋体" w:cs="宋体"/>
                <w:snapToGrid w:val="0"/>
                <w:color w:val="000000"/>
                <w:spacing w:val="9"/>
                <w:kern w:val="0"/>
                <w:sz w:val="24"/>
                <w:szCs w:val="24"/>
                <w:highlight w:val="none"/>
                <w:lang w:eastAsia="zh-CN"/>
              </w:rPr>
              <w:t>供应商</w:t>
            </w:r>
            <w:r>
              <w:rPr>
                <w:rFonts w:hint="eastAsia" w:ascii="宋体" w:hAnsi="宋体" w:eastAsia="宋体" w:cs="宋体"/>
                <w:snapToGrid w:val="0"/>
                <w:color w:val="000000"/>
                <w:spacing w:val="9"/>
                <w:kern w:val="0"/>
                <w:sz w:val="24"/>
                <w:szCs w:val="24"/>
                <w:highlight w:val="none"/>
              </w:rPr>
              <w:t>在收到工作人员“开始解密”指令后，请及时</w:t>
            </w:r>
            <w:r>
              <w:rPr>
                <w:rFonts w:hint="eastAsia" w:ascii="宋体" w:hAnsi="宋体" w:eastAsia="宋体" w:cs="宋体"/>
                <w:snapToGrid w:val="0"/>
                <w:color w:val="000000"/>
                <w:spacing w:val="18"/>
                <w:kern w:val="0"/>
                <w:sz w:val="24"/>
                <w:szCs w:val="24"/>
                <w:highlight w:val="none"/>
              </w:rPr>
              <w:t>使</w:t>
            </w:r>
            <w:r>
              <w:rPr>
                <w:rFonts w:hint="eastAsia" w:ascii="宋体" w:hAnsi="宋体" w:eastAsia="宋体" w:cs="宋体"/>
                <w:snapToGrid w:val="0"/>
                <w:color w:val="000000"/>
                <w:spacing w:val="17"/>
                <w:kern w:val="0"/>
                <w:sz w:val="24"/>
                <w:szCs w:val="24"/>
                <w:highlight w:val="none"/>
              </w:rPr>
              <w:t>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9"/>
                <w:kern w:val="0"/>
                <w:sz w:val="24"/>
                <w:szCs w:val="24"/>
                <w:highlight w:val="none"/>
              </w:rPr>
              <w:t>对电子</w:t>
            </w:r>
            <w:r>
              <w:rPr>
                <w:rFonts w:hint="eastAsia" w:ascii="宋体" w:hAnsi="宋体" w:cs="宋体"/>
                <w:snapToGrid w:val="0"/>
                <w:color w:val="000000"/>
                <w:spacing w:val="9"/>
                <w:kern w:val="0"/>
                <w:sz w:val="24"/>
                <w:szCs w:val="24"/>
                <w:highlight w:val="none"/>
                <w:lang w:eastAsia="zh-CN"/>
              </w:rPr>
              <w:t>响应文件</w:t>
            </w:r>
            <w:r>
              <w:rPr>
                <w:rFonts w:hint="eastAsia" w:ascii="宋体" w:hAnsi="宋体" w:eastAsia="宋体" w:cs="宋体"/>
                <w:snapToGrid w:val="0"/>
                <w:color w:val="000000"/>
                <w:spacing w:val="9"/>
                <w:kern w:val="0"/>
                <w:sz w:val="24"/>
                <w:szCs w:val="24"/>
                <w:highlight w:val="none"/>
              </w:rPr>
              <w:t>进行解密。解密时所用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9"/>
                <w:kern w:val="0"/>
                <w:sz w:val="24"/>
                <w:szCs w:val="24"/>
                <w:highlight w:val="none"/>
              </w:rPr>
              <w:t>应与加密</w:t>
            </w:r>
            <w:r>
              <w:rPr>
                <w:rFonts w:hint="eastAsia" w:ascii="宋体" w:hAnsi="宋体" w:cs="宋体"/>
                <w:snapToGrid w:val="0"/>
                <w:color w:val="000000"/>
                <w:spacing w:val="9"/>
                <w:kern w:val="0"/>
                <w:sz w:val="24"/>
                <w:szCs w:val="24"/>
                <w:highlight w:val="none"/>
                <w:lang w:eastAsia="zh-CN"/>
              </w:rPr>
              <w:t>响应文件</w:t>
            </w:r>
            <w:r>
              <w:rPr>
                <w:rFonts w:hint="eastAsia" w:ascii="宋体" w:hAnsi="宋体" w:eastAsia="宋体" w:cs="宋体"/>
                <w:snapToGrid w:val="0"/>
                <w:color w:val="000000"/>
                <w:spacing w:val="8"/>
                <w:kern w:val="0"/>
                <w:sz w:val="24"/>
                <w:szCs w:val="24"/>
                <w:highlight w:val="none"/>
              </w:rPr>
              <w:t>时所用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8"/>
                <w:kern w:val="0"/>
                <w:sz w:val="24"/>
                <w:szCs w:val="24"/>
                <w:highlight w:val="none"/>
              </w:rPr>
              <w:t>相同</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line="370" w:lineRule="auto"/>
              <w:ind w:left="23" w:leftChars="0" w:right="15" w:rightChars="0"/>
              <w:jc w:val="left"/>
              <w:textAlignment w:val="baseline"/>
              <w:rPr>
                <w:rFonts w:hint="eastAsia" w:ascii="宋体" w:hAnsi="宋体" w:eastAsia="宋体" w:cs="宋体"/>
                <w:b/>
                <w:bCs/>
                <w:snapToGrid w:val="0"/>
                <w:color w:val="000000"/>
                <w:spacing w:val="13"/>
                <w:kern w:val="0"/>
                <w:sz w:val="24"/>
                <w:szCs w:val="24"/>
                <w:highlight w:val="none"/>
              </w:rPr>
            </w:pPr>
            <w:r>
              <w:rPr>
                <w:rFonts w:hint="eastAsia" w:ascii="宋体" w:hAnsi="宋体" w:eastAsia="宋体" w:cs="宋体"/>
                <w:b/>
                <w:bCs/>
                <w:snapToGrid w:val="0"/>
                <w:color w:val="000000"/>
                <w:spacing w:val="13"/>
                <w:kern w:val="0"/>
                <w:sz w:val="24"/>
                <w:szCs w:val="24"/>
                <w:highlight w:val="none"/>
              </w:rPr>
              <w:t>注：解密时间为30分钟，在解密时间内</w:t>
            </w:r>
            <w:r>
              <w:rPr>
                <w:rFonts w:hint="eastAsia" w:ascii="宋体" w:hAnsi="宋体" w:cs="宋体"/>
                <w:b/>
                <w:bCs/>
                <w:snapToGrid w:val="0"/>
                <w:color w:val="000000"/>
                <w:spacing w:val="13"/>
                <w:kern w:val="0"/>
                <w:sz w:val="24"/>
                <w:szCs w:val="24"/>
                <w:highlight w:val="none"/>
                <w:lang w:eastAsia="zh-CN"/>
              </w:rPr>
              <w:t>供应商</w:t>
            </w:r>
            <w:r>
              <w:rPr>
                <w:rFonts w:hint="eastAsia" w:ascii="宋体" w:hAnsi="宋体" w:eastAsia="宋体" w:cs="宋体"/>
                <w:b/>
                <w:bCs/>
                <w:snapToGrid w:val="0"/>
                <w:color w:val="000000"/>
                <w:spacing w:val="13"/>
                <w:kern w:val="0"/>
                <w:sz w:val="24"/>
                <w:szCs w:val="24"/>
                <w:highlight w:val="none"/>
              </w:rPr>
              <w:t>全部解密完成后，可提 前进入开标下一阶段。</w:t>
            </w:r>
          </w:p>
          <w:p>
            <w:pPr>
              <w:widowControl/>
              <w:kinsoku w:val="0"/>
              <w:autoSpaceDE w:val="0"/>
              <w:autoSpaceDN w:val="0"/>
              <w:adjustRightInd w:val="0"/>
              <w:snapToGrid w:val="0"/>
              <w:spacing w:line="308" w:lineRule="exact"/>
              <w:ind w:left="2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4"/>
                <w:kern w:val="0"/>
                <w:position w:val="1"/>
                <w:sz w:val="24"/>
                <w:szCs w:val="24"/>
                <w:highlight w:val="none"/>
              </w:rPr>
              <w:t>5</w:t>
            </w:r>
            <w:r>
              <w:rPr>
                <w:rFonts w:hint="eastAsia" w:ascii="宋体" w:hAnsi="宋体" w:eastAsia="宋体" w:cs="宋体"/>
                <w:snapToGrid w:val="0"/>
                <w:color w:val="000000"/>
                <w:spacing w:val="8"/>
                <w:kern w:val="0"/>
                <w:position w:val="1"/>
                <w:sz w:val="24"/>
                <w:szCs w:val="24"/>
                <w:highlight w:val="none"/>
              </w:rPr>
              <w:t>、相关技术问题，请咨询软件开发商：</w:t>
            </w:r>
          </w:p>
          <w:p>
            <w:pPr>
              <w:widowControl/>
              <w:kinsoku w:val="0"/>
              <w:autoSpaceDE w:val="0"/>
              <w:autoSpaceDN w:val="0"/>
              <w:adjustRightInd w:val="0"/>
              <w:snapToGrid w:val="0"/>
              <w:spacing w:before="160" w:line="227" w:lineRule="auto"/>
              <w:ind w:left="3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6"/>
                <w:kern w:val="0"/>
                <w:sz w:val="24"/>
                <w:szCs w:val="24"/>
                <w:highlight w:val="none"/>
              </w:rPr>
              <w:t>(1)</w:t>
            </w:r>
            <w:r>
              <w:rPr>
                <w:rFonts w:hint="eastAsia" w:ascii="宋体" w:hAnsi="宋体" w:eastAsia="宋体" w:cs="宋体"/>
                <w:snapToGrid w:val="0"/>
                <w:color w:val="000000"/>
                <w:spacing w:val="10"/>
                <w:kern w:val="0"/>
                <w:sz w:val="24"/>
                <w:szCs w:val="24"/>
                <w:highlight w:val="none"/>
              </w:rPr>
              <w:t xml:space="preserve"> </w:t>
            </w:r>
            <w:r>
              <w:rPr>
                <w:rFonts w:hint="eastAsia" w:ascii="宋体" w:hAnsi="宋体" w:eastAsia="宋体" w:cs="宋体"/>
                <w:snapToGrid w:val="0"/>
                <w:color w:val="000000"/>
                <w:spacing w:val="8"/>
                <w:kern w:val="0"/>
                <w:sz w:val="24"/>
                <w:szCs w:val="24"/>
                <w:highlight w:val="none"/>
              </w:rPr>
              <w:t>技术支持热线：400-998-0000/400-928-0095</w:t>
            </w:r>
          </w:p>
          <w:p>
            <w:pPr>
              <w:widowControl/>
              <w:kinsoku w:val="0"/>
              <w:autoSpaceDE w:val="0"/>
              <w:autoSpaceDN w:val="0"/>
              <w:adjustRightInd w:val="0"/>
              <w:snapToGrid w:val="0"/>
              <w:spacing w:before="105" w:line="301" w:lineRule="auto"/>
              <w:ind w:left="20" w:right="15" w:firstLine="2"/>
              <w:jc w:val="left"/>
              <w:textAlignment w:val="baseline"/>
              <w:rPr>
                <w:rFonts w:hint="eastAsia" w:ascii="宋体" w:hAnsi="宋体" w:cs="宋体"/>
                <w:sz w:val="24"/>
                <w:highlight w:val="none"/>
              </w:rPr>
            </w:pPr>
            <w:r>
              <w:rPr>
                <w:rFonts w:hint="eastAsia" w:ascii="宋体" w:hAnsi="宋体" w:eastAsia="宋体" w:cs="宋体"/>
                <w:snapToGrid w:val="0"/>
                <w:color w:val="000000"/>
                <w:spacing w:val="16"/>
                <w:kern w:val="0"/>
                <w:sz w:val="24"/>
                <w:szCs w:val="24"/>
                <w:highlight w:val="none"/>
              </w:rPr>
              <w:t>6</w:t>
            </w:r>
            <w:r>
              <w:rPr>
                <w:rFonts w:hint="eastAsia" w:ascii="宋体" w:hAnsi="宋体" w:eastAsia="宋体" w:cs="宋体"/>
                <w:snapToGrid w:val="0"/>
                <w:color w:val="000000"/>
                <w:spacing w:val="9"/>
                <w:kern w:val="0"/>
                <w:sz w:val="24"/>
                <w:szCs w:val="24"/>
                <w:highlight w:val="none"/>
              </w:rPr>
              <w:t>、榆林不见面开标系统操作手册下载方式：登录【全国公共资源交易平</w:t>
            </w:r>
            <w:r>
              <w:rPr>
                <w:rFonts w:hint="eastAsia" w:ascii="宋体" w:hAnsi="宋体" w:eastAsia="宋体" w:cs="宋体"/>
                <w:snapToGrid w:val="0"/>
                <w:color w:val="000000"/>
                <w:spacing w:val="5"/>
                <w:kern w:val="0"/>
                <w:sz w:val="24"/>
                <w:szCs w:val="24"/>
                <w:highlight w:val="none"/>
              </w:rPr>
              <w:t>台(陕西省·榆林市)】网站首页选择【服务指南】-【下载专区】</w:t>
            </w:r>
            <w:r>
              <w:rPr>
                <w:rFonts w:hint="eastAsia" w:ascii="宋体" w:hAnsi="宋体" w:eastAsia="宋体" w:cs="宋体"/>
                <w:snapToGrid w:val="0"/>
                <w:color w:val="000000"/>
                <w:spacing w:val="13"/>
                <w:kern w:val="0"/>
                <w:position w:val="6"/>
                <w:sz w:val="24"/>
                <w:szCs w:val="24"/>
                <w:highlight w:val="none"/>
              </w:rPr>
              <w:t>-点击【</w:t>
            </w:r>
            <w:r>
              <w:rPr>
                <w:rFonts w:hint="eastAsia" w:ascii="宋体" w:hAnsi="宋体" w:eastAsia="宋体" w:cs="宋体"/>
                <w:snapToGrid w:val="0"/>
                <w:color w:val="000000"/>
                <w:kern w:val="0"/>
                <w:sz w:val="24"/>
                <w:szCs w:val="24"/>
                <w:highlight w:val="none"/>
              </w:rPr>
              <w:fldChar w:fldCharType="begin"/>
            </w:r>
            <w:r>
              <w:rPr>
                <w:rFonts w:hint="eastAsia" w:ascii="宋体" w:hAnsi="宋体" w:eastAsia="宋体" w:cs="宋体"/>
                <w:snapToGrid w:val="0"/>
                <w:color w:val="000000"/>
                <w:kern w:val="0"/>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eastAsia="宋体" w:cs="宋体"/>
                <w:snapToGrid w:val="0"/>
                <w:color w:val="000000"/>
                <w:kern w:val="0"/>
                <w:sz w:val="24"/>
                <w:szCs w:val="24"/>
                <w:highlight w:val="none"/>
              </w:rPr>
              <w:fldChar w:fldCharType="separate"/>
            </w:r>
            <w:r>
              <w:rPr>
                <w:rFonts w:hint="eastAsia" w:ascii="宋体" w:hAnsi="宋体" w:eastAsia="宋体" w:cs="宋体"/>
                <w:snapToGrid w:val="0"/>
                <w:color w:val="000000"/>
                <w:spacing w:val="13"/>
                <w:kern w:val="0"/>
                <w:position w:val="6"/>
                <w:sz w:val="24"/>
                <w:szCs w:val="24"/>
                <w:highlight w:val="none"/>
              </w:rPr>
              <w:t>榆林不见面开标系统操作手册(</w:t>
            </w:r>
            <w:r>
              <w:rPr>
                <w:rFonts w:hint="eastAsia" w:ascii="宋体" w:hAnsi="宋体" w:cs="宋体"/>
                <w:snapToGrid w:val="0"/>
                <w:color w:val="000000"/>
                <w:spacing w:val="13"/>
                <w:kern w:val="0"/>
                <w:position w:val="6"/>
                <w:sz w:val="24"/>
                <w:szCs w:val="24"/>
                <w:highlight w:val="none"/>
                <w:lang w:eastAsia="zh-CN"/>
              </w:rPr>
              <w:t>供应商</w:t>
            </w:r>
            <w:r>
              <w:rPr>
                <w:rFonts w:hint="eastAsia" w:ascii="宋体" w:hAnsi="宋体" w:eastAsia="宋体" w:cs="宋体"/>
                <w:snapToGrid w:val="0"/>
                <w:color w:val="000000"/>
                <w:spacing w:val="13"/>
                <w:kern w:val="0"/>
                <w:position w:val="6"/>
                <w:sz w:val="24"/>
                <w:szCs w:val="24"/>
                <w:highlight w:val="none"/>
              </w:rPr>
              <w:t>)</w:t>
            </w:r>
            <w:r>
              <w:rPr>
                <w:rFonts w:hint="eastAsia" w:ascii="宋体" w:hAnsi="宋体" w:eastAsia="宋体" w:cs="宋体"/>
                <w:snapToGrid w:val="0"/>
                <w:color w:val="000000"/>
                <w:spacing w:val="13"/>
                <w:kern w:val="0"/>
                <w:position w:val="6"/>
                <w:sz w:val="24"/>
                <w:szCs w:val="24"/>
                <w:highlight w:val="none"/>
              </w:rPr>
              <w:fldChar w:fldCharType="end"/>
            </w:r>
            <w:r>
              <w:rPr>
                <w:rFonts w:hint="eastAsia" w:ascii="宋体" w:hAnsi="宋体" w:eastAsia="宋体" w:cs="宋体"/>
                <w:snapToGrid w:val="0"/>
                <w:color w:val="000000"/>
                <w:spacing w:val="13"/>
                <w:kern w:val="0"/>
                <w:position w:val="6"/>
                <w:sz w:val="24"/>
                <w:szCs w:val="24"/>
                <w:highlight w:val="none"/>
              </w:rPr>
              <w:t>】进行下载</w:t>
            </w:r>
            <w:r>
              <w:rPr>
                <w:rFonts w:hint="eastAsia" w:ascii="宋体" w:hAnsi="宋体" w:eastAsia="宋体" w:cs="宋体"/>
                <w:snapToGrid w:val="0"/>
                <w:color w:val="000000"/>
                <w:spacing w:val="8"/>
                <w:kern w:val="0"/>
                <w:position w:val="6"/>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11</w:t>
            </w:r>
          </w:p>
        </w:tc>
        <w:tc>
          <w:tcPr>
            <w:tcW w:w="4605" w:type="pct"/>
            <w:noWrap w:val="0"/>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竞争性谈判响应文件递交方式：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1、供应商应于提交竞争性谈判响应文件截止时间前任意时段登录交易平台〖首页〉电子交易平台〉企业端〗在线提交电子竞争性谈判响应文件，逾期提交系统间拒绝接收。</w:t>
            </w:r>
          </w:p>
          <w:p>
            <w:pPr>
              <w:spacing w:line="360" w:lineRule="auto"/>
              <w:rPr>
                <w:rFonts w:hint="eastAsia" w:ascii="宋体" w:hAnsi="宋体" w:eastAsia="宋体" w:cs="宋体"/>
                <w:snapToGrid w:val="0"/>
                <w:color w:val="000000"/>
                <w:spacing w:val="13"/>
                <w:kern w:val="0"/>
                <w:position w:val="6"/>
                <w:sz w:val="23"/>
                <w:szCs w:val="23"/>
                <w:highlight w:val="none"/>
              </w:rPr>
            </w:pPr>
            <w:r>
              <w:rPr>
                <w:rFonts w:hint="eastAsia" w:ascii="宋体" w:hAnsi="宋体" w:eastAsia="宋体" w:cs="宋体"/>
                <w:color w:val="auto"/>
                <w:kern w:val="0"/>
                <w:sz w:val="24"/>
                <w:szCs w:val="24"/>
                <w:highlight w:val="none"/>
                <w:lang w:val="en-US" w:eastAsia="zh-CN"/>
              </w:rPr>
              <w:t>2、本项目采用“不见面”开标形式，供应商可登录榆林交易平台〖首页〉不见面开标〗在线参与开评标过程，详见竞争性谈判文件以及交易平台〖首页〉服务指南〉下载专区〗中的《榆林市不见面开标大厅操作手册（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12</w:t>
            </w:r>
          </w:p>
        </w:tc>
        <w:tc>
          <w:tcPr>
            <w:tcW w:w="4605" w:type="pct"/>
            <w:noWrap w:val="0"/>
            <w:vAlign w:val="center"/>
          </w:tcPr>
          <w:p>
            <w:pPr>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1、本项目采用电子化</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与纸质</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并行的方式。</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须使用数字认证证书对电子化</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响应文件进行签章、加密、递交及开标时解密等相关招投标事宜。如出现电子</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与纸质</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顺序不一致，不作为废标条款，以电子</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为准。</w:t>
            </w:r>
          </w:p>
          <w:p>
            <w:pPr>
              <w:spacing w:line="360" w:lineRule="auto"/>
              <w:rPr>
                <w:rFonts w:hint="eastAsia" w:ascii="思源宋体 CN Light" w:hAnsi="思源宋体 CN Light" w:eastAsia="思源宋体 CN Light" w:cs="思源宋体 CN Light"/>
                <w:color w:val="auto"/>
                <w:kern w:val="0"/>
                <w:sz w:val="24"/>
                <w:szCs w:val="24"/>
                <w:highlight w:val="none"/>
                <w:lang w:val="en-US" w:eastAsia="zh-CN"/>
              </w:rPr>
            </w:pPr>
            <w:r>
              <w:rPr>
                <w:rFonts w:hint="eastAsia" w:ascii="宋体" w:hAnsi="宋体" w:cs="宋体"/>
                <w:color w:val="auto"/>
                <w:kern w:val="0"/>
                <w:sz w:val="24"/>
                <w:szCs w:val="24"/>
                <w:highlight w:val="none"/>
              </w:rPr>
              <w:t>2、纸质</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响应文件：正本壹份、副本</w:t>
            </w:r>
            <w:r>
              <w:rPr>
                <w:rFonts w:hint="eastAsia" w:ascii="宋体" w:hAnsi="宋体" w:cs="宋体"/>
                <w:color w:val="auto"/>
                <w:kern w:val="0"/>
                <w:sz w:val="24"/>
                <w:szCs w:val="24"/>
                <w:highlight w:val="none"/>
                <w:lang w:val="en-US" w:eastAsia="zh-CN"/>
              </w:rPr>
              <w:t>叁</w:t>
            </w:r>
            <w:r>
              <w:rPr>
                <w:rFonts w:hint="eastAsia" w:ascii="宋体" w:hAnsi="宋体" w:cs="宋体"/>
                <w:color w:val="auto"/>
                <w:kern w:val="0"/>
                <w:sz w:val="24"/>
                <w:szCs w:val="24"/>
                <w:highlight w:val="none"/>
              </w:rPr>
              <w:t>份、电子版U盘一份（Word版响应文件）、报价一览表壹份</w:t>
            </w:r>
            <w:r>
              <w:rPr>
                <w:rFonts w:hint="eastAsia" w:ascii="宋体" w:hAnsi="宋体" w:cs="宋体"/>
                <w:color w:val="auto"/>
                <w:kern w:val="0"/>
                <w:sz w:val="24"/>
                <w:szCs w:val="24"/>
                <w:highlight w:val="none"/>
                <w:lang w:val="en-US" w:eastAsia="zh-CN"/>
              </w:rPr>
              <w:t>加盖供应商公章</w:t>
            </w:r>
            <w:r>
              <w:rPr>
                <w:rFonts w:hint="eastAsia" w:ascii="宋体" w:hAnsi="宋体" w:cs="宋体"/>
                <w:color w:val="auto"/>
                <w:kern w:val="0"/>
                <w:sz w:val="24"/>
                <w:szCs w:val="24"/>
                <w:highlight w:val="none"/>
                <w:lang w:eastAsia="zh-CN"/>
              </w:rPr>
              <w:t>一份</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正、副本须各自装订成册，统一编码（要求胶装、不得出现活页）。</w:t>
            </w:r>
            <w:r>
              <w:rPr>
                <w:rFonts w:hint="eastAsia" w:ascii="思源宋体 CN Light" w:hAnsi="思源宋体 CN Light" w:eastAsia="思源宋体 CN Light" w:cs="思源宋体 CN Light"/>
                <w:color w:val="auto"/>
                <w:kern w:val="0"/>
                <w:sz w:val="24"/>
                <w:szCs w:val="24"/>
                <w:highlight w:val="none"/>
              </w:rPr>
              <w:t>标供应商</w:t>
            </w:r>
            <w:r>
              <w:rPr>
                <w:rFonts w:hint="eastAsia" w:ascii="思源宋体 CN Light" w:hAnsi="思源宋体 CN Light" w:eastAsia="思源宋体 CN Light" w:cs="思源宋体 CN Light"/>
                <w:color w:val="auto"/>
                <w:kern w:val="0"/>
                <w:sz w:val="24"/>
                <w:szCs w:val="24"/>
                <w:highlight w:val="none"/>
                <w:lang w:eastAsia="zh-CN"/>
              </w:rPr>
              <w:t>在开标时</w:t>
            </w:r>
            <w:r>
              <w:rPr>
                <w:rFonts w:hint="eastAsia" w:ascii="思源宋体 CN Light" w:hAnsi="思源宋体 CN Light" w:eastAsia="思源宋体 CN Light" w:cs="思源宋体 CN Light"/>
                <w:color w:val="auto"/>
                <w:kern w:val="0"/>
                <w:sz w:val="24"/>
                <w:szCs w:val="24"/>
                <w:highlight w:val="none"/>
              </w:rPr>
              <w:t>无需提交纸质</w:t>
            </w:r>
            <w:r>
              <w:rPr>
                <w:rFonts w:hint="eastAsia" w:ascii="思源宋体 CN Light" w:hAnsi="思源宋体 CN Light" w:eastAsia="思源宋体 CN Light" w:cs="思源宋体 CN Light"/>
                <w:color w:val="auto"/>
                <w:kern w:val="0"/>
                <w:sz w:val="24"/>
                <w:szCs w:val="24"/>
                <w:highlight w:val="none"/>
                <w:lang w:eastAsia="zh-CN"/>
              </w:rPr>
              <w:t>竞争性谈判响应文件</w:t>
            </w:r>
            <w:r>
              <w:rPr>
                <w:rFonts w:hint="eastAsia" w:ascii="思源宋体 CN Light" w:hAnsi="思源宋体 CN Light" w:eastAsia="思源宋体 CN Light" w:cs="思源宋体 CN Light"/>
                <w:color w:val="auto"/>
                <w:kern w:val="0"/>
                <w:sz w:val="24"/>
                <w:szCs w:val="24"/>
                <w:highlight w:val="none"/>
              </w:rPr>
              <w:t>，</w:t>
            </w:r>
            <w:r>
              <w:rPr>
                <w:rFonts w:hint="eastAsia" w:ascii="思源宋体 CN Light" w:hAnsi="思源宋体 CN Light" w:eastAsia="思源宋体 CN Light" w:cs="思源宋体 CN Light"/>
                <w:color w:val="auto"/>
                <w:kern w:val="0"/>
                <w:sz w:val="24"/>
                <w:szCs w:val="24"/>
                <w:highlight w:val="none"/>
                <w:lang w:val="en-US" w:eastAsia="zh-CN"/>
              </w:rPr>
              <w:t>开标结束后</w:t>
            </w:r>
            <w:r>
              <w:rPr>
                <w:rFonts w:hint="eastAsia" w:ascii="思源宋体 CN Light" w:hAnsi="思源宋体 CN Light" w:eastAsia="思源宋体 CN Light" w:cs="思源宋体 CN Light"/>
                <w:color w:val="auto"/>
                <w:kern w:val="0"/>
                <w:sz w:val="24"/>
                <w:szCs w:val="24"/>
                <w:highlight w:val="none"/>
              </w:rPr>
              <w:t>，</w:t>
            </w:r>
            <w:r>
              <w:rPr>
                <w:rFonts w:hint="eastAsia" w:ascii="思源宋体 CN Light" w:hAnsi="思源宋体 CN Light" w:eastAsia="思源宋体 CN Light" w:cs="思源宋体 CN Light"/>
                <w:color w:val="auto"/>
                <w:kern w:val="0"/>
                <w:sz w:val="24"/>
                <w:szCs w:val="24"/>
                <w:highlight w:val="none"/>
                <w:lang w:val="en-US" w:eastAsia="zh-CN"/>
              </w:rPr>
              <w:t>请中标供应商</w:t>
            </w:r>
            <w:r>
              <w:rPr>
                <w:rFonts w:hint="eastAsia" w:ascii="思源宋体 CN Light" w:hAnsi="思源宋体 CN Light" w:eastAsia="思源宋体 CN Light" w:cs="思源宋体 CN Light"/>
                <w:color w:val="auto"/>
                <w:kern w:val="0"/>
                <w:sz w:val="24"/>
                <w:szCs w:val="24"/>
                <w:highlight w:val="none"/>
                <w:lang w:eastAsia="zh-CN"/>
              </w:rPr>
              <w:t>邮寄一正</w:t>
            </w:r>
            <w:r>
              <w:rPr>
                <w:rFonts w:hint="eastAsia" w:ascii="思源宋体 CN Light" w:hAnsi="思源宋体 CN Light" w:eastAsia="思源宋体 CN Light" w:cs="思源宋体 CN Light"/>
                <w:color w:val="auto"/>
                <w:kern w:val="0"/>
                <w:sz w:val="24"/>
                <w:szCs w:val="24"/>
                <w:highlight w:val="none"/>
                <w:lang w:val="en-US" w:eastAsia="zh-CN"/>
              </w:rPr>
              <w:t>三副</w:t>
            </w:r>
            <w:r>
              <w:rPr>
                <w:rFonts w:hint="eastAsia" w:ascii="思源宋体 CN Light" w:hAnsi="思源宋体 CN Light" w:eastAsia="思源宋体 CN Light" w:cs="思源宋体 CN Light"/>
                <w:color w:val="auto"/>
                <w:kern w:val="0"/>
                <w:sz w:val="24"/>
                <w:szCs w:val="24"/>
                <w:highlight w:val="none"/>
                <w:lang w:eastAsia="zh-CN"/>
              </w:rPr>
              <w:t>纸质竞争性谈判响应文件、谈判报价表及谈判文件要求需要单独邮寄的资料。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3</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hAnsi="宋体" w:cs="宋体"/>
                <w:color w:val="auto"/>
                <w:sz w:val="24"/>
                <w:szCs w:val="24"/>
                <w:highlight w:val="none"/>
                <w:lang w:eastAsia="zh-CN"/>
              </w:rPr>
              <w:instrText xml:space="preserve">,</w:instrText>
            </w:r>
            <w:r>
              <w:rPr>
                <w:rFonts w:hint="eastAsia" w:hAnsi="宋体" w:cs="宋体"/>
                <w:color w:val="auto"/>
                <w:position w:val="2"/>
                <w:sz w:val="16"/>
                <w:szCs w:val="24"/>
                <w:highlight w:val="none"/>
                <w:lang w:eastAsia="zh-CN"/>
              </w:rPr>
              <w:instrText xml:space="preserve">√</w:instrText>
            </w:r>
            <w:r>
              <w:rPr>
                <w:rFonts w:hint="eastAsia" w:ascii="宋体" w:hAnsi="宋体" w:cs="宋体"/>
                <w:color w:val="auto"/>
                <w:sz w:val="24"/>
                <w:szCs w:val="24"/>
                <w:highlight w:val="none"/>
              </w:rPr>
              <w:instrText xml:space="preserve">)</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自行踏勘，安全责任由</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自负，费用自理。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4</w:t>
            </w:r>
          </w:p>
        </w:tc>
        <w:tc>
          <w:tcPr>
            <w:tcW w:w="4605" w:type="pct"/>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szCs w:val="24"/>
                <w:highlight w:val="none"/>
              </w:rPr>
              <w:t>答疑：采购人不统一召开答疑会，如</w:t>
            </w:r>
            <w:r>
              <w:rPr>
                <w:rFonts w:hint="eastAsia" w:ascii="宋体" w:hAnsi="宋体" w:cs="宋体"/>
                <w:sz w:val="24"/>
                <w:highlight w:val="none"/>
              </w:rPr>
              <w:t>供应商若对竞争性谈判文件有疑问的，应当在谈判截止时间2日前以书面形式向采购代理机构提出，</w:t>
            </w:r>
            <w:r>
              <w:rPr>
                <w:rFonts w:hint="eastAsia" w:ascii="宋体" w:hAnsi="宋体" w:cs="宋体"/>
                <w:sz w:val="24"/>
                <w:szCs w:val="24"/>
                <w:highlight w:val="none"/>
              </w:rPr>
              <w:t>以便采购人澄清</w:t>
            </w:r>
            <w:r>
              <w:rPr>
                <w:rFonts w:hint="eastAsia" w:ascii="宋体" w:hAnsi="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5</w:t>
            </w:r>
          </w:p>
        </w:tc>
        <w:tc>
          <w:tcPr>
            <w:tcW w:w="4605" w:type="pct"/>
            <w:noWrap w:val="0"/>
            <w:vAlign w:val="center"/>
          </w:tcPr>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供应商的法定代表人（负责人）或其授权人应当参加谈判，须提交以下资质及竞争性谈判文件要求的其他证明材料。</w:t>
            </w:r>
          </w:p>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（一）基本资格条件：符合《中华人民共和国政府采购法》第二十二条的规定。</w:t>
            </w:r>
          </w:p>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（二）本项目特定资格条件：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1、供应商须具备独立承担民事责任能力的法人或其他组织，并出具合法有效的营业执照或事业单位法人证书等国家规定的相关证明；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须提供完成本项目文物考古勘探能力的证明材料；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政府采购严重违法失信行为记录名单；</w:t>
            </w:r>
            <w:r>
              <w:rPr>
                <w:rFonts w:hint="eastAsia" w:ascii="宋体" w:hAnsi="宋体" w:eastAsia="宋体" w:cs="宋体"/>
                <w:sz w:val="24"/>
                <w:szCs w:val="24"/>
                <w:highlight w:val="none"/>
              </w:rPr>
              <w:t>不得列入中国执行信息公开网（http://shixin.court.gov.cn/）失信被执行人名单（被执行人包括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、法定代表人）、不得在中国裁判文书网（http://wenshu.court.gov.cn/）有行贿犯罪记录（被执行人包括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eastAsia="zh-CN"/>
              </w:rPr>
              <w:t>；</w:t>
            </w:r>
            <w:r>
              <w:rPr>
                <w:rFonts w:hint="eastAsia" w:ascii="宋体" w:hAnsi="宋体" w:eastAsia="宋体" w:cs="宋体"/>
                <w:color w:val="000000"/>
                <w:kern w:val="0"/>
                <w:sz w:val="24"/>
                <w:szCs w:val="21"/>
                <w:highlight w:val="none"/>
                <w:lang w:val="en-US" w:eastAsia="zh-CN" w:bidi="ar-SA"/>
              </w:rPr>
              <w:t>不得为中国政府采购网（www.ccgp.gov.cn）政府采购严重违法失信行为记录名单中被财政部门禁止参加政府采购活动的供应商</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提供信用中国网站下载的供应商信用信息信用报告和网查截图全部加盖供应商公章</w:t>
            </w:r>
            <w:r>
              <w:rPr>
                <w:rFonts w:hint="eastAsia" w:ascii="宋体" w:hAnsi="宋体" w:cs="宋体"/>
                <w:color w:val="000000"/>
                <w:kern w:val="0"/>
                <w:sz w:val="24"/>
                <w:szCs w:val="21"/>
                <w:highlight w:val="none"/>
                <w:lang w:val="en-US" w:eastAsia="zh-CN" w:bidi="ar-SA"/>
              </w:rPr>
              <w:t>（查询日期为从谈判文件获取之日起至响应文件截止日前但最终以投标截止日当天查询结果为准）</w:t>
            </w:r>
            <w:r>
              <w:rPr>
                <w:rFonts w:hint="eastAsia" w:ascii="宋体" w:hAnsi="宋体" w:eastAsia="宋体" w:cs="宋体"/>
                <w:color w:val="000000"/>
                <w:kern w:val="0"/>
                <w:sz w:val="24"/>
                <w:szCs w:val="21"/>
                <w:highlight w:val="none"/>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8、本项目不接受联合体投标，单位负责人为同一人或者存在直接控股、管理关系的不同供应商，不得参加同一合同项下的政府采购活动；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11、本项目不专门面向中小企业采购。</w:t>
            </w:r>
          </w:p>
          <w:p>
            <w:pPr>
              <w:numPr>
                <w:ilvl w:val="0"/>
                <w:numId w:val="0"/>
              </w:numPr>
              <w:spacing w:line="360" w:lineRule="auto"/>
              <w:ind w:firstLine="482" w:firstLineChars="200"/>
              <w:rPr>
                <w:rFonts w:hint="eastAsia" w:ascii="宋体" w:hAnsi="宋体" w:cs="宋体"/>
                <w:sz w:val="24"/>
                <w:highlight w:val="none"/>
              </w:rPr>
            </w:pPr>
            <w:r>
              <w:rPr>
                <w:rFonts w:hint="eastAsia" w:ascii="宋体" w:hAnsi="宋体" w:cs="宋体"/>
                <w:b/>
                <w:bCs/>
                <w:sz w:val="24"/>
                <w:highlight w:val="none"/>
              </w:rPr>
              <w:t>注：上述资质为必备资质，须</w:t>
            </w:r>
            <w:r>
              <w:rPr>
                <w:rFonts w:hint="eastAsia" w:ascii="宋体" w:hAnsi="宋体" w:cs="宋体"/>
                <w:b/>
                <w:bCs/>
                <w:sz w:val="24"/>
                <w:highlight w:val="none"/>
                <w:lang w:val="en-US" w:eastAsia="zh-CN"/>
              </w:rPr>
              <w:t>在响应文件中体现，否则</w:t>
            </w:r>
            <w:r>
              <w:rPr>
                <w:rFonts w:hint="eastAsia" w:ascii="宋体" w:hAnsi="宋体" w:cs="宋体"/>
                <w:b/>
                <w:bCs/>
                <w:sz w:val="24"/>
                <w:highlight w:val="none"/>
              </w:rPr>
              <w:t>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6</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7</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szCs w:val="24"/>
                <w:highlight w:val="none"/>
              </w:rPr>
              <w:t>本项目不接受备选方案。且不允许成交后另行转包或者再分包。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8</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代理服务费：按照国家标准向中标单位收取。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9</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ascii="宋体" w:hAnsi="宋体" w:cs="宋体"/>
                <w:b/>
                <w:bCs/>
                <w:color w:val="auto"/>
                <w:sz w:val="24"/>
                <w:szCs w:val="24"/>
                <w:highlight w:val="none"/>
              </w:rPr>
              <w:t>公共资源信用承诺:</w:t>
            </w:r>
            <w:r>
              <w:rPr>
                <w:rFonts w:hint="eastAsia" w:ascii="宋体" w:hAnsi="宋体" w:cs="宋体"/>
                <w:color w:val="auto"/>
                <w:sz w:val="24"/>
                <w:szCs w:val="24"/>
                <w:highlight w:val="none"/>
                <w:lang w:val="zh-TW"/>
              </w:rPr>
              <w:t>进入公共资源交易平台的各</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，均应在“信用中国（陕西榆林）”网站进行注册、登录、自主上报信用承诺书（网址：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https://credit.yl.gov.cn/</w:t>
            </w:r>
            <w:r>
              <w:rPr>
                <w:rFonts w:hint="eastAsia" w:ascii="宋体" w:hAnsi="宋体" w:cs="宋体"/>
                <w:color w:val="auto"/>
                <w:sz w:val="24"/>
                <w:szCs w:val="24"/>
                <w:highlight w:val="none"/>
                <w:lang w:val="zh-TW"/>
              </w:rPr>
              <w:t>）。各</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注册、登录后根据承诺事项选择相应的模板填写《信用承诺书》，并载明承诺事由，</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委托代理人员、投标信用的承诺事由为“项目名称及标段”。操作指南见附件。</w:t>
            </w:r>
            <w:r>
              <w:rPr>
                <w:rFonts w:hint="eastAsia" w:ascii="宋体" w:hAnsi="宋体" w:cs="宋体"/>
                <w:color w:val="auto"/>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20</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hAnsi="宋体" w:cs="宋体"/>
                <w:color w:val="auto"/>
                <w:sz w:val="24"/>
                <w:szCs w:val="24"/>
                <w:highlight w:val="none"/>
                <w:lang w:eastAsia="zh-CN"/>
              </w:rPr>
              <w:t>竞争性谈判响应文件</w:t>
            </w:r>
            <w:r>
              <w:rPr>
                <w:rFonts w:hint="eastAsia" w:ascii="宋体" w:hAnsi="宋体" w:cs="宋体"/>
                <w:color w:val="auto"/>
                <w:sz w:val="24"/>
                <w:szCs w:val="24"/>
                <w:highlight w:val="none"/>
              </w:rPr>
              <w:t>中的复印件（含扫描件）必须加盖供应商公章</w:t>
            </w:r>
            <w:r>
              <w:rPr>
                <w:rFonts w:hint="eastAsia" w:hAnsi="宋体" w:cs="宋体"/>
                <w:color w:val="auto"/>
                <w:sz w:val="24"/>
                <w:szCs w:val="24"/>
                <w:highlight w:val="none"/>
                <w:lang w:eastAsia="zh-CN"/>
              </w:rPr>
              <w:t>，</w:t>
            </w:r>
            <w:r>
              <w:rPr>
                <w:rFonts w:hint="eastAsia" w:ascii="宋体" w:hAnsi="宋体" w:cs="宋体"/>
                <w:color w:val="auto"/>
                <w:sz w:val="24"/>
                <w:szCs w:val="24"/>
                <w:highlight w:val="none"/>
              </w:rPr>
              <w:t>否则按无效文件处理。所有复印件应是最新、有效、清晰的。因复印件不清晰而可能导致资料无效，由投标供应商自行负责。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21</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eastAsia="宋体"/>
                <w:sz w:val="24"/>
                <w:szCs w:val="24"/>
                <w:highlight w:val="none"/>
              </w:rPr>
              <w:t>保证金：</w:t>
            </w:r>
            <w:r>
              <w:rPr>
                <w:rFonts w:hint="eastAsia" w:ascii="宋体" w:hAnsi="宋体" w:eastAsia="宋体" w:cs="宋体"/>
                <w:sz w:val="24"/>
                <w:szCs w:val="24"/>
                <w:highlight w:val="none"/>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22</w:t>
            </w:r>
          </w:p>
        </w:tc>
        <w:tc>
          <w:tcPr>
            <w:tcW w:w="4605" w:type="pct"/>
            <w:noWrap w:val="0"/>
            <w:vAlign w:val="center"/>
          </w:tcPr>
          <w:p>
            <w:pPr>
              <w:spacing w:line="360" w:lineRule="auto"/>
              <w:rPr>
                <w:rFonts w:hint="eastAsia" w:ascii="宋体" w:hAnsi="宋体" w:cs="宋体"/>
                <w:color w:val="000000"/>
                <w:sz w:val="24"/>
                <w:highlight w:val="none"/>
              </w:rPr>
            </w:pPr>
            <w:r>
              <w:rPr>
                <w:rFonts w:hint="eastAsia" w:ascii="宋体" w:hAnsi="宋体" w:cs="宋体"/>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w:t>
            </w:r>
            <w:r>
              <w:rPr>
                <w:rFonts w:hint="eastAsia" w:ascii="宋体" w:hAnsi="宋体" w:eastAsia="宋体" w:cs="宋体"/>
                <w:sz w:val="24"/>
                <w:szCs w:val="24"/>
                <w:highlight w:val="none"/>
              </w:rPr>
              <w:t>吊销</w:t>
            </w:r>
            <w:r>
              <w:rPr>
                <w:rFonts w:hint="eastAsia" w:ascii="宋体" w:hAnsi="宋体" w:cs="宋体"/>
                <w:sz w:val="24"/>
                <w:szCs w:val="24"/>
                <w:highlight w:val="none"/>
              </w:rPr>
              <w:t>营业执照；构成犯罪的，依法追究刑事责任，同时纳入黑名单系统。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2</w:t>
            </w:r>
            <w:r>
              <w:rPr>
                <w:rFonts w:hint="eastAsia" w:ascii="宋体" w:hAnsi="宋体" w:cs="宋体"/>
                <w:sz w:val="24"/>
                <w:highlight w:val="none"/>
                <w:lang w:val="en-US" w:eastAsia="zh-CN"/>
              </w:rPr>
              <w:t>3</w:t>
            </w:r>
          </w:p>
        </w:tc>
        <w:tc>
          <w:tcPr>
            <w:tcW w:w="4605" w:type="pct"/>
            <w:noWrap w:val="0"/>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谈判文件解释权：本谈判文件由采购人和采购代理机构解释。未尽事宜，参照法律法规、规章及规范性文件的相关规定。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24</w:t>
            </w:r>
          </w:p>
        </w:tc>
        <w:tc>
          <w:tcPr>
            <w:tcW w:w="4605" w:type="pct"/>
            <w:noWrap w:val="0"/>
            <w:vAlign w:val="center"/>
          </w:tcPr>
          <w:p>
            <w:pPr>
              <w:spacing w:line="360" w:lineRule="auto"/>
              <w:rPr>
                <w:rFonts w:hint="default" w:ascii="宋体" w:hAnsi="宋体" w:eastAsia="宋体" w:cs="宋体"/>
                <w:sz w:val="24"/>
                <w:szCs w:val="24"/>
                <w:highlight w:val="none"/>
                <w:lang w:val="en-US" w:eastAsia="zh-CN"/>
              </w:rPr>
            </w:pPr>
            <w:r>
              <w:rPr>
                <w:rFonts w:hint="default" w:ascii="宋体" w:hAnsi="宋体" w:cs="宋体"/>
                <w:sz w:val="24"/>
                <w:szCs w:val="24"/>
                <w:highlight w:val="none"/>
              </w:rPr>
              <w:t>支持中小企业</w:t>
            </w:r>
            <w:r>
              <w:rPr>
                <w:rFonts w:hint="eastAsia" w:ascii="宋体" w:hAnsi="宋体" w:cs="宋体"/>
                <w:sz w:val="24"/>
                <w:szCs w:val="24"/>
                <w:highlight w:val="none"/>
                <w:lang w:eastAsia="zh-CN"/>
              </w:rPr>
              <w:t>：</w:t>
            </w:r>
            <w:r>
              <w:rPr>
                <w:rFonts w:hint="eastAsia" w:ascii="宋体" w:hAnsi="宋体" w:cs="宋体"/>
                <w:sz w:val="24"/>
                <w:szCs w:val="24"/>
                <w:highlight w:val="none"/>
              </w:rPr>
              <w:t>支</w:t>
            </w:r>
            <w:r>
              <w:rPr>
                <w:rFonts w:hint="default" w:ascii="宋体" w:hAnsi="宋体" w:cs="宋体"/>
                <w:sz w:val="24"/>
                <w:szCs w:val="24"/>
                <w:highlight w:val="none"/>
              </w:rPr>
              <w:t>持中小企业根据《政府采购促进中小企业发展管理办法》（财库〔2020〕46号）和《关于进一步加大政府采购支持中小企业力度的通知》（财库〔2022〕19号）规定，本项目</w:t>
            </w:r>
            <w:r>
              <w:rPr>
                <w:rFonts w:hint="eastAsia" w:ascii="宋体" w:hAnsi="宋体" w:cs="宋体"/>
                <w:sz w:val="24"/>
                <w:szCs w:val="24"/>
                <w:highlight w:val="none"/>
                <w:lang w:val="en-US" w:eastAsia="zh-CN"/>
              </w:rPr>
              <w:t>非</w:t>
            </w:r>
            <w:r>
              <w:rPr>
                <w:rFonts w:hint="default" w:ascii="宋体" w:hAnsi="宋体" w:cs="宋体"/>
                <w:sz w:val="24"/>
                <w:szCs w:val="24"/>
                <w:highlight w:val="none"/>
              </w:rPr>
              <w:t>专门面向中小企业采购，</w:t>
            </w:r>
            <w:r>
              <w:rPr>
                <w:rFonts w:hint="eastAsia" w:ascii="宋体" w:hAnsi="宋体" w:cs="宋体"/>
                <w:sz w:val="24"/>
                <w:szCs w:val="24"/>
                <w:highlight w:val="none"/>
                <w:lang w:val="en-US" w:eastAsia="zh-CN"/>
              </w:rPr>
              <w:t>对其进行支持</w:t>
            </w:r>
            <w:r>
              <w:rPr>
                <w:rFonts w:hint="default" w:ascii="宋体" w:hAnsi="宋体" w:cs="宋体"/>
                <w:sz w:val="24"/>
                <w:szCs w:val="24"/>
                <w:highlight w:val="none"/>
              </w:rPr>
              <w:t>中小企业</w:t>
            </w:r>
            <w:r>
              <w:rPr>
                <w:rFonts w:hint="eastAsia" w:ascii="宋体" w:hAnsi="宋体" w:cs="宋体"/>
                <w:sz w:val="24"/>
                <w:szCs w:val="24"/>
                <w:highlight w:val="none"/>
                <w:lang w:val="en-US" w:eastAsia="zh-CN"/>
              </w:rPr>
              <w:t>给予20%价格优惠。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25</w:t>
            </w:r>
          </w:p>
        </w:tc>
        <w:tc>
          <w:tcPr>
            <w:tcW w:w="4605" w:type="pct"/>
            <w:noWrap w:val="0"/>
            <w:vAlign w:val="center"/>
          </w:tcPr>
          <w:p>
            <w:pPr>
              <w:spacing w:line="360" w:lineRule="auto"/>
              <w:rPr>
                <w:rFonts w:hint="default" w:ascii="宋体" w:hAnsi="宋体" w:eastAsia="宋体" w:cs="宋体"/>
                <w:b/>
                <w:bCs/>
                <w:sz w:val="24"/>
                <w:szCs w:val="24"/>
                <w:highlight w:val="none"/>
                <w:lang w:val="en-US" w:eastAsia="zh-CN"/>
              </w:rPr>
            </w:pPr>
            <w:r>
              <w:rPr>
                <w:rFonts w:hint="eastAsia" w:ascii="宋体" w:hAnsi="宋体" w:eastAsia="宋体" w:cs="宋体"/>
                <w:b/>
                <w:bCs/>
                <w:spacing w:val="9"/>
                <w:sz w:val="23"/>
                <w:szCs w:val="23"/>
                <w:highlight w:val="none"/>
              </w:rPr>
              <w:t>各</w:t>
            </w:r>
            <w:r>
              <w:rPr>
                <w:rFonts w:hint="eastAsia" w:ascii="宋体" w:hAnsi="宋体" w:eastAsia="宋体" w:cs="宋体"/>
                <w:b/>
                <w:bCs/>
                <w:spacing w:val="8"/>
                <w:sz w:val="23"/>
                <w:szCs w:val="23"/>
                <w:highlight w:val="none"/>
              </w:rPr>
              <w:t>行业划分标准</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1、农、林、牧、渔业。营业收入20000万元以下的为中小微型企业。其中，营业收入500万元及以上的为中型企业,营业收入50万元及以上的为小型企业，营业收入50万元以下的为微型企业。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 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 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11、信息传输业。从业人员2000人以下或营业收入100000万元以下的为中小微型企业。其中,从业人员100人及以上，且营业收入1000万元及以上的为中型企业;从业人员10人及以上，且营业收入100 万元及以上的为小型企业；从业人员10人以下或营业收入100万元以下的为微型企业。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13、房地产开发经营。营业收入200000万元以下或资产总额10000万元以下的为中小微型企业.其中，营业收入1000万元及以上，且资产总额 5000万元及以上的为中型企业;营业收入100万元及以上，且资产总额2000万元及以上的为小型企业；营业收入100万元以下或资产总额2000万元以下的为微型企业。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pPr>
              <w:spacing w:line="360" w:lineRule="auto"/>
              <w:rPr>
                <w:rFonts w:hint="default" w:ascii="宋体" w:hAnsi="宋体" w:eastAsia="宋体" w:cs="宋体"/>
                <w:sz w:val="24"/>
                <w:szCs w:val="24"/>
                <w:highlight w:val="none"/>
                <w:lang w:val="en-US" w:eastAsia="zh-CN"/>
              </w:rPr>
            </w:pPr>
            <w:r>
              <w:rPr>
                <w:rFonts w:hint="default" w:ascii="宋体" w:hAnsi="宋体" w:eastAsia="宋体" w:cs="宋体"/>
                <w:b/>
                <w:bCs/>
                <w:sz w:val="24"/>
                <w:szCs w:val="24"/>
                <w:highlight w:val="none"/>
                <w:lang w:val="en-US" w:eastAsia="zh-CN"/>
              </w:rPr>
              <w:t>本项目属于：其他未列明行业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26</w:t>
            </w:r>
          </w:p>
        </w:tc>
        <w:tc>
          <w:tcPr>
            <w:tcW w:w="4605" w:type="pct"/>
            <w:noWrap w:val="0"/>
            <w:vAlign w:val="center"/>
          </w:tcPr>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eastAsia="宋体" w:cs="宋体"/>
                <w:sz w:val="24"/>
                <w:szCs w:val="24"/>
                <w:highlight w:val="none"/>
                <w:lang w:val="en-US" w:eastAsia="zh-CN"/>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sz w:val="24"/>
                <w:szCs w:val="24"/>
                <w:highlight w:val="none"/>
                <w:lang w:val="en-US" w:eastAsia="zh-CN"/>
              </w:rPr>
              <w:t>http://www.ccgp-shaanxi.gov.cn/zcdservice/zcd/shanxi/）在线申请，依法参加政府采购信用融资活动。</w:t>
            </w:r>
          </w:p>
          <w:p>
            <w:pPr>
              <w:spacing w:line="360" w:lineRule="auto"/>
              <w:ind w:firstLine="480" w:firstLineChars="200"/>
              <w:rPr>
                <w:rFonts w:hint="eastAsia"/>
                <w:highlight w:val="none"/>
              </w:rPr>
            </w:pPr>
            <w:r>
              <w:rPr>
                <w:rFonts w:hint="eastAsia" w:ascii="宋体" w:hAnsi="宋体" w:eastAsia="宋体" w:cs="宋体"/>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pPr>
        <w:rPr>
          <w:rFonts w:hint="eastAsia" w:ascii="宋体" w:hAnsi="宋体" w:cs="宋体"/>
          <w:sz w:val="32"/>
          <w:szCs w:val="32"/>
          <w:highlight w:val="none"/>
        </w:rPr>
      </w:pPr>
      <w:bookmarkStart w:id="18" w:name="_Toc3483"/>
      <w:bookmarkStart w:id="19" w:name="_Toc124"/>
      <w:bookmarkStart w:id="20" w:name="_Toc895"/>
      <w:bookmarkStart w:id="21" w:name="_Toc17899"/>
      <w:r>
        <w:rPr>
          <w:rFonts w:hint="eastAsia" w:ascii="宋体" w:hAnsi="宋体" w:cs="宋体"/>
          <w:sz w:val="32"/>
          <w:szCs w:val="32"/>
          <w:highlight w:val="none"/>
        </w:rPr>
        <w:br w:type="page"/>
      </w:r>
    </w:p>
    <w:p>
      <w:pPr>
        <w:pStyle w:val="5"/>
        <w:spacing w:before="0" w:after="0" w:line="360" w:lineRule="auto"/>
        <w:jc w:val="center"/>
        <w:rPr>
          <w:rFonts w:hint="eastAsia" w:ascii="宋体" w:hAnsi="宋体" w:cs="宋体"/>
          <w:b w:val="0"/>
          <w:szCs w:val="32"/>
          <w:highlight w:val="none"/>
        </w:rPr>
      </w:pPr>
      <w:bookmarkStart w:id="22" w:name="_Toc14210"/>
      <w:r>
        <w:rPr>
          <w:rFonts w:hint="eastAsia" w:ascii="宋体" w:hAnsi="宋体" w:cs="宋体"/>
          <w:sz w:val="32"/>
          <w:szCs w:val="32"/>
          <w:highlight w:val="none"/>
        </w:rPr>
        <w:t>第三部分 供应商须知</w:t>
      </w:r>
      <w:bookmarkEnd w:id="18"/>
      <w:bookmarkEnd w:id="19"/>
      <w:bookmarkEnd w:id="20"/>
      <w:bookmarkEnd w:id="21"/>
      <w:bookmarkEnd w:id="22"/>
    </w:p>
    <w:p>
      <w:pPr>
        <w:pStyle w:val="6"/>
        <w:bidi w:val="0"/>
        <w:rPr>
          <w:rFonts w:hint="eastAsia"/>
          <w:highlight w:val="none"/>
        </w:rPr>
      </w:pPr>
      <w:bookmarkStart w:id="23" w:name="_Toc28196"/>
      <w:bookmarkStart w:id="24" w:name="_Toc15915"/>
      <w:r>
        <w:rPr>
          <w:rFonts w:hint="eastAsia"/>
          <w:highlight w:val="none"/>
        </w:rPr>
        <w:t>一、总则</w:t>
      </w:r>
      <w:bookmarkEnd w:id="23"/>
      <w:bookmarkEnd w:id="24"/>
    </w:p>
    <w:p>
      <w:pPr>
        <w:pStyle w:val="8"/>
        <w:bidi w:val="0"/>
        <w:rPr>
          <w:highlight w:val="none"/>
        </w:rPr>
      </w:pPr>
      <w:bookmarkStart w:id="25" w:name="_Toc26887"/>
      <w:bookmarkStart w:id="26" w:name="_Toc7628"/>
      <w:bookmarkStart w:id="27" w:name="_Toc4680"/>
      <w:bookmarkStart w:id="28" w:name="_Toc20179"/>
      <w:bookmarkStart w:id="29" w:name="_Toc248"/>
      <w:bookmarkStart w:id="30" w:name="_Toc17556"/>
      <w:r>
        <w:rPr>
          <w:highlight w:val="none"/>
        </w:rPr>
        <w:t>1.资金来源</w:t>
      </w:r>
      <w:bookmarkEnd w:id="25"/>
      <w:bookmarkEnd w:id="26"/>
      <w:bookmarkEnd w:id="27"/>
      <w:bookmarkEnd w:id="28"/>
      <w:bookmarkEnd w:id="29"/>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1.1本次</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所签合同使用</w:t>
      </w:r>
      <w:r>
        <w:rPr>
          <w:rFonts w:hint="eastAsia" w:ascii="宋体" w:hAnsi="宋体" w:cs="Times New Roman"/>
          <w:color w:val="auto"/>
          <w:kern w:val="0"/>
          <w:sz w:val="24"/>
          <w:szCs w:val="24"/>
          <w:highlight w:val="none"/>
        </w:rPr>
        <w:t>财政资金</w:t>
      </w:r>
      <w:r>
        <w:rPr>
          <w:rFonts w:ascii="宋体" w:hAnsi="宋体" w:cs="Times New Roman"/>
          <w:color w:val="auto"/>
          <w:kern w:val="0"/>
          <w:sz w:val="24"/>
          <w:szCs w:val="24"/>
          <w:highlight w:val="none"/>
        </w:rPr>
        <w:t>支付，资金已落实到位。</w:t>
      </w:r>
    </w:p>
    <w:p>
      <w:pPr>
        <w:pStyle w:val="8"/>
        <w:numPr>
          <w:ilvl w:val="0"/>
          <w:numId w:val="2"/>
        </w:numPr>
        <w:bidi w:val="0"/>
        <w:rPr>
          <w:rFonts w:hint="eastAsia"/>
          <w:highlight w:val="none"/>
        </w:rPr>
      </w:pPr>
      <w:bookmarkStart w:id="31" w:name="_Toc3036"/>
      <w:bookmarkStart w:id="32" w:name="_Toc1741"/>
      <w:bookmarkStart w:id="33" w:name="_Toc22748"/>
      <w:bookmarkStart w:id="34" w:name="_Toc18356"/>
      <w:bookmarkStart w:id="35" w:name="_Toc30423"/>
      <w:r>
        <w:rPr>
          <w:rFonts w:hint="eastAsia"/>
          <w:highlight w:val="none"/>
        </w:rPr>
        <w:t>名词解释</w:t>
      </w:r>
      <w:bookmarkEnd w:id="31"/>
      <w:bookmarkEnd w:id="32"/>
      <w:bookmarkEnd w:id="33"/>
      <w:bookmarkEnd w:id="34"/>
      <w:bookmarkEnd w:id="35"/>
    </w:p>
    <w:p>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ascii="宋体" w:hAnsi="Times New Roman" w:cs="Times New Roman"/>
          <w:color w:val="auto"/>
          <w:kern w:val="0"/>
          <w:sz w:val="24"/>
          <w:szCs w:val="20"/>
          <w:highlight w:val="none"/>
        </w:rPr>
        <w:t>2.1采购人：</w:t>
      </w:r>
      <w:r>
        <w:rPr>
          <w:rFonts w:hint="eastAsia" w:ascii="宋体" w:hAnsi="Times New Roman" w:cs="Times New Roman"/>
          <w:color w:val="auto"/>
          <w:kern w:val="0"/>
          <w:sz w:val="24"/>
          <w:szCs w:val="20"/>
          <w:highlight w:val="none"/>
          <w:lang w:eastAsia="zh-CN"/>
        </w:rPr>
        <w:t>榆林市文物考古勘探工作队</w:t>
      </w:r>
    </w:p>
    <w:p>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ascii="宋体" w:hAnsi="Times New Roman" w:cs="Times New Roman"/>
          <w:color w:val="auto"/>
          <w:kern w:val="0"/>
          <w:sz w:val="24"/>
          <w:szCs w:val="20"/>
          <w:highlight w:val="none"/>
        </w:rPr>
        <w:t>2.2监督机构：</w:t>
      </w:r>
      <w:r>
        <w:rPr>
          <w:rFonts w:hint="eastAsia" w:ascii="宋体" w:hAnsi="Times New Roman" w:cs="Times New Roman"/>
          <w:color w:val="auto"/>
          <w:kern w:val="0"/>
          <w:sz w:val="24"/>
          <w:szCs w:val="20"/>
          <w:highlight w:val="none"/>
          <w:lang w:eastAsia="zh-CN"/>
        </w:rPr>
        <w:t>榆林市财政局</w:t>
      </w:r>
    </w:p>
    <w:p>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val="en-US" w:eastAsia="zh-CN"/>
        </w:rPr>
      </w:pPr>
      <w:r>
        <w:rPr>
          <w:rFonts w:ascii="宋体" w:hAnsi="Times New Roman" w:cs="Times New Roman"/>
          <w:color w:val="auto"/>
          <w:kern w:val="0"/>
          <w:sz w:val="24"/>
          <w:szCs w:val="20"/>
          <w:highlight w:val="none"/>
        </w:rPr>
        <w:t>2.3采购代理机构：</w:t>
      </w:r>
      <w:r>
        <w:rPr>
          <w:rFonts w:hint="eastAsia" w:ascii="宋体" w:hAnsi="Times New Roman" w:cs="Times New Roman"/>
          <w:color w:val="auto"/>
          <w:kern w:val="0"/>
          <w:sz w:val="24"/>
          <w:szCs w:val="20"/>
          <w:highlight w:val="none"/>
          <w:lang w:val="en-US" w:eastAsia="zh-CN"/>
        </w:rPr>
        <w:t>亿诚建设项目管理有限公司</w:t>
      </w:r>
    </w:p>
    <w:p>
      <w:pPr>
        <w:pageBreakBefore w:val="0"/>
        <w:tabs>
          <w:tab w:val="left" w:pos="7665"/>
        </w:tabs>
        <w:kinsoku/>
        <w:wordWrap/>
        <w:overflowPunct/>
        <w:topLinePunct w:val="0"/>
        <w:autoSpaceDE/>
        <w:autoSpaceDN/>
        <w:bidi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2.4</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：是指响应和符合</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文件规定资格条件且参与竞争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的法人</w:t>
      </w:r>
      <w:r>
        <w:rPr>
          <w:rFonts w:hint="eastAsia" w:ascii="宋体" w:hAnsi="Times New Roman" w:cs="Times New Roman"/>
          <w:color w:val="auto"/>
          <w:kern w:val="0"/>
          <w:sz w:val="24"/>
          <w:szCs w:val="20"/>
          <w:highlight w:val="none"/>
        </w:rPr>
        <w:t>、</w:t>
      </w:r>
      <w:r>
        <w:rPr>
          <w:rFonts w:hint="eastAsia" w:ascii="宋体" w:hAnsi="宋体" w:cs="宋体"/>
          <w:color w:val="auto"/>
          <w:kern w:val="0"/>
          <w:sz w:val="24"/>
          <w:szCs w:val="20"/>
          <w:highlight w:val="none"/>
        </w:rPr>
        <w:t>其他组织或者自然人。</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2.5产品是指本竞争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文件中第四章所述所有产品</w:t>
      </w:r>
      <w:r>
        <w:rPr>
          <w:rFonts w:hint="eastAsia" w:ascii="宋体" w:hAnsi="Times New Roman" w:cs="Times New Roman"/>
          <w:color w:val="auto"/>
          <w:kern w:val="0"/>
          <w:sz w:val="24"/>
          <w:szCs w:val="20"/>
          <w:highlight w:val="none"/>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2.6服务是指供应商为满足竞争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文件要求而提供的服务</w:t>
      </w:r>
      <w:r>
        <w:rPr>
          <w:rFonts w:hint="eastAsia" w:ascii="宋体" w:hAnsi="Times New Roman" w:cs="Times New Roman"/>
          <w:color w:val="auto"/>
          <w:kern w:val="0"/>
          <w:sz w:val="24"/>
          <w:szCs w:val="20"/>
          <w:highlight w:val="none"/>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2.7节能产品或者环保产品是指财政部发布的《节能产品政府采购清单》或《环境标志产品政府采购清单》的产品</w:t>
      </w:r>
      <w:r>
        <w:rPr>
          <w:rFonts w:hint="eastAsia" w:ascii="宋体" w:hAnsi="Times New Roman" w:cs="Times New Roman"/>
          <w:color w:val="auto"/>
          <w:kern w:val="0"/>
          <w:sz w:val="24"/>
          <w:szCs w:val="20"/>
          <w:highlight w:val="none"/>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w:t>
      </w:r>
      <w:r>
        <w:rPr>
          <w:rFonts w:hint="eastAsia" w:ascii="宋体" w:hAnsi="Times New Roman" w:cs="Times New Roman"/>
          <w:color w:val="auto"/>
          <w:kern w:val="0"/>
          <w:sz w:val="24"/>
          <w:szCs w:val="20"/>
          <w:highlight w:val="none"/>
        </w:rPr>
        <w:t>8</w:t>
      </w:r>
      <w:r>
        <w:rPr>
          <w:rFonts w:ascii="宋体" w:hAnsi="Times New Roman" w:cs="Times New Roman"/>
          <w:color w:val="auto"/>
          <w:kern w:val="0"/>
          <w:sz w:val="24"/>
          <w:szCs w:val="20"/>
          <w:highlight w:val="none"/>
        </w:rPr>
        <w:t>中小企业是指符合《工业和信息化部、国家统计局、国家发展和改革委员会、财政部关于印发中小企业划型标准规定的通知》（工信部联企业[2011]300号）规定的对中小企业的划法部认定的为罪犯、戒毒人员提供生产项目和劳动对象，且全部产权属于司法部监狱管理局、戒毒管理局、直属煤矿管理局，各省、自治区、直辖市监狱管分标准的企业。</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w:t>
      </w:r>
      <w:r>
        <w:rPr>
          <w:rFonts w:hint="eastAsia" w:ascii="宋体" w:hAnsi="Times New Roman" w:cs="Times New Roman"/>
          <w:color w:val="auto"/>
          <w:kern w:val="0"/>
          <w:sz w:val="24"/>
          <w:szCs w:val="20"/>
          <w:highlight w:val="none"/>
        </w:rPr>
        <w:t>9</w:t>
      </w:r>
      <w:r>
        <w:rPr>
          <w:rFonts w:ascii="宋体" w:hAnsi="Times New Roman" w:cs="Times New Roman"/>
          <w:color w:val="auto"/>
          <w:kern w:val="0"/>
          <w:sz w:val="24"/>
          <w:szCs w:val="20"/>
          <w:highlight w:val="none"/>
        </w:rPr>
        <w:t>监狱企业是指由司理局、戒毒管理局，各地（设区的市）监狱、强制隔离戒毒所、戒毒康复所，以及新疆生产建设兵团监狱管理局、戒毒管理局的企业。</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2.10残疾人福利性单位是指符合《三部门联合发布关于促进残疾人就业政府采购政策的通知》财库〔2017〕141号</w:t>
      </w:r>
      <w:r>
        <w:rPr>
          <w:rFonts w:ascii="宋体" w:hAnsi="Times New Roman" w:cs="Times New Roman"/>
          <w:color w:val="auto"/>
          <w:kern w:val="0"/>
          <w:sz w:val="24"/>
          <w:szCs w:val="20"/>
          <w:highlight w:val="none"/>
        </w:rPr>
        <w:t>规定的对</w:t>
      </w:r>
      <w:r>
        <w:rPr>
          <w:rFonts w:hint="eastAsia" w:ascii="宋体" w:hAnsi="Times New Roman" w:cs="Times New Roman"/>
          <w:color w:val="auto"/>
          <w:kern w:val="0"/>
          <w:sz w:val="24"/>
          <w:szCs w:val="20"/>
          <w:highlight w:val="none"/>
        </w:rPr>
        <w:t>残疾人福利性单位</w:t>
      </w:r>
      <w:r>
        <w:rPr>
          <w:rFonts w:ascii="宋体" w:hAnsi="Times New Roman" w:cs="Times New Roman"/>
          <w:color w:val="auto"/>
          <w:kern w:val="0"/>
          <w:sz w:val="24"/>
          <w:szCs w:val="20"/>
          <w:highlight w:val="none"/>
        </w:rPr>
        <w:t>划分标准的</w:t>
      </w:r>
      <w:r>
        <w:rPr>
          <w:rFonts w:hint="eastAsia" w:ascii="宋体" w:hAnsi="Times New Roman" w:cs="Times New Roman"/>
          <w:color w:val="auto"/>
          <w:kern w:val="0"/>
          <w:sz w:val="24"/>
          <w:szCs w:val="20"/>
          <w:highlight w:val="none"/>
        </w:rPr>
        <w:t>单位</w:t>
      </w:r>
      <w:r>
        <w:rPr>
          <w:rFonts w:ascii="宋体" w:hAnsi="Times New Roman" w:cs="Times New Roman"/>
          <w:color w:val="auto"/>
          <w:kern w:val="0"/>
          <w:sz w:val="24"/>
          <w:szCs w:val="20"/>
          <w:highlight w:val="none"/>
        </w:rPr>
        <w:t>。</w:t>
      </w:r>
    </w:p>
    <w:p>
      <w:pPr>
        <w:pStyle w:val="8"/>
        <w:bidi w:val="0"/>
        <w:rPr>
          <w:highlight w:val="none"/>
        </w:rPr>
      </w:pPr>
      <w:bookmarkStart w:id="36" w:name="_Toc31742"/>
      <w:bookmarkStart w:id="37" w:name="_Toc25876"/>
      <w:bookmarkStart w:id="38" w:name="_Toc22749"/>
      <w:bookmarkStart w:id="39" w:name="_Toc22862"/>
      <w:bookmarkStart w:id="40" w:name="_Toc17028"/>
      <w:r>
        <w:rPr>
          <w:rFonts w:hint="eastAsia"/>
          <w:highlight w:val="none"/>
        </w:rPr>
        <w:t>3</w:t>
      </w:r>
      <w:r>
        <w:rPr>
          <w:highlight w:val="none"/>
        </w:rPr>
        <w:t>.合格的</w:t>
      </w:r>
      <w:r>
        <w:rPr>
          <w:rFonts w:hint="eastAsia"/>
          <w:highlight w:val="none"/>
        </w:rPr>
        <w:t>供应商</w:t>
      </w:r>
      <w:bookmarkEnd w:id="36"/>
      <w:bookmarkEnd w:id="37"/>
      <w:bookmarkEnd w:id="38"/>
      <w:bookmarkEnd w:id="39"/>
      <w:bookmarkEnd w:id="40"/>
    </w:p>
    <w:p>
      <w:pPr>
        <w:pageBreakBefore w:val="0"/>
        <w:tabs>
          <w:tab w:val="left" w:pos="851"/>
        </w:tabs>
        <w:kinsoku/>
        <w:wordWrap/>
        <w:overflowPunct/>
        <w:topLinePunct w:val="0"/>
        <w:autoSpaceDE/>
        <w:autoSpaceDN/>
        <w:bidi w:val="0"/>
        <w:spacing w:line="360" w:lineRule="auto"/>
        <w:ind w:firstLine="480" w:firstLineChars="200"/>
        <w:textAlignment w:val="auto"/>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3.1《政府采购法》第二十二条第一款规定的供应商基本资格条件</w:t>
      </w:r>
      <w:r>
        <w:rPr>
          <w:rFonts w:hint="eastAsia" w:ascii="宋体" w:hAnsi="宋体" w:cs="Times New Roman"/>
          <w:color w:val="auto"/>
          <w:kern w:val="0"/>
          <w:sz w:val="24"/>
          <w:szCs w:val="24"/>
          <w:highlight w:val="none"/>
          <w:lang w:eastAsia="zh-CN"/>
        </w:rPr>
        <w:t>。</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3.2</w:t>
      </w:r>
      <w:r>
        <w:rPr>
          <w:rFonts w:ascii="宋体" w:hAnsi="宋体" w:cs="Times New Roman"/>
          <w:color w:val="auto"/>
          <w:kern w:val="0"/>
          <w:sz w:val="24"/>
          <w:szCs w:val="24"/>
          <w:highlight w:val="none"/>
        </w:rPr>
        <w:t>根据本次采购项目的特殊要求，规定的供应商特殊条件（见</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须知前附表）。</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3.3单位负责人为同一人或者存在直接控股、管理关系的不同供应商，不得参加同一合同项下的政府采购活动。除单一来源采购项目外，为采购项目提供整体设计、规范编制或者项目管理、监理、等服务的供应商，不得再参加该采购项目的其他采购活动。</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3.4</w:t>
      </w:r>
      <w:r>
        <w:rPr>
          <w:rFonts w:ascii="宋体" w:hAnsi="宋体" w:cs="Times New Roman"/>
          <w:color w:val="auto"/>
          <w:kern w:val="0"/>
          <w:sz w:val="24"/>
          <w:szCs w:val="24"/>
          <w:highlight w:val="none"/>
        </w:rPr>
        <w:t>供应商不得直接或间接地与采购人</w:t>
      </w:r>
      <w:r>
        <w:rPr>
          <w:rFonts w:hint="eastAsia" w:ascii="宋体" w:hAnsi="宋体" w:cs="Times New Roman"/>
          <w:color w:val="auto"/>
          <w:kern w:val="0"/>
          <w:sz w:val="24"/>
          <w:szCs w:val="24"/>
          <w:highlight w:val="none"/>
        </w:rPr>
        <w:t>或采购代理机构</w:t>
      </w:r>
      <w:r>
        <w:rPr>
          <w:rFonts w:ascii="宋体" w:hAnsi="宋体" w:cs="Times New Roman"/>
          <w:color w:val="auto"/>
          <w:kern w:val="0"/>
          <w:sz w:val="24"/>
          <w:szCs w:val="24"/>
          <w:highlight w:val="none"/>
        </w:rPr>
        <w:t>有任何关联，亦不得是采购人</w:t>
      </w:r>
      <w:r>
        <w:rPr>
          <w:rFonts w:hint="eastAsia" w:ascii="宋体" w:hAnsi="宋体" w:cs="Times New Roman"/>
          <w:color w:val="auto"/>
          <w:kern w:val="0"/>
          <w:sz w:val="24"/>
          <w:szCs w:val="24"/>
          <w:highlight w:val="none"/>
        </w:rPr>
        <w:t>或采购代理机构</w:t>
      </w:r>
      <w:r>
        <w:rPr>
          <w:rFonts w:ascii="宋体" w:hAnsi="宋体" w:cs="Times New Roman"/>
          <w:color w:val="auto"/>
          <w:kern w:val="0"/>
          <w:sz w:val="24"/>
          <w:szCs w:val="24"/>
          <w:highlight w:val="none"/>
        </w:rPr>
        <w:t>的附属机构。如果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中隐瞒了上述关系，一经证实，则该</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无效。</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3.5供应商</w:t>
      </w:r>
      <w:r>
        <w:rPr>
          <w:rFonts w:ascii="宋体" w:hAnsi="宋体" w:cs="Times New Roman"/>
          <w:color w:val="auto"/>
          <w:kern w:val="0"/>
          <w:sz w:val="24"/>
          <w:szCs w:val="24"/>
          <w:highlight w:val="none"/>
        </w:rPr>
        <w:t>必须</w:t>
      </w:r>
      <w:r>
        <w:rPr>
          <w:rFonts w:ascii="Calibri" w:hAnsi="Calibri" w:eastAsia="宋体" w:cs="Times New Roman"/>
          <w:b w:val="0"/>
          <w:color w:val="auto"/>
          <w:kern w:val="0"/>
          <w:sz w:val="24"/>
          <w:szCs w:val="24"/>
          <w:highlight w:val="none"/>
          <w:lang w:val="en-US" w:eastAsia="zh-CN" w:bidi="ar"/>
        </w:rPr>
        <w:t>登录全国公共资源交易中心平台（陕西省）（http://www.sxggzyjy.cn/）,选择“电子交易平台→陕西政府采购交易系统→陕西省公共资源交易平台→</w:t>
      </w:r>
      <w:r>
        <w:rPr>
          <w:rFonts w:hint="eastAsia" w:ascii="Calibri" w:hAnsi="Calibri" w:cs="Times New Roman"/>
          <w:b w:val="0"/>
          <w:color w:val="auto"/>
          <w:kern w:val="0"/>
          <w:sz w:val="24"/>
          <w:szCs w:val="24"/>
          <w:highlight w:val="none"/>
          <w:lang w:val="en-US" w:eastAsia="zh-CN" w:bidi="ar"/>
        </w:rPr>
        <w:t>供应商</w:t>
      </w:r>
      <w:r>
        <w:rPr>
          <w:rFonts w:ascii="Calibri" w:hAnsi="Calibri" w:eastAsia="宋体" w:cs="Times New Roman"/>
          <w:b w:val="0"/>
          <w:color w:val="auto"/>
          <w:kern w:val="0"/>
          <w:sz w:val="24"/>
          <w:szCs w:val="24"/>
          <w:highlight w:val="none"/>
          <w:lang w:val="en-US" w:eastAsia="zh-CN" w:bidi="ar"/>
        </w:rPr>
        <w:t>”进行登录，登录后选择“交易乙方”身份进入</w:t>
      </w:r>
      <w:r>
        <w:rPr>
          <w:rFonts w:hint="eastAsia" w:ascii="Calibri" w:hAnsi="Calibri" w:cs="Times New Roman"/>
          <w:b w:val="0"/>
          <w:color w:val="auto"/>
          <w:kern w:val="0"/>
          <w:sz w:val="24"/>
          <w:szCs w:val="24"/>
          <w:highlight w:val="none"/>
          <w:lang w:val="en-US" w:eastAsia="zh-CN" w:bidi="ar"/>
        </w:rPr>
        <w:t>供应商</w:t>
      </w:r>
      <w:r>
        <w:rPr>
          <w:rFonts w:ascii="Calibri" w:hAnsi="Calibri" w:eastAsia="宋体" w:cs="Times New Roman"/>
          <w:b w:val="0"/>
          <w:color w:val="auto"/>
          <w:kern w:val="0"/>
          <w:sz w:val="24"/>
          <w:szCs w:val="24"/>
          <w:highlight w:val="none"/>
          <w:lang w:val="en-US" w:eastAsia="zh-CN" w:bidi="ar"/>
        </w:rPr>
        <w:t>界面进行报名并下载</w:t>
      </w:r>
      <w:r>
        <w:rPr>
          <w:rFonts w:hint="eastAsia" w:ascii="Calibri" w:hAnsi="Calibri" w:eastAsia="宋体" w:cs="Times New Roman"/>
          <w:b w:val="0"/>
          <w:color w:val="auto"/>
          <w:kern w:val="0"/>
          <w:sz w:val="24"/>
          <w:szCs w:val="24"/>
          <w:highlight w:val="none"/>
          <w:lang w:val="en-US" w:eastAsia="zh-CN" w:bidi="ar"/>
        </w:rPr>
        <w:t>谈判</w:t>
      </w:r>
      <w:r>
        <w:rPr>
          <w:rFonts w:ascii="Calibri" w:hAnsi="Calibri" w:eastAsia="宋体" w:cs="Times New Roman"/>
          <w:b w:val="0"/>
          <w:color w:val="auto"/>
          <w:kern w:val="0"/>
          <w:sz w:val="24"/>
          <w:szCs w:val="24"/>
          <w:highlight w:val="none"/>
          <w:lang w:val="en-US" w:eastAsia="zh-CN" w:bidi="ar"/>
        </w:rPr>
        <w:t>文件</w:t>
      </w:r>
      <w:r>
        <w:rPr>
          <w:rFonts w:ascii="宋体" w:hAnsi="宋体" w:cs="Times New Roman"/>
          <w:color w:val="auto"/>
          <w:kern w:val="0"/>
          <w:sz w:val="24"/>
          <w:szCs w:val="24"/>
          <w:highlight w:val="none"/>
        </w:rPr>
        <w:t>，方可参加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Times New Roman"/>
          <w:color w:val="auto"/>
          <w:kern w:val="0"/>
          <w:sz w:val="24"/>
          <w:szCs w:val="24"/>
          <w:highlight w:val="none"/>
          <w:lang w:eastAsia="zh-CN"/>
        </w:rPr>
      </w:pPr>
      <w:bookmarkStart w:id="41" w:name="OLE_LINK33"/>
      <w:r>
        <w:rPr>
          <w:rFonts w:hint="eastAsia" w:ascii="宋体" w:hAnsi="宋体" w:cs="Times New Roman"/>
          <w:color w:val="auto"/>
          <w:kern w:val="0"/>
          <w:sz w:val="24"/>
          <w:szCs w:val="24"/>
          <w:highlight w:val="none"/>
        </w:rPr>
        <w:t>3</w:t>
      </w:r>
      <w:r>
        <w:rPr>
          <w:rFonts w:ascii="宋体" w:hAnsi="宋体" w:cs="Times New Roman"/>
          <w:color w:val="auto"/>
          <w:kern w:val="0"/>
          <w:sz w:val="24"/>
          <w:szCs w:val="24"/>
          <w:highlight w:val="none"/>
        </w:rPr>
        <w:t>.</w:t>
      </w:r>
      <w:bookmarkEnd w:id="41"/>
      <w:r>
        <w:rPr>
          <w:rFonts w:hint="eastAsia" w:ascii="宋体" w:hAnsi="宋体" w:cs="Times New Roman"/>
          <w:color w:val="auto"/>
          <w:kern w:val="0"/>
          <w:sz w:val="24"/>
          <w:szCs w:val="24"/>
          <w:highlight w:val="none"/>
        </w:rPr>
        <w:t>6联合体</w:t>
      </w:r>
      <w:r>
        <w:rPr>
          <w:rFonts w:hint="eastAsia" w:ascii="宋体" w:hAnsi="宋体" w:cs="Times New Roman"/>
          <w:color w:val="auto"/>
          <w:kern w:val="0"/>
          <w:sz w:val="24"/>
          <w:szCs w:val="24"/>
          <w:highlight w:val="none"/>
          <w:lang w:eastAsia="zh-CN"/>
        </w:rPr>
        <w:t>谈判</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3.6.1</w:t>
      </w:r>
      <w:r>
        <w:rPr>
          <w:rFonts w:ascii="宋体" w:hAnsi="宋体" w:cs="Times New Roman"/>
          <w:color w:val="auto"/>
          <w:kern w:val="0"/>
          <w:sz w:val="24"/>
          <w:szCs w:val="24"/>
          <w:highlight w:val="none"/>
        </w:rPr>
        <w:t>如果在</w:t>
      </w:r>
      <w:r>
        <w:rPr>
          <w:rFonts w:ascii="宋体" w:hAnsi="Times New Roman" w:cs="Times New Roman"/>
          <w:color w:val="auto"/>
          <w:kern w:val="0"/>
          <w:sz w:val="24"/>
          <w:szCs w:val="20"/>
          <w:highlight w:val="none"/>
        </w:rPr>
        <w:t>竞争</w:t>
      </w:r>
      <w:r>
        <w:rPr>
          <w:rFonts w:hint="eastAsia" w:ascii="宋体" w:hAnsi="Times New Roman" w:cs="Times New Roman"/>
          <w:color w:val="auto"/>
          <w:kern w:val="0"/>
          <w:sz w:val="24"/>
          <w:szCs w:val="20"/>
          <w:highlight w:val="none"/>
        </w:rPr>
        <w:t>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文件中接受联合体</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（见</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），则两个以上供应商可以组成一个</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联合体，以一个</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的身份</w:t>
      </w:r>
      <w:r>
        <w:rPr>
          <w:rFonts w:hint="eastAsia" w:ascii="宋体" w:hAnsi="宋体" w:cs="Times New Roman"/>
          <w:color w:val="auto"/>
          <w:kern w:val="0"/>
          <w:sz w:val="24"/>
          <w:szCs w:val="24"/>
          <w:highlight w:val="none"/>
        </w:rPr>
        <w:t>参与</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。以联合体形式参加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的，联合体各方均应当符合政府采购法</w:t>
      </w:r>
      <w:r>
        <w:rPr>
          <w:rFonts w:ascii="宋体" w:hAnsi="Times New Roman" w:cs="Times New Roman"/>
          <w:color w:val="auto"/>
          <w:kern w:val="0"/>
          <w:sz w:val="24"/>
          <w:szCs w:val="20"/>
          <w:highlight w:val="none"/>
        </w:rPr>
        <w:t>《中华人民共和国政府采购法》及</w:t>
      </w:r>
      <w:r>
        <w:rPr>
          <w:rFonts w:hint="eastAsia" w:ascii="宋体" w:hAnsi="Times New Roman" w:cs="Times New Roman"/>
          <w:color w:val="auto"/>
          <w:kern w:val="0"/>
          <w:sz w:val="24"/>
          <w:szCs w:val="20"/>
          <w:highlight w:val="none"/>
        </w:rPr>
        <w:t>其</w:t>
      </w:r>
      <w:r>
        <w:rPr>
          <w:rFonts w:ascii="宋体" w:hAnsi="Times New Roman" w:cs="Times New Roman"/>
          <w:color w:val="auto"/>
          <w:kern w:val="0"/>
          <w:sz w:val="24"/>
          <w:szCs w:val="20"/>
          <w:highlight w:val="none"/>
        </w:rPr>
        <w:t>实施条例</w:t>
      </w:r>
      <w:r>
        <w:rPr>
          <w:rFonts w:hint="eastAsia" w:ascii="宋体" w:hAnsi="Times New Roman" w:cs="Times New Roman"/>
          <w:color w:val="auto"/>
          <w:kern w:val="0"/>
          <w:sz w:val="24"/>
          <w:szCs w:val="20"/>
          <w:highlight w:val="none"/>
        </w:rPr>
        <w:t>和《政府采购竞争性</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采购方式管理暂行办法》</w:t>
      </w:r>
      <w:r>
        <w:rPr>
          <w:rFonts w:ascii="宋体" w:hAnsi="Times New Roman" w:cs="Times New Roman"/>
          <w:color w:val="auto"/>
          <w:kern w:val="0"/>
          <w:sz w:val="24"/>
          <w:szCs w:val="20"/>
          <w:highlight w:val="none"/>
        </w:rPr>
        <w:t>规定的条件</w:t>
      </w:r>
      <w:r>
        <w:rPr>
          <w:rFonts w:ascii="宋体" w:hAnsi="宋体" w:cs="Times New Roman"/>
          <w:color w:val="auto"/>
          <w:kern w:val="0"/>
          <w:sz w:val="24"/>
          <w:szCs w:val="24"/>
          <w:highlight w:val="none"/>
        </w:rPr>
        <w:t>。采购人根据采购项目的特殊要求规定</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特定条件的，联合体各方中至少应当有一方符合采购人规定的特定条件。</w:t>
      </w:r>
    </w:p>
    <w:p>
      <w:pPr>
        <w:pageBreakBefore w:val="0"/>
        <w:kinsoku/>
        <w:wordWrap/>
        <w:overflowPunct/>
        <w:topLinePunct w:val="0"/>
        <w:autoSpaceDE/>
        <w:autoSpaceDN/>
        <w:bidi w:val="0"/>
        <w:spacing w:line="360" w:lineRule="auto"/>
        <w:ind w:firstLine="468" w:firstLineChars="195"/>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3.6.2联合体各方之间应当签订共同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协议，明确约定联合体各方承担的工作和相应的责任，并将共同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协议连同</w:t>
      </w:r>
      <w:r>
        <w:rPr>
          <w:rFonts w:ascii="宋体" w:hAnsi="Times New Roman" w:cs="Times New Roman"/>
          <w:color w:val="auto"/>
          <w:kern w:val="0"/>
          <w:sz w:val="24"/>
          <w:szCs w:val="20"/>
          <w:highlight w:val="none"/>
        </w:rPr>
        <w:t>竞争</w:t>
      </w:r>
      <w:r>
        <w:rPr>
          <w:rFonts w:hint="eastAsia" w:ascii="宋体" w:hAnsi="Times New Roman" w:cs="Times New Roman"/>
          <w:color w:val="auto"/>
          <w:kern w:val="0"/>
          <w:sz w:val="24"/>
          <w:szCs w:val="20"/>
          <w:highlight w:val="none"/>
        </w:rPr>
        <w:t>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hint="eastAsia" w:ascii="宋体" w:hAnsi="宋体" w:cs="宋体"/>
          <w:color w:val="auto"/>
          <w:kern w:val="0"/>
          <w:sz w:val="24"/>
          <w:szCs w:val="24"/>
          <w:highlight w:val="none"/>
        </w:rPr>
        <w:t>文件一并提交</w:t>
      </w:r>
      <w:r>
        <w:rPr>
          <w:rFonts w:hint="eastAsia" w:ascii="宋体" w:hAnsi="宋体" w:cs="宋体"/>
          <w:color w:val="auto"/>
          <w:kern w:val="0"/>
          <w:sz w:val="24"/>
          <w:szCs w:val="20"/>
          <w:highlight w:val="none"/>
        </w:rPr>
        <w:t>采购代理机构</w:t>
      </w:r>
      <w:r>
        <w:rPr>
          <w:rFonts w:hint="eastAsia" w:ascii="宋体" w:hAnsi="宋体" w:cs="宋体"/>
          <w:color w:val="auto"/>
          <w:kern w:val="0"/>
          <w:sz w:val="24"/>
          <w:szCs w:val="24"/>
          <w:highlight w:val="none"/>
        </w:rPr>
        <w:t>。联合体各方签订共同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协议后，不得再以自己名义单独参与同一项目</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，也不得组成新的联合体参加同一项目</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w:t>
      </w:r>
    </w:p>
    <w:p>
      <w:pPr>
        <w:pageBreakBefore w:val="0"/>
        <w:widowControl/>
        <w:kinsoku/>
        <w:wordWrap/>
        <w:overflowPunct/>
        <w:topLinePunct w:val="0"/>
        <w:autoSpaceDE/>
        <w:autoSpaceDN/>
        <w:bidi w:val="0"/>
        <w:spacing w:line="360" w:lineRule="auto"/>
        <w:ind w:firstLine="480" w:firstLineChars="200"/>
        <w:jc w:val="both"/>
        <w:textAlignment w:val="auto"/>
        <w:rPr>
          <w:rFonts w:ascii="Times New Roman" w:hAnsi="宋体" w:eastAsia="宋体" w:cs="Times New Roman"/>
          <w:color w:val="auto"/>
          <w:sz w:val="28"/>
          <w:szCs w:val="24"/>
          <w:highlight w:val="none"/>
          <w:lang w:val="en-US" w:eastAsia="zh-CN" w:bidi="ar-SA"/>
        </w:rPr>
      </w:pPr>
      <w:r>
        <w:rPr>
          <w:rFonts w:hint="eastAsia" w:ascii="宋体" w:hAnsi="宋体" w:eastAsia="宋体" w:cs="宋体"/>
          <w:color w:val="auto"/>
          <w:sz w:val="24"/>
          <w:szCs w:val="24"/>
          <w:highlight w:val="none"/>
          <w:lang w:val="en-US" w:eastAsia="zh-CN" w:bidi="ar-SA"/>
        </w:rPr>
        <w:t>3.6.3联合体各方应当共同与采购人签订采购合同，就采购合同约定的事项对采购人承担连带责任。</w:t>
      </w:r>
    </w:p>
    <w:p>
      <w:pPr>
        <w:pageBreakBefore w:val="0"/>
        <w:kinsoku/>
        <w:wordWrap/>
        <w:overflowPunct/>
        <w:topLinePunct w:val="0"/>
        <w:autoSpaceDE/>
        <w:autoSpaceDN/>
        <w:bidi w:val="0"/>
        <w:spacing w:afterAutospacing="0"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3.7</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费用自理。不论</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的结果如何，</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均应自行承担所有与参加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有关的费用。</w:t>
      </w:r>
    </w:p>
    <w:p>
      <w:pPr>
        <w:pStyle w:val="8"/>
        <w:bidi w:val="0"/>
        <w:rPr>
          <w:highlight w:val="none"/>
        </w:rPr>
      </w:pPr>
      <w:bookmarkStart w:id="42" w:name="_Toc32690"/>
      <w:bookmarkStart w:id="43" w:name="_Toc697"/>
      <w:bookmarkStart w:id="44" w:name="_Toc11926"/>
      <w:bookmarkStart w:id="45" w:name="_Toc4621"/>
      <w:bookmarkStart w:id="46" w:name="_Toc14480"/>
      <w:r>
        <w:rPr>
          <w:rFonts w:hint="eastAsia"/>
          <w:highlight w:val="none"/>
        </w:rPr>
        <w:t>4</w:t>
      </w:r>
      <w:r>
        <w:rPr>
          <w:highlight w:val="none"/>
        </w:rPr>
        <w:t>.</w:t>
      </w:r>
      <w:r>
        <w:rPr>
          <w:rFonts w:hint="eastAsia"/>
          <w:highlight w:val="none"/>
        </w:rPr>
        <w:t>竞争性</w:t>
      </w:r>
      <w:r>
        <w:rPr>
          <w:rFonts w:hint="eastAsia"/>
          <w:highlight w:val="none"/>
          <w:lang w:eastAsia="zh-CN"/>
        </w:rPr>
        <w:t>谈判</w:t>
      </w:r>
      <w:r>
        <w:rPr>
          <w:highlight w:val="none"/>
        </w:rPr>
        <w:t>产品</w:t>
      </w:r>
      <w:r>
        <w:rPr>
          <w:rFonts w:hint="eastAsia"/>
          <w:highlight w:val="none"/>
        </w:rPr>
        <w:t>（含服务）</w:t>
      </w:r>
      <w:r>
        <w:rPr>
          <w:highlight w:val="none"/>
        </w:rPr>
        <w:t>的合格性和合法性</w:t>
      </w:r>
      <w:bookmarkEnd w:id="42"/>
      <w:bookmarkEnd w:id="43"/>
      <w:bookmarkEnd w:id="44"/>
      <w:bookmarkEnd w:id="45"/>
      <w:bookmarkEnd w:id="46"/>
    </w:p>
    <w:p>
      <w:pPr>
        <w:pageBreakBefore w:val="0"/>
        <w:tabs>
          <w:tab w:val="left" w:pos="747"/>
        </w:tabs>
        <w:kinsoku/>
        <w:wordWrap/>
        <w:overflowPunct/>
        <w:topLinePunct w:val="0"/>
        <w:autoSpaceDE/>
        <w:autoSpaceDN/>
        <w:bidi w:val="0"/>
        <w:snapToGrid w:val="0"/>
        <w:spacing w:beforeAutospacing="0" w:line="360" w:lineRule="auto"/>
        <w:ind w:firstLine="480" w:firstLineChars="200"/>
        <w:textAlignment w:val="auto"/>
        <w:rPr>
          <w:rFonts w:ascii="宋体" w:hAnsi="Times New Roman" w:cs="Times New Roman"/>
          <w:color w:val="auto"/>
          <w:kern w:val="0"/>
          <w:sz w:val="24"/>
          <w:szCs w:val="20"/>
          <w:highlight w:val="none"/>
        </w:rPr>
      </w:pPr>
      <w:r>
        <w:rPr>
          <w:rFonts w:hint="eastAsia" w:ascii="宋体" w:hAnsi="宋体" w:cs="Times New Roman"/>
          <w:color w:val="auto"/>
          <w:kern w:val="0"/>
          <w:sz w:val="24"/>
          <w:szCs w:val="24"/>
          <w:highlight w:val="none"/>
        </w:rPr>
        <w:t>4</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产品（含服务）</w:t>
      </w:r>
      <w:r>
        <w:rPr>
          <w:rFonts w:ascii="宋体" w:hAnsi="宋体" w:cs="Times New Roman"/>
          <w:color w:val="auto"/>
          <w:kern w:val="0"/>
          <w:sz w:val="24"/>
          <w:szCs w:val="24"/>
          <w:highlight w:val="none"/>
        </w:rPr>
        <w:t>应满足</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文件的要求并应符合国家法律法规、行业管理部门要求的其他强制性标准。</w:t>
      </w:r>
      <w:r>
        <w:rPr>
          <w:rFonts w:ascii="宋体" w:hAnsi="Times New Roman" w:cs="Times New Roman"/>
          <w:color w:val="auto"/>
          <w:kern w:val="0"/>
          <w:sz w:val="24"/>
          <w:szCs w:val="20"/>
          <w:highlight w:val="none"/>
        </w:rPr>
        <w:t>并满足</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文件规定的质量、价格、有效期、售后服务及</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须承担的运输、</w:t>
      </w:r>
      <w:r>
        <w:rPr>
          <w:rFonts w:hint="eastAsia" w:ascii="宋体" w:hAnsi="Times New Roman" w:cs="Times New Roman"/>
          <w:color w:val="auto"/>
          <w:kern w:val="0"/>
          <w:sz w:val="24"/>
          <w:szCs w:val="20"/>
          <w:highlight w:val="none"/>
        </w:rPr>
        <w:t>配送</w:t>
      </w:r>
      <w:r>
        <w:rPr>
          <w:rFonts w:ascii="宋体" w:hAnsi="Times New Roman" w:cs="Times New Roman"/>
          <w:color w:val="auto"/>
          <w:kern w:val="0"/>
          <w:sz w:val="24"/>
          <w:szCs w:val="20"/>
          <w:highlight w:val="none"/>
        </w:rPr>
        <w:t>、技术支持和</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文件规定的其他伴随服务等要求。</w:t>
      </w:r>
    </w:p>
    <w:p>
      <w:pPr>
        <w:pageBreakBefore w:val="0"/>
        <w:tabs>
          <w:tab w:val="left" w:pos="747"/>
        </w:tabs>
        <w:kinsoku/>
        <w:wordWrap/>
        <w:overflowPunct/>
        <w:topLinePunct w:val="0"/>
        <w:autoSpaceDE/>
        <w:autoSpaceDN/>
        <w:bidi w:val="0"/>
        <w:snapToGrid w:val="0"/>
        <w:spacing w:line="360" w:lineRule="auto"/>
        <w:ind w:firstLine="480" w:firstLineChars="200"/>
        <w:textAlignment w:val="auto"/>
        <w:rPr>
          <w:rFonts w:ascii="宋体" w:hAnsi="宋体" w:cs="Times New Roman"/>
          <w:color w:val="auto"/>
          <w:kern w:val="0"/>
          <w:sz w:val="24"/>
          <w:szCs w:val="24"/>
          <w:highlight w:val="none"/>
        </w:rPr>
      </w:pPr>
      <w:r>
        <w:rPr>
          <w:rFonts w:ascii="宋体" w:hAnsi="Times New Roman" w:cs="Times New Roman"/>
          <w:color w:val="auto"/>
          <w:kern w:val="0"/>
          <w:sz w:val="24"/>
          <w:szCs w:val="20"/>
          <w:highlight w:val="none"/>
        </w:rPr>
        <w:t>4.2采购人有权拒绝接受任何不合格的产品和服务，由此产生的费用及相关后果均由</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自行承担。</w:t>
      </w:r>
    </w:p>
    <w:p>
      <w:pPr>
        <w:pStyle w:val="8"/>
        <w:bidi w:val="0"/>
        <w:rPr>
          <w:rFonts w:hint="eastAsia"/>
          <w:highlight w:val="none"/>
        </w:rPr>
      </w:pPr>
      <w:bookmarkStart w:id="47" w:name="_Toc30532"/>
      <w:bookmarkStart w:id="48" w:name="_Toc6040"/>
      <w:bookmarkStart w:id="49" w:name="_Toc24028"/>
      <w:bookmarkStart w:id="50" w:name="_Toc3898"/>
      <w:bookmarkStart w:id="51" w:name="_Toc28663"/>
      <w:r>
        <w:rPr>
          <w:rFonts w:hint="eastAsia"/>
          <w:highlight w:val="none"/>
        </w:rPr>
        <w:t>5.竞争性</w:t>
      </w:r>
      <w:r>
        <w:rPr>
          <w:rFonts w:hint="eastAsia"/>
          <w:highlight w:val="none"/>
          <w:lang w:eastAsia="zh-CN"/>
        </w:rPr>
        <w:t>谈判</w:t>
      </w:r>
      <w:r>
        <w:rPr>
          <w:rFonts w:hint="eastAsia"/>
          <w:highlight w:val="none"/>
        </w:rPr>
        <w:t>响应文件内容的真实性</w:t>
      </w:r>
      <w:bookmarkEnd w:id="47"/>
      <w:bookmarkEnd w:id="48"/>
      <w:bookmarkEnd w:id="49"/>
      <w:bookmarkEnd w:id="50"/>
      <w:bookmarkEnd w:id="51"/>
    </w:p>
    <w:p>
      <w:pPr>
        <w:pageBreakBefore w:val="0"/>
        <w:kinsoku/>
        <w:wordWrap/>
        <w:overflowPunct/>
        <w:topLinePunct w:val="0"/>
        <w:autoSpaceDE/>
        <w:autoSpaceDN/>
        <w:bidi w:val="0"/>
        <w:spacing w:line="360" w:lineRule="auto"/>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5.1供应商应保证其</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响应文件中所提供的所有有关</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的资料、信息是真实的、并且来源于合法的渠道。因</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响应文件中所提供的有关</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的资料、信息不真实、或者其来源不合法而导致的所有法律责任，由供应商自行承担。</w:t>
      </w:r>
    </w:p>
    <w:bookmarkEnd w:id="30"/>
    <w:p>
      <w:pPr>
        <w:pStyle w:val="6"/>
        <w:bidi w:val="0"/>
        <w:jc w:val="center"/>
        <w:rPr>
          <w:highlight w:val="none"/>
        </w:rPr>
      </w:pPr>
      <w:bookmarkStart w:id="52" w:name="_Toc5118"/>
      <w:bookmarkStart w:id="53" w:name="_Toc2901"/>
      <w:bookmarkStart w:id="54" w:name="_Toc3750"/>
      <w:bookmarkStart w:id="55" w:name="_Toc2549"/>
      <w:bookmarkStart w:id="56" w:name="_Toc29799"/>
      <w:bookmarkStart w:id="57" w:name="_Toc31988"/>
      <w:bookmarkStart w:id="58" w:name="_Toc30582"/>
      <w:bookmarkStart w:id="59" w:name="_Toc14129"/>
      <w:bookmarkStart w:id="60" w:name="_Toc4236"/>
      <w:bookmarkStart w:id="61" w:name="_Toc14581"/>
      <w:r>
        <w:rPr>
          <w:highlight w:val="none"/>
        </w:rPr>
        <w:t>二.</w:t>
      </w:r>
      <w:r>
        <w:rPr>
          <w:rFonts w:hint="eastAsia"/>
          <w:highlight w:val="none"/>
        </w:rPr>
        <w:t>竞争性</w:t>
      </w:r>
      <w:r>
        <w:rPr>
          <w:rFonts w:hint="eastAsia"/>
          <w:highlight w:val="none"/>
          <w:lang w:eastAsia="zh-CN"/>
        </w:rPr>
        <w:t>谈判</w:t>
      </w:r>
      <w:r>
        <w:rPr>
          <w:highlight w:val="none"/>
        </w:rPr>
        <w:t>文件</w:t>
      </w:r>
      <w:bookmarkEnd w:id="52"/>
      <w:bookmarkEnd w:id="53"/>
      <w:bookmarkEnd w:id="54"/>
      <w:bookmarkEnd w:id="55"/>
      <w:bookmarkEnd w:id="56"/>
      <w:bookmarkEnd w:id="57"/>
    </w:p>
    <w:p>
      <w:pPr>
        <w:pStyle w:val="8"/>
        <w:bidi w:val="0"/>
        <w:rPr>
          <w:highlight w:val="none"/>
        </w:rPr>
      </w:pPr>
      <w:bookmarkStart w:id="62" w:name="_Toc6888"/>
      <w:r>
        <w:rPr>
          <w:highlight w:val="none"/>
        </w:rPr>
        <w:t>6.</w:t>
      </w:r>
      <w:r>
        <w:rPr>
          <w:rFonts w:hint="eastAsia"/>
          <w:highlight w:val="none"/>
        </w:rPr>
        <w:t>竞争性</w:t>
      </w:r>
      <w:r>
        <w:rPr>
          <w:rFonts w:hint="eastAsia"/>
          <w:highlight w:val="none"/>
          <w:lang w:eastAsia="zh-CN"/>
        </w:rPr>
        <w:t>谈判</w:t>
      </w:r>
      <w:r>
        <w:rPr>
          <w:highlight w:val="none"/>
        </w:rPr>
        <w:t>文件构成</w:t>
      </w:r>
      <w:bookmarkEnd w:id="62"/>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6.1</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文件规定了</w:t>
      </w:r>
      <w:r>
        <w:rPr>
          <w:rFonts w:ascii="宋体" w:hAnsi="宋体" w:cs="Times New Roman"/>
          <w:color w:val="auto"/>
          <w:kern w:val="0"/>
          <w:sz w:val="24"/>
          <w:szCs w:val="24"/>
          <w:highlight w:val="none"/>
        </w:rPr>
        <w:t>要求提供的产品</w:t>
      </w:r>
      <w:r>
        <w:rPr>
          <w:rFonts w:hint="eastAsia" w:ascii="宋体" w:hAnsi="宋体" w:cs="Times New Roman"/>
          <w:color w:val="auto"/>
          <w:kern w:val="0"/>
          <w:sz w:val="24"/>
          <w:szCs w:val="24"/>
          <w:highlight w:val="none"/>
        </w:rPr>
        <w:t>和服务</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程序和合同条件在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w:t>
      </w:r>
      <w:r>
        <w:rPr>
          <w:rFonts w:ascii="宋体" w:hAnsi="宋体" w:cs="Times New Roman"/>
          <w:color w:val="auto"/>
          <w:kern w:val="0"/>
          <w:sz w:val="24"/>
          <w:szCs w:val="24"/>
          <w:highlight w:val="none"/>
        </w:rPr>
        <w:t>中均有说明。</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w:t>
      </w:r>
      <w:r>
        <w:rPr>
          <w:rFonts w:ascii="宋体" w:hAnsi="宋体" w:cs="Times New Roman"/>
          <w:color w:val="auto"/>
          <w:kern w:val="0"/>
          <w:sz w:val="24"/>
          <w:szCs w:val="24"/>
          <w:highlight w:val="none"/>
        </w:rPr>
        <w:t>共</w:t>
      </w:r>
      <w:r>
        <w:rPr>
          <w:rFonts w:hint="eastAsia" w:ascii="宋体" w:hAnsi="宋体" w:cs="Times New Roman"/>
          <w:color w:val="auto"/>
          <w:kern w:val="0"/>
          <w:sz w:val="24"/>
          <w:szCs w:val="24"/>
          <w:highlight w:val="none"/>
        </w:rPr>
        <w:t>六</w:t>
      </w:r>
      <w:r>
        <w:rPr>
          <w:rFonts w:ascii="宋体" w:hAnsi="宋体" w:cs="Times New Roman"/>
          <w:color w:val="auto"/>
          <w:kern w:val="0"/>
          <w:sz w:val="24"/>
          <w:szCs w:val="24"/>
          <w:highlight w:val="none"/>
        </w:rPr>
        <w:t>章，内容如下：</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第一章</w:t>
      </w:r>
      <w:r>
        <w:rPr>
          <w:rFonts w:hint="eastAsia" w:ascii="宋体" w:hAnsi="宋体" w:cs="Times New Roman"/>
          <w:color w:val="auto"/>
          <w:kern w:val="0"/>
          <w:sz w:val="24"/>
          <w:szCs w:val="24"/>
          <w:highlight w:val="none"/>
        </w:rPr>
        <w:t xml:space="preserve"> 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公告</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二</w:t>
      </w:r>
      <w:r>
        <w:rPr>
          <w:rFonts w:ascii="宋体" w:hAnsi="宋体" w:cs="Times New Roman"/>
          <w:color w:val="auto"/>
          <w:kern w:val="0"/>
          <w:sz w:val="24"/>
          <w:szCs w:val="24"/>
          <w:highlight w:val="none"/>
        </w:rPr>
        <w:t xml:space="preserve">章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 xml:space="preserve">       供应商须知前附表</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三</w:t>
      </w:r>
      <w:r>
        <w:rPr>
          <w:rFonts w:ascii="宋体" w:hAnsi="宋体" w:cs="Times New Roman"/>
          <w:color w:val="auto"/>
          <w:kern w:val="0"/>
          <w:sz w:val="24"/>
          <w:szCs w:val="24"/>
          <w:highlight w:val="none"/>
        </w:rPr>
        <w:t>章</w:t>
      </w:r>
      <w:r>
        <w:rPr>
          <w:rFonts w:hint="eastAsia" w:ascii="宋体" w:hAnsi="宋体" w:cs="Times New Roman"/>
          <w:color w:val="auto"/>
          <w:kern w:val="0"/>
          <w:sz w:val="24"/>
          <w:szCs w:val="24"/>
          <w:highlight w:val="none"/>
        </w:rPr>
        <w:t xml:space="preserve"> 合同条款及格式</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四</w:t>
      </w:r>
      <w:r>
        <w:rPr>
          <w:rFonts w:ascii="宋体" w:hAnsi="宋体" w:cs="Times New Roman"/>
          <w:color w:val="auto"/>
          <w:kern w:val="0"/>
          <w:sz w:val="24"/>
          <w:szCs w:val="24"/>
          <w:highlight w:val="none"/>
        </w:rPr>
        <w:t xml:space="preserve">章 </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内容及技术要求</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五</w:t>
      </w:r>
      <w:r>
        <w:rPr>
          <w:rFonts w:ascii="宋体" w:hAnsi="宋体" w:cs="Times New Roman"/>
          <w:color w:val="auto"/>
          <w:kern w:val="0"/>
          <w:sz w:val="24"/>
          <w:szCs w:val="24"/>
          <w:highlight w:val="none"/>
        </w:rPr>
        <w:t>章</w:t>
      </w:r>
      <w:r>
        <w:rPr>
          <w:rFonts w:hint="eastAsia" w:ascii="宋体" w:hAnsi="宋体" w:cs="Times New Roman"/>
          <w:color w:val="auto"/>
          <w:kern w:val="0"/>
          <w:sz w:val="24"/>
          <w:szCs w:val="24"/>
          <w:highlight w:val="none"/>
        </w:rPr>
        <w:t xml:space="preserve"> 评审方法</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第六章 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文件构成及格式</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6.2</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应认真阅读</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文件中所有的事项、格式、条款和规范等要求。如果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没有按照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文件要求提交全部资料，或者</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文件没有对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文件在各方面都做出实质性响应，由此带来不利于</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结果，其风险由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承担。</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6.3本</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文件的解释权归</w:t>
      </w:r>
      <w:r>
        <w:rPr>
          <w:rFonts w:hint="eastAsia" w:ascii="宋体" w:hAnsi="宋体" w:cs="Times New Roman"/>
          <w:color w:val="auto"/>
          <w:kern w:val="0"/>
          <w:sz w:val="24"/>
          <w:szCs w:val="24"/>
          <w:highlight w:val="none"/>
          <w:lang w:eastAsia="zh-CN"/>
        </w:rPr>
        <w:t>亿诚建设项目管理有限公司</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如发现</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文件内容与现行法律法规不相符的情况，以现行法律法规为准。</w:t>
      </w:r>
    </w:p>
    <w:p>
      <w:pPr>
        <w:pStyle w:val="8"/>
        <w:bidi w:val="0"/>
        <w:rPr>
          <w:highlight w:val="none"/>
        </w:rPr>
      </w:pPr>
      <w:bookmarkStart w:id="63" w:name="_Toc2400"/>
      <w:r>
        <w:rPr>
          <w:highlight w:val="none"/>
        </w:rPr>
        <w:t>7.</w:t>
      </w:r>
      <w:r>
        <w:rPr>
          <w:rFonts w:hint="eastAsia"/>
          <w:highlight w:val="none"/>
        </w:rPr>
        <w:t>竞争性</w:t>
      </w:r>
      <w:r>
        <w:rPr>
          <w:rFonts w:hint="eastAsia"/>
          <w:highlight w:val="none"/>
          <w:lang w:eastAsia="zh-CN"/>
        </w:rPr>
        <w:t>谈判</w:t>
      </w:r>
      <w:r>
        <w:rPr>
          <w:rFonts w:hint="eastAsia"/>
          <w:highlight w:val="none"/>
        </w:rPr>
        <w:t>文</w:t>
      </w:r>
      <w:r>
        <w:rPr>
          <w:highlight w:val="none"/>
        </w:rPr>
        <w:t>件的修改和澄清</w:t>
      </w:r>
      <w:bookmarkEnd w:id="63"/>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bookmarkStart w:id="64" w:name="_Toc17710"/>
      <w:bookmarkStart w:id="65" w:name="_Toc14925"/>
      <w:bookmarkStart w:id="66" w:name="_Toc2521"/>
      <w:bookmarkStart w:id="67" w:name="_Toc23062"/>
      <w:bookmarkStart w:id="68" w:name="_Toc363474019"/>
      <w:bookmarkStart w:id="69" w:name="_Toc29987"/>
      <w:bookmarkStart w:id="70" w:name="_Toc27138"/>
      <w:bookmarkStart w:id="71" w:name="_Toc428"/>
      <w:bookmarkStart w:id="72" w:name="_Toc3136"/>
      <w:bookmarkStart w:id="73" w:name="_Toc22527"/>
      <w:bookmarkStart w:id="74" w:name="_Toc20798"/>
      <w:bookmarkStart w:id="75" w:name="_Toc403077641"/>
      <w:bookmarkStart w:id="76" w:name="_Toc363473974"/>
      <w:bookmarkStart w:id="77" w:name="_Toc26222"/>
      <w:r>
        <w:rPr>
          <w:rFonts w:hint="eastAsia" w:ascii="宋体" w:hAnsi="宋体" w:cs="宋体"/>
          <w:snapToGrid w:val="0"/>
          <w:color w:val="000000"/>
          <w:kern w:val="0"/>
          <w:sz w:val="24"/>
          <w:highlight w:val="none"/>
          <w:lang w:val="en-US" w:eastAsia="zh-CN"/>
        </w:rPr>
        <w:t>7.1</w:t>
      </w:r>
      <w:r>
        <w:rPr>
          <w:rFonts w:hint="eastAsia" w:ascii="宋体" w:hAnsi="宋体" w:eastAsia="宋体" w:cs="宋体"/>
          <w:snapToGrid w:val="0"/>
          <w:color w:val="000000"/>
          <w:kern w:val="0"/>
          <w:sz w:val="24"/>
          <w:highlight w:val="none"/>
        </w:rPr>
        <w:t>采购代理机构可以对已发出的</w:t>
      </w:r>
      <w:r>
        <w:rPr>
          <w:rFonts w:hint="eastAsia" w:ascii="宋体" w:hAnsi="宋体" w:cs="宋体"/>
          <w:snapToGrid w:val="0"/>
          <w:color w:val="000000"/>
          <w:kern w:val="0"/>
          <w:sz w:val="24"/>
          <w:highlight w:val="none"/>
          <w:lang w:eastAsia="zh-CN"/>
        </w:rPr>
        <w:t>竞争性谈判文件</w:t>
      </w:r>
      <w:r>
        <w:rPr>
          <w:rFonts w:hint="eastAsia" w:ascii="宋体" w:hAnsi="宋体" w:eastAsia="宋体" w:cs="宋体"/>
          <w:snapToGrid w:val="0"/>
          <w:color w:val="000000"/>
          <w:kern w:val="0"/>
          <w:sz w:val="24"/>
          <w:highlight w:val="none"/>
        </w:rPr>
        <w:t>进行必要的澄清或者修改，但不得改变采购标的和资格条件。澄清或者修改应将在原公告发布媒体上发布澄清公告，其内容为</w:t>
      </w:r>
      <w:r>
        <w:rPr>
          <w:rFonts w:hint="eastAsia" w:ascii="宋体" w:hAnsi="宋体" w:cs="宋体"/>
          <w:snapToGrid w:val="0"/>
          <w:color w:val="000000"/>
          <w:kern w:val="0"/>
          <w:sz w:val="24"/>
          <w:highlight w:val="none"/>
          <w:lang w:eastAsia="zh-CN"/>
        </w:rPr>
        <w:t>竞争性谈判文件</w:t>
      </w:r>
      <w:r>
        <w:rPr>
          <w:rFonts w:hint="eastAsia" w:ascii="宋体" w:hAnsi="宋体" w:eastAsia="宋体" w:cs="宋体"/>
          <w:snapToGrid w:val="0"/>
          <w:color w:val="000000"/>
          <w:kern w:val="0"/>
          <w:sz w:val="24"/>
          <w:highlight w:val="none"/>
        </w:rPr>
        <w:t>的组成部分。</w:t>
      </w:r>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2、澄清或者修改的内容可能影响</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编制的，采购代理机构将在投标截止时间至少</w:t>
      </w:r>
      <w:r>
        <w:rPr>
          <w:rFonts w:hint="eastAsia" w:ascii="宋体" w:hAnsi="宋体" w:cs="宋体"/>
          <w:snapToGrid w:val="0"/>
          <w:color w:val="000000"/>
          <w:kern w:val="0"/>
          <w:sz w:val="24"/>
          <w:highlight w:val="none"/>
          <w:lang w:val="en-US" w:eastAsia="zh-CN"/>
        </w:rPr>
        <w:t>3个工作</w:t>
      </w:r>
      <w:r>
        <w:rPr>
          <w:rFonts w:hint="eastAsia" w:ascii="宋体" w:hAnsi="宋体" w:eastAsia="宋体" w:cs="宋体"/>
          <w:snapToGrid w:val="0"/>
          <w:color w:val="000000"/>
          <w:kern w:val="0"/>
          <w:sz w:val="24"/>
          <w:highlight w:val="none"/>
        </w:rPr>
        <w:t>日前，在</w:t>
      </w:r>
      <w:r>
        <w:rPr>
          <w:rFonts w:hint="eastAsia" w:ascii="宋体" w:hAnsi="宋体" w:eastAsia="宋体" w:cs="宋体"/>
          <w:snapToGrid w:val="0"/>
          <w:color w:val="000000"/>
          <w:spacing w:val="0"/>
          <w:kern w:val="0"/>
          <w:sz w:val="24"/>
          <w:highlight w:val="none"/>
        </w:rPr>
        <w:t>原公告</w:t>
      </w:r>
      <w:r>
        <w:rPr>
          <w:rFonts w:hint="eastAsia" w:ascii="宋体" w:hAnsi="宋体" w:eastAsia="宋体" w:cs="宋体"/>
          <w:snapToGrid w:val="0"/>
          <w:color w:val="000000"/>
          <w:kern w:val="0"/>
          <w:sz w:val="24"/>
          <w:highlight w:val="none"/>
        </w:rPr>
        <w:t>发布媒体上</w:t>
      </w:r>
      <w:r>
        <w:rPr>
          <w:rFonts w:hint="eastAsia" w:ascii="宋体" w:hAnsi="宋体" w:eastAsia="宋体" w:cs="宋体"/>
          <w:b/>
          <w:snapToGrid w:val="0"/>
          <w:color w:val="000000"/>
          <w:kern w:val="0"/>
          <w:sz w:val="24"/>
          <w:highlight w:val="none"/>
        </w:rPr>
        <w:t>发布更正公告</w:t>
      </w:r>
      <w:r>
        <w:rPr>
          <w:rFonts w:hint="eastAsia" w:ascii="宋体" w:hAnsi="宋体" w:eastAsia="宋体" w:cs="宋体"/>
          <w:snapToGrid w:val="0"/>
          <w:color w:val="000000"/>
          <w:kern w:val="0"/>
          <w:sz w:val="24"/>
          <w:highlight w:val="none"/>
        </w:rPr>
        <w:t>；不足</w:t>
      </w:r>
      <w:r>
        <w:rPr>
          <w:rFonts w:hint="eastAsia" w:ascii="宋体" w:hAnsi="宋体" w:cs="宋体"/>
          <w:snapToGrid w:val="0"/>
          <w:color w:val="000000"/>
          <w:kern w:val="0"/>
          <w:sz w:val="24"/>
          <w:highlight w:val="none"/>
          <w:lang w:val="en-US" w:eastAsia="zh-CN"/>
        </w:rPr>
        <w:t>3个工作</w:t>
      </w:r>
      <w:r>
        <w:rPr>
          <w:rFonts w:hint="eastAsia" w:ascii="宋体" w:hAnsi="宋体" w:eastAsia="宋体" w:cs="宋体"/>
          <w:snapToGrid w:val="0"/>
          <w:color w:val="000000"/>
          <w:kern w:val="0"/>
          <w:sz w:val="24"/>
          <w:highlight w:val="none"/>
        </w:rPr>
        <w:t>日，采购代理机构将顺延提交</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的截止时间。</w:t>
      </w:r>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FF0000"/>
          <w:kern w:val="0"/>
          <w:sz w:val="24"/>
          <w:highlight w:val="none"/>
        </w:rPr>
      </w:pPr>
      <w:r>
        <w:rPr>
          <w:rFonts w:hint="eastAsia" w:ascii="宋体" w:hAnsi="宋体" w:eastAsia="宋体" w:cs="宋体"/>
          <w:snapToGrid w:val="0"/>
          <w:color w:val="000000"/>
          <w:kern w:val="0"/>
          <w:sz w:val="24"/>
          <w:highlight w:val="none"/>
          <w:lang w:val="en-US" w:eastAsia="zh-CN"/>
        </w:rPr>
        <w:t>3、</w:t>
      </w:r>
      <w:r>
        <w:rPr>
          <w:rFonts w:hint="eastAsia" w:ascii="宋体" w:hAnsi="宋体" w:cs="宋体"/>
          <w:sz w:val="24"/>
          <w:szCs w:val="24"/>
          <w:highlight w:val="none"/>
        </w:rPr>
        <w:t>澄清或修改的内容可能影响响应文件编制的，采购人或者采购代理机构应当在投标截止时间至少3个工作日前</w:t>
      </w:r>
      <w:r>
        <w:rPr>
          <w:rFonts w:hint="eastAsia" w:ascii="宋体" w:hAnsi="宋体" w:cs="宋体"/>
          <w:sz w:val="24"/>
          <w:szCs w:val="24"/>
          <w:highlight w:val="none"/>
          <w:lang w:eastAsia="zh-CN"/>
        </w:rPr>
        <w:t>，</w:t>
      </w:r>
      <w:r>
        <w:rPr>
          <w:rFonts w:hint="eastAsia" w:ascii="宋体" w:hAnsi="宋体" w:eastAsia="宋体" w:cs="宋体"/>
          <w:snapToGrid w:val="0"/>
          <w:color w:val="000000"/>
          <w:kern w:val="0"/>
          <w:sz w:val="24"/>
          <w:highlight w:val="none"/>
        </w:rPr>
        <w:t>在“陕西省公共资源交易平台”系统</w:t>
      </w:r>
      <w:r>
        <w:rPr>
          <w:rFonts w:hint="eastAsia" w:ascii="宋体" w:hAnsi="宋体" w:cs="宋体"/>
          <w:snapToGrid w:val="0"/>
          <w:color w:val="000000"/>
          <w:kern w:val="0"/>
          <w:sz w:val="24"/>
          <w:highlight w:val="none"/>
          <w:lang w:val="en-US" w:eastAsia="zh-CN"/>
        </w:rPr>
        <w:t>澄清或修改</w:t>
      </w:r>
      <w:r>
        <w:rPr>
          <w:rFonts w:hint="eastAsia" w:ascii="宋体" w:hAnsi="宋体" w:eastAsia="宋体" w:cs="宋体"/>
          <w:snapToGrid w:val="0"/>
          <w:color w:val="000000"/>
          <w:kern w:val="0"/>
          <w:sz w:val="24"/>
          <w:highlight w:val="none"/>
        </w:rPr>
        <w:t>；相关澄清、修改、答疑等信息均在“陕西省公共资源交易平台”完成。不接受其他方式。各</w:t>
      </w:r>
      <w:r>
        <w:rPr>
          <w:rFonts w:hint="eastAsia" w:ascii="宋体" w:hAnsi="宋体" w:cs="宋体"/>
          <w:snapToGrid w:val="0"/>
          <w:color w:val="000000"/>
          <w:kern w:val="0"/>
          <w:sz w:val="24"/>
          <w:highlight w:val="none"/>
          <w:lang w:eastAsia="zh-CN"/>
        </w:rPr>
        <w:t>供应商</w:t>
      </w:r>
      <w:r>
        <w:rPr>
          <w:rFonts w:hint="eastAsia" w:ascii="宋体" w:hAnsi="宋体" w:eastAsia="宋体" w:cs="宋体"/>
          <w:snapToGrid w:val="0"/>
          <w:color w:val="000000"/>
          <w:kern w:val="0"/>
          <w:sz w:val="24"/>
          <w:highlight w:val="none"/>
        </w:rPr>
        <w:t>在提交</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截止时间之前，应随时关注下列地址发布的变更公告，也可登录全国公共资源交易平台（陕西省）政府采购交易系统查看左上角的信息提醒，采购代理机构</w:t>
      </w:r>
      <w:r>
        <w:rPr>
          <w:rFonts w:hint="eastAsia" w:ascii="宋体" w:hAnsi="宋体" w:eastAsia="宋体" w:cs="宋体"/>
          <w:b/>
          <w:snapToGrid w:val="0"/>
          <w:color w:val="000000"/>
          <w:kern w:val="0"/>
          <w:sz w:val="24"/>
          <w:highlight w:val="none"/>
        </w:rPr>
        <w:t>不再单独通知，因</w:t>
      </w:r>
      <w:r>
        <w:rPr>
          <w:rFonts w:hint="eastAsia" w:ascii="宋体" w:hAnsi="宋体" w:cs="宋体"/>
          <w:b/>
          <w:snapToGrid w:val="0"/>
          <w:color w:val="000000"/>
          <w:kern w:val="0"/>
          <w:sz w:val="24"/>
          <w:highlight w:val="none"/>
          <w:lang w:eastAsia="zh-CN"/>
        </w:rPr>
        <w:t>供应商</w:t>
      </w:r>
      <w:r>
        <w:rPr>
          <w:rFonts w:hint="eastAsia" w:ascii="宋体" w:hAnsi="宋体" w:eastAsia="宋体" w:cs="宋体"/>
          <w:b/>
          <w:snapToGrid w:val="0"/>
          <w:color w:val="000000"/>
          <w:kern w:val="0"/>
          <w:sz w:val="24"/>
          <w:highlight w:val="none"/>
        </w:rPr>
        <w:t>未及时关注所造成的一切后果由</w:t>
      </w:r>
      <w:r>
        <w:rPr>
          <w:rFonts w:hint="eastAsia" w:ascii="宋体" w:hAnsi="宋体" w:cs="宋体"/>
          <w:b/>
          <w:snapToGrid w:val="0"/>
          <w:color w:val="000000"/>
          <w:kern w:val="0"/>
          <w:sz w:val="24"/>
          <w:highlight w:val="none"/>
          <w:lang w:eastAsia="zh-CN"/>
        </w:rPr>
        <w:t>供应商</w:t>
      </w:r>
      <w:r>
        <w:rPr>
          <w:rFonts w:hint="eastAsia" w:ascii="宋体" w:hAnsi="宋体" w:eastAsia="宋体" w:cs="宋体"/>
          <w:b/>
          <w:snapToGrid w:val="0"/>
          <w:color w:val="000000"/>
          <w:kern w:val="0"/>
          <w:sz w:val="24"/>
          <w:highlight w:val="none"/>
        </w:rPr>
        <w:t>自行承担：</w:t>
      </w:r>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（1）【</w:t>
      </w:r>
      <w:r>
        <w:rPr>
          <w:rFonts w:hint="eastAsia" w:ascii="宋体" w:hAnsi="宋体" w:eastAsia="宋体" w:cs="宋体"/>
          <w:snapToGrid w:val="0"/>
          <w:color w:val="000000"/>
          <w:kern w:val="0"/>
          <w:sz w:val="24"/>
          <w:highlight w:val="none"/>
        </w:rPr>
        <w:fldChar w:fldCharType="begin"/>
      </w:r>
      <w:r>
        <w:rPr>
          <w:rFonts w:hint="eastAsia" w:ascii="宋体" w:hAnsi="宋体" w:eastAsia="宋体" w:cs="宋体"/>
          <w:snapToGrid w:val="0"/>
          <w:color w:val="000000"/>
          <w:kern w:val="0"/>
          <w:sz w:val="24"/>
          <w:highlight w:val="none"/>
        </w:rPr>
        <w:instrText xml:space="preserve"> HYPERLINK "http://www.ccgp-shaanxi.gov.cn" </w:instrText>
      </w:r>
      <w:r>
        <w:rPr>
          <w:rFonts w:hint="eastAsia" w:ascii="宋体" w:hAnsi="宋体" w:eastAsia="宋体" w:cs="宋体"/>
          <w:snapToGrid w:val="0"/>
          <w:color w:val="000000"/>
          <w:kern w:val="0"/>
          <w:sz w:val="24"/>
          <w:highlight w:val="none"/>
        </w:rPr>
        <w:fldChar w:fldCharType="separate"/>
      </w:r>
      <w:r>
        <w:rPr>
          <w:rFonts w:hint="eastAsia" w:ascii="宋体" w:hAnsi="宋体" w:eastAsia="宋体" w:cs="宋体"/>
          <w:snapToGrid w:val="0"/>
          <w:color w:val="auto"/>
          <w:kern w:val="0"/>
          <w:sz w:val="24"/>
          <w:szCs w:val="24"/>
          <w:highlight w:val="none"/>
          <w:u w:val="none"/>
        </w:rPr>
        <w:t>陕西省政府采购网</w:t>
      </w:r>
      <w:r>
        <w:rPr>
          <w:rFonts w:hint="eastAsia" w:ascii="宋体" w:hAnsi="宋体" w:eastAsia="宋体" w:cs="宋体"/>
          <w:snapToGrid w:val="0"/>
          <w:color w:val="000000"/>
          <w:kern w:val="0"/>
          <w:sz w:val="24"/>
          <w:highlight w:val="none"/>
        </w:rPr>
        <w:fldChar w:fldCharType="end"/>
      </w:r>
      <w:r>
        <w:rPr>
          <w:rFonts w:hint="eastAsia" w:ascii="宋体" w:hAnsi="宋体" w:eastAsia="宋体" w:cs="宋体"/>
          <w:snapToGrid w:val="0"/>
          <w:color w:val="000000"/>
          <w:kern w:val="0"/>
          <w:sz w:val="24"/>
          <w:highlight w:val="none"/>
        </w:rPr>
        <w:t>（www.ccgp-shaanxi.gov.cn）】中的〖首页·〉</w:t>
      </w:r>
      <w:r>
        <w:rPr>
          <w:rFonts w:hint="eastAsia" w:ascii="宋体" w:hAnsi="宋体" w:eastAsia="宋体" w:cs="宋体"/>
          <w:snapToGrid w:val="0"/>
          <w:color w:val="000000"/>
          <w:kern w:val="0"/>
          <w:sz w:val="24"/>
          <w:highlight w:val="none"/>
          <w:lang w:val="en-US" w:eastAsia="zh-CN"/>
        </w:rPr>
        <w:t>市</w:t>
      </w:r>
      <w:r>
        <w:rPr>
          <w:rFonts w:hint="eastAsia" w:ascii="宋体" w:hAnsi="宋体" w:eastAsia="宋体" w:cs="宋体"/>
          <w:snapToGrid w:val="0"/>
          <w:color w:val="000000"/>
          <w:kern w:val="0"/>
          <w:sz w:val="24"/>
          <w:highlight w:val="none"/>
        </w:rPr>
        <w:t>级公告·〉更正公告〗；</w:t>
      </w:r>
    </w:p>
    <w:p>
      <w:pPr>
        <w:widowControl/>
        <w:kinsoku w:val="0"/>
        <w:autoSpaceDE w:val="0"/>
        <w:autoSpaceDN w:val="0"/>
        <w:adjustRightInd w:val="0"/>
        <w:snapToGrid w:val="0"/>
        <w:spacing w:afterAutospacing="0"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（2）【全国公共资源交易平台（陕西省）（http://www.sxggzyjy.cn/）】中的〖首页·〉交易大厅·〉政府采购〗。</w:t>
      </w:r>
    </w:p>
    <w:p>
      <w:pPr>
        <w:pStyle w:val="6"/>
        <w:bidi w:val="0"/>
        <w:spacing w:before="156" w:beforeAutospacing="0" w:after="156" w:afterAutospacing="0"/>
        <w:jc w:val="center"/>
        <w:rPr>
          <w:highlight w:val="none"/>
        </w:rPr>
      </w:pPr>
      <w:bookmarkStart w:id="78" w:name="_Toc3503"/>
      <w:r>
        <w:rPr>
          <w:highlight w:val="none"/>
        </w:rPr>
        <w:t>三.</w:t>
      </w:r>
      <w:r>
        <w:rPr>
          <w:rFonts w:hint="eastAsia"/>
          <w:highlight w:val="none"/>
          <w:lang w:eastAsia="zh-CN"/>
        </w:rPr>
        <w:t>谈判</w:t>
      </w:r>
      <w:r>
        <w:rPr>
          <w:rFonts w:hint="eastAsia"/>
          <w:highlight w:val="none"/>
        </w:rPr>
        <w:t>响应</w:t>
      </w:r>
      <w:r>
        <w:rPr>
          <w:highlight w:val="none"/>
        </w:rPr>
        <w:t>文件的编制</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8"/>
        <w:bidi w:val="0"/>
        <w:spacing w:before="0" w:beforeAutospacing="0"/>
        <w:rPr>
          <w:highlight w:val="none"/>
        </w:rPr>
      </w:pPr>
      <w:bookmarkStart w:id="79" w:name="_Toc22409"/>
      <w:r>
        <w:rPr>
          <w:rFonts w:hint="eastAsia"/>
          <w:highlight w:val="none"/>
        </w:rPr>
        <w:t>8</w:t>
      </w:r>
      <w:r>
        <w:rPr>
          <w:highlight w:val="none"/>
        </w:rPr>
        <w:t>.</w:t>
      </w:r>
      <w:r>
        <w:rPr>
          <w:rFonts w:hint="eastAsia"/>
          <w:highlight w:val="none"/>
          <w:lang w:eastAsia="zh-CN"/>
        </w:rPr>
        <w:t>谈判</w:t>
      </w:r>
      <w:r>
        <w:rPr>
          <w:highlight w:val="none"/>
        </w:rPr>
        <w:t>语言和</w:t>
      </w:r>
      <w:r>
        <w:rPr>
          <w:rFonts w:hint="eastAsia"/>
          <w:highlight w:val="none"/>
          <w:lang w:eastAsia="zh-CN"/>
        </w:rPr>
        <w:t>谈判</w:t>
      </w:r>
      <w:r>
        <w:rPr>
          <w:highlight w:val="none"/>
        </w:rPr>
        <w:t>货币</w:t>
      </w:r>
      <w:bookmarkEnd w:id="79"/>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b/>
          <w:color w:val="auto"/>
          <w:kern w:val="0"/>
          <w:sz w:val="24"/>
          <w:szCs w:val="24"/>
          <w:highlight w:val="none"/>
        </w:rPr>
      </w:pPr>
      <w:r>
        <w:rPr>
          <w:rFonts w:hint="eastAsia" w:ascii="宋体" w:hAnsi="宋体" w:cs="Times New Roman"/>
          <w:color w:val="auto"/>
          <w:kern w:val="0"/>
          <w:sz w:val="24"/>
          <w:szCs w:val="24"/>
          <w:highlight w:val="none"/>
        </w:rPr>
        <w:t>8</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提交的</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文件以及</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与采购代理机构就有关</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的所有来往函电均应使用中文。</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8</w:t>
      </w: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应以人民币报价。任何包含非人民币报价的</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pPr>
        <w:pStyle w:val="8"/>
        <w:bidi w:val="0"/>
        <w:rPr>
          <w:highlight w:val="none"/>
        </w:rPr>
      </w:pPr>
      <w:bookmarkStart w:id="80" w:name="_Toc25561"/>
      <w:r>
        <w:rPr>
          <w:rFonts w:hint="eastAsia"/>
          <w:highlight w:val="none"/>
        </w:rPr>
        <w:t>9</w:t>
      </w:r>
      <w:r>
        <w:rPr>
          <w:highlight w:val="none"/>
        </w:rPr>
        <w:t>.</w:t>
      </w:r>
      <w:r>
        <w:rPr>
          <w:rFonts w:hint="eastAsia"/>
          <w:highlight w:val="none"/>
        </w:rPr>
        <w:t>竞争性</w:t>
      </w:r>
      <w:r>
        <w:rPr>
          <w:rFonts w:hint="eastAsia"/>
          <w:highlight w:val="none"/>
          <w:lang w:eastAsia="zh-CN"/>
        </w:rPr>
        <w:t>谈判</w:t>
      </w:r>
      <w:r>
        <w:rPr>
          <w:rFonts w:hint="eastAsia"/>
          <w:highlight w:val="none"/>
        </w:rPr>
        <w:t>响应</w:t>
      </w:r>
      <w:r>
        <w:rPr>
          <w:highlight w:val="none"/>
        </w:rPr>
        <w:t>文件的构成</w:t>
      </w:r>
      <w:bookmarkEnd w:id="80"/>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9.1供应商提交的竞争性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响应文件应包含下列部分的内容：</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1）按照供应商须知的要求和竞争性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文件规定格式填写的竞争性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响应函、</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报价表、法定代表人授权委托书。</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文件的要求编制的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方案说明书，内容至少应包括组织实施计划和服务的详细说明人员配备和售后服务承诺等。</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的要求提交的资格证明文件；</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4）按照本须知第</w:t>
      </w:r>
      <w:r>
        <w:rPr>
          <w:rFonts w:hint="eastAsia" w:ascii="宋体" w:hAnsi="宋体" w:cs="Times New Roman"/>
          <w:color w:val="auto"/>
          <w:kern w:val="0"/>
          <w:sz w:val="24"/>
          <w:szCs w:val="24"/>
          <w:highlight w:val="none"/>
          <w:lang w:val="en-US" w:eastAsia="zh-CN"/>
        </w:rPr>
        <w:t>13</w:t>
      </w:r>
      <w:r>
        <w:rPr>
          <w:rFonts w:hint="eastAsia" w:ascii="宋体" w:hAnsi="宋体" w:cs="Times New Roman"/>
          <w:color w:val="auto"/>
          <w:kern w:val="0"/>
          <w:sz w:val="24"/>
          <w:szCs w:val="24"/>
          <w:highlight w:val="none"/>
        </w:rPr>
        <w:t>条要求提交的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5）竞争</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中要求的其他证明文件。</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w:t>
      </w:r>
      <w:r>
        <w:rPr>
          <w:rFonts w:ascii="宋体" w:hAnsi="宋体" w:cs="Times New Roman"/>
          <w:color w:val="auto"/>
          <w:kern w:val="0"/>
          <w:sz w:val="24"/>
          <w:szCs w:val="24"/>
          <w:highlight w:val="none"/>
        </w:rPr>
        <w:t>.2如果在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文件中没有允许提供备选方案，则每个</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只允许提交一个</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方案，否则，其</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按照无效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9.3本次</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的最小单元为“项目”，供应商可根据自身的资质情况和经营范围对本次项目进行</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，不得将其子目再行分解或只对本次项目中的品目进行不完全</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，任何不完全的响应将会被拒绝。</w:t>
      </w:r>
    </w:p>
    <w:p>
      <w:pPr>
        <w:pStyle w:val="8"/>
        <w:bidi w:val="0"/>
        <w:rPr>
          <w:highlight w:val="none"/>
        </w:rPr>
      </w:pPr>
      <w:bookmarkStart w:id="81" w:name="_Toc30398"/>
      <w:r>
        <w:rPr>
          <w:rFonts w:hint="eastAsia"/>
          <w:highlight w:val="none"/>
        </w:rPr>
        <w:t>10</w:t>
      </w:r>
      <w:r>
        <w:rPr>
          <w:highlight w:val="none"/>
        </w:rPr>
        <w:t>.</w:t>
      </w:r>
      <w:r>
        <w:rPr>
          <w:rFonts w:hint="eastAsia"/>
          <w:highlight w:val="none"/>
        </w:rPr>
        <w:t>竞争性</w:t>
      </w:r>
      <w:r>
        <w:rPr>
          <w:rFonts w:hint="eastAsia"/>
          <w:highlight w:val="none"/>
          <w:lang w:eastAsia="zh-CN"/>
        </w:rPr>
        <w:t>谈判</w:t>
      </w:r>
      <w:r>
        <w:rPr>
          <w:rFonts w:hint="eastAsia"/>
          <w:highlight w:val="none"/>
        </w:rPr>
        <w:t>响应</w:t>
      </w:r>
      <w:r>
        <w:rPr>
          <w:highlight w:val="none"/>
        </w:rPr>
        <w:t>文件格式</w:t>
      </w:r>
      <w:bookmarkEnd w:id="81"/>
      <w:r>
        <w:rPr>
          <w:rFonts w:hint="eastAsia"/>
          <w:highlight w:val="none"/>
        </w:rPr>
        <w:t xml:space="preserve"> </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10</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w:t>
      </w:r>
      <w:r>
        <w:rPr>
          <w:rFonts w:hint="eastAsia"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lang w:val="en-US" w:eastAsia="zh-CN"/>
        </w:rPr>
        <w:t>八</w:t>
      </w:r>
      <w:r>
        <w:rPr>
          <w:rFonts w:hint="eastAsia" w:ascii="宋体" w:hAnsi="宋体" w:cs="Times New Roman"/>
          <w:color w:val="auto"/>
          <w:kern w:val="0"/>
          <w:sz w:val="24"/>
          <w:szCs w:val="24"/>
          <w:highlight w:val="none"/>
        </w:rPr>
        <w:t>章</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格式及构成”所提供的格式和要求制作</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文件，明确表达</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意愿，详细说明</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方案、承诺及价格。</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10.2按竞争性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文件第9条的内容及要求和第六章提供的格式和要求编写其竞争性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响应文件，供应商不得缺少或留空任何竞争性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文件要求填写的表格或提交的资料。</w:t>
      </w:r>
    </w:p>
    <w:p>
      <w:pPr>
        <w:pStyle w:val="8"/>
        <w:bidi w:val="0"/>
        <w:rPr>
          <w:highlight w:val="none"/>
        </w:rPr>
      </w:pPr>
      <w:bookmarkStart w:id="82" w:name="_Toc30274"/>
      <w:r>
        <w:rPr>
          <w:rFonts w:hint="eastAsia"/>
          <w:highlight w:val="none"/>
        </w:rPr>
        <w:t>11.谈判报价</w:t>
      </w:r>
      <w:bookmarkEnd w:id="82"/>
    </w:p>
    <w:p>
      <w:pPr>
        <w:shd w:val="clea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11.1</w:t>
      </w:r>
      <w:r>
        <w:rPr>
          <w:rFonts w:hint="eastAsia" w:ascii="Calibri" w:hAnsi="Calibri" w:eastAsia="宋体" w:cs="Times New Roman"/>
          <w:b w:val="0"/>
          <w:color w:val="auto"/>
          <w:kern w:val="0"/>
          <w:sz w:val="24"/>
          <w:szCs w:val="24"/>
          <w:highlight w:val="none"/>
          <w:lang w:val="en-US" w:eastAsia="zh-CN" w:bidi="ar"/>
        </w:rPr>
        <w:t>谈判报价：供应商完成本项目所要求的服务且验收合格的一切相关费用。投标报价表中标明本次服务的所有单项价格和总价，任何有选择的报价将不予接受，否则按无效投标处理。</w:t>
      </w:r>
    </w:p>
    <w:p>
      <w:pPr>
        <w:shd w:val="clea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11.2最终谈判报价中的总价应为履行合同的固定价格，不得以任何理由予以变更。以可调整的价格提交的竞争性谈判响应文件将被作投标无效处理。</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11.3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pPr>
        <w:pStyle w:val="8"/>
        <w:bidi w:val="0"/>
        <w:rPr>
          <w:highlight w:val="none"/>
        </w:rPr>
      </w:pPr>
      <w:bookmarkStart w:id="83" w:name="_Toc28683"/>
      <w:r>
        <w:rPr>
          <w:highlight w:val="none"/>
        </w:rPr>
        <w:t>12.证明</w:t>
      </w:r>
      <w:r>
        <w:rPr>
          <w:rFonts w:hint="eastAsia"/>
          <w:highlight w:val="none"/>
        </w:rPr>
        <w:t>供应商</w:t>
      </w:r>
      <w:r>
        <w:rPr>
          <w:highlight w:val="none"/>
        </w:rPr>
        <w:t>合格</w:t>
      </w:r>
      <w:r>
        <w:rPr>
          <w:rFonts w:hint="eastAsia"/>
          <w:highlight w:val="none"/>
        </w:rPr>
        <w:t>的</w:t>
      </w:r>
      <w:r>
        <w:rPr>
          <w:highlight w:val="none"/>
        </w:rPr>
        <w:t>资格</w:t>
      </w:r>
      <w:r>
        <w:rPr>
          <w:rFonts w:hint="eastAsia"/>
          <w:highlight w:val="none"/>
        </w:rPr>
        <w:t>证明</w:t>
      </w:r>
      <w:r>
        <w:rPr>
          <w:highlight w:val="none"/>
        </w:rPr>
        <w:t>文件</w:t>
      </w:r>
      <w:bookmarkEnd w:id="83"/>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12.1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的要求，在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中提交合格的资格证明文件。如果资格证明文件不全或不合格的，其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将被</w:t>
      </w:r>
      <w:r>
        <w:rPr>
          <w:rFonts w:hint="eastAsia" w:ascii="宋体" w:hAnsi="宋体" w:cs="Times New Roman"/>
          <w:color w:val="auto"/>
          <w:kern w:val="0"/>
          <w:sz w:val="24"/>
          <w:szCs w:val="24"/>
          <w:highlight w:val="none"/>
        </w:rPr>
        <w:t>作无效文件处理。</w:t>
      </w:r>
    </w:p>
    <w:p>
      <w:pPr>
        <w:pStyle w:val="8"/>
        <w:bidi w:val="0"/>
        <w:rPr>
          <w:highlight w:val="none"/>
        </w:rPr>
      </w:pPr>
      <w:bookmarkStart w:id="84" w:name="_Toc30431"/>
      <w:r>
        <w:rPr>
          <w:highlight w:val="none"/>
        </w:rPr>
        <w:t>13.证明的合格性和</w:t>
      </w:r>
      <w:r>
        <w:rPr>
          <w:rFonts w:hint="eastAsia"/>
          <w:highlight w:val="none"/>
        </w:rPr>
        <w:t>竞争性</w:t>
      </w:r>
      <w:r>
        <w:rPr>
          <w:rFonts w:hint="eastAsia"/>
          <w:highlight w:val="none"/>
          <w:lang w:eastAsia="zh-CN"/>
        </w:rPr>
        <w:t>谈判</w:t>
      </w:r>
      <w:r>
        <w:rPr>
          <w:highlight w:val="none"/>
        </w:rPr>
        <w:t>文件规定的文件</w:t>
      </w:r>
      <w:bookmarkEnd w:id="84"/>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13.1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中提交服务满足</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文件要求并符合国家法律法规、行业管理部门要求的其他强制性标准的证明文件。缺少证明文件或证明文件不合格的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，与</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文件要求有重大偏离的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，不符合国家法律法规、行业管理部门要求的其他强制性标准的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13.2上述证明文件可以是文字资料、图纸、图片</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数据等，所有证明文件表达意思必须统一。包括</w:t>
      </w:r>
      <w:r>
        <w:rPr>
          <w:rFonts w:hint="eastAsia"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服务主要技术指标和性能的详细说明；</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rPr>
        <w:t>）逐条对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文件提出的服务要求和商务要求进行应答，说明所提供的服务对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的技术和商务要求是否做出了实质性响应并提供支持文件；</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3) </w:t>
      </w:r>
      <w:r>
        <w:rPr>
          <w:rFonts w:hint="eastAsia" w:ascii="宋体" w:hAnsi="宋体" w:cs="宋体"/>
          <w:color w:val="auto"/>
          <w:kern w:val="0"/>
          <w:sz w:val="24"/>
          <w:szCs w:val="24"/>
          <w:highlight w:val="none"/>
        </w:rPr>
        <w:t>服务内容、服务实施方案等的详细说明</w:t>
      </w:r>
      <w:r>
        <w:rPr>
          <w:rFonts w:ascii="宋体" w:hAnsi="宋体" w:cs="Times New Roman"/>
          <w:color w:val="auto"/>
          <w:kern w:val="0"/>
          <w:sz w:val="24"/>
          <w:szCs w:val="24"/>
          <w:highlight w:val="none"/>
        </w:rPr>
        <w:t>。</w:t>
      </w:r>
    </w:p>
    <w:p>
      <w:pPr>
        <w:pStyle w:val="8"/>
        <w:bidi w:val="0"/>
        <w:rPr>
          <w:highlight w:val="none"/>
        </w:rPr>
      </w:pPr>
      <w:bookmarkStart w:id="85" w:name="_Toc11846"/>
      <w:r>
        <w:rPr>
          <w:highlight w:val="none"/>
        </w:rPr>
        <w:t>14.</w:t>
      </w:r>
      <w:r>
        <w:rPr>
          <w:rFonts w:hint="eastAsia"/>
          <w:highlight w:val="none"/>
          <w:lang w:eastAsia="zh-CN"/>
        </w:rPr>
        <w:t>谈判</w:t>
      </w:r>
      <w:r>
        <w:rPr>
          <w:highlight w:val="none"/>
        </w:rPr>
        <w:t>保证金</w:t>
      </w:r>
      <w:bookmarkEnd w:id="85"/>
    </w:p>
    <w:p>
      <w:pPr>
        <w:pageBreakBefore w:val="0"/>
        <w:kinsoku/>
        <w:wordWrap/>
        <w:overflowPunct/>
        <w:topLinePunct w:val="0"/>
        <w:autoSpaceDE/>
        <w:autoSpaceDN/>
        <w:bidi w:val="0"/>
        <w:spacing w:line="360" w:lineRule="auto"/>
        <w:ind w:firstLine="480" w:firstLineChars="200"/>
        <w:textAlignment w:val="auto"/>
        <w:rPr>
          <w:rFonts w:hint="default"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lang w:val="en-US" w:eastAsia="zh-CN"/>
        </w:rPr>
        <w:t>供应商需按照供应商须知前附表规定的方式缴纳投标保证金。</w:t>
      </w:r>
    </w:p>
    <w:p>
      <w:pPr>
        <w:pStyle w:val="8"/>
        <w:bidi w:val="0"/>
        <w:rPr>
          <w:highlight w:val="none"/>
        </w:rPr>
      </w:pPr>
      <w:bookmarkStart w:id="86" w:name="_Toc27421"/>
      <w:r>
        <w:rPr>
          <w:highlight w:val="none"/>
        </w:rPr>
        <w:t>15.</w:t>
      </w:r>
      <w:r>
        <w:rPr>
          <w:rFonts w:hint="eastAsia"/>
          <w:highlight w:val="none"/>
          <w:lang w:eastAsia="zh-CN"/>
        </w:rPr>
        <w:t>谈判</w:t>
      </w:r>
      <w:r>
        <w:rPr>
          <w:highlight w:val="none"/>
        </w:rPr>
        <w:t>有效期</w:t>
      </w:r>
      <w:bookmarkEnd w:id="86"/>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bookmarkStart w:id="87" w:name="OLE_LINK4"/>
      <w:r>
        <w:rPr>
          <w:rFonts w:ascii="宋体" w:hAnsi="宋体" w:cs="Times New Roman"/>
          <w:color w:val="auto"/>
          <w:kern w:val="0"/>
          <w:sz w:val="24"/>
          <w:szCs w:val="24"/>
          <w:highlight w:val="none"/>
        </w:rPr>
        <w:t>15.1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应在“</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”中规定的期限内保持有效。</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有效期不满足规定有效期的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响应文件将被视为非响应性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而予以拒绝</w:t>
      </w:r>
      <w:r>
        <w:rPr>
          <w:rFonts w:ascii="宋体" w:hAnsi="宋体" w:cs="Times New Roman"/>
          <w:color w:val="auto"/>
          <w:kern w:val="0"/>
          <w:sz w:val="24"/>
          <w:szCs w:val="24"/>
          <w:highlight w:val="none"/>
        </w:rPr>
        <w:t>。</w:t>
      </w:r>
      <w:bookmarkEnd w:id="87"/>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15.2在特殊情况下，在原</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有效期期满之前，采购代理机构可向</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提出延长</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有效期的要求。这种要求与答复均应以书面的形式。</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可以拒绝采购代理机构的这种要求,其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r>
        <w:rPr>
          <w:rFonts w:ascii="宋体" w:hAnsi="宋体" w:cs="Times New Roman"/>
          <w:color w:val="auto"/>
          <w:kern w:val="0"/>
          <w:sz w:val="24"/>
          <w:szCs w:val="24"/>
          <w:highlight w:val="none"/>
        </w:rPr>
        <w:t>也不被没收。同意延长的</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既不能要求也不允许修改其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，但要相应延长其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r>
        <w:rPr>
          <w:rFonts w:ascii="宋体" w:hAnsi="宋体" w:cs="Times New Roman"/>
          <w:color w:val="auto"/>
          <w:kern w:val="0"/>
          <w:sz w:val="24"/>
          <w:szCs w:val="24"/>
          <w:highlight w:val="none"/>
        </w:rPr>
        <w:t>的有效期。</w:t>
      </w:r>
      <w:r>
        <w:rPr>
          <w:rFonts w:hint="eastAsia" w:ascii="宋体" w:hAnsi="宋体" w:cs="Times New Roman"/>
          <w:color w:val="auto"/>
          <w:kern w:val="0"/>
          <w:sz w:val="24"/>
          <w:szCs w:val="24"/>
          <w:highlight w:val="none"/>
        </w:rPr>
        <w:t>在这种情况下，本章第14条有关</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保证金的退还和没收的规定将在延长了的有效期内继续有效。</w:t>
      </w:r>
    </w:p>
    <w:p>
      <w:pPr>
        <w:pStyle w:val="8"/>
        <w:bidi w:val="0"/>
        <w:rPr>
          <w:highlight w:val="none"/>
        </w:rPr>
      </w:pPr>
      <w:bookmarkStart w:id="88" w:name="_Toc30569"/>
      <w:r>
        <w:rPr>
          <w:highlight w:val="none"/>
        </w:rPr>
        <w:t>16.</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的式样和签署</w:t>
      </w:r>
      <w:bookmarkEnd w:id="88"/>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ascii="宋体" w:hAnsi="宋体" w:cs="Times New Roman"/>
          <w:color w:val="auto"/>
          <w:kern w:val="0"/>
          <w:sz w:val="24"/>
          <w:szCs w:val="24"/>
          <w:highlight w:val="none"/>
        </w:rPr>
        <w:t>16.1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须知的要求,准备一份</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正本和“</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”中规定数量的副本，每套</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响应文件封面</w:t>
      </w:r>
      <w:r>
        <w:rPr>
          <w:rFonts w:ascii="宋体" w:hAnsi="宋体" w:cs="Times New Roman"/>
          <w:color w:val="auto"/>
          <w:kern w:val="0"/>
          <w:sz w:val="24"/>
          <w:szCs w:val="24"/>
          <w:highlight w:val="none"/>
        </w:rPr>
        <w:t>须清楚地标明“正本”或“副本”。</w:t>
      </w:r>
      <w:r>
        <w:rPr>
          <w:rFonts w:hint="eastAsia" w:ascii="宋体" w:hAnsi="宋体" w:cs="Times New Roman"/>
          <w:color w:val="auto"/>
          <w:kern w:val="0"/>
          <w:sz w:val="24"/>
          <w:szCs w:val="24"/>
          <w:highlight w:val="none"/>
        </w:rPr>
        <w:t>同时提供与正本内容一致的</w:t>
      </w:r>
      <w:r>
        <w:rPr>
          <w:rFonts w:hint="eastAsia" w:ascii="宋体" w:hAnsi="Times New Roman" w:cs="Times New Roman"/>
          <w:color w:val="auto"/>
          <w:spacing w:val="4"/>
          <w:kern w:val="0"/>
          <w:sz w:val="24"/>
          <w:szCs w:val="20"/>
          <w:highlight w:val="none"/>
        </w:rPr>
        <w:t>电子版（U盘）及</w:t>
      </w:r>
      <w:r>
        <w:rPr>
          <w:rFonts w:hint="eastAsia" w:ascii="宋体" w:hAnsi="Times New Roman" w:cs="Times New Roman"/>
          <w:color w:val="auto"/>
          <w:spacing w:val="4"/>
          <w:kern w:val="0"/>
          <w:sz w:val="24"/>
          <w:szCs w:val="20"/>
          <w:highlight w:val="none"/>
          <w:lang w:val="en-US" w:eastAsia="zh-CN"/>
        </w:rPr>
        <w:t>最终</w:t>
      </w:r>
      <w:r>
        <w:rPr>
          <w:rFonts w:hint="eastAsia" w:ascii="宋体" w:hAnsi="Times New Roman" w:cs="Times New Roman"/>
          <w:color w:val="auto"/>
          <w:spacing w:val="4"/>
          <w:kern w:val="0"/>
          <w:sz w:val="24"/>
          <w:szCs w:val="20"/>
          <w:highlight w:val="none"/>
          <w:lang w:eastAsia="zh-CN"/>
        </w:rPr>
        <w:t>报价表</w:t>
      </w:r>
      <w:r>
        <w:rPr>
          <w:rFonts w:hint="eastAsia" w:ascii="宋体" w:hAnsi="Times New Roman" w:cs="Times New Roman"/>
          <w:color w:val="auto"/>
          <w:spacing w:val="4"/>
          <w:kern w:val="0"/>
          <w:sz w:val="24"/>
          <w:szCs w:val="20"/>
          <w:highlight w:val="none"/>
        </w:rPr>
        <w:t>一份，</w:t>
      </w:r>
      <w:r>
        <w:rPr>
          <w:rFonts w:hint="eastAsia" w:ascii="宋体" w:hAnsi="宋体" w:cs="Times New Roman"/>
          <w:color w:val="auto"/>
          <w:kern w:val="0"/>
          <w:sz w:val="24"/>
          <w:szCs w:val="24"/>
          <w:highlight w:val="none"/>
        </w:rPr>
        <w:t>并标注供应商全称、</w:t>
      </w:r>
      <w:r>
        <w:rPr>
          <w:rFonts w:hint="eastAsia" w:ascii="宋体" w:hAnsi="宋体" w:cs="Times New Roman"/>
          <w:color w:val="auto"/>
          <w:kern w:val="0"/>
          <w:sz w:val="24"/>
          <w:szCs w:val="24"/>
          <w:highlight w:val="none"/>
          <w:lang w:eastAsia="zh-CN"/>
        </w:rPr>
        <w:t>项目名称、项目编号，并与竞争性谈判响应文件同时递交。</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lang w:eastAsia="zh-CN"/>
        </w:rPr>
        <w:t>16.2竞争性谈判响应文件正本、</w:t>
      </w:r>
      <w:r>
        <w:rPr>
          <w:rFonts w:hint="eastAsia" w:ascii="宋体" w:hAnsi="宋体" w:cs="Times New Roman"/>
          <w:color w:val="auto"/>
          <w:kern w:val="0"/>
          <w:sz w:val="24"/>
          <w:szCs w:val="24"/>
          <w:highlight w:val="none"/>
          <w:lang w:val="en-US" w:eastAsia="zh-CN"/>
        </w:rPr>
        <w:t>副本</w:t>
      </w:r>
      <w:r>
        <w:rPr>
          <w:rFonts w:hint="eastAsia" w:ascii="宋体" w:hAnsi="宋体" w:cs="Times New Roman"/>
          <w:color w:val="auto"/>
          <w:kern w:val="0"/>
          <w:sz w:val="24"/>
          <w:szCs w:val="24"/>
          <w:highlight w:val="none"/>
          <w:lang w:eastAsia="zh-CN"/>
        </w:rPr>
        <w:t>打印</w:t>
      </w:r>
      <w:r>
        <w:rPr>
          <w:rFonts w:hint="eastAsia" w:ascii="宋体" w:hAnsi="宋体" w:cs="Times New Roman"/>
          <w:color w:val="auto"/>
          <w:kern w:val="0"/>
          <w:sz w:val="24"/>
          <w:szCs w:val="24"/>
          <w:highlight w:val="none"/>
          <w:lang w:val="en-US" w:eastAsia="zh-CN"/>
        </w:rPr>
        <w:t>需</w:t>
      </w:r>
      <w:r>
        <w:rPr>
          <w:rFonts w:hint="eastAsia" w:ascii="宋体" w:hAnsi="宋体" w:cs="Times New Roman"/>
          <w:color w:val="auto"/>
          <w:kern w:val="0"/>
          <w:sz w:val="24"/>
          <w:szCs w:val="24"/>
          <w:highlight w:val="none"/>
          <w:lang w:eastAsia="zh-CN"/>
        </w:rPr>
        <w:t>用不褪色的蓝(黑)色墨水(汁)书写,并由供应商法定代表人或经法定代表人正式授权的代表签字（竞争性谈判文件要求竞争性谈判响应文件中法定代表人签字处由法定代表人签署，要求授权代表签字处由授权代表签署），若由授权代表签署，须按竞争性谈判文件规定的格式出具的“法定代表人授权书”附在竞争性谈判响应文件中，所有要求签字（名）处，均须由签字（名）者本人用不褪色的蓝(黑)色墨水(汁)书写，不得用任何形式的图章代替。所有竞争性谈判响应文件正本和副本须按第六章规定的顺序编排、并应编制目录、逐页标注连续页码，每一页的正下方清楚标明页码，并分别胶装成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16.3任何行间插字、涂改和增删，必须由供应商的法定代表人或其授权代表在旁边签字</w:t>
      </w:r>
      <w:r>
        <w:rPr>
          <w:rFonts w:ascii="宋体" w:hAnsi="宋体" w:cs="Times New Roman"/>
          <w:color w:val="auto"/>
          <w:kern w:val="0"/>
          <w:sz w:val="24"/>
          <w:szCs w:val="24"/>
          <w:highlight w:val="none"/>
        </w:rPr>
        <w:t>才有效。</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16.</w:t>
      </w:r>
      <w:r>
        <w:rPr>
          <w:rFonts w:hint="eastAsia" w:ascii="宋体" w:hAnsi="宋体" w:cs="Times New Roman"/>
          <w:color w:val="auto"/>
          <w:kern w:val="0"/>
          <w:sz w:val="24"/>
          <w:szCs w:val="24"/>
          <w:highlight w:val="none"/>
          <w:lang w:val="en-US" w:eastAsia="zh-CN"/>
        </w:rPr>
        <w:t>4</w:t>
      </w:r>
      <w:r>
        <w:rPr>
          <w:rFonts w:ascii="宋体" w:hAnsi="宋体" w:cs="Times New Roman"/>
          <w:color w:val="auto"/>
          <w:kern w:val="0"/>
          <w:sz w:val="24"/>
          <w:szCs w:val="24"/>
          <w:highlight w:val="none"/>
        </w:rPr>
        <w:t>因字迹潦草、表述不清或不按</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文件格式编制的</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，所引起的对</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不利的后果，由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自行负责。</w:t>
      </w:r>
    </w:p>
    <w:p>
      <w:pPr>
        <w:pageBreakBefore w:val="0"/>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rPr>
      </w:pPr>
      <w:r>
        <w:rPr>
          <w:rFonts w:hint="eastAsia" w:ascii="宋体" w:hAnsi="宋体" w:cs="Times New Roman"/>
          <w:color w:val="auto"/>
          <w:kern w:val="0"/>
          <w:sz w:val="24"/>
          <w:szCs w:val="24"/>
          <w:highlight w:val="none"/>
        </w:rPr>
        <w:t>16.</w:t>
      </w:r>
      <w:r>
        <w:rPr>
          <w:rFonts w:hint="eastAsia" w:ascii="宋体" w:hAnsi="宋体" w:cs="Times New Roman"/>
          <w:color w:val="auto"/>
          <w:kern w:val="0"/>
          <w:sz w:val="24"/>
          <w:szCs w:val="24"/>
          <w:highlight w:val="none"/>
          <w:lang w:val="en-US" w:eastAsia="zh-CN"/>
        </w:rPr>
        <w:t>5</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w:t>
      </w:r>
      <w:r>
        <w:rPr>
          <w:rFonts w:hint="eastAsia" w:ascii="宋体" w:hAnsi="宋体" w:cs="Times New Roman"/>
          <w:color w:val="auto"/>
          <w:kern w:val="0"/>
          <w:sz w:val="24"/>
          <w:szCs w:val="24"/>
          <w:highlight w:val="none"/>
          <w:lang w:val="en-US" w:eastAsia="zh-CN"/>
        </w:rPr>
        <w:t>正本、</w:t>
      </w:r>
      <w:r>
        <w:rPr>
          <w:rFonts w:hint="eastAsia" w:ascii="宋体" w:hAnsi="宋体" w:cs="Times New Roman"/>
          <w:color w:val="auto"/>
          <w:kern w:val="0"/>
          <w:sz w:val="24"/>
          <w:szCs w:val="24"/>
          <w:highlight w:val="none"/>
        </w:rPr>
        <w:t>副本、</w:t>
      </w:r>
      <w:r>
        <w:rPr>
          <w:rFonts w:hint="eastAsia" w:ascii="宋体" w:hAnsi="宋体" w:eastAsia="宋体" w:cs="Times New Roman"/>
          <w:b w:val="0"/>
          <w:bCs w:val="0"/>
          <w:color w:val="auto"/>
          <w:kern w:val="0"/>
          <w:sz w:val="24"/>
          <w:szCs w:val="20"/>
          <w:highlight w:val="none"/>
          <w:lang w:eastAsia="zh-CN"/>
        </w:rPr>
        <w:t>纸质版</w:t>
      </w:r>
      <w:r>
        <w:rPr>
          <w:rFonts w:hint="eastAsia" w:ascii="宋体" w:hAnsi="宋体" w:cs="Times New Roman"/>
          <w:b w:val="0"/>
          <w:bCs w:val="0"/>
          <w:color w:val="auto"/>
          <w:kern w:val="0"/>
          <w:sz w:val="24"/>
          <w:szCs w:val="20"/>
          <w:highlight w:val="none"/>
          <w:lang w:eastAsia="zh-CN"/>
        </w:rPr>
        <w:t>响应文件</w:t>
      </w:r>
      <w:r>
        <w:rPr>
          <w:rFonts w:hint="eastAsia" w:ascii="宋体" w:hAnsi="宋体" w:eastAsia="宋体" w:cs="Times New Roman"/>
          <w:b w:val="0"/>
          <w:bCs w:val="0"/>
          <w:color w:val="auto"/>
          <w:kern w:val="0"/>
          <w:sz w:val="24"/>
          <w:szCs w:val="20"/>
          <w:highlight w:val="none"/>
          <w:lang w:eastAsia="zh-CN"/>
        </w:rPr>
        <w:t>应使用制作软件导出的电子版文件进行打印，与电子版文件保持一致。</w:t>
      </w:r>
    </w:p>
    <w:p>
      <w:pPr>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16.</w:t>
      </w:r>
      <w:r>
        <w:rPr>
          <w:rFonts w:hint="eastAsia" w:ascii="宋体" w:hAnsi="宋体" w:eastAsia="宋体" w:cs="宋体"/>
          <w:color w:val="auto"/>
          <w:kern w:val="0"/>
          <w:sz w:val="24"/>
          <w:szCs w:val="24"/>
          <w:highlight w:val="none"/>
          <w:lang w:val="en-US" w:eastAsia="zh-CN"/>
        </w:rPr>
        <w:t>6本项目采用电子化招投标。</w:t>
      </w:r>
      <w:r>
        <w:rPr>
          <w:rFonts w:hint="eastAsia" w:ascii="宋体" w:hAnsi="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lang w:val="en-US" w:eastAsia="zh-CN"/>
        </w:rPr>
        <w:t>须使用数字认证证书对电子化谈判响应文件进行签章、加密、递交及开标时解密等相关招投标事宜</w:t>
      </w:r>
      <w:r>
        <w:rPr>
          <w:rFonts w:hint="eastAsia" w:ascii="宋体" w:hAnsi="宋体" w:eastAsia="宋体" w:cs="宋体"/>
          <w:b/>
          <w:color w:val="auto"/>
          <w:kern w:val="0"/>
          <w:sz w:val="24"/>
          <w:szCs w:val="24"/>
          <w:highlight w:val="none"/>
        </w:rPr>
        <w:t>。</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16.6.1电子谈判文件下载。供应商登录全国公共资源交易平台（陕西省）网站〖首页·〉电子交易平台·〉企业端〗后，在〖谈判公告/出让公告〗 模块中选择项目点击“我要投标”，参与投标活动。然后即可在〖我的项目〗中点击“项目流程&gt;交易文件下载”下载电子谈判文件。 </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16.6.2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谈判文件。软件操作手册详见全国公共资源交易平台（陕西省）网站〖首页·〉服务指南·〉下载专区〗中的《陕西省公共资源交易（政府采购类）响应文件制作软件操作手册》。</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16.6.3制作电子响应文件。电子响应文件同样需要使用上述软件进行编制。在编制过程中，如有技术性问题，请先翻阅操作手册，或致电软件开发商。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技术支持热线：4009280095、4009980000 </w:t>
      </w:r>
    </w:p>
    <w:p>
      <w:pPr>
        <w:shd w:val="clear" w:color="auto" w:fill="auto"/>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CA锁购买：市民大厦3楼，E18、E19窗口，联系电话：0912-3452148</w:t>
      </w:r>
    </w:p>
    <w:p>
      <w:pPr>
        <w:pStyle w:val="6"/>
        <w:bidi w:val="0"/>
        <w:jc w:val="center"/>
        <w:rPr>
          <w:highlight w:val="none"/>
        </w:rPr>
      </w:pPr>
      <w:bookmarkStart w:id="89" w:name="_Toc2621"/>
      <w:bookmarkStart w:id="90" w:name="_Toc3626"/>
      <w:bookmarkStart w:id="91" w:name="_Toc1600"/>
      <w:bookmarkStart w:id="92" w:name="_Toc10718"/>
      <w:bookmarkStart w:id="93" w:name="_Toc24460"/>
      <w:bookmarkStart w:id="94" w:name="_Toc1556"/>
      <w:bookmarkStart w:id="95" w:name="_Toc7278"/>
      <w:bookmarkStart w:id="96" w:name="_Toc16114"/>
      <w:bookmarkStart w:id="97" w:name="_Toc3234"/>
      <w:bookmarkStart w:id="98" w:name="_Toc22977"/>
      <w:bookmarkStart w:id="99" w:name="_Toc29693"/>
      <w:bookmarkStart w:id="100" w:name="_Toc17687"/>
      <w:r>
        <w:rPr>
          <w:highlight w:val="none"/>
        </w:rPr>
        <w:t>四.</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的递交</w:t>
      </w:r>
      <w:bookmarkEnd w:id="89"/>
      <w:bookmarkEnd w:id="90"/>
      <w:bookmarkEnd w:id="91"/>
      <w:bookmarkEnd w:id="92"/>
      <w:bookmarkEnd w:id="93"/>
      <w:bookmarkEnd w:id="94"/>
      <w:bookmarkEnd w:id="95"/>
      <w:bookmarkEnd w:id="96"/>
      <w:bookmarkEnd w:id="97"/>
      <w:bookmarkEnd w:id="98"/>
      <w:bookmarkEnd w:id="99"/>
      <w:bookmarkEnd w:id="100"/>
    </w:p>
    <w:p>
      <w:pPr>
        <w:pStyle w:val="8"/>
        <w:bidi w:val="0"/>
        <w:rPr>
          <w:highlight w:val="none"/>
        </w:rPr>
      </w:pPr>
      <w:bookmarkStart w:id="101" w:name="_Toc19412"/>
      <w:r>
        <w:rPr>
          <w:highlight w:val="none"/>
        </w:rPr>
        <w:t>17.</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的密封和标记</w:t>
      </w:r>
      <w:bookmarkEnd w:id="101"/>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rPr>
        <w:t>17.1</w:t>
      </w:r>
      <w:r>
        <w:rPr>
          <w:rFonts w:hint="eastAsia" w:ascii="宋体" w:hAnsi="宋体" w:cs="Times New Roman"/>
          <w:color w:val="auto"/>
          <w:kern w:val="0"/>
          <w:sz w:val="24"/>
          <w:szCs w:val="24"/>
          <w:highlight w:val="none"/>
          <w:lang w:val="en-US" w:eastAsia="zh-CN"/>
        </w:rPr>
        <w:t>中标供应商最终报价</w:t>
      </w:r>
      <w:r>
        <w:rPr>
          <w:rFonts w:hint="eastAsia" w:ascii="宋体" w:hAnsi="宋体" w:cs="Times New Roman"/>
          <w:color w:val="auto"/>
          <w:kern w:val="0"/>
          <w:sz w:val="24"/>
          <w:szCs w:val="24"/>
          <w:highlight w:val="none"/>
        </w:rPr>
        <w:t>表除在竞争性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响应文件内装订外，再制作一份单独放在一个信封中。封线处加贴封条并加盖供应商公章，</w:t>
      </w:r>
      <w:r>
        <w:rPr>
          <w:rFonts w:hint="eastAsia" w:ascii="宋体" w:hAnsi="宋体" w:cs="Times New Roman"/>
          <w:color w:val="auto"/>
          <w:kern w:val="0"/>
          <w:sz w:val="24"/>
          <w:szCs w:val="24"/>
          <w:highlight w:val="none"/>
          <w:lang w:val="en-US" w:eastAsia="zh-CN"/>
        </w:rPr>
        <w:t>随响应文件一起邮寄。</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0"/>
          <w:highlight w:val="none"/>
        </w:rPr>
        <w:t>17.2</w:t>
      </w:r>
      <w:r>
        <w:rPr>
          <w:rFonts w:hint="eastAsia" w:ascii="宋体" w:hAnsi="宋体" w:cs="Times New Roman"/>
          <w:color w:val="auto"/>
          <w:kern w:val="0"/>
          <w:sz w:val="24"/>
          <w:szCs w:val="24"/>
          <w:highlight w:val="none"/>
          <w:lang w:val="en-US" w:eastAsia="zh-CN"/>
        </w:rPr>
        <w:t>中标</w:t>
      </w:r>
      <w:r>
        <w:rPr>
          <w:rFonts w:hint="eastAsia" w:ascii="宋体" w:hAnsi="宋体" w:cs="Times New Roman"/>
          <w:color w:val="auto"/>
          <w:kern w:val="0"/>
          <w:sz w:val="24"/>
          <w:szCs w:val="20"/>
          <w:highlight w:val="none"/>
        </w:rPr>
        <w:t>供应商应将竞争性</w:t>
      </w:r>
      <w:r>
        <w:rPr>
          <w:rFonts w:hint="eastAsia" w:ascii="宋体" w:hAnsi="宋体" w:cs="Times New Roman"/>
          <w:color w:val="auto"/>
          <w:kern w:val="0"/>
          <w:sz w:val="24"/>
          <w:szCs w:val="20"/>
          <w:highlight w:val="none"/>
          <w:lang w:eastAsia="zh-CN"/>
        </w:rPr>
        <w:t>谈判</w:t>
      </w:r>
      <w:r>
        <w:rPr>
          <w:rFonts w:hint="eastAsia" w:ascii="宋体" w:hAnsi="宋体" w:cs="Times New Roman"/>
          <w:color w:val="auto"/>
          <w:kern w:val="0"/>
          <w:sz w:val="24"/>
          <w:szCs w:val="20"/>
          <w:highlight w:val="none"/>
        </w:rPr>
        <w:t>响应文件正本、</w:t>
      </w:r>
      <w:r>
        <w:rPr>
          <w:rFonts w:hint="eastAsia" w:ascii="宋体" w:hAnsi="宋体" w:cs="Times New Roman"/>
          <w:color w:val="auto"/>
          <w:kern w:val="0"/>
          <w:sz w:val="24"/>
          <w:szCs w:val="24"/>
          <w:highlight w:val="none"/>
        </w:rPr>
        <w:t>所有的副本、</w:t>
      </w:r>
      <w:r>
        <w:rPr>
          <w:rFonts w:hint="eastAsia" w:ascii="宋体" w:hAnsi="宋体" w:cs="Times New Roman"/>
          <w:color w:val="auto"/>
          <w:kern w:val="0"/>
          <w:sz w:val="24"/>
          <w:szCs w:val="20"/>
          <w:highlight w:val="none"/>
        </w:rPr>
        <w:t>电子版、</w:t>
      </w:r>
      <w:r>
        <w:rPr>
          <w:rFonts w:hint="eastAsia" w:ascii="宋体" w:hAnsi="宋体" w:cs="Times New Roman"/>
          <w:color w:val="auto"/>
          <w:kern w:val="0"/>
          <w:sz w:val="24"/>
          <w:szCs w:val="20"/>
          <w:highlight w:val="none"/>
          <w:lang w:eastAsia="zh-CN"/>
        </w:rPr>
        <w:t>谈判报价表</w:t>
      </w:r>
      <w:r>
        <w:rPr>
          <w:rFonts w:hint="eastAsia" w:ascii="宋体" w:hAnsi="宋体" w:cs="Times New Roman"/>
          <w:color w:val="auto"/>
          <w:kern w:val="0"/>
          <w:sz w:val="24"/>
          <w:szCs w:val="20"/>
          <w:highlight w:val="none"/>
        </w:rPr>
        <w:t>、单独密封装在封袋中（封袋不得有破损），且在封袋正面标明</w:t>
      </w:r>
      <w:r>
        <w:rPr>
          <w:rFonts w:hint="eastAsia" w:ascii="宋体" w:hAnsi="宋体" w:cs="Times New Roman"/>
          <w:color w:val="auto"/>
          <w:kern w:val="0"/>
          <w:sz w:val="24"/>
          <w:szCs w:val="24"/>
          <w:highlight w:val="none"/>
        </w:rPr>
        <w:t>“正本”“副本”</w:t>
      </w:r>
      <w:r>
        <w:rPr>
          <w:rFonts w:hint="eastAsia" w:ascii="宋体" w:hAnsi="宋体" w:cs="Times New Roman"/>
          <w:color w:val="auto"/>
          <w:kern w:val="0"/>
          <w:sz w:val="24"/>
          <w:szCs w:val="20"/>
          <w:highlight w:val="none"/>
        </w:rPr>
        <w:t>“电子版”“</w:t>
      </w:r>
      <w:r>
        <w:rPr>
          <w:rFonts w:hint="eastAsia" w:ascii="宋体" w:hAnsi="宋体" w:cs="Times New Roman"/>
          <w:color w:val="auto"/>
          <w:kern w:val="0"/>
          <w:sz w:val="24"/>
          <w:szCs w:val="20"/>
          <w:highlight w:val="none"/>
          <w:lang w:eastAsia="zh-CN"/>
        </w:rPr>
        <w:t>谈判报价表</w:t>
      </w:r>
      <w:r>
        <w:rPr>
          <w:rFonts w:hint="eastAsia" w:ascii="宋体" w:hAnsi="宋体" w:cs="Times New Roman"/>
          <w:color w:val="auto"/>
          <w:kern w:val="0"/>
          <w:sz w:val="24"/>
          <w:szCs w:val="20"/>
          <w:highlight w:val="none"/>
        </w:rPr>
        <w:t>”字样。封袋应加贴封条，并在封线处加盖供应商公章</w:t>
      </w:r>
      <w:r>
        <w:rPr>
          <w:rFonts w:hint="eastAsia" w:ascii="宋体" w:hAnsi="宋体" w:cs="Times New Roman"/>
          <w:color w:val="auto"/>
          <w:kern w:val="0"/>
          <w:sz w:val="24"/>
          <w:szCs w:val="20"/>
          <w:highlight w:val="none"/>
          <w:lang w:eastAsia="zh-CN"/>
        </w:rPr>
        <w:t>及法人或授权代表签字</w:t>
      </w:r>
      <w:r>
        <w:rPr>
          <w:rFonts w:hint="eastAsia" w:ascii="宋体" w:hAnsi="宋体" w:cs="Times New Roman"/>
          <w:color w:val="auto"/>
          <w:kern w:val="0"/>
          <w:sz w:val="24"/>
          <w:szCs w:val="20"/>
          <w:highlight w:val="none"/>
        </w:rPr>
        <w:t>，封袋正面要粘贴供应商全称、项目名称、</w:t>
      </w:r>
      <w:r>
        <w:rPr>
          <w:rFonts w:hint="eastAsia" w:ascii="宋体" w:hAnsi="宋体" w:cs="Times New Roman"/>
          <w:color w:val="auto"/>
          <w:kern w:val="0"/>
          <w:sz w:val="24"/>
          <w:szCs w:val="20"/>
          <w:highlight w:val="none"/>
          <w:lang w:eastAsia="zh-CN"/>
        </w:rPr>
        <w:t>项目</w:t>
      </w:r>
      <w:r>
        <w:rPr>
          <w:rFonts w:hint="eastAsia" w:ascii="宋体" w:hAnsi="宋体" w:cs="Times New Roman"/>
          <w:color w:val="auto"/>
          <w:kern w:val="0"/>
          <w:sz w:val="24"/>
          <w:szCs w:val="20"/>
          <w:highlight w:val="none"/>
        </w:rPr>
        <w:t>编号等标识。</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外层包装请按以下要求标记：</w:t>
      </w:r>
    </w:p>
    <w:p>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1) </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响应单位</w:t>
      </w:r>
      <w:r>
        <w:rPr>
          <w:rFonts w:ascii="宋体" w:hAnsi="宋体" w:cs="Times New Roman"/>
          <w:color w:val="auto"/>
          <w:kern w:val="0"/>
          <w:sz w:val="24"/>
          <w:szCs w:val="24"/>
          <w:highlight w:val="none"/>
        </w:rPr>
        <w:t>的全称；</w:t>
      </w:r>
    </w:p>
    <w:p>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2) </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项目名称、项目编号</w:t>
      </w:r>
      <w:r>
        <w:rPr>
          <w:rFonts w:hint="eastAsia"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3）正本或副本</w:t>
      </w:r>
      <w:r>
        <w:rPr>
          <w:rFonts w:hint="eastAsia" w:ascii="宋体" w:hAnsi="宋体" w:cs="Times New Roman"/>
          <w:color w:val="auto"/>
          <w:kern w:val="0"/>
          <w:sz w:val="24"/>
          <w:szCs w:val="24"/>
          <w:highlight w:val="none"/>
        </w:rPr>
        <w:t>、电子版、</w:t>
      </w:r>
      <w:r>
        <w:rPr>
          <w:rFonts w:hint="eastAsia" w:ascii="宋体" w:hAnsi="宋体" w:cs="Times New Roman"/>
          <w:color w:val="auto"/>
          <w:kern w:val="0"/>
          <w:sz w:val="24"/>
          <w:szCs w:val="24"/>
          <w:highlight w:val="none"/>
          <w:lang w:eastAsia="zh-CN"/>
        </w:rPr>
        <w:t>谈判报价表</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17.</w:t>
      </w:r>
      <w:r>
        <w:rPr>
          <w:rFonts w:hint="eastAsia" w:ascii="宋体" w:hAnsi="宋体" w:cs="Times New Roman"/>
          <w:color w:val="auto"/>
          <w:kern w:val="0"/>
          <w:sz w:val="24"/>
          <w:szCs w:val="24"/>
          <w:highlight w:val="none"/>
        </w:rPr>
        <w:t>4</w:t>
      </w:r>
      <w:r>
        <w:rPr>
          <w:rFonts w:ascii="宋体" w:hAnsi="宋体" w:cs="Times New Roman"/>
          <w:color w:val="auto"/>
          <w:kern w:val="0"/>
          <w:sz w:val="24"/>
          <w:szCs w:val="24"/>
          <w:highlight w:val="none"/>
        </w:rPr>
        <w:t>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未对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按上述要求进行完好密封，由此产生的不利后果由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自行承担。</w:t>
      </w:r>
    </w:p>
    <w:p>
      <w:pPr>
        <w:pStyle w:val="8"/>
        <w:bidi w:val="0"/>
        <w:rPr>
          <w:rFonts w:hint="eastAsia"/>
          <w:highlight w:val="none"/>
          <w:lang w:val="en-US" w:eastAsia="zh-CN"/>
        </w:rPr>
      </w:pPr>
      <w:bookmarkStart w:id="102" w:name="_Toc30903"/>
      <w:bookmarkStart w:id="103" w:name="_Toc15599"/>
      <w:bookmarkStart w:id="104" w:name="_Toc17969"/>
      <w:r>
        <w:rPr>
          <w:rFonts w:hint="eastAsia"/>
          <w:highlight w:val="none"/>
          <w:lang w:val="en-US" w:eastAsia="zh-CN"/>
        </w:rPr>
        <w:t>18.竞争性谈判响应文件的递交</w:t>
      </w:r>
      <w:bookmarkEnd w:id="102"/>
      <w:bookmarkEnd w:id="103"/>
      <w:bookmarkEnd w:id="104"/>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2" w:firstLineChars="200"/>
        <w:jc w:val="both"/>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rPr>
        <w:t>18.1 电子</w:t>
      </w:r>
      <w:r>
        <w:rPr>
          <w:rFonts w:hint="eastAsia" w:ascii="宋体" w:hAnsi="宋体" w:eastAsia="宋体" w:cs="宋体"/>
          <w:b/>
          <w:bCs w:val="0"/>
          <w:color w:val="auto"/>
          <w:kern w:val="0"/>
          <w:sz w:val="24"/>
          <w:szCs w:val="24"/>
          <w:highlight w:val="none"/>
        </w:rPr>
        <w:t>谈判响应</w:t>
      </w:r>
      <w:r>
        <w:rPr>
          <w:rFonts w:hint="eastAsia" w:ascii="宋体" w:hAnsi="宋体" w:eastAsia="宋体" w:cs="宋体"/>
          <w:b/>
          <w:bCs w:val="0"/>
          <w:color w:val="auto"/>
          <w:kern w:val="0"/>
          <w:sz w:val="24"/>
          <w:szCs w:val="24"/>
          <w:highlight w:val="none"/>
          <w:lang w:val="en-US" w:eastAsia="zh-CN"/>
        </w:rPr>
        <w:t>文件的递交：</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rPr>
        <w:t>电子</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文件可于提交</w:t>
      </w:r>
      <w:r>
        <w:rPr>
          <w:rFonts w:hint="eastAsia" w:ascii="宋体" w:hAnsi="宋体" w:cs="宋体"/>
          <w:b w:val="0"/>
          <w:bCs/>
          <w:color w:val="auto"/>
          <w:kern w:val="0"/>
          <w:sz w:val="24"/>
          <w:szCs w:val="24"/>
          <w:highlight w:val="none"/>
          <w:lang w:val="en-US" w:eastAsia="zh-CN"/>
        </w:rPr>
        <w:t>响应文件</w:t>
      </w:r>
      <w:r>
        <w:rPr>
          <w:rFonts w:hint="eastAsia" w:ascii="宋体" w:hAnsi="宋体" w:eastAsia="宋体" w:cs="宋体"/>
          <w:b w:val="0"/>
          <w:bCs/>
          <w:color w:val="auto"/>
          <w:kern w:val="0"/>
          <w:sz w:val="24"/>
          <w:szCs w:val="24"/>
          <w:highlight w:val="none"/>
          <w:lang w:val="en-US" w:eastAsia="zh-CN"/>
        </w:rPr>
        <w:t>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文件”，上传加密的电子</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文件。上传成功后，电子化平台将予以记录。</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rPr>
        <w:t xml:space="preserve">18.2 纸质版递交 </w:t>
      </w:r>
    </w:p>
    <w:p>
      <w:pPr>
        <w:keepNext w:val="0"/>
        <w:keepLines w:val="0"/>
        <w:widowControl/>
        <w:suppressLineNumbers w:val="0"/>
        <w:spacing w:before="0" w:beforeLines="0" w:beforeAutospacing="0" w:after="0" w:afterLines="0" w:afterAutospacing="0" w:line="360" w:lineRule="auto"/>
        <w:ind w:left="0" w:right="0" w:firstLine="420"/>
        <w:jc w:val="left"/>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18.2.1谈判供应商在开标时无需提交纸质竞争性谈判响应文件，开标结束后，请中标供应商邮寄一正三副纸质竞争性谈判响应文件、首次报价表、最终报价表邮寄至代理公司，</w:t>
      </w:r>
      <w:r>
        <w:rPr>
          <w:rFonts w:hint="eastAsia" w:ascii="宋体" w:hAnsi="宋体" w:eastAsia="宋体" w:cs="Times New Roman"/>
          <w:b w:val="0"/>
          <w:bCs w:val="0"/>
          <w:color w:val="auto"/>
          <w:kern w:val="0"/>
          <w:sz w:val="24"/>
          <w:szCs w:val="24"/>
          <w:highlight w:val="none"/>
          <w:lang w:val="en-US" w:eastAsia="zh-CN" w:bidi="ar-SA"/>
        </w:rPr>
        <w:t>纸质版响应文件应使用制作软件导出的电子版文件进行打印，与电子版文件保持一致。特别提醒：纸质响应文件及竞争性谈判文件要求需要单独邮寄的资料收到的时间直接影响结果公告时间）。</w:t>
      </w:r>
      <w:r>
        <w:rPr>
          <w:rFonts w:hint="eastAsia" w:ascii="宋体" w:hAnsi="宋体" w:eastAsia="宋体" w:cs="Times New Roman"/>
          <w:color w:val="auto"/>
          <w:kern w:val="0"/>
          <w:sz w:val="24"/>
          <w:szCs w:val="24"/>
          <w:highlight w:val="none"/>
          <w:lang w:val="en-US" w:eastAsia="zh-CN" w:bidi="ar-SA"/>
        </w:rPr>
        <w:t>（公示结果公告及备案用）</w:t>
      </w:r>
      <w:r>
        <w:rPr>
          <w:rFonts w:hint="eastAsia" w:ascii="宋体" w:hAnsi="宋体" w:eastAsia="宋体" w:cs="宋体"/>
          <w:b/>
          <w:bCs w:val="0"/>
          <w:color w:val="auto"/>
          <w:kern w:val="0"/>
          <w:sz w:val="24"/>
          <w:szCs w:val="24"/>
          <w:highlight w:val="none"/>
          <w:lang w:val="en-US" w:eastAsia="zh-CN" w:bidi="ar-SA"/>
        </w:rPr>
        <w:t>（邮寄地址：榆林市榆阳区肤施路南段环馨路5号金轩楼2楼201室，联系人：任涛 联系电话：18992274597）</w:t>
      </w:r>
      <w:r>
        <w:rPr>
          <w:rFonts w:hint="eastAsia" w:ascii="宋体" w:hAnsi="宋体" w:eastAsia="宋体" w:cs="宋体"/>
          <w:color w:val="auto"/>
          <w:kern w:val="0"/>
          <w:sz w:val="24"/>
          <w:szCs w:val="24"/>
          <w:highlight w:val="none"/>
          <w:lang w:val="en-US" w:eastAsia="zh-CN" w:bidi="ar-SA"/>
        </w:rPr>
        <w:t>。</w:t>
      </w:r>
    </w:p>
    <w:p>
      <w:pPr>
        <w:pStyle w:val="8"/>
        <w:bidi w:val="0"/>
        <w:rPr>
          <w:rFonts w:hint="eastAsia"/>
          <w:highlight w:val="none"/>
          <w:lang w:val="en-US" w:eastAsia="zh-CN"/>
        </w:rPr>
      </w:pPr>
      <w:bookmarkStart w:id="105" w:name="_Toc5401"/>
      <w:bookmarkStart w:id="106" w:name="_Toc25183"/>
      <w:bookmarkStart w:id="107" w:name="_Toc6232"/>
      <w:bookmarkStart w:id="108" w:name="_Toc29852"/>
      <w:bookmarkStart w:id="109" w:name="_Toc18646"/>
      <w:r>
        <w:rPr>
          <w:rFonts w:hint="eastAsia"/>
          <w:highlight w:val="none"/>
          <w:lang w:val="en-US" w:eastAsia="zh-CN"/>
        </w:rPr>
        <w:t>19.谈判的修改与撤回</w:t>
      </w:r>
      <w:bookmarkEnd w:id="105"/>
      <w:bookmarkEnd w:id="106"/>
      <w:bookmarkEnd w:id="107"/>
      <w:bookmarkEnd w:id="108"/>
      <w:bookmarkEnd w:id="109"/>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lang w:val="en-US" w:eastAsia="zh-CN"/>
        </w:rPr>
        <w:t>19</w:t>
      </w:r>
      <w:r>
        <w:rPr>
          <w:rFonts w:ascii="宋体" w:hAnsi="宋体" w:cs="Times New Roman"/>
          <w:color w:val="auto"/>
          <w:kern w:val="0"/>
          <w:sz w:val="24"/>
          <w:szCs w:val="24"/>
          <w:highlight w:val="none"/>
        </w:rPr>
        <w:t xml:space="preserve">.1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在递交</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后，</w:t>
      </w:r>
      <w:r>
        <w:rPr>
          <w:rFonts w:hint="eastAsia" w:ascii="宋体" w:hAnsi="宋体" w:cs="Times New Roman"/>
          <w:color w:val="auto"/>
          <w:kern w:val="0"/>
          <w:sz w:val="24"/>
          <w:szCs w:val="24"/>
          <w:highlight w:val="none"/>
          <w:lang w:eastAsia="zh-CN"/>
        </w:rPr>
        <w:t>不</w:t>
      </w:r>
      <w:r>
        <w:rPr>
          <w:rFonts w:ascii="宋体" w:hAnsi="宋体" w:cs="Times New Roman"/>
          <w:color w:val="auto"/>
          <w:kern w:val="0"/>
          <w:sz w:val="24"/>
          <w:szCs w:val="24"/>
          <w:highlight w:val="none"/>
        </w:rPr>
        <w:t>可以修改或撤回其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，也</w:t>
      </w:r>
      <w:r>
        <w:rPr>
          <w:rFonts w:hint="eastAsia" w:ascii="宋体" w:hAnsi="宋体" w:cs="Times New Roman"/>
          <w:color w:val="auto"/>
          <w:kern w:val="0"/>
          <w:sz w:val="24"/>
          <w:szCs w:val="24"/>
          <w:highlight w:val="none"/>
          <w:lang w:eastAsia="zh-CN"/>
        </w:rPr>
        <w:t>不</w:t>
      </w:r>
      <w:r>
        <w:rPr>
          <w:rFonts w:ascii="宋体" w:hAnsi="宋体" w:cs="Times New Roman"/>
          <w:color w:val="auto"/>
          <w:kern w:val="0"/>
          <w:sz w:val="24"/>
          <w:szCs w:val="24"/>
          <w:highlight w:val="none"/>
        </w:rPr>
        <w:t>可以提出价格变动声明</w:t>
      </w:r>
      <w:r>
        <w:rPr>
          <w:rFonts w:hint="eastAsia" w:ascii="宋体" w:hAnsi="宋体" w:cs="Times New Roman"/>
          <w:color w:val="auto"/>
          <w:kern w:val="0"/>
          <w:sz w:val="24"/>
          <w:szCs w:val="24"/>
          <w:highlight w:val="none"/>
          <w:lang w:eastAsia="zh-CN"/>
        </w:rPr>
        <w:t>。</w:t>
      </w:r>
    </w:p>
    <w:p>
      <w:pPr>
        <w:pStyle w:val="8"/>
        <w:bidi w:val="0"/>
        <w:rPr>
          <w:rFonts w:hint="eastAsia"/>
          <w:highlight w:val="none"/>
          <w:lang w:val="en-US" w:eastAsia="zh-CN"/>
        </w:rPr>
      </w:pPr>
      <w:bookmarkStart w:id="110" w:name="_Toc19062"/>
      <w:bookmarkStart w:id="111" w:name="_Toc9679"/>
      <w:bookmarkStart w:id="112" w:name="_Toc7000"/>
      <w:bookmarkStart w:id="113" w:name="_Toc8185"/>
      <w:bookmarkStart w:id="114" w:name="_Toc1616"/>
      <w:bookmarkStart w:id="115" w:name="_Toc363473976"/>
      <w:bookmarkStart w:id="116" w:name="_Toc403077643"/>
      <w:bookmarkStart w:id="117" w:name="_Toc363474021"/>
      <w:r>
        <w:rPr>
          <w:rFonts w:hint="eastAsia"/>
          <w:highlight w:val="none"/>
          <w:lang w:val="en-US" w:eastAsia="zh-CN"/>
        </w:rPr>
        <w:t>20.迟交的竞争性谈判响应文件</w:t>
      </w:r>
      <w:bookmarkEnd w:id="110"/>
      <w:bookmarkEnd w:id="111"/>
      <w:bookmarkEnd w:id="112"/>
      <w:bookmarkEnd w:id="113"/>
      <w:bookmarkEnd w:id="114"/>
    </w:p>
    <w:p>
      <w:pPr>
        <w:pageBreakBefore w:val="0"/>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hint="eastAsia" w:ascii="宋体" w:hAnsi="宋体" w:eastAsia="宋体" w:cs="Times New Roman"/>
          <w:color w:val="auto"/>
          <w:kern w:val="0"/>
          <w:sz w:val="24"/>
          <w:szCs w:val="24"/>
          <w:highlight w:val="none"/>
          <w:lang w:val="en-US" w:eastAsia="zh-CN"/>
        </w:rPr>
        <w:t>20.1 按照供应商须知的规定，采购代理机构将拒绝接受在规定的</w:t>
      </w:r>
      <w:r>
        <w:rPr>
          <w:rFonts w:hint="eastAsia" w:ascii="宋体" w:hAnsi="宋体" w:cs="Times New Roman"/>
          <w:color w:val="auto"/>
          <w:kern w:val="0"/>
          <w:sz w:val="24"/>
          <w:szCs w:val="24"/>
          <w:highlight w:val="none"/>
          <w:lang w:val="en-US" w:eastAsia="zh-CN"/>
        </w:rPr>
        <w:t>谈判</w:t>
      </w:r>
      <w:r>
        <w:rPr>
          <w:rFonts w:hint="eastAsia" w:ascii="宋体" w:hAnsi="宋体" w:eastAsia="宋体" w:cs="Times New Roman"/>
          <w:color w:val="auto"/>
          <w:kern w:val="0"/>
          <w:sz w:val="24"/>
          <w:szCs w:val="24"/>
          <w:highlight w:val="none"/>
          <w:lang w:val="en-US" w:eastAsia="zh-CN"/>
        </w:rPr>
        <w:t>截止时间后递交的任何竞争性</w:t>
      </w:r>
      <w:r>
        <w:rPr>
          <w:rFonts w:hint="eastAsia" w:ascii="宋体" w:hAnsi="宋体" w:cs="Times New Roman"/>
          <w:color w:val="auto"/>
          <w:kern w:val="0"/>
          <w:sz w:val="24"/>
          <w:szCs w:val="24"/>
          <w:highlight w:val="none"/>
          <w:lang w:val="en-US" w:eastAsia="zh-CN"/>
        </w:rPr>
        <w:t>谈判</w:t>
      </w:r>
      <w:r>
        <w:rPr>
          <w:rFonts w:hint="eastAsia" w:ascii="宋体" w:hAnsi="宋体" w:eastAsia="宋体" w:cs="Times New Roman"/>
          <w:color w:val="auto"/>
          <w:kern w:val="0"/>
          <w:sz w:val="24"/>
          <w:szCs w:val="24"/>
          <w:highlight w:val="none"/>
          <w:lang w:val="en-US" w:eastAsia="zh-CN"/>
        </w:rPr>
        <w:t>响应文件。</w:t>
      </w:r>
    </w:p>
    <w:p>
      <w:pPr>
        <w:pStyle w:val="6"/>
        <w:bidi w:val="0"/>
        <w:jc w:val="center"/>
        <w:rPr>
          <w:highlight w:val="none"/>
        </w:rPr>
      </w:pPr>
      <w:bookmarkStart w:id="118" w:name="_Toc3302"/>
      <w:bookmarkStart w:id="119" w:name="_Toc17403"/>
      <w:bookmarkStart w:id="120" w:name="_Toc16063"/>
      <w:bookmarkStart w:id="121" w:name="_Toc24521"/>
      <w:bookmarkStart w:id="122" w:name="_Toc22453"/>
      <w:bookmarkStart w:id="123" w:name="_Toc16208"/>
      <w:bookmarkStart w:id="124" w:name="_Toc17295"/>
      <w:bookmarkStart w:id="125" w:name="_Toc22204"/>
      <w:bookmarkStart w:id="126" w:name="_Toc31457"/>
      <w:bookmarkStart w:id="127" w:name="_Toc252"/>
      <w:bookmarkStart w:id="128" w:name="_Toc2355"/>
      <w:bookmarkStart w:id="129" w:name="_Toc21023"/>
      <w:r>
        <w:rPr>
          <w:highlight w:val="none"/>
        </w:rPr>
        <w:t>五.</w:t>
      </w:r>
      <w:r>
        <w:rPr>
          <w:rFonts w:hint="eastAsia"/>
          <w:highlight w:val="none"/>
          <w:lang w:eastAsia="zh-CN"/>
        </w:rPr>
        <w:t>谈判</w:t>
      </w:r>
      <w:r>
        <w:rPr>
          <w:highlight w:val="none"/>
        </w:rPr>
        <w:t>与评标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8"/>
        <w:bidi w:val="0"/>
        <w:rPr>
          <w:rFonts w:hint="eastAsia"/>
          <w:highlight w:val="none"/>
          <w:lang w:eastAsia="zh-CN"/>
        </w:rPr>
      </w:pPr>
      <w:bookmarkStart w:id="130" w:name="_Toc25336"/>
      <w:r>
        <w:rPr>
          <w:highlight w:val="none"/>
        </w:rPr>
        <w:t>21.</w:t>
      </w:r>
      <w:r>
        <w:rPr>
          <w:rFonts w:hint="eastAsia"/>
          <w:highlight w:val="none"/>
          <w:lang w:eastAsia="zh-CN"/>
        </w:rPr>
        <w:t>谈判</w:t>
      </w:r>
      <w:bookmarkEnd w:id="130"/>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21.1 采购代理机构在规定的时间和地点组织谈判。谈判时所有</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代表自愿参加</w:t>
      </w:r>
      <w:r>
        <w:rPr>
          <w:rFonts w:hint="eastAsia" w:ascii="宋体" w:hAnsi="宋体" w:eastAsia="宋体" w:cs="宋体"/>
          <w:color w:val="auto"/>
          <w:kern w:val="2"/>
          <w:sz w:val="24"/>
          <w:szCs w:val="24"/>
          <w:highlight w:val="none"/>
          <w:lang w:val="en-US" w:eastAsia="zh-CN" w:bidi="ar"/>
        </w:rPr>
        <w:t>不参加的视为认同开标结果，</w:t>
      </w:r>
      <w:r>
        <w:rPr>
          <w:rFonts w:hint="eastAsia" w:ascii="宋体" w:hAnsi="宋体" w:eastAsia="宋体" w:cs="宋体"/>
          <w:color w:val="auto"/>
          <w:kern w:val="0"/>
          <w:sz w:val="24"/>
          <w:szCs w:val="24"/>
          <w:highlight w:val="none"/>
        </w:rPr>
        <w:t>参加谈判的代表应签到证明其出席。</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21.2开标时，</w:t>
      </w:r>
      <w:r>
        <w:rPr>
          <w:rFonts w:hint="eastAsia" w:ascii="宋体" w:hAnsi="宋体" w:eastAsia="宋体" w:cs="宋体"/>
          <w:color w:val="auto"/>
          <w:kern w:val="2"/>
          <w:sz w:val="24"/>
          <w:szCs w:val="24"/>
          <w:highlight w:val="none"/>
          <w:lang w:val="en-US" w:eastAsia="zh-CN" w:bidi="ar"/>
        </w:rPr>
        <w:t>由</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将电子</w:t>
      </w:r>
      <w:r>
        <w:rPr>
          <w:rFonts w:hint="eastAsia" w:ascii="宋体" w:hAnsi="宋体" w:cs="宋体"/>
          <w:color w:val="auto"/>
          <w:kern w:val="2"/>
          <w:sz w:val="24"/>
          <w:szCs w:val="24"/>
          <w:highlight w:val="none"/>
          <w:lang w:val="en-US" w:eastAsia="zh-CN" w:bidi="ar"/>
        </w:rPr>
        <w:t>响应文件</w:t>
      </w:r>
      <w:r>
        <w:rPr>
          <w:rFonts w:hint="eastAsia" w:ascii="宋体" w:hAnsi="宋体" w:eastAsia="宋体" w:cs="宋体"/>
          <w:color w:val="auto"/>
          <w:kern w:val="2"/>
          <w:sz w:val="24"/>
          <w:szCs w:val="24"/>
          <w:highlight w:val="none"/>
          <w:lang w:val="en-US" w:eastAsia="zh-CN" w:bidi="ar"/>
        </w:rPr>
        <w:t>解密后，由</w:t>
      </w:r>
      <w:r>
        <w:rPr>
          <w:rFonts w:hint="eastAsia" w:ascii="宋体" w:hAnsi="宋体" w:eastAsia="宋体" w:cs="宋体"/>
          <w:color w:val="auto"/>
          <w:kern w:val="0"/>
          <w:sz w:val="24"/>
          <w:szCs w:val="24"/>
          <w:highlight w:val="none"/>
        </w:rPr>
        <w:t>采购代理机构</w:t>
      </w:r>
      <w:r>
        <w:rPr>
          <w:rFonts w:hint="eastAsia" w:ascii="宋体" w:hAnsi="宋体" w:eastAsia="宋体" w:cs="宋体"/>
          <w:color w:val="auto"/>
          <w:kern w:val="0"/>
          <w:sz w:val="24"/>
          <w:szCs w:val="24"/>
          <w:highlight w:val="none"/>
          <w:lang w:eastAsia="zh-CN"/>
        </w:rPr>
        <w:t>记录</w:t>
      </w:r>
      <w:r>
        <w:rPr>
          <w:rFonts w:hint="eastAsia" w:ascii="宋体" w:hAnsi="宋体" w:eastAsia="宋体" w:cs="宋体"/>
          <w:color w:val="auto"/>
          <w:kern w:val="0"/>
          <w:sz w:val="24"/>
          <w:szCs w:val="24"/>
          <w:highlight w:val="none"/>
        </w:rPr>
        <w:t>项目名称、项目编号、</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名称、以及采购代理机构认为合适的其他内容，各</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的每轮谈判报价不予公布。</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21.4 采购代理机构将对开标过程做记录，存档备查。</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21.5谈判有效</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不足三家的，按照国家相关法律及规定执行。</w:t>
      </w:r>
    </w:p>
    <w:p>
      <w:pPr>
        <w:pStyle w:val="8"/>
        <w:bidi w:val="0"/>
        <w:rPr>
          <w:highlight w:val="none"/>
        </w:rPr>
      </w:pPr>
      <w:bookmarkStart w:id="131" w:name="_Toc30349"/>
      <w:r>
        <w:rPr>
          <w:highlight w:val="none"/>
        </w:rPr>
        <w:t>22．</w:t>
      </w:r>
      <w:r>
        <w:rPr>
          <w:rFonts w:hint="eastAsia"/>
          <w:highlight w:val="none"/>
        </w:rPr>
        <w:t>评审</w:t>
      </w:r>
      <w:r>
        <w:rPr>
          <w:highlight w:val="none"/>
        </w:rPr>
        <w:t>组织及</w:t>
      </w:r>
      <w:r>
        <w:rPr>
          <w:rFonts w:hint="eastAsia"/>
          <w:highlight w:val="none"/>
        </w:rPr>
        <w:t>评审</w:t>
      </w:r>
      <w:r>
        <w:rPr>
          <w:highlight w:val="none"/>
        </w:rPr>
        <w:t>原则</w:t>
      </w:r>
      <w:bookmarkEnd w:id="131"/>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22.1按照《中华人民共和国政府采购法》</w:t>
      </w:r>
      <w:r>
        <w:rPr>
          <w:rFonts w:hint="eastAsia" w:ascii="宋体" w:hAnsi="宋体" w:cs="Times New Roman"/>
          <w:color w:val="auto"/>
          <w:kern w:val="0"/>
          <w:sz w:val="24"/>
          <w:szCs w:val="24"/>
          <w:highlight w:val="none"/>
        </w:rPr>
        <w:t>及实施条例和</w:t>
      </w:r>
      <w:r>
        <w:rPr>
          <w:rFonts w:hint="eastAsia" w:ascii="宋体" w:hAnsi="宋体" w:cs="Times New Roman"/>
          <w:color w:val="auto"/>
          <w:kern w:val="0"/>
          <w:sz w:val="24"/>
          <w:szCs w:val="24"/>
          <w:highlight w:val="none"/>
          <w:lang w:eastAsia="zh-CN"/>
        </w:rPr>
        <w:t>《</w:t>
      </w:r>
      <w:r>
        <w:rPr>
          <w:rFonts w:hint="eastAsia" w:ascii="宋体" w:hAnsi="宋体" w:cs="Times New Roman"/>
          <w:color w:val="auto"/>
          <w:kern w:val="0"/>
          <w:sz w:val="24"/>
          <w:szCs w:val="24"/>
          <w:highlight w:val="none"/>
          <w:lang w:val="en-US" w:eastAsia="zh-CN"/>
        </w:rPr>
        <w:t>政府采购非招标方式管理办法</w:t>
      </w:r>
      <w:r>
        <w:rPr>
          <w:rFonts w:hint="eastAsia" w:ascii="宋体" w:hAnsi="宋体" w:cs="Times New Roman"/>
          <w:color w:val="auto"/>
          <w:kern w:val="0"/>
          <w:sz w:val="24"/>
          <w:szCs w:val="24"/>
          <w:highlight w:val="none"/>
          <w:lang w:eastAsia="zh-CN"/>
        </w:rPr>
        <w:t>》</w:t>
      </w:r>
      <w:r>
        <w:rPr>
          <w:rFonts w:hint="eastAsia" w:ascii="宋体" w:hAnsi="宋体" w:cs="Times New Roman"/>
          <w:color w:val="auto"/>
          <w:kern w:val="0"/>
          <w:sz w:val="24"/>
          <w:szCs w:val="24"/>
          <w:highlight w:val="none"/>
          <w:lang w:val="en-US" w:eastAsia="zh-CN"/>
        </w:rPr>
        <w:t>相关竞争性谈判</w:t>
      </w:r>
      <w:r>
        <w:rPr>
          <w:rFonts w:hint="eastAsia" w:ascii="宋体" w:hAnsi="宋体" w:cs="宋体"/>
          <w:sz w:val="24"/>
          <w:szCs w:val="24"/>
          <w:highlight w:val="none"/>
        </w:rPr>
        <w:t>法律法规</w:t>
      </w:r>
      <w:r>
        <w:rPr>
          <w:rFonts w:ascii="宋体" w:hAnsi="宋体" w:cs="Times New Roman"/>
          <w:color w:val="auto"/>
          <w:kern w:val="0"/>
          <w:sz w:val="24"/>
          <w:szCs w:val="24"/>
          <w:highlight w:val="none"/>
        </w:rPr>
        <w:t>，依法组建</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小组由采购人代表和评审专家组成，成员人数应当为单数，其中采购人代表须持有法人授权书。</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文件规定的</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方法独立进行</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工作。</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22.2</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文件和</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是</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的依据。在</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中，不得改变</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文件中规定的</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标准、方法和</w:t>
      </w:r>
      <w:r>
        <w:rPr>
          <w:rFonts w:hint="eastAsia" w:ascii="宋体" w:hAnsi="宋体" w:cs="Times New Roman"/>
          <w:color w:val="auto"/>
          <w:kern w:val="0"/>
          <w:sz w:val="24"/>
          <w:szCs w:val="24"/>
          <w:highlight w:val="none"/>
        </w:rPr>
        <w:t>成交</w:t>
      </w:r>
      <w:r>
        <w:rPr>
          <w:rFonts w:ascii="宋体" w:hAnsi="宋体" w:cs="Times New Roman"/>
          <w:color w:val="auto"/>
          <w:kern w:val="0"/>
          <w:sz w:val="24"/>
          <w:szCs w:val="24"/>
          <w:highlight w:val="none"/>
        </w:rPr>
        <w:t>条件。</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22.3在</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期间，对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中含义不明确、同类问题表述不一致或者有明显文字和计算错误的内容，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可以书面形式（由</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专家签字）要求</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作出必要的澄清、说明或者纠正。</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的澄清、说明或者补正应当采用书面形式，由其授权的代表签字，并不得超出</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的范围或者改变</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的实质性内容。</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22.4如果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在澄清规定期限内，未能答复或拒绝答复</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提出的澄清要求，将由</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根据其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按最大风险进行</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过程中的实质性变动：</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22.5.1在</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过程中，</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小组可以根据</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情况在最终报价之前实质性变动采购需求中的技术、服务要求以及合同草案条款，但不得变动竞争性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文件中的其他内容。实质性变动的内容，须经采购人代表确认。</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22.5.2对竞争性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文件做出的实质性变动是</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文件的有效组成部分，</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小组应当及时以书面形式通知所有参加</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的供应商。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响应文件的初审（含资格性检查和符合性检查）</w:t>
      </w:r>
    </w:p>
    <w:p>
      <w:pPr>
        <w:widowControl/>
        <w:kinsoku w:val="0"/>
        <w:autoSpaceDE w:val="0"/>
        <w:autoSpaceDN w:val="0"/>
        <w:adjustRightInd w:val="0"/>
        <w:snapToGrid w:val="0"/>
        <w:spacing w:before="185" w:line="374" w:lineRule="auto"/>
        <w:ind w:left="24" w:right="80" w:firstLine="483"/>
        <w:jc w:val="left"/>
        <w:textAlignment w:val="baseline"/>
        <w:rPr>
          <w:rFonts w:hint="eastAsia" w:ascii="宋体" w:hAnsi="宋体" w:eastAsia="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rPr>
        <w:t>22.6.1</w:t>
      </w:r>
      <w:r>
        <w:rPr>
          <w:rFonts w:hint="eastAsia" w:ascii="宋体" w:hAnsi="宋体" w:eastAsia="宋体" w:cs="宋体"/>
          <w:sz w:val="24"/>
          <w:szCs w:val="24"/>
          <w:highlight w:val="none"/>
        </w:rPr>
        <w:t>响应文件的资格性</w:t>
      </w:r>
      <w:r>
        <w:rPr>
          <w:rFonts w:hint="eastAsia" w:ascii="宋体" w:hAnsi="宋体" w:eastAsia="宋体" w:cs="宋体"/>
          <w:sz w:val="24"/>
          <w:szCs w:val="24"/>
          <w:highlight w:val="none"/>
          <w:lang w:val="en-US" w:eastAsia="zh-CN"/>
        </w:rPr>
        <w:t>审查</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谈判小组</w:t>
      </w:r>
      <w:r>
        <w:rPr>
          <w:rFonts w:hint="eastAsia" w:ascii="宋体" w:hAnsi="宋体" w:eastAsia="宋体" w:cs="宋体"/>
          <w:sz w:val="24"/>
          <w:szCs w:val="24"/>
          <w:highlight w:val="none"/>
          <w:lang w:val="en-US" w:eastAsia="zh-CN"/>
        </w:rPr>
        <w:t>或</w:t>
      </w:r>
      <w:r>
        <w:rPr>
          <w:rFonts w:hint="eastAsia" w:ascii="宋体" w:hAnsi="宋体" w:cs="宋体"/>
          <w:sz w:val="24"/>
          <w:szCs w:val="24"/>
          <w:highlight w:val="none"/>
          <w:lang w:val="en-US" w:eastAsia="zh-CN"/>
        </w:rPr>
        <w:t>人</w:t>
      </w:r>
      <w:r>
        <w:rPr>
          <w:rFonts w:hint="eastAsia" w:ascii="宋体" w:hAnsi="宋体" w:eastAsia="宋体" w:cs="宋体"/>
          <w:sz w:val="24"/>
          <w:szCs w:val="24"/>
          <w:highlight w:val="none"/>
        </w:rPr>
        <w:t>对投标人必备资质证明文件进行审查，签字确认检查结果。</w:t>
      </w:r>
      <w:r>
        <w:rPr>
          <w:rFonts w:ascii="宋体" w:hAnsi="宋体" w:eastAsia="宋体" w:cs="宋体"/>
          <w:snapToGrid w:val="0"/>
          <w:color w:val="000000"/>
          <w:spacing w:val="7"/>
          <w:kern w:val="0"/>
          <w:sz w:val="24"/>
          <w:szCs w:val="24"/>
          <w:highlight w:val="none"/>
        </w:rPr>
        <w:t>不符合招标文件要求的资格审查按无效</w:t>
      </w:r>
      <w:r>
        <w:rPr>
          <w:rFonts w:ascii="宋体" w:hAnsi="宋体" w:eastAsia="宋体" w:cs="宋体"/>
          <w:snapToGrid w:val="0"/>
          <w:color w:val="000000"/>
          <w:spacing w:val="5"/>
          <w:kern w:val="0"/>
          <w:sz w:val="24"/>
          <w:szCs w:val="24"/>
          <w:highlight w:val="none"/>
        </w:rPr>
        <w:t>文</w:t>
      </w:r>
      <w:r>
        <w:rPr>
          <w:rFonts w:ascii="宋体" w:hAnsi="宋体" w:eastAsia="宋体" w:cs="宋体"/>
          <w:snapToGrid w:val="0"/>
          <w:color w:val="000000"/>
          <w:spacing w:val="16"/>
          <w:kern w:val="0"/>
          <w:sz w:val="24"/>
          <w:szCs w:val="24"/>
          <w:highlight w:val="none"/>
        </w:rPr>
        <w:t>件</w:t>
      </w:r>
      <w:r>
        <w:rPr>
          <w:rFonts w:ascii="宋体" w:hAnsi="宋体" w:eastAsia="宋体" w:cs="宋体"/>
          <w:snapToGrid w:val="0"/>
          <w:color w:val="000000"/>
          <w:spacing w:val="11"/>
          <w:kern w:val="0"/>
          <w:sz w:val="24"/>
          <w:szCs w:val="24"/>
          <w:highlight w:val="none"/>
        </w:rPr>
        <w:t>处</w:t>
      </w:r>
      <w:r>
        <w:rPr>
          <w:rFonts w:ascii="宋体" w:hAnsi="宋体" w:eastAsia="宋体" w:cs="宋体"/>
          <w:snapToGrid w:val="0"/>
          <w:color w:val="000000"/>
          <w:spacing w:val="8"/>
          <w:kern w:val="0"/>
          <w:sz w:val="24"/>
          <w:szCs w:val="24"/>
          <w:highlight w:val="none"/>
        </w:rPr>
        <w:t>理，不得进入后续评审工作。</w:t>
      </w:r>
    </w:p>
    <w:p>
      <w:pPr>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22.6.2</w:t>
      </w:r>
      <w:r>
        <w:rPr>
          <w:rFonts w:hint="eastAsia" w:ascii="宋体" w:hAnsi="宋体" w:eastAsia="宋体" w:cs="宋体"/>
          <w:sz w:val="24"/>
          <w:szCs w:val="24"/>
          <w:highlight w:val="none"/>
        </w:rPr>
        <w:t>响应文件符合性审查：谈判小组依据谈判文件的规定，从响应文件的有效性、完整性和对谈判文件的响应程度进行审查，以确定是否对谈判文件的实质性内容响应。</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3</w:t>
      </w:r>
      <w:r>
        <w:rPr>
          <w:rFonts w:hint="eastAsia" w:ascii="宋体" w:hAnsi="宋体" w:cs="Times New Roman"/>
          <w:color w:val="auto"/>
          <w:kern w:val="0"/>
          <w:sz w:val="24"/>
          <w:szCs w:val="24"/>
          <w:highlight w:val="none"/>
        </w:rPr>
        <w:t>计算错误将按以下方法更正：</w:t>
      </w:r>
    </w:p>
    <w:p>
      <w:pPr>
        <w:pageBreakBefore w:val="0"/>
        <w:numPr>
          <w:ilvl w:val="0"/>
          <w:numId w:val="3"/>
        </w:numPr>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计算错误将按以下方法更正：若单价计算的结果与总价不一致，以单价为准修改总价；若用文字表示的数值与用数字表示的数值不一致，以文字表示的数值为准。</w:t>
      </w:r>
    </w:p>
    <w:p>
      <w:pPr>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响应文件的大写金额和小写金额不一致的，以大写金额为准；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val="en-US" w:eastAsia="zh-CN"/>
        </w:rPr>
        <w:t>3</w:t>
      </w:r>
      <w:r>
        <w:rPr>
          <w:rFonts w:hint="eastAsia" w:ascii="宋体" w:hAnsi="宋体" w:cs="Times New Roman"/>
          <w:color w:val="auto"/>
          <w:kern w:val="0"/>
          <w:sz w:val="24"/>
          <w:szCs w:val="24"/>
          <w:highlight w:val="none"/>
        </w:rPr>
        <w:t>）总价金额与按单价汇总金额不一致的，以单价金额计算结果为准；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按上述修正的顺序和方法调整的报价应对供应商具有约束力。如果供应商不接受修正后的价格，其响应文件将按无效响应处理。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4</w:t>
      </w:r>
      <w:r>
        <w:rPr>
          <w:rFonts w:hint="eastAsia" w:ascii="宋体" w:hAnsi="宋体" w:cs="Times New Roman"/>
          <w:color w:val="auto"/>
          <w:kern w:val="0"/>
          <w:sz w:val="24"/>
          <w:szCs w:val="24"/>
          <w:highlight w:val="none"/>
        </w:rPr>
        <w:t>对于竞争性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响应文件中明显的标点符号错误或不构成实质性偏差的不正规、不一致或不规则，采购人可以接受。</w:t>
      </w:r>
    </w:p>
    <w:p>
      <w:pPr>
        <w:spacing w:line="360" w:lineRule="auto"/>
        <w:ind w:firstLine="480" w:firstLineChars="200"/>
        <w:jc w:val="left"/>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5</w:t>
      </w:r>
      <w:r>
        <w:rPr>
          <w:rFonts w:hint="eastAsia" w:ascii="宋体" w:hAnsi="宋体" w:cs="Times New Roman"/>
          <w:color w:val="auto"/>
          <w:kern w:val="0"/>
          <w:sz w:val="24"/>
          <w:szCs w:val="24"/>
          <w:highlight w:val="none"/>
        </w:rPr>
        <w:t>在详细评审之前，根据本须知第22.6.5条的规定，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小组要审查每份竞争性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响应文件是否实质上响应了竞争性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文件的要求。实质上响应的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应该是与竞争性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文件要求的全部条款、条件和规格参数相符，没有重大偏离的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。对关键条文的偏离、保留或反对将被认为是实质上的偏离。</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小组决定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的响应性只根据</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响应文件本身的内容，而不寻求外部的证据。</w:t>
      </w:r>
      <w:r>
        <w:rPr>
          <w:rFonts w:hint="eastAsia" w:ascii="宋体" w:hAnsi="宋体" w:eastAsia="宋体" w:cs="宋体"/>
          <w:color w:val="auto"/>
          <w:kern w:val="0"/>
          <w:sz w:val="24"/>
          <w:szCs w:val="24"/>
          <w:highlight w:val="none"/>
          <w:lang w:val="en-US" w:eastAsia="zh-CN"/>
        </w:rPr>
        <w:t xml:space="preserve">谈判小组对供应商提供的响应服务、人员配置、售后服务承诺，能满足采购人要求的，则可进行二次报价。 </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6</w:t>
      </w:r>
      <w:r>
        <w:rPr>
          <w:rFonts w:hint="eastAsia" w:ascii="宋体" w:hAnsi="宋体" w:cs="Times New Roman"/>
          <w:color w:val="auto"/>
          <w:kern w:val="0"/>
          <w:sz w:val="24"/>
          <w:szCs w:val="24"/>
          <w:highlight w:val="none"/>
        </w:rPr>
        <w:t>实质上没有响应竞争性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将被拒绝。供应商不得通过修正或撤销不合要求的偏离从而使其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成为实质性响应的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。如发现下列情况之一的，其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将构成非实质性响应，</w:t>
      </w:r>
      <w:r>
        <w:rPr>
          <w:rFonts w:hint="eastAsia" w:ascii="宋体" w:hAnsi="宋体" w:cs="Times New Roman"/>
          <w:b/>
          <w:bCs/>
          <w:color w:val="auto"/>
          <w:kern w:val="0"/>
          <w:sz w:val="24"/>
          <w:szCs w:val="24"/>
          <w:highlight w:val="none"/>
        </w:rPr>
        <w:t>按无效</w:t>
      </w:r>
      <w:r>
        <w:rPr>
          <w:rFonts w:hint="eastAsia" w:ascii="宋体" w:hAnsi="宋体" w:cs="Times New Roman"/>
          <w:b/>
          <w:bCs/>
          <w:color w:val="auto"/>
          <w:kern w:val="0"/>
          <w:sz w:val="24"/>
          <w:szCs w:val="24"/>
          <w:highlight w:val="none"/>
          <w:lang w:eastAsia="zh-CN"/>
        </w:rPr>
        <w:t>谈判</w:t>
      </w:r>
      <w:r>
        <w:rPr>
          <w:rFonts w:hint="eastAsia" w:ascii="宋体" w:hAnsi="宋体" w:cs="Times New Roman"/>
          <w:b/>
          <w:bCs/>
          <w:color w:val="auto"/>
          <w:kern w:val="0"/>
          <w:sz w:val="24"/>
          <w:szCs w:val="24"/>
          <w:highlight w:val="none"/>
        </w:rPr>
        <w:t>处理：</w:t>
      </w:r>
    </w:p>
    <w:p>
      <w:pPr>
        <w:shd w:val="clear"/>
        <w:spacing w:line="360" w:lineRule="auto"/>
        <w:ind w:firstLine="720" w:firstLineChars="300"/>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（1）供应商没有经过正常渠道购买</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文件或供应商的名称与登记领取</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w:t>
      </w:r>
      <w:r>
        <w:rPr>
          <w:rFonts w:hint="eastAsia" w:ascii="宋体" w:cs="Times New Roman"/>
          <w:color w:val="auto"/>
          <w:kern w:val="0"/>
          <w:sz w:val="24"/>
          <w:szCs w:val="20"/>
          <w:highlight w:val="none"/>
          <w:lang w:val="en-US" w:eastAsia="zh-CN"/>
        </w:rPr>
        <w:t>件</w:t>
      </w:r>
      <w:r>
        <w:rPr>
          <w:rFonts w:hint="eastAsia" w:ascii="宋体" w:hAnsi="Times New Roman" w:cs="Times New Roman"/>
          <w:color w:val="auto"/>
          <w:kern w:val="0"/>
          <w:sz w:val="24"/>
          <w:szCs w:val="20"/>
          <w:highlight w:val="none"/>
        </w:rPr>
        <w:t>单位的名称不符</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（2）供应商的任何一轮报价超出采购预算的</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（3）本项目实行多次报价。第一次报价后，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小组可以变更采购需求，最后报价为最终报价。如采购需求没有实质性变化，各供应商的报价应逐次降低，本次报价超过上次报价的，为无效报价</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（4）响应文件中未提交法定代表人授权书（法定代表人直接参加</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未按要求提交其有效身份证）或授权书的合法性或有效性不符合竞争性</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文件规定。法定代表人授权委托书的有效期短于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响应文件有效期</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（5）供应商资格证明文件的有效性或符合性不符合要求的</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（6）响应文件没有按</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文件要求进行签字、盖章，无响应文件有效期或有效期达不到</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文件的要求</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（7）响应文件对</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w:t>
      </w:r>
      <w:r>
        <w:rPr>
          <w:rFonts w:hint="eastAsia" w:ascii="宋体" w:hAnsi="Times New Roman" w:cs="Times New Roman"/>
          <w:color w:val="auto"/>
          <w:kern w:val="0"/>
          <w:sz w:val="24"/>
          <w:szCs w:val="20"/>
          <w:highlight w:val="none"/>
          <w:lang w:val="en-US" w:eastAsia="zh-CN"/>
        </w:rPr>
        <w:t>服务期</w:t>
      </w:r>
      <w:r>
        <w:rPr>
          <w:rFonts w:hint="eastAsia" w:ascii="宋体" w:hAnsi="Times New Roman" w:cs="Times New Roman"/>
          <w:color w:val="auto"/>
          <w:kern w:val="0"/>
          <w:sz w:val="24"/>
          <w:szCs w:val="20"/>
          <w:highlight w:val="none"/>
        </w:rPr>
        <w:t>、付款方式）不一致，或附加了采购人难以接受的条件</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（8）</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内容出现漏项或数量与要求不符，出现负偏差。</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（9）</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响应文件对于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文件规定的实质性响应内容未进行实质性响应，或其参数不符合</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（10）供应商未按</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文件要求缴纳保证金的；</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（11）供应商的报价明显低于其他通过符合性审查供应商的报价，有可能影响产品、服务质量或者不能诚信履约的，且供应商不能证明其报价合理性的</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（12）</w:t>
      </w:r>
      <w:bookmarkStart w:id="499" w:name="_GoBack"/>
      <w:r>
        <w:rPr>
          <w:rFonts w:hint="eastAsia" w:ascii="宋体" w:hAnsi="Times New Roman" w:cs="Times New Roman"/>
          <w:color w:val="auto"/>
          <w:kern w:val="0"/>
          <w:sz w:val="24"/>
          <w:szCs w:val="20"/>
          <w:highlight w:val="none"/>
        </w:rPr>
        <w:t>逾期提交电子响应文件或纸质响应文件的；</w:t>
      </w:r>
    </w:p>
    <w:bookmarkEnd w:id="499"/>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13）供应商拒绝对电子响应文件进行解密或因供应商自身原因（如未带CA锁、或所带CA锁与制作电子响应文件使用的CA锁不一致、或CA锁过期或沿用旧版响应文件编制工具编制响应文件等情形），导致在规定时间内无法解密响应文件；</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（14）上传的电子响应文件无法打开；</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（15）提供虚假证明，开具虚假资质，出现虚假应答或故意隐瞒行为</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（16）提交的响应文件与本项目不相符；</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（17）在规定时间内无法解密响应文件；</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响应文件的详细评审</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小组将按照本须知第22.6.4条规定，只对确定为实质性响应竞争性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响应文件进行详细评审。</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22.7.2详细评审按照“供应商须知前附表”的评审方法进行。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22.8成交候选人的确定</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小组完成评审后，向采购人提出书面评审，并推荐1-3名成交候选人，标明排列顺序。</w:t>
      </w:r>
    </w:p>
    <w:p>
      <w:pPr>
        <w:pStyle w:val="8"/>
        <w:bidi w:val="0"/>
        <w:rPr>
          <w:highlight w:val="none"/>
        </w:rPr>
      </w:pPr>
      <w:bookmarkStart w:id="132" w:name="_Toc28833"/>
      <w:r>
        <w:rPr>
          <w:highlight w:val="none"/>
        </w:rPr>
        <w:t>23．</w:t>
      </w:r>
      <w:r>
        <w:rPr>
          <w:rFonts w:hint="eastAsia"/>
          <w:highlight w:val="none"/>
        </w:rPr>
        <w:t>评审</w:t>
      </w:r>
      <w:r>
        <w:rPr>
          <w:highlight w:val="none"/>
        </w:rPr>
        <w:t>过程的保密</w:t>
      </w:r>
      <w:bookmarkEnd w:id="132"/>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小组成员和与评审活动有关的工作人员不得泄露有关竞争性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响应文件的评审和比较、成交候选人的推荐以及与评审有关的其他情况。</w:t>
      </w:r>
    </w:p>
    <w:p>
      <w:pPr>
        <w:pStyle w:val="8"/>
        <w:bidi w:val="0"/>
        <w:rPr>
          <w:highlight w:val="none"/>
        </w:rPr>
      </w:pPr>
      <w:bookmarkStart w:id="133" w:name="_Toc32666"/>
      <w:r>
        <w:rPr>
          <w:highlight w:val="none"/>
        </w:rPr>
        <w:t>24．</w:t>
      </w:r>
      <w:r>
        <w:rPr>
          <w:rFonts w:hint="eastAsia"/>
          <w:highlight w:val="none"/>
        </w:rPr>
        <w:t>评审</w:t>
      </w:r>
      <w:r>
        <w:rPr>
          <w:highlight w:val="none"/>
        </w:rPr>
        <w:t>方法</w:t>
      </w:r>
      <w:bookmarkEnd w:id="133"/>
    </w:p>
    <w:p>
      <w:pPr>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24.1</w:t>
      </w:r>
      <w:r>
        <w:rPr>
          <w:rFonts w:hint="eastAsia" w:ascii="宋体" w:hAnsi="宋体" w:eastAsia="宋体" w:cs="宋体"/>
          <w:color w:val="auto"/>
          <w:kern w:val="0"/>
          <w:sz w:val="24"/>
          <w:szCs w:val="24"/>
          <w:highlight w:val="none"/>
        </w:rPr>
        <w:t>按照中华人民共和国财政部令第74号--《政府采购非招标采购方式管理办法》的规定，本次评审采用最低评标价法评审。最低评标价法，即在全部满足竞争性谈判文件实质性要求前提下，依据统一的价格要素评定最低报价，以提出最低报价的</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作为成交候选</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并依次排序。</w:t>
      </w:r>
    </w:p>
    <w:p>
      <w:pPr>
        <w:pStyle w:val="8"/>
        <w:bidi w:val="0"/>
        <w:rPr>
          <w:highlight w:val="none"/>
        </w:rPr>
      </w:pPr>
      <w:bookmarkStart w:id="134" w:name="_Toc18428"/>
      <w:r>
        <w:rPr>
          <w:highlight w:val="none"/>
        </w:rPr>
        <w:t>25．</w:t>
      </w:r>
      <w:r>
        <w:rPr>
          <w:rFonts w:hint="eastAsia"/>
          <w:highlight w:val="none"/>
        </w:rPr>
        <w:t>评审</w:t>
      </w:r>
      <w:r>
        <w:rPr>
          <w:highlight w:val="none"/>
        </w:rPr>
        <w:t>程序</w:t>
      </w:r>
      <w:bookmarkEnd w:id="134"/>
    </w:p>
    <w:p>
      <w:pPr>
        <w:spacing w:line="360" w:lineRule="auto"/>
        <w:ind w:firstLine="480" w:firstLineChars="200"/>
        <w:rPr>
          <w:rFonts w:hint="eastAsia" w:ascii="宋体" w:hAnsi="宋体" w:eastAsia="宋体" w:cs="宋体"/>
          <w:color w:val="auto"/>
          <w:kern w:val="0"/>
          <w:sz w:val="24"/>
          <w:szCs w:val="24"/>
          <w:highlight w:val="none"/>
        </w:rPr>
      </w:pPr>
      <w:bookmarkStart w:id="135" w:name="_Toc21345"/>
      <w:bookmarkStart w:id="136" w:name="_Toc8408"/>
      <w:bookmarkStart w:id="137" w:name="_Toc19712"/>
      <w:bookmarkStart w:id="138" w:name="_Toc9391"/>
      <w:bookmarkStart w:id="139" w:name="_Toc16935"/>
      <w:bookmarkStart w:id="140" w:name="_Toc12015"/>
      <w:bookmarkStart w:id="141" w:name="_Toc21282"/>
      <w:bookmarkStart w:id="142" w:name="_Toc12068"/>
      <w:bookmarkStart w:id="143" w:name="_Toc3069"/>
      <w:r>
        <w:rPr>
          <w:rFonts w:hint="eastAsia" w:ascii="宋体" w:hAnsi="宋体" w:eastAsia="宋体" w:cs="宋体"/>
          <w:color w:val="auto"/>
          <w:kern w:val="0"/>
          <w:sz w:val="24"/>
          <w:szCs w:val="24"/>
          <w:highlight w:val="none"/>
        </w:rPr>
        <w:t>按照竞争性谈判响应文件初审、澄清有关问题、比较与评价、推荐成交候选</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名单的工作程序进行评审。在上一步评审中被废标者，不进入下一步的评审。</w:t>
      </w:r>
    </w:p>
    <w:p>
      <w:pPr>
        <w:pStyle w:val="6"/>
        <w:bidi w:val="0"/>
        <w:jc w:val="center"/>
        <w:rPr>
          <w:highlight w:val="none"/>
        </w:rPr>
      </w:pPr>
      <w:bookmarkStart w:id="144" w:name="_Toc27962"/>
      <w:bookmarkStart w:id="145" w:name="_Toc2081"/>
      <w:bookmarkStart w:id="146" w:name="_Toc1666"/>
      <w:r>
        <w:rPr>
          <w:highlight w:val="none"/>
        </w:rPr>
        <w:t>六.</w:t>
      </w:r>
      <w:r>
        <w:rPr>
          <w:rFonts w:hint="eastAsia"/>
          <w:highlight w:val="none"/>
        </w:rPr>
        <w:t>成交</w:t>
      </w:r>
      <w:r>
        <w:rPr>
          <w:highlight w:val="none"/>
        </w:rPr>
        <w:t>、通知与签约</w:t>
      </w:r>
      <w:bookmarkEnd w:id="135"/>
      <w:bookmarkEnd w:id="136"/>
      <w:bookmarkEnd w:id="137"/>
      <w:bookmarkEnd w:id="138"/>
      <w:bookmarkEnd w:id="139"/>
      <w:bookmarkEnd w:id="140"/>
      <w:bookmarkEnd w:id="141"/>
      <w:bookmarkEnd w:id="142"/>
      <w:bookmarkEnd w:id="143"/>
      <w:bookmarkEnd w:id="144"/>
      <w:bookmarkEnd w:id="145"/>
      <w:bookmarkEnd w:id="146"/>
    </w:p>
    <w:p>
      <w:pPr>
        <w:pStyle w:val="8"/>
        <w:bidi w:val="0"/>
        <w:rPr>
          <w:highlight w:val="none"/>
        </w:rPr>
      </w:pPr>
      <w:bookmarkStart w:id="147" w:name="_Toc20547"/>
      <w:r>
        <w:rPr>
          <w:highlight w:val="none"/>
        </w:rPr>
        <w:t>26．</w:t>
      </w:r>
      <w:r>
        <w:rPr>
          <w:rFonts w:hint="eastAsia"/>
          <w:highlight w:val="none"/>
        </w:rPr>
        <w:t>成交</w:t>
      </w:r>
      <w:r>
        <w:rPr>
          <w:highlight w:val="none"/>
        </w:rPr>
        <w:t>程序</w:t>
      </w:r>
      <w:bookmarkEnd w:id="147"/>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.1谈判小组根据评审方法的规定对</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进行评审排序，推荐1～3名成交候选人，作为评审结果。评审结果由全体评委签字确认。</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.2采购人根据谈判报告中推荐的成交候选人排列顺序，确定排名第一的为成交人。</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3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.4采购人也可以授权谈判小组评审后直接确定成交人。</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.5成交人确定之后，成交结果将在财政部门指定的政府采购信息发布媒体上公告</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bidi="ar"/>
        </w:rPr>
        <w:t>在公告</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结果的同时，采购人或者采购代理机构应当向</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人发出</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通知书；对未通过资格</w:t>
      </w:r>
      <w:r>
        <w:rPr>
          <w:rFonts w:hint="eastAsia" w:ascii="宋体" w:hAnsi="宋体" w:eastAsia="宋体" w:cs="宋体"/>
          <w:color w:val="auto"/>
          <w:kern w:val="0"/>
          <w:sz w:val="24"/>
          <w:szCs w:val="24"/>
          <w:highlight w:val="none"/>
          <w:lang w:eastAsia="zh-CN" w:bidi="ar"/>
        </w:rPr>
        <w:t>性</w:t>
      </w:r>
      <w:r>
        <w:rPr>
          <w:rFonts w:hint="eastAsia" w:ascii="宋体" w:hAnsi="宋体" w:eastAsia="宋体" w:cs="宋体"/>
          <w:color w:val="auto"/>
          <w:kern w:val="0"/>
          <w:sz w:val="24"/>
          <w:szCs w:val="24"/>
          <w:highlight w:val="none"/>
          <w:lang w:bidi="ar"/>
        </w:rPr>
        <w:t>审查</w:t>
      </w:r>
      <w:r>
        <w:rPr>
          <w:rFonts w:hint="eastAsia" w:ascii="宋体" w:hAnsi="宋体" w:eastAsia="宋体" w:cs="宋体"/>
          <w:color w:val="auto"/>
          <w:kern w:val="0"/>
          <w:sz w:val="24"/>
          <w:szCs w:val="24"/>
          <w:highlight w:val="none"/>
          <w:lang w:eastAsia="zh-CN" w:bidi="ar"/>
        </w:rPr>
        <w:t>及符合性审查</w:t>
      </w:r>
      <w:r>
        <w:rPr>
          <w:rFonts w:hint="eastAsia" w:ascii="宋体" w:hAnsi="宋体" w:eastAsia="宋体" w:cs="宋体"/>
          <w:color w:val="auto"/>
          <w:kern w:val="0"/>
          <w:sz w:val="24"/>
          <w:szCs w:val="24"/>
          <w:highlight w:val="none"/>
          <w:lang w:bidi="ar"/>
        </w:rPr>
        <w:t>的</w:t>
      </w:r>
      <w:r>
        <w:rPr>
          <w:rFonts w:hint="eastAsia" w:ascii="宋体" w:hAnsi="宋体" w:cs="宋体"/>
          <w:color w:val="auto"/>
          <w:kern w:val="0"/>
          <w:sz w:val="24"/>
          <w:szCs w:val="24"/>
          <w:highlight w:val="none"/>
          <w:lang w:eastAsia="zh-CN" w:bidi="ar"/>
        </w:rPr>
        <w:t>供应商</w:t>
      </w:r>
      <w:r>
        <w:rPr>
          <w:rFonts w:hint="eastAsia" w:ascii="宋体" w:hAnsi="宋体" w:eastAsia="宋体" w:cs="宋体"/>
          <w:color w:val="auto"/>
          <w:kern w:val="0"/>
          <w:sz w:val="24"/>
          <w:szCs w:val="24"/>
          <w:highlight w:val="none"/>
          <w:lang w:bidi="ar"/>
        </w:rPr>
        <w:t>，应当告知其未通过的原因；</w:t>
      </w:r>
      <w:r>
        <w:rPr>
          <w:rFonts w:hint="eastAsia" w:ascii="宋体" w:hAnsi="宋体" w:eastAsia="宋体" w:cs="宋体"/>
          <w:color w:val="auto"/>
          <w:kern w:val="0"/>
          <w:sz w:val="24"/>
          <w:szCs w:val="24"/>
          <w:highlight w:val="none"/>
          <w:lang w:eastAsia="zh-CN" w:bidi="ar"/>
        </w:rPr>
        <w:t>对通过</w:t>
      </w:r>
      <w:r>
        <w:rPr>
          <w:rFonts w:hint="eastAsia" w:ascii="宋体" w:hAnsi="宋体" w:eastAsia="宋体" w:cs="宋体"/>
          <w:color w:val="auto"/>
          <w:kern w:val="0"/>
          <w:sz w:val="24"/>
          <w:szCs w:val="24"/>
          <w:highlight w:val="none"/>
          <w:lang w:bidi="ar"/>
        </w:rPr>
        <w:t>资格</w:t>
      </w:r>
      <w:r>
        <w:rPr>
          <w:rFonts w:hint="eastAsia" w:ascii="宋体" w:hAnsi="宋体" w:eastAsia="宋体" w:cs="宋体"/>
          <w:color w:val="auto"/>
          <w:kern w:val="0"/>
          <w:sz w:val="24"/>
          <w:szCs w:val="24"/>
          <w:highlight w:val="none"/>
          <w:lang w:eastAsia="zh-CN" w:bidi="ar"/>
        </w:rPr>
        <w:t>性</w:t>
      </w:r>
      <w:r>
        <w:rPr>
          <w:rFonts w:hint="eastAsia" w:ascii="宋体" w:hAnsi="宋体" w:eastAsia="宋体" w:cs="宋体"/>
          <w:color w:val="auto"/>
          <w:kern w:val="0"/>
          <w:sz w:val="24"/>
          <w:szCs w:val="24"/>
          <w:highlight w:val="none"/>
          <w:lang w:bidi="ar"/>
        </w:rPr>
        <w:t>审查</w:t>
      </w:r>
      <w:r>
        <w:rPr>
          <w:rFonts w:hint="eastAsia" w:ascii="宋体" w:hAnsi="宋体" w:eastAsia="宋体" w:cs="宋体"/>
          <w:color w:val="auto"/>
          <w:kern w:val="0"/>
          <w:sz w:val="24"/>
          <w:szCs w:val="24"/>
          <w:highlight w:val="none"/>
          <w:lang w:eastAsia="zh-CN" w:bidi="ar"/>
        </w:rPr>
        <w:t>及符合性审查</w:t>
      </w:r>
      <w:r>
        <w:rPr>
          <w:rFonts w:hint="eastAsia" w:ascii="宋体" w:hAnsi="宋体" w:eastAsia="宋体" w:cs="宋体"/>
          <w:color w:val="auto"/>
          <w:kern w:val="0"/>
          <w:sz w:val="24"/>
          <w:szCs w:val="24"/>
          <w:highlight w:val="none"/>
          <w:lang w:bidi="ar"/>
        </w:rPr>
        <w:t>的</w:t>
      </w:r>
      <w:r>
        <w:rPr>
          <w:rFonts w:hint="eastAsia" w:ascii="宋体" w:hAnsi="宋体" w:eastAsia="宋体" w:cs="宋体"/>
          <w:color w:val="auto"/>
          <w:kern w:val="0"/>
          <w:sz w:val="24"/>
          <w:szCs w:val="24"/>
          <w:highlight w:val="none"/>
          <w:lang w:eastAsia="zh-CN" w:bidi="ar"/>
        </w:rPr>
        <w:t>且进行二次</w:t>
      </w:r>
      <w:r>
        <w:rPr>
          <w:rFonts w:hint="eastAsia" w:ascii="宋体" w:hAnsi="宋体" w:eastAsia="宋体" w:cs="宋体"/>
          <w:color w:val="auto"/>
          <w:kern w:val="0"/>
          <w:sz w:val="24"/>
          <w:szCs w:val="24"/>
          <w:highlight w:val="none"/>
          <w:lang w:val="en-US" w:eastAsia="zh-CN" w:bidi="ar"/>
        </w:rPr>
        <w:t>/多次</w:t>
      </w:r>
      <w:r>
        <w:rPr>
          <w:rFonts w:hint="eastAsia" w:ascii="宋体" w:hAnsi="宋体" w:eastAsia="宋体" w:cs="宋体"/>
          <w:color w:val="auto"/>
          <w:kern w:val="0"/>
          <w:sz w:val="24"/>
          <w:szCs w:val="24"/>
          <w:highlight w:val="none"/>
          <w:lang w:eastAsia="zh-CN" w:bidi="ar"/>
        </w:rPr>
        <w:t>报价的</w:t>
      </w:r>
      <w:r>
        <w:rPr>
          <w:rFonts w:hint="eastAsia" w:ascii="宋体" w:hAnsi="宋体" w:cs="宋体"/>
          <w:color w:val="auto"/>
          <w:kern w:val="0"/>
          <w:sz w:val="24"/>
          <w:szCs w:val="24"/>
          <w:highlight w:val="none"/>
          <w:lang w:eastAsia="zh-CN" w:bidi="ar"/>
        </w:rPr>
        <w:t>供应商</w:t>
      </w:r>
      <w:r>
        <w:rPr>
          <w:rFonts w:hint="eastAsia" w:ascii="宋体" w:hAnsi="宋体" w:eastAsia="宋体" w:cs="宋体"/>
          <w:color w:val="auto"/>
          <w:kern w:val="0"/>
          <w:sz w:val="24"/>
          <w:szCs w:val="24"/>
          <w:highlight w:val="none"/>
          <w:lang w:eastAsia="zh-CN" w:bidi="ar"/>
        </w:rPr>
        <w:t>，还应当</w:t>
      </w:r>
      <w:r>
        <w:rPr>
          <w:rFonts w:hint="eastAsia" w:ascii="宋体" w:hAnsi="宋体" w:eastAsia="宋体" w:cs="宋体"/>
          <w:color w:val="auto"/>
          <w:kern w:val="0"/>
          <w:sz w:val="24"/>
          <w:szCs w:val="24"/>
          <w:highlight w:val="none"/>
          <w:lang w:bidi="ar"/>
        </w:rPr>
        <w:t>告知未</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人</w:t>
      </w:r>
      <w:r>
        <w:rPr>
          <w:rFonts w:hint="eastAsia" w:ascii="宋体" w:hAnsi="宋体" w:eastAsia="宋体" w:cs="宋体"/>
          <w:color w:val="auto"/>
          <w:kern w:val="0"/>
          <w:sz w:val="24"/>
          <w:szCs w:val="24"/>
          <w:highlight w:val="none"/>
          <w:lang w:eastAsia="zh-CN" w:bidi="ar"/>
        </w:rPr>
        <w:t>本人的</w:t>
      </w:r>
      <w:r>
        <w:rPr>
          <w:rFonts w:hint="eastAsia" w:ascii="宋体" w:hAnsi="宋体" w:eastAsia="宋体" w:cs="宋体"/>
          <w:color w:val="auto"/>
          <w:kern w:val="0"/>
          <w:sz w:val="24"/>
          <w:szCs w:val="24"/>
          <w:highlight w:val="none"/>
          <w:lang w:bidi="ar"/>
        </w:rPr>
        <w:t>排序。</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.6</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或者其他利害关系人对评审结果有异议的，应当在公示期间提出。</w:t>
      </w:r>
    </w:p>
    <w:p>
      <w:pPr>
        <w:pStyle w:val="8"/>
        <w:bidi w:val="0"/>
        <w:rPr>
          <w:highlight w:val="none"/>
        </w:rPr>
      </w:pPr>
      <w:bookmarkStart w:id="148" w:name="_Toc8412"/>
      <w:r>
        <w:rPr>
          <w:highlight w:val="none"/>
        </w:rPr>
        <w:t>27．</w:t>
      </w:r>
      <w:r>
        <w:rPr>
          <w:rFonts w:hint="eastAsia"/>
          <w:highlight w:val="none"/>
        </w:rPr>
        <w:t>成交</w:t>
      </w:r>
      <w:r>
        <w:rPr>
          <w:highlight w:val="none"/>
        </w:rPr>
        <w:t>通知</w:t>
      </w:r>
      <w:bookmarkEnd w:id="148"/>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.1 采购代理机构向成交人发出《成交通知书》。</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.2成交通知书对采购人和成交人具有同等法律效力。成交通知书发出之后，采购人改变成交结果，或者成交人放弃成交，应当承担相应的法律责任。</w:t>
      </w:r>
    </w:p>
    <w:p>
      <w:pPr>
        <w:pStyle w:val="8"/>
        <w:bidi w:val="0"/>
        <w:rPr>
          <w:highlight w:val="none"/>
        </w:rPr>
      </w:pPr>
      <w:bookmarkStart w:id="149" w:name="_Toc11272"/>
      <w:r>
        <w:rPr>
          <w:highlight w:val="none"/>
        </w:rPr>
        <w:t xml:space="preserve">28. </w:t>
      </w:r>
      <w:r>
        <w:rPr>
          <w:rFonts w:hint="eastAsia"/>
          <w:highlight w:val="none"/>
        </w:rPr>
        <w:t>成交</w:t>
      </w:r>
      <w:r>
        <w:rPr>
          <w:highlight w:val="none"/>
        </w:rPr>
        <w:t>合同的签订</w:t>
      </w:r>
      <w:bookmarkEnd w:id="149"/>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28.1采购人应当自成交通知书发出之日起</w:t>
      </w:r>
      <w:r>
        <w:rPr>
          <w:rFonts w:hint="eastAsia" w:ascii="宋体" w:hAnsi="宋体" w:cs="Times New Roman"/>
          <w:color w:val="auto"/>
          <w:kern w:val="0"/>
          <w:sz w:val="24"/>
          <w:szCs w:val="24"/>
          <w:highlight w:val="none"/>
          <w:lang w:val="en-US" w:eastAsia="zh-CN"/>
        </w:rPr>
        <w:t>十</w:t>
      </w:r>
      <w:r>
        <w:rPr>
          <w:rFonts w:hint="eastAsia" w:ascii="宋体" w:hAnsi="宋体" w:cs="Times New Roman"/>
          <w:color w:val="auto"/>
          <w:kern w:val="0"/>
          <w:sz w:val="24"/>
          <w:szCs w:val="24"/>
          <w:highlight w:val="none"/>
        </w:rPr>
        <w:t>日内，按照竞争性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响应文件（包括评审中形成的澄清文件）的约定，与成交供应商签订书面合同。所签订的合同不得对竞争性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响应文件（包括评审中形成的澄清文件）作实质性修改。</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28.2采购人自采购合同签订之日起七个工作日内，将采购合同副本报同级人民政府财政部门备案。</w:t>
      </w:r>
    </w:p>
    <w:p>
      <w:pPr>
        <w:pStyle w:val="8"/>
        <w:bidi w:val="0"/>
        <w:rPr>
          <w:rFonts w:hint="eastAsia"/>
          <w:highlight w:val="none"/>
        </w:rPr>
      </w:pPr>
      <w:bookmarkStart w:id="150" w:name="_Toc27595"/>
      <w:r>
        <w:rPr>
          <w:rFonts w:hint="eastAsia"/>
          <w:highlight w:val="none"/>
        </w:rPr>
        <w:t>29.成交</w:t>
      </w:r>
      <w:r>
        <w:rPr>
          <w:highlight w:val="none"/>
        </w:rPr>
        <w:t>代理服务费</w:t>
      </w:r>
      <w:bookmarkEnd w:id="150"/>
      <w:r>
        <w:rPr>
          <w:rFonts w:hint="eastAsia"/>
          <w:highlight w:val="none"/>
        </w:rPr>
        <w:t xml:space="preserve"> </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29.1按国家计委颁发的《招标代理服务收费管理暂行办法》（计价格[2002]1980号）和国家发展改革委员会办公厅颁发的《关于招标代理服务收费有关问题的通知》（发改办价格[2003]857号）的有关规定执行。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29.2成交单位在领取成交通知书前，须向采购代理机构一次性支付招标代理服务费。</w:t>
      </w:r>
    </w:p>
    <w:p>
      <w:pPr>
        <w:pStyle w:val="8"/>
        <w:bidi w:val="0"/>
        <w:rPr>
          <w:rFonts w:hint="eastAsia"/>
          <w:highlight w:val="none"/>
        </w:rPr>
      </w:pPr>
      <w:bookmarkStart w:id="151" w:name="_Toc16413"/>
      <w:r>
        <w:rPr>
          <w:rFonts w:hint="eastAsia"/>
          <w:highlight w:val="none"/>
        </w:rPr>
        <w:t>30.供应商提出质疑应符合中华人民共和国财政部令第94号《政府采购质疑和投诉办法》的规定</w:t>
      </w:r>
      <w:bookmarkEnd w:id="15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1、提出质疑的供应商应当是参与所质疑项目采购活动的供应商。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3、供应商提出质疑应当提交质疑函和必要的证明材料。质疑函应当包括：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3.1供应商的姓名或者名称、地址、邮编、联系人及联系电话；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3.2质疑项目的名称、编号；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3.3具体、明确的质疑事项和与质疑事项相关的请求；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3.4事实依据；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3.5必要的法律依据；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3.6提出质疑的日期。</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质疑函应采用财政部颁布的《政府采购供应商质疑函范本》。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5、质疑答复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采购人、采购代理机构在收到质疑函后七个工作日内做出答复。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7、投诉人在全国范围12个月内三次以上投诉查无实据的，由财政部门列入不良行为记录名单。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8、投诉人有下列行为之一的，属于虚假、恶意投诉，由财政部门列入不良行为记录名单，禁止其1至3年内参加政府采购活动：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（一）捏造事实;</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（二）提供虚假材料;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（三）以非法手段取得证明材料。证据来源的合法性存在明显疑问，投诉人无法证明其取得方式合法的，视为以非法手段取得证明材料。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9、质疑人须在质疑书和相关证明材料每一页上加盖公章原件送至质疑函递交地址，扫描发送至</w:t>
      </w:r>
      <w:r>
        <w:rPr>
          <w:rFonts w:hint="eastAsia" w:ascii="宋体" w:hAnsi="宋体" w:cs="宋体"/>
          <w:sz w:val="24"/>
          <w:szCs w:val="24"/>
          <w:highlight w:val="none"/>
          <w:lang w:eastAsia="zh-CN"/>
        </w:rPr>
        <w:t>87471569@qq.com</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质疑提出时间：质疑需在有效期内提出，逾期不予受理。</w:t>
      </w:r>
    </w:p>
    <w:p>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rPr>
        <w:t>质疑递交地址：榆林市榆阳区肤施路南段环馨路5号金轩楼2楼201室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lang w:val="en-US" w:eastAsia="zh-CN"/>
        </w:rPr>
        <w:t>任</w:t>
      </w:r>
      <w:r>
        <w:rPr>
          <w:rFonts w:hint="eastAsia" w:ascii="宋体" w:hAnsi="宋体" w:cs="宋体"/>
          <w:sz w:val="24"/>
          <w:szCs w:val="24"/>
          <w:highlight w:val="none"/>
        </w:rPr>
        <w:t>工    联系电话：18992274597</w:t>
      </w:r>
    </w:p>
    <w:p>
      <w:pPr>
        <w:spacing w:line="360" w:lineRule="auto"/>
        <w:ind w:firstLine="480" w:firstLineChars="200"/>
        <w:rPr>
          <w:rFonts w:hint="default" w:ascii="宋体" w:hAnsi="宋体" w:eastAsia="宋体" w:cs="宋体"/>
          <w:b/>
          <w:bCs/>
          <w:color w:val="auto"/>
          <w:kern w:val="0"/>
          <w:sz w:val="24"/>
          <w:szCs w:val="24"/>
          <w:highlight w:val="none"/>
          <w:lang w:val="en-US" w:eastAsia="zh-CN"/>
        </w:rPr>
      </w:pPr>
      <w:r>
        <w:rPr>
          <w:rFonts w:hint="eastAsia" w:ascii="宋体" w:hAnsi="宋体" w:cs="宋体"/>
          <w:sz w:val="24"/>
          <w:szCs w:val="24"/>
          <w:highlight w:val="none"/>
        </w:rPr>
        <w:t>供应商和其他利害关系人认为本次谈判活动违反法律、法规和规章规定的，有权向项目所在地财政局提出投诉，质疑是投诉的前置条件。</w:t>
      </w:r>
    </w:p>
    <w:p>
      <w:pPr>
        <w:pageBreakBefore w:val="0"/>
        <w:kinsoku/>
        <w:wordWrap/>
        <w:overflowPunct/>
        <w:topLinePunct w:val="0"/>
        <w:autoSpaceDE/>
        <w:autoSpaceDN/>
        <w:bidi w:val="0"/>
        <w:spacing w:line="360" w:lineRule="auto"/>
        <w:textAlignment w:val="auto"/>
        <w:rPr>
          <w:rFonts w:hint="eastAsia" w:ascii="宋体" w:hAnsi="宋体" w:cs="Times New Roman"/>
          <w:b/>
          <w:color w:val="auto"/>
          <w:kern w:val="0"/>
          <w:sz w:val="24"/>
          <w:szCs w:val="24"/>
          <w:highlight w:val="none"/>
        </w:rPr>
      </w:pPr>
      <w:r>
        <w:rPr>
          <w:rFonts w:hint="eastAsia" w:ascii="宋体" w:hAnsi="宋体" w:cs="Times New Roman"/>
          <w:b/>
          <w:color w:val="auto"/>
          <w:kern w:val="0"/>
          <w:sz w:val="24"/>
          <w:szCs w:val="24"/>
          <w:highlight w:val="none"/>
        </w:rPr>
        <w:t>31</w:t>
      </w:r>
      <w:r>
        <w:rPr>
          <w:rFonts w:ascii="宋体" w:hAnsi="宋体" w:cs="Times New Roman"/>
          <w:b/>
          <w:color w:val="auto"/>
          <w:kern w:val="0"/>
          <w:sz w:val="24"/>
          <w:szCs w:val="24"/>
          <w:highlight w:val="none"/>
        </w:rPr>
        <w:t>.其他</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步骤为：第一次报价---初步评审---分别</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---第二次报价</w:t>
      </w:r>
      <w:r>
        <w:rPr>
          <w:rFonts w:hint="eastAsia" w:ascii="宋体" w:hAnsi="宋体" w:cs="Times New Roman"/>
          <w:color w:val="auto"/>
          <w:kern w:val="0"/>
          <w:sz w:val="24"/>
          <w:szCs w:val="24"/>
          <w:highlight w:val="none"/>
          <w:lang w:val="en-US" w:eastAsia="zh-CN"/>
        </w:rPr>
        <w:t>/多伦报价</w:t>
      </w:r>
      <w:r>
        <w:rPr>
          <w:rFonts w:hint="eastAsia" w:ascii="宋体" w:hAnsi="宋体" w:cs="Times New Roman"/>
          <w:color w:val="auto"/>
          <w:kern w:val="0"/>
          <w:sz w:val="24"/>
          <w:szCs w:val="24"/>
          <w:highlight w:val="none"/>
        </w:rPr>
        <w:t>---评审推荐成交候选人。</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31.2当第二次报价全部超过</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文件规定的采购预算（或最高限价）或均低于公认的制作成本时，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小组有权决定是否</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失败或进行第三次报价。当第三次报价若超出财政预算，且采购人又无力支付，</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小组有权决定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失败。</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31.3</w:t>
      </w:r>
      <w:r>
        <w:rPr>
          <w:rFonts w:hint="eastAsia" w:ascii="宋体" w:hAnsi="宋体" w:cs="宋体"/>
          <w:color w:val="auto"/>
          <w:spacing w:val="5"/>
          <w:kern w:val="0"/>
          <w:sz w:val="24"/>
          <w:szCs w:val="24"/>
          <w:highlight w:val="none"/>
        </w:rPr>
        <w:t>经过公开发布谈判信息后，有效谈判</w:t>
      </w:r>
      <w:r>
        <w:rPr>
          <w:rFonts w:hint="eastAsia" w:ascii="宋体" w:hAnsi="宋体" w:cs="宋体"/>
          <w:color w:val="auto"/>
          <w:spacing w:val="5"/>
          <w:kern w:val="0"/>
          <w:sz w:val="24"/>
          <w:szCs w:val="24"/>
          <w:highlight w:val="none"/>
          <w:lang w:eastAsia="zh-CN"/>
        </w:rPr>
        <w:t>供应商</w:t>
      </w:r>
      <w:r>
        <w:rPr>
          <w:rFonts w:hint="eastAsia" w:ascii="宋体" w:hAnsi="宋体" w:cs="宋体"/>
          <w:color w:val="auto"/>
          <w:spacing w:val="5"/>
          <w:kern w:val="0"/>
          <w:sz w:val="24"/>
          <w:szCs w:val="24"/>
          <w:highlight w:val="none"/>
        </w:rPr>
        <w:t>不足三家时，</w:t>
      </w:r>
      <w:r>
        <w:rPr>
          <w:rFonts w:hint="eastAsia" w:ascii="宋体" w:hAnsi="宋体" w:cs="宋体"/>
          <w:color w:val="auto"/>
          <w:spacing w:val="5"/>
          <w:kern w:val="0"/>
          <w:sz w:val="24"/>
          <w:szCs w:val="24"/>
          <w:highlight w:val="none"/>
          <w:lang w:eastAsia="zh-CN"/>
        </w:rPr>
        <w:t>按相关法律执行</w:t>
      </w:r>
      <w:r>
        <w:rPr>
          <w:rFonts w:hint="eastAsia" w:ascii="宋体" w:hAnsi="宋体" w:cs="宋体"/>
          <w:color w:val="auto"/>
          <w:spacing w:val="5"/>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保证金额的，供应商还应当对超过部分予以赔偿，并依法承担相应法律责任。</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5"/>
        <w:spacing w:before="0" w:after="0" w:line="360" w:lineRule="auto"/>
        <w:jc w:val="center"/>
        <w:rPr>
          <w:rFonts w:hint="eastAsia" w:ascii="宋体" w:hAnsi="宋体" w:cs="宋体"/>
          <w:b w:val="0"/>
          <w:bCs/>
          <w:szCs w:val="32"/>
          <w:highlight w:val="none"/>
        </w:rPr>
      </w:pPr>
      <w:bookmarkStart w:id="152" w:name="_Toc8711"/>
      <w:r>
        <w:rPr>
          <w:rFonts w:hint="eastAsia" w:ascii="宋体" w:hAnsi="宋体" w:cs="宋体"/>
          <w:sz w:val="32"/>
          <w:szCs w:val="16"/>
          <w:highlight w:val="none"/>
        </w:rPr>
        <w:t>第四部分 合同条款（仅供参考）</w:t>
      </w:r>
      <w:bookmarkEnd w:id="58"/>
      <w:bookmarkEnd w:id="59"/>
      <w:bookmarkEnd w:id="60"/>
      <w:bookmarkEnd w:id="61"/>
      <w:bookmarkEnd w:id="152"/>
    </w:p>
    <w:p>
      <w:pPr>
        <w:jc w:val="center"/>
        <w:rPr>
          <w:rStyle w:val="79"/>
          <w:rFonts w:ascii="华文中宋" w:hAnsi="华文中宋" w:eastAsia="华文中宋"/>
          <w:b/>
          <w:sz w:val="48"/>
          <w:szCs w:val="48"/>
          <w:highlight w:val="none"/>
        </w:rPr>
      </w:pPr>
      <w:bookmarkStart w:id="153" w:name="_Toc24654"/>
      <w:bookmarkStart w:id="154" w:name="_Toc23255"/>
      <w:bookmarkStart w:id="155" w:name="_Toc31247"/>
      <w:bookmarkStart w:id="156" w:name="_Toc26683"/>
      <w:bookmarkStart w:id="157" w:name="_Toc27476"/>
      <w:bookmarkStart w:id="158" w:name="_Toc9052"/>
    </w:p>
    <w:p>
      <w:pPr>
        <w:jc w:val="center"/>
        <w:rPr>
          <w:rStyle w:val="79"/>
          <w:rFonts w:hint="eastAsia" w:ascii="宋体" w:hAnsi="宋体" w:eastAsia="宋体" w:cs="宋体"/>
          <w:b/>
          <w:sz w:val="48"/>
          <w:szCs w:val="48"/>
          <w:highlight w:val="none"/>
        </w:rPr>
      </w:pPr>
    </w:p>
    <w:p>
      <w:pPr>
        <w:jc w:val="center"/>
        <w:rPr>
          <w:rStyle w:val="79"/>
          <w:rFonts w:hint="eastAsia" w:ascii="宋体" w:hAnsi="宋体" w:eastAsia="宋体" w:cs="宋体"/>
          <w:b/>
          <w:sz w:val="48"/>
          <w:szCs w:val="48"/>
          <w:highlight w:val="none"/>
        </w:rPr>
      </w:pPr>
    </w:p>
    <w:p>
      <w:pPr>
        <w:jc w:val="center"/>
        <w:rPr>
          <w:rStyle w:val="79"/>
          <w:rFonts w:hint="eastAsia" w:ascii="宋体" w:hAnsi="宋体" w:eastAsia="宋体" w:cs="宋体"/>
          <w:sz w:val="48"/>
          <w:szCs w:val="48"/>
          <w:highlight w:val="none"/>
        </w:rPr>
      </w:pPr>
      <w:r>
        <w:rPr>
          <w:rStyle w:val="79"/>
          <w:rFonts w:hint="eastAsia" w:ascii="宋体" w:hAnsi="宋体" w:eastAsia="宋体" w:cs="宋体"/>
          <w:b/>
          <w:sz w:val="48"/>
          <w:szCs w:val="48"/>
          <w:highlight w:val="none"/>
        </w:rPr>
        <w:t>基本建设工程考古勘探</w:t>
      </w:r>
      <w:r>
        <w:rPr>
          <w:rStyle w:val="79"/>
          <w:rFonts w:hint="eastAsia" w:ascii="宋体" w:hAnsi="宋体" w:eastAsia="宋体" w:cs="宋体"/>
          <w:b/>
          <w:sz w:val="48"/>
          <w:szCs w:val="48"/>
          <w:highlight w:val="none"/>
          <w:lang w:val="en-US" w:eastAsia="zh-CN"/>
        </w:rPr>
        <w:t>劳务协作</w:t>
      </w:r>
      <w:r>
        <w:rPr>
          <w:rStyle w:val="79"/>
          <w:rFonts w:hint="eastAsia" w:ascii="宋体" w:hAnsi="宋体" w:eastAsia="宋体" w:cs="宋体"/>
          <w:b/>
          <w:sz w:val="48"/>
          <w:szCs w:val="48"/>
          <w:highlight w:val="none"/>
        </w:rPr>
        <w:t>协议书</w:t>
      </w:r>
    </w:p>
    <w:p>
      <w:pPr>
        <w:jc w:val="center"/>
        <w:rPr>
          <w:rStyle w:val="79"/>
          <w:rFonts w:hint="eastAsia" w:ascii="宋体" w:hAnsi="宋体" w:eastAsia="宋体" w:cs="宋体"/>
          <w:sz w:val="32"/>
          <w:szCs w:val="32"/>
          <w:highlight w:val="none"/>
        </w:rPr>
      </w:pPr>
      <w:r>
        <w:rPr>
          <w:rStyle w:val="79"/>
          <w:rFonts w:hint="eastAsia" w:ascii="宋体" w:hAnsi="宋体" w:eastAsia="宋体" w:cs="宋体"/>
          <w:sz w:val="32"/>
          <w:szCs w:val="32"/>
          <w:highlight w:val="none"/>
          <w:lang w:val="en-US" w:eastAsia="zh-CN"/>
        </w:rPr>
        <w:t>榆</w:t>
      </w:r>
      <w:r>
        <w:rPr>
          <w:rStyle w:val="79"/>
          <w:rFonts w:hint="eastAsia" w:ascii="宋体" w:hAnsi="宋体" w:eastAsia="宋体" w:cs="宋体"/>
          <w:sz w:val="32"/>
          <w:szCs w:val="32"/>
          <w:highlight w:val="none"/>
        </w:rPr>
        <w:t>·勘〔202</w:t>
      </w:r>
      <w:r>
        <w:rPr>
          <w:rStyle w:val="79"/>
          <w:rFonts w:hint="eastAsia" w:ascii="宋体" w:hAnsi="宋体" w:eastAsia="宋体" w:cs="宋体"/>
          <w:sz w:val="32"/>
          <w:szCs w:val="32"/>
          <w:highlight w:val="none"/>
          <w:lang w:val="en-US" w:eastAsia="zh-CN"/>
        </w:rPr>
        <w:t>3</w:t>
      </w:r>
      <w:r>
        <w:rPr>
          <w:rStyle w:val="79"/>
          <w:rFonts w:hint="eastAsia" w:ascii="宋体" w:hAnsi="宋体" w:eastAsia="宋体" w:cs="宋体"/>
          <w:sz w:val="32"/>
          <w:szCs w:val="32"/>
          <w:highlight w:val="none"/>
        </w:rPr>
        <w:t>〕  号</w:t>
      </w:r>
    </w:p>
    <w:p>
      <w:pPr>
        <w:spacing w:before="156" w:after="156"/>
        <w:jc w:val="center"/>
        <w:rPr>
          <w:rStyle w:val="79"/>
          <w:rFonts w:hint="eastAsia" w:ascii="宋体" w:hAnsi="宋体" w:eastAsia="宋体" w:cs="宋体"/>
          <w:b/>
          <w:sz w:val="32"/>
          <w:szCs w:val="32"/>
          <w:highlight w:val="none"/>
        </w:rPr>
      </w:pPr>
    </w:p>
    <w:p>
      <w:pPr>
        <w:spacing w:before="156" w:after="156"/>
        <w:jc w:val="center"/>
        <w:rPr>
          <w:rStyle w:val="79"/>
          <w:rFonts w:hint="eastAsia" w:ascii="宋体" w:hAnsi="宋体" w:eastAsia="宋体" w:cs="宋体"/>
          <w:b/>
          <w:sz w:val="32"/>
          <w:szCs w:val="32"/>
          <w:highlight w:val="none"/>
        </w:rPr>
      </w:pPr>
    </w:p>
    <w:p>
      <w:pPr>
        <w:spacing w:before="156" w:after="156"/>
        <w:jc w:val="center"/>
        <w:rPr>
          <w:rStyle w:val="79"/>
          <w:rFonts w:hint="eastAsia" w:ascii="宋体" w:hAnsi="宋体" w:eastAsia="宋体" w:cs="宋体"/>
          <w:b/>
          <w:sz w:val="32"/>
          <w:szCs w:val="32"/>
          <w:highlight w:val="none"/>
        </w:rPr>
      </w:pPr>
    </w:p>
    <w:p>
      <w:pPr>
        <w:ind w:left="3639" w:leftChars="1064" w:hanging="1405" w:hangingChars="500"/>
        <w:rPr>
          <w:rStyle w:val="79"/>
          <w:rFonts w:hint="eastAsia" w:ascii="宋体" w:hAnsi="宋体" w:eastAsia="宋体" w:cs="宋体"/>
          <w:b/>
          <w:sz w:val="28"/>
          <w:szCs w:val="28"/>
          <w:highlight w:val="none"/>
        </w:rPr>
      </w:pPr>
    </w:p>
    <w:p>
      <w:pPr>
        <w:ind w:left="3639" w:leftChars="1064" w:hanging="1405" w:hangingChars="500"/>
        <w:rPr>
          <w:rStyle w:val="79"/>
          <w:rFonts w:hint="eastAsia" w:ascii="宋体" w:hAnsi="宋体" w:eastAsia="宋体" w:cs="宋体"/>
          <w:b/>
          <w:sz w:val="28"/>
          <w:szCs w:val="28"/>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bidi w:val="0"/>
        <w:rPr>
          <w:rFonts w:hint="eastAsia"/>
          <w:highlight w:val="none"/>
        </w:rPr>
      </w:pPr>
    </w:p>
    <w:p>
      <w:pPr>
        <w:ind w:left="3639" w:leftChars="1064" w:hanging="1405" w:hangingChars="500"/>
        <w:rPr>
          <w:rStyle w:val="79"/>
          <w:rFonts w:hint="eastAsia" w:ascii="宋体" w:hAnsi="宋体" w:eastAsia="宋体" w:cs="宋体"/>
          <w:b/>
          <w:sz w:val="28"/>
          <w:szCs w:val="28"/>
          <w:highlight w:val="none"/>
        </w:rPr>
      </w:pPr>
    </w:p>
    <w:p>
      <w:pPr>
        <w:jc w:val="left"/>
        <w:rPr>
          <w:rFonts w:hint="eastAsia" w:ascii="宋体" w:hAnsi="宋体" w:eastAsia="宋体" w:cs="宋体"/>
          <w:b/>
          <w:bCs/>
          <w:color w:val="auto"/>
          <w:sz w:val="28"/>
          <w:szCs w:val="28"/>
          <w:highlight w:val="none"/>
          <w:u w:val="none"/>
          <w:lang w:val="en-US" w:eastAsia="zh-CN"/>
        </w:rPr>
      </w:pPr>
      <w:r>
        <w:rPr>
          <w:rStyle w:val="79"/>
          <w:rFonts w:hint="eastAsia" w:ascii="宋体" w:hAnsi="宋体" w:eastAsia="宋体" w:cs="宋体"/>
          <w:b/>
          <w:sz w:val="28"/>
          <w:szCs w:val="28"/>
          <w:highlight w:val="none"/>
        </w:rPr>
        <w:t>项目名称：</w:t>
      </w:r>
      <w:r>
        <w:rPr>
          <w:rStyle w:val="79"/>
          <w:rFonts w:hint="eastAsia" w:ascii="宋体" w:hAnsi="宋体" w:eastAsia="宋体" w:cs="宋体"/>
          <w:b/>
          <w:sz w:val="28"/>
          <w:szCs w:val="28"/>
          <w:highlight w:val="none"/>
          <w:u w:val="single"/>
          <w:lang w:val="en-US" w:eastAsia="zh-CN"/>
        </w:rPr>
        <w:t xml:space="preserve">                                    </w:t>
      </w:r>
      <w:r>
        <w:rPr>
          <w:rStyle w:val="79"/>
          <w:rFonts w:hint="eastAsia" w:ascii="宋体" w:hAnsi="宋体" w:eastAsia="宋体" w:cs="宋体"/>
          <w:b/>
          <w:sz w:val="28"/>
          <w:szCs w:val="28"/>
          <w:highlight w:val="none"/>
          <w:u w:val="none"/>
          <w:lang w:val="en-US" w:eastAsia="zh-CN"/>
        </w:rPr>
        <w:t>建设项目</w:t>
      </w:r>
    </w:p>
    <w:p>
      <w:pPr>
        <w:jc w:val="left"/>
        <w:rPr>
          <w:rStyle w:val="79"/>
          <w:rFonts w:hint="eastAsia" w:ascii="宋体" w:hAnsi="宋体" w:eastAsia="宋体" w:cs="宋体"/>
          <w:b/>
          <w:bCs w:val="0"/>
          <w:sz w:val="28"/>
          <w:szCs w:val="28"/>
          <w:highlight w:val="none"/>
          <w:u w:val="single"/>
          <w:lang w:val="en-US" w:eastAsia="zh-CN"/>
        </w:rPr>
      </w:pPr>
      <w:r>
        <w:rPr>
          <w:rStyle w:val="79"/>
          <w:rFonts w:hint="eastAsia" w:ascii="宋体" w:hAnsi="宋体" w:eastAsia="宋体" w:cs="宋体"/>
          <w:b/>
          <w:bCs w:val="0"/>
          <w:sz w:val="28"/>
          <w:szCs w:val="28"/>
          <w:highlight w:val="none"/>
        </w:rPr>
        <w:t>项目地址：</w:t>
      </w:r>
      <w:r>
        <w:rPr>
          <w:rStyle w:val="79"/>
          <w:rFonts w:hint="eastAsia" w:ascii="宋体" w:hAnsi="宋体" w:eastAsia="宋体" w:cs="宋体"/>
          <w:b/>
          <w:bCs w:val="0"/>
          <w:sz w:val="28"/>
          <w:szCs w:val="28"/>
          <w:highlight w:val="none"/>
          <w:u w:val="single"/>
          <w:lang w:val="en-US" w:eastAsia="zh-CN"/>
        </w:rPr>
        <w:t xml:space="preserve">                                            </w:t>
      </w:r>
    </w:p>
    <w:p>
      <w:pPr>
        <w:jc w:val="left"/>
        <w:rPr>
          <w:rFonts w:hint="eastAsia" w:ascii="宋体" w:hAnsi="宋体" w:eastAsia="宋体" w:cs="宋体"/>
          <w:b/>
          <w:sz w:val="28"/>
          <w:szCs w:val="28"/>
          <w:highlight w:val="none"/>
        </w:rPr>
      </w:pPr>
      <w:r>
        <w:rPr>
          <w:rStyle w:val="79"/>
          <w:rFonts w:hint="eastAsia" w:ascii="宋体" w:hAnsi="宋体" w:eastAsia="宋体" w:cs="宋体"/>
          <w:b/>
          <w:sz w:val="28"/>
          <w:szCs w:val="28"/>
          <w:highlight w:val="none"/>
        </w:rPr>
        <w:t>建设单位：榆林市文物考古勘探工作队</w:t>
      </w:r>
    </w:p>
    <w:p>
      <w:pPr>
        <w:spacing w:line="360" w:lineRule="auto"/>
        <w:ind w:firstLine="2530" w:firstLineChars="900"/>
        <w:jc w:val="left"/>
        <w:rPr>
          <w:rFonts w:hint="eastAsia" w:ascii="宋体" w:hAnsi="宋体" w:eastAsia="宋体" w:cs="宋体"/>
          <w:sz w:val="32"/>
          <w:szCs w:val="32"/>
          <w:highlight w:val="none"/>
          <w:lang w:val="en-US" w:eastAsia="zh-CN"/>
        </w:rPr>
      </w:pPr>
      <w:r>
        <w:rPr>
          <w:rFonts w:hint="eastAsia" w:ascii="宋体" w:hAnsi="宋体" w:eastAsia="宋体" w:cs="宋体"/>
          <w:b/>
          <w:sz w:val="28"/>
          <w:szCs w:val="28"/>
          <w:highlight w:val="none"/>
        </w:rPr>
        <w:t xml:space="preserve">签署时间： </w:t>
      </w:r>
      <w:r>
        <w:rPr>
          <w:rFonts w:hint="eastAsia" w:ascii="宋体" w:hAnsi="宋体" w:cs="宋体"/>
          <w:b/>
          <w:sz w:val="28"/>
          <w:szCs w:val="28"/>
          <w:highlight w:val="none"/>
          <w:lang w:val="en-US" w:eastAsia="zh-CN"/>
        </w:rPr>
        <w:t xml:space="preserve">  </w:t>
      </w:r>
      <w:r>
        <w:rPr>
          <w:rFonts w:hint="eastAsia" w:ascii="宋体" w:hAnsi="宋体" w:eastAsia="宋体" w:cs="宋体"/>
          <w:b/>
          <w:sz w:val="28"/>
          <w:szCs w:val="28"/>
          <w:highlight w:val="none"/>
        </w:rPr>
        <w:t xml:space="preserve">  年   月</w:t>
      </w:r>
    </w:p>
    <w:p>
      <w:pPr>
        <w:rPr>
          <w:rFonts w:hint="eastAsia" w:ascii="宋体" w:hAnsi="宋体" w:eastAsia="宋体" w:cs="宋体"/>
          <w:sz w:val="48"/>
          <w:szCs w:val="48"/>
          <w:highlight w:val="none"/>
          <w:lang w:val="en-US" w:eastAsia="zh-CN"/>
        </w:rPr>
      </w:pPr>
      <w:r>
        <w:rPr>
          <w:rFonts w:hint="eastAsia" w:ascii="宋体" w:hAnsi="宋体" w:eastAsia="宋体" w:cs="宋体"/>
          <w:sz w:val="48"/>
          <w:szCs w:val="48"/>
          <w:highlight w:val="none"/>
          <w:lang w:val="en-US" w:eastAsia="zh-CN"/>
        </w:rPr>
        <w:br w:type="page"/>
      </w:r>
    </w:p>
    <w:p>
      <w:pPr>
        <w:jc w:val="center"/>
        <w:rPr>
          <w:rFonts w:hint="eastAsia" w:ascii="宋体" w:hAnsi="宋体" w:eastAsia="宋体" w:cs="宋体"/>
          <w:b/>
          <w:bCs/>
          <w:sz w:val="32"/>
          <w:szCs w:val="32"/>
          <w:highlight w:val="none"/>
        </w:rPr>
      </w:pPr>
      <w:r>
        <w:rPr>
          <w:rFonts w:hint="eastAsia" w:ascii="宋体" w:hAnsi="宋体" w:eastAsia="宋体" w:cs="宋体"/>
          <w:b/>
          <w:bCs/>
          <w:sz w:val="48"/>
          <w:szCs w:val="48"/>
          <w:highlight w:val="none"/>
          <w:lang w:val="en-US" w:eastAsia="zh-CN"/>
        </w:rPr>
        <w:t>基本建设工程</w:t>
      </w:r>
      <w:r>
        <w:rPr>
          <w:rFonts w:hint="eastAsia" w:ascii="宋体" w:hAnsi="宋体" w:eastAsia="宋体" w:cs="宋体"/>
          <w:b/>
          <w:bCs/>
          <w:sz w:val="48"/>
          <w:szCs w:val="48"/>
          <w:highlight w:val="none"/>
        </w:rPr>
        <w:t>考古勘探</w:t>
      </w:r>
      <w:r>
        <w:rPr>
          <w:rFonts w:hint="eastAsia" w:ascii="宋体" w:hAnsi="宋体" w:eastAsia="宋体" w:cs="宋体"/>
          <w:b/>
          <w:bCs/>
          <w:sz w:val="48"/>
          <w:szCs w:val="48"/>
          <w:highlight w:val="none"/>
          <w:lang w:val="en-US" w:eastAsia="zh-CN"/>
        </w:rPr>
        <w:t>劳务协作协议书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甲方:榆林市文物考古勘探工作队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乙方: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为了加快推进我市基本建设项目</w:t>
      </w:r>
      <w:r>
        <w:rPr>
          <w:rFonts w:hint="eastAsia" w:ascii="宋体" w:hAnsi="宋体" w:eastAsia="宋体" w:cs="宋体"/>
          <w:sz w:val="24"/>
          <w:szCs w:val="24"/>
          <w:highlight w:val="none"/>
        </w:rPr>
        <w:t>考古勘探</w:t>
      </w:r>
      <w:r>
        <w:rPr>
          <w:rFonts w:hint="eastAsia" w:ascii="宋体" w:hAnsi="宋体" w:eastAsia="宋体" w:cs="宋体"/>
          <w:sz w:val="24"/>
          <w:szCs w:val="24"/>
          <w:highlight w:val="none"/>
          <w:lang w:val="en-US" w:eastAsia="zh-CN"/>
        </w:rPr>
        <w:t>工作，满足基本建设勘探需求，切</w:t>
      </w:r>
      <w:r>
        <w:rPr>
          <w:rFonts w:hint="eastAsia" w:ascii="宋体" w:hAnsi="宋体" w:eastAsia="宋体" w:cs="宋体"/>
          <w:sz w:val="24"/>
          <w:szCs w:val="24"/>
          <w:highlight w:val="none"/>
        </w:rPr>
        <w:t>实有效保护好地下文物遗存</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充分利用各方人才</w:t>
      </w:r>
      <w:r>
        <w:rPr>
          <w:rFonts w:hint="eastAsia" w:ascii="宋体" w:hAnsi="宋体" w:eastAsia="宋体" w:cs="宋体"/>
          <w:sz w:val="24"/>
          <w:szCs w:val="24"/>
          <w:highlight w:val="none"/>
          <w:lang w:val="en-US" w:eastAsia="zh-CN"/>
        </w:rPr>
        <w:t>和勘探技术</w:t>
      </w:r>
      <w:r>
        <w:rPr>
          <w:rFonts w:hint="eastAsia" w:ascii="宋体" w:hAnsi="宋体" w:eastAsia="宋体" w:cs="宋体"/>
          <w:sz w:val="24"/>
          <w:szCs w:val="24"/>
          <w:highlight w:val="none"/>
        </w:rPr>
        <w:t>力量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遵循平等、自愿、公平和诚实信用原则，</w:t>
      </w:r>
      <w:r>
        <w:rPr>
          <w:rFonts w:hint="eastAsia" w:ascii="宋体" w:hAnsi="宋体" w:eastAsia="宋体" w:cs="宋体"/>
          <w:sz w:val="24"/>
          <w:szCs w:val="24"/>
          <w:highlight w:val="none"/>
          <w:lang w:val="en-US" w:eastAsia="zh-CN"/>
        </w:rPr>
        <w:t>甲方邀请乙方作为本项目劳务协作单位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根据相关法律法规，</w:t>
      </w:r>
      <w:r>
        <w:rPr>
          <w:rFonts w:hint="eastAsia" w:ascii="宋体" w:hAnsi="宋体" w:eastAsia="宋体" w:cs="宋体"/>
          <w:sz w:val="24"/>
          <w:szCs w:val="24"/>
          <w:highlight w:val="none"/>
        </w:rPr>
        <w:t>甲方同意将</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rPr>
        <w:t>建设用地</w:t>
      </w:r>
      <w:r>
        <w:rPr>
          <w:rFonts w:hint="eastAsia" w:ascii="宋体" w:hAnsi="宋体" w:eastAsia="宋体" w:cs="宋体"/>
          <w:sz w:val="24"/>
          <w:szCs w:val="24"/>
          <w:highlight w:val="none"/>
        </w:rPr>
        <w:t>的考古勘探工作交乙方</w:t>
      </w:r>
      <w:r>
        <w:rPr>
          <w:rFonts w:hint="eastAsia" w:ascii="宋体" w:hAnsi="宋体" w:eastAsia="宋体" w:cs="宋体"/>
          <w:sz w:val="24"/>
          <w:szCs w:val="24"/>
          <w:highlight w:val="none"/>
          <w:lang w:val="en-US" w:eastAsia="zh-CN"/>
        </w:rPr>
        <w:t>(劳务协作单位）承担</w:t>
      </w:r>
      <w:r>
        <w:rPr>
          <w:rFonts w:hint="eastAsia" w:ascii="宋体" w:hAnsi="宋体" w:eastAsia="宋体" w:cs="宋体"/>
          <w:sz w:val="24"/>
          <w:szCs w:val="24"/>
          <w:highlight w:val="none"/>
        </w:rPr>
        <w:t>，该工程</w:t>
      </w:r>
      <w:r>
        <w:rPr>
          <w:rFonts w:hint="eastAsia" w:ascii="宋体" w:hAnsi="宋体" w:eastAsia="宋体" w:cs="宋体"/>
          <w:sz w:val="24"/>
          <w:szCs w:val="24"/>
          <w:highlight w:val="none"/>
          <w:lang w:val="en-US" w:eastAsia="zh-CN"/>
        </w:rPr>
        <w:t>位于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境内</w:t>
      </w:r>
      <w:r>
        <w:rPr>
          <w:rFonts w:hint="eastAsia" w:ascii="宋体" w:hAnsi="宋体" w:eastAsia="宋体" w:cs="宋体"/>
          <w:sz w:val="24"/>
          <w:szCs w:val="24"/>
          <w:highlight w:val="none"/>
        </w:rPr>
        <w:t>，</w:t>
      </w:r>
      <w:r>
        <w:rPr>
          <w:rFonts w:hint="eastAsia" w:ascii="宋体" w:hAnsi="宋体" w:eastAsia="宋体" w:cs="宋体"/>
          <w:b w:val="0"/>
          <w:bCs w:val="0"/>
          <w:color w:val="auto"/>
          <w:spacing w:val="-12"/>
          <w:sz w:val="24"/>
          <w:szCs w:val="24"/>
          <w:highlight w:val="none"/>
        </w:rPr>
        <w:t>占地面积</w:t>
      </w:r>
      <w:r>
        <w:rPr>
          <w:rFonts w:hint="eastAsia" w:ascii="宋体" w:hAnsi="宋体" w:eastAsia="宋体" w:cs="宋体"/>
          <w:b w:val="0"/>
          <w:bCs w:val="0"/>
          <w:color w:val="auto"/>
          <w:spacing w:val="-12"/>
          <w:sz w:val="24"/>
          <w:szCs w:val="24"/>
          <w:highlight w:val="none"/>
          <w:u w:val="single"/>
          <w:lang w:val="en-US" w:eastAsia="zh-CN"/>
        </w:rPr>
        <w:t xml:space="preserve">              </w:t>
      </w:r>
      <w:r>
        <w:rPr>
          <w:rFonts w:hint="eastAsia" w:ascii="宋体" w:hAnsi="宋体" w:eastAsia="宋体" w:cs="宋体"/>
          <w:b w:val="0"/>
          <w:bCs w:val="0"/>
          <w:color w:val="auto"/>
          <w:spacing w:val="-12"/>
          <w:sz w:val="24"/>
          <w:szCs w:val="24"/>
          <w:highlight w:val="none"/>
        </w:rPr>
        <w:t>平方米。</w:t>
      </w:r>
      <w:r>
        <w:rPr>
          <w:rFonts w:hint="eastAsia" w:ascii="宋体" w:hAnsi="宋体" w:eastAsia="宋体" w:cs="宋体"/>
          <w:sz w:val="24"/>
          <w:szCs w:val="24"/>
          <w:highlight w:val="none"/>
        </w:rPr>
        <w:t>就该项目的考古勘探有关事项达成如下协议: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一、甲乙双方的工作责任：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甲乙双方必须严格执行《中华人民共和国文物保护法》、《田野考古工作</w:t>
      </w:r>
      <w:r>
        <w:rPr>
          <w:rFonts w:hint="eastAsia" w:ascii="宋体" w:hAnsi="宋体" w:eastAsia="宋体" w:cs="宋体"/>
          <w:sz w:val="24"/>
          <w:szCs w:val="24"/>
          <w:highlight w:val="none"/>
          <w:lang w:val="en-US" w:eastAsia="zh-CN"/>
        </w:rPr>
        <w:t>规程</w:t>
      </w:r>
      <w:r>
        <w:rPr>
          <w:rFonts w:hint="eastAsia" w:ascii="宋体" w:hAnsi="宋体" w:eastAsia="宋体" w:cs="宋体"/>
          <w:sz w:val="24"/>
          <w:szCs w:val="24"/>
          <w:highlight w:val="none"/>
        </w:rPr>
        <w:t xml:space="preserve"> 》等有关法</w:t>
      </w:r>
      <w:r>
        <w:rPr>
          <w:rFonts w:hint="eastAsia" w:ascii="宋体" w:hAnsi="宋体" w:eastAsia="宋体" w:cs="宋体"/>
          <w:sz w:val="24"/>
          <w:szCs w:val="24"/>
          <w:highlight w:val="none"/>
          <w:lang w:val="en-US" w:eastAsia="zh-CN"/>
        </w:rPr>
        <w:t>规之</w:t>
      </w:r>
      <w:r>
        <w:rPr>
          <w:rFonts w:hint="eastAsia" w:ascii="宋体" w:hAnsi="宋体" w:eastAsia="宋体" w:cs="宋体"/>
          <w:sz w:val="24"/>
          <w:szCs w:val="24"/>
          <w:highlight w:val="none"/>
        </w:rPr>
        <w:t>规定</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，应结合传统勘探手段，科学、高效的获取地下文化遗存信息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确保文化遗产不受破坏。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2、凡乙方承接的考古勘探工程，必须对其勘探成果的准确性承担全部责任。如违反操作规定出现错探、漏探、偏差等质量事故，甲方有权对乙方进行经济处罚、中止协议，</w:t>
      </w:r>
      <w:r>
        <w:rPr>
          <w:rFonts w:hint="eastAsia" w:ascii="宋体" w:hAnsi="宋体" w:eastAsia="宋体" w:cs="宋体"/>
          <w:sz w:val="24"/>
          <w:szCs w:val="24"/>
          <w:highlight w:val="none"/>
          <w:lang w:val="en-US" w:eastAsia="zh-CN"/>
        </w:rPr>
        <w:t>情节严重的永久</w:t>
      </w:r>
      <w:r>
        <w:rPr>
          <w:rFonts w:hint="eastAsia" w:ascii="宋体" w:hAnsi="宋体" w:eastAsia="宋体" w:cs="宋体"/>
          <w:sz w:val="24"/>
          <w:szCs w:val="24"/>
          <w:highlight w:val="none"/>
        </w:rPr>
        <w:t>取消其</w:t>
      </w:r>
      <w:r>
        <w:rPr>
          <w:rFonts w:hint="eastAsia" w:ascii="宋体" w:hAnsi="宋体" w:eastAsia="宋体" w:cs="宋体"/>
          <w:sz w:val="24"/>
          <w:szCs w:val="24"/>
          <w:highlight w:val="none"/>
          <w:lang w:val="en-US" w:eastAsia="zh-CN"/>
        </w:rPr>
        <w:t>与我队的劳务协作项目</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3、乙方</w:t>
      </w:r>
      <w:r>
        <w:rPr>
          <w:rFonts w:hint="eastAsia" w:ascii="宋体" w:hAnsi="宋体" w:eastAsia="宋体" w:cs="宋体"/>
          <w:sz w:val="24"/>
          <w:szCs w:val="24"/>
          <w:highlight w:val="none"/>
        </w:rPr>
        <w:t>勘探工作需按照国家文物局颁布实施的《田野考古工作规程》、《考古勘探工作规程》（试行）严格实施，应结合传统勘探手段，科学、高效的获取地下文化遗存信息。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4、乙方</w:t>
      </w:r>
      <w:r>
        <w:rPr>
          <w:rFonts w:hint="eastAsia" w:ascii="宋体" w:hAnsi="宋体" w:eastAsia="宋体" w:cs="宋体"/>
          <w:sz w:val="24"/>
          <w:szCs w:val="24"/>
          <w:highlight w:val="none"/>
        </w:rPr>
        <w:t>勘探单位应确定专门的负责人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具备文物相关职称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、探工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要有探工证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、测绘员、资料员等组成勘探队伍，做到科学组织、分工明确。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5、乙方</w:t>
      </w:r>
      <w:r>
        <w:rPr>
          <w:rFonts w:hint="eastAsia" w:ascii="宋体" w:hAnsi="宋体" w:eastAsia="宋体" w:cs="宋体"/>
          <w:sz w:val="24"/>
          <w:szCs w:val="24"/>
          <w:highlight w:val="none"/>
        </w:rPr>
        <w:t>勘探工作实施前，应制定科学、详实的工作计划， 明确工作任务、技术路线、人员分工和职责、工作进度、文物保护措施和应急预案等。考古勘探工作计划是考古勘探工作检查、验收的重要依据。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6、乙方</w:t>
      </w:r>
      <w:r>
        <w:rPr>
          <w:rFonts w:hint="eastAsia" w:ascii="宋体" w:hAnsi="宋体" w:eastAsia="宋体" w:cs="宋体"/>
          <w:sz w:val="24"/>
          <w:szCs w:val="24"/>
          <w:highlight w:val="none"/>
        </w:rPr>
        <w:t>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勘探单位实施勘探作业时，工作人员应统一着装， 服装上应有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8、乙方</w:t>
      </w:r>
      <w:r>
        <w:rPr>
          <w:rFonts w:hint="eastAsia" w:ascii="宋体" w:hAnsi="宋体" w:eastAsia="宋体" w:cs="宋体"/>
          <w:sz w:val="24"/>
          <w:szCs w:val="24"/>
          <w:highlight w:val="none"/>
        </w:rPr>
        <w:t>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9、乙方</w:t>
      </w:r>
      <w:r>
        <w:rPr>
          <w:rFonts w:hint="eastAsia" w:ascii="宋体" w:hAnsi="宋体" w:eastAsia="宋体" w:cs="宋体"/>
          <w:sz w:val="24"/>
          <w:szCs w:val="24"/>
          <w:highlight w:val="none"/>
        </w:rPr>
        <w:t>勘探工作实施前，应明确布孔方法与勘探孔距。并绘制勘探区域探孔布设平面示意图，作为工作依据及检查验收的必备材料。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10、乙方</w:t>
      </w:r>
      <w:r>
        <w:rPr>
          <w:rFonts w:hint="eastAsia" w:ascii="宋体" w:hAnsi="宋体" w:eastAsia="宋体" w:cs="宋体"/>
          <w:sz w:val="24"/>
          <w:szCs w:val="24"/>
          <w:highlight w:val="none"/>
        </w:rPr>
        <w:t>勘探应根据地形地势采用等距梅花状布孔法，探孔应错列分布。采用每平方米布孔5个梅花点进行勘探工作，以准确掌握地下遗存分布情况。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11、乙方</w:t>
      </w:r>
      <w:r>
        <w:rPr>
          <w:rFonts w:hint="eastAsia" w:ascii="宋体" w:hAnsi="宋体" w:eastAsia="宋体" w:cs="宋体"/>
          <w:sz w:val="24"/>
          <w:szCs w:val="24"/>
          <w:highlight w:val="none"/>
        </w:rPr>
        <w:t>勘探作业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（一）普探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1、普探是在勘探区域内逐行勘探，提取土样并记录。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2、探孔应排列规整，土样依次摆放整齐。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3、探孔记录应包括各堆积层距离地面的深度、土质土色、致密度、包含物、堆积状况研判结论等。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4、发现遗迹现象时，应现场在探孔布设图上标注记号。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5、探孔内文物标本采集和样品采样时，均应以探孔为出土单位登记，采集或采样标签应填写规范。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（二）重点卡探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1、发现重要遗迹现象时，应进行重点卡探，进一步掌握遗迹形制，探明堆积范围、厚度。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2、堆积特征清楚、明确的大型夯土建筑遗迹等，应重点确认夯土遗存，以少量探孔进行穿透式勘探，了解遗迹堆积和叠压状况。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3、古墓葬应探至墓口，重点确定墓葬开口形状，尽量少的探孔数量确定深度信息。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4、重要遗迹应布设“十”字形排孔，了解遗迹的纵、横剖面及堆积情况。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5、重点卡探的所有探孔及堆积信息，均应标注在勘探单元探孔布设图上。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（三）遗迹研判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1、应根据遗迹形制、土样、提取物性状等，初步分析遗迹类型、性质，现场记录研判结果。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3、土样中包含物或遗迹形制特征明显时，应初步判断遗迹年代。遗迹单位确认后，应及时在勘探单元探孔布设图上标注遗迹单元的平面形制。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（四）遗迹编号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经考古勘探发现、并初步确认的遗迹单位，应以勘探分区为单位统一编号。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（五）堆积记录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1、勘探过程中，应做好地层堆积描述和遗迹单位记录。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2、探孔记录应以勘探单元为单位，采用表格形式。内容应包括勘探分区、勘探单元、探孔编号、探孔三维坐标、地层堆积（包括距现地表深度、土质、土色、致密度、包含物、堆积性质、采集遗物等）等。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3、探孔地层堆积特性的判断和描述按照以下方式进行：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（1）土色。描述顺序依次为土色的深浅、色调、主色。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（2）土质。一般分为黏土和淤泥（土）。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根据土中包含物颗粒状况，又可以分为粉沙（直径小于0.1毫米）、细沙(直径0.1-0.25毫米)、粗沙(直径0.25-2.0毫米)、砾石/卵石（直径大于2.0毫米，细砾 2-64 毫米，粗砾64- 256毫米）等。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 xml:space="preserve"> （3）致密度。判断土壤致密程度，包括疏松、较疏松、较致密、致密等。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判断参考标准为：疏松——非常轻易用手碾碎；较疏松——较容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易用手碾碎；较致密——需用力才能用手捻碎；致密——几乎无法用手捻碎等。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（六）文物标本采集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12、乙方</w:t>
      </w:r>
      <w:r>
        <w:rPr>
          <w:rFonts w:hint="eastAsia" w:ascii="宋体" w:hAnsi="宋体" w:eastAsia="宋体" w:cs="宋体"/>
          <w:sz w:val="24"/>
          <w:szCs w:val="24"/>
          <w:highlight w:val="none"/>
        </w:rPr>
        <w:t>测绘成图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（一）应在既有测绘系统的基础上，利用全站仪或RTK等测绘仪器测量遗迹单位，并绘制勘探区域平面图。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（二）测绘图须注明图名、图号、比例、绘图者、审定者、绘图日期、图例、方向等必要说明。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13、乙方</w:t>
      </w:r>
      <w:r>
        <w:rPr>
          <w:rFonts w:hint="eastAsia" w:ascii="宋体" w:hAnsi="宋体" w:eastAsia="宋体" w:cs="宋体"/>
          <w:sz w:val="24"/>
          <w:szCs w:val="24"/>
          <w:highlight w:val="none"/>
        </w:rPr>
        <w:t>勘探单位要严格执行勘探工作标准与要求，规范各类图文记录，注意做好确保勘探信息保密工作。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二、合同金额及工作时间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勘探费用计人民币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、上述工程从20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日开始至20</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日结束。其中因甲方要求或雨雪天气及其他不可抗拒外力而造成的延误，工期顺延。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三、付款方式：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1）合同生效后1个工作日内，支付合同总价的40%作为预付款。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（2）勘探工作完成后，支付合同总价的50%作为进度款。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（3）勘探报告编制完成后，支付合同总价的10%作为尾款。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 xml:space="preserve"> 检查验收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勘探项目需进行中期检查与结项验收。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需进行中期检查的，勘探工作进行到百分之五十时，勘探单位向</w:t>
      </w:r>
      <w:r>
        <w:rPr>
          <w:rFonts w:hint="eastAsia" w:ascii="宋体" w:hAnsi="宋体" w:eastAsia="宋体" w:cs="宋体"/>
          <w:sz w:val="24"/>
          <w:szCs w:val="24"/>
          <w:highlight w:val="none"/>
          <w:lang w:val="en-US" w:eastAsia="zh-CN"/>
        </w:rPr>
        <w:t>业务办</w:t>
      </w:r>
      <w:r>
        <w:rPr>
          <w:rFonts w:hint="eastAsia" w:ascii="宋体" w:hAnsi="宋体" w:eastAsia="宋体" w:cs="宋体"/>
          <w:sz w:val="24"/>
          <w:szCs w:val="24"/>
          <w:highlight w:val="none"/>
        </w:rPr>
        <w:t>提交中期检查申请单。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业务办根据勘探项目所在地、遗迹类别、时代等信息，安排人员进行现场检查与项目验收，并出具检查或验收意见书，并将验收报告交政府采购办、</w:t>
      </w:r>
      <w:r>
        <w:rPr>
          <w:rFonts w:hint="eastAsia" w:ascii="宋体" w:hAnsi="宋体" w:eastAsia="宋体" w:cs="宋体"/>
          <w:sz w:val="24"/>
          <w:szCs w:val="24"/>
          <w:highlight w:val="none"/>
          <w:lang w:val="en-US" w:eastAsia="zh-CN"/>
        </w:rPr>
        <w:t>业务</w:t>
      </w:r>
      <w:r>
        <w:rPr>
          <w:rFonts w:hint="eastAsia" w:ascii="宋体" w:hAnsi="宋体" w:eastAsia="宋体" w:cs="宋体"/>
          <w:sz w:val="24"/>
          <w:szCs w:val="24"/>
          <w:highlight w:val="none"/>
        </w:rPr>
        <w:t>办公室备案。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验收时要求：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1、勘探要求。能够了解和记录遗迹位置、范围、形制结构、堆积状况，遗址性质和价值的研判准确、科学。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2、记录要求。图文资料、影像记录、基础数据等齐备、规范，编写完成考古勘探工作报告。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3、布孔要求。一般情况下，布孔密度为1米×1米梅花状孔网。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4、深度要求。普探以探至生土为止。如发现遗迹，以能够确定范围边界、遗迹表面（或开口）埋藏深度和自身堆积厚度（或深度） 为止。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验收合格后，勘探单位应组织人员将所有探孔用素土或纯净沙土回填、夯实。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资料管理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勘探资料包括工作日志、考勤表、遗迹登记表、现场探孔布设图、勘探区域总平面图、重点遗迹平剖面图、勘探工作照片等。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勘探工作完成、并经验收合格后，勘探单位应及时组织编写符合我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要求的工作报告，并连同勘探资料、文物标本一同移交考古</w:t>
      </w:r>
      <w:r>
        <w:rPr>
          <w:rFonts w:hint="eastAsia" w:ascii="宋体" w:hAnsi="宋体" w:eastAsia="宋体" w:cs="宋体"/>
          <w:sz w:val="24"/>
          <w:szCs w:val="24"/>
          <w:highlight w:val="none"/>
          <w:lang w:val="en-US" w:eastAsia="zh-CN"/>
        </w:rPr>
        <w:t>队业务</w:t>
      </w:r>
      <w:r>
        <w:rPr>
          <w:rFonts w:hint="eastAsia" w:ascii="宋体" w:hAnsi="宋体" w:eastAsia="宋体" w:cs="宋体"/>
          <w:sz w:val="24"/>
          <w:szCs w:val="24"/>
          <w:highlight w:val="none"/>
        </w:rPr>
        <w:t>办公室。《考古勘探工作报告》</w:t>
      </w:r>
      <w:r>
        <w:rPr>
          <w:rFonts w:hint="eastAsia" w:ascii="宋体" w:hAnsi="宋体" w:eastAsia="宋体" w:cs="宋体"/>
          <w:sz w:val="24"/>
          <w:szCs w:val="24"/>
          <w:highlight w:val="none"/>
          <w:lang w:val="en-US" w:eastAsia="zh-CN"/>
        </w:rPr>
        <w:t>壹式六份及电子版</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处罚措施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勘探单位必须严格遵守国家法律、法规及省文物主管部门关于考古勘探的相关规定。有下列行为之一，视情节轻重，予以相应处理。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签订协议的勘探单位，不得拖欠工人与所雇用当地群众的工资及其他各类费用，由此对我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声誉造成影响的，视情况给予警告、停工整顿</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情节严重的永不得在我队开展勘探项目</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2、勘探工作结束后未及时提交《考古</w:t>
      </w:r>
      <w:r>
        <w:rPr>
          <w:rFonts w:hint="eastAsia" w:ascii="宋体" w:hAnsi="宋体" w:eastAsia="宋体" w:cs="宋体"/>
          <w:sz w:val="24"/>
          <w:szCs w:val="24"/>
          <w:highlight w:val="none"/>
          <w:lang w:val="en-US" w:eastAsia="zh-CN"/>
        </w:rPr>
        <w:t>调查</w:t>
      </w:r>
      <w:r>
        <w:rPr>
          <w:rFonts w:hint="eastAsia" w:ascii="宋体" w:hAnsi="宋体" w:eastAsia="宋体" w:cs="宋体"/>
          <w:sz w:val="24"/>
          <w:szCs w:val="24"/>
          <w:highlight w:val="none"/>
        </w:rPr>
        <w:t>勘探</w:t>
      </w:r>
      <w:r>
        <w:rPr>
          <w:rFonts w:hint="eastAsia" w:ascii="宋体" w:hAnsi="宋体" w:eastAsia="宋体" w:cs="宋体"/>
          <w:sz w:val="24"/>
          <w:szCs w:val="24"/>
          <w:highlight w:val="none"/>
          <w:lang w:val="en-US" w:eastAsia="zh-CN"/>
        </w:rPr>
        <w:t>工作</w:t>
      </w:r>
      <w:r>
        <w:rPr>
          <w:rFonts w:hint="eastAsia" w:ascii="宋体" w:hAnsi="宋体" w:eastAsia="宋体" w:cs="宋体"/>
          <w:sz w:val="24"/>
          <w:szCs w:val="24"/>
          <w:highlight w:val="none"/>
        </w:rPr>
        <w:t>报告》与资料的，每延迟一天，扣除协议金额的1‰。探孔密度、深度不符合标准者必须补探，按照双方签署的协议扣除一定比例的经费；由于未及时申请中期检查、结项验收而导致项目已施工而无法检查、验收，按照协议扣除项目尾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3、未收到“考古勘探项目通知书”，擅自进行考古勘探的单位，由我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向相关单位发函，3个月内不得参与我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4、因管理或技术原因，在施工中发生漏探、漏报，隐匿不报的，</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年之内不得参与我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实施的勘探项目，并追回所转协议款项。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5、造成古遗址、古墓葬和珍贵文物损毁构成犯罪或引起重大社会影响的，勘探单位及负责人永久不得参与我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实施的勘探项目，并追回所转协议款项，并依法追究违法责任。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6、劳务单位未经考古</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同意</w:t>
      </w:r>
      <w:r>
        <w:rPr>
          <w:rFonts w:hint="eastAsia" w:ascii="宋体" w:hAnsi="宋体" w:eastAsia="宋体" w:cs="宋体"/>
          <w:sz w:val="24"/>
          <w:szCs w:val="24"/>
          <w:highlight w:val="none"/>
          <w:lang w:val="en-US" w:eastAsia="zh-CN"/>
        </w:rPr>
        <w:t>不得</w:t>
      </w:r>
      <w:r>
        <w:rPr>
          <w:rFonts w:hint="eastAsia" w:ascii="宋体" w:hAnsi="宋体" w:eastAsia="宋体" w:cs="宋体"/>
          <w:sz w:val="24"/>
          <w:szCs w:val="24"/>
          <w:highlight w:val="none"/>
        </w:rPr>
        <w:t>先行进场开展考古勘探；不得在同行业内出现相互不正当竞争；不得出现漏探、少探等情况；不得做出有损我</w:t>
      </w:r>
      <w:r>
        <w:rPr>
          <w:rFonts w:hint="eastAsia" w:ascii="宋体" w:hAnsi="宋体" w:eastAsia="宋体" w:cs="宋体"/>
          <w:sz w:val="24"/>
          <w:szCs w:val="24"/>
          <w:highlight w:val="none"/>
          <w:lang w:val="en-US" w:eastAsia="zh-CN"/>
        </w:rPr>
        <w:t>队</w:t>
      </w:r>
      <w:r>
        <w:rPr>
          <w:rFonts w:hint="eastAsia" w:ascii="宋体" w:hAnsi="宋体" w:eastAsia="宋体" w:cs="宋体"/>
          <w:sz w:val="24"/>
          <w:szCs w:val="24"/>
          <w:highlight w:val="none"/>
        </w:rPr>
        <w:t>利益与名誉等事件。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7、附则与劳务合同具有同等法律效力。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本协议一式四份，甲乙双方各执二份。本协议自签字、盖章之日起生效。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5760" w:hanging="4320" w:hangingChars="18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甲方：榆林市文物考古勘探工作队     乙方：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法人：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法人：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委托代表人：                  委托代表人：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2023</w:t>
      </w:r>
      <w:r>
        <w:rPr>
          <w:rFonts w:hint="eastAsia" w:ascii="宋体" w:hAnsi="宋体" w:eastAsia="宋体" w:cs="宋体"/>
          <w:sz w:val="24"/>
          <w:szCs w:val="24"/>
          <w:highlight w:val="none"/>
        </w:rPr>
        <w:t>年   月   日</w:t>
      </w:r>
    </w:p>
    <w:p>
      <w:pPr>
        <w:rPr>
          <w:rFonts w:eastAsia="宋体"/>
          <w:highlight w:val="none"/>
        </w:rPr>
      </w:pPr>
    </w:p>
    <w:p>
      <w:pPr>
        <w:spacing w:line="360" w:lineRule="auto"/>
        <w:ind w:firstLine="482" w:firstLineChars="200"/>
        <w:rPr>
          <w:rFonts w:hint="eastAsia" w:ascii="宋体" w:hAnsi="宋体" w:eastAsia="宋体" w:cs="宋体"/>
          <w:highlight w:val="none"/>
        </w:rPr>
      </w:pPr>
      <w:r>
        <w:rPr>
          <w:rFonts w:hint="eastAsia" w:ascii="宋体" w:hAnsi="宋体" w:eastAsia="宋体" w:cs="宋体"/>
          <w:b/>
          <w:color w:val="000000"/>
          <w:sz w:val="24"/>
          <w:highlight w:val="none"/>
        </w:rPr>
        <w:t>注：本合同</w:t>
      </w:r>
      <w:r>
        <w:rPr>
          <w:rFonts w:hint="eastAsia" w:ascii="宋体" w:hAnsi="宋体" w:eastAsia="宋体" w:cs="宋体"/>
          <w:b/>
          <w:color w:val="000000"/>
          <w:sz w:val="24"/>
          <w:highlight w:val="none"/>
          <w:lang w:val="en-US" w:eastAsia="zh-CN"/>
        </w:rPr>
        <w:t>仅供参考</w:t>
      </w:r>
      <w:r>
        <w:rPr>
          <w:rFonts w:hint="eastAsia" w:ascii="宋体" w:hAnsi="宋体" w:eastAsia="宋体" w:cs="宋体"/>
          <w:b/>
          <w:color w:val="000000"/>
          <w:sz w:val="24"/>
          <w:highlight w:val="none"/>
        </w:rPr>
        <w:t>，使用过程中，请结合具体项目，充实细化。</w:t>
      </w:r>
    </w:p>
    <w:p>
      <w:pPr>
        <w:pStyle w:val="5"/>
        <w:spacing w:before="20" w:after="20" w:line="360" w:lineRule="auto"/>
        <w:jc w:val="center"/>
        <w:outlineLvl w:val="0"/>
        <w:rPr>
          <w:rFonts w:hint="eastAsia" w:ascii="宋体" w:hAnsi="宋体" w:cs="宋体"/>
          <w:b w:val="0"/>
          <w:bCs/>
          <w:szCs w:val="32"/>
          <w:highlight w:val="none"/>
        </w:rPr>
      </w:pPr>
      <w:r>
        <w:rPr>
          <w:rFonts w:hint="eastAsia"/>
          <w:sz w:val="32"/>
          <w:szCs w:val="15"/>
          <w:highlight w:val="none"/>
        </w:rPr>
        <w:br w:type="page"/>
      </w:r>
      <w:bookmarkStart w:id="159" w:name="_Toc21144"/>
      <w:r>
        <w:rPr>
          <w:rFonts w:hint="eastAsia"/>
          <w:sz w:val="32"/>
          <w:szCs w:val="15"/>
          <w:highlight w:val="none"/>
        </w:rPr>
        <w:t>第五部分 评标方法</w:t>
      </w:r>
      <w:bookmarkEnd w:id="153"/>
      <w:bookmarkEnd w:id="154"/>
      <w:bookmarkEnd w:id="155"/>
      <w:bookmarkEnd w:id="156"/>
      <w:bookmarkEnd w:id="157"/>
      <w:bookmarkEnd w:id="158"/>
      <w:bookmarkEnd w:id="159"/>
    </w:p>
    <w:p>
      <w:pPr>
        <w:spacing w:line="360" w:lineRule="auto"/>
        <w:ind w:firstLine="482" w:firstLineChars="200"/>
        <w:outlineLvl w:val="1"/>
        <w:rPr>
          <w:rFonts w:hint="eastAsia" w:ascii="宋体" w:hAnsi="宋体" w:cs="宋体"/>
          <w:b/>
          <w:bCs/>
          <w:sz w:val="24"/>
          <w:szCs w:val="24"/>
          <w:highlight w:val="none"/>
        </w:rPr>
      </w:pPr>
      <w:bookmarkStart w:id="160" w:name="_Toc9509"/>
      <w:bookmarkStart w:id="161" w:name="_Toc12117"/>
      <w:bookmarkStart w:id="162" w:name="_Toc30388"/>
      <w:r>
        <w:rPr>
          <w:rFonts w:hint="eastAsia" w:ascii="宋体" w:hAnsi="宋体" w:cs="宋体"/>
          <w:b/>
          <w:bCs/>
          <w:sz w:val="24"/>
          <w:szCs w:val="24"/>
          <w:highlight w:val="none"/>
        </w:rPr>
        <w:t>1、第一阶段：资格性审查</w:t>
      </w:r>
      <w:bookmarkEnd w:id="160"/>
      <w:bookmarkEnd w:id="161"/>
      <w:bookmarkEnd w:id="162"/>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依据法律法规和谈判文件的规定，对所有供应商的商务部分中的资格证明（包括信用情况）、投标保证金等进行审查</w:t>
      </w:r>
      <w:r>
        <w:rPr>
          <w:rFonts w:hint="eastAsia" w:ascii="宋体" w:hAnsi="宋体" w:cs="宋体"/>
          <w:sz w:val="24"/>
          <w:szCs w:val="24"/>
          <w:highlight w:val="none"/>
          <w:lang w:val="en-US" w:eastAsia="zh-CN"/>
        </w:rPr>
        <w:t>见下表</w:t>
      </w:r>
      <w:r>
        <w:rPr>
          <w:rFonts w:hint="eastAsia" w:ascii="宋体" w:hAnsi="宋体" w:cs="宋体"/>
          <w:sz w:val="24"/>
          <w:szCs w:val="24"/>
          <w:highlight w:val="none"/>
        </w:rPr>
        <w:t>，并确定供应商是否具备谈判资格，填写资格审查表并签字确认。</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218"/>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序号</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审查项</w:t>
            </w:r>
          </w:p>
        </w:tc>
        <w:tc>
          <w:tcPr>
            <w:tcW w:w="3375"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w:t>
            </w:r>
          </w:p>
        </w:tc>
        <w:tc>
          <w:tcPr>
            <w:tcW w:w="1114"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营业执照</w:t>
            </w:r>
          </w:p>
        </w:tc>
        <w:tc>
          <w:tcPr>
            <w:tcW w:w="3375" w:type="pct"/>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rightChars="0"/>
              <w:jc w:val="both"/>
              <w:textAlignment w:val="baseline"/>
              <w:rPr>
                <w:rFonts w:hint="eastAsia" w:ascii="宋体" w:hAnsi="宋体" w:eastAsia="宋体" w:cs="宋体"/>
                <w:sz w:val="24"/>
                <w:szCs w:val="24"/>
                <w:highlight w:val="none"/>
                <w:vertAlign w:val="baseline"/>
                <w:lang w:eastAsia="zh-CN"/>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须具备独立承担民事责任能力的法人或其他组织，并出具合法有效的营业执照或事业单位法人证书等国家规定的相关证明；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2</w:t>
            </w:r>
          </w:p>
        </w:tc>
        <w:tc>
          <w:tcPr>
            <w:tcW w:w="1114" w:type="pct"/>
            <w:vAlign w:val="center"/>
          </w:tcPr>
          <w:p>
            <w:pPr>
              <w:keepNext w:val="0"/>
              <w:keepLines w:val="0"/>
              <w:widowControl/>
              <w:suppressLineNumbers w:val="0"/>
              <w:spacing w:before="0" w:beforeAutospacing="0" w:after="0" w:afterAutospacing="0" w:line="360" w:lineRule="auto"/>
              <w:ind w:right="0"/>
              <w:jc w:val="center"/>
              <w:rPr>
                <w:rFonts w:hint="default"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文物考古勘探能力的证明材料</w:t>
            </w:r>
          </w:p>
        </w:tc>
        <w:tc>
          <w:tcPr>
            <w:tcW w:w="3375" w:type="pct"/>
            <w:vAlign w:val="center"/>
          </w:tcPr>
          <w:p>
            <w:pPr>
              <w:widowControl w:val="0"/>
              <w:spacing w:line="360" w:lineRule="auto"/>
              <w:ind w:left="0" w:leftChars="0" w:firstLine="0" w:firstLineChars="0"/>
              <w:jc w:val="both"/>
              <w:rPr>
                <w:rFonts w:hint="default"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须提供完成本项目文物考古勘探能力的证明材料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3</w:t>
            </w:r>
          </w:p>
        </w:tc>
        <w:tc>
          <w:tcPr>
            <w:tcW w:w="1114" w:type="pct"/>
            <w:vAlign w:val="center"/>
          </w:tcPr>
          <w:p>
            <w:pPr>
              <w:widowControl w:val="0"/>
              <w:spacing w:line="360" w:lineRule="auto"/>
              <w:ind w:firstLine="42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财务状况报告</w:t>
            </w:r>
          </w:p>
        </w:tc>
        <w:tc>
          <w:tcPr>
            <w:tcW w:w="3375" w:type="pct"/>
            <w:vAlign w:val="center"/>
          </w:tcPr>
          <w:p>
            <w:pPr>
              <w:keepNext w:val="0"/>
              <w:keepLines w:val="0"/>
              <w:widowControl/>
              <w:suppressLineNumbers w:val="0"/>
              <w:spacing w:before="0" w:beforeAutospacing="0" w:after="0" w:afterAutospacing="0" w:line="360" w:lineRule="auto"/>
              <w:ind w:right="0"/>
              <w:jc w:val="both"/>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4</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税收缴纳证明</w:t>
            </w:r>
          </w:p>
        </w:tc>
        <w:tc>
          <w:tcPr>
            <w:tcW w:w="3375" w:type="pct"/>
            <w:vAlign w:val="center"/>
          </w:tcPr>
          <w:p>
            <w:pPr>
              <w:keepNext w:val="0"/>
              <w:keepLines w:val="0"/>
              <w:widowControl/>
              <w:suppressLineNumbers w:val="0"/>
              <w:spacing w:before="0" w:beforeAutospacing="0" w:after="0" w:afterAutospacing="0" w:line="360" w:lineRule="auto"/>
              <w:ind w:right="0"/>
              <w:jc w:val="left"/>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月份至今已缴纳的至少一个月的纳税证明或完税证明，依法免税的单位应提供相关证明材料（任意税种）；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5</w:t>
            </w:r>
          </w:p>
        </w:tc>
        <w:tc>
          <w:tcPr>
            <w:tcW w:w="1114" w:type="pct"/>
            <w:vAlign w:val="center"/>
          </w:tcPr>
          <w:p>
            <w:pPr>
              <w:widowControl w:val="0"/>
              <w:spacing w:line="360" w:lineRule="auto"/>
              <w:ind w:firstLine="42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社会保障资金缴纳证明</w:t>
            </w:r>
          </w:p>
        </w:tc>
        <w:tc>
          <w:tcPr>
            <w:tcW w:w="3375" w:type="pct"/>
            <w:vAlign w:val="center"/>
          </w:tcPr>
          <w:p>
            <w:pPr>
              <w:keepNext w:val="0"/>
              <w:keepLines w:val="0"/>
              <w:widowControl/>
              <w:suppressLineNumbers w:val="0"/>
              <w:spacing w:beforeAutospacing="1" w:afterAutospacing="1" w:line="360" w:lineRule="auto"/>
              <w:jc w:val="left"/>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提供2022年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8</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月份至今已缴存的至少一个月的社会保障资金缴存单据，依法不需要缴纳社会保障资金的单位应提供相关证明材料；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6</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书面声明</w:t>
            </w:r>
          </w:p>
        </w:tc>
        <w:tc>
          <w:tcPr>
            <w:tcW w:w="3375" w:type="pct"/>
            <w:vAlign w:val="center"/>
          </w:tcPr>
          <w:p>
            <w:pPr>
              <w:widowControl w:val="0"/>
              <w:spacing w:line="360" w:lineRule="auto"/>
              <w:ind w:left="0" w:leftChars="0" w:firstLine="0" w:firstLineChars="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4"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7</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default" w:ascii="宋体" w:hAnsi="宋体" w:eastAsia="宋体" w:cs="宋体"/>
                <w:kern w:val="2"/>
                <w:sz w:val="24"/>
                <w:szCs w:val="24"/>
                <w:highlight w:val="none"/>
                <w:vertAlign w:val="baseline"/>
                <w:lang w:val="en-US" w:eastAsia="zh-CN" w:bidi="ar-SA"/>
              </w:rPr>
              <w:t>信用记录</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不得为中国政府采购网（www.ccgp.gov.cn）政府采购严重违法失信行为记录名单中被财政部门禁止参加政府采购活动的</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（提供信用中国网站下载的</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信用信息信用报告和网查截图全部加盖</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8</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非联合体</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本项目不接受联合体投标，单位负责人为同一人或者存在直接控股、管理关系的不同</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9</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信用中国（陕西榆林）</w:t>
            </w:r>
          </w:p>
        </w:tc>
        <w:tc>
          <w:tcPr>
            <w:tcW w:w="3375" w:type="pct"/>
            <w:vAlign w:val="center"/>
          </w:tcPr>
          <w:p>
            <w:pPr>
              <w:widowControl w:val="0"/>
              <w:spacing w:line="360" w:lineRule="auto"/>
              <w:ind w:left="0" w:leftChars="0" w:firstLine="0" w:firstLineChars="0"/>
              <w:jc w:val="left"/>
              <w:rPr>
                <w:rFonts w:hint="eastAsia" w:ascii="宋体" w:hAnsi="宋体" w:eastAsia="宋体" w:cs="宋体"/>
                <w:kern w:val="2"/>
                <w:sz w:val="24"/>
                <w:szCs w:val="24"/>
                <w:highlight w:val="none"/>
                <w:vertAlign w:val="baseline"/>
                <w:lang w:val="en-US" w:eastAsia="zh-CN" w:bidi="ar-SA"/>
              </w:rPr>
            </w:pP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应在“信用中国（陕西榆林）”网站进行注册、登录，自主上报信用承诺书（网址：https://credit.yl.gov.cn/）。承诺事项：《榆林市政府采购工程类/货物类/服务类项目</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信用承诺书》，需上传承诺附件；承诺有效期为一年。</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需提供信用中国（陕西榆林）上报成功的网查截图及榆林市政府采购货物类项目</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信用承诺书原件详见附件)；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10</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保证金</w:t>
            </w:r>
          </w:p>
        </w:tc>
        <w:tc>
          <w:tcPr>
            <w:tcW w:w="3375"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投标信用承诺书代替投标保证金。需在网上提交投标信用(保证金）承诺或承诺书网上截图附在</w:t>
            </w:r>
            <w:r>
              <w:rPr>
                <w:rFonts w:hint="eastAsia" w:ascii="宋体" w:hAnsi="宋体" w:cs="宋体"/>
                <w:color w:val="000000"/>
                <w:kern w:val="0"/>
                <w:sz w:val="24"/>
                <w:szCs w:val="21"/>
                <w:highlight w:val="none"/>
                <w:lang w:val="en-US" w:eastAsia="zh-CN" w:bidi="ar-SA"/>
              </w:rPr>
              <w:t>响应</w:t>
            </w:r>
            <w:r>
              <w:rPr>
                <w:rFonts w:hint="eastAsia" w:ascii="宋体" w:hAnsi="宋体" w:eastAsia="宋体" w:cs="宋体"/>
                <w:color w:val="000000"/>
                <w:kern w:val="0"/>
                <w:sz w:val="24"/>
                <w:szCs w:val="21"/>
                <w:highlight w:val="none"/>
                <w:lang w:val="en-US" w:eastAsia="zh-CN" w:bidi="ar-SA"/>
              </w:rPr>
              <w:t>文件中。（截图示例及承诺书格式详见</w:t>
            </w:r>
            <w:r>
              <w:rPr>
                <w:rFonts w:hint="eastAsia" w:ascii="宋体" w:hAnsi="宋体" w:cs="宋体"/>
                <w:color w:val="000000"/>
                <w:kern w:val="0"/>
                <w:sz w:val="24"/>
                <w:szCs w:val="21"/>
                <w:highlight w:val="none"/>
                <w:lang w:val="en-US" w:eastAsia="zh-CN" w:bidi="ar-SA"/>
              </w:rPr>
              <w:t>谈判</w:t>
            </w:r>
            <w:r>
              <w:rPr>
                <w:rFonts w:hint="eastAsia" w:ascii="宋体" w:hAnsi="宋体" w:eastAsia="宋体" w:cs="宋体"/>
                <w:color w:val="000000"/>
                <w:kern w:val="0"/>
                <w:sz w:val="24"/>
                <w:szCs w:val="21"/>
                <w:highlight w:val="none"/>
                <w:lang w:val="en-US" w:eastAsia="zh-CN" w:bidi="ar-SA"/>
              </w:rPr>
              <w:t>文件格式）</w:t>
            </w:r>
            <w:r>
              <w:rPr>
                <w:rFonts w:hint="eastAsia" w:ascii="宋体" w:hAnsi="宋体" w:cs="宋体"/>
                <w:color w:val="000000"/>
                <w:kern w:val="0"/>
                <w:sz w:val="24"/>
                <w:szCs w:val="21"/>
                <w:highlight w:val="none"/>
                <w:lang w:val="en-US" w:eastAsia="zh-CN" w:bidi="ar-SA"/>
              </w:rPr>
              <w:t>；</w:t>
            </w:r>
          </w:p>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p>
        </w:tc>
      </w:tr>
    </w:tbl>
    <w:p>
      <w:pPr>
        <w:rPr>
          <w:rFonts w:hint="eastAsia" w:ascii="宋体" w:hAnsi="宋体" w:cs="宋体"/>
          <w:b/>
          <w:bCs/>
          <w:sz w:val="24"/>
          <w:szCs w:val="24"/>
          <w:highlight w:val="none"/>
        </w:rPr>
      </w:pPr>
      <w:bookmarkStart w:id="163" w:name="_Toc20309"/>
      <w:bookmarkStart w:id="164" w:name="_Toc24423"/>
    </w:p>
    <w:p>
      <w:pPr>
        <w:spacing w:line="360" w:lineRule="auto"/>
        <w:ind w:firstLine="482" w:firstLineChars="200"/>
        <w:outlineLvl w:val="1"/>
        <w:rPr>
          <w:rFonts w:hint="eastAsia" w:ascii="宋体" w:hAnsi="宋体" w:cs="宋体"/>
          <w:b/>
          <w:bCs/>
          <w:sz w:val="24"/>
          <w:szCs w:val="24"/>
          <w:highlight w:val="none"/>
        </w:rPr>
      </w:pPr>
      <w:bookmarkStart w:id="165" w:name="_Toc2863"/>
      <w:r>
        <w:rPr>
          <w:rFonts w:hint="eastAsia" w:ascii="宋体" w:hAnsi="宋体" w:cs="宋体"/>
          <w:b/>
          <w:bCs/>
          <w:sz w:val="24"/>
          <w:szCs w:val="24"/>
          <w:highlight w:val="none"/>
        </w:rPr>
        <w:t>2、第二阶段：符合性审查</w:t>
      </w:r>
      <w:bookmarkEnd w:id="163"/>
      <w:bookmarkEnd w:id="164"/>
      <w:bookmarkEnd w:id="165"/>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2.1谈判小组依据谈判文件的规定，对供应商的响应文件的有效性、完整性以及对谈判文件的响应程度进行审查，以确定是否对谈判文件的实质性要求作出响应。</w:t>
      </w:r>
      <w:r>
        <w:rPr>
          <w:rFonts w:hint="eastAsia" w:ascii="宋体" w:hAnsi="宋体" w:cs="宋体"/>
          <w:sz w:val="24"/>
          <w:szCs w:val="24"/>
          <w:highlight w:val="none"/>
          <w:lang w:val="en-US" w:eastAsia="zh-CN"/>
        </w:rPr>
        <w:t>详见附表一</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附表一：</w:t>
      </w:r>
    </w:p>
    <w:tbl>
      <w:tblPr>
        <w:tblStyle w:val="31"/>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350"/>
        <w:gridCol w:w="7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序号</w:t>
            </w:r>
          </w:p>
        </w:tc>
        <w:tc>
          <w:tcPr>
            <w:tcW w:w="2350"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符合性审查项</w:t>
            </w:r>
          </w:p>
        </w:tc>
        <w:tc>
          <w:tcPr>
            <w:tcW w:w="7568"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rPr>
            </w:pPr>
            <w:r>
              <w:rPr>
                <w:rFonts w:ascii="Times New Roman" w:hAnsi="Times New Roman" w:eastAsia="宋体" w:cs="Times New Roman"/>
                <w:sz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1</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响应文件项目名称、项目编号、标段(未划分标段的除外)</w:t>
            </w:r>
          </w:p>
        </w:tc>
        <w:tc>
          <w:tcPr>
            <w:tcW w:w="7568"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投标文件的项目名称、项目编号、标段与本项目完全一致，且无遗漏。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2</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cs="宋体"/>
                <w:kern w:val="2"/>
                <w:sz w:val="24"/>
                <w:szCs w:val="21"/>
                <w:highlight w:val="none"/>
                <w:lang w:val="en-US" w:eastAsia="zh-CN" w:bidi="ar-SA"/>
              </w:rPr>
              <w:t>响应文件格式</w:t>
            </w:r>
          </w:p>
        </w:tc>
        <w:tc>
          <w:tcPr>
            <w:tcW w:w="7568"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cs="宋体"/>
                <w:kern w:val="2"/>
                <w:sz w:val="24"/>
                <w:szCs w:val="21"/>
                <w:highlight w:val="none"/>
                <w:lang w:val="en-US" w:eastAsia="zh-CN" w:bidi="ar-SA"/>
              </w:rPr>
              <w:t>符合</w:t>
            </w:r>
            <w:r>
              <w:rPr>
                <w:rFonts w:ascii="宋体" w:hAnsi="宋体" w:eastAsia="宋体" w:cs="宋体"/>
                <w:kern w:val="2"/>
                <w:sz w:val="24"/>
                <w:szCs w:val="21"/>
                <w:highlight w:val="none"/>
                <w:lang w:val="en-US" w:eastAsia="zh-CN" w:bidi="ar-SA"/>
              </w:rPr>
              <w:t>竞争性谈判文件的要求</w:t>
            </w:r>
            <w:r>
              <w:rPr>
                <w:rFonts w:hint="eastAsia" w:ascii="宋体" w:hAnsi="宋体" w:eastAsia="宋体" w:cs="宋体"/>
                <w:kern w:val="2"/>
                <w:sz w:val="24"/>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3</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响应文件签署、盖章</w:t>
            </w:r>
          </w:p>
        </w:tc>
        <w:tc>
          <w:tcPr>
            <w:tcW w:w="7568" w:type="dxa"/>
            <w:vAlign w:val="center"/>
          </w:tcPr>
          <w:p>
            <w:pPr>
              <w:keepNext w:val="0"/>
              <w:keepLines w:val="0"/>
              <w:pageBreakBefore w:val="0"/>
              <w:widowControl w:val="0"/>
              <w:kinsoku/>
              <w:wordWrap/>
              <w:overflowPunct/>
              <w:topLinePunct w:val="0"/>
              <w:autoSpaceDE/>
              <w:autoSpaceDN/>
              <w:bidi w:val="0"/>
              <w:adjustRightInd/>
              <w:snapToGrid/>
              <w:spacing w:before="13"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均按竞争性谈判文件要求进行。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23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4" w:lineRule="auto"/>
              <w:ind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保证金的有效性</w:t>
            </w:r>
          </w:p>
        </w:tc>
        <w:tc>
          <w:tcPr>
            <w:tcW w:w="756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4" w:lineRule="auto"/>
              <w:ind w:left="4" w:leftChars="0" w:right="54" w:rightChars="0"/>
              <w:jc w:val="left"/>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kern w:val="2"/>
                <w:sz w:val="24"/>
                <w:szCs w:val="21"/>
                <w:highlight w:val="none"/>
                <w:lang w:val="en-US" w:eastAsia="zh-CN" w:bidi="ar-SA"/>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w:t>
            </w:r>
          </w:p>
        </w:tc>
        <w:tc>
          <w:tcPr>
            <w:tcW w:w="7568" w:type="dxa"/>
            <w:vAlign w:val="center"/>
          </w:tcPr>
          <w:p>
            <w:pPr>
              <w:keepNext w:val="0"/>
              <w:keepLines w:val="0"/>
              <w:pageBreakBefore w:val="0"/>
              <w:widowControl w:val="0"/>
              <w:kinsoku/>
              <w:wordWrap/>
              <w:overflowPunct/>
              <w:topLinePunct w:val="0"/>
              <w:autoSpaceDE/>
              <w:autoSpaceDN/>
              <w:bidi w:val="0"/>
              <w:adjustRightInd/>
              <w:snapToGrid/>
              <w:spacing w:before="12"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响应文件有效期（包括法定代表人授权委托书）符合竞争性谈判文件的要求。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6</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首次报价</w:t>
            </w:r>
          </w:p>
        </w:tc>
        <w:tc>
          <w:tcPr>
            <w:tcW w:w="7568" w:type="dxa"/>
            <w:vAlign w:val="center"/>
          </w:tcPr>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spacing w:val="-3"/>
                <w:kern w:val="2"/>
                <w:sz w:val="24"/>
                <w:szCs w:val="21"/>
                <w:highlight w:val="none"/>
                <w:lang w:val="en-US" w:eastAsia="zh-CN" w:bidi="ar-SA"/>
              </w:rPr>
            </w:pPr>
            <w:r>
              <w:rPr>
                <w:rFonts w:ascii="宋体" w:hAnsi="宋体" w:eastAsia="宋体" w:cs="宋体"/>
                <w:spacing w:val="-3"/>
                <w:kern w:val="2"/>
                <w:sz w:val="24"/>
                <w:szCs w:val="21"/>
                <w:highlight w:val="none"/>
                <w:lang w:val="en-US" w:eastAsia="zh-CN" w:bidi="ar-SA"/>
              </w:rPr>
              <w:t>首次报价符合唯一性要求：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报价一览表填写符合要求；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计量单位、报价货币均符合竞争性谈判文件要求；</w:t>
            </w:r>
          </w:p>
          <w:p>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rightChars="0" w:firstLine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未超出采购预算或竞争性谈判文件规定的上限控制价。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7</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实施方案</w:t>
            </w:r>
          </w:p>
        </w:tc>
        <w:tc>
          <w:tcPr>
            <w:tcW w:w="7568" w:type="dxa"/>
            <w:vAlign w:val="center"/>
          </w:tcPr>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考古勘探方案质量控制；</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考古勘探工作计划；</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w:t>
            </w:r>
            <w:r>
              <w:rPr>
                <w:rFonts w:hint="default" w:ascii="宋体" w:hAnsi="宋体" w:eastAsia="宋体" w:cs="宋体"/>
                <w:kern w:val="2"/>
                <w:sz w:val="24"/>
                <w:szCs w:val="21"/>
                <w:highlight w:val="none"/>
                <w:lang w:val="en-US" w:eastAsia="zh-CN" w:bidi="ar-SA"/>
              </w:rPr>
              <w:t>安全管理体系与措施</w:t>
            </w:r>
            <w:r>
              <w:rPr>
                <w:rFonts w:hint="eastAsia" w:ascii="宋体" w:hAnsi="宋体" w:eastAsia="宋体" w:cs="宋体"/>
                <w:kern w:val="2"/>
                <w:sz w:val="24"/>
                <w:szCs w:val="21"/>
                <w:highlight w:val="none"/>
                <w:lang w:val="en-US" w:eastAsia="zh-CN" w:bidi="ar-SA"/>
              </w:rPr>
              <w:t>；</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bCs/>
                <w:kern w:val="2"/>
                <w:sz w:val="24"/>
                <w:szCs w:val="24"/>
                <w:highlight w:val="none"/>
                <w:lang w:val="en-US" w:eastAsia="zh-CN" w:bidi="ar-SA"/>
              </w:rPr>
              <w:t>项目组管理人员组成；</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考古勘探</w:t>
            </w:r>
            <w:r>
              <w:rPr>
                <w:rFonts w:hint="eastAsia" w:ascii="宋体" w:hAnsi="宋体" w:eastAsia="宋体" w:cs="宋体"/>
                <w:bCs/>
                <w:kern w:val="2"/>
                <w:sz w:val="24"/>
                <w:szCs w:val="24"/>
                <w:highlight w:val="none"/>
                <w:lang w:val="en-US" w:eastAsia="zh-CN" w:bidi="ar-SA"/>
              </w:rPr>
              <w:t>应急预案；</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拟</w:t>
            </w:r>
            <w:r>
              <w:rPr>
                <w:rFonts w:hint="eastAsia" w:ascii="宋体" w:hAnsi="宋体" w:eastAsia="宋体" w:cs="宋体"/>
                <w:kern w:val="2"/>
                <w:sz w:val="24"/>
                <w:szCs w:val="24"/>
                <w:highlight w:val="none"/>
                <w:lang w:val="en-US" w:eastAsia="zh-CN" w:bidi="ar-SA"/>
              </w:rPr>
              <w:t>投入设备的配置情况；</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default" w:ascii="宋体" w:hAnsi="宋体" w:eastAsia="宋体" w:cs="宋体"/>
                <w:kern w:val="2"/>
                <w:sz w:val="24"/>
                <w:szCs w:val="21"/>
                <w:highlight w:val="none"/>
                <w:lang w:val="en-US" w:eastAsia="zh-CN" w:bidi="ar-SA"/>
              </w:rPr>
              <w:t>针对本项目提出合理建议</w:t>
            </w:r>
            <w:r>
              <w:rPr>
                <w:rFonts w:hint="eastAsia" w:ascii="宋体" w:hAnsi="宋体" w:eastAsia="宋体" w:cs="宋体"/>
                <w:kern w:val="2"/>
                <w:sz w:val="24"/>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8</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实质性条款响应</w:t>
            </w:r>
          </w:p>
        </w:tc>
        <w:tc>
          <w:tcPr>
            <w:tcW w:w="7568"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Times New Roman" w:hAnsi="Times New Roman" w:eastAsia="宋体" w:cs="Times New Roman"/>
                <w:sz w:val="24"/>
                <w:highlight w:val="none"/>
              </w:rPr>
            </w:pPr>
            <w:r>
              <w:rPr>
                <w:rFonts w:ascii="宋体" w:hAnsi="宋体" w:eastAsia="宋体" w:cs="宋体"/>
                <w:kern w:val="2"/>
                <w:sz w:val="24"/>
                <w:szCs w:val="21"/>
                <w:highlight w:val="none"/>
                <w:lang w:val="en-US" w:eastAsia="zh-CN" w:bidi="ar-SA"/>
              </w:rPr>
              <w:t>完全响应</w:t>
            </w:r>
            <w:r>
              <w:rPr>
                <w:rFonts w:hint="eastAsia" w:ascii="宋体" w:hAnsi="宋体" w:eastAsia="宋体" w:cs="宋体"/>
                <w:kern w:val="2"/>
                <w:sz w:val="24"/>
                <w:szCs w:val="21"/>
                <w:highlight w:val="none"/>
                <w:lang w:val="en-US" w:eastAsia="zh-CN" w:bidi="ar-SA"/>
              </w:rPr>
              <w:t>谈判</w:t>
            </w:r>
            <w:r>
              <w:rPr>
                <w:rFonts w:ascii="宋体" w:hAnsi="宋体" w:eastAsia="宋体" w:cs="宋体"/>
                <w:kern w:val="2"/>
                <w:sz w:val="24"/>
                <w:szCs w:val="21"/>
                <w:highlight w:val="none"/>
                <w:lang w:val="en-US" w:eastAsia="zh-CN" w:bidi="ar-SA"/>
              </w:rPr>
              <w:t>文件要求的各项技术/服务/商务实</w:t>
            </w:r>
            <w:r>
              <w:rPr>
                <w:rFonts w:hint="eastAsia" w:ascii="宋体" w:hAnsi="宋体" w:eastAsia="宋体" w:cs="宋体"/>
                <w:kern w:val="2"/>
                <w:sz w:val="24"/>
                <w:szCs w:val="21"/>
                <w:highlight w:val="none"/>
                <w:lang w:val="en-US" w:eastAsia="zh-CN" w:bidi="ar-SA"/>
              </w:rPr>
              <w:t>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9</w:t>
            </w:r>
          </w:p>
        </w:tc>
        <w:tc>
          <w:tcPr>
            <w:tcW w:w="2350" w:type="dxa"/>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其他</w:t>
            </w:r>
          </w:p>
        </w:tc>
        <w:tc>
          <w:tcPr>
            <w:tcW w:w="7568" w:type="dxa"/>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完全理解并接受法律法规和谈判文件对供应商的各项要求和责任义务，没有出现法律法规或谈判文件明确规定的其他被视为“无效响应”的情形。</w:t>
            </w:r>
          </w:p>
        </w:tc>
      </w:tr>
    </w:tbl>
    <w:p>
      <w:pPr>
        <w:spacing w:line="360" w:lineRule="auto"/>
        <w:rPr>
          <w:rFonts w:hint="eastAsia" w:ascii="宋体" w:hAnsi="宋体" w:cs="宋体"/>
          <w:b/>
          <w:bCs/>
          <w:sz w:val="24"/>
          <w:szCs w:val="24"/>
          <w:highlight w:val="none"/>
        </w:rPr>
      </w:pPr>
    </w:p>
    <w:p>
      <w:pPr>
        <w:spacing w:line="360" w:lineRule="auto"/>
        <w:ind w:firstLine="482" w:firstLineChars="200"/>
        <w:outlineLvl w:val="1"/>
        <w:rPr>
          <w:rFonts w:hint="eastAsia" w:ascii="宋体" w:hAnsi="宋体" w:cs="宋体"/>
          <w:sz w:val="24"/>
          <w:szCs w:val="24"/>
          <w:highlight w:val="none"/>
        </w:rPr>
      </w:pPr>
      <w:bookmarkStart w:id="166" w:name="_Toc22793"/>
      <w:bookmarkStart w:id="167" w:name="_Toc24753"/>
      <w:bookmarkStart w:id="168" w:name="_Toc23212"/>
      <w:r>
        <w:rPr>
          <w:rFonts w:hint="eastAsia" w:ascii="宋体" w:hAnsi="宋体" w:cs="宋体"/>
          <w:b/>
          <w:bCs/>
          <w:sz w:val="24"/>
          <w:szCs w:val="24"/>
          <w:highlight w:val="none"/>
        </w:rPr>
        <w:t>3、第三阶段：技术和商务评审</w:t>
      </w:r>
      <w:bookmarkEnd w:id="166"/>
      <w:bookmarkEnd w:id="167"/>
      <w:bookmarkEnd w:id="16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3.1按照谈判文件要求，审查供应商所提供</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及所报</w:t>
      </w:r>
      <w:r>
        <w:rPr>
          <w:rFonts w:hint="eastAsia" w:ascii="宋体" w:hAnsi="宋体" w:cs="宋体"/>
          <w:sz w:val="24"/>
          <w:szCs w:val="24"/>
          <w:highlight w:val="none"/>
          <w:lang w:val="en-US" w:eastAsia="zh-CN"/>
        </w:rPr>
        <w:t>清单</w:t>
      </w:r>
      <w:r>
        <w:rPr>
          <w:rFonts w:hint="eastAsia" w:ascii="宋体" w:hAnsi="宋体" w:cs="宋体"/>
          <w:sz w:val="24"/>
          <w:szCs w:val="24"/>
          <w:highlight w:val="none"/>
        </w:rPr>
        <w:t>中所需货物</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服务</w:t>
      </w:r>
      <w:r>
        <w:rPr>
          <w:rFonts w:hint="eastAsia" w:ascii="宋体" w:hAnsi="宋体" w:cs="宋体"/>
          <w:sz w:val="24"/>
          <w:szCs w:val="24"/>
          <w:highlight w:val="none"/>
          <w:lang w:eastAsia="zh-CN"/>
        </w:rPr>
        <w:t>）</w:t>
      </w:r>
      <w:r>
        <w:rPr>
          <w:rFonts w:hint="eastAsia" w:ascii="宋体" w:hAnsi="宋体" w:cs="宋体"/>
          <w:sz w:val="24"/>
          <w:szCs w:val="24"/>
          <w:highlight w:val="none"/>
        </w:rPr>
        <w:t>的规格、参数、质量、数量及相关服务等，记录实质性响应、技术偏离</w:t>
      </w:r>
      <w:r>
        <w:rPr>
          <w:rFonts w:hint="eastAsia" w:ascii="宋体" w:hAnsi="宋体" w:cs="宋体"/>
          <w:sz w:val="24"/>
          <w:szCs w:val="24"/>
          <w:highlight w:val="none"/>
          <w:lang w:val="en-US" w:eastAsia="zh-CN"/>
        </w:rPr>
        <w:t>等事项；</w:t>
      </w:r>
      <w:r>
        <w:rPr>
          <w:rFonts w:hint="eastAsia" w:ascii="宋体" w:hAnsi="宋体" w:cs="宋体"/>
          <w:sz w:val="24"/>
          <w:szCs w:val="24"/>
          <w:highlight w:val="none"/>
        </w:rPr>
        <w:t>进行技术部分评审。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3.2按照谈判文件要求，审查供应商报价、业绩等，记录相关事项，进行商务部分评审。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当供应商实质性条款不满足、非实质性条款负偏离的或者未提供符合谈判文件规定的技术支持资料时，其报价无效。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谈判小组判断响应文件的响应性仅基于响应文件本身而不靠外部因素。未响应实质性条款的，谈判小组有权确定其报价无效，供应商不能通过修正、撤销或者澄清不符之处而使其报价成为实质性响应的报价。</w:t>
      </w:r>
    </w:p>
    <w:p>
      <w:pPr>
        <w:spacing w:line="360" w:lineRule="auto"/>
        <w:ind w:firstLine="482" w:firstLineChars="200"/>
        <w:outlineLvl w:val="1"/>
        <w:rPr>
          <w:rFonts w:hint="eastAsia" w:ascii="宋体" w:hAnsi="宋体" w:cs="宋体"/>
          <w:b/>
          <w:bCs/>
          <w:sz w:val="24"/>
          <w:szCs w:val="24"/>
          <w:highlight w:val="none"/>
        </w:rPr>
      </w:pPr>
      <w:bookmarkStart w:id="169" w:name="_Toc8561"/>
      <w:bookmarkStart w:id="170" w:name="_Toc10046"/>
      <w:bookmarkStart w:id="171" w:name="_Toc26880"/>
      <w:r>
        <w:rPr>
          <w:rFonts w:hint="eastAsia" w:ascii="宋体" w:hAnsi="宋体" w:cs="宋体"/>
          <w:b/>
          <w:bCs/>
          <w:sz w:val="24"/>
          <w:szCs w:val="24"/>
          <w:highlight w:val="none"/>
        </w:rPr>
        <w:t>4、谈判</w:t>
      </w:r>
      <w:bookmarkEnd w:id="169"/>
      <w:bookmarkEnd w:id="170"/>
      <w:bookmarkEnd w:id="171"/>
    </w:p>
    <w:p>
      <w:pPr>
        <w:spacing w:line="360" w:lineRule="auto"/>
        <w:ind w:firstLine="480" w:firstLineChars="200"/>
        <w:rPr>
          <w:rFonts w:hint="eastAsia" w:ascii="宋体" w:hAnsi="宋体" w:cs="宋体"/>
          <w:sz w:val="24"/>
          <w:szCs w:val="24"/>
          <w:highlight w:val="none"/>
        </w:rPr>
      </w:pPr>
      <w:bookmarkStart w:id="172" w:name="_Toc13142"/>
      <w:r>
        <w:rPr>
          <w:rFonts w:hint="eastAsia" w:ascii="宋体" w:hAnsi="宋体" w:cs="宋体"/>
          <w:sz w:val="24"/>
          <w:szCs w:val="24"/>
          <w:highlight w:val="none"/>
        </w:rPr>
        <w:t>4.1谈判小组所有成员集中与实质性响应谈判文件的单一供应商分别进行谈判，并给予所有参加谈判的供应商平等的谈判机会。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谈判小组通过随机方式确定参加谈判供应商的谈判顺序。在谈判中，在谈判过程中谈判的任何一方不得向他人透露与谈判有关的技术资料、价格或其他信息。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4.2谈判文件应详细列明采购标的的技术、服务要求。谈判结束后，谈判小组应当要求所有继续参加谈判的供应商在规定时间内提交最终报价，最终报价是供应商响应文件的有效组成部分。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谈判实行两轮报价法，第二轮报价为最终报价。供应商的响应文件为第一轮报价（即首轮报价）。参加谈判的供应商第二轮报价不得等于或高于其第一轮报价，否则谈判小组有权据此确定其为无效报价，提交最终报价的供应商不得少于三家。</w:t>
      </w:r>
      <w:r>
        <w:rPr>
          <w:spacing w:val="-3"/>
          <w:sz w:val="24"/>
          <w:highlight w:val="none"/>
        </w:rPr>
        <w:t>（</w:t>
      </w:r>
      <w:r>
        <w:rPr>
          <w:spacing w:val="-5"/>
          <w:sz w:val="24"/>
          <w:highlight w:val="none"/>
        </w:rPr>
        <w:t>注：落实政府采购政策进行价格调整的，以调整后的价</w:t>
      </w:r>
      <w:r>
        <w:rPr>
          <w:spacing w:val="-7"/>
          <w:sz w:val="24"/>
          <w:highlight w:val="none"/>
        </w:rPr>
        <w:t>格作为评审价</w:t>
      </w:r>
      <w:r>
        <w:rPr>
          <w:sz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竞争性谈判</w:t>
      </w:r>
      <w:r>
        <w:rPr>
          <w:rFonts w:hint="eastAsia" w:ascii="宋体" w:hAnsi="宋体" w:cs="宋体"/>
          <w:sz w:val="24"/>
          <w:szCs w:val="24"/>
          <w:highlight w:val="none"/>
        </w:rPr>
        <w:t>过程中提交</w:t>
      </w:r>
      <w:r>
        <w:rPr>
          <w:rFonts w:hint="eastAsia" w:ascii="宋体" w:hAnsi="宋体" w:cs="宋体"/>
          <w:sz w:val="24"/>
          <w:szCs w:val="24"/>
          <w:highlight w:val="none"/>
          <w:lang w:eastAsia="zh-CN"/>
        </w:rPr>
        <w:t>响应文件</w:t>
      </w:r>
      <w:r>
        <w:rPr>
          <w:rFonts w:hint="eastAsia" w:ascii="宋体" w:hAnsi="宋体" w:cs="宋体"/>
          <w:sz w:val="24"/>
          <w:szCs w:val="24"/>
          <w:highlight w:val="none"/>
        </w:rPr>
        <w:t>或经评审实质性响应</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文件要求的</w:t>
      </w:r>
      <w:r>
        <w:rPr>
          <w:rFonts w:hint="eastAsia" w:ascii="宋体" w:hAnsi="宋体" w:cs="宋体"/>
          <w:sz w:val="24"/>
          <w:szCs w:val="24"/>
          <w:highlight w:val="none"/>
          <w:lang w:eastAsia="zh-CN"/>
        </w:rPr>
        <w:t>供应商</w:t>
      </w:r>
      <w:r>
        <w:rPr>
          <w:rFonts w:hint="eastAsia" w:ascii="宋体" w:hAnsi="宋体" w:cs="宋体"/>
          <w:sz w:val="24"/>
          <w:szCs w:val="24"/>
          <w:highlight w:val="none"/>
        </w:rPr>
        <w:t>只有两家，且经财政部门批准采用竞争性谈判方式采购的项目，采购人或其委托的采购代理机构应当根据</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文件中的采购需求编制谈判文件，按照竞争性谈判规定程序重新组织采购。符合本款情形的提交最终报价的供应商最低数量可以为两家。</w:t>
      </w:r>
    </w:p>
    <w:p>
      <w:pPr>
        <w:shd w:val="clea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4.4根据</w:t>
      </w:r>
      <w:r>
        <w:rPr>
          <w:rFonts w:hint="eastAsia" w:ascii="宋体" w:hAnsi="宋体" w:cs="宋体"/>
          <w:sz w:val="24"/>
          <w:szCs w:val="24"/>
          <w:highlight w:val="none"/>
          <w:lang w:val="en-US" w:eastAsia="zh-CN"/>
        </w:rPr>
        <w:t>《政府采购促进中小企业发展管理办法》（财库【2020】46号）及榆林市财政局关于进一步加大政府采购支持中小企业力度的通知》（榆政财采发〔2022〕10号）</w:t>
      </w:r>
      <w:r>
        <w:rPr>
          <w:rFonts w:hint="eastAsia" w:ascii="宋体" w:hAnsi="宋体" w:cs="宋体"/>
          <w:sz w:val="24"/>
          <w:szCs w:val="24"/>
          <w:highlight w:val="none"/>
          <w:lang w:eastAsia="zh-CN"/>
        </w:rPr>
        <w:t>的规定中、小、微企业参加投标时对小型和微型企业产品的价格给予</w:t>
      </w:r>
      <w:r>
        <w:rPr>
          <w:rFonts w:hint="eastAsia" w:ascii="宋体" w:hAnsi="宋体" w:cs="宋体"/>
          <w:sz w:val="24"/>
          <w:szCs w:val="24"/>
          <w:highlight w:val="none"/>
          <w:lang w:val="en-US" w:eastAsia="zh-CN"/>
        </w:rPr>
        <w:t>20</w:t>
      </w:r>
      <w:r>
        <w:rPr>
          <w:rFonts w:hint="eastAsia" w:ascii="宋体" w:hAnsi="宋体" w:cs="宋体"/>
          <w:sz w:val="24"/>
          <w:szCs w:val="24"/>
          <w:highlight w:val="none"/>
          <w:lang w:eastAsia="zh-CN"/>
        </w:rPr>
        <w:t>%的扣除，用扣除后的价格参与评审。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.1中小企业（含中型、小型、微型企业，下同）应当同时符合以下条件：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.1.1符合中小企业划分标准。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.1.2提供本企业制造的货物，或者提供其他中小企业制造的货物。本项所称货物不包括使用大型企业注册商标的货物。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.2小型、微型企业提供中型企业制造的货物的，视同为中型企业。</w:t>
      </w:r>
    </w:p>
    <w:p>
      <w:pPr>
        <w:pStyle w:val="26"/>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b/>
          <w:bCs/>
          <w:sz w:val="24"/>
          <w:szCs w:val="24"/>
          <w:highlight w:val="none"/>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.3中、小、微企业参加政府采购项目投标时，必须提</w:t>
      </w:r>
      <w:r>
        <w:rPr>
          <w:rFonts w:hint="eastAsia" w:ascii="宋体" w:hAnsi="宋体" w:eastAsia="宋体" w:cs="宋体"/>
          <w:bCs/>
          <w:color w:val="auto"/>
          <w:sz w:val="24"/>
          <w:highlight w:val="none"/>
        </w:rPr>
        <w:t>供《中小企业声明函》</w:t>
      </w:r>
      <w:r>
        <w:rPr>
          <w:rFonts w:hint="eastAsia" w:ascii="宋体" w:hAnsi="宋体" w:eastAsia="宋体" w:cs="宋体"/>
          <w:bCs/>
          <w:color w:val="auto"/>
          <w:sz w:val="24"/>
          <w:highlight w:val="none"/>
          <w:lang w:eastAsia="zh-CN"/>
        </w:rPr>
        <w:t>，否则不得享受相关中小企业扶持政策</w:t>
      </w:r>
      <w:r>
        <w:rPr>
          <w:rFonts w:hint="eastAsia" w:ascii="宋体" w:hAnsi="宋体" w:cs="宋体"/>
          <w:bCs/>
          <w:color w:val="auto"/>
          <w:sz w:val="24"/>
          <w:highlight w:val="none"/>
        </w:rPr>
        <w:t>。</w:t>
      </w:r>
    </w:p>
    <w:p>
      <w:pPr>
        <w:spacing w:line="360" w:lineRule="auto"/>
        <w:ind w:firstLine="482" w:firstLineChars="200"/>
        <w:outlineLvl w:val="1"/>
        <w:rPr>
          <w:rFonts w:hint="eastAsia" w:ascii="宋体" w:hAnsi="宋体" w:cs="宋体"/>
          <w:sz w:val="24"/>
          <w:szCs w:val="24"/>
          <w:highlight w:val="none"/>
        </w:rPr>
      </w:pPr>
      <w:bookmarkStart w:id="173" w:name="_Toc9355"/>
      <w:bookmarkStart w:id="174" w:name="_Toc22868"/>
      <w:r>
        <w:rPr>
          <w:rFonts w:hint="eastAsia" w:ascii="宋体" w:hAnsi="宋体" w:cs="宋体"/>
          <w:b/>
          <w:bCs/>
          <w:sz w:val="24"/>
          <w:szCs w:val="24"/>
          <w:highlight w:val="none"/>
        </w:rPr>
        <w:t>5、确定成交供应商</w:t>
      </w:r>
      <w:bookmarkEnd w:id="172"/>
      <w:bookmarkEnd w:id="173"/>
      <w:bookmarkEnd w:id="174"/>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5.1谈判小组从质量和服务均能满足谈判文件实质性响应要求的供应商中，确定最终报价最低的供应商作为成交供应商。</w:t>
      </w:r>
    </w:p>
    <w:p>
      <w:pPr>
        <w:spacing w:line="360" w:lineRule="auto"/>
        <w:ind w:firstLine="480" w:firstLineChars="200"/>
        <w:rPr>
          <w:rFonts w:hint="eastAsia" w:ascii="宋体" w:hAnsi="宋体" w:eastAsia="宋体" w:cs="宋体"/>
          <w:b w:val="0"/>
          <w:kern w:val="2"/>
          <w:sz w:val="24"/>
          <w:szCs w:val="24"/>
          <w:highlight w:val="none"/>
          <w:lang w:val="en-US" w:eastAsia="zh-CN" w:bidi="ar-SA"/>
        </w:rPr>
      </w:pPr>
      <w:bookmarkStart w:id="175" w:name="_Toc22818"/>
      <w:bookmarkStart w:id="176" w:name="_Toc1761"/>
      <w:r>
        <w:rPr>
          <w:rFonts w:hint="eastAsia" w:ascii="宋体" w:hAnsi="宋体" w:eastAsia="宋体" w:cs="宋体"/>
          <w:b w:val="0"/>
          <w:kern w:val="2"/>
          <w:sz w:val="24"/>
          <w:szCs w:val="24"/>
          <w:highlight w:val="none"/>
          <w:lang w:val="en-US" w:eastAsia="zh-CN" w:bidi="ar-SA"/>
        </w:rPr>
        <w:t>5.2若两家及以上供应商最终报价最低且相同的，确定技术指标更优者为成交供应商，最终报价及技术指标均相同的，确定服务更优者为成交供应商。</w:t>
      </w:r>
    </w:p>
    <w:p>
      <w:pPr>
        <w:pStyle w:val="5"/>
        <w:bidi w:val="0"/>
        <w:spacing w:before="0" w:beforeAutospacing="0" w:after="0" w:afterAutospacing="0"/>
        <w:jc w:val="center"/>
        <w:rPr>
          <w:rFonts w:hint="eastAsia" w:ascii="宋体" w:hAnsi="宋体" w:cs="宋体"/>
          <w:b w:val="0"/>
          <w:bCs/>
          <w:color w:val="000000"/>
          <w:szCs w:val="32"/>
          <w:highlight w:val="none"/>
        </w:rPr>
      </w:pPr>
      <w:r>
        <w:rPr>
          <w:rFonts w:hint="eastAsia" w:ascii="宋体" w:hAnsi="宋体" w:eastAsia="宋体" w:cs="宋体"/>
          <w:b w:val="0"/>
          <w:kern w:val="2"/>
          <w:sz w:val="24"/>
          <w:szCs w:val="24"/>
          <w:highlight w:val="none"/>
          <w:lang w:val="en-US" w:eastAsia="zh-CN" w:bidi="ar-SA"/>
        </w:rPr>
        <w:br w:type="page"/>
      </w:r>
      <w:bookmarkStart w:id="177" w:name="_Toc1846"/>
      <w:r>
        <w:rPr>
          <w:rStyle w:val="46"/>
          <w:rFonts w:hint="eastAsia"/>
          <w:b/>
          <w:sz w:val="32"/>
          <w:szCs w:val="32"/>
          <w:highlight w:val="none"/>
          <w:lang w:val="en-US" w:eastAsia="zh-CN"/>
        </w:rPr>
        <w:t>第六部分 采购内容及技术要求</w:t>
      </w:r>
      <w:bookmarkEnd w:id="175"/>
      <w:bookmarkEnd w:id="176"/>
      <w:bookmarkEnd w:id="177"/>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sz w:val="32"/>
          <w:szCs w:val="32"/>
          <w:highlight w:val="none"/>
        </w:rPr>
      </w:pPr>
      <w:bookmarkStart w:id="178" w:name="_Toc1933"/>
      <w:r>
        <w:rPr>
          <w:rFonts w:hint="eastAsia" w:ascii="宋体" w:hAnsi="宋体" w:eastAsia="宋体" w:cs="宋体"/>
          <w:b/>
          <w:bCs/>
          <w:sz w:val="32"/>
          <w:szCs w:val="32"/>
          <w:highlight w:val="none"/>
        </w:rPr>
        <w:t>关于农科大道（杲升路-榆麻路）道路工程考古勘探实施采购需求</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一、项目背景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为严格执行《中华人民共和国文物保护法》《田野考古工作规程》等有关法律法规之规定，加快推进我市基本建设项目考古勘探工作，满足基本建设勘探需求，切实有效保护好地下文物遗存，充分利用各方人才和勘探技术力量，积极开展相关基本建设项目的文物考古勘探工作。</w:t>
      </w:r>
    </w:p>
    <w:p>
      <w:pPr>
        <w:keepNext w:val="0"/>
        <w:keepLines w:val="0"/>
        <w:pageBreakBefore w:val="0"/>
        <w:widowControl w:val="0"/>
        <w:numPr>
          <w:ilvl w:val="0"/>
          <w:numId w:val="6"/>
        </w:numPr>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项目概况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highlight w:val="none"/>
        </w:rPr>
      </w:pPr>
      <w:r>
        <w:rPr>
          <w:rFonts w:hint="eastAsia" w:ascii="宋体" w:hAnsi="宋体" w:eastAsia="宋体" w:cs="宋体"/>
          <w:b w:val="0"/>
          <w:bCs w:val="0"/>
          <w:sz w:val="24"/>
          <w:szCs w:val="24"/>
          <w:highlight w:val="none"/>
          <w:lang w:val="en-US" w:eastAsia="zh-CN"/>
        </w:rPr>
        <w:t>农科大道(杲升路-榆麻路)道路建设用地文物调查、勘探，项目建设地点位于建设农科大道(杲升路-榆麻路)市政一级主干道，全长6.780km</w:t>
      </w:r>
      <w:r>
        <w:rPr>
          <w:rFonts w:hint="eastAsia" w:ascii="宋体" w:hAnsi="宋体" w:cs="宋体"/>
          <w:b w:val="0"/>
          <w:bCs w:val="0"/>
          <w:sz w:val="24"/>
          <w:szCs w:val="24"/>
          <w:highlight w:val="none"/>
          <w:lang w:val="en-US" w:eastAsia="zh-CN"/>
        </w:rPr>
        <w:t>，</w:t>
      </w:r>
      <w:r>
        <w:rPr>
          <w:rFonts w:hint="eastAsia" w:ascii="宋体" w:hAnsi="宋体" w:eastAsia="宋体" w:cs="宋体"/>
          <w:b w:val="0"/>
          <w:bCs w:val="0"/>
          <w:sz w:val="24"/>
          <w:szCs w:val="24"/>
          <w:highlight w:val="none"/>
          <w:lang w:val="en-US" w:eastAsia="zh-CN"/>
        </w:rPr>
        <w:t>其中K0+000-K3+370段长3.370km,道路红线45m</w:t>
      </w:r>
      <w:r>
        <w:rPr>
          <w:rFonts w:hint="eastAsia" w:ascii="宋体" w:hAnsi="宋体" w:cs="宋体"/>
          <w:b w:val="0"/>
          <w:bCs w:val="0"/>
          <w:sz w:val="24"/>
          <w:szCs w:val="24"/>
          <w:highlight w:val="none"/>
          <w:lang w:val="en-US" w:eastAsia="zh-CN"/>
        </w:rPr>
        <w:t>；</w:t>
      </w:r>
      <w:r>
        <w:rPr>
          <w:rFonts w:hint="eastAsia" w:ascii="宋体" w:hAnsi="宋体" w:eastAsia="宋体" w:cs="宋体"/>
          <w:b w:val="0"/>
          <w:bCs w:val="0"/>
          <w:sz w:val="24"/>
          <w:szCs w:val="24"/>
          <w:highlight w:val="none"/>
          <w:lang w:val="en-US" w:eastAsia="zh-CN"/>
        </w:rPr>
        <w:t>K3+370-K6+780.409段长3.41km,道路红线33</w:t>
      </w:r>
      <w:r>
        <w:rPr>
          <w:rFonts w:hint="eastAsia" w:ascii="宋体" w:hAnsi="宋体" w:cs="宋体"/>
          <w:b w:val="0"/>
          <w:bCs w:val="0"/>
          <w:sz w:val="24"/>
          <w:szCs w:val="24"/>
          <w:highlight w:val="none"/>
          <w:lang w:val="en-US" w:eastAsia="zh-CN"/>
        </w:rPr>
        <w:t>m。</w:t>
      </w:r>
      <w:r>
        <w:rPr>
          <w:rFonts w:hint="eastAsia" w:ascii="宋体" w:hAnsi="宋体" w:eastAsia="宋体" w:cs="宋体"/>
          <w:b w:val="0"/>
          <w:bCs w:val="0"/>
          <w:sz w:val="24"/>
          <w:szCs w:val="24"/>
          <w:highlight w:val="none"/>
          <w:lang w:val="en-US" w:eastAsia="zh-CN"/>
        </w:rPr>
        <w:t>项目概算总投资38000万元。此次考古勘探的具体工作内容和目标：一是了解项目用地范围内地下文物资源的分布与保存状况，二是须准确详尽的探明项目用地范围内可能埋藏的古遗址及古墓葬等，从而为后续文物发掘、保护展示与利</w:t>
      </w:r>
      <w:r>
        <w:rPr>
          <w:rFonts w:hint="eastAsia" w:ascii="宋体" w:hAnsi="宋体" w:eastAsia="宋体" w:cs="宋体"/>
          <w:b w:val="0"/>
          <w:bCs w:val="0"/>
          <w:sz w:val="24"/>
          <w:szCs w:val="24"/>
          <w:highlight w:val="none"/>
          <w:lang w:val="en-US" w:eastAsia="zh-CN"/>
        </w:rPr>
        <w:drawing>
          <wp:anchor distT="0" distB="0" distL="0" distR="0" simplePos="0" relativeHeight="251660288" behindDoc="0" locked="0" layoutInCell="0" allowOverlap="1">
            <wp:simplePos x="0" y="0"/>
            <wp:positionH relativeFrom="page">
              <wp:posOffset>5251450</wp:posOffset>
            </wp:positionH>
            <wp:positionV relativeFrom="page">
              <wp:posOffset>10032365</wp:posOffset>
            </wp:positionV>
            <wp:extent cx="1847850" cy="6350"/>
            <wp:effectExtent l="0" t="0" r="0" b="0"/>
            <wp:wrapNone/>
            <wp:docPr id="6" name="IM 4"/>
            <wp:cNvGraphicFramePr/>
            <a:graphic xmlns:a="http://schemas.openxmlformats.org/drawingml/2006/main">
              <a:graphicData uri="http://schemas.openxmlformats.org/drawingml/2006/picture">
                <pic:pic xmlns:pic="http://schemas.openxmlformats.org/drawingml/2006/picture">
                  <pic:nvPicPr>
                    <pic:cNvPr id="6" name="IM 4"/>
                    <pic:cNvPicPr/>
                  </pic:nvPicPr>
                  <pic:blipFill>
                    <a:blip r:embed="rId8"/>
                    <a:stretch>
                      <a:fillRect/>
                    </a:stretch>
                  </pic:blipFill>
                  <pic:spPr>
                    <a:xfrm>
                      <a:off x="0" y="0"/>
                      <a:ext cx="1847867" cy="6416"/>
                    </a:xfrm>
                    <a:prstGeom prst="rect">
                      <a:avLst/>
                    </a:prstGeom>
                  </pic:spPr>
                </pic:pic>
              </a:graphicData>
            </a:graphic>
          </wp:anchor>
        </w:drawing>
      </w:r>
      <w:r>
        <w:rPr>
          <w:rFonts w:hint="eastAsia" w:ascii="宋体" w:hAnsi="宋体" w:eastAsia="宋体" w:cs="宋体"/>
          <w:b w:val="0"/>
          <w:bCs w:val="0"/>
          <w:sz w:val="24"/>
          <w:szCs w:val="24"/>
          <w:highlight w:val="none"/>
          <w:lang w:val="en-US" w:eastAsia="zh-CN"/>
        </w:rPr>
        <w:t>用等提供基础资料，并为项目建设规划等提供前期决策依据。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三、工作要求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《田野考古工作规程》、《考古勘探工作规程》（试行）严格实施，应结合传统勘探手段，科学、高效的获取地下文化遗存信息。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1.勘探单位应确定专门的负责人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具备文物相关职称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、探工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提供探工证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、测绘员、资料员等组成，做到科学组织、分工明确。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2．勘探工作实施前，应制定科学、详实的工作计划，明确工作任务、技术路线、人员分工和职责、工作进度、文物保护措施和应急预案等。考古勘探工作计划是考古勘探工作检查、验收的重要依据。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3.对勘探出的遗迹要详细测量和准确记录。测量设备包括全站仪、RTK等，采用数字化技术记录时，应配备笔记本电脑、平板电脑等移动电子设备，及时记录、存储和处理所获数据。</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勘探单位实施勘探作业时，工作人员应统一着装，服装应有勘探单位统一标识，佩戴工作证。工作证（牌）上应注明勘探单位、姓名、职务、工种等信息，并附本人照片。勘探装备、测绘装备、工地车辆及临时设施上应设置明确的勘探单位标识。勘探工地应设置必要的标识、围挡，说明作业区域范围、勘探工作基本信息和危险地段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工作开始前，勘探单位应根据《考古勘探工作规程》（试行）要求，确定勘探分区与勘探单元。根据建设单位提供的测绘控制点，设置勘探坐标原点，构建测控系统，以保证测绘数据与城乡规划坐标系统相对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6.勘探工作实施前，应明确布孔方法与勘探孔距。并绘制勘探区域探孔布设平面示意图，作为工作依据及检查验收的必备材料。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7.勘探应根据地形地势采用等距梅花状布孔法，探孔应错列分布。采用每平方米布孔5个梅花点进行勘探工作，以准确掌握地下遗存分布情况。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、勘探作业</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1.勘探单位应按照勘探工作计划，对勘探区域进行普探和重点卡探，并科学研判地下遗存类型。探孔深度应到达原生地层，重要遗迹应尽量减少穿透式勘探。</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（一）普探</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1、普探是在勘探区域内逐行勘探，提取土样并记录。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2、探孔应排列规整，土样依次摆放整齐。</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3、探孔记录应包括各堆积层距离地面的深度、土质土色、致密度、包含物、堆积状况研判结论等。</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4、发现遗迹现象时，应现场在探孔布设图上标注记号。</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5、探孔内文物标本采集和样品采样时，均应以探孔为出土单位登记，采集或采样标签应填写规范。</w:t>
      </w:r>
    </w:p>
    <w:p>
      <w:pPr>
        <w:keepNext w:val="0"/>
        <w:keepLines w:val="0"/>
        <w:pageBreakBefore w:val="0"/>
        <w:widowControl w:val="0"/>
        <w:shd w:val="clear"/>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6、应选择最能够反映堆积特征、有利于研判遗迹单位性质的探孔作为标准探孔。标准探孔除进行文字记录外，须现场留取图像清晰、色彩真实的探孔土样的照片记录。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（二）重点卡探</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1、发现重要遗迹现象时，应进行重点卡探，进一步掌握遗迹形制，探明堆积范围、厚度。</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2、堆积特征清楚、明确的大型夯土建筑遗迹等，应重点确认夯土遗存，以少量探孔进行穿透式勘探，了解遗迹堆积和叠压状况。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3、古墓葬应探至墓口，重点确定墓葬开口形状，尽量少的探孔数量确定深度信息。</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4、重要遗迹应布设“十”字形排孔，了解遗迹的纵、横剖面及堆积情况。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5、重点卡探的所有探孔及堆积信息，均应标注在勘探单元探孔布设图上。</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（三）遗迹研判</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1、应根据遗迹形制、土样、提取物性状等，初步分析遗迹类型、性质，现场记录研判结果。</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2、记录内容应包括分布范围（含涉及探孔编号）、埋藏情况（距现地表深度和开口层位）、形制结构、堆积状况（含与相关遗迹关系）、保存状况等，绘制平、剖面图。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3、土样中包含物或遗迹形制特征明显时，应初步判断遗迹年代。遗迹单位确认后，应及时在勘探单元探孔布设图上标注遗迹单元的平面形制。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（四）遗迹编号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经考古勘探发现、并初步确认的遗迹单位，应以勘探分区为单位统一编号。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（五）堆积记录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1、勘探过程中，应做好地层堆积描述和遗迹单位记录。</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2、探孔记录应以勘探单元为单位，采用表格形式。内容应包括勘探分区、勘探单元、探孔编号、探孔三维坐标、地层堆积（ 包括距现地表深度、土质、土色、致密度、包含物、堆积性质、采集遗物等）等。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3、探孔地层堆积特性的判断和描述述按照以下方式进行：</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（1）土色。描述顺序依次为土色的深浅、色调、主色。</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（2）土质。一般分为黏土和淤泥（土）。根据土中包含物颗粒状况，又可以分为粉沙（直径小于0.1毫米）、细沙(直径0.1-0.25毫米)、粗沙(直径0.25-2.0毫米)、砾石/卵石（直径大于2.0毫米。细砾 2-64 毫米，粗砾64- 256毫米）等。</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致密度。判断土壤致密程度，包括疏松、较疏松、较致密、致密等。判断参考标准为：疏松——非常轻易用手碾碎；较疏松——较容易用手碾碎；较致密——需用力才能用手捻碎；致密——几乎无法用手捻碎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（六）文物标本采集</w:t>
      </w:r>
    </w:p>
    <w:p>
      <w:pPr>
        <w:keepNext w:val="0"/>
        <w:keepLines w:val="0"/>
        <w:pageBreakBefore w:val="0"/>
        <w:widowControl w:val="0"/>
        <w:shd w:val="clea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采集文物标本时，应以探孔为单位，准确记录文物标本被发现时的三维坐标信息，并说明埋藏环境。采集的文物标本应在工作完成后连同各项资料及时移交至基建考古办公室。</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（七）测绘成图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1、（一）应在既有测绘系统的基础上，利用全站仪或RTK等测绘仪器测量遗迹单位，并绘制勘探区域平面图。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（二）测绘图须注明图名、图号、比例、绘图者、审定者、绘图日期、图例、方向等必要说明。</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2、勘探单位要严格执行勘探工作标准与要求，规范各类图文记录，注意做好确保勘探信息保密工作。</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五、需提交的资料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1、提供详细考古勘探报告纸质版3份《考古勘探报告》、检查和验收表格、勘探过程资料并附电子版原件；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2、提供有关勘探地点的详细电子版资料，图纸包括测绘地形图、遗迹分布总平面图、重点或代表性遗迹平剖面图等；照片包括勘探前地貌、布孔照、重要遗迹现场照、每天工作照片等，重要遗址需要高空照；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3、提供勘探区域的GPS坐标、勘探范围的地理坐标；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4、勘探报告需详细、规范，符合国家文物局新颁布的《田野考古勘探工作规程》（试行）。</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5、勘探资料包括工作日志、考勤表、遗迹登记表、重点遗迹平剖面图、勘探区域总平面图、勘探工作照片等。</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六、验收时要求</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1、勘探要求。能够了解和记录遗迹位置、范围、形制结构、堆积状况，遗址性质和价值的研判准确、科学。</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2、记录要求。图文资料、影像记录、基础数据等齐备、规范，编写完成考古勘探工作报告。</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3、布孔要求。一般情况下，布孔密度为1米×1米梅花状孔网。</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4、深度要求。普探以探至生土为止。如发现遗迹，以能够确定范围边界、遗迹表面（或开口）埋藏深度和自身堆积厚度（或深度）为止。</w:t>
      </w:r>
    </w:p>
    <w:p>
      <w:pPr>
        <w:keepNext w:val="0"/>
        <w:keepLines w:val="0"/>
        <w:pageBreakBefore w:val="0"/>
        <w:widowControl w:val="0"/>
        <w:shd w:val="clear"/>
        <w:kinsoku/>
        <w:wordWrap/>
        <w:overflowPunct/>
        <w:topLinePunct w:val="0"/>
        <w:autoSpaceDE/>
        <w:autoSpaceDN/>
        <w:bidi w:val="0"/>
        <w:adjustRightInd/>
        <w:snapToGrid/>
        <w:spacing w:after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验收合格后，勘探单位应组织人员将所有探孔用素土或纯净沙土回填、夯实。</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七、其他要求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1、严格按照国家文物局2017年度颁布的《考古勘探工作规程(试行)》的相关规定，并参考</w:t>
      </w:r>
      <w:r>
        <w:rPr>
          <w:rFonts w:hint="eastAsia" w:ascii="宋体" w:hAnsi="宋体" w:eastAsia="宋体" w:cs="宋体"/>
          <w:color w:val="auto"/>
          <w:sz w:val="24"/>
          <w:szCs w:val="24"/>
          <w:highlight w:val="none"/>
          <w:lang w:val="en-US" w:eastAsia="zh-CN"/>
        </w:rPr>
        <w:t>当地</w:t>
      </w:r>
      <w:r>
        <w:rPr>
          <w:rFonts w:hint="eastAsia" w:ascii="宋体" w:hAnsi="宋体" w:eastAsia="宋体" w:cs="宋体"/>
          <w:color w:val="auto"/>
          <w:sz w:val="24"/>
          <w:szCs w:val="24"/>
          <w:highlight w:val="none"/>
        </w:rPr>
        <w:t>的地理条件、地下遗存埋藏状况，结合传统勘探手段，获取地下文化遗存信息，确保文化遗产不受破坏。</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2、普探布点间距1米，加点位置偏差&lt;10厘米，深度为天然</w:t>
      </w:r>
      <w:r>
        <w:rPr>
          <w:rFonts w:hint="eastAsia" w:ascii="宋体" w:hAnsi="宋体" w:eastAsia="宋体" w:cs="宋体"/>
          <w:color w:val="auto"/>
          <w:sz w:val="24"/>
          <w:szCs w:val="24"/>
          <w:highlight w:val="none"/>
          <w:lang w:val="en-US" w:eastAsia="zh-CN"/>
        </w:rPr>
        <w:t>原</w:t>
      </w:r>
      <w:r>
        <w:rPr>
          <w:rFonts w:hint="eastAsia" w:ascii="宋体" w:hAnsi="宋体" w:eastAsia="宋体" w:cs="宋体"/>
          <w:color w:val="auto"/>
          <w:sz w:val="24"/>
          <w:szCs w:val="24"/>
          <w:highlight w:val="none"/>
        </w:rPr>
        <w:t>始土层以下20厘米。勘探出的古遗址、古墓葬等古文化遗迹应有明显的地面标记。</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3、对勘探出的古遗址、古墓葬等做好绘图、照相、测绘、定点等工作，重要或代表性遗迹单位应有平剖面图。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highlight w:val="none"/>
          <w:lang w:val="en-US" w:eastAsia="zh-CN" w:bidi="ar-SA"/>
        </w:rPr>
      </w:pPr>
      <w:r>
        <w:rPr>
          <w:rFonts w:hint="eastAsia" w:ascii="宋体" w:hAnsi="宋体" w:eastAsia="宋体" w:cs="宋体"/>
          <w:snapToGrid/>
          <w:color w:val="000000"/>
          <w:kern w:val="2"/>
          <w:sz w:val="24"/>
          <w:szCs w:val="24"/>
          <w:highlight w:val="none"/>
          <w:lang w:val="en-US" w:eastAsia="zh-CN" w:bidi="ar-SA"/>
        </w:rPr>
        <w:t>4、勘探工期：</w:t>
      </w:r>
      <w:r>
        <w:rPr>
          <w:rFonts w:hint="eastAsia" w:ascii="宋体" w:hAnsi="宋体" w:cs="宋体"/>
          <w:snapToGrid/>
          <w:color w:val="000000"/>
          <w:kern w:val="2"/>
          <w:sz w:val="24"/>
          <w:szCs w:val="24"/>
          <w:highlight w:val="none"/>
          <w:lang w:val="en-US" w:eastAsia="zh-CN" w:bidi="ar-SA"/>
        </w:rPr>
        <w:t>50</w:t>
      </w:r>
      <w:r>
        <w:rPr>
          <w:rFonts w:hint="eastAsia" w:ascii="宋体" w:hAnsi="宋体" w:eastAsia="宋体" w:cs="宋体"/>
          <w:snapToGrid/>
          <w:color w:val="000000"/>
          <w:kern w:val="2"/>
          <w:sz w:val="24"/>
          <w:szCs w:val="24"/>
          <w:highlight w:val="none"/>
          <w:lang w:val="en-US" w:eastAsia="zh-CN" w:bidi="ar-SA"/>
        </w:rPr>
        <w:t>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napToGrid/>
          <w:color w:val="000000"/>
          <w:kern w:val="2"/>
          <w:sz w:val="24"/>
          <w:szCs w:val="24"/>
          <w:highlight w:val="none"/>
          <w:lang w:val="en-US" w:eastAsia="zh-CN" w:bidi="ar-SA"/>
        </w:rPr>
        <w:t>5、报告编制时间:勘探完工后5日。</w:t>
      </w:r>
    </w:p>
    <w:p>
      <w:pPr>
        <w:rPr>
          <w:rStyle w:val="46"/>
          <w:rFonts w:hint="eastAsia" w:ascii="宋体" w:hAnsi="宋体" w:eastAsia="宋体" w:cs="宋体"/>
          <w:color w:val="auto"/>
          <w:sz w:val="32"/>
          <w:szCs w:val="16"/>
          <w:highlight w:val="none"/>
          <w:lang w:val="en-US" w:eastAsia="zh-CN"/>
        </w:rPr>
      </w:pPr>
      <w:r>
        <w:rPr>
          <w:rStyle w:val="46"/>
          <w:rFonts w:hint="eastAsia" w:ascii="宋体" w:hAnsi="宋体" w:eastAsia="宋体" w:cs="宋体"/>
          <w:color w:val="auto"/>
          <w:sz w:val="32"/>
          <w:szCs w:val="16"/>
          <w:highlight w:val="none"/>
          <w:lang w:val="en-US" w:eastAsia="zh-CN"/>
        </w:rPr>
        <w:br w:type="page"/>
      </w:r>
    </w:p>
    <w:p>
      <w:pPr>
        <w:spacing w:line="360" w:lineRule="auto"/>
        <w:jc w:val="center"/>
        <w:outlineLvl w:val="0"/>
        <w:rPr>
          <w:rStyle w:val="46"/>
          <w:rFonts w:hint="default" w:ascii="宋体" w:hAnsi="宋体" w:eastAsia="宋体" w:cs="宋体"/>
          <w:sz w:val="32"/>
          <w:szCs w:val="16"/>
          <w:highlight w:val="none"/>
          <w:lang w:val="en-US" w:eastAsia="zh-CN"/>
        </w:rPr>
      </w:pPr>
      <w:bookmarkStart w:id="179" w:name="_Toc10032"/>
      <w:bookmarkStart w:id="180" w:name="_Toc4816"/>
      <w:r>
        <w:rPr>
          <w:rStyle w:val="46"/>
          <w:rFonts w:hint="eastAsia" w:ascii="宋体" w:hAnsi="宋体" w:eastAsia="宋体" w:cs="宋体"/>
          <w:sz w:val="32"/>
          <w:szCs w:val="16"/>
          <w:highlight w:val="none"/>
          <w:lang w:val="en-US" w:eastAsia="zh-CN"/>
        </w:rPr>
        <w:t>第七部分  商务要求</w:t>
      </w:r>
      <w:bookmarkEnd w:id="179"/>
      <w:bookmarkEnd w:id="180"/>
    </w:p>
    <w:p>
      <w:pPr>
        <w:numPr>
          <w:ilvl w:val="0"/>
          <w:numId w:val="7"/>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服务期</w:t>
      </w:r>
    </w:p>
    <w:p>
      <w:pPr>
        <w:numPr>
          <w:ilvl w:val="0"/>
          <w:numId w:val="0"/>
        </w:numPr>
        <w:spacing w:line="360" w:lineRule="auto"/>
        <w:ind w:firstLine="960" w:firstLineChars="4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勘探工期:</w:t>
      </w:r>
      <w:r>
        <w:rPr>
          <w:rFonts w:hint="eastAsia" w:ascii="宋体" w:hAnsi="宋体" w:cs="宋体"/>
          <w:snapToGrid/>
          <w:color w:val="000000"/>
          <w:kern w:val="2"/>
          <w:sz w:val="24"/>
          <w:szCs w:val="24"/>
          <w:highlight w:val="none"/>
          <w:lang w:val="en-US" w:eastAsia="zh-CN" w:bidi="ar-SA"/>
        </w:rPr>
        <w:t>50日</w:t>
      </w:r>
      <w:r>
        <w:rPr>
          <w:rFonts w:hint="eastAsia" w:ascii="宋体" w:hAnsi="宋体" w:eastAsia="宋体" w:cs="宋体"/>
          <w:color w:val="auto"/>
          <w:sz w:val="24"/>
          <w:szCs w:val="24"/>
          <w:highlight w:val="none"/>
          <w:lang w:val="en-US" w:eastAsia="zh-CN"/>
        </w:rPr>
        <w:t>。   报告编制时间:</w:t>
      </w:r>
      <w:r>
        <w:rPr>
          <w:rFonts w:hint="eastAsia" w:ascii="宋体" w:hAnsi="宋体" w:eastAsia="宋体" w:cs="宋体"/>
          <w:snapToGrid/>
          <w:color w:val="000000"/>
          <w:kern w:val="2"/>
          <w:sz w:val="24"/>
          <w:szCs w:val="24"/>
          <w:highlight w:val="none"/>
          <w:lang w:val="en-US" w:eastAsia="zh-CN" w:bidi="ar-SA"/>
        </w:rPr>
        <w:t>勘探完工后5日</w:t>
      </w:r>
      <w:r>
        <w:rPr>
          <w:rFonts w:hint="eastAsia" w:ascii="宋体" w:hAnsi="宋体" w:eastAsia="宋体" w:cs="宋体"/>
          <w:color w:val="auto"/>
          <w:sz w:val="24"/>
          <w:szCs w:val="24"/>
          <w:highlight w:val="none"/>
          <w:lang w:val="en-US" w:eastAsia="zh-CN"/>
        </w:rPr>
        <w:t>。</w:t>
      </w:r>
    </w:p>
    <w:p>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、合同价款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文件的规定及企业自身的情况报价。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除非合同中另有规定，</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的报价应为完成</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文件约定的所有工作所需各项费用的总和。合同总价一次包死，不受市场价变化的影响，不受实际工作量变化的影响。</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四、款项结算</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1、合同款的支付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按合同约定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2、结算方式：银行转帐，采购单位持中标通知书、采购合同、项目验收报告、发票复印件办理相关支付手续。</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val="en-US" w:eastAsia="zh-CN"/>
        </w:rPr>
        <w:t>标准</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w:t>
      </w:r>
      <w:r>
        <w:rPr>
          <w:rFonts w:hint="eastAsia" w:ascii="宋体" w:hAnsi="宋体" w:eastAsia="宋体" w:cs="宋体"/>
          <w:color w:val="auto"/>
          <w:sz w:val="24"/>
          <w:szCs w:val="24"/>
          <w:highlight w:val="none"/>
        </w:rPr>
        <w:t>符合国家要求</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、违约责任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1、按《合同法》中的相关条款执行。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2、未按合同要求提供或工程质量不能满足技术要求，采购单位有权终止合同和对供方违约行为进行追究，同时按相关法律法规的有关规定进行相应的处罚。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编制完成后，由甲方组织有关专家进行评审和验收，评审和验收标准应符合相应主管部门的组织的审查要求，并取得相应主管部门审查批复文件，评审达不到甲方、监管要求的，继续完善至符合甲方、监管要求。</w:t>
      </w:r>
    </w:p>
    <w:p>
      <w:pPr>
        <w:rPr>
          <w:rStyle w:val="46"/>
          <w:rFonts w:hint="eastAsia" w:ascii="宋体" w:hAnsi="宋体" w:cs="宋体"/>
          <w:sz w:val="32"/>
          <w:szCs w:val="16"/>
          <w:highlight w:val="none"/>
          <w:lang w:val="en-US" w:eastAsia="zh-CN"/>
        </w:rPr>
      </w:pPr>
      <w:r>
        <w:rPr>
          <w:rStyle w:val="46"/>
          <w:rFonts w:hint="eastAsia" w:ascii="宋体" w:hAnsi="宋体" w:cs="宋体"/>
          <w:sz w:val="32"/>
          <w:szCs w:val="16"/>
          <w:highlight w:val="none"/>
          <w:lang w:val="en-US" w:eastAsia="zh-CN"/>
        </w:rPr>
        <w:br w:type="page"/>
      </w:r>
    </w:p>
    <w:p>
      <w:pPr>
        <w:pStyle w:val="5"/>
        <w:bidi w:val="0"/>
        <w:jc w:val="center"/>
        <w:rPr>
          <w:rFonts w:hint="eastAsia" w:ascii="宋体" w:hAnsi="宋体" w:cs="宋体"/>
          <w:b/>
          <w:bCs/>
          <w:color w:val="000000"/>
          <w:sz w:val="32"/>
          <w:szCs w:val="32"/>
          <w:highlight w:val="none"/>
        </w:rPr>
      </w:pPr>
      <w:bookmarkStart w:id="181" w:name="_Toc10308"/>
      <w:r>
        <w:rPr>
          <w:rStyle w:val="46"/>
          <w:rFonts w:hint="eastAsia" w:ascii="宋体" w:hAnsi="宋体" w:cs="宋体"/>
          <w:b/>
          <w:sz w:val="32"/>
          <w:szCs w:val="16"/>
          <w:highlight w:val="none"/>
        </w:rPr>
        <w:t>第</w:t>
      </w:r>
      <w:r>
        <w:rPr>
          <w:rStyle w:val="46"/>
          <w:rFonts w:hint="eastAsia" w:ascii="宋体" w:hAnsi="宋体" w:cs="宋体"/>
          <w:b/>
          <w:sz w:val="32"/>
          <w:szCs w:val="16"/>
          <w:highlight w:val="none"/>
          <w:lang w:val="en-US" w:eastAsia="zh-CN"/>
        </w:rPr>
        <w:t>八</w:t>
      </w:r>
      <w:r>
        <w:rPr>
          <w:rStyle w:val="46"/>
          <w:rFonts w:hint="eastAsia" w:ascii="宋体" w:hAnsi="宋体" w:cs="宋体"/>
          <w:b/>
          <w:sz w:val="32"/>
          <w:szCs w:val="16"/>
          <w:highlight w:val="none"/>
        </w:rPr>
        <w:t>部分 附件-竞争性谈判响应文件格式</w:t>
      </w:r>
      <w:bookmarkEnd w:id="178"/>
      <w:bookmarkEnd w:id="181"/>
    </w:p>
    <w:p>
      <w:pPr>
        <w:spacing w:line="360" w:lineRule="auto"/>
        <w:jc w:val="right"/>
        <w:outlineLvl w:val="9"/>
        <w:rPr>
          <w:rFonts w:hint="eastAsia" w:ascii="宋体" w:hAnsi="宋体" w:cs="宋体"/>
          <w:b/>
          <w:bCs/>
          <w:color w:val="000000"/>
          <w:sz w:val="32"/>
          <w:szCs w:val="32"/>
          <w:highlight w:val="none"/>
        </w:rPr>
      </w:pPr>
      <w:r>
        <w:rPr>
          <w:rFonts w:hint="eastAsia" w:ascii="宋体" w:hAnsi="宋体" w:cs="宋体"/>
          <w:b/>
          <w:bCs/>
          <w:color w:val="000000"/>
          <w:sz w:val="28"/>
          <w:szCs w:val="28"/>
          <w:highlight w:val="none"/>
        </w:rPr>
        <w:t xml:space="preserve"> </w:t>
      </w:r>
      <w:bookmarkStart w:id="182" w:name="_Toc1117"/>
      <w:bookmarkStart w:id="183" w:name="_Toc12194"/>
      <w:bookmarkStart w:id="184" w:name="_Toc28078"/>
      <w:bookmarkStart w:id="185" w:name="_Toc3548"/>
    </w:p>
    <w:bookmarkEnd w:id="182"/>
    <w:bookmarkEnd w:id="183"/>
    <w:bookmarkEnd w:id="184"/>
    <w:bookmarkEnd w:id="185"/>
    <w:p>
      <w:pPr>
        <w:spacing w:line="360" w:lineRule="auto"/>
        <w:jc w:val="left"/>
        <w:rPr>
          <w:rFonts w:hint="eastAsia" w:ascii="宋体" w:hAnsi="宋体" w:cs="宋体"/>
          <w:b/>
          <w:color w:val="auto"/>
          <w:kern w:val="0"/>
          <w:sz w:val="32"/>
          <w:szCs w:val="20"/>
          <w:highlight w:val="none"/>
        </w:rPr>
      </w:pPr>
    </w:p>
    <w:p>
      <w:pPr>
        <w:bidi w:val="0"/>
        <w:rPr>
          <w:rFonts w:hint="eastAsia"/>
          <w:b/>
          <w:bCs/>
          <w:sz w:val="32"/>
          <w:szCs w:val="32"/>
          <w:highlight w:val="none"/>
        </w:rPr>
      </w:pPr>
      <w:bookmarkStart w:id="186" w:name="_Toc5168"/>
      <w:bookmarkStart w:id="187" w:name="_Toc17289"/>
      <w:bookmarkStart w:id="188" w:name="_Toc1217"/>
      <w:bookmarkStart w:id="189" w:name="_Toc1429"/>
      <w:bookmarkStart w:id="190" w:name="_Toc12256"/>
      <w:bookmarkStart w:id="191" w:name="_Toc6490"/>
      <w:bookmarkStart w:id="192" w:name="_Toc14853"/>
      <w:bookmarkStart w:id="193" w:name="_Toc28158"/>
      <w:bookmarkStart w:id="194" w:name="_Toc24210"/>
      <w:bookmarkStart w:id="195" w:name="_Toc13521"/>
      <w:bookmarkStart w:id="196" w:name="_Toc19606"/>
      <w:bookmarkStart w:id="197" w:name="_Toc2111"/>
      <w:bookmarkStart w:id="198" w:name="_Toc19400"/>
      <w:bookmarkStart w:id="199" w:name="_Toc11690"/>
      <w:bookmarkStart w:id="200" w:name="_Toc6623"/>
      <w:r>
        <w:rPr>
          <w:rFonts w:hint="eastAsia"/>
          <w:b/>
          <w:bCs/>
          <w:sz w:val="32"/>
          <w:szCs w:val="32"/>
          <w:highlight w:val="none"/>
        </w:rPr>
        <w:t>采购项目编号：</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hint="eastAsia"/>
          <w:b/>
          <w:bCs/>
          <w:sz w:val="32"/>
          <w:szCs w:val="32"/>
          <w:highlight w:val="none"/>
        </w:rPr>
        <w:t xml:space="preserve">                      </w:t>
      </w:r>
    </w:p>
    <w:p>
      <w:pPr>
        <w:bidi w:val="0"/>
        <w:jc w:val="right"/>
        <w:rPr>
          <w:rFonts w:hint="eastAsia"/>
          <w:b/>
          <w:bCs/>
          <w:sz w:val="32"/>
          <w:szCs w:val="32"/>
          <w:highlight w:val="none"/>
        </w:rPr>
      </w:pPr>
      <w:bookmarkStart w:id="201" w:name="_Toc29012"/>
      <w:bookmarkStart w:id="202" w:name="_Toc29814"/>
      <w:bookmarkStart w:id="203" w:name="_Toc9784"/>
      <w:bookmarkStart w:id="204" w:name="_Toc25884"/>
      <w:bookmarkStart w:id="205" w:name="_Toc20168"/>
      <w:bookmarkStart w:id="206" w:name="_Toc8562"/>
      <w:bookmarkStart w:id="207" w:name="_Toc7996"/>
      <w:bookmarkStart w:id="208" w:name="_Toc16765"/>
      <w:bookmarkStart w:id="209" w:name="_Toc9983"/>
      <w:bookmarkStart w:id="210" w:name="_Toc28197"/>
      <w:bookmarkStart w:id="211" w:name="_Toc22576"/>
      <w:bookmarkStart w:id="212" w:name="_Toc31070"/>
      <w:bookmarkStart w:id="213" w:name="_Toc188"/>
      <w:bookmarkStart w:id="214" w:name="_Toc28018"/>
      <w:bookmarkStart w:id="215" w:name="_Toc16279"/>
      <w:bookmarkStart w:id="216" w:name="_Toc2195"/>
      <w:r>
        <w:rPr>
          <w:rFonts w:hint="eastAsia"/>
          <w:b/>
          <w:bCs/>
          <w:sz w:val="32"/>
          <w:szCs w:val="32"/>
          <w:highlight w:val="none"/>
        </w:rPr>
        <w:t>（正/副本）</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rPr>
          <w:rFonts w:hint="eastAsia" w:ascii="宋体" w:hAnsi="宋体" w:cs="宋体"/>
          <w:color w:val="auto"/>
          <w:kern w:val="0"/>
          <w:sz w:val="24"/>
          <w:szCs w:val="20"/>
          <w:highlight w:val="none"/>
        </w:rPr>
      </w:pPr>
    </w:p>
    <w:p>
      <w:pPr>
        <w:rPr>
          <w:rFonts w:hint="eastAsia" w:ascii="宋体" w:hAnsi="宋体" w:cs="宋体"/>
          <w:color w:val="auto"/>
          <w:kern w:val="0"/>
          <w:sz w:val="24"/>
          <w:szCs w:val="20"/>
          <w:highlight w:val="none"/>
        </w:rPr>
      </w:pPr>
    </w:p>
    <w:p>
      <w:pPr>
        <w:rPr>
          <w:rFonts w:hint="eastAsia" w:ascii="宋体" w:hAnsi="宋体" w:cs="宋体"/>
          <w:color w:val="auto"/>
          <w:kern w:val="0"/>
          <w:sz w:val="24"/>
          <w:szCs w:val="20"/>
          <w:highlight w:val="none"/>
        </w:rPr>
      </w:pPr>
    </w:p>
    <w:p>
      <w:pPr>
        <w:spacing w:line="360" w:lineRule="auto"/>
        <w:jc w:val="center"/>
        <w:rPr>
          <w:rFonts w:hint="eastAsia" w:ascii="宋体" w:hAnsi="宋体" w:eastAsia="宋体" w:cs="宋体"/>
          <w:b/>
          <w:bCs/>
          <w:sz w:val="48"/>
          <w:szCs w:val="48"/>
          <w:highlight w:val="none"/>
          <w:lang w:eastAsia="zh-CN"/>
        </w:rPr>
      </w:pPr>
      <w:r>
        <w:rPr>
          <w:rFonts w:hint="eastAsia" w:ascii="宋体" w:hAnsi="宋体" w:cs="宋体"/>
          <w:b/>
          <w:bCs/>
          <w:sz w:val="48"/>
          <w:szCs w:val="48"/>
          <w:highlight w:val="none"/>
          <w:lang w:eastAsia="zh-CN"/>
        </w:rPr>
        <w:t>农科大道（杲升路-榆麻路）道路建设用地文物调查、勘探报告编辑及技术服务项目</w:t>
      </w:r>
    </w:p>
    <w:p>
      <w:pPr>
        <w:spacing w:line="360" w:lineRule="auto"/>
        <w:rPr>
          <w:rFonts w:hint="eastAsia" w:ascii="宋体" w:hAnsi="宋体" w:cs="宋体"/>
          <w:b/>
          <w:bCs/>
          <w:color w:val="auto"/>
          <w:kern w:val="0"/>
          <w:sz w:val="66"/>
          <w:szCs w:val="48"/>
          <w:highlight w:val="none"/>
        </w:rPr>
      </w:pPr>
    </w:p>
    <w:p>
      <w:pPr>
        <w:pStyle w:val="2"/>
        <w:rPr>
          <w:rFonts w:hint="eastAsia"/>
          <w:highlight w:val="none"/>
        </w:rPr>
      </w:pPr>
    </w:p>
    <w:p>
      <w:pPr>
        <w:bidi w:val="0"/>
        <w:jc w:val="center"/>
        <w:rPr>
          <w:rFonts w:hint="eastAsia" w:ascii="宋体" w:hAnsi="宋体" w:cs="宋体"/>
          <w:b/>
          <w:bCs/>
          <w:color w:val="auto"/>
          <w:kern w:val="0"/>
          <w:sz w:val="66"/>
          <w:szCs w:val="48"/>
          <w:highlight w:val="none"/>
        </w:rPr>
      </w:pPr>
      <w:bookmarkStart w:id="217" w:name="_Toc20273"/>
      <w:bookmarkStart w:id="218" w:name="_Toc24522"/>
      <w:bookmarkStart w:id="219" w:name="_Toc1967"/>
      <w:bookmarkStart w:id="220" w:name="_Toc21349"/>
      <w:bookmarkStart w:id="221" w:name="_Toc24447"/>
      <w:bookmarkStart w:id="222" w:name="_Toc13199"/>
      <w:bookmarkStart w:id="223" w:name="_Toc15483"/>
      <w:bookmarkStart w:id="224" w:name="_Toc1266"/>
      <w:bookmarkStart w:id="225" w:name="_Toc25416"/>
      <w:r>
        <w:rPr>
          <w:rFonts w:hint="eastAsia" w:ascii="宋体" w:hAnsi="宋体" w:cs="宋体"/>
          <w:b/>
          <w:bCs/>
          <w:color w:val="auto"/>
          <w:kern w:val="0"/>
          <w:sz w:val="72"/>
          <w:szCs w:val="72"/>
          <w:highlight w:val="none"/>
          <w:lang w:eastAsia="zh-CN"/>
        </w:rPr>
        <w:t>竞争性谈判响应</w:t>
      </w:r>
      <w:r>
        <w:rPr>
          <w:rFonts w:hint="eastAsia" w:ascii="宋体" w:hAnsi="宋体" w:cs="宋体"/>
          <w:b/>
          <w:bCs/>
          <w:color w:val="auto"/>
          <w:kern w:val="0"/>
          <w:sz w:val="72"/>
          <w:szCs w:val="72"/>
          <w:highlight w:val="none"/>
        </w:rPr>
        <w:t>文件</w:t>
      </w:r>
      <w:bookmarkEnd w:id="217"/>
      <w:bookmarkEnd w:id="218"/>
      <w:bookmarkEnd w:id="219"/>
      <w:bookmarkEnd w:id="220"/>
      <w:bookmarkEnd w:id="221"/>
      <w:bookmarkEnd w:id="222"/>
      <w:bookmarkEnd w:id="223"/>
      <w:bookmarkEnd w:id="224"/>
      <w:bookmarkEnd w:id="225"/>
    </w:p>
    <w:p>
      <w:pPr>
        <w:spacing w:line="360" w:lineRule="auto"/>
        <w:rPr>
          <w:rFonts w:hint="eastAsia" w:ascii="宋体" w:hAnsi="宋体" w:cs="宋体"/>
          <w:b/>
          <w:color w:val="auto"/>
          <w:kern w:val="0"/>
          <w:sz w:val="32"/>
          <w:szCs w:val="20"/>
          <w:highlight w:val="none"/>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bidi w:val="0"/>
        <w:spacing w:line="360" w:lineRule="auto"/>
        <w:ind w:firstLine="964" w:firstLineChars="300"/>
        <w:jc w:val="both"/>
        <w:rPr>
          <w:rFonts w:hint="eastAsia" w:ascii="宋体" w:hAnsi="宋体" w:cs="宋体"/>
          <w:b/>
          <w:color w:val="auto"/>
          <w:kern w:val="0"/>
          <w:sz w:val="32"/>
          <w:szCs w:val="32"/>
          <w:highlight w:val="none"/>
          <w:u w:val="single"/>
        </w:rPr>
      </w:pPr>
      <w:bookmarkStart w:id="226" w:name="_Toc4718"/>
      <w:bookmarkStart w:id="227" w:name="_Toc6005"/>
      <w:bookmarkStart w:id="228" w:name="_Toc13291"/>
      <w:bookmarkStart w:id="229" w:name="_Toc29335"/>
      <w:bookmarkStart w:id="230" w:name="_Toc20526"/>
      <w:bookmarkStart w:id="231" w:name="_Toc16555"/>
      <w:bookmarkStart w:id="232" w:name="_Toc1530"/>
      <w:bookmarkStart w:id="233" w:name="_Toc10483"/>
      <w:bookmarkStart w:id="234" w:name="_Toc1397"/>
      <w:bookmarkStart w:id="235" w:name="_Toc26225"/>
      <w:bookmarkStart w:id="236" w:name="_Toc23835"/>
      <w:bookmarkStart w:id="237" w:name="_Toc18502"/>
      <w:bookmarkStart w:id="238" w:name="_Toc6462"/>
      <w:bookmarkStart w:id="239" w:name="_Toc32131"/>
      <w:bookmarkStart w:id="240" w:name="_Toc26662"/>
      <w:bookmarkStart w:id="241" w:name="_Toc10506"/>
      <w:r>
        <w:rPr>
          <w:rFonts w:hint="eastAsia" w:ascii="宋体" w:hAnsi="宋体" w:cs="宋体"/>
          <w:b/>
          <w:color w:val="auto"/>
          <w:kern w:val="0"/>
          <w:sz w:val="32"/>
          <w:szCs w:val="32"/>
          <w:highlight w:val="none"/>
          <w:lang w:val="en-US" w:eastAsia="zh-CN"/>
        </w:rPr>
        <w:t>供应商</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u w:val="single"/>
        </w:rPr>
        <w:t xml:space="preserve"> </w:t>
      </w:r>
      <w:r>
        <w:rPr>
          <w:rFonts w:hint="eastAsia" w:ascii="宋体" w:hAnsi="宋体" w:cs="宋体"/>
          <w:b/>
          <w:color w:val="auto"/>
          <w:kern w:val="0"/>
          <w:sz w:val="32"/>
          <w:szCs w:val="32"/>
          <w:highlight w:val="none"/>
          <w:u w:val="single"/>
          <w:lang w:val="en-US" w:eastAsia="zh-CN"/>
        </w:rPr>
        <w:t xml:space="preserve">                   </w:t>
      </w:r>
      <w:r>
        <w:rPr>
          <w:rFonts w:hint="eastAsia" w:ascii="宋体" w:hAnsi="宋体" w:cs="宋体"/>
          <w:b/>
          <w:color w:val="auto"/>
          <w:kern w:val="0"/>
          <w:sz w:val="32"/>
          <w:szCs w:val="32"/>
          <w:highlight w:val="none"/>
          <w:u w:val="single"/>
        </w:rPr>
        <w:t>(公司名称、盖章)</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bidi w:val="0"/>
        <w:spacing w:line="360" w:lineRule="auto"/>
        <w:ind w:firstLine="964" w:firstLineChars="300"/>
        <w:rPr>
          <w:rFonts w:hint="eastAsia" w:ascii="宋体" w:hAnsi="宋体" w:cs="宋体"/>
          <w:b/>
          <w:color w:val="auto"/>
          <w:kern w:val="0"/>
          <w:sz w:val="32"/>
          <w:szCs w:val="32"/>
          <w:highlight w:val="none"/>
          <w:u w:val="single"/>
        </w:rPr>
      </w:pPr>
      <w:bookmarkStart w:id="242" w:name="_Toc18603"/>
      <w:bookmarkStart w:id="243" w:name="_Toc4805"/>
      <w:bookmarkStart w:id="244" w:name="_Toc30631"/>
      <w:bookmarkStart w:id="245" w:name="_Toc26359"/>
      <w:bookmarkStart w:id="246" w:name="_Toc6437"/>
      <w:bookmarkStart w:id="247" w:name="_Toc7049"/>
      <w:bookmarkStart w:id="248" w:name="_Toc28845"/>
      <w:bookmarkStart w:id="249" w:name="_Toc16269"/>
      <w:bookmarkStart w:id="250" w:name="_Toc3388"/>
      <w:bookmarkStart w:id="251" w:name="_Toc10774"/>
      <w:bookmarkStart w:id="252" w:name="_Toc11293"/>
      <w:bookmarkStart w:id="253" w:name="_Toc29171"/>
      <w:bookmarkStart w:id="254" w:name="_Toc32497"/>
      <w:bookmarkStart w:id="255" w:name="_Toc23314"/>
      <w:bookmarkStart w:id="256" w:name="_Toc13058"/>
      <w:bookmarkStart w:id="257" w:name="_Toc8041"/>
      <w:r>
        <w:rPr>
          <w:rFonts w:hint="eastAsia" w:ascii="宋体" w:hAnsi="宋体" w:cs="宋体"/>
          <w:b/>
          <w:color w:val="auto"/>
          <w:kern w:val="0"/>
          <w:sz w:val="32"/>
          <w:szCs w:val="32"/>
          <w:highlight w:val="none"/>
        </w:rPr>
        <w:t>法定代表人或授权委托人（签字或盖章）：</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Fonts w:hint="eastAsia" w:ascii="宋体" w:hAnsi="宋体" w:cs="宋体"/>
          <w:b/>
          <w:i/>
          <w:iCs/>
          <w:color w:val="auto"/>
          <w:kern w:val="0"/>
          <w:sz w:val="32"/>
          <w:szCs w:val="32"/>
          <w:highlight w:val="none"/>
          <w:u w:val="single"/>
        </w:rPr>
        <w:t xml:space="preserve">  </w:t>
      </w:r>
      <w:r>
        <w:rPr>
          <w:rFonts w:hint="eastAsia" w:ascii="宋体" w:hAnsi="宋体" w:cs="宋体"/>
          <w:b/>
          <w:color w:val="auto"/>
          <w:kern w:val="0"/>
          <w:sz w:val="32"/>
          <w:szCs w:val="32"/>
          <w:highlight w:val="none"/>
          <w:u w:val="single"/>
        </w:rPr>
        <w:t xml:space="preserve"> </w:t>
      </w:r>
      <w:r>
        <w:rPr>
          <w:rFonts w:hint="eastAsia" w:ascii="宋体" w:hAnsi="宋体" w:cs="宋体"/>
          <w:b/>
          <w:color w:val="auto"/>
          <w:kern w:val="0"/>
          <w:sz w:val="32"/>
          <w:szCs w:val="32"/>
          <w:highlight w:val="none"/>
          <w:u w:val="single"/>
          <w:lang w:val="en-US" w:eastAsia="zh-CN"/>
        </w:rPr>
        <w:t xml:space="preserve">      </w:t>
      </w:r>
      <w:r>
        <w:rPr>
          <w:rFonts w:hint="eastAsia" w:ascii="宋体" w:hAnsi="宋体" w:cs="宋体"/>
          <w:b/>
          <w:color w:val="auto"/>
          <w:kern w:val="0"/>
          <w:sz w:val="32"/>
          <w:szCs w:val="32"/>
          <w:highlight w:val="none"/>
          <w:u w:val="single"/>
        </w:rPr>
        <w:t xml:space="preserve"> </w:t>
      </w:r>
    </w:p>
    <w:p>
      <w:pPr>
        <w:bidi w:val="0"/>
        <w:spacing w:line="360" w:lineRule="auto"/>
        <w:ind w:firstLine="964" w:firstLineChars="300"/>
        <w:rPr>
          <w:rFonts w:hint="eastAsia" w:ascii="宋体" w:hAnsi="宋体" w:cs="宋体"/>
          <w:b/>
          <w:color w:val="auto"/>
          <w:kern w:val="0"/>
          <w:sz w:val="32"/>
          <w:szCs w:val="32"/>
          <w:highlight w:val="none"/>
          <w:u w:val="single"/>
        </w:rPr>
      </w:pPr>
      <w:bookmarkStart w:id="258" w:name="_Toc30758"/>
      <w:bookmarkStart w:id="259" w:name="_Toc20760"/>
      <w:bookmarkStart w:id="260" w:name="_Toc4811"/>
      <w:bookmarkStart w:id="261" w:name="_Toc5019"/>
      <w:bookmarkStart w:id="262" w:name="_Toc21947"/>
      <w:bookmarkStart w:id="263" w:name="_Toc11410"/>
      <w:bookmarkStart w:id="264" w:name="_Toc15348"/>
      <w:bookmarkStart w:id="265" w:name="_Toc323"/>
      <w:bookmarkStart w:id="266" w:name="_Toc25300"/>
      <w:bookmarkStart w:id="267" w:name="_Toc733"/>
      <w:bookmarkStart w:id="268" w:name="_Toc23436"/>
      <w:bookmarkStart w:id="269" w:name="_Toc15996"/>
      <w:bookmarkStart w:id="270" w:name="_Toc2974"/>
      <w:bookmarkStart w:id="271" w:name="_Toc2108"/>
      <w:bookmarkStart w:id="272" w:name="_Toc7838"/>
      <w:r>
        <w:rPr>
          <w:rFonts w:hint="eastAsia" w:ascii="宋体" w:hAnsi="宋体" w:cs="宋体"/>
          <w:b/>
          <w:color w:val="auto"/>
          <w:kern w:val="0"/>
          <w:sz w:val="32"/>
          <w:szCs w:val="32"/>
          <w:highlight w:val="none"/>
        </w:rPr>
        <w:t>时  间：</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Pr>
          <w:rFonts w:hint="eastAsia" w:ascii="宋体" w:hAnsi="宋体" w:cs="宋体"/>
          <w:b/>
          <w:color w:val="auto"/>
          <w:kern w:val="0"/>
          <w:sz w:val="32"/>
          <w:szCs w:val="32"/>
          <w:highlight w:val="none"/>
          <w:u w:val="single"/>
        </w:rPr>
        <w:t xml:space="preserve">                  </w:t>
      </w:r>
      <w:bookmarkStart w:id="273" w:name="_Toc462325841"/>
      <w:bookmarkStart w:id="274" w:name="_Toc70"/>
    </w:p>
    <w:bookmarkEnd w:id="273"/>
    <w:bookmarkEnd w:id="274"/>
    <w:p>
      <w:pPr>
        <w:rPr>
          <w:rFonts w:hint="eastAsia" w:ascii="Times New Roman" w:hAnsi="Times New Roman" w:eastAsia="宋体" w:cs="Times New Roman"/>
          <w:b/>
          <w:bCs/>
          <w:color w:val="auto"/>
          <w:sz w:val="56"/>
          <w:szCs w:val="56"/>
          <w:highlight w:val="none"/>
          <w:lang w:val="en-US" w:eastAsia="zh-CN"/>
        </w:rPr>
      </w:pPr>
      <w:bookmarkStart w:id="275" w:name="_Toc29117"/>
      <w:bookmarkStart w:id="276" w:name="_Toc3046"/>
      <w:bookmarkStart w:id="277" w:name="_Toc5221"/>
      <w:bookmarkStart w:id="278" w:name="_Toc2168"/>
      <w:bookmarkStart w:id="279" w:name="_Toc32719"/>
      <w:bookmarkStart w:id="280" w:name="_Toc13548_WPSOffice_Level1"/>
      <w:bookmarkStart w:id="281" w:name="_Toc20888"/>
      <w:bookmarkStart w:id="282" w:name="_Toc11875"/>
      <w:bookmarkStart w:id="283" w:name="_Toc22721148"/>
      <w:bookmarkStart w:id="284" w:name="_Toc9123"/>
      <w:bookmarkStart w:id="285" w:name="_Toc28076"/>
      <w:bookmarkStart w:id="286" w:name="_Toc22721388"/>
      <w:bookmarkStart w:id="287" w:name="_Toc11078"/>
      <w:bookmarkStart w:id="288" w:name="_Toc6571"/>
      <w:bookmarkStart w:id="289" w:name="_Toc22942"/>
      <w:bookmarkStart w:id="290" w:name="_Toc32046_WPSOffice_Level1"/>
      <w:bookmarkStart w:id="291" w:name="_Toc17272_WPSOffice_Level1"/>
      <w:bookmarkStart w:id="292" w:name="_Toc30835"/>
      <w:bookmarkStart w:id="293" w:name="_Toc29857"/>
      <w:bookmarkStart w:id="294" w:name="_Toc18845_WPSOffice_Level1"/>
      <w:r>
        <w:rPr>
          <w:rFonts w:hint="eastAsia" w:ascii="Times New Roman" w:hAnsi="Times New Roman" w:eastAsia="宋体" w:cs="Times New Roman"/>
          <w:b/>
          <w:bCs/>
          <w:color w:val="auto"/>
          <w:sz w:val="56"/>
          <w:szCs w:val="56"/>
          <w:highlight w:val="none"/>
          <w:lang w:val="en-US" w:eastAsia="zh-CN"/>
        </w:rPr>
        <w:br w:type="page"/>
      </w:r>
    </w:p>
    <w:p>
      <w:pPr>
        <w:bidi w:val="0"/>
        <w:jc w:val="center"/>
        <w:rPr>
          <w:rFonts w:hint="eastAsia"/>
          <w:b/>
          <w:bCs/>
          <w:sz w:val="52"/>
          <w:szCs w:val="52"/>
          <w:highlight w:val="none"/>
          <w:lang w:val="en-US" w:eastAsia="zh-CN"/>
        </w:rPr>
      </w:pPr>
      <w:r>
        <w:rPr>
          <w:rFonts w:hint="eastAsia"/>
          <w:b/>
          <w:bCs/>
          <w:sz w:val="52"/>
          <w:szCs w:val="52"/>
          <w:highlight w:val="none"/>
          <w:lang w:val="en-US" w:eastAsia="zh-CN"/>
        </w:rPr>
        <w:t>目 录</w:t>
      </w:r>
      <w:bookmarkEnd w:id="275"/>
      <w:bookmarkEnd w:id="276"/>
      <w:bookmarkEnd w:id="277"/>
      <w:bookmarkEnd w:id="278"/>
      <w:bookmarkEnd w:id="279"/>
    </w:p>
    <w:p>
      <w:pPr>
        <w:pStyle w:val="24"/>
        <w:tabs>
          <w:tab w:val="right" w:leader="dot" w:pos="9746"/>
        </w:tabs>
        <w:spacing w:line="360" w:lineRule="auto"/>
        <w:rPr>
          <w:rFonts w:hint="eastAsia" w:ascii="宋体" w:hAnsi="宋体" w:eastAsia="宋体" w:cs="宋体"/>
          <w:sz w:val="24"/>
          <w:szCs w:val="24"/>
          <w:highlight w:val="none"/>
        </w:rPr>
      </w:pPr>
      <w:bookmarkStart w:id="295" w:name="_Toc31576"/>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_Toc5933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_Toc5933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_Toc29811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_Toc29811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_Toc7506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、投标保证金</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_Toc7506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51</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_Toc25747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_Toc25747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_Toc32098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_Toc32098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_Toc2734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53</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_Toc12623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_Toc12623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_Toc4307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_Toc4307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_Toc31552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_Toc31552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_Toc22395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_Toc22395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_Toc3323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资格证明（谈判文件规定的资格证明原件复印件）。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_Toc3323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_Toc30676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三、其他可以证明投标供应商实力的文件。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_Toc30676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afterAutospacing="0"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_Toc5993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_Toc5993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62</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2"/>
        <w:tabs>
          <w:tab w:val="right" w:leader="dot" w:pos="9746"/>
        </w:tabs>
        <w:spacing w:before="0" w:beforeAutospacing="0" w:after="0" w:afterAutospacing="0" w:line="360" w:lineRule="auto"/>
        <w:ind w:left="0" w:leftChars="0" w:firstLine="840" w:firstLineChars="350"/>
        <w:rPr>
          <w:rFonts w:hint="eastAsia" w:ascii="宋体" w:hAnsi="宋体" w:eastAsia="宋体" w:cs="宋体"/>
          <w:b w:val="0"/>
          <w:bCs/>
          <w:caps w:val="0"/>
          <w:kern w:val="2"/>
          <w:sz w:val="24"/>
          <w:szCs w:val="24"/>
          <w:highlight w:val="none"/>
          <w:lang w:val="en-US" w:eastAsia="zh-CN" w:bidi="ar-SA"/>
        </w:rPr>
      </w:pPr>
      <w:r>
        <w:rPr>
          <w:rFonts w:hint="eastAsia" w:ascii="宋体" w:hAnsi="宋体" w:eastAsia="宋体" w:cs="宋体"/>
          <w:b w:val="0"/>
          <w:bCs/>
          <w:caps w:val="0"/>
          <w:kern w:val="2"/>
          <w:sz w:val="24"/>
          <w:szCs w:val="24"/>
          <w:highlight w:val="none"/>
          <w:lang w:val="en-US" w:eastAsia="zh-CN" w:bidi="ar-SA"/>
        </w:rPr>
        <w:fldChar w:fldCharType="begin"/>
      </w:r>
      <w:r>
        <w:rPr>
          <w:rFonts w:hint="eastAsia" w:ascii="宋体" w:hAnsi="宋体" w:eastAsia="宋体" w:cs="宋体"/>
          <w:b w:val="0"/>
          <w:bCs/>
          <w:caps w:val="0"/>
          <w:kern w:val="2"/>
          <w:sz w:val="24"/>
          <w:szCs w:val="24"/>
          <w:highlight w:val="none"/>
          <w:lang w:val="en-US" w:eastAsia="zh-CN" w:bidi="ar-SA"/>
        </w:rPr>
        <w:instrText xml:space="preserve"> HYPERLINK \l _Toc20924 </w:instrText>
      </w:r>
      <w:r>
        <w:rPr>
          <w:rFonts w:hint="eastAsia" w:ascii="宋体" w:hAnsi="宋体" w:eastAsia="宋体" w:cs="宋体"/>
          <w:b w:val="0"/>
          <w:bCs/>
          <w:caps w:val="0"/>
          <w:kern w:val="2"/>
          <w:sz w:val="24"/>
          <w:szCs w:val="24"/>
          <w:highlight w:val="none"/>
          <w:lang w:val="en-US" w:eastAsia="zh-CN" w:bidi="ar-SA"/>
        </w:rPr>
        <w:fldChar w:fldCharType="separate"/>
      </w:r>
      <w:r>
        <w:rPr>
          <w:rFonts w:hint="eastAsia" w:ascii="宋体" w:hAnsi="宋体" w:eastAsia="宋体" w:cs="宋体"/>
          <w:b w:val="0"/>
          <w:bCs/>
          <w:caps w:val="0"/>
          <w:kern w:val="2"/>
          <w:sz w:val="24"/>
          <w:szCs w:val="24"/>
          <w:highlight w:val="none"/>
          <w:lang w:val="en-US" w:eastAsia="zh-CN" w:bidi="ar-SA"/>
        </w:rPr>
        <w:t>附表一：同类业绩统计样表</w:t>
      </w:r>
      <w:r>
        <w:rPr>
          <w:rFonts w:hint="eastAsia" w:ascii="宋体" w:hAnsi="宋体" w:eastAsia="宋体" w:cs="宋体"/>
          <w:b w:val="0"/>
          <w:bCs/>
          <w:caps w:val="0"/>
          <w:kern w:val="2"/>
          <w:sz w:val="24"/>
          <w:szCs w:val="24"/>
          <w:highlight w:val="none"/>
          <w:lang w:val="en-US" w:eastAsia="zh-CN" w:bidi="ar-SA"/>
        </w:rPr>
        <w:tab/>
      </w:r>
      <w:r>
        <w:rPr>
          <w:rFonts w:hint="eastAsia" w:ascii="宋体" w:hAnsi="宋体" w:eastAsia="宋体" w:cs="宋体"/>
          <w:b w:val="0"/>
          <w:bCs/>
          <w:caps w:val="0"/>
          <w:kern w:val="2"/>
          <w:sz w:val="24"/>
          <w:szCs w:val="24"/>
          <w:highlight w:val="none"/>
          <w:lang w:val="en-US" w:eastAsia="zh-CN" w:bidi="ar-SA"/>
        </w:rPr>
        <w:fldChar w:fldCharType="begin"/>
      </w:r>
      <w:r>
        <w:rPr>
          <w:rFonts w:hint="eastAsia" w:ascii="宋体" w:hAnsi="宋体" w:eastAsia="宋体" w:cs="宋体"/>
          <w:b w:val="0"/>
          <w:bCs/>
          <w:caps w:val="0"/>
          <w:kern w:val="2"/>
          <w:sz w:val="24"/>
          <w:szCs w:val="24"/>
          <w:highlight w:val="none"/>
          <w:lang w:val="en-US" w:eastAsia="zh-CN" w:bidi="ar-SA"/>
        </w:rPr>
        <w:instrText xml:space="preserve"> PAGEREF _Toc20924 \h </w:instrText>
      </w:r>
      <w:r>
        <w:rPr>
          <w:rFonts w:hint="eastAsia" w:ascii="宋体" w:hAnsi="宋体" w:eastAsia="宋体" w:cs="宋体"/>
          <w:b w:val="0"/>
          <w:bCs/>
          <w:caps w:val="0"/>
          <w:kern w:val="2"/>
          <w:sz w:val="24"/>
          <w:szCs w:val="24"/>
          <w:highlight w:val="none"/>
          <w:lang w:val="en-US" w:eastAsia="zh-CN" w:bidi="ar-SA"/>
        </w:rPr>
        <w:fldChar w:fldCharType="separate"/>
      </w:r>
      <w:r>
        <w:rPr>
          <w:rFonts w:hint="eastAsia" w:ascii="宋体" w:hAnsi="宋体" w:eastAsia="宋体" w:cs="宋体"/>
          <w:b w:val="0"/>
          <w:bCs/>
          <w:caps w:val="0"/>
          <w:kern w:val="2"/>
          <w:sz w:val="24"/>
          <w:szCs w:val="24"/>
          <w:highlight w:val="none"/>
          <w:lang w:val="en-US" w:eastAsia="zh-CN" w:bidi="ar-SA"/>
        </w:rPr>
        <w:t>63</w:t>
      </w:r>
      <w:r>
        <w:rPr>
          <w:rFonts w:hint="eastAsia" w:ascii="宋体" w:hAnsi="宋体" w:eastAsia="宋体" w:cs="宋体"/>
          <w:b w:val="0"/>
          <w:bCs/>
          <w:caps w:val="0"/>
          <w:kern w:val="2"/>
          <w:sz w:val="24"/>
          <w:szCs w:val="24"/>
          <w:highlight w:val="none"/>
          <w:lang w:val="en-US" w:eastAsia="zh-CN" w:bidi="ar-SA"/>
        </w:rPr>
        <w:fldChar w:fldCharType="end"/>
      </w:r>
      <w:r>
        <w:rPr>
          <w:rFonts w:hint="eastAsia" w:ascii="宋体" w:hAnsi="宋体" w:eastAsia="宋体" w:cs="宋体"/>
          <w:b w:val="0"/>
          <w:bCs/>
          <w:caps w:val="0"/>
          <w:kern w:val="2"/>
          <w:sz w:val="24"/>
          <w:szCs w:val="24"/>
          <w:highlight w:val="none"/>
          <w:lang w:val="en-US" w:eastAsia="zh-CN" w:bidi="ar-SA"/>
        </w:rPr>
        <w:fldChar w:fldCharType="end"/>
      </w:r>
    </w:p>
    <w:p>
      <w:pPr>
        <w:pStyle w:val="16"/>
        <w:tabs>
          <w:tab w:val="right" w:leader="dot" w:pos="9746"/>
        </w:tabs>
        <w:spacing w:beforeAutospacing="0"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_Toc27456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附表二：拟投入本项目人员汇总表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_Toc27456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_Toc18989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附表三：拟投入本项目的主要人员简历表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_Toc18989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65</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_Toc23591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_Toc23591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_Toc18023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_Toc18023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66</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_Toc25036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_Toc25036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_Toc4387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_Toc4387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67</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_Toc3772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_Toc3772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16"/>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_Toc649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_Toc649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68</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_Toc29447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_Toc29447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69</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_Toc18636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_Toc18636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70</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pStyle w:val="24"/>
        <w:tabs>
          <w:tab w:val="right" w:leader="dot" w:pos="9746"/>
        </w:tabs>
        <w:spacing w:line="360" w:lineRule="auto"/>
        <w:rPr>
          <w:rFonts w:hint="eastAsia" w:ascii="宋体" w:hAnsi="宋体" w:eastAsia="宋体" w:cs="宋体"/>
          <w:sz w:val="24"/>
          <w:szCs w:val="24"/>
          <w:highlight w:val="none"/>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_Toc28915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十一、</w:t>
      </w:r>
      <w:r>
        <w:rPr>
          <w:rFonts w:hint="eastAsia" w:ascii="宋体" w:hAnsi="宋体" w:eastAsia="宋体" w:cs="宋体"/>
          <w:sz w:val="24"/>
          <w:szCs w:val="24"/>
          <w:highlight w:val="none"/>
        </w:rPr>
        <w:t>第二次报价表（最终报价表）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_Toc28915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74</w:t>
      </w:r>
      <w:r>
        <w:rPr>
          <w:rFonts w:hint="eastAsia" w:ascii="宋体" w:hAnsi="宋体" w:eastAsia="宋体" w:cs="宋体"/>
          <w:sz w:val="24"/>
          <w:szCs w:val="24"/>
          <w:highlight w:val="none"/>
        </w:rPr>
        <w:fldChar w:fldCharType="end"/>
      </w:r>
      <w:r>
        <w:rPr>
          <w:rFonts w:hint="eastAsia" w:ascii="宋体" w:hAnsi="宋体" w:eastAsia="宋体" w:cs="宋体"/>
          <w:bCs w:val="0"/>
          <w:sz w:val="24"/>
          <w:szCs w:val="24"/>
          <w:highlight w:val="none"/>
        </w:rPr>
        <w:fldChar w:fldCharType="end"/>
      </w:r>
    </w:p>
    <w:p>
      <w:pPr>
        <w:tabs>
          <w:tab w:val="right" w:leader="dot" w:pos="9750"/>
        </w:tabs>
        <w:spacing w:line="360" w:lineRule="auto"/>
        <w:outlineLvl w:val="9"/>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br w:type="page"/>
      </w:r>
      <w:bookmarkEnd w:id="295"/>
    </w:p>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Pr>
        <w:pStyle w:val="6"/>
        <w:spacing w:before="0" w:after="0" w:line="360" w:lineRule="auto"/>
        <w:jc w:val="center"/>
        <w:rPr>
          <w:rFonts w:hint="eastAsia" w:ascii="宋体" w:hAnsi="宋体" w:eastAsia="宋体" w:cs="宋体"/>
          <w:highlight w:val="none"/>
        </w:rPr>
      </w:pPr>
      <w:bookmarkStart w:id="296" w:name="_Toc5933"/>
      <w:bookmarkStart w:id="297" w:name="_Toc25064"/>
      <w:r>
        <w:rPr>
          <w:rFonts w:hint="eastAsia" w:ascii="宋体" w:hAnsi="宋体" w:eastAsia="宋体" w:cs="宋体"/>
          <w:highlight w:val="none"/>
        </w:rPr>
        <w:t>一、</w:t>
      </w:r>
      <w:r>
        <w:rPr>
          <w:rFonts w:hint="eastAsia" w:ascii="宋体" w:hAnsi="宋体" w:eastAsia="宋体" w:cs="宋体"/>
          <w:highlight w:val="none"/>
          <w:lang w:val="en-US" w:eastAsia="zh-CN"/>
        </w:rPr>
        <w:t>响应</w:t>
      </w:r>
      <w:r>
        <w:rPr>
          <w:rFonts w:hint="eastAsia" w:ascii="宋体" w:hAnsi="宋体" w:eastAsia="宋体" w:cs="宋体"/>
          <w:highlight w:val="none"/>
        </w:rPr>
        <w:t>函</w:t>
      </w:r>
      <w:bookmarkEnd w:id="296"/>
      <w:bookmarkEnd w:id="297"/>
    </w:p>
    <w:p>
      <w:pPr>
        <w:shd w:val="clear"/>
        <w:spacing w:line="360" w:lineRule="auto"/>
        <w:rPr>
          <w:rFonts w:hint="eastAsia" w:ascii="宋体" w:hAnsi="宋体" w:eastAsia="宋体" w:cs="宋体"/>
          <w:color w:val="auto"/>
          <w:spacing w:val="4"/>
          <w:kern w:val="0"/>
          <w:sz w:val="24"/>
          <w:szCs w:val="24"/>
          <w:highlight w:val="none"/>
        </w:rPr>
      </w:pPr>
      <w:bookmarkStart w:id="298" w:name="_Toc27099"/>
      <w:bookmarkStart w:id="299" w:name="_Toc21734"/>
      <w:bookmarkStart w:id="300" w:name="_Toc9401"/>
      <w:bookmarkStart w:id="301" w:name="_Toc31173"/>
      <w:bookmarkStart w:id="302" w:name="_Toc233435984"/>
      <w:bookmarkStart w:id="303" w:name="_Toc5535"/>
      <w:bookmarkStart w:id="304" w:name="_Toc27283"/>
      <w:bookmarkStart w:id="305" w:name="_Toc128557264"/>
      <w:r>
        <w:rPr>
          <w:rFonts w:hint="eastAsia" w:ascii="宋体" w:hAnsi="宋体" w:eastAsia="宋体" w:cs="宋体"/>
          <w:color w:val="auto"/>
          <w:spacing w:val="4"/>
          <w:kern w:val="0"/>
          <w:sz w:val="24"/>
          <w:szCs w:val="24"/>
          <w:highlight w:val="none"/>
        </w:rPr>
        <w:t>致：</w:t>
      </w:r>
      <w:r>
        <w:rPr>
          <w:rFonts w:hint="eastAsia" w:ascii="宋体" w:hAnsi="宋体" w:cs="宋体"/>
          <w:color w:val="auto"/>
          <w:spacing w:val="4"/>
          <w:kern w:val="0"/>
          <w:sz w:val="24"/>
          <w:szCs w:val="24"/>
          <w:highlight w:val="none"/>
          <w:lang w:eastAsia="zh-CN"/>
        </w:rPr>
        <w:t>亿诚建设项目管理有限公司</w:t>
      </w:r>
    </w:p>
    <w:p>
      <w:pPr>
        <w:shd w:val="clea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 xml:space="preserve">根据贵方“ </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”项目的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lang w:eastAsia="zh-CN"/>
        </w:rPr>
        <w:t>文件</w:t>
      </w:r>
      <w:r>
        <w:rPr>
          <w:rFonts w:hint="eastAsia" w:ascii="宋体" w:hAnsi="宋体" w:eastAsia="宋体" w:cs="宋体"/>
          <w:color w:val="auto"/>
          <w:spacing w:val="4"/>
          <w:kern w:val="0"/>
          <w:sz w:val="24"/>
          <w:szCs w:val="24"/>
          <w:highlight w:val="none"/>
          <w:u w:val="single"/>
        </w:rPr>
        <w:t>(编号：            )</w:t>
      </w:r>
      <w:r>
        <w:rPr>
          <w:rFonts w:hint="eastAsia" w:ascii="宋体" w:hAnsi="宋体" w:eastAsia="宋体" w:cs="宋体"/>
          <w:color w:val="auto"/>
          <w:spacing w:val="4"/>
          <w:kern w:val="0"/>
          <w:sz w:val="24"/>
          <w:szCs w:val="24"/>
          <w:highlight w:val="none"/>
        </w:rPr>
        <w:t>，签字代表</w:t>
      </w:r>
      <w:r>
        <w:rPr>
          <w:rFonts w:hint="eastAsia" w:ascii="宋体" w:hAnsi="宋体" w:eastAsia="宋体" w:cs="宋体"/>
          <w:color w:val="auto"/>
          <w:spacing w:val="4"/>
          <w:kern w:val="0"/>
          <w:sz w:val="24"/>
          <w:szCs w:val="24"/>
          <w:highlight w:val="none"/>
          <w:u w:val="single"/>
        </w:rPr>
        <w:t>（全名、职务）</w:t>
      </w:r>
      <w:r>
        <w:rPr>
          <w:rFonts w:hint="eastAsia" w:ascii="宋体" w:hAnsi="宋体" w:eastAsia="宋体" w:cs="宋体"/>
          <w:color w:val="auto"/>
          <w:spacing w:val="4"/>
          <w:kern w:val="0"/>
          <w:sz w:val="24"/>
          <w:szCs w:val="24"/>
          <w:highlight w:val="none"/>
        </w:rPr>
        <w:t>经正式授权并代表供应商</w:t>
      </w:r>
      <w:r>
        <w:rPr>
          <w:rFonts w:hint="eastAsia" w:ascii="宋体" w:hAnsi="宋体" w:eastAsia="宋体" w:cs="宋体"/>
          <w:color w:val="auto"/>
          <w:spacing w:val="4"/>
          <w:kern w:val="0"/>
          <w:sz w:val="24"/>
          <w:szCs w:val="24"/>
          <w:highlight w:val="none"/>
          <w:u w:val="single"/>
        </w:rPr>
        <w:t>(供应商名称、地址)</w:t>
      </w:r>
      <w:r>
        <w:rPr>
          <w:rFonts w:hint="eastAsia" w:ascii="宋体" w:hAnsi="宋体" w:eastAsia="宋体" w:cs="宋体"/>
          <w:color w:val="auto"/>
          <w:spacing w:val="4"/>
          <w:kern w:val="0"/>
          <w:sz w:val="24"/>
          <w:szCs w:val="24"/>
          <w:highlight w:val="none"/>
        </w:rPr>
        <w:t xml:space="preserve"> 提交竞争性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响应文件。并提交</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保证金，金额为</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w:t>
      </w:r>
    </w:p>
    <w:p>
      <w:pPr>
        <w:shd w:val="clear"/>
        <w:spacing w:line="360" w:lineRule="auto"/>
        <w:ind w:left="549" w:leftChars="251" w:hanging="22" w:hangingChars="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我方承诺如下：</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 xml:space="preserve">总价为 </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（人民币</w:t>
      </w:r>
      <w:r>
        <w:rPr>
          <w:rFonts w:hint="eastAsia" w:ascii="宋体" w:hAnsi="宋体" w:eastAsia="宋体" w:cs="宋体"/>
          <w:color w:val="auto"/>
          <w:spacing w:val="4"/>
          <w:kern w:val="0"/>
          <w:sz w:val="24"/>
          <w:szCs w:val="24"/>
          <w:highlight w:val="none"/>
          <w:u w:val="single"/>
          <w:lang w:val="en-US"/>
        </w:rPr>
        <w:t xml:space="preserve">         </w:t>
      </w:r>
      <w:r>
        <w:rPr>
          <w:rFonts w:hint="eastAsia" w:ascii="宋体" w:hAnsi="宋体" w:eastAsia="宋体" w:cs="宋体"/>
          <w:color w:val="auto"/>
          <w:spacing w:val="4"/>
          <w:kern w:val="0"/>
          <w:sz w:val="24"/>
          <w:szCs w:val="24"/>
          <w:highlight w:val="none"/>
        </w:rPr>
        <w:t>）（用文字和数字表示的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总价）。</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2）如果成交，我们根据竞争性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文件的规定，履行合同的责任和义务。</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3）我们已详细阅读和审核全部竞争性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文件（含修改部分，如有的话），及有关附件，我们知道必须放弃提出含糊不清或误解的问题的权利。</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4</w:t>
      </w:r>
      <w:r>
        <w:rPr>
          <w:rFonts w:hint="eastAsia" w:ascii="宋体" w:hAnsi="宋体" w:eastAsia="宋体" w:cs="宋体"/>
          <w:color w:val="auto"/>
          <w:spacing w:val="4"/>
          <w:kern w:val="0"/>
          <w:sz w:val="24"/>
          <w:szCs w:val="24"/>
          <w:highlight w:val="none"/>
        </w:rPr>
        <w:t>）如果在</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后规定的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有效期内撤回</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，我们的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保证金可被贵方没收。</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5</w:t>
      </w:r>
      <w:r>
        <w:rPr>
          <w:rFonts w:hint="eastAsia" w:ascii="宋体" w:hAnsi="宋体" w:eastAsia="宋体" w:cs="宋体"/>
          <w:color w:val="auto"/>
          <w:spacing w:val="4"/>
          <w:kern w:val="0"/>
          <w:sz w:val="24"/>
          <w:szCs w:val="24"/>
          <w:highlight w:val="none"/>
        </w:rPr>
        <w:t>）同意无条件提供贵方可能另外要求的与本</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有关的任何证据和资料。</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6</w:t>
      </w:r>
      <w:r>
        <w:rPr>
          <w:rFonts w:hint="eastAsia" w:ascii="宋体" w:hAnsi="宋体" w:eastAsia="宋体" w:cs="宋体"/>
          <w:color w:val="auto"/>
          <w:spacing w:val="4"/>
          <w:kern w:val="0"/>
          <w:sz w:val="24"/>
          <w:szCs w:val="24"/>
          <w:highlight w:val="none"/>
        </w:rPr>
        <w:t>）我们同意，如果成交，向</w:t>
      </w:r>
      <w:r>
        <w:rPr>
          <w:rFonts w:hint="eastAsia" w:ascii="宋体" w:hAnsi="宋体" w:cs="宋体"/>
          <w:color w:val="auto"/>
          <w:spacing w:val="4"/>
          <w:kern w:val="0"/>
          <w:sz w:val="24"/>
          <w:szCs w:val="24"/>
          <w:highlight w:val="none"/>
          <w:lang w:eastAsia="zh-CN"/>
        </w:rPr>
        <w:t>亿诚建设项目管理有限公司</w:t>
      </w:r>
      <w:r>
        <w:rPr>
          <w:rFonts w:hint="eastAsia" w:ascii="宋体" w:hAnsi="宋体" w:eastAsia="宋体" w:cs="宋体"/>
          <w:color w:val="auto"/>
          <w:spacing w:val="4"/>
          <w:kern w:val="0"/>
          <w:sz w:val="24"/>
          <w:szCs w:val="24"/>
          <w:highlight w:val="none"/>
        </w:rPr>
        <w:t>交纳成交代理服务费。</w:t>
      </w:r>
    </w:p>
    <w:p>
      <w:pPr>
        <w:pStyle w:val="48"/>
        <w:spacing w:line="360" w:lineRule="auto"/>
        <w:ind w:firstLine="496" w:firstLineChars="200"/>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7）</w:t>
      </w:r>
      <w:r>
        <w:rPr>
          <w:rFonts w:hint="eastAsia" w:ascii="宋体" w:hAnsi="宋体" w:eastAsia="宋体" w:cs="宋体"/>
          <w:sz w:val="24"/>
          <w:highlight w:val="none"/>
          <w:lang w:val="en-US" w:eastAsia="zh-CN"/>
        </w:rPr>
        <w:t>其他</w:t>
      </w:r>
      <w:r>
        <w:rPr>
          <w:rFonts w:hint="eastAsia" w:ascii="宋体" w:hAnsi="宋体" w:eastAsia="宋体" w:cs="宋体"/>
          <w:sz w:val="24"/>
          <w:highlight w:val="none"/>
          <w:u w:val="single"/>
          <w:lang w:val="en-US" w:eastAsia="zh-CN"/>
        </w:rPr>
        <w:t xml:space="preserve">                                             </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8）与本</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有关的一切正式往来通讯为：</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联系地址：</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邮政编码：</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电    话：</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传    真：</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供应商名称（盖章）：</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供应商法定代表人签字：</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日    期：</w:t>
      </w:r>
    </w:p>
    <w:p>
      <w:pPr>
        <w:spacing w:line="360" w:lineRule="auto"/>
        <w:rPr>
          <w:rFonts w:hint="eastAsia" w:ascii="宋体" w:hAnsi="宋体" w:eastAsia="宋体" w:cs="宋体"/>
          <w:szCs w:val="32"/>
          <w:highlight w:val="none"/>
        </w:rPr>
      </w:pPr>
      <w:r>
        <w:rPr>
          <w:rFonts w:hint="eastAsia" w:ascii="宋体" w:hAnsi="宋体" w:eastAsia="宋体" w:cs="宋体"/>
          <w:szCs w:val="32"/>
          <w:highlight w:val="none"/>
        </w:rPr>
        <w:br w:type="page"/>
      </w:r>
    </w:p>
    <w:p>
      <w:pPr>
        <w:pStyle w:val="6"/>
        <w:spacing w:before="0" w:after="0" w:line="360" w:lineRule="auto"/>
        <w:jc w:val="center"/>
        <w:rPr>
          <w:rFonts w:hint="eastAsia" w:ascii="宋体" w:hAnsi="宋体" w:eastAsia="宋体" w:cs="宋体"/>
          <w:b w:val="0"/>
          <w:sz w:val="18"/>
          <w:szCs w:val="18"/>
          <w:highlight w:val="none"/>
        </w:rPr>
      </w:pPr>
      <w:bookmarkStart w:id="306" w:name="_Toc14823"/>
      <w:bookmarkStart w:id="307" w:name="_Toc29811"/>
      <w:bookmarkStart w:id="308" w:name="_Toc1948"/>
      <w:bookmarkStart w:id="309" w:name="_Toc10162"/>
      <w:r>
        <w:rPr>
          <w:rFonts w:hint="eastAsia" w:ascii="宋体" w:hAnsi="宋体" w:eastAsia="宋体" w:cs="宋体"/>
          <w:szCs w:val="32"/>
          <w:highlight w:val="none"/>
        </w:rPr>
        <w:t>二、首轮报价一览表</w:t>
      </w:r>
      <w:bookmarkEnd w:id="298"/>
      <w:bookmarkEnd w:id="299"/>
      <w:bookmarkEnd w:id="300"/>
      <w:bookmarkEnd w:id="301"/>
      <w:bookmarkEnd w:id="302"/>
      <w:bookmarkEnd w:id="303"/>
      <w:bookmarkEnd w:id="304"/>
      <w:bookmarkEnd w:id="305"/>
      <w:bookmarkEnd w:id="306"/>
      <w:bookmarkEnd w:id="307"/>
      <w:bookmarkEnd w:id="308"/>
      <w:bookmarkEnd w:id="309"/>
    </w:p>
    <w:tbl>
      <w:tblPr>
        <w:tblStyle w:val="30"/>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69"/>
        <w:gridCol w:w="759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采购项目编号</w:t>
            </w:r>
          </w:p>
        </w:tc>
        <w:tc>
          <w:tcPr>
            <w:tcW w:w="3810" w:type="pct"/>
            <w:tcBorders>
              <w:bottom w:val="single" w:color="auto" w:sz="4" w:space="0"/>
            </w:tcBorders>
            <w:noWrap w:val="0"/>
            <w:vAlign w:val="center"/>
          </w:tcPr>
          <w:p>
            <w:pPr>
              <w:spacing w:line="360" w:lineRule="auto"/>
              <w:jc w:val="center"/>
              <w:rPr>
                <w:rFonts w:hint="eastAsia" w:ascii="宋体" w:hAnsi="宋体" w:cs="宋体"/>
                <w:cap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单位名称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highlight w:val="none"/>
              </w:rPr>
              <w:t>谈判报价</w:t>
            </w:r>
          </w:p>
        </w:tc>
        <w:tc>
          <w:tcPr>
            <w:tcW w:w="3810" w:type="pct"/>
            <w:noWrap w:val="0"/>
            <w:vAlign w:val="center"/>
          </w:tcPr>
          <w:p>
            <w:pPr>
              <w:spacing w:line="360" w:lineRule="auto"/>
              <w:jc w:val="left"/>
              <w:rPr>
                <w:rFonts w:hint="eastAsia" w:ascii="宋体" w:hAnsi="宋体" w:cs="宋体"/>
                <w:b/>
                <w:bCs/>
                <w:sz w:val="24"/>
                <w:highlight w:val="none"/>
              </w:rPr>
            </w:pPr>
            <w:r>
              <w:rPr>
                <w:rFonts w:hint="eastAsia" w:ascii="宋体" w:hAnsi="宋体" w:cs="宋体"/>
                <w:b/>
                <w:bCs/>
                <w:sz w:val="24"/>
                <w:highlight w:val="none"/>
              </w:rPr>
              <w:t>人 民 币（大写）：</w:t>
            </w:r>
          </w:p>
          <w:p>
            <w:pPr>
              <w:spacing w:line="360" w:lineRule="auto"/>
              <w:jc w:val="left"/>
              <w:rPr>
                <w:rFonts w:hint="eastAsia" w:ascii="宋体" w:hAnsi="宋体" w:cs="宋体"/>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lang w:val="en-US" w:eastAsia="zh-CN"/>
              </w:rPr>
              <w:t>服务期</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投标声明</w:t>
            </w:r>
          </w:p>
        </w:tc>
        <w:tc>
          <w:tcPr>
            <w:tcW w:w="3810"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u w:val="single"/>
        </w:rPr>
      </w:pPr>
    </w:p>
    <w:p>
      <w:pPr>
        <w:spacing w:line="360" w:lineRule="auto"/>
        <w:jc w:val="right"/>
        <w:rPr>
          <w:rFonts w:hint="eastAsia" w:ascii="宋体" w:hAnsi="宋体" w:cs="宋体"/>
          <w:sz w:val="24"/>
          <w:highlight w:val="none"/>
          <w:u w:val="single"/>
        </w:rPr>
      </w:pPr>
    </w:p>
    <w:p>
      <w:pPr>
        <w:spacing w:line="360" w:lineRule="auto"/>
        <w:ind w:right="-161" w:firstLine="2640" w:firstLineChars="1100"/>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ind w:right="-161" w:firstLine="2640" w:firstLineChars="1100"/>
        <w:rPr>
          <w:rFonts w:hint="eastAsia" w:ascii="宋体" w:hAnsi="宋体" w:cs="宋体"/>
          <w:sz w:val="24"/>
          <w:szCs w:val="24"/>
          <w:highlight w:val="none"/>
          <w:u w:val="single"/>
        </w:rPr>
      </w:pPr>
      <w:r>
        <w:rPr>
          <w:rFonts w:hint="eastAsia" w:ascii="宋体" w:hAnsi="宋体" w:cs="宋体"/>
          <w:sz w:val="24"/>
          <w:szCs w:val="24"/>
          <w:highlight w:val="none"/>
        </w:rPr>
        <w:t>法定代表人签字</w:t>
      </w:r>
      <w:r>
        <w:rPr>
          <w:rFonts w:hint="eastAsia" w:ascii="宋体" w:hAnsi="宋体" w:cs="宋体"/>
          <w:sz w:val="24"/>
          <w:szCs w:val="24"/>
          <w:highlight w:val="none"/>
          <w:lang w:val="en-US" w:eastAsia="zh-CN"/>
        </w:rPr>
        <w:t>或</w:t>
      </w:r>
      <w:r>
        <w:rPr>
          <w:rFonts w:hint="eastAsia" w:ascii="宋体" w:hAnsi="宋体" w:cs="宋体"/>
          <w:sz w:val="24"/>
          <w:szCs w:val="24"/>
          <w:highlight w:val="none"/>
        </w:rPr>
        <w:t>盖章：</w:t>
      </w:r>
      <w:r>
        <w:rPr>
          <w:rFonts w:hint="eastAsia" w:ascii="宋体" w:hAnsi="宋体" w:cs="宋体"/>
          <w:sz w:val="24"/>
          <w:szCs w:val="24"/>
          <w:highlight w:val="none"/>
          <w:u w:val="single"/>
        </w:rPr>
        <w:t xml:space="preserve">                 </w:t>
      </w:r>
    </w:p>
    <w:p>
      <w:pPr>
        <w:spacing w:line="360" w:lineRule="auto"/>
        <w:ind w:firstLine="2640" w:firstLineChars="1100"/>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月   日</w:t>
      </w:r>
      <w:bookmarkStart w:id="310" w:name="_Toc16233"/>
      <w:bookmarkStart w:id="311" w:name="_Toc15290"/>
      <w:bookmarkStart w:id="312" w:name="_Toc5162"/>
      <w:bookmarkStart w:id="313" w:name="_Toc23888"/>
      <w:bookmarkStart w:id="314" w:name="_Toc7499"/>
    </w:p>
    <w:p>
      <w:pPr>
        <w:rPr>
          <w:rFonts w:hint="eastAsia" w:ascii="宋体" w:hAnsi="宋体" w:cs="宋体"/>
          <w:sz w:val="24"/>
          <w:szCs w:val="24"/>
          <w:highlight w:val="none"/>
        </w:rPr>
      </w:pPr>
      <w:r>
        <w:rPr>
          <w:rFonts w:hint="eastAsia" w:ascii="宋体" w:hAnsi="宋体" w:cs="宋体"/>
          <w:sz w:val="24"/>
          <w:szCs w:val="24"/>
          <w:highlight w:val="none"/>
        </w:rPr>
        <w:br w:type="page"/>
      </w:r>
    </w:p>
    <w:p>
      <w:pPr>
        <w:jc w:val="center"/>
        <w:rPr>
          <w:rFonts w:hint="eastAsia" w:ascii="Arial" w:hAnsi="Arial" w:cs="Times New Roman"/>
          <w:b/>
          <w:bCs/>
          <w:color w:val="auto"/>
          <w:sz w:val="28"/>
          <w:szCs w:val="32"/>
          <w:highlight w:val="none"/>
          <w:lang w:val="en-US" w:eastAsia="zh-CN" w:bidi="ar-SA"/>
        </w:rPr>
      </w:pPr>
      <w:r>
        <w:rPr>
          <w:rFonts w:hint="eastAsia" w:ascii="Arial" w:hAnsi="Arial" w:cs="Times New Roman"/>
          <w:b/>
          <w:bCs/>
          <w:color w:val="auto"/>
          <w:sz w:val="28"/>
          <w:szCs w:val="32"/>
          <w:highlight w:val="none"/>
          <w:lang w:val="en-US" w:eastAsia="zh-CN" w:bidi="ar-SA"/>
        </w:rPr>
        <w:t>分项报价表</w:t>
      </w:r>
    </w:p>
    <w:p>
      <w:pPr>
        <w:pStyle w:val="2"/>
        <w:rPr>
          <w:rFonts w:hint="eastAsia" w:ascii="Arial" w:hAnsi="Arial" w:cs="Times New Roman"/>
          <w:b w:val="0"/>
          <w:bCs w:val="0"/>
          <w:color w:val="auto"/>
          <w:sz w:val="28"/>
          <w:szCs w:val="32"/>
          <w:highlight w:val="none"/>
          <w:lang w:val="en-US" w:eastAsia="zh-CN" w:bidi="ar-SA"/>
        </w:rPr>
      </w:pPr>
    </w:p>
    <w:p>
      <w:pPr>
        <w:pStyle w:val="2"/>
        <w:rPr>
          <w:rFonts w:hint="eastAsia" w:ascii="Arial" w:hAnsi="Arial" w:cs="Times New Roman"/>
          <w:b w:val="0"/>
          <w:bCs w:val="0"/>
          <w:color w:val="auto"/>
          <w:sz w:val="28"/>
          <w:szCs w:val="32"/>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pStyle w:val="2"/>
        <w:rPr>
          <w:rFonts w:hint="default"/>
          <w:b w:val="0"/>
          <w:bCs w:val="0"/>
          <w:highlight w:val="none"/>
          <w:lang w:val="en-US" w:eastAsia="zh-CN"/>
        </w:rPr>
      </w:pPr>
      <w:r>
        <w:rPr>
          <w:rFonts w:hint="eastAsia" w:ascii="Arial" w:hAnsi="Arial" w:cs="Times New Roman"/>
          <w:b w:val="0"/>
          <w:bCs w:val="0"/>
          <w:color w:val="auto"/>
          <w:sz w:val="28"/>
          <w:szCs w:val="32"/>
          <w:highlight w:val="none"/>
          <w:lang w:val="en-US" w:eastAsia="zh-CN" w:bidi="ar-SA"/>
        </w:rPr>
        <w:t>注：格式自拟</w:t>
      </w:r>
    </w:p>
    <w:p>
      <w:pPr>
        <w:pStyle w:val="2"/>
        <w:rPr>
          <w:rFonts w:hint="eastAsia"/>
          <w:highlight w:val="none"/>
        </w:rPr>
      </w:pPr>
    </w:p>
    <w:p>
      <w:pPr>
        <w:rPr>
          <w:rFonts w:hint="eastAsia" w:ascii="宋体" w:hAnsi="宋体" w:cs="宋体"/>
          <w:sz w:val="24"/>
          <w:szCs w:val="24"/>
          <w:highlight w:val="none"/>
        </w:rPr>
      </w:pPr>
      <w:r>
        <w:rPr>
          <w:rFonts w:hint="eastAsia" w:ascii="宋体" w:hAnsi="宋体" w:cs="宋体"/>
          <w:sz w:val="24"/>
          <w:szCs w:val="24"/>
          <w:highlight w:val="none"/>
        </w:rPr>
        <w:br w:type="page"/>
      </w:r>
    </w:p>
    <w:bookmarkEnd w:id="310"/>
    <w:bookmarkEnd w:id="311"/>
    <w:bookmarkEnd w:id="312"/>
    <w:bookmarkEnd w:id="313"/>
    <w:bookmarkEnd w:id="314"/>
    <w:p>
      <w:pPr>
        <w:pStyle w:val="6"/>
        <w:bidi w:val="0"/>
        <w:spacing w:after="0" w:afterAutospacing="0"/>
        <w:jc w:val="center"/>
        <w:rPr>
          <w:rFonts w:hint="eastAsia"/>
          <w:highlight w:val="none"/>
        </w:rPr>
      </w:pPr>
      <w:bookmarkStart w:id="315" w:name="_Toc11065"/>
      <w:bookmarkStart w:id="316" w:name="_Toc7506"/>
      <w:bookmarkStart w:id="317" w:name="_Toc7858"/>
      <w:bookmarkStart w:id="318" w:name="_Toc29455"/>
      <w:bookmarkStart w:id="319" w:name="_Toc4334"/>
      <w:bookmarkStart w:id="320" w:name="_Toc5328"/>
      <w:bookmarkStart w:id="321" w:name="_Toc28462"/>
      <w:bookmarkStart w:id="322" w:name="_Toc5699"/>
      <w:bookmarkStart w:id="323" w:name="_Toc20951"/>
      <w:bookmarkStart w:id="324" w:name="_Toc716"/>
      <w:bookmarkStart w:id="325" w:name="_Toc233435986"/>
      <w:bookmarkStart w:id="326" w:name="_Toc16322"/>
      <w:bookmarkStart w:id="327" w:name="_Toc6128"/>
      <w:bookmarkStart w:id="328" w:name="_Toc497551825"/>
      <w:bookmarkStart w:id="329" w:name="_Toc497712138"/>
      <w:bookmarkStart w:id="330" w:name="_Hlt491766443"/>
      <w:bookmarkStart w:id="331" w:name="_Toc497546923"/>
      <w:bookmarkStart w:id="332" w:name="_Toc389620245"/>
      <w:bookmarkStart w:id="333" w:name="_Toc497711590"/>
      <w:bookmarkStart w:id="334" w:name="_Toc385992405"/>
      <w:bookmarkStart w:id="335" w:name="_Toc492955464"/>
      <w:r>
        <w:rPr>
          <w:rFonts w:hint="eastAsia"/>
          <w:highlight w:val="none"/>
          <w:lang w:val="en-US" w:eastAsia="zh-CN"/>
        </w:rPr>
        <w:t>三</w:t>
      </w:r>
      <w:r>
        <w:rPr>
          <w:rFonts w:hint="eastAsia"/>
          <w:highlight w:val="none"/>
        </w:rPr>
        <w:t>、投标保证金</w:t>
      </w:r>
      <w:bookmarkEnd w:id="315"/>
      <w:bookmarkEnd w:id="316"/>
      <w:bookmarkEnd w:id="317"/>
    </w:p>
    <w:p>
      <w:pPr>
        <w:spacing w:beforeAutospacing="0" w:afterAutospacing="0" w:line="401" w:lineRule="auto"/>
        <w:ind w:firstLine="491"/>
        <w:jc w:val="center"/>
        <w:rPr>
          <w:rFonts w:ascii="宋体" w:hAnsi="宋体" w:eastAsia="宋体" w:cs="宋体"/>
          <w:b/>
          <w:bCs/>
          <w:spacing w:val="8"/>
          <w:sz w:val="30"/>
          <w:szCs w:val="30"/>
          <w:highlight w:val="none"/>
        </w:rPr>
      </w:pPr>
      <w:r>
        <w:rPr>
          <w:rFonts w:ascii="宋体" w:hAnsi="宋体" w:eastAsia="宋体" w:cs="宋体"/>
          <w:b/>
          <w:bCs/>
          <w:spacing w:val="8"/>
          <w:sz w:val="30"/>
          <w:szCs w:val="30"/>
          <w:highlight w:val="none"/>
        </w:rPr>
        <w:t>投标信用承诺书 (投标保证金)</w:t>
      </w:r>
    </w:p>
    <w:p>
      <w:pPr>
        <w:spacing w:beforeAutospacing="0" w:line="401" w:lineRule="auto"/>
        <w:ind w:left="484"/>
        <w:rPr>
          <w:rFonts w:ascii="宋体" w:hAnsi="宋体" w:eastAsia="宋体" w:cs="宋体"/>
          <w:sz w:val="23"/>
          <w:szCs w:val="23"/>
          <w:highlight w:val="none"/>
        </w:rPr>
      </w:pPr>
      <w:r>
        <w:rPr>
          <w:rFonts w:ascii="宋体" w:hAnsi="宋体" w:eastAsia="宋体" w:cs="宋体"/>
          <w:spacing w:val="6"/>
          <w:sz w:val="23"/>
          <w:szCs w:val="23"/>
          <w:highlight w:val="none"/>
        </w:rPr>
        <w:t>项</w:t>
      </w:r>
      <w:r>
        <w:rPr>
          <w:rFonts w:ascii="宋体" w:hAnsi="宋体" w:eastAsia="宋体" w:cs="宋体"/>
          <w:spacing w:val="5"/>
          <w:sz w:val="23"/>
          <w:szCs w:val="23"/>
          <w:highlight w:val="none"/>
        </w:rPr>
        <w:t>目名称：</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line="228" w:lineRule="auto"/>
        <w:ind w:left="483"/>
        <w:rPr>
          <w:rFonts w:ascii="宋体" w:hAnsi="宋体" w:eastAsia="宋体" w:cs="宋体"/>
          <w:sz w:val="23"/>
          <w:szCs w:val="23"/>
          <w:highlight w:val="none"/>
        </w:rPr>
      </w:pPr>
      <w:r>
        <w:rPr>
          <w:rFonts w:ascii="宋体" w:hAnsi="宋体" w:eastAsia="宋体" w:cs="宋体"/>
          <w:spacing w:val="5"/>
          <w:sz w:val="23"/>
          <w:szCs w:val="23"/>
          <w:highlight w:val="none"/>
        </w:rPr>
        <w:t>投</w:t>
      </w:r>
      <w:r>
        <w:rPr>
          <w:rFonts w:ascii="宋体" w:hAnsi="宋体" w:eastAsia="宋体" w:cs="宋体"/>
          <w:spacing w:val="4"/>
          <w:sz w:val="23"/>
          <w:szCs w:val="23"/>
          <w:highlight w:val="none"/>
        </w:rPr>
        <w:t>标人：</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before="214" w:line="402" w:lineRule="auto"/>
        <w:ind w:right="0" w:rightChars="0" w:firstLine="486"/>
        <w:rPr>
          <w:rFonts w:ascii="宋体" w:hAnsi="宋体" w:eastAsia="宋体" w:cs="宋体"/>
          <w:sz w:val="23"/>
          <w:szCs w:val="23"/>
          <w:highlight w:val="none"/>
        </w:rPr>
      </w:pPr>
      <w:r>
        <w:rPr>
          <w:rFonts w:ascii="宋体" w:hAnsi="宋体" w:eastAsia="宋体" w:cs="宋体"/>
          <w:spacing w:val="-6"/>
          <w:sz w:val="23"/>
          <w:szCs w:val="23"/>
          <w:highlight w:val="none"/>
        </w:rPr>
        <w:t>统一社</w:t>
      </w:r>
      <w:r>
        <w:rPr>
          <w:rFonts w:ascii="宋体" w:hAnsi="宋体" w:eastAsia="宋体" w:cs="宋体"/>
          <w:spacing w:val="-4"/>
          <w:sz w:val="23"/>
          <w:szCs w:val="23"/>
          <w:highlight w:val="none"/>
        </w:rPr>
        <w:t>会</w:t>
      </w:r>
      <w:r>
        <w:rPr>
          <w:rFonts w:ascii="宋体" w:hAnsi="宋体" w:eastAsia="宋体" w:cs="宋体"/>
          <w:spacing w:val="-3"/>
          <w:sz w:val="23"/>
          <w:szCs w:val="23"/>
          <w:highlight w:val="none"/>
        </w:rPr>
        <w:t>信用代码：</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3"/>
          <w:sz w:val="23"/>
          <w:szCs w:val="23"/>
          <w:highlight w:val="none"/>
        </w:rPr>
        <w:t>法人代表：</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9"/>
          <w:sz w:val="23"/>
          <w:szCs w:val="23"/>
          <w:highlight w:val="none"/>
        </w:rPr>
        <w:t>在本项目标段招投标活动中，我公司(单位)自愿作出以下投标信用承诺</w:t>
      </w:r>
      <w:r>
        <w:rPr>
          <w:rFonts w:ascii="宋体" w:hAnsi="宋体" w:eastAsia="宋体" w:cs="宋体"/>
          <w:spacing w:val="5"/>
          <w:sz w:val="23"/>
          <w:szCs w:val="23"/>
          <w:highlight w:val="none"/>
        </w:rPr>
        <w:t>：</w:t>
      </w:r>
    </w:p>
    <w:p>
      <w:pPr>
        <w:spacing w:line="227" w:lineRule="auto"/>
        <w:ind w:left="492"/>
        <w:rPr>
          <w:rFonts w:ascii="宋体" w:hAnsi="宋体" w:eastAsia="宋体" w:cs="宋体"/>
          <w:sz w:val="23"/>
          <w:szCs w:val="23"/>
          <w:highlight w:val="none"/>
        </w:rPr>
      </w:pPr>
      <w:r>
        <w:rPr>
          <w:rFonts w:ascii="宋体" w:hAnsi="宋体" w:eastAsia="宋体" w:cs="宋体"/>
          <w:spacing w:val="8"/>
          <w:sz w:val="23"/>
          <w:szCs w:val="23"/>
          <w:highlight w:val="none"/>
        </w:rPr>
        <w:t>( 一) 能严格遵守法律法规、职业道德和行业规范</w:t>
      </w:r>
      <w:r>
        <w:rPr>
          <w:rFonts w:ascii="宋体" w:hAnsi="宋体" w:eastAsia="宋体" w:cs="宋体"/>
          <w:spacing w:val="7"/>
          <w:sz w:val="23"/>
          <w:szCs w:val="23"/>
          <w:highlight w:val="none"/>
        </w:rPr>
        <w:t>。</w:t>
      </w:r>
    </w:p>
    <w:p>
      <w:pPr>
        <w:spacing w:before="220" w:line="401" w:lineRule="auto"/>
        <w:ind w:firstLine="491"/>
        <w:rPr>
          <w:rFonts w:ascii="宋体" w:hAnsi="宋体" w:eastAsia="宋体" w:cs="宋体"/>
          <w:sz w:val="23"/>
          <w:szCs w:val="23"/>
          <w:highlight w:val="none"/>
        </w:rPr>
      </w:pPr>
      <w:r>
        <w:rPr>
          <w:rFonts w:ascii="宋体" w:hAnsi="宋体" w:eastAsia="宋体" w:cs="宋体"/>
          <w:spacing w:val="20"/>
          <w:sz w:val="23"/>
          <w:szCs w:val="23"/>
          <w:highlight w:val="none"/>
        </w:rPr>
        <w:t>(</w:t>
      </w:r>
      <w:r>
        <w:rPr>
          <w:rFonts w:ascii="宋体" w:hAnsi="宋体" w:eastAsia="宋体" w:cs="宋体"/>
          <w:spacing w:val="18"/>
          <w:sz w:val="23"/>
          <w:szCs w:val="23"/>
          <w:highlight w:val="none"/>
        </w:rPr>
        <w:t>二</w:t>
      </w:r>
      <w:r>
        <w:rPr>
          <w:rFonts w:ascii="宋体" w:hAnsi="宋体" w:eastAsia="宋体" w:cs="宋体"/>
          <w:spacing w:val="10"/>
          <w:sz w:val="23"/>
          <w:szCs w:val="23"/>
          <w:highlight w:val="none"/>
        </w:rPr>
        <w:t>) 不得有以下违法违规行为：1.围标串标；以他人名义或者其他方式弄虚作假投</w:t>
      </w:r>
      <w:r>
        <w:rPr>
          <w:rFonts w:ascii="宋体" w:hAnsi="宋体" w:eastAsia="宋体" w:cs="宋体"/>
          <w:spacing w:val="16"/>
          <w:sz w:val="23"/>
          <w:szCs w:val="23"/>
          <w:highlight w:val="none"/>
        </w:rPr>
        <w:t>标</w:t>
      </w:r>
      <w:r>
        <w:rPr>
          <w:rFonts w:ascii="宋体" w:hAnsi="宋体" w:eastAsia="宋体" w:cs="宋体"/>
          <w:spacing w:val="13"/>
          <w:sz w:val="23"/>
          <w:szCs w:val="23"/>
          <w:highlight w:val="none"/>
        </w:rPr>
        <w:t>；</w:t>
      </w:r>
      <w:r>
        <w:rPr>
          <w:rFonts w:ascii="宋体" w:hAnsi="宋体" w:eastAsia="宋体" w:cs="宋体"/>
          <w:spacing w:val="8"/>
          <w:sz w:val="23"/>
          <w:szCs w:val="23"/>
          <w:highlight w:val="none"/>
        </w:rPr>
        <w:t>出让出租资格、资质证书供他人投标；恶意竞标、强揽工程；以暴力、威胁、利诱等</w:t>
      </w:r>
      <w:r>
        <w:rPr>
          <w:rFonts w:ascii="宋体" w:hAnsi="宋体" w:eastAsia="宋体" w:cs="宋体"/>
          <w:spacing w:val="13"/>
          <w:sz w:val="23"/>
          <w:szCs w:val="23"/>
          <w:highlight w:val="none"/>
        </w:rPr>
        <w:t>手</w:t>
      </w:r>
      <w:r>
        <w:rPr>
          <w:rFonts w:ascii="宋体" w:hAnsi="宋体" w:eastAsia="宋体" w:cs="宋体"/>
          <w:spacing w:val="8"/>
          <w:sz w:val="23"/>
          <w:szCs w:val="23"/>
          <w:highlight w:val="none"/>
        </w:rPr>
        <w:t>段阻止或者控制其他潜在投标人参与招投标活动。2.向招投标监督部门、交易中心、招</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人、招标代理机构、评审委员会及其成员等当事主体赠送财物。3.投标截止后至中标人</w:t>
      </w:r>
      <w:r>
        <w:rPr>
          <w:rFonts w:ascii="宋体" w:hAnsi="宋体" w:eastAsia="宋体" w:cs="宋体"/>
          <w:spacing w:val="13"/>
          <w:sz w:val="23"/>
          <w:szCs w:val="23"/>
          <w:highlight w:val="none"/>
        </w:rPr>
        <w:t>确</w:t>
      </w:r>
      <w:r>
        <w:rPr>
          <w:rFonts w:ascii="宋体" w:hAnsi="宋体" w:eastAsia="宋体" w:cs="宋体"/>
          <w:spacing w:val="8"/>
          <w:sz w:val="23"/>
          <w:szCs w:val="23"/>
          <w:highlight w:val="none"/>
        </w:rPr>
        <w:t>定前，修改或者撤销投标文件。4.在被确定为中标人后无正当理由：不按照招标文件和</w:t>
      </w:r>
      <w:r>
        <w:rPr>
          <w:rFonts w:ascii="宋体" w:hAnsi="宋体" w:eastAsia="宋体" w:cs="宋体"/>
          <w:spacing w:val="16"/>
          <w:sz w:val="23"/>
          <w:szCs w:val="23"/>
          <w:highlight w:val="none"/>
        </w:rPr>
        <w:t>投</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文件与招标人签订合同；在签订合同时向招标人提出附加条件、或者改变投标文件的</w:t>
      </w:r>
      <w:r>
        <w:rPr>
          <w:rFonts w:ascii="宋体" w:hAnsi="宋体" w:eastAsia="宋体" w:cs="宋体"/>
          <w:spacing w:val="13"/>
          <w:sz w:val="23"/>
          <w:szCs w:val="23"/>
          <w:highlight w:val="none"/>
        </w:rPr>
        <w:t>实</w:t>
      </w:r>
      <w:r>
        <w:rPr>
          <w:rFonts w:ascii="宋体" w:hAnsi="宋体" w:eastAsia="宋体" w:cs="宋体"/>
          <w:spacing w:val="8"/>
          <w:sz w:val="23"/>
          <w:szCs w:val="23"/>
          <w:highlight w:val="none"/>
        </w:rPr>
        <w:t>质性内容；放弃中标；不按照招标文件的规定提交履约信用承诺。5.招投标法规定的其</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它</w:t>
      </w:r>
      <w:r>
        <w:rPr>
          <w:rFonts w:ascii="宋体" w:hAnsi="宋体" w:eastAsia="宋体" w:cs="宋体"/>
          <w:spacing w:val="7"/>
          <w:sz w:val="23"/>
          <w:szCs w:val="23"/>
          <w:highlight w:val="none"/>
        </w:rPr>
        <w:t>违法违规行为。</w:t>
      </w:r>
    </w:p>
    <w:p>
      <w:pPr>
        <w:spacing w:before="1" w:line="406" w:lineRule="auto"/>
        <w:ind w:left="2" w:firstLine="489"/>
        <w:rPr>
          <w:rFonts w:ascii="宋体" w:hAnsi="宋体" w:eastAsia="宋体" w:cs="宋体"/>
          <w:sz w:val="23"/>
          <w:szCs w:val="23"/>
          <w:highlight w:val="none"/>
        </w:rPr>
      </w:pPr>
      <w:r>
        <w:rPr>
          <w:rFonts w:ascii="宋体" w:hAnsi="宋体" w:eastAsia="宋体" w:cs="宋体"/>
          <w:spacing w:val="10"/>
          <w:sz w:val="23"/>
          <w:szCs w:val="23"/>
          <w:highlight w:val="none"/>
        </w:rPr>
        <w:t>(三) 若我公司(单位)及相关参与人员违背以上承诺事项，即被视为失信企业(</w:t>
      </w:r>
      <w:r>
        <w:rPr>
          <w:rFonts w:ascii="宋体" w:hAnsi="宋体" w:eastAsia="宋体" w:cs="宋体"/>
          <w:spacing w:val="8"/>
          <w:sz w:val="23"/>
          <w:szCs w:val="23"/>
          <w:highlight w:val="none"/>
        </w:rPr>
        <w:t>法</w:t>
      </w:r>
      <w:r>
        <w:rPr>
          <w:rFonts w:ascii="宋体" w:hAnsi="宋体" w:eastAsia="宋体" w:cs="宋体"/>
          <w:spacing w:val="5"/>
          <w:sz w:val="23"/>
          <w:szCs w:val="23"/>
          <w:highlight w:val="none"/>
        </w:rPr>
        <w:t>人)，依据《关于对公共资源交易领域严重失信主体开展联合惩戒的备忘录》(发改法</w:t>
      </w:r>
      <w:r>
        <w:rPr>
          <w:rFonts w:ascii="宋体" w:hAnsi="宋体" w:eastAsia="宋体" w:cs="宋体"/>
          <w:spacing w:val="1"/>
          <w:sz w:val="23"/>
          <w:szCs w:val="23"/>
          <w:highlight w:val="none"/>
        </w:rPr>
        <w:t>规</w:t>
      </w:r>
      <w:r>
        <w:rPr>
          <w:rFonts w:ascii="宋体" w:hAnsi="宋体" w:eastAsia="宋体" w:cs="宋体"/>
          <w:spacing w:val="-6"/>
          <w:sz w:val="23"/>
          <w:szCs w:val="23"/>
          <w:highlight w:val="none"/>
        </w:rPr>
        <w:t>[</w:t>
      </w:r>
      <w:r>
        <w:rPr>
          <w:rFonts w:ascii="宋体" w:hAnsi="宋体" w:eastAsia="宋体" w:cs="宋体"/>
          <w:spacing w:val="-4"/>
          <w:sz w:val="23"/>
          <w:szCs w:val="23"/>
          <w:highlight w:val="none"/>
        </w:rPr>
        <w:t>2</w:t>
      </w:r>
      <w:r>
        <w:rPr>
          <w:rFonts w:ascii="宋体" w:hAnsi="宋体" w:eastAsia="宋体" w:cs="宋体"/>
          <w:spacing w:val="-3"/>
          <w:sz w:val="23"/>
          <w:szCs w:val="23"/>
          <w:highlight w:val="none"/>
        </w:rPr>
        <w:t>018]457号)，自愿接受1至3年内限制参与公共资源交易活动。</w:t>
      </w:r>
    </w:p>
    <w:p>
      <w:pPr>
        <w:spacing w:line="402" w:lineRule="auto"/>
        <w:rPr>
          <w:rFonts w:ascii="Arial"/>
          <w:sz w:val="21"/>
          <w:highlight w:val="none"/>
        </w:rPr>
      </w:pPr>
    </w:p>
    <w:p>
      <w:pPr>
        <w:spacing w:before="76" w:line="227" w:lineRule="auto"/>
        <w:ind w:left="0" w:leftChars="0" w:firstLine="0" w:firstLineChars="0"/>
        <w:rPr>
          <w:rFonts w:hint="eastAsia" w:ascii="宋体" w:hAnsi="宋体" w:eastAsia="宋体" w:cs="宋体"/>
          <w:sz w:val="23"/>
          <w:szCs w:val="23"/>
          <w:highlight w:val="none"/>
          <w:lang w:eastAsia="zh-CN"/>
        </w:rPr>
      </w:pPr>
      <w:r>
        <w:rPr>
          <w:rFonts w:ascii="宋体" w:hAnsi="宋体" w:eastAsia="宋体" w:cs="宋体"/>
          <w:spacing w:val="1"/>
          <w:sz w:val="23"/>
          <w:szCs w:val="23"/>
          <w:highlight w:val="none"/>
        </w:rPr>
        <w:t xml:space="preserve">法定代表人 (签章) ：             </w:t>
      </w:r>
      <w:r>
        <w:rPr>
          <w:rFonts w:ascii="宋体" w:hAnsi="宋体" w:eastAsia="宋体" w:cs="宋体"/>
          <w:sz w:val="23"/>
          <w:szCs w:val="23"/>
          <w:highlight w:val="none"/>
        </w:rPr>
        <w:t xml:space="preserve">        投标人 (盖章) ：</w:t>
      </w:r>
      <w:r>
        <w:rPr>
          <w:rFonts w:hint="eastAsia" w:ascii="宋体" w:hAnsi="宋体" w:cs="宋体"/>
          <w:sz w:val="23"/>
          <w:szCs w:val="23"/>
          <w:highlight w:val="none"/>
          <w:lang w:val="en-US" w:eastAsia="zh-CN"/>
        </w:rPr>
        <w:t xml:space="preserve"> </w:t>
      </w:r>
    </w:p>
    <w:p>
      <w:pPr>
        <w:spacing w:line="320" w:lineRule="auto"/>
        <w:rPr>
          <w:rFonts w:ascii="Arial"/>
          <w:sz w:val="21"/>
          <w:highlight w:val="none"/>
        </w:rPr>
      </w:pPr>
    </w:p>
    <w:p>
      <w:pPr>
        <w:spacing w:line="320" w:lineRule="auto"/>
        <w:rPr>
          <w:rFonts w:ascii="Arial"/>
          <w:sz w:val="21"/>
          <w:highlight w:val="none"/>
        </w:rPr>
      </w:pPr>
    </w:p>
    <w:p>
      <w:pPr>
        <w:spacing w:before="75" w:line="227" w:lineRule="auto"/>
        <w:ind w:left="480"/>
        <w:jc w:val="right"/>
        <w:rPr>
          <w:rFonts w:ascii="宋体" w:hAnsi="宋体" w:eastAsia="宋体" w:cs="宋体"/>
          <w:sz w:val="23"/>
          <w:szCs w:val="23"/>
          <w:highlight w:val="none"/>
        </w:rPr>
      </w:pPr>
      <w:r>
        <w:rPr>
          <w:rFonts w:ascii="宋体" w:hAnsi="宋体" w:eastAsia="宋体" w:cs="宋体"/>
          <w:spacing w:val="2"/>
          <w:sz w:val="23"/>
          <w:szCs w:val="23"/>
          <w:highlight w:val="none"/>
        </w:rPr>
        <w:t xml:space="preserve">承诺时间：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月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w:t>
      </w:r>
      <w:r>
        <w:rPr>
          <w:rFonts w:ascii="宋体" w:hAnsi="宋体" w:eastAsia="宋体" w:cs="宋体"/>
          <w:spacing w:val="1"/>
          <w:sz w:val="23"/>
          <w:szCs w:val="23"/>
          <w:highlight w:val="none"/>
        </w:rPr>
        <w:t>日</w:t>
      </w:r>
    </w:p>
    <w:p>
      <w:pPr>
        <w:spacing w:line="320" w:lineRule="auto"/>
        <w:rPr>
          <w:rFonts w:ascii="Arial"/>
          <w:sz w:val="21"/>
          <w:highlight w:val="none"/>
        </w:rPr>
      </w:pPr>
    </w:p>
    <w:p>
      <w:pPr>
        <w:spacing w:before="75" w:line="360" w:lineRule="auto"/>
        <w:ind w:left="3"/>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说明：</w:t>
      </w:r>
      <w:r>
        <w:rPr>
          <w:rFonts w:hint="eastAsia" w:ascii="宋体" w:hAnsi="宋体" w:cs="宋体"/>
          <w:b/>
          <w:bCs/>
          <w:kern w:val="2"/>
          <w:sz w:val="24"/>
          <w:szCs w:val="24"/>
          <w:highlight w:val="none"/>
          <w:lang w:val="en-US" w:eastAsia="zh-CN"/>
        </w:rPr>
        <w:t>1.</w:t>
      </w:r>
      <w:r>
        <w:rPr>
          <w:rFonts w:hint="eastAsia" w:ascii="宋体" w:hAnsi="宋体" w:eastAsia="宋体" w:cs="宋体"/>
          <w:b/>
          <w:bCs/>
          <w:kern w:val="2"/>
          <w:sz w:val="24"/>
          <w:szCs w:val="24"/>
          <w:highlight w:val="none"/>
        </w:rPr>
        <w:t>本承诺书效力和作用等同投标保证金，其有效期与投标有效期一致</w:t>
      </w:r>
      <w:r>
        <w:rPr>
          <w:rFonts w:hint="eastAsia" w:ascii="宋体" w:hAnsi="宋体" w:cs="宋体"/>
          <w:b/>
          <w:bCs/>
          <w:kern w:val="2"/>
          <w:sz w:val="24"/>
          <w:szCs w:val="24"/>
          <w:highlight w:val="none"/>
          <w:lang w:eastAsia="zh-CN"/>
        </w:rPr>
        <w:t>；</w:t>
      </w:r>
    </w:p>
    <w:p>
      <w:pPr>
        <w:spacing w:before="75" w:line="360" w:lineRule="auto"/>
        <w:ind w:left="3" w:firstLine="723" w:firstLineChars="300"/>
        <w:rPr>
          <w:rFonts w:hint="eastAsia" w:ascii="宋体" w:hAnsi="宋体" w:cs="宋体"/>
          <w:kern w:val="2"/>
          <w:sz w:val="21"/>
          <w:szCs w:val="21"/>
          <w:highlight w:val="none"/>
        </w:rPr>
      </w:pPr>
      <w:r>
        <w:rPr>
          <w:rFonts w:hint="eastAsia" w:ascii="宋体" w:hAnsi="宋体" w:cs="宋体"/>
          <w:b/>
          <w:bCs/>
          <w:kern w:val="2"/>
          <w:sz w:val="24"/>
          <w:szCs w:val="24"/>
          <w:highlight w:val="none"/>
          <w:lang w:val="en-US" w:eastAsia="zh-CN"/>
        </w:rPr>
        <w:t>2.</w:t>
      </w:r>
      <w:r>
        <w:rPr>
          <w:rFonts w:hint="eastAsia" w:ascii="宋体" w:hAnsi="宋体" w:eastAsia="宋体" w:cs="宋体"/>
          <w:b/>
          <w:bCs/>
          <w:kern w:val="2"/>
          <w:sz w:val="24"/>
          <w:szCs w:val="24"/>
          <w:highlight w:val="none"/>
          <w:lang w:val="en-US" w:eastAsia="zh-CN"/>
        </w:rPr>
        <w:t>后附信用中国（陕西榆林）网站自主上报的信用截图</w:t>
      </w:r>
      <w:r>
        <w:rPr>
          <w:rFonts w:hint="eastAsia" w:ascii="宋体" w:hAnsi="宋体" w:cs="宋体"/>
          <w:b/>
          <w:bCs/>
          <w:kern w:val="2"/>
          <w:sz w:val="24"/>
          <w:szCs w:val="24"/>
          <w:highlight w:val="none"/>
          <w:lang w:val="en-US" w:eastAsia="zh-CN"/>
        </w:rPr>
        <w:t>。</w:t>
      </w:r>
    </w:p>
    <w:p>
      <w:pPr>
        <w:spacing w:line="360" w:lineRule="auto"/>
        <w:rPr>
          <w:rFonts w:hint="eastAsia" w:ascii="宋体" w:hAnsi="宋体" w:eastAsia="宋体" w:cs="宋体"/>
          <w:szCs w:val="22"/>
          <w:highlight w:val="none"/>
        </w:rPr>
      </w:pPr>
      <w:r>
        <w:rPr>
          <w:rFonts w:hint="eastAsia" w:ascii="宋体" w:hAnsi="宋体" w:eastAsia="宋体" w:cs="宋体"/>
          <w:szCs w:val="22"/>
          <w:highlight w:val="none"/>
        </w:rPr>
        <w:br w:type="page"/>
      </w:r>
    </w:p>
    <w:p>
      <w:pPr>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240" w:lineRule="auto"/>
        <w:ind w:left="0" w:right="0"/>
        <w:jc w:val="center"/>
        <w:textAlignment w:val="baseline"/>
        <w:outlineLvl w:val="2"/>
        <w:rPr>
          <w:rFonts w:hint="default" w:ascii="宋体" w:hAnsi="宋体" w:eastAsia="宋体" w:cs="宋体"/>
          <w:b/>
          <w:snapToGrid w:val="0"/>
          <w:color w:val="000000"/>
          <w:kern w:val="0"/>
          <w:sz w:val="32"/>
          <w:szCs w:val="22"/>
          <w:highlight w:val="none"/>
          <w:lang w:val="en-US" w:eastAsia="zh-CN" w:bidi="ar"/>
        </w:rPr>
      </w:pPr>
      <w:bookmarkStart w:id="336" w:name="_Toc25747"/>
      <w:bookmarkStart w:id="337" w:name="_Toc5427"/>
      <w:bookmarkStart w:id="338" w:name="_Toc13813"/>
      <w:bookmarkStart w:id="339" w:name="_Toc14662"/>
      <w:bookmarkStart w:id="340" w:name="_Toc20648"/>
      <w:r>
        <w:rPr>
          <w:rFonts w:hint="eastAsia" w:ascii="宋体" w:hAnsi="宋体" w:eastAsia="宋体" w:cs="宋体"/>
          <w:b/>
          <w:snapToGrid w:val="0"/>
          <w:color w:val="000000"/>
          <w:kern w:val="0"/>
          <w:sz w:val="32"/>
          <w:szCs w:val="22"/>
          <w:highlight w:val="none"/>
          <w:lang w:bidi="ar"/>
        </w:rPr>
        <w:t>投标保证金缴款凭证</w:t>
      </w:r>
      <w:r>
        <w:rPr>
          <w:rFonts w:hint="eastAsia" w:ascii="宋体" w:hAnsi="宋体" w:eastAsia="宋体" w:cs="宋体"/>
          <w:b/>
          <w:snapToGrid w:val="0"/>
          <w:color w:val="000000"/>
          <w:kern w:val="0"/>
          <w:sz w:val="32"/>
          <w:szCs w:val="22"/>
          <w:highlight w:val="none"/>
          <w:lang w:eastAsia="zh-CN" w:bidi="ar"/>
        </w:rPr>
        <w:t>；</w:t>
      </w:r>
      <w:r>
        <w:rPr>
          <w:rFonts w:hint="eastAsia" w:ascii="宋体" w:hAnsi="宋体" w:eastAsia="宋体" w:cs="宋体"/>
          <w:b/>
          <w:snapToGrid w:val="0"/>
          <w:color w:val="000000"/>
          <w:kern w:val="0"/>
          <w:sz w:val="32"/>
          <w:szCs w:val="22"/>
          <w:highlight w:val="none"/>
          <w:lang w:val="en-US" w:eastAsia="zh-CN" w:bidi="ar"/>
        </w:rPr>
        <w:t>或投标信用（保证金）承诺书</w:t>
      </w:r>
      <w:bookmarkEnd w:id="336"/>
      <w:bookmarkEnd w:id="337"/>
      <w:bookmarkEnd w:id="338"/>
    </w:p>
    <w:p>
      <w:pPr>
        <w:widowControl w:val="0"/>
        <w:kinsoku w:val="0"/>
        <w:autoSpaceDE w:val="0"/>
        <w:autoSpaceDN w:val="0"/>
        <w:adjustRightInd w:val="0"/>
        <w:snapToGrid w:val="0"/>
        <w:spacing w:line="240" w:lineRule="auto"/>
        <w:jc w:val="center"/>
        <w:textAlignment w:val="auto"/>
        <w:rPr>
          <w:rFonts w:hint="eastAsia" w:ascii="Arial" w:hAnsi="Arial" w:eastAsia="Arial" w:cs="宋体"/>
          <w:snapToGrid w:val="0"/>
          <w:color w:val="000000"/>
          <w:kern w:val="2"/>
          <w:sz w:val="24"/>
          <w:szCs w:val="21"/>
          <w:highlight w:val="none"/>
          <w:lang w:eastAsia="zh-CN"/>
        </w:rPr>
      </w:pPr>
      <w:r>
        <w:rPr>
          <w:rFonts w:hint="eastAsia" w:ascii="Arial" w:hAnsi="Arial" w:eastAsia="Arial" w:cs="宋体"/>
          <w:snapToGrid w:val="0"/>
          <w:color w:val="000000"/>
          <w:kern w:val="2"/>
          <w:sz w:val="24"/>
          <w:szCs w:val="21"/>
          <w:highlight w:val="none"/>
          <w:lang w:eastAsia="zh-CN"/>
        </w:rPr>
        <w:t>（</w:t>
      </w:r>
      <w:r>
        <w:rPr>
          <w:rFonts w:hint="eastAsia" w:ascii="Arial" w:hAnsi="Arial" w:eastAsia="Arial" w:cs="宋体"/>
          <w:snapToGrid w:val="0"/>
          <w:color w:val="000000"/>
          <w:kern w:val="2"/>
          <w:sz w:val="24"/>
          <w:szCs w:val="21"/>
          <w:highlight w:val="none"/>
          <w:lang w:val="en-US" w:eastAsia="zh-CN"/>
        </w:rPr>
        <w:t>网站截图示例</w:t>
      </w:r>
      <w:r>
        <w:rPr>
          <w:rFonts w:hint="eastAsia" w:ascii="Arial" w:hAnsi="Arial" w:eastAsia="Arial" w:cs="宋体"/>
          <w:snapToGrid w:val="0"/>
          <w:color w:val="000000"/>
          <w:kern w:val="2"/>
          <w:sz w:val="24"/>
          <w:szCs w:val="21"/>
          <w:highlight w:val="none"/>
          <w:lang w:eastAsia="zh-CN"/>
        </w:rPr>
        <w:t>）</w:t>
      </w:r>
    </w:p>
    <w:p>
      <w:pPr>
        <w:widowControl w:val="0"/>
        <w:kinsoku w:val="0"/>
        <w:autoSpaceDE w:val="0"/>
        <w:autoSpaceDN w:val="0"/>
        <w:adjustRightInd w:val="0"/>
        <w:snapToGrid w:val="0"/>
        <w:spacing w:line="240" w:lineRule="auto"/>
        <w:jc w:val="both"/>
        <w:textAlignment w:val="auto"/>
        <w:rPr>
          <w:rFonts w:hint="eastAsia" w:ascii="Arial" w:hAnsi="Arial" w:eastAsia="Arial" w:cs="宋体"/>
          <w:snapToGrid w:val="0"/>
          <w:color w:val="000000"/>
          <w:kern w:val="2"/>
          <w:sz w:val="24"/>
          <w:szCs w:val="21"/>
          <w:highlight w:val="none"/>
          <w:lang w:val="en-US" w:eastAsia="zh-CN"/>
        </w:rPr>
      </w:pPr>
      <w:r>
        <w:rPr>
          <w:rFonts w:hint="eastAsia" w:ascii="宋体" w:hAnsi="宋体" w:eastAsia="宋体" w:cs="宋体"/>
          <w:snapToGrid w:val="0"/>
          <w:color w:val="000000"/>
          <w:kern w:val="0"/>
          <w:sz w:val="18"/>
          <w:szCs w:val="18"/>
          <w:highlight w:val="none"/>
          <w:lang w:eastAsia="zh-CN"/>
        </w:rPr>
        <w:drawing>
          <wp:inline distT="0" distB="0" distL="114300" distR="114300">
            <wp:extent cx="6615430" cy="4246880"/>
            <wp:effectExtent l="0" t="0" r="13970" b="1270"/>
            <wp:docPr id="4"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070660fdff4da88769f8db89617d96"/>
                    <pic:cNvPicPr>
                      <a:picLocks noChangeAspect="1"/>
                    </pic:cNvPicPr>
                  </pic:nvPicPr>
                  <pic:blipFill>
                    <a:blip r:embed="rId9"/>
                    <a:stretch>
                      <a:fillRect/>
                    </a:stretch>
                  </pic:blipFill>
                  <pic:spPr>
                    <a:xfrm>
                      <a:off x="0" y="0"/>
                      <a:ext cx="6615430" cy="4246880"/>
                    </a:xfrm>
                    <a:prstGeom prst="rect">
                      <a:avLst/>
                    </a:prstGeom>
                    <a:noFill/>
                    <a:ln>
                      <a:noFill/>
                    </a:ln>
                  </pic:spPr>
                </pic:pic>
              </a:graphicData>
            </a:graphic>
          </wp:inline>
        </w:drawing>
      </w:r>
    </w:p>
    <w:p>
      <w:pPr>
        <w:widowControl/>
        <w:kinsoku w:val="0"/>
        <w:autoSpaceDE w:val="0"/>
        <w:autoSpaceDN w:val="0"/>
        <w:adjustRightInd w:val="0"/>
        <w:snapToGrid w:val="0"/>
        <w:spacing w:line="240" w:lineRule="auto"/>
        <w:ind w:firstLine="220" w:firstLineChars="100"/>
        <w:jc w:val="left"/>
        <w:textAlignment w:val="baseline"/>
        <w:rPr>
          <w:rFonts w:hint="eastAsia" w:ascii="宋体" w:hAnsi="宋体" w:eastAsia="Arial" w:cs="宋体"/>
          <w:b/>
          <w:bCs/>
          <w:snapToGrid w:val="0"/>
          <w:color w:val="FF0000"/>
          <w:kern w:val="0"/>
          <w:sz w:val="22"/>
          <w:szCs w:val="22"/>
          <w:highlight w:val="none"/>
          <w:lang w:val="en-US" w:eastAsia="zh-CN"/>
        </w:rPr>
      </w:pPr>
      <w:r>
        <w:rPr>
          <w:rFonts w:hint="eastAsia" w:ascii="宋体" w:hAnsi="宋体" w:eastAsia="Arial" w:cs="宋体"/>
          <w:b/>
          <w:bCs/>
          <w:snapToGrid w:val="0"/>
          <w:color w:val="FF0000"/>
          <w:kern w:val="0"/>
          <w:sz w:val="22"/>
          <w:szCs w:val="22"/>
          <w:highlight w:val="none"/>
          <w:lang w:val="en-US" w:eastAsia="zh-CN"/>
        </w:rPr>
        <w:t>投标信用（保证金）承诺书的承诺附件格式详见“投标信用承诺书”</w:t>
      </w:r>
    </w:p>
    <w:p>
      <w:pPr>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br w:type="page"/>
      </w:r>
    </w:p>
    <w:p>
      <w:pPr>
        <w:pStyle w:val="6"/>
        <w:adjustRightInd w:val="0"/>
        <w:spacing w:before="0" w:after="0" w:line="360" w:lineRule="auto"/>
        <w:jc w:val="center"/>
        <w:textAlignment w:val="baseline"/>
        <w:rPr>
          <w:rFonts w:hint="eastAsia" w:ascii="宋体" w:hAnsi="宋体" w:eastAsia="宋体" w:cs="宋体"/>
          <w:szCs w:val="22"/>
          <w:highlight w:val="none"/>
        </w:rPr>
      </w:pPr>
      <w:bookmarkStart w:id="341" w:name="_Toc32098"/>
      <w:r>
        <w:rPr>
          <w:rFonts w:hint="eastAsia" w:ascii="宋体" w:hAnsi="宋体" w:eastAsia="宋体" w:cs="宋体"/>
          <w:szCs w:val="22"/>
          <w:highlight w:val="none"/>
          <w:lang w:val="en-US" w:eastAsia="zh-CN"/>
        </w:rPr>
        <w:t>四</w:t>
      </w:r>
      <w:r>
        <w:rPr>
          <w:rFonts w:hint="eastAsia" w:ascii="宋体" w:hAnsi="宋体" w:eastAsia="宋体" w:cs="宋体"/>
          <w:szCs w:val="22"/>
          <w:highlight w:val="none"/>
        </w:rPr>
        <w:t>、法定代表人证明书、法定代表人授权委托书</w:t>
      </w:r>
      <w:bookmarkEnd w:id="318"/>
      <w:bookmarkEnd w:id="319"/>
      <w:bookmarkEnd w:id="320"/>
      <w:bookmarkEnd w:id="321"/>
      <w:bookmarkEnd w:id="339"/>
      <w:bookmarkEnd w:id="340"/>
      <w:bookmarkEnd w:id="341"/>
    </w:p>
    <w:p>
      <w:pPr>
        <w:pStyle w:val="8"/>
        <w:spacing w:before="0" w:after="0" w:line="360" w:lineRule="auto"/>
        <w:jc w:val="center"/>
        <w:rPr>
          <w:rFonts w:hint="eastAsia" w:ascii="宋体" w:hAnsi="宋体" w:cs="宋体"/>
          <w:szCs w:val="22"/>
          <w:highlight w:val="none"/>
        </w:rPr>
      </w:pPr>
      <w:bookmarkStart w:id="342" w:name="_Toc22201"/>
      <w:bookmarkStart w:id="343" w:name="_Toc2734"/>
      <w:bookmarkStart w:id="344" w:name="_Toc5751"/>
      <w:bookmarkStart w:id="345" w:name="_Toc24502"/>
      <w:bookmarkStart w:id="346" w:name="_Toc14444"/>
      <w:bookmarkStart w:id="347" w:name="_Toc19324"/>
      <w:bookmarkStart w:id="348" w:name="_Toc3883"/>
      <w:bookmarkStart w:id="349" w:name="_Toc1848"/>
      <w:r>
        <w:rPr>
          <w:rFonts w:hint="eastAsia" w:ascii="宋体" w:hAnsi="宋体" w:cs="宋体"/>
          <w:highlight w:val="none"/>
        </w:rPr>
        <w:t>1、法定代表人证明书</w:t>
      </w:r>
      <w:bookmarkEnd w:id="342"/>
      <w:bookmarkEnd w:id="343"/>
      <w:bookmarkEnd w:id="344"/>
      <w:bookmarkEnd w:id="345"/>
      <w:bookmarkEnd w:id="346"/>
      <w:bookmarkEnd w:id="347"/>
      <w:bookmarkEnd w:id="348"/>
      <w:bookmarkEnd w:id="349"/>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0"/>
            <w:vAlign w:val="center"/>
          </w:tcPr>
          <w:p>
            <w:pPr>
              <w:tabs>
                <w:tab w:val="left" w:pos="210"/>
              </w:tabs>
              <w:spacing w:line="360" w:lineRule="auto"/>
              <w:rPr>
                <w:rFonts w:hint="eastAsia" w:ascii="宋体" w:hAnsi="宋体" w:cs="宋体"/>
                <w:kern w:val="0"/>
                <w:sz w:val="24"/>
                <w:highlight w:val="none"/>
                <w:u w:val="single"/>
              </w:rPr>
            </w:pPr>
            <w:r>
              <w:rPr>
                <w:rFonts w:hint="eastAsia" w:ascii="宋体" w:hAnsi="宋体" w:cs="宋体"/>
                <w:kern w:val="0"/>
                <w:sz w:val="24"/>
                <w:highlight w:val="none"/>
              </w:rPr>
              <w:t>致：</w:t>
            </w:r>
            <w:r>
              <w:rPr>
                <w:rFonts w:hint="eastAsia" w:ascii="宋体" w:hAnsi="宋体" w:cs="宋体"/>
                <w:kern w:val="0"/>
                <w:sz w:val="24"/>
                <w:highlight w:val="none"/>
                <w:u w:val="single"/>
              </w:rPr>
              <w:t>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90" w:type="dxa"/>
            <w:vMerge w:val="restart"/>
            <w:noWrap w:val="0"/>
            <w:vAlign w:val="center"/>
          </w:tcPr>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企</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业</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法</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企业名称</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法定地址</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邮政编码</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工商登记机关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税务登记机关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机构代码证号</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姓名</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（签名）</w:t>
            </w: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性别</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职务</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传真</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法定代表人身份证（正、反面）复印件</w:t>
            </w:r>
          </w:p>
        </w:tc>
        <w:tc>
          <w:tcPr>
            <w:tcW w:w="3893" w:type="dxa"/>
            <w:gridSpan w:val="3"/>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3893" w:type="dxa"/>
            <w:gridSpan w:val="3"/>
            <w:noWrap w:val="0"/>
            <w:vAlign w:val="bottom"/>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（公章）</w:t>
            </w:r>
          </w:p>
          <w:p>
            <w:pPr>
              <w:tabs>
                <w:tab w:val="left" w:pos="210"/>
              </w:tabs>
              <w:spacing w:line="360" w:lineRule="auto"/>
              <w:jc w:val="both"/>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 xml:space="preserve">年  月  日 </w:t>
            </w:r>
          </w:p>
        </w:tc>
      </w:tr>
    </w:tbl>
    <w:p>
      <w:pPr>
        <w:rPr>
          <w:rFonts w:hint="eastAsia" w:ascii="宋体" w:hAnsi="宋体" w:cs="宋体"/>
          <w:highlight w:val="none"/>
        </w:rPr>
      </w:pPr>
      <w:bookmarkStart w:id="350" w:name="_Toc19462"/>
      <w:bookmarkStart w:id="351" w:name="_Toc1201"/>
      <w:bookmarkStart w:id="352" w:name="_Toc27732"/>
      <w:bookmarkStart w:id="353" w:name="_Toc25588"/>
      <w:bookmarkStart w:id="354" w:name="_Toc4738"/>
      <w:bookmarkStart w:id="355" w:name="_Toc21"/>
      <w:r>
        <w:rPr>
          <w:rFonts w:hint="eastAsia" w:ascii="宋体" w:hAnsi="宋体" w:cs="宋体"/>
          <w:highlight w:val="none"/>
        </w:rPr>
        <w:br w:type="page"/>
      </w:r>
    </w:p>
    <w:p>
      <w:pPr>
        <w:pStyle w:val="8"/>
        <w:bidi w:val="0"/>
        <w:jc w:val="center"/>
        <w:rPr>
          <w:rFonts w:hint="eastAsia"/>
          <w:highlight w:val="none"/>
        </w:rPr>
      </w:pPr>
      <w:bookmarkStart w:id="356" w:name="_Toc19048"/>
      <w:bookmarkStart w:id="357" w:name="_Toc12623"/>
      <w:r>
        <w:rPr>
          <w:rFonts w:hint="eastAsia"/>
          <w:highlight w:val="none"/>
        </w:rPr>
        <w:t>2、法定代表人授权委托书</w:t>
      </w:r>
      <w:bookmarkEnd w:id="350"/>
      <w:bookmarkEnd w:id="351"/>
      <w:bookmarkEnd w:id="352"/>
      <w:bookmarkEnd w:id="353"/>
      <w:bookmarkEnd w:id="354"/>
      <w:bookmarkEnd w:id="355"/>
      <w:bookmarkEnd w:id="356"/>
      <w:bookmarkEnd w:id="357"/>
    </w:p>
    <w:p>
      <w:pPr>
        <w:tabs>
          <w:tab w:val="left" w:pos="8820"/>
        </w:tabs>
        <w:spacing w:line="360" w:lineRule="auto"/>
        <w:ind w:firstLine="570"/>
        <w:rPr>
          <w:rFonts w:hint="eastAsia" w:ascii="宋体" w:hAnsi="宋体" w:cs="宋体"/>
          <w:sz w:val="24"/>
          <w:szCs w:val="24"/>
          <w:highlight w:val="none"/>
          <w:u w:val="single"/>
        </w:rPr>
      </w:pPr>
      <w:r>
        <w:rPr>
          <w:rFonts w:hint="eastAsia" w:ascii="宋体" w:hAnsi="宋体" w:cs="宋体"/>
          <w:sz w:val="24"/>
          <w:szCs w:val="24"/>
          <w:highlight w:val="none"/>
        </w:rPr>
        <w:t>本授权委托书声明：我</w:t>
      </w:r>
      <w:r>
        <w:rPr>
          <w:rFonts w:hint="eastAsia" w:ascii="宋体" w:hAnsi="宋体" w:cs="宋体"/>
          <w:sz w:val="24"/>
          <w:szCs w:val="24"/>
          <w:highlight w:val="none"/>
          <w:u w:val="single"/>
        </w:rPr>
        <w:t>（法定代表人姓名）</w:t>
      </w:r>
      <w:r>
        <w:rPr>
          <w:rFonts w:hint="eastAsia" w:ascii="宋体" w:hAnsi="宋体" w:cs="宋体"/>
          <w:sz w:val="24"/>
          <w:szCs w:val="24"/>
          <w:highlight w:val="none"/>
        </w:rPr>
        <w:t>系注册于</w:t>
      </w:r>
      <w:r>
        <w:rPr>
          <w:rFonts w:hint="eastAsia" w:ascii="宋体" w:hAnsi="宋体" w:cs="宋体"/>
          <w:sz w:val="24"/>
          <w:szCs w:val="24"/>
          <w:highlight w:val="none"/>
          <w:u w:val="single"/>
        </w:rPr>
        <w:t xml:space="preserve">  （供应商地址） </w:t>
      </w:r>
      <w:r>
        <w:rPr>
          <w:rFonts w:hint="eastAsia" w:ascii="宋体" w:hAnsi="宋体" w:cs="宋体"/>
          <w:sz w:val="24"/>
          <w:szCs w:val="24"/>
          <w:highlight w:val="none"/>
        </w:rPr>
        <w:t>的</w:t>
      </w:r>
      <w:r>
        <w:rPr>
          <w:rFonts w:hint="eastAsia" w:ascii="宋体" w:hAnsi="宋体" w:cs="宋体"/>
          <w:sz w:val="24"/>
          <w:szCs w:val="24"/>
          <w:highlight w:val="none"/>
          <w:u w:val="single"/>
        </w:rPr>
        <w:t xml:space="preserve">（供应商名称）  </w:t>
      </w:r>
      <w:r>
        <w:rPr>
          <w:rFonts w:hint="eastAsia" w:ascii="宋体" w:hAnsi="宋体" w:cs="宋体"/>
          <w:sz w:val="24"/>
          <w:szCs w:val="24"/>
          <w:highlight w:val="none"/>
        </w:rPr>
        <w:t>的法定代表人，现代表公司授权下面签字的</w:t>
      </w:r>
      <w:r>
        <w:rPr>
          <w:rFonts w:hint="eastAsia" w:ascii="宋体" w:hAnsi="宋体" w:cs="宋体"/>
          <w:sz w:val="24"/>
          <w:szCs w:val="24"/>
          <w:highlight w:val="none"/>
          <w:u w:val="single"/>
        </w:rPr>
        <w:t>（被授权人的姓名、职务）</w:t>
      </w:r>
      <w:r>
        <w:rPr>
          <w:rFonts w:hint="eastAsia" w:ascii="宋体" w:hAnsi="宋体" w:cs="宋体"/>
          <w:sz w:val="24"/>
          <w:szCs w:val="24"/>
          <w:highlight w:val="none"/>
        </w:rPr>
        <w:t>为我公司合法代理人，代表本公司参加</w:t>
      </w:r>
      <w:r>
        <w:rPr>
          <w:rFonts w:hint="eastAsia" w:ascii="宋体" w:hAnsi="宋体" w:cs="宋体"/>
          <w:sz w:val="24"/>
          <w:szCs w:val="24"/>
          <w:highlight w:val="none"/>
          <w:u w:val="single"/>
        </w:rPr>
        <w:t xml:space="preserve">  （采购项目名称） (</w:t>
      </w:r>
      <w:r>
        <w:rPr>
          <w:rFonts w:hint="eastAsia" w:ascii="宋体" w:hAnsi="宋体" w:cs="宋体"/>
          <w:sz w:val="24"/>
          <w:szCs w:val="24"/>
          <w:highlight w:val="none"/>
        </w:rPr>
        <w:t>采购项目编号)为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的谈判活动。代理人在本次谈判中所签署的一切文件和处理的一切有关事物，我公司均予承认。</w:t>
      </w:r>
    </w:p>
    <w:p>
      <w:pPr>
        <w:bidi w:val="0"/>
        <w:spacing w:line="360" w:lineRule="auto"/>
        <w:ind w:firstLine="240" w:firstLineChars="100"/>
        <w:rPr>
          <w:rFonts w:hint="eastAsia"/>
          <w:sz w:val="24"/>
          <w:szCs w:val="24"/>
          <w:highlight w:val="none"/>
        </w:rPr>
      </w:pPr>
      <w:bookmarkStart w:id="358" w:name="_Toc8738"/>
      <w:bookmarkStart w:id="359" w:name="_Toc6882"/>
      <w:bookmarkStart w:id="360" w:name="_Toc1100"/>
      <w:bookmarkStart w:id="361" w:name="_Toc10073"/>
      <w:bookmarkStart w:id="362" w:name="_Toc26857"/>
      <w:bookmarkStart w:id="363" w:name="_Toc14203"/>
      <w:bookmarkStart w:id="364" w:name="_Toc18949"/>
      <w:bookmarkStart w:id="365" w:name="_Toc6676"/>
      <w:bookmarkStart w:id="366" w:name="_Toc8158"/>
      <w:bookmarkStart w:id="367" w:name="_Toc27869"/>
      <w:r>
        <w:rPr>
          <w:rFonts w:hint="eastAsia"/>
          <w:sz w:val="24"/>
          <w:szCs w:val="24"/>
          <w:highlight w:val="none"/>
        </w:rPr>
        <w:t>附：法定代表人、被授权人身份证复印件。（注：如使用二代身份证需复印正、反两面）</w:t>
      </w:r>
      <w:bookmarkEnd w:id="358"/>
      <w:bookmarkEnd w:id="359"/>
      <w:bookmarkEnd w:id="360"/>
      <w:bookmarkEnd w:id="361"/>
      <w:bookmarkEnd w:id="362"/>
      <w:bookmarkEnd w:id="363"/>
      <w:bookmarkEnd w:id="364"/>
      <w:bookmarkEnd w:id="365"/>
      <w:bookmarkEnd w:id="366"/>
      <w:bookmarkEnd w:id="367"/>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1"/>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4971" w:type="dxa"/>
            <w:tcBorders>
              <w:top w:val="single" w:color="auto" w:sz="4" w:space="0"/>
              <w:left w:val="single" w:color="auto" w:sz="4" w:space="0"/>
              <w:bottom w:val="single" w:color="auto" w:sz="4" w:space="0"/>
              <w:right w:val="single" w:color="auto" w:sz="4" w:space="0"/>
            </w:tcBorders>
            <w:noWrap w:val="0"/>
            <w:vAlign w:val="center"/>
          </w:tcPr>
          <w:p>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（正面）</w:t>
            </w:r>
          </w:p>
        </w:tc>
        <w:tc>
          <w:tcPr>
            <w:tcW w:w="4989" w:type="dxa"/>
            <w:tcBorders>
              <w:left w:val="single" w:color="auto" w:sz="4" w:space="0"/>
            </w:tcBorders>
            <w:noWrap w:val="0"/>
            <w:vAlign w:val="center"/>
          </w:tcPr>
          <w:p>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授权代表身份证复印件</w:t>
            </w:r>
          </w:p>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4971" w:type="dxa"/>
            <w:tcBorders>
              <w:top w:val="single" w:color="auto" w:sz="4" w:space="0"/>
              <w:left w:val="single" w:color="auto" w:sz="4" w:space="0"/>
              <w:right w:val="single" w:color="auto" w:sz="4" w:space="0"/>
            </w:tcBorders>
            <w:noWrap w:val="0"/>
            <w:vAlign w:val="center"/>
          </w:tcPr>
          <w:p>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（反面）</w:t>
            </w:r>
          </w:p>
        </w:tc>
        <w:tc>
          <w:tcPr>
            <w:tcW w:w="4989" w:type="dxa"/>
            <w:tcBorders>
              <w:left w:val="single" w:color="auto" w:sz="4" w:space="0"/>
            </w:tcBorders>
            <w:noWrap w:val="0"/>
            <w:vAlign w:val="center"/>
          </w:tcPr>
          <w:p>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授权代表身份证复印件</w:t>
            </w:r>
          </w:p>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（反面）</w:t>
            </w:r>
          </w:p>
        </w:tc>
      </w:tr>
    </w:tbl>
    <w:p>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注：须与</w:t>
      </w:r>
      <w:r>
        <w:rPr>
          <w:rFonts w:hint="eastAsia" w:ascii="宋体" w:hAnsi="宋体" w:cs="宋体"/>
          <w:sz w:val="22"/>
          <w:szCs w:val="22"/>
          <w:highlight w:val="none"/>
          <w:lang w:eastAsia="zh-CN"/>
        </w:rPr>
        <w:t>谈判</w:t>
      </w:r>
      <w:r>
        <w:rPr>
          <w:rFonts w:hint="eastAsia" w:ascii="宋体" w:hAnsi="宋体" w:cs="宋体"/>
          <w:sz w:val="22"/>
          <w:szCs w:val="22"/>
          <w:highlight w:val="none"/>
        </w:rPr>
        <w:t>有效期一致，从提交</w:t>
      </w:r>
      <w:r>
        <w:rPr>
          <w:rFonts w:hint="eastAsia" w:ascii="宋体" w:hAnsi="宋体" w:cs="宋体"/>
          <w:sz w:val="22"/>
          <w:szCs w:val="22"/>
          <w:highlight w:val="none"/>
          <w:lang w:eastAsia="zh-CN"/>
        </w:rPr>
        <w:t>谈判</w:t>
      </w:r>
      <w:r>
        <w:rPr>
          <w:rFonts w:hint="eastAsia" w:ascii="宋体" w:hAnsi="宋体" w:cs="宋体"/>
          <w:sz w:val="22"/>
          <w:szCs w:val="22"/>
          <w:highlight w:val="none"/>
        </w:rPr>
        <w:t>响应文件的截止之日起 90 天。身份证正反面复印件必须依次加盖单位鲜章。</w:t>
      </w:r>
    </w:p>
    <w:p>
      <w:pPr>
        <w:spacing w:line="360" w:lineRule="auto"/>
        <w:ind w:firstLine="3360" w:firstLineChars="1400"/>
        <w:rPr>
          <w:rFonts w:hint="eastAsia" w:ascii="宋体" w:hAnsi="宋体" w:cs="宋体"/>
          <w:sz w:val="24"/>
          <w:szCs w:val="24"/>
          <w:highlight w:val="none"/>
        </w:rPr>
      </w:pPr>
    </w:p>
    <w:p>
      <w:pPr>
        <w:spacing w:line="360" w:lineRule="auto"/>
        <w:ind w:firstLine="3360" w:firstLineChars="1400"/>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r>
        <w:rPr>
          <w:rFonts w:hint="eastAsia" w:ascii="宋体" w:hAnsi="宋体" w:cs="宋体"/>
          <w:sz w:val="24"/>
          <w:szCs w:val="24"/>
          <w:highlight w:val="none"/>
          <w:lang w:val="en-US" w:eastAsia="zh-CN"/>
        </w:rPr>
        <w:t>盖章</w:t>
      </w:r>
      <w:r>
        <w:rPr>
          <w:rFonts w:hint="eastAsia" w:ascii="宋体" w:hAnsi="宋体" w:cs="宋体"/>
          <w:sz w:val="24"/>
          <w:szCs w:val="24"/>
          <w:highlight w:val="none"/>
        </w:rPr>
        <w:t>）</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法定代表人（</w:t>
      </w:r>
      <w:r>
        <w:rPr>
          <w:rFonts w:hint="eastAsia" w:ascii="宋体" w:hAnsi="宋体" w:cs="宋体"/>
          <w:sz w:val="24"/>
          <w:highlight w:val="none"/>
        </w:rPr>
        <w:t>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hint="eastAsia" w:ascii="宋体" w:hAnsi="宋体" w:eastAsia="宋体" w:cs="宋体"/>
          <w:color w:val="auto"/>
          <w:kern w:val="0"/>
          <w:sz w:val="24"/>
          <w:szCs w:val="24"/>
          <w:highlight w:val="none"/>
        </w:rPr>
      </w:pPr>
      <w:r>
        <w:rPr>
          <w:rFonts w:hint="eastAsia" w:ascii="宋体" w:hAnsi="宋体" w:cs="宋体"/>
          <w:sz w:val="24"/>
          <w:szCs w:val="24"/>
          <w:highlight w:val="none"/>
        </w:rPr>
        <w:t xml:space="preserve">                            被 授 权人（签字确认）：</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hd w:val="clear"/>
        <w:adjustRightInd w:val="0"/>
        <w:spacing w:line="360" w:lineRule="auto"/>
        <w:rPr>
          <w:rFonts w:hint="eastAsia" w:ascii="宋体" w:hAnsi="宋体" w:eastAsia="宋体" w:cs="宋体"/>
          <w:color w:val="auto"/>
          <w:kern w:val="0"/>
          <w:sz w:val="24"/>
          <w:szCs w:val="24"/>
          <w:highlight w:val="none"/>
        </w:rPr>
      </w:pPr>
    </w:p>
    <w:p>
      <w:pPr>
        <w:shd w:val="clear"/>
        <w:adjustRightInd w:val="0"/>
        <w:spacing w:line="360" w:lineRule="auto"/>
        <w:rPr>
          <w:rFonts w:hint="eastAsia" w:ascii="宋体" w:hAnsi="宋体" w:eastAsia="宋体" w:cs="宋体"/>
          <w:color w:val="auto"/>
          <w:kern w:val="0"/>
          <w:sz w:val="24"/>
          <w:szCs w:val="24"/>
          <w:highlight w:val="none"/>
        </w:rPr>
      </w:pPr>
    </w:p>
    <w:p>
      <w:pPr>
        <w:shd w:val="clear"/>
        <w:adjustRightInd w:val="0"/>
        <w:spacing w:line="360" w:lineRule="auto"/>
        <w:rPr>
          <w:rFonts w:hint="eastAsia" w:ascii="宋体" w:hAnsi="宋体" w:cs="宋体"/>
          <w:highlight w:val="none"/>
        </w:rPr>
      </w:pPr>
      <w:r>
        <w:rPr>
          <w:rFonts w:hint="eastAsia" w:ascii="宋体" w:hAnsi="宋体" w:eastAsia="宋体" w:cs="宋体"/>
          <w:color w:val="auto"/>
          <w:kern w:val="0"/>
          <w:sz w:val="24"/>
          <w:szCs w:val="24"/>
          <w:highlight w:val="none"/>
        </w:rPr>
        <w:t>本授权有效期：    年    月   日至     年   月   日</w:t>
      </w:r>
    </w:p>
    <w:p>
      <w:pPr>
        <w:spacing w:line="360" w:lineRule="auto"/>
        <w:rPr>
          <w:rFonts w:hint="eastAsia" w:ascii="宋体" w:hAnsi="宋体" w:eastAsia="宋体" w:cs="宋体"/>
          <w:bCs/>
          <w:highlight w:val="none"/>
        </w:rPr>
      </w:pPr>
      <w:bookmarkStart w:id="368" w:name="_Toc2907"/>
      <w:bookmarkStart w:id="369" w:name="_Toc8142"/>
      <w:r>
        <w:rPr>
          <w:rFonts w:hint="eastAsia" w:ascii="宋体" w:hAnsi="宋体" w:eastAsia="宋体" w:cs="宋体"/>
          <w:bCs/>
          <w:highlight w:val="none"/>
        </w:rPr>
        <w:br w:type="page"/>
      </w:r>
    </w:p>
    <w:p>
      <w:pPr>
        <w:pStyle w:val="6"/>
        <w:spacing w:before="0" w:after="0" w:line="360" w:lineRule="auto"/>
        <w:jc w:val="center"/>
        <w:rPr>
          <w:rFonts w:hint="eastAsia" w:ascii="宋体" w:hAnsi="宋体" w:eastAsia="宋体" w:cs="宋体"/>
          <w:b w:val="0"/>
          <w:highlight w:val="none"/>
        </w:rPr>
      </w:pPr>
      <w:bookmarkStart w:id="370" w:name="_Toc28339"/>
      <w:bookmarkStart w:id="371" w:name="_Toc29147"/>
      <w:bookmarkStart w:id="372" w:name="_Toc2820"/>
      <w:bookmarkStart w:id="373" w:name="_Toc5144"/>
      <w:bookmarkStart w:id="374" w:name="_Toc4307"/>
      <w:r>
        <w:rPr>
          <w:rFonts w:hint="eastAsia" w:ascii="宋体" w:hAnsi="宋体" w:eastAsia="宋体" w:cs="宋体"/>
          <w:bCs/>
          <w:highlight w:val="none"/>
          <w:lang w:val="en-US" w:eastAsia="zh-CN"/>
        </w:rPr>
        <w:t>五</w:t>
      </w:r>
      <w:r>
        <w:rPr>
          <w:rFonts w:hint="eastAsia" w:ascii="宋体" w:hAnsi="宋体" w:eastAsia="宋体" w:cs="宋体"/>
          <w:bCs/>
          <w:highlight w:val="none"/>
        </w:rPr>
        <w:t>、商务及服务偏离表</w:t>
      </w:r>
      <w:bookmarkEnd w:id="322"/>
      <w:bookmarkEnd w:id="323"/>
      <w:bookmarkEnd w:id="324"/>
      <w:bookmarkEnd w:id="325"/>
      <w:bookmarkEnd w:id="326"/>
      <w:bookmarkEnd w:id="327"/>
      <w:bookmarkEnd w:id="368"/>
      <w:bookmarkEnd w:id="369"/>
      <w:bookmarkEnd w:id="370"/>
      <w:bookmarkEnd w:id="371"/>
      <w:bookmarkEnd w:id="372"/>
      <w:bookmarkEnd w:id="373"/>
      <w:bookmarkEnd w:id="374"/>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1、商务偏离表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3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谈判文件商务要求</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响应文件商务响应</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偏离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cs="宋体"/>
          <w:sz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保证：除商务偏差表列出的偏差外，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bookmarkEnd w:id="328"/>
    <w:bookmarkEnd w:id="329"/>
    <w:bookmarkEnd w:id="330"/>
    <w:bookmarkEnd w:id="331"/>
    <w:bookmarkEnd w:id="332"/>
    <w:bookmarkEnd w:id="333"/>
    <w:bookmarkEnd w:id="334"/>
    <w:bookmarkEnd w:id="335"/>
    <w:p>
      <w:pPr>
        <w:adjustRightInd w:val="0"/>
        <w:spacing w:line="360" w:lineRule="auto"/>
        <w:ind w:firstLine="480" w:firstLineChars="200"/>
        <w:jc w:val="left"/>
        <w:rPr>
          <w:rFonts w:hint="eastAsia" w:ascii="宋体" w:hAnsi="宋体" w:cs="宋体"/>
          <w:sz w:val="24"/>
          <w:szCs w:val="24"/>
          <w:highlight w:val="none"/>
          <w:lang w:eastAsia="zh-CN"/>
        </w:rPr>
      </w:pPr>
      <w:bookmarkStart w:id="375" w:name="_Hlt491572882"/>
      <w:bookmarkEnd w:id="375"/>
      <w:bookmarkStart w:id="376" w:name="_Hlt491573425"/>
      <w:bookmarkEnd w:id="376"/>
      <w:bookmarkStart w:id="377" w:name="_Hlt491765868"/>
      <w:bookmarkEnd w:id="377"/>
      <w:bookmarkStart w:id="378" w:name="_Toc1878"/>
      <w:bookmarkStart w:id="379" w:name="_Toc19079"/>
      <w:bookmarkStart w:id="380" w:name="_Toc15281"/>
      <w:bookmarkStart w:id="381" w:name="_Toc6771"/>
      <w:bookmarkStart w:id="382" w:name="_Toc24408"/>
      <w:bookmarkStart w:id="383" w:name="_Toc23307"/>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月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日</w:t>
      </w:r>
    </w:p>
    <w:p>
      <w:pPr>
        <w:rPr>
          <w:rFonts w:hint="eastAsia" w:ascii="宋体" w:hAnsi="宋体" w:cs="宋体"/>
          <w:b/>
          <w:bCs/>
          <w:sz w:val="32"/>
          <w:szCs w:val="24"/>
          <w:highlight w:val="none"/>
        </w:rPr>
      </w:pPr>
      <w:r>
        <w:rPr>
          <w:rFonts w:hint="eastAsia" w:ascii="宋体" w:hAnsi="宋体" w:cs="宋体"/>
          <w:b/>
          <w:bCs/>
          <w:sz w:val="32"/>
          <w:szCs w:val="24"/>
          <w:highlight w:val="none"/>
        </w:rPr>
        <w:br w:type="page"/>
      </w:r>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2、服务偏离表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3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服务内容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谈判文件要求数据</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响应文件实际数据</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保证：除服务偏离表列出的偏差外，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br w:type="page"/>
      </w:r>
    </w:p>
    <w:p>
      <w:pPr>
        <w:pStyle w:val="6"/>
        <w:spacing w:before="0" w:after="0" w:line="360" w:lineRule="auto"/>
        <w:jc w:val="center"/>
        <w:rPr>
          <w:rFonts w:hint="eastAsia" w:ascii="宋体" w:hAnsi="宋体" w:eastAsia="宋体" w:cs="宋体"/>
          <w:b w:val="0"/>
          <w:highlight w:val="none"/>
        </w:rPr>
      </w:pPr>
      <w:bookmarkStart w:id="384" w:name="_Toc11974"/>
      <w:bookmarkStart w:id="385" w:name="_Toc19312"/>
      <w:bookmarkStart w:id="386" w:name="_Toc824"/>
      <w:bookmarkStart w:id="387" w:name="_Toc31552"/>
      <w:bookmarkStart w:id="388" w:name="_Toc4319"/>
      <w:bookmarkStart w:id="389" w:name="_Toc1452"/>
      <w:bookmarkStart w:id="390" w:name="_Toc9966"/>
      <w:r>
        <w:rPr>
          <w:rFonts w:hint="eastAsia" w:ascii="宋体" w:hAnsi="宋体" w:eastAsia="宋体" w:cs="宋体"/>
          <w:highlight w:val="none"/>
          <w:lang w:val="en-US" w:eastAsia="zh-CN"/>
        </w:rPr>
        <w:t>六</w:t>
      </w:r>
      <w:r>
        <w:rPr>
          <w:rFonts w:hint="eastAsia" w:ascii="宋体" w:hAnsi="宋体" w:eastAsia="宋体" w:cs="宋体"/>
          <w:highlight w:val="none"/>
        </w:rPr>
        <w:t>、供应商为本项目提供的资格证明文件</w:t>
      </w:r>
      <w:bookmarkEnd w:id="378"/>
      <w:bookmarkEnd w:id="379"/>
      <w:bookmarkEnd w:id="380"/>
      <w:bookmarkEnd w:id="381"/>
      <w:bookmarkEnd w:id="382"/>
      <w:bookmarkEnd w:id="383"/>
      <w:bookmarkEnd w:id="384"/>
      <w:bookmarkEnd w:id="385"/>
      <w:bookmarkEnd w:id="386"/>
      <w:bookmarkEnd w:id="387"/>
      <w:bookmarkEnd w:id="388"/>
      <w:bookmarkEnd w:id="389"/>
      <w:bookmarkEnd w:id="390"/>
    </w:p>
    <w:p>
      <w:pPr>
        <w:pStyle w:val="8"/>
        <w:bidi w:val="0"/>
        <w:jc w:val="center"/>
        <w:rPr>
          <w:rFonts w:hint="eastAsia"/>
          <w:highlight w:val="none"/>
        </w:rPr>
      </w:pPr>
      <w:bookmarkStart w:id="391" w:name="_Toc2215"/>
      <w:bookmarkStart w:id="392" w:name="_Toc22395"/>
      <w:r>
        <w:rPr>
          <w:rFonts w:hint="eastAsia"/>
          <w:highlight w:val="none"/>
          <w:lang w:eastAsia="zh-CN"/>
        </w:rPr>
        <w:t>（</w:t>
      </w:r>
      <w:r>
        <w:rPr>
          <w:rFonts w:hint="eastAsia"/>
          <w:highlight w:val="none"/>
        </w:rPr>
        <w:t>一</w:t>
      </w:r>
      <w:r>
        <w:rPr>
          <w:rFonts w:hint="eastAsia"/>
          <w:highlight w:val="none"/>
          <w:lang w:eastAsia="zh-CN"/>
        </w:rPr>
        <w:t>）供应商</w:t>
      </w:r>
      <w:r>
        <w:rPr>
          <w:rFonts w:hint="eastAsia"/>
          <w:highlight w:val="none"/>
        </w:rPr>
        <w:t>概况</w:t>
      </w:r>
      <w:bookmarkEnd w:id="391"/>
      <w:bookmarkEnd w:id="392"/>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622"/>
        <w:gridCol w:w="833"/>
        <w:gridCol w:w="900"/>
        <w:gridCol w:w="1657"/>
        <w:gridCol w:w="1588"/>
        <w:gridCol w:w="1530"/>
        <w:gridCol w:w="2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供应商名称</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法定代表人</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统一社会信用代码</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邮政编码</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授权代表</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企业类型</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上年营业收入</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员工总人数</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restar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营业执照</w:t>
            </w: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成立时间</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注册地址</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continue"/>
            <w:noWrap w:val="0"/>
            <w:vAlign w:val="center"/>
          </w:tcPr>
          <w:p>
            <w:pPr>
              <w:topLinePunct/>
              <w:spacing w:line="360" w:lineRule="auto"/>
              <w:jc w:val="center"/>
              <w:rPr>
                <w:rFonts w:hint="eastAsia" w:ascii="宋体" w:hAnsi="宋体" w:cs="宋体"/>
                <w:highlight w:val="none"/>
              </w:rPr>
            </w:pP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发证机关</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发证日期</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0"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基本账户开户行及帐号</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8"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经营范围</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726" w:type="pct"/>
            <w:gridSpan w:val="2"/>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备注</w:t>
            </w:r>
          </w:p>
        </w:tc>
        <w:tc>
          <w:tcPr>
            <w:tcW w:w="4273" w:type="pct"/>
            <w:gridSpan w:val="6"/>
            <w:noWrap w:val="0"/>
            <w:vAlign w:val="center"/>
          </w:tcPr>
          <w:p>
            <w:pPr>
              <w:topLinePunct/>
              <w:spacing w:line="360" w:lineRule="auto"/>
              <w:rPr>
                <w:rFonts w:hint="eastAsia" w:ascii="宋体" w:hAnsi="宋体" w:cs="宋体"/>
                <w:highlight w:val="none"/>
              </w:rPr>
            </w:pPr>
          </w:p>
        </w:tc>
      </w:tr>
    </w:tbl>
    <w:p>
      <w:pPr>
        <w:spacing w:line="360" w:lineRule="auto"/>
        <w:rPr>
          <w:rFonts w:hint="eastAsia" w:ascii="宋体" w:hAnsi="宋体" w:cs="宋体"/>
          <w:highlight w:val="none"/>
        </w:rPr>
      </w:pPr>
    </w:p>
    <w:p>
      <w:pPr>
        <w:spacing w:line="360" w:lineRule="auto"/>
        <w:ind w:left="107" w:leftChars="51" w:firstLine="3840" w:firstLineChars="1600"/>
        <w:rPr>
          <w:rFonts w:hint="eastAsia" w:ascii="宋体" w:hAnsi="宋体" w:cs="宋体"/>
          <w:sz w:val="24"/>
          <w:highlight w:val="none"/>
          <w:u w:val="single"/>
        </w:rPr>
      </w:pPr>
      <w:r>
        <w:rPr>
          <w:rFonts w:hint="eastAsia" w:ascii="宋体" w:hAnsi="宋体" w:cs="宋体"/>
          <w:sz w:val="24"/>
          <w:highlight w:val="none"/>
          <w:lang w:eastAsia="zh-CN"/>
        </w:rPr>
        <w:t>供应商</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 xml:space="preserve"> （盖章）</w:t>
      </w:r>
    </w:p>
    <w:p>
      <w:pPr>
        <w:spacing w:line="360" w:lineRule="auto"/>
        <w:ind w:firstLine="3960" w:firstLineChars="1650"/>
        <w:rPr>
          <w:rFonts w:hint="eastAsia" w:ascii="宋体" w:hAnsi="宋体" w:cs="宋体"/>
          <w:color w:val="000000"/>
          <w:sz w:val="24"/>
          <w:highlight w:val="none"/>
        </w:rPr>
      </w:pPr>
      <w:r>
        <w:rPr>
          <w:rFonts w:hint="eastAsia" w:ascii="宋体" w:hAnsi="宋体" w:cs="宋体"/>
          <w:color w:val="000000"/>
          <w:sz w:val="24"/>
          <w:highlight w:val="none"/>
        </w:rPr>
        <w:t>法定代表人或被授权人：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（签字或盖章）</w:t>
      </w:r>
    </w:p>
    <w:p>
      <w:pPr>
        <w:spacing w:line="360" w:lineRule="auto"/>
        <w:ind w:firstLine="3960" w:firstLineChars="1650"/>
        <w:rPr>
          <w:rFonts w:hint="eastAsia" w:ascii="宋体" w:hAnsi="宋体" w:cs="宋体"/>
          <w:sz w:val="24"/>
          <w:highlight w:val="none"/>
        </w:rPr>
      </w:pPr>
      <w:r>
        <w:rPr>
          <w:rFonts w:hint="eastAsia" w:ascii="宋体" w:hAnsi="宋体" w:cs="宋体"/>
          <w:sz w:val="24"/>
          <w:highlight w:val="none"/>
        </w:rPr>
        <w:t>日期：    年  月   日</w:t>
      </w:r>
    </w:p>
    <w:p>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br w:type="page"/>
      </w:r>
    </w:p>
    <w:p>
      <w:pPr>
        <w:pStyle w:val="8"/>
        <w:bidi w:val="0"/>
        <w:rPr>
          <w:rFonts w:hint="eastAsia"/>
          <w:highlight w:val="none"/>
        </w:rPr>
      </w:pPr>
      <w:bookmarkStart w:id="393" w:name="_Toc9244"/>
      <w:bookmarkStart w:id="394" w:name="_Toc3323"/>
      <w:r>
        <w:rPr>
          <w:rFonts w:hint="eastAsia"/>
          <w:highlight w:val="none"/>
          <w:lang w:eastAsia="zh-CN"/>
        </w:rPr>
        <w:t>（</w:t>
      </w:r>
      <w:r>
        <w:rPr>
          <w:rFonts w:hint="eastAsia"/>
          <w:highlight w:val="none"/>
        </w:rPr>
        <w:t>二</w:t>
      </w:r>
      <w:r>
        <w:rPr>
          <w:rFonts w:hint="eastAsia"/>
          <w:highlight w:val="none"/>
          <w:lang w:eastAsia="zh-CN"/>
        </w:rPr>
        <w:t>）供应商</w:t>
      </w:r>
      <w:r>
        <w:rPr>
          <w:rFonts w:hint="eastAsia"/>
          <w:highlight w:val="none"/>
        </w:rPr>
        <w:t>资格证明（谈判文件规定的资格证明原件复印件）。</w:t>
      </w:r>
      <w:bookmarkEnd w:id="393"/>
      <w:bookmarkEnd w:id="394"/>
    </w:p>
    <w:p>
      <w:pPr>
        <w:pStyle w:val="8"/>
        <w:bidi w:val="0"/>
        <w:rPr>
          <w:rFonts w:hint="eastAsia" w:ascii="Times New Roman" w:hAnsi="Times New Roman" w:eastAsia="宋体" w:cs="Times New Roman"/>
          <w:highlight w:val="none"/>
        </w:rPr>
      </w:pPr>
      <w:bookmarkStart w:id="395" w:name="_Toc30676"/>
      <w:r>
        <w:rPr>
          <w:rFonts w:hint="eastAsia" w:cs="Times New Roman"/>
          <w:highlight w:val="none"/>
          <w:lang w:eastAsia="zh-CN"/>
        </w:rPr>
        <w:t>（</w:t>
      </w:r>
      <w:r>
        <w:rPr>
          <w:rFonts w:hint="eastAsia" w:ascii="Times New Roman" w:hAnsi="Times New Roman" w:eastAsia="宋体" w:cs="Times New Roman"/>
          <w:highlight w:val="none"/>
        </w:rPr>
        <w:t>三</w:t>
      </w:r>
      <w:r>
        <w:rPr>
          <w:rFonts w:hint="eastAsia" w:cs="Times New Roman"/>
          <w:highlight w:val="none"/>
          <w:lang w:eastAsia="zh-CN"/>
        </w:rPr>
        <w:t>）</w:t>
      </w:r>
      <w:r>
        <w:rPr>
          <w:rFonts w:hint="eastAsia" w:ascii="Times New Roman" w:hAnsi="Times New Roman" w:eastAsia="宋体" w:cs="Times New Roman"/>
          <w:highlight w:val="none"/>
        </w:rPr>
        <w:t>其他可以证明投标供应商实力的文件。</w:t>
      </w:r>
      <w:bookmarkEnd w:id="395"/>
    </w:p>
    <w:p>
      <w:pPr>
        <w:spacing w:line="360" w:lineRule="auto"/>
        <w:ind w:firstLine="480" w:firstLineChars="200"/>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rPr>
        <w:t>以上资料：所有资料扫描件加盖公章附在响应文件正、副本中</w:t>
      </w:r>
      <w:r>
        <w:rPr>
          <w:rFonts w:hint="eastAsia" w:ascii="宋体" w:hAnsi="宋体" w:cs="宋体"/>
          <w:b w:val="0"/>
          <w:bCs w:val="0"/>
          <w:sz w:val="24"/>
          <w:szCs w:val="24"/>
          <w:highlight w:val="none"/>
          <w:lang w:eastAsia="zh-CN"/>
        </w:rPr>
        <w:t>。</w:t>
      </w:r>
    </w:p>
    <w:p>
      <w:pPr>
        <w:spacing w:line="360" w:lineRule="auto"/>
        <w:ind w:firstLine="562" w:firstLineChars="200"/>
        <w:rPr>
          <w:rFonts w:hint="eastAsia" w:ascii="宋体" w:hAnsi="宋体" w:cs="宋体"/>
          <w:highlight w:val="none"/>
        </w:rPr>
      </w:pPr>
      <w:bookmarkStart w:id="396" w:name="_Toc22622"/>
      <w:bookmarkStart w:id="397" w:name="_Toc18149"/>
      <w:bookmarkStart w:id="398" w:name="_Toc6831"/>
      <w:bookmarkStart w:id="399" w:name="_Toc13886"/>
      <w:bookmarkStart w:id="400" w:name="_Toc32715"/>
      <w:bookmarkStart w:id="401" w:name="_Toc23501"/>
      <w:bookmarkStart w:id="402" w:name="_Toc2193"/>
      <w:bookmarkStart w:id="403" w:name="_Toc12406"/>
      <w:bookmarkStart w:id="404" w:name="_Toc14516"/>
      <w:r>
        <w:rPr>
          <w:rFonts w:hint="eastAsia" w:ascii="宋体" w:hAnsi="宋体" w:cs="宋体"/>
          <w:b/>
          <w:sz w:val="28"/>
          <w:szCs w:val="28"/>
          <w:highlight w:val="none"/>
        </w:rPr>
        <w:br w:type="page"/>
      </w:r>
      <w:bookmarkEnd w:id="396"/>
      <w:bookmarkEnd w:id="397"/>
      <w:bookmarkEnd w:id="398"/>
      <w:bookmarkEnd w:id="399"/>
      <w:bookmarkEnd w:id="400"/>
      <w:bookmarkEnd w:id="401"/>
      <w:bookmarkEnd w:id="402"/>
      <w:bookmarkEnd w:id="403"/>
    </w:p>
    <w:p>
      <w:pPr>
        <w:bidi w:val="0"/>
        <w:rPr>
          <w:rFonts w:hint="eastAsia" w:ascii="宋体" w:hAnsi="宋体" w:eastAsia="宋体" w:cs="宋体"/>
          <w:b/>
          <w:sz w:val="28"/>
          <w:szCs w:val="28"/>
          <w:highlight w:val="none"/>
        </w:rPr>
      </w:pPr>
      <w:r>
        <w:rPr>
          <w:rFonts w:hint="eastAsia" w:ascii="宋体" w:hAnsi="宋体" w:eastAsia="宋体" w:cs="宋体"/>
          <w:b/>
          <w:sz w:val="28"/>
          <w:szCs w:val="28"/>
          <w:highlight w:val="none"/>
        </w:rPr>
        <w:t>附件</w:t>
      </w:r>
      <w:r>
        <w:rPr>
          <w:rFonts w:hint="eastAsia" w:ascii="宋体" w:hAnsi="宋体" w:eastAsia="宋体" w:cs="宋体"/>
          <w:b/>
          <w:sz w:val="28"/>
          <w:szCs w:val="28"/>
          <w:highlight w:val="none"/>
          <w:lang w:val="en-US" w:eastAsia="zh-CN"/>
        </w:rPr>
        <w:t>1</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rPr>
        <w:t>同类项目经验一览表（如有）</w:t>
      </w:r>
    </w:p>
    <w:tbl>
      <w:tblPr>
        <w:tblStyle w:val="3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78"/>
        <w:gridCol w:w="1827"/>
        <w:gridCol w:w="1574"/>
        <w:gridCol w:w="1801"/>
        <w:gridCol w:w="1603"/>
        <w:gridCol w:w="2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序号</w:t>
            </w:r>
          </w:p>
        </w:tc>
        <w:tc>
          <w:tcPr>
            <w:tcW w:w="932"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项目名称</w:t>
            </w:r>
          </w:p>
        </w:tc>
        <w:tc>
          <w:tcPr>
            <w:tcW w:w="803"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项目内容</w:t>
            </w: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合同金额</w:t>
            </w:r>
          </w:p>
          <w:p>
            <w:pPr>
              <w:spacing w:line="360" w:lineRule="auto"/>
              <w:jc w:val="center"/>
              <w:rPr>
                <w:rFonts w:hint="eastAsia" w:ascii="宋体" w:hAnsi="宋体" w:cs="宋体"/>
                <w:b/>
                <w:bCs/>
                <w:highlight w:val="none"/>
              </w:rPr>
            </w:pPr>
            <w:r>
              <w:rPr>
                <w:rFonts w:hint="eastAsia" w:ascii="宋体" w:hAnsi="宋体" w:cs="宋体"/>
                <w:b/>
                <w:bCs/>
                <w:highlight w:val="none"/>
              </w:rPr>
              <w:t>（万元）</w:t>
            </w:r>
          </w:p>
        </w:tc>
        <w:tc>
          <w:tcPr>
            <w:tcW w:w="81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完成日期</w:t>
            </w:r>
          </w:p>
        </w:tc>
        <w:tc>
          <w:tcPr>
            <w:tcW w:w="1077"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1</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2</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3</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4</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5</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r>
              <w:rPr>
                <w:rFonts w:hint="eastAsia" w:ascii="宋体" w:hAnsi="宋体" w:cs="宋体"/>
                <w:b/>
                <w:bCs/>
                <w:highlight w:val="none"/>
              </w:rPr>
              <w:t>…</w:t>
            </w: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740" w:hRule="atLeast"/>
          <w:jc w:val="center"/>
        </w:trPr>
        <w:tc>
          <w:tcPr>
            <w:tcW w:w="448" w:type="pct"/>
            <w:noWrap w:val="0"/>
            <w:vAlign w:val="center"/>
          </w:tcPr>
          <w:p>
            <w:pPr>
              <w:spacing w:line="360" w:lineRule="auto"/>
              <w:jc w:val="center"/>
              <w:rPr>
                <w:rFonts w:hint="eastAsia" w:ascii="宋体" w:hAnsi="宋体" w:cs="宋体"/>
                <w:b/>
                <w:bCs/>
                <w:highlight w:val="none"/>
              </w:rPr>
            </w:pPr>
          </w:p>
        </w:tc>
        <w:tc>
          <w:tcPr>
            <w:tcW w:w="932" w:type="pct"/>
            <w:noWrap w:val="0"/>
            <w:vAlign w:val="center"/>
          </w:tcPr>
          <w:p>
            <w:pPr>
              <w:spacing w:line="360" w:lineRule="auto"/>
              <w:jc w:val="center"/>
              <w:rPr>
                <w:rFonts w:hint="eastAsia" w:ascii="宋体" w:hAnsi="宋体" w:cs="宋体"/>
                <w:b/>
                <w:bCs/>
                <w:highlight w:val="none"/>
              </w:rPr>
            </w:pPr>
          </w:p>
        </w:tc>
        <w:tc>
          <w:tcPr>
            <w:tcW w:w="803" w:type="pct"/>
            <w:noWrap w:val="0"/>
            <w:vAlign w:val="center"/>
          </w:tcPr>
          <w:p>
            <w:pPr>
              <w:spacing w:line="360" w:lineRule="auto"/>
              <w:jc w:val="center"/>
              <w:rPr>
                <w:rFonts w:hint="eastAsia" w:ascii="宋体" w:hAnsi="宋体" w:cs="宋体"/>
                <w:b/>
                <w:bCs/>
                <w:highlight w:val="none"/>
              </w:rPr>
            </w:pPr>
          </w:p>
        </w:tc>
        <w:tc>
          <w:tcPr>
            <w:tcW w:w="919" w:type="pct"/>
            <w:tcBorders>
              <w:left w:val="single" w:color="auto" w:sz="4" w:space="0"/>
              <w:right w:val="single" w:color="auto" w:sz="4" w:space="0"/>
            </w:tcBorders>
            <w:noWrap w:val="0"/>
            <w:vAlign w:val="center"/>
          </w:tcPr>
          <w:p>
            <w:pPr>
              <w:spacing w:line="360" w:lineRule="auto"/>
              <w:jc w:val="center"/>
              <w:rPr>
                <w:rFonts w:hint="eastAsia" w:ascii="宋体" w:hAnsi="宋体" w:cs="宋体"/>
                <w:b/>
                <w:bCs/>
                <w:highlight w:val="none"/>
              </w:rPr>
            </w:pPr>
          </w:p>
        </w:tc>
        <w:tc>
          <w:tcPr>
            <w:tcW w:w="818" w:type="pct"/>
            <w:noWrap w:val="0"/>
            <w:vAlign w:val="center"/>
          </w:tcPr>
          <w:p>
            <w:pPr>
              <w:spacing w:line="360" w:lineRule="auto"/>
              <w:jc w:val="center"/>
              <w:rPr>
                <w:rFonts w:hint="eastAsia" w:ascii="宋体" w:hAnsi="宋体" w:cs="宋体"/>
                <w:b/>
                <w:bCs/>
                <w:highlight w:val="none"/>
              </w:rPr>
            </w:pPr>
          </w:p>
        </w:tc>
        <w:tc>
          <w:tcPr>
            <w:tcW w:w="1077" w:type="pct"/>
            <w:noWrap w:val="0"/>
            <w:vAlign w:val="center"/>
          </w:tcPr>
          <w:p>
            <w:pPr>
              <w:spacing w:line="360" w:lineRule="auto"/>
              <w:jc w:val="center"/>
              <w:rPr>
                <w:rFonts w:hint="eastAsia" w:ascii="宋体" w:hAnsi="宋体" w:cs="宋体"/>
                <w:b/>
                <w:bCs/>
                <w:highlight w:val="none"/>
              </w:rPr>
            </w:pPr>
          </w:p>
        </w:tc>
      </w:tr>
    </w:tbl>
    <w:p>
      <w:pPr>
        <w:snapToGrid w:val="0"/>
        <w:spacing w:before="120" w:line="360" w:lineRule="auto"/>
        <w:ind w:right="357"/>
        <w:rPr>
          <w:rFonts w:hint="eastAsia" w:ascii="宋体" w:hAnsi="宋体" w:cs="宋体"/>
          <w:highlight w:val="none"/>
        </w:rPr>
      </w:pP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注：1、供应商应如实列出以上情况，如有隐瞒，一经查实将导致其报价申请被拒绝。</w:t>
      </w:r>
    </w:p>
    <w:p>
      <w:pPr>
        <w:spacing w:line="360" w:lineRule="auto"/>
        <w:ind w:firstLine="440" w:firstLineChars="200"/>
        <w:rPr>
          <w:rFonts w:hint="eastAsia" w:ascii="宋体" w:hAnsi="宋体" w:cs="宋体"/>
          <w:sz w:val="22"/>
          <w:szCs w:val="20"/>
          <w:highlight w:val="none"/>
        </w:rPr>
      </w:pPr>
      <w:r>
        <w:rPr>
          <w:rFonts w:hint="eastAsia" w:ascii="宋体" w:hAnsi="宋体" w:cs="宋体"/>
          <w:sz w:val="22"/>
          <w:szCs w:val="20"/>
          <w:highlight w:val="none"/>
        </w:rPr>
        <w:t>2、供应商应提供双方签订的合同（合同复印件加盖公章装订在谈判响应文件中</w:t>
      </w:r>
      <w:r>
        <w:rPr>
          <w:rFonts w:hint="eastAsia" w:ascii="宋体" w:hAnsi="宋体" w:cs="宋体"/>
          <w:sz w:val="22"/>
          <w:szCs w:val="20"/>
          <w:highlight w:val="none"/>
          <w:lang w:eastAsia="zh-CN"/>
        </w:rPr>
        <w:t>，供应商</w:t>
      </w:r>
      <w:r>
        <w:rPr>
          <w:rFonts w:hint="eastAsia" w:ascii="宋体" w:hAnsi="宋体" w:cs="宋体"/>
          <w:sz w:val="22"/>
          <w:szCs w:val="20"/>
          <w:highlight w:val="none"/>
        </w:rPr>
        <w:t>提供的业绩如有弄虚作假行为，一经查实，除取消其投标资格外，造成影响和损失的采购人将依法追究）。</w:t>
      </w:r>
    </w:p>
    <w:p>
      <w:pPr>
        <w:spacing w:line="360" w:lineRule="auto"/>
        <w:rPr>
          <w:rFonts w:hint="eastAsia" w:ascii="宋体" w:hAnsi="宋体" w:cs="宋体"/>
          <w:highlight w:val="none"/>
        </w:rPr>
      </w:pPr>
    </w:p>
    <w:p>
      <w:pPr>
        <w:spacing w:line="360" w:lineRule="auto"/>
        <w:rPr>
          <w:rFonts w:hint="eastAsia" w:ascii="宋体" w:hAnsi="宋体" w:cs="宋体"/>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rPr>
          <w:rFonts w:hint="eastAsia" w:ascii="宋体" w:hAnsi="宋体" w:cs="宋体"/>
          <w:highlight w:val="none"/>
          <w:lang w:val="en-US" w:eastAsia="zh-CN"/>
        </w:rPr>
      </w:pPr>
      <w:bookmarkStart w:id="405" w:name="_Toc22289"/>
      <w:bookmarkStart w:id="406" w:name="_Toc6818"/>
      <w:bookmarkStart w:id="407" w:name="_Toc25592"/>
      <w:r>
        <w:rPr>
          <w:rFonts w:hint="eastAsia" w:ascii="宋体" w:hAnsi="宋体" w:cs="宋体"/>
          <w:highlight w:val="none"/>
          <w:lang w:val="en-US" w:eastAsia="zh-CN"/>
        </w:rPr>
        <w:br w:type="page"/>
      </w:r>
    </w:p>
    <w:p>
      <w:pPr>
        <w:bidi w:val="0"/>
        <w:rPr>
          <w:rFonts w:hint="eastAsia" w:ascii="宋体" w:hAnsi="宋体" w:eastAsia="宋体" w:cs="宋体"/>
          <w:b/>
          <w:sz w:val="28"/>
          <w:szCs w:val="28"/>
          <w:highlight w:val="none"/>
        </w:rPr>
      </w:pPr>
      <w:r>
        <w:rPr>
          <w:rFonts w:hint="eastAsia" w:ascii="宋体" w:hAnsi="宋体" w:eastAsia="宋体" w:cs="宋体"/>
          <w:b/>
          <w:sz w:val="28"/>
          <w:szCs w:val="28"/>
          <w:highlight w:val="none"/>
          <w:lang w:val="en-US" w:eastAsia="zh-CN"/>
        </w:rPr>
        <w:t>附件2：符合《中华人民共和国政府采购法》第二十二条规定的承诺书</w:t>
      </w:r>
    </w:p>
    <w:p>
      <w:pPr>
        <w:spacing w:line="360" w:lineRule="auto"/>
        <w:rPr>
          <w:highlight w:val="none"/>
        </w:rPr>
      </w:pPr>
    </w:p>
    <w:p>
      <w:pPr>
        <w:spacing w:before="0" w:line="360" w:lineRule="auto"/>
        <w:ind w:left="3270" w:right="3277" w:firstLine="0"/>
        <w:jc w:val="center"/>
        <w:rPr>
          <w:b/>
          <w:sz w:val="36"/>
          <w:highlight w:val="none"/>
        </w:rPr>
      </w:pPr>
      <w:r>
        <w:rPr>
          <w:b/>
          <w:sz w:val="36"/>
          <w:highlight w:val="none"/>
        </w:rPr>
        <w:t>承诺书</w:t>
      </w:r>
    </w:p>
    <w:p>
      <w:pPr>
        <w:pStyle w:val="2"/>
        <w:spacing w:before="244" w:line="360" w:lineRule="auto"/>
        <w:ind w:left="980" w:right="0" w:rightChars="0" w:hanging="480"/>
        <w:rPr>
          <w:rFonts w:hint="eastAsia" w:eastAsia="宋体"/>
          <w:sz w:val="24"/>
          <w:szCs w:val="24"/>
          <w:highlight w:val="none"/>
          <w:lang w:eastAsia="zh-CN"/>
        </w:rPr>
      </w:pPr>
      <w:r>
        <w:rPr>
          <w:sz w:val="24"/>
          <w:szCs w:val="24"/>
          <w:highlight w:val="none"/>
        </w:rPr>
        <w:t>我公司特此声明我公司符合以下所列情况</w:t>
      </w:r>
      <w:r>
        <w:rPr>
          <w:rFonts w:hint="eastAsia"/>
          <w:sz w:val="24"/>
          <w:szCs w:val="24"/>
          <w:highlight w:val="none"/>
          <w:lang w:eastAsia="zh-CN"/>
        </w:rPr>
        <w:t>：</w:t>
      </w:r>
    </w:p>
    <w:p>
      <w:pPr>
        <w:pStyle w:val="2"/>
        <w:spacing w:line="360" w:lineRule="auto"/>
        <w:ind w:left="980"/>
        <w:rPr>
          <w:rFonts w:hint="eastAsia" w:eastAsia="宋体"/>
          <w:sz w:val="24"/>
          <w:szCs w:val="24"/>
          <w:highlight w:val="none"/>
          <w:lang w:eastAsia="zh-CN"/>
        </w:rPr>
      </w:pPr>
      <w:r>
        <w:rPr>
          <w:sz w:val="24"/>
          <w:szCs w:val="24"/>
          <w:highlight w:val="none"/>
        </w:rPr>
        <w:t>1、具有独立承担民事责任的能力</w:t>
      </w:r>
      <w:r>
        <w:rPr>
          <w:rFonts w:hint="eastAsia"/>
          <w:sz w:val="24"/>
          <w:szCs w:val="24"/>
          <w:highlight w:val="none"/>
          <w:lang w:eastAsia="zh-CN"/>
        </w:rPr>
        <w:t>；</w:t>
      </w:r>
    </w:p>
    <w:p>
      <w:pPr>
        <w:pStyle w:val="2"/>
        <w:spacing w:line="360" w:lineRule="auto"/>
        <w:ind w:left="980"/>
        <w:rPr>
          <w:rFonts w:hint="eastAsia" w:eastAsia="宋体"/>
          <w:sz w:val="24"/>
          <w:szCs w:val="24"/>
          <w:highlight w:val="none"/>
          <w:lang w:eastAsia="zh-CN"/>
        </w:rPr>
      </w:pPr>
      <w:r>
        <w:rPr>
          <w:sz w:val="24"/>
          <w:szCs w:val="24"/>
          <w:highlight w:val="none"/>
        </w:rPr>
        <w:t>2、具有良好的商业信誉和健全的财务会计制度</w:t>
      </w:r>
      <w:r>
        <w:rPr>
          <w:rFonts w:hint="eastAsia"/>
          <w:sz w:val="24"/>
          <w:szCs w:val="24"/>
          <w:highlight w:val="none"/>
          <w:lang w:eastAsia="zh-CN"/>
        </w:rPr>
        <w:t>；</w:t>
      </w:r>
    </w:p>
    <w:p>
      <w:pPr>
        <w:pStyle w:val="2"/>
        <w:spacing w:before="161" w:line="360" w:lineRule="auto"/>
        <w:ind w:left="980"/>
        <w:rPr>
          <w:rFonts w:hint="eastAsia" w:eastAsia="宋体"/>
          <w:sz w:val="24"/>
          <w:szCs w:val="24"/>
          <w:highlight w:val="none"/>
          <w:lang w:eastAsia="zh-CN"/>
        </w:rPr>
      </w:pPr>
      <w:r>
        <w:rPr>
          <w:sz w:val="24"/>
          <w:szCs w:val="24"/>
          <w:highlight w:val="none"/>
        </w:rPr>
        <w:t>3、具有履行合同所必需的设备和专业技术能力</w:t>
      </w:r>
      <w:r>
        <w:rPr>
          <w:rFonts w:hint="eastAsia"/>
          <w:sz w:val="24"/>
          <w:szCs w:val="24"/>
          <w:highlight w:val="none"/>
          <w:lang w:eastAsia="zh-CN"/>
        </w:rPr>
        <w:t>；</w:t>
      </w:r>
    </w:p>
    <w:p>
      <w:pPr>
        <w:pStyle w:val="2"/>
        <w:spacing w:before="160" w:line="360" w:lineRule="auto"/>
        <w:ind w:left="980"/>
        <w:rPr>
          <w:rFonts w:hint="eastAsia" w:eastAsia="宋体"/>
          <w:sz w:val="24"/>
          <w:szCs w:val="24"/>
          <w:highlight w:val="none"/>
          <w:lang w:eastAsia="zh-CN"/>
        </w:rPr>
      </w:pPr>
      <w:r>
        <w:rPr>
          <w:sz w:val="24"/>
          <w:szCs w:val="24"/>
          <w:highlight w:val="none"/>
        </w:rPr>
        <w:t>4、有依法缴纳税收和社会保障资金的良好记录</w:t>
      </w:r>
      <w:r>
        <w:rPr>
          <w:rFonts w:hint="eastAsia"/>
          <w:sz w:val="24"/>
          <w:szCs w:val="24"/>
          <w:highlight w:val="none"/>
          <w:lang w:eastAsia="zh-CN"/>
        </w:rPr>
        <w:t>；</w:t>
      </w:r>
    </w:p>
    <w:p>
      <w:pPr>
        <w:pStyle w:val="2"/>
        <w:spacing w:before="158" w:line="360" w:lineRule="auto"/>
        <w:ind w:left="980"/>
        <w:rPr>
          <w:rFonts w:hint="eastAsia" w:eastAsia="宋体"/>
          <w:sz w:val="24"/>
          <w:szCs w:val="24"/>
          <w:highlight w:val="none"/>
          <w:lang w:eastAsia="zh-CN"/>
        </w:rPr>
      </w:pPr>
      <w:r>
        <w:rPr>
          <w:sz w:val="24"/>
          <w:szCs w:val="24"/>
          <w:highlight w:val="none"/>
        </w:rPr>
        <w:t>5、参加政府采购活动前三年内，在经营活动中没有重大违法记录</w:t>
      </w:r>
      <w:r>
        <w:rPr>
          <w:rFonts w:hint="eastAsia"/>
          <w:sz w:val="24"/>
          <w:szCs w:val="24"/>
          <w:highlight w:val="none"/>
          <w:lang w:eastAsia="zh-CN"/>
        </w:rPr>
        <w:t>；</w:t>
      </w:r>
    </w:p>
    <w:p>
      <w:pPr>
        <w:pStyle w:val="2"/>
        <w:spacing w:before="161" w:line="360" w:lineRule="auto"/>
        <w:ind w:left="980"/>
        <w:rPr>
          <w:sz w:val="24"/>
          <w:szCs w:val="24"/>
          <w:highlight w:val="none"/>
        </w:rPr>
      </w:pPr>
      <w:r>
        <w:rPr>
          <w:sz w:val="24"/>
          <w:szCs w:val="24"/>
          <w:highlight w:val="none"/>
        </w:rPr>
        <w:t>6、法律、行政法规规定的其他条件。</w:t>
      </w:r>
    </w:p>
    <w:p>
      <w:pPr>
        <w:pStyle w:val="2"/>
        <w:spacing w:before="158" w:line="360" w:lineRule="auto"/>
        <w:ind w:left="980"/>
        <w:rPr>
          <w:sz w:val="24"/>
          <w:szCs w:val="24"/>
          <w:highlight w:val="none"/>
        </w:rPr>
      </w:pPr>
      <w:r>
        <w:rPr>
          <w:sz w:val="24"/>
          <w:szCs w:val="24"/>
          <w:highlight w:val="none"/>
        </w:rPr>
        <w:t>7、我公司承诺以上资料真实有效，如有隐瞒或欺骗，我公司愿承担相关所有责任。</w:t>
      </w:r>
    </w:p>
    <w:p>
      <w:pPr>
        <w:pStyle w:val="2"/>
        <w:spacing w:line="360" w:lineRule="auto"/>
        <w:rPr>
          <w:sz w:val="24"/>
          <w:szCs w:val="24"/>
          <w:highlight w:val="none"/>
        </w:rPr>
      </w:pPr>
    </w:p>
    <w:p>
      <w:pPr>
        <w:pStyle w:val="2"/>
        <w:spacing w:before="11" w:line="360" w:lineRule="auto"/>
        <w:rPr>
          <w:sz w:val="24"/>
          <w:szCs w:val="24"/>
          <w:highlight w:val="none"/>
        </w:rPr>
      </w:pPr>
    </w:p>
    <w:p>
      <w:pPr>
        <w:pStyle w:val="2"/>
        <w:tabs>
          <w:tab w:val="left" w:pos="5179"/>
          <w:tab w:val="left" w:pos="6319"/>
          <w:tab w:val="left" w:pos="7039"/>
          <w:tab w:val="left" w:pos="7759"/>
        </w:tabs>
        <w:spacing w:line="360" w:lineRule="auto"/>
        <w:ind w:left="5120" w:right="866" w:hanging="4140"/>
        <w:rPr>
          <w:sz w:val="24"/>
          <w:szCs w:val="24"/>
          <w:highlight w:val="none"/>
        </w:rPr>
      </w:pPr>
      <w:r>
        <w:rPr>
          <w:rFonts w:hint="eastAsia"/>
          <w:sz w:val="24"/>
          <w:szCs w:val="24"/>
          <w:highlight w:val="none"/>
          <w:lang w:val="en-US" w:eastAsia="zh-CN"/>
        </w:rPr>
        <w:t>法人</w:t>
      </w:r>
      <w:r>
        <w:rPr>
          <w:sz w:val="24"/>
          <w:szCs w:val="24"/>
          <w:highlight w:val="none"/>
        </w:rPr>
        <w:t>（</w:t>
      </w:r>
      <w:r>
        <w:rPr>
          <w:rFonts w:hint="eastAsia"/>
          <w:sz w:val="24"/>
          <w:szCs w:val="24"/>
          <w:highlight w:val="none"/>
          <w:lang w:val="en-US" w:eastAsia="zh-CN"/>
        </w:rPr>
        <w:t>盖章</w:t>
      </w:r>
      <w:r>
        <w:rPr>
          <w:sz w:val="24"/>
          <w:szCs w:val="24"/>
          <w:highlight w:val="none"/>
        </w:rPr>
        <w:t>）：</w:t>
      </w:r>
    </w:p>
    <w:p>
      <w:pPr>
        <w:pStyle w:val="2"/>
        <w:tabs>
          <w:tab w:val="left" w:pos="5179"/>
          <w:tab w:val="left" w:pos="6319"/>
          <w:tab w:val="left" w:pos="7039"/>
          <w:tab w:val="left" w:pos="7759"/>
        </w:tabs>
        <w:spacing w:line="360" w:lineRule="auto"/>
        <w:ind w:left="5120" w:right="866" w:hanging="4140"/>
        <w:rPr>
          <w:sz w:val="24"/>
          <w:szCs w:val="24"/>
          <w:highlight w:val="none"/>
        </w:rPr>
      </w:pPr>
      <w:r>
        <w:rPr>
          <w:sz w:val="24"/>
          <w:szCs w:val="24"/>
          <w:highlight w:val="none"/>
        </w:rPr>
        <w:t>日期：</w:t>
      </w:r>
      <w:r>
        <w:rPr>
          <w:sz w:val="24"/>
          <w:szCs w:val="24"/>
          <w:highlight w:val="none"/>
          <w:u w:val="single"/>
        </w:rPr>
        <w:t xml:space="preserve"> </w:t>
      </w:r>
      <w:r>
        <w:rPr>
          <w:rFonts w:hint="eastAsia"/>
          <w:sz w:val="24"/>
          <w:szCs w:val="24"/>
          <w:highlight w:val="none"/>
          <w:u w:val="single"/>
          <w:lang w:val="en-US" w:eastAsia="zh-CN"/>
        </w:rPr>
        <w:t xml:space="preserve">       </w:t>
      </w:r>
      <w:r>
        <w:rPr>
          <w:sz w:val="24"/>
          <w:szCs w:val="24"/>
          <w:highlight w:val="none"/>
        </w:rPr>
        <w:t>年</w:t>
      </w:r>
      <w:r>
        <w:rPr>
          <w:sz w:val="24"/>
          <w:szCs w:val="24"/>
          <w:highlight w:val="none"/>
          <w:u w:val="single"/>
        </w:rPr>
        <w:t xml:space="preserve"> </w:t>
      </w:r>
      <w:r>
        <w:rPr>
          <w:rFonts w:hint="eastAsia"/>
          <w:sz w:val="24"/>
          <w:szCs w:val="24"/>
          <w:highlight w:val="none"/>
          <w:u w:val="single"/>
          <w:lang w:val="en-US" w:eastAsia="zh-CN"/>
        </w:rPr>
        <w:t xml:space="preserve">      </w:t>
      </w:r>
      <w:r>
        <w:rPr>
          <w:sz w:val="24"/>
          <w:szCs w:val="24"/>
          <w:highlight w:val="none"/>
        </w:rPr>
        <w:t>月</w:t>
      </w:r>
      <w:r>
        <w:rPr>
          <w:sz w:val="24"/>
          <w:szCs w:val="24"/>
          <w:highlight w:val="none"/>
          <w:u w:val="single"/>
        </w:rPr>
        <w:t xml:space="preserve"> </w:t>
      </w:r>
      <w:r>
        <w:rPr>
          <w:rFonts w:hint="eastAsia"/>
          <w:sz w:val="24"/>
          <w:szCs w:val="24"/>
          <w:highlight w:val="none"/>
          <w:u w:val="single"/>
          <w:lang w:val="en-US" w:eastAsia="zh-CN"/>
        </w:rPr>
        <w:t xml:space="preserve">       </w:t>
      </w:r>
      <w:r>
        <w:rPr>
          <w:sz w:val="24"/>
          <w:szCs w:val="24"/>
          <w:highlight w:val="none"/>
        </w:rPr>
        <w:t>日</w:t>
      </w:r>
    </w:p>
    <w:p>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bidi w:val="0"/>
        <w:rPr>
          <w:rFonts w:hint="eastAsia" w:ascii="宋体" w:hAnsi="宋体" w:eastAsia="宋体" w:cs="宋体"/>
          <w:b/>
          <w:sz w:val="28"/>
          <w:szCs w:val="28"/>
          <w:highlight w:val="none"/>
          <w:lang w:val="en-US" w:eastAsia="zh-CN"/>
        </w:rPr>
      </w:pPr>
      <w:bookmarkStart w:id="408" w:name="_Toc23746"/>
      <w:bookmarkStart w:id="409" w:name="_Toc25074"/>
      <w:r>
        <w:rPr>
          <w:rFonts w:hint="eastAsia" w:ascii="宋体" w:hAnsi="宋体" w:eastAsia="宋体" w:cs="宋体"/>
          <w:b/>
          <w:sz w:val="28"/>
          <w:szCs w:val="28"/>
          <w:highlight w:val="none"/>
          <w:lang w:val="en-US" w:eastAsia="zh-CN"/>
        </w:rPr>
        <w:t>附件3：</w:t>
      </w:r>
    </w:p>
    <w:p>
      <w:pPr>
        <w:spacing w:before="299" w:line="225" w:lineRule="auto"/>
        <w:ind w:left="2698"/>
        <w:rPr>
          <w:rFonts w:ascii="Arial"/>
          <w:sz w:val="21"/>
          <w:highlight w:val="none"/>
        </w:rPr>
      </w:pPr>
      <w:r>
        <w:rPr>
          <w:rFonts w:ascii="宋体" w:hAnsi="宋体" w:eastAsia="宋体" w:cs="宋体"/>
          <w:spacing w:val="10"/>
          <w:sz w:val="29"/>
          <w:szCs w:val="29"/>
          <w:highlight w:val="none"/>
          <w14:textOutline w14:w="5448" w14:cap="sq" w14:cmpd="sng">
            <w14:solidFill>
              <w14:srgbClr w14:val="000000"/>
            </w14:solidFill>
            <w14:prstDash w14:val="solid"/>
            <w14:bevel/>
          </w14:textOutline>
        </w:rPr>
        <w:t>供应商企业关系关联承诺书</w:t>
      </w:r>
    </w:p>
    <w:p>
      <w:pPr>
        <w:spacing w:before="75" w:line="360" w:lineRule="auto"/>
        <w:ind w:left="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 、供应商股东及股权证明。</w:t>
      </w:r>
    </w:p>
    <w:p>
      <w:pPr>
        <w:spacing w:before="75" w:line="360" w:lineRule="auto"/>
        <w:ind w:firstLine="479"/>
        <w:rPr>
          <w:rFonts w:hint="eastAsia" w:ascii="宋体" w:hAnsi="宋体" w:eastAsia="宋体" w:cs="宋体"/>
          <w:sz w:val="24"/>
          <w:szCs w:val="24"/>
          <w:highlight w:val="none"/>
        </w:rPr>
      </w:pPr>
      <w:r>
        <w:rPr>
          <w:rFonts w:hint="eastAsia" w:ascii="宋体" w:hAnsi="宋体" w:eastAsia="宋体" w:cs="宋体"/>
          <w:spacing w:val="21"/>
          <w:sz w:val="24"/>
          <w:szCs w:val="24"/>
          <w:highlight w:val="none"/>
        </w:rPr>
        <w:t>2</w:t>
      </w:r>
      <w:r>
        <w:rPr>
          <w:rFonts w:hint="eastAsia" w:ascii="宋体" w:hAnsi="宋体" w:eastAsia="宋体" w:cs="宋体"/>
          <w:spacing w:val="11"/>
          <w:sz w:val="24"/>
          <w:szCs w:val="24"/>
          <w:highlight w:val="none"/>
        </w:rPr>
        <w:t>、供应商在本项目谈判中，不存在与其它供应商负责人为同一人，有控股、管理等</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关</w:t>
      </w:r>
      <w:r>
        <w:rPr>
          <w:rFonts w:hint="eastAsia" w:ascii="宋体" w:hAnsi="宋体" w:eastAsia="宋体" w:cs="宋体"/>
          <w:spacing w:val="6"/>
          <w:sz w:val="24"/>
          <w:szCs w:val="24"/>
          <w:highlight w:val="none"/>
        </w:rPr>
        <w:t>联关系承诺。</w:t>
      </w:r>
    </w:p>
    <w:p>
      <w:pPr>
        <w:spacing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-1、管理关系说明：</w:t>
      </w:r>
    </w:p>
    <w:p>
      <w:pPr>
        <w:spacing w:before="311"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我单位管理的具有独立法人的下属单位有：</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w:t>
      </w:r>
    </w:p>
    <w:p>
      <w:pPr>
        <w:spacing w:line="360" w:lineRule="auto"/>
        <w:ind w:left="478"/>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我单</w:t>
      </w:r>
      <w:r>
        <w:rPr>
          <w:rFonts w:hint="eastAsia" w:ascii="宋体" w:hAnsi="宋体" w:eastAsia="宋体" w:cs="宋体"/>
          <w:spacing w:val="6"/>
          <w:sz w:val="24"/>
          <w:szCs w:val="24"/>
          <w:highlight w:val="none"/>
        </w:rPr>
        <w:t>位的上级管理单位有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76" w:line="360" w:lineRule="auto"/>
        <w:ind w:left="479"/>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rPr>
        <w:t>2</w:t>
      </w:r>
      <w:r>
        <w:rPr>
          <w:rFonts w:hint="eastAsia" w:ascii="宋体" w:hAnsi="宋体" w:eastAsia="宋体" w:cs="宋体"/>
          <w:spacing w:val="6"/>
          <w:position w:val="1"/>
          <w:sz w:val="24"/>
          <w:szCs w:val="24"/>
          <w:highlight w:val="none"/>
        </w:rPr>
        <w:t>-2、股权关系说明：</w:t>
      </w:r>
    </w:p>
    <w:p>
      <w:pPr>
        <w:spacing w:before="314"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6"/>
          <w:sz w:val="24"/>
          <w:szCs w:val="24"/>
          <w:highlight w:val="none"/>
        </w:rPr>
        <w:t>单位控股的单位有</w:t>
      </w:r>
      <w:r>
        <w:rPr>
          <w:rFonts w:hint="eastAsia" w:ascii="宋体" w:hAnsi="宋体" w:eastAsia="宋体" w:cs="宋体"/>
          <w:spacing w:val="6"/>
          <w:sz w:val="24"/>
          <w:szCs w:val="24"/>
          <w:highlight w:val="none"/>
          <w:u w:val="single" w:color="auto"/>
        </w:rPr>
        <w:t xml:space="preserve">              </w:t>
      </w:r>
      <w:r>
        <w:rPr>
          <w:rFonts w:hint="eastAsia" w:ascii="宋体" w:hAnsi="宋体" w:eastAsia="宋体" w:cs="宋体"/>
          <w:spacing w:val="6"/>
          <w:sz w:val="24"/>
          <w:szCs w:val="24"/>
          <w:highlight w:val="none"/>
        </w:rPr>
        <w:t>。</w:t>
      </w:r>
    </w:p>
    <w:p>
      <w:pPr>
        <w:spacing w:before="76" w:line="360" w:lineRule="auto"/>
        <w:ind w:left="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我单位被</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rPr>
        <w:t xml:space="preserve"> 单位控股</w:t>
      </w:r>
      <w:r>
        <w:rPr>
          <w:rFonts w:hint="eastAsia" w:ascii="宋体" w:hAnsi="宋体" w:eastAsia="宋体" w:cs="宋体"/>
          <w:sz w:val="24"/>
          <w:szCs w:val="24"/>
          <w:highlight w:val="none"/>
        </w:rPr>
        <w:t>。</w:t>
      </w:r>
    </w:p>
    <w:p>
      <w:pPr>
        <w:spacing w:line="360" w:lineRule="auto"/>
        <w:ind w:left="479"/>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2</w:t>
      </w:r>
      <w:r>
        <w:rPr>
          <w:rFonts w:hint="eastAsia" w:ascii="宋体" w:hAnsi="宋体" w:eastAsia="宋体" w:cs="宋体"/>
          <w:spacing w:val="6"/>
          <w:position w:val="1"/>
          <w:sz w:val="24"/>
          <w:szCs w:val="24"/>
          <w:highlight w:val="none"/>
        </w:rPr>
        <w:t>-3、单位负责人：</w:t>
      </w:r>
    </w:p>
    <w:p>
      <w:pPr>
        <w:spacing w:before="311" w:line="360" w:lineRule="auto"/>
        <w:ind w:left="480"/>
        <w:rPr>
          <w:rFonts w:hint="eastAsia" w:ascii="宋体" w:hAnsi="宋体" w:eastAsia="宋体" w:cs="宋体"/>
          <w:sz w:val="24"/>
          <w:szCs w:val="24"/>
          <w:highlight w:val="none"/>
        </w:rPr>
      </w:pPr>
      <w:r>
        <w:rPr>
          <w:rFonts w:hint="eastAsia" w:ascii="宋体" w:hAnsi="宋体" w:eastAsia="宋体" w:cs="宋体"/>
          <w:spacing w:val="14"/>
          <w:position w:val="1"/>
          <w:sz w:val="24"/>
          <w:szCs w:val="24"/>
          <w:highlight w:val="none"/>
        </w:rPr>
        <w:t>3</w:t>
      </w:r>
      <w:r>
        <w:rPr>
          <w:rFonts w:hint="eastAsia" w:ascii="宋体" w:hAnsi="宋体" w:eastAsia="宋体" w:cs="宋体"/>
          <w:spacing w:val="8"/>
          <w:position w:val="1"/>
          <w:sz w:val="24"/>
          <w:szCs w:val="24"/>
          <w:highlight w:val="none"/>
        </w:rPr>
        <w:t>、其他与本项目有关的利害关系说明：</w:t>
      </w:r>
    </w:p>
    <w:p>
      <w:pPr>
        <w:spacing w:before="313" w:line="360" w:lineRule="auto"/>
        <w:ind w:left="478"/>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我</w:t>
      </w:r>
      <w:r>
        <w:rPr>
          <w:rFonts w:hint="eastAsia" w:ascii="宋体" w:hAnsi="宋体" w:eastAsia="宋体" w:cs="宋体"/>
          <w:spacing w:val="9"/>
          <w:sz w:val="24"/>
          <w:szCs w:val="24"/>
          <w:highlight w:val="none"/>
        </w:rPr>
        <w:t>单位承诺以上说明真实有效，无虚假内容或隐瞒。</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before="76" w:line="360" w:lineRule="auto"/>
        <w:ind w:left="47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供应商全称：  (</w:t>
      </w:r>
      <w:r>
        <w:rPr>
          <w:rFonts w:hint="eastAsia" w:ascii="宋体" w:hAnsi="宋体" w:eastAsia="宋体" w:cs="宋体"/>
          <w:spacing w:val="-3"/>
          <w:sz w:val="24"/>
          <w:szCs w:val="24"/>
          <w:highlight w:val="none"/>
          <w:lang w:val="en-US" w:eastAsia="zh-CN"/>
        </w:rPr>
        <w:t>盖章</w:t>
      </w:r>
      <w:r>
        <w:rPr>
          <w:rFonts w:hint="eastAsia" w:ascii="宋体" w:hAnsi="宋体" w:eastAsia="宋体" w:cs="宋体"/>
          <w:spacing w:val="-2"/>
          <w:sz w:val="24"/>
          <w:szCs w:val="24"/>
          <w:highlight w:val="none"/>
        </w:rPr>
        <w:t>)</w:t>
      </w:r>
    </w:p>
    <w:p>
      <w:pPr>
        <w:spacing w:line="360" w:lineRule="auto"/>
        <w:rPr>
          <w:rFonts w:hint="eastAsia" w:ascii="宋体" w:hAnsi="宋体" w:eastAsia="宋体" w:cs="宋体"/>
          <w:sz w:val="24"/>
          <w:szCs w:val="24"/>
          <w:highlight w:val="none"/>
        </w:rPr>
      </w:pPr>
    </w:p>
    <w:p>
      <w:pPr>
        <w:spacing w:before="75" w:line="360" w:lineRule="auto"/>
        <w:ind w:left="477"/>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法定代表人或被授权人 (签字或盖章) ：</w:t>
      </w:r>
    </w:p>
    <w:p>
      <w:pPr>
        <w:spacing w:before="75" w:line="360" w:lineRule="auto"/>
        <w:ind w:left="47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日期：</w:t>
      </w:r>
      <w:r>
        <w:rPr>
          <w:rFonts w:hint="eastAsia" w:ascii="宋体" w:hAnsi="宋体" w:eastAsia="宋体" w:cs="宋体"/>
          <w:spacing w:val="-1"/>
          <w:sz w:val="24"/>
          <w:szCs w:val="24"/>
          <w:highlight w:val="none"/>
        </w:rPr>
        <w:t xml:space="preserve">    年       月      日</w:t>
      </w:r>
    </w:p>
    <w:p>
      <w:pPr>
        <w:rPr>
          <w:rFonts w:hint="eastAsia"/>
          <w:highlight w:val="none"/>
        </w:rPr>
      </w:pPr>
      <w:r>
        <w:rPr>
          <w:rFonts w:hint="eastAsia"/>
          <w:highlight w:val="none"/>
        </w:rPr>
        <w:br w:type="page"/>
      </w:r>
    </w:p>
    <w:p>
      <w:pPr>
        <w:pStyle w:val="6"/>
        <w:bidi w:val="0"/>
        <w:jc w:val="center"/>
        <w:rPr>
          <w:rFonts w:hint="default"/>
          <w:highlight w:val="none"/>
          <w:lang w:val="en-US" w:eastAsia="zh-CN"/>
        </w:rPr>
      </w:pPr>
      <w:bookmarkStart w:id="410" w:name="_Toc5993"/>
      <w:bookmarkStart w:id="411" w:name="_Toc12357"/>
      <w:r>
        <w:rPr>
          <w:rFonts w:hint="eastAsia"/>
          <w:highlight w:val="none"/>
          <w:lang w:val="en-US" w:eastAsia="zh-CN"/>
        </w:rPr>
        <w:t>七</w:t>
      </w:r>
      <w:r>
        <w:rPr>
          <w:rFonts w:hint="eastAsia"/>
          <w:highlight w:val="none"/>
        </w:rPr>
        <w:t>、</w:t>
      </w:r>
      <w:bookmarkEnd w:id="405"/>
      <w:bookmarkEnd w:id="406"/>
      <w:bookmarkEnd w:id="407"/>
      <w:r>
        <w:rPr>
          <w:rFonts w:hint="eastAsia"/>
          <w:highlight w:val="none"/>
          <w:lang w:val="en-US" w:eastAsia="zh-CN"/>
        </w:rPr>
        <w:t>项目实施方案</w:t>
      </w:r>
      <w:bookmarkEnd w:id="408"/>
      <w:bookmarkEnd w:id="409"/>
      <w:bookmarkEnd w:id="410"/>
      <w:bookmarkEnd w:id="411"/>
    </w:p>
    <w:p>
      <w:pPr>
        <w:spacing w:line="360" w:lineRule="auto"/>
        <w:jc w:val="both"/>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注：供应商可结合竞争性谈判内容及技术要求编制、评审办法编制实施方案</w:t>
      </w: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lang w:eastAsia="zh-CN"/>
        </w:rPr>
        <w:t>）</w:t>
      </w:r>
    </w:p>
    <w:p>
      <w:pPr>
        <w:rPr>
          <w:rFonts w:hint="eastAsia" w:ascii="宋体" w:hAnsi="宋体" w:cs="宋体"/>
          <w:sz w:val="24"/>
          <w:szCs w:val="24"/>
          <w:highlight w:val="none"/>
          <w:lang w:eastAsia="zh-CN"/>
        </w:rPr>
      </w:pPr>
      <w:r>
        <w:rPr>
          <w:rFonts w:hint="eastAsia" w:ascii="宋体" w:hAnsi="宋体" w:cs="宋体"/>
          <w:sz w:val="24"/>
          <w:szCs w:val="24"/>
          <w:highlight w:val="none"/>
          <w:lang w:eastAsia="zh-CN"/>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412" w:name="_Toc16055"/>
      <w:bookmarkStart w:id="413" w:name="_Toc1552"/>
      <w:bookmarkStart w:id="414" w:name="_Toc20924"/>
      <w:bookmarkStart w:id="415" w:name="_Toc14310"/>
      <w:bookmarkStart w:id="416" w:name="_Toc8206"/>
      <w:bookmarkStart w:id="417" w:name="_Toc24377"/>
      <w:bookmarkStart w:id="418" w:name="_Toc5544"/>
      <w:bookmarkStart w:id="419" w:name="_Toc22596"/>
      <w:bookmarkStart w:id="420" w:name="_Toc5835"/>
      <w:bookmarkStart w:id="421" w:name="_Toc23511"/>
      <w:bookmarkStart w:id="422" w:name="_Toc6424"/>
      <w:bookmarkStart w:id="423" w:name="_Toc1925"/>
      <w:bookmarkStart w:id="424" w:name="_Toc28426"/>
      <w:bookmarkStart w:id="425" w:name="_Toc32716"/>
      <w:bookmarkStart w:id="426" w:name="_Toc4133"/>
      <w:bookmarkStart w:id="427" w:name="_Toc18321"/>
      <w:bookmarkStart w:id="428" w:name="_Toc12453"/>
      <w:bookmarkStart w:id="429" w:name="_Toc23066"/>
      <w:r>
        <w:rPr>
          <w:rFonts w:hint="eastAsia" w:ascii="Microsoft JhengHei" w:hAnsi="Times New Roman" w:eastAsia="Microsoft JhengHei" w:cs="Times New Roman"/>
          <w:b/>
          <w:bCs/>
          <w:color w:val="auto"/>
          <w:kern w:val="2"/>
          <w:sz w:val="30"/>
          <w:szCs w:val="24"/>
          <w:highlight w:val="none"/>
          <w:lang w:val="en-US" w:eastAsia="zh-CN" w:bidi="ar-SA"/>
        </w:rPr>
        <w:t>附表一：同类业绩统计样表</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tbl>
      <w:tblPr>
        <w:tblStyle w:val="3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9"/>
        <w:gridCol w:w="1736"/>
        <w:gridCol w:w="1174"/>
        <w:gridCol w:w="1716"/>
        <w:gridCol w:w="1644"/>
        <w:gridCol w:w="2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538"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序号</w:t>
            </w:r>
          </w:p>
        </w:tc>
        <w:tc>
          <w:tcPr>
            <w:tcW w:w="921"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项目名称</w:t>
            </w:r>
          </w:p>
        </w:tc>
        <w:tc>
          <w:tcPr>
            <w:tcW w:w="633"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项目内容</w:t>
            </w:r>
          </w:p>
        </w:tc>
        <w:tc>
          <w:tcPr>
            <w:tcW w:w="911" w:type="pct"/>
            <w:vAlign w:val="center"/>
          </w:tcPr>
          <w:p>
            <w:pPr>
              <w:spacing w:line="360" w:lineRule="auto"/>
              <w:jc w:val="center"/>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t>合同金额</w:t>
            </w:r>
          </w:p>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（万元）</w:t>
            </w:r>
          </w:p>
        </w:tc>
        <w:tc>
          <w:tcPr>
            <w:tcW w:w="872"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完成日期</w:t>
            </w:r>
          </w:p>
        </w:tc>
        <w:tc>
          <w:tcPr>
            <w:tcW w:w="1122" w:type="pct"/>
            <w:vAlign w:val="center"/>
          </w:tcPr>
          <w:p>
            <w:pPr>
              <w:spacing w:line="360" w:lineRule="auto"/>
              <w:jc w:val="center"/>
              <w:rPr>
                <w:rFonts w:hint="eastAsia" w:ascii="宋体" w:hAnsi="宋体" w:cs="宋体"/>
                <w:b/>
                <w:color w:val="auto"/>
                <w:kern w:val="0"/>
                <w:sz w:val="24"/>
                <w:szCs w:val="20"/>
                <w:highlight w:val="none"/>
              </w:rPr>
            </w:pPr>
            <w:r>
              <w:rPr>
                <w:rFonts w:hint="eastAsia" w:ascii="宋体" w:hAnsi="宋体" w:cs="宋体"/>
                <w:b/>
                <w:color w:val="auto"/>
                <w:kern w:val="0"/>
                <w:sz w:val="24"/>
                <w:szCs w:val="20"/>
                <w:highlight w:val="none"/>
              </w:rPr>
              <w:t>业主名称</w:t>
            </w:r>
          </w:p>
          <w:p>
            <w:pPr>
              <w:spacing w:line="360" w:lineRule="auto"/>
              <w:jc w:val="center"/>
              <w:rPr>
                <w:rFonts w:hint="eastAsia" w:ascii="宋体" w:hAnsi="宋体" w:eastAsia="宋体" w:cs="宋体"/>
                <w:b/>
                <w:color w:val="auto"/>
                <w:kern w:val="0"/>
                <w:sz w:val="24"/>
                <w:szCs w:val="20"/>
                <w:highlight w:val="none"/>
                <w:lang w:val="en-US" w:eastAsia="zh-CN"/>
              </w:rPr>
            </w:pPr>
            <w:r>
              <w:rPr>
                <w:rFonts w:hint="eastAsia" w:ascii="宋体" w:hAnsi="宋体" w:cs="宋体"/>
                <w:b/>
                <w:color w:val="auto"/>
                <w:kern w:val="0"/>
                <w:sz w:val="24"/>
                <w:szCs w:val="20"/>
                <w:highlight w:val="none"/>
              </w:rPr>
              <w:t>联系人及电</w:t>
            </w:r>
            <w:r>
              <w:rPr>
                <w:rFonts w:hint="eastAsia" w:ascii="宋体" w:hAnsi="宋体" w:cs="宋体"/>
                <w:b/>
                <w:color w:val="auto"/>
                <w:kern w:val="0"/>
                <w:sz w:val="24"/>
                <w:szCs w:val="20"/>
                <w:highlight w:val="none"/>
                <w:lang w:val="en-US" w:eastAsia="zh-CN"/>
              </w:rPr>
              <w:t>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2" w:hRule="atLeast"/>
        </w:trPr>
        <w:tc>
          <w:tcPr>
            <w:tcW w:w="538" w:type="pct"/>
          </w:tcPr>
          <w:p>
            <w:pPr>
              <w:widowControl w:val="0"/>
              <w:shd w:val="clear"/>
              <w:spacing w:before="93"/>
              <w:ind w:left="441" w:right="422"/>
              <w:jc w:val="center"/>
              <w:rPr>
                <w:rFonts w:ascii="宋体" w:hAnsi="Times New Roman" w:eastAsia="宋体" w:cs="Times New Roman"/>
                <w:color w:val="auto"/>
                <w:sz w:val="24"/>
                <w:highlight w:val="none"/>
                <w:lang w:val="en-US" w:eastAsia="zh-CN" w:bidi="ar-SA"/>
              </w:rPr>
            </w:pPr>
            <w:r>
              <w:rPr>
                <w:rFonts w:ascii="宋体" w:hAnsi="Times New Roman" w:eastAsia="宋体" w:cs="Times New Roman"/>
                <w:color w:val="auto"/>
                <w:sz w:val="24"/>
                <w:highlight w:val="none"/>
                <w:lang w:val="en-US" w:eastAsia="zh-CN" w:bidi="ar-SA"/>
              </w:rPr>
              <w:t>……</w:t>
            </w: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877" w:type="pct"/>
            <w:gridSpan w:val="5"/>
          </w:tcPr>
          <w:p>
            <w:pPr>
              <w:widowControl w:val="0"/>
              <w:shd w:val="clear"/>
              <w:spacing w:before="98"/>
              <w:ind w:left="125"/>
              <w:jc w:val="both"/>
              <w:rPr>
                <w:rFonts w:ascii="宋体" w:hAnsi="Times New Roman" w:eastAsia="宋体" w:cs="Times New Roman"/>
                <w:color w:val="auto"/>
                <w:sz w:val="24"/>
                <w:highlight w:val="none"/>
                <w:lang w:val="en-US" w:eastAsia="zh-CN" w:bidi="ar-SA"/>
              </w:rPr>
            </w:pPr>
            <w:r>
              <w:rPr>
                <w:rFonts w:ascii="宋体" w:hAnsi="Times New Roman" w:eastAsia="宋体" w:cs="Times New Roman"/>
                <w:color w:val="auto"/>
                <w:sz w:val="24"/>
                <w:highlight w:val="none"/>
                <w:lang w:val="en-US" w:eastAsia="zh-CN" w:bidi="ar-SA"/>
              </w:rPr>
              <w:t>数量合计（个）：</w:t>
            </w:r>
          </w:p>
        </w:tc>
        <w:tc>
          <w:tcPr>
            <w:tcW w:w="1122" w:type="pct"/>
          </w:tcPr>
          <w:p>
            <w:pPr>
              <w:widowControl w:val="0"/>
              <w:shd w:val="clear"/>
              <w:spacing w:before="98"/>
              <w:ind w:left="125"/>
              <w:jc w:val="both"/>
              <w:rPr>
                <w:rFonts w:ascii="宋体" w:hAnsi="Times New Roman" w:eastAsia="宋体" w:cs="Times New Roman"/>
                <w:color w:val="auto"/>
                <w:sz w:val="24"/>
                <w:highlight w:val="none"/>
                <w:lang w:val="en-US" w:eastAsia="zh-CN" w:bidi="ar-SA"/>
              </w:rPr>
            </w:pPr>
          </w:p>
        </w:tc>
      </w:tr>
    </w:tbl>
    <w:p>
      <w:pPr>
        <w:shd w:val="clear"/>
        <w:rPr>
          <w:rFonts w:ascii="宋体" w:hAnsi="Times New Roman" w:cs="Times New Roman"/>
          <w:color w:val="auto"/>
          <w:spacing w:val="-16"/>
          <w:kern w:val="0"/>
          <w:sz w:val="28"/>
          <w:szCs w:val="20"/>
          <w:highlight w:val="none"/>
        </w:rPr>
      </w:pPr>
    </w:p>
    <w:p>
      <w:pPr>
        <w:pStyle w:val="2"/>
        <w:rPr>
          <w:rFonts w:hint="eastAsia" w:ascii="Times New Roman" w:hAnsi="Times New Roman" w:eastAsia="宋体" w:cs="Times New Roman"/>
          <w:b/>
          <w:bCs/>
          <w:color w:val="auto"/>
          <w:spacing w:val="-16"/>
          <w:kern w:val="2"/>
          <w:sz w:val="28"/>
          <w:szCs w:val="24"/>
          <w:highlight w:val="none"/>
          <w:lang w:val="en-US" w:eastAsia="zh-CN" w:bidi="ar-SA"/>
        </w:rPr>
      </w:pPr>
      <w:r>
        <w:rPr>
          <w:rFonts w:hint="eastAsia" w:ascii="Times New Roman" w:hAnsi="Times New Roman" w:eastAsia="宋体" w:cs="Times New Roman"/>
          <w:b/>
          <w:bCs/>
          <w:color w:val="auto"/>
          <w:spacing w:val="-16"/>
          <w:kern w:val="2"/>
          <w:sz w:val="28"/>
          <w:szCs w:val="24"/>
          <w:highlight w:val="none"/>
          <w:lang w:val="en-US" w:eastAsia="zh-CN" w:bidi="ar-SA"/>
        </w:rPr>
        <w:t>注：后附业绩证明材料（包含中标通知书或合同）</w:t>
      </w:r>
    </w:p>
    <w:p>
      <w:pPr>
        <w:rPr>
          <w:rFonts w:hint="eastAsia" w:ascii="Microsoft JhengHei" w:hAnsi="Times New Roman" w:eastAsia="Microsoft JhengHei" w:cs="Times New Roman"/>
          <w:b/>
          <w:bCs/>
          <w:color w:val="auto"/>
          <w:kern w:val="2"/>
          <w:sz w:val="30"/>
          <w:szCs w:val="24"/>
          <w:highlight w:val="none"/>
          <w:lang w:val="en-US" w:eastAsia="zh-CN" w:bidi="ar-SA"/>
        </w:rPr>
      </w:pPr>
      <w:bookmarkStart w:id="430" w:name="_Toc6248"/>
      <w:bookmarkStart w:id="431" w:name="_Toc3297"/>
      <w:bookmarkStart w:id="432" w:name="_Toc13137"/>
      <w:bookmarkStart w:id="433" w:name="_Toc26755"/>
      <w:bookmarkStart w:id="434" w:name="_Toc14631"/>
      <w:r>
        <w:rPr>
          <w:rFonts w:hint="eastAsia" w:ascii="Microsoft JhengHei" w:hAnsi="Times New Roman" w:eastAsia="Microsoft JhengHei" w:cs="Times New Roman"/>
          <w:b/>
          <w:bCs/>
          <w:color w:val="auto"/>
          <w:kern w:val="2"/>
          <w:sz w:val="30"/>
          <w:szCs w:val="24"/>
          <w:highlight w:val="none"/>
          <w:lang w:val="en-US" w:eastAsia="zh-CN" w:bidi="ar-SA"/>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435" w:name="_Toc27456"/>
      <w:r>
        <w:rPr>
          <w:rFonts w:hint="eastAsia" w:ascii="Microsoft JhengHei" w:hAnsi="Times New Roman" w:eastAsia="Microsoft JhengHei" w:cs="Times New Roman"/>
          <w:b/>
          <w:bCs/>
          <w:color w:val="auto"/>
          <w:kern w:val="2"/>
          <w:sz w:val="30"/>
          <w:szCs w:val="24"/>
          <w:highlight w:val="none"/>
          <w:lang w:val="en-US" w:eastAsia="zh-CN" w:bidi="ar-SA"/>
        </w:rPr>
        <w:t>附表二：</w:t>
      </w:r>
      <w:bookmarkEnd w:id="430"/>
      <w:bookmarkEnd w:id="431"/>
      <w:r>
        <w:rPr>
          <w:rFonts w:hint="eastAsia" w:ascii="宋体" w:hAnsi="宋体" w:eastAsia="宋体" w:cs="宋体"/>
          <w:b/>
          <w:bCs/>
          <w:color w:val="auto"/>
          <w:kern w:val="2"/>
          <w:sz w:val="28"/>
          <w:szCs w:val="28"/>
          <w:highlight w:val="none"/>
          <w:lang w:val="en-US" w:eastAsia="zh-CN" w:bidi="ar-SA"/>
        </w:rPr>
        <w:t>拟投入本项目人员汇总表</w:t>
      </w:r>
      <w:bookmarkEnd w:id="432"/>
      <w:bookmarkEnd w:id="433"/>
      <w:bookmarkEnd w:id="434"/>
      <w:bookmarkEnd w:id="435"/>
    </w:p>
    <w:p>
      <w:pPr>
        <w:spacing w:line="360" w:lineRule="atLeast"/>
        <w:ind w:firstLine="472" w:firstLineChars="196"/>
        <w:jc w:val="left"/>
        <w:outlineLvl w:val="9"/>
        <w:rPr>
          <w:rFonts w:hint="eastAsia" w:ascii="楷体" w:hAnsi="楷体" w:eastAsia="楷体" w:cs="楷体"/>
          <w:b/>
          <w:color w:val="auto"/>
          <w:kern w:val="0"/>
          <w:sz w:val="24"/>
          <w:szCs w:val="20"/>
          <w:highlight w:val="none"/>
        </w:rPr>
      </w:pP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项目编号：</w:t>
      </w:r>
      <w:r>
        <w:rPr>
          <w:rFonts w:hint="eastAsia" w:ascii="宋体" w:hAnsi="宋体" w:eastAsia="宋体" w:cs="宋体"/>
          <w:color w:val="auto"/>
          <w:kern w:val="0"/>
          <w:sz w:val="24"/>
          <w:szCs w:val="24"/>
          <w:highlight w:val="none"/>
          <w:u w:val="single"/>
        </w:rPr>
        <w:t xml:space="preserve">             </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67"/>
        <w:gridCol w:w="823"/>
        <w:gridCol w:w="1032"/>
        <w:gridCol w:w="875"/>
        <w:gridCol w:w="841"/>
        <w:gridCol w:w="841"/>
        <w:gridCol w:w="2312"/>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7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序号</w:t>
            </w:r>
          </w:p>
        </w:tc>
        <w:tc>
          <w:tcPr>
            <w:tcW w:w="636"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姓名</w:t>
            </w:r>
          </w:p>
        </w:tc>
        <w:tc>
          <w:tcPr>
            <w:tcW w:w="41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年龄</w:t>
            </w:r>
          </w:p>
        </w:tc>
        <w:tc>
          <w:tcPr>
            <w:tcW w:w="518"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性别</w:t>
            </w:r>
          </w:p>
        </w:tc>
        <w:tc>
          <w:tcPr>
            <w:tcW w:w="439"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学历</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专业</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职称</w:t>
            </w:r>
          </w:p>
        </w:tc>
        <w:tc>
          <w:tcPr>
            <w:tcW w:w="1160"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岗位证书及编号</w:t>
            </w:r>
          </w:p>
        </w:tc>
        <w:tc>
          <w:tcPr>
            <w:tcW w:w="714"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bl>
    <w:p>
      <w:pPr>
        <w:spacing w:line="480" w:lineRule="exact"/>
        <w:rPr>
          <w:rFonts w:hint="eastAsia" w:ascii="宋体" w:hAnsi="宋体" w:eastAsia="宋体" w:cs="宋体"/>
          <w:color w:val="auto"/>
          <w:kern w:val="0"/>
          <w:sz w:val="24"/>
          <w:szCs w:val="24"/>
          <w:highlight w:val="none"/>
        </w:rPr>
      </w:pPr>
    </w:p>
    <w:p>
      <w:pPr>
        <w:widowControl w:val="0"/>
        <w:spacing w:after="120" w:afterLines="0"/>
        <w:jc w:val="both"/>
        <w:rPr>
          <w:rFonts w:hint="eastAsia" w:ascii="宋体" w:hAnsi="宋体" w:eastAsia="宋体" w:cs="宋体"/>
          <w:color w:val="auto"/>
          <w:kern w:val="2"/>
          <w:sz w:val="24"/>
          <w:szCs w:val="24"/>
          <w:highlight w:val="none"/>
          <w:lang w:val="en-US" w:eastAsia="zh-CN" w:bidi="ar-SA"/>
        </w:rPr>
      </w:pPr>
    </w:p>
    <w:p>
      <w:pPr>
        <w:rPr>
          <w:rFonts w:hint="eastAsia" w:ascii="宋体" w:hAnsi="宋体" w:eastAsia="宋体" w:cs="宋体"/>
          <w:color w:val="auto"/>
          <w:kern w:val="0"/>
          <w:sz w:val="24"/>
          <w:szCs w:val="24"/>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rPr>
        <w:t>法人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60" w:firstLineChars="1400"/>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rPr>
          <w:rFonts w:hint="eastAsia" w:ascii="宋体" w:hAnsi="Times New Roman" w:cs="Times New Roman"/>
          <w:color w:val="auto"/>
          <w:kern w:val="0"/>
          <w:sz w:val="24"/>
          <w:szCs w:val="20"/>
          <w:highlight w:val="none"/>
          <w:lang w:val="en-US" w:eastAsia="zh-CN"/>
        </w:rPr>
      </w:pPr>
      <w:r>
        <w:rPr>
          <w:rFonts w:hint="eastAsia" w:ascii="宋体" w:hAnsi="Times New Roman" w:cs="Times New Roman"/>
          <w:color w:val="auto"/>
          <w:kern w:val="0"/>
          <w:sz w:val="24"/>
          <w:szCs w:val="20"/>
          <w:highlight w:val="none"/>
          <w:lang w:val="en-US" w:eastAsia="zh-CN"/>
        </w:rPr>
        <w:br w:type="page"/>
      </w:r>
    </w:p>
    <w:p>
      <w:pPr>
        <w:keepNext/>
        <w:keepLines/>
        <w:pageBreakBefore w:val="0"/>
        <w:widowControl w:val="0"/>
        <w:kinsoku/>
        <w:wordWrap/>
        <w:overflowPunct/>
        <w:topLinePunct w:val="0"/>
        <w:autoSpaceDE/>
        <w:autoSpaceDN/>
        <w:bidi w:val="0"/>
        <w:adjustRightInd/>
        <w:snapToGrid/>
        <w:spacing w:before="624" w:beforeLines="200" w:line="360" w:lineRule="auto"/>
        <w:jc w:val="center"/>
        <w:textAlignment w:val="auto"/>
        <w:outlineLvl w:val="2"/>
        <w:rPr>
          <w:rFonts w:ascii="宋体" w:hAnsi="宋体" w:eastAsia="宋体" w:cs="宋体"/>
          <w:b/>
          <w:bCs/>
          <w:color w:val="auto"/>
          <w:kern w:val="2"/>
          <w:sz w:val="28"/>
          <w:szCs w:val="28"/>
          <w:highlight w:val="none"/>
          <w:lang w:val="en-US" w:eastAsia="zh-CN" w:bidi="ar-SA"/>
        </w:rPr>
      </w:pPr>
      <w:bookmarkStart w:id="436" w:name="_Toc27647"/>
      <w:bookmarkStart w:id="437" w:name="_Toc14100"/>
      <w:bookmarkStart w:id="438" w:name="_Toc7496"/>
      <w:bookmarkStart w:id="439" w:name="_Toc18989"/>
      <w:bookmarkStart w:id="440" w:name="_Toc22441"/>
      <w:bookmarkStart w:id="441" w:name="_Toc6099"/>
      <w:bookmarkStart w:id="442" w:name="_Toc18330"/>
      <w:bookmarkStart w:id="443" w:name="_Toc6889"/>
      <w:bookmarkStart w:id="444" w:name="_Toc13556"/>
      <w:r>
        <w:rPr>
          <w:rFonts w:hint="eastAsia" w:ascii="宋体" w:hAnsi="宋体" w:eastAsia="宋体" w:cs="宋体"/>
          <w:b/>
          <w:bCs/>
          <w:color w:val="auto"/>
          <w:kern w:val="2"/>
          <w:sz w:val="28"/>
          <w:szCs w:val="28"/>
          <w:highlight w:val="none"/>
          <w:lang w:val="en-US" w:eastAsia="zh-CN" w:bidi="ar-SA"/>
        </w:rPr>
        <w:t>附表三：拟投入本项目的主要人员简历表</w:t>
      </w:r>
      <w:bookmarkEnd w:id="436"/>
      <w:bookmarkEnd w:id="437"/>
      <w:bookmarkEnd w:id="438"/>
      <w:bookmarkEnd w:id="439"/>
      <w:bookmarkEnd w:id="440"/>
      <w:bookmarkEnd w:id="441"/>
      <w:bookmarkEnd w:id="442"/>
      <w:bookmarkEnd w:id="443"/>
      <w:bookmarkEnd w:id="444"/>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376"/>
        <w:gridCol w:w="1135"/>
        <w:gridCol w:w="1006"/>
        <w:gridCol w:w="1008"/>
        <w:gridCol w:w="1103"/>
        <w:gridCol w:w="761"/>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  名</w:t>
            </w:r>
          </w:p>
        </w:tc>
        <w:tc>
          <w:tcPr>
            <w:tcW w:w="759" w:type="pct"/>
            <w:gridSpan w:val="2"/>
            <w:noWrap w:val="0"/>
            <w:vAlign w:val="center"/>
          </w:tcPr>
          <w:p>
            <w:pPr>
              <w:jc w:val="center"/>
              <w:rPr>
                <w:rFonts w:ascii="宋体" w:hAnsi="宋体" w:cs="宋体"/>
                <w:color w:val="auto"/>
                <w:kern w:val="0"/>
                <w:sz w:val="24"/>
                <w:szCs w:val="20"/>
                <w:highlight w:val="none"/>
              </w:rPr>
            </w:pPr>
          </w:p>
        </w:tc>
        <w:tc>
          <w:tcPr>
            <w:tcW w:w="505" w:type="pct"/>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 别</w:t>
            </w:r>
          </w:p>
        </w:tc>
        <w:tc>
          <w:tcPr>
            <w:tcW w:w="505" w:type="pct"/>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出</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生 日  期</w:t>
            </w:r>
          </w:p>
        </w:tc>
        <w:tc>
          <w:tcPr>
            <w:tcW w:w="1415" w:type="pct"/>
            <w:noWrap w:val="0"/>
            <w:vAlign w:val="center"/>
          </w:tcPr>
          <w:p>
            <w:pPr>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毕业院校及专业</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ind w:left="-18"/>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业 时  间</w:t>
            </w:r>
          </w:p>
        </w:tc>
        <w:tc>
          <w:tcPr>
            <w:tcW w:w="1415" w:type="pct"/>
            <w:noWrap w:val="0"/>
            <w:vAlign w:val="center"/>
          </w:tcPr>
          <w:p>
            <w:pPr>
              <w:ind w:left="45"/>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从事本专业时间</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服务时间</w:t>
            </w:r>
          </w:p>
        </w:tc>
        <w:tc>
          <w:tcPr>
            <w:tcW w:w="1415" w:type="pct"/>
            <w:noWrap w:val="0"/>
            <w:vAlign w:val="center"/>
          </w:tcPr>
          <w:p>
            <w:pP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78" w:type="pct"/>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执 业 注 册</w:t>
            </w:r>
          </w:p>
        </w:tc>
        <w:tc>
          <w:tcPr>
            <w:tcW w:w="1770" w:type="pct"/>
            <w:gridSpan w:val="4"/>
            <w:noWrap w:val="0"/>
            <w:vAlign w:val="center"/>
          </w:tcPr>
          <w:p>
            <w:pPr>
              <w:rPr>
                <w:rFonts w:ascii="宋体" w:hAnsi="宋体" w:cs="宋体"/>
                <w:color w:val="auto"/>
                <w:kern w:val="0"/>
                <w:sz w:val="24"/>
                <w:szCs w:val="20"/>
                <w:highlight w:val="none"/>
              </w:rPr>
            </w:pPr>
          </w:p>
        </w:tc>
        <w:tc>
          <w:tcPr>
            <w:tcW w:w="936"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       称</w:t>
            </w:r>
          </w:p>
        </w:tc>
        <w:tc>
          <w:tcPr>
            <w:tcW w:w="1415" w:type="pct"/>
            <w:noWrap w:val="0"/>
            <w:vAlign w:val="center"/>
          </w:tcPr>
          <w:p>
            <w:pP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000" w:type="pct"/>
            <w:gridSpan w:val="8"/>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7"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时   间</w:t>
            </w:r>
          </w:p>
        </w:tc>
        <w:tc>
          <w:tcPr>
            <w:tcW w:w="2135" w:type="pct"/>
            <w:gridSpan w:val="4"/>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lang w:val="en-US" w:eastAsia="zh-CN"/>
              </w:rPr>
              <w:t>参加过的项目名称及规模</w:t>
            </w:r>
          </w:p>
        </w:tc>
        <w:tc>
          <w:tcPr>
            <w:tcW w:w="1797" w:type="pct"/>
            <w:gridSpan w:val="2"/>
            <w:noWrap w:val="0"/>
            <w:vAlign w:val="center"/>
          </w:tcPr>
          <w:p>
            <w:pPr>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1067" w:type="pct"/>
            <w:gridSpan w:val="2"/>
            <w:noWrap w:val="0"/>
            <w:vAlign w:val="top"/>
          </w:tcPr>
          <w:p>
            <w:pPr>
              <w:rPr>
                <w:rFonts w:ascii="宋体" w:hAnsi="宋体" w:cs="宋体"/>
                <w:color w:val="auto"/>
                <w:kern w:val="0"/>
                <w:sz w:val="22"/>
                <w:szCs w:val="20"/>
                <w:highlight w:val="none"/>
              </w:rPr>
            </w:pPr>
          </w:p>
        </w:tc>
        <w:tc>
          <w:tcPr>
            <w:tcW w:w="2135" w:type="pct"/>
            <w:gridSpan w:val="4"/>
            <w:noWrap w:val="0"/>
            <w:vAlign w:val="top"/>
          </w:tcPr>
          <w:p>
            <w:pPr>
              <w:rPr>
                <w:rFonts w:ascii="宋体" w:hAnsi="宋体" w:cs="宋体"/>
                <w:color w:val="auto"/>
                <w:kern w:val="0"/>
                <w:sz w:val="22"/>
                <w:szCs w:val="20"/>
                <w:highlight w:val="none"/>
              </w:rPr>
            </w:pPr>
          </w:p>
        </w:tc>
        <w:tc>
          <w:tcPr>
            <w:tcW w:w="1797" w:type="pct"/>
            <w:gridSpan w:val="2"/>
            <w:noWrap w:val="0"/>
            <w:vAlign w:val="top"/>
          </w:tcPr>
          <w:p>
            <w:pPr>
              <w:rPr>
                <w:rFonts w:ascii="宋体" w:hAnsi="宋体" w:cs="宋体"/>
                <w:color w:val="auto"/>
                <w:kern w:val="0"/>
                <w:sz w:val="22"/>
                <w:szCs w:val="20"/>
                <w:highlight w:val="none"/>
              </w:rPr>
            </w:pPr>
          </w:p>
        </w:tc>
      </w:tr>
    </w:tbl>
    <w:p>
      <w:pPr>
        <w:tabs>
          <w:tab w:val="left" w:pos="1680"/>
        </w:tabs>
        <w:ind w:firstLine="420"/>
        <w:rPr>
          <w:rFonts w:hint="eastAsia" w:ascii="宋体" w:hAnsi="宋体" w:cs="宋体"/>
          <w:color w:val="auto"/>
          <w:kern w:val="0"/>
          <w:sz w:val="24"/>
          <w:szCs w:val="20"/>
          <w:highlight w:val="none"/>
        </w:rPr>
      </w:pPr>
    </w:p>
    <w:p>
      <w:pPr>
        <w:tabs>
          <w:tab w:val="left" w:pos="1680"/>
        </w:tabs>
        <w:ind w:firstLine="420"/>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（主要人员为拟派往本项目的人员</w:t>
      </w:r>
      <w:r>
        <w:rPr>
          <w:rFonts w:hint="eastAsia" w:ascii="宋体" w:hAnsi="宋体" w:cs="宋体"/>
          <w:color w:val="auto"/>
          <w:kern w:val="0"/>
          <w:sz w:val="24"/>
          <w:szCs w:val="20"/>
          <w:highlight w:val="none"/>
          <w:lang w:eastAsia="zh-CN"/>
        </w:rPr>
        <w:t>，提供身份证、</w:t>
      </w:r>
      <w:r>
        <w:rPr>
          <w:rFonts w:hint="eastAsia" w:ascii="宋体" w:hAnsi="宋体" w:cs="宋体"/>
          <w:color w:val="auto"/>
          <w:kern w:val="0"/>
          <w:sz w:val="24"/>
          <w:szCs w:val="20"/>
          <w:highlight w:val="none"/>
          <w:lang w:val="en-US" w:eastAsia="zh-CN"/>
        </w:rPr>
        <w:t>毕业证、</w:t>
      </w:r>
      <w:r>
        <w:rPr>
          <w:rFonts w:hint="eastAsia" w:ascii="宋体" w:hAnsi="宋体" w:eastAsia="宋体" w:cs="宋体"/>
          <w:b w:val="0"/>
          <w:bCs w:val="0"/>
          <w:i w:val="0"/>
          <w:color w:val="auto"/>
          <w:kern w:val="0"/>
          <w:sz w:val="24"/>
          <w:szCs w:val="24"/>
          <w:highlight w:val="none"/>
          <w:u w:val="none"/>
          <w:lang w:val="en-US" w:eastAsia="zh-CN" w:bidi="ar"/>
        </w:rPr>
        <w:t>资格证书</w:t>
      </w:r>
      <w:r>
        <w:rPr>
          <w:rFonts w:hint="eastAsia" w:ascii="宋体" w:hAnsi="宋体" w:cs="宋体"/>
          <w:color w:val="auto"/>
          <w:kern w:val="0"/>
          <w:sz w:val="24"/>
          <w:szCs w:val="20"/>
          <w:highlight w:val="none"/>
        </w:rPr>
        <w:t>)</w:t>
      </w:r>
    </w:p>
    <w:p>
      <w:pPr>
        <w:tabs>
          <w:tab w:val="left" w:pos="1680"/>
        </w:tabs>
        <w:rPr>
          <w:rFonts w:ascii="宋体" w:hAnsi="宋体" w:cs="宋体"/>
          <w:color w:val="auto"/>
          <w:kern w:val="0"/>
          <w:sz w:val="24"/>
          <w:szCs w:val="20"/>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0"/>
          <w:sz w:val="24"/>
          <w:szCs w:val="24"/>
          <w:highlight w:val="none"/>
          <w:u w:val="single"/>
        </w:rPr>
      </w:pPr>
      <w:r>
        <w:rPr>
          <w:rFonts w:hint="eastAsia" w:ascii="宋体" w:hAnsi="宋体" w:cs="宋体"/>
          <w:color w:val="auto"/>
          <w:kern w:val="0"/>
          <w:sz w:val="24"/>
          <w:szCs w:val="24"/>
          <w:highlight w:val="none"/>
          <w:lang w:eastAsia="zh-CN"/>
        </w:rPr>
        <w:t>供应商名称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盖章</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98" w:firstLineChars="1416"/>
        <w:jc w:val="both"/>
        <w:rPr>
          <w:rFonts w:hint="eastAsia" w:ascii="宋体" w:hAnsi="宋体" w:eastAsia="宋体" w:cs="宋体"/>
          <w:color w:val="auto"/>
          <w:kern w:val="2"/>
          <w:sz w:val="24"/>
          <w:szCs w:val="24"/>
          <w:highlight w:val="none"/>
          <w:lang w:val="en-US" w:eastAsia="zh-CN" w:bidi="ar-SA"/>
        </w:rPr>
      </w:pPr>
    </w:p>
    <w:p>
      <w:pPr>
        <w:ind w:firstLine="3600" w:firstLineChars="15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p>
    <w:p>
      <w:pPr>
        <w:bidi w:val="0"/>
        <w:rPr>
          <w:rFonts w:hint="eastAsia"/>
          <w:highlight w:val="none"/>
          <w:lang w:val="zh-CN"/>
        </w:rPr>
      </w:pPr>
    </w:p>
    <w:p>
      <w:pPr>
        <w:pStyle w:val="51"/>
        <w:spacing w:line="360" w:lineRule="auto"/>
        <w:rPr>
          <w:rFonts w:hint="eastAsia" w:ascii="宋体" w:hAnsi="宋体" w:cs="宋体"/>
          <w:highlight w:val="none"/>
        </w:rPr>
      </w:pPr>
      <w:r>
        <w:rPr>
          <w:rFonts w:hint="eastAsia" w:ascii="宋体" w:hAnsi="宋体" w:eastAsia="宋体" w:cs="宋体"/>
          <w:sz w:val="24"/>
          <w:highlight w:val="none"/>
          <w:lang w:val="zh-CN"/>
        </w:rPr>
        <w:br w:type="page"/>
      </w:r>
    </w:p>
    <w:p>
      <w:pPr>
        <w:pStyle w:val="6"/>
        <w:bidi w:val="0"/>
        <w:jc w:val="center"/>
        <w:rPr>
          <w:rFonts w:hint="eastAsia" w:ascii="宋体" w:hAnsi="宋体" w:eastAsia="宋体" w:cs="宋体"/>
          <w:szCs w:val="32"/>
          <w:highlight w:val="none"/>
        </w:rPr>
      </w:pPr>
      <w:bookmarkStart w:id="445" w:name="_Toc11150"/>
      <w:bookmarkStart w:id="446" w:name="_Toc8563"/>
      <w:bookmarkStart w:id="447" w:name="_Toc6056"/>
      <w:bookmarkStart w:id="448" w:name="_Toc342554740"/>
      <w:bookmarkStart w:id="449" w:name="_Toc31581"/>
      <w:bookmarkStart w:id="450" w:name="_Toc9723"/>
      <w:bookmarkStart w:id="451" w:name="_Toc23591"/>
      <w:bookmarkStart w:id="452" w:name="_Toc9332"/>
      <w:bookmarkStart w:id="453" w:name="_Toc21714"/>
      <w:bookmarkStart w:id="454" w:name="_Toc28892"/>
      <w:r>
        <w:rPr>
          <w:rStyle w:val="46"/>
          <w:rFonts w:hint="eastAsia" w:ascii="宋体" w:hAnsi="宋体" w:eastAsia="宋体" w:cs="宋体"/>
          <w:b/>
          <w:sz w:val="32"/>
          <w:szCs w:val="16"/>
          <w:highlight w:val="none"/>
          <w:lang w:val="en-US" w:eastAsia="zh-CN"/>
        </w:rPr>
        <w:t>八</w:t>
      </w:r>
      <w:r>
        <w:rPr>
          <w:rStyle w:val="46"/>
          <w:rFonts w:hint="eastAsia" w:ascii="宋体" w:hAnsi="宋体" w:eastAsia="宋体" w:cs="宋体"/>
          <w:b/>
          <w:sz w:val="32"/>
          <w:szCs w:val="16"/>
          <w:highlight w:val="none"/>
        </w:rPr>
        <w:t>、供应商拒绝政府采购领域商业贿赂承诺书</w:t>
      </w:r>
      <w:bookmarkEnd w:id="445"/>
      <w:bookmarkEnd w:id="446"/>
      <w:bookmarkEnd w:id="447"/>
      <w:bookmarkEnd w:id="448"/>
      <w:bookmarkEnd w:id="449"/>
      <w:bookmarkEnd w:id="450"/>
      <w:bookmarkEnd w:id="451"/>
      <w:bookmarkEnd w:id="452"/>
      <w:bookmarkEnd w:id="453"/>
      <w:bookmarkEnd w:id="454"/>
    </w:p>
    <w:p>
      <w:pPr>
        <w:pStyle w:val="8"/>
        <w:bidi w:val="0"/>
        <w:jc w:val="center"/>
        <w:rPr>
          <w:rFonts w:hint="eastAsia"/>
          <w:highlight w:val="none"/>
        </w:rPr>
      </w:pPr>
      <w:bookmarkStart w:id="455" w:name="_Toc18023"/>
      <w:bookmarkStart w:id="456" w:name="_Toc27080"/>
      <w:r>
        <w:rPr>
          <w:rFonts w:hint="eastAsia"/>
          <w:highlight w:val="none"/>
        </w:rPr>
        <w:t>承诺书（一）</w:t>
      </w:r>
      <w:bookmarkEnd w:id="455"/>
      <w:bookmarkEnd w:id="456"/>
    </w:p>
    <w:p>
      <w:pPr>
        <w:widowControl/>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为响应党中央、国务院关于治理政府采购领域商业贿赂行为的号召，我单位在此庄严承诺：</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1、在参与政府采购活动中遵纪守法、诚信经营、公平竞标。</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2、不向政府采购人、采购代理机构和政府采购评审专家进行任何形式的商业贿赂以谋取交易机会。</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3、不向政府采购代理机构和采购人提供虚假资质文件或采用虚假应标方式参与政府采购市场竞争并谋取中标、成交。</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4、不采取“围标、陪标”等商业欺诈手段获得政府采购定单。</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5、不采取不正当手段低毁、排挤其他供应商。</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6、不在提供商品和服务时“偷梁换柱、以次充好”损害采购人的合法权益。</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7、不与采购人、采购代理机构政府采购评审专家或其它供应商恶意串通，进行质疑和投诉，维护政府采购市场秩序。</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8、尊重和接受政府采购监督管理部门的监督和政府采购代理机构</w:t>
      </w:r>
      <w:r>
        <w:rPr>
          <w:rFonts w:hint="eastAsia" w:ascii="宋体" w:hAnsi="宋体" w:cs="宋体"/>
          <w:kern w:val="0"/>
          <w:sz w:val="24"/>
          <w:highlight w:val="none"/>
          <w:lang w:eastAsia="zh-CN"/>
        </w:rPr>
        <w:t>竞争性谈判</w:t>
      </w:r>
      <w:r>
        <w:rPr>
          <w:rFonts w:hint="eastAsia" w:ascii="宋体" w:hAnsi="宋体" w:cs="宋体"/>
          <w:kern w:val="0"/>
          <w:sz w:val="24"/>
          <w:highlight w:val="none"/>
        </w:rPr>
        <w:t>采购要求，承担因违约行为给采购人造成的损失。</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9、不发生其他有悖于政府采购公开、公平、公正和诚信原则的行为。</w:t>
      </w:r>
    </w:p>
    <w:p>
      <w:pPr>
        <w:widowControl/>
        <w:spacing w:line="360" w:lineRule="auto"/>
        <w:ind w:firstLine="720" w:firstLineChars="300"/>
        <w:jc w:val="left"/>
        <w:rPr>
          <w:rFonts w:hint="eastAsia" w:ascii="宋体" w:hAnsi="宋体" w:cs="宋体"/>
          <w:kern w:val="0"/>
          <w:sz w:val="24"/>
          <w:highlight w:val="none"/>
        </w:rPr>
      </w:pP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承诺单位：</w:t>
      </w:r>
      <w:r>
        <w:rPr>
          <w:rFonts w:hint="eastAsia" w:ascii="宋体" w:hAnsi="宋体" w:cs="宋体"/>
          <w:kern w:val="0"/>
          <w:sz w:val="24"/>
          <w:highlight w:val="none"/>
          <w:u w:val="single"/>
        </w:rPr>
        <w:t>　　                        　</w:t>
      </w:r>
      <w:r>
        <w:rPr>
          <w:rFonts w:hint="eastAsia" w:ascii="宋体" w:hAnsi="宋体" w:cs="宋体"/>
          <w:kern w:val="0"/>
          <w:sz w:val="24"/>
          <w:highlight w:val="none"/>
        </w:rPr>
        <w:t>（盖章）</w:t>
      </w: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全权代表：</w:t>
      </w:r>
      <w:r>
        <w:rPr>
          <w:rFonts w:hint="eastAsia" w:ascii="宋体" w:hAnsi="宋体" w:cs="宋体"/>
          <w:kern w:val="0"/>
          <w:sz w:val="24"/>
          <w:highlight w:val="none"/>
          <w:u w:val="single"/>
        </w:rPr>
        <w:t>　　　　　     　　　       　</w:t>
      </w:r>
      <w:r>
        <w:rPr>
          <w:rFonts w:hint="eastAsia" w:ascii="宋体" w:hAnsi="宋体" w:cs="宋体"/>
          <w:kern w:val="0"/>
          <w:sz w:val="24"/>
          <w:highlight w:val="none"/>
        </w:rPr>
        <w:t>（签字）</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地　　址：</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邮    编：</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eastAsia="宋体" w:cs="宋体"/>
          <w:kern w:val="0"/>
          <w:sz w:val="24"/>
          <w:highlight w:val="none"/>
          <w:u w:val="single"/>
          <w:lang w:eastAsia="zh-CN"/>
        </w:rPr>
      </w:pPr>
      <w:r>
        <w:rPr>
          <w:rFonts w:hint="eastAsia" w:ascii="宋体" w:hAnsi="宋体" w:cs="宋体"/>
          <w:kern w:val="0"/>
          <w:sz w:val="24"/>
          <w:highlight w:val="none"/>
        </w:rPr>
        <w:t>电　　话：</w:t>
      </w:r>
      <w:r>
        <w:rPr>
          <w:rFonts w:hint="eastAsia" w:ascii="宋体" w:hAnsi="宋体" w:cs="宋体"/>
          <w:kern w:val="0"/>
          <w:sz w:val="24"/>
          <w:highlight w:val="none"/>
          <w:u w:val="single"/>
        </w:rPr>
        <w:t>　　　                　　　　</w:t>
      </w:r>
    </w:p>
    <w:p>
      <w:pPr>
        <w:widowControl/>
        <w:spacing w:line="360" w:lineRule="auto"/>
        <w:ind w:firstLine="720" w:firstLineChars="300"/>
        <w:jc w:val="right"/>
        <w:rPr>
          <w:rFonts w:hint="eastAsia" w:ascii="宋体" w:hAnsi="宋体" w:cs="宋体"/>
          <w:kern w:val="0"/>
          <w:sz w:val="28"/>
          <w:szCs w:val="28"/>
          <w:highlight w:val="none"/>
        </w:rPr>
      </w:pPr>
      <w:r>
        <w:rPr>
          <w:rFonts w:hint="eastAsia" w:ascii="宋体" w:hAnsi="宋体" w:cs="宋体"/>
          <w:kern w:val="0"/>
          <w:sz w:val="24"/>
          <w:highlight w:val="none"/>
        </w:rPr>
        <w:t xml:space="preserve">  年</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月</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w:t>
      </w:r>
    </w:p>
    <w:p>
      <w:pPr>
        <w:pStyle w:val="8"/>
        <w:bidi w:val="0"/>
        <w:jc w:val="center"/>
        <w:rPr>
          <w:rFonts w:hint="eastAsia" w:ascii="宋体" w:hAnsi="宋体" w:cs="宋体"/>
          <w:b/>
          <w:sz w:val="32"/>
          <w:szCs w:val="32"/>
          <w:highlight w:val="none"/>
        </w:rPr>
      </w:pPr>
      <w:r>
        <w:rPr>
          <w:rFonts w:hint="eastAsia" w:ascii="宋体" w:hAnsi="宋体" w:cs="宋体"/>
          <w:b/>
          <w:sz w:val="32"/>
          <w:szCs w:val="32"/>
          <w:highlight w:val="none"/>
        </w:rPr>
        <w:br w:type="page"/>
      </w:r>
      <w:bookmarkStart w:id="457" w:name="_Toc25036"/>
      <w:bookmarkStart w:id="458" w:name="_Toc5155"/>
      <w:r>
        <w:rPr>
          <w:rFonts w:hint="eastAsia" w:ascii="宋体" w:hAnsi="宋体" w:cs="宋体"/>
          <w:b/>
          <w:sz w:val="32"/>
          <w:szCs w:val="32"/>
          <w:highlight w:val="none"/>
        </w:rPr>
        <w:t>承诺书（二）</w:t>
      </w:r>
      <w:bookmarkEnd w:id="457"/>
      <w:bookmarkEnd w:id="458"/>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项目的供应商，本公司承诺：在参加本项目</w:t>
            </w:r>
            <w:r>
              <w:rPr>
                <w:rFonts w:hint="eastAsia" w:ascii="宋体" w:hAnsi="宋体" w:cs="宋体"/>
                <w:sz w:val="24"/>
                <w:highlight w:val="none"/>
                <w:lang w:eastAsia="zh-CN"/>
              </w:rPr>
              <w:t>竞争性谈判</w:t>
            </w:r>
            <w:r>
              <w:rPr>
                <w:rFonts w:hint="eastAsia" w:ascii="宋体" w:hAnsi="宋体" w:cs="宋体"/>
                <w:sz w:val="24"/>
                <w:highlight w:val="none"/>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 xml:space="preserve"> 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8"/>
        <w:bidi w:val="0"/>
        <w:jc w:val="center"/>
        <w:rPr>
          <w:rFonts w:hint="eastAsia"/>
          <w:highlight w:val="none"/>
        </w:rPr>
      </w:pPr>
      <w:bookmarkStart w:id="459" w:name="_Toc4387"/>
      <w:bookmarkStart w:id="460" w:name="_Toc17966"/>
      <w:r>
        <w:rPr>
          <w:rFonts w:hint="eastAsia"/>
          <w:highlight w:val="none"/>
        </w:rPr>
        <w:t>承诺书（三）</w:t>
      </w:r>
      <w:bookmarkEnd w:id="459"/>
      <w:bookmarkEnd w:id="460"/>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项目的供应商，本公司郑重申告并承诺：近三年受到有关行政主管部门的行政处理、不良行为记录为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spacing w:line="360" w:lineRule="auto"/>
        <w:jc w:val="center"/>
        <w:rPr>
          <w:rFonts w:hint="eastAsia" w:ascii="宋体" w:hAnsi="宋体" w:cs="宋体"/>
          <w:b/>
          <w:sz w:val="32"/>
          <w:szCs w:val="32"/>
          <w:highlight w:val="none"/>
        </w:rPr>
      </w:pPr>
    </w:p>
    <w:p>
      <w:pPr>
        <w:pStyle w:val="8"/>
        <w:bidi w:val="0"/>
        <w:jc w:val="center"/>
        <w:rPr>
          <w:rFonts w:hint="eastAsia"/>
          <w:highlight w:val="none"/>
        </w:rPr>
      </w:pPr>
      <w:bookmarkStart w:id="461" w:name="_Toc9958"/>
      <w:bookmarkStart w:id="462" w:name="_Toc3772"/>
      <w:r>
        <w:rPr>
          <w:rFonts w:hint="eastAsia"/>
          <w:highlight w:val="none"/>
        </w:rPr>
        <w:t>承诺书（四）</w:t>
      </w:r>
      <w:bookmarkEnd w:id="461"/>
      <w:bookmarkEnd w:id="462"/>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项目的供应商，本公司郑重申告：近三年因产品供货问题（水货、替代品、次品、翻新品等）的不法行为记录为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本公司承诺：本次</w:t>
            </w:r>
            <w:r>
              <w:rPr>
                <w:rFonts w:hint="eastAsia" w:ascii="宋体" w:hAnsi="宋体" w:cs="宋体"/>
                <w:sz w:val="24"/>
                <w:highlight w:val="none"/>
                <w:lang w:eastAsia="zh-CN"/>
              </w:rPr>
              <w:t>竞争性谈判</w:t>
            </w:r>
            <w:r>
              <w:rPr>
                <w:rFonts w:hint="eastAsia" w:ascii="宋体" w:hAnsi="宋体" w:cs="宋体"/>
                <w:sz w:val="24"/>
                <w:highlight w:val="none"/>
              </w:rPr>
              <w:t>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2"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8"/>
        <w:bidi w:val="0"/>
        <w:jc w:val="center"/>
        <w:rPr>
          <w:rFonts w:hint="eastAsia"/>
          <w:highlight w:val="none"/>
        </w:rPr>
      </w:pPr>
      <w:bookmarkStart w:id="463" w:name="_Toc16802"/>
      <w:bookmarkStart w:id="464" w:name="_Toc649"/>
      <w:r>
        <w:rPr>
          <w:rFonts w:hint="eastAsia"/>
          <w:highlight w:val="none"/>
        </w:rPr>
        <w:t>承诺书（五）</w:t>
      </w:r>
      <w:bookmarkEnd w:id="463"/>
      <w:bookmarkEnd w:id="464"/>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项目的供应商，本公司承诺：参加本次</w:t>
            </w:r>
            <w:r>
              <w:rPr>
                <w:rFonts w:hint="eastAsia" w:ascii="宋体" w:hAnsi="宋体" w:cs="宋体"/>
                <w:sz w:val="24"/>
                <w:highlight w:val="none"/>
                <w:lang w:eastAsia="zh-CN"/>
              </w:rPr>
              <w:t>竞争性谈判</w:t>
            </w:r>
            <w:r>
              <w:rPr>
                <w:rFonts w:hint="eastAsia" w:ascii="宋体" w:hAnsi="宋体" w:cs="宋体"/>
                <w:sz w:val="24"/>
                <w:highlight w:val="none"/>
              </w:rPr>
              <w:t>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autoSpaceDE w:val="0"/>
        <w:autoSpaceDN w:val="0"/>
        <w:adjustRightInd w:val="0"/>
        <w:spacing w:line="360" w:lineRule="auto"/>
        <w:rPr>
          <w:rFonts w:hint="eastAsia" w:ascii="宋体" w:hAnsi="宋体" w:cs="宋体"/>
          <w:highlight w:val="none"/>
        </w:rPr>
        <w:sectPr>
          <w:footerReference r:id="rId4" w:type="default"/>
          <w:pgSz w:w="11906" w:h="16838"/>
          <w:pgMar w:top="1440" w:right="1080" w:bottom="1440" w:left="1080" w:header="851" w:footer="992" w:gutter="0"/>
          <w:pgNumType w:fmt="decimal" w:start="1"/>
          <w:cols w:space="720" w:num="1"/>
          <w:docGrid w:type="lines" w:linePitch="312" w:charSpace="0"/>
        </w:sectPr>
      </w:pPr>
    </w:p>
    <w:p>
      <w:pPr>
        <w:pStyle w:val="6"/>
        <w:spacing w:before="0" w:after="0" w:line="360" w:lineRule="auto"/>
        <w:jc w:val="center"/>
        <w:rPr>
          <w:rFonts w:hint="eastAsia" w:ascii="宋体" w:hAnsi="宋体" w:eastAsia="宋体" w:cs="宋体"/>
          <w:highlight w:val="none"/>
          <w:u w:val="single"/>
        </w:rPr>
      </w:pPr>
      <w:bookmarkStart w:id="465" w:name="_Toc28921"/>
      <w:bookmarkStart w:id="466" w:name="_Toc22665"/>
      <w:bookmarkStart w:id="467" w:name="_Toc30564"/>
      <w:bookmarkStart w:id="468" w:name="_Toc12167"/>
      <w:bookmarkStart w:id="469" w:name="_Toc224"/>
      <w:bookmarkStart w:id="470" w:name="_Toc5748"/>
      <w:bookmarkStart w:id="471" w:name="_Toc23940"/>
      <w:bookmarkStart w:id="472" w:name="_Toc29447"/>
      <w:bookmarkStart w:id="473" w:name="_Toc28693"/>
      <w:bookmarkStart w:id="474" w:name="_Toc2656"/>
      <w:bookmarkStart w:id="475" w:name="_Toc5255"/>
      <w:r>
        <w:rPr>
          <w:rFonts w:hint="eastAsia" w:ascii="宋体" w:hAnsi="宋体" w:eastAsia="宋体" w:cs="宋体"/>
          <w:highlight w:val="none"/>
          <w:lang w:val="en-US" w:eastAsia="zh-CN"/>
        </w:rPr>
        <w:t>九</w:t>
      </w:r>
      <w:r>
        <w:rPr>
          <w:rFonts w:hint="eastAsia" w:ascii="宋体" w:hAnsi="宋体" w:eastAsia="宋体" w:cs="宋体"/>
          <w:highlight w:val="none"/>
        </w:rPr>
        <w:t>、</w:t>
      </w:r>
      <w:bookmarkEnd w:id="404"/>
      <w:bookmarkEnd w:id="465"/>
      <w:bookmarkEnd w:id="466"/>
      <w:bookmarkEnd w:id="467"/>
      <w:bookmarkEnd w:id="468"/>
      <w:r>
        <w:rPr>
          <w:rFonts w:hint="eastAsia" w:ascii="宋体" w:hAnsi="宋体" w:eastAsia="宋体" w:cs="宋体"/>
          <w:highlight w:val="none"/>
        </w:rPr>
        <w:t>服务承诺</w:t>
      </w:r>
      <w:bookmarkEnd w:id="469"/>
      <w:bookmarkEnd w:id="470"/>
      <w:bookmarkEnd w:id="471"/>
      <w:bookmarkEnd w:id="472"/>
      <w:bookmarkEnd w:id="473"/>
      <w:bookmarkEnd w:id="474"/>
      <w:bookmarkEnd w:id="475"/>
    </w:p>
    <w:p>
      <w:pPr>
        <w:spacing w:line="360" w:lineRule="auto"/>
        <w:rPr>
          <w:rFonts w:hint="eastAsia" w:ascii="宋体" w:hAnsi="宋体" w:cs="宋体"/>
          <w:highlight w:val="none"/>
        </w:rPr>
      </w:pPr>
      <w:r>
        <w:rPr>
          <w:rFonts w:hint="eastAsia" w:ascii="宋体" w:hAnsi="宋体" w:cs="宋体"/>
          <w:sz w:val="24"/>
          <w:szCs w:val="24"/>
          <w:highlight w:val="none"/>
        </w:rPr>
        <w:t>致：</w:t>
      </w:r>
      <w:r>
        <w:rPr>
          <w:rFonts w:hint="eastAsia" w:ascii="宋体" w:hAnsi="宋体" w:cs="宋体"/>
          <w:sz w:val="24"/>
          <w:highlight w:val="none"/>
          <w:u w:val="single"/>
        </w:rPr>
        <w:t xml:space="preserve">    （采购人）    </w:t>
      </w:r>
    </w:p>
    <w:p>
      <w:pPr>
        <w:spacing w:line="360" w:lineRule="auto"/>
        <w:ind w:firstLine="480" w:firstLineChars="200"/>
        <w:rPr>
          <w:rFonts w:hint="eastAsia" w:ascii="宋体" w:hAnsi="宋体" w:cs="宋体"/>
          <w:sz w:val="24"/>
          <w:highlight w:val="none"/>
        </w:rPr>
      </w:pPr>
      <w:bookmarkStart w:id="476" w:name="_Toc86547257"/>
      <w:bookmarkStart w:id="477" w:name="_Toc86117413"/>
      <w:r>
        <w:rPr>
          <w:rFonts w:hint="eastAsia" w:ascii="宋体" w:hAnsi="宋体" w:cs="宋体"/>
          <w:sz w:val="24"/>
          <w:highlight w:val="none"/>
        </w:rPr>
        <w:t>我公司对参加此次“</w:t>
      </w:r>
      <w:r>
        <w:rPr>
          <w:rFonts w:hint="eastAsia" w:ascii="宋体" w:hAnsi="宋体" w:cs="宋体"/>
          <w:sz w:val="24"/>
          <w:highlight w:val="none"/>
          <w:u w:val="single"/>
        </w:rPr>
        <w:t xml:space="preserve">                                  </w:t>
      </w:r>
      <w:r>
        <w:rPr>
          <w:rFonts w:hint="eastAsia" w:ascii="宋体" w:hAnsi="宋体" w:cs="宋体"/>
          <w:sz w:val="24"/>
          <w:highlight w:val="none"/>
        </w:rPr>
        <w:t>项目”所提供的服务做如下承诺：</w:t>
      </w:r>
      <w:bookmarkEnd w:id="476"/>
      <w:bookmarkEnd w:id="477"/>
    </w:p>
    <w:p>
      <w:pPr>
        <w:spacing w:line="360" w:lineRule="auto"/>
        <w:rPr>
          <w:rFonts w:hint="eastAsia" w:ascii="宋体" w:hAnsi="宋体" w:cs="宋体"/>
          <w:highlight w:val="none"/>
        </w:rPr>
      </w:pPr>
      <w:bookmarkStart w:id="478" w:name="_Toc86547258"/>
      <w:bookmarkStart w:id="479" w:name="_Toc86117414"/>
      <w:r>
        <w:rPr>
          <w:rFonts w:hint="eastAsia" w:ascii="宋体" w:hAnsi="宋体" w:cs="宋体"/>
          <w:sz w:val="24"/>
          <w:highlight w:val="none"/>
        </w:rPr>
        <w:t>（承诺内容）</w:t>
      </w:r>
      <w:bookmarkEnd w:id="478"/>
      <w:bookmarkEnd w:id="479"/>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jc w:val="right"/>
        <w:rPr>
          <w:rFonts w:hint="eastAsia" w:ascii="宋体" w:hAnsi="宋体" w:cs="宋体"/>
          <w:sz w:val="24"/>
          <w:highlight w:val="none"/>
        </w:rPr>
      </w:pPr>
    </w:p>
    <w:p>
      <w:pPr>
        <w:rPr>
          <w:rFonts w:hint="eastAsia" w:ascii="宋体" w:hAnsi="宋体" w:cs="宋体"/>
          <w:sz w:val="32"/>
          <w:szCs w:val="16"/>
          <w:highlight w:val="none"/>
          <w:lang w:val="en-US" w:eastAsia="zh-CN"/>
        </w:rPr>
      </w:pPr>
      <w:bookmarkStart w:id="480" w:name="_Toc6475"/>
      <w:bookmarkStart w:id="481" w:name="_Toc3173"/>
      <w:bookmarkStart w:id="482" w:name="_Toc6737"/>
      <w:bookmarkStart w:id="483" w:name="_Toc1084"/>
      <w:bookmarkStart w:id="484" w:name="_Toc5582"/>
      <w:bookmarkStart w:id="485" w:name="_Toc9630"/>
      <w:r>
        <w:rPr>
          <w:rFonts w:hint="eastAsia" w:ascii="宋体" w:hAnsi="宋体" w:cs="宋体"/>
          <w:sz w:val="32"/>
          <w:szCs w:val="16"/>
          <w:highlight w:val="none"/>
          <w:lang w:val="en-US" w:eastAsia="zh-CN"/>
        </w:rPr>
        <w:br w:type="page"/>
      </w:r>
    </w:p>
    <w:bookmarkEnd w:id="480"/>
    <w:bookmarkEnd w:id="481"/>
    <w:bookmarkEnd w:id="482"/>
    <w:bookmarkEnd w:id="483"/>
    <w:bookmarkEnd w:id="484"/>
    <w:bookmarkEnd w:id="485"/>
    <w:p>
      <w:pPr>
        <w:pStyle w:val="6"/>
        <w:spacing w:before="0" w:after="0" w:line="360" w:lineRule="auto"/>
        <w:jc w:val="center"/>
        <w:rPr>
          <w:rFonts w:hint="eastAsia" w:ascii="宋体" w:hAnsi="宋体" w:eastAsia="宋体" w:cs="宋体"/>
          <w:highlight w:val="none"/>
        </w:rPr>
      </w:pPr>
      <w:bookmarkStart w:id="486" w:name="_Toc10386"/>
      <w:bookmarkStart w:id="487" w:name="_Toc21979"/>
      <w:bookmarkStart w:id="488" w:name="_Toc18636"/>
      <w:r>
        <w:rPr>
          <w:rFonts w:hint="eastAsia" w:ascii="宋体" w:hAnsi="宋体" w:eastAsia="宋体" w:cs="宋体"/>
          <w:highlight w:val="none"/>
          <w:lang w:val="en-US" w:eastAsia="zh-CN"/>
        </w:rPr>
        <w:t>十</w:t>
      </w:r>
      <w:r>
        <w:rPr>
          <w:rFonts w:hint="eastAsia" w:ascii="宋体" w:hAnsi="宋体" w:eastAsia="宋体" w:cs="宋体"/>
          <w:highlight w:val="none"/>
        </w:rPr>
        <w:t xml:space="preserve"> 供应商性质</w:t>
      </w:r>
      <w:bookmarkEnd w:id="486"/>
      <w:bookmarkEnd w:id="487"/>
      <w:bookmarkEnd w:id="488"/>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为小</w:t>
      </w:r>
      <w:r>
        <w:rPr>
          <w:rFonts w:hint="eastAsia" w:ascii="宋体" w:hAnsi="宋体" w:eastAsia="宋体" w:cs="宋体"/>
          <w:snapToGrid w:val="0"/>
          <w:color w:val="auto"/>
          <w:kern w:val="0"/>
          <w:sz w:val="24"/>
          <w:szCs w:val="24"/>
          <w:highlight w:val="none"/>
          <w:lang w:val="en-US" w:eastAsia="zh-CN"/>
        </w:rPr>
        <w:t>微</w:t>
      </w:r>
      <w:r>
        <w:rPr>
          <w:rFonts w:hint="eastAsia" w:ascii="宋体" w:hAnsi="宋体" w:eastAsia="宋体" w:cs="宋体"/>
          <w:snapToGrid w:val="0"/>
          <w:color w:val="auto"/>
          <w:kern w:val="0"/>
          <w:sz w:val="24"/>
          <w:szCs w:val="24"/>
          <w:highlight w:val="none"/>
        </w:rPr>
        <w:t>企业或残疾人福利性单位的，应按下文给定格式填写声明函。未提供或未按给定格式提供声明函的，将不能享受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特别提醒：仅当服务商属于小微企业、或残疾人福利性单位、或监狱企业时才需填写相应的声明函/证明函，否则应当将其留空。</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性质将随成交公告一同公布，接受社会监督。</w:t>
      </w:r>
    </w:p>
    <w:p>
      <w:pPr>
        <w:rPr>
          <w:rFonts w:hint="eastAsia"/>
          <w:highlight w:val="none"/>
          <w:lang w:val="en-US" w:eastAsia="zh-CN"/>
        </w:rPr>
      </w:pPr>
      <w:r>
        <w:rPr>
          <w:rFonts w:hint="eastAsia"/>
          <w:highlight w:val="none"/>
          <w:lang w:val="en-US" w:eastAsia="zh-CN"/>
        </w:rPr>
        <w:br w:type="page"/>
      </w:r>
    </w:p>
    <w:p>
      <w:pPr>
        <w:widowControl/>
        <w:shd w:val="clear"/>
        <w:kinsoku/>
        <w:autoSpaceDE/>
        <w:autoSpaceDN/>
        <w:bidi w:val="0"/>
        <w:adjustRightInd/>
        <w:snapToGrid/>
        <w:spacing w:before="0" w:beforeLines="100" w:beforeAutospacing="0" w:after="0" w:afterLines="100" w:afterAutospacing="0" w:line="240" w:lineRule="auto"/>
        <w:jc w:val="center"/>
        <w:textAlignment w:val="baseline"/>
        <w:rPr>
          <w:rFonts w:hint="eastAsia" w:ascii="Times New Roman" w:hAnsi="Times New Roman" w:eastAsia="宋体" w:cs="黑体"/>
          <w:b/>
          <w:bCs/>
          <w:snapToGrid/>
          <w:color w:val="auto"/>
          <w:kern w:val="2"/>
          <w:sz w:val="40"/>
          <w:szCs w:val="36"/>
          <w:highlight w:val="none"/>
          <w:lang w:val="en-US" w:eastAsia="zh-CN" w:bidi="ar-SA"/>
        </w:rPr>
      </w:pPr>
      <w:r>
        <w:rPr>
          <w:rFonts w:hint="eastAsia" w:ascii="Times New Roman" w:hAnsi="Times New Roman" w:eastAsia="宋体" w:cs="黑体"/>
          <w:b/>
          <w:bCs/>
          <w:snapToGrid/>
          <w:color w:val="auto"/>
          <w:kern w:val="2"/>
          <w:sz w:val="40"/>
          <w:szCs w:val="36"/>
          <w:highlight w:val="none"/>
          <w:lang w:val="en-US" w:eastAsia="zh-CN" w:bidi="ar-SA"/>
        </w:rPr>
        <w:t>中小企业声明函</w:t>
      </w:r>
    </w:p>
    <w:p>
      <w:pPr>
        <w:keepNext w:val="0"/>
        <w:keepLines w:val="0"/>
        <w:pageBreakBefore w:val="0"/>
        <w:widowControl w:val="0"/>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本公司（联合体）郑重声明，根据《政府采购促进中小企业发展管理办法》（财库</w:t>
      </w:r>
      <w:r>
        <w:rPr>
          <w:rFonts w:hint="eastAsia" w:ascii="宋体" w:hAnsi="Times New Roman" w:eastAsia="宋体" w:cs="Times New Roman"/>
          <w:i w:val="0"/>
          <w:iCs w:val="0"/>
          <w:snapToGrid w:val="0"/>
          <w:color w:val="000000"/>
          <w:spacing w:val="0"/>
          <w:kern w:val="2"/>
          <w:sz w:val="24"/>
          <w:szCs w:val="24"/>
          <w:highlight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lang w:val="en-US" w:eastAsia="zh-CN" w:bidi="ar-SA"/>
        </w:rPr>
        <w:t>2020</w:t>
      </w:r>
      <w:r>
        <w:rPr>
          <w:rFonts w:hint="eastAsia" w:ascii="宋体" w:hAnsi="Times New Roman" w:eastAsia="宋体" w:cs="Times New Roman"/>
          <w:i w:val="0"/>
          <w:iCs w:val="0"/>
          <w:snapToGrid w:val="0"/>
          <w:color w:val="000000"/>
          <w:spacing w:val="0"/>
          <w:kern w:val="2"/>
          <w:sz w:val="24"/>
          <w:szCs w:val="24"/>
          <w:highlight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lang w:val="en-US" w:eastAsia="zh-CN" w:bidi="ar-SA"/>
        </w:rPr>
        <w:t>46号）的规定，本公司（联合体）参加</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（单位名称）</w:t>
      </w:r>
      <w:r>
        <w:rPr>
          <w:rFonts w:ascii="Times New Roman" w:hAnsi="Times New Roman" w:eastAsia="宋体" w:cs="Times New Roman"/>
          <w:i w:val="0"/>
          <w:iCs w:val="0"/>
          <w:snapToGrid w:val="0"/>
          <w:color w:val="000000"/>
          <w:spacing w:val="0"/>
          <w:kern w:val="2"/>
          <w:sz w:val="24"/>
          <w:szCs w:val="24"/>
          <w:highlight w:val="none"/>
          <w:lang w:val="en-US" w:eastAsia="zh-CN" w:bidi="ar-SA"/>
        </w:rPr>
        <w:t>的</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（项目名称）</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w w:val="99"/>
          <w:kern w:val="2"/>
          <w:sz w:val="24"/>
          <w:szCs w:val="24"/>
          <w:highlight w:val="none"/>
          <w:lang w:val="en-US" w:eastAsia="zh-CN" w:bidi="ar-SA"/>
        </w:rPr>
      </w:pP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（标的名称）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仿宋" w:hAnsi="仿宋" w:eastAsia="宋体" w:cs="仿宋"/>
          <w:i w:val="0"/>
          <w:iCs w:val="0"/>
          <w:snapToGrid w:val="0"/>
          <w:color w:val="000000"/>
          <w:spacing w:val="0"/>
          <w:kern w:val="2"/>
          <w:sz w:val="24"/>
          <w:szCs w:val="24"/>
          <w:highlight w:val="none"/>
          <w:u w:val="none"/>
          <w:lang w:val="zh-CN" w:eastAsia="zh-CN" w:bidi="zh-CN"/>
        </w:rPr>
        <w:t>属于</w:t>
      </w:r>
      <w:r>
        <w:rPr>
          <w:rFonts w:ascii="Times New Roman" w:hAnsi="Times New Roman" w:eastAsia="宋体" w:cs="Times New Roman"/>
          <w:i w:val="0"/>
          <w:iCs w:val="0"/>
          <w:snapToGrid w:val="0"/>
          <w:color w:val="000000"/>
          <w:spacing w:val="0"/>
          <w:w w:val="96"/>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采购文件中明确的所属行业）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承建（承接）企业为</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（企业名称）</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，从业人员</w:t>
      </w:r>
      <w:r>
        <w:rPr>
          <w:rFonts w:ascii="Times New Roman" w:hAnsi="Times New Roman" w:eastAsia="宋体" w:cs="Times New Roman"/>
          <w:i w:val="0"/>
          <w:iCs w:val="0"/>
          <w:snapToGrid w:val="0"/>
          <w:color w:val="000000"/>
          <w:spacing w:val="0"/>
          <w:w w:val="99"/>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w w:val="99"/>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人，</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营业</w:t>
      </w:r>
      <w:r>
        <w:rPr>
          <w:rFonts w:ascii="Times New Roman" w:hAnsi="Times New Roman" w:eastAsia="宋体" w:cs="Times New Roman"/>
          <w:i w:val="0"/>
          <w:iCs w:val="0"/>
          <w:snapToGrid w:val="0"/>
          <w:color w:val="000000"/>
          <w:spacing w:val="0"/>
          <w:kern w:val="2"/>
          <w:sz w:val="24"/>
          <w:szCs w:val="24"/>
          <w:highlight w:val="none"/>
          <w:lang w:val="en-US" w:eastAsia="zh-CN" w:bidi="ar-SA"/>
        </w:rPr>
        <w:t>收入为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万元，资产总额为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万元，属于</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（中型企业、</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小型企业、微型企业）</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u w:val="none"/>
          <w:lang w:val="en-US" w:eastAsia="zh-CN" w:bidi="ar-SA"/>
        </w:rPr>
      </w:pP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（标的名称）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属于</w:t>
      </w:r>
      <w:r>
        <w:rPr>
          <w:rFonts w:ascii="Times New Roman" w:hAnsi="Times New Roman" w:eastAsia="宋体" w:cs="Times New Roman"/>
          <w:i w:val="0"/>
          <w:iCs w:val="0"/>
          <w:snapToGrid w:val="0"/>
          <w:color w:val="000000"/>
          <w:spacing w:val="0"/>
          <w:w w:val="96"/>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采购文件中明确的所属行业）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承建（承接）企业为</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（企业名称）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从业人员</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人</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营业收入为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万元，资产总额为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万元，属于</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（中型企业、</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小型企业、微型企业）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960" w:firstLineChars="40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5"/>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本企业对上述声明内容的真实性负责。如有虚假，将依法承担相应责任。</w:t>
      </w: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r>
        <w:rPr>
          <w:rFonts w:ascii="Times New Roman" w:hAnsi="Times New Roman" w:eastAsia="宋体" w:cs="Times New Roman"/>
          <w:i w:val="0"/>
          <w:iCs w:val="0"/>
          <w:snapToGrid/>
          <w:color w:val="000000"/>
          <w:spacing w:val="0"/>
          <w:w w:val="99"/>
          <w:kern w:val="2"/>
          <w:sz w:val="24"/>
          <w:szCs w:val="24"/>
          <w:highlight w:val="none"/>
          <w:lang w:val="en-US" w:eastAsia="zh-CN" w:bidi="ar-SA"/>
        </w:rPr>
        <w:t>企业名称（盖章）：</w:t>
      </w:r>
    </w:p>
    <w:p>
      <w:pPr>
        <w:widowControl w:val="0"/>
        <w:kinsoku/>
        <w:autoSpaceDE/>
        <w:autoSpaceDN/>
        <w:adjustRightInd/>
        <w:snapToGrid/>
        <w:spacing w:line="360" w:lineRule="auto"/>
        <w:jc w:val="both"/>
        <w:textAlignment w:val="auto"/>
        <w:rPr>
          <w:rFonts w:hint="eastAsia" w:ascii="宋体" w:hAnsi="宋体" w:eastAsia="宋体" w:cs="宋体"/>
          <w:b/>
          <w:snapToGrid/>
          <w:color w:val="000000"/>
          <w:kern w:val="2"/>
          <w:sz w:val="24"/>
          <w:highlight w:val="none"/>
          <w:lang w:val="en-US" w:eastAsia="zh-CN" w:bidi="ar-SA"/>
        </w:rPr>
      </w:pPr>
      <w:r>
        <w:rPr>
          <w:rFonts w:ascii="Times New Roman" w:hAnsi="Times New Roman" w:eastAsia="宋体" w:cs="Times New Roman"/>
          <w:i w:val="0"/>
          <w:iCs w:val="0"/>
          <w:snapToGrid/>
          <w:color w:val="000000"/>
          <w:spacing w:val="0"/>
          <w:kern w:val="2"/>
          <w:sz w:val="24"/>
          <w:szCs w:val="24"/>
          <w:highlight w:val="none"/>
          <w:lang w:val="en-US" w:eastAsia="zh-CN" w:bidi="ar-SA"/>
        </w:rPr>
        <w:t>日期</w:t>
      </w: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kern w:val="0"/>
          <w:sz w:val="32"/>
          <w:szCs w:val="32"/>
          <w:highlight w:val="none"/>
          <w:lang w:val="zh-CN"/>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kern w:val="0"/>
          <w:sz w:val="32"/>
          <w:szCs w:val="32"/>
          <w:highlight w:val="none"/>
          <w:lang w:val="zh-CN"/>
        </w:rPr>
      </w:pPr>
    </w:p>
    <w:p>
      <w:pPr>
        <w:widowControl/>
        <w:kinsoku w:val="0"/>
        <w:autoSpaceDE w:val="0"/>
        <w:autoSpaceDN w:val="0"/>
        <w:bidi w:val="0"/>
        <w:adjustRightInd w:val="0"/>
        <w:snapToGrid w:val="0"/>
        <w:spacing w:before="0" w:beforeLines="125" w:beforeAutospacing="0" w:after="0" w:afterLines="125" w:afterAutospacing="0" w:line="240" w:lineRule="auto"/>
        <w:jc w:val="both"/>
        <w:textAlignment w:val="baseline"/>
        <w:rPr>
          <w:rFonts w:hint="eastAsia" w:ascii="宋体" w:hAnsi="宋体" w:eastAsia="宋体" w:cs="宋体"/>
          <w:b/>
          <w:snapToGrid w:val="0"/>
          <w:color w:val="auto"/>
          <w:kern w:val="0"/>
          <w:sz w:val="32"/>
          <w:szCs w:val="32"/>
          <w:highlight w:val="none"/>
          <w:lang w:val="zh-CN"/>
        </w:rPr>
      </w:pPr>
    </w:p>
    <w:p>
      <w:pPr>
        <w:keepNext w:val="0"/>
        <w:keepLines w:val="0"/>
        <w:widowControl/>
        <w:suppressLineNumbers w:val="0"/>
        <w:kinsoku w:val="0"/>
        <w:autoSpaceDE w:val="0"/>
        <w:autoSpaceDN w:val="0"/>
        <w:adjustRightInd w:val="0"/>
        <w:snapToGrid w:val="0"/>
        <w:spacing w:line="240" w:lineRule="auto"/>
        <w:jc w:val="left"/>
        <w:textAlignment w:val="baseline"/>
        <w:rPr>
          <w:rFonts w:ascii="Arial" w:hAnsi="Arial" w:eastAsia="Arial" w:cs="Arial"/>
          <w:snapToGrid w:val="0"/>
          <w:color w:val="000000"/>
          <w:kern w:val="0"/>
          <w:highlight w:val="none"/>
        </w:rPr>
      </w:pPr>
      <w:r>
        <w:rPr>
          <w:rFonts w:hint="default" w:ascii="Times New Roman" w:hAnsi="Times New Roman" w:eastAsia="宋体" w:cs="Times New Roman"/>
          <w:snapToGrid w:val="0"/>
          <w:color w:val="000000"/>
          <w:kern w:val="0"/>
          <w:sz w:val="11"/>
          <w:szCs w:val="11"/>
          <w:highlight w:val="none"/>
          <w:lang w:val="en-US" w:eastAsia="zh-CN" w:bidi="ar"/>
        </w:rPr>
        <w:t>1</w:t>
      </w:r>
      <w:r>
        <w:rPr>
          <w:rFonts w:hint="eastAsia" w:ascii="宋体" w:hAnsi="宋体" w:eastAsia="宋体" w:cs="宋体"/>
          <w:snapToGrid w:val="0"/>
          <w:color w:val="000000"/>
          <w:kern w:val="0"/>
          <w:sz w:val="18"/>
          <w:szCs w:val="18"/>
          <w:highlight w:val="none"/>
          <w:lang w:val="en-US" w:eastAsia="zh-CN" w:bidi="ar"/>
        </w:rPr>
        <w:t>从业人员、营业收入、资产总额填报上一年度数据，无上一年度数据的新成立企业可不填报。</w:t>
      </w: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bCs/>
          <w:snapToGrid/>
          <w:color w:val="000000"/>
          <w:spacing w:val="6"/>
          <w:kern w:val="2"/>
          <w:sz w:val="24"/>
          <w:szCs w:val="24"/>
          <w:highlight w:val="none"/>
          <w:lang w:val="en-US" w:eastAsia="zh-CN" w:bidi="ar-SA"/>
        </w:rPr>
      </w:pPr>
      <w:r>
        <w:rPr>
          <w:rFonts w:hint="eastAsia" w:ascii="宋体" w:hAnsi="宋体" w:eastAsia="宋体" w:cs="宋体"/>
          <w:b/>
          <w:snapToGrid w:val="0"/>
          <w:color w:val="auto"/>
          <w:kern w:val="0"/>
          <w:sz w:val="32"/>
          <w:szCs w:val="32"/>
          <w:highlight w:val="none"/>
          <w:lang w:val="zh-CN"/>
        </w:rPr>
        <w:br w:type="page"/>
      </w:r>
      <w:r>
        <w:rPr>
          <w:rFonts w:hint="eastAsia" w:ascii="宋体" w:hAnsi="宋体" w:eastAsia="宋体" w:cs="宋体"/>
          <w:b/>
          <w:snapToGrid w:val="0"/>
          <w:color w:val="auto"/>
          <w:spacing w:val="0"/>
          <w:kern w:val="0"/>
          <w:sz w:val="32"/>
          <w:szCs w:val="32"/>
          <w:highlight w:val="none"/>
          <w:shd w:val="pct10" w:color="auto" w:fill="FFFFFF"/>
          <w:lang w:val="en-US" w:eastAsia="zh-CN"/>
        </w:rPr>
        <w:t>残疾人福利性单位声明函</w:t>
      </w:r>
      <w:r>
        <w:rPr>
          <w:rFonts w:hint="default" w:ascii="宋体" w:hAnsi="宋体" w:eastAsia="宋体" w:cs="宋体"/>
          <w:b/>
          <w:snapToGrid w:val="0"/>
          <w:color w:val="auto"/>
          <w:spacing w:val="0"/>
          <w:kern w:val="0"/>
          <w:sz w:val="32"/>
          <w:szCs w:val="32"/>
          <w:highlight w:val="none"/>
          <w:shd w:val="pct10" w:color="auto" w:fill="FFFFFF"/>
          <w:lang w:val="en-US" w:eastAsia="zh-CN"/>
        </w:rPr>
        <w:t xml:space="preserve"> </w:t>
      </w:r>
      <w:r>
        <w:rPr>
          <w:rFonts w:hint="eastAsia" w:ascii="宋体" w:hAnsi="宋体" w:eastAsia="宋体" w:cs="宋体"/>
          <w:b/>
          <w:snapToGrid w:val="0"/>
          <w:color w:val="auto"/>
          <w:spacing w:val="0"/>
          <w:kern w:val="0"/>
          <w:sz w:val="32"/>
          <w:szCs w:val="32"/>
          <w:highlight w:val="none"/>
          <w:shd w:val="pct10" w:color="auto" w:fill="FFFFFF"/>
          <w:lang w:val="en-US" w:eastAsia="zh-CN"/>
        </w:rPr>
        <w:t>(非残疾人福利企业不填写)</w:t>
      </w:r>
    </w:p>
    <w:p>
      <w:pPr>
        <w:widowControl w:val="0"/>
        <w:kinsoku/>
        <w:autoSpaceDE/>
        <w:autoSpaceDN/>
        <w:adjustRightInd/>
        <w:snapToGrid/>
        <w:spacing w:beforeAutospacing="0"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本单位郑重声明，根据《财政部 民政部 中国残疾人联合会关于促进残疾人就业政府采购政策的通知》（财库</w:t>
      </w:r>
      <w:r>
        <w:rPr>
          <w:rFonts w:hint="eastAsia" w:ascii="宋体" w:hAnsi="宋体" w:eastAsia="宋体" w:cs="宋体"/>
          <w:snapToGrid/>
          <w:color w:val="000000"/>
          <w:kern w:val="2"/>
          <w:sz w:val="24"/>
          <w:szCs w:val="24"/>
          <w:highlight w:val="none"/>
          <w:lang w:val="en-US" w:eastAsia="zh-CN" w:bidi="ar-SA"/>
        </w:rPr>
        <w:t>〔2017〕141</w:t>
      </w:r>
      <w:r>
        <w:rPr>
          <w:rFonts w:hint="eastAsia" w:ascii="宋体" w:hAnsi="宋体" w:eastAsia="宋体" w:cs="宋体"/>
          <w:snapToGrid/>
          <w:color w:val="000000"/>
          <w:spacing w:val="6"/>
          <w:kern w:val="2"/>
          <w:sz w:val="24"/>
          <w:szCs w:val="24"/>
          <w:highlight w:val="none"/>
          <w:lang w:val="en-US" w:eastAsia="zh-CN" w:bidi="ar-SA"/>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本单位对上述声明的真实性负责。如有虚假，将依法承担相应责任。</w:t>
      </w: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p>
    <w:p>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 xml:space="preserve">               单位名称（盖章）：</w:t>
      </w:r>
    </w:p>
    <w:p>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 xml:space="preserve">       日  期：</w:t>
      </w:r>
    </w:p>
    <w:p>
      <w:pPr>
        <w:widowControl w:val="0"/>
        <w:ind w:left="420" w:leftChars="200" w:firstLine="480" w:firstLineChars="200"/>
        <w:jc w:val="both"/>
        <w:rPr>
          <w:rFonts w:hint="eastAsia" w:ascii="宋体" w:hAnsi="Times New Roman" w:eastAsia="宋体" w:cs="Times New Roman"/>
          <w:sz w:val="24"/>
          <w:highlight w:val="none"/>
          <w:lang w:val="zh-CN" w:eastAsia="zh-CN" w:bidi="ar-SA"/>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bookmarkStart w:id="489" w:name="_Toc873"/>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Times New Roman" w:hAnsi="Times New Roman" w:eastAsia="宋体" w:cs="Times New Roman"/>
          <w:bCs/>
          <w:snapToGrid/>
          <w:color w:val="000000"/>
          <w:kern w:val="2"/>
          <w:sz w:val="32"/>
          <w:szCs w:val="32"/>
          <w:highlight w:val="none"/>
          <w:lang w:val="en-US" w:eastAsia="zh-CN" w:bidi="ar-SA"/>
        </w:rPr>
      </w:pPr>
      <w:r>
        <w:rPr>
          <w:rFonts w:hint="eastAsia" w:ascii="宋体" w:hAnsi="宋体" w:eastAsia="宋体" w:cs="宋体"/>
          <w:b/>
          <w:snapToGrid w:val="0"/>
          <w:color w:val="auto"/>
          <w:spacing w:val="0"/>
          <w:kern w:val="0"/>
          <w:sz w:val="32"/>
          <w:szCs w:val="32"/>
          <w:highlight w:val="none"/>
          <w:shd w:val="pct10" w:color="auto" w:fill="FFFFFF"/>
        </w:rPr>
        <w:br w:type="page"/>
      </w:r>
      <w:bookmarkEnd w:id="489"/>
      <w:r>
        <w:rPr>
          <w:rFonts w:hint="eastAsia" w:ascii="宋体" w:hAnsi="宋体" w:eastAsia="宋体" w:cs="宋体"/>
          <w:b/>
          <w:snapToGrid w:val="0"/>
          <w:color w:val="auto"/>
          <w:spacing w:val="0"/>
          <w:kern w:val="0"/>
          <w:sz w:val="32"/>
          <w:szCs w:val="32"/>
          <w:highlight w:val="none"/>
          <w:shd w:val="pct10" w:color="auto" w:fill="FFFFFF"/>
          <w:lang w:val="en-US" w:eastAsia="zh-CN"/>
        </w:rPr>
        <w:t>监狱、戒毒企业声明函 (非监狱、戒毒企业不填写)</w:t>
      </w:r>
    </w:p>
    <w:p>
      <w:pPr>
        <w:widowControl w:val="0"/>
        <w:kinsoku/>
        <w:autoSpaceDE/>
        <w:autoSpaceDN/>
        <w:adjustRightInd/>
        <w:snapToGrid/>
        <w:spacing w:before="260" w:line="375" w:lineRule="auto"/>
        <w:ind w:firstLine="480"/>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4"/>
          <w:kern w:val="2"/>
          <w:sz w:val="23"/>
          <w:szCs w:val="23"/>
          <w:highlight w:val="none"/>
          <w:lang w:val="en-US" w:eastAsia="zh-CN" w:bidi="ar-SA"/>
        </w:rPr>
        <w:t>本</w:t>
      </w:r>
      <w:r>
        <w:rPr>
          <w:rFonts w:ascii="宋体" w:hAnsi="宋体" w:eastAsia="宋体" w:cs="宋体"/>
          <w:snapToGrid/>
          <w:color w:val="000000"/>
          <w:spacing w:val="3"/>
          <w:kern w:val="2"/>
          <w:sz w:val="23"/>
          <w:szCs w:val="23"/>
          <w:highlight w:val="none"/>
          <w:lang w:val="en-US" w:eastAsia="zh-CN" w:bidi="ar-SA"/>
        </w:rPr>
        <w:t>单</w:t>
      </w:r>
      <w:r>
        <w:rPr>
          <w:rFonts w:ascii="宋体" w:hAnsi="宋体" w:eastAsia="宋体" w:cs="宋体"/>
          <w:snapToGrid/>
          <w:color w:val="000000"/>
          <w:spacing w:val="2"/>
          <w:kern w:val="2"/>
          <w:sz w:val="23"/>
          <w:szCs w:val="23"/>
          <w:highlight w:val="none"/>
          <w:lang w:val="en-US" w:eastAsia="zh-CN" w:bidi="ar-SA"/>
        </w:rPr>
        <w:t>位郑重声明，根据《财政部 司法部 关于政府采购支持监狱企业发展有关问题的通知》(财库〔</w:t>
      </w:r>
      <w:r>
        <w:rPr>
          <w:rFonts w:ascii="楷体" w:hAnsi="楷体" w:eastAsia="楷体" w:cs="楷体"/>
          <w:snapToGrid/>
          <w:color w:val="000000"/>
          <w:spacing w:val="2"/>
          <w:kern w:val="2"/>
          <w:sz w:val="23"/>
          <w:szCs w:val="23"/>
          <w:highlight w:val="none"/>
          <w:lang w:val="en-US" w:eastAsia="zh-CN" w:bidi="ar-SA"/>
        </w:rPr>
        <w:t>2014</w:t>
      </w:r>
      <w:r>
        <w:rPr>
          <w:rFonts w:ascii="宋体" w:hAnsi="宋体" w:eastAsia="宋体" w:cs="宋体"/>
          <w:snapToGrid/>
          <w:color w:val="000000"/>
          <w:spacing w:val="2"/>
          <w:kern w:val="2"/>
          <w:sz w:val="23"/>
          <w:szCs w:val="23"/>
          <w:highlight w:val="none"/>
          <w:lang w:val="en-US" w:eastAsia="zh-CN" w:bidi="ar-SA"/>
        </w:rPr>
        <w:t>〕</w:t>
      </w:r>
      <w:r>
        <w:rPr>
          <w:rFonts w:ascii="楷体" w:hAnsi="楷体" w:eastAsia="楷体" w:cs="楷体"/>
          <w:snapToGrid/>
          <w:color w:val="000000"/>
          <w:spacing w:val="2"/>
          <w:kern w:val="2"/>
          <w:sz w:val="23"/>
          <w:szCs w:val="23"/>
          <w:highlight w:val="none"/>
          <w:lang w:val="en-US" w:eastAsia="zh-CN" w:bidi="ar-SA"/>
        </w:rPr>
        <w:t>68</w:t>
      </w:r>
      <w:r>
        <w:rPr>
          <w:rFonts w:ascii="宋体" w:hAnsi="宋体" w:eastAsia="宋体" w:cs="宋体"/>
          <w:snapToGrid/>
          <w:color w:val="000000"/>
          <w:spacing w:val="2"/>
          <w:kern w:val="2"/>
          <w:sz w:val="23"/>
          <w:szCs w:val="23"/>
          <w:highlight w:val="none"/>
          <w:lang w:val="en-US" w:eastAsia="zh-CN" w:bidi="ar-SA"/>
        </w:rPr>
        <w:t>号)的规定，本单位为符合条件的监狱、戒毒企业，且本单位</w:t>
      </w:r>
      <w:r>
        <w:rPr>
          <w:rFonts w:ascii="宋体" w:hAnsi="宋体" w:eastAsia="宋体" w:cs="宋体"/>
          <w:snapToGrid/>
          <w:color w:val="000000"/>
          <w:spacing w:val="1"/>
          <w:kern w:val="2"/>
          <w:sz w:val="23"/>
          <w:szCs w:val="23"/>
          <w:highlight w:val="none"/>
          <w:lang w:val="en-US" w:eastAsia="zh-CN" w:bidi="ar-SA"/>
        </w:rPr>
        <w:t>参</w:t>
      </w:r>
      <w:r>
        <w:rPr>
          <w:rFonts w:ascii="宋体" w:hAnsi="宋体" w:eastAsia="宋体" w:cs="宋体"/>
          <w:snapToGrid/>
          <w:color w:val="000000"/>
          <w:kern w:val="2"/>
          <w:sz w:val="23"/>
          <w:szCs w:val="23"/>
          <w:highlight w:val="none"/>
          <w:lang w:val="en-US" w:eastAsia="zh-CN" w:bidi="ar-SA"/>
        </w:rPr>
        <w:t xml:space="preserve"> </w:t>
      </w:r>
      <w:r>
        <w:rPr>
          <w:rFonts w:ascii="宋体" w:hAnsi="宋体" w:eastAsia="宋体" w:cs="宋体"/>
          <w:snapToGrid/>
          <w:color w:val="000000"/>
          <w:spacing w:val="14"/>
          <w:kern w:val="2"/>
          <w:sz w:val="23"/>
          <w:szCs w:val="23"/>
          <w:highlight w:val="none"/>
          <w:lang w:val="en-US" w:eastAsia="zh-CN" w:bidi="ar-SA"/>
        </w:rPr>
        <w:t>加</w:t>
      </w:r>
      <w:r>
        <w:rPr>
          <w:rFonts w:ascii="宋体" w:hAnsi="宋体" w:eastAsia="宋体" w:cs="宋体"/>
          <w:snapToGrid/>
          <w:color w:val="000000"/>
          <w:spacing w:val="13"/>
          <w:kern w:val="2"/>
          <w:sz w:val="23"/>
          <w:szCs w:val="23"/>
          <w:highlight w:val="none"/>
          <w:lang w:val="en-US" w:eastAsia="zh-CN" w:bidi="ar-SA"/>
        </w:rPr>
        <w:t>的</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项目采购活动提供本单位制造的货物(由本单位承担工程</w:t>
      </w:r>
      <w:r>
        <w:rPr>
          <w:rFonts w:ascii="楷体" w:hAnsi="楷体" w:eastAsia="楷体" w:cs="楷体"/>
          <w:snapToGrid/>
          <w:color w:val="000000"/>
          <w:spacing w:val="7"/>
          <w:kern w:val="2"/>
          <w:sz w:val="23"/>
          <w:szCs w:val="23"/>
          <w:highlight w:val="none"/>
          <w:lang w:val="en-US" w:eastAsia="zh-CN" w:bidi="ar-SA"/>
        </w:rPr>
        <w:t>/</w:t>
      </w:r>
      <w:r>
        <w:rPr>
          <w:rFonts w:ascii="宋体" w:hAnsi="宋体" w:eastAsia="宋体" w:cs="宋体"/>
          <w:snapToGrid/>
          <w:color w:val="000000"/>
          <w:spacing w:val="7"/>
          <w:kern w:val="2"/>
          <w:sz w:val="23"/>
          <w:szCs w:val="23"/>
          <w:highlight w:val="none"/>
          <w:lang w:val="en-US" w:eastAsia="zh-CN" w:bidi="ar-SA"/>
        </w:rPr>
        <w:t>提供服务)，</w:t>
      </w:r>
      <w:r>
        <w:rPr>
          <w:rFonts w:ascii="宋体" w:hAnsi="宋体" w:eastAsia="宋体" w:cs="宋体"/>
          <w:snapToGrid/>
          <w:color w:val="000000"/>
          <w:spacing w:val="8"/>
          <w:kern w:val="2"/>
          <w:sz w:val="23"/>
          <w:szCs w:val="23"/>
          <w:highlight w:val="none"/>
          <w:lang w:val="en-US" w:eastAsia="zh-CN" w:bidi="ar-SA"/>
        </w:rPr>
        <w:t>或者</w:t>
      </w:r>
      <w:r>
        <w:rPr>
          <w:rFonts w:ascii="宋体" w:hAnsi="宋体" w:eastAsia="宋体" w:cs="宋体"/>
          <w:snapToGrid/>
          <w:color w:val="000000"/>
          <w:spacing w:val="7"/>
          <w:kern w:val="2"/>
          <w:sz w:val="23"/>
          <w:szCs w:val="23"/>
          <w:highlight w:val="none"/>
          <w:lang w:val="en-US" w:eastAsia="zh-CN" w:bidi="ar-SA"/>
        </w:rPr>
        <w:t>提</w:t>
      </w:r>
      <w:r>
        <w:rPr>
          <w:rFonts w:ascii="宋体" w:hAnsi="宋体" w:eastAsia="宋体" w:cs="宋体"/>
          <w:snapToGrid/>
          <w:color w:val="000000"/>
          <w:spacing w:val="4"/>
          <w:kern w:val="2"/>
          <w:sz w:val="23"/>
          <w:szCs w:val="23"/>
          <w:highlight w:val="none"/>
          <w:lang w:val="en-US" w:eastAsia="zh-CN" w:bidi="ar-SA"/>
        </w:rPr>
        <w:t>供其他监狱、戒毒企业制造的货物(不包括使用非监狱、戒毒企业注册商标的货物)。</w:t>
      </w:r>
    </w:p>
    <w:p>
      <w:pPr>
        <w:widowControl w:val="0"/>
        <w:kinsoku/>
        <w:autoSpaceDE/>
        <w:autoSpaceDN/>
        <w:adjustRightInd/>
        <w:snapToGrid/>
        <w:spacing w:line="226" w:lineRule="auto"/>
        <w:ind w:left="480"/>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8"/>
          <w:kern w:val="2"/>
          <w:sz w:val="23"/>
          <w:szCs w:val="23"/>
          <w:highlight w:val="none"/>
          <w:lang w:val="en-US" w:eastAsia="zh-CN" w:bidi="ar-SA"/>
        </w:rPr>
        <w:t>本</w:t>
      </w:r>
      <w:r>
        <w:rPr>
          <w:rFonts w:ascii="宋体" w:hAnsi="宋体" w:eastAsia="宋体" w:cs="宋体"/>
          <w:snapToGrid/>
          <w:color w:val="000000"/>
          <w:spacing w:val="9"/>
          <w:kern w:val="2"/>
          <w:sz w:val="23"/>
          <w:szCs w:val="23"/>
          <w:highlight w:val="none"/>
          <w:lang w:val="en-US" w:eastAsia="zh-CN" w:bidi="ar-SA"/>
        </w:rPr>
        <w:t>单位对上述声明的真实性负责。如有虚假，将依法承担相应责任。</w:t>
      </w: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60"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before="75" w:line="227" w:lineRule="auto"/>
        <w:ind w:left="3801"/>
        <w:jc w:val="both"/>
        <w:textAlignment w:val="auto"/>
        <w:rPr>
          <w:rFonts w:ascii="宋体" w:hAnsi="宋体" w:eastAsia="宋体" w:cs="宋体"/>
          <w:snapToGrid/>
          <w:color w:val="000000"/>
          <w:kern w:val="2"/>
          <w:sz w:val="23"/>
          <w:szCs w:val="23"/>
          <w:highlight w:val="none"/>
          <w:lang w:val="en-US" w:eastAsia="zh-CN" w:bidi="ar-SA"/>
        </w:rPr>
      </w:pPr>
      <w:r>
        <w:rPr>
          <w:rFonts w:hint="eastAsia" w:ascii="宋体" w:hAnsi="宋体" w:eastAsia="宋体" w:cs="宋体"/>
          <w:snapToGrid/>
          <w:color w:val="000000"/>
          <w:spacing w:val="7"/>
          <w:kern w:val="2"/>
          <w:sz w:val="23"/>
          <w:szCs w:val="23"/>
          <w:highlight w:val="none"/>
          <w:lang w:val="en-US" w:eastAsia="zh-CN" w:bidi="ar-SA"/>
        </w:rPr>
        <w:t>投标人</w:t>
      </w:r>
      <w:r>
        <w:rPr>
          <w:rFonts w:ascii="宋体" w:hAnsi="宋体" w:eastAsia="宋体" w:cs="宋体"/>
          <w:snapToGrid/>
          <w:color w:val="000000"/>
          <w:spacing w:val="7"/>
          <w:kern w:val="2"/>
          <w:sz w:val="23"/>
          <w:szCs w:val="23"/>
          <w:highlight w:val="none"/>
          <w:lang w:val="en-US" w:eastAsia="zh-CN" w:bidi="ar-SA"/>
        </w:rPr>
        <w:t xml:space="preserve">全称 (公章) </w:t>
      </w:r>
      <w:r>
        <w:rPr>
          <w:rFonts w:ascii="宋体" w:hAnsi="宋体" w:eastAsia="宋体" w:cs="宋体"/>
          <w:snapToGrid/>
          <w:color w:val="000000"/>
          <w:spacing w:val="6"/>
          <w:kern w:val="2"/>
          <w:sz w:val="23"/>
          <w:szCs w:val="23"/>
          <w:highlight w:val="none"/>
          <w:lang w:val="en-US" w:eastAsia="zh-CN" w:bidi="ar-SA"/>
        </w:rPr>
        <w:t>：</w:t>
      </w:r>
      <w:r>
        <w:rPr>
          <w:rFonts w:ascii="宋体" w:hAnsi="宋体" w:eastAsia="宋体" w:cs="宋体"/>
          <w:snapToGrid/>
          <w:color w:val="000000"/>
          <w:kern w:val="2"/>
          <w:sz w:val="23"/>
          <w:szCs w:val="23"/>
          <w:highlight w:val="none"/>
          <w:u w:val="single" w:color="auto"/>
          <w:lang w:val="en-US" w:eastAsia="zh-CN" w:bidi="ar-SA"/>
        </w:rPr>
        <w:t xml:space="preserve">                    </w:t>
      </w:r>
    </w:p>
    <w:p>
      <w:pPr>
        <w:widowControl w:val="0"/>
        <w:kinsoku/>
        <w:autoSpaceDE/>
        <w:autoSpaceDN/>
        <w:adjustRightInd/>
        <w:snapToGrid/>
        <w:spacing w:line="286"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87"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before="75" w:line="227" w:lineRule="auto"/>
        <w:ind w:left="3972"/>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1"/>
          <w:kern w:val="2"/>
          <w:sz w:val="23"/>
          <w:szCs w:val="23"/>
          <w:highlight w:val="none"/>
          <w:lang w:val="en-US" w:eastAsia="zh-CN" w:bidi="ar-SA"/>
        </w:rPr>
        <w:t>日</w:t>
      </w:r>
      <w:r>
        <w:rPr>
          <w:rFonts w:ascii="宋体" w:hAnsi="宋体" w:eastAsia="宋体" w:cs="宋体"/>
          <w:snapToGrid/>
          <w:color w:val="000000"/>
          <w:spacing w:val="-7"/>
          <w:kern w:val="2"/>
          <w:sz w:val="23"/>
          <w:szCs w:val="23"/>
          <w:highlight w:val="none"/>
          <w:lang w:val="en-US" w:eastAsia="zh-CN" w:bidi="ar-SA"/>
        </w:rPr>
        <w:t xml:space="preserve">  期：</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年</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月</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日</w:t>
      </w:r>
    </w:p>
    <w:p>
      <w:pPr>
        <w:widowControl w:val="0"/>
        <w:kinsoku/>
        <w:autoSpaceDE/>
        <w:autoSpaceDN/>
        <w:adjustRightInd/>
        <w:snapToGrid/>
        <w:spacing w:line="258"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before="75" w:line="388" w:lineRule="auto"/>
        <w:ind w:left="3" w:right="64" w:firstLine="479"/>
        <w:jc w:val="both"/>
        <w:textAlignment w:val="auto"/>
        <w:rPr>
          <w:rFonts w:hint="eastAsia"/>
          <w:highlight w:val="none"/>
        </w:rPr>
      </w:pPr>
      <w:r>
        <w:rPr>
          <w:rFonts w:ascii="宋体" w:hAnsi="宋体" w:eastAsia="宋体" w:cs="宋体"/>
          <w:snapToGrid/>
          <w:color w:val="000000"/>
          <w:spacing w:val="14"/>
          <w:kern w:val="2"/>
          <w:sz w:val="23"/>
          <w:szCs w:val="23"/>
          <w:highlight w:val="none"/>
          <w:lang w:val="en-US" w:eastAsia="zh-CN" w:bidi="ar-SA"/>
        </w:rPr>
        <w:t>备</w:t>
      </w:r>
      <w:r>
        <w:rPr>
          <w:rFonts w:ascii="宋体" w:hAnsi="宋体" w:eastAsia="宋体" w:cs="宋体"/>
          <w:snapToGrid/>
          <w:color w:val="000000"/>
          <w:spacing w:val="8"/>
          <w:kern w:val="2"/>
          <w:sz w:val="23"/>
          <w:szCs w:val="23"/>
          <w:highlight w:val="none"/>
          <w:lang w:val="en-US" w:eastAsia="zh-CN" w:bidi="ar-SA"/>
        </w:rPr>
        <w:t>注：</w:t>
      </w:r>
      <w:r>
        <w:rPr>
          <w:rFonts w:hint="eastAsia" w:ascii="宋体" w:hAnsi="宋体" w:eastAsia="宋体" w:cs="宋体"/>
          <w:snapToGrid/>
          <w:color w:val="000000"/>
          <w:spacing w:val="8"/>
          <w:kern w:val="2"/>
          <w:sz w:val="23"/>
          <w:szCs w:val="23"/>
          <w:highlight w:val="none"/>
          <w:lang w:val="en-US" w:eastAsia="zh-CN" w:bidi="ar-SA"/>
        </w:rPr>
        <w:t>投标人</w:t>
      </w:r>
      <w:r>
        <w:rPr>
          <w:rFonts w:ascii="宋体" w:hAnsi="宋体" w:eastAsia="宋体" w:cs="宋体"/>
          <w:snapToGrid/>
          <w:color w:val="000000"/>
          <w:spacing w:val="8"/>
          <w:kern w:val="2"/>
          <w:sz w:val="23"/>
          <w:szCs w:val="23"/>
          <w:highlight w:val="none"/>
          <w:lang w:val="en-US" w:eastAsia="zh-CN" w:bidi="ar-SA"/>
        </w:rPr>
        <w:t>提供的《监狱、戒毒企业声明函》必须真实有效，</w:t>
      </w:r>
      <w:r>
        <w:rPr>
          <w:rFonts w:hint="eastAsia" w:ascii="宋体" w:hAnsi="宋体" w:eastAsia="宋体" w:cs="宋体"/>
          <w:snapToGrid/>
          <w:color w:val="000000"/>
          <w:spacing w:val="8"/>
          <w:kern w:val="2"/>
          <w:sz w:val="23"/>
          <w:szCs w:val="23"/>
          <w:highlight w:val="none"/>
          <w:lang w:val="en-US" w:eastAsia="zh-CN" w:bidi="ar-SA"/>
        </w:rPr>
        <w:t>投标人</w:t>
      </w:r>
      <w:r>
        <w:rPr>
          <w:rFonts w:ascii="宋体" w:hAnsi="宋体" w:eastAsia="宋体" w:cs="宋体"/>
          <w:snapToGrid/>
          <w:color w:val="000000"/>
          <w:spacing w:val="8"/>
          <w:kern w:val="2"/>
          <w:sz w:val="23"/>
          <w:szCs w:val="23"/>
          <w:highlight w:val="none"/>
          <w:lang w:val="en-US" w:eastAsia="zh-CN" w:bidi="ar-SA"/>
        </w:rPr>
        <w:t>应当提供由省</w:t>
      </w:r>
      <w:r>
        <w:rPr>
          <w:rFonts w:ascii="宋体" w:hAnsi="宋体" w:eastAsia="宋体" w:cs="宋体"/>
          <w:snapToGrid/>
          <w:color w:val="000000"/>
          <w:spacing w:val="16"/>
          <w:kern w:val="2"/>
          <w:sz w:val="23"/>
          <w:szCs w:val="23"/>
          <w:highlight w:val="none"/>
          <w:lang w:val="en-US" w:eastAsia="zh-CN" w:bidi="ar-SA"/>
        </w:rPr>
        <w:t>级以</w:t>
      </w:r>
      <w:r>
        <w:rPr>
          <w:rFonts w:ascii="宋体" w:hAnsi="宋体" w:eastAsia="宋体" w:cs="宋体"/>
          <w:snapToGrid/>
          <w:color w:val="000000"/>
          <w:spacing w:val="8"/>
          <w:kern w:val="2"/>
          <w:sz w:val="23"/>
          <w:szCs w:val="23"/>
          <w:highlight w:val="none"/>
          <w:lang w:val="en-US" w:eastAsia="zh-CN" w:bidi="ar-SA"/>
        </w:rPr>
        <w:t>上监狱管理局、戒毒管理局</w:t>
      </w:r>
      <w:r>
        <w:rPr>
          <w:rFonts w:ascii="楷体" w:hAnsi="楷体" w:eastAsia="楷体" w:cs="楷体"/>
          <w:snapToGrid/>
          <w:color w:val="000000"/>
          <w:spacing w:val="8"/>
          <w:kern w:val="2"/>
          <w:sz w:val="23"/>
          <w:szCs w:val="23"/>
          <w:highlight w:val="none"/>
          <w:lang w:val="en-US" w:eastAsia="zh-CN" w:bidi="ar-SA"/>
        </w:rPr>
        <w:t>(</w:t>
      </w:r>
      <w:r>
        <w:rPr>
          <w:rFonts w:ascii="宋体" w:hAnsi="宋体" w:eastAsia="宋体" w:cs="宋体"/>
          <w:snapToGrid/>
          <w:color w:val="000000"/>
          <w:spacing w:val="8"/>
          <w:kern w:val="2"/>
          <w:sz w:val="23"/>
          <w:szCs w:val="23"/>
          <w:highlight w:val="none"/>
          <w:lang w:val="en-US" w:eastAsia="zh-CN" w:bidi="ar-SA"/>
        </w:rPr>
        <w:t>含新疆生产建设兵团</w:t>
      </w:r>
      <w:r>
        <w:rPr>
          <w:rFonts w:ascii="楷体" w:hAnsi="楷体" w:eastAsia="楷体" w:cs="楷体"/>
          <w:snapToGrid/>
          <w:color w:val="000000"/>
          <w:spacing w:val="8"/>
          <w:kern w:val="2"/>
          <w:sz w:val="23"/>
          <w:szCs w:val="23"/>
          <w:highlight w:val="none"/>
          <w:lang w:val="en-US" w:eastAsia="zh-CN" w:bidi="ar-SA"/>
        </w:rPr>
        <w:t>)</w:t>
      </w:r>
      <w:r>
        <w:rPr>
          <w:rFonts w:ascii="宋体" w:hAnsi="宋体" w:eastAsia="宋体" w:cs="宋体"/>
          <w:snapToGrid/>
          <w:color w:val="000000"/>
          <w:spacing w:val="8"/>
          <w:kern w:val="2"/>
          <w:sz w:val="23"/>
          <w:szCs w:val="23"/>
          <w:highlight w:val="none"/>
          <w:lang w:val="en-US" w:eastAsia="zh-CN" w:bidi="ar-SA"/>
        </w:rPr>
        <w:t>出具的属于监狱企业的证明文件。</w:t>
      </w:r>
    </w:p>
    <w:p>
      <w:pPr>
        <w:spacing w:line="360" w:lineRule="auto"/>
        <w:rPr>
          <w:rFonts w:hint="eastAsia" w:ascii="宋体" w:hAnsi="宋体" w:cs="宋体"/>
          <w:b/>
          <w:spacing w:val="6"/>
          <w:sz w:val="36"/>
          <w:szCs w:val="36"/>
          <w:highlight w:val="none"/>
        </w:rPr>
      </w:pPr>
      <w:r>
        <w:rPr>
          <w:rFonts w:hint="eastAsia" w:ascii="宋体" w:hAnsi="宋体" w:cs="宋体"/>
          <w:b/>
          <w:spacing w:val="6"/>
          <w:sz w:val="36"/>
          <w:szCs w:val="36"/>
          <w:highlight w:val="none"/>
        </w:rPr>
        <w:br w:type="page"/>
      </w:r>
    </w:p>
    <w:p>
      <w:pPr>
        <w:pStyle w:val="6"/>
        <w:bidi w:val="0"/>
        <w:jc w:val="center"/>
        <w:rPr>
          <w:rFonts w:hint="eastAsia"/>
          <w:highlight w:val="none"/>
        </w:rPr>
      </w:pPr>
      <w:bookmarkStart w:id="490" w:name="_Toc28915"/>
      <w:bookmarkStart w:id="491" w:name="_Toc16455"/>
      <w:bookmarkStart w:id="492" w:name="_Toc17942"/>
      <w:r>
        <w:rPr>
          <w:rFonts w:hint="eastAsia"/>
          <w:highlight w:val="none"/>
          <w:lang w:val="en-US" w:eastAsia="zh-CN"/>
        </w:rPr>
        <w:t>十一、</w:t>
      </w:r>
      <w:r>
        <w:rPr>
          <w:rFonts w:hint="eastAsia"/>
          <w:highlight w:val="none"/>
        </w:rPr>
        <w:t xml:space="preserve"> 第二次报价表（最终报价表）</w:t>
      </w:r>
      <w:bookmarkEnd w:id="490"/>
      <w:bookmarkEnd w:id="491"/>
      <w:bookmarkEnd w:id="492"/>
    </w:p>
    <w:tbl>
      <w:tblPr>
        <w:tblStyle w:val="30"/>
        <w:tblW w:w="4999"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60"/>
        <w:gridCol w:w="790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828"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采购项目名称</w:t>
            </w:r>
          </w:p>
        </w:tc>
        <w:tc>
          <w:tcPr>
            <w:tcW w:w="3965" w:type="pct"/>
            <w:noWrap w:val="0"/>
            <w:vAlign w:val="center"/>
          </w:tcPr>
          <w:p>
            <w:pPr>
              <w:pStyle w:val="5"/>
              <w:spacing w:line="360" w:lineRule="auto"/>
              <w:jc w:val="center"/>
              <w:outlineLvl w:val="9"/>
              <w:rPr>
                <w:rFonts w:hint="eastAsia" w:ascii="宋体" w:hAnsi="宋体" w:cs="宋体"/>
                <w:b w:val="0"/>
                <w:kern w:val="2"/>
                <w:sz w:val="24"/>
                <w:szCs w:val="21"/>
                <w:highlight w:val="none"/>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034" w:type="pct"/>
            <w:tcBorders>
              <w:bottom w:val="single" w:color="auto" w:sz="4" w:space="0"/>
            </w:tcBorders>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采购项目编号</w:t>
            </w:r>
          </w:p>
        </w:tc>
        <w:tc>
          <w:tcPr>
            <w:tcW w:w="3965" w:type="pct"/>
            <w:tcBorders>
              <w:bottom w:val="single" w:color="auto" w:sz="4" w:space="0"/>
            </w:tcBorders>
            <w:noWrap w:val="0"/>
            <w:vAlign w:val="center"/>
          </w:tcPr>
          <w:p>
            <w:pPr>
              <w:spacing w:line="360" w:lineRule="auto"/>
              <w:jc w:val="center"/>
              <w:rPr>
                <w:rFonts w:hint="eastAsia" w:ascii="宋体" w:hAnsi="宋体" w:cs="宋体"/>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供应商名称</w:t>
            </w:r>
          </w:p>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(单位名称)</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谈判报价</w:t>
            </w:r>
          </w:p>
        </w:tc>
        <w:tc>
          <w:tcPr>
            <w:tcW w:w="3965" w:type="pct"/>
            <w:noWrap w:val="0"/>
            <w:vAlign w:val="center"/>
          </w:tcPr>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币（大写）：</w:t>
            </w:r>
            <w:r>
              <w:rPr>
                <w:rFonts w:hint="eastAsia" w:ascii="宋体" w:hAnsi="宋体" w:cs="宋体"/>
                <w:b/>
                <w:bCs/>
                <w:sz w:val="24"/>
                <w:highlight w:val="none"/>
                <w:u w:val="single"/>
              </w:rPr>
              <w:t xml:space="preserve">                  </w:t>
            </w:r>
          </w:p>
          <w:p>
            <w:pPr>
              <w:spacing w:line="360" w:lineRule="auto"/>
              <w:jc w:val="both"/>
              <w:rPr>
                <w:rFonts w:hint="eastAsia" w:ascii="宋体" w:hAnsi="宋体" w:cs="宋体"/>
                <w:b/>
                <w:bCs/>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服务期</w:t>
            </w:r>
          </w:p>
        </w:tc>
        <w:tc>
          <w:tcPr>
            <w:tcW w:w="3965"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1034"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服务质量</w:t>
            </w:r>
          </w:p>
        </w:tc>
        <w:tc>
          <w:tcPr>
            <w:tcW w:w="3965"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w:t>
      </w:r>
      <w:r>
        <w:rPr>
          <w:rFonts w:hint="eastAsia" w:ascii="宋体" w:hAnsi="宋体" w:cs="宋体"/>
          <w:sz w:val="24"/>
          <w:highlight w:val="none"/>
          <w:lang w:val="en-US" w:eastAsia="zh-CN"/>
        </w:rPr>
        <w:t>盖章</w:t>
      </w:r>
      <w:r>
        <w:rPr>
          <w:rFonts w:hint="eastAsia" w:ascii="宋体" w:hAnsi="宋体" w:cs="宋体"/>
          <w:sz w:val="24"/>
          <w:highlight w:val="none"/>
        </w:rPr>
        <w:t>):</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法定代表人/授权代表人（签字）：</w:t>
      </w:r>
    </w:p>
    <w:p>
      <w:pPr>
        <w:spacing w:line="360" w:lineRule="auto"/>
        <w:ind w:right="150"/>
        <w:rPr>
          <w:rFonts w:hint="eastAsia" w:ascii="宋体" w:hAnsi="宋体" w:cs="宋体"/>
          <w:sz w:val="24"/>
          <w:highlight w:val="none"/>
        </w:rPr>
      </w:pPr>
    </w:p>
    <w:p>
      <w:pPr>
        <w:wordWrap w:val="0"/>
        <w:spacing w:line="360" w:lineRule="auto"/>
        <w:ind w:right="150" w:firstLine="957" w:firstLineChars="399"/>
        <w:jc w:val="right"/>
        <w:rPr>
          <w:rFonts w:hint="eastAsia" w:ascii="宋体" w:hAnsi="宋体" w:cs="宋体"/>
          <w:sz w:val="24"/>
          <w:highlight w:val="none"/>
        </w:rPr>
      </w:pPr>
      <w:r>
        <w:rPr>
          <w:rFonts w:hint="eastAsia" w:ascii="宋体" w:hAnsi="宋体" w:cs="宋体"/>
          <w:sz w:val="24"/>
          <w:highlight w:val="none"/>
        </w:rPr>
        <w:t>年     月     日</w:t>
      </w:r>
    </w:p>
    <w:p>
      <w:pPr>
        <w:pStyle w:val="25"/>
        <w:wordWrap/>
        <w:rPr>
          <w:rFonts w:hint="eastAsia"/>
          <w:highlight w:val="none"/>
        </w:rPr>
      </w:pPr>
    </w:p>
    <w:p>
      <w:pPr>
        <w:spacing w:line="360" w:lineRule="auto"/>
        <w:rPr>
          <w:rFonts w:hint="default" w:ascii="宋体" w:hAnsi="Times New Roman" w:cs="Times New Roman"/>
          <w:color w:val="auto"/>
          <w:kern w:val="0"/>
          <w:sz w:val="24"/>
          <w:szCs w:val="20"/>
          <w:highlight w:val="none"/>
          <w:lang w:val="en-US" w:eastAsia="zh-CN"/>
        </w:rPr>
      </w:pPr>
      <w:r>
        <w:rPr>
          <w:rFonts w:hint="eastAsia" w:ascii="宋体" w:hAnsi="宋体" w:cs="宋体"/>
          <w:b/>
          <w:bCs/>
          <w:color w:val="auto"/>
          <w:kern w:val="0"/>
          <w:sz w:val="24"/>
          <w:szCs w:val="20"/>
          <w:highlight w:val="none"/>
          <w:lang w:val="en-US" w:eastAsia="zh-CN"/>
        </w:rPr>
        <w:t>备</w:t>
      </w:r>
      <w:r>
        <w:rPr>
          <w:rFonts w:hint="eastAsia" w:ascii="宋体" w:hAnsi="宋体" w:eastAsia="宋体" w:cs="宋体"/>
          <w:b/>
          <w:bCs/>
          <w:color w:val="auto"/>
          <w:kern w:val="0"/>
          <w:sz w:val="24"/>
          <w:szCs w:val="20"/>
          <w:highlight w:val="none"/>
        </w:rPr>
        <w:t>注</w:t>
      </w:r>
      <w:r>
        <w:rPr>
          <w:rFonts w:hint="eastAsia" w:ascii="宋体" w:hAnsi="宋体" w:eastAsia="宋体" w:cs="宋体"/>
          <w:b/>
          <w:color w:val="auto"/>
          <w:kern w:val="0"/>
          <w:sz w:val="24"/>
          <w:szCs w:val="20"/>
          <w:highlight w:val="none"/>
        </w:rPr>
        <w:t>：请供应商自带电脑</w:t>
      </w:r>
      <w:r>
        <w:rPr>
          <w:rFonts w:hint="eastAsia" w:ascii="宋体" w:hAnsi="宋体" w:cs="宋体"/>
          <w:b/>
          <w:bCs/>
          <w:color w:val="auto"/>
          <w:kern w:val="0"/>
          <w:sz w:val="24"/>
          <w:szCs w:val="24"/>
          <w:highlight w:val="none"/>
          <w:lang w:eastAsia="zh-CN"/>
        </w:rPr>
        <w:t>开标会议</w:t>
      </w:r>
      <w:r>
        <w:rPr>
          <w:rFonts w:hint="eastAsia" w:ascii="宋体" w:hAnsi="宋体" w:cs="宋体"/>
          <w:b/>
          <w:bCs/>
          <w:color w:val="auto"/>
          <w:kern w:val="0"/>
          <w:sz w:val="24"/>
          <w:szCs w:val="24"/>
          <w:highlight w:val="none"/>
        </w:rPr>
        <w:t>在线</w:t>
      </w:r>
      <w:r>
        <w:rPr>
          <w:rFonts w:hint="eastAsia" w:ascii="宋体" w:hAnsi="宋体" w:cs="宋体"/>
          <w:b/>
          <w:bCs/>
          <w:color w:val="auto"/>
          <w:kern w:val="0"/>
          <w:sz w:val="24"/>
          <w:szCs w:val="24"/>
          <w:highlight w:val="none"/>
          <w:lang w:eastAsia="zh-CN"/>
        </w:rPr>
        <w:t>直到评审结束，各供应商在</w:t>
      </w:r>
      <w:r>
        <w:rPr>
          <w:rFonts w:hint="eastAsia" w:ascii="宋体" w:hAnsi="宋体" w:cs="宋体"/>
          <w:b/>
          <w:bCs/>
          <w:color w:val="auto"/>
          <w:kern w:val="0"/>
          <w:sz w:val="24"/>
          <w:szCs w:val="24"/>
          <w:highlight w:val="none"/>
          <w:lang w:val="en-US" w:eastAsia="zh-CN"/>
        </w:rPr>
        <w:t>CA锁网上</w:t>
      </w:r>
      <w:r>
        <w:rPr>
          <w:rFonts w:hint="eastAsia" w:ascii="宋体" w:hAnsi="宋体" w:cs="宋体"/>
          <w:b/>
          <w:bCs/>
          <w:color w:val="auto"/>
          <w:kern w:val="0"/>
          <w:sz w:val="24"/>
          <w:szCs w:val="24"/>
          <w:highlight w:val="none"/>
          <w:lang w:eastAsia="zh-CN"/>
        </w:rPr>
        <w:t>进行</w:t>
      </w:r>
      <w:r>
        <w:rPr>
          <w:rFonts w:hint="eastAsia" w:ascii="宋体" w:hAnsi="宋体" w:cs="宋体"/>
          <w:b/>
          <w:bCs/>
          <w:color w:val="auto"/>
          <w:kern w:val="0"/>
          <w:sz w:val="24"/>
          <w:szCs w:val="24"/>
          <w:highlight w:val="none"/>
          <w:lang w:val="en-US" w:eastAsia="zh-CN"/>
        </w:rPr>
        <w:t>二次</w:t>
      </w:r>
      <w:r>
        <w:rPr>
          <w:rFonts w:hint="eastAsia" w:ascii="宋体" w:hAnsi="宋体" w:cs="宋体"/>
          <w:b/>
          <w:bCs/>
          <w:color w:val="auto"/>
          <w:kern w:val="0"/>
          <w:sz w:val="24"/>
          <w:szCs w:val="24"/>
          <w:highlight w:val="none"/>
          <w:lang w:eastAsia="zh-CN"/>
        </w:rPr>
        <w:t>报价。）</w:t>
      </w:r>
      <w:r>
        <w:rPr>
          <w:rFonts w:hint="eastAsia" w:ascii="宋体" w:hAnsi="宋体" w:cs="宋体"/>
          <w:b/>
          <w:bCs/>
          <w:color w:val="auto"/>
          <w:kern w:val="0"/>
          <w:sz w:val="24"/>
          <w:szCs w:val="24"/>
          <w:highlight w:val="none"/>
          <w:lang w:val="en-US" w:eastAsia="zh-CN"/>
        </w:rPr>
        <w:t>中标供应商将最终报价表随响应文件一起邮寄至招标代理公司。</w:t>
      </w:r>
    </w:p>
    <w:p>
      <w:pPr>
        <w:tabs>
          <w:tab w:val="left" w:pos="4860"/>
        </w:tabs>
        <w:spacing w:line="360" w:lineRule="auto"/>
        <w:ind w:right="1560" w:firstLine="480" w:firstLineChars="200"/>
        <w:jc w:val="center"/>
        <w:rPr>
          <w:rFonts w:hint="eastAsia" w:ascii="宋体" w:hAnsi="宋体" w:cs="宋体"/>
          <w:color w:val="000000"/>
          <w:sz w:val="24"/>
          <w:szCs w:val="24"/>
          <w:highlight w:val="none"/>
        </w:rPr>
      </w:pPr>
    </w:p>
    <w:p>
      <w:pPr>
        <w:spacing w:line="360" w:lineRule="auto"/>
        <w:rPr>
          <w:rFonts w:hint="eastAsia" w:ascii="宋体" w:hAnsi="宋体" w:cs="宋体"/>
          <w:b/>
          <w:spacing w:val="6"/>
          <w:sz w:val="36"/>
          <w:szCs w:val="36"/>
          <w:highlight w:val="none"/>
        </w:rPr>
      </w:pPr>
      <w:bookmarkStart w:id="493" w:name="_Toc29521"/>
      <w:bookmarkStart w:id="494" w:name="_Toc15250"/>
      <w:r>
        <w:rPr>
          <w:rFonts w:hint="eastAsia" w:ascii="宋体" w:hAnsi="宋体" w:cs="宋体"/>
          <w:b/>
          <w:spacing w:val="6"/>
          <w:sz w:val="36"/>
          <w:szCs w:val="36"/>
          <w:highlight w:val="none"/>
        </w:rPr>
        <w:br w:type="page"/>
      </w:r>
    </w:p>
    <w:bookmarkEnd w:id="493"/>
    <w:bookmarkEnd w:id="494"/>
    <w:p>
      <w:pPr>
        <w:spacing w:line="360" w:lineRule="auto"/>
        <w:jc w:val="both"/>
        <w:rPr>
          <w:rFonts w:hint="eastAsia" w:ascii="宋体" w:hAnsi="宋体" w:eastAsia="宋体" w:cs="宋体"/>
          <w:bCs w:val="0"/>
          <w:highlight w:val="none"/>
          <w:lang w:val="en-US" w:eastAsia="zh-CN"/>
        </w:rPr>
      </w:pPr>
      <w:bookmarkStart w:id="495" w:name="_Toc10243"/>
      <w:r>
        <w:rPr>
          <w:rFonts w:hint="eastAsia" w:ascii="宋体" w:hAnsi="宋体" w:eastAsia="宋体" w:cs="宋体"/>
          <w:b/>
          <w:bCs/>
          <w:sz w:val="28"/>
          <w:szCs w:val="28"/>
          <w:highlight w:val="none"/>
          <w:lang w:val="en-US" w:eastAsia="zh-CN"/>
        </w:rPr>
        <w:t>“信用中国”网站查询的信用报告</w:t>
      </w: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10605" cy="348107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72200" cy="3448685"/>
            <wp:effectExtent l="0" t="0" r="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5993130" cy="3397250"/>
            <wp:effectExtent l="0" t="0" r="762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19165" cy="3403600"/>
            <wp:effectExtent l="0" t="0" r="63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025515" cy="339788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84570" cy="3452495"/>
            <wp:effectExtent l="0" t="0" r="11430"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20765" cy="3474720"/>
            <wp:effectExtent l="0" t="0" r="1333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97575" cy="3375025"/>
            <wp:effectExtent l="0" t="0" r="3175"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szCs w:val="20"/>
          <w:highlight w:val="none"/>
        </w:rPr>
        <w:drawing>
          <wp:inline distT="0" distB="0" distL="114300" distR="114300">
            <wp:extent cx="6045200" cy="3383280"/>
            <wp:effectExtent l="0" t="0" r="1270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45200" cy="3409950"/>
            <wp:effectExtent l="0" t="0" r="1270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0"/>
                    <a:stretch>
                      <a:fillRect/>
                    </a:stretch>
                  </pic:blipFill>
                  <pic:spPr>
                    <a:xfrm>
                      <a:off x="0" y="0"/>
                      <a:ext cx="6045200" cy="3409950"/>
                    </a:xfrm>
                    <a:prstGeom prst="rect">
                      <a:avLst/>
                    </a:prstGeom>
                    <a:noFill/>
                    <a:ln>
                      <a:noFill/>
                    </a:ln>
                  </pic:spPr>
                </pic:pic>
              </a:graphicData>
            </a:graphic>
          </wp:inline>
        </w:drawing>
      </w:r>
    </w:p>
    <w:p>
      <w:pP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br w:type="page"/>
      </w:r>
    </w:p>
    <w:p>
      <w:pPr>
        <w:pStyle w:val="6"/>
        <w:bidi w:val="0"/>
        <w:rPr>
          <w:rFonts w:hint="eastAsia"/>
          <w:highlight w:val="none"/>
          <w:lang w:val="en-US" w:eastAsia="zh-CN"/>
        </w:rPr>
      </w:pPr>
      <w:bookmarkStart w:id="496" w:name="_Toc11918"/>
      <w:bookmarkStart w:id="497" w:name="_Toc25227"/>
      <w:bookmarkStart w:id="498" w:name="_Toc24203"/>
      <w:r>
        <w:rPr>
          <w:rFonts w:hint="eastAsia"/>
          <w:highlight w:val="none"/>
          <w:lang w:val="en-US" w:eastAsia="zh-CN"/>
        </w:rPr>
        <w:t>附件4</w:t>
      </w:r>
      <w:bookmarkEnd w:id="495"/>
      <w:bookmarkEnd w:id="496"/>
      <w:r>
        <w:rPr>
          <w:rFonts w:hint="eastAsia"/>
          <w:highlight w:val="none"/>
          <w:lang w:val="en-US" w:eastAsia="zh-CN"/>
        </w:rPr>
        <w:t>：陕西省政府采购服务类项目供应商信用承诺书</w:t>
      </w:r>
      <w:bookmarkEnd w:id="497"/>
      <w:bookmarkEnd w:id="498"/>
    </w:p>
    <w:p>
      <w:pPr>
        <w:pStyle w:val="26"/>
        <w:widowControl/>
        <w:shd w:val="clear" w:color="auto"/>
        <w:adjustRightInd w:val="0"/>
        <w:snapToGrid w:val="0"/>
        <w:spacing w:line="360" w:lineRule="auto"/>
        <w:ind w:firstLine="480"/>
        <w:jc w:val="center"/>
        <w:rPr>
          <w:rFonts w:hint="eastAsia" w:ascii="宋体" w:hAnsi="宋体" w:cs="宋体"/>
          <w:highlight w:val="none"/>
          <w:shd w:val="clear" w:color="auto" w:fill="FFFFFF"/>
        </w:rPr>
      </w:pPr>
    </w:p>
    <w:p>
      <w:pPr>
        <w:pStyle w:val="26"/>
        <w:widowControl/>
        <w:shd w:val="clear" w:color="auto"/>
        <w:adjustRightInd w:val="0"/>
        <w:snapToGrid w:val="0"/>
        <w:spacing w:line="360" w:lineRule="auto"/>
        <w:ind w:firstLine="480"/>
        <w:jc w:val="center"/>
        <w:rPr>
          <w:rFonts w:hint="eastAsia" w:ascii="宋体" w:hAnsi="宋体" w:cs="宋体"/>
          <w:highlight w:val="none"/>
        </w:rPr>
      </w:pPr>
      <w:r>
        <w:rPr>
          <w:rFonts w:hint="eastAsia" w:ascii="宋体" w:hAnsi="宋体" w:cs="宋体"/>
          <w:highlight w:val="none"/>
          <w:shd w:val="clear" w:color="auto" w:fill="FFFFFF"/>
        </w:rPr>
        <w:t>陕西省政府采购服务类项目供应商信用承诺书</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市场主体名称：</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证件类型：统一社会信用代码</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证件号码：</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法人代表：</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承诺有效期限：    年     月    日—    年    月      日</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承诺内容：</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为维护公开、公平、公正的政府采购市场秩序，树立诚实守信的政府采购供应商形象，本单位自愿做出以下承诺：</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一、承诺本单位严格遵守国家法律、法规和规章，全面履行应尽的责任和义务，全面做到履约守信，具备《政府采购法》第二十二条第一款规定的条件;</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四、承诺本单位自觉接受行政管理部门、行业组织、社会公众、新闻舆论的监督；</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六、承诺本单位提出政府采购质疑和投诉坚持依法依规、诚实信用原则，在全国范围12个月内没有三次以上查无实据的政府采购投诉；</w:t>
      </w:r>
    </w:p>
    <w:p>
      <w:pPr>
        <w:pStyle w:val="26"/>
        <w:widowControl/>
        <w:shd w:val="clear" w:color="auto"/>
        <w:adjustRightInd w:val="0"/>
        <w:snapToGrid w:val="0"/>
        <w:spacing w:line="360" w:lineRule="auto"/>
        <w:ind w:firstLine="640"/>
        <w:jc w:val="both"/>
        <w:rPr>
          <w:rFonts w:hint="eastAsia" w:ascii="宋体" w:hAnsi="宋体" w:eastAsia="宋体" w:cs="宋体"/>
          <w:highlight w:val="none"/>
          <w:lang w:eastAsia="zh-CN"/>
        </w:rPr>
      </w:pPr>
      <w:r>
        <w:rPr>
          <w:rFonts w:hint="eastAsia" w:ascii="宋体" w:hAnsi="宋体" w:cs="宋体"/>
          <w:highlight w:val="none"/>
          <w:shd w:val="clear" w:color="auto" w:fill="FFFFFF"/>
        </w:rPr>
        <w:t>七、根据政府采购相关法律法规的规定需要作出的其他承诺：</w:t>
      </w:r>
      <w:r>
        <w:rPr>
          <w:rFonts w:hint="eastAsia" w:ascii="宋体" w:hAnsi="宋体" w:cs="宋体"/>
          <w:highlight w:val="none"/>
          <w:u w:val="single"/>
          <w:shd w:val="clear" w:color="auto" w:fill="FFFFFF"/>
        </w:rPr>
        <w:t>                                                                            </w:t>
      </w:r>
      <w:r>
        <w:rPr>
          <w:rFonts w:hint="eastAsia" w:ascii="宋体" w:hAnsi="宋体" w:cs="宋体"/>
          <w:highlight w:val="none"/>
          <w:u w:val="single"/>
          <w:shd w:val="clear" w:color="auto" w:fill="FFFFFF"/>
          <w:lang w:eastAsia="zh-CN"/>
        </w:rPr>
        <w:t>；</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         承诺单位（盖章）：</w:t>
      </w:r>
    </w:p>
    <w:p>
      <w:pPr>
        <w:pStyle w:val="26"/>
        <w:widowControl/>
        <w:shd w:val="clear" w:color="auto"/>
        <w:adjustRightInd w:val="0"/>
        <w:snapToGrid w:val="0"/>
        <w:spacing w:line="360" w:lineRule="auto"/>
        <w:ind w:firstLine="640"/>
        <w:jc w:val="both"/>
        <w:rPr>
          <w:rFonts w:hint="eastAsia" w:ascii="宋体" w:hAnsi="宋体" w:cs="宋体"/>
          <w:highlight w:val="none"/>
          <w:shd w:val="clear" w:color="auto" w:fill="FFFFFF"/>
        </w:rPr>
      </w:pPr>
      <w:r>
        <w:rPr>
          <w:rFonts w:hint="eastAsia" w:ascii="宋体" w:hAnsi="宋体" w:cs="宋体"/>
          <w:highlight w:val="none"/>
          <w:shd w:val="clear" w:color="auto" w:fill="FFFFFF"/>
        </w:rPr>
        <w:t>       法定代表人（负责人）：</w:t>
      </w:r>
    </w:p>
    <w:p>
      <w:pPr>
        <w:pStyle w:val="26"/>
        <w:widowControl/>
        <w:shd w:val="clear" w:color="auto"/>
        <w:adjustRightInd w:val="0"/>
        <w:snapToGrid w:val="0"/>
        <w:spacing w:line="360" w:lineRule="auto"/>
        <w:ind w:firstLine="1920" w:firstLineChars="80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法定代表人（负责人）身份证号：</w:t>
      </w:r>
    </w:p>
    <w:p>
      <w:pPr>
        <w:pStyle w:val="26"/>
        <w:widowControl/>
        <w:shd w:val="clear" w:color="auto"/>
        <w:adjustRightInd w:val="0"/>
        <w:snapToGrid w:val="0"/>
        <w:spacing w:line="360" w:lineRule="auto"/>
        <w:ind w:firstLine="640"/>
        <w:jc w:val="both"/>
        <w:rPr>
          <w:rFonts w:hint="eastAsia" w:ascii="宋体" w:hAnsi="宋体" w:cs="宋体"/>
          <w:highlight w:val="none"/>
          <w:shd w:val="clear" w:color="auto" w:fill="FFFFFF"/>
          <w:lang w:eastAsia="zh-CN"/>
        </w:rPr>
      </w:pPr>
      <w:r>
        <w:rPr>
          <w:rFonts w:hint="eastAsia" w:ascii="宋体" w:hAnsi="宋体" w:cs="宋体"/>
          <w:highlight w:val="none"/>
          <w:shd w:val="clear" w:color="auto" w:fill="FFFFFF"/>
        </w:rPr>
        <w:t>        承诺日期</w:t>
      </w:r>
      <w:r>
        <w:rPr>
          <w:rFonts w:hint="eastAsia" w:ascii="宋体" w:hAnsi="宋体" w:cs="宋体"/>
          <w:highlight w:val="none"/>
          <w:shd w:val="clear" w:color="auto" w:fill="FFFFFF"/>
          <w:lang w:eastAsia="zh-CN"/>
        </w:rPr>
        <w:t>：</w:t>
      </w:r>
    </w:p>
    <w:p>
      <w:pPr>
        <w:pStyle w:val="2"/>
        <w:ind w:firstLine="843" w:firstLineChars="300"/>
        <w:rPr>
          <w:rFonts w:hint="default" w:eastAsia="宋体"/>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cs="宋体"/>
          <w:b/>
          <w:bCs/>
          <w:sz w:val="24"/>
          <w:szCs w:val="24"/>
          <w:highlight w:val="none"/>
          <w:lang w:val="en-US" w:eastAsia="zh-CN"/>
        </w:rPr>
        <w:t>.承诺有效期限自承诺之日起 1 年；</w:t>
      </w:r>
    </w:p>
    <w:p>
      <w:pPr>
        <w:spacing w:before="75" w:line="360" w:lineRule="auto"/>
        <w:ind w:left="3" w:firstLine="1446" w:firstLineChars="600"/>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default" w:ascii="宋体" w:hAnsi="宋体" w:eastAsia="宋体" w:cs="宋体"/>
          <w:b/>
          <w:bCs/>
          <w:sz w:val="28"/>
          <w:szCs w:val="28"/>
          <w:highlight w:val="none"/>
          <w:lang w:val="en-US" w:eastAsia="zh-CN"/>
        </w:rPr>
      </w:pPr>
    </w:p>
    <w:p>
      <w:pPr>
        <w:rPr>
          <w:rFonts w:hint="eastAsia" w:eastAsia="宋体"/>
          <w:highlight w:val="none"/>
          <w:lang w:eastAsia="zh-CN"/>
        </w:rPr>
      </w:pPr>
      <w:r>
        <w:rPr>
          <w:rFonts w:hint="eastAsia" w:eastAsia="宋体"/>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528" w:beforeLines="169" w:beforeAutospacing="0" w:after="471" w:afterLines="150" w:afterAutospacing="0" w:line="240" w:lineRule="auto"/>
        <w:ind w:firstLine="562" w:firstLineChars="200"/>
        <w:jc w:val="center"/>
        <w:textAlignment w:val="auto"/>
        <w:rPr>
          <w:rFonts w:hint="eastAsia" w:ascii="宋体" w:hAnsi="宋体" w:eastAsia="宋体" w:cs="宋体"/>
          <w:sz w:val="24"/>
          <w:szCs w:val="24"/>
          <w:highlight w:val="none"/>
        </w:rPr>
      </w:pPr>
      <w:r>
        <w:rPr>
          <w:rFonts w:hint="eastAsia" w:ascii="宋体" w:hAnsi="宋体" w:eastAsia="宋体" w:cs="宋体"/>
          <w:b/>
          <w:bCs/>
          <w:sz w:val="28"/>
          <w:szCs w:val="28"/>
          <w:highlight w:val="none"/>
          <w:lang w:eastAsia="zh-CN"/>
        </w:rPr>
        <w:t>投标</w:t>
      </w:r>
      <w:r>
        <w:rPr>
          <w:rFonts w:hint="eastAsia" w:ascii="宋体" w:hAnsi="宋体" w:eastAsia="宋体" w:cs="宋体"/>
          <w:b/>
          <w:bCs/>
          <w:sz w:val="28"/>
          <w:szCs w:val="28"/>
          <w:highlight w:val="none"/>
          <w:lang w:val="en-US" w:eastAsia="zh-CN"/>
        </w:rPr>
        <w:t>人</w:t>
      </w:r>
      <w:r>
        <w:rPr>
          <w:rFonts w:hint="eastAsia" w:ascii="宋体" w:hAnsi="宋体" w:cs="宋体"/>
          <w:b/>
          <w:bCs/>
          <w:sz w:val="28"/>
          <w:szCs w:val="28"/>
          <w:highlight w:val="none"/>
          <w:lang w:val="en-US" w:eastAsia="zh-CN"/>
        </w:rPr>
        <w:t>委托代理人员</w:t>
      </w:r>
      <w:r>
        <w:rPr>
          <w:rFonts w:hint="eastAsia" w:ascii="宋体" w:hAnsi="宋体" w:eastAsia="宋体" w:cs="宋体"/>
          <w:b/>
          <w:bCs/>
          <w:sz w:val="28"/>
          <w:szCs w:val="28"/>
          <w:highlight w:val="none"/>
          <w:lang w:eastAsia="zh-CN"/>
        </w:rPr>
        <w:t>信用承诺书</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lang w:val="en-US" w:eastAsia="zh-CN"/>
        </w:rPr>
        <w:t xml:space="preserve">                        </w:t>
      </w:r>
      <w:r>
        <w:rPr>
          <w:rFonts w:hint="eastAsia" w:asciiTheme="minorEastAsia" w:hAnsiTheme="minorEastAsia" w:cstheme="minorEastAsia"/>
          <w:kern w:val="2"/>
          <w:sz w:val="24"/>
          <w:szCs w:val="24"/>
          <w:highlight w:val="none"/>
          <w:lang w:val="en-US" w:eastAsia="zh-CN" w:bidi="ar"/>
        </w:rPr>
        <w:t>（标段）</w:t>
      </w:r>
      <w:r>
        <w:rPr>
          <w:rFonts w:hint="eastAsia" w:ascii="宋体" w:hAnsi="宋体" w:eastAsia="宋体" w:cs="宋体"/>
          <w:sz w:val="24"/>
          <w:szCs w:val="24"/>
          <w:highlight w:val="none"/>
        </w:rPr>
        <w:t>项目招投标活动中，我公司（单位）郑重作出以下信用承诺：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highlight w:val="none"/>
          <w:lang w:val="en-US" w:eastAsia="zh-CN"/>
        </w:rPr>
        <w:t xml:space="preserve"> </w:t>
      </w:r>
    </w:p>
    <w:p>
      <w:pPr>
        <w:pStyle w:val="6"/>
        <w:keepNext/>
        <w:keepLines/>
        <w:pageBreakBefore w:val="0"/>
        <w:widowControl/>
        <w:kinsoku/>
        <w:wordWrap/>
        <w:overflowPunct/>
        <w:topLinePunct w:val="0"/>
        <w:autoSpaceDE/>
        <w:autoSpaceDN/>
        <w:bidi w:val="0"/>
        <w:adjustRightInd/>
        <w:snapToGrid/>
        <w:spacing w:before="0" w:after="0"/>
        <w:ind w:left="283"/>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sz w:val="24"/>
          <w:szCs w:val="24"/>
          <w:highlight w:val="none"/>
          <w:lang w:val="en-US" w:eastAsia="zh-CN"/>
        </w:rPr>
        <w:t>承诺有效期限：</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eastAsia="zh-CN"/>
        </w:rPr>
        <w:t>（自递交投标文件截止之日起</w:t>
      </w:r>
      <w:r>
        <w:rPr>
          <w:rFonts w:hint="eastAsia" w:ascii="宋体" w:hAnsi="宋体" w:eastAsia="宋体" w:cs="宋体"/>
          <w:sz w:val="24"/>
          <w:szCs w:val="24"/>
          <w:highlight w:val="none"/>
          <w:lang w:val="en-US" w:eastAsia="zh-CN"/>
        </w:rPr>
        <w:t>1年</w:t>
      </w:r>
      <w:r>
        <w:rPr>
          <w:rFonts w:hint="eastAsia" w:ascii="宋体" w:hAnsi="宋体" w:eastAsia="宋体" w:cs="宋体"/>
          <w:sz w:val="24"/>
          <w:szCs w:val="24"/>
          <w:highlight w:val="none"/>
          <w:lang w:eastAsia="zh-CN"/>
        </w:rPr>
        <w:t>）</w:t>
      </w:r>
      <w:r>
        <w:rPr>
          <w:rFonts w:hint="eastAsia" w:ascii="宋体" w:hAnsi="宋体" w:cs="宋体"/>
          <w:color w:val="000000"/>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val="0"/>
          <w:bCs/>
          <w:sz w:val="24"/>
          <w:szCs w:val="24"/>
          <w:highlight w:val="none"/>
          <w:u w:val="single"/>
          <w:lang w:val="en-US" w:eastAsia="zh-CN"/>
        </w:rPr>
      </w:pPr>
      <w:r>
        <w:rPr>
          <w:rFonts w:hint="eastAsia"/>
          <w:b w:val="0"/>
          <w:bCs/>
          <w:sz w:val="24"/>
          <w:szCs w:val="24"/>
          <w:highlight w:val="none"/>
          <w:lang w:val="en-US" w:eastAsia="zh-CN"/>
        </w:rPr>
        <w:t>投标人：</w:t>
      </w:r>
      <w:r>
        <w:rPr>
          <w:rFonts w:hint="eastAsia"/>
          <w:b w:val="0"/>
          <w:bCs/>
          <w:sz w:val="24"/>
          <w:szCs w:val="24"/>
          <w:highlight w:val="none"/>
          <w:u w:val="none"/>
          <w:lang w:val="en-US" w:eastAsia="zh-CN"/>
        </w:rPr>
        <w:t xml:space="preserve"> </w:t>
      </w:r>
      <w:r>
        <w:rPr>
          <w:rFonts w:hint="eastAsia"/>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highlight w:val="none"/>
          <w:u w:val="single"/>
          <w:lang w:val="en-US" w:eastAsia="zh-CN"/>
        </w:rPr>
      </w:pPr>
      <w:r>
        <w:rPr>
          <w:rFonts w:hint="eastAsia"/>
          <w:sz w:val="24"/>
          <w:szCs w:val="24"/>
          <w:highlight w:val="none"/>
          <w:lang w:val="en-US" w:eastAsia="zh-CN"/>
        </w:rPr>
        <w:t>承诺人（签字）：</w:t>
      </w:r>
      <w:r>
        <w:rPr>
          <w:rFonts w:hint="eastAsia"/>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lang w:eastAsia="zh-CN"/>
        </w:rPr>
      </w:pPr>
      <w:r>
        <w:rPr>
          <w:rFonts w:hint="eastAsia"/>
          <w:sz w:val="24"/>
          <w:szCs w:val="24"/>
          <w:highlight w:val="none"/>
          <w:lang w:val="en-US" w:eastAsia="zh-CN"/>
        </w:rPr>
        <w:t>承诺时间：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pPr>
        <w:rPr>
          <w:rFonts w:hint="eastAsia" w:ascii="宋体" w:hAnsi="宋体" w:cs="宋体"/>
          <w:b/>
          <w:color w:val="auto"/>
          <w:kern w:val="0"/>
          <w:sz w:val="24"/>
          <w:szCs w:val="16"/>
          <w:highlight w:val="none"/>
          <w:lang w:eastAsia="zh-CN"/>
        </w:rPr>
      </w:pPr>
    </w:p>
    <w:p>
      <w:pPr>
        <w:rPr>
          <w:rFonts w:hint="eastAsia" w:ascii="宋体" w:hAnsi="宋体" w:cs="宋体"/>
          <w:b/>
          <w:color w:val="auto"/>
          <w:kern w:val="0"/>
          <w:sz w:val="24"/>
          <w:szCs w:val="16"/>
          <w:highlight w:val="none"/>
          <w:lang w:eastAsia="zh-CN"/>
        </w:rPr>
      </w:pPr>
      <w:r>
        <w:rPr>
          <w:rFonts w:hint="eastAsia" w:ascii="宋体" w:hAnsi="宋体" w:cs="宋体"/>
          <w:b/>
          <w:color w:val="auto"/>
          <w:kern w:val="0"/>
          <w:sz w:val="24"/>
          <w:szCs w:val="16"/>
          <w:highlight w:val="none"/>
          <w:lang w:eastAsia="zh-CN"/>
        </w:rPr>
        <w:t>注：</w:t>
      </w:r>
      <w:r>
        <w:rPr>
          <w:rFonts w:hint="eastAsia" w:ascii="宋体" w:hAnsi="宋体" w:cs="宋体"/>
          <w:b/>
          <w:color w:val="auto"/>
          <w:kern w:val="0"/>
          <w:sz w:val="24"/>
          <w:szCs w:val="16"/>
          <w:highlight w:val="none"/>
          <w:lang w:val="en-US" w:eastAsia="zh-CN"/>
        </w:rPr>
        <w:t>1、</w:t>
      </w:r>
      <w:r>
        <w:rPr>
          <w:rFonts w:hint="eastAsia" w:ascii="宋体" w:hAnsi="宋体" w:cs="宋体"/>
          <w:b/>
          <w:color w:val="auto"/>
          <w:kern w:val="0"/>
          <w:sz w:val="24"/>
          <w:szCs w:val="16"/>
          <w:highlight w:val="none"/>
          <w:lang w:eastAsia="zh-CN"/>
        </w:rPr>
        <w:t>后附信用中国（陕西榆林）网站自主上报的信用截图。</w:t>
      </w:r>
    </w:p>
    <w:p>
      <w:pPr>
        <w:widowControl/>
        <w:kinsoku w:val="0"/>
        <w:autoSpaceDE w:val="0"/>
        <w:autoSpaceDN w:val="0"/>
        <w:adjustRightInd w:val="0"/>
        <w:snapToGrid w:val="0"/>
        <w:spacing w:line="240" w:lineRule="auto"/>
        <w:ind w:firstLine="482" w:firstLineChars="200"/>
        <w:jc w:val="left"/>
        <w:textAlignment w:val="baseline"/>
        <w:rPr>
          <w:rFonts w:hint="eastAsia"/>
          <w:highlight w:val="none"/>
          <w:lang w:eastAsia="zh-CN"/>
        </w:rPr>
      </w:pPr>
      <w:r>
        <w:rPr>
          <w:rFonts w:hint="eastAsia" w:ascii="Times New Roman" w:hAnsi="宋体" w:eastAsia="宋体" w:cs="宋体"/>
          <w:b/>
          <w:snapToGrid/>
          <w:color w:val="auto"/>
          <w:kern w:val="2"/>
          <w:sz w:val="24"/>
          <w:szCs w:val="16"/>
          <w:highlight w:val="none"/>
          <w:lang w:val="en-US" w:eastAsia="zh-CN" w:bidi="ar-SA"/>
        </w:rPr>
        <w:t>2、投标人委托代理人员信用承诺书需被委托人自己上传，不得用单位账号上传承诺书。</w:t>
      </w:r>
    </w:p>
    <w:sectPr>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1)">
    <w:altName w:val="Arial"/>
    <w:panose1 w:val="00000000000000000000"/>
    <w:charset w:val="00"/>
    <w:family w:val="swiss"/>
    <w:pitch w:val="default"/>
    <w:sig w:usb0="00000000" w:usb1="00000000" w:usb2="00000008" w:usb3="00000000" w:csb0="000001F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2010609030101010101"/>
    <w:charset w:val="02"/>
    <w:family w:val="decorative"/>
    <w:pitch w:val="default"/>
    <w:sig w:usb0="00000000" w:usb1="0000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pStyle w:val="19"/>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FE702"/>
    <w:multiLevelType w:val="singleLevel"/>
    <w:tmpl w:val="8CEFE702"/>
    <w:lvl w:ilvl="0" w:tentative="0">
      <w:start w:val="1"/>
      <w:numFmt w:val="decimal"/>
      <w:suff w:val="nothing"/>
      <w:lvlText w:val="（%1）"/>
      <w:lvlJc w:val="left"/>
    </w:lvl>
  </w:abstractNum>
  <w:abstractNum w:abstractNumId="1">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2">
    <w:nsid w:val="B67F2E8E"/>
    <w:multiLevelType w:val="singleLevel"/>
    <w:tmpl w:val="B67F2E8E"/>
    <w:lvl w:ilvl="0" w:tentative="0">
      <w:start w:val="1"/>
      <w:numFmt w:val="decimal"/>
      <w:suff w:val="nothing"/>
      <w:lvlText w:val="%1、"/>
      <w:lvlJc w:val="left"/>
    </w:lvl>
  </w:abstractNum>
  <w:abstractNum w:abstractNumId="3">
    <w:nsid w:val="DCDEF094"/>
    <w:multiLevelType w:val="singleLevel"/>
    <w:tmpl w:val="DCDEF094"/>
    <w:lvl w:ilvl="0" w:tentative="0">
      <w:start w:val="1"/>
      <w:numFmt w:val="decimal"/>
      <w:suff w:val="nothing"/>
      <w:lvlText w:val="（%1）"/>
      <w:lvlJc w:val="left"/>
    </w:lvl>
  </w:abstractNum>
  <w:abstractNum w:abstractNumId="4">
    <w:nsid w:val="41CF3644"/>
    <w:multiLevelType w:val="singleLevel"/>
    <w:tmpl w:val="41CF3644"/>
    <w:lvl w:ilvl="0" w:tentative="0">
      <w:start w:val="1"/>
      <w:numFmt w:val="chineseCounting"/>
      <w:suff w:val="nothing"/>
      <w:lvlText w:val="%1、"/>
      <w:lvlJc w:val="left"/>
      <w:rPr>
        <w:rFonts w:hint="eastAsia"/>
      </w:rPr>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6094FFA7"/>
    <w:multiLevelType w:val="singleLevel"/>
    <w:tmpl w:val="6094FFA7"/>
    <w:lvl w:ilvl="0" w:tentative="0">
      <w:start w:val="2"/>
      <w:numFmt w:val="chineseCounting"/>
      <w:suff w:val="nothing"/>
      <w:lvlText w:val="%1、"/>
      <w:lvlJc w:val="left"/>
      <w:rPr>
        <w:rFonts w:hint="eastAsia"/>
      </w:rPr>
    </w:lvl>
  </w:abstractNum>
  <w:abstractNum w:abstractNumId="7">
    <w:nsid w:val="724B0212"/>
    <w:multiLevelType w:val="multilevel"/>
    <w:tmpl w:val="724B0212"/>
    <w:lvl w:ilvl="0" w:tentative="0">
      <w:start w:val="1"/>
      <w:numFmt w:val="decimal"/>
      <w:pStyle w:val="53"/>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5"/>
  </w:num>
  <w:num w:numId="3">
    <w:abstractNumId w:val="3"/>
  </w:num>
  <w:num w:numId="4">
    <w:abstractNumId w:val="1"/>
  </w:num>
  <w:num w:numId="5">
    <w:abstractNumId w:val="0"/>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MGZjNjdlN2VlNTQwOWMwMTNhNTc4ZTJhMTZmODUifQ=="/>
  </w:docVars>
  <w:rsids>
    <w:rsidRoot w:val="1DEC3F14"/>
    <w:rsid w:val="003752C8"/>
    <w:rsid w:val="004C49AC"/>
    <w:rsid w:val="00E371FE"/>
    <w:rsid w:val="00E455F8"/>
    <w:rsid w:val="00F40070"/>
    <w:rsid w:val="01233A9E"/>
    <w:rsid w:val="01671BDD"/>
    <w:rsid w:val="018650DF"/>
    <w:rsid w:val="01BE7323"/>
    <w:rsid w:val="01C82461"/>
    <w:rsid w:val="02054F52"/>
    <w:rsid w:val="028C7B6F"/>
    <w:rsid w:val="029864DE"/>
    <w:rsid w:val="02BA51E5"/>
    <w:rsid w:val="03255AA0"/>
    <w:rsid w:val="03661A20"/>
    <w:rsid w:val="03BD5AE4"/>
    <w:rsid w:val="03FC2F6F"/>
    <w:rsid w:val="03FE7EAB"/>
    <w:rsid w:val="042A735D"/>
    <w:rsid w:val="04363AE8"/>
    <w:rsid w:val="045301F6"/>
    <w:rsid w:val="04BC0CAD"/>
    <w:rsid w:val="04FF037E"/>
    <w:rsid w:val="050140F6"/>
    <w:rsid w:val="0577480B"/>
    <w:rsid w:val="05A70C30"/>
    <w:rsid w:val="05C3315A"/>
    <w:rsid w:val="060379FA"/>
    <w:rsid w:val="060C0620"/>
    <w:rsid w:val="062E4A77"/>
    <w:rsid w:val="064B0A03"/>
    <w:rsid w:val="068E3768"/>
    <w:rsid w:val="06952D48"/>
    <w:rsid w:val="06A92350"/>
    <w:rsid w:val="06FF6413"/>
    <w:rsid w:val="0708351A"/>
    <w:rsid w:val="07492616"/>
    <w:rsid w:val="074C37A3"/>
    <w:rsid w:val="075C1AB8"/>
    <w:rsid w:val="0797489E"/>
    <w:rsid w:val="07DC0503"/>
    <w:rsid w:val="08273ADA"/>
    <w:rsid w:val="08B946DA"/>
    <w:rsid w:val="08CD6EE3"/>
    <w:rsid w:val="08F748B2"/>
    <w:rsid w:val="08FF0EBE"/>
    <w:rsid w:val="093B0542"/>
    <w:rsid w:val="0946032A"/>
    <w:rsid w:val="09CF6571"/>
    <w:rsid w:val="0A0C7033"/>
    <w:rsid w:val="0A1D6586"/>
    <w:rsid w:val="0A1D733A"/>
    <w:rsid w:val="0A5847B8"/>
    <w:rsid w:val="0B0755C6"/>
    <w:rsid w:val="0B325009"/>
    <w:rsid w:val="0B90402D"/>
    <w:rsid w:val="0BB33D4E"/>
    <w:rsid w:val="0C1344C4"/>
    <w:rsid w:val="0C1C35C4"/>
    <w:rsid w:val="0C1C4F2D"/>
    <w:rsid w:val="0C50326D"/>
    <w:rsid w:val="0CAE32A6"/>
    <w:rsid w:val="0CC25F19"/>
    <w:rsid w:val="0CEA3204"/>
    <w:rsid w:val="0D156991"/>
    <w:rsid w:val="0D2C7AC8"/>
    <w:rsid w:val="0D4252AC"/>
    <w:rsid w:val="0D517B72"/>
    <w:rsid w:val="0D7A79C9"/>
    <w:rsid w:val="0DCA769C"/>
    <w:rsid w:val="0E3F5C2E"/>
    <w:rsid w:val="0E675630"/>
    <w:rsid w:val="0E7476E7"/>
    <w:rsid w:val="0F5B5353"/>
    <w:rsid w:val="0FB67DE6"/>
    <w:rsid w:val="0FB87AA7"/>
    <w:rsid w:val="0FBB2283"/>
    <w:rsid w:val="0FC91CB4"/>
    <w:rsid w:val="10090303"/>
    <w:rsid w:val="10150A56"/>
    <w:rsid w:val="10304BDC"/>
    <w:rsid w:val="10680EA3"/>
    <w:rsid w:val="107C4C0E"/>
    <w:rsid w:val="109776BD"/>
    <w:rsid w:val="110765F0"/>
    <w:rsid w:val="11077236"/>
    <w:rsid w:val="111A6548"/>
    <w:rsid w:val="112F5B47"/>
    <w:rsid w:val="11735EDD"/>
    <w:rsid w:val="11CD0552"/>
    <w:rsid w:val="11E701D0"/>
    <w:rsid w:val="11EA4A7C"/>
    <w:rsid w:val="12767ED2"/>
    <w:rsid w:val="12843C71"/>
    <w:rsid w:val="128B14A3"/>
    <w:rsid w:val="12AA36D7"/>
    <w:rsid w:val="12B96AED"/>
    <w:rsid w:val="12D76496"/>
    <w:rsid w:val="12E36023"/>
    <w:rsid w:val="130134CA"/>
    <w:rsid w:val="13143CA2"/>
    <w:rsid w:val="13335413"/>
    <w:rsid w:val="13405DEA"/>
    <w:rsid w:val="13651160"/>
    <w:rsid w:val="1386545F"/>
    <w:rsid w:val="13904FC3"/>
    <w:rsid w:val="13917771"/>
    <w:rsid w:val="13B862C8"/>
    <w:rsid w:val="13EA1322"/>
    <w:rsid w:val="14520C23"/>
    <w:rsid w:val="14676D23"/>
    <w:rsid w:val="14697291"/>
    <w:rsid w:val="146A5814"/>
    <w:rsid w:val="14700951"/>
    <w:rsid w:val="14A276E9"/>
    <w:rsid w:val="14BF7518"/>
    <w:rsid w:val="154A73F4"/>
    <w:rsid w:val="15543E30"/>
    <w:rsid w:val="15681628"/>
    <w:rsid w:val="159863B1"/>
    <w:rsid w:val="15C4489B"/>
    <w:rsid w:val="163C4F8E"/>
    <w:rsid w:val="164F4743"/>
    <w:rsid w:val="167115D2"/>
    <w:rsid w:val="1672275E"/>
    <w:rsid w:val="16B74615"/>
    <w:rsid w:val="16BA138B"/>
    <w:rsid w:val="16C80B2F"/>
    <w:rsid w:val="16CD31D9"/>
    <w:rsid w:val="16D2144F"/>
    <w:rsid w:val="16DE614F"/>
    <w:rsid w:val="17092996"/>
    <w:rsid w:val="17D9680D"/>
    <w:rsid w:val="17FF3C8E"/>
    <w:rsid w:val="185D11EC"/>
    <w:rsid w:val="187813B3"/>
    <w:rsid w:val="18943B3D"/>
    <w:rsid w:val="18F002B2"/>
    <w:rsid w:val="18F205A4"/>
    <w:rsid w:val="19126B92"/>
    <w:rsid w:val="192D5062"/>
    <w:rsid w:val="19E27BFB"/>
    <w:rsid w:val="1A7C7F4E"/>
    <w:rsid w:val="1AFA05B0"/>
    <w:rsid w:val="1B9B0F1F"/>
    <w:rsid w:val="1CB13834"/>
    <w:rsid w:val="1CF739BD"/>
    <w:rsid w:val="1D0E695C"/>
    <w:rsid w:val="1D13631D"/>
    <w:rsid w:val="1D436C02"/>
    <w:rsid w:val="1D6E17A5"/>
    <w:rsid w:val="1D976F4E"/>
    <w:rsid w:val="1DEC3F14"/>
    <w:rsid w:val="1E081BFA"/>
    <w:rsid w:val="1E403142"/>
    <w:rsid w:val="1E432C32"/>
    <w:rsid w:val="1E967206"/>
    <w:rsid w:val="1EDA74E2"/>
    <w:rsid w:val="1EDC7F5E"/>
    <w:rsid w:val="1EE47F71"/>
    <w:rsid w:val="1F0B3750"/>
    <w:rsid w:val="1F6B0AE6"/>
    <w:rsid w:val="1FD9384E"/>
    <w:rsid w:val="201725C8"/>
    <w:rsid w:val="20601879"/>
    <w:rsid w:val="209B333E"/>
    <w:rsid w:val="212270F6"/>
    <w:rsid w:val="213A1625"/>
    <w:rsid w:val="21691381"/>
    <w:rsid w:val="21B24356"/>
    <w:rsid w:val="21CA15BA"/>
    <w:rsid w:val="22405E06"/>
    <w:rsid w:val="227C5DA6"/>
    <w:rsid w:val="22AF0896"/>
    <w:rsid w:val="22F707A5"/>
    <w:rsid w:val="22FF35CB"/>
    <w:rsid w:val="23040BE2"/>
    <w:rsid w:val="23403BE4"/>
    <w:rsid w:val="23686699"/>
    <w:rsid w:val="23A56F38"/>
    <w:rsid w:val="23E67263"/>
    <w:rsid w:val="242D4701"/>
    <w:rsid w:val="243A562E"/>
    <w:rsid w:val="248A3369"/>
    <w:rsid w:val="24A54079"/>
    <w:rsid w:val="24C83E91"/>
    <w:rsid w:val="24FA3908"/>
    <w:rsid w:val="257B7155"/>
    <w:rsid w:val="25B71843"/>
    <w:rsid w:val="25BF7042"/>
    <w:rsid w:val="25F807A6"/>
    <w:rsid w:val="26341F6C"/>
    <w:rsid w:val="26F91E08"/>
    <w:rsid w:val="271512FF"/>
    <w:rsid w:val="27192967"/>
    <w:rsid w:val="278B049D"/>
    <w:rsid w:val="27AA72E2"/>
    <w:rsid w:val="28173165"/>
    <w:rsid w:val="28462482"/>
    <w:rsid w:val="286E72D5"/>
    <w:rsid w:val="28F51806"/>
    <w:rsid w:val="29357D34"/>
    <w:rsid w:val="2936586D"/>
    <w:rsid w:val="297553C5"/>
    <w:rsid w:val="29A41597"/>
    <w:rsid w:val="29CF45FA"/>
    <w:rsid w:val="29FF1A1A"/>
    <w:rsid w:val="2A25006E"/>
    <w:rsid w:val="2A2E4796"/>
    <w:rsid w:val="2A552F76"/>
    <w:rsid w:val="2A68414C"/>
    <w:rsid w:val="2A7678DC"/>
    <w:rsid w:val="2A847C5B"/>
    <w:rsid w:val="2AF7727E"/>
    <w:rsid w:val="2AFC57E6"/>
    <w:rsid w:val="2B7A4421"/>
    <w:rsid w:val="2C05565E"/>
    <w:rsid w:val="2C29790B"/>
    <w:rsid w:val="2C963BB6"/>
    <w:rsid w:val="2C9E46EC"/>
    <w:rsid w:val="2CD2648D"/>
    <w:rsid w:val="2CF71713"/>
    <w:rsid w:val="2D067C4C"/>
    <w:rsid w:val="2D1F7A9D"/>
    <w:rsid w:val="2D40315E"/>
    <w:rsid w:val="2D616C31"/>
    <w:rsid w:val="2D834DF9"/>
    <w:rsid w:val="2DCD7B70"/>
    <w:rsid w:val="2DE60480"/>
    <w:rsid w:val="2E003612"/>
    <w:rsid w:val="2E78375E"/>
    <w:rsid w:val="2EC2722A"/>
    <w:rsid w:val="2EE87609"/>
    <w:rsid w:val="2F0B154A"/>
    <w:rsid w:val="2F584DDB"/>
    <w:rsid w:val="2FA379D4"/>
    <w:rsid w:val="2FBE001C"/>
    <w:rsid w:val="2FCE736A"/>
    <w:rsid w:val="30035821"/>
    <w:rsid w:val="30403475"/>
    <w:rsid w:val="309537C1"/>
    <w:rsid w:val="31750EFD"/>
    <w:rsid w:val="31C205E6"/>
    <w:rsid w:val="32A93554"/>
    <w:rsid w:val="33A15FD9"/>
    <w:rsid w:val="33B61840"/>
    <w:rsid w:val="34030A42"/>
    <w:rsid w:val="344828F8"/>
    <w:rsid w:val="344A6670"/>
    <w:rsid w:val="34701152"/>
    <w:rsid w:val="347B35FA"/>
    <w:rsid w:val="348002E4"/>
    <w:rsid w:val="3489249A"/>
    <w:rsid w:val="348F0ACB"/>
    <w:rsid w:val="34CF642A"/>
    <w:rsid w:val="34D7504D"/>
    <w:rsid w:val="35221DE7"/>
    <w:rsid w:val="35A770FE"/>
    <w:rsid w:val="35B32950"/>
    <w:rsid w:val="35BF75DF"/>
    <w:rsid w:val="3627042C"/>
    <w:rsid w:val="363D1C84"/>
    <w:rsid w:val="364810CD"/>
    <w:rsid w:val="365305C5"/>
    <w:rsid w:val="36617CA1"/>
    <w:rsid w:val="367125DA"/>
    <w:rsid w:val="369A7608"/>
    <w:rsid w:val="369E0EF6"/>
    <w:rsid w:val="36B94409"/>
    <w:rsid w:val="36D7535E"/>
    <w:rsid w:val="373552A4"/>
    <w:rsid w:val="37445C21"/>
    <w:rsid w:val="375D2B5F"/>
    <w:rsid w:val="379215D9"/>
    <w:rsid w:val="37B602DB"/>
    <w:rsid w:val="37ED5C91"/>
    <w:rsid w:val="37F039D3"/>
    <w:rsid w:val="38194CD8"/>
    <w:rsid w:val="383218F5"/>
    <w:rsid w:val="38433D36"/>
    <w:rsid w:val="387463B2"/>
    <w:rsid w:val="388A34DF"/>
    <w:rsid w:val="389D13B5"/>
    <w:rsid w:val="38A91892"/>
    <w:rsid w:val="38B642D4"/>
    <w:rsid w:val="391E271B"/>
    <w:rsid w:val="39331DC9"/>
    <w:rsid w:val="39406294"/>
    <w:rsid w:val="39497D2F"/>
    <w:rsid w:val="39785A2E"/>
    <w:rsid w:val="39FA4695"/>
    <w:rsid w:val="39FD5F33"/>
    <w:rsid w:val="3A2221C0"/>
    <w:rsid w:val="3A4C7833"/>
    <w:rsid w:val="3A5B15D7"/>
    <w:rsid w:val="3A775CE5"/>
    <w:rsid w:val="3B225C51"/>
    <w:rsid w:val="3B4E11FA"/>
    <w:rsid w:val="3B5F50F7"/>
    <w:rsid w:val="3B8E32E7"/>
    <w:rsid w:val="3C060552"/>
    <w:rsid w:val="3C335493"/>
    <w:rsid w:val="3C7D1176"/>
    <w:rsid w:val="3C912080"/>
    <w:rsid w:val="3CAF1BA3"/>
    <w:rsid w:val="3CC3186F"/>
    <w:rsid w:val="3D5B3B5C"/>
    <w:rsid w:val="3DC75184"/>
    <w:rsid w:val="3DD31485"/>
    <w:rsid w:val="3DE14523"/>
    <w:rsid w:val="3E074EFE"/>
    <w:rsid w:val="3E261732"/>
    <w:rsid w:val="3E817133"/>
    <w:rsid w:val="3E8B1D5F"/>
    <w:rsid w:val="3ECF0FD6"/>
    <w:rsid w:val="3ED92ACB"/>
    <w:rsid w:val="3F312907"/>
    <w:rsid w:val="3FCC1E51"/>
    <w:rsid w:val="3FD55988"/>
    <w:rsid w:val="400437A6"/>
    <w:rsid w:val="4036327C"/>
    <w:rsid w:val="403A3A3D"/>
    <w:rsid w:val="40D21EC7"/>
    <w:rsid w:val="40D7128C"/>
    <w:rsid w:val="41073ED6"/>
    <w:rsid w:val="41CD6CF7"/>
    <w:rsid w:val="4269060A"/>
    <w:rsid w:val="42DE7867"/>
    <w:rsid w:val="42E64638"/>
    <w:rsid w:val="432A697B"/>
    <w:rsid w:val="43454BD3"/>
    <w:rsid w:val="43A45017"/>
    <w:rsid w:val="43AB0165"/>
    <w:rsid w:val="43CC0E50"/>
    <w:rsid w:val="43D53264"/>
    <w:rsid w:val="43FC3F5B"/>
    <w:rsid w:val="43FE7FBC"/>
    <w:rsid w:val="44345C27"/>
    <w:rsid w:val="44625310"/>
    <w:rsid w:val="44F4340B"/>
    <w:rsid w:val="450D5023"/>
    <w:rsid w:val="45383663"/>
    <w:rsid w:val="456A0921"/>
    <w:rsid w:val="45F8417E"/>
    <w:rsid w:val="46013DBB"/>
    <w:rsid w:val="46362EF9"/>
    <w:rsid w:val="46951499"/>
    <w:rsid w:val="46A2053F"/>
    <w:rsid w:val="46AB7443"/>
    <w:rsid w:val="470262B2"/>
    <w:rsid w:val="477C5DA4"/>
    <w:rsid w:val="47A81BD4"/>
    <w:rsid w:val="47A90442"/>
    <w:rsid w:val="47D66741"/>
    <w:rsid w:val="48106360"/>
    <w:rsid w:val="481E59F2"/>
    <w:rsid w:val="48427933"/>
    <w:rsid w:val="48757D08"/>
    <w:rsid w:val="48855264"/>
    <w:rsid w:val="48A357EC"/>
    <w:rsid w:val="492B48C1"/>
    <w:rsid w:val="49306839"/>
    <w:rsid w:val="493A1D15"/>
    <w:rsid w:val="49D547D7"/>
    <w:rsid w:val="4A2969BA"/>
    <w:rsid w:val="4AAA2FAB"/>
    <w:rsid w:val="4ABA7028"/>
    <w:rsid w:val="4ACF1226"/>
    <w:rsid w:val="4AD7205D"/>
    <w:rsid w:val="4ADB7BCB"/>
    <w:rsid w:val="4ADF5D5F"/>
    <w:rsid w:val="4AF173EE"/>
    <w:rsid w:val="4B5C51AF"/>
    <w:rsid w:val="4B7A3887"/>
    <w:rsid w:val="4B9304A5"/>
    <w:rsid w:val="4BA30F80"/>
    <w:rsid w:val="4BA95F1B"/>
    <w:rsid w:val="4BE56910"/>
    <w:rsid w:val="4C150FBA"/>
    <w:rsid w:val="4C2C24BA"/>
    <w:rsid w:val="4C376F54"/>
    <w:rsid w:val="4C5145E8"/>
    <w:rsid w:val="4C742085"/>
    <w:rsid w:val="4C85381C"/>
    <w:rsid w:val="4CA95082"/>
    <w:rsid w:val="4CB31F72"/>
    <w:rsid w:val="4CE94821"/>
    <w:rsid w:val="4D931994"/>
    <w:rsid w:val="4DB96B59"/>
    <w:rsid w:val="4DEF478F"/>
    <w:rsid w:val="4E1A3B33"/>
    <w:rsid w:val="4E3D0275"/>
    <w:rsid w:val="4E8F45E7"/>
    <w:rsid w:val="4EA2112B"/>
    <w:rsid w:val="4EC45545"/>
    <w:rsid w:val="4EDB463D"/>
    <w:rsid w:val="4EE978AE"/>
    <w:rsid w:val="4F7223C9"/>
    <w:rsid w:val="4FE439C5"/>
    <w:rsid w:val="502433C3"/>
    <w:rsid w:val="502E69EF"/>
    <w:rsid w:val="505E56E1"/>
    <w:rsid w:val="5085479A"/>
    <w:rsid w:val="508B5BEF"/>
    <w:rsid w:val="509B0528"/>
    <w:rsid w:val="50E347CF"/>
    <w:rsid w:val="512A30A0"/>
    <w:rsid w:val="51F25BDA"/>
    <w:rsid w:val="523227C6"/>
    <w:rsid w:val="52666914"/>
    <w:rsid w:val="52F21F55"/>
    <w:rsid w:val="53087098"/>
    <w:rsid w:val="533A5ABE"/>
    <w:rsid w:val="535F7965"/>
    <w:rsid w:val="537806AC"/>
    <w:rsid w:val="53EA6C2E"/>
    <w:rsid w:val="53EB01EA"/>
    <w:rsid w:val="53FA7313"/>
    <w:rsid w:val="54115EB0"/>
    <w:rsid w:val="545F207B"/>
    <w:rsid w:val="546450D5"/>
    <w:rsid w:val="54977204"/>
    <w:rsid w:val="54997D66"/>
    <w:rsid w:val="54B83630"/>
    <w:rsid w:val="55106F91"/>
    <w:rsid w:val="55262BB8"/>
    <w:rsid w:val="553B5E36"/>
    <w:rsid w:val="5560698D"/>
    <w:rsid w:val="55801A9A"/>
    <w:rsid w:val="55CE6CAA"/>
    <w:rsid w:val="55DB7EF9"/>
    <w:rsid w:val="55E633FD"/>
    <w:rsid w:val="5606725E"/>
    <w:rsid w:val="563E3B05"/>
    <w:rsid w:val="565A22EB"/>
    <w:rsid w:val="569476CE"/>
    <w:rsid w:val="5700304C"/>
    <w:rsid w:val="572E2DAA"/>
    <w:rsid w:val="573A6BA0"/>
    <w:rsid w:val="580A1AEF"/>
    <w:rsid w:val="582E3A30"/>
    <w:rsid w:val="58744509"/>
    <w:rsid w:val="587B6F29"/>
    <w:rsid w:val="58AC7489"/>
    <w:rsid w:val="58C3061C"/>
    <w:rsid w:val="58D42829"/>
    <w:rsid w:val="59185D20"/>
    <w:rsid w:val="59253085"/>
    <w:rsid w:val="59310D69"/>
    <w:rsid w:val="597B2CA5"/>
    <w:rsid w:val="59975605"/>
    <w:rsid w:val="599B6EA3"/>
    <w:rsid w:val="59BB12F3"/>
    <w:rsid w:val="59D64D5C"/>
    <w:rsid w:val="59E85597"/>
    <w:rsid w:val="59F14D15"/>
    <w:rsid w:val="5A696FA1"/>
    <w:rsid w:val="5A955FE8"/>
    <w:rsid w:val="5AA12BDF"/>
    <w:rsid w:val="5AA4622B"/>
    <w:rsid w:val="5AE1122D"/>
    <w:rsid w:val="5B0E1379"/>
    <w:rsid w:val="5B8A5421"/>
    <w:rsid w:val="5B953DC6"/>
    <w:rsid w:val="5BFA36A0"/>
    <w:rsid w:val="5C001B87"/>
    <w:rsid w:val="5C34586C"/>
    <w:rsid w:val="5C4F641C"/>
    <w:rsid w:val="5C781EAD"/>
    <w:rsid w:val="5C79623E"/>
    <w:rsid w:val="5C8947FD"/>
    <w:rsid w:val="5CE82020"/>
    <w:rsid w:val="5D302AE9"/>
    <w:rsid w:val="5D38765E"/>
    <w:rsid w:val="5D5A0E23"/>
    <w:rsid w:val="5DA6315A"/>
    <w:rsid w:val="5DA81661"/>
    <w:rsid w:val="5DE74DAC"/>
    <w:rsid w:val="5DF53A54"/>
    <w:rsid w:val="5DFB0858"/>
    <w:rsid w:val="5E145476"/>
    <w:rsid w:val="5E260208"/>
    <w:rsid w:val="5E485C2D"/>
    <w:rsid w:val="5EF332DD"/>
    <w:rsid w:val="5EF57055"/>
    <w:rsid w:val="5F09639B"/>
    <w:rsid w:val="5F434744"/>
    <w:rsid w:val="5F9F6A80"/>
    <w:rsid w:val="5FCF3D4A"/>
    <w:rsid w:val="60082DB8"/>
    <w:rsid w:val="605B738C"/>
    <w:rsid w:val="607401A8"/>
    <w:rsid w:val="607D7175"/>
    <w:rsid w:val="607E193D"/>
    <w:rsid w:val="609A4358"/>
    <w:rsid w:val="615025B6"/>
    <w:rsid w:val="617036E2"/>
    <w:rsid w:val="61C15914"/>
    <w:rsid w:val="61E07176"/>
    <w:rsid w:val="62162102"/>
    <w:rsid w:val="625C73EB"/>
    <w:rsid w:val="629152E7"/>
    <w:rsid w:val="62AE40EB"/>
    <w:rsid w:val="62E93375"/>
    <w:rsid w:val="62EB64DB"/>
    <w:rsid w:val="636A6698"/>
    <w:rsid w:val="636C18B0"/>
    <w:rsid w:val="63D062E3"/>
    <w:rsid w:val="63D53536"/>
    <w:rsid w:val="63D731CD"/>
    <w:rsid w:val="63FD473D"/>
    <w:rsid w:val="640D6BEF"/>
    <w:rsid w:val="640E0518"/>
    <w:rsid w:val="64495558"/>
    <w:rsid w:val="644D69A3"/>
    <w:rsid w:val="64572560"/>
    <w:rsid w:val="648D2F0A"/>
    <w:rsid w:val="64F8164D"/>
    <w:rsid w:val="652369C1"/>
    <w:rsid w:val="652B701A"/>
    <w:rsid w:val="65510D5D"/>
    <w:rsid w:val="65670581"/>
    <w:rsid w:val="65A417D5"/>
    <w:rsid w:val="65F862EA"/>
    <w:rsid w:val="660F7FAA"/>
    <w:rsid w:val="6615622F"/>
    <w:rsid w:val="6647640D"/>
    <w:rsid w:val="666A5908"/>
    <w:rsid w:val="666F2670"/>
    <w:rsid w:val="669F6E32"/>
    <w:rsid w:val="66A01F9C"/>
    <w:rsid w:val="66A1772B"/>
    <w:rsid w:val="67163762"/>
    <w:rsid w:val="675B2367"/>
    <w:rsid w:val="67A81A1A"/>
    <w:rsid w:val="67D47381"/>
    <w:rsid w:val="67F36D9B"/>
    <w:rsid w:val="67F500C6"/>
    <w:rsid w:val="680432B4"/>
    <w:rsid w:val="684150B9"/>
    <w:rsid w:val="686D4100"/>
    <w:rsid w:val="687479C1"/>
    <w:rsid w:val="68CA3033"/>
    <w:rsid w:val="68E07260"/>
    <w:rsid w:val="68EA7D6B"/>
    <w:rsid w:val="68EB6F13"/>
    <w:rsid w:val="68ED244F"/>
    <w:rsid w:val="69564B94"/>
    <w:rsid w:val="6A06154D"/>
    <w:rsid w:val="6A150AB5"/>
    <w:rsid w:val="6B87197D"/>
    <w:rsid w:val="6BDB3A77"/>
    <w:rsid w:val="6C5D448C"/>
    <w:rsid w:val="6C5E15D7"/>
    <w:rsid w:val="6C6E1C84"/>
    <w:rsid w:val="6C754DD8"/>
    <w:rsid w:val="6D0A01BF"/>
    <w:rsid w:val="6D597677"/>
    <w:rsid w:val="6D822D5A"/>
    <w:rsid w:val="6D8C23F7"/>
    <w:rsid w:val="6E0946A8"/>
    <w:rsid w:val="6E1D068C"/>
    <w:rsid w:val="6E755ABD"/>
    <w:rsid w:val="6EAA77FD"/>
    <w:rsid w:val="6EC44232"/>
    <w:rsid w:val="6F4B22E3"/>
    <w:rsid w:val="6FBF379C"/>
    <w:rsid w:val="6FF40E86"/>
    <w:rsid w:val="70512A2B"/>
    <w:rsid w:val="705A7660"/>
    <w:rsid w:val="70744E31"/>
    <w:rsid w:val="70827DBA"/>
    <w:rsid w:val="708C17E3"/>
    <w:rsid w:val="709427D5"/>
    <w:rsid w:val="71285068"/>
    <w:rsid w:val="714D3EFB"/>
    <w:rsid w:val="716A5681"/>
    <w:rsid w:val="71A52B5D"/>
    <w:rsid w:val="71EA4A14"/>
    <w:rsid w:val="72470FEB"/>
    <w:rsid w:val="727F2885"/>
    <w:rsid w:val="72E26977"/>
    <w:rsid w:val="73214465"/>
    <w:rsid w:val="73B452D9"/>
    <w:rsid w:val="73D0240C"/>
    <w:rsid w:val="744F0B5E"/>
    <w:rsid w:val="74651F5F"/>
    <w:rsid w:val="74B44E65"/>
    <w:rsid w:val="74B70838"/>
    <w:rsid w:val="75142680"/>
    <w:rsid w:val="757D229D"/>
    <w:rsid w:val="75861C08"/>
    <w:rsid w:val="75B4336E"/>
    <w:rsid w:val="7621477C"/>
    <w:rsid w:val="76423819"/>
    <w:rsid w:val="76434905"/>
    <w:rsid w:val="76720CF3"/>
    <w:rsid w:val="76816FC9"/>
    <w:rsid w:val="768A40CF"/>
    <w:rsid w:val="76E4694F"/>
    <w:rsid w:val="77210BD3"/>
    <w:rsid w:val="7742316E"/>
    <w:rsid w:val="77CD0717"/>
    <w:rsid w:val="77E85551"/>
    <w:rsid w:val="78A05E2C"/>
    <w:rsid w:val="78A23952"/>
    <w:rsid w:val="78FB3062"/>
    <w:rsid w:val="797C23F5"/>
    <w:rsid w:val="79946AE4"/>
    <w:rsid w:val="79B55907"/>
    <w:rsid w:val="7AA34B52"/>
    <w:rsid w:val="7B2A40D3"/>
    <w:rsid w:val="7B5D0004"/>
    <w:rsid w:val="7B705F89"/>
    <w:rsid w:val="7BA164BD"/>
    <w:rsid w:val="7BA21E8B"/>
    <w:rsid w:val="7BB14156"/>
    <w:rsid w:val="7BB1648C"/>
    <w:rsid w:val="7BCA7A4A"/>
    <w:rsid w:val="7BE23537"/>
    <w:rsid w:val="7BF96578"/>
    <w:rsid w:val="7C167562"/>
    <w:rsid w:val="7C336FB7"/>
    <w:rsid w:val="7C356F8A"/>
    <w:rsid w:val="7C3B0C1A"/>
    <w:rsid w:val="7C436A6E"/>
    <w:rsid w:val="7C572CA5"/>
    <w:rsid w:val="7CD442F6"/>
    <w:rsid w:val="7CDA0729"/>
    <w:rsid w:val="7CF36E72"/>
    <w:rsid w:val="7D4274B2"/>
    <w:rsid w:val="7D584F27"/>
    <w:rsid w:val="7DA7346B"/>
    <w:rsid w:val="7DFB58B2"/>
    <w:rsid w:val="7E5D031B"/>
    <w:rsid w:val="7E70374D"/>
    <w:rsid w:val="7E9F77B7"/>
    <w:rsid w:val="7ECE4FDF"/>
    <w:rsid w:val="7F4F3AEF"/>
    <w:rsid w:val="7F8C6741"/>
    <w:rsid w:val="7FAF6B2C"/>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46"/>
    <w:qFormat/>
    <w:uiPriority w:val="0"/>
    <w:pPr>
      <w:keepNext/>
      <w:keepLines/>
      <w:spacing w:before="340" w:after="330" w:line="576" w:lineRule="auto"/>
      <w:outlineLvl w:val="0"/>
    </w:pPr>
    <w:rPr>
      <w:b/>
      <w:kern w:val="44"/>
      <w:sz w:val="44"/>
      <w:szCs w:val="20"/>
    </w:rPr>
  </w:style>
  <w:style w:type="paragraph" w:styleId="6">
    <w:name w:val="heading 2"/>
    <w:basedOn w:val="1"/>
    <w:next w:val="7"/>
    <w:qFormat/>
    <w:uiPriority w:val="0"/>
    <w:pPr>
      <w:keepNext/>
      <w:keepLines/>
      <w:spacing w:before="260" w:after="260" w:line="415" w:lineRule="auto"/>
      <w:outlineLvl w:val="1"/>
    </w:pPr>
    <w:rPr>
      <w:rFonts w:ascii="Arial" w:hAnsi="Arial" w:eastAsia="黑体"/>
      <w:b/>
      <w:sz w:val="32"/>
    </w:rPr>
  </w:style>
  <w:style w:type="paragraph" w:styleId="8">
    <w:name w:val="heading 3"/>
    <w:basedOn w:val="1"/>
    <w:next w:val="1"/>
    <w:qFormat/>
    <w:uiPriority w:val="0"/>
    <w:pPr>
      <w:keepNext/>
      <w:keepLines/>
      <w:spacing w:before="260" w:after="260" w:line="412" w:lineRule="auto"/>
      <w:outlineLvl w:val="2"/>
    </w:pPr>
    <w:rPr>
      <w:b/>
      <w:bCs/>
      <w:sz w:val="32"/>
      <w:szCs w:val="32"/>
    </w:rPr>
  </w:style>
  <w:style w:type="paragraph" w:styleId="9">
    <w:name w:val="heading 4"/>
    <w:basedOn w:val="1"/>
    <w:next w:val="1"/>
    <w:qFormat/>
    <w:uiPriority w:val="9"/>
    <w:pPr>
      <w:keepNext/>
      <w:keepLines/>
      <w:spacing w:before="280" w:after="290" w:line="376" w:lineRule="auto"/>
      <w:outlineLvl w:val="3"/>
    </w:pPr>
    <w:rPr>
      <w:rFonts w:ascii="Cambria" w:hAnsi="Cambria" w:eastAsia="宋体" w:cs="Times New Roman"/>
      <w:b/>
      <w:bCs/>
    </w:rPr>
  </w:style>
  <w:style w:type="paragraph" w:styleId="10">
    <w:name w:val="heading 5"/>
    <w:basedOn w:val="1"/>
    <w:next w:val="1"/>
    <w:qFormat/>
    <w:uiPriority w:val="1"/>
    <w:pPr>
      <w:spacing w:before="39"/>
      <w:ind w:left="1138"/>
      <w:outlineLvl w:val="5"/>
    </w:pPr>
    <w:rPr>
      <w:rFonts w:ascii="宋体" w:hAnsi="宋体" w:eastAsia="宋体" w:cs="宋体"/>
      <w:b/>
      <w:bCs/>
      <w:sz w:val="24"/>
      <w:szCs w:val="24"/>
      <w:lang w:val="zh-CN" w:eastAsia="zh-CN" w:bidi="zh-CN"/>
    </w:rPr>
  </w:style>
  <w:style w:type="paragraph" w:styleId="11">
    <w:name w:val="heading 6"/>
    <w:next w:val="1"/>
    <w:semiHidden/>
    <w:unhideWhenUsed/>
    <w:qFormat/>
    <w:uiPriority w:val="0"/>
    <w:pPr>
      <w:widowControl w:val="0"/>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RFI Heading 2nd Level Char"/>
    <w:basedOn w:val="1"/>
    <w:next w:val="4"/>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styleId="7">
    <w:name w:val="Normal Indent"/>
    <w:basedOn w:val="1"/>
    <w:qFormat/>
    <w:uiPriority w:val="0"/>
    <w:pPr>
      <w:ind w:firstLine="420"/>
    </w:pPr>
    <w:rPr>
      <w:szCs w:val="20"/>
    </w:rPr>
  </w:style>
  <w:style w:type="paragraph" w:styleId="12">
    <w:name w:val="annotation text"/>
    <w:basedOn w:val="1"/>
    <w:semiHidden/>
    <w:qFormat/>
    <w:uiPriority w:val="0"/>
    <w:pPr>
      <w:jc w:val="left"/>
    </w:pPr>
  </w:style>
  <w:style w:type="paragraph" w:styleId="13">
    <w:name w:val="Body Text Indent"/>
    <w:basedOn w:val="1"/>
    <w:qFormat/>
    <w:uiPriority w:val="0"/>
    <w:pPr>
      <w:ind w:left="1083" w:leftChars="30" w:hanging="1020" w:hangingChars="425"/>
    </w:pPr>
    <w:rPr>
      <w:rFonts w:ascii="宋体" w:hAnsi="宋体"/>
      <w:sz w:val="24"/>
    </w:rPr>
  </w:style>
  <w:style w:type="paragraph" w:styleId="14">
    <w:name w:val="List 2"/>
    <w:basedOn w:val="1"/>
    <w:qFormat/>
    <w:uiPriority w:val="0"/>
    <w:pPr>
      <w:ind w:left="100" w:leftChars="200" w:hanging="200" w:hangingChars="200"/>
    </w:pPr>
    <w:rPr>
      <w:szCs w:val="24"/>
    </w:rPr>
  </w:style>
  <w:style w:type="paragraph" w:styleId="15">
    <w:name w:val="Block Text"/>
    <w:basedOn w:val="1"/>
    <w:qFormat/>
    <w:uiPriority w:val="99"/>
    <w:pPr>
      <w:spacing w:after="120"/>
      <w:ind w:left="1440" w:leftChars="700" w:right="1440" w:rightChars="700"/>
    </w:pPr>
  </w:style>
  <w:style w:type="paragraph" w:styleId="16">
    <w:name w:val="toc 3"/>
    <w:basedOn w:val="1"/>
    <w:next w:val="1"/>
    <w:qFormat/>
    <w:uiPriority w:val="0"/>
    <w:pPr>
      <w:ind w:left="840" w:leftChars="400"/>
    </w:pPr>
  </w:style>
  <w:style w:type="paragraph" w:styleId="17">
    <w:name w:val="Plain Text"/>
    <w:basedOn w:val="1"/>
    <w:qFormat/>
    <w:uiPriority w:val="0"/>
    <w:rPr>
      <w:rFonts w:hint="eastAsia" w:ascii="宋体" w:hAnsi="Courier New"/>
      <w:sz w:val="24"/>
    </w:rPr>
  </w:style>
  <w:style w:type="paragraph" w:styleId="18">
    <w:name w:val="Date"/>
    <w:basedOn w:val="1"/>
    <w:next w:val="1"/>
    <w:qFormat/>
    <w:uiPriority w:val="99"/>
    <w:rPr>
      <w:kern w:val="0"/>
      <w:sz w:val="24"/>
    </w:rPr>
  </w:style>
  <w:style w:type="paragraph" w:styleId="19">
    <w:name w:val="footer"/>
    <w:basedOn w:val="1"/>
    <w:next w:val="1"/>
    <w:qFormat/>
    <w:uiPriority w:val="0"/>
    <w:pPr>
      <w:snapToGrid w:val="0"/>
      <w:jc w:val="left"/>
    </w:pPr>
    <w:rPr>
      <w:sz w:val="18"/>
      <w:szCs w:val="18"/>
    </w:rPr>
  </w:style>
  <w:style w:type="paragraph" w:styleId="20">
    <w:name w:val="envelope return"/>
    <w:basedOn w:val="1"/>
    <w:qFormat/>
    <w:uiPriority w:val="0"/>
    <w:pPr>
      <w:snapToGrid w:val="0"/>
    </w:pPr>
    <w:rPr>
      <w:rFonts w:ascii="Arial" w:hAnsi="Arial"/>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pPr>
      <w:spacing w:before="120" w:after="120"/>
      <w:jc w:val="left"/>
    </w:pPr>
    <w:rPr>
      <w:b/>
      <w:bCs/>
      <w:caps/>
      <w:sz w:val="20"/>
    </w:rPr>
  </w:style>
  <w:style w:type="paragraph" w:styleId="23">
    <w:name w:val="List"/>
    <w:basedOn w:val="1"/>
    <w:qFormat/>
    <w:uiPriority w:val="0"/>
    <w:pPr>
      <w:ind w:left="200" w:hanging="200" w:hangingChars="200"/>
    </w:pPr>
  </w:style>
  <w:style w:type="paragraph" w:styleId="24">
    <w:name w:val="toc 2"/>
    <w:basedOn w:val="1"/>
    <w:next w:val="1"/>
    <w:qFormat/>
    <w:uiPriority w:val="0"/>
    <w:pPr>
      <w:ind w:left="420" w:leftChars="200"/>
    </w:pPr>
  </w:style>
  <w:style w:type="paragraph" w:styleId="25">
    <w:name w:val="Body Text 2"/>
    <w:basedOn w:val="1"/>
    <w:qFormat/>
    <w:uiPriority w:val="0"/>
    <w:rPr>
      <w:rFonts w:ascii="楷体_GB2312" w:hAnsi="Copperplate Gothic Bold" w:eastAsia="楷体_GB2312"/>
      <w:kern w:val="2"/>
      <w:sz w:val="28"/>
    </w:rPr>
  </w:style>
  <w:style w:type="paragraph" w:styleId="26">
    <w:name w:val="Normal (Web)"/>
    <w:basedOn w:val="1"/>
    <w:next w:val="20"/>
    <w:qFormat/>
    <w:uiPriority w:val="0"/>
    <w:pPr>
      <w:jc w:val="left"/>
    </w:pPr>
    <w:rPr>
      <w:kern w:val="0"/>
      <w:sz w:val="24"/>
      <w:szCs w:val="24"/>
    </w:rPr>
  </w:style>
  <w:style w:type="paragraph" w:styleId="27">
    <w:name w:val="Title"/>
    <w:basedOn w:val="1"/>
    <w:next w:val="1"/>
    <w:qFormat/>
    <w:uiPriority w:val="10"/>
    <w:pPr>
      <w:spacing w:before="240" w:after="60"/>
      <w:jc w:val="center"/>
      <w:outlineLvl w:val="0"/>
    </w:pPr>
    <w:rPr>
      <w:rFonts w:ascii="Cambria" w:hAnsi="Cambria"/>
      <w:b/>
      <w:color w:val="000000"/>
      <w:kern w:val="0"/>
      <w:sz w:val="32"/>
      <w:szCs w:val="32"/>
    </w:rPr>
  </w:style>
  <w:style w:type="paragraph" w:styleId="28">
    <w:name w:val="Body Text First Indent"/>
    <w:basedOn w:val="2"/>
    <w:qFormat/>
    <w:uiPriority w:val="0"/>
    <w:pPr>
      <w:spacing w:after="120" w:afterLines="0" w:afterAutospacing="0"/>
      <w:ind w:firstLine="420" w:firstLineChars="100"/>
    </w:pPr>
    <w:rPr>
      <w:sz w:val="21"/>
    </w:rPr>
  </w:style>
  <w:style w:type="paragraph" w:styleId="29">
    <w:name w:val="Body Text First Indent 2"/>
    <w:basedOn w:val="13"/>
    <w:unhideWhenUsed/>
    <w:qFormat/>
    <w:uiPriority w:val="99"/>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7"/>
      <w:szCs w:val="27"/>
    </w:rPr>
  </w:style>
  <w:style w:type="character" w:styleId="34">
    <w:name w:val="FollowedHyperlink"/>
    <w:basedOn w:val="32"/>
    <w:qFormat/>
    <w:uiPriority w:val="0"/>
    <w:rPr>
      <w:color w:val="333333"/>
      <w:u w:val="none"/>
    </w:rPr>
  </w:style>
  <w:style w:type="character" w:styleId="35">
    <w:name w:val="Emphasis"/>
    <w:basedOn w:val="32"/>
    <w:qFormat/>
    <w:uiPriority w:val="0"/>
  </w:style>
  <w:style w:type="character" w:styleId="36">
    <w:name w:val="HTML Definition"/>
    <w:basedOn w:val="32"/>
    <w:qFormat/>
    <w:uiPriority w:val="0"/>
    <w:rPr>
      <w:i/>
      <w:iCs/>
    </w:rPr>
  </w:style>
  <w:style w:type="character" w:styleId="37">
    <w:name w:val="HTML Typewriter"/>
    <w:basedOn w:val="32"/>
    <w:qFormat/>
    <w:uiPriority w:val="0"/>
    <w:rPr>
      <w:rFonts w:hint="default" w:ascii="monospace" w:hAnsi="monospace" w:eastAsia="monospace" w:cs="monospace"/>
      <w:sz w:val="20"/>
    </w:rPr>
  </w:style>
  <w:style w:type="character" w:styleId="38">
    <w:name w:val="HTML Acronym"/>
    <w:basedOn w:val="32"/>
    <w:qFormat/>
    <w:uiPriority w:val="0"/>
  </w:style>
  <w:style w:type="character" w:styleId="39">
    <w:name w:val="HTML Variable"/>
    <w:basedOn w:val="32"/>
    <w:qFormat/>
    <w:uiPriority w:val="0"/>
  </w:style>
  <w:style w:type="character" w:styleId="40">
    <w:name w:val="Hyperlink"/>
    <w:basedOn w:val="32"/>
    <w:qFormat/>
    <w:uiPriority w:val="0"/>
    <w:rPr>
      <w:color w:val="333333"/>
      <w:u w:val="none"/>
    </w:rPr>
  </w:style>
  <w:style w:type="character" w:styleId="41">
    <w:name w:val="HTML Code"/>
    <w:basedOn w:val="32"/>
    <w:qFormat/>
    <w:uiPriority w:val="0"/>
    <w:rPr>
      <w:rFonts w:ascii="Consolas" w:hAnsi="Consolas" w:eastAsia="Consolas" w:cs="Consolas"/>
      <w:color w:val="C7254E"/>
      <w:sz w:val="21"/>
      <w:szCs w:val="21"/>
      <w:shd w:val="clear" w:fill="F9F2F4"/>
    </w:rPr>
  </w:style>
  <w:style w:type="character" w:styleId="42">
    <w:name w:val="HTML Cite"/>
    <w:basedOn w:val="32"/>
    <w:qFormat/>
    <w:uiPriority w:val="0"/>
  </w:style>
  <w:style w:type="character" w:styleId="43">
    <w:name w:val="HTML Keyboard"/>
    <w:basedOn w:val="32"/>
    <w:qFormat/>
    <w:uiPriority w:val="0"/>
    <w:rPr>
      <w:rFonts w:hint="default" w:ascii="Consolas" w:hAnsi="Consolas" w:eastAsia="Consolas" w:cs="Consolas"/>
      <w:color w:val="FFFFFF"/>
      <w:sz w:val="21"/>
      <w:szCs w:val="21"/>
      <w:shd w:val="clear" w:fill="333333"/>
    </w:rPr>
  </w:style>
  <w:style w:type="character" w:styleId="44">
    <w:name w:val="HTML Sample"/>
    <w:basedOn w:val="32"/>
    <w:qFormat/>
    <w:uiPriority w:val="0"/>
    <w:rPr>
      <w:rFonts w:hint="default" w:ascii="Consolas" w:hAnsi="Consolas" w:eastAsia="Consolas" w:cs="Consolas"/>
      <w:sz w:val="21"/>
      <w:szCs w:val="21"/>
    </w:rPr>
  </w:style>
  <w:style w:type="paragraph" w:customStyle="1" w:styleId="45">
    <w:name w:val="*正文"/>
    <w:basedOn w:val="1"/>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46">
    <w:name w:val="标题 1 Char"/>
    <w:link w:val="5"/>
    <w:qFormat/>
    <w:uiPriority w:val="0"/>
    <w:rPr>
      <w:b/>
      <w:kern w:val="44"/>
      <w:sz w:val="44"/>
      <w:szCs w:val="20"/>
    </w:rPr>
  </w:style>
  <w:style w:type="paragraph" w:customStyle="1" w:styleId="47">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48">
    <w:name w:val="Style1"/>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49">
    <w:name w:val="NormalIndent"/>
    <w:basedOn w:val="1"/>
    <w:qFormat/>
    <w:uiPriority w:val="0"/>
    <w:pPr>
      <w:spacing w:line="240" w:lineRule="auto"/>
      <w:ind w:firstLine="420"/>
      <w:jc w:val="both"/>
      <w:textAlignment w:val="baseline"/>
    </w:pPr>
  </w:style>
  <w:style w:type="paragraph" w:customStyle="1" w:styleId="50">
    <w:name w:val="正文缩进1"/>
    <w:basedOn w:val="1"/>
    <w:qFormat/>
    <w:uiPriority w:val="0"/>
    <w:pPr>
      <w:ind w:firstLine="420" w:firstLineChars="200"/>
    </w:pPr>
  </w:style>
  <w:style w:type="paragraph" w:customStyle="1" w:styleId="51">
    <w:name w:val="首行缩进"/>
    <w:basedOn w:val="1"/>
    <w:qFormat/>
    <w:uiPriority w:val="0"/>
    <w:pPr>
      <w:spacing w:line="360" w:lineRule="auto"/>
      <w:ind w:firstLine="480" w:firstLineChars="200"/>
    </w:pPr>
    <w:rPr>
      <w:sz w:val="24"/>
      <w:szCs w:val="22"/>
      <w:lang w:val="zh-CN"/>
    </w:rPr>
  </w:style>
  <w:style w:type="paragraph" w:customStyle="1" w:styleId="5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3">
    <w:name w:val="3级"/>
    <w:basedOn w:val="54"/>
    <w:qFormat/>
    <w:uiPriority w:val="0"/>
    <w:pPr>
      <w:numPr>
        <w:ilvl w:val="0"/>
        <w:numId w:val="1"/>
      </w:numPr>
      <w:ind w:firstLineChars="0"/>
      <w:outlineLvl w:val="2"/>
    </w:pPr>
  </w:style>
  <w:style w:type="paragraph" w:customStyle="1" w:styleId="54">
    <w:name w:val="列出段落1"/>
    <w:basedOn w:val="1"/>
    <w:qFormat/>
    <w:uiPriority w:val="0"/>
    <w:pPr>
      <w:ind w:firstLine="420" w:firstLineChars="200"/>
    </w:pPr>
    <w:rPr>
      <w:rFonts w:ascii="Calibri" w:hAnsi="Calibri"/>
      <w:szCs w:val="22"/>
    </w:rPr>
  </w:style>
  <w:style w:type="paragraph" w:customStyle="1" w:styleId="55">
    <w:name w:val="Table Paragraph"/>
    <w:basedOn w:val="1"/>
    <w:qFormat/>
    <w:uiPriority w:val="1"/>
    <w:rPr>
      <w:rFonts w:ascii="宋体" w:hAnsi="宋体" w:eastAsia="宋体" w:cs="宋体"/>
      <w:lang w:val="en-US" w:eastAsia="zh-CN" w:bidi="ar-SA"/>
    </w:rPr>
  </w:style>
  <w:style w:type="character" w:customStyle="1" w:styleId="56">
    <w:name w:val="indent"/>
    <w:basedOn w:val="32"/>
    <w:qFormat/>
    <w:uiPriority w:val="0"/>
  </w:style>
  <w:style w:type="character" w:customStyle="1" w:styleId="57">
    <w:name w:val="hour_am"/>
    <w:basedOn w:val="32"/>
    <w:qFormat/>
    <w:uiPriority w:val="0"/>
  </w:style>
  <w:style w:type="character" w:customStyle="1" w:styleId="58">
    <w:name w:val="hover3"/>
    <w:basedOn w:val="32"/>
    <w:qFormat/>
    <w:uiPriority w:val="0"/>
    <w:rPr>
      <w:shd w:val="clear" w:fill="EEEEEE"/>
    </w:rPr>
  </w:style>
  <w:style w:type="character" w:customStyle="1" w:styleId="59">
    <w:name w:val="hour_pm"/>
    <w:basedOn w:val="32"/>
    <w:qFormat/>
    <w:uiPriority w:val="0"/>
  </w:style>
  <w:style w:type="character" w:customStyle="1" w:styleId="60">
    <w:name w:val="old"/>
    <w:basedOn w:val="32"/>
    <w:qFormat/>
    <w:uiPriority w:val="0"/>
    <w:rPr>
      <w:color w:val="999999"/>
    </w:rPr>
  </w:style>
  <w:style w:type="character" w:customStyle="1" w:styleId="61">
    <w:name w:val="glyphicon4"/>
    <w:basedOn w:val="32"/>
    <w:qFormat/>
    <w:uiPriority w:val="0"/>
  </w:style>
  <w:style w:type="character" w:customStyle="1" w:styleId="62">
    <w:name w:val="button"/>
    <w:basedOn w:val="32"/>
    <w:qFormat/>
    <w:uiPriority w:val="0"/>
  </w:style>
  <w:style w:type="character" w:customStyle="1" w:styleId="63">
    <w:name w:val="tmpztreemove_arrow"/>
    <w:basedOn w:val="32"/>
    <w:qFormat/>
    <w:uiPriority w:val="0"/>
    <w:rPr>
      <w:shd w:val="clear" w:fill="FFFFFF"/>
    </w:rPr>
  </w:style>
  <w:style w:type="character" w:customStyle="1" w:styleId="64">
    <w:name w:val="hover"/>
    <w:basedOn w:val="32"/>
    <w:qFormat/>
    <w:uiPriority w:val="0"/>
    <w:rPr>
      <w:shd w:val="clear" w:fill="EEEEEE"/>
    </w:rPr>
  </w:style>
  <w:style w:type="paragraph" w:customStyle="1" w:styleId="65">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6">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7">
    <w:name w:val="phone"/>
    <w:basedOn w:val="32"/>
    <w:qFormat/>
    <w:uiPriority w:val="0"/>
    <w:rPr>
      <w:color w:val="FF8833"/>
      <w:sz w:val="18"/>
      <w:szCs w:val="18"/>
    </w:rPr>
  </w:style>
  <w:style w:type="character" w:customStyle="1" w:styleId="68">
    <w:name w:val="number"/>
    <w:basedOn w:val="32"/>
    <w:qFormat/>
    <w:uiPriority w:val="0"/>
    <w:rPr>
      <w:color w:val="FF8833"/>
      <w:sz w:val="18"/>
      <w:szCs w:val="18"/>
    </w:rPr>
  </w:style>
  <w:style w:type="character" w:customStyle="1" w:styleId="69">
    <w:name w:val="proollist"/>
    <w:basedOn w:val="32"/>
    <w:qFormat/>
    <w:uiPriority w:val="0"/>
  </w:style>
  <w:style w:type="character" w:customStyle="1" w:styleId="70">
    <w:name w:val="beforeinfotext"/>
    <w:basedOn w:val="32"/>
    <w:qFormat/>
    <w:uiPriority w:val="0"/>
    <w:rPr>
      <w:color w:val="666666"/>
    </w:rPr>
  </w:style>
  <w:style w:type="character" w:customStyle="1" w:styleId="71">
    <w:name w:val="stclosebtn"/>
    <w:basedOn w:val="32"/>
    <w:qFormat/>
    <w:uiPriority w:val="0"/>
  </w:style>
  <w:style w:type="paragraph" w:customStyle="1" w:styleId="72">
    <w:name w:val="Heading #1|1"/>
    <w:basedOn w:val="1"/>
    <w:qFormat/>
    <w:uiPriority w:val="0"/>
    <w:pPr>
      <w:widowControl w:val="0"/>
      <w:shd w:val="clear" w:color="auto" w:fill="auto"/>
      <w:spacing w:after="240"/>
      <w:jc w:val="center"/>
      <w:outlineLvl w:val="0"/>
    </w:pPr>
    <w:rPr>
      <w:rFonts w:ascii="宋体" w:hAnsi="宋体" w:eastAsia="宋体" w:cs="宋体"/>
      <w:sz w:val="40"/>
      <w:szCs w:val="40"/>
      <w:u w:val="none"/>
      <w:shd w:val="clear" w:color="auto" w:fill="auto"/>
      <w:lang w:val="zh-TW" w:eastAsia="zh-TW" w:bidi="zh-TW"/>
    </w:rPr>
  </w:style>
  <w:style w:type="paragraph" w:customStyle="1" w:styleId="73">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styleId="74">
    <w:name w:val="List Paragraph"/>
    <w:basedOn w:val="1"/>
    <w:qFormat/>
    <w:uiPriority w:val="34"/>
    <w:pPr>
      <w:ind w:firstLine="420" w:firstLineChars="200"/>
    </w:pPr>
  </w:style>
  <w:style w:type="character" w:customStyle="1" w:styleId="75">
    <w:name w:val="glyphicon"/>
    <w:basedOn w:val="32"/>
    <w:qFormat/>
    <w:uiPriority w:val="0"/>
  </w:style>
  <w:style w:type="paragraph" w:customStyle="1" w:styleId="76">
    <w:name w:val="WPSOffice手动目录 1"/>
    <w:qFormat/>
    <w:uiPriority w:val="0"/>
    <w:pPr>
      <w:ind w:leftChars="0"/>
    </w:pPr>
    <w:rPr>
      <w:rFonts w:ascii="Times New Roman" w:hAnsi="Times New Roman" w:eastAsia="宋体" w:cs="Times New Roman"/>
      <w:sz w:val="20"/>
      <w:szCs w:val="20"/>
    </w:rPr>
  </w:style>
  <w:style w:type="paragraph" w:customStyle="1" w:styleId="77">
    <w:name w:val="WPSOffice手动目录 2"/>
    <w:qFormat/>
    <w:uiPriority w:val="0"/>
    <w:pPr>
      <w:ind w:leftChars="200"/>
    </w:pPr>
    <w:rPr>
      <w:rFonts w:ascii="Times New Roman" w:hAnsi="Times New Roman" w:eastAsia="宋体" w:cs="Times New Roman"/>
      <w:sz w:val="20"/>
      <w:szCs w:val="20"/>
    </w:rPr>
  </w:style>
  <w:style w:type="paragraph" w:customStyle="1" w:styleId="78">
    <w:name w:val="WPSOffice手动目录 3"/>
    <w:qFormat/>
    <w:uiPriority w:val="0"/>
    <w:pPr>
      <w:ind w:leftChars="400"/>
    </w:pPr>
    <w:rPr>
      <w:rFonts w:ascii="Times New Roman" w:hAnsi="Times New Roman" w:eastAsia="宋体" w:cs="Times New Roman"/>
      <w:sz w:val="20"/>
      <w:szCs w:val="20"/>
    </w:rPr>
  </w:style>
  <w:style w:type="character" w:customStyle="1" w:styleId="79">
    <w:name w:val="NormalCharacter"/>
    <w:link w:val="80"/>
    <w:semiHidden/>
    <w:qFormat/>
    <w:uiPriority w:val="0"/>
  </w:style>
  <w:style w:type="paragraph" w:customStyle="1" w:styleId="80">
    <w:name w:val="UserStyle_34"/>
    <w:basedOn w:val="1"/>
    <w:link w:val="79"/>
    <w:qFormat/>
    <w:uiPriority w:val="0"/>
  </w:style>
  <w:style w:type="character" w:customStyle="1" w:styleId="81">
    <w:name w:val="size"/>
    <w:basedOn w:val="32"/>
    <w:qFormat/>
    <w:uiPriority w:val="0"/>
    <w:rPr>
      <w:i/>
      <w:iCs/>
      <w:sz w:val="15"/>
      <w:szCs w:val="15"/>
    </w:rPr>
  </w:style>
  <w:style w:type="character" w:customStyle="1" w:styleId="82">
    <w:name w:val="me_close"/>
    <w:basedOn w:val="32"/>
    <w:qFormat/>
    <w:uiPriority w:val="0"/>
    <w:rPr>
      <w:b/>
      <w:bCs/>
      <w:color w:val="FFFFFF"/>
      <w:sz w:val="18"/>
      <w:szCs w:val="18"/>
      <w:shd w:val="clear" w:fill="6843FF"/>
    </w:rPr>
  </w:style>
  <w:style w:type="table" w:customStyle="1" w:styleId="83">
    <w:name w:val="Table Normal"/>
    <w:semiHidden/>
    <w:unhideWhenUsed/>
    <w:qFormat/>
    <w:uiPriority w:val="0"/>
    <w:tblPr>
      <w:tblCellMar>
        <w:top w:w="0" w:type="dxa"/>
        <w:left w:w="0" w:type="dxa"/>
        <w:bottom w:w="0" w:type="dxa"/>
        <w:right w:w="0" w:type="dxa"/>
      </w:tblCellMar>
    </w:tblPr>
  </w:style>
  <w:style w:type="character" w:customStyle="1" w:styleId="84">
    <w:name w:val="cke_colorbox"/>
    <w:basedOn w:val="32"/>
    <w:qFormat/>
    <w:uiPriority w:val="0"/>
    <w:rPr>
      <w:bdr w:val="single" w:color="808080" w:sz="6" w:space="0"/>
    </w:rPr>
  </w:style>
  <w:style w:type="character" w:customStyle="1" w:styleId="85">
    <w:name w:val="required"/>
    <w:basedOn w:val="32"/>
    <w:qFormat/>
    <w:uiPriority w:val="0"/>
    <w:rPr>
      <w:color w:val="FF0000"/>
    </w:rPr>
  </w:style>
  <w:style w:type="character" w:customStyle="1" w:styleId="86">
    <w:name w:val="cke_colorbox1"/>
    <w:basedOn w:val="32"/>
    <w:qFormat/>
    <w:uiPriority w:val="0"/>
    <w:rPr>
      <w:bdr w:val="single" w:color="808080" w:sz="6" w:space="0"/>
    </w:rPr>
  </w:style>
  <w:style w:type="character" w:customStyle="1" w:styleId="87">
    <w:name w:val="mini-tree-nodetext3"/>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39148</Words>
  <Characters>41447</Characters>
  <Lines>0</Lines>
  <Paragraphs>0</Paragraphs>
  <TotalTime>0</TotalTime>
  <ScaleCrop>false</ScaleCrop>
  <LinksUpToDate>false</LinksUpToDate>
  <CharactersWithSpaces>43860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RT</cp:lastModifiedBy>
  <cp:lastPrinted>2023-08-15T07:37:00Z</cp:lastPrinted>
  <dcterms:modified xsi:type="dcterms:W3CDTF">2023-08-21T03:39:31Z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0B761E707A384B828F09C8B185A28319</vt:lpwstr>
  </property>
</Properties>
</file>