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center" w:pos="4539"/>
        </w:tabs>
        <w:spacing w:before="0" w:beforeAutospacing="0" w:after="0" w:afterAutospacing="0" w:line="240" w:lineRule="auto"/>
        <w:ind w:left="0" w:right="0"/>
        <w:jc w:val="left"/>
        <w:rPr>
          <w:rFonts w:hint="eastAsia" w:ascii="宋体" w:hAnsi="宋体" w:eastAsia="宋体" w:cs="宋体"/>
          <w:color w:val="auto"/>
          <w:lang w:val="en-US"/>
        </w:rPr>
      </w:pPr>
      <w:bookmarkStart w:id="0" w:name="_Toc20135"/>
      <w:bookmarkStart w:id="1" w:name="_Toc21160"/>
      <w:bookmarkStart w:id="2" w:name="_Toc6774"/>
      <w:bookmarkStart w:id="3" w:name="_Toc10513"/>
      <w:bookmarkStart w:id="4" w:name="_Toc7047"/>
      <w:bookmarkStart w:id="5" w:name="_Toc852"/>
      <w:bookmarkStart w:id="6" w:name="_Toc1"/>
      <w:r>
        <w:rPr>
          <w:rFonts w:hint="eastAsia" w:ascii="宋体" w:hAnsi="宋体" w:eastAsia="宋体" w:cs="宋体"/>
          <w:color w:val="auto"/>
          <w:kern w:val="2"/>
          <w:sz w:val="28"/>
          <w:szCs w:val="28"/>
          <w:lang w:val="en-US" w:eastAsia="zh-CN" w:bidi="ar"/>
        </w:rPr>
        <w:drawing>
          <wp:inline distT="0" distB="0" distL="114300" distR="114300">
            <wp:extent cx="1104900" cy="714375"/>
            <wp:effectExtent l="0" t="0" r="0" b="0"/>
            <wp:docPr id="6" name="图片 1" descr="3aedbe8b3c1672e77c38d34b9b1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3aedbe8b3c1672e77c38d34b9b13902"/>
                    <pic:cNvPicPr>
                      <a:picLocks noChangeAspect="1"/>
                    </pic:cNvPicPr>
                  </pic:nvPicPr>
                  <pic:blipFill>
                    <a:blip r:embed="rId28"/>
                    <a:stretch>
                      <a:fillRect/>
                    </a:stretch>
                  </pic:blipFill>
                  <pic:spPr>
                    <a:xfrm>
                      <a:off x="0" y="0"/>
                      <a:ext cx="1104900" cy="714375"/>
                    </a:xfrm>
                    <a:prstGeom prst="rect">
                      <a:avLst/>
                    </a:prstGeom>
                    <a:noFill/>
                    <a:ln>
                      <a:noFill/>
                    </a:ln>
                  </pic:spPr>
                </pic:pic>
              </a:graphicData>
            </a:graphic>
          </wp:inline>
        </w:drawing>
      </w:r>
      <w:r>
        <w:rPr>
          <w:rFonts w:hint="eastAsia" w:ascii="宋体" w:hAnsi="宋体" w:eastAsia="宋体" w:cs="宋体"/>
          <w:color w:val="auto"/>
          <w:kern w:val="2"/>
          <w:sz w:val="28"/>
          <w:szCs w:val="28"/>
          <w:lang w:val="en-US" w:eastAsia="zh-CN" w:bidi="ar"/>
        </w:rPr>
        <w:tab/>
      </w:r>
    </w:p>
    <w:p>
      <w:pPr>
        <w:keepNext w:val="0"/>
        <w:keepLines w:val="0"/>
        <w:widowControl/>
        <w:suppressLineNumbers w:val="0"/>
        <w:spacing w:before="0" w:beforeAutospacing="0" w:after="0" w:afterAutospacing="0" w:line="400" w:lineRule="exact"/>
        <w:ind w:left="0" w:right="0"/>
        <w:jc w:val="left"/>
        <w:outlineLvl w:val="0"/>
        <w:rPr>
          <w:rFonts w:hint="eastAsia" w:ascii="宋体" w:hAnsi="宋体" w:eastAsia="宋体" w:cs="宋体"/>
          <w:b/>
          <w:bCs w:val="0"/>
          <w:color w:val="auto"/>
          <w:sz w:val="10"/>
          <w:szCs w:val="10"/>
          <w:lang w:val="en-US"/>
        </w:rPr>
      </w:pPr>
      <w:bookmarkStart w:id="7" w:name="_Toc22431"/>
      <w:bookmarkStart w:id="8" w:name="_Toc18013"/>
      <w:r>
        <w:rPr>
          <w:rFonts w:hint="eastAsia" w:ascii="宋体" w:hAnsi="宋体" w:eastAsia="宋体" w:cs="宋体"/>
          <w:b/>
          <w:bCs w:val="0"/>
          <w:color w:val="auto"/>
          <w:kern w:val="2"/>
          <w:sz w:val="32"/>
          <w:szCs w:val="32"/>
          <w:lang w:val="en-US" w:eastAsia="zh-CN" w:bidi="ar"/>
        </w:rPr>
        <w:t>采购项目编号：</w:t>
      </w:r>
      <w:bookmarkEnd w:id="7"/>
      <w:bookmarkEnd w:id="8"/>
      <w:r>
        <w:rPr>
          <w:rFonts w:hint="eastAsia" w:ascii="宋体" w:hAnsi="宋体" w:eastAsia="宋体" w:cs="宋体"/>
          <w:b/>
          <w:bCs w:val="0"/>
          <w:color w:val="auto"/>
          <w:kern w:val="2"/>
          <w:sz w:val="32"/>
          <w:szCs w:val="32"/>
          <w:lang w:val="en-US" w:eastAsia="zh-CN" w:bidi="ar"/>
        </w:rPr>
        <w:t>SXXSJ2023-37</w:t>
      </w: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lang w:val="en-US"/>
        </w:rPr>
      </w:pPr>
    </w:p>
    <w:p>
      <w:pPr>
        <w:pStyle w:val="12"/>
        <w:widowControl/>
        <w:spacing w:before="0" w:beforeAutospacing="0" w:after="0" w:afterAutospacing="0" w:line="0" w:lineRule="atLeast"/>
        <w:ind w:left="0" w:right="0"/>
        <w:rPr>
          <w:rFonts w:hint="eastAsia" w:ascii="宋体" w:hAnsi="宋体" w:eastAsia="宋体" w:cs="宋体"/>
          <w:color w:val="auto"/>
          <w:lang w:val="en-US"/>
        </w:rPr>
      </w:pPr>
    </w:p>
    <w:p>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color w:val="auto"/>
          <w:kern w:val="2"/>
          <w:sz w:val="56"/>
          <w:szCs w:val="56"/>
          <w:lang w:val="en-US" w:eastAsia="zh-CN" w:bidi="ar"/>
        </w:rPr>
      </w:pPr>
      <w:r>
        <w:rPr>
          <w:rFonts w:hint="eastAsia" w:ascii="宋体" w:hAnsi="宋体" w:eastAsia="宋体" w:cs="宋体"/>
          <w:color w:val="auto"/>
          <w:kern w:val="2"/>
          <w:sz w:val="56"/>
          <w:szCs w:val="56"/>
          <w:lang w:val="en-US" w:eastAsia="zh-CN" w:bidi="ar"/>
        </w:rPr>
        <w:t>榆林市水资源中心采购榆林市</w:t>
      </w:r>
    </w:p>
    <w:p>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color w:val="auto"/>
          <w:kern w:val="2"/>
          <w:sz w:val="56"/>
          <w:szCs w:val="56"/>
          <w:lang w:val="en-US" w:eastAsia="zh-CN" w:bidi="ar"/>
        </w:rPr>
      </w:pPr>
      <w:r>
        <w:rPr>
          <w:rFonts w:hint="eastAsia" w:ascii="宋体" w:hAnsi="宋体" w:eastAsia="宋体" w:cs="宋体"/>
          <w:color w:val="auto"/>
          <w:kern w:val="2"/>
          <w:sz w:val="56"/>
          <w:szCs w:val="56"/>
          <w:lang w:val="en-US" w:eastAsia="zh-CN" w:bidi="ar"/>
        </w:rPr>
        <w:t xml:space="preserve">节水载体建设项目 </w:t>
      </w:r>
    </w:p>
    <w:p>
      <w:pPr>
        <w:pStyle w:val="5"/>
        <w:rPr>
          <w:rFonts w:hint="eastAsia" w:ascii="宋体" w:hAnsi="宋体" w:eastAsia="宋体" w:cs="宋体"/>
          <w:color w:val="auto"/>
          <w:kern w:val="2"/>
          <w:sz w:val="56"/>
          <w:szCs w:val="56"/>
          <w:lang w:val="en-US" w:eastAsia="zh-CN" w:bidi="ar"/>
        </w:rPr>
      </w:pPr>
    </w:p>
    <w:p>
      <w:pPr>
        <w:rPr>
          <w:rFonts w:hint="eastAsia" w:ascii="宋体" w:hAnsi="宋体" w:eastAsia="宋体" w:cs="宋体"/>
          <w:color w:val="auto"/>
          <w:lang w:val="en-US" w:eastAsia="zh-CN"/>
        </w:rPr>
      </w:pP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96"/>
          <w:szCs w:val="96"/>
          <w:lang w:val="en-US" w:eastAsia="zh-CN" w:bidi="ar"/>
        </w:rPr>
      </w:pPr>
      <w:r>
        <w:rPr>
          <w:rFonts w:hint="eastAsia" w:ascii="宋体" w:hAnsi="宋体" w:eastAsia="宋体" w:cs="宋体"/>
          <w:color w:val="auto"/>
          <w:kern w:val="2"/>
          <w:sz w:val="96"/>
          <w:szCs w:val="96"/>
          <w:lang w:val="en-US" w:eastAsia="zh-CN" w:bidi="ar"/>
        </w:rPr>
        <w:t>竞争性谈判文件</w:t>
      </w:r>
    </w:p>
    <w:p>
      <w:pPr>
        <w:pStyle w:val="21"/>
        <w:rPr>
          <w:rFonts w:hint="eastAsia" w:ascii="宋体" w:hAnsi="宋体" w:eastAsia="宋体" w:cs="宋体"/>
          <w:color w:val="auto"/>
          <w:lang w:val="en-US"/>
        </w:rPr>
      </w:pPr>
    </w:p>
    <w:p>
      <w:pPr>
        <w:keepNext w:val="0"/>
        <w:keepLines w:val="0"/>
        <w:widowControl w:val="0"/>
        <w:suppressLineNumbers w:val="0"/>
        <w:autoSpaceDE w:val="0"/>
        <w:autoSpaceDN w:val="0"/>
        <w:snapToGrid w:val="0"/>
        <w:spacing w:before="0" w:beforeAutospacing="0" w:after="0" w:afterAutospacing="0" w:line="900" w:lineRule="exact"/>
        <w:ind w:left="0" w:right="0"/>
        <w:jc w:val="both"/>
        <w:rPr>
          <w:rFonts w:hint="eastAsia" w:ascii="宋体" w:hAnsi="宋体" w:eastAsia="宋体" w:cs="宋体"/>
          <w:bCs/>
          <w:color w:val="auto"/>
          <w:sz w:val="32"/>
          <w:szCs w:val="32"/>
          <w:lang w:val="en-US"/>
        </w:rPr>
      </w:pPr>
    </w:p>
    <w:p>
      <w:pPr>
        <w:pStyle w:val="12"/>
        <w:rPr>
          <w:rFonts w:hint="eastAsia" w:ascii="宋体" w:hAnsi="宋体" w:eastAsia="宋体" w:cs="宋体"/>
          <w:color w:val="auto"/>
          <w:lang w:val="en-US"/>
        </w:rPr>
      </w:pPr>
    </w:p>
    <w:p>
      <w:pPr>
        <w:pStyle w:val="32"/>
        <w:widowControl/>
        <w:spacing w:line="0" w:lineRule="atLeast"/>
        <w:ind w:left="0" w:firstLine="0" w:firstLineChars="0"/>
        <w:rPr>
          <w:rFonts w:hint="eastAsia" w:ascii="宋体" w:hAnsi="宋体" w:eastAsia="宋体" w:cs="宋体"/>
          <w:color w:val="auto"/>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lang w:val="en-US"/>
        </w:rPr>
      </w:pPr>
    </w:p>
    <w:p>
      <w:pPr>
        <w:keepNext w:val="0"/>
        <w:keepLines w:val="0"/>
        <w:widowControl w:val="0"/>
        <w:suppressLineNumbers w:val="0"/>
        <w:autoSpaceDE w:val="0"/>
        <w:autoSpaceDN w:val="0"/>
        <w:snapToGrid w:val="0"/>
        <w:spacing w:before="0" w:beforeAutospacing="0" w:after="0" w:afterAutospacing="0" w:line="900" w:lineRule="exact"/>
        <w:ind w:left="0" w:right="0" w:firstLine="964" w:firstLineChars="300"/>
        <w:jc w:val="both"/>
        <w:rPr>
          <w:rFonts w:hint="eastAsia" w:ascii="宋体" w:hAnsi="宋体" w:eastAsia="宋体" w:cs="宋体"/>
          <w:b/>
          <w:bCs w:val="0"/>
          <w:color w:val="auto"/>
          <w:sz w:val="32"/>
          <w:szCs w:val="32"/>
          <w:lang w:val="en-US"/>
        </w:rPr>
      </w:pPr>
      <w:bookmarkStart w:id="9" w:name="OLE_LINK43"/>
      <w:r>
        <w:rPr>
          <w:rFonts w:hint="eastAsia" w:ascii="宋体" w:hAnsi="宋体" w:eastAsia="宋体" w:cs="宋体"/>
          <w:b/>
          <w:bCs w:val="0"/>
          <w:color w:val="auto"/>
          <w:kern w:val="2"/>
          <w:sz w:val="32"/>
          <w:szCs w:val="32"/>
          <w:lang w:val="en-US" w:eastAsia="zh-CN" w:bidi="ar"/>
        </w:rPr>
        <w:t>采购人：榆林市水资源中心</w:t>
      </w:r>
    </w:p>
    <w:p>
      <w:pPr>
        <w:keepNext w:val="0"/>
        <w:keepLines w:val="0"/>
        <w:widowControl w:val="0"/>
        <w:suppressLineNumbers w:val="0"/>
        <w:autoSpaceDE w:val="0"/>
        <w:autoSpaceDN w:val="0"/>
        <w:snapToGrid w:val="0"/>
        <w:spacing w:before="0" w:beforeAutospacing="0" w:after="0" w:afterAutospacing="0" w:line="900" w:lineRule="exact"/>
        <w:ind w:left="0" w:right="0" w:firstLine="964" w:firstLineChars="300"/>
        <w:jc w:val="both"/>
        <w:rPr>
          <w:rFonts w:hint="eastAsia" w:ascii="宋体" w:hAnsi="宋体" w:eastAsia="宋体" w:cs="宋体"/>
          <w:b/>
          <w:bCs w:val="0"/>
          <w:color w:val="auto"/>
          <w:sz w:val="32"/>
          <w:szCs w:val="32"/>
          <w:lang w:val="en-US"/>
        </w:rPr>
      </w:pPr>
      <w:r>
        <w:rPr>
          <w:rFonts w:hint="eastAsia" w:ascii="宋体" w:hAnsi="宋体" w:eastAsia="宋体" w:cs="宋体"/>
          <w:b/>
          <w:bCs w:val="0"/>
          <w:color w:val="auto"/>
          <w:kern w:val="2"/>
          <w:sz w:val="32"/>
          <w:szCs w:val="32"/>
          <w:lang w:val="en-US" w:eastAsia="zh-CN" w:bidi="ar"/>
        </w:rPr>
        <w:t xml:space="preserve">采购代理机构：陕西新世纪工程管理咨询有限公司 </w:t>
      </w:r>
    </w:p>
    <w:p>
      <w:pPr>
        <w:keepNext w:val="0"/>
        <w:keepLines w:val="0"/>
        <w:widowControl w:val="0"/>
        <w:suppressLineNumbers w:val="0"/>
        <w:autoSpaceDE w:val="0"/>
        <w:autoSpaceDN w:val="0"/>
        <w:spacing w:before="0" w:beforeAutospacing="0" w:after="0" w:afterAutospacing="0" w:line="900" w:lineRule="exact"/>
        <w:ind w:left="0" w:right="0" w:firstLine="2570" w:firstLineChars="80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二零二三年十月</w:t>
      </w:r>
      <w:bookmarkEnd w:id="9"/>
    </w:p>
    <w:p>
      <w:pPr>
        <w:pStyle w:val="32"/>
        <w:rPr>
          <w:rFonts w:hint="eastAsia" w:ascii="宋体" w:hAnsi="宋体" w:eastAsia="宋体" w:cs="宋体"/>
          <w:b/>
          <w:bCs w:val="0"/>
          <w:color w:val="auto"/>
          <w:kern w:val="2"/>
          <w:sz w:val="32"/>
          <w:szCs w:val="32"/>
          <w:lang w:val="en-US" w:eastAsia="zh-CN" w:bidi="ar"/>
        </w:rPr>
      </w:pPr>
    </w:p>
    <w:p>
      <w:pPr>
        <w:rPr>
          <w:rFonts w:hint="eastAsia" w:ascii="宋体" w:hAnsi="宋体" w:eastAsia="宋体" w:cs="宋体"/>
          <w:color w:val="auto"/>
          <w:lang w:val="en-US"/>
        </w:rPr>
        <w:sectPr>
          <w:headerReference r:id="rId5" w:type="first"/>
          <w:headerReference r:id="rId3" w:type="default"/>
          <w:footerReference r:id="rId6" w:type="default"/>
          <w:headerReference r:id="rId4" w:type="even"/>
          <w:footerReference r:id="rId7" w:type="even"/>
          <w:pgSz w:w="11906" w:h="16838"/>
          <w:pgMar w:top="1417" w:right="1417" w:bottom="1417" w:left="1417" w:header="850" w:footer="992" w:gutter="0"/>
          <w:pgNumType w:fmt="decimal"/>
          <w:cols w:space="720" w:num="1"/>
          <w:docGrid w:type="lines" w:linePitch="381" w:charSpace="704"/>
        </w:sectPr>
      </w:pPr>
    </w:p>
    <w:p>
      <w:pPr>
        <w:pStyle w:val="12"/>
        <w:spacing w:line="360" w:lineRule="auto"/>
        <w:rPr>
          <w:rFonts w:hint="eastAsia" w:ascii="宋体" w:hAnsi="宋体" w:eastAsia="宋体" w:cs="宋体"/>
          <w:color w:val="auto"/>
          <w:lang w:val="en-US"/>
        </w:rPr>
      </w:pPr>
    </w:p>
    <w:bookmarkEnd w:id="0"/>
    <w:bookmarkEnd w:id="1"/>
    <w:bookmarkEnd w:id="2"/>
    <w:bookmarkEnd w:id="3"/>
    <w:bookmarkEnd w:id="4"/>
    <w:bookmarkEnd w:id="5"/>
    <w:bookmarkEnd w:id="6"/>
    <w:sdt>
      <w:sdtPr>
        <w:rPr>
          <w:rFonts w:hint="eastAsia" w:ascii="宋体" w:hAnsi="宋体" w:eastAsia="宋体" w:cs="宋体"/>
          <w:color w:val="auto"/>
          <w:kern w:val="2"/>
          <w:sz w:val="21"/>
          <w:szCs w:val="24"/>
          <w:lang w:val="en-US" w:eastAsia="zh-CN" w:bidi="ar-SA"/>
        </w:rPr>
        <w:id w:val="147462235"/>
        <w15:color w:val="DBDBDB"/>
        <w:docPartObj>
          <w:docPartGallery w:val="Table of Contents"/>
          <w:docPartUnique/>
        </w:docPartObj>
      </w:sdtPr>
      <w:sdtEndPr>
        <w:rPr>
          <w:rFonts w:hint="eastAsia" w:ascii="宋体" w:hAnsi="宋体" w:eastAsia="宋体" w:cs="宋体"/>
          <w:bCs w:val="0"/>
          <w:color w:val="auto"/>
          <w:kern w:val="2"/>
          <w:sz w:val="28"/>
          <w:szCs w:val="32"/>
          <w:lang w:val="en-US" w:eastAsia="zh-CN" w:bidi="ar"/>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19"/>
            <w:tabs>
              <w:tab w:val="right" w:leader="dot" w:pos="9072"/>
            </w:tabs>
            <w:spacing w:line="360" w:lineRule="auto"/>
            <w:rPr>
              <w:rFonts w:hint="eastAsia" w:ascii="宋体" w:hAnsi="宋体" w:eastAsia="宋体" w:cs="宋体"/>
              <w:color w:val="auto"/>
              <w:sz w:val="28"/>
              <w:szCs w:val="28"/>
            </w:rPr>
          </w:pPr>
          <w:r>
            <w:rPr>
              <w:rFonts w:hint="eastAsia" w:ascii="宋体" w:hAnsi="宋体" w:eastAsia="宋体" w:cs="宋体"/>
              <w:b/>
              <w:bCs w:val="0"/>
              <w:color w:val="auto"/>
              <w:sz w:val="28"/>
              <w:szCs w:val="28"/>
              <w:lang w:val="en-US"/>
            </w:rPr>
            <w:fldChar w:fldCharType="begin"/>
          </w:r>
          <w:r>
            <w:rPr>
              <w:rFonts w:hint="eastAsia" w:ascii="宋体" w:hAnsi="宋体" w:eastAsia="宋体" w:cs="宋体"/>
              <w:b/>
              <w:bCs w:val="0"/>
              <w:color w:val="auto"/>
              <w:sz w:val="28"/>
              <w:szCs w:val="28"/>
              <w:lang w:val="en-US"/>
            </w:rPr>
            <w:instrText xml:space="preserve">TOC \o "1-1" \h \u </w:instrText>
          </w:r>
          <w:r>
            <w:rPr>
              <w:rFonts w:hint="eastAsia" w:ascii="宋体" w:hAnsi="宋体" w:eastAsia="宋体" w:cs="宋体"/>
              <w:b/>
              <w:bCs w:val="0"/>
              <w:color w:val="auto"/>
              <w:sz w:val="28"/>
              <w:szCs w:val="28"/>
              <w:lang w:val="en-US"/>
            </w:rPr>
            <w:fldChar w:fldCharType="separate"/>
          </w:r>
        </w:p>
        <w:p>
          <w:pPr>
            <w:pStyle w:val="19"/>
            <w:tabs>
              <w:tab w:val="right" w:leader="dot" w:pos="9072"/>
            </w:tabs>
            <w:spacing w:line="360" w:lineRule="auto"/>
            <w:rPr>
              <w:rFonts w:hint="eastAsia" w:ascii="宋体" w:hAnsi="宋体" w:eastAsia="宋体" w:cs="宋体"/>
              <w:color w:val="auto"/>
              <w:sz w:val="28"/>
              <w:szCs w:val="28"/>
            </w:rPr>
          </w:pPr>
          <w:r>
            <w:rPr>
              <w:rFonts w:hint="eastAsia" w:ascii="宋体" w:hAnsi="宋体" w:eastAsia="宋体" w:cs="宋体"/>
              <w:bCs w:val="0"/>
              <w:color w:val="auto"/>
              <w:sz w:val="28"/>
              <w:szCs w:val="28"/>
              <w:lang w:val="en-US"/>
            </w:rPr>
            <w:fldChar w:fldCharType="begin"/>
          </w:r>
          <w:r>
            <w:rPr>
              <w:rFonts w:hint="eastAsia" w:ascii="宋体" w:hAnsi="宋体" w:eastAsia="宋体" w:cs="宋体"/>
              <w:bCs w:val="0"/>
              <w:color w:val="auto"/>
              <w:sz w:val="28"/>
              <w:szCs w:val="28"/>
              <w:lang w:val="en-US"/>
            </w:rPr>
            <w:instrText xml:space="preserve"> HYPERLINK \l _Toc18575 </w:instrText>
          </w:r>
          <w:r>
            <w:rPr>
              <w:rFonts w:hint="eastAsia" w:ascii="宋体" w:hAnsi="宋体" w:eastAsia="宋体" w:cs="宋体"/>
              <w:bCs w:val="0"/>
              <w:color w:val="auto"/>
              <w:sz w:val="28"/>
              <w:szCs w:val="28"/>
              <w:lang w:val="en-US"/>
            </w:rPr>
            <w:fldChar w:fldCharType="separate"/>
          </w:r>
          <w:r>
            <w:rPr>
              <w:rFonts w:hint="eastAsia" w:ascii="宋体" w:hAnsi="宋体" w:eastAsia="宋体" w:cs="宋体"/>
              <w:bCs w:val="0"/>
              <w:color w:val="auto"/>
              <w:sz w:val="28"/>
              <w:szCs w:val="28"/>
              <w:lang w:eastAsia="zh-CN"/>
            </w:rPr>
            <w:t>第一章</w:t>
          </w:r>
          <w:r>
            <w:rPr>
              <w:rFonts w:hint="eastAsia" w:ascii="宋体" w:hAnsi="宋体" w:eastAsia="宋体" w:cs="宋体"/>
              <w:color w:val="auto"/>
              <w:sz w:val="28"/>
              <w:szCs w:val="28"/>
              <w:lang w:val="en-US"/>
            </w:rPr>
            <w:t xml:space="preserve">  </w:t>
          </w:r>
          <w:r>
            <w:rPr>
              <w:rFonts w:hint="eastAsia" w:ascii="宋体" w:hAnsi="宋体" w:eastAsia="宋体" w:cs="宋体"/>
              <w:bCs w:val="0"/>
              <w:color w:val="auto"/>
              <w:sz w:val="28"/>
              <w:szCs w:val="28"/>
              <w:lang w:eastAsia="zh-CN"/>
            </w:rPr>
            <w:t>谈判邀请函</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_Toc18575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lang w:val="en-US"/>
            </w:rPr>
            <w:fldChar w:fldCharType="end"/>
          </w:r>
        </w:p>
        <w:p>
          <w:pPr>
            <w:pStyle w:val="19"/>
            <w:tabs>
              <w:tab w:val="right" w:leader="dot" w:pos="9072"/>
            </w:tabs>
            <w:spacing w:line="360" w:lineRule="auto"/>
            <w:rPr>
              <w:rFonts w:hint="eastAsia" w:ascii="宋体" w:hAnsi="宋体" w:eastAsia="宋体" w:cs="宋体"/>
              <w:color w:val="auto"/>
              <w:sz w:val="28"/>
              <w:szCs w:val="28"/>
            </w:rPr>
          </w:pPr>
          <w:r>
            <w:rPr>
              <w:rFonts w:hint="eastAsia" w:ascii="宋体" w:hAnsi="宋体" w:eastAsia="宋体" w:cs="宋体"/>
              <w:bCs w:val="0"/>
              <w:color w:val="auto"/>
              <w:sz w:val="28"/>
              <w:szCs w:val="28"/>
              <w:lang w:val="en-US"/>
            </w:rPr>
            <w:fldChar w:fldCharType="begin"/>
          </w:r>
          <w:r>
            <w:rPr>
              <w:rFonts w:hint="eastAsia" w:ascii="宋体" w:hAnsi="宋体" w:eastAsia="宋体" w:cs="宋体"/>
              <w:bCs w:val="0"/>
              <w:color w:val="auto"/>
              <w:sz w:val="28"/>
              <w:szCs w:val="28"/>
              <w:lang w:val="en-US"/>
            </w:rPr>
            <w:instrText xml:space="preserve"> HYPERLINK \l _Toc26358 </w:instrText>
          </w:r>
          <w:r>
            <w:rPr>
              <w:rFonts w:hint="eastAsia" w:ascii="宋体" w:hAnsi="宋体" w:eastAsia="宋体" w:cs="宋体"/>
              <w:bCs w:val="0"/>
              <w:color w:val="auto"/>
              <w:sz w:val="28"/>
              <w:szCs w:val="28"/>
              <w:lang w:val="en-US"/>
            </w:rPr>
            <w:fldChar w:fldCharType="separate"/>
          </w:r>
          <w:r>
            <w:rPr>
              <w:rFonts w:hint="eastAsia" w:ascii="宋体" w:hAnsi="宋体" w:eastAsia="宋体" w:cs="宋体"/>
              <w:bCs/>
              <w:color w:val="auto"/>
              <w:kern w:val="2"/>
              <w:sz w:val="28"/>
              <w:szCs w:val="28"/>
              <w:highlight w:val="none"/>
              <w:lang w:val="en-US" w:eastAsia="zh-CN" w:bidi="ar"/>
            </w:rPr>
            <w:t>第二章  服务商须知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_Toc26358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lang w:val="en-US"/>
            </w:rPr>
            <w:fldChar w:fldCharType="end"/>
          </w:r>
        </w:p>
        <w:p>
          <w:pPr>
            <w:pStyle w:val="19"/>
            <w:tabs>
              <w:tab w:val="right" w:leader="dot" w:pos="9072"/>
            </w:tabs>
            <w:spacing w:line="360" w:lineRule="auto"/>
            <w:rPr>
              <w:rFonts w:hint="eastAsia" w:ascii="宋体" w:hAnsi="宋体" w:eastAsia="宋体" w:cs="宋体"/>
              <w:color w:val="auto"/>
              <w:sz w:val="28"/>
              <w:szCs w:val="28"/>
            </w:rPr>
          </w:pPr>
          <w:r>
            <w:rPr>
              <w:rFonts w:hint="eastAsia" w:ascii="宋体" w:hAnsi="宋体" w:eastAsia="宋体" w:cs="宋体"/>
              <w:bCs w:val="0"/>
              <w:color w:val="auto"/>
              <w:sz w:val="28"/>
              <w:szCs w:val="28"/>
              <w:lang w:val="en-US"/>
            </w:rPr>
            <w:fldChar w:fldCharType="begin"/>
          </w:r>
          <w:r>
            <w:rPr>
              <w:rFonts w:hint="eastAsia" w:ascii="宋体" w:hAnsi="宋体" w:eastAsia="宋体" w:cs="宋体"/>
              <w:bCs w:val="0"/>
              <w:color w:val="auto"/>
              <w:sz w:val="28"/>
              <w:szCs w:val="28"/>
              <w:lang w:val="en-US"/>
            </w:rPr>
            <w:instrText xml:space="preserve"> HYPERLINK \l _Toc30516 </w:instrText>
          </w:r>
          <w:r>
            <w:rPr>
              <w:rFonts w:hint="eastAsia" w:ascii="宋体" w:hAnsi="宋体" w:eastAsia="宋体" w:cs="宋体"/>
              <w:bCs w:val="0"/>
              <w:color w:val="auto"/>
              <w:sz w:val="28"/>
              <w:szCs w:val="28"/>
              <w:lang w:val="en-US"/>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服务</w:t>
          </w:r>
          <w:r>
            <w:rPr>
              <w:rFonts w:hint="eastAsia" w:ascii="宋体" w:hAnsi="宋体" w:eastAsia="宋体" w:cs="宋体"/>
              <w:bCs/>
              <w:color w:val="auto"/>
              <w:sz w:val="28"/>
              <w:szCs w:val="28"/>
              <w:highlight w:val="none"/>
            </w:rPr>
            <w:t>内容及要求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_Toc30516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27</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lang w:val="en-US"/>
            </w:rPr>
            <w:fldChar w:fldCharType="end"/>
          </w:r>
        </w:p>
        <w:p>
          <w:pPr>
            <w:pStyle w:val="19"/>
            <w:tabs>
              <w:tab w:val="right" w:leader="dot" w:pos="9072"/>
            </w:tabs>
            <w:spacing w:line="360" w:lineRule="auto"/>
            <w:rPr>
              <w:rFonts w:hint="eastAsia" w:ascii="宋体" w:hAnsi="宋体" w:eastAsia="宋体" w:cs="宋体"/>
              <w:color w:val="auto"/>
              <w:sz w:val="28"/>
              <w:szCs w:val="28"/>
            </w:rPr>
          </w:pPr>
          <w:r>
            <w:rPr>
              <w:rFonts w:hint="eastAsia" w:ascii="宋体" w:hAnsi="宋体" w:eastAsia="宋体" w:cs="宋体"/>
              <w:bCs w:val="0"/>
              <w:color w:val="auto"/>
              <w:sz w:val="28"/>
              <w:szCs w:val="28"/>
              <w:lang w:val="en-US"/>
            </w:rPr>
            <w:fldChar w:fldCharType="begin"/>
          </w:r>
          <w:r>
            <w:rPr>
              <w:rFonts w:hint="eastAsia" w:ascii="宋体" w:hAnsi="宋体" w:eastAsia="宋体" w:cs="宋体"/>
              <w:bCs w:val="0"/>
              <w:color w:val="auto"/>
              <w:sz w:val="28"/>
              <w:szCs w:val="28"/>
              <w:lang w:val="en-US"/>
            </w:rPr>
            <w:instrText xml:space="preserve"> HYPERLINK \l _Toc28708 </w:instrText>
          </w:r>
          <w:r>
            <w:rPr>
              <w:rFonts w:hint="eastAsia" w:ascii="宋体" w:hAnsi="宋体" w:eastAsia="宋体" w:cs="宋体"/>
              <w:bCs w:val="0"/>
              <w:color w:val="auto"/>
              <w:sz w:val="28"/>
              <w:szCs w:val="28"/>
              <w:lang w:val="en-US"/>
            </w:rPr>
            <w:fldChar w:fldCharType="separate"/>
          </w:r>
          <w:r>
            <w:rPr>
              <w:rFonts w:hint="eastAsia" w:ascii="宋体" w:hAnsi="宋体" w:eastAsia="宋体" w:cs="宋体"/>
              <w:bCs/>
              <w:color w:val="auto"/>
              <w:sz w:val="28"/>
              <w:szCs w:val="28"/>
              <w:highlight w:val="none"/>
            </w:rPr>
            <w:t>第四章  采购合同</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_Toc28708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lang w:val="en-US"/>
            </w:rPr>
            <w:fldChar w:fldCharType="end"/>
          </w:r>
        </w:p>
        <w:p>
          <w:pPr>
            <w:pStyle w:val="19"/>
            <w:tabs>
              <w:tab w:val="right" w:leader="dot" w:pos="9072"/>
            </w:tabs>
            <w:spacing w:line="360" w:lineRule="auto"/>
            <w:rPr>
              <w:rFonts w:hint="eastAsia" w:ascii="宋体" w:hAnsi="宋体" w:eastAsia="宋体" w:cs="宋体"/>
              <w:color w:val="auto"/>
              <w:sz w:val="28"/>
              <w:szCs w:val="28"/>
            </w:rPr>
          </w:pPr>
          <w:r>
            <w:rPr>
              <w:rFonts w:hint="eastAsia" w:ascii="宋体" w:hAnsi="宋体" w:eastAsia="宋体" w:cs="宋体"/>
              <w:bCs w:val="0"/>
              <w:color w:val="auto"/>
              <w:sz w:val="28"/>
              <w:szCs w:val="28"/>
              <w:lang w:val="en-US"/>
            </w:rPr>
            <w:fldChar w:fldCharType="begin"/>
          </w:r>
          <w:r>
            <w:rPr>
              <w:rFonts w:hint="eastAsia" w:ascii="宋体" w:hAnsi="宋体" w:eastAsia="宋体" w:cs="宋体"/>
              <w:bCs w:val="0"/>
              <w:color w:val="auto"/>
              <w:sz w:val="28"/>
              <w:szCs w:val="28"/>
              <w:lang w:val="en-US"/>
            </w:rPr>
            <w:instrText xml:space="preserve"> HYPERLINK \l _Toc1336 </w:instrText>
          </w:r>
          <w:r>
            <w:rPr>
              <w:rFonts w:hint="eastAsia" w:ascii="宋体" w:hAnsi="宋体" w:eastAsia="宋体" w:cs="宋体"/>
              <w:bCs w:val="0"/>
              <w:color w:val="auto"/>
              <w:sz w:val="28"/>
              <w:szCs w:val="28"/>
              <w:lang w:val="en-US"/>
            </w:rPr>
            <w:fldChar w:fldCharType="separate"/>
          </w:r>
          <w:r>
            <w:rPr>
              <w:rFonts w:hint="eastAsia" w:ascii="宋体" w:hAnsi="宋体" w:eastAsia="宋体" w:cs="宋体"/>
              <w:bCs/>
              <w:color w:val="auto"/>
              <w:kern w:val="44"/>
              <w:sz w:val="28"/>
              <w:szCs w:val="28"/>
              <w:highlight w:val="none"/>
              <w:lang w:val="en-US" w:eastAsia="zh-CN" w:bidi="ar"/>
            </w:rPr>
            <w:t>第五章</w:t>
          </w:r>
          <w:r>
            <w:rPr>
              <w:rFonts w:hint="eastAsia" w:ascii="宋体" w:hAnsi="宋体" w:eastAsia="宋体" w:cs="宋体"/>
              <w:color w:val="auto"/>
              <w:kern w:val="44"/>
              <w:sz w:val="28"/>
              <w:szCs w:val="28"/>
              <w:highlight w:val="none"/>
              <w:lang w:val="en-US" w:eastAsia="zh-CN" w:bidi="ar"/>
            </w:rPr>
            <w:t xml:space="preserve"> </w:t>
          </w:r>
          <w:r>
            <w:rPr>
              <w:rFonts w:hint="eastAsia" w:ascii="宋体" w:hAnsi="宋体" w:eastAsia="宋体" w:cs="宋体"/>
              <w:bCs w:val="0"/>
              <w:color w:val="auto"/>
              <w:kern w:val="2"/>
              <w:sz w:val="28"/>
              <w:szCs w:val="28"/>
              <w:highlight w:val="none"/>
              <w:lang w:val="en-US" w:eastAsia="zh-CN" w:bidi="ar"/>
            </w:rPr>
            <w:t>响应文件构成及格式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_Toc1336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lang w:val="en-US"/>
            </w:rPr>
            <w:fldChar w:fldCharType="end"/>
          </w:r>
        </w:p>
        <w:p>
          <w:pPr>
            <w:pStyle w:val="19"/>
            <w:tabs>
              <w:tab w:val="right" w:leader="dot" w:pos="9072"/>
            </w:tabs>
            <w:spacing w:line="360" w:lineRule="auto"/>
            <w:rPr>
              <w:rFonts w:hint="eastAsia" w:ascii="宋体" w:hAnsi="宋体" w:eastAsia="宋体" w:cs="宋体"/>
              <w:color w:val="auto"/>
              <w:sz w:val="28"/>
              <w:szCs w:val="28"/>
            </w:rPr>
          </w:pPr>
        </w:p>
        <w:p>
          <w:pPr>
            <w:pStyle w:val="93"/>
            <w:widowControl/>
            <w:spacing w:line="360" w:lineRule="auto"/>
            <w:ind w:left="0" w:firstLine="560"/>
            <w:jc w:val="center"/>
            <w:rPr>
              <w:rFonts w:hint="eastAsia" w:ascii="宋体" w:hAnsi="宋体" w:eastAsia="宋体" w:cs="宋体"/>
              <w:b/>
              <w:bCs w:val="0"/>
              <w:color w:val="auto"/>
              <w:sz w:val="32"/>
              <w:szCs w:val="32"/>
              <w:lang w:val="en-US"/>
            </w:rPr>
          </w:pPr>
          <w:r>
            <w:rPr>
              <w:rFonts w:hint="eastAsia" w:ascii="宋体" w:hAnsi="宋体" w:eastAsia="宋体" w:cs="宋体"/>
              <w:bCs w:val="0"/>
              <w:color w:val="auto"/>
              <w:sz w:val="28"/>
              <w:szCs w:val="28"/>
              <w:lang w:val="en-US"/>
            </w:rPr>
            <w:fldChar w:fldCharType="end"/>
          </w:r>
        </w:p>
      </w:sdtContent>
    </w:sdt>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tabs>
          <w:tab w:val="left" w:pos="6237"/>
        </w:tabs>
        <w:spacing w:line="500" w:lineRule="exact"/>
        <w:ind w:left="0" w:firstLine="643"/>
        <w:jc w:val="left"/>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ab/>
      </w: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500" w:lineRule="exact"/>
        <w:ind w:left="0" w:firstLine="643"/>
        <w:jc w:val="center"/>
        <w:rPr>
          <w:rFonts w:hint="eastAsia" w:ascii="宋体" w:hAnsi="宋体" w:eastAsia="宋体" w:cs="宋体"/>
          <w:b/>
          <w:bCs w:val="0"/>
          <w:color w:val="auto"/>
          <w:sz w:val="32"/>
          <w:szCs w:val="32"/>
          <w:lang w:val="en-US"/>
        </w:rPr>
      </w:pPr>
    </w:p>
    <w:p>
      <w:pPr>
        <w:pStyle w:val="93"/>
        <w:widowControl/>
        <w:spacing w:line="240" w:lineRule="auto"/>
        <w:ind w:left="0" w:firstLine="643"/>
        <w:jc w:val="center"/>
        <w:outlineLvl w:val="0"/>
        <w:rPr>
          <w:rFonts w:hint="eastAsia" w:ascii="宋体" w:hAnsi="宋体" w:eastAsia="宋体" w:cs="宋体"/>
          <w:b/>
          <w:bCs/>
          <w:color w:val="auto"/>
          <w:sz w:val="36"/>
          <w:szCs w:val="28"/>
          <w:lang w:val="en-US"/>
        </w:rPr>
      </w:pPr>
      <w:bookmarkStart w:id="10" w:name="_Toc16700"/>
      <w:bookmarkStart w:id="11" w:name="_Toc18575"/>
      <w:r>
        <w:rPr>
          <w:rFonts w:hint="eastAsia" w:ascii="宋体" w:hAnsi="宋体" w:eastAsia="宋体" w:cs="宋体"/>
          <w:b/>
          <w:bCs w:val="0"/>
          <w:color w:val="auto"/>
          <w:sz w:val="32"/>
          <w:szCs w:val="32"/>
          <w:lang w:eastAsia="zh-CN"/>
        </w:rPr>
        <w:t>第一章</w:t>
      </w:r>
      <w:r>
        <w:rPr>
          <w:rFonts w:hint="eastAsia" w:ascii="宋体" w:hAnsi="宋体" w:eastAsia="宋体" w:cs="宋体"/>
          <w:color w:val="auto"/>
          <w:lang w:val="en-US"/>
        </w:rPr>
        <w:t xml:space="preserve">  </w:t>
      </w:r>
      <w:r>
        <w:rPr>
          <w:rFonts w:hint="eastAsia" w:ascii="宋体" w:hAnsi="宋体" w:eastAsia="宋体" w:cs="宋体"/>
          <w:b/>
          <w:bCs w:val="0"/>
          <w:color w:val="auto"/>
          <w:sz w:val="32"/>
          <w:szCs w:val="32"/>
          <w:lang w:eastAsia="zh-CN"/>
        </w:rPr>
        <w:t>谈判邀请函</w:t>
      </w:r>
      <w:bookmarkEnd w:id="10"/>
      <w:bookmarkEnd w:id="11"/>
      <w:bookmarkStart w:id="12" w:name="_Toc495012770"/>
      <w:bookmarkStart w:id="13" w:name="_Toc495014610"/>
      <w:bookmarkStart w:id="14" w:name="_Toc495014584"/>
      <w:bookmarkStart w:id="15" w:name="_Toc445306492"/>
      <w:bookmarkStart w:id="16" w:name="_Toc48834155"/>
      <w:bookmarkStart w:id="17" w:name="_Toc495014953"/>
      <w:bookmarkStart w:id="18" w:name="_Toc495014648"/>
      <w:bookmarkStart w:id="19" w:name="_Toc48834444"/>
      <w:bookmarkStart w:id="20" w:name="_Toc28381"/>
      <w:bookmarkStart w:id="21" w:name="_Toc48834523"/>
      <w:bookmarkStart w:id="22" w:name="_Toc495012820"/>
      <w:bookmarkStart w:id="23" w:name="_Toc48834282"/>
      <w:bookmarkStart w:id="24" w:name="_Toc495014919"/>
      <w:bookmarkStart w:id="25" w:name="_Toc48834085"/>
    </w:p>
    <w:p>
      <w:pPr>
        <w:keepNext w:val="0"/>
        <w:keepLines w:val="0"/>
        <w:widowControl/>
        <w:suppressLineNumbers w:val="0"/>
        <w:pBdr>
          <w:top w:val="single" w:color="auto" w:sz="4" w:space="0"/>
          <w:left w:val="single" w:color="auto" w:sz="4" w:space="0"/>
          <w:bottom w:val="single" w:color="auto" w:sz="4" w:space="0"/>
          <w:right w:val="single" w:color="auto" w:sz="4" w:space="0"/>
        </w:pBdr>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项目概况</w:t>
      </w:r>
    </w:p>
    <w:p>
      <w:pPr>
        <w:keepNext w:val="0"/>
        <w:keepLines w:val="0"/>
        <w:widowControl/>
        <w:suppressLineNumbers w:val="0"/>
        <w:pBdr>
          <w:top w:val="single" w:color="auto" w:sz="4" w:space="0"/>
          <w:left w:val="single" w:color="auto" w:sz="4" w:space="0"/>
          <w:bottom w:val="single" w:color="auto" w:sz="4" w:space="0"/>
          <w:right w:val="single" w:color="auto" w:sz="4" w:space="0"/>
        </w:pBdr>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榆林市水资源中心采购榆林市节水载体建设项目 的潜在服务商应在陕西省公共资源交易中心官网获取采购文件，并于2023年10月18日13时30分前提交响应文件。</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一、项目基本情况</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项目编号：SXXSJ2023-37</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 xml:space="preserve">项目名称：榆林市水资源中心采购榆林市节水载体建设项目 </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采购方式：竞争性谈判</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预算金额：778400.00元</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采购需求：</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合同包1:</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合同包预算金额：778400.00元</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合同包最高限价：778400.00元</w:t>
      </w:r>
    </w:p>
    <w:tbl>
      <w:tblPr>
        <w:tblStyle w:val="33"/>
        <w:tblW w:w="9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0"/>
        <w:gridCol w:w="1146"/>
        <w:gridCol w:w="1254"/>
        <w:gridCol w:w="1309"/>
        <w:gridCol w:w="1664"/>
        <w:gridCol w:w="1500"/>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9" w:hRule="atLeast"/>
          <w:tblHeader/>
          <w:jc w:val="center"/>
        </w:trPr>
        <w:tc>
          <w:tcPr>
            <w:tcW w:w="8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品目号</w:t>
            </w:r>
          </w:p>
        </w:tc>
        <w:tc>
          <w:tcPr>
            <w:tcW w:w="11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品目名称</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采购标的</w:t>
            </w:r>
          </w:p>
        </w:tc>
        <w:tc>
          <w:tcPr>
            <w:tcW w:w="13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数量（单位）</w:t>
            </w:r>
          </w:p>
        </w:tc>
        <w:tc>
          <w:tcPr>
            <w:tcW w:w="16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品目预算(元)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jc w:val="center"/>
        </w:trPr>
        <w:tc>
          <w:tcPr>
            <w:tcW w:w="8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1-1</w:t>
            </w:r>
          </w:p>
        </w:tc>
        <w:tc>
          <w:tcPr>
            <w:tcW w:w="11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技术测试和分析服务</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榆林市节水载体建设项目</w:t>
            </w:r>
          </w:p>
        </w:tc>
        <w:tc>
          <w:tcPr>
            <w:tcW w:w="13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1(项)</w:t>
            </w:r>
          </w:p>
        </w:tc>
        <w:tc>
          <w:tcPr>
            <w:tcW w:w="16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textAlignment w:val="center"/>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778400.00</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textAlignment w:val="center"/>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
              </w:rPr>
              <w:t>778400.00</w:t>
            </w:r>
          </w:p>
        </w:tc>
      </w:tr>
    </w:tbl>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本合同包不接受联合体投标</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合同履行期限：合同签订后2个月内完工并验收合格。</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二、申请人的资格要求：</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1.满足《中华人民共和国政府采购法》第二十二条规定;</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2.落实政府采购政策需满足的资格要求：</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合同包1落实政府采购政策需满足的资格要求如下:</w:t>
      </w:r>
    </w:p>
    <w:p>
      <w:pPr>
        <w:widowControl/>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lang w:eastAsia="zh-CN"/>
        </w:rPr>
        <w:t>《政府采购促进中小企业发展管理办法》（财库〔2020〕46号）、</w:t>
      </w:r>
      <w:r>
        <w:rPr>
          <w:rFonts w:hint="eastAsia" w:ascii="宋体" w:hAnsi="宋体" w:eastAsia="宋体" w:cs="宋体"/>
          <w:color w:val="auto"/>
          <w:sz w:val="28"/>
          <w:szCs w:val="28"/>
          <w:highlight w:val="none"/>
          <w:lang w:val="en-US" w:eastAsia="zh-CN"/>
        </w:rPr>
        <w:t>《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本项目专门面向中小企业采购，预留份额为整体预留。</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eastAsia="zh-CN"/>
        </w:rPr>
        <w:t>《财政部司法部关于政府采购支持监狱企业发展有关问题的通知》（财库〔2014〕68号）； </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lang w:eastAsia="zh-CN"/>
        </w:rPr>
        <w:t>《国务院办公厅关于建立政府强制采购节能产品制度的通知》（国办发〔2007〕51号）； </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lang w:eastAsia="zh-CN"/>
        </w:rPr>
        <w:t>《节能产品政府采购实施意见》（财库[2004]185号）； </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lang w:eastAsia="zh-CN"/>
        </w:rPr>
        <w:t>《环境标志产品政府采购实施的意见》（财库[2006]90号）；</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《关于促进残疾人就业政府采购政策的通知》（财库[2017]141号）；</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lang w:eastAsia="zh-CN"/>
        </w:rPr>
        <w:t>《财政部发展改革委生态环境部市场监管总局关于调整优化节能产品、环境标志产品政府采购执行机制的通知》（财库〔2019〕9号）；</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2.8</w:t>
      </w:r>
      <w:r>
        <w:rPr>
          <w:rFonts w:hint="eastAsia" w:ascii="宋体" w:hAnsi="宋体" w:eastAsia="宋体" w:cs="宋体"/>
          <w:color w:val="auto"/>
          <w:sz w:val="28"/>
          <w:szCs w:val="28"/>
          <w:highlight w:val="none"/>
          <w:lang w:eastAsia="zh-CN"/>
        </w:rPr>
        <w:t>《财政部国务院扶贫办关于运用政府采购政策支持脱贫攻坚的通知》（财库〔2019〕27号）；</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lang w:eastAsia="zh-CN"/>
        </w:rPr>
        <w:t>陕西省财政厅关于印发《陕西省中小企业政府采购信用融资办法》（陕财办采〔2018〕23号）；</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2.10</w:t>
      </w:r>
      <w:r>
        <w:rPr>
          <w:rFonts w:hint="eastAsia" w:ascii="宋体" w:hAnsi="宋体" w:eastAsia="宋体" w:cs="宋体"/>
          <w:color w:val="auto"/>
          <w:sz w:val="28"/>
          <w:szCs w:val="28"/>
          <w:highlight w:val="none"/>
          <w:lang w:eastAsia="zh-CN"/>
        </w:rPr>
        <w:t>《陕西省财政厅关于加快推进我省中小企业政府采购信用融资工作的通知》（陕财办采〔2020〕15号）；</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2.11</w:t>
      </w:r>
      <w:r>
        <w:rPr>
          <w:rFonts w:hint="eastAsia" w:ascii="宋体" w:hAnsi="宋体" w:eastAsia="宋体" w:cs="宋体"/>
          <w:color w:val="auto"/>
          <w:sz w:val="28"/>
          <w:szCs w:val="28"/>
          <w:highlight w:val="none"/>
          <w:lang w:eastAsia="zh-CN"/>
        </w:rPr>
        <w:t>《关于促进中小企业健康发展的指导意见》、《陕西省中小企业政府釆购信用融资办法》（陕财办采[2018]23号）；</w:t>
      </w:r>
    </w:p>
    <w:p>
      <w:pPr>
        <w:widowControl/>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2.12</w:t>
      </w:r>
      <w:r>
        <w:rPr>
          <w:rFonts w:hint="eastAsia" w:ascii="宋体" w:hAnsi="宋体" w:eastAsia="宋体" w:cs="宋体"/>
          <w:color w:val="auto"/>
          <w:sz w:val="28"/>
          <w:szCs w:val="28"/>
          <w:highlight w:val="none"/>
          <w:lang w:eastAsia="zh-CN"/>
        </w:rPr>
        <w:t>其他需要落实的政府采购政策。</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3.本项目的特定资格要求：</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应为</w:t>
      </w:r>
      <w:r>
        <w:rPr>
          <w:rFonts w:hint="eastAsia" w:ascii="宋体" w:hAnsi="宋体" w:eastAsia="宋体" w:cs="宋体"/>
          <w:color w:val="auto"/>
          <w:sz w:val="28"/>
          <w:szCs w:val="28"/>
          <w:highlight w:val="none"/>
          <w:lang w:val="en-US" w:eastAsia="zh-CN"/>
        </w:rPr>
        <w:t>具有独立承担民事责任的能力且具备提供本项目所需服务能力的企业法人、事业法人、其他组织或自然人</w:t>
      </w:r>
      <w:r>
        <w:rPr>
          <w:rFonts w:hint="eastAsia" w:ascii="宋体" w:hAnsi="宋体" w:eastAsia="宋体" w:cs="宋体"/>
          <w:color w:val="auto"/>
          <w:sz w:val="28"/>
          <w:szCs w:val="28"/>
          <w:highlight w:val="none"/>
        </w:rPr>
        <w:t>。企业法人应具有合法有效的标识有统一社会信用代码的营业执照</w:t>
      </w:r>
      <w:r>
        <w:rPr>
          <w:rFonts w:hint="eastAsia" w:ascii="宋体" w:hAnsi="宋体" w:eastAsia="宋体" w:cs="宋体"/>
          <w:color w:val="auto"/>
          <w:sz w:val="28"/>
          <w:szCs w:val="28"/>
          <w:highlight w:val="none"/>
          <w:lang w:val="en-US" w:eastAsia="zh-CN"/>
        </w:rPr>
        <w:t>及其2022年企业年度报告书事业单位法人证书/专业服务机构执业许可证/民办非企业单位登记证书</w:t>
      </w:r>
      <w:r>
        <w:rPr>
          <w:rFonts w:hint="eastAsia" w:ascii="宋体" w:hAnsi="宋体" w:eastAsia="宋体" w:cs="宋体"/>
          <w:color w:val="auto"/>
          <w:sz w:val="28"/>
          <w:szCs w:val="28"/>
          <w:highlight w:val="none"/>
        </w:rPr>
        <w:t>；</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3.2</w:t>
      </w:r>
      <w:r>
        <w:rPr>
          <w:rFonts w:hint="eastAsia" w:ascii="宋体" w:hAnsi="宋体" w:eastAsia="宋体" w:cs="宋体"/>
          <w:color w:val="auto"/>
          <w:sz w:val="28"/>
          <w:szCs w:val="28"/>
          <w:highlight w:val="none"/>
          <w:lang w:eastAsia="zh-CN"/>
        </w:rPr>
        <w:t>服务商须具备水资源论证乙级及以上资质和水资源调查评价乙级及以上资质；</w:t>
      </w:r>
    </w:p>
    <w:p>
      <w:pPr>
        <w:widowControl/>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3.3</w:t>
      </w:r>
      <w:r>
        <w:rPr>
          <w:rFonts w:hint="eastAsia" w:ascii="宋体" w:hAnsi="宋体" w:eastAsia="宋体" w:cs="宋体"/>
          <w:color w:val="auto"/>
          <w:sz w:val="28"/>
          <w:szCs w:val="28"/>
          <w:highlight w:val="none"/>
        </w:rPr>
        <w:t>拟派项目负责人</w:t>
      </w:r>
      <w:r>
        <w:rPr>
          <w:rFonts w:hint="eastAsia" w:ascii="宋体" w:hAnsi="宋体" w:eastAsia="宋体" w:cs="宋体"/>
          <w:color w:val="auto"/>
          <w:sz w:val="28"/>
          <w:szCs w:val="28"/>
          <w:highlight w:val="none"/>
          <w:lang w:val="en-US" w:eastAsia="zh-CN"/>
        </w:rPr>
        <w:t>和技术负责人均</w:t>
      </w:r>
      <w:r>
        <w:rPr>
          <w:rFonts w:hint="eastAsia" w:ascii="宋体" w:hAnsi="宋体" w:eastAsia="宋体" w:cs="宋体"/>
          <w:color w:val="auto"/>
          <w:sz w:val="28"/>
          <w:szCs w:val="28"/>
          <w:highlight w:val="none"/>
        </w:rPr>
        <w:t>需具有水</w:t>
      </w:r>
      <w:r>
        <w:rPr>
          <w:rFonts w:hint="eastAsia" w:ascii="宋体" w:hAnsi="宋体" w:eastAsia="宋体" w:cs="宋体"/>
          <w:color w:val="auto"/>
          <w:sz w:val="28"/>
          <w:szCs w:val="28"/>
          <w:highlight w:val="none"/>
          <w:lang w:val="en-US" w:eastAsia="zh-CN"/>
        </w:rPr>
        <w:t>工环</w:t>
      </w:r>
      <w:r>
        <w:rPr>
          <w:rFonts w:hint="eastAsia" w:ascii="宋体" w:hAnsi="宋体" w:eastAsia="宋体" w:cs="宋体"/>
          <w:color w:val="auto"/>
          <w:sz w:val="28"/>
          <w:szCs w:val="28"/>
          <w:highlight w:val="none"/>
        </w:rPr>
        <w:t>地质</w:t>
      </w:r>
      <w:r>
        <w:rPr>
          <w:rFonts w:hint="eastAsia" w:ascii="宋体" w:hAnsi="宋体" w:eastAsia="宋体" w:cs="宋体"/>
          <w:color w:val="auto"/>
          <w:sz w:val="28"/>
          <w:szCs w:val="28"/>
          <w:highlight w:val="none"/>
          <w:lang w:val="en-US" w:eastAsia="zh-CN"/>
        </w:rPr>
        <w:t>专业</w:t>
      </w:r>
      <w:r>
        <w:rPr>
          <w:rFonts w:hint="eastAsia" w:ascii="宋体" w:hAnsi="宋体" w:eastAsia="宋体" w:cs="宋体"/>
          <w:color w:val="auto"/>
          <w:sz w:val="28"/>
          <w:szCs w:val="28"/>
          <w:highlight w:val="none"/>
        </w:rPr>
        <w:t>高级及以上职称证书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均具有2023年3月1日至提交投标文件截止时间在本单位已缴存的至少一个月的社会保险证明材料（五险一金其中一项即可，应可查询），依法不需要缴纳社会保障资金的单位应提供相关证明材料；</w:t>
      </w:r>
    </w:p>
    <w:p>
      <w:pPr>
        <w:widowControl/>
        <w:spacing w:line="400" w:lineRule="exact"/>
        <w:ind w:firstLine="560" w:firstLineChars="200"/>
        <w:rPr>
          <w:rFonts w:hint="eastAsia" w:ascii="宋体" w:hAnsi="宋体" w:eastAsia="宋体" w:cs="宋体"/>
          <w:color w:val="auto"/>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应具有</w:t>
      </w:r>
      <w:r>
        <w:rPr>
          <w:rFonts w:hint="eastAsia" w:ascii="宋体" w:hAnsi="宋体" w:eastAsia="宋体" w:cs="宋体"/>
          <w:color w:val="auto"/>
          <w:sz w:val="28"/>
          <w:szCs w:val="28"/>
          <w:highlight w:val="none"/>
          <w:lang w:val="en-US" w:eastAsia="zh-CN"/>
        </w:rPr>
        <w:t>在“信用中国（陕西榆林）”网站自主上报的投标信用承诺书</w:t>
      </w:r>
      <w:r>
        <w:rPr>
          <w:rFonts w:hint="eastAsia" w:ascii="宋体" w:hAnsi="宋体" w:eastAsia="宋体" w:cs="宋体"/>
          <w:color w:val="auto"/>
          <w:sz w:val="28"/>
          <w:szCs w:val="28"/>
          <w:highlight w:val="none"/>
        </w:rPr>
        <w:t>网站截图加盖</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val="en-US" w:eastAsia="zh-CN"/>
        </w:rPr>
        <w:t>；</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不得为“信用中国”网站（www.creditchina.gov.cn）中列入失信主体名单、重大税收违法案件当事人名单的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；不得为中国执行信息公开网（http://zxgk.court.gov.cn）中列入失信被执行人名单(</w:t>
      </w:r>
      <w:r>
        <w:rPr>
          <w:rFonts w:hint="eastAsia" w:ascii="宋体" w:hAnsi="宋体" w:eastAsia="宋体" w:cs="宋体"/>
          <w:color w:val="auto"/>
          <w:sz w:val="28"/>
          <w:szCs w:val="28"/>
          <w:highlight w:val="none"/>
          <w:lang w:eastAsia="zh-CN"/>
        </w:rPr>
        <w:t>被执行人包括企业、法定代表人、项目负责人、技术负责人、授权人</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；不得为中国政府采购网（www.ccgp.gov.cn）政府采购严重违法失信行为记录名单中被财政部门禁止参加政府采购活动的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；查询相关主体信用记录（查询日期为从</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公告发布之日起至投标截止时间前）以网站截图加盖</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公章为准；</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本项目不接受联合体投标。单位负责人为同一人或者存在控股、管理关系的不同单位，不得参加同一标段投标或者未划分标段的同一采购项目投标。违反规定的，其投标均无效。</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三、获取采购文件</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时间：2023年10月10日至2023年10月12日，每天上午08:00:00至11:30:00，下午14:30:00至17:30:00（北京时间）</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途径：陕西省公共资源交易中心平台</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方式：在线获取</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售价：0元</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四、响应文件提交</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截止时间：2023年10月18日13时30分00秒（北京时间）</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地点：陕西省公共资源交易中心平台</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五、开启</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时间：2023年10月18日13时30分00秒（北京时间）</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地点：榆林市公共资源交易中心十楼不见面开标12室</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六、公告期限</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自本公告发布之日起3个工作日。</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七、其他补充事宜</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1、服务商满足《中华人民共和国政府釆购法》第二十二条规定：</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1.1服务商符合《中华人民共和国政府采购法》第二十二条规定的承诺;</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1.2服务商应具有履行合同所必需的设备和专业技术能力的证明资料或承诺书；</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1.3提供2022年度经审计的财务会计报告（至少包括资产负债表、利润表、现金流量表、所有者权益变动表及其附注）或提供其开标前三个月内基本开户银行出具的资信证明；</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1.4服务商应具有2023年1月1日至提交谈判响应文件截止时间已缴纳的至少一个月任意税种的纳税证明或完税证明，纳税证明或完税证明的税种为由税务局核定的企业税种（如：企业增值税或个人所得税等税种），且应有代收机构或税务机关的公章或业务专用章。依法免税的单位应提供相关证明材料；</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1.5服务商应具有2023年1月1日至提交竞争性谈判响应文件截止时间已缴存的至少一个月的社会保障资金缴存单据或社保机构开具的社会保险参保缴费情况证明。若服务商注册时间不满一个月的,应当提供注册时至参加本项目相应期限内本单位缴纳社会保障资金的清单。依法不需要缴纳社会保障资金的单位应提供相关证明材料；</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1.6参加政府采购活动前3年内在经营活动中没有重大违法记录的书面声明。</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2、其他事项</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可CA锁登录全国公共资源交易中心平台（陕西省） （http://www.sxggzyjy.cn/）,选择“电子交易平台-陕西政府采购交易系统-陕西省公共资源交易平台-</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”进行登录，登录后选择“交易乙方”身份进入</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界面进行报名并免费下载采购文件；</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（2）本项目采用电子化不见面开标方式，开标时建议</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使用带有麦克风和摄像头的笔记本电脑，登录不见面开标系统进行</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签到和响应文件解密、二次报价等开标事宜；</w:t>
      </w:r>
    </w:p>
    <w:p>
      <w:pPr>
        <w:widowControl/>
        <w:spacing w:line="4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（3）不见面开标/询标操作手册下载：</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可登录全国公共资源交易平台（陕西省˙榆林市）（http://yl.sxggzyjy.cn/），选择“服务指南”，点击“下载专区”，点击榆林不见面开标系统操作手册（</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）、榆林不见面开标大厅</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询标操作手册V1.0，请</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仔细阅读操作手册，了解操作流程，熟练掌握不见面开标、不见面询标操作相关事宜，若无法正常投标，</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自行承担责任</w:t>
      </w:r>
      <w:r>
        <w:rPr>
          <w:rFonts w:hint="eastAsia" w:ascii="宋体" w:hAnsi="宋体" w:eastAsia="宋体" w:cs="宋体"/>
          <w:color w:val="auto"/>
          <w:sz w:val="28"/>
          <w:szCs w:val="28"/>
          <w:highlight w:val="none"/>
          <w:lang w:eastAsia="zh-CN"/>
        </w:rPr>
        <w:t>。</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t>八、对本次招标提出询问，请按以下方式联系。</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1.采购人信息</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名称：榆林市水资源中心</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地址：榆林市开发区圣景路水利大厦</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联系方式：</w:t>
      </w:r>
      <w:r>
        <w:rPr>
          <w:rFonts w:hint="eastAsia" w:ascii="宋体" w:hAnsi="宋体" w:eastAsia="宋体" w:cs="宋体"/>
          <w:color w:val="auto"/>
          <w:sz w:val="28"/>
          <w:szCs w:val="28"/>
          <w:highlight w:val="yellow"/>
          <w:lang w:val="en-US" w:eastAsia="zh-CN" w:bidi="ar"/>
        </w:rPr>
        <w:t>18191230001</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2.采购代理机构信息</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名称：陕西新世纪工程管理咨询有限公司</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地址：陕西省榆林市榆阳区航宇路沙河口综合市场五楼</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联系方式：0912-2256048</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3.项目联系方式</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项目联系人：陈晰</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lang w:val="en-US" w:eastAsia="zh-CN"/>
        </w:rPr>
      </w:pPr>
      <w:r>
        <w:rPr>
          <w:rFonts w:hint="eastAsia" w:ascii="宋体" w:hAnsi="宋体" w:eastAsia="宋体" w:cs="宋体"/>
          <w:color w:val="auto"/>
          <w:kern w:val="2"/>
          <w:sz w:val="28"/>
          <w:szCs w:val="28"/>
          <w:lang w:val="en-US" w:eastAsia="zh-CN" w:bidi="ar"/>
        </w:rPr>
        <w:t>电话：18220280010</w:t>
      </w:r>
    </w:p>
    <w:p>
      <w:pPr>
        <w:keepNext w:val="0"/>
        <w:keepLines w:val="0"/>
        <w:widowControl/>
        <w:suppressLineNumbers w:val="0"/>
        <w:spacing w:before="0" w:beforeAutospacing="0" w:after="0" w:afterAutospacing="0" w:line="400" w:lineRule="exact"/>
        <w:ind w:left="0" w:right="0" w:firstLine="560" w:firstLineChars="200"/>
        <w:jc w:val="right"/>
        <w:outlineLvl w:val="0"/>
        <w:rPr>
          <w:rFonts w:hint="eastAsia" w:ascii="宋体" w:hAnsi="宋体" w:eastAsia="宋体" w:cs="宋体"/>
          <w:color w:val="auto"/>
          <w:kern w:val="2"/>
          <w:sz w:val="28"/>
          <w:szCs w:val="28"/>
          <w:lang w:val="en-US" w:eastAsia="zh-CN" w:bidi="ar"/>
        </w:rPr>
      </w:pPr>
      <w:bookmarkStart w:id="26" w:name="_Toc25214"/>
      <w:bookmarkStart w:id="27" w:name="_Toc17383"/>
      <w:r>
        <w:rPr>
          <w:rFonts w:hint="eastAsia" w:ascii="宋体" w:hAnsi="宋体" w:eastAsia="宋体" w:cs="宋体"/>
          <w:color w:val="auto"/>
          <w:kern w:val="2"/>
          <w:sz w:val="28"/>
          <w:szCs w:val="28"/>
          <w:lang w:val="en-US" w:eastAsia="zh-CN" w:bidi="ar"/>
        </w:rPr>
        <w:t>陕西新世纪工程管理咨询有限公司</w:t>
      </w:r>
      <w:bookmarkEnd w:id="26"/>
      <w:bookmarkEnd w:id="27"/>
    </w:p>
    <w:p>
      <w:pPr>
        <w:keepNext w:val="0"/>
        <w:keepLines w:val="0"/>
        <w:widowControl/>
        <w:suppressLineNumbers w:val="0"/>
        <w:spacing w:before="0" w:beforeAutospacing="0" w:after="0" w:afterAutospacing="0" w:line="400" w:lineRule="exact"/>
        <w:ind w:left="0" w:right="0" w:firstLine="560" w:firstLineChars="200"/>
        <w:jc w:val="right"/>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2023年10月09日</w:t>
      </w:r>
    </w:p>
    <w:p>
      <w:pPr>
        <w:rPr>
          <w:rFonts w:hint="eastAsia" w:ascii="宋体" w:hAnsi="宋体" w:eastAsia="宋体" w:cs="宋体"/>
          <w:color w:val="auto"/>
          <w:lang w:val="en-US" w:eastAsia="zh-CN"/>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p>
      <w:pPr>
        <w:pStyle w:val="50"/>
        <w:widowControl/>
        <w:spacing w:line="500" w:lineRule="exact"/>
        <w:ind w:left="181" w:firstLine="0" w:firstLineChars="0"/>
        <w:jc w:val="center"/>
        <w:outlineLvl w:val="0"/>
        <w:rPr>
          <w:rFonts w:hint="eastAsia" w:ascii="宋体" w:hAnsi="宋体" w:eastAsia="宋体" w:cs="宋体"/>
          <w:b/>
          <w:bCs/>
          <w:color w:val="auto"/>
          <w:kern w:val="2"/>
          <w:sz w:val="28"/>
          <w:szCs w:val="28"/>
          <w:highlight w:val="none"/>
          <w:lang w:val="en-US" w:eastAsia="zh-CN" w:bidi="ar"/>
        </w:rPr>
      </w:pPr>
      <w:bookmarkStart w:id="28" w:name="_Toc26358"/>
      <w:r>
        <w:rPr>
          <w:rFonts w:hint="eastAsia" w:ascii="宋体" w:hAnsi="宋体" w:eastAsia="宋体" w:cs="宋体"/>
          <w:b/>
          <w:bCs/>
          <w:color w:val="auto"/>
          <w:kern w:val="2"/>
          <w:sz w:val="28"/>
          <w:szCs w:val="28"/>
          <w:highlight w:val="none"/>
          <w:lang w:val="en-US" w:eastAsia="zh-CN" w:bidi="ar"/>
        </w:rPr>
        <w:t>第二章  服务商须知</w:t>
      </w:r>
      <w:bookmarkEnd w:id="28"/>
    </w:p>
    <w:p>
      <w:pPr>
        <w:pStyle w:val="31"/>
        <w:widowControl/>
        <w:spacing w:line="500" w:lineRule="exact"/>
        <w:ind w:left="181" w:firstLine="562" w:firstLineChars="200"/>
        <w:outlineLvl w:val="1"/>
        <w:rPr>
          <w:rFonts w:hint="eastAsia" w:ascii="宋体" w:hAnsi="宋体" w:eastAsia="宋体" w:cs="宋体"/>
          <w:b/>
          <w:bCs w:val="0"/>
          <w:color w:val="auto"/>
          <w:sz w:val="28"/>
          <w:szCs w:val="28"/>
          <w:highlight w:val="none"/>
          <w:lang w:val="en-US"/>
        </w:rPr>
      </w:pPr>
      <w:bookmarkStart w:id="29" w:name="_Toc48834445"/>
      <w:bookmarkStart w:id="30" w:name="_Toc48834086"/>
      <w:bookmarkStart w:id="31" w:name="_Toc48834283"/>
      <w:bookmarkStart w:id="32" w:name="_Toc48834156"/>
      <w:bookmarkStart w:id="33" w:name="_Toc48834524"/>
      <w:bookmarkStart w:id="34" w:name="_Toc32331"/>
      <w:r>
        <w:rPr>
          <w:rFonts w:hint="eastAsia" w:ascii="宋体" w:hAnsi="宋体" w:eastAsia="宋体" w:cs="宋体"/>
          <w:b/>
          <w:bCs w:val="0"/>
          <w:color w:val="auto"/>
          <w:sz w:val="28"/>
          <w:szCs w:val="28"/>
          <w:highlight w:val="none"/>
          <w:lang w:eastAsia="zh-CN"/>
        </w:rPr>
        <w:t>一、定义</w:t>
      </w:r>
      <w:bookmarkEnd w:id="29"/>
      <w:bookmarkEnd w:id="30"/>
      <w:bookmarkEnd w:id="31"/>
      <w:bookmarkEnd w:id="32"/>
      <w:bookmarkEnd w:id="33"/>
      <w:bookmarkEnd w:id="34"/>
    </w:p>
    <w:p>
      <w:pPr>
        <w:keepNext w:val="0"/>
        <w:keepLines w:val="0"/>
        <w:widowControl/>
        <w:suppressLineNumbers w:val="0"/>
        <w:spacing w:before="0" w:beforeAutospacing="0" w:after="0" w:afterAutospacing="0" w:line="400" w:lineRule="exact"/>
        <w:ind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1、“采购人”系指依法进行政府采购的国家机关、事业单位、团体组织。本采购项目的采购人名称、地址、电话、联系人见投标邀请函。</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2、“采购代理机构”系指接受采购人委托，代理采购项目的集中采购机构和经财政部门认定资格的其他采购代理机构。本采购项目的采购代理机构名称、地址、电话、联系人见投标邀请函。</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3、“供应商或服务商”拟向采购人提供货物、服务或者工程的法人、其他组织或者自然人</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4、“谈判小组”是指依据《中华人民共和国政府采购法》和《政府采购非招标采购方式管理办法》有关规定组建，依法依规履行其职责和义务的机构。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5、“货物”系指服务商按采购文件要求,向采购人提供的各种形态和种类的物品，包括原材料、设备、产品(包括软件)及相关的其备品备件、工具、手册及其它技术资料和材料。</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6、“工程”是指建设工程，包括建筑物和构筑物的新建、改建、扩建、装修、拆除、修缮等，详见《政府采购品目分类目录》。</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7、“服务”是政府自身需要的服务和政府向社会公众提供的服务，详见《政府采购品目分类目录》。</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8 、“节能产品”或者“环保产品”是指财政部发布的《节能产品政府采购清单》或者《环境标志产品政府采购清单》的产品。</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9、“进口产品”是指通过中国海关报关验放进入中国境内且产自关境外的产品，详见《关于政府采购进口产品管理有关问题的通知》。</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b/>
          <w:bCs w:val="0"/>
          <w:color w:val="auto"/>
          <w:sz w:val="28"/>
          <w:szCs w:val="28"/>
          <w:highlight w:val="none"/>
          <w:lang w:eastAsia="zh-CN"/>
        </w:rPr>
      </w:pPr>
      <w:r>
        <w:rPr>
          <w:rFonts w:hint="eastAsia" w:ascii="宋体" w:hAnsi="宋体" w:eastAsia="宋体" w:cs="宋体"/>
          <w:color w:val="auto"/>
          <w:kern w:val="2"/>
          <w:sz w:val="28"/>
          <w:szCs w:val="28"/>
          <w:highlight w:val="none"/>
          <w:lang w:val="en-US" w:eastAsia="zh-CN" w:bidi="ar"/>
        </w:rPr>
        <w:t>11、“福利性企业”是为集中安置具有一定劳动能力的残疾人就业而兴办的具有社会福利性质的特殊企业。</w:t>
      </w:r>
      <w:bookmarkStart w:id="35" w:name="_Toc1840"/>
      <w:bookmarkStart w:id="36" w:name="_Toc48834284"/>
      <w:bookmarkStart w:id="37" w:name="_Toc48834157"/>
      <w:bookmarkStart w:id="38" w:name="_Toc48834525"/>
      <w:bookmarkStart w:id="39" w:name="_Toc48834087"/>
      <w:bookmarkStart w:id="40" w:name="_Toc48834446"/>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eastAsia="zh-CN"/>
        </w:rPr>
        <w:t>二、</w:t>
      </w:r>
      <w:r>
        <w:rPr>
          <w:rFonts w:hint="eastAsia" w:ascii="宋体" w:hAnsi="宋体" w:eastAsia="宋体" w:cs="宋体"/>
          <w:b/>
          <w:bCs w:val="0"/>
          <w:color w:val="auto"/>
          <w:sz w:val="28"/>
          <w:szCs w:val="28"/>
          <w:highlight w:val="none"/>
          <w:lang w:val="en-US" w:eastAsia="zh-CN"/>
        </w:rPr>
        <w:t>服务商</w:t>
      </w:r>
      <w:r>
        <w:rPr>
          <w:rFonts w:hint="eastAsia" w:ascii="宋体" w:hAnsi="宋体" w:eastAsia="宋体" w:cs="宋体"/>
          <w:b/>
          <w:bCs w:val="0"/>
          <w:color w:val="auto"/>
          <w:sz w:val="28"/>
          <w:szCs w:val="28"/>
          <w:highlight w:val="none"/>
          <w:lang w:eastAsia="zh-CN"/>
        </w:rPr>
        <w:t>注意事项</w:t>
      </w:r>
      <w:bookmarkEnd w:id="35"/>
      <w:bookmarkEnd w:id="36"/>
      <w:bookmarkEnd w:id="37"/>
      <w:bookmarkEnd w:id="38"/>
      <w:bookmarkEnd w:id="39"/>
      <w:bookmarkEnd w:id="40"/>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bookmarkStart w:id="41" w:name="_Toc24852"/>
      <w:bookmarkStart w:id="42" w:name="_Toc23045"/>
      <w:bookmarkStart w:id="43" w:name="_Toc30368"/>
      <w:bookmarkStart w:id="44" w:name="_Toc734"/>
      <w:r>
        <w:rPr>
          <w:rFonts w:hint="eastAsia" w:ascii="宋体" w:hAnsi="宋体" w:eastAsia="宋体" w:cs="宋体"/>
          <w:b/>
          <w:bCs w:val="0"/>
          <w:color w:val="auto"/>
          <w:kern w:val="2"/>
          <w:sz w:val="28"/>
          <w:szCs w:val="28"/>
          <w:highlight w:val="none"/>
          <w:lang w:val="en-US" w:eastAsia="zh-CN" w:bidi="ar"/>
        </w:rPr>
        <w:t>（一）询问</w:t>
      </w:r>
      <w:bookmarkEnd w:id="41"/>
      <w:bookmarkEnd w:id="42"/>
      <w:bookmarkEnd w:id="43"/>
      <w:bookmarkEnd w:id="44"/>
    </w:p>
    <w:p>
      <w:pPr>
        <w:keepNext w:val="0"/>
        <w:keepLines w:val="0"/>
        <w:widowControl/>
        <w:suppressLineNumbers w:val="0"/>
        <w:spacing w:before="0" w:beforeAutospacing="0" w:after="0" w:afterAutospacing="0" w:line="500" w:lineRule="exact"/>
        <w:ind w:left="0" w:right="0" w:firstLine="560" w:firstLineChars="200"/>
        <w:jc w:val="both"/>
        <w:outlineLvl w:val="2"/>
        <w:rPr>
          <w:rFonts w:hint="eastAsia" w:ascii="宋体" w:hAnsi="宋体" w:eastAsia="宋体" w:cs="宋体"/>
          <w:color w:val="auto"/>
          <w:highlight w:val="none"/>
          <w:lang w:val="en-US"/>
        </w:rPr>
      </w:pPr>
      <w:bookmarkStart w:id="45" w:name="_Toc7423"/>
      <w:bookmarkStart w:id="46" w:name="_Toc11418"/>
      <w:bookmarkStart w:id="47" w:name="_Toc26397"/>
      <w:bookmarkStart w:id="48" w:name="_Toc16663"/>
      <w:r>
        <w:rPr>
          <w:rFonts w:hint="eastAsia" w:ascii="宋体" w:hAnsi="宋体" w:eastAsia="宋体" w:cs="宋体"/>
          <w:color w:val="auto"/>
          <w:kern w:val="2"/>
          <w:sz w:val="28"/>
          <w:szCs w:val="28"/>
          <w:highlight w:val="none"/>
          <w:lang w:val="en-US" w:eastAsia="zh-CN" w:bidi="ar"/>
        </w:rPr>
        <w:t>服务商对政府采购活动事项有疑问的，可以在提交首次响应文件截止之日前向采购代理机构或采购人提出询问，采购人应当及时作出答复，但答复的内容不得涉及商业秘密。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询问内容超出采购人对采购代理机构委托授权范围的，服务商应当向采购人提出。</w:t>
      </w:r>
    </w:p>
    <w:bookmarkEnd w:id="45"/>
    <w:bookmarkEnd w:id="46"/>
    <w:bookmarkEnd w:id="47"/>
    <w:bookmarkEnd w:id="48"/>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highlight w:val="none"/>
          <w:lang w:val="en-US"/>
        </w:rPr>
      </w:pPr>
      <w:bookmarkStart w:id="49" w:name="_Toc30404"/>
      <w:bookmarkStart w:id="50" w:name="_Toc15976"/>
      <w:bookmarkStart w:id="51" w:name="_Toc4661"/>
      <w:bookmarkStart w:id="52" w:name="_Toc4945"/>
      <w:r>
        <w:rPr>
          <w:rFonts w:hint="eastAsia" w:ascii="宋体" w:hAnsi="宋体" w:eastAsia="宋体" w:cs="宋体"/>
          <w:b/>
          <w:bCs w:val="0"/>
          <w:color w:val="auto"/>
          <w:kern w:val="2"/>
          <w:sz w:val="28"/>
          <w:szCs w:val="28"/>
          <w:highlight w:val="none"/>
          <w:lang w:val="en-US" w:eastAsia="zh-CN" w:bidi="ar"/>
        </w:rPr>
        <w:t>（二）质疑和投诉</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1、服务商认为采购文件使自己的权益受到损害的，可以在服务商获取采购文件之日起7个工作日内以书面形式向采购人提出。</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 xml:space="preserve">联 系 人：李根 </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地址：榆林市开发区圣景路水利大厦</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联系方式：</w:t>
      </w:r>
      <w:r>
        <w:rPr>
          <w:rFonts w:hint="eastAsia" w:ascii="宋体" w:hAnsi="宋体" w:eastAsia="宋体" w:cs="宋体"/>
          <w:color w:val="auto"/>
          <w:sz w:val="28"/>
          <w:szCs w:val="28"/>
          <w:highlight w:val="yellow"/>
          <w:lang w:val="en-US" w:eastAsia="zh-CN" w:bidi="ar"/>
        </w:rPr>
        <w:t>18191230001</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2、服务商对采购文件（采购需求除外）、开评标程序、采购过程、成交结果提出质疑的，可以在知道或应知其权益受到损害之日起7个工作日内，通过下列任一形式向采购代理机构提出。</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书面质疑：书面质疑函应按照财政部国库司制定的《政府采购服务商质疑函范本》（见下方链接）进行填写，签字、盖章后提交至采购代理机构。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联系人：陈晰</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联系电话：18220280010</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通信地址：陕西省榆林市榆阳区航宇路沙河口综合市场五楼</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范本地址：http://gks.mof.gov.cn/ztztz/zhengfucaigouguanli/201802/t20180201_2804589.html</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服务商提出质疑应当提交质疑事项和必要的证明材料。在法定质疑期内，针对同一采购程序环节的质疑应当一次性提出。采购人、采购代理机构将在收到书面质疑后7个工作日内，在线答复或以书面形式通知质疑人和其他有关服务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4、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5、有下列情形之一的，属于无效质疑：</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（1）对采购文件提出质疑的质疑人不是依法获取采购文件的潜在服务商；对采购过程、中标或成交结果提出质疑的质疑人不是参与本次政府采购项目的服务商；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（2）超过法定期限，或未以线上、书面形式提出的；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（3）质疑人与质疑事项不存在利害关系的；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（4）书面质疑函主要内容构成不完整的，或缺乏必要的证明材料及证明材料不完整的，或捏造事实、提供虚假材料，或以非法手段取得证明材料的；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（5）书面质疑函没有合法有效的签字、盖章或委托授权书的（代理人提出质疑和投诉，应当提交服务商签署的授权委托书）；</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（6）针对同一采购程序环节又提出其他质疑事项的，或质疑答复后就同一事项再次提出质疑的；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（7）不符合法律、法规、规章和政府采购监管机构规定的其他条件的。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6、质疑服务商对采购人、采购代理机构的答复不满意，或者采购人、采购代理机构未在规定的时间内做出答复的，可以在答复期满后15个工作日内按照《政府采购质疑和投诉办法》（财政部94号令）相关规定向榆林市财政局政府采购管理处提出投诉。服务商投诉的事项不得超出已质疑事项的范围。</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2"/>
          <w:sz w:val="28"/>
          <w:szCs w:val="28"/>
          <w:highlight w:val="none"/>
          <w:lang w:val="en-US" w:eastAsia="zh-CN" w:bidi="ar"/>
        </w:rPr>
        <w:t>7、</w:t>
      </w:r>
      <w:r>
        <w:rPr>
          <w:rFonts w:hint="eastAsia" w:ascii="宋体" w:hAnsi="宋体" w:eastAsia="宋体" w:cs="宋体"/>
          <w:b/>
          <w:bCs w:val="0"/>
          <w:color w:val="auto"/>
          <w:kern w:val="2"/>
          <w:sz w:val="28"/>
          <w:szCs w:val="28"/>
          <w:highlight w:val="none"/>
          <w:lang w:val="en-US" w:eastAsia="zh-CN" w:bidi="ar"/>
        </w:rPr>
        <w:t>对捏造事实、提供虚假材料进行质疑、投诉的行为予以严肃处理：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依据《中华人民共和国政府采购法》、《中华人民共和国政府采购法实施条例》、《政府采购非招标采购方式管理办法》、《政府采购质疑和投诉办法》等法律法规的规定，服务商质疑、投诉应当有明确的请求和必要的证明材料。</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2"/>
          <w:sz w:val="28"/>
          <w:szCs w:val="28"/>
          <w:highlight w:val="none"/>
          <w:lang w:val="en-US" w:eastAsia="zh-CN" w:bidi="ar"/>
        </w:rPr>
        <w:t>8、</w:t>
      </w:r>
      <w:r>
        <w:rPr>
          <w:rFonts w:hint="eastAsia" w:ascii="宋体" w:hAnsi="宋体" w:eastAsia="宋体" w:cs="宋体"/>
          <w:b/>
          <w:bCs w:val="0"/>
          <w:color w:val="auto"/>
          <w:kern w:val="2"/>
          <w:sz w:val="28"/>
          <w:szCs w:val="28"/>
          <w:highlight w:val="none"/>
          <w:lang w:val="en-US" w:eastAsia="zh-CN" w:bidi="ar"/>
        </w:rPr>
        <w:t>对捏造事实诬告陷害他人、诽谤他人的法律适用：</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《中华人民共和国刑法》第246条【侮辱罪、诽谤罪】以暴力或者其他方法公然侮辱他人或者捏造事实诽谤他人，情节严重的，处三年以下有期徒刑、拘役、管制或者剥夺政治权利。</w:t>
      </w:r>
    </w:p>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（三）关于信用记录的查询和使用</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1、谈判小组在资格审查阶段通过【</w:t>
      </w:r>
      <w:r>
        <w:rPr>
          <w:rFonts w:hint="eastAsia" w:ascii="宋体" w:hAnsi="宋体" w:eastAsia="宋体" w:cs="宋体"/>
          <w:color w:val="auto"/>
          <w:kern w:val="2"/>
          <w:sz w:val="28"/>
          <w:szCs w:val="28"/>
          <w:highlight w:val="none"/>
          <w:lang w:val="en-US" w:eastAsia="zh-CN" w:bidi="ar"/>
        </w:rPr>
        <w:fldChar w:fldCharType="begin"/>
      </w:r>
      <w:r>
        <w:rPr>
          <w:rFonts w:hint="eastAsia" w:ascii="宋体" w:hAnsi="宋体" w:eastAsia="宋体" w:cs="宋体"/>
          <w:color w:val="auto"/>
          <w:kern w:val="2"/>
          <w:sz w:val="28"/>
          <w:szCs w:val="28"/>
          <w:highlight w:val="none"/>
          <w:lang w:val="en-US" w:eastAsia="zh-CN" w:bidi="ar"/>
        </w:rPr>
        <w:instrText xml:space="preserve"> HYPERLINK "http://www.creditchina.gov.cn" </w:instrText>
      </w:r>
      <w:r>
        <w:rPr>
          <w:rFonts w:hint="eastAsia" w:ascii="宋体" w:hAnsi="宋体" w:eastAsia="宋体" w:cs="宋体"/>
          <w:color w:val="auto"/>
          <w:kern w:val="2"/>
          <w:sz w:val="28"/>
          <w:szCs w:val="28"/>
          <w:highlight w:val="none"/>
          <w:lang w:val="en-US" w:eastAsia="zh-CN" w:bidi="ar"/>
        </w:rPr>
        <w:fldChar w:fldCharType="separate"/>
      </w:r>
      <w:r>
        <w:rPr>
          <w:rStyle w:val="44"/>
          <w:rFonts w:hint="eastAsia" w:ascii="宋体" w:hAnsi="宋体" w:eastAsia="宋体" w:cs="宋体"/>
          <w:color w:val="auto"/>
          <w:sz w:val="28"/>
          <w:szCs w:val="28"/>
          <w:highlight w:val="none"/>
          <w:lang w:eastAsia="zh-CN"/>
        </w:rPr>
        <w:t>信用中国</w:t>
      </w:r>
      <w:r>
        <w:rPr>
          <w:rFonts w:hint="eastAsia" w:ascii="宋体" w:hAnsi="宋体" w:eastAsia="宋体" w:cs="宋体"/>
          <w:color w:val="auto"/>
          <w:kern w:val="2"/>
          <w:sz w:val="28"/>
          <w:szCs w:val="28"/>
          <w:highlight w:val="none"/>
          <w:lang w:val="en-US" w:eastAsia="zh-CN" w:bidi="ar"/>
        </w:rPr>
        <w:fldChar w:fldCharType="end"/>
      </w:r>
      <w:r>
        <w:rPr>
          <w:rFonts w:hint="eastAsia" w:ascii="宋体" w:hAnsi="宋体" w:eastAsia="宋体" w:cs="宋体"/>
          <w:color w:val="auto"/>
          <w:kern w:val="2"/>
          <w:sz w:val="28"/>
          <w:szCs w:val="28"/>
          <w:highlight w:val="none"/>
          <w:lang w:val="en-US" w:eastAsia="zh-CN" w:bidi="ar"/>
        </w:rPr>
        <w:t>（www.creditchina.gov.cn）】、【</w:t>
      </w:r>
      <w:r>
        <w:rPr>
          <w:rFonts w:hint="eastAsia" w:ascii="宋体" w:hAnsi="宋体" w:eastAsia="宋体" w:cs="宋体"/>
          <w:color w:val="auto"/>
          <w:kern w:val="2"/>
          <w:sz w:val="28"/>
          <w:szCs w:val="28"/>
          <w:highlight w:val="none"/>
          <w:lang w:val="en-US" w:eastAsia="zh-CN" w:bidi="ar"/>
        </w:rPr>
        <w:fldChar w:fldCharType="begin"/>
      </w:r>
      <w:r>
        <w:rPr>
          <w:rFonts w:hint="eastAsia" w:ascii="宋体" w:hAnsi="宋体" w:eastAsia="宋体" w:cs="宋体"/>
          <w:color w:val="auto"/>
          <w:kern w:val="2"/>
          <w:sz w:val="28"/>
          <w:szCs w:val="28"/>
          <w:highlight w:val="none"/>
          <w:lang w:val="en-US" w:eastAsia="zh-CN" w:bidi="ar"/>
        </w:rPr>
        <w:instrText xml:space="preserve"> HYPERLINK "http://www.ccgp.gov.cn/cr/list" </w:instrText>
      </w:r>
      <w:r>
        <w:rPr>
          <w:rFonts w:hint="eastAsia" w:ascii="宋体" w:hAnsi="宋体" w:eastAsia="宋体" w:cs="宋体"/>
          <w:color w:val="auto"/>
          <w:kern w:val="2"/>
          <w:sz w:val="28"/>
          <w:szCs w:val="28"/>
          <w:highlight w:val="none"/>
          <w:lang w:val="en-US" w:eastAsia="zh-CN" w:bidi="ar"/>
        </w:rPr>
        <w:fldChar w:fldCharType="separate"/>
      </w:r>
      <w:r>
        <w:rPr>
          <w:rStyle w:val="44"/>
          <w:rFonts w:hint="eastAsia" w:ascii="宋体" w:hAnsi="宋体" w:eastAsia="宋体" w:cs="宋体"/>
          <w:color w:val="auto"/>
          <w:sz w:val="28"/>
          <w:szCs w:val="28"/>
          <w:highlight w:val="none"/>
          <w:lang w:eastAsia="zh-CN"/>
        </w:rPr>
        <w:t>中国政府采购网</w:t>
      </w:r>
      <w:r>
        <w:rPr>
          <w:rFonts w:hint="eastAsia" w:ascii="宋体" w:hAnsi="宋体" w:eastAsia="宋体" w:cs="宋体"/>
          <w:color w:val="auto"/>
          <w:kern w:val="2"/>
          <w:sz w:val="28"/>
          <w:szCs w:val="28"/>
          <w:highlight w:val="none"/>
          <w:lang w:val="en-US" w:eastAsia="zh-CN" w:bidi="ar"/>
        </w:rPr>
        <w:fldChar w:fldCharType="end"/>
      </w:r>
      <w:r>
        <w:rPr>
          <w:rFonts w:hint="eastAsia" w:ascii="宋体" w:hAnsi="宋体" w:eastAsia="宋体" w:cs="宋体"/>
          <w:color w:val="auto"/>
          <w:kern w:val="2"/>
          <w:sz w:val="28"/>
          <w:szCs w:val="28"/>
          <w:highlight w:val="none"/>
          <w:lang w:val="en-US" w:eastAsia="zh-CN" w:bidi="ar"/>
        </w:rPr>
        <w:t>（www.ccgp.gov.cn）】网站对服务商的信用情况进行甄别。对列入失信被执行人、重大税收违法案件当事人名单、政府采购严重违法失信行为记录名单及其他不符合《中华人民共和国政府采购法》第二十二条规定条件的服务商，拒绝其参本次采购活动。</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2、服务商在参加政府采购活动前3年内因违法经营被禁止在一定期限内参加政府采购活动，期限届满的，可以参加政府采购活动的，但服务商应提供相关证明材料。</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3、服务商信用记录查询的时间段为“谈判公告发布之日（含当日）至提交响应文件截止之日（不含当日）”。信用记录查询的结果，将以纸质截图形式留存。</w:t>
      </w:r>
    </w:p>
    <w:bookmarkEnd w:id="49"/>
    <w:bookmarkEnd w:id="50"/>
    <w:bookmarkEnd w:id="51"/>
    <w:bookmarkEnd w:id="52"/>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highlight w:val="none"/>
          <w:lang w:val="en-US"/>
        </w:rPr>
      </w:pPr>
      <w:bookmarkStart w:id="53" w:name="_Toc19023"/>
      <w:bookmarkStart w:id="54" w:name="_Toc24866"/>
      <w:bookmarkStart w:id="55" w:name="_Toc2340"/>
      <w:bookmarkStart w:id="56" w:name="_Toc18387"/>
      <w:bookmarkStart w:id="57" w:name="_Toc48834526"/>
      <w:bookmarkStart w:id="58" w:name="_Toc48834447"/>
      <w:bookmarkStart w:id="59" w:name="_Toc48834285"/>
      <w:bookmarkStart w:id="60" w:name="_Toc48834088"/>
      <w:bookmarkStart w:id="61" w:name="_Toc48834158"/>
      <w:bookmarkStart w:id="62" w:name="_Toc25185"/>
      <w:r>
        <w:rPr>
          <w:rFonts w:hint="eastAsia" w:ascii="宋体" w:hAnsi="宋体" w:eastAsia="宋体" w:cs="宋体"/>
          <w:b/>
          <w:bCs w:val="0"/>
          <w:color w:val="auto"/>
          <w:kern w:val="2"/>
          <w:sz w:val="28"/>
          <w:szCs w:val="28"/>
          <w:highlight w:val="none"/>
          <w:lang w:val="en-US" w:eastAsia="zh-CN" w:bidi="ar"/>
        </w:rPr>
        <w:t>（四）落实政府采购政策需满足的资格要求</w:t>
      </w:r>
    </w:p>
    <w:p>
      <w:pPr>
        <w:keepNext w:val="0"/>
        <w:keepLines w:val="0"/>
        <w:widowControl/>
        <w:suppressLineNumbers w:val="0"/>
        <w:spacing w:before="0" w:beforeAutospacing="0" w:after="0" w:afterAutospacing="0" w:line="400" w:lineRule="exact"/>
        <w:ind w:left="0" w:right="0" w:firstLine="843" w:firstLineChars="300"/>
        <w:jc w:val="both"/>
        <w:rPr>
          <w:rFonts w:hint="eastAsia" w:ascii="宋体" w:hAnsi="宋体" w:eastAsia="宋体" w:cs="宋体"/>
          <w:b/>
          <w:bCs/>
          <w:color w:val="auto"/>
          <w:highlight w:val="none"/>
          <w:lang w:val="en-US"/>
        </w:rPr>
      </w:pPr>
      <w:r>
        <w:rPr>
          <w:rFonts w:hint="eastAsia" w:ascii="宋体" w:hAnsi="宋体" w:eastAsia="宋体" w:cs="宋体"/>
          <w:b/>
          <w:bCs w:val="0"/>
          <w:color w:val="auto"/>
          <w:kern w:val="2"/>
          <w:sz w:val="28"/>
          <w:szCs w:val="28"/>
          <w:highlight w:val="none"/>
          <w:lang w:val="en-US" w:eastAsia="zh-CN" w:bidi="ar"/>
        </w:rPr>
        <w:t>1、非</w:t>
      </w:r>
      <w:r>
        <w:rPr>
          <w:rFonts w:hint="eastAsia" w:ascii="宋体" w:hAnsi="宋体" w:eastAsia="宋体" w:cs="宋体"/>
          <w:b/>
          <w:bCs/>
          <w:color w:val="auto"/>
          <w:kern w:val="2"/>
          <w:sz w:val="28"/>
          <w:szCs w:val="28"/>
          <w:highlight w:val="none"/>
          <w:lang w:val="en-US" w:eastAsia="zh-CN" w:bidi="ar"/>
        </w:rPr>
        <w:t>专门面向中小企业的采购的情形</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根据《政府采购促进中小企业发展管理办法》（财库〔2020〕46号）、《财政部关于进一步加大政府采购支持中小企业力度的通知》（财库〔2022〕19 号）、《陕西省财政厅关于进一步加大政府采购支持中小企业力度的通知》（陕财办采〔2022〕5号）和《榆林市财政局关于进一步加大政府采购 支持中小企业力度的通知》（榆政财采发〔2022〕10号）的有关规定，未预留份额专门面向中小企业的货物服务采购项目，给予小微企业的价格扣除优惠提高至20%，用扣除后的价格参加评审；鼓励大中型企业与小微企业组成联合体或者大中型企业向小微企业分包，对于货物服务采购项目联合协议或者分包意向协议约定小微企业的合同份额占到合同总金额30%以上的，价格扣除优惠提高至6%，用扣除后的价格参加评审。</w:t>
      </w:r>
    </w:p>
    <w:p>
      <w:pPr>
        <w:keepNext w:val="0"/>
        <w:keepLines w:val="0"/>
        <w:widowControl/>
        <w:numPr>
          <w:ilvl w:val="0"/>
          <w:numId w:val="0"/>
        </w:numPr>
        <w:suppressLineNumbers w:val="0"/>
        <w:spacing w:before="0" w:beforeAutospacing="0" w:after="0" w:afterAutospacing="0" w:line="400" w:lineRule="exact"/>
        <w:ind w:leftChars="200" w:right="0" w:rightChars="0"/>
        <w:jc w:val="both"/>
        <w:rPr>
          <w:rFonts w:hint="eastAsia" w:ascii="宋体" w:hAnsi="宋体" w:eastAsia="宋体" w:cs="宋体"/>
          <w:color w:val="auto"/>
          <w:highlight w:val="none"/>
          <w:lang w:val="en-US"/>
        </w:rPr>
      </w:pPr>
      <w:r>
        <w:rPr>
          <w:rFonts w:hint="eastAsia" w:ascii="宋体" w:hAnsi="宋体" w:eastAsia="宋体" w:cs="宋体"/>
          <w:b/>
          <w:bCs/>
          <w:color w:val="auto"/>
          <w:kern w:val="2"/>
          <w:sz w:val="28"/>
          <w:szCs w:val="28"/>
          <w:highlight w:val="none"/>
          <w:lang w:val="en-US" w:eastAsia="zh-CN" w:bidi="ar"/>
        </w:rPr>
        <w:t>2、专门面向中小企业的采购的情形</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根据《政府采购促进中小企业发展管理办法》（财库〔2020〕46号）的有关规定，提供中小企业制造的货物、承建的工程或者承接的服务（不包括使用大型、中型企业商号或者注册商标的货物）参与政府采购活动。同时，依据该办法第四条第二款规定在货物采购项目中，服务商提供的货物既有中小企业制造货物，也有大型企业制造货物的，不得参加本项目采购活动。</w:t>
      </w:r>
    </w:p>
    <w:p>
      <w:pPr>
        <w:pStyle w:val="89"/>
        <w:widowControl/>
        <w:numPr>
          <w:ilvl w:val="0"/>
          <w:numId w:val="0"/>
        </w:numPr>
        <w:spacing w:before="0" w:beforeAutospacing="0" w:after="0" w:afterAutospacing="0" w:line="0" w:lineRule="atLeast"/>
        <w:ind w:leftChars="200" w:right="0" w:rightChars="0"/>
        <w:rPr>
          <w:rFonts w:hint="eastAsia" w:ascii="宋体" w:hAnsi="宋体" w:eastAsia="宋体" w:cs="宋体"/>
          <w:b/>
          <w:bCs w:val="0"/>
          <w:color w:val="auto"/>
          <w:kern w:val="2"/>
          <w:sz w:val="28"/>
          <w:szCs w:val="28"/>
          <w:highlight w:val="none"/>
          <w:lang w:val="en-US"/>
        </w:rPr>
      </w:pPr>
      <w:r>
        <w:rPr>
          <w:rFonts w:hint="eastAsia" w:ascii="宋体" w:hAnsi="宋体" w:eastAsia="宋体" w:cs="宋体"/>
          <w:b/>
          <w:bCs w:val="0"/>
          <w:color w:val="auto"/>
          <w:kern w:val="2"/>
          <w:sz w:val="28"/>
          <w:szCs w:val="28"/>
          <w:highlight w:val="none"/>
          <w:lang w:val="en-US" w:eastAsia="zh-CN"/>
        </w:rPr>
        <w:t>3、</w:t>
      </w:r>
      <w:r>
        <w:rPr>
          <w:rFonts w:hint="eastAsia" w:ascii="宋体" w:hAnsi="宋体" w:eastAsia="宋体" w:cs="宋体"/>
          <w:b/>
          <w:bCs w:val="0"/>
          <w:color w:val="auto"/>
          <w:kern w:val="2"/>
          <w:sz w:val="28"/>
          <w:szCs w:val="28"/>
          <w:highlight w:val="none"/>
          <w:lang w:eastAsia="zh-CN"/>
        </w:rPr>
        <w:t>本项目专门面向</w:t>
      </w:r>
      <w:r>
        <w:rPr>
          <w:rFonts w:hint="eastAsia" w:ascii="宋体" w:hAnsi="宋体" w:eastAsia="宋体" w:cs="宋体"/>
          <w:b/>
          <w:bCs w:val="0"/>
          <w:color w:val="auto"/>
          <w:kern w:val="2"/>
          <w:sz w:val="28"/>
          <w:szCs w:val="28"/>
          <w:highlight w:val="none"/>
          <w:lang w:val="en-US" w:eastAsia="zh-CN"/>
        </w:rPr>
        <w:t>中小</w:t>
      </w:r>
      <w:r>
        <w:rPr>
          <w:rFonts w:hint="eastAsia" w:ascii="宋体" w:hAnsi="宋体" w:eastAsia="宋体" w:cs="宋体"/>
          <w:b/>
          <w:bCs w:val="0"/>
          <w:color w:val="auto"/>
          <w:kern w:val="2"/>
          <w:sz w:val="28"/>
          <w:szCs w:val="28"/>
          <w:highlight w:val="none"/>
          <w:lang w:eastAsia="zh-CN"/>
        </w:rPr>
        <w:t>企业的采购。</w:t>
      </w:r>
    </w:p>
    <w:p>
      <w:pPr>
        <w:widowControl/>
        <w:spacing w:line="400" w:lineRule="exact"/>
        <w:ind w:firstLine="560" w:firstLineChars="200"/>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rPr>
        <w:t>根据《政府采购促进中小企业发展管理办法》（财库〔2020〕46号）的有关规定，提供中小微企业制造的货物、承建的工程或者承接的服务（不包括使用大型、中型企业商号或者注册商标的货物）参与政府采购活动。同时，依据该办法第四条第二款规定在货物采购项目中，</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提供的货物既有中小企业制造货物，也有大型企业制造货物的，不得参加本项目采购活动。</w:t>
      </w: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注：（1）根据财政部、司法部联合下发的《关于政府采购支持监狱企业发展有关问题的通知》（财库〔2014〕68号）的规定，监狱企业视同小型、微型企业。</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2"/>
          <w:sz w:val="28"/>
          <w:szCs w:val="28"/>
          <w:highlight w:val="none"/>
          <w:lang w:val="en-US" w:eastAsia="zh-CN" w:bidi="ar"/>
        </w:rPr>
        <w:t>（3）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扫描件。未提供上述声明函/证明文件扫描件的，按无效投标处理。</w:t>
      </w:r>
      <w:r>
        <w:rPr>
          <w:rFonts w:hint="eastAsia" w:ascii="宋体" w:hAnsi="宋体" w:eastAsia="宋体" w:cs="宋体"/>
          <w:b/>
          <w:bCs/>
          <w:color w:val="auto"/>
          <w:kern w:val="2"/>
          <w:sz w:val="28"/>
          <w:szCs w:val="28"/>
          <w:highlight w:val="none"/>
          <w:lang w:val="en-US" w:eastAsia="zh-CN" w:bidi="ar"/>
        </w:rPr>
        <w:t>服务商未如实填报《服务商书面声明函》的，视为“服务商提供虚假材料谋取中标、成交的”行为，拒绝其参本次投标活动。</w:t>
      </w:r>
    </w:p>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（五）不见面开标</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本项目将采取“不见面”开标的形式，服务商无须到达开标现场，即可在网上直接参与开标活动。相关注意事项如下：</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1、提交首次响应文件当日，请各服务商至少提前半小时登录“不见面”开评标系统，并按要求及时签到，并保持在线直到评审结束；</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 xml:space="preserve">2、服务商无需提交纸质响应文件，待采购结果公告后，由服务商须补交（可邮寄）纸质响应文件三份，响应文件电子Word版U盘一份（备案用）。  </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开标过程中，服务商在收到工作人员“开始解密”指令后，请及时使用CA对电子响应文件进行解密。解密时所用CA应与加密响应文件时所用CA相同；评审过程中，谈判小组可能会就某些问题要求服务商进行在线澄清。</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4、“不见面”开评标系统操作说明请详见全国公共资源交易平台（陕西省·榆林市）网站〖首页·〉服务指南·〉下载专区〗中的《榆林市公共资源交易不见面开标大厅服务商操作手册》。相关技术问题，请咨询软件开发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技术支持热线：400-998-0000/400-928-0095</w:t>
      </w:r>
    </w:p>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color w:val="auto"/>
          <w:highlight w:val="none"/>
          <w:lang w:val="en-US"/>
        </w:rPr>
      </w:pPr>
      <w:bookmarkStart w:id="63" w:name="_Toc1993"/>
      <w:bookmarkStart w:id="64" w:name="_Toc22982"/>
      <w:bookmarkStart w:id="65" w:name="_Toc16749"/>
      <w:bookmarkStart w:id="66" w:name="_Toc16492"/>
      <w:r>
        <w:rPr>
          <w:rFonts w:hint="eastAsia" w:ascii="宋体" w:hAnsi="宋体" w:eastAsia="宋体" w:cs="宋体"/>
          <w:b/>
          <w:bCs/>
          <w:color w:val="auto"/>
          <w:kern w:val="2"/>
          <w:sz w:val="28"/>
          <w:szCs w:val="28"/>
          <w:highlight w:val="none"/>
          <w:lang w:val="en-US" w:eastAsia="zh-CN" w:bidi="ar"/>
        </w:rPr>
        <w:t>（六）关于知识产权与保密事项</w:t>
      </w:r>
      <w:bookmarkEnd w:id="63"/>
      <w:bookmarkEnd w:id="64"/>
      <w:bookmarkEnd w:id="65"/>
      <w:bookmarkEnd w:id="66"/>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1、所有涉及知识产权的产品及设计，服务商必须确保采购人拥有其合法的、不受限制的无偿使用权，并免受任何侵权诉讼或索偿，否则，由此产生的一切经济损失和法律责任由服务商承担。</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由采购人向服务商提供的所有资料，服务商不得向第三方透露或将其用于本次采购以外的任何用途。开标后，若采购人有要求，服务商须归还采购人认为需保密的文件和资料，并销毁所有相应的备份文件及资料。</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color w:val="auto"/>
          <w:highlight w:val="none"/>
          <w:lang w:val="en-US"/>
        </w:rPr>
      </w:pPr>
      <w:r>
        <w:rPr>
          <w:rFonts w:hint="eastAsia" w:ascii="宋体" w:hAnsi="宋体" w:eastAsia="宋体" w:cs="宋体"/>
          <w:b/>
          <w:bCs/>
          <w:color w:val="auto"/>
          <w:kern w:val="2"/>
          <w:sz w:val="28"/>
          <w:szCs w:val="28"/>
          <w:highlight w:val="none"/>
          <w:lang w:val="en-US" w:eastAsia="zh-CN" w:bidi="ar"/>
        </w:rPr>
        <w:t>（七）政采贷业务</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5号）等有关规定，按照市场主导、财政引导、银企自愿、风险自担的原则，中标（成交）服务商可根据自身资金需求，登录陕西省政府采购信用融资平台（http://www.ccgp-shaanxi.gov.cn/zcdservice/zcd/shanxi/）在线申请，依法参加政府采购信用融资活动。</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目前的合作银行有：北京银行、中国建设银行、中信银行、中国平安银行、中国光大银行、浦发银行、兴业银行、中国工商银行、秦农银行、浙商银行、中国银行、西安银行、中国农业银行、中国邮政储蓄银行。</w:t>
      </w:r>
    </w:p>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（八）服务商的谈判费用自理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1、服务商应承担所有与编写和提交响应文件有关的费用，无论投标过程中的做法和结果如何，采购人在任何情况下均无义务和责任承担这些费用。</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2、采购人或采购代理机构不组织现场踏勘，服务商对采购文件的所有内容进行仔细阅读，由于对各种因素考虑不周和对谈判文件的理解不深或误解等而造成的漏报、误报，采购人和采购代理机构不负任何责任。</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3、服务商可自行踏勘现场，自行负责因踏勘所产生的费用、风险和其他一切后果由服务商自己承担，采购人和采购代理机构不承担任何责任。</w:t>
      </w:r>
    </w:p>
    <w:bookmarkEnd w:id="53"/>
    <w:bookmarkEnd w:id="54"/>
    <w:bookmarkEnd w:id="55"/>
    <w:bookmarkEnd w:id="56"/>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eastAsia="zh-CN"/>
        </w:rPr>
        <w:t>三、谈判文件</w:t>
      </w:r>
      <w:bookmarkEnd w:id="57"/>
      <w:bookmarkEnd w:id="58"/>
      <w:bookmarkEnd w:id="59"/>
      <w:bookmarkEnd w:id="60"/>
      <w:bookmarkEnd w:id="61"/>
      <w:bookmarkEnd w:id="62"/>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bookmarkStart w:id="67" w:name="_Toc20323"/>
      <w:bookmarkStart w:id="68" w:name="_Toc5972"/>
      <w:bookmarkStart w:id="69" w:name="_Toc7620"/>
      <w:bookmarkStart w:id="70" w:name="_Toc19555"/>
      <w:r>
        <w:rPr>
          <w:rFonts w:hint="eastAsia" w:ascii="宋体" w:hAnsi="宋体" w:eastAsia="宋体" w:cs="宋体"/>
          <w:b/>
          <w:bCs w:val="0"/>
          <w:color w:val="auto"/>
          <w:kern w:val="2"/>
          <w:sz w:val="28"/>
          <w:szCs w:val="28"/>
          <w:highlight w:val="none"/>
          <w:lang w:val="en-US" w:eastAsia="zh-CN" w:bidi="ar"/>
        </w:rPr>
        <w:t>（一）谈判文件包括下列内容</w:t>
      </w:r>
      <w:bookmarkEnd w:id="67"/>
      <w:bookmarkEnd w:id="68"/>
      <w:bookmarkEnd w:id="69"/>
      <w:bookmarkEnd w:id="70"/>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第一章　谈判邀请函</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第二章　服务商须知</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bookmarkStart w:id="71" w:name="_Toc32645"/>
      <w:bookmarkStart w:id="72" w:name="_Toc18777"/>
      <w:bookmarkStart w:id="73" w:name="_Toc7448"/>
      <w:bookmarkStart w:id="74" w:name="_Toc4199"/>
      <w:r>
        <w:rPr>
          <w:rFonts w:hint="eastAsia" w:ascii="宋体" w:hAnsi="宋体" w:eastAsia="宋体" w:cs="宋体"/>
          <w:color w:val="auto"/>
          <w:kern w:val="2"/>
          <w:sz w:val="28"/>
          <w:szCs w:val="28"/>
          <w:highlight w:val="none"/>
          <w:lang w:val="en-US" w:eastAsia="zh-CN" w:bidi="ar"/>
        </w:rPr>
        <w:t>第三章　谈判内容及采购要求</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第四章  合同基本条款</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第五章  响应文件构成及格式</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（二）谈判文件的检查及阅读</w:t>
      </w:r>
      <w:bookmarkEnd w:id="71"/>
      <w:bookmarkEnd w:id="72"/>
      <w:bookmarkEnd w:id="73"/>
      <w:bookmarkEnd w:id="74"/>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服务商下载谈判文件后应仔细阅读检查谈判文件中的所有内容，按照谈判文件中所列事项、条款、规范要求及格式，在响应文件中对谈判文件做出全面的响应，并按谈判文件的要求提交全部资料。</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如本项目废标后需重新开展采购活动，采购代理机构将重新编制、发布新版谈判文件，服务商应按新版谈判文件重新编制响应文件。原谈判文件及响应文件失效。</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响应文件封面、响应函以及法定代表人授权委托书三处的项目名称、项目编号、标段（如有）应当与最新发布的谈判文件保持一致，否则将被视为无效响应文件。</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bookmarkStart w:id="75" w:name="_Toc6302"/>
      <w:bookmarkStart w:id="76" w:name="_Toc27301"/>
      <w:bookmarkStart w:id="77" w:name="_Toc21665"/>
      <w:bookmarkStart w:id="78" w:name="_Toc25748"/>
      <w:r>
        <w:rPr>
          <w:rFonts w:hint="eastAsia" w:ascii="宋体" w:hAnsi="宋体" w:eastAsia="宋体" w:cs="宋体"/>
          <w:b/>
          <w:bCs w:val="0"/>
          <w:color w:val="auto"/>
          <w:kern w:val="2"/>
          <w:sz w:val="28"/>
          <w:szCs w:val="28"/>
          <w:highlight w:val="none"/>
          <w:lang w:val="en-US" w:eastAsia="zh-CN" w:bidi="ar"/>
        </w:rPr>
        <w:t>（三）谈判文件的修改、澄清</w:t>
      </w:r>
      <w:bookmarkEnd w:id="75"/>
      <w:bookmarkEnd w:id="76"/>
      <w:bookmarkEnd w:id="77"/>
      <w:bookmarkEnd w:id="78"/>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1、采购代理机构可以对已发出的谈判文件进行必要的澄清或者修改，</w:t>
      </w:r>
      <w:r>
        <w:rPr>
          <w:rFonts w:hint="eastAsia" w:ascii="宋体" w:hAnsi="宋体" w:eastAsia="宋体" w:cs="宋体"/>
          <w:b/>
          <w:bCs w:val="0"/>
          <w:color w:val="auto"/>
          <w:kern w:val="2"/>
          <w:sz w:val="28"/>
          <w:szCs w:val="28"/>
          <w:highlight w:val="none"/>
          <w:lang w:val="en-US" w:eastAsia="zh-CN" w:bidi="ar"/>
        </w:rPr>
        <w:t>但不得改变采购标的和资格条件。</w:t>
      </w:r>
      <w:r>
        <w:rPr>
          <w:rFonts w:hint="eastAsia" w:ascii="宋体" w:hAnsi="宋体" w:eastAsia="宋体" w:cs="宋体"/>
          <w:color w:val="auto"/>
          <w:kern w:val="2"/>
          <w:sz w:val="28"/>
          <w:szCs w:val="28"/>
          <w:highlight w:val="none"/>
          <w:lang w:val="en-US" w:eastAsia="zh-CN" w:bidi="ar"/>
        </w:rPr>
        <w:t>澄清或者修改应将在原公告发布媒体上发布澄清公告，其内容为谈判文件的组成部分。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 2、提交首次响应文件截止之日前，采购人、采购代理机构或谈判小组可对已发出的谈判文件进行必要的澄清或者修改，澄清或者修改的内容作为谈判文件的组成部分。澄清或修改的内容可能影响响应文件编制的，采购人、采购代理机构应当在在提交首次响应文件截止之日3个工作日前，在财政部门指定的政府采购信息发布媒体上发布变更公告，不足3个工作日的，采购人、采购代理机构将顺延提交首次响应文件截止时间。</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3、各服务商在提交响应文件截止时间之前，应随时关注下列地址发布的变更公告，也可登录全国公共资源交易平台（陕西省）政府采购交易系统查看左上角的信息提醒，采购代理机构</w:t>
      </w:r>
      <w:r>
        <w:rPr>
          <w:rFonts w:hint="eastAsia" w:ascii="宋体" w:hAnsi="宋体" w:eastAsia="宋体" w:cs="宋体"/>
          <w:b/>
          <w:bCs w:val="0"/>
          <w:color w:val="auto"/>
          <w:kern w:val="2"/>
          <w:sz w:val="28"/>
          <w:szCs w:val="28"/>
          <w:highlight w:val="none"/>
          <w:lang w:val="en-US" w:eastAsia="zh-CN" w:bidi="ar"/>
        </w:rPr>
        <w:t>不再单独通知，因服务商未及时关注所造成的一切后果由服务商自行承担：</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w:t>
      </w:r>
      <w:r>
        <w:rPr>
          <w:rFonts w:hint="eastAsia" w:ascii="宋体" w:hAnsi="宋体" w:eastAsia="宋体" w:cs="宋体"/>
          <w:color w:val="auto"/>
          <w:kern w:val="2"/>
          <w:sz w:val="28"/>
          <w:szCs w:val="28"/>
          <w:highlight w:val="none"/>
          <w:lang w:val="en-US" w:eastAsia="zh-CN" w:bidi="ar"/>
        </w:rPr>
        <w:fldChar w:fldCharType="begin"/>
      </w:r>
      <w:r>
        <w:rPr>
          <w:rFonts w:hint="eastAsia" w:ascii="宋体" w:hAnsi="宋体" w:eastAsia="宋体" w:cs="宋体"/>
          <w:color w:val="auto"/>
          <w:kern w:val="2"/>
          <w:sz w:val="28"/>
          <w:szCs w:val="28"/>
          <w:highlight w:val="none"/>
          <w:lang w:val="en-US" w:eastAsia="zh-CN" w:bidi="ar"/>
        </w:rPr>
        <w:instrText xml:space="preserve"> HYPERLINK "http://www.ccgp-shaanxi.gov.cn" </w:instrText>
      </w:r>
      <w:r>
        <w:rPr>
          <w:rFonts w:hint="eastAsia" w:ascii="宋体" w:hAnsi="宋体" w:eastAsia="宋体" w:cs="宋体"/>
          <w:color w:val="auto"/>
          <w:kern w:val="2"/>
          <w:sz w:val="28"/>
          <w:szCs w:val="28"/>
          <w:highlight w:val="none"/>
          <w:lang w:val="en-US" w:eastAsia="zh-CN" w:bidi="ar"/>
        </w:rPr>
        <w:fldChar w:fldCharType="separate"/>
      </w:r>
      <w:r>
        <w:rPr>
          <w:rFonts w:hint="eastAsia" w:ascii="宋体" w:hAnsi="宋体" w:eastAsia="宋体" w:cs="宋体"/>
          <w:color w:val="auto"/>
          <w:kern w:val="2"/>
          <w:sz w:val="28"/>
          <w:szCs w:val="28"/>
          <w:highlight w:val="none"/>
          <w:lang w:val="en-US" w:eastAsia="zh-CN" w:bidi="ar"/>
        </w:rPr>
        <w:t>陕西省政府采购网</w:t>
      </w:r>
      <w:r>
        <w:rPr>
          <w:rFonts w:hint="eastAsia" w:ascii="宋体" w:hAnsi="宋体" w:eastAsia="宋体" w:cs="宋体"/>
          <w:color w:val="auto"/>
          <w:kern w:val="2"/>
          <w:sz w:val="28"/>
          <w:szCs w:val="28"/>
          <w:highlight w:val="none"/>
          <w:lang w:val="en-US" w:eastAsia="zh-CN" w:bidi="ar"/>
        </w:rPr>
        <w:fldChar w:fldCharType="end"/>
      </w:r>
      <w:r>
        <w:rPr>
          <w:rFonts w:hint="eastAsia" w:ascii="宋体" w:hAnsi="宋体" w:eastAsia="宋体" w:cs="宋体"/>
          <w:color w:val="auto"/>
          <w:kern w:val="2"/>
          <w:sz w:val="28"/>
          <w:szCs w:val="28"/>
          <w:highlight w:val="none"/>
          <w:lang w:val="en-US" w:eastAsia="zh-CN" w:bidi="ar"/>
        </w:rPr>
        <w:t>（www.ccgp-shaanxi.gov.cn）】中的〖首页·〉市级公告·〉更正公告〗；</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（2）【全国公共资源交易平台（陕西省）（http://www.sxggzyjy.cn/）】中的〖首页·〉交易大厅·〉政府采购〗。</w:t>
      </w:r>
    </w:p>
    <w:p>
      <w:pPr>
        <w:keepNext w:val="0"/>
        <w:keepLines w:val="0"/>
        <w:widowControl/>
        <w:suppressLineNumbers w:val="0"/>
        <w:spacing w:before="0" w:beforeAutospacing="0" w:after="0" w:afterAutospacing="0" w:line="360" w:lineRule="auto"/>
        <w:ind w:left="0" w:right="0" w:firstLine="562" w:firstLineChars="200"/>
        <w:jc w:val="both"/>
        <w:outlineLvl w:val="2"/>
        <w:rPr>
          <w:rFonts w:hint="eastAsia" w:ascii="宋体" w:hAnsi="宋体" w:eastAsia="宋体" w:cs="宋体"/>
          <w:color w:val="auto"/>
          <w:highlight w:val="none"/>
          <w:lang w:val="en-US"/>
        </w:rPr>
      </w:pPr>
      <w:bookmarkStart w:id="79" w:name="_Toc4045"/>
      <w:bookmarkStart w:id="80" w:name="_Toc6095"/>
      <w:bookmarkStart w:id="81" w:name="_Toc27379"/>
      <w:bookmarkStart w:id="82" w:name="_Toc9044"/>
      <w:r>
        <w:rPr>
          <w:rFonts w:hint="eastAsia" w:ascii="宋体" w:hAnsi="宋体" w:eastAsia="宋体" w:cs="宋体"/>
          <w:b/>
          <w:bCs w:val="0"/>
          <w:color w:val="auto"/>
          <w:kern w:val="2"/>
          <w:sz w:val="28"/>
          <w:szCs w:val="28"/>
          <w:highlight w:val="none"/>
          <w:lang w:val="en-US" w:eastAsia="zh-CN" w:bidi="ar"/>
        </w:rPr>
        <w:t>（四）谈判文件的解释权归采购代理机构。</w:t>
      </w:r>
      <w:bookmarkEnd w:id="79"/>
      <w:bookmarkEnd w:id="80"/>
      <w:bookmarkEnd w:id="81"/>
      <w:bookmarkEnd w:id="82"/>
    </w:p>
    <w:p>
      <w:pPr>
        <w:pStyle w:val="99"/>
        <w:widowControl/>
        <w:spacing w:line="360" w:lineRule="auto"/>
        <w:ind w:left="0" w:firstLine="562" w:firstLineChars="200"/>
        <w:rPr>
          <w:rFonts w:hint="eastAsia" w:ascii="宋体" w:hAnsi="宋体" w:eastAsia="宋体" w:cs="宋体"/>
          <w:b/>
          <w:bCs w:val="0"/>
          <w:color w:val="auto"/>
          <w:kern w:val="2"/>
          <w:sz w:val="28"/>
          <w:szCs w:val="28"/>
          <w:highlight w:val="none"/>
          <w:lang w:val="en-US"/>
        </w:rPr>
      </w:pPr>
      <w:r>
        <w:rPr>
          <w:rFonts w:hint="eastAsia" w:ascii="宋体" w:hAnsi="宋体" w:eastAsia="宋体" w:cs="宋体"/>
          <w:b/>
          <w:bCs w:val="0"/>
          <w:color w:val="auto"/>
          <w:kern w:val="2"/>
          <w:sz w:val="28"/>
          <w:szCs w:val="28"/>
          <w:highlight w:val="none"/>
          <w:lang w:eastAsia="zh-CN"/>
        </w:rPr>
        <w:t>四、关于投标信用承诺</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bookmarkStart w:id="83" w:name="_Toc16718"/>
      <w:bookmarkStart w:id="84" w:name="_Toc3906"/>
      <w:bookmarkStart w:id="85" w:name="_Toc32650"/>
      <w:bookmarkStart w:id="86" w:name="_Toc19969"/>
      <w:r>
        <w:rPr>
          <w:rFonts w:hint="eastAsia" w:ascii="宋体" w:hAnsi="宋体" w:eastAsia="宋体" w:cs="宋体"/>
          <w:color w:val="auto"/>
          <w:kern w:val="2"/>
          <w:sz w:val="28"/>
          <w:szCs w:val="28"/>
          <w:highlight w:val="none"/>
          <w:lang w:val="en-US" w:eastAsia="zh-CN" w:bidi="ar"/>
        </w:rPr>
        <w:t>1、本项目根据项目实施地财政部门规定要求服务商须提供投标信用承诺书，其有效期与投标有效期一致。</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2、服务商未提供投标信用承诺书的，将被视为自动放弃投标的权利，谈判小组将拒绝评审其服务商的谈判响应文件。</w:t>
      </w:r>
      <w:bookmarkEnd w:id="83"/>
      <w:bookmarkEnd w:id="84"/>
      <w:bookmarkEnd w:id="85"/>
      <w:bookmarkEnd w:id="86"/>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bookmarkStart w:id="87" w:name="_Toc48834160"/>
      <w:bookmarkStart w:id="88" w:name="_Toc16421"/>
      <w:bookmarkStart w:id="89" w:name="_Toc48834090"/>
      <w:bookmarkStart w:id="90" w:name="_Toc48834449"/>
      <w:bookmarkStart w:id="91" w:name="_Toc48834528"/>
      <w:bookmarkStart w:id="92" w:name="_Toc48834287"/>
      <w:r>
        <w:rPr>
          <w:rFonts w:hint="eastAsia" w:ascii="宋体" w:hAnsi="宋体" w:eastAsia="宋体" w:cs="宋体"/>
          <w:b/>
          <w:bCs w:val="0"/>
          <w:color w:val="auto"/>
          <w:sz w:val="28"/>
          <w:szCs w:val="28"/>
          <w:highlight w:val="none"/>
          <w:lang w:eastAsia="zh-CN"/>
        </w:rPr>
        <w:t>五、谈判报价</w:t>
      </w:r>
      <w:bookmarkEnd w:id="87"/>
      <w:bookmarkEnd w:id="88"/>
      <w:bookmarkEnd w:id="89"/>
      <w:bookmarkEnd w:id="90"/>
      <w:bookmarkEnd w:id="91"/>
      <w:bookmarkEnd w:id="92"/>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谈判报价是服务商响应招标项目要求的全部工作内容的价格体现，包括完成采购内容所需的直接费、间接费、利润、税金及水平衡测试、报告编制、节水改造、印刷装订及相关部门技术审查（工程验收）专家咨询费等其它相关的一切费用。</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（一）服务商在报价时应充分考虑所有可能发生的费用，谈判文件未列明，而服务商认为应当计取的费用均应列入报价中。报价时不论是否计取，采购人均按已计取对待。</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（二）谈判项目实行多次报价（一般情况下为两次），每次报价只能提交唯一报价，并且在合同履行过程中是固定不变的，任何有选择的报价采购代理机构将不予接受，其响应文件视为无效文件。</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1、第一次报价时，服务商应严格按照响应文件《第一次谈判报价表》中的相关要求填写分类报价及其他需要响应的内容。</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2、谈判结束后，所有实质性响应的服务商应当按照谈判小组的要求在规定时间内提交最后报价。最后报价是服务商响应文件的有效组成部分。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（三）谈判报价货币：</w:t>
      </w:r>
      <w:r>
        <w:rPr>
          <w:rFonts w:hint="eastAsia" w:ascii="宋体" w:hAnsi="宋体" w:eastAsia="宋体" w:cs="宋体"/>
          <w:color w:val="auto"/>
          <w:kern w:val="2"/>
          <w:sz w:val="28"/>
          <w:szCs w:val="28"/>
          <w:highlight w:val="none"/>
          <w:u w:val="single"/>
          <w:lang w:val="en-US" w:eastAsia="zh-CN" w:bidi="ar"/>
        </w:rPr>
        <w:t>人民币</w:t>
      </w:r>
      <w:r>
        <w:rPr>
          <w:rFonts w:hint="eastAsia" w:ascii="宋体" w:hAnsi="宋体" w:eastAsia="宋体" w:cs="宋体"/>
          <w:color w:val="auto"/>
          <w:kern w:val="2"/>
          <w:sz w:val="28"/>
          <w:szCs w:val="28"/>
          <w:highlight w:val="none"/>
          <w:lang w:val="en-US" w:eastAsia="zh-CN" w:bidi="ar"/>
        </w:rPr>
        <w:t>；单位：</w:t>
      </w:r>
      <w:r>
        <w:rPr>
          <w:rFonts w:hint="eastAsia" w:ascii="宋体" w:hAnsi="宋体" w:eastAsia="宋体" w:cs="宋体"/>
          <w:color w:val="auto"/>
          <w:kern w:val="2"/>
          <w:sz w:val="28"/>
          <w:szCs w:val="28"/>
          <w:highlight w:val="none"/>
          <w:u w:val="single"/>
          <w:lang w:val="en-US" w:eastAsia="zh-CN" w:bidi="ar"/>
        </w:rPr>
        <w:t>元</w:t>
      </w:r>
      <w:r>
        <w:rPr>
          <w:rFonts w:hint="eastAsia" w:ascii="宋体" w:hAnsi="宋体" w:eastAsia="宋体" w:cs="宋体"/>
          <w:color w:val="auto"/>
          <w:kern w:val="2"/>
          <w:sz w:val="28"/>
          <w:szCs w:val="28"/>
          <w:highlight w:val="none"/>
          <w:lang w:val="en-US" w:eastAsia="zh-CN" w:bidi="ar"/>
        </w:rPr>
        <w:t>，精确到小数点后两位。</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（四）谈判报价应遵守《中华人民共和国价格法》，服务商不得以低于成本的报价参与谈判。</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（五）响应文件报价出现前后不一致的，除谈判文件另有规定外，按照下列规定修正：</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1、大写金额和小写金额不一致的，以大写金额为准；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2、单价金额小数点或者百分比有明显错位的，以开标一览表的总价为准，并修改单价；</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3、总价金额与按单价汇总金额不一致的，以单价金额计算结果为准；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2"/>
          <w:sz w:val="28"/>
          <w:szCs w:val="28"/>
          <w:highlight w:val="none"/>
          <w:lang w:val="en-US" w:eastAsia="zh-CN" w:bidi="ar"/>
        </w:rPr>
        <w:t>同时出现两种以上不一致的，按照前款规定的顺序修正。</w:t>
      </w:r>
      <w:r>
        <w:rPr>
          <w:rFonts w:hint="eastAsia" w:ascii="宋体" w:hAnsi="宋体" w:eastAsia="宋体" w:cs="宋体"/>
          <w:b/>
          <w:bCs w:val="0"/>
          <w:color w:val="auto"/>
          <w:kern w:val="2"/>
          <w:sz w:val="28"/>
          <w:szCs w:val="28"/>
          <w:highlight w:val="none"/>
          <w:lang w:val="en-US" w:eastAsia="zh-CN" w:bidi="ar"/>
        </w:rPr>
        <w:t>修正后的报价经服务商确认后产生约束力，服务商不确认的，其投标无效。</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（六）因服务商对谈判文件理解不透、误解、疏漏或对市场行情了解不清造成的后果和风险，均由服务商自己负责。</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bookmarkStart w:id="93" w:name="_Toc48834529"/>
      <w:bookmarkStart w:id="94" w:name="_Toc48834450"/>
      <w:bookmarkStart w:id="95" w:name="_Toc48834091"/>
      <w:bookmarkStart w:id="96" w:name="_Toc31048"/>
      <w:bookmarkStart w:id="97" w:name="_Toc48834288"/>
      <w:bookmarkStart w:id="98" w:name="_Toc48834161"/>
      <w:r>
        <w:rPr>
          <w:rFonts w:hint="eastAsia" w:ascii="宋体" w:hAnsi="宋体" w:eastAsia="宋体" w:cs="宋体"/>
          <w:b/>
          <w:bCs w:val="0"/>
          <w:color w:val="auto"/>
          <w:kern w:val="2"/>
          <w:sz w:val="28"/>
          <w:szCs w:val="28"/>
          <w:highlight w:val="none"/>
          <w:lang w:val="en-US" w:eastAsia="zh-CN" w:bidi="ar"/>
        </w:rPr>
        <w:t>六、响应文件</w:t>
      </w:r>
      <w:bookmarkEnd w:id="93"/>
      <w:bookmarkEnd w:id="94"/>
      <w:bookmarkEnd w:id="95"/>
      <w:bookmarkEnd w:id="96"/>
      <w:bookmarkEnd w:id="97"/>
      <w:bookmarkEnd w:id="98"/>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（一）响应文件的式样</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本项目采用电子响应文件的形式。</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编制电子响应文件时，应使用最新发布的电子谈判文件及专用制作工具进行编制。并使用数字认证证书（CA锁）对电子响应文件进行签章、加密、递交及开标时解密等相关招投标事宜。</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1、电子谈判文件下载。服务商登录全国公共资源交易平台（陕西省） 网站〖首页·〉电子交易平台·〉企业端〗后，在〖谈判公告/出让公告〗 模块中选择项目点击“我要投标”，参与采购活动。然后即可在〖我的项 目〗中点击“项目流程&gt;交易文件下载”下载电子谈判文件。 </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注意：服务商应随时留意可能发布的变更公告，公告中如注明本项目有变更文件，则应从“项目流程·〉答疑文件下载”下载更新后的电子谈判文件（*.SXSCF），使用旧版电子谈判文件制作的电子响应文件（*.SXSTF），系统将拒绝接收。</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2、电子谈判文件需要使用专用软件打开、浏览。软件下载地址及操作手册详见全国公共资源交易平台（陕西省）网站〖首页·〉服务指南·〉下载专区〗中的《政府采购项目投</w:t>
      </w:r>
      <w:r>
        <w:rPr>
          <w:rFonts w:hint="eastAsia" w:ascii="宋体" w:hAnsi="宋体" w:eastAsia="宋体" w:cs="宋体"/>
          <w:color w:val="auto"/>
          <w:w w:val="1"/>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标文件制作软件及操作手册》。</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3、电子响应文件中需要法定代表人签字或盖章的地方，请使用“法人CA锁”进行签章；需要加盖服务商公章的地方，请使用“企业CA锁”进行盖章。加密和解密应当使用同一CA锁，否则将会导致解密失败。</w:t>
      </w:r>
    </w:p>
    <w:p>
      <w:pPr>
        <w:pStyle w:val="31"/>
        <w:widowControl/>
        <w:spacing w:line="500" w:lineRule="exact"/>
        <w:ind w:left="0" w:firstLine="560" w:firstLineChars="20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lang w:val="en-US"/>
        </w:rPr>
        <w:t>4</w:t>
      </w:r>
      <w:r>
        <w:rPr>
          <w:rFonts w:hint="eastAsia" w:ascii="宋体" w:hAnsi="宋体" w:eastAsia="宋体" w:cs="宋体"/>
          <w:bCs/>
          <w:color w:val="auto"/>
          <w:sz w:val="28"/>
          <w:szCs w:val="28"/>
          <w:highlight w:val="none"/>
          <w:lang w:eastAsia="zh-CN"/>
        </w:rPr>
        <w:t>、制作电子响应文件。电子响应文件同样需要使用上述软件进行编制。 在编制过程中，如有技术性问题，请先翻阅操作手册，或致电软件开发商。</w:t>
      </w:r>
      <w:r>
        <w:rPr>
          <w:rFonts w:hint="eastAsia" w:ascii="宋体" w:hAnsi="宋体" w:eastAsia="宋体" w:cs="宋体"/>
          <w:bCs/>
          <w:color w:val="auto"/>
          <w:sz w:val="28"/>
          <w:szCs w:val="28"/>
          <w:highlight w:val="none"/>
          <w:lang w:val="en-US"/>
        </w:rPr>
        <w:t xml:space="preserve"> </w:t>
      </w:r>
    </w:p>
    <w:p>
      <w:pPr>
        <w:pStyle w:val="31"/>
        <w:widowControl/>
        <w:spacing w:line="500" w:lineRule="exact"/>
        <w:ind w:left="181" w:firstLine="0" w:firstLineChars="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lang w:val="en-US"/>
        </w:rPr>
        <w:t xml:space="preserve">    </w:t>
      </w:r>
      <w:r>
        <w:rPr>
          <w:rFonts w:hint="eastAsia" w:ascii="宋体" w:hAnsi="宋体" w:eastAsia="宋体" w:cs="宋体"/>
          <w:bCs/>
          <w:color w:val="auto"/>
          <w:sz w:val="28"/>
          <w:szCs w:val="28"/>
          <w:highlight w:val="none"/>
          <w:lang w:eastAsia="zh-CN"/>
        </w:rPr>
        <w:t>技术支持热线：</w:t>
      </w:r>
      <w:r>
        <w:rPr>
          <w:rFonts w:hint="eastAsia" w:ascii="宋体" w:hAnsi="宋体" w:eastAsia="宋体" w:cs="宋体"/>
          <w:bCs/>
          <w:color w:val="auto"/>
          <w:sz w:val="28"/>
          <w:szCs w:val="28"/>
          <w:highlight w:val="none"/>
          <w:lang w:val="en-US"/>
        </w:rPr>
        <w:t>4009280095</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rPr>
        <w:t>4009980000</w:t>
      </w:r>
      <w:r>
        <w:rPr>
          <w:rFonts w:hint="eastAsia" w:ascii="宋体" w:hAnsi="宋体" w:eastAsia="宋体" w:cs="宋体"/>
          <w:bCs/>
          <w:color w:val="auto"/>
          <w:sz w:val="21"/>
          <w:szCs w:val="21"/>
          <w:highlight w:val="none"/>
          <w:lang w:val="en-US"/>
        </w:rPr>
        <w:t xml:space="preserve"> </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（二）响应文件有效期</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响应文件有效期为</w:t>
      </w:r>
      <w:r>
        <w:rPr>
          <w:rFonts w:hint="eastAsia" w:ascii="宋体" w:hAnsi="宋体" w:eastAsia="宋体" w:cs="宋体"/>
          <w:b/>
          <w:bCs w:val="0"/>
          <w:color w:val="auto"/>
          <w:kern w:val="2"/>
          <w:sz w:val="28"/>
          <w:szCs w:val="28"/>
          <w:highlight w:val="none"/>
          <w:lang w:val="en-US" w:eastAsia="zh-CN" w:bidi="ar"/>
        </w:rPr>
        <w:t>自开标之日起90个日历日</w:t>
      </w:r>
      <w:r>
        <w:rPr>
          <w:rFonts w:hint="eastAsia" w:ascii="宋体" w:hAnsi="宋体" w:eastAsia="宋体" w:cs="宋体"/>
          <w:color w:val="auto"/>
          <w:kern w:val="2"/>
          <w:sz w:val="28"/>
          <w:szCs w:val="28"/>
          <w:highlight w:val="none"/>
          <w:lang w:val="en-US" w:eastAsia="zh-CN" w:bidi="ar"/>
        </w:rPr>
        <w:t>。如</w:t>
      </w:r>
      <w:r>
        <w:rPr>
          <w:rFonts w:hint="eastAsia" w:ascii="宋体" w:hAnsi="宋体" w:eastAsia="宋体" w:cs="宋体"/>
          <w:color w:val="auto"/>
          <w:kern w:val="2"/>
          <w:sz w:val="28"/>
          <w:szCs w:val="28"/>
          <w:highlight w:val="none"/>
          <w:lang w:val="zh-CN" w:eastAsia="zh-CN" w:bidi="ar"/>
        </w:rPr>
        <w:t>成交</w:t>
      </w:r>
      <w:r>
        <w:rPr>
          <w:rFonts w:hint="eastAsia" w:ascii="宋体" w:hAnsi="宋体" w:eastAsia="宋体" w:cs="宋体"/>
          <w:color w:val="auto"/>
          <w:kern w:val="2"/>
          <w:sz w:val="28"/>
          <w:szCs w:val="28"/>
          <w:highlight w:val="none"/>
          <w:lang w:val="en-US" w:eastAsia="zh-CN" w:bidi="ar"/>
        </w:rPr>
        <w:t>，延长至合同执行完毕时止。</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（三）响应文件的提交</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color w:val="auto"/>
          <w:highlight w:val="none"/>
          <w:lang w:val="en-US"/>
        </w:rPr>
      </w:pPr>
      <w:r>
        <w:rPr>
          <w:rFonts w:hint="eastAsia" w:ascii="宋体" w:hAnsi="宋体" w:eastAsia="宋体" w:cs="宋体"/>
          <w:b/>
          <w:bCs w:val="0"/>
          <w:color w:val="auto"/>
          <w:kern w:val="2"/>
          <w:sz w:val="28"/>
          <w:szCs w:val="28"/>
          <w:highlight w:val="none"/>
          <w:lang w:val="en-US" w:eastAsia="zh-CN" w:bidi="ar"/>
        </w:rPr>
        <w:t>1、电子响应文件的提交：</w:t>
      </w:r>
      <w:r>
        <w:rPr>
          <w:rFonts w:hint="eastAsia" w:ascii="宋体" w:hAnsi="宋体" w:eastAsia="宋体" w:cs="宋体"/>
          <w:color w:val="auto"/>
          <w:kern w:val="2"/>
          <w:sz w:val="28"/>
          <w:szCs w:val="28"/>
          <w:highlight w:val="none"/>
          <w:lang w:val="en-US" w:eastAsia="zh-CN" w:bidi="ar"/>
        </w:rPr>
        <w:t>电子响应文件可于提交响应文件截止时间前任意时段登录全国公共资源交易平台（陕西省）网站“电子交易平台&gt;企业端”进行提交，逾期系统将拒绝接收。提交时，服务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2、纸质响应文件递交：</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 xml:space="preserve">纸质响应文件提交份数：纸质响应文件三份，响应文件电子Word版U盘一份（备案用）。  </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递交地址：陕西省榆林市榆阳区航宇路沙河口综合市场五楼</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递交时间：同领取成交通知书时间</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注：采用电子化评审系统的采购项目，其纸质响应文件应从政府采购项目投 标文件制作软件中导出进行印刷，并分别装订成册。项目分标段的，应按所投标段分别准备响应文件。</w:t>
      </w:r>
    </w:p>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（四）响应文件的语言及计量单位</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1、谈判活动的所有文件、资料、函电文字均使用简体中文，确需提交用其他语言形成的资料，必须翻译成简体中文，如有差异，以简体中文为准。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2、响应文件的计量单位应使用中华人民共和国法定计量单位，但谈判文件另有规定的除外。</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（五）响应文件的补充、修改和撤回</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1、服务商在递交响应文件后，且在提交响应文件截止时间前，可以对所提交的响应文件进行补充、修改或撤回。</w:t>
      </w:r>
    </w:p>
    <w:p>
      <w:pPr>
        <w:pStyle w:val="94"/>
        <w:widowControl/>
        <w:numPr>
          <w:ilvl w:val="0"/>
          <w:numId w:val="1"/>
        </w:numPr>
        <w:spacing w:line="500" w:lineRule="exact"/>
        <w:ind w:left="0" w:firstLine="560"/>
        <w:rPr>
          <w:rFonts w:hint="eastAsia" w:ascii="宋体" w:hAnsi="宋体" w:eastAsia="宋体" w:cs="宋体"/>
          <w:color w:val="auto"/>
          <w:highlight w:val="none"/>
          <w:lang w:val="en-US"/>
        </w:rPr>
      </w:pPr>
      <w:r>
        <w:rPr>
          <w:rFonts w:hint="eastAsia" w:ascii="宋体" w:hAnsi="宋体" w:eastAsia="宋体" w:cs="宋体"/>
          <w:color w:val="auto"/>
          <w:highlight w:val="none"/>
          <w:lang w:eastAsia="zh-CN"/>
        </w:rPr>
        <w:t>对电子响应文件进行补充、修改的，应先从电子交易平台上撤回旧 版，再重新提交新版。</w:t>
      </w:r>
      <w:r>
        <w:rPr>
          <w:rFonts w:hint="eastAsia" w:ascii="宋体" w:hAnsi="宋体" w:eastAsia="宋体" w:cs="宋体"/>
          <w:color w:val="auto"/>
          <w:highlight w:val="none"/>
          <w:lang w:val="en-US"/>
        </w:rPr>
        <w:t xml:space="preserve"> </w:t>
      </w:r>
    </w:p>
    <w:p>
      <w:pPr>
        <w:pStyle w:val="94"/>
        <w:widowControl/>
        <w:numPr>
          <w:ilvl w:val="0"/>
          <w:numId w:val="1"/>
        </w:numPr>
        <w:spacing w:line="500" w:lineRule="exact"/>
        <w:ind w:left="0" w:firstLine="560"/>
        <w:rPr>
          <w:rFonts w:hint="eastAsia" w:ascii="宋体" w:hAnsi="宋体" w:eastAsia="宋体" w:cs="宋体"/>
          <w:color w:val="auto"/>
          <w:highlight w:val="none"/>
          <w:lang w:val="en-US"/>
        </w:rPr>
      </w:pPr>
      <w:r>
        <w:rPr>
          <w:rFonts w:hint="eastAsia" w:ascii="宋体" w:hAnsi="宋体" w:eastAsia="宋体" w:cs="宋体"/>
          <w:color w:val="auto"/>
          <w:highlight w:val="none"/>
          <w:lang w:eastAsia="zh-CN"/>
        </w:rPr>
        <w:t>响应文件提交截止时间后，</w:t>
      </w:r>
      <w:r>
        <w:rPr>
          <w:rFonts w:hint="eastAsia" w:ascii="宋体" w:hAnsi="宋体" w:eastAsia="宋体" w:cs="宋体"/>
          <w:color w:val="auto"/>
          <w:highlight w:val="none"/>
          <w:lang w:val="en-US" w:eastAsia="zh-CN"/>
        </w:rPr>
        <w:t>服务商</w:t>
      </w:r>
      <w:r>
        <w:rPr>
          <w:rFonts w:hint="eastAsia" w:ascii="宋体" w:hAnsi="宋体" w:eastAsia="宋体" w:cs="宋体"/>
          <w:color w:val="auto"/>
          <w:highlight w:val="none"/>
          <w:lang w:eastAsia="zh-CN"/>
        </w:rPr>
        <w:t>不得对其响应文件做任何修改。</w:t>
      </w:r>
    </w:p>
    <w:p>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（六）关于相应文件的雷同性分析</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根据陕西省公共资源交易中心2021年7月22日印发的《关于在政府采购交易系统中开通标书雷同性分析功能的通知》，在符合性审查环节，将由谈判小组在评标系统中对服务商的电子响应文件进行雷同性分析。</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雷同性分析由两项指标组成，分别是“文件制作机器码”和“文件创建标识码”。其中，前者通过验证电子响应文件制作设备的特征信息（如MAC地址、硬盘序列号、CPU编号、主板号等），判断电子响应文件是否出自同一台设备。</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若“文件制作机器码”一致，则表明不同服务商的电子响应文件出自同一台制作设备，根据《陕西省财政厅关于政府采购有关政策的复函》（陕财办采函〔2019〕18号），该情形可以视为服务商串通投标，其投标无效。</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2"/>
          <w:sz w:val="28"/>
          <w:szCs w:val="28"/>
          <w:highlight w:val="none"/>
          <w:lang w:val="en-US" w:eastAsia="zh-CN" w:bidi="ar"/>
        </w:rPr>
        <w:t>若“文件创建标识码”一致，则表示不同服务商使用响应文件制作软件时，使用同一源工程文件，该情形建议由谈判小组结合项目情况综合判定。”</w:t>
      </w:r>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eastAsia="zh-CN"/>
        </w:rPr>
        <w:t>（七）</w:t>
      </w:r>
      <w:r>
        <w:rPr>
          <w:rFonts w:hint="eastAsia" w:ascii="宋体" w:hAnsi="宋体" w:eastAsia="宋体" w:cs="宋体"/>
          <w:b/>
          <w:bCs w:val="0"/>
          <w:color w:val="auto"/>
          <w:sz w:val="28"/>
          <w:szCs w:val="28"/>
          <w:highlight w:val="none"/>
          <w:lang w:val="en-US" w:eastAsia="zh-CN"/>
        </w:rPr>
        <w:t>服务商</w:t>
      </w:r>
      <w:r>
        <w:rPr>
          <w:rFonts w:hint="eastAsia" w:ascii="宋体" w:hAnsi="宋体" w:eastAsia="宋体" w:cs="宋体"/>
          <w:b/>
          <w:bCs w:val="0"/>
          <w:color w:val="auto"/>
          <w:sz w:val="28"/>
          <w:szCs w:val="28"/>
          <w:highlight w:val="none"/>
          <w:lang w:eastAsia="zh-CN"/>
        </w:rPr>
        <w:t>出现下列情况之一的，其响应文件视为无效文件：</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1、误投的；</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2、逾期提交电子响应文件或纸质响应文件的。</w:t>
      </w:r>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bookmarkStart w:id="99" w:name="_Toc48834162"/>
      <w:bookmarkStart w:id="100" w:name="_Toc48834289"/>
      <w:bookmarkStart w:id="101" w:name="_Toc48834092"/>
      <w:bookmarkStart w:id="102" w:name="_Toc48834451"/>
      <w:bookmarkStart w:id="103" w:name="_Toc14082125"/>
      <w:bookmarkStart w:id="104" w:name="_Toc21349"/>
      <w:bookmarkStart w:id="105" w:name="_Toc48834530"/>
      <w:r>
        <w:rPr>
          <w:rFonts w:hint="eastAsia" w:ascii="宋体" w:hAnsi="宋体" w:eastAsia="宋体" w:cs="宋体"/>
          <w:b/>
          <w:bCs w:val="0"/>
          <w:color w:val="auto"/>
          <w:sz w:val="28"/>
          <w:szCs w:val="28"/>
          <w:highlight w:val="none"/>
          <w:lang w:eastAsia="zh-CN"/>
        </w:rPr>
        <w:t>七、组织开标</w:t>
      </w:r>
      <w:bookmarkEnd w:id="99"/>
      <w:bookmarkEnd w:id="100"/>
      <w:bookmarkEnd w:id="101"/>
      <w:bookmarkEnd w:id="102"/>
      <w:bookmarkEnd w:id="103"/>
      <w:bookmarkEnd w:id="104"/>
      <w:bookmarkEnd w:id="105"/>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bookmarkStart w:id="106" w:name="_Toc48834163"/>
      <w:bookmarkStart w:id="107" w:name="_Toc26927"/>
      <w:bookmarkStart w:id="108" w:name="_Toc48834452"/>
      <w:bookmarkStart w:id="109" w:name="_Toc48834290"/>
      <w:bookmarkStart w:id="110" w:name="_Toc48834531"/>
      <w:bookmarkStart w:id="111" w:name="_Toc14082126"/>
      <w:bookmarkStart w:id="112" w:name="_Toc48834093"/>
      <w:bookmarkStart w:id="113" w:name="_Toc48834292"/>
      <w:bookmarkStart w:id="114" w:name="_Toc48834454"/>
      <w:bookmarkStart w:id="115" w:name="_Toc48834095"/>
      <w:bookmarkStart w:id="116" w:name="_Toc48834533"/>
      <w:bookmarkStart w:id="117" w:name="_Toc48834165"/>
      <w:bookmarkStart w:id="118" w:name="_Toc14917"/>
      <w:r>
        <w:rPr>
          <w:rFonts w:hint="eastAsia" w:ascii="宋体" w:hAnsi="宋体" w:eastAsia="宋体" w:cs="宋体"/>
          <w:color w:val="auto"/>
          <w:kern w:val="2"/>
          <w:sz w:val="28"/>
          <w:szCs w:val="28"/>
          <w:highlight w:val="none"/>
          <w:lang w:val="en-US" w:eastAsia="zh-CN" w:bidi="ar"/>
        </w:rPr>
        <w:t>（一）采购代理机构在谈判文件规定的时间和地点组织开标工作，整个过程受政府采购监管机构的监督、管理。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二）服务商法定代表人或被授权人在投标截止时间前登录【全国公共资源交易平台（陕西省•榆林市）】（http://yl.sxggzyjy.cn/）网站〖首页•〉不见面开标大厅系统〗签到，参加开标会议。服务商不足3家的，不得开标。</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（三）服务商未参加开标的，视同认可开标结果。</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（四）开标会议记录由采购代理机构工作人员记录，参加开标的采购人及采购代理机构工作人员签到，所有资料随谈判文件一并存档。</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（五）按照陕西省财政厅《关于政府采购有关问题的通知》（陕财办采资〔2016〕53号）第六条规定，在每轮谈判结束时对服务商的报价均不予公开。</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（六）主持人宣布开标后，服务商应使用“加密电子响应文件时所用CA锁”在线自行解密电子响应文件。（注：加密和解密电子响应文件应使用同一把CA锁，否则将会导致解密失败）</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（七）服务商对开标过程和开标记录有疑义，以及认为采购人、采购代理机构相关工作人员有需要回避情形的，应在榆林市不见面开标大厅系统提出询问或回避申请，采购人、采购代理机构应当及时处理。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 （八）在开标环节出现下列情况之一的，其电子响应文件视为无效文件：</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1、服务商拒绝对电子响应文件进行解密的；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因服务商自身原因（如在榆林市不见面开标大厅开标截止时间前未签到、服务商网络设备故障、未带CA锁、或所带CA锁与制作电子响应文件使用的CA锁不一致、或沿用旧版谈判文件编制响应文件等情形），导致在规定时间内无法解密响应文件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3、上传的电子响应文件无法打开的；</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4、提交的响应文件与本项目不相符；</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5、政府采购法律法规规定的其他无效情形。</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（九）特殊情形下的应急处置：</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在开标、评审过程中，如因停电、断网、电子化系统故障等特殊原因导致电子化开、评标无法正常进行时，视具体情况确定是否停止开评标活动。</w:t>
      </w:r>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eastAsia="zh-CN"/>
        </w:rPr>
        <w:t>八、资格审查</w:t>
      </w:r>
      <w:bookmarkEnd w:id="106"/>
      <w:bookmarkEnd w:id="107"/>
      <w:bookmarkEnd w:id="108"/>
      <w:bookmarkEnd w:id="109"/>
      <w:bookmarkEnd w:id="110"/>
      <w:bookmarkEnd w:id="111"/>
      <w:bookmarkEnd w:id="112"/>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bookmarkStart w:id="119" w:name="_Toc48834164"/>
      <w:bookmarkStart w:id="120" w:name="_Toc48834532"/>
      <w:bookmarkStart w:id="121" w:name="_Toc23906"/>
      <w:bookmarkStart w:id="122" w:name="_Toc48834291"/>
      <w:bookmarkStart w:id="123" w:name="_Toc48834453"/>
      <w:bookmarkStart w:id="124" w:name="_Toc48834094"/>
      <w:r>
        <w:rPr>
          <w:rFonts w:hint="eastAsia" w:ascii="宋体" w:hAnsi="宋体" w:eastAsia="宋体" w:cs="宋体"/>
          <w:color w:val="auto"/>
          <w:kern w:val="2"/>
          <w:sz w:val="28"/>
          <w:szCs w:val="28"/>
          <w:highlight w:val="none"/>
          <w:lang w:val="en-US" w:eastAsia="zh-CN" w:bidi="ar"/>
        </w:rPr>
        <w:t>1、开标结束后，谈判响应</w:t>
      </w:r>
      <w:r>
        <w:rPr>
          <w:rFonts w:hint="eastAsia" w:ascii="宋体" w:hAnsi="宋体" w:eastAsia="宋体" w:cs="宋体"/>
          <w:color w:val="auto"/>
          <w:kern w:val="2"/>
          <w:sz w:val="28"/>
          <w:szCs w:val="28"/>
          <w:highlight w:val="none"/>
          <w:lang w:val="zh-CN" w:eastAsia="zh-CN" w:bidi="ar"/>
        </w:rPr>
        <w:t>文件的资格性审查：依据法律法规和</w:t>
      </w:r>
      <w:r>
        <w:rPr>
          <w:rFonts w:hint="eastAsia" w:ascii="宋体" w:hAnsi="宋体" w:eastAsia="宋体" w:cs="宋体"/>
          <w:color w:val="auto"/>
          <w:kern w:val="2"/>
          <w:sz w:val="28"/>
          <w:szCs w:val="28"/>
          <w:highlight w:val="none"/>
          <w:lang w:val="en-US" w:eastAsia="zh-CN" w:bidi="ar"/>
        </w:rPr>
        <w:t>谈判</w:t>
      </w:r>
      <w:r>
        <w:rPr>
          <w:rFonts w:hint="eastAsia" w:ascii="宋体" w:hAnsi="宋体" w:eastAsia="宋体" w:cs="宋体"/>
          <w:color w:val="auto"/>
          <w:kern w:val="2"/>
          <w:sz w:val="28"/>
          <w:szCs w:val="28"/>
          <w:highlight w:val="none"/>
          <w:lang w:val="zh-CN" w:eastAsia="zh-CN" w:bidi="ar"/>
        </w:rPr>
        <w:t>文件的规定，由</w:t>
      </w:r>
      <w:r>
        <w:rPr>
          <w:rFonts w:hint="eastAsia" w:ascii="宋体" w:hAnsi="宋体" w:eastAsia="宋体" w:cs="宋体"/>
          <w:color w:val="auto"/>
          <w:kern w:val="2"/>
          <w:sz w:val="28"/>
          <w:szCs w:val="28"/>
          <w:highlight w:val="none"/>
          <w:lang w:val="en-US" w:eastAsia="zh-CN" w:bidi="ar"/>
        </w:rPr>
        <w:t>谈判小组</w:t>
      </w:r>
      <w:r>
        <w:rPr>
          <w:rFonts w:hint="eastAsia" w:ascii="宋体" w:hAnsi="宋体" w:eastAsia="宋体" w:cs="宋体"/>
          <w:color w:val="auto"/>
          <w:kern w:val="2"/>
          <w:sz w:val="28"/>
          <w:szCs w:val="28"/>
          <w:highlight w:val="none"/>
          <w:lang w:val="zh-CN" w:eastAsia="zh-CN" w:bidi="ar"/>
        </w:rPr>
        <w:t>对</w:t>
      </w:r>
      <w:r>
        <w:rPr>
          <w:rFonts w:hint="eastAsia" w:ascii="宋体" w:hAnsi="宋体" w:eastAsia="宋体" w:cs="宋体"/>
          <w:color w:val="auto"/>
          <w:kern w:val="2"/>
          <w:sz w:val="28"/>
          <w:szCs w:val="28"/>
          <w:highlight w:val="none"/>
          <w:lang w:val="en-US" w:eastAsia="zh-CN" w:bidi="ar"/>
        </w:rPr>
        <w:t>谈判响应</w:t>
      </w:r>
      <w:r>
        <w:rPr>
          <w:rFonts w:hint="eastAsia" w:ascii="宋体" w:hAnsi="宋体" w:eastAsia="宋体" w:cs="宋体"/>
          <w:color w:val="auto"/>
          <w:kern w:val="2"/>
          <w:sz w:val="28"/>
          <w:szCs w:val="28"/>
          <w:highlight w:val="none"/>
          <w:lang w:val="zh-CN" w:eastAsia="zh-CN" w:bidi="ar"/>
        </w:rPr>
        <w:t>文件中的资格证明文件进行审查，以确保</w:t>
      </w:r>
      <w:r>
        <w:rPr>
          <w:rFonts w:hint="eastAsia" w:ascii="宋体" w:hAnsi="宋体" w:eastAsia="宋体" w:cs="宋体"/>
          <w:color w:val="auto"/>
          <w:kern w:val="2"/>
          <w:sz w:val="28"/>
          <w:szCs w:val="28"/>
          <w:highlight w:val="none"/>
          <w:lang w:val="en-US" w:eastAsia="zh-CN" w:bidi="ar"/>
        </w:rPr>
        <w:t>服务商</w:t>
      </w:r>
      <w:r>
        <w:rPr>
          <w:rFonts w:hint="eastAsia" w:ascii="宋体" w:hAnsi="宋体" w:eastAsia="宋体" w:cs="宋体"/>
          <w:color w:val="auto"/>
          <w:kern w:val="2"/>
          <w:sz w:val="28"/>
          <w:szCs w:val="28"/>
          <w:highlight w:val="none"/>
          <w:lang w:val="zh-CN" w:eastAsia="zh-CN" w:bidi="ar"/>
        </w:rPr>
        <w:t>是否具备相应资格，</w:t>
      </w:r>
      <w:r>
        <w:rPr>
          <w:rFonts w:hint="eastAsia" w:ascii="宋体" w:hAnsi="宋体" w:eastAsia="宋体" w:cs="宋体"/>
          <w:color w:val="auto"/>
          <w:kern w:val="2"/>
          <w:sz w:val="28"/>
          <w:szCs w:val="28"/>
          <w:highlight w:val="none"/>
          <w:lang w:val="en-US" w:eastAsia="zh-CN" w:bidi="ar"/>
        </w:rPr>
        <w:t>未通过资格审查的服务商其响应文件将被视为无效。</w:t>
      </w:r>
    </w:p>
    <w:p>
      <w:pPr>
        <w:keepNext w:val="0"/>
        <w:keepLines w:val="0"/>
        <w:widowControl/>
        <w:suppressLineNumbers w:val="0"/>
        <w:spacing w:before="0" w:beforeAutospacing="0" w:after="0" w:afterAutospacing="0" w:line="400" w:lineRule="exact"/>
        <w:ind w:right="0"/>
        <w:jc w:val="center"/>
        <w:rPr>
          <w:rFonts w:hint="eastAsia" w:ascii="宋体" w:hAnsi="宋体" w:eastAsia="宋体" w:cs="宋体"/>
          <w:b/>
          <w:bCs/>
          <w:color w:val="auto"/>
          <w:kern w:val="2"/>
          <w:sz w:val="28"/>
          <w:szCs w:val="28"/>
          <w:highlight w:val="none"/>
          <w:lang w:val="en-US" w:eastAsia="zh-CN" w:bidi="ar"/>
        </w:rPr>
      </w:pPr>
      <w:r>
        <w:rPr>
          <w:rFonts w:hint="eastAsia" w:ascii="宋体" w:hAnsi="宋体" w:eastAsia="宋体" w:cs="宋体"/>
          <w:b/>
          <w:bCs/>
          <w:color w:val="auto"/>
          <w:kern w:val="2"/>
          <w:sz w:val="28"/>
          <w:szCs w:val="28"/>
          <w:highlight w:val="none"/>
          <w:lang w:val="en-US" w:eastAsia="zh-CN" w:bidi="ar"/>
        </w:rPr>
        <w:t>资格性审查表</w:t>
      </w:r>
    </w:p>
    <w:tbl>
      <w:tblPr>
        <w:tblStyle w:val="33"/>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63"/>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84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基本资格条件</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服务商</w:t>
            </w:r>
            <w:r>
              <w:rPr>
                <w:rFonts w:hint="eastAsia" w:ascii="宋体" w:hAnsi="宋体" w:eastAsia="宋体" w:cs="宋体"/>
                <w:color w:val="auto"/>
                <w:sz w:val="28"/>
                <w:szCs w:val="28"/>
                <w:highlight w:val="none"/>
              </w:rPr>
              <w:t>应符合《中华人民共和国政府采购法》第二十二条的规定；</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1.1服务商符合《中华人民共和国政府采购法》第二十二条规定的承诺;</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1.2服务商应具有履行合同所必需的设备和专业技术能力的证明资料或承诺书；</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1.3提供2022年度经审计的财务会计报告（至少包括资产负债表、利润表、现金流量表、所有者权益变动表及其附注）或提供其开标前三个月内基本开户银行出具的资信证明；</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服务商应具有2023年1月1日至提交谈判响应文件截止时间已缴纳的至少一个月任意税种的纳税证明或完税证明，纳税证明或完税证明的税种为由税务局核定的企业税种（如：企业增值税或个人所得税等税种），且应有代收机构或税务机关的公章或业务专用章。依法免税的单位应提供相关证明材料；</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服务商应具有2023年1月1日至提交竞争性谈判响应文件截止时间已缴存的至少一个月的社会保障资金缴存单据或社保机构开具的社会保险参保缴费情况证明。若服务商注册时间不满一个月的,应当提供注册时至参加本项目相应期限内本单位缴纳社会保障资金的清单。依法不需要缴纳社会保障资金的单位应提供相关证明材料；</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3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2</w:t>
            </w:r>
          </w:p>
        </w:tc>
        <w:tc>
          <w:tcPr>
            <w:tcW w:w="86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特定资格要求</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应为</w:t>
            </w:r>
            <w:r>
              <w:rPr>
                <w:rFonts w:hint="eastAsia" w:ascii="宋体" w:hAnsi="宋体" w:eastAsia="宋体" w:cs="宋体"/>
                <w:color w:val="auto"/>
                <w:sz w:val="28"/>
                <w:szCs w:val="28"/>
                <w:highlight w:val="none"/>
                <w:lang w:val="en-US" w:eastAsia="zh-CN"/>
              </w:rPr>
              <w:t>具有独立承担民事责任的能力且具备提供本项目所需服务能力的企业法人、事业法人、其他组织或自然人</w:t>
            </w:r>
            <w:r>
              <w:rPr>
                <w:rFonts w:hint="eastAsia" w:ascii="宋体" w:hAnsi="宋体" w:eastAsia="宋体" w:cs="宋体"/>
                <w:color w:val="auto"/>
                <w:sz w:val="28"/>
                <w:szCs w:val="28"/>
                <w:highlight w:val="none"/>
              </w:rPr>
              <w:t>。企业法人应具有合法有效的标识有统一社会信用代码的营业执照</w:t>
            </w:r>
            <w:r>
              <w:rPr>
                <w:rFonts w:hint="eastAsia" w:ascii="宋体" w:hAnsi="宋体" w:eastAsia="宋体" w:cs="宋体"/>
                <w:color w:val="auto"/>
                <w:sz w:val="28"/>
                <w:szCs w:val="28"/>
                <w:highlight w:val="none"/>
                <w:lang w:val="en-US" w:eastAsia="zh-CN"/>
              </w:rPr>
              <w:t>及其2022年企业年度报告书事业单位法人证书/专业服务机构执业许可证/民办非企业单位登记证书</w:t>
            </w: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36" w:type="dxa"/>
            <w:vMerge w:val="continue"/>
            <w:tcBorders>
              <w:left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val="en-US" w:eastAsia="zh-CN"/>
              </w:rPr>
            </w:pPr>
          </w:p>
        </w:tc>
        <w:tc>
          <w:tcPr>
            <w:tcW w:w="863" w:type="dxa"/>
            <w:vMerge w:val="continue"/>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p>
        </w:tc>
        <w:tc>
          <w:tcPr>
            <w:tcW w:w="7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服务商须具备水资源论证乙级及以上资质和水资源调查评价乙级及以上资质；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36" w:type="dxa"/>
            <w:vMerge w:val="continue"/>
            <w:tcBorders>
              <w:left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val="en-US" w:eastAsia="zh-CN"/>
              </w:rPr>
            </w:pPr>
          </w:p>
        </w:tc>
        <w:tc>
          <w:tcPr>
            <w:tcW w:w="863" w:type="dxa"/>
            <w:vMerge w:val="continue"/>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p>
        </w:tc>
        <w:tc>
          <w:tcPr>
            <w:tcW w:w="7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拟派项目负责人和技术负责人均需具有水工环地质专业高级及以上职称证书；均具有2023年3月1日至提交投标文件截止时间在本单位已缴存的至少一个月的社会保险证明材料（五险一金其中一项即可，应可查询），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36" w:type="dxa"/>
            <w:vMerge w:val="continue"/>
            <w:tcBorders>
              <w:left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val="en-US" w:eastAsia="zh-CN"/>
              </w:rPr>
            </w:pPr>
          </w:p>
        </w:tc>
        <w:tc>
          <w:tcPr>
            <w:tcW w:w="863" w:type="dxa"/>
            <w:vMerge w:val="continue"/>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p>
        </w:tc>
        <w:tc>
          <w:tcPr>
            <w:tcW w:w="7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服务商应具有在“信用中国（陕西榆林）”网站自主上报的投标信用承诺书网站截图加盖服务商公章；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36" w:type="dxa"/>
            <w:vMerge w:val="continue"/>
            <w:tcBorders>
              <w:left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val="en-US" w:eastAsia="zh-CN"/>
              </w:rPr>
            </w:pPr>
          </w:p>
        </w:tc>
        <w:tc>
          <w:tcPr>
            <w:tcW w:w="863" w:type="dxa"/>
            <w:vMerge w:val="continue"/>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p>
        </w:tc>
        <w:tc>
          <w:tcPr>
            <w:tcW w:w="7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服务商不得为“信用中国”网站（www.creditchina.gov.cn）中列入失信主体名单、重大税收违法案件当事人名单的服务商；不得为中国执行信息公开网（http://zxgk.court.gov.cn）中列入失信被执行人名单(被执行人包括企业、法定代表人、项目负责人、技术负责人、授权人)的服务商；不得为中国政府采购网（www.ccgp.gov.cn）政府采购严重违法失信行为记录名单中被财政部门禁止参加政府采购活动的服务商；查询相关主体信用记录（查询日期为从</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lang w:eastAsia="zh-CN"/>
              </w:rPr>
              <w:t>公告发布之日起至投标截止时间前）以网站截图加盖服务商公章为准；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836" w:type="dxa"/>
            <w:vMerge w:val="continue"/>
            <w:tcBorders>
              <w:left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eastAsia="zh-CN"/>
              </w:rPr>
            </w:pPr>
          </w:p>
        </w:tc>
        <w:tc>
          <w:tcPr>
            <w:tcW w:w="863" w:type="dxa"/>
            <w:vMerge w:val="continue"/>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p>
        </w:tc>
        <w:tc>
          <w:tcPr>
            <w:tcW w:w="7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本项目不接受联合体投标。单位负责人为同一人或者存在控股、管理关系的不同单位，不得参加同一标段投标或者未划分标段的同一采购项目投标。违反规定的，其投标均无效。注：以</w:t>
            </w:r>
            <w:r>
              <w:rPr>
                <w:rFonts w:hint="eastAsia" w:ascii="宋体" w:hAnsi="宋体" w:eastAsia="宋体" w:cs="宋体"/>
                <w:color w:val="auto"/>
                <w:sz w:val="28"/>
                <w:szCs w:val="28"/>
                <w:highlight w:val="none"/>
                <w:lang w:val="en-US" w:eastAsia="zh-CN"/>
              </w:rPr>
              <w:t>谈判响应</w:t>
            </w:r>
            <w:r>
              <w:rPr>
                <w:rFonts w:hint="eastAsia" w:ascii="宋体" w:hAnsi="宋体" w:eastAsia="宋体" w:cs="宋体"/>
                <w:color w:val="auto"/>
                <w:sz w:val="28"/>
                <w:szCs w:val="28"/>
                <w:highlight w:val="none"/>
              </w:rPr>
              <w:t>文件中所附加盖单位公章的非联合体投标书面声明为准。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292" w:type="dxa"/>
            <w:gridSpan w:val="3"/>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注：以</w:t>
            </w:r>
            <w:r>
              <w:rPr>
                <w:rFonts w:hint="eastAsia" w:ascii="宋体" w:hAnsi="宋体" w:eastAsia="宋体" w:cs="宋体"/>
                <w:color w:val="auto"/>
                <w:sz w:val="28"/>
                <w:szCs w:val="28"/>
                <w:highlight w:val="none"/>
                <w:lang w:val="en-US" w:eastAsia="zh-CN"/>
              </w:rPr>
              <w:t>谈判响应</w:t>
            </w:r>
            <w:r>
              <w:rPr>
                <w:rFonts w:hint="eastAsia" w:ascii="宋体" w:hAnsi="宋体" w:eastAsia="宋体" w:cs="宋体"/>
                <w:color w:val="auto"/>
                <w:sz w:val="28"/>
                <w:szCs w:val="28"/>
                <w:highlight w:val="none"/>
              </w:rPr>
              <w:t>文件中所附的</w:t>
            </w:r>
            <w:r>
              <w:rPr>
                <w:rFonts w:hint="eastAsia" w:ascii="宋体" w:hAnsi="宋体" w:eastAsia="宋体" w:cs="宋体"/>
                <w:color w:val="auto"/>
                <w:sz w:val="28"/>
                <w:szCs w:val="28"/>
                <w:highlight w:val="none"/>
                <w:lang w:val="en-US" w:eastAsia="zh-CN"/>
              </w:rPr>
              <w:t>以上证明文件</w:t>
            </w:r>
            <w:r>
              <w:rPr>
                <w:rFonts w:hint="eastAsia" w:ascii="宋体" w:hAnsi="宋体" w:eastAsia="宋体" w:cs="宋体"/>
                <w:color w:val="auto"/>
                <w:sz w:val="28"/>
                <w:szCs w:val="28"/>
                <w:highlight w:val="none"/>
              </w:rPr>
              <w:t>原件扫描件加盖单位公章为准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任缺一项附件要求的证明资料，按无效投标处理</w:t>
            </w:r>
            <w:r>
              <w:rPr>
                <w:rFonts w:hint="eastAsia" w:ascii="宋体" w:hAnsi="宋体" w:eastAsia="宋体" w:cs="宋体"/>
                <w:color w:val="auto"/>
                <w:sz w:val="28"/>
                <w:szCs w:val="28"/>
                <w:highlight w:val="none"/>
              </w:rPr>
              <w:t>。</w:t>
            </w:r>
          </w:p>
        </w:tc>
      </w:tr>
    </w:tbl>
    <w:p>
      <w:pPr>
        <w:pStyle w:val="111"/>
        <w:rPr>
          <w:rFonts w:hint="eastAsia" w:ascii="宋体" w:hAnsi="宋体" w:eastAsia="宋体" w:cs="宋体"/>
          <w:color w:val="auto"/>
          <w:highlight w:val="none"/>
          <w:lang w:val="en-US" w:eastAsia="zh-CN"/>
        </w:rPr>
      </w:pP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2、资格审查结束后，资格审查小组成员应当对审查结果进行签字确认，并告知无效服务商资格审查未通过的原因。</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3、合格服务商不足3家的，不得评标。</w:t>
      </w:r>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eastAsia="zh-CN"/>
        </w:rPr>
        <w:t>九、组织评</w:t>
      </w:r>
      <w:bookmarkEnd w:id="119"/>
      <w:bookmarkEnd w:id="120"/>
      <w:bookmarkEnd w:id="121"/>
      <w:bookmarkEnd w:id="122"/>
      <w:bookmarkEnd w:id="123"/>
      <w:bookmarkEnd w:id="124"/>
      <w:r>
        <w:rPr>
          <w:rFonts w:hint="eastAsia" w:ascii="宋体" w:hAnsi="宋体" w:eastAsia="宋体" w:cs="宋体"/>
          <w:b/>
          <w:bCs w:val="0"/>
          <w:color w:val="auto"/>
          <w:sz w:val="28"/>
          <w:szCs w:val="28"/>
          <w:highlight w:val="none"/>
          <w:lang w:eastAsia="zh-CN"/>
        </w:rPr>
        <w:t>审</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bookmarkStart w:id="125" w:name="_Toc31809"/>
      <w:bookmarkStart w:id="126" w:name="_Toc9950"/>
      <w:bookmarkStart w:id="127" w:name="_Toc19349"/>
      <w:bookmarkStart w:id="128" w:name="_Toc30503"/>
      <w:r>
        <w:rPr>
          <w:rFonts w:hint="eastAsia" w:ascii="宋体" w:hAnsi="宋体" w:eastAsia="宋体" w:cs="宋体"/>
          <w:b/>
          <w:bCs w:val="0"/>
          <w:color w:val="auto"/>
          <w:kern w:val="2"/>
          <w:sz w:val="28"/>
          <w:szCs w:val="28"/>
          <w:highlight w:val="none"/>
          <w:lang w:val="en-US" w:eastAsia="zh-CN" w:bidi="ar"/>
        </w:rPr>
        <w:t>（一）采购代理机构负责组织评审工作，并履行下列职责：</w:t>
      </w:r>
      <w:bookmarkEnd w:id="125"/>
      <w:bookmarkEnd w:id="126"/>
      <w:bookmarkEnd w:id="127"/>
      <w:bookmarkEnd w:id="128"/>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1、核对评审专家身份和采购人代表授权函，对评审专家在政府采购活动中的职责履行情况予以记录，并及时将有关违法违规行为向财政部门报告;</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2、宣布评审纪律;</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3、公布服务商名单，告知评审专家应当回避的情形;</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4、组织谈判小组推选评审组长，采购人代表不得担任组长;</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5、在评审期间采取必要的通讯管理措施，保证评审活动不受外界干扰;</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6、根据谈判小组的要求介绍政府采购相关政策法规、谈判文件;</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7、维护评审秩序，监督谈判小组依照谈判文件规定的评审程序、方法和标准进行独立评审，及时制止和纠正采购人代表、评审专家的倾向性言论或者违法违规行为;</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8、核对评审结果；</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9、评审工作完成后，按照规定向评审专家支付劳务报酬和异地评审差旅费，不得向评审专家以外的其他人员支付评审劳务报酬；</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10、处理与评审有关的其他事项。</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color w:val="auto"/>
          <w:highlight w:val="none"/>
          <w:lang w:val="en-US"/>
        </w:rPr>
      </w:pPr>
      <w:bookmarkStart w:id="129" w:name="_Toc6679"/>
      <w:bookmarkStart w:id="130" w:name="_Toc21732"/>
      <w:bookmarkStart w:id="131" w:name="_Toc14136"/>
      <w:bookmarkStart w:id="132" w:name="_Toc27001"/>
      <w:r>
        <w:rPr>
          <w:rFonts w:hint="eastAsia" w:ascii="宋体" w:hAnsi="宋体" w:eastAsia="宋体" w:cs="宋体"/>
          <w:b/>
          <w:bCs w:val="0"/>
          <w:color w:val="auto"/>
          <w:kern w:val="2"/>
          <w:sz w:val="28"/>
          <w:szCs w:val="28"/>
          <w:highlight w:val="none"/>
          <w:lang w:val="en-US" w:eastAsia="zh-CN" w:bidi="ar"/>
        </w:rPr>
        <w:t>（二）谈判小组负责具体评审事务，并独立履行下列职责：</w:t>
      </w:r>
      <w:bookmarkEnd w:id="129"/>
      <w:bookmarkEnd w:id="130"/>
      <w:bookmarkEnd w:id="131"/>
      <w:bookmarkEnd w:id="132"/>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1、严格遵守评审工作纪律，按照客观、公正、审慎的原则，根据谈判文件规定的评审程序、评审方法和评审标准进行独立评审；</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2、发现谈判文件内容违反国家有关强制性规定或者谈判文件存在歧义、重大缺陷导致评审工作无法进行时，应当停止评审并向采购人或者采购代理机构书面说明情况；</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3、审查、评价响应文件是否符合谈判文件的商务、技术等实质性要求；</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4、要求服务商对响应文件有关事项做出澄清或者说明；</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5、对响应文件进行比较和评价；</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6、确定成交候选人名单；</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7、配合答复服务商的询问、质疑和投诉等事项,不得泄露评审文件、评审情况和在评审过程中获悉的商业秘密；</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8、向采购人、采购代理机构或者有关部门报告评审中发现的违法行为。审查、评价响应文件是否符合谈判文件的商务、技术等实质性要求。</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sz w:val="28"/>
          <w:szCs w:val="28"/>
          <w:highlight w:val="none"/>
          <w:shd w:val="clear" w:fill="FFFFFF"/>
          <w:lang w:val="en-US"/>
        </w:rPr>
      </w:pPr>
      <w:r>
        <w:rPr>
          <w:rFonts w:hint="eastAsia" w:ascii="宋体" w:hAnsi="宋体" w:eastAsia="宋体" w:cs="宋体"/>
          <w:color w:val="auto"/>
          <w:kern w:val="2"/>
          <w:sz w:val="28"/>
          <w:szCs w:val="28"/>
          <w:highlight w:val="none"/>
          <w:lang w:val="en-US" w:eastAsia="zh-CN" w:bidi="ar"/>
        </w:rPr>
        <w:t>9、编写评审报告。</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color w:val="auto"/>
          <w:highlight w:val="none"/>
          <w:lang w:val="en-US"/>
        </w:rPr>
      </w:pPr>
      <w:bookmarkStart w:id="133" w:name="_Toc29039"/>
      <w:bookmarkStart w:id="134" w:name="_Toc932"/>
      <w:bookmarkStart w:id="135" w:name="_Toc4434"/>
      <w:bookmarkStart w:id="136" w:name="_Toc4951"/>
      <w:r>
        <w:rPr>
          <w:rFonts w:hint="eastAsia" w:ascii="宋体" w:hAnsi="宋体" w:eastAsia="宋体" w:cs="宋体"/>
          <w:b/>
          <w:bCs w:val="0"/>
          <w:color w:val="auto"/>
          <w:kern w:val="2"/>
          <w:sz w:val="28"/>
          <w:szCs w:val="28"/>
          <w:highlight w:val="none"/>
          <w:lang w:val="en-US" w:eastAsia="zh-CN" w:bidi="ar"/>
        </w:rPr>
        <w:t>（三）组建谈判小组</w:t>
      </w:r>
      <w:bookmarkEnd w:id="133"/>
      <w:bookmarkEnd w:id="134"/>
      <w:bookmarkEnd w:id="135"/>
      <w:bookmarkEnd w:id="136"/>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1、为了确保评审工作的公平、公正，依据政府采购法和政府采购相关法规、规章，成立谈判小组。</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评审专家对本单位的采购项目只能作为采购人代表参与评审。采购代理机构工作人员不得参加由本机构代理的政府采购项目的评审。</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谈判小组成员名单在评审结果公告前应当保密。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评审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评审中因谈判小组成员缺席、回避或者健康等特殊原因导致谈判小组组成不符合规定的，采购代理机构应当依法补足后继续评审。被更换的谈判小组成员所做出的评审意见无效。无法及时补足谈判小组成员的，采购代理机构应当停止评审活动，封存所有响应文件和开标、评审资料，依法重新组建谈判小组进行评审。原谈判小组所做出的评审意见无效。</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color w:val="auto"/>
          <w:highlight w:val="none"/>
          <w:lang w:val="en-US"/>
        </w:rPr>
      </w:pPr>
      <w:bookmarkStart w:id="137" w:name="_Toc19340"/>
      <w:bookmarkStart w:id="138" w:name="_Toc3980"/>
      <w:bookmarkStart w:id="139" w:name="_Toc21681"/>
      <w:bookmarkStart w:id="140" w:name="_Toc23735"/>
      <w:r>
        <w:rPr>
          <w:rFonts w:hint="eastAsia" w:ascii="宋体" w:hAnsi="宋体" w:eastAsia="宋体" w:cs="宋体"/>
          <w:b/>
          <w:bCs w:val="0"/>
          <w:color w:val="auto"/>
          <w:kern w:val="2"/>
          <w:sz w:val="28"/>
          <w:szCs w:val="28"/>
          <w:highlight w:val="none"/>
          <w:lang w:val="en-US" w:eastAsia="zh-CN" w:bidi="ar"/>
        </w:rPr>
        <w:t>（四）评审方法：本次评审采用</w:t>
      </w:r>
      <w:bookmarkEnd w:id="137"/>
      <w:bookmarkEnd w:id="138"/>
      <w:bookmarkEnd w:id="139"/>
      <w:bookmarkEnd w:id="140"/>
      <w:r>
        <w:rPr>
          <w:rFonts w:hint="eastAsia" w:ascii="宋体" w:hAnsi="宋体" w:eastAsia="宋体" w:cs="宋体"/>
          <w:b/>
          <w:bCs w:val="0"/>
          <w:color w:val="auto"/>
          <w:kern w:val="2"/>
          <w:sz w:val="28"/>
          <w:szCs w:val="28"/>
          <w:highlight w:val="none"/>
          <w:lang w:val="en-US" w:eastAsia="zh-CN" w:bidi="ar"/>
        </w:rPr>
        <w:t>最低评审价法</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最低评审价法，是指响应文件满足谈判文件全部实质性要求，且谈判最终报价最低的服务商为成交候选人的评审方法。</w:t>
      </w:r>
    </w:p>
    <w:p>
      <w:pPr>
        <w:keepNext w:val="0"/>
        <w:keepLines w:val="0"/>
        <w:widowControl/>
        <w:suppressLineNumbers w:val="0"/>
        <w:spacing w:before="0" w:beforeAutospacing="0" w:after="0" w:afterAutospacing="0" w:line="500" w:lineRule="exact"/>
        <w:ind w:left="0" w:right="0" w:firstLine="56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（五）谈判程序</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谈判的全过程分为第一次谈判报价、符合性审查、谈判过程、谈判承诺、最终报价、评审阶段。通过资质审查合格的各服务商，只有在响应文件及谈判承诺符合谈判文件要求和满足技术、商务需要的才有最终报价和评审的机会。</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1、第一次谈判报价。</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2、谈判响应文件的符合性审查</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谈判小组依据谈判文件的规定，对谈判响应文件的有效性、完整性和对谈判文件的响应程度进行审查，以确定是否对谈判文件的全部实质性要求做出响应。</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谈判小组要审查每份谈判响应文件是否实质上响应了谈判文件的要求。实质上没有响应谈判文件要求的投标作无效响应文件处理。谈判小组应告知有关服务商未通过审查的原因，服务商不得通过修正或撤销不符之处而使其成为实质上响应。</w:t>
      </w:r>
    </w:p>
    <w:p>
      <w:pPr>
        <w:pStyle w:val="28"/>
        <w:widowControl/>
        <w:spacing w:line="500" w:lineRule="exact"/>
        <w:jc w:val="center"/>
        <w:rPr>
          <w:rFonts w:hint="eastAsia" w:ascii="宋体" w:hAnsi="宋体" w:eastAsia="宋体" w:cs="宋体"/>
          <w:color w:val="auto"/>
          <w:highlight w:val="none"/>
          <w:lang w:val="en-US"/>
        </w:rPr>
      </w:pPr>
      <w:r>
        <w:rPr>
          <w:rFonts w:hint="eastAsia" w:ascii="宋体" w:hAnsi="宋体" w:eastAsia="宋体" w:cs="宋体"/>
          <w:b/>
          <w:bCs/>
          <w:color w:val="auto"/>
          <w:sz w:val="28"/>
          <w:szCs w:val="28"/>
          <w:highlight w:val="none"/>
          <w:lang w:eastAsia="zh-CN"/>
        </w:rPr>
        <w:t>符合性审查表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3341"/>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auto"/>
                <w:kern w:val="0"/>
                <w:sz w:val="28"/>
                <w:szCs w:val="28"/>
                <w:highlight w:val="none"/>
                <w:lang w:val="en-US"/>
              </w:rPr>
            </w:pPr>
            <w:r>
              <w:rPr>
                <w:rFonts w:hint="eastAsia" w:ascii="宋体" w:hAnsi="宋体" w:eastAsia="宋体" w:cs="宋体"/>
                <w:b/>
                <w:bCs w:val="0"/>
                <w:color w:val="auto"/>
                <w:kern w:val="0"/>
                <w:sz w:val="28"/>
                <w:szCs w:val="28"/>
                <w:highlight w:val="none"/>
              </w:rPr>
              <w:t>序号</w:t>
            </w:r>
          </w:p>
        </w:tc>
        <w:tc>
          <w:tcPr>
            <w:tcW w:w="1676"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auto"/>
                <w:kern w:val="0"/>
                <w:sz w:val="28"/>
                <w:szCs w:val="28"/>
                <w:highlight w:val="none"/>
                <w:lang w:val="en-US"/>
              </w:rPr>
            </w:pPr>
            <w:r>
              <w:rPr>
                <w:rFonts w:hint="eastAsia" w:ascii="宋体" w:hAnsi="宋体" w:eastAsia="宋体" w:cs="宋体"/>
                <w:b/>
                <w:bCs w:val="0"/>
                <w:color w:val="auto"/>
                <w:kern w:val="0"/>
                <w:sz w:val="28"/>
                <w:szCs w:val="28"/>
                <w:highlight w:val="none"/>
              </w:rPr>
              <w:t>符合性审查项</w:t>
            </w:r>
          </w:p>
        </w:tc>
        <w:tc>
          <w:tcPr>
            <w:tcW w:w="2920"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auto"/>
                <w:kern w:val="0"/>
                <w:sz w:val="28"/>
                <w:szCs w:val="28"/>
                <w:highlight w:val="none"/>
                <w:lang w:val="en-US"/>
              </w:rPr>
            </w:pPr>
            <w:r>
              <w:rPr>
                <w:rFonts w:hint="eastAsia" w:ascii="宋体" w:hAnsi="宋体" w:eastAsia="宋体" w:cs="宋体"/>
                <w:b/>
                <w:bCs w:val="0"/>
                <w:color w:val="auto"/>
                <w:kern w:val="0"/>
                <w:sz w:val="28"/>
                <w:szCs w:val="28"/>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响应文件项目名称、项目编号、标段（未划分标段的除外）</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响应文件以下三处的项目名称、项目编号、标段与本项目完全一致，且无遗漏：</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（1）封面；</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（2）响应函；</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rPr>
              <w:t>3</w:t>
            </w:r>
            <w:r>
              <w:rPr>
                <w:rFonts w:hint="eastAsia" w:ascii="宋体" w:hAnsi="宋体" w:eastAsia="宋体" w:cs="宋体"/>
                <w:color w:val="auto"/>
                <w:sz w:val="28"/>
                <w:szCs w:val="28"/>
                <w:highlight w:val="none"/>
              </w:rPr>
              <w:t>）法定代表人委托授权书。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响应文件组成</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响应文件应包含以下内容：</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（1）响应函；</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（2）第一次谈判报价表、分项报价表（谈判文件未作要求的除外）；</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（3）资格证明文件；</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kern w:val="2"/>
                <w:sz w:val="28"/>
                <w:szCs w:val="28"/>
                <w:highlight w:val="none"/>
                <w:lang w:val="en-US" w:eastAsia="zh-CN" w:bidi="ar"/>
              </w:rPr>
              <w:t>服务商</w:t>
            </w:r>
            <w:r>
              <w:rPr>
                <w:rFonts w:hint="eastAsia" w:ascii="宋体" w:hAnsi="宋体" w:eastAsia="宋体" w:cs="宋体"/>
                <w:color w:val="auto"/>
                <w:sz w:val="28"/>
                <w:szCs w:val="28"/>
                <w:highlight w:val="none"/>
                <w:lang w:val="en-US" w:eastAsia="zh-CN"/>
              </w:rPr>
              <w:t>概况；</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kern w:val="2"/>
                <w:sz w:val="28"/>
                <w:szCs w:val="28"/>
                <w:highlight w:val="none"/>
                <w:lang w:val="en-US" w:eastAsia="zh-CN" w:bidi="ar"/>
              </w:rPr>
              <w:t>服务商</w:t>
            </w:r>
            <w:r>
              <w:rPr>
                <w:rFonts w:hint="eastAsia" w:ascii="宋体" w:hAnsi="宋体" w:eastAsia="宋体" w:cs="宋体"/>
                <w:color w:val="auto"/>
                <w:sz w:val="28"/>
                <w:szCs w:val="28"/>
                <w:highlight w:val="none"/>
                <w:lang w:val="en-US" w:eastAsia="zh-CN"/>
              </w:rPr>
              <w:t>参加政府采购活动承诺书；</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rPr>
              <w:t>6</w:t>
            </w:r>
            <w:r>
              <w:rPr>
                <w:rFonts w:hint="eastAsia" w:ascii="宋体" w:hAnsi="宋体" w:eastAsia="宋体" w:cs="宋体"/>
                <w:color w:val="auto"/>
                <w:sz w:val="28"/>
                <w:szCs w:val="28"/>
                <w:highlight w:val="none"/>
              </w:rPr>
              <w:t>）响应方案。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响应文件签署、盖章</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签署、盖章符合谈判文件要求，且无遗漏</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4</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信用承诺</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按竞争性谈判文件要求提供或公示承诺。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5</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响应文件有效期</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符合谈判文件的要求</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6</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响应文件的语言及计量单位</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符合谈判文件的要求</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7</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谈判报价</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同时满足以下条款：</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（1）谈判报价符合唯一性要求；</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（2）第一次谈判报价表填写符合要求；</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（3）报价货币符合谈判文件要求；</w:t>
            </w:r>
          </w:p>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rPr>
              <w:t>4</w:t>
            </w:r>
            <w:r>
              <w:rPr>
                <w:rFonts w:hint="eastAsia" w:ascii="宋体" w:hAnsi="宋体" w:eastAsia="宋体" w:cs="宋体"/>
                <w:color w:val="auto"/>
                <w:sz w:val="28"/>
                <w:szCs w:val="28"/>
                <w:highlight w:val="none"/>
              </w:rPr>
              <w:t>）未超出采购预算或谈判文件规定的最高限价。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8</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技术</w:t>
            </w:r>
            <w:r>
              <w:rPr>
                <w:rFonts w:hint="eastAsia" w:ascii="宋体" w:hAnsi="宋体" w:eastAsia="宋体" w:cs="宋体"/>
                <w:color w:val="auto"/>
                <w:sz w:val="28"/>
                <w:szCs w:val="28"/>
                <w:highlight w:val="none"/>
                <w:lang w:val="en-US"/>
              </w:rPr>
              <w:t>/</w:t>
            </w:r>
            <w:r>
              <w:rPr>
                <w:rFonts w:hint="eastAsia" w:ascii="宋体" w:hAnsi="宋体" w:eastAsia="宋体" w:cs="宋体"/>
                <w:color w:val="auto"/>
                <w:sz w:val="28"/>
                <w:szCs w:val="28"/>
                <w:highlight w:val="none"/>
              </w:rPr>
              <w:t>服务要求</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完全理解并接受对谈判文件的服务要求及实质性条款要求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产品</w:t>
            </w:r>
            <w:r>
              <w:rPr>
                <w:rFonts w:hint="eastAsia" w:ascii="宋体" w:hAnsi="宋体" w:eastAsia="宋体" w:cs="宋体"/>
                <w:color w:val="auto"/>
                <w:sz w:val="28"/>
                <w:szCs w:val="28"/>
                <w:highlight w:val="none"/>
              </w:rPr>
              <w:t>技术</w:t>
            </w:r>
            <w:r>
              <w:rPr>
                <w:rFonts w:hint="eastAsia" w:ascii="宋体" w:hAnsi="宋体" w:eastAsia="宋体" w:cs="宋体"/>
                <w:color w:val="auto"/>
                <w:sz w:val="28"/>
                <w:szCs w:val="28"/>
                <w:highlight w:val="none"/>
                <w:lang w:val="en-US" w:eastAsia="zh-CN"/>
              </w:rPr>
              <w:t>参数及</w:t>
            </w:r>
            <w:r>
              <w:rPr>
                <w:rFonts w:hint="eastAsia" w:ascii="宋体" w:hAnsi="宋体" w:eastAsia="宋体" w:cs="宋体"/>
                <w:color w:val="auto"/>
                <w:sz w:val="28"/>
                <w:szCs w:val="28"/>
                <w:highlight w:val="none"/>
              </w:rPr>
              <w:t>服务响应</w:t>
            </w:r>
            <w:r>
              <w:rPr>
                <w:rFonts w:hint="eastAsia" w:ascii="宋体" w:hAnsi="宋体" w:eastAsia="宋体" w:cs="宋体"/>
                <w:color w:val="auto"/>
                <w:sz w:val="28"/>
                <w:szCs w:val="28"/>
                <w:highlight w:val="none"/>
                <w:lang w:val="en-US" w:eastAsia="zh-CN"/>
              </w:rPr>
              <w:t>内容没有漏项或</w:t>
            </w:r>
            <w:r>
              <w:rPr>
                <w:rFonts w:hint="eastAsia" w:ascii="宋体" w:hAnsi="宋体" w:eastAsia="宋体" w:cs="宋体"/>
                <w:color w:val="auto"/>
                <w:sz w:val="28"/>
                <w:szCs w:val="28"/>
                <w:highlight w:val="none"/>
              </w:rPr>
              <w:t>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9</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合同基本条款响应</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完全理解并接受</w:t>
            </w:r>
            <w:r>
              <w:rPr>
                <w:rFonts w:hint="eastAsia" w:ascii="宋体" w:hAnsi="宋体" w:eastAsia="宋体" w:cs="宋体"/>
                <w:color w:val="auto"/>
                <w:sz w:val="28"/>
                <w:szCs w:val="28"/>
                <w:highlight w:val="none"/>
                <w:lang w:val="en-US" w:eastAsia="zh-CN"/>
              </w:rPr>
              <w:t>合同基本条款</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响应无偏离。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谈判响应方案</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谈判响应方案完全响应第三章《谈判内容及要求》相关要求，无偏离。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leftChars="0" w:right="0" w:rightChars="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11</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电子响应文件雷同性分析</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电子响应文件的“文件制作机器码”和“文件创建标识码”通过评标系统的雷同性分析。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其他</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完全理解并接受法律法规和谈判文件对</w:t>
            </w:r>
            <w:r>
              <w:rPr>
                <w:rFonts w:hint="eastAsia" w:ascii="宋体" w:hAnsi="宋体" w:eastAsia="宋体" w:cs="宋体"/>
                <w:color w:val="auto"/>
                <w:kern w:val="2"/>
                <w:sz w:val="28"/>
                <w:szCs w:val="28"/>
                <w:highlight w:val="none"/>
                <w:lang w:val="en-US" w:eastAsia="zh-CN" w:bidi="ar"/>
              </w:rPr>
              <w:t>服务商</w:t>
            </w:r>
            <w:r>
              <w:rPr>
                <w:rFonts w:hint="eastAsia" w:ascii="宋体" w:hAnsi="宋体" w:eastAsia="宋体" w:cs="宋体"/>
                <w:color w:val="auto"/>
                <w:sz w:val="28"/>
                <w:szCs w:val="28"/>
                <w:highlight w:val="none"/>
              </w:rPr>
              <w:t>的各项须知、规约要求和责任义务，没有出现法律法规或谈判文件明确规定的或其他被视为“无效响应”的情形。</w:t>
            </w:r>
          </w:p>
        </w:tc>
      </w:tr>
    </w:tbl>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3、谈判响应文件的澄清</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2"/>
          <w:sz w:val="28"/>
          <w:szCs w:val="28"/>
          <w:highlight w:val="none"/>
          <w:lang w:val="en-US" w:eastAsia="zh-CN" w:bidi="ar"/>
        </w:rPr>
        <w:t>（1）谈判小组在对谈判响应文件的有效性、完整性和响应程度进行审查时，可以要求服务商对谈判响应文件中含义不明确、同类问题表述不一致或者有明显文字和计算错误的内容等做出必要的澄清、说明或者补正。</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（2）依照民法中的过失责任原则，澄清、说明或补正前谈判小组将按最不利于服务商的原则对谈判响应文件做出评判。</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（3）谈判小组要求服务商澄清、说明或者补正谈判响应文件应通过不见面电子询标系统。服务商应当在规定的澄清时限内按谈判小组要求的方式提交。</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（4）服务商的澄清、说明或者补正不得超出谈判响应文件的范围或者改变谈判响应文件的实质性内容。澄清、说明或者补正的内容将作为</w:t>
      </w:r>
      <w:r>
        <w:rPr>
          <w:rFonts w:hint="eastAsia" w:ascii="宋体" w:hAnsi="宋体" w:eastAsia="宋体" w:cs="宋体"/>
          <w:color w:val="auto"/>
          <w:kern w:val="0"/>
          <w:sz w:val="28"/>
          <w:szCs w:val="28"/>
          <w:highlight w:val="none"/>
          <w:lang w:val="en-US" w:eastAsia="zh-CN" w:bidi="ar"/>
        </w:rPr>
        <w:t>合同</w:t>
      </w:r>
      <w:r>
        <w:rPr>
          <w:rFonts w:hint="eastAsia" w:ascii="宋体" w:hAnsi="宋体" w:eastAsia="宋体" w:cs="宋体"/>
          <w:color w:val="auto"/>
          <w:kern w:val="2"/>
          <w:sz w:val="28"/>
          <w:szCs w:val="28"/>
          <w:highlight w:val="none"/>
          <w:lang w:val="en-US" w:eastAsia="zh-CN" w:bidi="ar"/>
        </w:rPr>
        <w:t>履行的重要依据。</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color w:val="auto"/>
          <w:highlight w:val="none"/>
          <w:lang w:val="en-US"/>
        </w:rPr>
      </w:pPr>
      <w:r>
        <w:rPr>
          <w:rFonts w:hint="eastAsia" w:ascii="宋体" w:hAnsi="宋体" w:eastAsia="宋体" w:cs="宋体"/>
          <w:b/>
          <w:bCs w:val="0"/>
          <w:color w:val="auto"/>
          <w:kern w:val="2"/>
          <w:sz w:val="28"/>
          <w:szCs w:val="28"/>
          <w:highlight w:val="none"/>
          <w:lang w:val="en-US" w:eastAsia="zh-CN" w:bidi="ar"/>
        </w:rPr>
        <w:t>4、谈判过程</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在开标结束后30分钟内请服务商按本项目开标室要求的方式准时进入谈判室，准备谈判。如因服务商自身的原因导致无法进行谈判的，视为其拒绝本项目谈判，按无效投标处理。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谈判小组应在符合性评审的基础上对各服务商的响应文件认真阅读，谈判小组必须对响应文件的采购内容等有关要求通过不见面方式集中与单一服务商分别进行谈判。</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5、最终报价</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资格性审查和符合性审查通过的服务商进入最终报价阶段。最终报价是服务商响应文件的有效组成部分。（最后报价相同时，可进行多次报价）</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服务商使用CA锁，在电脑上进行最终报价。对成交服务商的最终报价出现明显低于或高于同业同期市场平均价的情形时，谈判小组应当在评审意见中详细说明推荐理由。</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6、推荐成交候选人</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经过最后报价，谈判小组按上述规则对最后报价做必要的价格扣除（给予小微企业的价格扣除优惠为20%），按扣除后的最终报价由低到高的顺序推荐</w:t>
      </w:r>
      <w:bookmarkStart w:id="141" w:name="■Finalists_CH2_A■"/>
      <w:r>
        <w:rPr>
          <w:rFonts w:hint="eastAsia" w:ascii="宋体" w:hAnsi="宋体" w:eastAsia="宋体" w:cs="宋体"/>
          <w:color w:val="auto"/>
          <w:kern w:val="2"/>
          <w:sz w:val="28"/>
          <w:szCs w:val="28"/>
          <w:highlight w:val="none"/>
          <w:lang w:val="en-US" w:eastAsia="zh-CN" w:bidi="ar"/>
        </w:rPr>
        <w:t>三名</w:t>
      </w:r>
      <w:bookmarkEnd w:id="141"/>
      <w:r>
        <w:rPr>
          <w:rFonts w:hint="eastAsia" w:ascii="宋体" w:hAnsi="宋体" w:eastAsia="宋体" w:cs="宋体"/>
          <w:color w:val="auto"/>
          <w:kern w:val="2"/>
          <w:sz w:val="28"/>
          <w:szCs w:val="28"/>
          <w:highlight w:val="none"/>
          <w:lang w:val="en-US" w:eastAsia="zh-CN" w:bidi="ar"/>
        </w:rPr>
        <w:t>成交候选人。</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7、编写评审报告</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谈判小组应根据全体评审成员签字的原始评审记录和评审结果编写评审报告。评审报告应包括：谈判公告刊登的媒体名称、开标日期和地点;服务商名单和谈判小组成员名单;评审方法和标准;开标记录和评审情况及说明，包括无效服务商名单及原因;评审结果，确定的成交候选人名单或者经采购人委托直接确定的成交人;其他需要说明的情况，包括评审过程中服务商根据谈判小组要求进行的澄清、说明或者补正，谈判小组成员的更换等。</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谈判小组成员对需要共同认定的事项存在争议的，应当按照少数服从多数的原则做出结论。持不同意见的谈判小组成员应当在评审报告上签署不同意见及理由，否则视为同意评审报告。对拒绝说明理由的，报市财政局处理，并将其评审情况如实计入考核表。</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十、无效响应文件情形</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（一）服务商存在下列情况之一的，响应文件无效:</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1、响应文件未按谈判文件要求签署、盖章;</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2、不具备谈判文件中规定的资格要求;</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3、报价超过谈判文件中规定的预算金额或者最高限价;</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4、响应文件含有采购人不能接受的附加条件;</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5、有选择的报价将不予接受，按无效响应文件处理；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6、按《政府采购非招标采购方式管理办法》（财政部令第74号）修正后的报价经服务商确认后产生约束力，服务商不确认的，其响应文件无效。</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（二）服务商存在下列情形之一的，视为串通投标，其响应文件无效：</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 1、不同服务商的响应文件由同一单位或者个人编制；</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 2、不同服务商委托同一单位或者个人办理投标事宜；</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 3、不同服务商的响应文件载明的项目管理成员或者联系人员为同一人；</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 4、不同服务商的响应文件异常一致或者谈判报价呈规律性差异。</w:t>
      </w:r>
    </w:p>
    <w:p>
      <w:pPr>
        <w:keepNext w:val="0"/>
        <w:keepLines w:val="0"/>
        <w:widowControl/>
        <w:suppressLineNumbers w:val="0"/>
        <w:spacing w:before="0" w:beforeAutospacing="0" w:after="0" w:afterAutospacing="0" w:line="500" w:lineRule="exact"/>
        <w:ind w:left="0" w:right="0" w:firstLine="56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8"/>
          <w:szCs w:val="28"/>
          <w:highlight w:val="none"/>
          <w:lang w:val="en-US" w:eastAsia="zh-CN" w:bidi="ar"/>
        </w:rPr>
        <w:t>（三）服务商不得以低于成本的报价参加本次采购项目。</w:t>
      </w:r>
      <w:r>
        <w:rPr>
          <w:rFonts w:hint="eastAsia" w:ascii="宋体" w:hAnsi="宋体" w:eastAsia="宋体" w:cs="宋体"/>
          <w:color w:val="auto"/>
          <w:kern w:val="2"/>
          <w:sz w:val="28"/>
          <w:szCs w:val="28"/>
          <w:highlight w:val="none"/>
          <w:lang w:val="en-US" w:eastAsia="zh-CN" w:bidi="ar"/>
        </w:rPr>
        <w:t>谈判小组认为服务商的报价明显低于其他通过符合性审查服务商的报价，有可能影响产品质量或者不能诚信履约的，应当要求其在评审现场合理的时间内提供书面说明，同时提交相关证明材料;服务商不能证明其报价合理性的，谈判小组应当将其作为无效</w:t>
      </w:r>
      <w:r>
        <w:rPr>
          <w:rFonts w:hint="eastAsia" w:ascii="宋体" w:hAnsi="宋体" w:eastAsia="宋体" w:cs="宋体"/>
          <w:b/>
          <w:bCs w:val="0"/>
          <w:color w:val="auto"/>
          <w:kern w:val="2"/>
          <w:sz w:val="28"/>
          <w:szCs w:val="28"/>
          <w:highlight w:val="none"/>
          <w:lang w:val="en-US" w:eastAsia="zh-CN" w:bidi="ar"/>
        </w:rPr>
        <w:t>响应文件</w:t>
      </w:r>
      <w:r>
        <w:rPr>
          <w:rFonts w:hint="eastAsia" w:ascii="宋体" w:hAnsi="宋体" w:eastAsia="宋体" w:cs="宋体"/>
          <w:color w:val="auto"/>
          <w:kern w:val="2"/>
          <w:sz w:val="28"/>
          <w:szCs w:val="28"/>
          <w:highlight w:val="none"/>
          <w:lang w:val="en-US" w:eastAsia="zh-CN" w:bidi="ar"/>
        </w:rPr>
        <w:t>处理。</w:t>
      </w:r>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eastAsia="zh-CN"/>
        </w:rPr>
        <w:t>十一、</w:t>
      </w:r>
      <w:bookmarkEnd w:id="113"/>
      <w:bookmarkEnd w:id="114"/>
      <w:bookmarkEnd w:id="115"/>
      <w:bookmarkEnd w:id="116"/>
      <w:bookmarkEnd w:id="117"/>
      <w:bookmarkEnd w:id="118"/>
      <w:r>
        <w:rPr>
          <w:rFonts w:hint="eastAsia" w:ascii="宋体" w:hAnsi="宋体" w:eastAsia="宋体" w:cs="宋体"/>
          <w:b/>
          <w:bCs w:val="0"/>
          <w:color w:val="auto"/>
          <w:sz w:val="28"/>
          <w:szCs w:val="28"/>
          <w:highlight w:val="none"/>
          <w:lang w:eastAsia="zh-CN"/>
        </w:rPr>
        <w:t>成交</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（一）采购代理机构在评审工作结束后2个工作日内将评审报告送采购人。</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（二）采购人在收到评审报告之日起5个工作日内，在评审报告确定的成交候选人名单中按顺序确定成交服务商。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采购人在收到评审报告5个工作日内未按评审报告推荐的成交候选人顺序确定成交人，又不能说明合法理由的，视同按评审报告推荐的顺序确定成交人，采购代理机构将发布成交公告。</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（三）采购代理机构将在成交人确定之日起2个工作日内，发布媒体为【</w:t>
      </w:r>
      <w:r>
        <w:rPr>
          <w:rFonts w:hint="eastAsia" w:ascii="宋体" w:hAnsi="宋体" w:eastAsia="宋体" w:cs="宋体"/>
          <w:color w:val="auto"/>
          <w:kern w:val="2"/>
          <w:sz w:val="28"/>
          <w:szCs w:val="28"/>
          <w:highlight w:val="none"/>
          <w:lang w:val="en-US" w:eastAsia="zh-CN" w:bidi="ar"/>
        </w:rPr>
        <w:fldChar w:fldCharType="begin"/>
      </w:r>
      <w:r>
        <w:rPr>
          <w:rFonts w:hint="eastAsia" w:ascii="宋体" w:hAnsi="宋体" w:eastAsia="宋体" w:cs="宋体"/>
          <w:color w:val="auto"/>
          <w:kern w:val="2"/>
          <w:sz w:val="28"/>
          <w:szCs w:val="28"/>
          <w:highlight w:val="none"/>
          <w:lang w:val="en-US" w:eastAsia="zh-CN" w:bidi="ar"/>
        </w:rPr>
        <w:instrText xml:space="preserve"> HYPERLINK "http://www.ccgp-shaanxi.gov.cn" </w:instrText>
      </w:r>
      <w:r>
        <w:rPr>
          <w:rFonts w:hint="eastAsia" w:ascii="宋体" w:hAnsi="宋体" w:eastAsia="宋体" w:cs="宋体"/>
          <w:color w:val="auto"/>
          <w:kern w:val="2"/>
          <w:sz w:val="28"/>
          <w:szCs w:val="28"/>
          <w:highlight w:val="none"/>
          <w:lang w:val="en-US" w:eastAsia="zh-CN" w:bidi="ar"/>
        </w:rPr>
        <w:fldChar w:fldCharType="separate"/>
      </w:r>
      <w:r>
        <w:rPr>
          <w:rStyle w:val="44"/>
          <w:rFonts w:hint="eastAsia" w:ascii="宋体" w:hAnsi="宋体" w:eastAsia="宋体" w:cs="宋体"/>
          <w:color w:val="auto"/>
          <w:sz w:val="28"/>
          <w:szCs w:val="28"/>
          <w:highlight w:val="none"/>
          <w:lang w:val="en-US"/>
        </w:rPr>
        <w:t>陕西省政府采购网</w:t>
      </w:r>
      <w:r>
        <w:rPr>
          <w:rFonts w:hint="eastAsia" w:ascii="宋体" w:hAnsi="宋体" w:eastAsia="宋体" w:cs="宋体"/>
          <w:color w:val="auto"/>
          <w:kern w:val="2"/>
          <w:sz w:val="28"/>
          <w:szCs w:val="28"/>
          <w:highlight w:val="none"/>
          <w:lang w:val="en-US" w:eastAsia="zh-CN" w:bidi="ar"/>
        </w:rPr>
        <w:fldChar w:fldCharType="end"/>
      </w:r>
      <w:r>
        <w:rPr>
          <w:rFonts w:hint="eastAsia" w:ascii="宋体" w:hAnsi="宋体" w:eastAsia="宋体" w:cs="宋体"/>
          <w:color w:val="auto"/>
          <w:kern w:val="2"/>
          <w:sz w:val="28"/>
          <w:szCs w:val="28"/>
          <w:highlight w:val="none"/>
          <w:lang w:val="en-US" w:eastAsia="zh-CN" w:bidi="ar"/>
        </w:rPr>
        <w:t>（www.ccgp-shaanxi.gov.cn）</w:t>
      </w:r>
      <w:r>
        <w:rPr>
          <w:rStyle w:val="44"/>
          <w:rFonts w:hint="eastAsia" w:ascii="宋体" w:hAnsi="宋体" w:eastAsia="宋体" w:cs="宋体"/>
          <w:color w:val="auto"/>
          <w:kern w:val="2"/>
          <w:sz w:val="18"/>
          <w:szCs w:val="18"/>
          <w:highlight w:val="none"/>
          <w:lang w:val="en-US" w:eastAsia="zh-CN" w:bidi="ar"/>
        </w:rPr>
        <w:t>】、</w:t>
      </w:r>
      <w:r>
        <w:rPr>
          <w:rFonts w:hint="eastAsia" w:ascii="宋体" w:hAnsi="宋体" w:eastAsia="宋体" w:cs="宋体"/>
          <w:color w:val="auto"/>
          <w:kern w:val="2"/>
          <w:sz w:val="28"/>
          <w:szCs w:val="28"/>
          <w:highlight w:val="none"/>
          <w:lang w:val="en-US" w:eastAsia="zh-CN" w:bidi="ar"/>
        </w:rPr>
        <w:t>【</w:t>
      </w:r>
      <w:r>
        <w:rPr>
          <w:rFonts w:hint="eastAsia" w:ascii="宋体" w:hAnsi="宋体" w:eastAsia="宋体" w:cs="宋体"/>
          <w:bCs/>
          <w:color w:val="auto"/>
          <w:kern w:val="2"/>
          <w:sz w:val="28"/>
          <w:szCs w:val="28"/>
          <w:highlight w:val="none"/>
          <w:lang w:val="en-US" w:eastAsia="zh-CN" w:bidi="ar"/>
        </w:rPr>
        <w:t>全国公共资源交易平台（陕西省）（http://www.sxggzyjy.cn/）</w:t>
      </w:r>
      <w:r>
        <w:rPr>
          <w:rStyle w:val="44"/>
          <w:rFonts w:hint="eastAsia" w:ascii="宋体" w:hAnsi="宋体" w:eastAsia="宋体" w:cs="宋体"/>
          <w:color w:val="auto"/>
          <w:kern w:val="2"/>
          <w:sz w:val="18"/>
          <w:szCs w:val="18"/>
          <w:highlight w:val="none"/>
          <w:lang w:val="en-US" w:eastAsia="zh-CN" w:bidi="ar"/>
        </w:rPr>
        <w:t>】</w:t>
      </w:r>
      <w:r>
        <w:rPr>
          <w:rFonts w:hint="eastAsia" w:ascii="宋体" w:hAnsi="宋体" w:eastAsia="宋体" w:cs="宋体"/>
          <w:color w:val="auto"/>
          <w:kern w:val="2"/>
          <w:sz w:val="28"/>
          <w:szCs w:val="28"/>
          <w:highlight w:val="none"/>
          <w:lang w:val="en-US" w:eastAsia="zh-CN" w:bidi="ar"/>
        </w:rPr>
        <w:t>上公告成交结果。</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成交公告期限为1个工作日。</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（四）在公告成交结果的同时，采购代理机构向成交人发出成交通知书。</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2"/>
          <w:sz w:val="28"/>
          <w:szCs w:val="28"/>
          <w:highlight w:val="none"/>
          <w:lang w:val="en-US" w:eastAsia="zh-CN" w:bidi="ar"/>
        </w:rPr>
        <w:t>（五）成交通知书发出后，采购人不得违法改变成交结果，成交人无正当理由不得放弃成交。</w:t>
      </w:r>
      <w:bookmarkStart w:id="142" w:name="_Toc48834096"/>
      <w:bookmarkStart w:id="143" w:name="_Toc10388"/>
      <w:bookmarkStart w:id="144" w:name="_Toc48834166"/>
      <w:bookmarkStart w:id="145" w:name="_Toc48834534"/>
      <w:bookmarkStart w:id="146" w:name="_Toc48834293"/>
      <w:bookmarkStart w:id="147" w:name="_Toc48834455"/>
    </w:p>
    <w:p>
      <w:pPr>
        <w:pStyle w:val="31"/>
        <w:widowControl/>
        <w:spacing w:line="500" w:lineRule="exact"/>
        <w:ind w:left="0" w:firstLine="562" w:firstLineChars="200"/>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eastAsia="zh-CN"/>
        </w:rPr>
        <w:t>十二、签订政府采购合同</w:t>
      </w:r>
      <w:bookmarkEnd w:id="142"/>
      <w:bookmarkEnd w:id="143"/>
      <w:bookmarkEnd w:id="144"/>
      <w:bookmarkEnd w:id="145"/>
      <w:bookmarkEnd w:id="146"/>
      <w:bookmarkEnd w:id="147"/>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2"/>
          <w:sz w:val="28"/>
          <w:szCs w:val="28"/>
          <w:highlight w:val="none"/>
          <w:lang w:val="en-US" w:eastAsia="zh-CN" w:bidi="ar"/>
        </w:rPr>
        <w:t>（一）自成交通知书发出之日起10日内，</w:t>
      </w:r>
      <w:r>
        <w:rPr>
          <w:rFonts w:hint="eastAsia" w:ascii="宋体" w:hAnsi="宋体" w:eastAsia="宋体" w:cs="宋体"/>
          <w:color w:val="auto"/>
          <w:kern w:val="0"/>
          <w:sz w:val="28"/>
          <w:szCs w:val="28"/>
          <w:highlight w:val="none"/>
          <w:lang w:val="en-US" w:eastAsia="zh-CN" w:bidi="ar"/>
        </w:rPr>
        <w:t>采购人与</w:t>
      </w:r>
      <w:r>
        <w:rPr>
          <w:rFonts w:hint="eastAsia" w:ascii="宋体" w:hAnsi="宋体" w:eastAsia="宋体" w:cs="宋体"/>
          <w:color w:val="auto"/>
          <w:kern w:val="2"/>
          <w:sz w:val="28"/>
          <w:szCs w:val="28"/>
          <w:highlight w:val="none"/>
          <w:lang w:val="en-US" w:eastAsia="zh-CN" w:bidi="ar"/>
        </w:rPr>
        <w:t>成交</w:t>
      </w:r>
      <w:r>
        <w:rPr>
          <w:rFonts w:hint="eastAsia" w:ascii="宋体" w:hAnsi="宋体" w:eastAsia="宋体" w:cs="宋体"/>
          <w:color w:val="auto"/>
          <w:kern w:val="0"/>
          <w:sz w:val="28"/>
          <w:szCs w:val="28"/>
          <w:highlight w:val="none"/>
          <w:lang w:val="en-US" w:eastAsia="zh-CN" w:bidi="ar"/>
        </w:rPr>
        <w:t>人应按谈判文件和</w:t>
      </w:r>
      <w:r>
        <w:rPr>
          <w:rFonts w:hint="eastAsia" w:ascii="宋体" w:hAnsi="宋体" w:eastAsia="宋体" w:cs="宋体"/>
          <w:color w:val="auto"/>
          <w:kern w:val="2"/>
          <w:sz w:val="28"/>
          <w:szCs w:val="28"/>
          <w:highlight w:val="none"/>
          <w:lang w:val="en-US" w:eastAsia="zh-CN" w:bidi="ar"/>
        </w:rPr>
        <w:t>成交人</w:t>
      </w:r>
      <w:r>
        <w:rPr>
          <w:rFonts w:hint="eastAsia" w:ascii="宋体" w:hAnsi="宋体" w:eastAsia="宋体" w:cs="宋体"/>
          <w:color w:val="auto"/>
          <w:kern w:val="0"/>
          <w:sz w:val="28"/>
          <w:szCs w:val="28"/>
          <w:highlight w:val="none"/>
          <w:lang w:val="en-US" w:eastAsia="zh-CN" w:bidi="ar"/>
        </w:rPr>
        <w:t>响应文件的规定，签订书面合同。所签订的政府采购合同不得对谈判文件和成交人的响应文件内容作实质性修改。</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0"/>
          <w:sz w:val="28"/>
          <w:szCs w:val="28"/>
          <w:highlight w:val="none"/>
          <w:lang w:val="en-US" w:eastAsia="zh-CN" w:bidi="ar"/>
        </w:rPr>
        <w:t>采购人不得向成交人提出任何不合理的要求作为签订合同的条件。</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（二）</w:t>
      </w:r>
      <w:r>
        <w:rPr>
          <w:rFonts w:hint="eastAsia" w:ascii="宋体" w:hAnsi="宋体" w:eastAsia="宋体" w:cs="宋体"/>
          <w:color w:val="auto"/>
          <w:kern w:val="0"/>
          <w:sz w:val="28"/>
          <w:szCs w:val="28"/>
          <w:highlight w:val="none"/>
          <w:lang w:val="en-US" w:eastAsia="zh-CN" w:bidi="ar"/>
        </w:rPr>
        <w:t>成交人拒绝与采购人签订合同的，采购人可以按照评审报告推荐的成交候选人名单排序，确定下一候选人为成交人，也可以重新开展政府采购活动。</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2"/>
          <w:sz w:val="28"/>
          <w:szCs w:val="28"/>
          <w:highlight w:val="none"/>
          <w:lang w:val="en-US" w:eastAsia="zh-CN" w:bidi="ar"/>
        </w:rPr>
        <w:t>（三）谈判文件、成交人的响应文件、《成交通知书》及其澄清、说明文件、承诺等，均为签订采购合同的依据，作为采购合同的组成部分。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0"/>
          <w:sz w:val="28"/>
          <w:szCs w:val="28"/>
          <w:highlight w:val="none"/>
          <w:lang w:val="en-US" w:eastAsia="zh-CN" w:bidi="ar"/>
        </w:rPr>
        <w:t>（四）政府采购合同应当包括采购人与成交人的名称和住所、标的、数量、质量、价款或者报酬、履行期限及地点和方式、验收要求、违约责任、解决争议的方法等内容。</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0"/>
          <w:sz w:val="28"/>
          <w:szCs w:val="28"/>
          <w:highlight w:val="none"/>
          <w:lang w:val="en-US" w:eastAsia="zh-CN" w:bidi="ar"/>
        </w:rPr>
        <w:t>（五）采购人与成交人应当根据合同的约定依法履行合同义务。政府采购合同的履行、违约责任和解决争议的方法等适用《中华人民共和国民法典》。</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（六）采购人应及时对采购项目进行验收。采购人可以邀请参加本项目的其他</w:t>
      </w:r>
      <w:r>
        <w:rPr>
          <w:rFonts w:hint="eastAsia" w:ascii="宋体" w:hAnsi="宋体" w:eastAsia="宋体" w:cs="宋体"/>
          <w:color w:val="auto"/>
          <w:kern w:val="2"/>
          <w:sz w:val="28"/>
          <w:szCs w:val="28"/>
          <w:highlight w:val="none"/>
          <w:lang w:val="en-US" w:eastAsia="zh-CN" w:bidi="ar"/>
        </w:rPr>
        <w:t>服务商</w:t>
      </w:r>
      <w:r>
        <w:rPr>
          <w:rFonts w:hint="eastAsia" w:ascii="宋体" w:hAnsi="宋体" w:eastAsia="宋体" w:cs="宋体"/>
          <w:color w:val="auto"/>
          <w:kern w:val="0"/>
          <w:sz w:val="28"/>
          <w:szCs w:val="28"/>
          <w:highlight w:val="none"/>
          <w:lang w:val="en-US" w:eastAsia="zh-CN" w:bidi="ar"/>
        </w:rPr>
        <w:t>或者第三方机构参与验收。参与验收的服务商或者第三方机构的意见作为验收书的参考资料一并存档。</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0"/>
          <w:sz w:val="28"/>
          <w:szCs w:val="28"/>
          <w:highlight w:val="none"/>
          <w:lang w:val="en-US" w:eastAsia="zh-CN" w:bidi="ar"/>
        </w:rPr>
        <w:t>（七）采购人应当加强对成交人的履约管理，并按照采购合同约定，及时向成交人支付采购资金。对于成交人违反采购合同约定的行为，采购人应当及时处理，依法追究其违约责任。</w:t>
      </w:r>
    </w:p>
    <w:p>
      <w:pPr>
        <w:pStyle w:val="31"/>
        <w:widowControl/>
        <w:spacing w:line="500" w:lineRule="exact"/>
        <w:ind w:left="0" w:leftChars="0" w:firstLine="0" w:firstLineChars="0"/>
        <w:outlineLvl w:val="1"/>
        <w:rPr>
          <w:rFonts w:hint="eastAsia" w:ascii="宋体" w:hAnsi="宋体" w:eastAsia="宋体" w:cs="宋体"/>
          <w:b/>
          <w:bCs w:val="0"/>
          <w:color w:val="auto"/>
          <w:sz w:val="28"/>
          <w:szCs w:val="28"/>
          <w:highlight w:val="none"/>
          <w:lang w:val="en-US"/>
        </w:rPr>
      </w:pPr>
      <w:bookmarkStart w:id="148" w:name="_Toc48834167"/>
      <w:bookmarkStart w:id="149" w:name="_Toc48834097"/>
      <w:bookmarkStart w:id="150" w:name="_Toc31345"/>
      <w:bookmarkStart w:id="151" w:name="_Toc48834294"/>
      <w:bookmarkStart w:id="152" w:name="_Toc48834456"/>
      <w:bookmarkStart w:id="153" w:name="_Toc48834535"/>
      <w:r>
        <w:rPr>
          <w:rFonts w:hint="eastAsia" w:ascii="宋体" w:hAnsi="宋体" w:eastAsia="宋体" w:cs="宋体"/>
          <w:b/>
          <w:bCs w:val="0"/>
          <w:color w:val="auto"/>
          <w:sz w:val="28"/>
          <w:szCs w:val="28"/>
          <w:highlight w:val="none"/>
          <w:lang w:eastAsia="zh-CN"/>
        </w:rPr>
        <w:t>十三、</w:t>
      </w:r>
      <w:bookmarkEnd w:id="148"/>
      <w:bookmarkEnd w:id="149"/>
      <w:bookmarkEnd w:id="150"/>
      <w:bookmarkEnd w:id="151"/>
      <w:bookmarkEnd w:id="152"/>
      <w:bookmarkEnd w:id="153"/>
      <w:r>
        <w:rPr>
          <w:rFonts w:hint="eastAsia" w:ascii="宋体" w:hAnsi="宋体" w:eastAsia="宋体" w:cs="宋体"/>
          <w:b/>
          <w:bCs w:val="0"/>
          <w:color w:val="auto"/>
          <w:sz w:val="28"/>
          <w:szCs w:val="28"/>
          <w:highlight w:val="none"/>
          <w:lang w:eastAsia="zh-CN"/>
        </w:rPr>
        <w:t>废标情形</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一）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（二）根据《政府采购法》第三十六条规定，在采购活动中，出现下列情形之一的，本项目按废标处理：</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1、出现影响采购公正的违法、违规行为；</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2、服务商的报价均超过了采购预算，采购人不能支付；</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3、因重大变故，采购任务取消。</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废标后，由采购代理机构发布废标公告。</w:t>
      </w:r>
      <w:bookmarkStart w:id="154" w:name="_Toc48834100"/>
      <w:bookmarkStart w:id="155" w:name="_Toc48834538"/>
      <w:bookmarkStart w:id="156" w:name="_Toc48834297"/>
      <w:bookmarkStart w:id="157" w:name="_Toc48834459"/>
      <w:bookmarkStart w:id="158" w:name="_Toc48834170"/>
    </w:p>
    <w:p>
      <w:pPr>
        <w:keepNext/>
        <w:keepLines/>
        <w:widowControl/>
        <w:suppressLineNumbers w:val="0"/>
        <w:spacing w:before="0" w:beforeAutospacing="0" w:after="0" w:afterAutospacing="0" w:line="400" w:lineRule="exact"/>
        <w:ind w:right="0"/>
        <w:jc w:val="both"/>
        <w:outlineLvl w:val="1"/>
        <w:rPr>
          <w:rFonts w:hint="eastAsia" w:ascii="宋体" w:hAnsi="宋体" w:eastAsia="宋体" w:cs="宋体"/>
          <w:b/>
          <w:bCs/>
          <w:color w:val="auto"/>
          <w:sz w:val="28"/>
          <w:szCs w:val="28"/>
          <w:highlight w:val="none"/>
          <w:lang w:val="en-US"/>
        </w:rPr>
      </w:pPr>
      <w:bookmarkStart w:id="159" w:name="_Toc9728"/>
      <w:r>
        <w:rPr>
          <w:rFonts w:hint="eastAsia" w:ascii="宋体" w:hAnsi="宋体" w:eastAsia="宋体" w:cs="宋体"/>
          <w:b/>
          <w:bCs/>
          <w:color w:val="auto"/>
          <w:kern w:val="2"/>
          <w:sz w:val="28"/>
          <w:szCs w:val="28"/>
          <w:highlight w:val="none"/>
          <w:lang w:val="en-US" w:eastAsia="zh-CN" w:bidi="ar"/>
        </w:rPr>
        <w:t>十四、代理服务费</w:t>
      </w:r>
      <w:bookmarkEnd w:id="159"/>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1、代理服务费按约定由成交人支付。</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2、代理人应依据成交金额向采购代理机构交纳代理服务费，交费金额参照国家计委颁布的《招标代理服务收费管理暂行办法》（计价格[2002]1980号）及发改办价格[2003]857号文件的规定标准收取。</w:t>
      </w:r>
    </w:p>
    <w:p>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3、本项目代理服务费按服务计取。</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8"/>
        <w:gridCol w:w="1831"/>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成交金额（万元）</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货物招标</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服务招标</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100以下</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100-500</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1.1%</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0.8%</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500-1000</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0.8%</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0.45%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1000-5000</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0.25%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5000-10000</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0.25%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0.1%</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10000-100000</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0.05%</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100000以上</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0.01%</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0.01%</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0.015%</w:t>
            </w:r>
          </w:p>
        </w:tc>
      </w:tr>
    </w:tbl>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注：招标代理服务收费按差额定率累进法计算。</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以货物项目为例：成交金额为1200万元，计算招标代理服务收费额如下：</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100万元×1.5%=1.5万元</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（500-100）万元×1.1%=4.4万元 </w:t>
      </w:r>
    </w:p>
    <w:p>
      <w:pPr>
        <w:keepNext w:val="0"/>
        <w:keepLines w:val="0"/>
        <w:widowControl/>
        <w:suppressLineNumbers w:val="0"/>
        <w:wordWrap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 xml:space="preserve">（1000-500）万元×0.8%=4万元 </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8"/>
          <w:szCs w:val="28"/>
          <w:highlight w:val="none"/>
          <w:lang w:val="en-US" w:eastAsia="zh-CN" w:bidi="ar"/>
        </w:rPr>
        <w:t>（1200-1000）万元×0.5%=1万元</w:t>
      </w:r>
    </w:p>
    <w:p>
      <w:pPr>
        <w:keepNext w:val="0"/>
        <w:keepLines w:val="0"/>
        <w:widowControl/>
        <w:suppressLineNumbers w:val="0"/>
        <w:spacing w:before="0" w:beforeAutospacing="0" w:after="0" w:afterAutospacing="0" w:line="4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合计收费=1.5+4.4+4+1=10.9万元</w:t>
      </w:r>
    </w:p>
    <w:p>
      <w:pPr>
        <w:pStyle w:val="32"/>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bookmarkEnd w:id="154"/>
    <w:bookmarkEnd w:id="155"/>
    <w:bookmarkEnd w:id="156"/>
    <w:bookmarkEnd w:id="157"/>
    <w:bookmarkEnd w:id="158"/>
    <w:p>
      <w:pPr>
        <w:widowControl/>
        <w:jc w:val="center"/>
        <w:outlineLvl w:val="0"/>
        <w:rPr>
          <w:rFonts w:hint="eastAsia" w:ascii="宋体" w:hAnsi="宋体" w:eastAsia="宋体" w:cs="宋体"/>
          <w:color w:val="auto"/>
          <w:sz w:val="28"/>
          <w:szCs w:val="28"/>
          <w:highlight w:val="none"/>
        </w:rPr>
      </w:pPr>
      <w:bookmarkStart w:id="160" w:name="_Toc30516"/>
      <w:bookmarkStart w:id="161" w:name="_Toc533363263"/>
      <w:bookmarkStart w:id="162" w:name="_Toc424636365"/>
      <w:bookmarkStart w:id="163" w:name="_Toc445407252"/>
      <w:bookmarkStart w:id="164" w:name="_Toc534656410"/>
      <w:bookmarkStart w:id="165" w:name="_Toc534656415"/>
      <w:bookmarkStart w:id="166" w:name="_Toc26833"/>
      <w:bookmarkStart w:id="167" w:name="_Toc498349069"/>
      <w:bookmarkStart w:id="168" w:name="_Toc533363236"/>
      <w:r>
        <w:rPr>
          <w:rFonts w:hint="eastAsia" w:ascii="宋体" w:hAnsi="宋体" w:eastAsia="宋体" w:cs="宋体"/>
          <w:b/>
          <w:bCs/>
          <w:color w:val="auto"/>
          <w:sz w:val="36"/>
          <w:szCs w:val="28"/>
          <w:highlight w:val="none"/>
        </w:rPr>
        <w:t xml:space="preserve">第三章  </w:t>
      </w:r>
      <w:r>
        <w:rPr>
          <w:rFonts w:hint="eastAsia" w:ascii="宋体" w:hAnsi="宋体" w:eastAsia="宋体" w:cs="宋体"/>
          <w:b/>
          <w:bCs/>
          <w:color w:val="auto"/>
          <w:sz w:val="36"/>
          <w:szCs w:val="28"/>
          <w:highlight w:val="none"/>
          <w:lang w:val="en-US" w:eastAsia="zh-CN"/>
        </w:rPr>
        <w:t>服务</w:t>
      </w:r>
      <w:r>
        <w:rPr>
          <w:rFonts w:hint="eastAsia" w:ascii="宋体" w:hAnsi="宋体" w:eastAsia="宋体" w:cs="宋体"/>
          <w:b/>
          <w:bCs/>
          <w:color w:val="auto"/>
          <w:sz w:val="36"/>
          <w:szCs w:val="28"/>
          <w:highlight w:val="none"/>
        </w:rPr>
        <w:t>内容及要求</w:t>
      </w:r>
      <w:bookmarkEnd w:id="160"/>
      <w:bookmarkEnd w:id="161"/>
      <w:bookmarkEnd w:id="162"/>
      <w:bookmarkEnd w:id="163"/>
      <w:bookmarkEnd w:id="164"/>
      <w:bookmarkEnd w:id="165"/>
      <w:bookmarkEnd w:id="166"/>
      <w:bookmarkEnd w:id="167"/>
      <w:bookmarkEnd w:id="168"/>
    </w:p>
    <w:p>
      <w:pPr>
        <w:pStyle w:val="117"/>
        <w:keepNext/>
        <w:keepLines/>
        <w:spacing w:after="100"/>
        <w:ind w:firstLine="562" w:firstLineChars="200"/>
        <w:outlineLvl w:val="9"/>
        <w:rPr>
          <w:rFonts w:hint="eastAsia" w:ascii="宋体" w:hAnsi="宋体" w:eastAsia="宋体" w:cs="宋体"/>
          <w:b/>
          <w:bCs/>
          <w:color w:val="auto"/>
          <w:kern w:val="2"/>
          <w:sz w:val="28"/>
          <w:szCs w:val="28"/>
          <w:highlight w:val="none"/>
          <w:lang w:val="en-US" w:eastAsia="zh-CN" w:bidi="ar-SA"/>
        </w:rPr>
      </w:pPr>
    </w:p>
    <w:p>
      <w:pPr>
        <w:pStyle w:val="117"/>
        <w:keepNext/>
        <w:keepLines/>
        <w:spacing w:after="100"/>
        <w:ind w:firstLine="562" w:firstLineChars="200"/>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一、服务内容及要求</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1、项目范围</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1、水平衡测试</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水平衡测试单位：榆林市市场监督管理局、新闻大厦、榆林市档案馆、榆林高新区第一中学、榆林市人民检察院、榆林市应急管理局、中共榆林市委党校、市民大厦、榆林市医疗保障局、榆林市住房和城乡建设局、榆林市审计局、榆林市第十七小学、榆林市畜牧兽医服务中心、榆林市水土保持生态工程建设中心、榆林市水利工程建设中心等15个公共机构。</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2）水平衡测试内容：开展榆林市市场监督管理局等15个公共机构现状水平衡测试，查找不合理用水及“跑冒滴漏”等损失环节，评价现状用水水平及节水水平，提出取用水优化措施建议。</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2、节水改造</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1）节水改造单位：榆林市水土保持生态工程建设中心、榆林市水利工程建设中心。</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2）节水改造内容：查找老化损坏和耗水量大的用水器具，更换节水效率高、经济合理的节水器具，主要包含感应式大（小）便器，洗手台（含节水龙头）、拖把池（含节水龙头）等节水卫生器具。</w:t>
      </w:r>
    </w:p>
    <w:p>
      <w:pPr>
        <w:widowControl/>
        <w:spacing w:line="500" w:lineRule="exact"/>
        <w:ind w:firstLine="560" w:firstLineChars="200"/>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3、工程量清单</w:t>
      </w:r>
    </w:p>
    <w:p>
      <w:pPr>
        <w:widowControl/>
        <w:adjustRightInd w:val="0"/>
        <w:snapToGrid w:val="0"/>
        <w:spacing w:line="360" w:lineRule="auto"/>
        <w:jc w:val="center"/>
        <w:rPr>
          <w:rFonts w:hint="eastAsia" w:ascii="宋体" w:hAnsi="宋体" w:eastAsia="宋体" w:cs="宋体"/>
          <w:b/>
          <w:bCs/>
          <w:color w:val="auto"/>
          <w:sz w:val="32"/>
          <w:szCs w:val="32"/>
          <w:lang w:bidi="ar"/>
        </w:rPr>
      </w:pPr>
      <w:r>
        <w:rPr>
          <w:rFonts w:hint="eastAsia" w:ascii="宋体" w:hAnsi="宋体" w:eastAsia="宋体" w:cs="宋体"/>
          <w:b/>
          <w:bCs/>
          <w:color w:val="auto"/>
          <w:sz w:val="32"/>
          <w:szCs w:val="32"/>
          <w:lang w:bidi="ar"/>
        </w:rPr>
        <w:t>工程量清单</w:t>
      </w:r>
    </w:p>
    <w:tbl>
      <w:tblPr>
        <w:tblStyle w:val="33"/>
        <w:tblW w:w="5322" w:type="pct"/>
        <w:tblInd w:w="-229" w:type="dxa"/>
        <w:tblLayout w:type="fixed"/>
        <w:tblCellMar>
          <w:top w:w="0" w:type="dxa"/>
          <w:left w:w="108" w:type="dxa"/>
          <w:bottom w:w="0" w:type="dxa"/>
          <w:right w:w="108" w:type="dxa"/>
        </w:tblCellMar>
      </w:tblPr>
      <w:tblGrid>
        <w:gridCol w:w="996"/>
        <w:gridCol w:w="2080"/>
        <w:gridCol w:w="1870"/>
        <w:gridCol w:w="4272"/>
        <w:gridCol w:w="720"/>
        <w:gridCol w:w="667"/>
      </w:tblGrid>
      <w:tr>
        <w:tblPrEx>
          <w:tblCellMar>
            <w:top w:w="0" w:type="dxa"/>
            <w:left w:w="108" w:type="dxa"/>
            <w:bottom w:w="0" w:type="dxa"/>
            <w:right w:w="108" w:type="dxa"/>
          </w:tblCellMar>
        </w:tblPrEx>
        <w:trPr>
          <w:trHeight w:val="771" w:hRule="atLeast"/>
        </w:trPr>
        <w:tc>
          <w:tcPr>
            <w:tcW w:w="46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序号</w:t>
            </w:r>
          </w:p>
        </w:tc>
        <w:tc>
          <w:tcPr>
            <w:tcW w:w="980" w:type="pct"/>
            <w:tcBorders>
              <w:top w:val="single" w:color="000000"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项目名称</w:t>
            </w:r>
          </w:p>
        </w:tc>
        <w:tc>
          <w:tcPr>
            <w:tcW w:w="881" w:type="pct"/>
            <w:tcBorders>
              <w:top w:val="single" w:color="000000"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规格</w:t>
            </w:r>
          </w:p>
        </w:tc>
        <w:tc>
          <w:tcPr>
            <w:tcW w:w="2014" w:type="pct"/>
            <w:tcBorders>
              <w:top w:val="single" w:color="000000"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特性/主要材质</w:t>
            </w:r>
          </w:p>
        </w:tc>
        <w:tc>
          <w:tcPr>
            <w:tcW w:w="339" w:type="pct"/>
            <w:tcBorders>
              <w:top w:val="single" w:color="000000"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both"/>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单位</w:t>
            </w:r>
          </w:p>
        </w:tc>
        <w:tc>
          <w:tcPr>
            <w:tcW w:w="314" w:type="pct"/>
            <w:tcBorders>
              <w:top w:val="single" w:color="000000"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计量</w:t>
            </w: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980"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水平衡测试</w:t>
            </w:r>
          </w:p>
        </w:tc>
        <w:tc>
          <w:tcPr>
            <w:tcW w:w="881"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w:t>
            </w:r>
          </w:p>
        </w:tc>
        <w:tc>
          <w:tcPr>
            <w:tcW w:w="2014"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w:t>
            </w:r>
          </w:p>
        </w:tc>
        <w:tc>
          <w:tcPr>
            <w:tcW w:w="339"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c>
          <w:tcPr>
            <w:tcW w:w="31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w:t>
            </w:r>
          </w:p>
        </w:tc>
        <w:tc>
          <w:tcPr>
            <w:tcW w:w="980"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水平衡测试调查</w:t>
            </w:r>
          </w:p>
        </w:tc>
        <w:tc>
          <w:tcPr>
            <w:tcW w:w="1870"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w:t>
            </w:r>
          </w:p>
        </w:tc>
        <w:tc>
          <w:tcPr>
            <w:tcW w:w="4272"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w:t>
            </w:r>
          </w:p>
        </w:tc>
        <w:tc>
          <w:tcPr>
            <w:tcW w:w="339"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处</w:t>
            </w:r>
          </w:p>
        </w:tc>
        <w:tc>
          <w:tcPr>
            <w:tcW w:w="314"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15</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水平衡测试测量</w:t>
            </w:r>
          </w:p>
        </w:tc>
        <w:tc>
          <w:tcPr>
            <w:tcW w:w="18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w:t>
            </w:r>
          </w:p>
        </w:tc>
        <w:tc>
          <w:tcPr>
            <w:tcW w:w="427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处</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15</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1.3</w:t>
            </w:r>
          </w:p>
        </w:tc>
        <w:tc>
          <w:tcPr>
            <w:tcW w:w="980"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水平衡测试报告</w:t>
            </w:r>
          </w:p>
        </w:tc>
        <w:tc>
          <w:tcPr>
            <w:tcW w:w="1870" w:type="dxa"/>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w:t>
            </w:r>
          </w:p>
        </w:tc>
        <w:tc>
          <w:tcPr>
            <w:tcW w:w="4272" w:type="dxa"/>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w:t>
            </w:r>
          </w:p>
        </w:tc>
        <w:tc>
          <w:tcPr>
            <w:tcW w:w="339"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套</w:t>
            </w:r>
          </w:p>
        </w:tc>
        <w:tc>
          <w:tcPr>
            <w:tcW w:w="314"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4530" w:type="pct"/>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榆林市水土保持生态工程建设中心节水器具改造</w:t>
            </w: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2.1</w:t>
            </w:r>
          </w:p>
        </w:tc>
        <w:tc>
          <w:tcPr>
            <w:tcW w:w="980"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老旧设施拆除及清运</w:t>
            </w:r>
          </w:p>
        </w:tc>
        <w:tc>
          <w:tcPr>
            <w:tcW w:w="881"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w:t>
            </w:r>
          </w:p>
        </w:tc>
        <w:tc>
          <w:tcPr>
            <w:tcW w:w="2014"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拆除</w:t>
            </w:r>
            <w:r>
              <w:rPr>
                <w:rFonts w:hint="eastAsia" w:ascii="宋体" w:hAnsi="宋体" w:eastAsia="宋体" w:cs="宋体"/>
                <w:color w:val="auto"/>
                <w:kern w:val="0"/>
                <w:sz w:val="28"/>
                <w:szCs w:val="28"/>
              </w:rPr>
              <w:t>蹲式大便器</w:t>
            </w:r>
            <w:r>
              <w:rPr>
                <w:rFonts w:hint="eastAsia" w:ascii="宋体" w:hAnsi="宋体" w:eastAsia="宋体" w:cs="宋体"/>
                <w:color w:val="auto"/>
                <w:kern w:val="0"/>
                <w:sz w:val="28"/>
                <w:szCs w:val="28"/>
                <w:lang w:val="en-US" w:eastAsia="zh-CN"/>
              </w:rPr>
              <w:t>8套</w:t>
            </w:r>
            <w:r>
              <w:rPr>
                <w:rFonts w:hint="eastAsia" w:ascii="宋体" w:hAnsi="宋体" w:eastAsia="宋体" w:cs="宋体"/>
                <w:color w:val="auto"/>
                <w:kern w:val="0"/>
                <w:sz w:val="28"/>
                <w:szCs w:val="28"/>
              </w:rPr>
              <w:t>小便器</w:t>
            </w:r>
            <w:r>
              <w:rPr>
                <w:rFonts w:hint="eastAsia" w:ascii="宋体" w:hAnsi="宋体" w:eastAsia="宋体" w:cs="宋体"/>
                <w:color w:val="auto"/>
                <w:kern w:val="0"/>
                <w:sz w:val="28"/>
                <w:szCs w:val="28"/>
                <w:lang w:val="en-US" w:eastAsia="zh-CN"/>
              </w:rPr>
              <w:t>4套洗手台4套等与新设备安装相关的需要清除的一切老旧设施</w:t>
            </w:r>
          </w:p>
        </w:tc>
        <w:tc>
          <w:tcPr>
            <w:tcW w:w="339"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w:t>
            </w:r>
          </w:p>
        </w:tc>
        <w:tc>
          <w:tcPr>
            <w:tcW w:w="314"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2</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蹲式大便器购置及安装</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大便器冲水量≤8L</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红外感应式，</w:t>
            </w:r>
            <w:r>
              <w:rPr>
                <w:rFonts w:hint="eastAsia" w:ascii="宋体" w:hAnsi="宋体" w:eastAsia="宋体" w:cs="宋体"/>
                <w:color w:val="auto"/>
                <w:kern w:val="0"/>
                <w:sz w:val="28"/>
                <w:szCs w:val="28"/>
                <w:lang w:val="en-US" w:eastAsia="zh-CN"/>
              </w:rPr>
              <w:t>材质：</w:t>
            </w:r>
            <w:r>
              <w:rPr>
                <w:rFonts w:hint="eastAsia" w:ascii="宋体" w:hAnsi="宋体" w:eastAsia="宋体" w:cs="宋体"/>
                <w:color w:val="auto"/>
                <w:kern w:val="0"/>
                <w:sz w:val="28"/>
                <w:szCs w:val="28"/>
              </w:rPr>
              <w:t>陶瓷</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主材：高龄土</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水效等级</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3级</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8</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3</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红外感应冲洗阀购置及安装</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感应距离</w:t>
            </w:r>
            <w:r>
              <w:rPr>
                <w:rFonts w:hint="eastAsia" w:ascii="宋体" w:hAnsi="宋体" w:eastAsia="宋体" w:cs="宋体"/>
                <w:color w:val="auto"/>
                <w:kern w:val="0"/>
                <w:sz w:val="28"/>
                <w:szCs w:val="28"/>
              </w:rPr>
              <w:t>&gt;</w:t>
            </w:r>
            <w:r>
              <w:rPr>
                <w:rFonts w:hint="eastAsia" w:ascii="宋体" w:hAnsi="宋体" w:eastAsia="宋体" w:cs="宋体"/>
                <w:color w:val="auto"/>
                <w:kern w:val="0"/>
                <w:sz w:val="28"/>
                <w:szCs w:val="28"/>
                <w:lang w:val="en-US" w:eastAsia="zh-CN"/>
              </w:rPr>
              <w:t>70</w:t>
            </w:r>
            <w:r>
              <w:rPr>
                <w:rFonts w:hint="eastAsia" w:ascii="宋体" w:hAnsi="宋体" w:eastAsia="宋体" w:cs="宋体"/>
                <w:color w:val="auto"/>
                <w:kern w:val="0"/>
                <w:sz w:val="28"/>
                <w:szCs w:val="28"/>
              </w:rPr>
              <w:t>0mm</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埋墙式金属面板，主材青铜或不锈钢</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8</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4</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红外感应冲洗壁挂式小便器购置及安装</w:t>
            </w:r>
          </w:p>
        </w:tc>
        <w:tc>
          <w:tcPr>
            <w:tcW w:w="881" w:type="pct"/>
            <w:tcBorders>
              <w:top w:val="nil"/>
              <w:left w:val="nil"/>
              <w:bottom w:val="single" w:color="000000" w:sz="4" w:space="0"/>
              <w:right w:val="single" w:color="000000" w:sz="4" w:space="0"/>
            </w:tcBorders>
            <w:shd w:val="clear" w:color="auto" w:fill="auto"/>
            <w:noWrap/>
            <w:vAlign w:val="top"/>
          </w:tcPr>
          <w:p>
            <w:pPr>
              <w:widowControl/>
              <w:spacing w:line="240" w:lineRule="auto"/>
              <w:ind w:firstLine="0" w:firstLineChars="0"/>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小便器冲水量≤0.5L</w:t>
            </w:r>
            <w:r>
              <w:rPr>
                <w:rFonts w:hint="eastAsia" w:ascii="宋体" w:hAnsi="宋体" w:eastAsia="宋体" w:cs="宋体"/>
                <w:color w:val="auto"/>
                <w:kern w:val="0"/>
                <w:sz w:val="28"/>
                <w:szCs w:val="28"/>
                <w:lang w:val="en-US" w:eastAsia="zh-CN"/>
              </w:rPr>
              <w:t>,</w:t>
            </w:r>
          </w:p>
          <w:p>
            <w:pPr>
              <w:widowControl/>
              <w:spacing w:line="240" w:lineRule="auto"/>
              <w:ind w:firstLine="0" w:firstLineChars="0"/>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感应距离</w:t>
            </w:r>
            <w:r>
              <w:rPr>
                <w:rFonts w:hint="eastAsia" w:ascii="宋体" w:hAnsi="宋体" w:eastAsia="宋体" w:cs="宋体"/>
                <w:color w:val="auto"/>
                <w:kern w:val="0"/>
                <w:sz w:val="28"/>
                <w:szCs w:val="28"/>
              </w:rPr>
              <w:t>&gt;</w:t>
            </w:r>
            <w:r>
              <w:rPr>
                <w:rFonts w:hint="eastAsia" w:ascii="宋体" w:hAnsi="宋体" w:eastAsia="宋体" w:cs="宋体"/>
                <w:color w:val="auto"/>
                <w:kern w:val="0"/>
                <w:sz w:val="28"/>
                <w:szCs w:val="28"/>
                <w:lang w:val="en-US" w:eastAsia="zh-CN"/>
              </w:rPr>
              <w:t>700</w:t>
            </w:r>
            <w:r>
              <w:rPr>
                <w:rFonts w:hint="eastAsia" w:ascii="宋体" w:hAnsi="宋体" w:eastAsia="宋体" w:cs="宋体"/>
                <w:color w:val="auto"/>
                <w:kern w:val="0"/>
                <w:sz w:val="28"/>
                <w:szCs w:val="28"/>
              </w:rPr>
              <w:t>mm</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红外感应式，材</w:t>
            </w:r>
            <w:r>
              <w:rPr>
                <w:rFonts w:hint="eastAsia" w:ascii="宋体" w:hAnsi="宋体" w:eastAsia="宋体" w:cs="宋体"/>
                <w:color w:val="auto"/>
                <w:kern w:val="0"/>
                <w:sz w:val="28"/>
                <w:szCs w:val="28"/>
                <w:lang w:val="en-US" w:eastAsia="zh-CN"/>
              </w:rPr>
              <w:t>质</w:t>
            </w:r>
            <w:r>
              <w:rPr>
                <w:rFonts w:hint="eastAsia" w:ascii="宋体" w:hAnsi="宋体" w:eastAsia="宋体" w:cs="宋体"/>
                <w:color w:val="auto"/>
                <w:kern w:val="0"/>
                <w:sz w:val="28"/>
                <w:szCs w:val="28"/>
              </w:rPr>
              <w:t>：陶瓷（纳米抗污釉面）</w:t>
            </w:r>
            <w:r>
              <w:rPr>
                <w:rFonts w:hint="eastAsia" w:ascii="宋体" w:hAnsi="宋体" w:eastAsia="宋体" w:cs="宋体"/>
                <w:color w:val="auto"/>
                <w:kern w:val="0"/>
                <w:sz w:val="28"/>
                <w:szCs w:val="28"/>
                <w:lang w:val="en-US" w:eastAsia="zh-CN"/>
              </w:rPr>
              <w:t>,1级水效等级，24小时自动冲水一次功能。埋墙式金属面板，主材青铜或不锈钢</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5</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拖把池（含水龙头）</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拖把池560mm×456mm，水龙头流量</w:t>
            </w:r>
            <w:r>
              <w:rPr>
                <w:rFonts w:hint="eastAsia" w:ascii="宋体" w:hAnsi="宋体" w:eastAsia="宋体" w:cs="宋体"/>
                <w:color w:val="auto"/>
                <w:kern w:val="0"/>
                <w:sz w:val="28"/>
                <w:szCs w:val="28"/>
              </w:rPr>
              <w:t>2L/min</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拖把池材质：</w:t>
            </w:r>
            <w:r>
              <w:rPr>
                <w:rFonts w:hint="eastAsia" w:ascii="宋体" w:hAnsi="宋体" w:eastAsia="宋体" w:cs="宋体"/>
                <w:color w:val="auto"/>
                <w:kern w:val="0"/>
                <w:sz w:val="28"/>
                <w:szCs w:val="28"/>
              </w:rPr>
              <w:t>陶瓷</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水龙头主材：无铅黄铜</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套</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2</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6</w:t>
            </w:r>
          </w:p>
        </w:tc>
        <w:tc>
          <w:tcPr>
            <w:tcW w:w="980"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单龙头洗手台（含面</w:t>
            </w:r>
            <w:r>
              <w:rPr>
                <w:rFonts w:hint="eastAsia" w:ascii="宋体" w:hAnsi="宋体" w:eastAsia="宋体" w:cs="宋体"/>
                <w:color w:val="auto"/>
                <w:kern w:val="0"/>
                <w:sz w:val="28"/>
                <w:szCs w:val="28"/>
                <w:lang w:val="en-US" w:eastAsia="zh-CN"/>
              </w:rPr>
              <w:t>盆</w:t>
            </w:r>
            <w:r>
              <w:rPr>
                <w:rFonts w:hint="eastAsia" w:ascii="宋体" w:hAnsi="宋体" w:eastAsia="宋体" w:cs="宋体"/>
                <w:color w:val="auto"/>
                <w:kern w:val="0"/>
                <w:sz w:val="28"/>
                <w:szCs w:val="28"/>
              </w:rPr>
              <w:t>）购置及安装</w:t>
            </w:r>
          </w:p>
        </w:tc>
        <w:tc>
          <w:tcPr>
            <w:tcW w:w="881"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lang w:val="en-US"/>
              </w:rPr>
            </w:pPr>
            <w:r>
              <w:rPr>
                <w:rFonts w:hint="eastAsia" w:ascii="宋体" w:hAnsi="宋体" w:eastAsia="宋体" w:cs="宋体"/>
                <w:color w:val="auto"/>
                <w:kern w:val="0"/>
                <w:sz w:val="28"/>
                <w:szCs w:val="28"/>
                <w:lang w:val="en-US" w:eastAsia="zh-CN"/>
              </w:rPr>
              <w:t>台面2000mm×500mm,面盆容积</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lang w:val="en-US" w:eastAsia="zh-CN"/>
              </w:rPr>
              <w:t>13L</w:t>
            </w:r>
          </w:p>
        </w:tc>
        <w:tc>
          <w:tcPr>
            <w:tcW w:w="2014"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rPr>
            </w:pPr>
            <w:r>
              <w:rPr>
                <w:rFonts w:hint="eastAsia" w:ascii="宋体" w:hAnsi="宋体" w:eastAsia="宋体" w:cs="宋体"/>
                <w:color w:val="auto"/>
                <w:kern w:val="0"/>
                <w:sz w:val="28"/>
                <w:szCs w:val="28"/>
                <w:lang w:val="en-US" w:eastAsia="zh-CN"/>
              </w:rPr>
              <w:t>台面材质：岩板，面盆台下式，材质：陶瓷（纳米抗污釉面）主材：高龄土</w:t>
            </w:r>
          </w:p>
        </w:tc>
        <w:tc>
          <w:tcPr>
            <w:tcW w:w="339"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w:t>
            </w: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7</w:t>
            </w:r>
          </w:p>
        </w:tc>
        <w:tc>
          <w:tcPr>
            <w:tcW w:w="9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感应式水龙头购置及安装</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水龙头流量2L/min</w:t>
            </w:r>
          </w:p>
        </w:tc>
        <w:tc>
          <w:tcPr>
            <w:tcW w:w="201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红外感应式</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主材：无铅黄铜</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w:t>
            </w: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8</w:t>
            </w:r>
          </w:p>
        </w:tc>
        <w:tc>
          <w:tcPr>
            <w:tcW w:w="980"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镜子购置及安装</w:t>
            </w:r>
          </w:p>
        </w:tc>
        <w:tc>
          <w:tcPr>
            <w:tcW w:w="881"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镜子2000mm×1000mm</w:t>
            </w:r>
          </w:p>
        </w:tc>
        <w:tc>
          <w:tcPr>
            <w:tcW w:w="2014"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rPr>
            </w:pPr>
            <w:r>
              <w:rPr>
                <w:rFonts w:hint="eastAsia" w:ascii="宋体" w:hAnsi="宋体" w:eastAsia="宋体" w:cs="宋体"/>
                <w:color w:val="auto"/>
                <w:kern w:val="0"/>
                <w:sz w:val="28"/>
                <w:szCs w:val="28"/>
                <w:lang w:val="en-US" w:eastAsia="zh-CN"/>
              </w:rPr>
              <w:t>镜面厚度</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lang w:val="en-US" w:eastAsia="zh-CN"/>
              </w:rPr>
              <w:t>5mm</w:t>
            </w:r>
          </w:p>
        </w:tc>
        <w:tc>
          <w:tcPr>
            <w:tcW w:w="339"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面</w:t>
            </w:r>
          </w:p>
        </w:tc>
        <w:tc>
          <w:tcPr>
            <w:tcW w:w="314"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9</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节水宣传标语制作及张贴</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在楼层内部、卫生间、主要道路交叉口等显眼处张贴标语</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套</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p>
        </w:tc>
        <w:tc>
          <w:tcPr>
            <w:tcW w:w="4530" w:type="pct"/>
            <w:gridSpan w:val="5"/>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榆林市水利工程建设中心节水器具改造</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3.1</w:t>
            </w:r>
          </w:p>
        </w:tc>
        <w:tc>
          <w:tcPr>
            <w:tcW w:w="980"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老旧设施拆除及清运</w:t>
            </w:r>
          </w:p>
        </w:tc>
        <w:tc>
          <w:tcPr>
            <w:tcW w:w="881"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p>
        </w:tc>
        <w:tc>
          <w:tcPr>
            <w:tcW w:w="2014"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拆除</w:t>
            </w:r>
            <w:r>
              <w:rPr>
                <w:rFonts w:hint="eastAsia" w:ascii="宋体" w:hAnsi="宋体" w:eastAsia="宋体" w:cs="宋体"/>
                <w:color w:val="auto"/>
                <w:kern w:val="0"/>
                <w:sz w:val="28"/>
                <w:szCs w:val="28"/>
              </w:rPr>
              <w:t>蹲式大便器</w:t>
            </w:r>
            <w:r>
              <w:rPr>
                <w:rFonts w:hint="eastAsia" w:ascii="宋体" w:hAnsi="宋体" w:eastAsia="宋体" w:cs="宋体"/>
                <w:color w:val="auto"/>
                <w:kern w:val="0"/>
                <w:sz w:val="28"/>
                <w:szCs w:val="28"/>
                <w:lang w:val="en-US" w:eastAsia="zh-CN"/>
              </w:rPr>
              <w:t>12套</w:t>
            </w:r>
            <w:r>
              <w:rPr>
                <w:rFonts w:hint="eastAsia" w:ascii="宋体" w:hAnsi="宋体" w:eastAsia="宋体" w:cs="宋体"/>
                <w:color w:val="auto"/>
                <w:kern w:val="0"/>
                <w:sz w:val="28"/>
                <w:szCs w:val="28"/>
              </w:rPr>
              <w:t>小便器</w:t>
            </w:r>
            <w:r>
              <w:rPr>
                <w:rFonts w:hint="eastAsia" w:ascii="宋体" w:hAnsi="宋体" w:eastAsia="宋体" w:cs="宋体"/>
                <w:color w:val="auto"/>
                <w:kern w:val="0"/>
                <w:sz w:val="28"/>
                <w:szCs w:val="28"/>
                <w:lang w:val="en-US" w:eastAsia="zh-CN"/>
              </w:rPr>
              <w:t>6套等与新设备安装相关的需要清除的一切老旧设施</w:t>
            </w:r>
          </w:p>
        </w:tc>
        <w:tc>
          <w:tcPr>
            <w:tcW w:w="339"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w:t>
            </w:r>
          </w:p>
        </w:tc>
        <w:tc>
          <w:tcPr>
            <w:tcW w:w="314"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3.2</w:t>
            </w:r>
          </w:p>
        </w:tc>
        <w:tc>
          <w:tcPr>
            <w:tcW w:w="980"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蹲式大便器购置及安装</w:t>
            </w:r>
          </w:p>
        </w:tc>
        <w:tc>
          <w:tcPr>
            <w:tcW w:w="881"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大便器冲水量≤8L</w:t>
            </w:r>
          </w:p>
        </w:tc>
        <w:tc>
          <w:tcPr>
            <w:tcW w:w="2014"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红外感应式</w:t>
            </w:r>
            <w:r>
              <w:rPr>
                <w:rFonts w:hint="eastAsia" w:ascii="宋体" w:hAnsi="宋体" w:eastAsia="宋体" w:cs="宋体"/>
                <w:color w:val="auto"/>
                <w:kern w:val="0"/>
                <w:sz w:val="28"/>
                <w:szCs w:val="28"/>
                <w:lang w:val="en-US" w:eastAsia="zh-CN"/>
              </w:rPr>
              <w:t>,材质：</w:t>
            </w:r>
            <w:r>
              <w:rPr>
                <w:rFonts w:hint="eastAsia" w:ascii="宋体" w:hAnsi="宋体" w:eastAsia="宋体" w:cs="宋体"/>
                <w:color w:val="auto"/>
                <w:kern w:val="0"/>
                <w:sz w:val="28"/>
                <w:szCs w:val="28"/>
              </w:rPr>
              <w:t>陶瓷</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主材：高龄土</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水效等级</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3级</w:t>
            </w:r>
          </w:p>
        </w:tc>
        <w:tc>
          <w:tcPr>
            <w:tcW w:w="339" w:type="pct"/>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w:t>
            </w:r>
          </w:p>
        </w:tc>
      </w:tr>
      <w:tr>
        <w:tblPrEx>
          <w:tblCellMar>
            <w:top w:w="0" w:type="dxa"/>
            <w:left w:w="108" w:type="dxa"/>
            <w:bottom w:w="0" w:type="dxa"/>
            <w:right w:w="108" w:type="dxa"/>
          </w:tblCellMar>
        </w:tblPrEx>
        <w:trPr>
          <w:trHeight w:val="338" w:hRule="atLeast"/>
        </w:trPr>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3.3</w:t>
            </w:r>
          </w:p>
        </w:tc>
        <w:tc>
          <w:tcPr>
            <w:tcW w:w="980"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红外感应冲洗阀购置及安装</w:t>
            </w:r>
          </w:p>
        </w:tc>
        <w:tc>
          <w:tcPr>
            <w:tcW w:w="881"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感应距离</w:t>
            </w:r>
            <w:r>
              <w:rPr>
                <w:rFonts w:hint="eastAsia" w:ascii="宋体" w:hAnsi="宋体" w:eastAsia="宋体" w:cs="宋体"/>
                <w:color w:val="auto"/>
                <w:kern w:val="0"/>
                <w:sz w:val="28"/>
                <w:szCs w:val="28"/>
              </w:rPr>
              <w:t>&gt;</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00mm</w:t>
            </w:r>
          </w:p>
        </w:tc>
        <w:tc>
          <w:tcPr>
            <w:tcW w:w="2014"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埋墙式金属面板，主材青铜或不锈钢</w:t>
            </w:r>
          </w:p>
        </w:tc>
        <w:tc>
          <w:tcPr>
            <w:tcW w:w="339"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3.4</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红外感应冲洗壁挂式小便器购置及安装</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小便器冲水量≤0.5L</w:t>
            </w:r>
          </w:p>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感应距离</w:t>
            </w:r>
            <w:r>
              <w:rPr>
                <w:rFonts w:hint="eastAsia" w:ascii="宋体" w:hAnsi="宋体" w:eastAsia="宋体" w:cs="宋体"/>
                <w:color w:val="auto"/>
                <w:kern w:val="0"/>
                <w:sz w:val="28"/>
                <w:szCs w:val="28"/>
              </w:rPr>
              <w:t>&gt;</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lang w:val="en-US" w:eastAsia="zh-CN"/>
              </w:rPr>
              <w:t>00</w:t>
            </w:r>
            <w:r>
              <w:rPr>
                <w:rFonts w:hint="eastAsia" w:ascii="宋体" w:hAnsi="宋体" w:eastAsia="宋体" w:cs="宋体"/>
                <w:color w:val="auto"/>
                <w:kern w:val="0"/>
                <w:sz w:val="28"/>
                <w:szCs w:val="28"/>
              </w:rPr>
              <w:t>mm</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红外感应式，材</w:t>
            </w:r>
            <w:r>
              <w:rPr>
                <w:rFonts w:hint="eastAsia" w:ascii="宋体" w:hAnsi="宋体" w:eastAsia="宋体" w:cs="宋体"/>
                <w:color w:val="auto"/>
                <w:kern w:val="0"/>
                <w:sz w:val="28"/>
                <w:szCs w:val="28"/>
                <w:lang w:val="en-US" w:eastAsia="zh-CN"/>
              </w:rPr>
              <w:t>质</w:t>
            </w:r>
            <w:r>
              <w:rPr>
                <w:rFonts w:hint="eastAsia" w:ascii="宋体" w:hAnsi="宋体" w:eastAsia="宋体" w:cs="宋体"/>
                <w:color w:val="auto"/>
                <w:kern w:val="0"/>
                <w:sz w:val="28"/>
                <w:szCs w:val="28"/>
              </w:rPr>
              <w:t>：陶瓷（纳米抗污釉面）</w:t>
            </w:r>
            <w:r>
              <w:rPr>
                <w:rFonts w:hint="eastAsia" w:ascii="宋体" w:hAnsi="宋体" w:eastAsia="宋体" w:cs="宋体"/>
                <w:color w:val="auto"/>
                <w:kern w:val="0"/>
                <w:sz w:val="28"/>
                <w:szCs w:val="28"/>
                <w:lang w:val="en-US" w:eastAsia="zh-CN"/>
              </w:rPr>
              <w:t>主材：高龄土，1级水效等级，24小时自动冲水一次功能。埋墙式金属面板，主材青铜或不锈钢</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3.5</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洗手台面盆购置及安装</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容积</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lang w:val="en-US" w:eastAsia="zh-CN"/>
              </w:rPr>
              <w:t>13L</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台下式，材质：陶瓷（纳米抗污釉面）主材：高龄土</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3.6</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感应式水龙头购置及安装</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水龙头流量2L/min</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红外感应式</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主材：无铅黄铜</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个</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3.7</w:t>
            </w:r>
          </w:p>
        </w:tc>
        <w:tc>
          <w:tcPr>
            <w:tcW w:w="980"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节水宣传标语制作及张贴</w:t>
            </w:r>
          </w:p>
        </w:tc>
        <w:tc>
          <w:tcPr>
            <w:tcW w:w="881"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w:t>
            </w:r>
          </w:p>
        </w:tc>
        <w:tc>
          <w:tcPr>
            <w:tcW w:w="20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在楼层内部、卫生间、主要道路交叉口等显眼处张贴标语</w:t>
            </w:r>
          </w:p>
        </w:tc>
        <w:tc>
          <w:tcPr>
            <w:tcW w:w="339"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套</w:t>
            </w:r>
          </w:p>
        </w:tc>
        <w:tc>
          <w:tcPr>
            <w:tcW w:w="314" w:type="pct"/>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r>
      <w:tr>
        <w:tblPrEx>
          <w:tblCellMar>
            <w:top w:w="0" w:type="dxa"/>
            <w:left w:w="108" w:type="dxa"/>
            <w:bottom w:w="0" w:type="dxa"/>
            <w:right w:w="108" w:type="dxa"/>
          </w:tblCellMar>
        </w:tblPrEx>
        <w:trPr>
          <w:trHeight w:val="338" w:hRule="atLeast"/>
        </w:trPr>
        <w:tc>
          <w:tcPr>
            <w:tcW w:w="469" w:type="pct"/>
            <w:tcBorders>
              <w:top w:val="nil"/>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3.8</w:t>
            </w:r>
          </w:p>
        </w:tc>
        <w:tc>
          <w:tcPr>
            <w:tcW w:w="980"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直饮</w:t>
            </w:r>
            <w:r>
              <w:rPr>
                <w:rFonts w:hint="eastAsia" w:ascii="宋体" w:hAnsi="宋体" w:eastAsia="宋体" w:cs="宋体"/>
                <w:color w:val="auto"/>
                <w:kern w:val="0"/>
                <w:sz w:val="28"/>
                <w:szCs w:val="28"/>
              </w:rPr>
              <w:t>集中式</w:t>
            </w:r>
            <w:r>
              <w:rPr>
                <w:rFonts w:hint="eastAsia" w:ascii="宋体" w:hAnsi="宋体" w:eastAsia="宋体" w:cs="宋体"/>
                <w:color w:val="auto"/>
                <w:kern w:val="0"/>
                <w:sz w:val="28"/>
                <w:szCs w:val="28"/>
                <w:lang w:val="en-US" w:eastAsia="zh-CN"/>
              </w:rPr>
              <w:t>电</w:t>
            </w:r>
            <w:r>
              <w:rPr>
                <w:rFonts w:hint="eastAsia" w:ascii="宋体" w:hAnsi="宋体" w:eastAsia="宋体" w:cs="宋体"/>
                <w:color w:val="auto"/>
                <w:kern w:val="0"/>
                <w:sz w:val="28"/>
                <w:szCs w:val="28"/>
              </w:rPr>
              <w:t>热水器</w:t>
            </w:r>
          </w:p>
        </w:tc>
        <w:tc>
          <w:tcPr>
            <w:tcW w:w="881"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容积16L</w:t>
            </w:r>
          </w:p>
        </w:tc>
        <w:tc>
          <w:tcPr>
            <w:tcW w:w="2014"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RO反渗透、304内胆，一开一直饮</w:t>
            </w:r>
          </w:p>
        </w:tc>
        <w:tc>
          <w:tcPr>
            <w:tcW w:w="339"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台</w:t>
            </w:r>
          </w:p>
        </w:tc>
        <w:tc>
          <w:tcPr>
            <w:tcW w:w="314" w:type="pct"/>
            <w:tcBorders>
              <w:top w:val="nil"/>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w:t>
            </w:r>
          </w:p>
        </w:tc>
      </w:tr>
    </w:tbl>
    <w:p>
      <w:pPr>
        <w:widowControl/>
        <w:spacing w:line="500" w:lineRule="exact"/>
        <w:ind w:firstLine="562" w:firstLineChars="200"/>
        <w:rPr>
          <w:rFonts w:hint="eastAsia" w:ascii="宋体" w:hAnsi="宋体" w:eastAsia="宋体" w:cs="宋体"/>
          <w:b/>
          <w:bCs/>
          <w:color w:val="auto"/>
          <w:sz w:val="28"/>
          <w:szCs w:val="28"/>
          <w:lang w:bidi="ar"/>
        </w:rPr>
      </w:pPr>
      <w:r>
        <w:rPr>
          <w:rFonts w:hint="eastAsia" w:ascii="宋体" w:hAnsi="宋体" w:eastAsia="宋体" w:cs="宋体"/>
          <w:b/>
          <w:bCs/>
          <w:color w:val="auto"/>
          <w:sz w:val="28"/>
          <w:szCs w:val="28"/>
          <w:lang w:bidi="ar"/>
        </w:rPr>
        <w:t>二、技术要求：</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2.技术要求</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（1）水平衡测试</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严格按照《水平衡测试通则》（GB/T 12452-2022）标准进行现场水平衡测试及报告编制，并通过水行政主管部门审查。</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1）《水平衡测试通则》（GB/T 12452-2022）；</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2）《节水型企业评价导则》（GB/T 7119-2018）；</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3）《陕西省行业用水定额》（DB61/T 943-2020）；</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4）《室外给水设计规范》（GB 50013－2018）；</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5）《室外排水设计规范》（GB 50014-2021）；</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6）《节约用水 术语》（GB/T 21534-2021）；</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7）《企业用水统计通则》（GB/T 26719-2011）；</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8）《用水指标评价导则》（SL/Z 552-2012）；</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9）《建筑给水排水设计标准》（GB 50015-2019）</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10）《用水单位水计量器具配备和管理通则》（GB 24789-2009）；</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（2）节水改造依据</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严格按照相关标准施工，并通过水行政主管部门组织的验收。</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1）《节水型卫生洁具》（GB/T 31436-2015）</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2）《卫生陶瓷》（GB 6952-2015）</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3）《抗菌陶瓷制品抗菌性能》（JC/T 897-2014）</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4）《水嘴水效限定值及水效等级》（GB 25501-2019）</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5）《09S304：卫生设备安装》（中国计划出版社，2010年3月）</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6）《建筑给水排水设计标准》（GB 50015-2019）</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7）《全国民用建筑工程设计技术措施：给水排水（2009年）》（中国计划出版社，2009年12月）。</w:t>
      </w:r>
    </w:p>
    <w:p>
      <w:pPr>
        <w:widowControl/>
        <w:spacing w:line="500" w:lineRule="exact"/>
        <w:ind w:firstLine="560" w:firstLineChars="200"/>
        <w:rPr>
          <w:rFonts w:hint="eastAsia" w:ascii="宋体" w:hAnsi="宋体" w:eastAsia="宋体" w:cs="宋体"/>
          <w:b/>
          <w:bCs/>
          <w:color w:val="auto"/>
          <w:sz w:val="28"/>
          <w:szCs w:val="28"/>
          <w:lang w:bidi="ar"/>
        </w:rPr>
      </w:pPr>
      <w:r>
        <w:rPr>
          <w:rFonts w:hint="eastAsia" w:ascii="宋体" w:hAnsi="宋体" w:eastAsia="宋体" w:cs="宋体"/>
          <w:color w:val="auto"/>
          <w:sz w:val="28"/>
          <w:szCs w:val="28"/>
          <w:lang w:bidi="ar"/>
        </w:rPr>
        <w:t>三、</w:t>
      </w:r>
      <w:r>
        <w:rPr>
          <w:rFonts w:hint="eastAsia" w:ascii="宋体" w:hAnsi="宋体" w:eastAsia="宋体" w:cs="宋体"/>
          <w:b/>
          <w:bCs/>
          <w:color w:val="auto"/>
          <w:sz w:val="28"/>
          <w:szCs w:val="28"/>
          <w:lang w:bidi="ar"/>
        </w:rPr>
        <w:t>服务期</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自本合同签订生效之日起2个月内完成项目水平衡测试的外业、室内资料整理、编制完成报告及修改完善工作，并经水行政部门专家咨询评审；同时完成节水器具改造，并通过甲方组织的验收。若遇不可抗力影响以及非乙方原因造成的停、窝工时，服务期顺延。</w:t>
      </w:r>
    </w:p>
    <w:p>
      <w:pPr>
        <w:widowControl/>
        <w:spacing w:line="500" w:lineRule="exact"/>
        <w:ind w:firstLine="562" w:firstLineChars="200"/>
        <w:rPr>
          <w:rFonts w:hint="eastAsia" w:ascii="宋体" w:hAnsi="宋体" w:eastAsia="宋体" w:cs="宋体"/>
          <w:b/>
          <w:bCs/>
          <w:color w:val="auto"/>
          <w:sz w:val="28"/>
          <w:szCs w:val="28"/>
          <w:lang w:bidi="ar"/>
        </w:rPr>
      </w:pPr>
      <w:r>
        <w:rPr>
          <w:rFonts w:hint="eastAsia" w:ascii="宋体" w:hAnsi="宋体" w:eastAsia="宋体" w:cs="宋体"/>
          <w:b/>
          <w:bCs/>
          <w:color w:val="auto"/>
          <w:sz w:val="28"/>
          <w:szCs w:val="28"/>
          <w:lang w:bidi="ar"/>
        </w:rPr>
        <w:t>三、商务要求</w:t>
      </w:r>
    </w:p>
    <w:p>
      <w:pPr>
        <w:widowControl/>
        <w:spacing w:line="500" w:lineRule="exact"/>
        <w:ind w:firstLine="580" w:firstLineChars="200"/>
        <w:rPr>
          <w:rFonts w:hint="eastAsia" w:ascii="宋体" w:hAnsi="宋体" w:eastAsia="宋体" w:cs="宋体"/>
          <w:color w:val="auto"/>
          <w:sz w:val="28"/>
          <w:szCs w:val="28"/>
          <w:lang w:bidi="ar"/>
        </w:rPr>
      </w:pPr>
      <w:r>
        <w:rPr>
          <w:rFonts w:hint="eastAsia" w:ascii="宋体" w:hAnsi="宋体" w:eastAsia="宋体" w:cs="宋体"/>
          <w:color w:val="auto"/>
          <w:spacing w:val="5"/>
          <w:sz w:val="28"/>
          <w:szCs w:val="28"/>
        </w:rPr>
        <w:t>1、</w:t>
      </w:r>
      <w:r>
        <w:rPr>
          <w:rFonts w:hint="eastAsia" w:ascii="宋体" w:hAnsi="宋体" w:eastAsia="宋体" w:cs="宋体"/>
          <w:color w:val="auto"/>
          <w:spacing w:val="5"/>
          <w:sz w:val="28"/>
          <w:szCs w:val="28"/>
        </w:rPr>
        <w:t>工程地点：榆林市区</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2、验收标准</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2.1水平衡测试及报告编制符合《水平衡测试通则》（GB/T12452-2022）等标准要求，并通过甲方组织的技术审查。</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2.2节水改造符合《节水型卫生洁具》（GB/T 31436-2015）、《卫 生陶瓷》（GB 6952-2015）、《09S304：卫生设备安装》（中国计划 出版社，2010 年 3 月）等标准要求，满足设计要求并通过甲方组织的工程验收。</w:t>
      </w:r>
    </w:p>
    <w:p>
      <w:pPr>
        <w:widowControl/>
        <w:spacing w:line="500" w:lineRule="exact"/>
        <w:ind w:firstLine="560" w:firstLineChars="200"/>
        <w:rPr>
          <w:rFonts w:hint="eastAsia" w:ascii="宋体" w:hAnsi="宋体" w:eastAsia="宋体" w:cs="宋体"/>
          <w:color w:val="auto"/>
          <w:sz w:val="28"/>
          <w:szCs w:val="28"/>
          <w:lang w:bidi="ar"/>
        </w:rPr>
      </w:pPr>
      <w:r>
        <w:rPr>
          <w:rFonts w:hint="eastAsia" w:ascii="宋体" w:hAnsi="宋体" w:eastAsia="宋体" w:cs="宋体"/>
          <w:color w:val="auto"/>
          <w:sz w:val="28"/>
          <w:szCs w:val="28"/>
          <w:lang w:bidi="ar"/>
        </w:rPr>
        <w:t>3、付款方式</w:t>
      </w:r>
    </w:p>
    <w:p>
      <w:pPr>
        <w:pStyle w:val="111"/>
        <w:ind w:firstLine="0" w:firstLineChars="0"/>
        <w:rPr>
          <w:rFonts w:hint="eastAsia" w:ascii="宋体" w:hAnsi="宋体" w:eastAsia="宋体" w:cs="宋体"/>
          <w:color w:val="auto"/>
          <w:sz w:val="28"/>
          <w:szCs w:val="28"/>
          <w:lang w:val="zh-TW" w:eastAsia="zh-TW"/>
        </w:rPr>
        <w:sectPr>
          <w:footerReference r:id="rId8" w:type="default"/>
          <w:pgSz w:w="11907" w:h="16840"/>
          <w:pgMar w:top="1440" w:right="1080" w:bottom="1440" w:left="1080" w:header="0" w:footer="0" w:gutter="0"/>
          <w:pgNumType w:fmt="decimal" w:start="1"/>
          <w:cols w:space="720" w:num="1"/>
        </w:sectPr>
      </w:pPr>
      <w:r>
        <w:rPr>
          <w:rFonts w:hint="eastAsia" w:ascii="宋体" w:hAnsi="宋体" w:eastAsia="宋体" w:cs="宋体"/>
          <w:color w:val="auto"/>
          <w:sz w:val="28"/>
          <w:szCs w:val="28"/>
          <w:lang w:val="zh-TW" w:eastAsia="zh-TW"/>
        </w:rPr>
        <w:t>合同签订生效后10日内，甲方应向乙方支付总费用的40%，水平衡测试报告通过技术审查、节水改造通过工程验收，提交最终报告及竣工资料后10日内支付剩余 60%费用。</w:t>
      </w:r>
    </w:p>
    <w:p>
      <w:pPr>
        <w:widowControl/>
        <w:numPr>
          <w:ilvl w:val="0"/>
          <w:numId w:val="2"/>
        </w:numPr>
        <w:jc w:val="center"/>
        <w:outlineLvl w:val="0"/>
        <w:rPr>
          <w:rFonts w:hint="eastAsia" w:ascii="宋体" w:hAnsi="宋体" w:eastAsia="宋体" w:cs="宋体"/>
          <w:b/>
          <w:bCs/>
          <w:color w:val="auto"/>
          <w:sz w:val="36"/>
          <w:szCs w:val="28"/>
          <w:highlight w:val="none"/>
        </w:rPr>
      </w:pPr>
      <w:bookmarkStart w:id="169" w:name="_Toc28708"/>
      <w:bookmarkStart w:id="170" w:name="_Toc2008"/>
      <w:r>
        <w:rPr>
          <w:rFonts w:hint="eastAsia" w:ascii="宋体" w:hAnsi="宋体" w:eastAsia="宋体" w:cs="宋体"/>
          <w:b/>
          <w:bCs/>
          <w:color w:val="auto"/>
          <w:sz w:val="36"/>
          <w:szCs w:val="28"/>
          <w:highlight w:val="none"/>
        </w:rPr>
        <w:t xml:space="preserve"> 采购合同</w:t>
      </w:r>
      <w:bookmarkEnd w:id="169"/>
      <w:bookmarkEnd w:id="170"/>
    </w:p>
    <w:p>
      <w:pPr>
        <w:spacing w:before="231" w:line="221" w:lineRule="auto"/>
        <w:ind w:left="1480"/>
        <w:outlineLvl w:val="0"/>
        <w:rPr>
          <w:rFonts w:hint="eastAsia" w:ascii="宋体" w:hAnsi="宋体" w:eastAsia="宋体" w:cs="宋体"/>
          <w:color w:val="auto"/>
          <w:spacing w:val="-37"/>
          <w:sz w:val="71"/>
          <w:szCs w:val="71"/>
          <w14:textOutline w14:w="13075" w14:cap="sq" w14:cmpd="sng">
            <w14:solidFill>
              <w14:srgbClr w14:val="000000"/>
            </w14:solidFill>
            <w14:prstDash w14:val="solid"/>
            <w14:bevel/>
          </w14:textOutline>
        </w:rPr>
      </w:pPr>
    </w:p>
    <w:p>
      <w:pPr>
        <w:spacing w:before="231" w:line="221" w:lineRule="auto"/>
        <w:ind w:left="1480"/>
        <w:outlineLvl w:val="0"/>
        <w:rPr>
          <w:rFonts w:hint="eastAsia" w:ascii="宋体" w:hAnsi="宋体" w:eastAsia="宋体" w:cs="宋体"/>
          <w:color w:val="auto"/>
          <w:spacing w:val="-37"/>
          <w:sz w:val="71"/>
          <w:szCs w:val="71"/>
          <w14:textOutline w14:w="13075" w14:cap="sq" w14:cmpd="sng">
            <w14:solidFill>
              <w14:srgbClr w14:val="000000"/>
            </w14:solidFill>
            <w14:prstDash w14:val="solid"/>
            <w14:bevel/>
          </w14:textOutline>
        </w:rPr>
      </w:pPr>
    </w:p>
    <w:p>
      <w:pPr>
        <w:spacing w:before="231" w:line="221" w:lineRule="auto"/>
        <w:ind w:left="1480"/>
        <w:outlineLvl w:val="0"/>
        <w:rPr>
          <w:rFonts w:hint="eastAsia" w:ascii="宋体" w:hAnsi="宋体" w:eastAsia="宋体" w:cs="宋体"/>
          <w:color w:val="auto"/>
          <w:sz w:val="71"/>
          <w:szCs w:val="71"/>
        </w:rPr>
      </w:pPr>
      <w:r>
        <w:rPr>
          <w:rFonts w:hint="eastAsia" w:ascii="宋体" w:hAnsi="宋体" w:eastAsia="宋体" w:cs="宋体"/>
          <w:color w:val="auto"/>
          <w:spacing w:val="-37"/>
          <w:sz w:val="71"/>
          <w:szCs w:val="71"/>
          <w14:textOutline w14:w="13075" w14:cap="sq" w14:cmpd="sng">
            <w14:solidFill>
              <w14:srgbClr w14:val="000000"/>
            </w14:solidFill>
            <w14:prstDash w14:val="solid"/>
            <w14:bevel/>
          </w14:textOutline>
        </w:rPr>
        <w:t>合</w:t>
      </w:r>
      <w:r>
        <w:rPr>
          <w:rFonts w:hint="eastAsia" w:ascii="宋体" w:hAnsi="宋体" w:eastAsia="宋体" w:cs="宋体"/>
          <w:color w:val="auto"/>
          <w:spacing w:val="9"/>
          <w:sz w:val="71"/>
          <w:szCs w:val="71"/>
        </w:rPr>
        <w:t xml:space="preserve">     </w:t>
      </w:r>
      <w:r>
        <w:rPr>
          <w:rFonts w:hint="eastAsia" w:ascii="宋体" w:hAnsi="宋体" w:eastAsia="宋体" w:cs="宋体"/>
          <w:color w:val="auto"/>
          <w:spacing w:val="-37"/>
          <w:sz w:val="71"/>
          <w:szCs w:val="71"/>
          <w14:textOutline w14:w="13075" w14:cap="sq" w14:cmpd="sng">
            <w14:solidFill>
              <w14:srgbClr w14:val="000000"/>
            </w14:solidFill>
            <w14:prstDash w14:val="solid"/>
            <w14:bevel/>
          </w14:textOutline>
        </w:rPr>
        <w:t>同</w:t>
      </w:r>
      <w:r>
        <w:rPr>
          <w:rFonts w:hint="eastAsia" w:ascii="宋体" w:hAnsi="宋体" w:eastAsia="宋体" w:cs="宋体"/>
          <w:color w:val="auto"/>
          <w:spacing w:val="88"/>
          <w:sz w:val="71"/>
          <w:szCs w:val="71"/>
        </w:rPr>
        <w:t xml:space="preserve">    </w:t>
      </w:r>
      <w:r>
        <w:rPr>
          <w:rFonts w:hint="eastAsia" w:ascii="宋体" w:hAnsi="宋体" w:eastAsia="宋体" w:cs="宋体"/>
          <w:color w:val="auto"/>
          <w:spacing w:val="-37"/>
          <w:sz w:val="71"/>
          <w:szCs w:val="71"/>
          <w14:textOutline w14:w="13075" w14:cap="sq" w14:cmpd="sng">
            <w14:solidFill>
              <w14:srgbClr w14:val="000000"/>
            </w14:solidFill>
            <w14:prstDash w14:val="solid"/>
            <w14:bevel/>
          </w14:textOutline>
        </w:rPr>
        <w:t>书</w:t>
      </w:r>
    </w:p>
    <w:p>
      <w:pPr>
        <w:pStyle w:val="12"/>
        <w:spacing w:line="241" w:lineRule="auto"/>
        <w:rPr>
          <w:rFonts w:hint="eastAsia" w:ascii="宋体" w:hAnsi="宋体" w:eastAsia="宋体" w:cs="宋体"/>
          <w:color w:val="auto"/>
        </w:rPr>
      </w:pPr>
    </w:p>
    <w:p>
      <w:pPr>
        <w:pStyle w:val="12"/>
        <w:spacing w:line="241" w:lineRule="auto"/>
        <w:rPr>
          <w:rFonts w:hint="eastAsia" w:ascii="宋体" w:hAnsi="宋体" w:eastAsia="宋体" w:cs="宋体"/>
          <w:color w:val="auto"/>
        </w:rPr>
      </w:pPr>
    </w:p>
    <w:p>
      <w:pPr>
        <w:pStyle w:val="12"/>
        <w:spacing w:line="241" w:lineRule="auto"/>
        <w:rPr>
          <w:rFonts w:hint="eastAsia" w:ascii="宋体" w:hAnsi="宋体" w:eastAsia="宋体" w:cs="宋体"/>
          <w:color w:val="auto"/>
        </w:rPr>
      </w:pPr>
    </w:p>
    <w:p>
      <w:pPr>
        <w:pStyle w:val="12"/>
        <w:spacing w:line="241" w:lineRule="auto"/>
        <w:rPr>
          <w:rFonts w:hint="eastAsia" w:ascii="宋体" w:hAnsi="宋体" w:eastAsia="宋体" w:cs="宋体"/>
          <w:color w:val="auto"/>
        </w:rPr>
      </w:pPr>
    </w:p>
    <w:p>
      <w:pPr>
        <w:pStyle w:val="12"/>
        <w:spacing w:line="241" w:lineRule="auto"/>
        <w:rPr>
          <w:rFonts w:hint="eastAsia" w:ascii="宋体" w:hAnsi="宋体" w:eastAsia="宋体" w:cs="宋体"/>
          <w:color w:val="auto"/>
        </w:rPr>
      </w:pPr>
    </w:p>
    <w:p>
      <w:pPr>
        <w:pStyle w:val="12"/>
        <w:spacing w:line="241" w:lineRule="auto"/>
        <w:rPr>
          <w:rFonts w:hint="eastAsia" w:ascii="宋体" w:hAnsi="宋体" w:eastAsia="宋体" w:cs="宋体"/>
          <w:color w:val="auto"/>
        </w:rPr>
      </w:pPr>
    </w:p>
    <w:p>
      <w:pPr>
        <w:pStyle w:val="12"/>
        <w:spacing w:line="241" w:lineRule="auto"/>
        <w:rPr>
          <w:rFonts w:hint="eastAsia" w:ascii="宋体" w:hAnsi="宋体" w:eastAsia="宋体" w:cs="宋体"/>
          <w:color w:val="auto"/>
        </w:rPr>
      </w:pPr>
    </w:p>
    <w:p>
      <w:pPr>
        <w:pStyle w:val="12"/>
        <w:spacing w:line="241" w:lineRule="auto"/>
        <w:rPr>
          <w:rFonts w:hint="eastAsia" w:ascii="宋体" w:hAnsi="宋体" w:eastAsia="宋体" w:cs="宋体"/>
          <w:color w:val="auto"/>
        </w:rPr>
      </w:pPr>
    </w:p>
    <w:p>
      <w:pPr>
        <w:pStyle w:val="12"/>
        <w:spacing w:line="242" w:lineRule="auto"/>
        <w:rPr>
          <w:rFonts w:hint="eastAsia" w:ascii="宋体" w:hAnsi="宋体" w:eastAsia="宋体" w:cs="宋体"/>
          <w:color w:val="auto"/>
        </w:rPr>
      </w:pPr>
    </w:p>
    <w:p>
      <w:pPr>
        <w:spacing w:before="91" w:line="728" w:lineRule="exact"/>
        <w:ind w:left="1035"/>
        <w:rPr>
          <w:rFonts w:hint="eastAsia" w:ascii="宋体" w:hAnsi="宋体" w:eastAsia="宋体" w:cs="宋体"/>
          <w:color w:val="auto"/>
          <w:sz w:val="28"/>
          <w:szCs w:val="28"/>
        </w:rPr>
      </w:pPr>
      <w:r>
        <w:rPr>
          <w:rFonts w:hint="eastAsia" w:ascii="宋体" w:hAnsi="宋体" w:eastAsia="宋体" w:cs="宋体"/>
          <w:color w:val="auto"/>
          <w:spacing w:val="-1"/>
          <w:position w:val="34"/>
          <w:sz w:val="28"/>
          <w:szCs w:val="28"/>
        </w:rPr>
        <w:t>项目名称：榆林市节水载体建设项目</w:t>
      </w:r>
    </w:p>
    <w:p>
      <w:pPr>
        <w:spacing w:before="1" w:line="220" w:lineRule="auto"/>
        <w:ind w:left="1078"/>
        <w:rPr>
          <w:rFonts w:hint="eastAsia" w:ascii="宋体" w:hAnsi="宋体" w:eastAsia="宋体" w:cs="宋体"/>
          <w:color w:val="auto"/>
          <w:sz w:val="28"/>
          <w:szCs w:val="28"/>
        </w:rPr>
      </w:pPr>
      <w:r>
        <w:rPr>
          <w:rFonts w:hint="eastAsia" w:ascii="宋体" w:hAnsi="宋体" w:eastAsia="宋体" w:cs="宋体"/>
          <w:color w:val="auto"/>
          <w:spacing w:val="-3"/>
          <w:sz w:val="28"/>
          <w:szCs w:val="28"/>
        </w:rPr>
        <w:t>项目地点：</w:t>
      </w:r>
    </w:p>
    <w:p>
      <w:pPr>
        <w:pStyle w:val="12"/>
        <w:spacing w:line="297" w:lineRule="auto"/>
        <w:rPr>
          <w:rFonts w:hint="eastAsia" w:ascii="宋体" w:hAnsi="宋体" w:eastAsia="宋体" w:cs="宋体"/>
          <w:color w:val="auto"/>
        </w:rPr>
      </w:pPr>
    </w:p>
    <w:p>
      <w:pPr>
        <w:spacing w:before="91" w:line="727" w:lineRule="exact"/>
        <w:ind w:left="1072"/>
        <w:rPr>
          <w:rFonts w:hint="eastAsia" w:ascii="宋体" w:hAnsi="宋体" w:eastAsia="宋体" w:cs="宋体"/>
          <w:color w:val="auto"/>
          <w:sz w:val="28"/>
          <w:szCs w:val="28"/>
        </w:rPr>
      </w:pPr>
      <w:r>
        <w:rPr>
          <w:rFonts w:hint="eastAsia" w:ascii="宋体" w:hAnsi="宋体" w:eastAsia="宋体" w:cs="宋体"/>
          <w:color w:val="auto"/>
          <w:spacing w:val="-2"/>
          <w:position w:val="34"/>
          <w:sz w:val="28"/>
          <w:szCs w:val="28"/>
        </w:rPr>
        <w:t>委托单位：</w:t>
      </w:r>
    </w:p>
    <w:p>
      <w:pPr>
        <w:spacing w:before="1" w:line="219" w:lineRule="auto"/>
        <w:ind w:left="1073"/>
        <w:rPr>
          <w:rFonts w:hint="eastAsia" w:ascii="宋体" w:hAnsi="宋体" w:eastAsia="宋体" w:cs="宋体"/>
          <w:color w:val="auto"/>
          <w:sz w:val="28"/>
          <w:szCs w:val="28"/>
        </w:rPr>
      </w:pPr>
      <w:r>
        <w:rPr>
          <w:rFonts w:hint="eastAsia" w:ascii="宋体" w:hAnsi="宋体" w:eastAsia="宋体" w:cs="宋体"/>
          <w:color w:val="auto"/>
          <w:spacing w:val="-2"/>
          <w:sz w:val="28"/>
          <w:szCs w:val="28"/>
        </w:rPr>
        <w:t>承接单位：</w:t>
      </w:r>
    </w:p>
    <w:p>
      <w:pPr>
        <w:pStyle w:val="12"/>
        <w:spacing w:line="300" w:lineRule="auto"/>
        <w:rPr>
          <w:rFonts w:hint="eastAsia" w:ascii="宋体" w:hAnsi="宋体" w:eastAsia="宋体" w:cs="宋体"/>
          <w:color w:val="auto"/>
        </w:rPr>
      </w:pPr>
    </w:p>
    <w:p>
      <w:pPr>
        <w:spacing w:before="91" w:line="220" w:lineRule="auto"/>
        <w:ind w:left="1073"/>
        <w:rPr>
          <w:rFonts w:hint="eastAsia" w:ascii="宋体" w:hAnsi="宋体" w:eastAsia="宋体" w:cs="宋体"/>
          <w:color w:val="auto"/>
          <w:sz w:val="28"/>
          <w:szCs w:val="28"/>
        </w:rPr>
      </w:pPr>
      <w:r>
        <w:rPr>
          <w:rFonts w:hint="eastAsia" w:ascii="宋体" w:hAnsi="宋体" w:eastAsia="宋体" w:cs="宋体"/>
          <w:color w:val="auto"/>
          <w:spacing w:val="-2"/>
          <w:sz w:val="28"/>
          <w:szCs w:val="28"/>
        </w:rPr>
        <w:t>签订日期：        年</w:t>
      </w:r>
      <w:r>
        <w:rPr>
          <w:rFonts w:hint="eastAsia" w:ascii="宋体" w:hAnsi="宋体" w:eastAsia="宋体" w:cs="宋体"/>
          <w:color w:val="auto"/>
          <w:spacing w:val="5"/>
          <w:sz w:val="28"/>
          <w:szCs w:val="28"/>
        </w:rPr>
        <w:t xml:space="preserve">    </w:t>
      </w:r>
      <w:r>
        <w:rPr>
          <w:rFonts w:hint="eastAsia" w:ascii="宋体" w:hAnsi="宋体" w:eastAsia="宋体" w:cs="宋体"/>
          <w:color w:val="auto"/>
          <w:spacing w:val="-2"/>
          <w:sz w:val="28"/>
          <w:szCs w:val="28"/>
        </w:rPr>
        <w:t>月</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2"/>
          <w:sz w:val="28"/>
          <w:szCs w:val="28"/>
        </w:rPr>
        <w:t>日</w:t>
      </w:r>
    </w:p>
    <w:p>
      <w:pPr>
        <w:spacing w:line="220" w:lineRule="auto"/>
        <w:rPr>
          <w:rFonts w:hint="eastAsia" w:ascii="宋体" w:hAnsi="宋体" w:eastAsia="宋体" w:cs="宋体"/>
          <w:color w:val="auto"/>
          <w:sz w:val="28"/>
          <w:szCs w:val="28"/>
        </w:rPr>
        <w:sectPr>
          <w:footerReference r:id="rId9" w:type="default"/>
          <w:pgSz w:w="11907" w:h="16840"/>
          <w:pgMar w:top="1431" w:right="1786" w:bottom="0" w:left="1786" w:header="0" w:footer="0" w:gutter="0"/>
          <w:pgNumType w:fmt="decimal"/>
          <w:cols w:space="720" w:num="1"/>
        </w:sectPr>
      </w:pPr>
    </w:p>
    <w:p>
      <w:pPr>
        <w:spacing w:before="88" w:line="222" w:lineRule="auto"/>
        <w:ind w:left="3692"/>
        <w:rPr>
          <w:rFonts w:hint="eastAsia" w:ascii="宋体" w:hAnsi="宋体" w:eastAsia="宋体" w:cs="宋体"/>
          <w:color w:val="auto"/>
          <w:sz w:val="43"/>
          <w:szCs w:val="43"/>
        </w:rPr>
      </w:pPr>
      <w:r>
        <w:rPr>
          <w:rFonts w:hint="eastAsia" w:ascii="宋体" w:hAnsi="宋体" w:eastAsia="宋体" w:cs="宋体"/>
          <w:color w:val="auto"/>
          <w:spacing w:val="4"/>
          <w:sz w:val="43"/>
          <w:szCs w:val="43"/>
          <w14:textOutline w14:w="7972" w14:cap="sq" w14:cmpd="sng">
            <w14:solidFill>
              <w14:srgbClr w14:val="000000"/>
            </w14:solidFill>
            <w14:prstDash w14:val="solid"/>
            <w14:bevel/>
          </w14:textOutline>
        </w:rPr>
        <w:t>合同书</w:t>
      </w:r>
    </w:p>
    <w:p>
      <w:pPr>
        <w:widowControl/>
        <w:numPr>
          <w:ilvl w:val="0"/>
          <w:numId w:val="0"/>
        </w:numPr>
        <w:jc w:val="both"/>
        <w:outlineLvl w:val="0"/>
        <w:rPr>
          <w:rFonts w:hint="eastAsia" w:ascii="宋体" w:hAnsi="宋体" w:eastAsia="宋体" w:cs="宋体"/>
          <w:b/>
          <w:bCs/>
          <w:color w:val="auto"/>
          <w:sz w:val="36"/>
          <w:szCs w:val="28"/>
          <w:highlight w:val="none"/>
        </w:rPr>
      </w:pPr>
    </w:p>
    <w:p>
      <w:pPr>
        <w:spacing w:before="91" w:line="240" w:lineRule="auto"/>
        <w:ind w:left="364"/>
        <w:rPr>
          <w:rFonts w:hint="eastAsia" w:ascii="宋体" w:hAnsi="宋体" w:eastAsia="宋体" w:cs="宋体"/>
          <w:color w:val="auto"/>
          <w:sz w:val="28"/>
          <w:szCs w:val="28"/>
        </w:rPr>
      </w:pPr>
      <w:r>
        <w:rPr>
          <w:rFonts w:hint="eastAsia" w:ascii="宋体" w:hAnsi="宋体" w:eastAsia="宋体" w:cs="宋体"/>
          <w:color w:val="auto"/>
          <w:spacing w:val="3"/>
          <w:sz w:val="28"/>
          <w:szCs w:val="28"/>
          <w14:textOutline w14:w="5103" w14:cap="sq" w14:cmpd="sng">
            <w14:solidFill>
              <w14:srgbClr w14:val="000000"/>
            </w14:solidFill>
            <w14:prstDash w14:val="solid"/>
            <w14:bevel/>
          </w14:textOutline>
        </w:rPr>
        <w:t>委托单位</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w:t>
      </w:r>
      <w:r>
        <w:rPr>
          <w:rFonts w:hint="eastAsia" w:ascii="宋体" w:hAnsi="宋体" w:eastAsia="宋体" w:cs="宋体"/>
          <w:color w:val="auto"/>
          <w:sz w:val="28"/>
          <w:szCs w:val="28"/>
          <w:u w:val="single" w:color="auto"/>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w:t>
      </w:r>
      <w:r>
        <w:rPr>
          <w:rFonts w:hint="eastAsia" w:ascii="宋体" w:hAnsi="宋体" w:eastAsia="宋体" w:cs="宋体"/>
          <w:color w:val="auto"/>
          <w:spacing w:val="3"/>
          <w:sz w:val="28"/>
          <w:szCs w:val="28"/>
          <w14:textOutline w14:w="5103" w14:cap="sq" w14:cmpd="sng">
            <w14:solidFill>
              <w14:srgbClr w14:val="000000"/>
            </w14:solidFill>
            <w14:prstDash w14:val="solid"/>
            <w14:bevel/>
          </w14:textOutline>
        </w:rPr>
        <w:t>以下简称甲方）</w:t>
      </w:r>
    </w:p>
    <w:p>
      <w:pPr>
        <w:spacing w:line="240" w:lineRule="auto"/>
        <w:ind w:left="365"/>
        <w:rPr>
          <w:rFonts w:hint="eastAsia" w:ascii="宋体" w:hAnsi="宋体" w:eastAsia="宋体" w:cs="宋体"/>
          <w:color w:val="auto"/>
          <w:sz w:val="28"/>
          <w:szCs w:val="28"/>
        </w:rPr>
      </w:pPr>
      <w:r>
        <w:rPr>
          <w:rFonts w:hint="eastAsia" w:ascii="宋体" w:hAnsi="宋体" w:eastAsia="宋体" w:cs="宋体"/>
          <w:color w:val="auto"/>
          <w:spacing w:val="-4"/>
          <w:sz w:val="28"/>
          <w:szCs w:val="28"/>
          <w14:textOutline w14:w="5103" w14:cap="sq" w14:cmpd="sng">
            <w14:solidFill>
              <w14:srgbClr w14:val="000000"/>
            </w14:solidFill>
            <w14:prstDash w14:val="solid"/>
            <w14:bevel/>
          </w14:textOutline>
        </w:rPr>
        <w:t>承接单位</w:t>
      </w:r>
      <w:r>
        <w:rPr>
          <w:rFonts w:hint="eastAsia" w:ascii="宋体" w:hAnsi="宋体" w:eastAsia="宋体" w:cs="宋体"/>
          <w:color w:val="auto"/>
          <w:spacing w:val="-21"/>
          <w:sz w:val="28"/>
          <w:szCs w:val="28"/>
          <w14:textOutline w14:w="5103" w14:cap="sq" w14:cmpd="sng">
            <w14:solidFill>
              <w14:srgbClr w14:val="000000"/>
            </w14:solidFill>
            <w14:prstDash w14:val="solid"/>
            <w14:bevel/>
          </w14:textOutline>
        </w:rPr>
        <w:t>：</w:t>
      </w:r>
      <w:r>
        <w:rPr>
          <w:rFonts w:hint="eastAsia" w:ascii="宋体" w:hAnsi="宋体" w:eastAsia="宋体" w:cs="宋体"/>
          <w:color w:val="auto"/>
          <w:sz w:val="28"/>
          <w:szCs w:val="28"/>
          <w:u w:val="single" w:color="auto"/>
        </w:rPr>
        <w:t xml:space="preserve">                               </w:t>
      </w:r>
      <w:r>
        <w:rPr>
          <w:rFonts w:hint="eastAsia" w:ascii="宋体" w:hAnsi="宋体" w:eastAsia="宋体" w:cs="宋体"/>
          <w:color w:val="auto"/>
          <w:spacing w:val="-21"/>
          <w:sz w:val="28"/>
          <w:szCs w:val="28"/>
          <w:u w:val="single" w:color="000000"/>
          <w14:textOutline w14:w="5103" w14:cap="sq" w14:cmpd="sng">
            <w14:solidFill>
              <w14:srgbClr w14:val="000000"/>
            </w14:solidFill>
            <w14:prstDash w14:val="solid"/>
            <w14:bevel/>
          </w14:textOutline>
        </w:rPr>
        <w:t>（</w:t>
      </w:r>
      <w:r>
        <w:rPr>
          <w:rFonts w:hint="eastAsia" w:ascii="宋体" w:hAnsi="宋体" w:eastAsia="宋体" w:cs="宋体"/>
          <w:color w:val="auto"/>
          <w:spacing w:val="-79"/>
          <w:sz w:val="28"/>
          <w:szCs w:val="28"/>
          <w:u w:val="single" w:color="auto"/>
        </w:rPr>
        <w:t xml:space="preserve"> </w:t>
      </w:r>
      <w:r>
        <w:rPr>
          <w:rFonts w:hint="eastAsia" w:ascii="宋体" w:hAnsi="宋体" w:eastAsia="宋体" w:cs="宋体"/>
          <w:color w:val="auto"/>
          <w:spacing w:val="-97"/>
          <w:sz w:val="28"/>
          <w:szCs w:val="28"/>
        </w:rPr>
        <w:t xml:space="preserve"> </w:t>
      </w:r>
      <w:r>
        <w:rPr>
          <w:rFonts w:hint="eastAsia" w:ascii="宋体" w:hAnsi="宋体" w:eastAsia="宋体" w:cs="宋体"/>
          <w:color w:val="auto"/>
          <w:spacing w:val="-4"/>
          <w:sz w:val="28"/>
          <w:szCs w:val="28"/>
          <w14:textOutline w14:w="5103" w14:cap="sq" w14:cmpd="sng">
            <w14:solidFill>
              <w14:srgbClr w14:val="000000"/>
            </w14:solidFill>
            <w14:prstDash w14:val="solid"/>
            <w14:bevel/>
          </w14:textOutline>
        </w:rPr>
        <w:t>以下简称乙方）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根据《中华人民共和国民法典合同编》以及相关规定，为开展 榆林市公共领域节水，推进社会单元节水工作等，甲方委托乙方 开展榆林市节水载体建设项目。为了明确甲乙双方责任、权利、 义务，密切协作配合，做好该项目的相关工作，经双方协商一致，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签订此合同书，以资共同遵守。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1.工程名称与工程地点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 1工程名称：</w:t>
      </w:r>
      <w:r>
        <w:rPr>
          <w:rFonts w:hint="eastAsia" w:ascii="宋体" w:hAnsi="宋体" w:eastAsia="宋体" w:cs="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1.2工程地点：榆林市区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工作内容</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2.1水平衡测试</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水平衡测试单位：榆林市市场监督管理局、新闻大厦、榆林市档案馆、榆林高新区第一中学、榆林市人民检察院、榆林市应急管理局、中共榆林市委党校、市民大厦、榆林市医疗保障局、榆林市住房和城乡建设局、榆林市审计局、榆林市第十七小学、榆林市畜牧兽医服务中心、榆林市水土保持生态工程建设中心、榆林市水利工程建设中心等15个公共机构。</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2）水平衡测试内容：开展榆林市市场监督管理局等15个公共机构现状水平衡测试，查找不合理用水及“跑冒滴漏”等损失环节，评价现状用水水平及节水水平，提出取用水优化措施建议。</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2.2节水改造</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1）节水改造单位：榆林市水土保持生态工程建设中心、榆林市水利工程建设中心。</w:t>
      </w:r>
    </w:p>
    <w:p>
      <w:pPr>
        <w:keepNext w:val="0"/>
        <w:keepLines w:val="0"/>
        <w:widowControl/>
        <w:suppressLineNumbers w:val="0"/>
        <w:spacing w:before="0" w:beforeAutospacing="0" w:after="0" w:afterAutospacing="0" w:line="500" w:lineRule="exact"/>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2）节水改造内容：查找老化损坏和耗水量大的用水器具，更换节水效率高、经济合理的节水器具，主要包含感应式大（小）便器，洗手台（含节水龙头）、拖把池（含节水龙头）等节水卫生器具。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3.技术要求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（1）水平衡测试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严格按照《水平衡测试通则》（GB/T 12452-2022）标准进行现场水平衡测试及报告编制，并通过水行政主管部门审查。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1）《水平衡测试通则》（GB/T 12452-2022）；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2）《节水型企业评价导则》（GB/T 7119-2018）；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3）《陕西省行业用水定额》（DB61/T 943-2020）；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4）《室外给水设计规范》（GB 50013－2018）；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5）《室外排水设计规范》（GB 50014-2021）；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6）《节约用水 术语》（GB/T 21534-2021）；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7）《企业用水统计通则》（GB/T 26719-2011）；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8）《用水指标评价导则》（SL/Z 552-2012）；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9）《建筑给水排水设计标准》（GB 50015-2019）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10）《用水单位水计量器具配备和管理通则》（GB 24789-2009）；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rPr>
        <w:t>节水改造依据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严格按照</w:t>
      </w:r>
      <w:r>
        <w:rPr>
          <w:rFonts w:hint="eastAsia" w:ascii="宋体" w:hAnsi="宋体" w:eastAsia="宋体" w:cs="宋体"/>
          <w:color w:val="auto"/>
          <w:sz w:val="28"/>
          <w:szCs w:val="28"/>
        </w:rPr>
        <w:t>相关</w:t>
      </w:r>
      <w:r>
        <w:rPr>
          <w:rFonts w:hint="eastAsia" w:ascii="宋体" w:hAnsi="宋体" w:eastAsia="宋体" w:cs="宋体"/>
          <w:color w:val="auto"/>
          <w:sz w:val="28"/>
          <w:szCs w:val="28"/>
        </w:rPr>
        <w:t>标准</w:t>
      </w:r>
      <w:r>
        <w:rPr>
          <w:rFonts w:hint="eastAsia" w:ascii="宋体" w:hAnsi="宋体" w:eastAsia="宋体" w:cs="宋体"/>
          <w:color w:val="auto"/>
          <w:sz w:val="28"/>
          <w:szCs w:val="28"/>
        </w:rPr>
        <w:t>施工</w:t>
      </w:r>
      <w:r>
        <w:rPr>
          <w:rFonts w:hint="eastAsia" w:ascii="宋体" w:hAnsi="宋体" w:eastAsia="宋体" w:cs="宋体"/>
          <w:color w:val="auto"/>
          <w:sz w:val="28"/>
          <w:szCs w:val="28"/>
        </w:rPr>
        <w:t>，并通过水行政主管部门</w:t>
      </w:r>
      <w:r>
        <w:rPr>
          <w:rFonts w:hint="eastAsia" w:ascii="宋体" w:hAnsi="宋体" w:eastAsia="宋体" w:cs="宋体"/>
          <w:color w:val="auto"/>
          <w:sz w:val="28"/>
          <w:szCs w:val="28"/>
        </w:rPr>
        <w:t>组织的验收</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rPr>
        <w:t>《节水型卫生洁具》（GB/T 31436-2015）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rPr>
        <w:t>）</w:t>
      </w:r>
      <w:r>
        <w:rPr>
          <w:rFonts w:hint="eastAsia" w:ascii="宋体" w:hAnsi="宋体" w:eastAsia="宋体" w:cs="宋体"/>
          <w:color w:val="auto"/>
          <w:sz w:val="28"/>
          <w:szCs w:val="28"/>
        </w:rPr>
        <w:t>《卫生陶瓷》（GB 6952-2015）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rPr>
        <w:t>）</w:t>
      </w:r>
      <w:r>
        <w:rPr>
          <w:rFonts w:hint="eastAsia" w:ascii="宋体" w:hAnsi="宋体" w:eastAsia="宋体" w:cs="宋体"/>
          <w:color w:val="auto"/>
          <w:sz w:val="28"/>
          <w:szCs w:val="28"/>
        </w:rPr>
        <w:t>《抗菌陶瓷制品抗菌性能》（JC/T 897-2014）</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rPr>
        <w:t>）《水嘴水效限定值及水效等级》（</w:t>
      </w:r>
      <w:r>
        <w:rPr>
          <w:rFonts w:hint="eastAsia" w:ascii="宋体" w:hAnsi="宋体" w:eastAsia="宋体" w:cs="宋体"/>
          <w:color w:val="auto"/>
          <w:sz w:val="28"/>
          <w:szCs w:val="28"/>
        </w:rPr>
        <w:t>GB 25501-2019）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rPr>
        <w:t>）</w:t>
      </w:r>
      <w:r>
        <w:rPr>
          <w:rFonts w:hint="eastAsia" w:ascii="宋体" w:hAnsi="宋体" w:eastAsia="宋体" w:cs="宋体"/>
          <w:color w:val="auto"/>
          <w:sz w:val="28"/>
          <w:szCs w:val="28"/>
        </w:rPr>
        <w:t>《09S304：卫生设备安装》</w:t>
      </w:r>
      <w:r>
        <w:rPr>
          <w:rFonts w:hint="eastAsia" w:ascii="宋体" w:hAnsi="宋体" w:eastAsia="宋体" w:cs="宋体"/>
          <w:color w:val="auto"/>
          <w:sz w:val="28"/>
          <w:szCs w:val="28"/>
        </w:rPr>
        <w:t>（中国计划出版社，</w:t>
      </w:r>
      <w:r>
        <w:rPr>
          <w:rFonts w:hint="eastAsia" w:ascii="宋体" w:hAnsi="宋体" w:eastAsia="宋体" w:cs="宋体"/>
          <w:color w:val="auto"/>
          <w:sz w:val="28"/>
          <w:szCs w:val="28"/>
        </w:rPr>
        <w:t>2010年3月</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ascii="宋体" w:hAnsi="宋体" w:eastAsia="宋体" w:cs="宋体"/>
          <w:color w:val="auto"/>
          <w:sz w:val="28"/>
          <w:szCs w:val="28"/>
        </w:rPr>
        <w:t>）</w:t>
      </w:r>
      <w:r>
        <w:rPr>
          <w:rFonts w:hint="eastAsia" w:ascii="宋体" w:hAnsi="宋体" w:eastAsia="宋体" w:cs="宋体"/>
          <w:color w:val="auto"/>
          <w:sz w:val="28"/>
          <w:szCs w:val="28"/>
        </w:rPr>
        <w:t>《建筑给水排水设计标准》（GB 50015-2019）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rPr>
        <w:t>）《全国民用建筑工程设计技术措施：</w:t>
      </w:r>
      <w:r>
        <w:rPr>
          <w:rFonts w:hint="eastAsia" w:ascii="宋体" w:hAnsi="宋体" w:eastAsia="宋体" w:cs="宋体"/>
          <w:color w:val="auto"/>
          <w:sz w:val="28"/>
          <w:szCs w:val="28"/>
        </w:rPr>
        <w:t>给水排水</w:t>
      </w:r>
      <w:r>
        <w:rPr>
          <w:rFonts w:hint="eastAsia" w:ascii="宋体" w:hAnsi="宋体" w:eastAsia="宋体" w:cs="宋体"/>
          <w:color w:val="auto"/>
          <w:sz w:val="28"/>
          <w:szCs w:val="28"/>
        </w:rPr>
        <w:t>（</w:t>
      </w:r>
      <w:r>
        <w:rPr>
          <w:rFonts w:hint="eastAsia" w:ascii="宋体" w:hAnsi="宋体" w:eastAsia="宋体" w:cs="宋体"/>
          <w:color w:val="auto"/>
          <w:sz w:val="28"/>
          <w:szCs w:val="28"/>
        </w:rPr>
        <w:t>2009年</w:t>
      </w:r>
      <w:r>
        <w:rPr>
          <w:rFonts w:hint="eastAsia" w:ascii="宋体" w:hAnsi="宋体" w:eastAsia="宋体" w:cs="宋体"/>
          <w:color w:val="auto"/>
          <w:sz w:val="28"/>
          <w:szCs w:val="28"/>
        </w:rPr>
        <w:t>）</w:t>
      </w:r>
      <w:r>
        <w:rPr>
          <w:rFonts w:hint="eastAsia" w:ascii="宋体" w:hAnsi="宋体" w:eastAsia="宋体" w:cs="宋体"/>
          <w:color w:val="auto"/>
          <w:sz w:val="28"/>
          <w:szCs w:val="28"/>
        </w:rPr>
        <w:t>》</w:t>
      </w:r>
      <w:r>
        <w:rPr>
          <w:rFonts w:hint="eastAsia" w:ascii="宋体" w:hAnsi="宋体" w:eastAsia="宋体" w:cs="宋体"/>
          <w:color w:val="auto"/>
          <w:sz w:val="28"/>
          <w:szCs w:val="28"/>
        </w:rPr>
        <w:t>（中国计划出版社，</w:t>
      </w:r>
      <w:r>
        <w:rPr>
          <w:rFonts w:hint="eastAsia" w:ascii="宋体" w:hAnsi="宋体" w:eastAsia="宋体" w:cs="宋体"/>
          <w:color w:val="auto"/>
          <w:sz w:val="28"/>
          <w:szCs w:val="28"/>
        </w:rPr>
        <w:t>2009年12月</w:t>
      </w:r>
      <w:r>
        <w:rPr>
          <w:rFonts w:hint="eastAsia" w:ascii="宋体" w:hAnsi="宋体" w:eastAsia="宋体" w:cs="宋体"/>
          <w:color w:val="auto"/>
          <w:sz w:val="28"/>
          <w:szCs w:val="28"/>
        </w:rPr>
        <w:t>）</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工作期限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自本合同签订生效之日起</w:t>
      </w:r>
      <w:r>
        <w:rPr>
          <w:rFonts w:hint="eastAsia" w:ascii="宋体" w:hAnsi="宋体" w:eastAsia="宋体" w:cs="宋体"/>
          <w:color w:val="auto"/>
          <w:sz w:val="28"/>
          <w:szCs w:val="28"/>
        </w:rPr>
        <w:t>2个月内完成项目</w:t>
      </w:r>
      <w:r>
        <w:rPr>
          <w:rFonts w:hint="eastAsia" w:ascii="宋体" w:hAnsi="宋体" w:eastAsia="宋体" w:cs="宋体"/>
          <w:color w:val="auto"/>
          <w:sz w:val="28"/>
          <w:szCs w:val="28"/>
        </w:rPr>
        <w:t>水平衡测试</w:t>
      </w:r>
      <w:r>
        <w:rPr>
          <w:rFonts w:hint="eastAsia" w:ascii="宋体" w:hAnsi="宋体" w:eastAsia="宋体" w:cs="宋体"/>
          <w:color w:val="auto"/>
          <w:sz w:val="28"/>
          <w:szCs w:val="28"/>
        </w:rPr>
        <w:t>的外业、室内资料整理、编制完成报告及修改完善工作，并经水行政部门专家咨询评审</w:t>
      </w:r>
      <w:r>
        <w:rPr>
          <w:rFonts w:hint="eastAsia" w:ascii="宋体" w:hAnsi="宋体" w:eastAsia="宋体" w:cs="宋体"/>
          <w:color w:val="auto"/>
          <w:sz w:val="28"/>
          <w:szCs w:val="28"/>
        </w:rPr>
        <w:t>；同时完成节水器具改造，并通过甲方组织的验收。</w:t>
      </w:r>
      <w:r>
        <w:rPr>
          <w:rFonts w:hint="eastAsia" w:ascii="宋体" w:hAnsi="宋体" w:eastAsia="宋体" w:cs="宋体"/>
          <w:color w:val="auto"/>
          <w:sz w:val="28"/>
          <w:szCs w:val="28"/>
        </w:rPr>
        <w:t>若遇不可抗力影响以及非乙方原因造成的停、窝工时，</w:t>
      </w:r>
      <w:r>
        <w:rPr>
          <w:rFonts w:hint="eastAsia" w:ascii="宋体" w:hAnsi="宋体" w:eastAsia="宋体" w:cs="宋体"/>
          <w:color w:val="auto"/>
          <w:sz w:val="28"/>
          <w:szCs w:val="28"/>
          <w:lang w:eastAsia="zh-CN"/>
        </w:rPr>
        <w:t>服务期</w:t>
      </w:r>
      <w:r>
        <w:rPr>
          <w:rFonts w:hint="eastAsia" w:ascii="宋体" w:hAnsi="宋体" w:eastAsia="宋体" w:cs="宋体"/>
          <w:color w:val="auto"/>
          <w:sz w:val="28"/>
          <w:szCs w:val="28"/>
        </w:rPr>
        <w:t>顺延。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1水平衡测试及报告编制符合《水平衡测试通则》（GB/T12452-2022）等标准要求，并通过甲方组织的技术审查。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5.2节水改造符合《节水型卫生洁具》（GB/T 31436-2015）、《卫 生陶瓷》（GB 6952-2015）、《09S304：卫生设备安装》（中国计划 出版社，2010 年 3 月）等标准要求，满足设计要求并通过甲方组织的工程验收。</w:t>
      </w:r>
    </w:p>
    <w:p>
      <w:pPr>
        <w:spacing w:before="254" w:line="240" w:lineRule="auto"/>
        <w:ind w:firstLine="550" w:firstLineChars="200"/>
        <w:outlineLvl w:val="0"/>
        <w:rPr>
          <w:rFonts w:hint="eastAsia" w:ascii="宋体" w:hAnsi="宋体" w:eastAsia="宋体" w:cs="宋体"/>
          <w:color w:val="auto"/>
          <w:sz w:val="28"/>
          <w:szCs w:val="28"/>
        </w:rPr>
      </w:pPr>
      <w:r>
        <w:rPr>
          <w:rFonts w:hint="eastAsia" w:ascii="宋体" w:hAnsi="宋体" w:eastAsia="宋体" w:cs="宋体"/>
          <w:b/>
          <w:bCs/>
          <w:color w:val="auto"/>
          <w:spacing w:val="-3"/>
          <w:sz w:val="28"/>
          <w:szCs w:val="28"/>
        </w:rPr>
        <w:t>6.</w:t>
      </w:r>
      <w:r>
        <w:rPr>
          <w:rFonts w:hint="eastAsia" w:ascii="宋体" w:hAnsi="宋体" w:eastAsia="宋体" w:cs="宋体"/>
          <w:b/>
          <w:bCs/>
          <w:color w:val="auto"/>
          <w:spacing w:val="12"/>
          <w:sz w:val="28"/>
          <w:szCs w:val="28"/>
        </w:rPr>
        <w:t xml:space="preserve">  </w:t>
      </w:r>
      <w:r>
        <w:rPr>
          <w:rFonts w:hint="eastAsia" w:ascii="宋体" w:hAnsi="宋体" w:eastAsia="宋体" w:cs="宋体"/>
          <w:color w:val="auto"/>
          <w:spacing w:val="-3"/>
          <w:sz w:val="28"/>
          <w:szCs w:val="28"/>
          <w14:textOutline w14:w="5103" w14:cap="sq" w14:cmpd="sng">
            <w14:solidFill>
              <w14:srgbClr w14:val="000000"/>
            </w14:solidFill>
            <w14:prstDash w14:val="solid"/>
            <w14:bevel/>
          </w14:textOutline>
        </w:rPr>
        <w:t>费用及付款方式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6. 1  经甲乙双方协商一致，本项目总费用为</w:t>
      </w:r>
      <w:r>
        <w:rPr>
          <w:rFonts w:hint="eastAsia" w:ascii="宋体" w:hAnsi="宋体" w:eastAsia="宋体" w:cs="宋体"/>
          <w:color w:val="auto"/>
          <w:sz w:val="28"/>
          <w:szCs w:val="28"/>
          <w:u w:val="single"/>
        </w:rPr>
        <w:t>人民币       元</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整（大写：                     ）</w:t>
      </w:r>
      <w:r>
        <w:rPr>
          <w:rFonts w:hint="eastAsia" w:ascii="宋体" w:hAnsi="宋体" w:eastAsia="宋体" w:cs="宋体"/>
          <w:color w:val="auto"/>
          <w:sz w:val="28"/>
          <w:szCs w:val="28"/>
        </w:rPr>
        <w:t>。该费用包含水平衡测试、报告编制、节水改造、印刷装订及相关部门技术审查（工程验收）专家咨询费等费用。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 付款方式：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 1 合同签订生效后</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日内，甲方应向乙方支付总费用的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40% ，</w:t>
      </w:r>
      <w:r>
        <w:rPr>
          <w:rFonts w:hint="eastAsia" w:ascii="宋体" w:hAnsi="宋体" w:eastAsia="宋体" w:cs="宋体"/>
          <w:color w:val="auto"/>
          <w:sz w:val="28"/>
          <w:szCs w:val="28"/>
          <w:u w:val="single"/>
        </w:rPr>
        <w:t>即人民币              元整 （大写：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6.2.2 水平衡测试报告通过技术审查、节水改造通过工程验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收，提交最终报告及竣工资料后</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日内支付剩余 60%费用，即</w:t>
      </w:r>
      <w:r>
        <w:rPr>
          <w:rFonts w:hint="eastAsia" w:ascii="宋体" w:hAnsi="宋体" w:eastAsia="宋体" w:cs="宋体"/>
          <w:color w:val="auto"/>
          <w:sz w:val="28"/>
          <w:szCs w:val="28"/>
          <w:u w:val="single"/>
        </w:rPr>
        <w:t>人民币               元整（大写：                     ）</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6.2.3 乙方在接受付款前，开具全额发票给甲方。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 双方责任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 甲方责任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7.1.1甲方负责向乙方提供本项目初步设计等有关资料，负责 向乙方提供项目概况、规模、数量、相关图纸等；提供项目有关 的取水、用水、排水台账等资料，配合乙方做好现场测试、节水改造等工作。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7.1.2 甲方负责按照规定程序报送乙方编制完善的测试报告、工程报验资料等，提供水行政有关部门审查所需的必备资料等。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7.1.3甲方负责按合同规定及时支付项目费用。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7.2乙方责任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7.2.1 乙方按照有关技术规范、规程，调查、测试、整理编写 测试报告，并按合同规定时间及时提交测试报告。报告的形式、质量满足评审要求，负责报告的补充修改完善工作。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7.2.2 乙方依据有关技术规范、规程，按照初步设计文件开展 节水改造工作，节水器具的技术规格和安装质量应满足相关规范要求和验收标准，并负责工程竣工资料的整理编制。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7.2.3  乙方负责工作期间的安全。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7.2.4  乙方负责向甲方提交水平衡测试正式报告六份，并负责通过相关部门的审批。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7.2.5  乙方负责向甲方提交节水改造工程竣工验收资料四份，并负责通过相关部门的验收。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7.2.6  乙方提供全额增值税专用发票。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  争议解决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双方因履行本合同而发生的争议，应协商、调解解决。协商、调解不成的，依法向甲方所在地人民法院起诉。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  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本合同自双方签字后生效，一式六份，甲方三份，乙方三份， 具有同等法律效力，合同自签订之日起生效，待履行完合同约定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后即自行终止。</w:t>
      </w:r>
    </w:p>
    <w:tbl>
      <w:tblPr>
        <w:tblStyle w:val="33"/>
        <w:tblW w:w="92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08"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甲  方</w:t>
            </w:r>
          </w:p>
        </w:tc>
        <w:tc>
          <w:tcPr>
            <w:tcW w:w="486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4408" w:type="dxa"/>
            <w:noWrap w:val="0"/>
            <w:vAlign w:val="center"/>
          </w:tcPr>
          <w:p>
            <w:pPr>
              <w:keepNext w:val="0"/>
              <w:keepLines w:val="0"/>
              <w:suppressLineNumbers w:val="0"/>
              <w:spacing w:before="0" w:beforeAutospacing="0" w:after="0" w:afterAutospacing="0" w:line="240" w:lineRule="auto"/>
              <w:ind w:left="0" w:right="0" w:firstLine="1400" w:firstLineChars="500"/>
              <w:jc w:val="left"/>
              <w:rPr>
                <w:rFonts w:hint="eastAsia" w:ascii="宋体" w:hAnsi="宋体" w:eastAsia="宋体" w:cs="宋体"/>
                <w:color w:val="auto"/>
                <w:sz w:val="28"/>
                <w:szCs w:val="28"/>
              </w:rPr>
            </w:pPr>
            <w:r>
              <w:rPr>
                <w:rFonts w:hint="eastAsia" w:ascii="宋体" w:hAnsi="宋体" w:eastAsia="宋体" w:cs="宋体"/>
                <w:color w:val="auto"/>
                <w:sz w:val="28"/>
                <w:szCs w:val="28"/>
              </w:rPr>
              <w:t>（盖章）</w:t>
            </w: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p>
        </w:tc>
        <w:tc>
          <w:tcPr>
            <w:tcW w:w="4860" w:type="dxa"/>
            <w:noWrap w:val="0"/>
            <w:vAlign w:val="center"/>
          </w:tcPr>
          <w:p>
            <w:pPr>
              <w:keepNext w:val="0"/>
              <w:keepLines w:val="0"/>
              <w:suppressLineNumbers w:val="0"/>
              <w:spacing w:before="0" w:beforeAutospacing="0" w:after="0" w:afterAutospacing="0" w:line="240" w:lineRule="auto"/>
              <w:ind w:left="0" w:right="0" w:firstLine="1820" w:firstLineChars="650"/>
              <w:jc w:val="left"/>
              <w:rPr>
                <w:rFonts w:hint="eastAsia" w:ascii="宋体" w:hAnsi="宋体" w:eastAsia="宋体" w:cs="宋体"/>
                <w:color w:val="auto"/>
                <w:sz w:val="28"/>
                <w:szCs w:val="28"/>
              </w:rPr>
            </w:pPr>
            <w:r>
              <w:rPr>
                <w:rFonts w:hint="eastAsia" w:ascii="宋体" w:hAnsi="宋体" w:eastAsia="宋体" w:cs="宋体"/>
                <w:color w:val="auto"/>
                <w:sz w:val="28"/>
                <w:szCs w:val="28"/>
              </w:rPr>
              <w:t>（盖章）</w:t>
            </w: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地址：</w:t>
            </w:r>
          </w:p>
        </w:tc>
        <w:tc>
          <w:tcPr>
            <w:tcW w:w="486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邮编：</w:t>
            </w:r>
          </w:p>
        </w:tc>
        <w:tc>
          <w:tcPr>
            <w:tcW w:w="486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408" w:type="dxa"/>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rPr>
            </w:pPr>
            <w:r>
              <w:rPr>
                <w:rFonts w:hint="eastAsia" w:ascii="宋体" w:hAnsi="宋体" w:eastAsia="宋体" w:cs="宋体"/>
                <w:color w:val="auto"/>
                <w:sz w:val="28"/>
                <w:szCs w:val="28"/>
              </w:rPr>
              <w:t>法定代表：（签字）</w:t>
            </w:r>
          </w:p>
        </w:tc>
        <w:tc>
          <w:tcPr>
            <w:tcW w:w="4860" w:type="dxa"/>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c>
          <w:tcPr>
            <w:tcW w:w="486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传真：</w:t>
            </w:r>
          </w:p>
        </w:tc>
        <w:tc>
          <w:tcPr>
            <w:tcW w:w="486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p>
        </w:tc>
        <w:tc>
          <w:tcPr>
            <w:tcW w:w="486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4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p>
        </w:tc>
        <w:tc>
          <w:tcPr>
            <w:tcW w:w="486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4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tc>
        <w:tc>
          <w:tcPr>
            <w:tcW w:w="4860"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tc>
      </w:tr>
    </w:tbl>
    <w:p>
      <w:pPr>
        <w:spacing w:line="240" w:lineRule="auto"/>
        <w:rPr>
          <w:rFonts w:hint="eastAsia" w:ascii="宋体" w:hAnsi="宋体" w:eastAsia="宋体" w:cs="宋体"/>
          <w:color w:val="auto"/>
          <w:sz w:val="28"/>
          <w:szCs w:val="28"/>
        </w:rPr>
      </w:pPr>
    </w:p>
    <w:p>
      <w:pPr>
        <w:spacing w:line="240" w:lineRule="auto"/>
        <w:ind w:firstLine="560" w:firstLineChars="200"/>
        <w:rPr>
          <w:rFonts w:hint="eastAsia" w:ascii="宋体" w:hAnsi="宋体" w:eastAsia="宋体" w:cs="宋体"/>
          <w:bCs/>
          <w:color w:val="auto"/>
          <w:sz w:val="28"/>
          <w:szCs w:val="28"/>
          <w:highlight w:val="none"/>
        </w:rPr>
      </w:pPr>
    </w:p>
    <w:p>
      <w:pPr>
        <w:spacing w:line="240" w:lineRule="auto"/>
        <w:ind w:firstLine="560" w:firstLineChars="200"/>
        <w:rPr>
          <w:rFonts w:hint="eastAsia" w:ascii="宋体" w:hAnsi="宋体" w:eastAsia="宋体" w:cs="宋体"/>
          <w:bCs/>
          <w:color w:val="auto"/>
          <w:sz w:val="28"/>
          <w:szCs w:val="28"/>
          <w:highlight w:val="none"/>
        </w:rPr>
      </w:pPr>
    </w:p>
    <w:p>
      <w:pPr>
        <w:spacing w:line="240" w:lineRule="auto"/>
        <w:ind w:firstLine="560" w:firstLineChars="200"/>
        <w:rPr>
          <w:rFonts w:hint="eastAsia" w:ascii="宋体" w:hAnsi="宋体" w:eastAsia="宋体" w:cs="宋体"/>
          <w:bCs/>
          <w:color w:val="auto"/>
          <w:sz w:val="28"/>
          <w:szCs w:val="28"/>
          <w:highlight w:val="none"/>
        </w:rPr>
      </w:pPr>
    </w:p>
    <w:p>
      <w:pPr>
        <w:pStyle w:val="9"/>
        <w:spacing w:line="240" w:lineRule="auto"/>
        <w:rPr>
          <w:rFonts w:hint="eastAsia" w:ascii="宋体" w:hAnsi="宋体" w:eastAsia="宋体" w:cs="宋体"/>
          <w:bCs/>
          <w:color w:val="auto"/>
          <w:sz w:val="28"/>
          <w:szCs w:val="28"/>
          <w:highlight w:val="none"/>
        </w:rPr>
      </w:pPr>
    </w:p>
    <w:p>
      <w:pPr>
        <w:spacing w:line="240" w:lineRule="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highlight w:val="none"/>
        </w:rPr>
        <w:t>注：本合同样本仅供参考，具体内容由采购人和成交单位协商确定。</w:t>
      </w:r>
    </w:p>
    <w:p>
      <w:pPr>
        <w:spacing w:line="240" w:lineRule="auto"/>
        <w:jc w:val="center"/>
        <w:outlineLvl w:val="0"/>
        <w:rPr>
          <w:rFonts w:hint="eastAsia" w:ascii="宋体" w:hAnsi="宋体" w:eastAsia="宋体" w:cs="宋体"/>
          <w:b/>
          <w:color w:val="auto"/>
          <w:kern w:val="44"/>
          <w:sz w:val="28"/>
          <w:szCs w:val="28"/>
        </w:rPr>
      </w:pPr>
    </w:p>
    <w:p>
      <w:pPr>
        <w:spacing w:line="240" w:lineRule="auto"/>
        <w:rPr>
          <w:rFonts w:hint="eastAsia" w:ascii="宋体" w:hAnsi="宋体" w:eastAsia="宋体" w:cs="宋体"/>
          <w:color w:val="auto"/>
        </w:rPr>
      </w:pPr>
    </w:p>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p>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p>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p>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p>
    <w:p>
      <w:pPr>
        <w:rPr>
          <w:rFonts w:hint="eastAsia" w:ascii="宋体" w:hAnsi="宋体" w:eastAsia="宋体" w:cs="宋体"/>
          <w:color w:val="auto"/>
          <w:lang w:val="en-US"/>
        </w:rPr>
      </w:pPr>
    </w:p>
    <w:p>
      <w:pPr>
        <w:keepNext w:val="0"/>
        <w:keepLines w:val="0"/>
        <w:widowControl/>
        <w:numPr>
          <w:ilvl w:val="0"/>
          <w:numId w:val="0"/>
        </w:numPr>
        <w:suppressLineNumbers w:val="0"/>
        <w:spacing w:before="0" w:beforeAutospacing="0" w:after="0" w:afterAutospacing="0" w:line="500" w:lineRule="exact"/>
        <w:ind w:leftChars="0" w:right="0" w:rightChars="0" w:firstLine="2891" w:firstLineChars="900"/>
        <w:jc w:val="both"/>
        <w:outlineLvl w:val="0"/>
        <w:rPr>
          <w:rFonts w:hint="eastAsia" w:ascii="宋体" w:hAnsi="宋体" w:eastAsia="宋体" w:cs="宋体"/>
          <w:b/>
          <w:bCs w:val="0"/>
          <w:color w:val="auto"/>
          <w:sz w:val="32"/>
          <w:szCs w:val="32"/>
          <w:highlight w:val="none"/>
          <w:lang w:val="en-US"/>
        </w:rPr>
      </w:pPr>
      <w:bookmarkStart w:id="171" w:name="_Toc1336"/>
      <w:bookmarkStart w:id="172" w:name="_Toc15168"/>
      <w:r>
        <w:rPr>
          <w:rFonts w:hint="eastAsia" w:ascii="宋体" w:hAnsi="宋体" w:eastAsia="宋体" w:cs="宋体"/>
          <w:b/>
          <w:bCs/>
          <w:color w:val="auto"/>
          <w:kern w:val="44"/>
          <w:sz w:val="32"/>
          <w:szCs w:val="32"/>
          <w:highlight w:val="none"/>
          <w:lang w:val="en-US" w:eastAsia="zh-CN" w:bidi="ar"/>
        </w:rPr>
        <w:t>第五章</w:t>
      </w:r>
      <w:r>
        <w:rPr>
          <w:rFonts w:hint="eastAsia" w:ascii="宋体" w:hAnsi="宋体" w:eastAsia="宋体" w:cs="宋体"/>
          <w:color w:val="auto"/>
          <w:kern w:val="44"/>
          <w:sz w:val="32"/>
          <w:szCs w:val="32"/>
          <w:highlight w:val="non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响应文件构成及格式</w:t>
      </w:r>
      <w:bookmarkEnd w:id="171"/>
      <w:bookmarkEnd w:id="172"/>
    </w:p>
    <w:p>
      <w:pPr>
        <w:pStyle w:val="2"/>
        <w:widowControl/>
        <w:jc w:val="both"/>
        <w:outlineLvl w:val="9"/>
        <w:rPr>
          <w:rFonts w:hint="eastAsia" w:ascii="宋体" w:hAnsi="宋体" w:eastAsia="宋体" w:cs="宋体"/>
          <w:color w:val="auto"/>
          <w:highlight w:val="none"/>
          <w:lang w:val="en-US"/>
        </w:rPr>
      </w:pPr>
    </w:p>
    <w:tbl>
      <w:tblPr>
        <w:tblStyle w:val="33"/>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 w:hRule="atLeast"/>
        </w:trPr>
        <w:tc>
          <w:tcPr>
            <w:tcW w:w="81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20" w:beforeAutospacing="0" w:after="0" w:afterAutospacing="0" w:line="50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注释： </w:t>
            </w:r>
          </w:p>
          <w:p>
            <w:pPr>
              <w:keepNext w:val="0"/>
              <w:keepLines w:val="0"/>
              <w:widowControl/>
              <w:suppressLineNumbers w:val="0"/>
              <w:spacing w:before="120" w:beforeAutospacing="0" w:after="0" w:afterAutospacing="0" w:line="50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1、本章分为六部分，是为方便服务商制作响应文件设计。第一至五部分应按要求或给定格式填报。</w:t>
            </w:r>
          </w:p>
          <w:p>
            <w:pPr>
              <w:keepNext w:val="0"/>
              <w:keepLines w:val="0"/>
              <w:widowControl/>
              <w:suppressLineNumbers w:val="0"/>
              <w:spacing w:before="120" w:beforeAutospacing="0" w:after="0" w:afterAutospacing="0" w:line="50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2、第六部分响应方案格式仅供参考，服务商应根据项目特点，结合本次招标要求，对有关表格进行补充或修改，但不得对实质性文件的相关条款做出变动。</w:t>
            </w:r>
          </w:p>
        </w:tc>
      </w:tr>
    </w:tbl>
    <w:p>
      <w:pPr>
        <w:keepNext w:val="0"/>
        <w:keepLines w:val="0"/>
        <w:widowControl/>
        <w:suppressLineNumbers w:val="0"/>
        <w:spacing w:before="0" w:beforeAutospacing="0" w:after="0" w:afterAutospacing="0" w:line="500" w:lineRule="exact"/>
        <w:ind w:left="0" w:right="0"/>
        <w:jc w:val="both"/>
        <w:rPr>
          <w:rFonts w:hint="eastAsia" w:ascii="宋体" w:hAnsi="宋体" w:eastAsia="宋体" w:cs="宋体"/>
          <w:color w:val="auto"/>
          <w:sz w:val="36"/>
          <w:szCs w:val="36"/>
          <w:highlight w:val="none"/>
          <w:lang w:val="en-US"/>
        </w:rPr>
      </w:pPr>
    </w:p>
    <w:p>
      <w:pPr>
        <w:pStyle w:val="12"/>
        <w:widowControl/>
        <w:spacing w:before="0" w:beforeAutospacing="0" w:after="0" w:afterAutospacing="0" w:line="0" w:lineRule="atLeast"/>
        <w:ind w:left="0" w:right="0"/>
        <w:rPr>
          <w:rFonts w:hint="eastAsia" w:ascii="宋体" w:hAnsi="宋体" w:eastAsia="宋体" w:cs="宋体"/>
          <w:color w:val="auto"/>
          <w:sz w:val="36"/>
          <w:szCs w:val="36"/>
          <w:highlight w:val="none"/>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sz w:val="36"/>
          <w:szCs w:val="36"/>
          <w:highlight w:val="none"/>
          <w:lang w:val="en-US"/>
        </w:rPr>
      </w:pPr>
    </w:p>
    <w:p>
      <w:pPr>
        <w:pStyle w:val="12"/>
        <w:widowControl/>
        <w:spacing w:before="0" w:beforeAutospacing="0" w:after="0" w:afterAutospacing="0" w:line="0" w:lineRule="atLeast"/>
        <w:ind w:left="0" w:right="0"/>
        <w:rPr>
          <w:rFonts w:hint="eastAsia" w:ascii="宋体" w:hAnsi="宋体" w:eastAsia="宋体" w:cs="宋体"/>
          <w:color w:val="auto"/>
          <w:sz w:val="36"/>
          <w:szCs w:val="36"/>
          <w:highlight w:val="none"/>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sz w:val="36"/>
          <w:szCs w:val="36"/>
          <w:highlight w:val="none"/>
          <w:lang w:val="en-US"/>
        </w:rPr>
      </w:pPr>
    </w:p>
    <w:p>
      <w:pPr>
        <w:pStyle w:val="12"/>
        <w:widowControl/>
        <w:spacing w:before="0" w:beforeAutospacing="0" w:after="0" w:afterAutospacing="0" w:line="0" w:lineRule="atLeast"/>
        <w:ind w:left="0" w:right="0"/>
        <w:rPr>
          <w:rFonts w:hint="eastAsia" w:ascii="宋体" w:hAnsi="宋体" w:eastAsia="宋体" w:cs="宋体"/>
          <w:color w:val="auto"/>
          <w:sz w:val="36"/>
          <w:szCs w:val="36"/>
          <w:highlight w:val="none"/>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sz w:val="36"/>
          <w:szCs w:val="36"/>
          <w:highlight w:val="none"/>
          <w:lang w:val="en-US"/>
        </w:rPr>
      </w:pPr>
    </w:p>
    <w:p>
      <w:pPr>
        <w:pStyle w:val="12"/>
        <w:widowControl/>
        <w:spacing w:before="0" w:beforeAutospacing="0" w:after="0" w:afterAutospacing="0" w:line="0" w:lineRule="atLeast"/>
        <w:ind w:left="0" w:right="0"/>
        <w:rPr>
          <w:rFonts w:hint="eastAsia" w:ascii="宋体" w:hAnsi="宋体" w:eastAsia="宋体" w:cs="宋体"/>
          <w:color w:val="auto"/>
          <w:sz w:val="36"/>
          <w:szCs w:val="36"/>
          <w:highlight w:val="none"/>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sz w:val="36"/>
          <w:szCs w:val="36"/>
          <w:highlight w:val="none"/>
          <w:lang w:val="en-US"/>
        </w:rPr>
      </w:pPr>
    </w:p>
    <w:p>
      <w:pPr>
        <w:pStyle w:val="12"/>
        <w:widowControl/>
        <w:spacing w:before="0" w:beforeAutospacing="0" w:after="0" w:afterAutospacing="0" w:line="0" w:lineRule="atLeast"/>
        <w:ind w:left="0" w:right="0"/>
        <w:rPr>
          <w:rFonts w:hint="eastAsia" w:ascii="宋体" w:hAnsi="宋体" w:eastAsia="宋体" w:cs="宋体"/>
          <w:color w:val="auto"/>
          <w:sz w:val="36"/>
          <w:szCs w:val="36"/>
          <w:highlight w:val="none"/>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highlight w:val="none"/>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sz w:val="36"/>
          <w:szCs w:val="36"/>
          <w:highlight w:val="none"/>
          <w:lang w:val="en-US"/>
        </w:rPr>
      </w:pPr>
    </w:p>
    <w:p>
      <w:pPr>
        <w:pStyle w:val="32"/>
        <w:rPr>
          <w:rFonts w:hint="eastAsia" w:ascii="宋体" w:hAnsi="宋体" w:eastAsia="宋体" w:cs="宋体"/>
          <w:color w:val="auto"/>
          <w:highlight w:val="none"/>
          <w:lang w:val="en-US"/>
        </w:rPr>
      </w:pPr>
    </w:p>
    <w:p>
      <w:pPr>
        <w:pStyle w:val="12"/>
        <w:widowControl/>
        <w:spacing w:before="0" w:beforeAutospacing="0" w:after="0" w:afterAutospacing="0" w:line="0" w:lineRule="atLeast"/>
        <w:ind w:left="0" w:right="0"/>
        <w:rPr>
          <w:rFonts w:hint="eastAsia" w:ascii="宋体" w:hAnsi="宋体" w:eastAsia="宋体" w:cs="宋体"/>
          <w:color w:val="auto"/>
          <w:sz w:val="36"/>
          <w:szCs w:val="36"/>
          <w:highlight w:val="none"/>
          <w:lang w:val="en-US"/>
        </w:rPr>
      </w:pPr>
    </w:p>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highlight w:val="none"/>
          <w:lang w:val="en-US"/>
        </w:rPr>
      </w:pPr>
    </w:p>
    <w:p>
      <w:pPr>
        <w:pStyle w:val="93"/>
        <w:widowControl/>
        <w:spacing w:line="240" w:lineRule="auto"/>
        <w:ind w:left="0" w:firstLine="0" w:firstLineChars="0"/>
        <w:rPr>
          <w:rFonts w:hint="eastAsia" w:ascii="宋体" w:hAnsi="宋体" w:eastAsia="宋体" w:cs="宋体"/>
          <w:color w:val="auto"/>
          <w:highlight w:val="none"/>
          <w:lang w:eastAsia="zh-CN"/>
        </w:rPr>
      </w:pPr>
    </w:p>
    <w:p>
      <w:pPr>
        <w:pStyle w:val="93"/>
        <w:widowControl/>
        <w:spacing w:line="240" w:lineRule="auto"/>
        <w:ind w:left="0" w:firstLine="0" w:firstLineChars="0"/>
        <w:rPr>
          <w:rFonts w:hint="eastAsia" w:ascii="宋体" w:hAnsi="宋体" w:eastAsia="宋体" w:cs="宋体"/>
          <w:color w:val="auto"/>
          <w:highlight w:val="none"/>
          <w:lang w:eastAsia="zh-CN"/>
        </w:rPr>
      </w:pPr>
    </w:p>
    <w:p>
      <w:pPr>
        <w:pStyle w:val="93"/>
        <w:widowControl/>
        <w:spacing w:line="240" w:lineRule="auto"/>
        <w:ind w:left="0" w:firstLine="0" w:firstLineChars="0"/>
        <w:rPr>
          <w:rFonts w:hint="eastAsia" w:ascii="宋体" w:hAnsi="宋体" w:eastAsia="宋体" w:cs="宋体"/>
          <w:color w:val="auto"/>
          <w:highlight w:val="none"/>
          <w:lang w:eastAsia="zh-CN"/>
        </w:rPr>
      </w:pPr>
    </w:p>
    <w:p>
      <w:pPr>
        <w:pStyle w:val="93"/>
        <w:widowControl/>
        <w:spacing w:line="240" w:lineRule="auto"/>
        <w:ind w:left="0" w:firstLine="0" w:firstLineChars="0"/>
        <w:rPr>
          <w:rFonts w:hint="eastAsia" w:ascii="宋体" w:hAnsi="宋体" w:eastAsia="宋体" w:cs="宋体"/>
          <w:color w:val="auto"/>
          <w:highlight w:val="none"/>
          <w:lang w:eastAsia="zh-CN"/>
        </w:rPr>
      </w:pPr>
    </w:p>
    <w:p>
      <w:pPr>
        <w:pStyle w:val="93"/>
        <w:widowControl/>
        <w:spacing w:line="240" w:lineRule="auto"/>
        <w:ind w:left="0" w:firstLine="0" w:firstLineChars="0"/>
        <w:rPr>
          <w:rFonts w:hint="eastAsia" w:ascii="宋体" w:hAnsi="宋体" w:eastAsia="宋体" w:cs="宋体"/>
          <w:color w:val="auto"/>
          <w:highlight w:val="none"/>
          <w:lang w:eastAsia="zh-CN"/>
        </w:rPr>
      </w:pPr>
    </w:p>
    <w:p>
      <w:pPr>
        <w:pStyle w:val="93"/>
        <w:widowControl/>
        <w:spacing w:line="240" w:lineRule="auto"/>
        <w:ind w:left="0" w:firstLine="0" w:firstLineChars="0"/>
        <w:rPr>
          <w:rFonts w:hint="eastAsia" w:ascii="宋体" w:hAnsi="宋体" w:eastAsia="宋体" w:cs="宋体"/>
          <w:color w:val="auto"/>
          <w:highlight w:val="none"/>
          <w:lang w:eastAsia="zh-CN"/>
        </w:rPr>
      </w:pPr>
    </w:p>
    <w:p>
      <w:pPr>
        <w:pStyle w:val="93"/>
        <w:widowControl/>
        <w:spacing w:line="240" w:lineRule="auto"/>
        <w:ind w:left="0" w:firstLine="0" w:firstLineChars="0"/>
        <w:rPr>
          <w:rFonts w:hint="eastAsia" w:ascii="宋体" w:hAnsi="宋体" w:eastAsia="宋体" w:cs="宋体"/>
          <w:color w:val="auto"/>
          <w:highlight w:val="none"/>
          <w:lang w:eastAsia="zh-CN"/>
        </w:rPr>
      </w:pPr>
    </w:p>
    <w:p>
      <w:pPr>
        <w:pStyle w:val="93"/>
        <w:widowControl/>
        <w:spacing w:line="240" w:lineRule="auto"/>
        <w:ind w:left="0" w:firstLine="0" w:firstLineChars="0"/>
        <w:rPr>
          <w:rFonts w:hint="eastAsia" w:ascii="宋体" w:hAnsi="宋体" w:eastAsia="宋体" w:cs="宋体"/>
          <w:color w:val="auto"/>
          <w:highlight w:val="none"/>
          <w:lang w:val="en-US"/>
        </w:rPr>
      </w:pPr>
      <w:r>
        <w:rPr>
          <w:rFonts w:hint="eastAsia" w:ascii="宋体" w:hAnsi="宋体" w:eastAsia="宋体" w:cs="宋体"/>
          <w:color w:val="auto"/>
          <w:highlight w:val="none"/>
          <w:lang w:eastAsia="zh-CN"/>
        </w:rPr>
        <w:t>封面格式</w:t>
      </w:r>
    </w:p>
    <w:p>
      <w:pPr>
        <w:pStyle w:val="93"/>
        <w:widowControl/>
        <w:spacing w:line="240" w:lineRule="auto"/>
        <w:ind w:left="0" w:firstLine="251" w:firstLineChars="70"/>
        <w:rPr>
          <w:rFonts w:hint="eastAsia" w:ascii="宋体" w:hAnsi="宋体" w:eastAsia="宋体" w:cs="宋体"/>
          <w:color w:val="auto"/>
          <w:sz w:val="36"/>
          <w:szCs w:val="36"/>
          <w:highlight w:val="none"/>
          <w:lang w:val="en-US"/>
        </w:rPr>
      </w:pP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60"/>
          <w:szCs w:val="60"/>
          <w:highlight w:val="none"/>
          <w:lang w:val="en-US"/>
        </w:rPr>
      </w:pPr>
    </w:p>
    <w:p>
      <w:pPr>
        <w:keepNext w:val="0"/>
        <w:keepLines w:val="0"/>
        <w:widowControl/>
        <w:suppressLineNumbers w:val="0"/>
        <w:spacing w:before="0" w:beforeAutospacing="0" w:after="0" w:afterAutospacing="0" w:line="500" w:lineRule="exact"/>
        <w:ind w:left="0" w:right="11"/>
        <w:jc w:val="both"/>
        <w:rPr>
          <w:rFonts w:hint="eastAsia" w:ascii="宋体" w:hAnsi="宋体" w:eastAsia="宋体" w:cs="宋体"/>
          <w:color w:val="auto"/>
          <w:highlight w:val="none"/>
          <w:u w:val="single"/>
          <w:lang w:val="en-US"/>
        </w:rPr>
      </w:pPr>
    </w:p>
    <w:p>
      <w:pPr>
        <w:pStyle w:val="93"/>
        <w:widowControl/>
        <w:spacing w:line="240" w:lineRule="auto"/>
        <w:ind w:left="0" w:firstLine="0" w:firstLineChars="0"/>
        <w:jc w:val="center"/>
        <w:outlineLvl w:val="0"/>
        <w:rPr>
          <w:rFonts w:hint="eastAsia" w:ascii="宋体" w:hAnsi="宋体" w:eastAsia="宋体" w:cs="宋体"/>
          <w:color w:val="auto"/>
          <w:sz w:val="96"/>
          <w:szCs w:val="96"/>
          <w:highlight w:val="none"/>
          <w:lang w:val="en-US"/>
        </w:rPr>
      </w:pPr>
      <w:bookmarkStart w:id="173" w:name="_Toc5081"/>
      <w:bookmarkStart w:id="174" w:name="_Toc13132"/>
      <w:bookmarkStart w:id="175" w:name="_Toc5567"/>
      <w:bookmarkStart w:id="176" w:name="_Toc4614"/>
      <w:r>
        <w:rPr>
          <w:rFonts w:hint="eastAsia" w:ascii="宋体" w:hAnsi="宋体" w:eastAsia="宋体" w:cs="宋体"/>
          <w:color w:val="auto"/>
          <w:spacing w:val="323"/>
          <w:kern w:val="0"/>
          <w:sz w:val="96"/>
          <w:szCs w:val="96"/>
          <w:highlight w:val="none"/>
          <w:lang w:eastAsia="zh-CN"/>
        </w:rPr>
        <w:t>响应文件</w:t>
      </w:r>
      <w:bookmarkEnd w:id="173"/>
      <w:bookmarkEnd w:id="174"/>
      <w:bookmarkEnd w:id="175"/>
      <w:bookmarkEnd w:id="176"/>
    </w:p>
    <w:p>
      <w:pPr>
        <w:pStyle w:val="93"/>
        <w:widowControl/>
        <w:spacing w:line="240" w:lineRule="auto"/>
        <w:ind w:left="0" w:firstLine="0" w:firstLineChars="0"/>
        <w:rPr>
          <w:rFonts w:hint="eastAsia" w:ascii="宋体" w:hAnsi="宋体" w:eastAsia="宋体" w:cs="宋体"/>
          <w:color w:val="auto"/>
          <w:sz w:val="36"/>
          <w:szCs w:val="28"/>
          <w:highlight w:val="none"/>
          <w:lang w:val="en-US"/>
        </w:rPr>
      </w:pPr>
    </w:p>
    <w:p>
      <w:pPr>
        <w:pStyle w:val="93"/>
        <w:widowControl/>
        <w:spacing w:line="240" w:lineRule="auto"/>
        <w:ind w:left="0" w:firstLine="0" w:firstLineChars="0"/>
        <w:rPr>
          <w:rFonts w:hint="eastAsia" w:ascii="宋体" w:hAnsi="宋体" w:eastAsia="宋体" w:cs="宋体"/>
          <w:color w:val="auto"/>
          <w:sz w:val="36"/>
          <w:szCs w:val="28"/>
          <w:highlight w:val="none"/>
          <w:lang w:val="en-US"/>
        </w:rPr>
      </w:pPr>
    </w:p>
    <w:p>
      <w:pPr>
        <w:pStyle w:val="93"/>
        <w:widowControl/>
        <w:spacing w:line="240" w:lineRule="auto"/>
        <w:ind w:left="0" w:firstLine="0" w:firstLineChars="0"/>
        <w:rPr>
          <w:rFonts w:hint="eastAsia" w:ascii="宋体" w:hAnsi="宋体" w:eastAsia="宋体" w:cs="宋体"/>
          <w:color w:val="auto"/>
          <w:sz w:val="36"/>
          <w:szCs w:val="28"/>
          <w:highlight w:val="none"/>
          <w:lang w:val="en-US"/>
        </w:rPr>
      </w:pPr>
    </w:p>
    <w:p>
      <w:pPr>
        <w:pStyle w:val="93"/>
        <w:widowControl/>
        <w:spacing w:line="240" w:lineRule="auto"/>
        <w:ind w:left="0" w:firstLine="0" w:firstLineChars="0"/>
        <w:rPr>
          <w:rFonts w:hint="eastAsia" w:ascii="宋体" w:hAnsi="宋体" w:eastAsia="宋体" w:cs="宋体"/>
          <w:color w:val="auto"/>
          <w:sz w:val="36"/>
          <w:szCs w:val="28"/>
          <w:highlight w:val="none"/>
          <w:lang w:val="en-US"/>
        </w:rPr>
      </w:pPr>
    </w:p>
    <w:p>
      <w:pPr>
        <w:pStyle w:val="93"/>
        <w:widowControl/>
        <w:spacing w:line="240" w:lineRule="auto"/>
        <w:ind w:left="0" w:firstLine="0" w:firstLineChars="0"/>
        <w:rPr>
          <w:rFonts w:hint="eastAsia" w:ascii="宋体" w:hAnsi="宋体" w:eastAsia="宋体" w:cs="宋体"/>
          <w:color w:val="auto"/>
          <w:sz w:val="36"/>
          <w:szCs w:val="28"/>
          <w:highlight w:val="none"/>
          <w:lang w:val="en-US"/>
        </w:rPr>
      </w:pPr>
    </w:p>
    <w:p>
      <w:pPr>
        <w:pStyle w:val="93"/>
        <w:widowControl/>
        <w:spacing w:line="240" w:lineRule="auto"/>
        <w:ind w:left="0" w:firstLine="1440" w:firstLineChars="400"/>
        <w:outlineLvl w:val="0"/>
        <w:rPr>
          <w:rFonts w:hint="eastAsia" w:ascii="宋体" w:hAnsi="宋体" w:eastAsia="宋体" w:cs="宋体"/>
          <w:b/>
          <w:bCs w:val="0"/>
          <w:color w:val="auto"/>
          <w:sz w:val="36"/>
          <w:szCs w:val="36"/>
          <w:highlight w:val="none"/>
          <w:u w:val="single"/>
          <w:lang w:val="en-US"/>
        </w:rPr>
      </w:pPr>
      <w:bookmarkStart w:id="177" w:name="_Toc9624"/>
      <w:bookmarkStart w:id="178" w:name="_Toc12174"/>
      <w:bookmarkStart w:id="179" w:name="_Toc7049"/>
      <w:bookmarkStart w:id="180" w:name="_Toc9905"/>
      <w:r>
        <w:rPr>
          <w:rFonts w:hint="eastAsia" w:ascii="宋体" w:hAnsi="宋体" w:eastAsia="宋体" w:cs="宋体"/>
          <w:bCs/>
          <w:color w:val="auto"/>
          <w:sz w:val="36"/>
          <w:szCs w:val="36"/>
          <w:highlight w:val="none"/>
          <w:lang w:eastAsia="zh-CN"/>
        </w:rPr>
        <w:t>项目名称：</w:t>
      </w:r>
      <w:bookmarkEnd w:id="177"/>
      <w:bookmarkEnd w:id="178"/>
      <w:bookmarkEnd w:id="179"/>
      <w:bookmarkEnd w:id="180"/>
    </w:p>
    <w:p>
      <w:pPr>
        <w:pStyle w:val="93"/>
        <w:widowControl/>
        <w:spacing w:line="240" w:lineRule="auto"/>
        <w:ind w:left="0" w:firstLine="1440" w:firstLineChars="400"/>
        <w:outlineLvl w:val="0"/>
        <w:rPr>
          <w:rFonts w:hint="eastAsia" w:ascii="宋体" w:hAnsi="宋体" w:eastAsia="宋体" w:cs="宋体"/>
          <w:color w:val="auto"/>
          <w:sz w:val="36"/>
          <w:szCs w:val="36"/>
          <w:highlight w:val="none"/>
          <w:lang w:val="en-US"/>
        </w:rPr>
      </w:pPr>
      <w:bookmarkStart w:id="181" w:name="_Toc16102"/>
      <w:bookmarkStart w:id="182" w:name="_Toc12918"/>
      <w:bookmarkStart w:id="183" w:name="_Toc9645"/>
      <w:bookmarkStart w:id="184" w:name="_Toc30870"/>
      <w:r>
        <w:rPr>
          <w:rFonts w:hint="eastAsia" w:ascii="宋体" w:hAnsi="宋体" w:eastAsia="宋体" w:cs="宋体"/>
          <w:color w:val="auto"/>
          <w:sz w:val="36"/>
          <w:szCs w:val="36"/>
          <w:highlight w:val="none"/>
          <w:lang w:eastAsia="zh-CN"/>
        </w:rPr>
        <w:t>项目编号：</w:t>
      </w:r>
      <w:bookmarkEnd w:id="181"/>
      <w:bookmarkEnd w:id="182"/>
      <w:bookmarkEnd w:id="183"/>
      <w:bookmarkEnd w:id="184"/>
    </w:p>
    <w:p>
      <w:pPr>
        <w:pStyle w:val="93"/>
        <w:widowControl/>
        <w:spacing w:line="240" w:lineRule="auto"/>
        <w:ind w:left="0" w:firstLine="1440" w:firstLineChars="400"/>
        <w:outlineLvl w:val="0"/>
        <w:rPr>
          <w:rFonts w:hint="eastAsia" w:ascii="宋体" w:hAnsi="宋体" w:eastAsia="宋体" w:cs="宋体"/>
          <w:color w:val="auto"/>
          <w:sz w:val="36"/>
          <w:szCs w:val="28"/>
          <w:highlight w:val="none"/>
          <w:lang w:val="en-US"/>
        </w:rPr>
      </w:pPr>
      <w:bookmarkStart w:id="185" w:name="_Toc26783"/>
      <w:bookmarkStart w:id="186" w:name="_Toc13229"/>
      <w:bookmarkStart w:id="187" w:name="_Toc28191"/>
      <w:bookmarkStart w:id="188" w:name="_Toc6291"/>
      <w:r>
        <w:rPr>
          <w:rFonts w:hint="eastAsia" w:ascii="宋体" w:hAnsi="宋体" w:eastAsia="宋体" w:cs="宋体"/>
          <w:color w:val="auto"/>
          <w:sz w:val="36"/>
          <w:szCs w:val="28"/>
          <w:highlight w:val="none"/>
          <w:lang w:eastAsia="zh-CN"/>
        </w:rPr>
        <w:t>供 应 商：（盖章）</w:t>
      </w:r>
      <w:bookmarkEnd w:id="185"/>
      <w:bookmarkEnd w:id="186"/>
      <w:bookmarkEnd w:id="187"/>
      <w:bookmarkEnd w:id="188"/>
    </w:p>
    <w:p>
      <w:pPr>
        <w:ind w:firstLine="1440" w:firstLineChars="400"/>
        <w:rPr>
          <w:rFonts w:hint="eastAsia" w:ascii="宋体" w:hAnsi="宋体" w:eastAsia="宋体" w:cs="宋体"/>
          <w:color w:val="auto"/>
          <w:highlight w:val="none"/>
          <w:lang w:val="en-US" w:eastAsia="zh-CN"/>
        </w:rPr>
      </w:pPr>
      <w:bookmarkStart w:id="189" w:name="_Toc15242"/>
      <w:r>
        <w:rPr>
          <w:rFonts w:hint="eastAsia" w:ascii="宋体" w:hAnsi="宋体" w:eastAsia="宋体" w:cs="宋体"/>
          <w:color w:val="auto"/>
          <w:sz w:val="36"/>
          <w:szCs w:val="28"/>
          <w:highlight w:val="none"/>
          <w:lang w:eastAsia="zh-CN"/>
        </w:rPr>
        <w:t>时</w:t>
      </w:r>
      <w:r>
        <w:rPr>
          <w:rFonts w:hint="eastAsia" w:ascii="宋体" w:hAnsi="宋体" w:eastAsia="宋体" w:cs="宋体"/>
          <w:color w:val="auto"/>
          <w:sz w:val="36"/>
          <w:szCs w:val="28"/>
          <w:highlight w:val="none"/>
          <w:lang w:val="en-US"/>
        </w:rPr>
        <w:t xml:space="preserve">  </w:t>
      </w:r>
      <w:r>
        <w:rPr>
          <w:rFonts w:hint="eastAsia" w:ascii="宋体" w:hAnsi="宋体" w:eastAsia="宋体" w:cs="宋体"/>
          <w:color w:val="auto"/>
          <w:sz w:val="36"/>
          <w:szCs w:val="28"/>
          <w:highlight w:val="none"/>
          <w:lang w:eastAsia="zh-CN"/>
        </w:rPr>
        <w:t>　间：</w:t>
      </w:r>
      <w:r>
        <w:rPr>
          <w:rFonts w:hint="eastAsia" w:ascii="宋体" w:hAnsi="宋体" w:eastAsia="宋体" w:cs="宋体"/>
          <w:color w:val="auto"/>
          <w:sz w:val="36"/>
          <w:szCs w:val="28"/>
          <w:highlight w:val="none"/>
          <w:lang w:val="en-US"/>
        </w:rPr>
        <w:br w:type="page"/>
      </w:r>
      <w:bookmarkEnd w:id="189"/>
    </w:p>
    <w:p>
      <w:pPr>
        <w:widowControl/>
        <w:jc w:val="center"/>
        <w:outlineLvl w:val="0"/>
        <w:rPr>
          <w:rFonts w:hint="eastAsia" w:ascii="宋体" w:hAnsi="宋体" w:eastAsia="宋体" w:cs="宋体"/>
          <w:b/>
          <w:color w:val="auto"/>
          <w:sz w:val="44"/>
          <w:szCs w:val="44"/>
          <w:highlight w:val="none"/>
        </w:rPr>
      </w:pPr>
      <w:bookmarkStart w:id="190" w:name="_Toc27100"/>
      <w:bookmarkStart w:id="191" w:name="_Toc32362"/>
      <w:r>
        <w:rPr>
          <w:rFonts w:hint="eastAsia" w:ascii="宋体" w:hAnsi="宋体" w:eastAsia="宋体" w:cs="宋体"/>
          <w:b/>
          <w:color w:val="auto"/>
          <w:sz w:val="44"/>
          <w:szCs w:val="44"/>
          <w:highlight w:val="none"/>
        </w:rPr>
        <w:t>目  录</w:t>
      </w:r>
      <w:bookmarkEnd w:id="190"/>
      <w:bookmarkEnd w:id="191"/>
    </w:p>
    <w:p>
      <w:pPr>
        <w:widowControl/>
        <w:jc w:val="center"/>
        <w:rPr>
          <w:rFonts w:hint="eastAsia" w:ascii="宋体" w:hAnsi="宋体" w:eastAsia="宋体" w:cs="宋体"/>
          <w:b/>
          <w:color w:val="auto"/>
          <w:sz w:val="36"/>
          <w:szCs w:val="36"/>
          <w:highlight w:val="none"/>
        </w:rPr>
      </w:pPr>
    </w:p>
    <w:p>
      <w:pPr>
        <w:widowControl/>
        <w:tabs>
          <w:tab w:val="right" w:leader="hyphen" w:pos="8504"/>
        </w:tabs>
        <w:ind w:left="2220" w:leftChars="200" w:right="630" w:rightChars="300" w:hanging="1800" w:hangingChars="500"/>
        <w:outlineLvl w:val="0"/>
        <w:rPr>
          <w:rFonts w:hint="eastAsia" w:ascii="宋体" w:hAnsi="宋体" w:eastAsia="宋体" w:cs="宋体"/>
          <w:color w:val="auto"/>
          <w:sz w:val="36"/>
          <w:szCs w:val="28"/>
          <w:highlight w:val="none"/>
        </w:rPr>
      </w:pPr>
      <w:bookmarkStart w:id="192" w:name="_Toc313"/>
      <w:bookmarkStart w:id="193" w:name="_Toc7734"/>
      <w:r>
        <w:rPr>
          <w:rFonts w:hint="eastAsia" w:ascii="宋体" w:hAnsi="宋体" w:eastAsia="宋体" w:cs="宋体"/>
          <w:color w:val="auto"/>
          <w:sz w:val="36"/>
          <w:szCs w:val="28"/>
          <w:highlight w:val="none"/>
        </w:rPr>
        <w:t>第一部分  响应函</w:t>
      </w:r>
      <w:r>
        <w:rPr>
          <w:rFonts w:hint="eastAsia" w:ascii="宋体" w:hAnsi="宋体" w:eastAsia="宋体" w:cs="宋体"/>
          <w:color w:val="auto"/>
          <w:sz w:val="36"/>
          <w:szCs w:val="28"/>
          <w:highlight w:val="none"/>
        </w:rPr>
        <w:tab/>
      </w:r>
      <w:r>
        <w:rPr>
          <w:rFonts w:hint="eastAsia" w:ascii="宋体" w:hAnsi="宋体" w:eastAsia="宋体" w:cs="宋体"/>
          <w:color w:val="auto"/>
          <w:sz w:val="36"/>
          <w:szCs w:val="28"/>
          <w:highlight w:val="none"/>
        </w:rPr>
        <w:t>X</w:t>
      </w:r>
      <w:bookmarkEnd w:id="192"/>
      <w:bookmarkEnd w:id="193"/>
    </w:p>
    <w:p>
      <w:pPr>
        <w:widowControl/>
        <w:tabs>
          <w:tab w:val="right" w:leader="hyphen" w:pos="8504"/>
        </w:tabs>
        <w:ind w:left="2220" w:leftChars="200" w:right="630" w:rightChars="300" w:hanging="1800" w:hangingChars="500"/>
        <w:outlineLvl w:val="0"/>
        <w:rPr>
          <w:rFonts w:hint="eastAsia" w:ascii="宋体" w:hAnsi="宋体" w:eastAsia="宋体" w:cs="宋体"/>
          <w:color w:val="auto"/>
          <w:sz w:val="36"/>
          <w:szCs w:val="28"/>
          <w:highlight w:val="none"/>
        </w:rPr>
      </w:pPr>
      <w:bookmarkStart w:id="194" w:name="_Toc22149"/>
      <w:bookmarkStart w:id="195" w:name="_Toc5304"/>
      <w:r>
        <w:rPr>
          <w:rFonts w:hint="eastAsia" w:ascii="宋体" w:hAnsi="宋体" w:eastAsia="宋体" w:cs="宋体"/>
          <w:color w:val="auto"/>
          <w:sz w:val="36"/>
          <w:szCs w:val="28"/>
          <w:highlight w:val="none"/>
        </w:rPr>
        <w:t>第二部分  第一次</w:t>
      </w:r>
      <w:r>
        <w:rPr>
          <w:rFonts w:hint="eastAsia" w:ascii="宋体" w:hAnsi="宋体" w:eastAsia="宋体" w:cs="宋体"/>
          <w:color w:val="auto"/>
          <w:sz w:val="36"/>
          <w:szCs w:val="28"/>
          <w:highlight w:val="none"/>
          <w:lang w:eastAsia="zh-CN"/>
        </w:rPr>
        <w:t>谈判</w:t>
      </w:r>
      <w:r>
        <w:rPr>
          <w:rFonts w:hint="eastAsia" w:ascii="宋体" w:hAnsi="宋体" w:eastAsia="宋体" w:cs="宋体"/>
          <w:color w:val="auto"/>
          <w:sz w:val="36"/>
          <w:szCs w:val="28"/>
          <w:highlight w:val="none"/>
        </w:rPr>
        <w:t>报价表</w:t>
      </w:r>
      <w:r>
        <w:rPr>
          <w:rFonts w:hint="eastAsia" w:ascii="宋体" w:hAnsi="宋体" w:eastAsia="宋体" w:cs="宋体"/>
          <w:color w:val="auto"/>
          <w:sz w:val="36"/>
          <w:szCs w:val="28"/>
          <w:highlight w:val="none"/>
        </w:rPr>
        <w:tab/>
      </w:r>
      <w:r>
        <w:rPr>
          <w:rFonts w:hint="eastAsia" w:ascii="宋体" w:hAnsi="宋体" w:eastAsia="宋体" w:cs="宋体"/>
          <w:color w:val="auto"/>
          <w:sz w:val="36"/>
          <w:szCs w:val="28"/>
          <w:highlight w:val="none"/>
        </w:rPr>
        <w:t>X</w:t>
      </w:r>
      <w:bookmarkEnd w:id="194"/>
      <w:bookmarkEnd w:id="195"/>
    </w:p>
    <w:p>
      <w:pPr>
        <w:widowControl/>
        <w:tabs>
          <w:tab w:val="right" w:leader="hyphen" w:pos="8504"/>
        </w:tabs>
        <w:ind w:left="1470" w:leftChars="700" w:right="630" w:rightChars="300" w:firstLine="720" w:firstLineChars="200"/>
        <w:rPr>
          <w:rFonts w:hint="eastAsia" w:ascii="宋体" w:hAnsi="宋体" w:eastAsia="宋体" w:cs="宋体"/>
          <w:color w:val="auto"/>
          <w:sz w:val="36"/>
          <w:szCs w:val="28"/>
          <w:highlight w:val="none"/>
        </w:rPr>
      </w:pPr>
      <w:r>
        <w:rPr>
          <w:rFonts w:hint="eastAsia" w:ascii="宋体" w:hAnsi="宋体" w:eastAsia="宋体" w:cs="宋体"/>
          <w:color w:val="auto"/>
          <w:sz w:val="36"/>
          <w:szCs w:val="28"/>
          <w:highlight w:val="none"/>
        </w:rPr>
        <w:t>费用明细表</w:t>
      </w:r>
      <w:r>
        <w:rPr>
          <w:rFonts w:hint="eastAsia" w:ascii="宋体" w:hAnsi="宋体" w:eastAsia="宋体" w:cs="宋体"/>
          <w:color w:val="auto"/>
          <w:sz w:val="36"/>
          <w:szCs w:val="28"/>
          <w:highlight w:val="none"/>
        </w:rPr>
        <w:tab/>
      </w:r>
      <w:r>
        <w:rPr>
          <w:rFonts w:hint="eastAsia" w:ascii="宋体" w:hAnsi="宋体" w:eastAsia="宋体" w:cs="宋体"/>
          <w:color w:val="auto"/>
          <w:sz w:val="36"/>
          <w:szCs w:val="28"/>
          <w:highlight w:val="none"/>
        </w:rPr>
        <w:t>X</w:t>
      </w:r>
    </w:p>
    <w:p>
      <w:pPr>
        <w:widowControl/>
        <w:tabs>
          <w:tab w:val="right" w:leader="hyphen" w:pos="8504"/>
        </w:tabs>
        <w:ind w:left="2220" w:leftChars="200" w:right="630" w:rightChars="300" w:hanging="1800" w:hangingChars="500"/>
        <w:outlineLvl w:val="0"/>
        <w:rPr>
          <w:rFonts w:hint="eastAsia" w:ascii="宋体" w:hAnsi="宋体" w:eastAsia="宋体" w:cs="宋体"/>
          <w:color w:val="auto"/>
          <w:sz w:val="36"/>
          <w:szCs w:val="28"/>
          <w:highlight w:val="none"/>
        </w:rPr>
      </w:pPr>
      <w:bookmarkStart w:id="196" w:name="_Toc4594"/>
      <w:bookmarkStart w:id="197" w:name="_Toc9575"/>
      <w:r>
        <w:rPr>
          <w:rFonts w:hint="eastAsia" w:ascii="宋体" w:hAnsi="宋体" w:eastAsia="宋体" w:cs="宋体"/>
          <w:color w:val="auto"/>
          <w:sz w:val="36"/>
          <w:szCs w:val="28"/>
          <w:highlight w:val="none"/>
        </w:rPr>
        <w:t>第三部分  资格证明文件</w:t>
      </w:r>
      <w:r>
        <w:rPr>
          <w:rFonts w:hint="eastAsia" w:ascii="宋体" w:hAnsi="宋体" w:eastAsia="宋体" w:cs="宋体"/>
          <w:color w:val="auto"/>
          <w:sz w:val="36"/>
          <w:szCs w:val="28"/>
          <w:highlight w:val="none"/>
        </w:rPr>
        <w:tab/>
      </w:r>
      <w:r>
        <w:rPr>
          <w:rFonts w:hint="eastAsia" w:ascii="宋体" w:hAnsi="宋体" w:eastAsia="宋体" w:cs="宋体"/>
          <w:color w:val="auto"/>
          <w:sz w:val="36"/>
          <w:szCs w:val="28"/>
          <w:highlight w:val="none"/>
        </w:rPr>
        <w:t>X</w:t>
      </w:r>
      <w:bookmarkEnd w:id="196"/>
      <w:bookmarkEnd w:id="197"/>
    </w:p>
    <w:p>
      <w:pPr>
        <w:widowControl/>
        <w:tabs>
          <w:tab w:val="right" w:leader="hyphen" w:pos="8504"/>
        </w:tabs>
        <w:ind w:left="2220" w:leftChars="200" w:right="630" w:rightChars="300" w:hanging="1800" w:hangingChars="500"/>
        <w:outlineLvl w:val="0"/>
        <w:rPr>
          <w:rFonts w:hint="eastAsia" w:ascii="宋体" w:hAnsi="宋体" w:eastAsia="宋体" w:cs="宋体"/>
          <w:color w:val="auto"/>
          <w:sz w:val="36"/>
          <w:szCs w:val="28"/>
          <w:highlight w:val="none"/>
        </w:rPr>
      </w:pPr>
      <w:bookmarkStart w:id="198" w:name="_Toc26037"/>
      <w:bookmarkStart w:id="199" w:name="_Toc21668"/>
      <w:r>
        <w:rPr>
          <w:rFonts w:hint="eastAsia" w:ascii="宋体" w:hAnsi="宋体" w:eastAsia="宋体" w:cs="宋体"/>
          <w:color w:val="auto"/>
          <w:sz w:val="36"/>
          <w:szCs w:val="28"/>
          <w:highlight w:val="none"/>
        </w:rPr>
        <w:t xml:space="preserve">第四部分  </w:t>
      </w:r>
      <w:r>
        <w:rPr>
          <w:rFonts w:hint="eastAsia" w:ascii="宋体" w:hAnsi="宋体" w:eastAsia="宋体" w:cs="宋体"/>
          <w:color w:val="auto"/>
          <w:sz w:val="36"/>
          <w:szCs w:val="28"/>
          <w:highlight w:val="none"/>
          <w:lang w:eastAsia="zh-CN"/>
        </w:rPr>
        <w:t>服务商</w:t>
      </w:r>
      <w:r>
        <w:rPr>
          <w:rFonts w:hint="eastAsia" w:ascii="宋体" w:hAnsi="宋体" w:eastAsia="宋体" w:cs="宋体"/>
          <w:color w:val="auto"/>
          <w:sz w:val="36"/>
          <w:szCs w:val="28"/>
          <w:highlight w:val="none"/>
        </w:rPr>
        <w:t>概况</w:t>
      </w:r>
      <w:r>
        <w:rPr>
          <w:rFonts w:hint="eastAsia" w:ascii="宋体" w:hAnsi="宋体" w:eastAsia="宋体" w:cs="宋体"/>
          <w:color w:val="auto"/>
          <w:sz w:val="36"/>
          <w:szCs w:val="28"/>
          <w:highlight w:val="none"/>
        </w:rPr>
        <w:tab/>
      </w:r>
      <w:r>
        <w:rPr>
          <w:rFonts w:hint="eastAsia" w:ascii="宋体" w:hAnsi="宋体" w:eastAsia="宋体" w:cs="宋体"/>
          <w:color w:val="auto"/>
          <w:sz w:val="36"/>
          <w:szCs w:val="28"/>
          <w:highlight w:val="none"/>
        </w:rPr>
        <w:t>X</w:t>
      </w:r>
      <w:bookmarkEnd w:id="198"/>
      <w:bookmarkEnd w:id="199"/>
    </w:p>
    <w:p>
      <w:pPr>
        <w:widowControl/>
        <w:tabs>
          <w:tab w:val="right" w:leader="hyphen" w:pos="8504"/>
        </w:tabs>
        <w:ind w:left="2220" w:leftChars="200" w:right="630" w:rightChars="300" w:hanging="1800" w:hangingChars="500"/>
        <w:outlineLvl w:val="0"/>
        <w:rPr>
          <w:rFonts w:hint="eastAsia" w:ascii="宋体" w:hAnsi="宋体" w:eastAsia="宋体" w:cs="宋体"/>
          <w:color w:val="auto"/>
          <w:sz w:val="36"/>
          <w:szCs w:val="28"/>
          <w:highlight w:val="none"/>
        </w:rPr>
      </w:pPr>
      <w:bookmarkStart w:id="200" w:name="_Toc32520"/>
      <w:bookmarkStart w:id="201" w:name="_Toc6835"/>
      <w:r>
        <w:rPr>
          <w:rFonts w:hint="eastAsia" w:ascii="宋体" w:hAnsi="宋体" w:eastAsia="宋体" w:cs="宋体"/>
          <w:color w:val="auto"/>
          <w:sz w:val="36"/>
          <w:szCs w:val="28"/>
          <w:highlight w:val="none"/>
        </w:rPr>
        <w:t xml:space="preserve">第五部分  </w:t>
      </w:r>
      <w:r>
        <w:rPr>
          <w:rFonts w:hint="eastAsia" w:ascii="宋体" w:hAnsi="宋体" w:eastAsia="宋体" w:cs="宋体"/>
          <w:color w:val="auto"/>
          <w:sz w:val="36"/>
          <w:szCs w:val="28"/>
          <w:highlight w:val="none"/>
          <w:lang w:eastAsia="zh-CN"/>
        </w:rPr>
        <w:t>服务商</w:t>
      </w:r>
      <w:r>
        <w:rPr>
          <w:rFonts w:hint="eastAsia" w:ascii="宋体" w:hAnsi="宋体" w:eastAsia="宋体" w:cs="宋体"/>
          <w:color w:val="auto"/>
          <w:sz w:val="36"/>
          <w:szCs w:val="28"/>
          <w:highlight w:val="none"/>
        </w:rPr>
        <w:t>参加政府采购活动承诺书</w:t>
      </w:r>
      <w:r>
        <w:rPr>
          <w:rFonts w:hint="eastAsia" w:ascii="宋体" w:hAnsi="宋体" w:eastAsia="宋体" w:cs="宋体"/>
          <w:color w:val="auto"/>
          <w:sz w:val="36"/>
          <w:szCs w:val="28"/>
          <w:highlight w:val="none"/>
        </w:rPr>
        <w:tab/>
      </w:r>
      <w:r>
        <w:rPr>
          <w:rFonts w:hint="eastAsia" w:ascii="宋体" w:hAnsi="宋体" w:eastAsia="宋体" w:cs="宋体"/>
          <w:color w:val="auto"/>
          <w:sz w:val="36"/>
          <w:szCs w:val="28"/>
          <w:highlight w:val="none"/>
        </w:rPr>
        <w:t>X</w:t>
      </w:r>
      <w:bookmarkEnd w:id="200"/>
      <w:bookmarkEnd w:id="201"/>
    </w:p>
    <w:p>
      <w:pPr>
        <w:widowControl/>
        <w:tabs>
          <w:tab w:val="right" w:leader="hyphen" w:pos="8504"/>
        </w:tabs>
        <w:ind w:left="2220" w:leftChars="200" w:right="630" w:rightChars="300" w:hanging="1800" w:hangingChars="500"/>
        <w:outlineLvl w:val="0"/>
        <w:rPr>
          <w:rFonts w:hint="eastAsia" w:ascii="宋体" w:hAnsi="宋体" w:eastAsia="宋体" w:cs="宋体"/>
          <w:color w:val="auto"/>
          <w:sz w:val="36"/>
          <w:szCs w:val="28"/>
          <w:highlight w:val="none"/>
        </w:rPr>
      </w:pPr>
      <w:bookmarkStart w:id="202" w:name="_Toc20585"/>
      <w:bookmarkStart w:id="203" w:name="_Toc5857"/>
      <w:r>
        <w:rPr>
          <w:rFonts w:hint="eastAsia" w:ascii="宋体" w:hAnsi="宋体" w:eastAsia="宋体" w:cs="宋体"/>
          <w:color w:val="auto"/>
          <w:sz w:val="36"/>
          <w:szCs w:val="28"/>
          <w:highlight w:val="none"/>
        </w:rPr>
        <w:t>第六部分  响应方案</w:t>
      </w:r>
      <w:r>
        <w:rPr>
          <w:rFonts w:hint="eastAsia" w:ascii="宋体" w:hAnsi="宋体" w:eastAsia="宋体" w:cs="宋体"/>
          <w:color w:val="auto"/>
          <w:sz w:val="36"/>
          <w:szCs w:val="28"/>
          <w:highlight w:val="none"/>
        </w:rPr>
        <w:tab/>
      </w:r>
      <w:r>
        <w:rPr>
          <w:rFonts w:hint="eastAsia" w:ascii="宋体" w:hAnsi="宋体" w:eastAsia="宋体" w:cs="宋体"/>
          <w:color w:val="auto"/>
          <w:sz w:val="36"/>
          <w:szCs w:val="28"/>
          <w:highlight w:val="none"/>
        </w:rPr>
        <w:t>X</w:t>
      </w:r>
      <w:bookmarkEnd w:id="202"/>
      <w:bookmarkEnd w:id="203"/>
    </w:p>
    <w:p>
      <w:pPr>
        <w:widowControl/>
        <w:jc w:val="center"/>
        <w:outlineLvl w:val="0"/>
        <w:rPr>
          <w:rFonts w:hint="eastAsia" w:ascii="宋体" w:hAnsi="宋体" w:eastAsia="宋体" w:cs="宋体"/>
          <w:color w:val="auto"/>
          <w:sz w:val="32"/>
          <w:szCs w:val="36"/>
          <w:highlight w:val="none"/>
        </w:rPr>
      </w:pPr>
      <w:r>
        <w:rPr>
          <w:rFonts w:hint="eastAsia" w:ascii="宋体" w:hAnsi="宋体" w:eastAsia="宋体" w:cs="宋体"/>
          <w:color w:val="auto"/>
          <w:sz w:val="32"/>
          <w:szCs w:val="36"/>
          <w:highlight w:val="none"/>
        </w:rPr>
        <w:br w:type="page"/>
      </w:r>
      <w:bookmarkStart w:id="204" w:name="_Toc6709"/>
      <w:bookmarkStart w:id="205" w:name="_Toc12970"/>
      <w:r>
        <w:rPr>
          <w:rFonts w:hint="eastAsia" w:ascii="宋体" w:hAnsi="宋体" w:eastAsia="宋体" w:cs="宋体"/>
          <w:b/>
          <w:bCs/>
          <w:color w:val="auto"/>
          <w:sz w:val="32"/>
          <w:szCs w:val="36"/>
          <w:highlight w:val="none"/>
        </w:rPr>
        <w:t>第一部分  响应函</w:t>
      </w:r>
      <w:bookmarkEnd w:id="204"/>
      <w:bookmarkEnd w:id="205"/>
    </w:p>
    <w:p>
      <w:pPr>
        <w:widowControl/>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我方收到</w:t>
      </w:r>
      <w:r>
        <w:rPr>
          <w:rFonts w:hint="eastAsia" w:ascii="宋体" w:hAnsi="宋体" w:eastAsia="宋体" w:cs="宋体"/>
          <w:color w:val="auto"/>
          <w:sz w:val="28"/>
          <w:szCs w:val="28"/>
          <w:highlight w:val="none"/>
          <w:lang w:val="en-US" w:eastAsia="zh-CN"/>
        </w:rPr>
        <w:t>本项目</w:t>
      </w:r>
      <w:r>
        <w:rPr>
          <w:rFonts w:hint="eastAsia" w:ascii="宋体" w:hAnsi="宋体" w:eastAsia="宋体" w:cs="宋体"/>
          <w:color w:val="auto"/>
          <w:sz w:val="28"/>
          <w:szCs w:val="28"/>
          <w:highlight w:val="none"/>
        </w:rPr>
        <w:t>发布的</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项目名称</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（项目编号）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，经详细研究，我方决定参加该项目的</w:t>
      </w:r>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活动。为此，我方郑重声明以下诸点，并负法律责任。</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一、我方已详细阅读了</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，完全理解并同意</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的所有事项及内容。</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二、我方已悉知并关注了</w:t>
      </w:r>
      <w:r>
        <w:rPr>
          <w:rFonts w:hint="eastAsia" w:ascii="宋体" w:hAnsi="宋体" w:eastAsia="宋体" w:cs="宋体"/>
          <w:color w:val="auto"/>
          <w:sz w:val="28"/>
          <w:szCs w:val="28"/>
          <w:highlight w:val="none"/>
          <w:lang w:val="en-US" w:eastAsia="zh-CN"/>
        </w:rPr>
        <w:t>本项目</w:t>
      </w:r>
      <w:r>
        <w:rPr>
          <w:rFonts w:hint="eastAsia" w:ascii="宋体" w:hAnsi="宋体" w:eastAsia="宋体" w:cs="宋体"/>
          <w:color w:val="auto"/>
          <w:sz w:val="28"/>
          <w:szCs w:val="28"/>
          <w:highlight w:val="none"/>
        </w:rPr>
        <w:t>在政府采购信息发布媒体（详见第二章第三小节第（三）项中的“</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的修改、澄清”）上发布的关于本项目的有关变更公告（包括但不限于对</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做出的修改或澄清、答疑纪要，以及项目暂停、重启、延期、终止等）。</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三、我方同意向</w:t>
      </w:r>
      <w:r>
        <w:rPr>
          <w:rFonts w:hint="eastAsia" w:ascii="宋体" w:hAnsi="宋体" w:eastAsia="宋体" w:cs="宋体"/>
          <w:color w:val="auto"/>
          <w:sz w:val="28"/>
          <w:szCs w:val="28"/>
          <w:highlight w:val="none"/>
          <w:lang w:val="en-US" w:eastAsia="zh-CN"/>
        </w:rPr>
        <w:t>本项目</w:t>
      </w:r>
      <w:r>
        <w:rPr>
          <w:rFonts w:hint="eastAsia" w:ascii="宋体" w:hAnsi="宋体" w:eastAsia="宋体" w:cs="宋体"/>
          <w:color w:val="auto"/>
          <w:sz w:val="28"/>
          <w:szCs w:val="28"/>
          <w:highlight w:val="none"/>
        </w:rPr>
        <w:t>提供与本次</w:t>
      </w:r>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有关的任何证明材料，并保证所提交的证明材料真实、合法、有效。我方理解最低价不是成交的唯一条件，并尊重</w:t>
      </w:r>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小组的评审结果。</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四、我方愿意按照</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中的一切要求，完成本项目的合同责任和义务。</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五、若我方成交，我方将在领取成交通知书时提交纸质响应文件正本一套、副本两套。</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六、我方的响应文件</w:t>
      </w:r>
      <w:r>
        <w:rPr>
          <w:rFonts w:hint="eastAsia" w:ascii="宋体" w:hAnsi="宋体" w:eastAsia="宋体" w:cs="宋体"/>
          <w:color w:val="auto"/>
          <w:sz w:val="28"/>
          <w:szCs w:val="28"/>
          <w:highlight w:val="none"/>
          <w:lang w:val="en-US" w:eastAsia="zh-CN"/>
        </w:rPr>
        <w:t>的有效期为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内有效。</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七、所有关于此次</w:t>
      </w:r>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活动的函电，请按下列地址联系：</w:t>
      </w:r>
    </w:p>
    <w:p>
      <w:pPr>
        <w:widowControl/>
        <w:spacing w:line="400" w:lineRule="exact"/>
        <w:ind w:firstLine="567"/>
        <w:rPr>
          <w:rFonts w:hint="eastAsia" w:ascii="宋体" w:hAnsi="宋体" w:eastAsia="宋体" w:cs="宋体"/>
          <w:color w:val="auto"/>
          <w:sz w:val="28"/>
          <w:szCs w:val="28"/>
          <w:highlight w:val="none"/>
        </w:rPr>
      </w:pPr>
    </w:p>
    <w:p>
      <w:pPr>
        <w:widowControl/>
        <w:spacing w:line="400" w:lineRule="exact"/>
        <w:ind w:firstLine="567"/>
        <w:rPr>
          <w:rFonts w:hint="eastAsia" w:ascii="宋体" w:hAnsi="宋体" w:eastAsia="宋体" w:cs="宋体"/>
          <w:color w:val="auto"/>
          <w:sz w:val="28"/>
          <w:szCs w:val="28"/>
          <w:highlight w:val="none"/>
        </w:rPr>
      </w:pP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邮编：</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w:t>
      </w:r>
    </w:p>
    <w:p>
      <w:pPr>
        <w:widowControl/>
        <w:spacing w:line="400" w:lineRule="exact"/>
        <w:ind w:firstLine="56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widowControl/>
        <w:spacing w:line="400" w:lineRule="exact"/>
        <w:rPr>
          <w:rFonts w:hint="eastAsia" w:ascii="宋体" w:hAnsi="宋体" w:eastAsia="宋体" w:cs="宋体"/>
          <w:color w:val="auto"/>
          <w:sz w:val="28"/>
          <w:szCs w:val="28"/>
          <w:highlight w:val="none"/>
        </w:rPr>
        <w:sectPr>
          <w:footerReference r:id="rId10" w:type="default"/>
          <w:pgSz w:w="11906" w:h="16838"/>
          <w:pgMar w:top="1417" w:right="1417" w:bottom="1417" w:left="1417" w:header="850" w:footer="992" w:gutter="0"/>
          <w:pgNumType w:fmt="decimal"/>
          <w:cols w:space="720" w:num="1"/>
          <w:docGrid w:type="lines" w:linePitch="381" w:charSpace="704"/>
        </w:sectPr>
      </w:pPr>
    </w:p>
    <w:p>
      <w:pPr>
        <w:widowControl/>
        <w:jc w:val="center"/>
        <w:outlineLvl w:val="0"/>
        <w:rPr>
          <w:rFonts w:hint="eastAsia" w:ascii="宋体" w:hAnsi="宋体" w:eastAsia="宋体" w:cs="宋体"/>
          <w:b/>
          <w:bCs/>
          <w:color w:val="auto"/>
          <w:sz w:val="32"/>
          <w:szCs w:val="36"/>
          <w:highlight w:val="none"/>
        </w:rPr>
      </w:pPr>
      <w:bookmarkStart w:id="206" w:name="_Toc15720"/>
      <w:bookmarkStart w:id="207" w:name="_Toc16340"/>
      <w:r>
        <w:rPr>
          <w:rFonts w:hint="eastAsia" w:ascii="宋体" w:hAnsi="宋体" w:eastAsia="宋体" w:cs="宋体"/>
          <w:b/>
          <w:bCs/>
          <w:color w:val="auto"/>
          <w:sz w:val="32"/>
          <w:szCs w:val="36"/>
          <w:highlight w:val="none"/>
        </w:rPr>
        <w:t>第二部分  第一次</w:t>
      </w:r>
      <w:r>
        <w:rPr>
          <w:rFonts w:hint="eastAsia" w:ascii="宋体" w:hAnsi="宋体" w:eastAsia="宋体" w:cs="宋体"/>
          <w:b/>
          <w:bCs/>
          <w:color w:val="auto"/>
          <w:sz w:val="32"/>
          <w:szCs w:val="36"/>
          <w:highlight w:val="none"/>
          <w:lang w:eastAsia="zh-CN"/>
        </w:rPr>
        <w:t>谈判</w:t>
      </w:r>
      <w:r>
        <w:rPr>
          <w:rFonts w:hint="eastAsia" w:ascii="宋体" w:hAnsi="宋体" w:eastAsia="宋体" w:cs="宋体"/>
          <w:b/>
          <w:bCs/>
          <w:color w:val="auto"/>
          <w:sz w:val="32"/>
          <w:szCs w:val="36"/>
          <w:highlight w:val="none"/>
        </w:rPr>
        <w:t>报价表</w:t>
      </w:r>
      <w:bookmarkEnd w:id="206"/>
      <w:bookmarkEnd w:id="207"/>
    </w:p>
    <w:p>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单位：人民币</w:t>
      </w:r>
      <w:r>
        <w:rPr>
          <w:rFonts w:hint="eastAsia" w:ascii="宋体" w:hAnsi="宋体" w:eastAsia="宋体" w:cs="宋体"/>
          <w:color w:val="auto"/>
          <w:sz w:val="28"/>
          <w:szCs w:val="28"/>
          <w:highlight w:val="none"/>
        </w:rPr>
        <w:t>元</w:t>
      </w:r>
    </w:p>
    <w:tbl>
      <w:tblPr>
        <w:tblStyle w:val="3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4"/>
        <w:gridCol w:w="281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564" w:type="dxa"/>
            <w:vMerge w:val="restart"/>
            <w:tcBorders>
              <w:tl2br w:val="single" w:color="auto" w:sz="4" w:space="0"/>
            </w:tcBorders>
            <w:shd w:val="clear" w:color="auto" w:fill="F1F1F1"/>
            <w:noWrap w:val="0"/>
            <w:vAlign w:val="top"/>
          </w:tcPr>
          <w:p>
            <w:pPr>
              <w:keepNext w:val="0"/>
              <w:keepLines w:val="0"/>
              <w:suppressLineNumbers w:val="0"/>
              <w:spacing w:before="0" w:beforeAutospacing="0" w:after="0" w:afterAutospacing="0" w:line="440" w:lineRule="exact"/>
              <w:ind w:left="0" w:right="280"/>
              <w:jc w:val="righ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报价内容</w:t>
            </w:r>
          </w:p>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rPr>
            </w:pPr>
          </w:p>
          <w:p>
            <w:pPr>
              <w:keepNext w:val="0"/>
              <w:keepLines w:val="0"/>
              <w:suppressLineNumbers w:val="0"/>
              <w:spacing w:before="0" w:beforeAutospacing="0" w:after="0" w:afterAutospacing="0" w:line="440" w:lineRule="exact"/>
              <w:ind w:left="0" w:right="154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p>
        </w:tc>
        <w:tc>
          <w:tcPr>
            <w:tcW w:w="2810"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A</w:t>
            </w:r>
          </w:p>
        </w:tc>
        <w:tc>
          <w:tcPr>
            <w:tcW w:w="3119"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564" w:type="dxa"/>
            <w:vMerge w:val="continue"/>
            <w:tcBorders>
              <w:tl2br w:val="single" w:color="auto" w:sz="4" w:space="0"/>
            </w:tcBorders>
            <w:shd w:val="clear" w:color="auto" w:fill="F1F1F1"/>
            <w:noWrap w:val="0"/>
            <w:vAlign w:val="top"/>
          </w:tcPr>
          <w:p>
            <w:pPr>
              <w:keepNext w:val="0"/>
              <w:keepLines w:val="0"/>
              <w:suppressLineNumbers w:val="0"/>
              <w:spacing w:before="0" w:beforeAutospacing="0" w:after="0" w:afterAutospacing="0" w:line="440" w:lineRule="exact"/>
              <w:ind w:left="0" w:right="280"/>
              <w:jc w:val="right"/>
              <w:rPr>
                <w:rFonts w:hint="eastAsia" w:ascii="宋体" w:hAnsi="宋体" w:eastAsia="宋体" w:cs="宋体"/>
                <w:b/>
                <w:color w:val="auto"/>
                <w:sz w:val="28"/>
                <w:szCs w:val="28"/>
                <w:highlight w:val="none"/>
              </w:rPr>
            </w:pPr>
          </w:p>
        </w:tc>
        <w:tc>
          <w:tcPr>
            <w:tcW w:w="2810"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合计</w:t>
            </w:r>
          </w:p>
        </w:tc>
        <w:tc>
          <w:tcPr>
            <w:tcW w:w="3119"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564" w:type="dxa"/>
            <w:shd w:val="clear" w:color="auto" w:fill="F1F1F1"/>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8"/>
                <w:szCs w:val="28"/>
                <w:highlight w:val="none"/>
                <w:lang w:eastAsia="zh-CN"/>
              </w:rPr>
            </w:pPr>
          </w:p>
        </w:tc>
        <w:tc>
          <w:tcPr>
            <w:tcW w:w="281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8"/>
                <w:szCs w:val="28"/>
                <w:highlight w:val="none"/>
              </w:rPr>
            </w:pPr>
          </w:p>
        </w:tc>
        <w:tc>
          <w:tcPr>
            <w:tcW w:w="311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64" w:type="dxa"/>
            <w:shd w:val="clear" w:color="auto" w:fill="F1F1F1"/>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合计（大写）</w:t>
            </w:r>
          </w:p>
        </w:tc>
        <w:tc>
          <w:tcPr>
            <w:tcW w:w="5929"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8"/>
                <w:szCs w:val="28"/>
                <w:highlight w:val="none"/>
              </w:rPr>
            </w:pPr>
          </w:p>
        </w:tc>
      </w:tr>
    </w:tbl>
    <w:p>
      <w:pPr>
        <w:widowControl/>
        <w:spacing w:before="190" w:beforeLines="50"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widowControl/>
        <w:spacing w:before="190" w:beforeLines="50" w:line="400" w:lineRule="exact"/>
        <w:rPr>
          <w:rFonts w:hint="eastAsia" w:ascii="宋体" w:hAnsi="宋体" w:eastAsia="宋体" w:cs="宋体"/>
          <w:b/>
          <w:color w:val="auto"/>
          <w:sz w:val="28"/>
          <w:szCs w:val="28"/>
          <w:highlight w:val="none"/>
        </w:rPr>
      </w:pPr>
    </w:p>
    <w:p>
      <w:pPr>
        <w:widowControl/>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注：以下情形按无效响应处理</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1、A栏未填写阿拉伯数字、B栏未填写</w:t>
      </w:r>
      <w:r>
        <w:rPr>
          <w:rFonts w:hint="eastAsia" w:ascii="宋体" w:hAnsi="宋体" w:eastAsia="宋体" w:cs="宋体"/>
          <w:color w:val="auto"/>
          <w:sz w:val="28"/>
          <w:szCs w:val="28"/>
          <w:highlight w:val="none"/>
          <w:lang w:val="en-US" w:eastAsia="zh-CN"/>
        </w:rPr>
        <w:t>服务期</w:t>
      </w:r>
      <w:r>
        <w:rPr>
          <w:rFonts w:hint="eastAsia" w:ascii="宋体" w:hAnsi="宋体" w:eastAsia="宋体" w:cs="宋体"/>
          <w:color w:val="auto"/>
          <w:sz w:val="28"/>
          <w:szCs w:val="28"/>
          <w:highlight w:val="none"/>
        </w:rPr>
        <w:t>；</w:t>
      </w:r>
    </w:p>
    <w:p>
      <w:pPr>
        <w:widowControl/>
        <w:adjustRightInd w:val="0"/>
        <w:snapToGrid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2、合计（大写）”栏未填写大写报价金额；</w:t>
      </w:r>
    </w:p>
    <w:p>
      <w:pPr>
        <w:widowControl/>
        <w:adjustRightInd w:val="0"/>
        <w:snapToGrid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3、本表“合计”值与“合计（大写）”不一致，或与费用明细表中的“合计”值不一致。</w:t>
      </w:r>
    </w:p>
    <w:p>
      <w:pPr>
        <w:widowControl/>
        <w:jc w:val="left"/>
        <w:rPr>
          <w:rFonts w:hint="eastAsia" w:ascii="宋体" w:hAnsi="宋体" w:eastAsia="宋体" w:cs="宋体"/>
          <w:b/>
          <w:color w:val="auto"/>
          <w:sz w:val="28"/>
          <w:szCs w:val="28"/>
          <w:highlight w:val="none"/>
        </w:rPr>
        <w:sectPr>
          <w:footerReference r:id="rId15" w:type="first"/>
          <w:headerReference r:id="rId11" w:type="default"/>
          <w:footerReference r:id="rId13" w:type="default"/>
          <w:headerReference r:id="rId12" w:type="even"/>
          <w:footerReference r:id="rId14" w:type="even"/>
          <w:pgSz w:w="11906" w:h="16838"/>
          <w:pgMar w:top="1418" w:right="1418" w:bottom="1418" w:left="1418" w:header="851" w:footer="992" w:gutter="0"/>
          <w:pgNumType w:fmt="decimal" w:chapStyle="1"/>
          <w:cols w:space="720" w:num="1"/>
          <w:docGrid w:type="lines" w:linePitch="381" w:charSpace="0"/>
        </w:sectPr>
      </w:pPr>
    </w:p>
    <w:p>
      <w:pPr>
        <w:widowControl/>
        <w:jc w:val="center"/>
        <w:outlineLvl w:val="1"/>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费用明细表</w:t>
      </w:r>
    </w:p>
    <w:p>
      <w:pPr>
        <w:pStyle w:val="31"/>
        <w:jc w:val="center"/>
        <w:rPr>
          <w:rFonts w:hint="eastAsia" w:ascii="宋体" w:hAnsi="宋体" w:eastAsia="宋体" w:cs="宋体"/>
          <w:color w:val="auto"/>
          <w:highlight w:val="none"/>
          <w:lang w:eastAsia="zh-CN"/>
        </w:rPr>
      </w:pP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lang w:val="en-US" w:eastAsia="zh-CN"/>
        </w:rPr>
        <w:t>格式自定</w:t>
      </w:r>
      <w:r>
        <w:rPr>
          <w:rFonts w:hint="eastAsia" w:ascii="宋体" w:hAnsi="宋体" w:eastAsia="宋体" w:cs="宋体"/>
          <w:color w:val="auto"/>
          <w:sz w:val="32"/>
          <w:szCs w:val="36"/>
          <w:highlight w:val="none"/>
          <w:lang w:eastAsia="zh-CN"/>
        </w:rPr>
        <w:t>）</w:t>
      </w:r>
    </w:p>
    <w:p>
      <w:pPr>
        <w:widowControl/>
        <w:wordWrap w:val="0"/>
        <w:spacing w:line="400" w:lineRule="exact"/>
        <w:rPr>
          <w:rFonts w:hint="eastAsia" w:ascii="宋体" w:hAnsi="宋体" w:eastAsia="宋体" w:cs="宋体"/>
          <w:color w:val="auto"/>
          <w:kern w:val="0"/>
          <w:sz w:val="28"/>
          <w:szCs w:val="28"/>
          <w:highlight w:val="none"/>
          <w:lang w:val="zh-CN" w:bidi="zh-CN"/>
        </w:rPr>
      </w:pPr>
    </w:p>
    <w:p>
      <w:pPr>
        <w:pStyle w:val="12"/>
        <w:rPr>
          <w:rFonts w:hint="eastAsia" w:ascii="宋体" w:hAnsi="宋体" w:eastAsia="宋体" w:cs="宋体"/>
          <w:color w:val="auto"/>
          <w:kern w:val="0"/>
          <w:sz w:val="28"/>
          <w:szCs w:val="28"/>
          <w:highlight w:val="none"/>
          <w:lang w:val="zh-CN" w:bidi="zh-CN"/>
        </w:rPr>
      </w:pPr>
    </w:p>
    <w:p>
      <w:pPr>
        <w:rPr>
          <w:rFonts w:hint="eastAsia" w:ascii="宋体" w:hAnsi="宋体" w:eastAsia="宋体" w:cs="宋体"/>
          <w:color w:val="auto"/>
          <w:kern w:val="0"/>
          <w:sz w:val="28"/>
          <w:szCs w:val="28"/>
          <w:highlight w:val="none"/>
          <w:lang w:val="zh-CN" w:bidi="zh-CN"/>
        </w:rPr>
      </w:pPr>
    </w:p>
    <w:p>
      <w:pPr>
        <w:pStyle w:val="12"/>
        <w:rPr>
          <w:rFonts w:hint="eastAsia" w:ascii="宋体" w:hAnsi="宋体" w:eastAsia="宋体" w:cs="宋体"/>
          <w:color w:val="auto"/>
          <w:kern w:val="0"/>
          <w:sz w:val="28"/>
          <w:szCs w:val="28"/>
          <w:highlight w:val="none"/>
          <w:lang w:val="zh-CN" w:bidi="zh-CN"/>
        </w:rPr>
      </w:pPr>
      <w:bookmarkStart w:id="236" w:name="_GoBack"/>
      <w:bookmarkEnd w:id="236"/>
    </w:p>
    <w:p>
      <w:pPr>
        <w:rPr>
          <w:rFonts w:hint="eastAsia" w:ascii="宋体" w:hAnsi="宋体" w:eastAsia="宋体" w:cs="宋体"/>
          <w:color w:val="auto"/>
          <w:kern w:val="0"/>
          <w:sz w:val="28"/>
          <w:szCs w:val="28"/>
          <w:highlight w:val="none"/>
          <w:lang w:val="zh-CN" w:bidi="zh-CN"/>
        </w:rPr>
      </w:pPr>
    </w:p>
    <w:p>
      <w:pPr>
        <w:pStyle w:val="16"/>
        <w:rPr>
          <w:rFonts w:hint="eastAsia" w:ascii="宋体" w:hAnsi="宋体" w:eastAsia="宋体" w:cs="宋体"/>
          <w:color w:val="auto"/>
          <w:highlight w:val="none"/>
          <w:lang w:val="zh-CN"/>
        </w:rPr>
      </w:pPr>
    </w:p>
    <w:p>
      <w:pPr>
        <w:rPr>
          <w:rFonts w:hint="eastAsia" w:ascii="宋体" w:hAnsi="宋体" w:eastAsia="宋体" w:cs="宋体"/>
          <w:color w:val="auto"/>
          <w:kern w:val="0"/>
          <w:sz w:val="28"/>
          <w:szCs w:val="28"/>
          <w:highlight w:val="none"/>
          <w:lang w:val="zh-CN" w:bidi="zh-CN"/>
        </w:rPr>
      </w:pPr>
    </w:p>
    <w:p>
      <w:pPr>
        <w:pStyle w:val="12"/>
        <w:rPr>
          <w:rFonts w:hint="eastAsia" w:ascii="宋体" w:hAnsi="宋体" w:eastAsia="宋体" w:cs="宋体"/>
          <w:color w:val="auto"/>
          <w:sz w:val="28"/>
          <w:szCs w:val="28"/>
          <w:highlight w:val="none"/>
          <w:lang w:val="zh-CN"/>
        </w:rPr>
      </w:pPr>
    </w:p>
    <w:p>
      <w:pPr>
        <w:widowControl/>
        <w:wordWrap w:val="0"/>
        <w:spacing w:line="400" w:lineRule="exact"/>
        <w:rPr>
          <w:rFonts w:hint="eastAsia" w:ascii="宋体" w:hAnsi="宋体" w:eastAsia="宋体" w:cs="宋体"/>
          <w:color w:val="auto"/>
          <w:kern w:val="0"/>
          <w:sz w:val="28"/>
          <w:szCs w:val="28"/>
          <w:highlight w:val="none"/>
          <w:lang w:val="zh-CN" w:bidi="zh-CN"/>
        </w:rPr>
      </w:pPr>
    </w:p>
    <w:p>
      <w:pPr>
        <w:widowControl/>
        <w:wordWrap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bidi="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wordWrap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widowControl/>
        <w:spacing w:line="400" w:lineRule="exact"/>
        <w:rPr>
          <w:rFonts w:hint="eastAsia" w:ascii="宋体" w:hAnsi="宋体" w:eastAsia="宋体" w:cs="宋体"/>
          <w:color w:val="auto"/>
          <w:sz w:val="28"/>
          <w:szCs w:val="28"/>
          <w:highlight w:val="none"/>
        </w:rPr>
      </w:pPr>
    </w:p>
    <w:p>
      <w:pPr>
        <w:widowControl/>
        <w:spacing w:line="400" w:lineRule="exact"/>
        <w:rPr>
          <w:rFonts w:hint="eastAsia" w:ascii="宋体" w:hAnsi="宋体" w:eastAsia="宋体" w:cs="宋体"/>
          <w:color w:val="auto"/>
          <w:sz w:val="28"/>
          <w:szCs w:val="28"/>
          <w:highlight w:val="none"/>
        </w:rPr>
      </w:pPr>
    </w:p>
    <w:p>
      <w:pPr>
        <w:widowControl/>
        <w:adjustRightInd w:val="0"/>
        <w:snapToGrid w:val="0"/>
        <w:spacing w:line="440" w:lineRule="exact"/>
        <w:rPr>
          <w:rFonts w:hint="eastAsia" w:ascii="宋体" w:hAnsi="宋体" w:eastAsia="宋体" w:cs="宋体"/>
          <w:b/>
          <w:bCs/>
          <w:color w:val="auto"/>
          <w:sz w:val="30"/>
          <w:szCs w:val="30"/>
          <w:highlight w:val="none"/>
        </w:rPr>
      </w:pPr>
    </w:p>
    <w:p>
      <w:pPr>
        <w:widowControl/>
        <w:spacing w:line="400" w:lineRule="exact"/>
        <w:jc w:val="left"/>
        <w:rPr>
          <w:rFonts w:hint="eastAsia" w:ascii="宋体" w:hAnsi="宋体" w:eastAsia="宋体" w:cs="宋体"/>
          <w:color w:val="auto"/>
          <w:sz w:val="28"/>
          <w:szCs w:val="28"/>
          <w:highlight w:val="none"/>
        </w:rPr>
        <w:sectPr>
          <w:headerReference r:id="rId16" w:type="default"/>
          <w:footerReference r:id="rId18" w:type="default"/>
          <w:headerReference r:id="rId17" w:type="even"/>
          <w:footerReference r:id="rId19" w:type="even"/>
          <w:pgSz w:w="11906" w:h="16838"/>
          <w:pgMar w:top="1417" w:right="1417" w:bottom="1417" w:left="1417" w:header="850" w:footer="992" w:gutter="0"/>
          <w:pgNumType w:fmt="decimal" w:chapStyle="1"/>
          <w:cols w:space="720" w:num="1"/>
          <w:docGrid w:type="lines" w:linePitch="381" w:charSpace="0"/>
        </w:sectPr>
      </w:pPr>
    </w:p>
    <w:p>
      <w:pPr>
        <w:widowControl/>
        <w:jc w:val="center"/>
        <w:outlineLvl w:val="0"/>
        <w:rPr>
          <w:rFonts w:hint="eastAsia" w:ascii="宋体" w:hAnsi="宋体" w:eastAsia="宋体" w:cs="宋体"/>
          <w:b/>
          <w:bCs/>
          <w:color w:val="auto"/>
          <w:sz w:val="32"/>
          <w:szCs w:val="36"/>
          <w:highlight w:val="none"/>
        </w:rPr>
      </w:pPr>
      <w:bookmarkStart w:id="208" w:name="_Toc14994"/>
      <w:bookmarkStart w:id="209" w:name="_Toc10910"/>
      <w:r>
        <w:rPr>
          <w:rFonts w:hint="eastAsia" w:ascii="宋体" w:hAnsi="宋体" w:eastAsia="宋体" w:cs="宋体"/>
          <w:b/>
          <w:bCs/>
          <w:color w:val="auto"/>
          <w:sz w:val="32"/>
          <w:szCs w:val="36"/>
          <w:highlight w:val="none"/>
        </w:rPr>
        <w:t>第三部分  资格证明文件</w:t>
      </w:r>
      <w:bookmarkEnd w:id="208"/>
      <w:bookmarkEnd w:id="209"/>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应按照《</w:t>
      </w:r>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邀请函》所列“</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资格要求”提供全部资格证明文件，缺少其中任何一项，其响应文件将被视为无效文件。其中，《法定代表人授权委托书》、《榆林市政府采购工程类/货物类/服务类项目</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信用承诺书》、《</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书面声明函》应按下文给定格式填写，否则按</w:t>
      </w:r>
      <w:r>
        <w:rPr>
          <w:rFonts w:hint="eastAsia" w:ascii="宋体" w:hAnsi="宋体" w:eastAsia="宋体" w:cs="宋体"/>
          <w:b/>
          <w:color w:val="auto"/>
          <w:sz w:val="28"/>
          <w:szCs w:val="28"/>
          <w:highlight w:val="none"/>
        </w:rPr>
        <w:t>无效处理</w:t>
      </w:r>
      <w:r>
        <w:rPr>
          <w:rFonts w:hint="eastAsia" w:ascii="宋体" w:hAnsi="宋体" w:eastAsia="宋体" w:cs="宋体"/>
          <w:color w:val="auto"/>
          <w:sz w:val="28"/>
          <w:szCs w:val="28"/>
          <w:highlight w:val="none"/>
        </w:rPr>
        <w:t>。特别说明，法定代表人亲自参加投标的，可不提供法定代表人授权委托书，但须提供法定代表人证明书及其本人身份证（正反面）复印件。</w:t>
      </w:r>
    </w:p>
    <w:p>
      <w:pPr>
        <w:pStyle w:val="29"/>
        <w:numPr>
          <w:ilvl w:val="0"/>
          <w:numId w:val="3"/>
        </w:numPr>
        <w:adjustRightInd w:val="0"/>
        <w:snapToGrid w:val="0"/>
        <w:spacing w:before="0" w:beforeAutospacing="0" w:after="0" w:afterAutospacing="0"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sz w:val="28"/>
          <w:szCs w:val="28"/>
          <w:highlight w:val="none"/>
          <w:shd w:val="clear" w:color="auto" w:fill="FFFFFF"/>
        </w:rPr>
        <w:t>基本资格条件：符合《中华人民共和国政府采购法》第二十二条的规定；</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bookmarkStart w:id="210" w:name="_Toc9011"/>
      <w:bookmarkStart w:id="211" w:name="_Toc22518"/>
      <w:bookmarkStart w:id="212" w:name="_Toc17411"/>
      <w:bookmarkStart w:id="213" w:name="_Toc726"/>
      <w:bookmarkStart w:id="214" w:name="_Toc528596084"/>
      <w:bookmarkStart w:id="215" w:name="_Toc17677"/>
      <w:r>
        <w:rPr>
          <w:rFonts w:hint="eastAsia" w:ascii="宋体" w:hAnsi="宋体" w:eastAsia="宋体" w:cs="宋体"/>
          <w:color w:val="auto"/>
          <w:kern w:val="2"/>
          <w:sz w:val="28"/>
          <w:szCs w:val="28"/>
          <w:highlight w:val="none"/>
          <w:lang w:val="en-US" w:eastAsia="zh-CN" w:bidi="ar"/>
        </w:rPr>
        <w:t>（1）服务商符合《中华人民共和国政府采购法》第二十二条规定的承诺;</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（2）服务商应具有履行合同所必需的设备和专业技术能力的证明资料或承诺书；</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（3）提供</w:t>
      </w:r>
      <w:r>
        <w:rPr>
          <w:rFonts w:hint="eastAsia" w:ascii="宋体" w:hAnsi="宋体" w:eastAsia="宋体" w:cs="宋体"/>
          <w:color w:val="auto"/>
          <w:sz w:val="28"/>
          <w:szCs w:val="28"/>
          <w:highlight w:val="none"/>
          <w:lang w:val="en-US" w:eastAsia="zh-CN"/>
        </w:rPr>
        <w:t>2022年度</w:t>
      </w:r>
      <w:r>
        <w:rPr>
          <w:rFonts w:hint="eastAsia" w:ascii="宋体" w:hAnsi="宋体" w:eastAsia="宋体" w:cs="宋体"/>
          <w:color w:val="auto"/>
          <w:kern w:val="2"/>
          <w:sz w:val="28"/>
          <w:szCs w:val="28"/>
          <w:highlight w:val="none"/>
          <w:lang w:val="en-US" w:eastAsia="zh-CN" w:bidi="ar"/>
        </w:rPr>
        <w:t>经审计的财务会计报告（至少包括资产负债表、利润表、现金流量表、所有者权益变动表及其附注）或提供其开标前三个月内基本开户银行出具的资信证明；</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服务商应具有2023年1月1日至提交谈判响应文件截止时间已缴纳的至少一个月任意税种的纳税证明或完税证明，纳税证明或完税证明的税种为由税务局核定的企业税种（如：企业增值税或个人所得税等税种），且应有代收机构或税务机关的公章或业务专用章。依法免税的单位应提供相关证明材料；</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5）服务商应具有2023年1月1日至提交竞争性谈判响应文件截止时间已缴存的至少一个月的社会保障资金缴存单据或社保机构开具的社会保险参保缴费情况证明。若服务商注册时间不满一个月的,应当提供注册时至参加本项目相应期限内本单位缴纳社会保障资金的清单。依法不需要缴纳社会保障资金的单位应提供相关证明材料；</w:t>
      </w:r>
    </w:p>
    <w:p>
      <w:pPr>
        <w:keepNext w:val="0"/>
        <w:keepLines w:val="0"/>
        <w:widowControl/>
        <w:numPr>
          <w:ilvl w:val="0"/>
          <w:numId w:val="0"/>
        </w:numPr>
        <w:suppressLineNumbers w:val="0"/>
        <w:spacing w:before="0" w:beforeAutospacing="0" w:after="0" w:afterAutospacing="0" w:line="400" w:lineRule="exact"/>
        <w:ind w:right="0" w:rightChars="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（6）参加政府采购活动前3年内在经营活动中没有重大违法记录的书面声明。</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2.本项目的特定资格要求</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
        </w:rPr>
        <w:t>（1）</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应为</w:t>
      </w:r>
      <w:r>
        <w:rPr>
          <w:rFonts w:hint="eastAsia" w:ascii="宋体" w:hAnsi="宋体" w:eastAsia="宋体" w:cs="宋体"/>
          <w:color w:val="auto"/>
          <w:sz w:val="28"/>
          <w:szCs w:val="28"/>
          <w:highlight w:val="none"/>
          <w:lang w:val="en-US" w:eastAsia="zh-CN"/>
        </w:rPr>
        <w:t>具有独立承担民事责任的能力且具备提供本项目所需服务能力的企业法人、事业法人、其他组织或自然人</w:t>
      </w:r>
      <w:r>
        <w:rPr>
          <w:rFonts w:hint="eastAsia" w:ascii="宋体" w:hAnsi="宋体" w:eastAsia="宋体" w:cs="宋体"/>
          <w:color w:val="auto"/>
          <w:sz w:val="28"/>
          <w:szCs w:val="28"/>
          <w:highlight w:val="none"/>
        </w:rPr>
        <w:t>。企业法人应具有合法有效的标识有统一社会信用代码的营业执照</w:t>
      </w:r>
      <w:r>
        <w:rPr>
          <w:rFonts w:hint="eastAsia" w:ascii="宋体" w:hAnsi="宋体" w:eastAsia="宋体" w:cs="宋体"/>
          <w:color w:val="auto"/>
          <w:sz w:val="28"/>
          <w:szCs w:val="28"/>
          <w:highlight w:val="none"/>
          <w:lang w:val="en-US" w:eastAsia="zh-CN"/>
        </w:rPr>
        <w:t>及其2022年企业年度报告书事业单位法人证书/专业服务机构执业许可证/民办非企业单位登记证书</w:t>
      </w:r>
      <w:r>
        <w:rPr>
          <w:rFonts w:hint="eastAsia" w:ascii="宋体" w:hAnsi="宋体" w:eastAsia="宋体" w:cs="宋体"/>
          <w:color w:val="auto"/>
          <w:sz w:val="28"/>
          <w:szCs w:val="28"/>
          <w:highlight w:val="none"/>
        </w:rPr>
        <w:t>；</w:t>
      </w:r>
    </w:p>
    <w:p>
      <w:pPr>
        <w:widowControl/>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（2）服务商须具备水资源论证乙级及以上资质和水资源调查评价乙级及以上资质；</w:t>
      </w:r>
    </w:p>
    <w:p>
      <w:pPr>
        <w:widowControl/>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拟派项目负责人和技术负责人均需具有水工环地质专业高级及以上职称证书；均具有2023年3月1日至提交投标文件截止时间在本单位已缴存的至少一个月的社会保险证明材料（五险一金其中一项即可，应可查询），依法不需要缴纳社会保障资金的单位应提供相关证明材料；</w:t>
      </w:r>
    </w:p>
    <w:p>
      <w:pPr>
        <w:widowControl/>
        <w:spacing w:line="400" w:lineRule="exact"/>
        <w:ind w:firstLine="560" w:firstLineChars="200"/>
        <w:rPr>
          <w:rFonts w:hint="eastAsia" w:ascii="宋体" w:hAnsi="宋体" w:eastAsia="宋体" w:cs="宋体"/>
          <w:color w:val="auto"/>
        </w:rPr>
      </w:pPr>
      <w:r>
        <w:rPr>
          <w:rFonts w:hint="eastAsia" w:ascii="宋体" w:hAnsi="宋体" w:eastAsia="宋体" w:cs="宋体"/>
          <w:color w:val="auto"/>
          <w:kern w:val="2"/>
          <w:sz w:val="28"/>
          <w:szCs w:val="28"/>
          <w:highlight w:val="none"/>
          <w:lang w:val="en-US" w:eastAsia="zh-CN" w:bidi="ar"/>
        </w:rPr>
        <w:t>（4）</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应具有</w:t>
      </w:r>
      <w:r>
        <w:rPr>
          <w:rFonts w:hint="eastAsia" w:ascii="宋体" w:hAnsi="宋体" w:eastAsia="宋体" w:cs="宋体"/>
          <w:color w:val="auto"/>
          <w:sz w:val="28"/>
          <w:szCs w:val="28"/>
          <w:highlight w:val="none"/>
          <w:lang w:val="en-US" w:eastAsia="zh-CN"/>
        </w:rPr>
        <w:t>在“信用中国（陕西榆林）”网站自主上报的投标信用承诺书</w:t>
      </w:r>
      <w:r>
        <w:rPr>
          <w:rFonts w:hint="eastAsia" w:ascii="宋体" w:hAnsi="宋体" w:eastAsia="宋体" w:cs="宋体"/>
          <w:color w:val="auto"/>
          <w:sz w:val="28"/>
          <w:szCs w:val="28"/>
          <w:highlight w:val="none"/>
        </w:rPr>
        <w:t>网站截图加盖</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val="en-US" w:eastAsia="zh-CN"/>
        </w:rPr>
        <w:t>；</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
        </w:rPr>
        <w:t>（5）</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不得为“信用中国”网站（www.creditchina.gov.cn）中列入失信主体名单、重大税收违法案件当事人名单的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；不得为中国执行信息公开网（http://zxgk.court.gov.cn）中列入失信被执行人名单(</w:t>
      </w:r>
      <w:r>
        <w:rPr>
          <w:rFonts w:hint="eastAsia" w:ascii="宋体" w:hAnsi="宋体" w:eastAsia="宋体" w:cs="宋体"/>
          <w:color w:val="auto"/>
          <w:sz w:val="28"/>
          <w:szCs w:val="28"/>
          <w:highlight w:val="none"/>
          <w:lang w:eastAsia="zh-CN"/>
        </w:rPr>
        <w:t>被执行人包括企业、法定代表人、项目负责人、技术负责人、授权人</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；不得为中国政府采购网（www.ccgp.gov.cn）政府采购严重违法失信行为记录名单中被财政部门禁止参加政府采购活动的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；查询相关主体信用记录（查询日期为从</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公告发布之日起至投标截止时间前）以网站截图加盖</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公章为准；</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
        </w:rPr>
        <w:t>（6）</w:t>
      </w:r>
      <w:r>
        <w:rPr>
          <w:rFonts w:hint="eastAsia" w:ascii="宋体" w:hAnsi="宋体" w:eastAsia="宋体" w:cs="宋体"/>
          <w:color w:val="auto"/>
          <w:sz w:val="28"/>
          <w:szCs w:val="28"/>
          <w:highlight w:val="none"/>
        </w:rPr>
        <w:t>本项目不接受联合体投标。单位负责人为同一人或者存在控股、管理关系的不同单位，不得参加同一标段投标或者未划分标段的同一采购项目投标。违反规定的，其投标均无效。</w:t>
      </w: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rPr>
      </w:pPr>
    </w:p>
    <w:p>
      <w:pPr>
        <w:pStyle w:val="12"/>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2"/>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bookmarkStart w:id="216" w:name="_Toc26060"/>
      <w:bookmarkStart w:id="217" w:name="_Toc16764"/>
      <w:r>
        <w:rPr>
          <w:rStyle w:val="68"/>
          <w:rFonts w:hint="eastAsia" w:ascii="宋体" w:hAnsi="宋体" w:eastAsia="宋体" w:cs="宋体"/>
          <w:b/>
          <w:bCs/>
          <w:color w:val="auto"/>
          <w:sz w:val="28"/>
          <w:szCs w:val="28"/>
          <w:highlight w:val="none"/>
        </w:rPr>
        <w:t>一、</w:t>
      </w:r>
      <w:r>
        <w:rPr>
          <w:rStyle w:val="68"/>
          <w:rFonts w:hint="eastAsia" w:ascii="宋体" w:hAnsi="宋体" w:eastAsia="宋体" w:cs="宋体"/>
          <w:b/>
          <w:bCs/>
          <w:color w:val="auto"/>
          <w:sz w:val="28"/>
          <w:szCs w:val="28"/>
          <w:highlight w:val="none"/>
          <w:lang w:eastAsia="zh-CN"/>
        </w:rPr>
        <w:t>服务商</w:t>
      </w:r>
      <w:r>
        <w:rPr>
          <w:rStyle w:val="68"/>
          <w:rFonts w:hint="eastAsia" w:ascii="宋体" w:hAnsi="宋体" w:eastAsia="宋体" w:cs="宋体"/>
          <w:b/>
          <w:bCs/>
          <w:color w:val="auto"/>
          <w:sz w:val="28"/>
          <w:szCs w:val="28"/>
          <w:highlight w:val="none"/>
        </w:rPr>
        <w:t>符合《中华人民共和国政府采购法》第二十二条规定的承诺</w:t>
      </w:r>
      <w:bookmarkEnd w:id="216"/>
      <w:bookmarkEnd w:id="217"/>
    </w:p>
    <w:p>
      <w:pPr>
        <w:rPr>
          <w:rFonts w:hint="eastAsia" w:ascii="宋体" w:hAnsi="宋体" w:eastAsia="宋体" w:cs="宋体"/>
          <w:color w:val="auto"/>
          <w:sz w:val="28"/>
          <w:szCs w:val="28"/>
          <w:highlight w:val="none"/>
        </w:rPr>
      </w:pP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p>
    <w:p>
      <w:pPr>
        <w:autoSpaceDE w:val="0"/>
        <w:autoSpaceDN w:val="0"/>
        <w:adjustRightInd w:val="0"/>
        <w:spacing w:line="360" w:lineRule="auto"/>
        <w:ind w:left="426" w:hanging="490" w:hangingChars="175"/>
        <w:rPr>
          <w:rFonts w:hint="eastAsia" w:ascii="宋体" w:hAnsi="宋体" w:eastAsia="宋体" w:cs="宋体"/>
          <w:color w:val="auto"/>
          <w:sz w:val="28"/>
          <w:szCs w:val="28"/>
          <w:highlight w:val="none"/>
        </w:rPr>
      </w:pPr>
    </w:p>
    <w:p>
      <w:pPr>
        <w:autoSpaceDE w:val="0"/>
        <w:autoSpaceDN w:val="0"/>
        <w:adjustRightInd w:val="0"/>
        <w:spacing w:line="360" w:lineRule="auto"/>
        <w:ind w:left="374" w:hanging="490" w:hangingChars="1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我公司特此声明我公司符合以下所列情况：</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2、具有良好的商业信誉和健全的财务会计制度；</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3、具有履行合同所必需的设备和专业技术能力；</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4、有依法缴纳税收和社会保障资金的良好记录；</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5、参加政府采购活动前三年内，在经营活动中没有重大违法记录；</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pPr>
        <w:autoSpaceDE w:val="0"/>
        <w:autoSpaceDN w:val="0"/>
        <w:adjustRightIn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7、我公司承诺以上资料真实有效，如有隐瞒或欺骗，我公司愿承担相关所有责任。</w:t>
      </w:r>
    </w:p>
    <w:p>
      <w:pPr>
        <w:adjustRightInd w:val="0"/>
        <w:snapToGrid w:val="0"/>
        <w:spacing w:line="360" w:lineRule="auto"/>
        <w:ind w:firstLine="560" w:firstLineChars="200"/>
        <w:rPr>
          <w:rFonts w:hint="eastAsia" w:ascii="宋体" w:hAnsi="宋体" w:eastAsia="宋体" w:cs="宋体"/>
          <w:color w:val="auto"/>
          <w:sz w:val="28"/>
          <w:szCs w:val="28"/>
          <w:highlight w:val="none"/>
        </w:rPr>
      </w:pPr>
    </w:p>
    <w:p>
      <w:pPr>
        <w:adjustRightInd w:val="0"/>
        <w:snapToGrid w:val="0"/>
        <w:spacing w:line="360" w:lineRule="auto"/>
        <w:ind w:firstLine="560" w:firstLineChars="200"/>
        <w:rPr>
          <w:rFonts w:hint="eastAsia" w:ascii="宋体" w:hAnsi="宋体" w:eastAsia="宋体" w:cs="宋体"/>
          <w:color w:val="auto"/>
          <w:sz w:val="28"/>
          <w:szCs w:val="28"/>
          <w:highlight w:val="none"/>
        </w:rPr>
      </w:pPr>
    </w:p>
    <w:p>
      <w:pPr>
        <w:snapToGrid w:val="0"/>
        <w:spacing w:before="24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360" w:lineRule="auto"/>
        <w:jc w:val="right"/>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autoSpaceDE w:val="0"/>
        <w:autoSpaceDN w:val="0"/>
        <w:adjustRightInd w:val="0"/>
        <w:spacing w:line="360" w:lineRule="auto"/>
        <w:rPr>
          <w:rFonts w:hint="eastAsia" w:ascii="宋体" w:hAnsi="宋体" w:eastAsia="宋体" w:cs="宋体"/>
          <w:b/>
          <w:bCs/>
          <w:color w:val="auto"/>
          <w:sz w:val="28"/>
          <w:szCs w:val="28"/>
          <w:highlight w:val="none"/>
        </w:rPr>
      </w:pPr>
    </w:p>
    <w:p>
      <w:pPr>
        <w:pStyle w:val="32"/>
        <w:ind w:left="326" w:hanging="326"/>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Style w:val="32"/>
        <w:rPr>
          <w:rFonts w:hint="eastAsia" w:ascii="宋体" w:hAnsi="宋体" w:eastAsia="宋体" w:cs="宋体"/>
          <w:color w:val="auto"/>
        </w:rPr>
      </w:pPr>
    </w:p>
    <w:p>
      <w:pPr>
        <w:autoSpaceDE w:val="0"/>
        <w:autoSpaceDN w:val="0"/>
        <w:adjustRightIn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：财务状况报告</w:t>
      </w:r>
    </w:p>
    <w:p>
      <w:pPr>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提供2022年度经审计的财务会计报告（至少包括资产负债表、利润表、现金流量表、所有者权益变动表及其附注）或提供其开标前三个月内基本开户银行出具的资信证明：</w:t>
      </w: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pStyle w:val="9"/>
        <w:rPr>
          <w:rFonts w:hint="eastAsia" w:ascii="宋体" w:hAnsi="宋体" w:eastAsia="宋体" w:cs="宋体"/>
          <w:color w:val="auto"/>
          <w:sz w:val="28"/>
          <w:szCs w:val="28"/>
          <w:highlight w:val="none"/>
        </w:rPr>
      </w:pPr>
    </w:p>
    <w:p>
      <w:pPr>
        <w:pStyle w:val="9"/>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：税收缴纳证明</w:t>
      </w:r>
    </w:p>
    <w:p>
      <w:pPr>
        <w:pStyle w:val="32"/>
        <w:ind w:left="0" w:leftChars="0" w:firstLine="0" w:firstLineChars="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服务商</w:t>
      </w:r>
      <w:r>
        <w:rPr>
          <w:rFonts w:hint="eastAsia" w:ascii="宋体" w:hAnsi="宋体" w:eastAsia="宋体" w:cs="宋体"/>
          <w:color w:val="auto"/>
          <w:kern w:val="2"/>
          <w:sz w:val="28"/>
          <w:szCs w:val="28"/>
          <w:highlight w:val="none"/>
          <w:lang w:val="en-US" w:eastAsia="zh-CN"/>
        </w:rPr>
        <w:t>应具有2023年1月1日至提交谈判响应文件截止时间已缴纳的至少一个月任意税种的纳税证明或完税证明，纳税证明或完税证明的税种为由税务局核定的企业税种（如：企业增值税或个人所得税等税种），且应有代收机构或税务机关的公章或业务专用章。依法免税的单位应提供相关证明材料：</w:t>
      </w: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kern w:val="2"/>
          <w:sz w:val="28"/>
          <w:szCs w:val="28"/>
          <w:highlight w:val="none"/>
        </w:rPr>
      </w:pPr>
    </w:p>
    <w:p>
      <w:pPr>
        <w:rPr>
          <w:rFonts w:hint="eastAsia" w:ascii="宋体" w:hAnsi="宋体" w:eastAsia="宋体" w:cs="宋体"/>
          <w:color w:val="auto"/>
          <w:sz w:val="28"/>
          <w:szCs w:val="28"/>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rPr>
      </w:pP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pStyle w:val="32"/>
        <w:ind w:left="0" w:leftChars="0" w:firstLine="0" w:firstLineChars="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附件3：社会保障资金缴纳证明</w:t>
      </w:r>
    </w:p>
    <w:p>
      <w:pPr>
        <w:keepNext w:val="0"/>
        <w:keepLines w:val="0"/>
        <w:widowControl/>
        <w:suppressLineNumbers w:val="0"/>
        <w:spacing w:before="0" w:beforeAutospacing="0" w:after="0" w:afterAutospacing="0" w:line="400" w:lineRule="exact"/>
        <w:ind w:right="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服务商应具有2023年1月1日至提交竞争性谈判响应文件截止时间已缴存的至少一个月的社会保障资金缴存单据或社保机构开具的社会保险参保缴费情况证明。若服务商注册时间不满一个月的,应当提供注册时至参加本项目相应期限内本单位缴纳社会保障资金的清单。依法不需要缴纳社会保障资金的单位应提供相关证明材料：</w:t>
      </w:r>
    </w:p>
    <w:p>
      <w:pPr>
        <w:autoSpaceDE w:val="0"/>
        <w:autoSpaceDN w:val="0"/>
        <w:adjustRightInd w:val="0"/>
        <w:spacing w:line="360" w:lineRule="auto"/>
        <w:ind w:firstLine="560" w:firstLineChars="200"/>
        <w:jc w:val="left"/>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11"/>
        <w:rPr>
          <w:rFonts w:hint="eastAsia" w:ascii="宋体" w:hAnsi="宋体" w:eastAsia="宋体" w:cs="宋体"/>
          <w:color w:val="auto"/>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pStyle w:val="31"/>
        <w:ind w:left="0" w:leftChars="0" w:firstLine="0" w:firstLineChars="0"/>
        <w:rPr>
          <w:rFonts w:hint="eastAsia" w:ascii="宋体" w:hAnsi="宋体" w:eastAsia="宋体" w:cs="宋体"/>
          <w:color w:val="auto"/>
          <w:sz w:val="28"/>
          <w:szCs w:val="28"/>
          <w:highlight w:val="none"/>
        </w:rPr>
      </w:pPr>
    </w:p>
    <w:p>
      <w:pPr>
        <w:tabs>
          <w:tab w:val="left" w:pos="2085"/>
        </w:tabs>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服务商</w:t>
      </w:r>
      <w:r>
        <w:rPr>
          <w:rFonts w:hint="eastAsia" w:ascii="宋体" w:hAnsi="宋体" w:eastAsia="宋体" w:cs="宋体"/>
          <w:b/>
          <w:bCs/>
          <w:color w:val="auto"/>
          <w:sz w:val="28"/>
          <w:szCs w:val="28"/>
          <w:highlight w:val="none"/>
        </w:rPr>
        <w:t>书面声明函</w:t>
      </w:r>
    </w:p>
    <w:p>
      <w:pPr>
        <w:tabs>
          <w:tab w:val="left" w:pos="2085"/>
        </w:tabs>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服务商</w:t>
      </w:r>
      <w:r>
        <w:rPr>
          <w:rFonts w:hint="eastAsia" w:ascii="宋体" w:hAnsi="宋体" w:eastAsia="宋体" w:cs="宋体"/>
          <w:b/>
          <w:color w:val="auto"/>
          <w:sz w:val="28"/>
          <w:szCs w:val="28"/>
          <w:highlight w:val="none"/>
        </w:rPr>
        <w:t>书面声明函</w:t>
      </w:r>
    </w:p>
    <w:p>
      <w:pPr>
        <w:adjustRightInd w:val="0"/>
        <w:snapToGrid w:val="0"/>
        <w:spacing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（采购人名称）：</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我方作为</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（项目编号：____）的</w:t>
      </w: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，在此郑重声明：</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1、在参加本次政府采购活动前3年内的经营活动中____（填“没有”或“有”）重大违法记录。</w:t>
      </w: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在参加政府采购活动前3年内因违法经营被禁止在一定期限内参加政府采购活动，期限届满的，可以参加政府采购活动，但应提供期限届满的证明材料。</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2、我方______（填“未被列入”或“被列入”）失信被执行人名单。</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3、我方______（填“未被列入”或“被列入”）重大税收违法案件当事人名单。</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4、我方______（填“未被列入”或“被列入”）政府采购严重违法失信行为记录名单。</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如有不实，我方将无条件地退出本项目的采购活动，并遵照《政府采购法》有关“提供虚假材料的规定”接受处罚。</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特此声明。</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：名称（盖章）</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法定代表人或授权代表：（签字或盖章）</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　　年　月　日</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p>
    <w:p>
      <w:pPr>
        <w:pStyle w:val="31"/>
        <w:spacing w:line="50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未如实填报《</w:t>
      </w: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书面声明函》的，视为“</w:t>
      </w: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提供虚假材料谋取中标、成交的”行为，拒绝其参本次投标活动。</w:t>
      </w:r>
    </w:p>
    <w:p>
      <w:pPr>
        <w:pStyle w:val="31"/>
        <w:spacing w:line="500" w:lineRule="exact"/>
        <w:ind w:firstLine="213"/>
        <w:rPr>
          <w:rFonts w:hint="eastAsia" w:ascii="宋体" w:hAnsi="宋体" w:eastAsia="宋体" w:cs="宋体"/>
          <w:color w:val="auto"/>
          <w:kern w:val="0"/>
          <w:sz w:val="28"/>
          <w:szCs w:val="28"/>
          <w:highlight w:val="none"/>
        </w:rPr>
      </w:pPr>
    </w:p>
    <w:p>
      <w:pPr>
        <w:pStyle w:val="32"/>
        <w:rPr>
          <w:rFonts w:hint="eastAsia" w:ascii="宋体" w:hAnsi="宋体" w:eastAsia="宋体" w:cs="宋体"/>
          <w:color w:val="auto"/>
        </w:rPr>
      </w:pPr>
    </w:p>
    <w:p>
      <w:pPr>
        <w:pStyle w:val="32"/>
        <w:ind w:left="0" w:leftChars="0" w:firstLine="0" w:firstLineChars="0"/>
        <w:rPr>
          <w:rFonts w:hint="eastAsia" w:ascii="宋体" w:hAnsi="宋体" w:eastAsia="宋体" w:cs="宋体"/>
          <w:color w:val="auto"/>
          <w:sz w:val="28"/>
          <w:szCs w:val="28"/>
          <w:highlight w:val="none"/>
        </w:rPr>
      </w:pPr>
    </w:p>
    <w:p>
      <w:pPr>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服务商</w:t>
      </w:r>
      <w:r>
        <w:rPr>
          <w:rFonts w:hint="eastAsia" w:ascii="宋体" w:hAnsi="宋体" w:eastAsia="宋体" w:cs="宋体"/>
          <w:b/>
          <w:bCs/>
          <w:color w:val="auto"/>
          <w:sz w:val="28"/>
          <w:szCs w:val="28"/>
          <w:highlight w:val="none"/>
        </w:rPr>
        <w:t>具有履行本合同所必需的专业技术能力的说明及承诺</w:t>
      </w:r>
    </w:p>
    <w:p>
      <w:pPr>
        <w:pStyle w:val="32"/>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服务商</w:t>
      </w:r>
      <w:r>
        <w:rPr>
          <w:rFonts w:hint="eastAsia" w:ascii="宋体" w:hAnsi="宋体" w:eastAsia="宋体" w:cs="宋体"/>
          <w:b/>
          <w:bCs/>
          <w:color w:val="auto"/>
          <w:sz w:val="28"/>
          <w:szCs w:val="28"/>
          <w:highlight w:val="none"/>
        </w:rPr>
        <w:t>具有履行本合同所必需的专业技术能力的说明及承诺</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（参考格式）</w:t>
      </w:r>
    </w:p>
    <w:p>
      <w:pPr>
        <w:spacing w:line="360" w:lineRule="auto"/>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u w:val="single"/>
        </w:rPr>
        <w:t xml:space="preserve">   （采购人名称）    ：</w:t>
      </w:r>
    </w:p>
    <w:p>
      <w:pPr>
        <w:spacing w:before="381" w:beforeLines="100" w:after="190" w:afterLines="50" w:line="360" w:lineRule="auto"/>
        <w:ind w:firstLine="720" w:firstLineChars="25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u w:val="single"/>
          <w:lang w:eastAsia="zh-CN"/>
        </w:rPr>
        <w:t>服务商</w:t>
      </w:r>
      <w:r>
        <w:rPr>
          <w:rFonts w:hint="eastAsia" w:ascii="宋体" w:hAnsi="宋体" w:eastAsia="宋体" w:cs="宋体"/>
          <w:color w:val="auto"/>
          <w:spacing w:val="4"/>
          <w:sz w:val="28"/>
          <w:szCs w:val="28"/>
          <w:highlight w:val="none"/>
          <w:u w:val="single"/>
        </w:rPr>
        <w:t xml:space="preserve">名称）    </w:t>
      </w:r>
      <w:r>
        <w:rPr>
          <w:rFonts w:hint="eastAsia" w:ascii="宋体" w:hAnsi="宋体" w:eastAsia="宋体" w:cs="宋体"/>
          <w:color w:val="auto"/>
          <w:spacing w:val="4"/>
          <w:sz w:val="28"/>
          <w:szCs w:val="28"/>
          <w:highlight w:val="none"/>
        </w:rPr>
        <w:t xml:space="preserve"> 于</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年</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月</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日在中华人民共和国境内</w:t>
      </w:r>
      <w:r>
        <w:rPr>
          <w:rFonts w:hint="eastAsia" w:ascii="宋体" w:hAnsi="宋体" w:eastAsia="宋体" w:cs="宋体"/>
          <w:color w:val="auto"/>
          <w:spacing w:val="4"/>
          <w:sz w:val="28"/>
          <w:szCs w:val="28"/>
          <w:highlight w:val="none"/>
          <w:u w:val="single"/>
        </w:rPr>
        <w:t xml:space="preserve">               （详细注册地址）     </w:t>
      </w:r>
      <w:r>
        <w:rPr>
          <w:rFonts w:hint="eastAsia" w:ascii="宋体" w:hAnsi="宋体" w:eastAsia="宋体" w:cs="宋体"/>
          <w:color w:val="auto"/>
          <w:spacing w:val="4"/>
          <w:sz w:val="28"/>
          <w:szCs w:val="28"/>
          <w:highlight w:val="none"/>
        </w:rPr>
        <w:t>合法注册并经营，公司主营业务为</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，营业（生产经营）面积为</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 xml:space="preserve"> ，现有员工数量为</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，其中与履行本合同相关的专业技术人员有（</w:t>
      </w:r>
      <w:r>
        <w:rPr>
          <w:rFonts w:hint="eastAsia" w:ascii="宋体" w:hAnsi="宋体" w:eastAsia="宋体" w:cs="宋体"/>
          <w:color w:val="auto"/>
          <w:spacing w:val="4"/>
          <w:sz w:val="28"/>
          <w:szCs w:val="28"/>
          <w:highlight w:val="none"/>
          <w:u w:val="single"/>
        </w:rPr>
        <w:t xml:space="preserve">             专业能力、数量        </w:t>
      </w:r>
      <w:r>
        <w:rPr>
          <w:rFonts w:hint="eastAsia" w:ascii="宋体" w:hAnsi="宋体" w:eastAsia="宋体" w:cs="宋体"/>
          <w:color w:val="auto"/>
          <w:spacing w:val="4"/>
          <w:sz w:val="28"/>
          <w:szCs w:val="28"/>
          <w:highlight w:val="none"/>
        </w:rPr>
        <w:t>），本公司郑重承诺，具有履行本合同所必需的设备和专业技术能力。</w:t>
      </w:r>
    </w:p>
    <w:tbl>
      <w:tblPr>
        <w:tblStyle w:val="33"/>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2268"/>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647" w:type="dxa"/>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履行合同所必需的设备清单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设备或材料名称</w:t>
            </w: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品牌及型号</w:t>
            </w:r>
          </w:p>
        </w:tc>
        <w:tc>
          <w:tcPr>
            <w:tcW w:w="8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212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备注（自购/租赁）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8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12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8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12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8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12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8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212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r>
    </w:tbl>
    <w:p>
      <w:pPr>
        <w:pStyle w:val="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bookmarkEnd w:id="210"/>
    <w:bookmarkEnd w:id="211"/>
    <w:bookmarkEnd w:id="212"/>
    <w:bookmarkEnd w:id="213"/>
    <w:bookmarkEnd w:id="214"/>
    <w:bookmarkEnd w:id="215"/>
    <w:p>
      <w:pPr>
        <w:pStyle w:val="12"/>
        <w:rPr>
          <w:rFonts w:hint="eastAsia" w:ascii="宋体" w:hAnsi="宋体" w:eastAsia="宋体" w:cs="宋体"/>
          <w:color w:val="auto"/>
          <w:sz w:val="28"/>
          <w:szCs w:val="28"/>
          <w:highlight w:val="none"/>
          <w:lang w:val="en-US" w:eastAsia="zh-CN"/>
        </w:rPr>
      </w:pPr>
      <w:bookmarkStart w:id="218" w:name="_Toc5259"/>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en-US" w:eastAsia="zh-CN"/>
        </w:rPr>
        <w:t>服务商</w:t>
      </w:r>
      <w:r>
        <w:rPr>
          <w:rFonts w:hint="eastAsia" w:ascii="宋体" w:hAnsi="宋体" w:eastAsia="宋体" w:cs="宋体"/>
          <w:color w:val="auto"/>
          <w:sz w:val="28"/>
          <w:szCs w:val="28"/>
          <w:highlight w:val="none"/>
          <w:lang w:val="en-US" w:eastAsia="zh-CN"/>
        </w:rPr>
        <w:t>应为具有独立承担民事责任的能力且具备提供本项目所需服务能力的企业法人、事业法人、其他组织或自然人。企业法人应具有合法有效的标识有统一社会信用代码的营业执照及其2022年企业年度报告书事业单位法人证书/专业服务机构执业许可证/民办非企业单位登记证书：</w:t>
      </w: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rPr>
          <w:rFonts w:hint="eastAsia" w:ascii="宋体" w:hAnsi="宋体" w:eastAsia="宋体" w:cs="宋体"/>
          <w:color w:val="auto"/>
          <w:kern w:val="2"/>
          <w:sz w:val="28"/>
          <w:szCs w:val="28"/>
          <w:highlight w:val="none"/>
          <w:lang w:val="en-US" w:eastAsia="zh-CN" w:bidi="ar"/>
        </w:rPr>
      </w:pPr>
    </w:p>
    <w:p>
      <w:pPr>
        <w:numPr>
          <w:ilvl w:val="0"/>
          <w:numId w:val="4"/>
        </w:numPr>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服务商须具备水资源论证乙级及以上资质和水资源调查评价乙级及以上资质：</w:t>
      </w: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numPr>
          <w:ilvl w:val="0"/>
          <w:numId w:val="4"/>
        </w:numPr>
        <w:ind w:left="0" w:leftChars="0" w:firstLine="0" w:firstLineChars="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拟派项目负责人和技术负责人均需具有水工环地质专业高级及以上职称证书；均具有2023年3月1日至提交投标文件截止时间在本单位已缴存的至少一个月的社会保险证明材料（五险一金其中一项即可，应可查询），依法不需要缴纳社会保障资金的单位应提供相关证明材料：</w:t>
      </w: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widowControl w:val="0"/>
        <w:numPr>
          <w:ilvl w:val="0"/>
          <w:numId w:val="0"/>
        </w:numPr>
        <w:jc w:val="both"/>
        <w:rPr>
          <w:rFonts w:hint="eastAsia" w:ascii="宋体" w:hAnsi="宋体" w:eastAsia="宋体" w:cs="宋体"/>
          <w:color w:val="auto"/>
          <w:kern w:val="2"/>
          <w:sz w:val="28"/>
          <w:szCs w:val="28"/>
          <w:highlight w:val="none"/>
          <w:lang w:val="en-US" w:eastAsia="zh-CN" w:bidi="ar"/>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五、信用承诺书</w:t>
      </w:r>
    </w:p>
    <w:p>
      <w:pPr>
        <w:pStyle w:val="1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榆林市政府采购工程类/货物类/服务类项目</w:t>
      </w:r>
      <w:r>
        <w:rPr>
          <w:rFonts w:hint="eastAsia" w:ascii="宋体" w:hAnsi="宋体" w:eastAsia="宋体" w:cs="宋体"/>
          <w:b/>
          <w:color w:val="auto"/>
          <w:sz w:val="28"/>
          <w:szCs w:val="28"/>
          <w:highlight w:val="none"/>
          <w:lang w:val="en-US" w:eastAsia="zh-CN"/>
        </w:rPr>
        <w:t>服务商</w:t>
      </w:r>
      <w:r>
        <w:rPr>
          <w:rFonts w:hint="eastAsia" w:ascii="宋体" w:hAnsi="宋体" w:eastAsia="宋体" w:cs="宋体"/>
          <w:b/>
          <w:color w:val="auto"/>
          <w:sz w:val="28"/>
          <w:szCs w:val="28"/>
          <w:highlight w:val="none"/>
        </w:rPr>
        <w:t>信用承诺书</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市场主体名称：</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证件类型：统一社会信用代码</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证件号码：</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法人代表：</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承诺有效期限：    年    月    日—      年     月     日</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承诺内容：</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为维护公开、公平、公正的政府采购市场秩序，树立诚实守信的政府采购</w:t>
      </w:r>
      <w:r>
        <w:rPr>
          <w:rFonts w:hint="eastAsia" w:ascii="宋体" w:hAnsi="宋体" w:eastAsia="宋体" w:cs="宋体"/>
          <w:color w:val="auto"/>
          <w:sz w:val="28"/>
          <w:szCs w:val="28"/>
          <w:highlight w:val="none"/>
          <w:lang w:val="en-US" w:eastAsia="zh-CN"/>
        </w:rPr>
        <w:t>服务商</w:t>
      </w:r>
      <w:r>
        <w:rPr>
          <w:rFonts w:hint="eastAsia" w:ascii="宋体" w:hAnsi="宋体" w:eastAsia="宋体" w:cs="宋体"/>
          <w:color w:val="auto"/>
          <w:sz w:val="28"/>
          <w:szCs w:val="28"/>
          <w:highlight w:val="none"/>
          <w:lang w:val="en-US"/>
        </w:rPr>
        <w:t>形象，本单位自愿做出以下承诺：</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一、承诺本单位严格遵守国家法律、法规和规章，全面履行应尽的责任和义务，全面做到履约守信，具备《政府采购法》第二十二条第一款规定的条件;</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二、承诺本单位提供给注册登记部门、行业管理部门、司法部门、行业组织以及在政府采购活动中提交的所有资料均合法、真实、有效，无任何伪造、修改、虚假成份，并对所提供资料的真实性负责；</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三、承诺本单位严格依法开展生产经营活动，主动接受行业监管，自愿接受依法开展的日常检查；违法失信经营后将自愿接受约束和惩戒，并依法承担相应责任；</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四、承诺本单位自觉接受行政管理部门、行业组织、社会公众、新闻舆论的监督；</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五、承诺本单位自我约束、自我管理，重合同、守信用，不制假售假、商标侵权、虚假宣传、违约毁约、恶意逃债、偷税漏税、价格欺诈、垄断和不正当竞争，维护经营者、消费者的合法权益；</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六、承诺本单位提出政府采购质疑和投诉坚持依法依规、诚实信用原则，在全国范围12个月内没有三次以上查无实据的政府采购投诉；</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 xml:space="preserve">七、根据政府采购相关法律法规的规定需要作出的其他承诺： </w:t>
      </w:r>
      <w:r>
        <w:rPr>
          <w:rFonts w:hint="eastAsia" w:ascii="宋体" w:hAnsi="宋体" w:eastAsia="宋体" w:cs="宋体"/>
          <w:color w:val="auto"/>
          <w:sz w:val="28"/>
          <w:szCs w:val="28"/>
          <w:highlight w:val="none"/>
          <w:u w:val="single"/>
          <w:lang w:val="en-US"/>
        </w:rPr>
        <w:t xml:space="preserve">                                         </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 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pStyle w:val="115"/>
        <w:ind w:firstLine="427"/>
        <w:rPr>
          <w:rFonts w:hint="eastAsia" w:ascii="宋体" w:hAnsi="宋体" w:eastAsia="宋体" w:cs="宋体"/>
          <w:color w:val="auto"/>
          <w:sz w:val="28"/>
          <w:szCs w:val="28"/>
          <w:highlight w:val="none"/>
          <w:lang w:val="en-US"/>
        </w:rPr>
      </w:pP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          承诺单位（盖章）：</w:t>
      </w:r>
    </w:p>
    <w:p>
      <w:pPr>
        <w:pStyle w:val="115"/>
        <w:ind w:firstLine="1400" w:firstLineChars="5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法定代表人（负责人）：</w:t>
      </w:r>
    </w:p>
    <w:p>
      <w:pPr>
        <w:pStyle w:val="115"/>
        <w:ind w:firstLine="1400" w:firstLineChars="5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法定代表人（负责人）身份证号：</w:t>
      </w:r>
    </w:p>
    <w:p>
      <w:pPr>
        <w:pStyle w:val="115"/>
        <w:ind w:firstLine="427"/>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          承诺日期：</w:t>
      </w:r>
    </w:p>
    <w:p>
      <w:pPr>
        <w:pStyle w:val="31"/>
        <w:adjustRightInd w:val="0"/>
        <w:ind w:firstLine="213"/>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注：法定代表人或负责人、主体名称发生变更的应当重新做出承诺。</w:t>
      </w:r>
    </w:p>
    <w:p>
      <w:pPr>
        <w:pStyle w:val="32"/>
        <w:ind w:left="324" w:hanging="324"/>
        <w:rPr>
          <w:rFonts w:hint="eastAsia" w:ascii="宋体" w:hAnsi="宋体" w:eastAsia="宋体" w:cs="宋体"/>
          <w:color w:val="auto"/>
          <w:sz w:val="28"/>
          <w:szCs w:val="28"/>
          <w:highlight w:val="none"/>
        </w:rPr>
      </w:pPr>
    </w:p>
    <w:p>
      <w:pPr>
        <w:spacing w:line="560" w:lineRule="exact"/>
        <w:ind w:right="-2" w:firstLine="1400" w:firstLineChars="500"/>
        <w:rPr>
          <w:rFonts w:hint="eastAsia" w:ascii="宋体" w:hAnsi="宋体" w:eastAsia="宋体" w:cs="宋体"/>
          <w:color w:val="auto"/>
          <w:sz w:val="28"/>
          <w:szCs w:val="28"/>
          <w:highlight w:val="none"/>
        </w:rPr>
      </w:pPr>
    </w:p>
    <w:p>
      <w:pPr>
        <w:spacing w:line="560" w:lineRule="exact"/>
        <w:ind w:right="-2" w:firstLine="1400" w:firstLineChars="500"/>
        <w:rPr>
          <w:rFonts w:hint="eastAsia" w:ascii="宋体" w:hAnsi="宋体" w:eastAsia="宋体" w:cs="宋体"/>
          <w:color w:val="auto"/>
          <w:sz w:val="28"/>
          <w:szCs w:val="28"/>
          <w:highlight w:val="none"/>
        </w:rPr>
      </w:pPr>
    </w:p>
    <w:p>
      <w:pPr>
        <w:spacing w:line="560" w:lineRule="exact"/>
        <w:ind w:right="-2" w:firstLine="1400" w:firstLineChars="500"/>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1"/>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spacing w:line="560" w:lineRule="exact"/>
        <w:ind w:right="-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服务商</w:t>
      </w:r>
      <w:r>
        <w:rPr>
          <w:rFonts w:hint="eastAsia" w:ascii="宋体" w:hAnsi="宋体" w:eastAsia="宋体" w:cs="宋体"/>
          <w:b/>
          <w:bCs/>
          <w:color w:val="auto"/>
          <w:sz w:val="28"/>
          <w:szCs w:val="28"/>
          <w:highlight w:val="none"/>
        </w:rPr>
        <w:t>信用承诺书</w:t>
      </w:r>
    </w:p>
    <w:p>
      <w:pPr>
        <w:widowControl/>
        <w:adjustRightInd w:val="0"/>
        <w:snapToGrid w:val="0"/>
        <w:spacing w:line="4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widowControl/>
        <w:adjustRightInd w:val="0"/>
        <w:snapToGrid w:val="0"/>
        <w:spacing w:line="4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统一社会信用代码：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法人代表：</w:t>
      </w:r>
      <w:r>
        <w:rPr>
          <w:rFonts w:hint="eastAsia" w:ascii="宋体" w:hAnsi="宋体" w:eastAsia="宋体" w:cs="宋体"/>
          <w:color w:val="auto"/>
          <w:sz w:val="28"/>
          <w:szCs w:val="28"/>
          <w:highlight w:val="none"/>
          <w:u w:val="single"/>
        </w:rPr>
        <w:t xml:space="preserve">                  </w:t>
      </w:r>
    </w:p>
    <w:p>
      <w:pPr>
        <w:widowControl/>
        <w:adjustRightInd w:val="0"/>
        <w:snapToGrid w:val="0"/>
        <w:spacing w:line="4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项目招投标活动中，我公司（单位）郑重作出以下信用承诺：</w:t>
      </w:r>
    </w:p>
    <w:p>
      <w:pPr>
        <w:widowControl/>
        <w:adjustRightInd w:val="0"/>
        <w:snapToGrid w:val="0"/>
        <w:spacing w:line="46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（一）能严格遵守法律法规、职业道德和行业规范，具有独立承担民事责任的能力；符合依法依规应当具备的相关资质（资格）条件；具有独立承担</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项目的履约能力；具有良好的商业信誉和健全的财务会计制度；有依法缴纳税收和社会保障资金的良好记录；无法律法规规定禁止开展从业活动情形。所递交文件资料合法、真实、准确、完整、有效。</w:t>
      </w:r>
    </w:p>
    <w:p>
      <w:pPr>
        <w:widowControl/>
        <w:adjustRightInd w:val="0"/>
        <w:snapToGrid w:val="0"/>
        <w:spacing w:line="46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（二）不得有以下违法违规行为：1.围标串标；以他人名义或者其他方式弄虚作假投标；出让出租资格、资质证书供他人投标；恶意竞标、强揽工程；以暴力、威胁、利诱等手段阻止或者控制其他潜在</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参与招投标活动。2.向招投标监督部门、交易中心、招标人、招标代理机构、评审委员会及其成员等当事主体赠送财物。3.投标截止后至</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人确定前，修改或者撤销</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。4.在被确定为</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人后无正当理由：不按照</w:t>
      </w:r>
      <w:r>
        <w:rPr>
          <w:rFonts w:hint="eastAsia" w:ascii="宋体" w:hAnsi="宋体" w:eastAsia="宋体" w:cs="宋体"/>
          <w:color w:val="auto"/>
          <w:sz w:val="28"/>
          <w:szCs w:val="28"/>
          <w:highlight w:val="none"/>
          <w:lang w:val="en-US" w:eastAsia="zh-CN"/>
        </w:rPr>
        <w:t>谈判文件</w:t>
      </w:r>
      <w:r>
        <w:rPr>
          <w:rFonts w:hint="eastAsia" w:ascii="宋体" w:hAnsi="宋体" w:eastAsia="宋体" w:cs="宋体"/>
          <w:color w:val="auto"/>
          <w:sz w:val="28"/>
          <w:szCs w:val="28"/>
          <w:highlight w:val="none"/>
        </w:rPr>
        <w:t>和</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与招标人签订合同；在签订合同时向招标人提出附加条件、或者改变</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的实质性内容；放弃</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；不按照</w:t>
      </w:r>
      <w:r>
        <w:rPr>
          <w:rFonts w:hint="eastAsia" w:ascii="宋体" w:hAnsi="宋体" w:eastAsia="宋体" w:cs="宋体"/>
          <w:color w:val="auto"/>
          <w:sz w:val="28"/>
          <w:szCs w:val="28"/>
          <w:highlight w:val="none"/>
          <w:lang w:val="en-US" w:eastAsia="zh-CN"/>
        </w:rPr>
        <w:t>谈判文件</w:t>
      </w:r>
      <w:r>
        <w:rPr>
          <w:rFonts w:hint="eastAsia" w:ascii="宋体" w:hAnsi="宋体" w:eastAsia="宋体" w:cs="宋体"/>
          <w:color w:val="auto"/>
          <w:sz w:val="28"/>
          <w:szCs w:val="28"/>
          <w:highlight w:val="none"/>
        </w:rPr>
        <w:t>的规定提交履约保证金。5.招投标法规定的其它违法违规行为。</w:t>
      </w:r>
    </w:p>
    <w:p>
      <w:pPr>
        <w:widowControl/>
        <w:adjustRightInd w:val="0"/>
        <w:snapToGrid w:val="0"/>
        <w:spacing w:line="46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（三）自愿接受招投标监督部门和有关行政监督部门的依法检查。</w:t>
      </w:r>
    </w:p>
    <w:p>
      <w:pPr>
        <w:widowControl/>
        <w:adjustRightInd w:val="0"/>
        <w:snapToGrid w:val="0"/>
        <w:spacing w:line="46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（四）同意将此信用承诺纳入陕西省公共信用信息平台和榆林市公共信用信息共享平台，并上网公示，接受社会监督。</w:t>
      </w:r>
    </w:p>
    <w:p>
      <w:pPr>
        <w:widowControl/>
        <w:adjustRightInd w:val="0"/>
        <w:snapToGrid w:val="0"/>
        <w:spacing w:line="46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pPr>
        <w:widowControl/>
        <w:tabs>
          <w:tab w:val="left" w:pos="4395"/>
        </w:tabs>
        <w:adjustRightInd w:val="0"/>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法定代表人（签章）：                 </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（盖章）：</w:t>
      </w:r>
    </w:p>
    <w:p>
      <w:pPr>
        <w:adjustRightInd w:val="0"/>
        <w:snapToGrid w:val="0"/>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承诺时间：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97"/>
        <w:ind w:firstLine="427"/>
        <w:rPr>
          <w:rFonts w:hint="eastAsia" w:ascii="宋体" w:hAnsi="宋体" w:eastAsia="宋体" w:cs="宋体"/>
          <w:color w:val="auto"/>
          <w:sz w:val="28"/>
          <w:szCs w:val="28"/>
          <w:highlight w:val="none"/>
        </w:rPr>
      </w:pPr>
    </w:p>
    <w:p>
      <w:pPr>
        <w:spacing w:line="560" w:lineRule="exact"/>
        <w:ind w:right="-2"/>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服务商</w:t>
      </w:r>
      <w:r>
        <w:rPr>
          <w:rFonts w:hint="eastAsia" w:ascii="宋体" w:hAnsi="宋体" w:eastAsia="宋体" w:cs="宋体"/>
          <w:b/>
          <w:bCs/>
          <w:color w:val="auto"/>
          <w:sz w:val="28"/>
          <w:szCs w:val="28"/>
          <w:highlight w:val="none"/>
        </w:rPr>
        <w:t>委托代理人员信用承诺书</w:t>
      </w:r>
    </w:p>
    <w:p>
      <w:pPr>
        <w:widowControl/>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项目招投标活动中，我个人郑重作出以下信用承诺：</w:t>
      </w:r>
    </w:p>
    <w:p>
      <w:pPr>
        <w:widowControl/>
        <w:adjustRightInd w:val="0"/>
        <w:snapToGrid w:val="0"/>
        <w:spacing w:line="5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（一）能严格遵守法律法规、职业道德和行业规范，具有独立承担民事责任的能力；无法律法规规定禁止开展从业活动情形。我所递交的文件资料合法、真实、准确、完整、有效，无弄虚作假等情形。</w:t>
      </w:r>
    </w:p>
    <w:p>
      <w:pPr>
        <w:widowControl/>
        <w:adjustRightInd w:val="0"/>
        <w:snapToGrid w:val="0"/>
        <w:spacing w:line="5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（二）不得有以下违法违规行为：1.围标串标；以他人名义或者其他方式弄虚作假投标；出让出租资格、资质证书供他人投标；恶意竞标、强揽工程；以暴力、威胁、利诱等手段阻止或者控制其他潜在</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参与招投标活动。2.向招投标监督部门、交易中心、招标人、招标代理机构、评审委员会及其成员等当事主体赠送财物。3.投标截止后至</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人确定前，修改或者撤销</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。4.在被确定为</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人后无正当理由：不按照</w:t>
      </w:r>
      <w:r>
        <w:rPr>
          <w:rFonts w:hint="eastAsia" w:ascii="宋体" w:hAnsi="宋体" w:eastAsia="宋体" w:cs="宋体"/>
          <w:color w:val="auto"/>
          <w:sz w:val="28"/>
          <w:szCs w:val="28"/>
          <w:highlight w:val="none"/>
          <w:lang w:val="en-US" w:eastAsia="zh-CN"/>
        </w:rPr>
        <w:t>谈判文件</w:t>
      </w:r>
      <w:r>
        <w:rPr>
          <w:rFonts w:hint="eastAsia" w:ascii="宋体" w:hAnsi="宋体" w:eastAsia="宋体" w:cs="宋体"/>
          <w:color w:val="auto"/>
          <w:sz w:val="28"/>
          <w:szCs w:val="28"/>
          <w:highlight w:val="none"/>
        </w:rPr>
        <w:t>和</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与招标人签订合同；在签订合同时向招标人提出附加条件、或者改变</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的实质性内容；放弃</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；不按照</w:t>
      </w:r>
      <w:r>
        <w:rPr>
          <w:rFonts w:hint="eastAsia" w:ascii="宋体" w:hAnsi="宋体" w:eastAsia="宋体" w:cs="宋体"/>
          <w:color w:val="auto"/>
          <w:sz w:val="28"/>
          <w:szCs w:val="28"/>
          <w:highlight w:val="none"/>
          <w:lang w:val="en-US" w:eastAsia="zh-CN"/>
        </w:rPr>
        <w:t>谈判文件</w:t>
      </w:r>
      <w:r>
        <w:rPr>
          <w:rFonts w:hint="eastAsia" w:ascii="宋体" w:hAnsi="宋体" w:eastAsia="宋体" w:cs="宋体"/>
          <w:color w:val="auto"/>
          <w:sz w:val="28"/>
          <w:szCs w:val="28"/>
          <w:highlight w:val="none"/>
        </w:rPr>
        <w:t>的规定提交履约保证金。5.招投标法规定的其它违法违规行为。</w:t>
      </w:r>
    </w:p>
    <w:p>
      <w:pPr>
        <w:widowControl/>
        <w:adjustRightInd w:val="0"/>
        <w:snapToGrid w:val="0"/>
        <w:spacing w:line="5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（三）自愿接受招投标监督部门和有关行政监督部门的依法检查。</w:t>
      </w:r>
    </w:p>
    <w:p>
      <w:pPr>
        <w:widowControl/>
        <w:adjustRightInd w:val="0"/>
        <w:snapToGrid w:val="0"/>
        <w:spacing w:line="5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（四）同意将此信用承诺纳入陕西省公共信用信息平台和榆林市公共信用信息共享平台，并接受社会监督。</w:t>
      </w:r>
    </w:p>
    <w:p>
      <w:pPr>
        <w:widowControl/>
        <w:adjustRightInd w:val="0"/>
        <w:snapToGrid w:val="0"/>
        <w:spacing w:line="5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pPr>
        <w:widowControl/>
        <w:spacing w:line="320" w:lineRule="exact"/>
        <w:ind w:firstLine="482"/>
        <w:rPr>
          <w:rFonts w:hint="eastAsia" w:ascii="宋体" w:hAnsi="宋体" w:eastAsia="宋体" w:cs="宋体"/>
          <w:color w:val="auto"/>
          <w:sz w:val="28"/>
          <w:szCs w:val="28"/>
          <w:highlight w:val="none"/>
        </w:rPr>
      </w:pPr>
    </w:p>
    <w:p>
      <w:pPr>
        <w:widowControl/>
        <w:spacing w:line="320" w:lineRule="exact"/>
        <w:ind w:firstLine="48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承诺有效期限：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idowControl/>
        <w:spacing w:line="320" w:lineRule="exact"/>
        <w:ind w:firstLine="482"/>
        <w:rPr>
          <w:rFonts w:hint="eastAsia" w:ascii="宋体" w:hAnsi="宋体" w:eastAsia="宋体" w:cs="宋体"/>
          <w:color w:val="auto"/>
          <w:sz w:val="28"/>
          <w:szCs w:val="28"/>
          <w:highlight w:val="none"/>
        </w:rPr>
      </w:pPr>
    </w:p>
    <w:p>
      <w:pPr>
        <w:widowControl/>
        <w:spacing w:line="320" w:lineRule="exact"/>
        <w:ind w:firstLine="48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widowControl/>
        <w:spacing w:line="320" w:lineRule="exact"/>
        <w:ind w:firstLine="482"/>
        <w:rPr>
          <w:rFonts w:hint="eastAsia" w:ascii="宋体" w:hAnsi="宋体" w:eastAsia="宋体" w:cs="宋体"/>
          <w:color w:val="auto"/>
          <w:sz w:val="28"/>
          <w:szCs w:val="28"/>
          <w:highlight w:val="none"/>
        </w:rPr>
      </w:pPr>
    </w:p>
    <w:p>
      <w:pPr>
        <w:widowControl/>
        <w:spacing w:line="3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承诺时间：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r>
        <w:rPr>
          <w:rFonts w:hint="eastAsia" w:ascii="宋体" w:hAnsi="宋体" w:eastAsia="宋体" w:cs="宋体"/>
          <w:b/>
          <w:color w:val="auto"/>
          <w:sz w:val="28"/>
          <w:szCs w:val="28"/>
          <w:highlight w:val="none"/>
          <w:lang w:eastAsia="zh-CN"/>
        </w:rPr>
        <w:t>服务商</w:t>
      </w:r>
      <w:r>
        <w:rPr>
          <w:rFonts w:hint="eastAsia" w:ascii="宋体" w:hAnsi="宋体" w:eastAsia="宋体" w:cs="宋体"/>
          <w:b/>
          <w:color w:val="auto"/>
          <w:sz w:val="28"/>
          <w:szCs w:val="28"/>
          <w:highlight w:val="none"/>
        </w:rPr>
        <w:t>应在“信用中国（陕西榆林）”网站进行注册、登录，自主上报信用承诺书（网址：https://www.ylcredit.gov.cn/）。承诺事项名称：《榆林市政府采购工程类/货物类/服务类项目</w:t>
      </w:r>
      <w:r>
        <w:rPr>
          <w:rFonts w:hint="eastAsia" w:ascii="宋体" w:hAnsi="宋体" w:eastAsia="宋体" w:cs="宋体"/>
          <w:b/>
          <w:color w:val="auto"/>
          <w:sz w:val="28"/>
          <w:szCs w:val="28"/>
          <w:highlight w:val="none"/>
          <w:lang w:eastAsia="zh-CN"/>
        </w:rPr>
        <w:t>服务商</w:t>
      </w:r>
      <w:r>
        <w:rPr>
          <w:rFonts w:hint="eastAsia" w:ascii="宋体" w:hAnsi="宋体" w:eastAsia="宋体" w:cs="宋体"/>
          <w:b/>
          <w:color w:val="auto"/>
          <w:sz w:val="28"/>
          <w:szCs w:val="28"/>
          <w:highlight w:val="none"/>
        </w:rPr>
        <w:t>信用承诺书》，需上传至承诺附件；登记部门为榆林市公共资源交易中心；承诺有效期与投标有效期一致。承诺操作的相关事宜如下：</w:t>
      </w:r>
    </w:p>
    <w:p>
      <w:pPr>
        <w:pStyle w:val="1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1、投标申请人根据承诺事项选择相应的模板填写《信用承诺书》；</w:t>
      </w:r>
    </w:p>
    <w:p>
      <w:pPr>
        <w:pStyle w:val="1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2、网上公示需填写：选择承诺事项、填写承诺时间（当日）、承诺事由（项目名称）、承诺书附件，选择受理部门（榆林市公共资源交易中心或项目所属地财政局）；</w:t>
      </w:r>
    </w:p>
    <w:p>
      <w:pPr>
        <w:pStyle w:val="1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3所有账号问题在政务服务网中咨询或拨打029-87382893、87382894。 </w:t>
      </w:r>
    </w:p>
    <w:p>
      <w:pPr>
        <w:widowControl/>
        <w:jc w:val="center"/>
        <w:outlineLvl w:val="0"/>
        <w:rPr>
          <w:rFonts w:hint="eastAsia" w:ascii="宋体" w:hAnsi="宋体" w:eastAsia="宋体" w:cs="宋体"/>
          <w:b/>
          <w:bCs/>
          <w:color w:val="auto"/>
          <w:sz w:val="32"/>
          <w:szCs w:val="32"/>
          <w:highlight w:val="none"/>
        </w:rPr>
      </w:pPr>
    </w:p>
    <w:p>
      <w:pPr>
        <w:pStyle w:val="111"/>
        <w:rPr>
          <w:rFonts w:hint="eastAsia" w:ascii="宋体" w:hAnsi="宋体" w:eastAsia="宋体" w:cs="宋体"/>
          <w:b/>
          <w:bCs/>
          <w:color w:val="auto"/>
          <w:sz w:val="32"/>
          <w:szCs w:val="32"/>
          <w:highlight w:val="none"/>
        </w:rPr>
      </w:pPr>
    </w:p>
    <w:p>
      <w:pPr>
        <w:pStyle w:val="111"/>
        <w:rPr>
          <w:rFonts w:hint="eastAsia" w:ascii="宋体" w:hAnsi="宋体" w:eastAsia="宋体" w:cs="宋体"/>
          <w:b/>
          <w:bCs/>
          <w:color w:val="auto"/>
          <w:sz w:val="32"/>
          <w:szCs w:val="32"/>
          <w:highlight w:val="none"/>
        </w:rPr>
      </w:pPr>
    </w:p>
    <w:p>
      <w:pPr>
        <w:pStyle w:val="111"/>
        <w:rPr>
          <w:rFonts w:hint="eastAsia" w:ascii="宋体" w:hAnsi="宋体" w:eastAsia="宋体" w:cs="宋体"/>
          <w:b/>
          <w:bCs/>
          <w:color w:val="auto"/>
          <w:sz w:val="32"/>
          <w:szCs w:val="32"/>
          <w:highlight w:val="none"/>
        </w:rPr>
      </w:pPr>
    </w:p>
    <w:p>
      <w:pPr>
        <w:pStyle w:val="111"/>
        <w:rPr>
          <w:rFonts w:hint="eastAsia" w:ascii="宋体" w:hAnsi="宋体" w:eastAsia="宋体" w:cs="宋体"/>
          <w:b/>
          <w:bCs/>
          <w:color w:val="auto"/>
          <w:sz w:val="32"/>
          <w:szCs w:val="32"/>
          <w:highlight w:val="none"/>
        </w:rPr>
      </w:pPr>
    </w:p>
    <w:p>
      <w:pPr>
        <w:pStyle w:val="111"/>
        <w:rPr>
          <w:rFonts w:hint="eastAsia" w:ascii="宋体" w:hAnsi="宋体" w:eastAsia="宋体" w:cs="宋体"/>
          <w:b/>
          <w:bCs/>
          <w:color w:val="auto"/>
          <w:sz w:val="32"/>
          <w:szCs w:val="32"/>
          <w:highlight w:val="none"/>
        </w:rPr>
      </w:pPr>
    </w:p>
    <w:p>
      <w:pPr>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tabs>
          <w:tab w:val="left" w:pos="2085"/>
        </w:tabs>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附件：服务商应具有在“信用中国（陕西榆林）”网站自主上报的投标信用承诺书网站截图加盖服务商公章：</w:t>
      </w: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pStyle w:val="12"/>
        <w:rPr>
          <w:rFonts w:hint="eastAsia" w:ascii="宋体" w:hAnsi="宋体" w:eastAsia="宋体" w:cs="宋体"/>
          <w:b/>
          <w:bCs/>
          <w:color w:val="auto"/>
          <w:sz w:val="28"/>
          <w:szCs w:val="28"/>
          <w:highlight w:val="none"/>
          <w:lang w:val="en-US" w:eastAsia="zh-CN"/>
        </w:rPr>
      </w:pPr>
    </w:p>
    <w:p>
      <w:pPr>
        <w:tabs>
          <w:tab w:val="left" w:pos="2085"/>
        </w:tabs>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kern w:val="2"/>
          <w:sz w:val="28"/>
          <w:szCs w:val="28"/>
          <w:highlight w:val="none"/>
        </w:rPr>
        <w:t>信用网站截图</w:t>
      </w:r>
    </w:p>
    <w:p>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服务商不得为“信用中国”网站（www.creditchina.gov.cn）中列入失信主体名单、重大税收违法案件当事人名单的服务商；不得为中国执行信息公开网（http://zxgk.court.gov.cn）中列入失信被执行人名单(被执行人包括企业、法定代表人、项目负责人、技术负责人、授权人)的服务商；不得为中国政府采购网（www.ccgp.gov.cn）政府采购严重违法失信行为记录名单中被财政部门禁止参加政府采购活动的服务商；查询相关主体信用记录（查询日期为从采购公告发布之日起至投标截止时间前）以网站截图加盖服务商公章为准：</w:t>
      </w:r>
    </w:p>
    <w:p>
      <w:pPr>
        <w:pStyle w:val="32"/>
        <w:rPr>
          <w:rFonts w:hint="eastAsia" w:ascii="宋体" w:hAnsi="宋体" w:eastAsia="宋体" w:cs="宋体"/>
          <w:color w:val="auto"/>
          <w:kern w:val="2"/>
          <w:sz w:val="28"/>
          <w:szCs w:val="28"/>
          <w:highlight w:val="none"/>
        </w:rPr>
      </w:pPr>
    </w:p>
    <w:p>
      <w:pPr>
        <w:rPr>
          <w:rFonts w:hint="eastAsia" w:ascii="宋体" w:hAnsi="宋体" w:eastAsia="宋体" w:cs="宋体"/>
          <w:color w:val="auto"/>
          <w:kern w:val="2"/>
          <w:sz w:val="28"/>
          <w:szCs w:val="28"/>
          <w:highlight w:val="none"/>
        </w:rPr>
      </w:pPr>
    </w:p>
    <w:p>
      <w:pPr>
        <w:pStyle w:val="32"/>
        <w:rPr>
          <w:rFonts w:hint="eastAsia" w:ascii="宋体" w:hAnsi="宋体" w:eastAsia="宋体" w:cs="宋体"/>
          <w:color w:val="auto"/>
          <w:kern w:val="2"/>
          <w:sz w:val="28"/>
          <w:szCs w:val="28"/>
          <w:highlight w:val="none"/>
        </w:rPr>
      </w:pPr>
    </w:p>
    <w:p>
      <w:pPr>
        <w:rPr>
          <w:rFonts w:hint="eastAsia" w:ascii="宋体" w:hAnsi="宋体" w:eastAsia="宋体" w:cs="宋体"/>
          <w:color w:val="auto"/>
          <w:kern w:val="2"/>
          <w:sz w:val="28"/>
          <w:szCs w:val="28"/>
          <w:highlight w:val="none"/>
        </w:rPr>
      </w:pPr>
    </w:p>
    <w:p>
      <w:pPr>
        <w:pStyle w:val="32"/>
        <w:rPr>
          <w:rFonts w:hint="eastAsia" w:ascii="宋体" w:hAnsi="宋体" w:eastAsia="宋体" w:cs="宋体"/>
          <w:color w:val="auto"/>
          <w:kern w:val="2"/>
          <w:sz w:val="28"/>
          <w:szCs w:val="28"/>
          <w:highlight w:val="none"/>
        </w:rPr>
      </w:pPr>
    </w:p>
    <w:p>
      <w:pPr>
        <w:rPr>
          <w:rFonts w:hint="eastAsia" w:ascii="宋体" w:hAnsi="宋体" w:eastAsia="宋体" w:cs="宋体"/>
          <w:color w:val="auto"/>
          <w:kern w:val="2"/>
          <w:sz w:val="28"/>
          <w:szCs w:val="28"/>
          <w:highlight w:val="none"/>
        </w:rPr>
      </w:pPr>
    </w:p>
    <w:p>
      <w:pPr>
        <w:pStyle w:val="32"/>
        <w:rPr>
          <w:rFonts w:hint="eastAsia" w:ascii="宋体" w:hAnsi="宋体" w:eastAsia="宋体" w:cs="宋体"/>
          <w:color w:val="auto"/>
          <w:kern w:val="2"/>
          <w:sz w:val="28"/>
          <w:szCs w:val="28"/>
          <w:highlight w:val="none"/>
        </w:rPr>
      </w:pPr>
    </w:p>
    <w:p>
      <w:pPr>
        <w:rPr>
          <w:rFonts w:hint="eastAsia" w:ascii="宋体" w:hAnsi="宋体" w:eastAsia="宋体" w:cs="宋体"/>
          <w:color w:val="auto"/>
          <w:kern w:val="2"/>
          <w:sz w:val="28"/>
          <w:szCs w:val="28"/>
          <w:highlight w:val="none"/>
        </w:rPr>
      </w:pPr>
    </w:p>
    <w:p>
      <w:pPr>
        <w:pStyle w:val="32"/>
        <w:rPr>
          <w:rFonts w:hint="eastAsia" w:ascii="宋体" w:hAnsi="宋体" w:eastAsia="宋体" w:cs="宋体"/>
          <w:color w:val="auto"/>
          <w:kern w:val="2"/>
          <w:sz w:val="28"/>
          <w:szCs w:val="28"/>
          <w:highlight w:val="none"/>
        </w:rPr>
      </w:pPr>
    </w:p>
    <w:p>
      <w:pPr>
        <w:rPr>
          <w:rFonts w:hint="eastAsia" w:ascii="宋体" w:hAnsi="宋体" w:eastAsia="宋体" w:cs="宋体"/>
          <w:color w:val="auto"/>
          <w:kern w:val="2"/>
          <w:sz w:val="28"/>
          <w:szCs w:val="28"/>
          <w:highlight w:val="none"/>
        </w:rPr>
      </w:pPr>
    </w:p>
    <w:p>
      <w:pPr>
        <w:pStyle w:val="32"/>
        <w:rPr>
          <w:rFonts w:hint="eastAsia" w:ascii="宋体" w:hAnsi="宋体" w:eastAsia="宋体" w:cs="宋体"/>
          <w:color w:val="auto"/>
          <w:kern w:val="2"/>
          <w:sz w:val="28"/>
          <w:szCs w:val="28"/>
          <w:highlight w:val="none"/>
        </w:rPr>
      </w:pPr>
    </w:p>
    <w:p>
      <w:pPr>
        <w:pStyle w:val="9"/>
        <w:rPr>
          <w:rFonts w:hint="eastAsia" w:ascii="宋体" w:hAnsi="宋体" w:eastAsia="宋体" w:cs="宋体"/>
          <w:color w:val="auto"/>
          <w:kern w:val="2"/>
          <w:sz w:val="28"/>
          <w:szCs w:val="28"/>
          <w:highlight w:val="none"/>
        </w:rPr>
      </w:pPr>
    </w:p>
    <w:p>
      <w:pPr>
        <w:rPr>
          <w:rFonts w:hint="eastAsia" w:ascii="宋体" w:hAnsi="宋体" w:eastAsia="宋体" w:cs="宋体"/>
          <w:color w:val="auto"/>
          <w:kern w:val="2"/>
          <w:sz w:val="28"/>
          <w:szCs w:val="28"/>
          <w:highlight w:val="none"/>
        </w:rPr>
      </w:pPr>
    </w:p>
    <w:p>
      <w:pPr>
        <w:pStyle w:val="111"/>
        <w:rPr>
          <w:rFonts w:hint="eastAsia" w:ascii="宋体" w:hAnsi="宋体" w:eastAsia="宋体" w:cs="宋体"/>
          <w:color w:val="auto"/>
          <w:kern w:val="2"/>
          <w:sz w:val="28"/>
          <w:szCs w:val="28"/>
          <w:highlight w:val="none"/>
        </w:rPr>
      </w:pPr>
    </w:p>
    <w:p>
      <w:pPr>
        <w:pStyle w:val="111"/>
        <w:rPr>
          <w:rFonts w:hint="eastAsia" w:ascii="宋体" w:hAnsi="宋体" w:eastAsia="宋体" w:cs="宋体"/>
          <w:color w:val="auto"/>
          <w:kern w:val="2"/>
          <w:sz w:val="28"/>
          <w:szCs w:val="28"/>
          <w:highlight w:val="none"/>
        </w:rPr>
      </w:pPr>
    </w:p>
    <w:p>
      <w:pPr>
        <w:rPr>
          <w:rFonts w:hint="eastAsia" w:ascii="宋体" w:hAnsi="宋体" w:eastAsia="宋体" w:cs="宋体"/>
          <w:color w:val="auto"/>
          <w:kern w:val="2"/>
          <w:sz w:val="28"/>
          <w:szCs w:val="28"/>
          <w:highlight w:val="none"/>
        </w:rPr>
      </w:pPr>
    </w:p>
    <w:p>
      <w:pPr>
        <w:pStyle w:val="32"/>
        <w:rPr>
          <w:rFonts w:hint="eastAsia" w:ascii="宋体" w:hAnsi="宋体" w:eastAsia="宋体" w:cs="宋体"/>
          <w:color w:val="auto"/>
          <w:kern w:val="2"/>
          <w:sz w:val="28"/>
          <w:szCs w:val="28"/>
          <w:highlight w:val="none"/>
        </w:rPr>
      </w:pPr>
    </w:p>
    <w:p>
      <w:pPr>
        <w:pStyle w:val="9"/>
        <w:rPr>
          <w:rFonts w:hint="eastAsia" w:ascii="宋体" w:hAnsi="宋体" w:eastAsia="宋体" w:cs="宋体"/>
          <w:color w:val="auto"/>
        </w:rPr>
      </w:pPr>
    </w:p>
    <w:p>
      <w:pPr>
        <w:rPr>
          <w:rFonts w:hint="eastAsia" w:ascii="宋体" w:hAnsi="宋体" w:eastAsia="宋体" w:cs="宋体"/>
          <w:color w:val="auto"/>
          <w:kern w:val="2"/>
          <w:sz w:val="28"/>
          <w:szCs w:val="28"/>
          <w:highlight w:val="none"/>
        </w:rPr>
      </w:pPr>
    </w:p>
    <w:p>
      <w:pPr>
        <w:pStyle w:val="32"/>
        <w:rPr>
          <w:rFonts w:hint="eastAsia" w:ascii="宋体" w:hAnsi="宋体" w:eastAsia="宋体" w:cs="宋体"/>
          <w:color w:val="auto"/>
          <w:kern w:val="2"/>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kern w:val="2"/>
          <w:sz w:val="28"/>
          <w:szCs w:val="28"/>
          <w:highlight w:val="none"/>
        </w:rPr>
      </w:pPr>
    </w:p>
    <w:bookmarkEnd w:id="218"/>
    <w:p>
      <w:pPr>
        <w:pStyle w:val="16"/>
        <w:rPr>
          <w:rFonts w:hint="eastAsia" w:ascii="宋体" w:hAnsi="宋体" w:eastAsia="宋体" w:cs="宋体"/>
          <w:color w:val="auto"/>
          <w:sz w:val="28"/>
          <w:szCs w:val="28"/>
          <w:highlight w:val="none"/>
        </w:rPr>
      </w:pPr>
    </w:p>
    <w:p>
      <w:pPr>
        <w:pStyle w:val="16"/>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 xml:space="preserve">非联合体投标书面声明 </w:t>
      </w: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非联合体投标书面声明 </w:t>
      </w:r>
    </w:p>
    <w:p>
      <w:pPr>
        <w:autoSpaceDE w:val="0"/>
        <w:autoSpaceDN w:val="0"/>
        <w:adjustRightInd w:val="0"/>
        <w:spacing w:line="360" w:lineRule="auto"/>
        <w:rPr>
          <w:rFonts w:hint="eastAsia" w:ascii="宋体" w:hAnsi="宋体" w:eastAsia="宋体" w:cs="宋体"/>
          <w:bCs/>
          <w:color w:val="auto"/>
          <w:sz w:val="28"/>
          <w:szCs w:val="28"/>
          <w:highlight w:val="none"/>
        </w:rPr>
      </w:pPr>
    </w:p>
    <w:p>
      <w:pPr>
        <w:autoSpaceDE w:val="0"/>
        <w:autoSpaceDN w:val="0"/>
        <w:adjustRightInd w:val="0"/>
        <w:spacing w:line="36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致：</w:t>
      </w:r>
      <w:r>
        <w:rPr>
          <w:rFonts w:hint="eastAsia" w:ascii="宋体" w:hAnsi="宋体" w:eastAsia="宋体" w:cs="宋体"/>
          <w:bCs/>
          <w:color w:val="auto"/>
          <w:sz w:val="28"/>
          <w:szCs w:val="28"/>
          <w:highlight w:val="none"/>
          <w:u w:val="single"/>
        </w:rPr>
        <w:t xml:space="preserve">（采购人名称） </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我公司为有独立承担民事责任的能力且具备向采购人提供相关服务的企业法人，不存在与其他单位负责人为同一人或者与其他单位存在控股、管理关系。我公司独立参加此次</w:t>
      </w:r>
      <w:r>
        <w:rPr>
          <w:rFonts w:hint="eastAsia" w:ascii="宋体" w:hAnsi="宋体" w:eastAsia="宋体" w:cs="宋体"/>
          <w:color w:val="auto"/>
          <w:sz w:val="28"/>
          <w:szCs w:val="28"/>
          <w:highlight w:val="none"/>
          <w:u w:val="single"/>
        </w:rPr>
        <w:t xml:space="preserve">       (项目名称)</w:t>
      </w:r>
      <w:r>
        <w:rPr>
          <w:rFonts w:hint="eastAsia" w:ascii="宋体" w:hAnsi="宋体" w:eastAsia="宋体" w:cs="宋体"/>
          <w:color w:val="auto"/>
          <w:sz w:val="28"/>
          <w:szCs w:val="28"/>
          <w:highlight w:val="none"/>
        </w:rPr>
        <w:t xml:space="preserve"> 的</w:t>
      </w:r>
      <w:r>
        <w:rPr>
          <w:rFonts w:hint="eastAsia" w:ascii="宋体" w:hAnsi="宋体" w:eastAsia="宋体" w:cs="宋体"/>
          <w:bCs/>
          <w:color w:val="auto"/>
          <w:sz w:val="28"/>
          <w:szCs w:val="28"/>
          <w:highlight w:val="none"/>
        </w:rPr>
        <w:t>投标，未与其他单位组成联合体。</w:t>
      </w:r>
    </w:p>
    <w:p>
      <w:pPr>
        <w:autoSpaceDE w:val="0"/>
        <w:autoSpaceDN w:val="0"/>
        <w:adjustRightIn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特此声明。</w:t>
      </w:r>
    </w:p>
    <w:p>
      <w:pPr>
        <w:autoSpaceDE w:val="0"/>
        <w:autoSpaceDN w:val="0"/>
        <w:adjustRightInd w:val="0"/>
        <w:spacing w:line="360" w:lineRule="auto"/>
        <w:jc w:val="center"/>
        <w:rPr>
          <w:rFonts w:hint="eastAsia" w:ascii="宋体" w:hAnsi="宋体" w:eastAsia="宋体" w:cs="宋体"/>
          <w:b/>
          <w:color w:val="auto"/>
          <w:sz w:val="28"/>
          <w:szCs w:val="28"/>
          <w:highlight w:val="none"/>
        </w:rPr>
      </w:pPr>
    </w:p>
    <w:p>
      <w:pPr>
        <w:adjustRightInd w:val="0"/>
        <w:snapToGrid w:val="0"/>
        <w:spacing w:line="360" w:lineRule="auto"/>
        <w:ind w:left="4788" w:leftChars="22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280" w:lineRule="auto"/>
        <w:rPr>
          <w:rFonts w:hint="eastAsia" w:ascii="宋体" w:hAnsi="宋体" w:eastAsia="宋体" w:cs="宋体"/>
          <w:color w:val="auto"/>
          <w:sz w:val="28"/>
          <w:szCs w:val="28"/>
          <w:highlight w:val="none"/>
        </w:rPr>
      </w:pPr>
    </w:p>
    <w:p>
      <w:pPr>
        <w:spacing w:line="280" w:lineRule="auto"/>
        <w:rPr>
          <w:rFonts w:hint="eastAsia" w:ascii="宋体" w:hAnsi="宋体" w:eastAsia="宋体" w:cs="宋体"/>
          <w:color w:val="auto"/>
          <w:sz w:val="28"/>
          <w:szCs w:val="28"/>
          <w:highlight w:val="none"/>
        </w:rPr>
      </w:pPr>
    </w:p>
    <w:p>
      <w:pPr>
        <w:spacing w:line="280" w:lineRule="auto"/>
        <w:rPr>
          <w:rFonts w:hint="eastAsia" w:ascii="宋体" w:hAnsi="宋体" w:eastAsia="宋体" w:cs="宋体"/>
          <w:color w:val="auto"/>
          <w:sz w:val="28"/>
          <w:szCs w:val="28"/>
          <w:highlight w:val="none"/>
        </w:rPr>
      </w:pPr>
    </w:p>
    <w:p>
      <w:pPr>
        <w:spacing w:line="280" w:lineRule="auto"/>
        <w:rPr>
          <w:rFonts w:hint="eastAsia" w:ascii="宋体" w:hAnsi="宋体" w:eastAsia="宋体" w:cs="宋体"/>
          <w:color w:val="auto"/>
          <w:sz w:val="28"/>
          <w:szCs w:val="28"/>
          <w:highlight w:val="none"/>
        </w:rPr>
      </w:pP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：名称（盖章）</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法定代表人或授权代表：（签字或盖章）</w:t>
      </w:r>
    </w:p>
    <w:p>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　　年　月　日</w:t>
      </w:r>
    </w:p>
    <w:p>
      <w:pPr>
        <w:pStyle w:val="89"/>
        <w:ind w:firstLine="3640" w:firstLineChars="1300"/>
        <w:rPr>
          <w:rFonts w:hint="eastAsia" w:ascii="宋体" w:hAnsi="宋体" w:eastAsia="宋体" w:cs="宋体"/>
          <w:color w:val="auto"/>
          <w:sz w:val="28"/>
          <w:szCs w:val="28"/>
          <w:highlight w:val="none"/>
          <w:u w:val="single"/>
        </w:rPr>
      </w:pPr>
    </w:p>
    <w:p>
      <w:pPr>
        <w:pStyle w:val="89"/>
        <w:ind w:firstLine="3640" w:firstLineChars="1300"/>
        <w:rPr>
          <w:rFonts w:hint="eastAsia" w:ascii="宋体" w:hAnsi="宋体" w:eastAsia="宋体" w:cs="宋体"/>
          <w:color w:val="auto"/>
          <w:sz w:val="28"/>
          <w:szCs w:val="28"/>
          <w:highlight w:val="none"/>
          <w:u w:val="singl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3"/>
        <w:numPr>
          <w:ilvl w:val="0"/>
          <w:numId w:val="0"/>
        </w:numPr>
        <w:ind w:left="1800"/>
        <w:jc w:val="left"/>
        <w:rPr>
          <w:rFonts w:hint="eastAsia" w:ascii="宋体" w:hAnsi="宋体" w:eastAsia="宋体" w:cs="宋体"/>
          <w:b/>
          <w:bCs/>
          <w:color w:val="auto"/>
          <w:sz w:val="28"/>
          <w:szCs w:val="28"/>
          <w:highlight w:val="none"/>
        </w:rPr>
      </w:pPr>
      <w:bookmarkStart w:id="219" w:name="_Toc22911"/>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、法定代表人证明书/法定代表人授权委托书</w:t>
      </w:r>
      <w:bookmarkEnd w:id="219"/>
    </w:p>
    <w:p>
      <w:pPr>
        <w:tabs>
          <w:tab w:val="left" w:pos="210"/>
        </w:tabs>
        <w:spacing w:line="360" w:lineRule="auto"/>
        <w:jc w:val="center"/>
        <w:rPr>
          <w:rFonts w:hint="eastAsia" w:ascii="宋体" w:hAnsi="宋体" w:eastAsia="宋体" w:cs="宋体"/>
          <w:b/>
          <w:color w:val="auto"/>
          <w:sz w:val="28"/>
          <w:szCs w:val="28"/>
          <w:highlight w:val="none"/>
        </w:rPr>
      </w:pPr>
      <w:bookmarkStart w:id="220" w:name="_Toc9321"/>
      <w:bookmarkStart w:id="221" w:name="_Toc18338"/>
      <w:bookmarkStart w:id="222" w:name="_Toc16287"/>
      <w:bookmarkStart w:id="223" w:name="_Toc528596085"/>
      <w:bookmarkStart w:id="224" w:name="_Toc16358"/>
      <w:bookmarkStart w:id="225" w:name="_Toc18571"/>
      <w:r>
        <w:rPr>
          <w:rFonts w:hint="eastAsia" w:ascii="宋体" w:hAnsi="宋体" w:eastAsia="宋体" w:cs="宋体"/>
          <w:b/>
          <w:color w:val="auto"/>
          <w:sz w:val="28"/>
          <w:szCs w:val="28"/>
          <w:highlight w:val="none"/>
        </w:rPr>
        <w:t>法定代表人证明书</w:t>
      </w:r>
    </w:p>
    <w:tbl>
      <w:tblPr>
        <w:tblStyle w:val="3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153"/>
        <w:gridCol w:w="2332"/>
        <w:gridCol w:w="2148"/>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00" w:type="dxa"/>
            <w:gridSpan w:val="5"/>
            <w:noWrap w:val="0"/>
            <w:vAlign w:val="center"/>
          </w:tcPr>
          <w:p>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bCs/>
                <w:caps/>
                <w:color w:val="auto"/>
                <w:sz w:val="28"/>
                <w:szCs w:val="28"/>
                <w:highlight w:val="none"/>
              </w:rPr>
              <w:t>（采购人名称）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5" w:type="dxa"/>
            <w:vMerge w:val="restart"/>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w:t>
            </w: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w:t>
            </w:r>
          </w:p>
        </w:tc>
        <w:tc>
          <w:tcPr>
            <w:tcW w:w="6582" w:type="dxa"/>
            <w:gridSpan w:val="3"/>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法定地址</w:t>
            </w:r>
          </w:p>
        </w:tc>
        <w:tc>
          <w:tcPr>
            <w:tcW w:w="6582" w:type="dxa"/>
            <w:gridSpan w:val="3"/>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p>
        </w:tc>
        <w:tc>
          <w:tcPr>
            <w:tcW w:w="6582" w:type="dxa"/>
            <w:gridSpan w:val="3"/>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工商登记机关</w:t>
            </w:r>
          </w:p>
        </w:tc>
        <w:tc>
          <w:tcPr>
            <w:tcW w:w="6582" w:type="dxa"/>
            <w:gridSpan w:val="3"/>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税务登记机关</w:t>
            </w:r>
          </w:p>
        </w:tc>
        <w:tc>
          <w:tcPr>
            <w:tcW w:w="6582" w:type="dxa"/>
            <w:gridSpan w:val="3"/>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bCs/>
                <w:caps/>
                <w:color w:val="auto"/>
                <w:sz w:val="28"/>
                <w:szCs w:val="28"/>
                <w:highlight w:val="none"/>
              </w:rPr>
              <w:t>统一社会信用代码</w:t>
            </w:r>
          </w:p>
        </w:tc>
        <w:tc>
          <w:tcPr>
            <w:tcW w:w="6582" w:type="dxa"/>
            <w:gridSpan w:val="3"/>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dxa"/>
            <w:vMerge w:val="restart"/>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2332"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48"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性别</w:t>
            </w:r>
          </w:p>
        </w:tc>
        <w:tc>
          <w:tcPr>
            <w:tcW w:w="2102"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2332"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48"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tc>
        <w:tc>
          <w:tcPr>
            <w:tcW w:w="2102"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2153" w:type="dxa"/>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tc>
        <w:tc>
          <w:tcPr>
            <w:tcW w:w="6582" w:type="dxa"/>
            <w:gridSpan w:val="3"/>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565" w:type="dxa"/>
            <w:vMerge w:val="restart"/>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法定代表人身份证复印件</w:t>
            </w:r>
          </w:p>
        </w:tc>
        <w:tc>
          <w:tcPr>
            <w:tcW w:w="4485" w:type="dxa"/>
            <w:gridSpan w:val="2"/>
            <w:vMerge w:val="restart"/>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（粘贴处）</w:t>
            </w:r>
          </w:p>
        </w:tc>
        <w:tc>
          <w:tcPr>
            <w:tcW w:w="4250" w:type="dxa"/>
            <w:gridSpan w:val="2"/>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4485" w:type="dxa"/>
            <w:gridSpan w:val="2"/>
            <w:vMerge w:val="continue"/>
            <w:noWrap w:val="0"/>
            <w:vAlign w:val="center"/>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tc>
        <w:tc>
          <w:tcPr>
            <w:tcW w:w="4250" w:type="dxa"/>
            <w:gridSpan w:val="2"/>
            <w:noWrap w:val="0"/>
            <w:vAlign w:val="bottom"/>
          </w:tcPr>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全称：（公章）</w:t>
            </w: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p>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sz w:val="28"/>
                <w:szCs w:val="28"/>
                <w:highlight w:val="none"/>
              </w:rPr>
            </w:pPr>
          </w:p>
          <w:p>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年  月  日 </w:t>
            </w:r>
          </w:p>
        </w:tc>
      </w:tr>
    </w:tbl>
    <w:p>
      <w:pPr>
        <w:spacing w:line="500" w:lineRule="exact"/>
        <w:jc w:val="cente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2"/>
        <w:ind w:left="324" w:hanging="324"/>
        <w:rPr>
          <w:rFonts w:hint="eastAsia" w:ascii="宋体" w:hAnsi="宋体" w:eastAsia="宋体" w:cs="宋体"/>
          <w:color w:val="auto"/>
          <w:sz w:val="28"/>
          <w:szCs w:val="28"/>
          <w:highlight w:val="none"/>
        </w:rPr>
      </w:pPr>
    </w:p>
    <w:p>
      <w:pPr>
        <w:spacing w:line="500" w:lineRule="exact"/>
        <w:jc w:val="center"/>
        <w:outlineLvl w:val="0"/>
        <w:rPr>
          <w:rFonts w:hint="eastAsia" w:ascii="宋体" w:hAnsi="宋体" w:eastAsia="宋体" w:cs="宋体"/>
          <w:b/>
          <w:bCs/>
          <w:color w:val="auto"/>
          <w:sz w:val="28"/>
          <w:szCs w:val="28"/>
          <w:highlight w:val="none"/>
        </w:rPr>
      </w:pPr>
      <w:bookmarkStart w:id="226" w:name="_Toc22975"/>
      <w:bookmarkStart w:id="227" w:name="_Toc5337"/>
      <w:bookmarkStart w:id="228" w:name="_Toc2127"/>
      <w:r>
        <w:rPr>
          <w:rFonts w:hint="eastAsia" w:ascii="宋体" w:hAnsi="宋体" w:eastAsia="宋体" w:cs="宋体"/>
          <w:b/>
          <w:color w:val="auto"/>
          <w:sz w:val="28"/>
          <w:szCs w:val="28"/>
          <w:highlight w:val="none"/>
        </w:rPr>
        <w:t>法定代表人授权委托书</w:t>
      </w:r>
      <w:bookmarkEnd w:id="220"/>
      <w:bookmarkEnd w:id="221"/>
      <w:bookmarkEnd w:id="222"/>
      <w:bookmarkEnd w:id="223"/>
      <w:bookmarkEnd w:id="224"/>
      <w:bookmarkEnd w:id="225"/>
      <w:bookmarkEnd w:id="226"/>
      <w:bookmarkEnd w:id="227"/>
      <w:bookmarkEnd w:id="228"/>
    </w:p>
    <w:p>
      <w:pPr>
        <w:spacing w:line="360" w:lineRule="auto"/>
        <w:ind w:right="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margin">
                  <wp:posOffset>2882265</wp:posOffset>
                </wp:positionH>
                <wp:positionV relativeFrom="paragraph">
                  <wp:posOffset>304800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6.95pt;margin-top:24pt;height:12.1pt;width:9.05pt;mso-position-horizontal-relative:margin;mso-wrap-style:none;z-index:251663360;mso-width-relative:page;mso-height-relative:page;" filled="f" stroked="f" coordsize="21600,21600" o:gfxdata="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ybij1gAAAAkBAAAPAAAAAAAAAAEAIAAAACIAAABkcnMvZG93bnJldi54&#10;bWxQSwECFAAUAAAACACHTuJAjjcAfjUCAABjBAAADgAAAAAAAAABACAAAAAlAQAAZHJzL2Uyb0Rv&#10;Yy54bWxQSwUGAAAAAAYABgBZAQAAzAU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 （法定代表人姓名）系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margin">
                  <wp:posOffset>2729865</wp:posOffset>
                </wp:positionH>
                <wp:positionV relativeFrom="paragraph">
                  <wp:posOffset>152400</wp:posOffset>
                </wp:positionV>
                <wp:extent cx="114935" cy="1536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4.95pt;margin-top:12pt;height:12.1pt;width:9.05pt;mso-position-horizontal-relative:margin;mso-wrap-style:none;z-index:251662336;mso-width-relative:page;mso-height-relative:page;" filled="f" stroked="f" coordsize="21600,21600" o:gfxdata="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qrsKdYAAAAJAQAADwAAAAAAAAABACAAAAAiAAAAZHJzL2Rvd25yZXYueG1s&#10;UEsBAhQAFAAAAAgAh07iQJdM2XszAgAAYwQAAA4AAAAAAAAAAQAgAAAAJQEAAGRycy9lMm9Eb2Mu&#10;eG1sUEsFBgAAAAAGAAYAWQEAAMoFA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（服务商名称）的法定代表人，</w:t>
      </w:r>
      <w:r>
        <w:rPr>
          <w:rFonts w:hint="eastAsia" w:ascii="宋体" w:hAnsi="宋体" w:eastAsia="宋体" w:cs="宋体"/>
          <w:color w:val="auto"/>
          <w:sz w:val="28"/>
          <w:szCs w:val="28"/>
          <w:highlight w:val="none"/>
        </w:rPr>
        <w:t>现委派</w:t>
      </w:r>
      <w:r>
        <w:rPr>
          <w:rFonts w:hint="eastAsia" w:ascii="宋体" w:hAnsi="宋体" w:eastAsia="宋体" w:cs="宋体"/>
          <w:color w:val="auto"/>
          <w:sz w:val="28"/>
          <w:szCs w:val="28"/>
          <w:highlight w:val="none"/>
          <w:u w:val="none"/>
        </w:rPr>
        <w:t>（授权代表姓名）为本公司的</w:t>
      </w:r>
      <w:r>
        <w:rPr>
          <w:rFonts w:hint="eastAsia" w:ascii="宋体" w:hAnsi="宋体" w:eastAsia="宋体" w:cs="宋体"/>
          <w:color w:val="auto"/>
          <w:sz w:val="28"/>
          <w:szCs w:val="28"/>
          <w:highlight w:val="none"/>
          <w:u w:val="none"/>
          <w:lang w:val="en-US" w:eastAsia="zh-CN"/>
        </w:rPr>
        <w:t>代理人</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代理人根据授权，以我方名义签署、澄清、说明、补正、递交、撤回、修改</w:t>
      </w:r>
      <w:r>
        <w:rPr>
          <w:rFonts w:hint="eastAsia" w:ascii="宋体" w:hAnsi="宋体" w:eastAsia="宋体" w:cs="宋体"/>
          <w:color w:val="auto"/>
          <w:sz w:val="28"/>
          <w:szCs w:val="28"/>
          <w:highlight w:val="none"/>
          <w:u w:val="single"/>
          <w:lang w:val="en-US" w:eastAsia="zh-CN"/>
        </w:rPr>
        <w:t xml:space="preserve">  </w:t>
      </w:r>
      <w:bookmarkStart w:id="229" w:name="_top"/>
      <w:bookmarkEnd w:id="229"/>
      <w:r>
        <w:rPr>
          <w:rFonts w:hint="eastAsia" w:ascii="宋体" w:hAnsi="宋体" w:eastAsia="宋体" w:cs="宋体"/>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margin">
                  <wp:posOffset>2819400</wp:posOffset>
                </wp:positionH>
                <wp:positionV relativeFrom="paragraph">
                  <wp:posOffset>0</wp:posOffset>
                </wp:positionV>
                <wp:extent cx="114935" cy="1536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pt;margin-top:0pt;height:12.1pt;width:9.05pt;mso-position-horizontal-relative:margin;mso-wrap-style:none;z-index:251661312;mso-width-relative:page;mso-height-relative:page;" filled="f" stroked="f" coordsize="21600,21600" o:gfxdata="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PFQH9UAAAAHAQAADwAAAAAAAAABACAAAAAiAAAAZHJzL2Rvd25yZXYueG1s&#10;UEsBAhQAFAAAAAgAh07iQBCyEJA0AgAAYwQAAA4AAAAAAAAAAQAgAAAAJAEAAGRycy9lMm9Eb2Mu&#10;eG1sUEsFBgAAAAAGAAYAWQEAAMoFA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项目名称</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的谈判响应文</w:t>
      </w:r>
      <w:r>
        <w:rPr>
          <w:rFonts w:hint="eastAsia" w:ascii="宋体" w:hAnsi="宋体" w:eastAsia="宋体" w:cs="宋体"/>
          <w:color w:val="auto"/>
          <w:sz w:val="28"/>
          <w:szCs w:val="28"/>
          <w:highlight w:val="none"/>
          <w:lang w:val="en-US" w:eastAsia="zh-CN"/>
        </w:rPr>
        <w:t>件、签订合同、和处理有关事宜</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其法律后果由我方承担</w:t>
      </w:r>
      <w:r>
        <w:rPr>
          <w:rFonts w:hint="eastAsia" w:ascii="宋体" w:hAnsi="宋体" w:eastAsia="宋体" w:cs="宋体"/>
          <w:color w:val="auto"/>
          <w:sz w:val="28"/>
          <w:szCs w:val="28"/>
          <w:highlight w:val="none"/>
        </w:rPr>
        <w:t>。</w:t>
      </w:r>
    </w:p>
    <w:p>
      <w:pPr>
        <w:pStyle w:val="31"/>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委托期限：</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w:t>
      </w:r>
    </w:p>
    <w:tbl>
      <w:tblPr>
        <w:tblStyle w:val="33"/>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8" w:firstLineChars="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法定代表人身份证复印件</w:t>
            </w:r>
          </w:p>
          <w:p>
            <w:pPr>
              <w:keepNext w:val="0"/>
              <w:keepLines w:val="0"/>
              <w:suppressLineNumbers w:val="0"/>
              <w:spacing w:before="0" w:beforeAutospacing="0" w:after="0" w:afterAutospacing="0" w:line="500" w:lineRule="exact"/>
              <w:ind w:left="0" w:right="0" w:firstLine="8" w:firstLineChars="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（一面）</w:t>
            </w:r>
          </w:p>
        </w:tc>
        <w:tc>
          <w:tcPr>
            <w:tcW w:w="4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身份证复印件</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法定代表人身份证复印件</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（另一面）</w:t>
            </w:r>
          </w:p>
        </w:tc>
        <w:tc>
          <w:tcPr>
            <w:tcW w:w="409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身份证复印件</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（另一面）</w:t>
            </w:r>
          </w:p>
        </w:tc>
      </w:tr>
    </w:tbl>
    <w:p>
      <w:pPr>
        <w:tabs>
          <w:tab w:val="right" w:pos="8931"/>
        </w:tabs>
        <w:spacing w:line="500" w:lineRule="exact"/>
        <w:ind w:firstLine="520"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u w:val="single"/>
          <w:lang w:eastAsia="zh-CN"/>
        </w:rPr>
        <w:t>服务商</w:t>
      </w:r>
      <w:r>
        <w:rPr>
          <w:rFonts w:hint="eastAsia" w:ascii="宋体" w:hAnsi="宋体" w:eastAsia="宋体" w:cs="宋体"/>
          <w:color w:val="auto"/>
          <w:spacing w:val="-10"/>
          <w:sz w:val="28"/>
          <w:szCs w:val="28"/>
          <w:highlight w:val="none"/>
          <w:u w:val="single"/>
        </w:rPr>
        <w:t>全称</w:t>
      </w:r>
      <w:r>
        <w:rPr>
          <w:rFonts w:hint="eastAsia" w:ascii="宋体" w:hAnsi="宋体" w:eastAsia="宋体" w:cs="宋体"/>
          <w:color w:val="auto"/>
          <w:sz w:val="28"/>
          <w:szCs w:val="28"/>
          <w:highlight w:val="none"/>
        </w:rPr>
        <w:t>（公章）       法定代表人：（签字或盖章）</w:t>
      </w:r>
    </w:p>
    <w:p>
      <w:pPr>
        <w:spacing w:line="500" w:lineRule="exact"/>
        <w:ind w:firstLine="5728" w:firstLineChars="20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Style w:val="93"/>
        <w:spacing w:line="500" w:lineRule="exact"/>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备注：1、法定代表人亲自参加投标的，无需提供该委托授权书，但须提供法定代表人本人身份证（正反面）复印件。</w:t>
      </w:r>
    </w:p>
    <w:p>
      <w:pPr>
        <w:pStyle w:val="93"/>
        <w:spacing w:line="500" w:lineRule="exact"/>
        <w:ind w:firstLine="48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2、法定代表人签字或盖章可采用纸质签字或盖章后，上传至电子</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，也可使用法定代表人CA锁在电子</w:t>
      </w:r>
      <w:r>
        <w:rPr>
          <w:rFonts w:hint="eastAsia" w:ascii="宋体" w:hAnsi="宋体" w:eastAsia="宋体" w:cs="宋体"/>
          <w:color w:val="auto"/>
          <w:sz w:val="28"/>
          <w:szCs w:val="28"/>
          <w:highlight w:val="none"/>
          <w:lang w:val="en-US" w:eastAsia="zh-CN"/>
        </w:rPr>
        <w:t>谈判响应文件</w:t>
      </w:r>
      <w:r>
        <w:rPr>
          <w:rFonts w:hint="eastAsia" w:ascii="宋体" w:hAnsi="宋体" w:eastAsia="宋体" w:cs="宋体"/>
          <w:color w:val="auto"/>
          <w:sz w:val="28"/>
          <w:szCs w:val="28"/>
          <w:highlight w:val="none"/>
        </w:rPr>
        <w:t>制作软件中签章。</w:t>
      </w:r>
    </w:p>
    <w:p>
      <w:pPr>
        <w:pStyle w:val="31"/>
        <w:spacing w:line="500" w:lineRule="exact"/>
        <w:ind w:firstLine="283"/>
        <w:rPr>
          <w:rFonts w:hint="eastAsia" w:ascii="宋体" w:hAnsi="宋体" w:eastAsia="宋体" w:cs="宋体"/>
          <w:color w:val="auto"/>
          <w:kern w:val="0"/>
          <w:sz w:val="28"/>
          <w:szCs w:val="28"/>
          <w:highlight w:val="none"/>
        </w:rPr>
      </w:pPr>
    </w:p>
    <w:p>
      <w:pPr>
        <w:pStyle w:val="32"/>
        <w:rPr>
          <w:rFonts w:hint="eastAsia" w:ascii="宋体" w:hAnsi="宋体" w:eastAsia="宋体" w:cs="宋体"/>
          <w:color w:val="auto"/>
          <w:kern w:val="0"/>
          <w:sz w:val="28"/>
          <w:szCs w:val="28"/>
          <w:highlight w:val="none"/>
        </w:rPr>
      </w:pPr>
    </w:p>
    <w:p>
      <w:pPr>
        <w:pStyle w:val="9"/>
        <w:rPr>
          <w:rFonts w:hint="eastAsia" w:ascii="宋体" w:hAnsi="宋体" w:eastAsia="宋体" w:cs="宋体"/>
          <w:color w:val="auto"/>
          <w:kern w:val="0"/>
          <w:sz w:val="28"/>
          <w:szCs w:val="28"/>
          <w:highlight w:val="none"/>
        </w:rPr>
      </w:pPr>
    </w:p>
    <w:p>
      <w:pPr>
        <w:rPr>
          <w:rFonts w:hint="eastAsia" w:ascii="宋体" w:hAnsi="宋体" w:eastAsia="宋体" w:cs="宋体"/>
          <w:color w:val="auto"/>
          <w:highlight w:val="none"/>
        </w:rPr>
      </w:pPr>
    </w:p>
    <w:p>
      <w:pPr>
        <w:widowControl/>
        <w:jc w:val="center"/>
        <w:outlineLvl w:val="0"/>
        <w:rPr>
          <w:rFonts w:hint="eastAsia" w:ascii="宋体" w:hAnsi="宋体" w:eastAsia="宋体" w:cs="宋体"/>
          <w:b/>
          <w:bCs/>
          <w:color w:val="auto"/>
          <w:sz w:val="32"/>
          <w:szCs w:val="36"/>
          <w:highlight w:val="none"/>
        </w:rPr>
      </w:pPr>
      <w:bookmarkStart w:id="230" w:name="_Toc9136"/>
      <w:bookmarkStart w:id="231" w:name="_Toc29184"/>
      <w:r>
        <w:rPr>
          <w:rFonts w:hint="eastAsia" w:ascii="宋体" w:hAnsi="宋体" w:eastAsia="宋体" w:cs="宋体"/>
          <w:b/>
          <w:bCs/>
          <w:color w:val="auto"/>
          <w:sz w:val="32"/>
          <w:szCs w:val="36"/>
          <w:highlight w:val="none"/>
        </w:rPr>
        <w:t xml:space="preserve">第四部分  </w:t>
      </w:r>
      <w:r>
        <w:rPr>
          <w:rFonts w:hint="eastAsia" w:ascii="宋体" w:hAnsi="宋体" w:eastAsia="宋体" w:cs="宋体"/>
          <w:b/>
          <w:bCs/>
          <w:color w:val="auto"/>
          <w:sz w:val="32"/>
          <w:szCs w:val="36"/>
          <w:highlight w:val="none"/>
          <w:lang w:eastAsia="zh-CN"/>
        </w:rPr>
        <w:t>服务商</w:t>
      </w:r>
      <w:r>
        <w:rPr>
          <w:rFonts w:hint="eastAsia" w:ascii="宋体" w:hAnsi="宋体" w:eastAsia="宋体" w:cs="宋体"/>
          <w:b/>
          <w:bCs/>
          <w:color w:val="auto"/>
          <w:sz w:val="32"/>
          <w:szCs w:val="36"/>
          <w:highlight w:val="none"/>
        </w:rPr>
        <w:t>概况</w:t>
      </w:r>
      <w:bookmarkEnd w:id="230"/>
      <w:bookmarkEnd w:id="231"/>
    </w:p>
    <w:p>
      <w:pPr>
        <w:widowControl/>
        <w:spacing w:before="190" w:beforeLines="50"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服务商</w:t>
      </w:r>
      <w:r>
        <w:rPr>
          <w:rFonts w:hint="eastAsia" w:ascii="宋体" w:hAnsi="宋体" w:eastAsia="宋体" w:cs="宋体"/>
          <w:b/>
          <w:color w:val="auto"/>
          <w:sz w:val="28"/>
          <w:szCs w:val="28"/>
          <w:highlight w:val="none"/>
        </w:rPr>
        <w:t>基本信息</w:t>
      </w:r>
    </w:p>
    <w:tbl>
      <w:tblPr>
        <w:tblStyle w:val="3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05"/>
        <w:gridCol w:w="667"/>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tcBorders>
              <w:top w:val="single" w:color="auto" w:sz="6" w:space="0"/>
              <w:left w:val="single" w:color="auto" w:sz="12" w:space="0"/>
              <w:bottom w:val="single" w:color="auto" w:sz="6"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服务商</w:t>
            </w:r>
            <w:r>
              <w:rPr>
                <w:rFonts w:hint="eastAsia" w:ascii="宋体" w:hAnsi="宋体" w:eastAsia="宋体" w:cs="宋体"/>
                <w:color w:val="auto"/>
                <w:kern w:val="0"/>
                <w:sz w:val="28"/>
                <w:szCs w:val="28"/>
                <w:highlight w:val="none"/>
              </w:rPr>
              <w:t>全称</w:t>
            </w:r>
          </w:p>
        </w:tc>
        <w:tc>
          <w:tcPr>
            <w:tcW w:w="6575" w:type="dxa"/>
            <w:gridSpan w:val="5"/>
            <w:tcBorders>
              <w:top w:val="single" w:color="auto" w:sz="6" w:space="0"/>
              <w:bottom w:val="single" w:color="auto" w:sz="6" w:space="0"/>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tcBorders>
              <w:top w:val="single" w:color="auto" w:sz="6" w:space="0"/>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注册地址</w:t>
            </w:r>
          </w:p>
        </w:tc>
        <w:tc>
          <w:tcPr>
            <w:tcW w:w="2200" w:type="dxa"/>
            <w:gridSpan w:val="2"/>
            <w:tcBorders>
              <w:top w:val="single" w:color="auto" w:sz="6"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417" w:type="dxa"/>
            <w:tcBorders>
              <w:top w:val="single" w:color="auto" w:sz="6"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成立时间</w:t>
            </w:r>
          </w:p>
        </w:tc>
        <w:tc>
          <w:tcPr>
            <w:tcW w:w="2958" w:type="dxa"/>
            <w:gridSpan w:val="2"/>
            <w:tcBorders>
              <w:top w:val="single" w:color="auto" w:sz="6" w:space="0"/>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登记证号</w:t>
            </w:r>
          </w:p>
        </w:tc>
        <w:tc>
          <w:tcPr>
            <w:tcW w:w="2200" w:type="dxa"/>
            <w:gridSpan w:val="2"/>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417" w:type="dxa"/>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单位性质</w:t>
            </w:r>
          </w:p>
        </w:tc>
        <w:tc>
          <w:tcPr>
            <w:tcW w:w="2958" w:type="dxa"/>
            <w:gridSpan w:val="2"/>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p>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(主要负责人)</w:t>
            </w:r>
          </w:p>
        </w:tc>
        <w:tc>
          <w:tcPr>
            <w:tcW w:w="2200" w:type="dxa"/>
            <w:gridSpan w:val="2"/>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417" w:type="dxa"/>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所属行业</w:t>
            </w:r>
          </w:p>
        </w:tc>
        <w:tc>
          <w:tcPr>
            <w:tcW w:w="2958" w:type="dxa"/>
            <w:gridSpan w:val="2"/>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上年度</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营业收入</w:t>
            </w:r>
          </w:p>
        </w:tc>
        <w:tc>
          <w:tcPr>
            <w:tcW w:w="2200" w:type="dxa"/>
            <w:gridSpan w:val="2"/>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417" w:type="dxa"/>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资产总额</w:t>
            </w:r>
          </w:p>
        </w:tc>
        <w:tc>
          <w:tcPr>
            <w:tcW w:w="2958" w:type="dxa"/>
            <w:gridSpan w:val="2"/>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基本存款账户</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开户银行</w:t>
            </w:r>
          </w:p>
        </w:tc>
        <w:tc>
          <w:tcPr>
            <w:tcW w:w="2200" w:type="dxa"/>
            <w:gridSpan w:val="2"/>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417" w:type="dxa"/>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基本存款</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账户账号</w:t>
            </w:r>
          </w:p>
        </w:tc>
        <w:tc>
          <w:tcPr>
            <w:tcW w:w="2958" w:type="dxa"/>
            <w:gridSpan w:val="2"/>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所获得资质及等级(国家行政部门颁发)</w:t>
            </w:r>
          </w:p>
        </w:tc>
        <w:tc>
          <w:tcPr>
            <w:tcW w:w="6575" w:type="dxa"/>
            <w:gridSpan w:val="5"/>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8"/>
                <w:szCs w:val="28"/>
                <w:highlight w:val="none"/>
              </w:rPr>
            </w:pPr>
          </w:p>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经营范围</w:t>
            </w:r>
          </w:p>
        </w:tc>
        <w:tc>
          <w:tcPr>
            <w:tcW w:w="6575" w:type="dxa"/>
            <w:gridSpan w:val="5"/>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vMerge w:val="restart"/>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从业人员总数</w:t>
            </w:r>
          </w:p>
        </w:tc>
        <w:tc>
          <w:tcPr>
            <w:tcW w:w="667" w:type="dxa"/>
            <w:vMerge w:val="restart"/>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533" w:type="dxa"/>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管理人员数量</w:t>
            </w:r>
          </w:p>
        </w:tc>
        <w:tc>
          <w:tcPr>
            <w:tcW w:w="1417" w:type="dxa"/>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560" w:type="dxa"/>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专业技术</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人员数量</w:t>
            </w:r>
          </w:p>
        </w:tc>
        <w:tc>
          <w:tcPr>
            <w:tcW w:w="1398" w:type="dxa"/>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05" w:type="dxa"/>
            <w:vMerge w:val="continue"/>
            <w:tcBorders>
              <w:left w:val="single" w:color="auto" w:sz="12" w:space="0"/>
              <w:bottom w:val="single" w:color="auto" w:sz="4"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667" w:type="dxa"/>
            <w:vMerge w:val="continue"/>
            <w:tcBorders>
              <w:bottom w:val="single" w:color="auto" w:sz="4"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533" w:type="dxa"/>
            <w:tcBorders>
              <w:bottom w:val="single" w:color="auto" w:sz="4"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残疾人人数</w:t>
            </w:r>
          </w:p>
        </w:tc>
        <w:tc>
          <w:tcPr>
            <w:tcW w:w="1417" w:type="dxa"/>
            <w:tcBorders>
              <w:bottom w:val="single" w:color="auto" w:sz="4"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1560" w:type="dxa"/>
            <w:tcBorders>
              <w:bottom w:val="single" w:color="auto" w:sz="4"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少数民族人数</w:t>
            </w:r>
          </w:p>
        </w:tc>
        <w:tc>
          <w:tcPr>
            <w:tcW w:w="1398" w:type="dxa"/>
            <w:tcBorders>
              <w:bottom w:val="single" w:color="auto" w:sz="4" w:space="0"/>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存在直接控股、管理关系的相关</w:t>
            </w:r>
            <w:r>
              <w:rPr>
                <w:rFonts w:hint="eastAsia" w:ascii="宋体" w:hAnsi="宋体" w:eastAsia="宋体" w:cs="宋体"/>
                <w:color w:val="auto"/>
                <w:kern w:val="0"/>
                <w:sz w:val="28"/>
                <w:szCs w:val="28"/>
                <w:highlight w:val="none"/>
                <w:lang w:eastAsia="zh-CN"/>
              </w:rPr>
              <w:t>服务商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8"/>
                <w:szCs w:val="28"/>
                <w:highlight w:val="none"/>
              </w:rPr>
              <w:t>关系</w:t>
            </w:r>
          </w:p>
        </w:tc>
        <w:tc>
          <w:tcPr>
            <w:tcW w:w="6575" w:type="dxa"/>
            <w:gridSpan w:val="5"/>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lang w:eastAsia="zh-CN"/>
              </w:rPr>
              <w:t>服务商</w:t>
            </w:r>
            <w:r>
              <w:rPr>
                <w:rFonts w:hint="eastAsia" w:ascii="宋体" w:hAnsi="宋体" w:eastAsia="宋体" w:cs="宋体"/>
                <w:bCs/>
                <w:color w:val="auto"/>
                <w:kern w:val="0"/>
                <w:sz w:val="28"/>
                <w:szCs w:val="28"/>
                <w:highlight w:val="none"/>
              </w:rPr>
              <w:t>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6575" w:type="dxa"/>
            <w:gridSpan w:val="5"/>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6575" w:type="dxa"/>
            <w:gridSpan w:val="5"/>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05" w:type="dxa"/>
            <w:tcBorders>
              <w:lef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p>
        </w:tc>
        <w:tc>
          <w:tcPr>
            <w:tcW w:w="6575" w:type="dxa"/>
            <w:gridSpan w:val="5"/>
            <w:tcBorders>
              <w:right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2605" w:type="dxa"/>
            <w:tcBorders>
              <w:left w:val="single" w:color="auto" w:sz="12" w:space="0"/>
              <w:bottom w:val="single" w:color="auto" w:sz="12" w:space="0"/>
            </w:tcBorders>
            <w:noWrap w:val="0"/>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说明</w:t>
            </w:r>
          </w:p>
        </w:tc>
        <w:tc>
          <w:tcPr>
            <w:tcW w:w="6575" w:type="dxa"/>
            <w:gridSpan w:val="5"/>
            <w:tcBorders>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1、登记证号指营业执照/事业单位法人证书/非企业专业服务机构执业许可证/民办非企业单位登记证书中的登记号，或“三证合一”改革后的统一社会信用代码。与</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在资格证明文件中提供的登记证号码一致。</w:t>
            </w:r>
          </w:p>
          <w:p>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2、成立时间至提交首次响应文件截止时间不足一年的可不提供“上年度营业收入”。</w:t>
            </w:r>
          </w:p>
          <w:p>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应如实填写上述信息。</w:t>
            </w:r>
          </w:p>
        </w:tc>
      </w:tr>
    </w:tbl>
    <w:p>
      <w:pPr>
        <w:widowControl/>
        <w:spacing w:line="2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widowControl/>
        <w:spacing w:before="190" w:beforeLines="50"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服务商</w:t>
      </w:r>
      <w:r>
        <w:rPr>
          <w:rFonts w:hint="eastAsia" w:ascii="宋体" w:hAnsi="宋体" w:eastAsia="宋体" w:cs="宋体"/>
          <w:b/>
          <w:color w:val="auto"/>
          <w:sz w:val="28"/>
          <w:szCs w:val="28"/>
          <w:highlight w:val="none"/>
        </w:rPr>
        <w:t>性质</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为中小企业或残疾人福利性单位的，应按下文给定格式填写声明函。未提供或未按给定格式提供声明函的，将不能享受</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规定的价格优惠政策，但不影响响应文件的有效性。</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为监狱企业的，应当提供由省级以上监狱管理局、戒毒管理局（含新疆生产建设兵团）出具的属于监狱企业的证明函（格式不限定）。未提供证明函的，将不能享受</w:t>
      </w:r>
      <w:r>
        <w:rPr>
          <w:rFonts w:hint="eastAsia" w:ascii="宋体" w:hAnsi="宋体" w:eastAsia="宋体" w:cs="宋体"/>
          <w:color w:val="auto"/>
          <w:sz w:val="28"/>
          <w:szCs w:val="28"/>
          <w:highlight w:val="none"/>
          <w:lang w:eastAsia="zh-CN"/>
        </w:rPr>
        <w:t>谈判文件</w:t>
      </w:r>
      <w:r>
        <w:rPr>
          <w:rFonts w:hint="eastAsia" w:ascii="宋体" w:hAnsi="宋体" w:eastAsia="宋体" w:cs="宋体"/>
          <w:color w:val="auto"/>
          <w:sz w:val="28"/>
          <w:szCs w:val="28"/>
          <w:highlight w:val="none"/>
        </w:rPr>
        <w:t>规定的价格优惠政策，但不影响响应文件的有效性。</w:t>
      </w:r>
    </w:p>
    <w:p>
      <w:pPr>
        <w:widowControl/>
        <w:spacing w:line="40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特别提醒：仅当</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属于中小企业、或残疾人福利性单位、或监狱企业时才需填写相应的声明函/证明函，否则应当将其留空或直接删除。</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性质将随成交公告一同公布，接受社会监督。</w:t>
      </w:r>
    </w:p>
    <w:p>
      <w:pPr>
        <w:widowControl/>
        <w:jc w:val="center"/>
        <w:rPr>
          <w:rFonts w:hint="eastAsia" w:ascii="宋体" w:hAnsi="宋体" w:eastAsia="宋体" w:cs="宋体"/>
          <w:b/>
          <w:color w:val="auto"/>
          <w:sz w:val="28"/>
          <w:szCs w:val="28"/>
          <w:highlight w:val="none"/>
        </w:rPr>
      </w:pPr>
    </w:p>
    <w:p>
      <w:pPr>
        <w:widowControl/>
        <w:jc w:val="center"/>
        <w:rPr>
          <w:rFonts w:hint="eastAsia" w:ascii="宋体" w:hAnsi="宋体" w:eastAsia="宋体" w:cs="宋体"/>
          <w:b/>
          <w:color w:val="auto"/>
          <w:sz w:val="28"/>
          <w:szCs w:val="28"/>
          <w:highlight w:val="none"/>
        </w:rPr>
      </w:pPr>
    </w:p>
    <w:p>
      <w:pPr>
        <w:pStyle w:val="31"/>
        <w:rPr>
          <w:rFonts w:hint="eastAsia" w:ascii="宋体" w:hAnsi="宋体" w:eastAsia="宋体" w:cs="宋体"/>
          <w:b/>
          <w:color w:val="auto"/>
          <w:sz w:val="28"/>
          <w:szCs w:val="28"/>
          <w:highlight w:val="none"/>
        </w:rPr>
      </w:pPr>
    </w:p>
    <w:p>
      <w:pPr>
        <w:pStyle w:val="3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1"/>
        <w:rPr>
          <w:rFonts w:hint="eastAsia" w:ascii="宋体" w:hAnsi="宋体" w:eastAsia="宋体" w:cs="宋体"/>
          <w:b/>
          <w:color w:val="auto"/>
          <w:sz w:val="28"/>
          <w:szCs w:val="28"/>
          <w:highlight w:val="none"/>
        </w:rPr>
      </w:pPr>
    </w:p>
    <w:p>
      <w:pPr>
        <w:pStyle w:val="3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1"/>
        <w:rPr>
          <w:rFonts w:hint="eastAsia" w:ascii="宋体" w:hAnsi="宋体" w:eastAsia="宋体" w:cs="宋体"/>
          <w:b/>
          <w:color w:val="auto"/>
          <w:sz w:val="28"/>
          <w:szCs w:val="28"/>
          <w:highlight w:val="none"/>
        </w:rPr>
      </w:pPr>
    </w:p>
    <w:p>
      <w:pPr>
        <w:pStyle w:val="3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rPr>
          <w:rFonts w:hint="eastAsia" w:ascii="宋体" w:hAnsi="宋体" w:eastAsia="宋体" w:cs="宋体"/>
          <w:b/>
          <w:color w:val="auto"/>
          <w:sz w:val="28"/>
          <w:szCs w:val="28"/>
          <w:highlight w:val="none"/>
        </w:rPr>
      </w:pPr>
    </w:p>
    <w:p>
      <w:pPr>
        <w:rPr>
          <w:rFonts w:hint="eastAsia" w:ascii="宋体" w:hAnsi="宋体" w:eastAsia="宋体" w:cs="宋体"/>
          <w:color w:val="auto"/>
          <w:highlight w:val="none"/>
        </w:rPr>
      </w:pPr>
    </w:p>
    <w:p>
      <w:pPr>
        <w:pStyle w:val="1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widowControl/>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中小企业声明函</w:t>
      </w:r>
      <w:r>
        <w:rPr>
          <w:rFonts w:hint="eastAsia" w:ascii="宋体" w:hAnsi="宋体" w:eastAsia="宋体" w:cs="宋体"/>
          <w:b/>
          <w:vanish/>
          <w:color w:val="auto"/>
          <w:sz w:val="28"/>
          <w:szCs w:val="28"/>
          <w:highlight w:val="none"/>
        </w:rPr>
        <w:t>（服务）</w:t>
      </w:r>
    </w:p>
    <w:p>
      <w:pPr>
        <w:pStyle w:val="108"/>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本公司（联合体）郑重声明，根据《政府采购促进中小企业发展管理办法》（财库〔2020〕46号）的规定，本公司（联合体）参加</w:t>
      </w:r>
      <w:r>
        <w:rPr>
          <w:rFonts w:hint="eastAsia" w:ascii="宋体" w:hAnsi="宋体" w:eastAsia="宋体" w:cs="宋体"/>
          <w:color w:val="auto"/>
          <w:sz w:val="28"/>
          <w:szCs w:val="28"/>
          <w:highlight w:val="none"/>
          <w:u w:val="single" w:color="0C0C0C"/>
          <w:lang w:val="en-US" w:eastAsia="zh-CN"/>
        </w:rPr>
        <w:t xml:space="preserve">               </w:t>
      </w:r>
      <w:r>
        <w:rPr>
          <w:rFonts w:hint="eastAsia" w:ascii="宋体" w:hAnsi="宋体" w:eastAsia="宋体" w:cs="宋体"/>
          <w:color w:val="auto"/>
          <w:sz w:val="28"/>
          <w:szCs w:val="28"/>
          <w:highlight w:val="none"/>
        </w:rPr>
        <w:t>项目采购活动，服务全部由符合政策要求的中小企业承接。相关企业（含联合体中的中小企业、签订分包意向协议的中小企业）的具体情况如下：</w:t>
      </w:r>
    </w:p>
    <w:p>
      <w:pPr>
        <w:pStyle w:val="108"/>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u w:val="single" w:color="000000"/>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color="000000"/>
        </w:rPr>
        <w:t>〈采购文件中明确的所属行业〉</w:t>
      </w:r>
      <w:r>
        <w:rPr>
          <w:rFonts w:hint="eastAsia" w:ascii="宋体" w:hAnsi="宋体" w:eastAsia="宋体" w:cs="宋体"/>
          <w:color w:val="auto"/>
          <w:sz w:val="28"/>
          <w:szCs w:val="28"/>
          <w:highlight w:val="none"/>
        </w:rPr>
        <w:t>；承接企业为</w:t>
      </w:r>
      <w:r>
        <w:rPr>
          <w:rFonts w:hint="eastAsia" w:ascii="宋体" w:hAnsi="宋体" w:eastAsia="宋体" w:cs="宋体"/>
          <w:color w:val="auto"/>
          <w:sz w:val="28"/>
          <w:szCs w:val="28"/>
          <w:highlight w:val="none"/>
          <w:u w:val="single" w:color="000000"/>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color="000000"/>
        </w:rPr>
        <w:t>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color="000000"/>
        </w:rPr>
        <w:t>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color="000000"/>
        </w:rPr>
        <w:t>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color="000000"/>
        </w:rPr>
        <w:t>      企业</w:t>
      </w:r>
      <w:r>
        <w:rPr>
          <w:rFonts w:hint="eastAsia" w:ascii="宋体" w:hAnsi="宋体" w:eastAsia="宋体" w:cs="宋体"/>
          <w:color w:val="auto"/>
          <w:sz w:val="28"/>
          <w:szCs w:val="28"/>
          <w:highlight w:val="none"/>
        </w:rPr>
        <w:t>（选填中型企业、小型企业、微型企业）；</w:t>
      </w:r>
    </w:p>
    <w:p>
      <w:pPr>
        <w:pStyle w:val="108"/>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u w:val="single" w:color="000000"/>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color="000000"/>
        </w:rPr>
        <w:t>〈采购文件中明确的所属行业〉</w:t>
      </w:r>
      <w:r>
        <w:rPr>
          <w:rFonts w:hint="eastAsia" w:ascii="宋体" w:hAnsi="宋体" w:eastAsia="宋体" w:cs="宋体"/>
          <w:color w:val="auto"/>
          <w:sz w:val="28"/>
          <w:szCs w:val="28"/>
          <w:highlight w:val="none"/>
        </w:rPr>
        <w:t>；承接企业为</w:t>
      </w:r>
      <w:r>
        <w:rPr>
          <w:rFonts w:hint="eastAsia" w:ascii="宋体" w:hAnsi="宋体" w:eastAsia="宋体" w:cs="宋体"/>
          <w:color w:val="auto"/>
          <w:sz w:val="28"/>
          <w:szCs w:val="28"/>
          <w:highlight w:val="none"/>
          <w:u w:val="single" w:color="000000"/>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color="000000"/>
        </w:rPr>
        <w:t>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color="000000"/>
        </w:rPr>
        <w:t>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color="000000"/>
        </w:rPr>
        <w:t>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color="000000"/>
        </w:rPr>
        <w:t>      企业</w:t>
      </w:r>
      <w:r>
        <w:rPr>
          <w:rFonts w:hint="eastAsia" w:ascii="宋体" w:hAnsi="宋体" w:eastAsia="宋体" w:cs="宋体"/>
          <w:color w:val="auto"/>
          <w:sz w:val="28"/>
          <w:szCs w:val="28"/>
          <w:highlight w:val="none"/>
        </w:rPr>
        <w:t>（选填中型企业、小型企业、微型企业）；</w:t>
      </w:r>
    </w:p>
    <w:p>
      <w:pPr>
        <w:pStyle w:val="108"/>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widowControl/>
        <w:spacing w:after="100" w:afterAutospacing="1"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以上企业，不属于大企业的分支机构，不存在控股股东为大企业的情形，也不存在与大企业的负责人为同一人的情形。</w:t>
      </w:r>
    </w:p>
    <w:p>
      <w:pPr>
        <w:widowControl/>
        <w:spacing w:after="100" w:afterAutospacing="1" w:line="400" w:lineRule="exact"/>
        <w:ind w:firstLine="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pPr>
        <w:widowControl/>
        <w:tabs>
          <w:tab w:val="left" w:pos="5670"/>
        </w:tabs>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tabs>
          <w:tab w:val="left" w:pos="5670"/>
        </w:tabs>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pPr>
        <w:widowControl/>
        <w:tabs>
          <w:tab w:val="left" w:pos="5670"/>
        </w:tabs>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说明：1、</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在填报前请认真阅读《工业和信息化部、国家统计局、国家发展和改革委员会、财政部关于印发中小企业划型标准规定的通知》（工信部联企业〔2011〕300号）和《财政部、工业和信息化部关于印发</w:t>
      </w:r>
      <w:r>
        <w:rPr>
          <w:rFonts w:hint="eastAsia" w:ascii="宋体" w:hAnsi="宋体" w:eastAsia="宋体" w:cs="宋体"/>
          <w:color w:val="auto"/>
          <w:kern w:val="0"/>
          <w:sz w:val="28"/>
          <w:szCs w:val="28"/>
          <w:highlight w:val="none"/>
        </w:rPr>
        <w:t>〈政府采购促进中小企业发展管理办法</w:t>
      </w:r>
      <w:r>
        <w:rPr>
          <w:rFonts w:hint="eastAsia" w:ascii="宋体" w:hAnsi="宋体" w:eastAsia="宋体" w:cs="宋体"/>
          <w:color w:val="auto"/>
          <w:sz w:val="28"/>
          <w:szCs w:val="28"/>
          <w:highlight w:val="none"/>
        </w:rPr>
        <w:t>〉的通知》（财库〔2020〕46号）相关规定。符合条件的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未按上述要求提供、填写的，评审时不予认可。</w:t>
      </w:r>
    </w:p>
    <w:p>
      <w:pPr>
        <w:widowControl/>
        <w:numPr>
          <w:ilvl w:val="0"/>
          <w:numId w:val="5"/>
        </w:numPr>
        <w:tabs>
          <w:tab w:val="left" w:pos="5670"/>
        </w:tabs>
        <w:spacing w:line="40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widowControl/>
        <w:numPr>
          <w:ilvl w:val="0"/>
          <w:numId w:val="5"/>
        </w:numPr>
        <w:tabs>
          <w:tab w:val="left" w:pos="5670"/>
        </w:tabs>
        <w:spacing w:line="400" w:lineRule="exact"/>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3、本项目所属行业：其他未列明行业。</w:t>
      </w:r>
    </w:p>
    <w:p>
      <w:pPr>
        <w:widowControl/>
        <w:tabs>
          <w:tab w:val="left" w:pos="5670"/>
        </w:tabs>
        <w:spacing w:line="400" w:lineRule="exact"/>
        <w:ind w:firstLine="560" w:firstLineChars="200"/>
        <w:jc w:val="left"/>
        <w:rPr>
          <w:rFonts w:hint="eastAsia" w:ascii="宋体" w:hAnsi="宋体" w:eastAsia="宋体" w:cs="宋体"/>
          <w:color w:val="auto"/>
          <w:sz w:val="28"/>
          <w:szCs w:val="28"/>
          <w:highlight w:val="none"/>
          <w:lang w:val="en-US" w:eastAsia="zh-CN"/>
        </w:rPr>
      </w:pPr>
    </w:p>
    <w:p>
      <w:pPr>
        <w:pStyle w:val="12"/>
        <w:numPr>
          <w:ilvl w:val="0"/>
          <w:numId w:val="0"/>
        </w:numPr>
        <w:ind w:leftChars="200"/>
        <w:rPr>
          <w:rFonts w:hint="eastAsia" w:ascii="宋体" w:hAnsi="宋体" w:eastAsia="宋体" w:cs="宋体"/>
          <w:color w:val="auto"/>
          <w:highlight w:val="none"/>
        </w:rPr>
      </w:pPr>
    </w:p>
    <w:p>
      <w:pPr>
        <w:widowControl/>
        <w:tabs>
          <w:tab w:val="left" w:pos="5670"/>
        </w:tabs>
        <w:spacing w:line="400" w:lineRule="exact"/>
        <w:ind w:firstLine="560" w:firstLineChars="200"/>
        <w:jc w:val="left"/>
        <w:rPr>
          <w:rFonts w:hint="eastAsia" w:ascii="宋体" w:hAnsi="宋体" w:eastAsia="宋体" w:cs="宋体"/>
          <w:color w:val="auto"/>
          <w:sz w:val="28"/>
          <w:szCs w:val="28"/>
          <w:highlight w:val="none"/>
        </w:rPr>
      </w:pPr>
    </w:p>
    <w:p>
      <w:pPr>
        <w:pStyle w:val="111"/>
        <w:rPr>
          <w:rFonts w:hint="eastAsia" w:ascii="宋体" w:hAnsi="宋体" w:eastAsia="宋体" w:cs="宋体"/>
          <w:color w:val="auto"/>
          <w:highlight w:val="none"/>
        </w:rPr>
      </w:pPr>
    </w:p>
    <w:p>
      <w:pPr>
        <w:pStyle w:val="31"/>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采购活动提供本单位制造的货物（由本单位承担工程/提供服务），或者提供其他残疾人福利性单位制造的货物（不包括使用非残疾人福利性单位注册商标的货物）。</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pPr>
        <w:widowControl/>
        <w:spacing w:line="400" w:lineRule="exact"/>
        <w:ind w:firstLine="560" w:firstLineChars="200"/>
        <w:jc w:val="left"/>
        <w:rPr>
          <w:rFonts w:hint="eastAsia" w:ascii="宋体" w:hAnsi="宋体" w:eastAsia="宋体" w:cs="宋体"/>
          <w:color w:val="auto"/>
          <w:sz w:val="28"/>
          <w:szCs w:val="28"/>
          <w:highlight w:val="none"/>
        </w:rPr>
      </w:pPr>
    </w:p>
    <w:p>
      <w:pPr>
        <w:widowControl/>
        <w:tabs>
          <w:tab w:val="left" w:pos="5670"/>
        </w:tabs>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tabs>
          <w:tab w:val="left" w:pos="5670"/>
        </w:tabs>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pPr>
        <w:widowControl/>
        <w:tabs>
          <w:tab w:val="left" w:pos="5670"/>
        </w:tabs>
        <w:spacing w:line="400" w:lineRule="exact"/>
        <w:ind w:firstLine="560" w:firstLineChars="200"/>
        <w:jc w:val="left"/>
        <w:rPr>
          <w:rFonts w:hint="eastAsia" w:ascii="宋体" w:hAnsi="宋体" w:eastAsia="宋体" w:cs="宋体"/>
          <w:color w:val="auto"/>
          <w:sz w:val="28"/>
          <w:szCs w:val="28"/>
          <w:highlight w:val="none"/>
        </w:rPr>
      </w:pPr>
    </w:p>
    <w:p>
      <w:pPr>
        <w:widowControl/>
        <w:tabs>
          <w:tab w:val="left" w:pos="5670"/>
        </w:tabs>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在填报前请认真阅读《财政部、民政部、中国残疾人联合会关于促进残疾人就业政府采购政策的通知》。符合条件的</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未按上述要求提供、填写的，评审时不予认可。</w:t>
      </w:r>
    </w:p>
    <w:p>
      <w:pPr>
        <w:widowControl/>
        <w:tabs>
          <w:tab w:val="left" w:pos="5670"/>
        </w:tabs>
        <w:spacing w:line="400" w:lineRule="exact"/>
        <w:ind w:firstLine="560" w:firstLineChars="200"/>
        <w:rPr>
          <w:rFonts w:hint="eastAsia" w:ascii="宋体" w:hAnsi="宋体" w:eastAsia="宋体" w:cs="宋体"/>
          <w:color w:val="auto"/>
          <w:sz w:val="28"/>
          <w:szCs w:val="28"/>
          <w:highlight w:val="none"/>
        </w:rPr>
      </w:pPr>
    </w:p>
    <w:p>
      <w:pPr>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监狱企业证明函</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监狱企业参加政府采购活动时，应当提供由省级以上监狱管理局、戒毒管理局（含新疆生产建设兵团）出具的属于监狱企业的证明文件。</w:t>
      </w:r>
    </w:p>
    <w:p>
      <w:pPr>
        <w:widowControl/>
        <w:spacing w:line="400" w:lineRule="exact"/>
        <w:jc w:val="left"/>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sectPr>
          <w:footerReference r:id="rId24" w:type="first"/>
          <w:headerReference r:id="rId20" w:type="default"/>
          <w:footerReference r:id="rId22" w:type="default"/>
          <w:headerReference r:id="rId21" w:type="even"/>
          <w:footerReference r:id="rId23" w:type="even"/>
          <w:pgSz w:w="11906" w:h="16838"/>
          <w:pgMar w:top="1417" w:right="1417" w:bottom="1417" w:left="1417" w:header="850" w:footer="992" w:gutter="0"/>
          <w:pgNumType w:fmt="decimal"/>
          <w:cols w:space="720" w:num="1"/>
          <w:docGrid w:type="lines" w:linePitch="381" w:charSpace="704"/>
        </w:sectPr>
      </w:pPr>
    </w:p>
    <w:p>
      <w:pPr>
        <w:spacing w:before="91" w:line="220" w:lineRule="auto"/>
        <w:ind w:left="14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附</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中小企业划型标准</w:t>
      </w:r>
    </w:p>
    <w:p>
      <w:pPr>
        <w:spacing w:line="119" w:lineRule="exact"/>
        <w:rPr>
          <w:rFonts w:hint="eastAsia" w:ascii="宋体" w:hAnsi="宋体" w:eastAsia="宋体" w:cs="宋体"/>
          <w:color w:val="auto"/>
          <w:highlight w:val="none"/>
        </w:rPr>
      </w:pPr>
    </w:p>
    <w:tbl>
      <w:tblPr>
        <w:tblStyle w:val="107"/>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1283"/>
        <w:gridCol w:w="1027"/>
        <w:gridCol w:w="916"/>
        <w:gridCol w:w="1082"/>
        <w:gridCol w:w="989"/>
        <w:gridCol w:w="904"/>
        <w:gridCol w:w="1099"/>
        <w:gridCol w:w="1057"/>
        <w:gridCol w:w="955"/>
        <w:gridCol w:w="1161"/>
        <w:gridCol w:w="1057"/>
        <w:gridCol w:w="1192"/>
        <w:gridCol w:w="1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31" w:type="dxa"/>
            <w:vMerge w:val="restart"/>
            <w:tcBorders>
              <w:bottom w:val="nil"/>
            </w:tcBorders>
            <w:noWrap w:val="0"/>
            <w:textDirection w:val="tbRlV"/>
            <w:vAlign w:val="top"/>
          </w:tcPr>
          <w:p>
            <w:pPr>
              <w:spacing w:before="122" w:line="240" w:lineRule="auto"/>
              <w:ind w:left="424"/>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序 号</w:t>
            </w:r>
          </w:p>
        </w:tc>
        <w:tc>
          <w:tcPr>
            <w:tcW w:w="1283" w:type="dxa"/>
            <w:vMerge w:val="restart"/>
            <w:tcBorders>
              <w:bottom w:val="nil"/>
            </w:tcBorders>
            <w:noWrap w:val="0"/>
            <w:vAlign w:val="top"/>
          </w:tcPr>
          <w:p>
            <w:pPr>
              <w:spacing w:line="240" w:lineRule="auto"/>
              <w:rPr>
                <w:rFonts w:hint="eastAsia" w:ascii="宋体" w:hAnsi="宋体" w:eastAsia="宋体" w:cs="宋体"/>
                <w:color w:val="auto"/>
                <w:sz w:val="18"/>
                <w:szCs w:val="18"/>
                <w:highlight w:val="none"/>
              </w:rPr>
            </w:pPr>
          </w:p>
          <w:p>
            <w:pPr>
              <w:spacing w:line="240" w:lineRule="auto"/>
              <w:rPr>
                <w:rFonts w:hint="eastAsia" w:ascii="宋体" w:hAnsi="宋体" w:eastAsia="宋体" w:cs="宋体"/>
                <w:color w:val="auto"/>
                <w:sz w:val="18"/>
                <w:szCs w:val="18"/>
                <w:highlight w:val="none"/>
              </w:rPr>
            </w:pPr>
          </w:p>
          <w:p>
            <w:pPr>
              <w:spacing w:before="65" w:line="240" w:lineRule="auto"/>
              <w:ind w:left="476"/>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行业</w:t>
            </w:r>
          </w:p>
        </w:tc>
        <w:tc>
          <w:tcPr>
            <w:tcW w:w="3025" w:type="dxa"/>
            <w:gridSpan w:val="3"/>
            <w:noWrap w:val="0"/>
            <w:vAlign w:val="top"/>
          </w:tcPr>
          <w:p>
            <w:pPr>
              <w:spacing w:before="107" w:line="240" w:lineRule="auto"/>
              <w:ind w:left="1033"/>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rPr>
              <w:t>大</w:t>
            </w:r>
            <w:r>
              <w:rPr>
                <w:rFonts w:hint="eastAsia" w:ascii="宋体" w:hAnsi="宋体" w:eastAsia="宋体" w:cs="宋体"/>
                <w:color w:val="auto"/>
                <w:spacing w:val="6"/>
                <w:sz w:val="18"/>
                <w:szCs w:val="18"/>
                <w:highlight w:val="none"/>
              </w:rPr>
              <w:t>型企业</w:t>
            </w:r>
          </w:p>
        </w:tc>
        <w:tc>
          <w:tcPr>
            <w:tcW w:w="2992" w:type="dxa"/>
            <w:gridSpan w:val="3"/>
            <w:noWrap w:val="0"/>
            <w:vAlign w:val="top"/>
          </w:tcPr>
          <w:p>
            <w:pPr>
              <w:spacing w:before="107" w:line="240" w:lineRule="auto"/>
              <w:ind w:left="1088"/>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中</w:t>
            </w:r>
            <w:r>
              <w:rPr>
                <w:rFonts w:hint="eastAsia" w:ascii="宋体" w:hAnsi="宋体" w:eastAsia="宋体" w:cs="宋体"/>
                <w:color w:val="auto"/>
                <w:spacing w:val="2"/>
                <w:sz w:val="18"/>
                <w:szCs w:val="18"/>
                <w:highlight w:val="none"/>
              </w:rPr>
              <w:t>型企业</w:t>
            </w:r>
          </w:p>
        </w:tc>
        <w:tc>
          <w:tcPr>
            <w:tcW w:w="3173" w:type="dxa"/>
            <w:gridSpan w:val="3"/>
            <w:noWrap w:val="0"/>
            <w:vAlign w:val="top"/>
          </w:tcPr>
          <w:p>
            <w:pPr>
              <w:spacing w:before="107" w:line="240" w:lineRule="auto"/>
              <w:ind w:left="116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小型企</w:t>
            </w:r>
            <w:r>
              <w:rPr>
                <w:rFonts w:hint="eastAsia" w:ascii="宋体" w:hAnsi="宋体" w:eastAsia="宋体" w:cs="宋体"/>
                <w:color w:val="auto"/>
                <w:spacing w:val="5"/>
                <w:sz w:val="18"/>
                <w:szCs w:val="18"/>
                <w:highlight w:val="none"/>
              </w:rPr>
              <w:t>业</w:t>
            </w:r>
          </w:p>
        </w:tc>
        <w:tc>
          <w:tcPr>
            <w:tcW w:w="3274" w:type="dxa"/>
            <w:gridSpan w:val="3"/>
            <w:noWrap w:val="0"/>
            <w:vAlign w:val="top"/>
          </w:tcPr>
          <w:p>
            <w:pPr>
              <w:spacing w:before="108" w:line="240" w:lineRule="auto"/>
              <w:ind w:left="120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微</w:t>
            </w:r>
            <w:r>
              <w:rPr>
                <w:rFonts w:hint="eastAsia" w:ascii="宋体" w:hAnsi="宋体" w:eastAsia="宋体" w:cs="宋体"/>
                <w:color w:val="auto"/>
                <w:spacing w:val="7"/>
                <w:sz w:val="18"/>
                <w:szCs w:val="18"/>
                <w:highlight w:val="none"/>
              </w:rPr>
              <w:t>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1" w:type="dxa"/>
            <w:vMerge w:val="continue"/>
            <w:tcBorders>
              <w:top w:val="nil"/>
            </w:tcBorders>
            <w:noWrap w:val="0"/>
            <w:textDirection w:val="tbRlV"/>
            <w:vAlign w:val="top"/>
          </w:tcPr>
          <w:p>
            <w:pPr>
              <w:spacing w:line="240" w:lineRule="auto"/>
              <w:rPr>
                <w:rFonts w:hint="eastAsia" w:ascii="宋体" w:hAnsi="宋体" w:eastAsia="宋体" w:cs="宋体"/>
                <w:color w:val="auto"/>
                <w:sz w:val="18"/>
                <w:szCs w:val="18"/>
                <w:highlight w:val="none"/>
              </w:rPr>
            </w:pPr>
          </w:p>
        </w:tc>
        <w:tc>
          <w:tcPr>
            <w:tcW w:w="1283" w:type="dxa"/>
            <w:vMerge w:val="continue"/>
            <w:tcBorders>
              <w:top w:val="nil"/>
            </w:tcBorders>
            <w:noWrap w:val="0"/>
            <w:vAlign w:val="top"/>
          </w:tcPr>
          <w:p>
            <w:pPr>
              <w:spacing w:line="240" w:lineRule="auto"/>
              <w:rPr>
                <w:rFonts w:hint="eastAsia" w:ascii="宋体" w:hAnsi="宋体" w:eastAsia="宋体" w:cs="宋体"/>
                <w:color w:val="auto"/>
                <w:sz w:val="18"/>
                <w:szCs w:val="18"/>
                <w:highlight w:val="none"/>
              </w:rPr>
            </w:pPr>
          </w:p>
        </w:tc>
        <w:tc>
          <w:tcPr>
            <w:tcW w:w="1027" w:type="dxa"/>
            <w:noWrap w:val="0"/>
            <w:vAlign w:val="top"/>
          </w:tcPr>
          <w:p>
            <w:pPr>
              <w:spacing w:before="208" w:line="240" w:lineRule="auto"/>
              <w:ind w:left="172" w:right="56" w:hanging="133"/>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营</w:t>
            </w:r>
            <w:r>
              <w:rPr>
                <w:rFonts w:hint="eastAsia" w:ascii="宋体" w:hAnsi="宋体" w:eastAsia="宋体" w:cs="宋体"/>
                <w:color w:val="auto"/>
                <w:spacing w:val="5"/>
                <w:sz w:val="18"/>
                <w:szCs w:val="18"/>
                <w:highlight w:val="none"/>
              </w:rPr>
              <w:t>业收入</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3"/>
                <w:sz w:val="18"/>
                <w:szCs w:val="18"/>
                <w:highlight w:val="none"/>
              </w:rPr>
              <w:t>万元)</w:t>
            </w:r>
          </w:p>
        </w:tc>
        <w:tc>
          <w:tcPr>
            <w:tcW w:w="916" w:type="dxa"/>
            <w:noWrap w:val="0"/>
            <w:vAlign w:val="top"/>
          </w:tcPr>
          <w:p>
            <w:pPr>
              <w:spacing w:before="208" w:line="240" w:lineRule="auto"/>
              <w:ind w:left="30"/>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rPr>
              <w:t>从</w:t>
            </w:r>
            <w:r>
              <w:rPr>
                <w:rFonts w:hint="eastAsia" w:ascii="宋体" w:hAnsi="宋体" w:eastAsia="宋体" w:cs="宋体"/>
                <w:color w:val="auto"/>
                <w:spacing w:val="6"/>
                <w:sz w:val="18"/>
                <w:szCs w:val="18"/>
                <w:highlight w:val="none"/>
              </w:rPr>
              <w:t>业人员</w:t>
            </w:r>
          </w:p>
          <w:p>
            <w:pPr>
              <w:spacing w:before="64" w:line="240" w:lineRule="auto"/>
              <w:ind w:left="273"/>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(人)</w:t>
            </w:r>
          </w:p>
        </w:tc>
        <w:tc>
          <w:tcPr>
            <w:tcW w:w="1082" w:type="dxa"/>
            <w:noWrap w:val="0"/>
            <w:vAlign w:val="top"/>
          </w:tcPr>
          <w:p>
            <w:pPr>
              <w:spacing w:before="208" w:line="240" w:lineRule="auto"/>
              <w:ind w:left="218"/>
              <w:rPr>
                <w:rFonts w:hint="eastAsia" w:ascii="宋体" w:hAnsi="宋体" w:eastAsia="宋体" w:cs="宋体"/>
                <w:color w:val="auto"/>
                <w:sz w:val="18"/>
                <w:szCs w:val="18"/>
                <w:highlight w:val="none"/>
              </w:rPr>
            </w:pPr>
            <w:r>
              <w:rPr>
                <w:rFonts w:hint="eastAsia" w:ascii="宋体" w:hAnsi="宋体" w:eastAsia="宋体" w:cs="宋体"/>
                <w:color w:val="auto"/>
                <w:spacing w:val="6"/>
                <w:position w:val="7"/>
                <w:sz w:val="18"/>
                <w:szCs w:val="18"/>
                <w:highlight w:val="none"/>
              </w:rPr>
              <w:t>总资产</w:t>
            </w:r>
          </w:p>
          <w:p>
            <w:pPr>
              <w:spacing w:line="240" w:lineRule="auto"/>
              <w:ind w:left="252"/>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3"/>
                <w:sz w:val="18"/>
                <w:szCs w:val="18"/>
                <w:highlight w:val="none"/>
              </w:rPr>
              <w:t>万元)</w:t>
            </w:r>
          </w:p>
        </w:tc>
        <w:tc>
          <w:tcPr>
            <w:tcW w:w="989" w:type="dxa"/>
            <w:noWrap w:val="0"/>
            <w:vAlign w:val="top"/>
          </w:tcPr>
          <w:p>
            <w:pPr>
              <w:spacing w:before="208" w:line="240" w:lineRule="auto"/>
              <w:ind w:left="206" w:right="89" w:hanging="135"/>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营</w:t>
            </w:r>
            <w:r>
              <w:rPr>
                <w:rFonts w:hint="eastAsia" w:ascii="宋体" w:hAnsi="宋体" w:eastAsia="宋体" w:cs="宋体"/>
                <w:color w:val="auto"/>
                <w:spacing w:val="5"/>
                <w:sz w:val="18"/>
                <w:szCs w:val="18"/>
                <w:highlight w:val="none"/>
              </w:rPr>
              <w:t>业收入</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3"/>
                <w:sz w:val="18"/>
                <w:szCs w:val="18"/>
                <w:highlight w:val="none"/>
              </w:rPr>
              <w:t>万元)</w:t>
            </w:r>
          </w:p>
        </w:tc>
        <w:tc>
          <w:tcPr>
            <w:tcW w:w="904" w:type="dxa"/>
            <w:noWrap w:val="0"/>
            <w:vAlign w:val="top"/>
          </w:tcPr>
          <w:p>
            <w:pPr>
              <w:spacing w:before="52" w:line="240" w:lineRule="auto"/>
              <w:ind w:left="130"/>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从业人</w:t>
            </w:r>
          </w:p>
          <w:p>
            <w:pPr>
              <w:spacing w:before="63" w:line="240" w:lineRule="auto"/>
              <w:ind w:left="34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员</w:t>
            </w:r>
          </w:p>
          <w:p>
            <w:pPr>
              <w:spacing w:before="63"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11"/>
                <w:sz w:val="18"/>
                <w:szCs w:val="18"/>
                <w:highlight w:val="none"/>
              </w:rPr>
              <w:t>(</w:t>
            </w:r>
            <w:r>
              <w:rPr>
                <w:rFonts w:hint="eastAsia" w:ascii="宋体" w:hAnsi="宋体" w:eastAsia="宋体" w:cs="宋体"/>
                <w:color w:val="auto"/>
                <w:spacing w:val="-8"/>
                <w:sz w:val="18"/>
                <w:szCs w:val="18"/>
                <w:highlight w:val="none"/>
              </w:rPr>
              <w:t>人)</w:t>
            </w:r>
          </w:p>
        </w:tc>
        <w:tc>
          <w:tcPr>
            <w:tcW w:w="1099" w:type="dxa"/>
            <w:noWrap w:val="0"/>
            <w:vAlign w:val="top"/>
          </w:tcPr>
          <w:p>
            <w:pPr>
              <w:spacing w:before="208" w:line="240" w:lineRule="auto"/>
              <w:ind w:left="229"/>
              <w:rPr>
                <w:rFonts w:hint="eastAsia" w:ascii="宋体" w:hAnsi="宋体" w:eastAsia="宋体" w:cs="宋体"/>
                <w:color w:val="auto"/>
                <w:sz w:val="18"/>
                <w:szCs w:val="18"/>
                <w:highlight w:val="none"/>
              </w:rPr>
            </w:pPr>
            <w:r>
              <w:rPr>
                <w:rFonts w:hint="eastAsia" w:ascii="宋体" w:hAnsi="宋体" w:eastAsia="宋体" w:cs="宋体"/>
                <w:color w:val="auto"/>
                <w:spacing w:val="6"/>
                <w:position w:val="7"/>
                <w:sz w:val="18"/>
                <w:szCs w:val="18"/>
                <w:highlight w:val="none"/>
              </w:rPr>
              <w:t>总资产</w:t>
            </w:r>
          </w:p>
          <w:p>
            <w:pPr>
              <w:spacing w:line="240" w:lineRule="auto"/>
              <w:ind w:left="26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4"/>
                <w:sz w:val="18"/>
                <w:szCs w:val="18"/>
                <w:highlight w:val="none"/>
              </w:rPr>
              <w:t>万元)</w:t>
            </w:r>
          </w:p>
        </w:tc>
        <w:tc>
          <w:tcPr>
            <w:tcW w:w="1057" w:type="dxa"/>
            <w:noWrap w:val="0"/>
            <w:vAlign w:val="top"/>
          </w:tcPr>
          <w:p>
            <w:pPr>
              <w:spacing w:before="208" w:line="240" w:lineRule="auto"/>
              <w:ind w:left="241" w:right="122" w:hanging="135"/>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营</w:t>
            </w:r>
            <w:r>
              <w:rPr>
                <w:rFonts w:hint="eastAsia" w:ascii="宋体" w:hAnsi="宋体" w:eastAsia="宋体" w:cs="宋体"/>
                <w:color w:val="auto"/>
                <w:spacing w:val="5"/>
                <w:sz w:val="18"/>
                <w:szCs w:val="18"/>
                <w:highlight w:val="none"/>
              </w:rPr>
              <w:t>业收入</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3"/>
                <w:sz w:val="18"/>
                <w:szCs w:val="18"/>
                <w:highlight w:val="none"/>
              </w:rPr>
              <w:t>万元)</w:t>
            </w:r>
          </w:p>
        </w:tc>
        <w:tc>
          <w:tcPr>
            <w:tcW w:w="955" w:type="dxa"/>
            <w:noWrap w:val="0"/>
            <w:vAlign w:val="top"/>
          </w:tcPr>
          <w:p>
            <w:pPr>
              <w:spacing w:before="208" w:line="240" w:lineRule="auto"/>
              <w:ind w:left="53"/>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rPr>
              <w:t>从</w:t>
            </w:r>
            <w:r>
              <w:rPr>
                <w:rFonts w:hint="eastAsia" w:ascii="宋体" w:hAnsi="宋体" w:eastAsia="宋体" w:cs="宋体"/>
                <w:color w:val="auto"/>
                <w:spacing w:val="6"/>
                <w:sz w:val="18"/>
                <w:szCs w:val="18"/>
                <w:highlight w:val="none"/>
              </w:rPr>
              <w:t>业人员</w:t>
            </w:r>
          </w:p>
          <w:p>
            <w:pPr>
              <w:spacing w:before="64" w:line="240" w:lineRule="auto"/>
              <w:ind w:left="296"/>
              <w:rPr>
                <w:rFonts w:hint="eastAsia" w:ascii="宋体" w:hAnsi="宋体" w:eastAsia="宋体" w:cs="宋体"/>
                <w:color w:val="auto"/>
                <w:sz w:val="18"/>
                <w:szCs w:val="18"/>
                <w:highlight w:val="none"/>
              </w:rPr>
            </w:pPr>
            <w:r>
              <w:rPr>
                <w:rFonts w:hint="eastAsia" w:ascii="宋体" w:hAnsi="宋体" w:eastAsia="宋体" w:cs="宋体"/>
                <w:color w:val="auto"/>
                <w:spacing w:val="-11"/>
                <w:sz w:val="18"/>
                <w:szCs w:val="18"/>
                <w:highlight w:val="none"/>
              </w:rPr>
              <w:t>(</w:t>
            </w:r>
            <w:r>
              <w:rPr>
                <w:rFonts w:hint="eastAsia" w:ascii="宋体" w:hAnsi="宋体" w:eastAsia="宋体" w:cs="宋体"/>
                <w:color w:val="auto"/>
                <w:spacing w:val="-8"/>
                <w:sz w:val="18"/>
                <w:szCs w:val="18"/>
                <w:highlight w:val="none"/>
              </w:rPr>
              <w:t>人)</w:t>
            </w:r>
          </w:p>
        </w:tc>
        <w:tc>
          <w:tcPr>
            <w:tcW w:w="1161" w:type="dxa"/>
            <w:noWrap w:val="0"/>
            <w:vAlign w:val="top"/>
          </w:tcPr>
          <w:p>
            <w:pPr>
              <w:spacing w:before="208" w:line="240" w:lineRule="auto"/>
              <w:ind w:left="259"/>
              <w:rPr>
                <w:rFonts w:hint="eastAsia" w:ascii="宋体" w:hAnsi="宋体" w:eastAsia="宋体" w:cs="宋体"/>
                <w:color w:val="auto"/>
                <w:sz w:val="18"/>
                <w:szCs w:val="18"/>
                <w:highlight w:val="none"/>
              </w:rPr>
            </w:pPr>
            <w:r>
              <w:rPr>
                <w:rFonts w:hint="eastAsia" w:ascii="宋体" w:hAnsi="宋体" w:eastAsia="宋体" w:cs="宋体"/>
                <w:color w:val="auto"/>
                <w:spacing w:val="6"/>
                <w:position w:val="7"/>
                <w:sz w:val="18"/>
                <w:szCs w:val="18"/>
                <w:highlight w:val="none"/>
              </w:rPr>
              <w:t>总资产</w:t>
            </w:r>
          </w:p>
          <w:p>
            <w:pPr>
              <w:spacing w:line="240" w:lineRule="auto"/>
              <w:ind w:left="294"/>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3"/>
                <w:sz w:val="18"/>
                <w:szCs w:val="18"/>
                <w:highlight w:val="none"/>
              </w:rPr>
              <w:t>万元)</w:t>
            </w:r>
          </w:p>
        </w:tc>
        <w:tc>
          <w:tcPr>
            <w:tcW w:w="1057" w:type="dxa"/>
            <w:noWrap w:val="0"/>
            <w:vAlign w:val="top"/>
          </w:tcPr>
          <w:p>
            <w:pPr>
              <w:spacing w:before="208" w:line="240" w:lineRule="auto"/>
              <w:ind w:left="243" w:right="120" w:hanging="135"/>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营</w:t>
            </w:r>
            <w:r>
              <w:rPr>
                <w:rFonts w:hint="eastAsia" w:ascii="宋体" w:hAnsi="宋体" w:eastAsia="宋体" w:cs="宋体"/>
                <w:color w:val="auto"/>
                <w:spacing w:val="5"/>
                <w:sz w:val="18"/>
                <w:szCs w:val="18"/>
                <w:highlight w:val="none"/>
              </w:rPr>
              <w:t>业收入</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4"/>
                <w:sz w:val="18"/>
                <w:szCs w:val="18"/>
                <w:highlight w:val="none"/>
              </w:rPr>
              <w:t>万元)</w:t>
            </w:r>
          </w:p>
        </w:tc>
        <w:tc>
          <w:tcPr>
            <w:tcW w:w="1192" w:type="dxa"/>
            <w:noWrap w:val="0"/>
            <w:vAlign w:val="top"/>
          </w:tcPr>
          <w:p>
            <w:pPr>
              <w:spacing w:before="208" w:line="240" w:lineRule="auto"/>
              <w:ind w:left="173"/>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rPr>
              <w:t>从</w:t>
            </w:r>
            <w:r>
              <w:rPr>
                <w:rFonts w:hint="eastAsia" w:ascii="宋体" w:hAnsi="宋体" w:eastAsia="宋体" w:cs="宋体"/>
                <w:color w:val="auto"/>
                <w:spacing w:val="6"/>
                <w:sz w:val="18"/>
                <w:szCs w:val="18"/>
                <w:highlight w:val="none"/>
              </w:rPr>
              <w:t>业人员</w:t>
            </w:r>
          </w:p>
          <w:p>
            <w:pPr>
              <w:spacing w:before="64" w:line="240" w:lineRule="auto"/>
              <w:ind w:left="416"/>
              <w:rPr>
                <w:rFonts w:hint="eastAsia" w:ascii="宋体" w:hAnsi="宋体" w:eastAsia="宋体" w:cs="宋体"/>
                <w:color w:val="auto"/>
                <w:sz w:val="18"/>
                <w:szCs w:val="18"/>
                <w:highlight w:val="none"/>
              </w:rPr>
            </w:pPr>
            <w:r>
              <w:rPr>
                <w:rFonts w:hint="eastAsia" w:ascii="宋体" w:hAnsi="宋体" w:eastAsia="宋体" w:cs="宋体"/>
                <w:color w:val="auto"/>
                <w:spacing w:val="-11"/>
                <w:sz w:val="18"/>
                <w:szCs w:val="18"/>
                <w:highlight w:val="none"/>
              </w:rPr>
              <w:t>(</w:t>
            </w:r>
            <w:r>
              <w:rPr>
                <w:rFonts w:hint="eastAsia" w:ascii="宋体" w:hAnsi="宋体" w:eastAsia="宋体" w:cs="宋体"/>
                <w:color w:val="auto"/>
                <w:spacing w:val="-8"/>
                <w:sz w:val="18"/>
                <w:szCs w:val="18"/>
                <w:highlight w:val="none"/>
              </w:rPr>
              <w:t>人)</w:t>
            </w:r>
          </w:p>
        </w:tc>
        <w:tc>
          <w:tcPr>
            <w:tcW w:w="1025" w:type="dxa"/>
            <w:noWrap w:val="0"/>
            <w:vAlign w:val="top"/>
          </w:tcPr>
          <w:p>
            <w:pPr>
              <w:spacing w:before="208" w:line="240" w:lineRule="auto"/>
              <w:ind w:left="193"/>
              <w:rPr>
                <w:rFonts w:hint="eastAsia" w:ascii="宋体" w:hAnsi="宋体" w:eastAsia="宋体" w:cs="宋体"/>
                <w:color w:val="auto"/>
                <w:sz w:val="18"/>
                <w:szCs w:val="18"/>
                <w:highlight w:val="none"/>
              </w:rPr>
            </w:pPr>
            <w:r>
              <w:rPr>
                <w:rFonts w:hint="eastAsia" w:ascii="宋体" w:hAnsi="宋体" w:eastAsia="宋体" w:cs="宋体"/>
                <w:color w:val="auto"/>
                <w:spacing w:val="6"/>
                <w:position w:val="7"/>
                <w:sz w:val="18"/>
                <w:szCs w:val="18"/>
                <w:highlight w:val="none"/>
              </w:rPr>
              <w:t>总资产</w:t>
            </w:r>
          </w:p>
          <w:p>
            <w:pPr>
              <w:spacing w:line="240" w:lineRule="auto"/>
              <w:ind w:left="227"/>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w:t>
            </w:r>
            <w:r>
              <w:rPr>
                <w:rFonts w:hint="eastAsia" w:ascii="宋体" w:hAnsi="宋体" w:eastAsia="宋体" w:cs="宋体"/>
                <w:color w:val="auto"/>
                <w:spacing w:val="-4"/>
                <w:sz w:val="18"/>
                <w:szCs w:val="18"/>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1" w:type="dxa"/>
            <w:noWrap w:val="0"/>
            <w:vAlign w:val="top"/>
          </w:tcPr>
          <w:p>
            <w:pPr>
              <w:spacing w:before="240" w:line="240" w:lineRule="auto"/>
              <w:ind w:left="17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283" w:type="dxa"/>
            <w:noWrap w:val="0"/>
            <w:vAlign w:val="top"/>
          </w:tcPr>
          <w:p>
            <w:pPr>
              <w:spacing w:before="51" w:line="240" w:lineRule="auto"/>
              <w:ind w:left="26" w:right="13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农</w:t>
            </w:r>
            <w:r>
              <w:rPr>
                <w:rFonts w:hint="eastAsia" w:ascii="宋体" w:hAnsi="宋体" w:eastAsia="宋体" w:cs="宋体"/>
                <w:color w:val="auto"/>
                <w:spacing w:val="2"/>
                <w:sz w:val="18"/>
                <w:szCs w:val="18"/>
                <w:highlight w:val="none"/>
              </w:rPr>
              <w:t>、林、牧、</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4"/>
                <w:sz w:val="18"/>
                <w:szCs w:val="18"/>
                <w:highlight w:val="none"/>
              </w:rPr>
              <w:t>渔业</w:t>
            </w:r>
          </w:p>
        </w:tc>
        <w:tc>
          <w:tcPr>
            <w:tcW w:w="1027" w:type="dxa"/>
            <w:noWrap w:val="0"/>
            <w:vAlign w:val="top"/>
          </w:tcPr>
          <w:p>
            <w:pPr>
              <w:spacing w:before="158"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20000</w:t>
            </w:r>
          </w:p>
        </w:tc>
        <w:tc>
          <w:tcPr>
            <w:tcW w:w="916" w:type="dxa"/>
            <w:noWrap w:val="0"/>
            <w:vAlign w:val="top"/>
          </w:tcPr>
          <w:p>
            <w:pPr>
              <w:spacing w:line="240" w:lineRule="auto"/>
              <w:rPr>
                <w:rFonts w:hint="eastAsia" w:ascii="宋体" w:hAnsi="宋体" w:eastAsia="宋体" w:cs="宋体"/>
                <w:color w:val="auto"/>
                <w:sz w:val="18"/>
                <w:szCs w:val="18"/>
                <w:highlight w:val="none"/>
              </w:rPr>
            </w:pP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158" w:line="240" w:lineRule="auto"/>
              <w:ind w:left="23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≥50</w:t>
            </w:r>
            <w:r>
              <w:rPr>
                <w:rFonts w:hint="eastAsia" w:ascii="宋体" w:hAnsi="宋体" w:eastAsia="宋体" w:cs="宋体"/>
                <w:color w:val="auto"/>
                <w:spacing w:val="3"/>
                <w:position w:val="3"/>
                <w:sz w:val="18"/>
                <w:szCs w:val="18"/>
                <w:highlight w:val="none"/>
              </w:rPr>
              <w:t>0</w:t>
            </w:r>
          </w:p>
        </w:tc>
        <w:tc>
          <w:tcPr>
            <w:tcW w:w="904" w:type="dxa"/>
            <w:noWrap w:val="0"/>
            <w:vAlign w:val="top"/>
          </w:tcPr>
          <w:p>
            <w:pPr>
              <w:spacing w:line="240" w:lineRule="auto"/>
              <w:rPr>
                <w:rFonts w:hint="eastAsia" w:ascii="宋体" w:hAnsi="宋体" w:eastAsia="宋体" w:cs="宋体"/>
                <w:color w:val="auto"/>
                <w:sz w:val="18"/>
                <w:szCs w:val="18"/>
                <w:highlight w:val="none"/>
              </w:rPr>
            </w:pP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158" w:line="240" w:lineRule="auto"/>
              <w:ind w:left="329"/>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≥50</w:t>
            </w:r>
          </w:p>
        </w:tc>
        <w:tc>
          <w:tcPr>
            <w:tcW w:w="955" w:type="dxa"/>
            <w:noWrap w:val="0"/>
            <w:vAlign w:val="top"/>
          </w:tcPr>
          <w:p>
            <w:pPr>
              <w:spacing w:line="240" w:lineRule="auto"/>
              <w:rPr>
                <w:rFonts w:hint="eastAsia" w:ascii="宋体" w:hAnsi="宋体" w:eastAsia="宋体" w:cs="宋体"/>
                <w:color w:val="auto"/>
                <w:sz w:val="18"/>
                <w:szCs w:val="18"/>
                <w:highlight w:val="none"/>
              </w:rPr>
            </w:pP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194" w:line="240" w:lineRule="auto"/>
              <w:ind w:left="300"/>
              <w:rPr>
                <w:rFonts w:hint="eastAsia" w:ascii="宋体" w:hAnsi="宋体" w:eastAsia="宋体" w:cs="宋体"/>
                <w:color w:val="auto"/>
                <w:sz w:val="18"/>
                <w:szCs w:val="18"/>
                <w:highlight w:val="none"/>
              </w:rPr>
            </w:pPr>
            <w:r>
              <w:rPr>
                <w:rFonts w:hint="eastAsia" w:ascii="宋体" w:hAnsi="宋体" w:eastAsia="宋体" w:cs="宋体"/>
                <w:color w:val="auto"/>
                <w:spacing w:val="-4"/>
                <w:position w:val="2"/>
                <w:sz w:val="18"/>
                <w:szCs w:val="18"/>
                <w:highlight w:val="none"/>
              </w:rPr>
              <w:t>＜</w:t>
            </w:r>
            <w:r>
              <w:rPr>
                <w:rFonts w:hint="eastAsia" w:ascii="宋体" w:hAnsi="宋体" w:eastAsia="宋体" w:cs="宋体"/>
                <w:color w:val="auto"/>
                <w:spacing w:val="-2"/>
                <w:position w:val="2"/>
                <w:sz w:val="18"/>
                <w:szCs w:val="18"/>
                <w:highlight w:val="none"/>
              </w:rPr>
              <w:t>50</w:t>
            </w:r>
          </w:p>
        </w:tc>
        <w:tc>
          <w:tcPr>
            <w:tcW w:w="1192" w:type="dxa"/>
            <w:noWrap w:val="0"/>
            <w:vAlign w:val="top"/>
          </w:tcPr>
          <w:p>
            <w:pPr>
              <w:spacing w:line="240" w:lineRule="auto"/>
              <w:rPr>
                <w:rFonts w:hint="eastAsia" w:ascii="宋体" w:hAnsi="宋体" w:eastAsia="宋体" w:cs="宋体"/>
                <w:color w:val="auto"/>
                <w:sz w:val="18"/>
                <w:szCs w:val="18"/>
                <w:highlight w:val="none"/>
              </w:rPr>
            </w:pP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6" w:line="240" w:lineRule="auto"/>
              <w:ind w:left="15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283" w:type="dxa"/>
            <w:noWrap w:val="0"/>
            <w:vAlign w:val="top"/>
          </w:tcPr>
          <w:p>
            <w:pPr>
              <w:spacing w:before="52" w:line="240" w:lineRule="auto"/>
              <w:ind w:left="2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工</w:t>
            </w:r>
            <w:r>
              <w:rPr>
                <w:rFonts w:hint="eastAsia" w:ascii="宋体" w:hAnsi="宋体" w:eastAsia="宋体" w:cs="宋体"/>
                <w:color w:val="auto"/>
                <w:spacing w:val="3"/>
                <w:sz w:val="18"/>
                <w:szCs w:val="18"/>
                <w:highlight w:val="none"/>
              </w:rPr>
              <w:t>业</w:t>
            </w:r>
          </w:p>
        </w:tc>
        <w:tc>
          <w:tcPr>
            <w:tcW w:w="1027" w:type="dxa"/>
            <w:noWrap w:val="0"/>
            <w:vAlign w:val="top"/>
          </w:tcPr>
          <w:p>
            <w:pPr>
              <w:spacing w:before="3"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40000</w:t>
            </w:r>
          </w:p>
        </w:tc>
        <w:tc>
          <w:tcPr>
            <w:tcW w:w="916" w:type="dxa"/>
            <w:noWrap w:val="0"/>
            <w:vAlign w:val="top"/>
          </w:tcPr>
          <w:p>
            <w:pPr>
              <w:spacing w:before="3" w:line="240" w:lineRule="auto"/>
              <w:ind w:left="135"/>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5"/>
                <w:position w:val="3"/>
                <w:sz w:val="18"/>
                <w:szCs w:val="18"/>
                <w:highlight w:val="none"/>
              </w:rPr>
              <w:t xml:space="preserve"> 1000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3"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≥2000</w:t>
            </w:r>
          </w:p>
        </w:tc>
        <w:tc>
          <w:tcPr>
            <w:tcW w:w="904" w:type="dxa"/>
            <w:noWrap w:val="0"/>
            <w:vAlign w:val="top"/>
          </w:tcPr>
          <w:p>
            <w:pPr>
              <w:spacing w:before="3"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≥30</w:t>
            </w:r>
            <w:r>
              <w:rPr>
                <w:rFonts w:hint="eastAsia" w:ascii="宋体" w:hAnsi="宋体" w:eastAsia="宋体" w:cs="宋体"/>
                <w:color w:val="auto"/>
                <w:spacing w:val="3"/>
                <w:position w:val="3"/>
                <w:sz w:val="18"/>
                <w:szCs w:val="18"/>
                <w:highlight w:val="none"/>
              </w:rPr>
              <w:t>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955" w:type="dxa"/>
            <w:noWrap w:val="0"/>
            <w:vAlign w:val="top"/>
          </w:tcPr>
          <w:p>
            <w:pPr>
              <w:spacing w:before="3"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9"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w:t>
            </w:r>
            <w:r>
              <w:rPr>
                <w:rFonts w:hint="eastAsia" w:ascii="宋体" w:hAnsi="宋体" w:eastAsia="宋体" w:cs="宋体"/>
                <w:color w:val="auto"/>
                <w:sz w:val="18"/>
                <w:szCs w:val="18"/>
                <w:highlight w:val="none"/>
              </w:rPr>
              <w:t>0</w:t>
            </w:r>
          </w:p>
        </w:tc>
        <w:tc>
          <w:tcPr>
            <w:tcW w:w="1192" w:type="dxa"/>
            <w:noWrap w:val="0"/>
            <w:vAlign w:val="top"/>
          </w:tcPr>
          <w:p>
            <w:pPr>
              <w:spacing w:before="39"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w:t>
            </w:r>
            <w:r>
              <w:rPr>
                <w:rFonts w:hint="eastAsia" w:ascii="宋体" w:hAnsi="宋体" w:eastAsia="宋体" w:cs="宋体"/>
                <w:color w:val="auto"/>
                <w:spacing w:val="-2"/>
                <w:sz w:val="18"/>
                <w:szCs w:val="18"/>
                <w:highlight w:val="none"/>
              </w:rPr>
              <w:t>20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8" w:line="240" w:lineRule="auto"/>
              <w:ind w:left="15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283" w:type="dxa"/>
            <w:noWrap w:val="0"/>
            <w:vAlign w:val="top"/>
          </w:tcPr>
          <w:p>
            <w:pPr>
              <w:spacing w:before="55" w:line="240" w:lineRule="auto"/>
              <w:ind w:left="29"/>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建筑业</w:t>
            </w:r>
          </w:p>
        </w:tc>
        <w:tc>
          <w:tcPr>
            <w:tcW w:w="1027" w:type="dxa"/>
            <w:noWrap w:val="0"/>
            <w:vAlign w:val="top"/>
          </w:tcPr>
          <w:p>
            <w:pPr>
              <w:spacing w:before="2"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 xml:space="preserve"> 80000</w:t>
            </w:r>
          </w:p>
        </w:tc>
        <w:tc>
          <w:tcPr>
            <w:tcW w:w="916" w:type="dxa"/>
            <w:noWrap w:val="0"/>
            <w:vAlign w:val="top"/>
          </w:tcPr>
          <w:p>
            <w:pPr>
              <w:spacing w:line="240" w:lineRule="auto"/>
              <w:rPr>
                <w:rFonts w:hint="eastAsia" w:ascii="宋体" w:hAnsi="宋体" w:eastAsia="宋体" w:cs="宋体"/>
                <w:color w:val="auto"/>
                <w:sz w:val="18"/>
                <w:szCs w:val="18"/>
                <w:highlight w:val="none"/>
              </w:rPr>
            </w:pPr>
          </w:p>
        </w:tc>
        <w:tc>
          <w:tcPr>
            <w:tcW w:w="1082" w:type="dxa"/>
            <w:noWrap w:val="0"/>
            <w:vAlign w:val="top"/>
          </w:tcPr>
          <w:p>
            <w:pPr>
              <w:spacing w:before="2" w:line="240" w:lineRule="auto"/>
              <w:ind w:left="160"/>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 xml:space="preserve"> 80000</w:t>
            </w:r>
          </w:p>
        </w:tc>
        <w:tc>
          <w:tcPr>
            <w:tcW w:w="989" w:type="dxa"/>
            <w:noWrap w:val="0"/>
            <w:vAlign w:val="top"/>
          </w:tcPr>
          <w:p>
            <w:pPr>
              <w:spacing w:before="2"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≥5000</w:t>
            </w:r>
          </w:p>
        </w:tc>
        <w:tc>
          <w:tcPr>
            <w:tcW w:w="904" w:type="dxa"/>
            <w:noWrap w:val="0"/>
            <w:vAlign w:val="top"/>
          </w:tcPr>
          <w:p>
            <w:pPr>
              <w:spacing w:line="240" w:lineRule="auto"/>
              <w:rPr>
                <w:rFonts w:hint="eastAsia" w:ascii="宋体" w:hAnsi="宋体" w:eastAsia="宋体" w:cs="宋体"/>
                <w:color w:val="auto"/>
                <w:sz w:val="18"/>
                <w:szCs w:val="18"/>
                <w:highlight w:val="none"/>
              </w:rPr>
            </w:pPr>
          </w:p>
        </w:tc>
        <w:tc>
          <w:tcPr>
            <w:tcW w:w="1099" w:type="dxa"/>
            <w:noWrap w:val="0"/>
            <w:vAlign w:val="top"/>
          </w:tcPr>
          <w:p>
            <w:pPr>
              <w:spacing w:before="2" w:line="240" w:lineRule="auto"/>
              <w:ind w:left="228"/>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5000</w:t>
            </w:r>
          </w:p>
        </w:tc>
        <w:tc>
          <w:tcPr>
            <w:tcW w:w="1057" w:type="dxa"/>
            <w:noWrap w:val="0"/>
            <w:vAlign w:val="top"/>
          </w:tcPr>
          <w:p>
            <w:pPr>
              <w:spacing w:before="2"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955" w:type="dxa"/>
            <w:noWrap w:val="0"/>
            <w:vAlign w:val="top"/>
          </w:tcPr>
          <w:p>
            <w:pPr>
              <w:spacing w:line="240" w:lineRule="auto"/>
              <w:rPr>
                <w:rFonts w:hint="eastAsia" w:ascii="宋体" w:hAnsi="宋体" w:eastAsia="宋体" w:cs="宋体"/>
                <w:color w:val="auto"/>
                <w:sz w:val="18"/>
                <w:szCs w:val="18"/>
                <w:highlight w:val="none"/>
              </w:rPr>
            </w:pPr>
          </w:p>
        </w:tc>
        <w:tc>
          <w:tcPr>
            <w:tcW w:w="1161" w:type="dxa"/>
            <w:noWrap w:val="0"/>
            <w:vAlign w:val="top"/>
          </w:tcPr>
          <w:p>
            <w:pPr>
              <w:spacing w:before="2" w:line="240" w:lineRule="auto"/>
              <w:ind w:left="321"/>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1057" w:type="dxa"/>
            <w:noWrap w:val="0"/>
            <w:vAlign w:val="top"/>
          </w:tcPr>
          <w:p>
            <w:pPr>
              <w:spacing w:before="40"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w:t>
            </w:r>
            <w:r>
              <w:rPr>
                <w:rFonts w:hint="eastAsia" w:ascii="宋体" w:hAnsi="宋体" w:eastAsia="宋体" w:cs="宋体"/>
                <w:color w:val="auto"/>
                <w:sz w:val="18"/>
                <w:szCs w:val="18"/>
                <w:highlight w:val="none"/>
              </w:rPr>
              <w:t>0</w:t>
            </w:r>
          </w:p>
        </w:tc>
        <w:tc>
          <w:tcPr>
            <w:tcW w:w="1192" w:type="dxa"/>
            <w:noWrap w:val="0"/>
            <w:vAlign w:val="top"/>
          </w:tcPr>
          <w:p>
            <w:pPr>
              <w:spacing w:line="240" w:lineRule="auto"/>
              <w:rPr>
                <w:rFonts w:hint="eastAsia" w:ascii="宋体" w:hAnsi="宋体" w:eastAsia="宋体" w:cs="宋体"/>
                <w:color w:val="auto"/>
                <w:sz w:val="18"/>
                <w:szCs w:val="18"/>
                <w:highlight w:val="none"/>
              </w:rPr>
            </w:pPr>
          </w:p>
        </w:tc>
        <w:tc>
          <w:tcPr>
            <w:tcW w:w="1025" w:type="dxa"/>
            <w:noWrap w:val="0"/>
            <w:vAlign w:val="top"/>
          </w:tcPr>
          <w:p>
            <w:pPr>
              <w:spacing w:before="40" w:line="240" w:lineRule="auto"/>
              <w:ind w:left="22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w:t>
            </w:r>
            <w:r>
              <w:rPr>
                <w:rFonts w:hint="eastAsia" w:ascii="宋体" w:hAnsi="宋体" w:eastAsia="宋体" w:cs="宋体"/>
                <w:color w:val="auto"/>
                <w:sz w:val="18"/>
                <w:szCs w:val="18"/>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7" w:line="240" w:lineRule="auto"/>
              <w:ind w:left="15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283" w:type="dxa"/>
            <w:noWrap w:val="0"/>
            <w:vAlign w:val="top"/>
          </w:tcPr>
          <w:p>
            <w:pPr>
              <w:spacing w:before="55" w:line="240" w:lineRule="auto"/>
              <w:ind w:left="26"/>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批发业</w:t>
            </w:r>
          </w:p>
        </w:tc>
        <w:tc>
          <w:tcPr>
            <w:tcW w:w="1027" w:type="dxa"/>
            <w:noWrap w:val="0"/>
            <w:vAlign w:val="top"/>
          </w:tcPr>
          <w:p>
            <w:pPr>
              <w:spacing w:before="2"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40000</w:t>
            </w:r>
          </w:p>
        </w:tc>
        <w:tc>
          <w:tcPr>
            <w:tcW w:w="916" w:type="dxa"/>
            <w:noWrap w:val="0"/>
            <w:vAlign w:val="top"/>
          </w:tcPr>
          <w:p>
            <w:pPr>
              <w:spacing w:before="2"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200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2"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≥5000</w:t>
            </w:r>
          </w:p>
        </w:tc>
        <w:tc>
          <w:tcPr>
            <w:tcW w:w="904" w:type="dxa"/>
            <w:noWrap w:val="0"/>
            <w:vAlign w:val="top"/>
          </w:tcPr>
          <w:p>
            <w:pPr>
              <w:spacing w:before="2" w:line="240" w:lineRule="auto"/>
              <w:ind w:left="251"/>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w:t>
            </w:r>
            <w:r>
              <w:rPr>
                <w:rFonts w:hint="eastAsia" w:ascii="宋体" w:hAnsi="宋体" w:eastAsia="宋体" w:cs="宋体"/>
                <w:color w:val="auto"/>
                <w:spacing w:val="3"/>
                <w:position w:val="3"/>
                <w:sz w:val="18"/>
                <w:szCs w:val="18"/>
                <w:highlight w:val="none"/>
              </w:rPr>
              <w:t>20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2" w:line="240" w:lineRule="auto"/>
              <w:ind w:left="209"/>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5"/>
                <w:position w:val="3"/>
                <w:sz w:val="18"/>
                <w:szCs w:val="18"/>
                <w:highlight w:val="none"/>
              </w:rPr>
              <w:t xml:space="preserve"> 1000</w:t>
            </w:r>
          </w:p>
        </w:tc>
        <w:tc>
          <w:tcPr>
            <w:tcW w:w="955" w:type="dxa"/>
            <w:noWrap w:val="0"/>
            <w:vAlign w:val="top"/>
          </w:tcPr>
          <w:p>
            <w:pPr>
              <w:spacing w:before="2"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40" w:line="240" w:lineRule="auto"/>
              <w:ind w:left="18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w:t>
            </w:r>
            <w:r>
              <w:rPr>
                <w:rFonts w:hint="eastAsia" w:ascii="宋体" w:hAnsi="宋体" w:eastAsia="宋体" w:cs="宋体"/>
                <w:color w:val="auto"/>
                <w:sz w:val="18"/>
                <w:szCs w:val="18"/>
                <w:highlight w:val="none"/>
              </w:rPr>
              <w:t>000</w:t>
            </w:r>
          </w:p>
        </w:tc>
        <w:tc>
          <w:tcPr>
            <w:tcW w:w="1192" w:type="dxa"/>
            <w:noWrap w:val="0"/>
            <w:vAlign w:val="top"/>
          </w:tcPr>
          <w:p>
            <w:pPr>
              <w:spacing w:before="40" w:line="240" w:lineRule="auto"/>
              <w:ind w:left="429"/>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w:t>
            </w:r>
            <w:r>
              <w:rPr>
                <w:rFonts w:hint="eastAsia" w:ascii="宋体" w:hAnsi="宋体" w:eastAsia="宋体" w:cs="宋体"/>
                <w:color w:val="auto"/>
                <w:spacing w:val="-6"/>
                <w:sz w:val="18"/>
                <w:szCs w:val="18"/>
                <w:highlight w:val="none"/>
              </w:rPr>
              <w:t>5</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8" w:line="240" w:lineRule="auto"/>
              <w:ind w:left="15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283" w:type="dxa"/>
            <w:noWrap w:val="0"/>
            <w:vAlign w:val="top"/>
          </w:tcPr>
          <w:p>
            <w:pPr>
              <w:spacing w:before="54" w:line="240" w:lineRule="auto"/>
              <w:ind w:left="27"/>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零</w:t>
            </w:r>
            <w:r>
              <w:rPr>
                <w:rFonts w:hint="eastAsia" w:ascii="宋体" w:hAnsi="宋体" w:eastAsia="宋体" w:cs="宋体"/>
                <w:color w:val="auto"/>
                <w:spacing w:val="6"/>
                <w:sz w:val="18"/>
                <w:szCs w:val="18"/>
                <w:highlight w:val="none"/>
              </w:rPr>
              <w:t>售业</w:t>
            </w:r>
          </w:p>
        </w:tc>
        <w:tc>
          <w:tcPr>
            <w:tcW w:w="1027" w:type="dxa"/>
            <w:noWrap w:val="0"/>
            <w:vAlign w:val="top"/>
          </w:tcPr>
          <w:p>
            <w:pPr>
              <w:spacing w:before="4"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20000</w:t>
            </w:r>
          </w:p>
        </w:tc>
        <w:tc>
          <w:tcPr>
            <w:tcW w:w="916" w:type="dxa"/>
            <w:noWrap w:val="0"/>
            <w:vAlign w:val="top"/>
          </w:tcPr>
          <w:p>
            <w:pPr>
              <w:spacing w:before="4"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4" w:line="240" w:lineRule="auto"/>
              <w:ind w:left="23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≥50</w:t>
            </w:r>
            <w:r>
              <w:rPr>
                <w:rFonts w:hint="eastAsia" w:ascii="宋体" w:hAnsi="宋体" w:eastAsia="宋体" w:cs="宋体"/>
                <w:color w:val="auto"/>
                <w:spacing w:val="3"/>
                <w:position w:val="3"/>
                <w:sz w:val="18"/>
                <w:szCs w:val="18"/>
                <w:highlight w:val="none"/>
              </w:rPr>
              <w:t>0</w:t>
            </w:r>
          </w:p>
        </w:tc>
        <w:tc>
          <w:tcPr>
            <w:tcW w:w="904" w:type="dxa"/>
            <w:noWrap w:val="0"/>
            <w:vAlign w:val="top"/>
          </w:tcPr>
          <w:p>
            <w:pPr>
              <w:spacing w:before="4" w:line="240" w:lineRule="auto"/>
              <w:ind w:left="251"/>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w:t>
            </w:r>
            <w:r>
              <w:rPr>
                <w:rFonts w:hint="eastAsia" w:ascii="宋体" w:hAnsi="宋体" w:eastAsia="宋体" w:cs="宋体"/>
                <w:color w:val="auto"/>
                <w:spacing w:val="3"/>
                <w:position w:val="3"/>
                <w:sz w:val="18"/>
                <w:szCs w:val="18"/>
                <w:highlight w:val="none"/>
              </w:rPr>
              <w:t>50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4"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955" w:type="dxa"/>
            <w:noWrap w:val="0"/>
            <w:vAlign w:val="top"/>
          </w:tcPr>
          <w:p>
            <w:pPr>
              <w:spacing w:before="4"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40"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w:t>
            </w:r>
            <w:r>
              <w:rPr>
                <w:rFonts w:hint="eastAsia" w:ascii="宋体" w:hAnsi="宋体" w:eastAsia="宋体" w:cs="宋体"/>
                <w:color w:val="auto"/>
                <w:sz w:val="18"/>
                <w:szCs w:val="18"/>
                <w:highlight w:val="none"/>
              </w:rPr>
              <w:t>0</w:t>
            </w:r>
          </w:p>
        </w:tc>
        <w:tc>
          <w:tcPr>
            <w:tcW w:w="1192" w:type="dxa"/>
            <w:noWrap w:val="0"/>
            <w:vAlign w:val="top"/>
          </w:tcPr>
          <w:p>
            <w:pPr>
              <w:spacing w:before="40"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w:t>
            </w:r>
            <w:r>
              <w:rPr>
                <w:rFonts w:hint="eastAsia" w:ascii="宋体" w:hAnsi="宋体" w:eastAsia="宋体" w:cs="宋体"/>
                <w:color w:val="auto"/>
                <w:spacing w:val="-2"/>
                <w:sz w:val="18"/>
                <w:szCs w:val="18"/>
                <w:highlight w:val="none"/>
              </w:rPr>
              <w:t>10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7" w:line="240" w:lineRule="auto"/>
              <w:ind w:left="15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283" w:type="dxa"/>
            <w:noWrap w:val="0"/>
            <w:vAlign w:val="top"/>
          </w:tcPr>
          <w:p>
            <w:pPr>
              <w:spacing w:before="54" w:line="240" w:lineRule="auto"/>
              <w:ind w:left="31"/>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交</w:t>
            </w:r>
            <w:r>
              <w:rPr>
                <w:rFonts w:hint="eastAsia" w:ascii="宋体" w:hAnsi="宋体" w:eastAsia="宋体" w:cs="宋体"/>
                <w:color w:val="auto"/>
                <w:spacing w:val="7"/>
                <w:sz w:val="18"/>
                <w:szCs w:val="18"/>
                <w:highlight w:val="none"/>
              </w:rPr>
              <w:t>通运输业</w:t>
            </w:r>
          </w:p>
        </w:tc>
        <w:tc>
          <w:tcPr>
            <w:tcW w:w="1027" w:type="dxa"/>
            <w:noWrap w:val="0"/>
            <w:vAlign w:val="top"/>
          </w:tcPr>
          <w:p>
            <w:pPr>
              <w:spacing w:before="4"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30000</w:t>
            </w:r>
          </w:p>
        </w:tc>
        <w:tc>
          <w:tcPr>
            <w:tcW w:w="916" w:type="dxa"/>
            <w:noWrap w:val="0"/>
            <w:vAlign w:val="top"/>
          </w:tcPr>
          <w:p>
            <w:pPr>
              <w:spacing w:before="4" w:line="240" w:lineRule="auto"/>
              <w:ind w:left="135"/>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5"/>
                <w:position w:val="3"/>
                <w:sz w:val="18"/>
                <w:szCs w:val="18"/>
                <w:highlight w:val="none"/>
              </w:rPr>
              <w:t xml:space="preserve"> 1000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4"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≥3000</w:t>
            </w:r>
          </w:p>
        </w:tc>
        <w:tc>
          <w:tcPr>
            <w:tcW w:w="904" w:type="dxa"/>
            <w:noWrap w:val="0"/>
            <w:vAlign w:val="top"/>
          </w:tcPr>
          <w:p>
            <w:pPr>
              <w:spacing w:before="4"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≥30</w:t>
            </w:r>
            <w:r>
              <w:rPr>
                <w:rFonts w:hint="eastAsia" w:ascii="宋体" w:hAnsi="宋体" w:eastAsia="宋体" w:cs="宋体"/>
                <w:color w:val="auto"/>
                <w:spacing w:val="3"/>
                <w:position w:val="3"/>
                <w:sz w:val="18"/>
                <w:szCs w:val="18"/>
                <w:highlight w:val="none"/>
              </w:rPr>
              <w:t>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4"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200</w:t>
            </w:r>
          </w:p>
        </w:tc>
        <w:tc>
          <w:tcPr>
            <w:tcW w:w="955" w:type="dxa"/>
            <w:noWrap w:val="0"/>
            <w:vAlign w:val="top"/>
          </w:tcPr>
          <w:p>
            <w:pPr>
              <w:spacing w:before="4"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9"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w:t>
            </w:r>
            <w:r>
              <w:rPr>
                <w:rFonts w:hint="eastAsia" w:ascii="宋体" w:hAnsi="宋体" w:eastAsia="宋体" w:cs="宋体"/>
                <w:color w:val="auto"/>
                <w:sz w:val="18"/>
                <w:szCs w:val="18"/>
                <w:highlight w:val="none"/>
              </w:rPr>
              <w:t>0</w:t>
            </w:r>
          </w:p>
        </w:tc>
        <w:tc>
          <w:tcPr>
            <w:tcW w:w="1192" w:type="dxa"/>
            <w:noWrap w:val="0"/>
            <w:vAlign w:val="top"/>
          </w:tcPr>
          <w:p>
            <w:pPr>
              <w:spacing w:before="39"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w:t>
            </w:r>
            <w:r>
              <w:rPr>
                <w:rFonts w:hint="eastAsia" w:ascii="宋体" w:hAnsi="宋体" w:eastAsia="宋体" w:cs="宋体"/>
                <w:color w:val="auto"/>
                <w:spacing w:val="-2"/>
                <w:sz w:val="18"/>
                <w:szCs w:val="18"/>
                <w:highlight w:val="none"/>
              </w:rPr>
              <w:t>20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8" w:line="240" w:lineRule="auto"/>
              <w:ind w:left="1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283" w:type="dxa"/>
            <w:noWrap w:val="0"/>
            <w:vAlign w:val="top"/>
          </w:tcPr>
          <w:p>
            <w:pPr>
              <w:spacing w:before="53" w:line="240" w:lineRule="auto"/>
              <w:ind w:left="26"/>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仓储业</w:t>
            </w:r>
          </w:p>
        </w:tc>
        <w:tc>
          <w:tcPr>
            <w:tcW w:w="1027" w:type="dxa"/>
            <w:noWrap w:val="0"/>
            <w:vAlign w:val="top"/>
          </w:tcPr>
          <w:p>
            <w:pPr>
              <w:spacing w:before="3"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30000</w:t>
            </w:r>
          </w:p>
        </w:tc>
        <w:tc>
          <w:tcPr>
            <w:tcW w:w="916" w:type="dxa"/>
            <w:noWrap w:val="0"/>
            <w:vAlign w:val="top"/>
          </w:tcPr>
          <w:p>
            <w:pPr>
              <w:spacing w:before="3"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200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3"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w:t>
            </w:r>
            <w:r>
              <w:rPr>
                <w:rFonts w:hint="eastAsia" w:ascii="宋体" w:hAnsi="宋体" w:eastAsia="宋体" w:cs="宋体"/>
                <w:color w:val="auto"/>
                <w:spacing w:val="-6"/>
                <w:position w:val="3"/>
                <w:sz w:val="18"/>
                <w:szCs w:val="18"/>
                <w:highlight w:val="none"/>
              </w:rPr>
              <w:t xml:space="preserve"> 1000</w:t>
            </w:r>
          </w:p>
        </w:tc>
        <w:tc>
          <w:tcPr>
            <w:tcW w:w="904" w:type="dxa"/>
            <w:noWrap w:val="0"/>
            <w:vAlign w:val="top"/>
          </w:tcPr>
          <w:p>
            <w:pPr>
              <w:spacing w:before="3"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8"/>
                <w:position w:val="3"/>
                <w:sz w:val="18"/>
                <w:szCs w:val="18"/>
                <w:highlight w:val="none"/>
              </w:rPr>
              <w:t xml:space="preserve"> 100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955" w:type="dxa"/>
            <w:noWrap w:val="0"/>
            <w:vAlign w:val="top"/>
          </w:tcPr>
          <w:p>
            <w:pPr>
              <w:spacing w:before="3"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9"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w:t>
            </w:r>
            <w:r>
              <w:rPr>
                <w:rFonts w:hint="eastAsia" w:ascii="宋体" w:hAnsi="宋体" w:eastAsia="宋体" w:cs="宋体"/>
                <w:color w:val="auto"/>
                <w:sz w:val="18"/>
                <w:szCs w:val="18"/>
                <w:highlight w:val="none"/>
              </w:rPr>
              <w:t>0</w:t>
            </w:r>
          </w:p>
        </w:tc>
        <w:tc>
          <w:tcPr>
            <w:tcW w:w="1192" w:type="dxa"/>
            <w:noWrap w:val="0"/>
            <w:vAlign w:val="top"/>
          </w:tcPr>
          <w:p>
            <w:pPr>
              <w:spacing w:before="39"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w:t>
            </w:r>
            <w:r>
              <w:rPr>
                <w:rFonts w:hint="eastAsia" w:ascii="宋体" w:hAnsi="宋体" w:eastAsia="宋体" w:cs="宋体"/>
                <w:color w:val="auto"/>
                <w:spacing w:val="-2"/>
                <w:sz w:val="18"/>
                <w:szCs w:val="18"/>
                <w:highlight w:val="none"/>
              </w:rPr>
              <w:t>20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6" w:line="240" w:lineRule="auto"/>
              <w:ind w:left="15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283" w:type="dxa"/>
            <w:noWrap w:val="0"/>
            <w:vAlign w:val="top"/>
          </w:tcPr>
          <w:p>
            <w:pPr>
              <w:spacing w:before="53" w:line="240" w:lineRule="auto"/>
              <w:ind w:left="4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邮政</w:t>
            </w:r>
            <w:r>
              <w:rPr>
                <w:rFonts w:hint="eastAsia" w:ascii="宋体" w:hAnsi="宋体" w:eastAsia="宋体" w:cs="宋体"/>
                <w:color w:val="auto"/>
                <w:spacing w:val="1"/>
                <w:sz w:val="18"/>
                <w:szCs w:val="18"/>
                <w:highlight w:val="none"/>
              </w:rPr>
              <w:t>业</w:t>
            </w:r>
          </w:p>
        </w:tc>
        <w:tc>
          <w:tcPr>
            <w:tcW w:w="1027" w:type="dxa"/>
            <w:noWrap w:val="0"/>
            <w:vAlign w:val="top"/>
          </w:tcPr>
          <w:p>
            <w:pPr>
              <w:spacing w:before="3"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30000</w:t>
            </w:r>
          </w:p>
        </w:tc>
        <w:tc>
          <w:tcPr>
            <w:tcW w:w="916" w:type="dxa"/>
            <w:noWrap w:val="0"/>
            <w:vAlign w:val="top"/>
          </w:tcPr>
          <w:p>
            <w:pPr>
              <w:spacing w:before="3" w:line="240" w:lineRule="auto"/>
              <w:ind w:left="135"/>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5"/>
                <w:position w:val="3"/>
                <w:sz w:val="18"/>
                <w:szCs w:val="18"/>
                <w:highlight w:val="none"/>
              </w:rPr>
              <w:t xml:space="preserve"> 1000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3"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≥2000</w:t>
            </w:r>
          </w:p>
        </w:tc>
        <w:tc>
          <w:tcPr>
            <w:tcW w:w="904" w:type="dxa"/>
            <w:noWrap w:val="0"/>
            <w:vAlign w:val="top"/>
          </w:tcPr>
          <w:p>
            <w:pPr>
              <w:spacing w:before="3"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≥30</w:t>
            </w:r>
            <w:r>
              <w:rPr>
                <w:rFonts w:hint="eastAsia" w:ascii="宋体" w:hAnsi="宋体" w:eastAsia="宋体" w:cs="宋体"/>
                <w:color w:val="auto"/>
                <w:spacing w:val="3"/>
                <w:position w:val="3"/>
                <w:sz w:val="18"/>
                <w:szCs w:val="18"/>
                <w:highlight w:val="none"/>
              </w:rPr>
              <w:t>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955" w:type="dxa"/>
            <w:noWrap w:val="0"/>
            <w:vAlign w:val="top"/>
          </w:tcPr>
          <w:p>
            <w:pPr>
              <w:spacing w:before="3"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9"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w:t>
            </w:r>
            <w:r>
              <w:rPr>
                <w:rFonts w:hint="eastAsia" w:ascii="宋体" w:hAnsi="宋体" w:eastAsia="宋体" w:cs="宋体"/>
                <w:color w:val="auto"/>
                <w:sz w:val="18"/>
                <w:szCs w:val="18"/>
                <w:highlight w:val="none"/>
              </w:rPr>
              <w:t>0</w:t>
            </w:r>
          </w:p>
        </w:tc>
        <w:tc>
          <w:tcPr>
            <w:tcW w:w="1192" w:type="dxa"/>
            <w:noWrap w:val="0"/>
            <w:vAlign w:val="top"/>
          </w:tcPr>
          <w:p>
            <w:pPr>
              <w:spacing w:before="39"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w:t>
            </w:r>
            <w:r>
              <w:rPr>
                <w:rFonts w:hint="eastAsia" w:ascii="宋体" w:hAnsi="宋体" w:eastAsia="宋体" w:cs="宋体"/>
                <w:color w:val="auto"/>
                <w:spacing w:val="-2"/>
                <w:sz w:val="18"/>
                <w:szCs w:val="18"/>
                <w:highlight w:val="none"/>
              </w:rPr>
              <w:t>20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8" w:line="240" w:lineRule="auto"/>
              <w:ind w:left="15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283" w:type="dxa"/>
            <w:noWrap w:val="0"/>
            <w:vAlign w:val="top"/>
          </w:tcPr>
          <w:p>
            <w:pPr>
              <w:spacing w:before="55" w:line="240" w:lineRule="auto"/>
              <w:ind w:left="26"/>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住宿业</w:t>
            </w:r>
          </w:p>
        </w:tc>
        <w:tc>
          <w:tcPr>
            <w:tcW w:w="1027" w:type="dxa"/>
            <w:noWrap w:val="0"/>
            <w:vAlign w:val="top"/>
          </w:tcPr>
          <w:p>
            <w:pPr>
              <w:spacing w:before="2"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 xml:space="preserve"> 10000</w:t>
            </w:r>
          </w:p>
        </w:tc>
        <w:tc>
          <w:tcPr>
            <w:tcW w:w="916" w:type="dxa"/>
            <w:noWrap w:val="0"/>
            <w:vAlign w:val="top"/>
          </w:tcPr>
          <w:p>
            <w:pPr>
              <w:spacing w:before="2"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2"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≥2000</w:t>
            </w:r>
          </w:p>
        </w:tc>
        <w:tc>
          <w:tcPr>
            <w:tcW w:w="904" w:type="dxa"/>
            <w:noWrap w:val="0"/>
            <w:vAlign w:val="top"/>
          </w:tcPr>
          <w:p>
            <w:pPr>
              <w:spacing w:before="2"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8"/>
                <w:position w:val="3"/>
                <w:sz w:val="18"/>
                <w:szCs w:val="18"/>
                <w:highlight w:val="none"/>
              </w:rPr>
              <w:t xml:space="preserve"> 100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2"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955" w:type="dxa"/>
            <w:noWrap w:val="0"/>
            <w:vAlign w:val="top"/>
          </w:tcPr>
          <w:p>
            <w:pPr>
              <w:spacing w:before="2"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40"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w:t>
            </w:r>
            <w:r>
              <w:rPr>
                <w:rFonts w:hint="eastAsia" w:ascii="宋体" w:hAnsi="宋体" w:eastAsia="宋体" w:cs="宋体"/>
                <w:color w:val="auto"/>
                <w:sz w:val="18"/>
                <w:szCs w:val="18"/>
                <w:highlight w:val="none"/>
              </w:rPr>
              <w:t>0</w:t>
            </w:r>
          </w:p>
        </w:tc>
        <w:tc>
          <w:tcPr>
            <w:tcW w:w="1192" w:type="dxa"/>
            <w:noWrap w:val="0"/>
            <w:vAlign w:val="top"/>
          </w:tcPr>
          <w:p>
            <w:pPr>
              <w:spacing w:before="40"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w:t>
            </w:r>
            <w:r>
              <w:rPr>
                <w:rFonts w:hint="eastAsia" w:ascii="宋体" w:hAnsi="宋体" w:eastAsia="宋体" w:cs="宋体"/>
                <w:color w:val="auto"/>
                <w:spacing w:val="-2"/>
                <w:sz w:val="18"/>
                <w:szCs w:val="18"/>
                <w:highlight w:val="none"/>
              </w:rPr>
              <w:t>10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31" w:type="dxa"/>
            <w:noWrap w:val="0"/>
            <w:vAlign w:val="top"/>
          </w:tcPr>
          <w:p>
            <w:pPr>
              <w:spacing w:before="87" w:line="240" w:lineRule="auto"/>
              <w:ind w:left="11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1</w:t>
            </w:r>
            <w:r>
              <w:rPr>
                <w:rFonts w:hint="eastAsia" w:ascii="宋体" w:hAnsi="宋体" w:eastAsia="宋体" w:cs="宋体"/>
                <w:color w:val="auto"/>
                <w:spacing w:val="-6"/>
                <w:sz w:val="18"/>
                <w:szCs w:val="18"/>
                <w:highlight w:val="none"/>
              </w:rPr>
              <w:t>0</w:t>
            </w:r>
          </w:p>
        </w:tc>
        <w:tc>
          <w:tcPr>
            <w:tcW w:w="1283" w:type="dxa"/>
            <w:noWrap w:val="0"/>
            <w:vAlign w:val="top"/>
          </w:tcPr>
          <w:p>
            <w:pPr>
              <w:spacing w:before="55" w:line="240" w:lineRule="auto"/>
              <w:ind w:left="28"/>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餐</w:t>
            </w:r>
            <w:r>
              <w:rPr>
                <w:rFonts w:hint="eastAsia" w:ascii="宋体" w:hAnsi="宋体" w:eastAsia="宋体" w:cs="宋体"/>
                <w:color w:val="auto"/>
                <w:spacing w:val="6"/>
                <w:sz w:val="18"/>
                <w:szCs w:val="18"/>
                <w:highlight w:val="none"/>
              </w:rPr>
              <w:t>饮业</w:t>
            </w:r>
          </w:p>
        </w:tc>
        <w:tc>
          <w:tcPr>
            <w:tcW w:w="1027" w:type="dxa"/>
            <w:noWrap w:val="0"/>
            <w:vAlign w:val="top"/>
          </w:tcPr>
          <w:p>
            <w:pPr>
              <w:spacing w:before="2"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 xml:space="preserve"> 10000</w:t>
            </w:r>
          </w:p>
        </w:tc>
        <w:tc>
          <w:tcPr>
            <w:tcW w:w="916" w:type="dxa"/>
            <w:noWrap w:val="0"/>
            <w:vAlign w:val="top"/>
          </w:tcPr>
          <w:p>
            <w:pPr>
              <w:spacing w:before="2"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2"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≥2000</w:t>
            </w:r>
          </w:p>
        </w:tc>
        <w:tc>
          <w:tcPr>
            <w:tcW w:w="904" w:type="dxa"/>
            <w:noWrap w:val="0"/>
            <w:vAlign w:val="top"/>
          </w:tcPr>
          <w:p>
            <w:pPr>
              <w:spacing w:before="2"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8"/>
                <w:position w:val="3"/>
                <w:sz w:val="18"/>
                <w:szCs w:val="18"/>
                <w:highlight w:val="none"/>
              </w:rPr>
              <w:t xml:space="preserve"> 100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2"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955" w:type="dxa"/>
            <w:noWrap w:val="0"/>
            <w:vAlign w:val="top"/>
          </w:tcPr>
          <w:p>
            <w:pPr>
              <w:spacing w:before="2"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40"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w:t>
            </w:r>
            <w:r>
              <w:rPr>
                <w:rFonts w:hint="eastAsia" w:ascii="宋体" w:hAnsi="宋体" w:eastAsia="宋体" w:cs="宋体"/>
                <w:color w:val="auto"/>
                <w:sz w:val="18"/>
                <w:szCs w:val="18"/>
                <w:highlight w:val="none"/>
              </w:rPr>
              <w:t>0</w:t>
            </w:r>
          </w:p>
        </w:tc>
        <w:tc>
          <w:tcPr>
            <w:tcW w:w="1192" w:type="dxa"/>
            <w:noWrap w:val="0"/>
            <w:vAlign w:val="top"/>
          </w:tcPr>
          <w:p>
            <w:pPr>
              <w:spacing w:before="40"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w:t>
            </w:r>
            <w:r>
              <w:rPr>
                <w:rFonts w:hint="eastAsia" w:ascii="宋体" w:hAnsi="宋体" w:eastAsia="宋体" w:cs="宋体"/>
                <w:color w:val="auto"/>
                <w:spacing w:val="-2"/>
                <w:sz w:val="18"/>
                <w:szCs w:val="18"/>
                <w:highlight w:val="none"/>
              </w:rPr>
              <w:t>10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1" w:type="dxa"/>
            <w:noWrap w:val="0"/>
            <w:vAlign w:val="top"/>
          </w:tcPr>
          <w:p>
            <w:pPr>
              <w:spacing w:before="242" w:line="240" w:lineRule="auto"/>
              <w:ind w:left="11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1</w:t>
            </w:r>
            <w:r>
              <w:rPr>
                <w:rFonts w:hint="eastAsia" w:ascii="宋体" w:hAnsi="宋体" w:eastAsia="宋体" w:cs="宋体"/>
                <w:color w:val="auto"/>
                <w:spacing w:val="-6"/>
                <w:sz w:val="18"/>
                <w:szCs w:val="18"/>
                <w:highlight w:val="none"/>
              </w:rPr>
              <w:t>1</w:t>
            </w:r>
          </w:p>
        </w:tc>
        <w:tc>
          <w:tcPr>
            <w:tcW w:w="1283" w:type="dxa"/>
            <w:noWrap w:val="0"/>
            <w:vAlign w:val="top"/>
          </w:tcPr>
          <w:p>
            <w:pPr>
              <w:spacing w:before="210" w:line="240" w:lineRule="auto"/>
              <w:ind w:left="26"/>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信息传输业</w:t>
            </w:r>
          </w:p>
        </w:tc>
        <w:tc>
          <w:tcPr>
            <w:tcW w:w="1027" w:type="dxa"/>
            <w:noWrap w:val="0"/>
            <w:vAlign w:val="top"/>
          </w:tcPr>
          <w:p>
            <w:pPr>
              <w:spacing w:before="4"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 xml:space="preserve"> 10000</w:t>
            </w:r>
          </w:p>
          <w:p>
            <w:pPr>
              <w:spacing w:before="74" w:line="240" w:lineRule="auto"/>
              <w:ind w:left="39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916" w:type="dxa"/>
            <w:noWrap w:val="0"/>
            <w:vAlign w:val="top"/>
          </w:tcPr>
          <w:p>
            <w:pPr>
              <w:spacing w:before="160" w:line="240" w:lineRule="auto"/>
              <w:ind w:left="135"/>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2000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160"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w:t>
            </w:r>
            <w:r>
              <w:rPr>
                <w:rFonts w:hint="eastAsia" w:ascii="宋体" w:hAnsi="宋体" w:eastAsia="宋体" w:cs="宋体"/>
                <w:color w:val="auto"/>
                <w:spacing w:val="-6"/>
                <w:position w:val="3"/>
                <w:sz w:val="18"/>
                <w:szCs w:val="18"/>
                <w:highlight w:val="none"/>
              </w:rPr>
              <w:t xml:space="preserve"> 1000</w:t>
            </w:r>
          </w:p>
        </w:tc>
        <w:tc>
          <w:tcPr>
            <w:tcW w:w="904" w:type="dxa"/>
            <w:noWrap w:val="0"/>
            <w:vAlign w:val="top"/>
          </w:tcPr>
          <w:p>
            <w:pPr>
              <w:spacing w:before="160"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8"/>
                <w:position w:val="3"/>
                <w:sz w:val="18"/>
                <w:szCs w:val="18"/>
                <w:highlight w:val="none"/>
              </w:rPr>
              <w:t xml:space="preserve"> 100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160"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955" w:type="dxa"/>
            <w:noWrap w:val="0"/>
            <w:vAlign w:val="top"/>
          </w:tcPr>
          <w:p>
            <w:pPr>
              <w:spacing w:before="160"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195"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position w:val="2"/>
                <w:sz w:val="18"/>
                <w:szCs w:val="18"/>
                <w:highlight w:val="none"/>
              </w:rPr>
              <w:t>＜10</w:t>
            </w:r>
            <w:r>
              <w:rPr>
                <w:rFonts w:hint="eastAsia" w:ascii="宋体" w:hAnsi="宋体" w:eastAsia="宋体" w:cs="宋体"/>
                <w:color w:val="auto"/>
                <w:position w:val="2"/>
                <w:sz w:val="18"/>
                <w:szCs w:val="18"/>
                <w:highlight w:val="none"/>
              </w:rPr>
              <w:t>0</w:t>
            </w:r>
          </w:p>
        </w:tc>
        <w:tc>
          <w:tcPr>
            <w:tcW w:w="1192" w:type="dxa"/>
            <w:noWrap w:val="0"/>
            <w:vAlign w:val="top"/>
          </w:tcPr>
          <w:p>
            <w:pPr>
              <w:spacing w:before="195"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position w:val="2"/>
                <w:sz w:val="18"/>
                <w:szCs w:val="18"/>
                <w:highlight w:val="none"/>
              </w:rPr>
              <w:t>＜</w:t>
            </w:r>
            <w:r>
              <w:rPr>
                <w:rFonts w:hint="eastAsia" w:ascii="宋体" w:hAnsi="宋体" w:eastAsia="宋体" w:cs="宋体"/>
                <w:color w:val="auto"/>
                <w:spacing w:val="-2"/>
                <w:position w:val="2"/>
                <w:sz w:val="18"/>
                <w:szCs w:val="18"/>
                <w:highlight w:val="none"/>
              </w:rPr>
              <w:t>10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1" w:type="dxa"/>
            <w:noWrap w:val="0"/>
            <w:vAlign w:val="top"/>
          </w:tcPr>
          <w:p>
            <w:pPr>
              <w:spacing w:before="241" w:line="240" w:lineRule="auto"/>
              <w:ind w:left="11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1</w:t>
            </w:r>
            <w:r>
              <w:rPr>
                <w:rFonts w:hint="eastAsia" w:ascii="宋体" w:hAnsi="宋体" w:eastAsia="宋体" w:cs="宋体"/>
                <w:color w:val="auto"/>
                <w:spacing w:val="-6"/>
                <w:sz w:val="18"/>
                <w:szCs w:val="18"/>
                <w:highlight w:val="none"/>
              </w:rPr>
              <w:t>2</w:t>
            </w:r>
          </w:p>
        </w:tc>
        <w:tc>
          <w:tcPr>
            <w:tcW w:w="1283" w:type="dxa"/>
            <w:noWrap w:val="0"/>
            <w:vAlign w:val="top"/>
          </w:tcPr>
          <w:p>
            <w:pPr>
              <w:spacing w:before="54" w:line="240" w:lineRule="auto"/>
              <w:ind w:left="28" w:right="104"/>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软件和信息</w:t>
            </w:r>
            <w:r>
              <w:rPr>
                <w:rFonts w:hint="eastAsia" w:ascii="宋体" w:hAnsi="宋体" w:eastAsia="宋体" w:cs="宋体"/>
                <w:color w:val="auto"/>
                <w:spacing w:val="7"/>
                <w:sz w:val="18"/>
                <w:szCs w:val="18"/>
                <w:highlight w:val="none"/>
              </w:rPr>
              <w:t>技</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7"/>
                <w:sz w:val="18"/>
                <w:szCs w:val="18"/>
                <w:highlight w:val="none"/>
              </w:rPr>
              <w:t>术服务</w:t>
            </w:r>
            <w:r>
              <w:rPr>
                <w:rFonts w:hint="eastAsia" w:ascii="宋体" w:hAnsi="宋体" w:eastAsia="宋体" w:cs="宋体"/>
                <w:color w:val="auto"/>
                <w:spacing w:val="6"/>
                <w:sz w:val="18"/>
                <w:szCs w:val="18"/>
                <w:highlight w:val="none"/>
              </w:rPr>
              <w:t>业</w:t>
            </w:r>
          </w:p>
        </w:tc>
        <w:tc>
          <w:tcPr>
            <w:tcW w:w="1027" w:type="dxa"/>
            <w:noWrap w:val="0"/>
            <w:vAlign w:val="top"/>
          </w:tcPr>
          <w:p>
            <w:pPr>
              <w:spacing w:before="160"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 xml:space="preserve"> 10000</w:t>
            </w:r>
          </w:p>
        </w:tc>
        <w:tc>
          <w:tcPr>
            <w:tcW w:w="916" w:type="dxa"/>
            <w:noWrap w:val="0"/>
            <w:vAlign w:val="top"/>
          </w:tcPr>
          <w:p>
            <w:pPr>
              <w:spacing w:before="160"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160"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w:t>
            </w:r>
            <w:r>
              <w:rPr>
                <w:rFonts w:hint="eastAsia" w:ascii="宋体" w:hAnsi="宋体" w:eastAsia="宋体" w:cs="宋体"/>
                <w:color w:val="auto"/>
                <w:spacing w:val="-6"/>
                <w:position w:val="3"/>
                <w:sz w:val="18"/>
                <w:szCs w:val="18"/>
                <w:highlight w:val="none"/>
              </w:rPr>
              <w:t xml:space="preserve"> 1000</w:t>
            </w:r>
          </w:p>
        </w:tc>
        <w:tc>
          <w:tcPr>
            <w:tcW w:w="904" w:type="dxa"/>
            <w:noWrap w:val="0"/>
            <w:vAlign w:val="top"/>
          </w:tcPr>
          <w:p>
            <w:pPr>
              <w:spacing w:before="160"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8"/>
                <w:position w:val="3"/>
                <w:sz w:val="18"/>
                <w:szCs w:val="18"/>
                <w:highlight w:val="none"/>
              </w:rPr>
              <w:t xml:space="preserve"> 100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160" w:line="240" w:lineRule="auto"/>
              <w:ind w:left="329"/>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≥50</w:t>
            </w:r>
          </w:p>
        </w:tc>
        <w:tc>
          <w:tcPr>
            <w:tcW w:w="955" w:type="dxa"/>
            <w:noWrap w:val="0"/>
            <w:vAlign w:val="top"/>
          </w:tcPr>
          <w:p>
            <w:pPr>
              <w:spacing w:before="160"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195" w:line="240" w:lineRule="auto"/>
              <w:ind w:left="300"/>
              <w:rPr>
                <w:rFonts w:hint="eastAsia" w:ascii="宋体" w:hAnsi="宋体" w:eastAsia="宋体" w:cs="宋体"/>
                <w:color w:val="auto"/>
                <w:sz w:val="18"/>
                <w:szCs w:val="18"/>
                <w:highlight w:val="none"/>
              </w:rPr>
            </w:pPr>
            <w:r>
              <w:rPr>
                <w:rFonts w:hint="eastAsia" w:ascii="宋体" w:hAnsi="宋体" w:eastAsia="宋体" w:cs="宋体"/>
                <w:color w:val="auto"/>
                <w:spacing w:val="-4"/>
                <w:position w:val="2"/>
                <w:sz w:val="18"/>
                <w:szCs w:val="18"/>
                <w:highlight w:val="none"/>
              </w:rPr>
              <w:t>＜</w:t>
            </w:r>
            <w:r>
              <w:rPr>
                <w:rFonts w:hint="eastAsia" w:ascii="宋体" w:hAnsi="宋体" w:eastAsia="宋体" w:cs="宋体"/>
                <w:color w:val="auto"/>
                <w:spacing w:val="-2"/>
                <w:position w:val="2"/>
                <w:sz w:val="18"/>
                <w:szCs w:val="18"/>
                <w:highlight w:val="none"/>
              </w:rPr>
              <w:t>50</w:t>
            </w:r>
          </w:p>
        </w:tc>
        <w:tc>
          <w:tcPr>
            <w:tcW w:w="1192" w:type="dxa"/>
            <w:noWrap w:val="0"/>
            <w:vAlign w:val="top"/>
          </w:tcPr>
          <w:p>
            <w:pPr>
              <w:spacing w:before="195"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position w:val="2"/>
                <w:sz w:val="18"/>
                <w:szCs w:val="18"/>
                <w:highlight w:val="none"/>
              </w:rPr>
              <w:t>＜</w:t>
            </w:r>
            <w:r>
              <w:rPr>
                <w:rFonts w:hint="eastAsia" w:ascii="宋体" w:hAnsi="宋体" w:eastAsia="宋体" w:cs="宋体"/>
                <w:color w:val="auto"/>
                <w:spacing w:val="-2"/>
                <w:position w:val="2"/>
                <w:sz w:val="18"/>
                <w:szCs w:val="18"/>
                <w:highlight w:val="none"/>
              </w:rPr>
              <w:t>10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1" w:type="dxa"/>
            <w:noWrap w:val="0"/>
            <w:vAlign w:val="top"/>
          </w:tcPr>
          <w:p>
            <w:pPr>
              <w:spacing w:before="241" w:line="240" w:lineRule="auto"/>
              <w:ind w:left="11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1</w:t>
            </w:r>
            <w:r>
              <w:rPr>
                <w:rFonts w:hint="eastAsia" w:ascii="宋体" w:hAnsi="宋体" w:eastAsia="宋体" w:cs="宋体"/>
                <w:color w:val="auto"/>
                <w:spacing w:val="-6"/>
                <w:sz w:val="18"/>
                <w:szCs w:val="18"/>
                <w:highlight w:val="none"/>
              </w:rPr>
              <w:t>3</w:t>
            </w:r>
          </w:p>
        </w:tc>
        <w:tc>
          <w:tcPr>
            <w:tcW w:w="1283" w:type="dxa"/>
            <w:noWrap w:val="0"/>
            <w:vAlign w:val="top"/>
          </w:tcPr>
          <w:p>
            <w:pPr>
              <w:spacing w:before="53" w:line="240" w:lineRule="auto"/>
              <w:ind w:left="26" w:right="104" w:firstLine="1"/>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房地产开发经</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
                <w:sz w:val="18"/>
                <w:szCs w:val="18"/>
                <w:highlight w:val="none"/>
              </w:rPr>
              <w:t>验</w:t>
            </w:r>
          </w:p>
        </w:tc>
        <w:tc>
          <w:tcPr>
            <w:tcW w:w="1027" w:type="dxa"/>
            <w:noWrap w:val="0"/>
            <w:vAlign w:val="top"/>
          </w:tcPr>
          <w:p>
            <w:pPr>
              <w:spacing w:before="3" w:line="240" w:lineRule="auto"/>
              <w:ind w:left="80"/>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w:t>
            </w:r>
            <w:r>
              <w:rPr>
                <w:rFonts w:hint="eastAsia" w:ascii="宋体" w:hAnsi="宋体" w:eastAsia="宋体" w:cs="宋体"/>
                <w:color w:val="auto"/>
                <w:spacing w:val="4"/>
                <w:position w:val="3"/>
                <w:sz w:val="18"/>
                <w:szCs w:val="18"/>
                <w:highlight w:val="none"/>
              </w:rPr>
              <w:t>20000</w:t>
            </w:r>
          </w:p>
          <w:p>
            <w:pPr>
              <w:spacing w:before="74" w:line="240" w:lineRule="auto"/>
              <w:ind w:left="39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916" w:type="dxa"/>
            <w:noWrap w:val="0"/>
            <w:vAlign w:val="top"/>
          </w:tcPr>
          <w:p>
            <w:pPr>
              <w:spacing w:line="240" w:lineRule="auto"/>
              <w:rPr>
                <w:rFonts w:hint="eastAsia" w:ascii="宋体" w:hAnsi="宋体" w:eastAsia="宋体" w:cs="宋体"/>
                <w:color w:val="auto"/>
                <w:sz w:val="18"/>
                <w:szCs w:val="18"/>
                <w:highlight w:val="none"/>
              </w:rPr>
            </w:pPr>
          </w:p>
        </w:tc>
        <w:tc>
          <w:tcPr>
            <w:tcW w:w="1082" w:type="dxa"/>
            <w:noWrap w:val="0"/>
            <w:vAlign w:val="top"/>
          </w:tcPr>
          <w:p>
            <w:pPr>
              <w:spacing w:before="3" w:line="240" w:lineRule="auto"/>
              <w:ind w:left="81"/>
              <w:rPr>
                <w:rFonts w:hint="eastAsia" w:ascii="宋体" w:hAnsi="宋体" w:eastAsia="宋体" w:cs="宋体"/>
                <w:color w:val="auto"/>
                <w:sz w:val="18"/>
                <w:szCs w:val="18"/>
                <w:highlight w:val="none"/>
              </w:rPr>
            </w:pPr>
            <w:r>
              <w:rPr>
                <w:rFonts w:hint="eastAsia" w:ascii="宋体" w:hAnsi="宋体" w:eastAsia="宋体" w:cs="宋体"/>
                <w:color w:val="auto"/>
                <w:spacing w:val="-6"/>
                <w:position w:val="2"/>
                <w:sz w:val="18"/>
                <w:szCs w:val="18"/>
                <w:highlight w:val="none"/>
              </w:rPr>
              <w:t>或</w:t>
            </w:r>
            <w:r>
              <w:rPr>
                <w:rFonts w:hint="eastAsia" w:ascii="宋体" w:hAnsi="宋体" w:eastAsia="宋体" w:cs="宋体"/>
                <w:color w:val="auto"/>
                <w:spacing w:val="-4"/>
                <w:position w:val="2"/>
                <w:sz w:val="18"/>
                <w:szCs w:val="18"/>
                <w:highlight w:val="none"/>
              </w:rPr>
              <w:t>,≥ 1000</w:t>
            </w:r>
          </w:p>
          <w:p>
            <w:pPr>
              <w:spacing w:before="74" w:line="240" w:lineRule="auto"/>
              <w:ind w:left="47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989" w:type="dxa"/>
            <w:noWrap w:val="0"/>
            <w:vAlign w:val="top"/>
          </w:tcPr>
          <w:p>
            <w:pPr>
              <w:spacing w:before="159"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w:t>
            </w:r>
            <w:r>
              <w:rPr>
                <w:rFonts w:hint="eastAsia" w:ascii="宋体" w:hAnsi="宋体" w:eastAsia="宋体" w:cs="宋体"/>
                <w:color w:val="auto"/>
                <w:spacing w:val="-6"/>
                <w:position w:val="3"/>
                <w:sz w:val="18"/>
                <w:szCs w:val="18"/>
                <w:highlight w:val="none"/>
              </w:rPr>
              <w:t xml:space="preserve"> 1000</w:t>
            </w:r>
          </w:p>
        </w:tc>
        <w:tc>
          <w:tcPr>
            <w:tcW w:w="904" w:type="dxa"/>
            <w:noWrap w:val="0"/>
            <w:vAlign w:val="top"/>
          </w:tcPr>
          <w:p>
            <w:pPr>
              <w:spacing w:line="240" w:lineRule="auto"/>
              <w:rPr>
                <w:rFonts w:hint="eastAsia" w:ascii="宋体" w:hAnsi="宋体" w:eastAsia="宋体" w:cs="宋体"/>
                <w:color w:val="auto"/>
                <w:sz w:val="18"/>
                <w:szCs w:val="18"/>
                <w:highlight w:val="none"/>
              </w:rPr>
            </w:pPr>
          </w:p>
        </w:tc>
        <w:tc>
          <w:tcPr>
            <w:tcW w:w="1099" w:type="dxa"/>
            <w:noWrap w:val="0"/>
            <w:vAlign w:val="top"/>
          </w:tcPr>
          <w:p>
            <w:pPr>
              <w:spacing w:before="159" w:line="240" w:lineRule="auto"/>
              <w:ind w:left="86"/>
              <w:rPr>
                <w:rFonts w:hint="eastAsia" w:ascii="宋体" w:hAnsi="宋体" w:eastAsia="宋体" w:cs="宋体"/>
                <w:color w:val="auto"/>
                <w:sz w:val="18"/>
                <w:szCs w:val="18"/>
                <w:highlight w:val="none"/>
              </w:rPr>
            </w:pPr>
            <w:r>
              <w:rPr>
                <w:rFonts w:hint="eastAsia" w:ascii="宋体" w:hAnsi="宋体" w:eastAsia="宋体" w:cs="宋体"/>
                <w:color w:val="auto"/>
                <w:spacing w:val="6"/>
                <w:position w:val="2"/>
                <w:sz w:val="18"/>
                <w:szCs w:val="18"/>
                <w:highlight w:val="none"/>
              </w:rPr>
              <w:t>且</w:t>
            </w:r>
            <w:r>
              <w:rPr>
                <w:rFonts w:hint="eastAsia" w:ascii="宋体" w:hAnsi="宋体" w:eastAsia="宋体" w:cs="宋体"/>
                <w:color w:val="auto"/>
                <w:spacing w:val="5"/>
                <w:position w:val="2"/>
                <w:sz w:val="18"/>
                <w:szCs w:val="18"/>
                <w:highlight w:val="none"/>
              </w:rPr>
              <w:t>,</w:t>
            </w:r>
            <w:r>
              <w:rPr>
                <w:rFonts w:hint="eastAsia" w:ascii="宋体" w:hAnsi="宋体" w:eastAsia="宋体" w:cs="宋体"/>
                <w:color w:val="auto"/>
                <w:spacing w:val="3"/>
                <w:position w:val="2"/>
                <w:sz w:val="18"/>
                <w:szCs w:val="18"/>
                <w:highlight w:val="none"/>
              </w:rPr>
              <w:t>≥5000</w:t>
            </w:r>
          </w:p>
        </w:tc>
        <w:tc>
          <w:tcPr>
            <w:tcW w:w="1057" w:type="dxa"/>
            <w:noWrap w:val="0"/>
            <w:vAlign w:val="top"/>
          </w:tcPr>
          <w:p>
            <w:pPr>
              <w:spacing w:before="159"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955" w:type="dxa"/>
            <w:noWrap w:val="0"/>
            <w:vAlign w:val="top"/>
          </w:tcPr>
          <w:p>
            <w:pPr>
              <w:spacing w:line="240" w:lineRule="auto"/>
              <w:rPr>
                <w:rFonts w:hint="eastAsia" w:ascii="宋体" w:hAnsi="宋体" w:eastAsia="宋体" w:cs="宋体"/>
                <w:color w:val="auto"/>
                <w:sz w:val="18"/>
                <w:szCs w:val="18"/>
                <w:highlight w:val="none"/>
              </w:rPr>
            </w:pPr>
          </w:p>
        </w:tc>
        <w:tc>
          <w:tcPr>
            <w:tcW w:w="1161" w:type="dxa"/>
            <w:noWrap w:val="0"/>
            <w:vAlign w:val="top"/>
          </w:tcPr>
          <w:p>
            <w:pPr>
              <w:spacing w:before="159" w:line="240" w:lineRule="auto"/>
              <w:ind w:left="116"/>
              <w:rPr>
                <w:rFonts w:hint="eastAsia" w:ascii="宋体" w:hAnsi="宋体" w:eastAsia="宋体" w:cs="宋体"/>
                <w:color w:val="auto"/>
                <w:sz w:val="18"/>
                <w:szCs w:val="18"/>
                <w:highlight w:val="none"/>
              </w:rPr>
            </w:pPr>
            <w:r>
              <w:rPr>
                <w:rFonts w:hint="eastAsia" w:ascii="宋体" w:hAnsi="宋体" w:eastAsia="宋体" w:cs="宋体"/>
                <w:color w:val="auto"/>
                <w:spacing w:val="4"/>
                <w:position w:val="2"/>
                <w:sz w:val="18"/>
                <w:szCs w:val="18"/>
                <w:highlight w:val="none"/>
              </w:rPr>
              <w:t>且,≥2000</w:t>
            </w:r>
          </w:p>
        </w:tc>
        <w:tc>
          <w:tcPr>
            <w:tcW w:w="1057" w:type="dxa"/>
            <w:noWrap w:val="0"/>
            <w:vAlign w:val="top"/>
          </w:tcPr>
          <w:p>
            <w:pPr>
              <w:spacing w:before="195"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position w:val="2"/>
                <w:sz w:val="18"/>
                <w:szCs w:val="18"/>
                <w:highlight w:val="none"/>
              </w:rPr>
              <w:t>＜10</w:t>
            </w:r>
            <w:r>
              <w:rPr>
                <w:rFonts w:hint="eastAsia" w:ascii="宋体" w:hAnsi="宋体" w:eastAsia="宋体" w:cs="宋体"/>
                <w:color w:val="auto"/>
                <w:position w:val="2"/>
                <w:sz w:val="18"/>
                <w:szCs w:val="18"/>
                <w:highlight w:val="none"/>
              </w:rPr>
              <w:t>0</w:t>
            </w:r>
          </w:p>
        </w:tc>
        <w:tc>
          <w:tcPr>
            <w:tcW w:w="1192" w:type="dxa"/>
            <w:noWrap w:val="0"/>
            <w:vAlign w:val="top"/>
          </w:tcPr>
          <w:p>
            <w:pPr>
              <w:spacing w:line="240" w:lineRule="auto"/>
              <w:rPr>
                <w:rFonts w:hint="eastAsia" w:ascii="宋体" w:hAnsi="宋体" w:eastAsia="宋体" w:cs="宋体"/>
                <w:color w:val="auto"/>
                <w:sz w:val="18"/>
                <w:szCs w:val="18"/>
                <w:highlight w:val="none"/>
              </w:rPr>
            </w:pPr>
          </w:p>
        </w:tc>
        <w:tc>
          <w:tcPr>
            <w:tcW w:w="1025" w:type="dxa"/>
            <w:noWrap w:val="0"/>
            <w:vAlign w:val="top"/>
          </w:tcPr>
          <w:p>
            <w:pPr>
              <w:spacing w:before="39" w:line="240" w:lineRule="auto"/>
              <w:ind w:left="237"/>
              <w:rPr>
                <w:rFonts w:hint="eastAsia" w:ascii="宋体" w:hAnsi="宋体" w:eastAsia="宋体" w:cs="宋体"/>
                <w:color w:val="auto"/>
                <w:sz w:val="18"/>
                <w:szCs w:val="18"/>
                <w:highlight w:val="none"/>
              </w:rPr>
            </w:pPr>
            <w:r>
              <w:rPr>
                <w:rFonts w:hint="eastAsia" w:ascii="宋体" w:hAnsi="宋体" w:eastAsia="宋体" w:cs="宋体"/>
                <w:color w:val="auto"/>
                <w:position w:val="9"/>
                <w:sz w:val="18"/>
                <w:szCs w:val="18"/>
                <w:highlight w:val="none"/>
              </w:rPr>
              <w:t>或,＜</w:t>
            </w:r>
          </w:p>
          <w:p>
            <w:pPr>
              <w:spacing w:line="240" w:lineRule="auto"/>
              <w:ind w:left="324"/>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rPr>
              <w:t>2</w:t>
            </w:r>
            <w:r>
              <w:rPr>
                <w:rFonts w:hint="eastAsia" w:ascii="宋体" w:hAnsi="宋体" w:eastAsia="宋体" w:cs="宋体"/>
                <w:color w:val="auto"/>
                <w:spacing w:val="3"/>
                <w:sz w:val="18"/>
                <w:szCs w:val="18"/>
                <w:highlight w:val="no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noWrap w:val="0"/>
            <w:vAlign w:val="top"/>
          </w:tcPr>
          <w:p>
            <w:pPr>
              <w:spacing w:before="85" w:line="240" w:lineRule="auto"/>
              <w:ind w:left="11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1</w:t>
            </w:r>
            <w:r>
              <w:rPr>
                <w:rFonts w:hint="eastAsia" w:ascii="宋体" w:hAnsi="宋体" w:eastAsia="宋体" w:cs="宋体"/>
                <w:color w:val="auto"/>
                <w:spacing w:val="-6"/>
                <w:sz w:val="18"/>
                <w:szCs w:val="18"/>
                <w:highlight w:val="none"/>
              </w:rPr>
              <w:t>4</w:t>
            </w:r>
          </w:p>
        </w:tc>
        <w:tc>
          <w:tcPr>
            <w:tcW w:w="1283" w:type="dxa"/>
            <w:noWrap w:val="0"/>
            <w:vAlign w:val="top"/>
          </w:tcPr>
          <w:p>
            <w:pPr>
              <w:spacing w:before="54" w:line="240" w:lineRule="auto"/>
              <w:ind w:left="26"/>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物</w:t>
            </w:r>
            <w:r>
              <w:rPr>
                <w:rFonts w:hint="eastAsia" w:ascii="宋体" w:hAnsi="宋体" w:eastAsia="宋体" w:cs="宋体"/>
                <w:color w:val="auto"/>
                <w:spacing w:val="7"/>
                <w:sz w:val="18"/>
                <w:szCs w:val="18"/>
                <w:highlight w:val="none"/>
              </w:rPr>
              <w:t>业管理</w:t>
            </w:r>
          </w:p>
        </w:tc>
        <w:tc>
          <w:tcPr>
            <w:tcW w:w="1027" w:type="dxa"/>
            <w:noWrap w:val="0"/>
            <w:vAlign w:val="top"/>
          </w:tcPr>
          <w:p>
            <w:pPr>
              <w:spacing w:before="4" w:line="240" w:lineRule="auto"/>
              <w:ind w:left="140"/>
              <w:rPr>
                <w:rFonts w:hint="eastAsia" w:ascii="宋体" w:hAnsi="宋体" w:eastAsia="宋体" w:cs="宋体"/>
                <w:color w:val="auto"/>
                <w:sz w:val="18"/>
                <w:szCs w:val="18"/>
                <w:highlight w:val="none"/>
              </w:rPr>
            </w:pPr>
            <w:r>
              <w:rPr>
                <w:rFonts w:hint="eastAsia" w:ascii="宋体" w:hAnsi="宋体" w:eastAsia="宋体" w:cs="宋体"/>
                <w:color w:val="auto"/>
                <w:spacing w:val="6"/>
                <w:position w:val="3"/>
                <w:sz w:val="18"/>
                <w:szCs w:val="18"/>
                <w:highlight w:val="none"/>
              </w:rPr>
              <w:t>≥</w:t>
            </w:r>
            <w:r>
              <w:rPr>
                <w:rFonts w:hint="eastAsia" w:ascii="宋体" w:hAnsi="宋体" w:eastAsia="宋体" w:cs="宋体"/>
                <w:color w:val="auto"/>
                <w:spacing w:val="4"/>
                <w:position w:val="3"/>
                <w:sz w:val="18"/>
                <w:szCs w:val="18"/>
                <w:highlight w:val="none"/>
              </w:rPr>
              <w:t>5000</w:t>
            </w:r>
          </w:p>
        </w:tc>
        <w:tc>
          <w:tcPr>
            <w:tcW w:w="916" w:type="dxa"/>
            <w:noWrap w:val="0"/>
            <w:vAlign w:val="top"/>
          </w:tcPr>
          <w:p>
            <w:pPr>
              <w:spacing w:before="4" w:line="240" w:lineRule="auto"/>
              <w:ind w:left="135"/>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5"/>
                <w:position w:val="3"/>
                <w:sz w:val="18"/>
                <w:szCs w:val="18"/>
                <w:highlight w:val="none"/>
              </w:rPr>
              <w:t xml:space="preserve"> 1000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before="4" w:line="240" w:lineRule="auto"/>
              <w:ind w:left="175"/>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w:t>
            </w:r>
            <w:r>
              <w:rPr>
                <w:rFonts w:hint="eastAsia" w:ascii="宋体" w:hAnsi="宋体" w:eastAsia="宋体" w:cs="宋体"/>
                <w:color w:val="auto"/>
                <w:spacing w:val="-6"/>
                <w:position w:val="3"/>
                <w:sz w:val="18"/>
                <w:szCs w:val="18"/>
                <w:highlight w:val="none"/>
              </w:rPr>
              <w:t xml:space="preserve"> 1000</w:t>
            </w:r>
          </w:p>
        </w:tc>
        <w:tc>
          <w:tcPr>
            <w:tcW w:w="904" w:type="dxa"/>
            <w:noWrap w:val="0"/>
            <w:vAlign w:val="top"/>
          </w:tcPr>
          <w:p>
            <w:pPr>
              <w:spacing w:before="4"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4"/>
                <w:position w:val="3"/>
                <w:sz w:val="18"/>
                <w:szCs w:val="18"/>
                <w:highlight w:val="none"/>
              </w:rPr>
              <w:t>≥30</w:t>
            </w:r>
            <w:r>
              <w:rPr>
                <w:rFonts w:hint="eastAsia" w:ascii="宋体" w:hAnsi="宋体" w:eastAsia="宋体" w:cs="宋体"/>
                <w:color w:val="auto"/>
                <w:spacing w:val="3"/>
                <w:position w:val="3"/>
                <w:sz w:val="18"/>
                <w:szCs w:val="18"/>
                <w:highlight w:val="none"/>
              </w:rPr>
              <w:t>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4" w:line="240" w:lineRule="auto"/>
              <w:ind w:left="269"/>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500</w:t>
            </w:r>
          </w:p>
        </w:tc>
        <w:tc>
          <w:tcPr>
            <w:tcW w:w="955" w:type="dxa"/>
            <w:noWrap w:val="0"/>
            <w:vAlign w:val="top"/>
          </w:tcPr>
          <w:p>
            <w:pPr>
              <w:spacing w:before="4" w:line="240" w:lineRule="auto"/>
              <w:ind w:left="218"/>
              <w:rPr>
                <w:rFonts w:hint="eastAsia" w:ascii="宋体" w:hAnsi="宋体" w:eastAsia="宋体" w:cs="宋体"/>
                <w:color w:val="auto"/>
                <w:sz w:val="18"/>
                <w:szCs w:val="18"/>
                <w:highlight w:val="none"/>
              </w:rPr>
            </w:pPr>
            <w:r>
              <w:rPr>
                <w:rFonts w:hint="eastAsia" w:ascii="宋体" w:hAnsi="宋体" w:eastAsia="宋体" w:cs="宋体"/>
                <w:color w:val="auto"/>
                <w:spacing w:val="-8"/>
                <w:position w:val="3"/>
                <w:sz w:val="18"/>
                <w:szCs w:val="18"/>
                <w:highlight w:val="none"/>
              </w:rPr>
              <w:t>≥ 100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before="39" w:line="240" w:lineRule="auto"/>
              <w:ind w:left="24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w:t>
            </w:r>
            <w:r>
              <w:rPr>
                <w:rFonts w:hint="eastAsia" w:ascii="宋体" w:hAnsi="宋体" w:eastAsia="宋体" w:cs="宋体"/>
                <w:color w:val="auto"/>
                <w:sz w:val="18"/>
                <w:szCs w:val="18"/>
                <w:highlight w:val="none"/>
              </w:rPr>
              <w:t>0</w:t>
            </w:r>
          </w:p>
        </w:tc>
        <w:tc>
          <w:tcPr>
            <w:tcW w:w="1192" w:type="dxa"/>
            <w:noWrap w:val="0"/>
            <w:vAlign w:val="top"/>
          </w:tcPr>
          <w:p>
            <w:pPr>
              <w:spacing w:before="39" w:line="240" w:lineRule="auto"/>
              <w:ind w:left="309"/>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w:t>
            </w:r>
            <w:r>
              <w:rPr>
                <w:rFonts w:hint="eastAsia" w:ascii="宋体" w:hAnsi="宋体" w:eastAsia="宋体" w:cs="宋体"/>
                <w:color w:val="auto"/>
                <w:sz w:val="18"/>
                <w:szCs w:val="18"/>
                <w:highlight w:val="none"/>
              </w:rPr>
              <w:t>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1" w:type="dxa"/>
            <w:noWrap w:val="0"/>
            <w:vAlign w:val="top"/>
          </w:tcPr>
          <w:p>
            <w:pPr>
              <w:spacing w:before="244" w:line="240" w:lineRule="auto"/>
              <w:ind w:left="11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1</w:t>
            </w:r>
            <w:r>
              <w:rPr>
                <w:rFonts w:hint="eastAsia" w:ascii="宋体" w:hAnsi="宋体" w:eastAsia="宋体" w:cs="宋体"/>
                <w:color w:val="auto"/>
                <w:spacing w:val="-6"/>
                <w:sz w:val="18"/>
                <w:szCs w:val="18"/>
                <w:highlight w:val="none"/>
              </w:rPr>
              <w:t>5</w:t>
            </w:r>
          </w:p>
        </w:tc>
        <w:tc>
          <w:tcPr>
            <w:tcW w:w="1283" w:type="dxa"/>
            <w:noWrap w:val="0"/>
            <w:vAlign w:val="top"/>
          </w:tcPr>
          <w:p>
            <w:pPr>
              <w:spacing w:before="56" w:line="240" w:lineRule="auto"/>
              <w:ind w:left="28" w:right="104"/>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租赁和商务</w:t>
            </w:r>
            <w:r>
              <w:rPr>
                <w:rFonts w:hint="eastAsia" w:ascii="宋体" w:hAnsi="宋体" w:eastAsia="宋体" w:cs="宋体"/>
                <w:color w:val="auto"/>
                <w:spacing w:val="7"/>
                <w:sz w:val="18"/>
                <w:szCs w:val="18"/>
                <w:highlight w:val="none"/>
              </w:rPr>
              <w:t>服</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4"/>
                <w:sz w:val="18"/>
                <w:szCs w:val="18"/>
                <w:highlight w:val="none"/>
              </w:rPr>
              <w:t>务</w:t>
            </w:r>
            <w:r>
              <w:rPr>
                <w:rFonts w:hint="eastAsia" w:ascii="宋体" w:hAnsi="宋体" w:eastAsia="宋体" w:cs="宋体"/>
                <w:color w:val="auto"/>
                <w:spacing w:val="3"/>
                <w:sz w:val="18"/>
                <w:szCs w:val="18"/>
                <w:highlight w:val="none"/>
              </w:rPr>
              <w:t>业</w:t>
            </w:r>
          </w:p>
        </w:tc>
        <w:tc>
          <w:tcPr>
            <w:tcW w:w="1027" w:type="dxa"/>
            <w:noWrap w:val="0"/>
            <w:vAlign w:val="top"/>
          </w:tcPr>
          <w:p>
            <w:pPr>
              <w:spacing w:line="240" w:lineRule="auto"/>
              <w:rPr>
                <w:rFonts w:hint="eastAsia" w:ascii="宋体" w:hAnsi="宋体" w:eastAsia="宋体" w:cs="宋体"/>
                <w:color w:val="auto"/>
                <w:sz w:val="18"/>
                <w:szCs w:val="18"/>
                <w:highlight w:val="none"/>
              </w:rPr>
            </w:pPr>
          </w:p>
        </w:tc>
        <w:tc>
          <w:tcPr>
            <w:tcW w:w="916" w:type="dxa"/>
            <w:noWrap w:val="0"/>
            <w:vAlign w:val="top"/>
          </w:tcPr>
          <w:p>
            <w:pPr>
              <w:spacing w:before="159"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1082" w:type="dxa"/>
            <w:noWrap w:val="0"/>
            <w:vAlign w:val="top"/>
          </w:tcPr>
          <w:p>
            <w:pPr>
              <w:spacing w:before="3" w:line="240" w:lineRule="auto"/>
              <w:ind w:left="81"/>
              <w:rPr>
                <w:rFonts w:hint="eastAsia" w:ascii="宋体" w:hAnsi="宋体" w:eastAsia="宋体" w:cs="宋体"/>
                <w:color w:val="auto"/>
                <w:sz w:val="18"/>
                <w:szCs w:val="18"/>
                <w:highlight w:val="none"/>
              </w:rPr>
            </w:pPr>
            <w:r>
              <w:rPr>
                <w:rFonts w:hint="eastAsia" w:ascii="宋体" w:hAnsi="宋体" w:eastAsia="宋体" w:cs="宋体"/>
                <w:color w:val="auto"/>
                <w:spacing w:val="-6"/>
                <w:position w:val="2"/>
                <w:sz w:val="18"/>
                <w:szCs w:val="18"/>
                <w:highlight w:val="none"/>
              </w:rPr>
              <w:t>或</w:t>
            </w:r>
            <w:r>
              <w:rPr>
                <w:rFonts w:hint="eastAsia" w:ascii="宋体" w:hAnsi="宋体" w:eastAsia="宋体" w:cs="宋体"/>
                <w:color w:val="auto"/>
                <w:spacing w:val="-4"/>
                <w:position w:val="2"/>
                <w:sz w:val="18"/>
                <w:szCs w:val="18"/>
                <w:highlight w:val="none"/>
              </w:rPr>
              <w:t>,≥ 1200</w:t>
            </w:r>
          </w:p>
          <w:p>
            <w:pPr>
              <w:spacing w:before="74" w:line="240" w:lineRule="auto"/>
              <w:ind w:left="41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0</w:t>
            </w:r>
            <w:r>
              <w:rPr>
                <w:rFonts w:hint="eastAsia" w:ascii="宋体" w:hAnsi="宋体" w:eastAsia="宋体" w:cs="宋体"/>
                <w:color w:val="auto"/>
                <w:sz w:val="18"/>
                <w:szCs w:val="18"/>
                <w:highlight w:val="none"/>
              </w:rPr>
              <w:t>0</w:t>
            </w:r>
          </w:p>
        </w:tc>
        <w:tc>
          <w:tcPr>
            <w:tcW w:w="989" w:type="dxa"/>
            <w:noWrap w:val="0"/>
            <w:vAlign w:val="top"/>
          </w:tcPr>
          <w:p>
            <w:pPr>
              <w:spacing w:line="240" w:lineRule="auto"/>
              <w:rPr>
                <w:rFonts w:hint="eastAsia" w:ascii="宋体" w:hAnsi="宋体" w:eastAsia="宋体" w:cs="宋体"/>
                <w:color w:val="auto"/>
                <w:sz w:val="18"/>
                <w:szCs w:val="18"/>
                <w:highlight w:val="none"/>
              </w:rPr>
            </w:pPr>
          </w:p>
        </w:tc>
        <w:tc>
          <w:tcPr>
            <w:tcW w:w="904" w:type="dxa"/>
            <w:noWrap w:val="0"/>
            <w:vAlign w:val="top"/>
          </w:tcPr>
          <w:p>
            <w:pPr>
              <w:spacing w:before="159"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8"/>
                <w:position w:val="3"/>
                <w:sz w:val="18"/>
                <w:szCs w:val="18"/>
                <w:highlight w:val="none"/>
              </w:rPr>
              <w:t xml:space="preserve"> 100</w:t>
            </w:r>
          </w:p>
        </w:tc>
        <w:tc>
          <w:tcPr>
            <w:tcW w:w="1099" w:type="dxa"/>
            <w:noWrap w:val="0"/>
            <w:vAlign w:val="top"/>
          </w:tcPr>
          <w:p>
            <w:pPr>
              <w:spacing w:before="159" w:line="240" w:lineRule="auto"/>
              <w:ind w:left="86"/>
              <w:rPr>
                <w:rFonts w:hint="eastAsia" w:ascii="宋体" w:hAnsi="宋体" w:eastAsia="宋体" w:cs="宋体"/>
                <w:color w:val="auto"/>
                <w:sz w:val="18"/>
                <w:szCs w:val="18"/>
                <w:highlight w:val="none"/>
              </w:rPr>
            </w:pPr>
            <w:r>
              <w:rPr>
                <w:rFonts w:hint="eastAsia" w:ascii="宋体" w:hAnsi="宋体" w:eastAsia="宋体" w:cs="宋体"/>
                <w:color w:val="auto"/>
                <w:spacing w:val="6"/>
                <w:position w:val="2"/>
                <w:sz w:val="18"/>
                <w:szCs w:val="18"/>
                <w:highlight w:val="none"/>
              </w:rPr>
              <w:t>且</w:t>
            </w:r>
            <w:r>
              <w:rPr>
                <w:rFonts w:hint="eastAsia" w:ascii="宋体" w:hAnsi="宋体" w:eastAsia="宋体" w:cs="宋体"/>
                <w:color w:val="auto"/>
                <w:spacing w:val="5"/>
                <w:position w:val="2"/>
                <w:sz w:val="18"/>
                <w:szCs w:val="18"/>
                <w:highlight w:val="none"/>
              </w:rPr>
              <w:t>,</w:t>
            </w:r>
            <w:r>
              <w:rPr>
                <w:rFonts w:hint="eastAsia" w:ascii="宋体" w:hAnsi="宋体" w:eastAsia="宋体" w:cs="宋体"/>
                <w:color w:val="auto"/>
                <w:spacing w:val="3"/>
                <w:position w:val="2"/>
                <w:sz w:val="18"/>
                <w:szCs w:val="18"/>
                <w:highlight w:val="none"/>
              </w:rPr>
              <w:t>≥8000</w:t>
            </w:r>
          </w:p>
        </w:tc>
        <w:tc>
          <w:tcPr>
            <w:tcW w:w="1057" w:type="dxa"/>
            <w:noWrap w:val="0"/>
            <w:vAlign w:val="top"/>
          </w:tcPr>
          <w:p>
            <w:pPr>
              <w:spacing w:line="240" w:lineRule="auto"/>
              <w:rPr>
                <w:rFonts w:hint="eastAsia" w:ascii="宋体" w:hAnsi="宋体" w:eastAsia="宋体" w:cs="宋体"/>
                <w:color w:val="auto"/>
                <w:sz w:val="18"/>
                <w:szCs w:val="18"/>
                <w:highlight w:val="none"/>
              </w:rPr>
            </w:pPr>
          </w:p>
        </w:tc>
        <w:tc>
          <w:tcPr>
            <w:tcW w:w="955" w:type="dxa"/>
            <w:noWrap w:val="0"/>
            <w:vAlign w:val="top"/>
          </w:tcPr>
          <w:p>
            <w:pPr>
              <w:spacing w:before="159"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before="159" w:line="240" w:lineRule="auto"/>
              <w:ind w:left="176"/>
              <w:rPr>
                <w:rFonts w:hint="eastAsia" w:ascii="宋体" w:hAnsi="宋体" w:eastAsia="宋体" w:cs="宋体"/>
                <w:color w:val="auto"/>
                <w:sz w:val="18"/>
                <w:szCs w:val="18"/>
                <w:highlight w:val="none"/>
              </w:rPr>
            </w:pPr>
            <w:r>
              <w:rPr>
                <w:rFonts w:hint="eastAsia" w:ascii="宋体" w:hAnsi="宋体" w:eastAsia="宋体" w:cs="宋体"/>
                <w:color w:val="auto"/>
                <w:spacing w:val="-8"/>
                <w:position w:val="2"/>
                <w:sz w:val="18"/>
                <w:szCs w:val="18"/>
                <w:highlight w:val="none"/>
              </w:rPr>
              <w:t>且</w:t>
            </w:r>
            <w:r>
              <w:rPr>
                <w:rFonts w:hint="eastAsia" w:ascii="宋体" w:hAnsi="宋体" w:eastAsia="宋体" w:cs="宋体"/>
                <w:color w:val="auto"/>
                <w:spacing w:val="-6"/>
                <w:position w:val="2"/>
                <w:sz w:val="18"/>
                <w:szCs w:val="18"/>
                <w:highlight w:val="none"/>
              </w:rPr>
              <w:t>,</w:t>
            </w:r>
            <w:r>
              <w:rPr>
                <w:rFonts w:hint="eastAsia" w:ascii="宋体" w:hAnsi="宋体" w:eastAsia="宋体" w:cs="宋体"/>
                <w:color w:val="auto"/>
                <w:spacing w:val="-4"/>
                <w:position w:val="2"/>
                <w:sz w:val="18"/>
                <w:szCs w:val="18"/>
                <w:highlight w:val="none"/>
              </w:rPr>
              <w:t>≥ 100</w:t>
            </w:r>
          </w:p>
        </w:tc>
        <w:tc>
          <w:tcPr>
            <w:tcW w:w="1057" w:type="dxa"/>
            <w:noWrap w:val="0"/>
            <w:vAlign w:val="top"/>
          </w:tcPr>
          <w:p>
            <w:pPr>
              <w:spacing w:line="240" w:lineRule="auto"/>
              <w:rPr>
                <w:rFonts w:hint="eastAsia" w:ascii="宋体" w:hAnsi="宋体" w:eastAsia="宋体" w:cs="宋体"/>
                <w:color w:val="auto"/>
                <w:sz w:val="18"/>
                <w:szCs w:val="18"/>
                <w:highlight w:val="none"/>
              </w:rPr>
            </w:pPr>
          </w:p>
        </w:tc>
        <w:tc>
          <w:tcPr>
            <w:tcW w:w="1192" w:type="dxa"/>
            <w:noWrap w:val="0"/>
            <w:vAlign w:val="top"/>
          </w:tcPr>
          <w:p>
            <w:pPr>
              <w:spacing w:before="197"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position w:val="2"/>
                <w:sz w:val="18"/>
                <w:szCs w:val="18"/>
                <w:highlight w:val="none"/>
              </w:rPr>
              <w:t>＜</w:t>
            </w:r>
            <w:r>
              <w:rPr>
                <w:rFonts w:hint="eastAsia" w:ascii="宋体" w:hAnsi="宋体" w:eastAsia="宋体" w:cs="宋体"/>
                <w:color w:val="auto"/>
                <w:spacing w:val="-2"/>
                <w:position w:val="2"/>
                <w:sz w:val="18"/>
                <w:szCs w:val="18"/>
                <w:highlight w:val="none"/>
              </w:rPr>
              <w:t>10</w:t>
            </w:r>
          </w:p>
        </w:tc>
        <w:tc>
          <w:tcPr>
            <w:tcW w:w="1025" w:type="dxa"/>
            <w:noWrap w:val="0"/>
            <w:vAlign w:val="top"/>
          </w:tcPr>
          <w:p>
            <w:pPr>
              <w:spacing w:before="198" w:line="240" w:lineRule="auto"/>
              <w:ind w:left="57"/>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rPr>
              <w:t>或</w:t>
            </w:r>
            <w:r>
              <w:rPr>
                <w:rFonts w:hint="eastAsia" w:ascii="宋体" w:hAnsi="宋体" w:eastAsia="宋体" w:cs="宋体"/>
                <w:color w:val="auto"/>
                <w:spacing w:val="4"/>
                <w:sz w:val="18"/>
                <w:szCs w:val="18"/>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31" w:type="dxa"/>
            <w:noWrap w:val="0"/>
            <w:vAlign w:val="top"/>
          </w:tcPr>
          <w:p>
            <w:pPr>
              <w:spacing w:before="245" w:line="240" w:lineRule="auto"/>
              <w:ind w:left="118"/>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1</w:t>
            </w:r>
            <w:r>
              <w:rPr>
                <w:rFonts w:hint="eastAsia" w:ascii="宋体" w:hAnsi="宋体" w:eastAsia="宋体" w:cs="宋体"/>
                <w:color w:val="auto"/>
                <w:spacing w:val="-6"/>
                <w:sz w:val="18"/>
                <w:szCs w:val="18"/>
                <w:highlight w:val="none"/>
              </w:rPr>
              <w:t>6</w:t>
            </w:r>
          </w:p>
        </w:tc>
        <w:tc>
          <w:tcPr>
            <w:tcW w:w="1283" w:type="dxa"/>
            <w:noWrap w:val="0"/>
            <w:vAlign w:val="top"/>
          </w:tcPr>
          <w:p>
            <w:pPr>
              <w:spacing w:before="57" w:line="240" w:lineRule="auto"/>
              <w:ind w:left="26" w:right="104" w:firstLine="1"/>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其他未列明行</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
                <w:sz w:val="18"/>
                <w:szCs w:val="18"/>
                <w:highlight w:val="none"/>
              </w:rPr>
              <w:t>业</w:t>
            </w:r>
          </w:p>
        </w:tc>
        <w:tc>
          <w:tcPr>
            <w:tcW w:w="1027" w:type="dxa"/>
            <w:noWrap w:val="0"/>
            <w:vAlign w:val="top"/>
          </w:tcPr>
          <w:p>
            <w:pPr>
              <w:spacing w:line="240" w:lineRule="auto"/>
              <w:rPr>
                <w:rFonts w:hint="eastAsia" w:ascii="宋体" w:hAnsi="宋体" w:eastAsia="宋体" w:cs="宋体"/>
                <w:color w:val="auto"/>
                <w:sz w:val="18"/>
                <w:szCs w:val="18"/>
                <w:highlight w:val="none"/>
              </w:rPr>
            </w:pPr>
          </w:p>
        </w:tc>
        <w:tc>
          <w:tcPr>
            <w:tcW w:w="916" w:type="dxa"/>
            <w:noWrap w:val="0"/>
            <w:vAlign w:val="top"/>
          </w:tcPr>
          <w:p>
            <w:pPr>
              <w:spacing w:before="160" w:line="240" w:lineRule="auto"/>
              <w:ind w:left="195"/>
              <w:rPr>
                <w:rFonts w:hint="eastAsia" w:ascii="宋体" w:hAnsi="宋体" w:eastAsia="宋体" w:cs="宋体"/>
                <w:color w:val="auto"/>
                <w:sz w:val="18"/>
                <w:szCs w:val="18"/>
                <w:highlight w:val="none"/>
              </w:rPr>
            </w:pPr>
            <w:r>
              <w:rPr>
                <w:rFonts w:hint="eastAsia" w:ascii="宋体" w:hAnsi="宋体" w:eastAsia="宋体" w:cs="宋体"/>
                <w:color w:val="auto"/>
                <w:spacing w:val="5"/>
                <w:position w:val="3"/>
                <w:sz w:val="18"/>
                <w:szCs w:val="18"/>
                <w:highlight w:val="none"/>
              </w:rPr>
              <w:t>≥</w:t>
            </w:r>
            <w:r>
              <w:rPr>
                <w:rFonts w:hint="eastAsia" w:ascii="宋体" w:hAnsi="宋体" w:eastAsia="宋体" w:cs="宋体"/>
                <w:color w:val="auto"/>
                <w:spacing w:val="4"/>
                <w:position w:val="3"/>
                <w:sz w:val="18"/>
                <w:szCs w:val="18"/>
                <w:highlight w:val="none"/>
              </w:rPr>
              <w:t>300</w:t>
            </w:r>
          </w:p>
        </w:tc>
        <w:tc>
          <w:tcPr>
            <w:tcW w:w="1082" w:type="dxa"/>
            <w:noWrap w:val="0"/>
            <w:vAlign w:val="top"/>
          </w:tcPr>
          <w:p>
            <w:pPr>
              <w:spacing w:line="240" w:lineRule="auto"/>
              <w:rPr>
                <w:rFonts w:hint="eastAsia" w:ascii="宋体" w:hAnsi="宋体" w:eastAsia="宋体" w:cs="宋体"/>
                <w:color w:val="auto"/>
                <w:sz w:val="18"/>
                <w:szCs w:val="18"/>
                <w:highlight w:val="none"/>
              </w:rPr>
            </w:pPr>
          </w:p>
        </w:tc>
        <w:tc>
          <w:tcPr>
            <w:tcW w:w="989" w:type="dxa"/>
            <w:noWrap w:val="0"/>
            <w:vAlign w:val="top"/>
          </w:tcPr>
          <w:p>
            <w:pPr>
              <w:spacing w:line="240" w:lineRule="auto"/>
              <w:rPr>
                <w:rFonts w:hint="eastAsia" w:ascii="宋体" w:hAnsi="宋体" w:eastAsia="宋体" w:cs="宋体"/>
                <w:color w:val="auto"/>
                <w:sz w:val="18"/>
                <w:szCs w:val="18"/>
                <w:highlight w:val="none"/>
              </w:rPr>
            </w:pPr>
          </w:p>
        </w:tc>
        <w:tc>
          <w:tcPr>
            <w:tcW w:w="904" w:type="dxa"/>
            <w:noWrap w:val="0"/>
            <w:vAlign w:val="top"/>
          </w:tcPr>
          <w:p>
            <w:pPr>
              <w:spacing w:before="160" w:line="240" w:lineRule="auto"/>
              <w:ind w:left="191"/>
              <w:rPr>
                <w:rFonts w:hint="eastAsia" w:ascii="宋体" w:hAnsi="宋体" w:eastAsia="宋体" w:cs="宋体"/>
                <w:color w:val="auto"/>
                <w:sz w:val="18"/>
                <w:szCs w:val="18"/>
                <w:highlight w:val="none"/>
              </w:rPr>
            </w:pPr>
            <w:r>
              <w:rPr>
                <w:rFonts w:hint="eastAsia" w:ascii="宋体" w:hAnsi="宋体" w:eastAsia="宋体" w:cs="宋体"/>
                <w:color w:val="auto"/>
                <w:spacing w:val="-10"/>
                <w:position w:val="3"/>
                <w:sz w:val="18"/>
                <w:szCs w:val="18"/>
                <w:highlight w:val="none"/>
              </w:rPr>
              <w:t>≥</w:t>
            </w:r>
            <w:r>
              <w:rPr>
                <w:rFonts w:hint="eastAsia" w:ascii="宋体" w:hAnsi="宋体" w:eastAsia="宋体" w:cs="宋体"/>
                <w:color w:val="auto"/>
                <w:spacing w:val="-8"/>
                <w:position w:val="3"/>
                <w:sz w:val="18"/>
                <w:szCs w:val="18"/>
                <w:highlight w:val="none"/>
              </w:rPr>
              <w:t xml:space="preserve"> 100</w:t>
            </w:r>
          </w:p>
        </w:tc>
        <w:tc>
          <w:tcPr>
            <w:tcW w:w="1099"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line="240" w:lineRule="auto"/>
              <w:rPr>
                <w:rFonts w:hint="eastAsia" w:ascii="宋体" w:hAnsi="宋体" w:eastAsia="宋体" w:cs="宋体"/>
                <w:color w:val="auto"/>
                <w:sz w:val="18"/>
                <w:szCs w:val="18"/>
                <w:highlight w:val="none"/>
              </w:rPr>
            </w:pPr>
          </w:p>
        </w:tc>
        <w:tc>
          <w:tcPr>
            <w:tcW w:w="955" w:type="dxa"/>
            <w:noWrap w:val="0"/>
            <w:vAlign w:val="top"/>
          </w:tcPr>
          <w:p>
            <w:pPr>
              <w:spacing w:before="160" w:line="240" w:lineRule="auto"/>
              <w:ind w:left="278"/>
              <w:rPr>
                <w:rFonts w:hint="eastAsia" w:ascii="宋体" w:hAnsi="宋体" w:eastAsia="宋体" w:cs="宋体"/>
                <w:color w:val="auto"/>
                <w:sz w:val="18"/>
                <w:szCs w:val="18"/>
                <w:highlight w:val="none"/>
              </w:rPr>
            </w:pPr>
            <w:r>
              <w:rPr>
                <w:rFonts w:hint="eastAsia" w:ascii="宋体" w:hAnsi="宋体" w:eastAsia="宋体" w:cs="宋体"/>
                <w:color w:val="auto"/>
                <w:spacing w:val="-12"/>
                <w:position w:val="3"/>
                <w:sz w:val="18"/>
                <w:szCs w:val="18"/>
                <w:highlight w:val="none"/>
              </w:rPr>
              <w:t>≥</w:t>
            </w:r>
            <w:r>
              <w:rPr>
                <w:rFonts w:hint="eastAsia" w:ascii="宋体" w:hAnsi="宋体" w:eastAsia="宋体" w:cs="宋体"/>
                <w:color w:val="auto"/>
                <w:spacing w:val="-11"/>
                <w:position w:val="3"/>
                <w:sz w:val="18"/>
                <w:szCs w:val="18"/>
                <w:highlight w:val="none"/>
              </w:rPr>
              <w:t xml:space="preserve"> 10</w:t>
            </w:r>
          </w:p>
        </w:tc>
        <w:tc>
          <w:tcPr>
            <w:tcW w:w="1161" w:type="dxa"/>
            <w:noWrap w:val="0"/>
            <w:vAlign w:val="top"/>
          </w:tcPr>
          <w:p>
            <w:pPr>
              <w:spacing w:line="240" w:lineRule="auto"/>
              <w:rPr>
                <w:rFonts w:hint="eastAsia" w:ascii="宋体" w:hAnsi="宋体" w:eastAsia="宋体" w:cs="宋体"/>
                <w:color w:val="auto"/>
                <w:sz w:val="18"/>
                <w:szCs w:val="18"/>
                <w:highlight w:val="none"/>
              </w:rPr>
            </w:pPr>
          </w:p>
        </w:tc>
        <w:tc>
          <w:tcPr>
            <w:tcW w:w="1057" w:type="dxa"/>
            <w:noWrap w:val="0"/>
            <w:vAlign w:val="top"/>
          </w:tcPr>
          <w:p>
            <w:pPr>
              <w:spacing w:line="240" w:lineRule="auto"/>
              <w:rPr>
                <w:rFonts w:hint="eastAsia" w:ascii="宋体" w:hAnsi="宋体" w:eastAsia="宋体" w:cs="宋体"/>
                <w:color w:val="auto"/>
                <w:sz w:val="18"/>
                <w:szCs w:val="18"/>
                <w:highlight w:val="none"/>
              </w:rPr>
            </w:pPr>
          </w:p>
        </w:tc>
        <w:tc>
          <w:tcPr>
            <w:tcW w:w="1192" w:type="dxa"/>
            <w:noWrap w:val="0"/>
            <w:vAlign w:val="top"/>
          </w:tcPr>
          <w:p>
            <w:pPr>
              <w:spacing w:before="198" w:line="240" w:lineRule="auto"/>
              <w:ind w:left="369"/>
              <w:rPr>
                <w:rFonts w:hint="eastAsia" w:ascii="宋体" w:hAnsi="宋体" w:eastAsia="宋体" w:cs="宋体"/>
                <w:color w:val="auto"/>
                <w:sz w:val="18"/>
                <w:szCs w:val="18"/>
                <w:highlight w:val="none"/>
              </w:rPr>
            </w:pPr>
            <w:r>
              <w:rPr>
                <w:rFonts w:hint="eastAsia" w:ascii="宋体" w:hAnsi="宋体" w:eastAsia="宋体" w:cs="宋体"/>
                <w:color w:val="auto"/>
                <w:spacing w:val="-4"/>
                <w:position w:val="2"/>
                <w:sz w:val="18"/>
                <w:szCs w:val="18"/>
                <w:highlight w:val="none"/>
              </w:rPr>
              <w:t>＜</w:t>
            </w:r>
            <w:r>
              <w:rPr>
                <w:rFonts w:hint="eastAsia" w:ascii="宋体" w:hAnsi="宋体" w:eastAsia="宋体" w:cs="宋体"/>
                <w:color w:val="auto"/>
                <w:spacing w:val="-2"/>
                <w:position w:val="2"/>
                <w:sz w:val="18"/>
                <w:szCs w:val="18"/>
                <w:highlight w:val="none"/>
              </w:rPr>
              <w:t>10</w:t>
            </w:r>
          </w:p>
        </w:tc>
        <w:tc>
          <w:tcPr>
            <w:tcW w:w="1025" w:type="dxa"/>
            <w:noWrap w:val="0"/>
            <w:vAlign w:val="top"/>
          </w:tcPr>
          <w:p>
            <w:pPr>
              <w:spacing w:line="240" w:lineRule="auto"/>
              <w:rPr>
                <w:rFonts w:hint="eastAsia" w:ascii="宋体" w:hAnsi="宋体" w:eastAsia="宋体" w:cs="宋体"/>
                <w:color w:val="auto"/>
                <w:sz w:val="18"/>
                <w:szCs w:val="18"/>
                <w:highlight w:val="none"/>
              </w:rPr>
            </w:pPr>
          </w:p>
        </w:tc>
      </w:tr>
    </w:tbl>
    <w:p>
      <w:pPr>
        <w:pStyle w:val="111"/>
        <w:ind w:left="0" w:leftChars="0" w:firstLine="0" w:firstLineChars="0"/>
        <w:rPr>
          <w:rFonts w:hint="eastAsia" w:ascii="宋体" w:hAnsi="宋体" w:eastAsia="宋体" w:cs="宋体"/>
          <w:color w:val="auto"/>
          <w:sz w:val="28"/>
          <w:szCs w:val="28"/>
          <w:highlight w:val="none"/>
        </w:rPr>
        <w:sectPr>
          <w:pgSz w:w="16838" w:h="11906" w:orient="landscape"/>
          <w:pgMar w:top="1417" w:right="1417" w:bottom="1417" w:left="1417" w:header="850" w:footer="992" w:gutter="0"/>
          <w:pgNumType w:fmt="decimal"/>
          <w:cols w:space="720" w:num="1"/>
          <w:docGrid w:type="lines" w:linePitch="381" w:charSpace="704"/>
        </w:sectPr>
      </w:pPr>
    </w:p>
    <w:p>
      <w:pPr>
        <w:widowControl/>
        <w:jc w:val="center"/>
        <w:outlineLvl w:val="0"/>
        <w:rPr>
          <w:rFonts w:hint="eastAsia" w:ascii="宋体" w:hAnsi="宋体" w:eastAsia="宋体" w:cs="宋体"/>
          <w:b/>
          <w:bCs/>
          <w:color w:val="auto"/>
          <w:sz w:val="32"/>
          <w:szCs w:val="32"/>
          <w:highlight w:val="none"/>
        </w:rPr>
      </w:pPr>
      <w:bookmarkStart w:id="232" w:name="_Toc10827"/>
      <w:bookmarkStart w:id="233" w:name="_Toc12982"/>
      <w:r>
        <w:rPr>
          <w:rFonts w:hint="eastAsia" w:ascii="宋体" w:hAnsi="宋体" w:eastAsia="宋体" w:cs="宋体"/>
          <w:b/>
          <w:bCs/>
          <w:color w:val="auto"/>
          <w:sz w:val="32"/>
          <w:szCs w:val="32"/>
          <w:highlight w:val="none"/>
        </w:rPr>
        <w:t xml:space="preserve">第五部分  </w:t>
      </w:r>
      <w:r>
        <w:rPr>
          <w:rFonts w:hint="eastAsia" w:ascii="宋体" w:hAnsi="宋体" w:eastAsia="宋体" w:cs="宋体"/>
          <w:b/>
          <w:bCs/>
          <w:color w:val="auto"/>
          <w:sz w:val="32"/>
          <w:szCs w:val="32"/>
          <w:highlight w:val="none"/>
          <w:lang w:eastAsia="zh-CN"/>
        </w:rPr>
        <w:t>服务商</w:t>
      </w:r>
      <w:r>
        <w:rPr>
          <w:rFonts w:hint="eastAsia" w:ascii="宋体" w:hAnsi="宋体" w:eastAsia="宋体" w:cs="宋体"/>
          <w:b/>
          <w:bCs/>
          <w:color w:val="auto"/>
          <w:sz w:val="32"/>
          <w:szCs w:val="32"/>
          <w:highlight w:val="none"/>
        </w:rPr>
        <w:t>参加政府采购活动承诺书</w:t>
      </w:r>
      <w:bookmarkEnd w:id="232"/>
      <w:bookmarkEnd w:id="233"/>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未签署下列承诺书的，视为无效响应，其责任由</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自行承担。</w:t>
      </w:r>
    </w:p>
    <w:p>
      <w:pPr>
        <w:widowControl/>
        <w:spacing w:before="190" w:beforeLines="50"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（一）质量安全责任承诺书</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为保证本采购项目顺利进行，作为</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，现郑重承诺：</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1、我方投标产品的生产（包括设计、</w:t>
      </w:r>
      <w:r>
        <w:rPr>
          <w:rFonts w:hint="eastAsia" w:ascii="宋体" w:hAnsi="宋体" w:eastAsia="宋体" w:cs="宋体"/>
          <w:color w:val="auto"/>
          <w:sz w:val="28"/>
          <w:szCs w:val="28"/>
          <w:highlight w:val="none"/>
          <w:lang w:val="en-US" w:eastAsia="zh-CN"/>
        </w:rPr>
        <w:t>编制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出版</w:t>
      </w:r>
      <w:r>
        <w:rPr>
          <w:rFonts w:hint="eastAsia" w:ascii="宋体" w:hAnsi="宋体" w:eastAsia="宋体" w:cs="宋体"/>
          <w:color w:val="auto"/>
          <w:sz w:val="28"/>
          <w:szCs w:val="28"/>
          <w:highlight w:val="none"/>
        </w:rPr>
        <w:t>等）、投入使用的材料等均完全符合国家现行质量、安全、环保标准和要求。</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2、我方将严格按照国家现行服务标准及规范，在规定的时限内，保质、保量完成项目全部内容，并向采购人交付合格</w:t>
      </w:r>
      <w:r>
        <w:rPr>
          <w:rFonts w:hint="eastAsia" w:ascii="宋体" w:hAnsi="宋体" w:eastAsia="宋体" w:cs="宋体"/>
          <w:color w:val="auto"/>
          <w:sz w:val="28"/>
          <w:szCs w:val="28"/>
          <w:highlight w:val="none"/>
          <w:lang w:val="en-US" w:eastAsia="zh-CN"/>
        </w:rPr>
        <w:t>的服务</w:t>
      </w:r>
      <w:r>
        <w:rPr>
          <w:rFonts w:hint="eastAsia" w:ascii="宋体" w:hAnsi="宋体" w:eastAsia="宋体" w:cs="宋体"/>
          <w:color w:val="auto"/>
          <w:sz w:val="28"/>
          <w:szCs w:val="28"/>
          <w:highlight w:val="none"/>
        </w:rPr>
        <w:t>产品。</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3、对于因产品</w:t>
      </w:r>
      <w:r>
        <w:rPr>
          <w:rFonts w:hint="eastAsia" w:ascii="宋体" w:hAnsi="宋体" w:eastAsia="宋体" w:cs="宋体"/>
          <w:color w:val="auto"/>
          <w:sz w:val="28"/>
          <w:szCs w:val="28"/>
          <w:highlight w:val="none"/>
          <w:lang w:val="en-US" w:eastAsia="zh-CN"/>
        </w:rPr>
        <w:t>编制</w:t>
      </w:r>
      <w:r>
        <w:rPr>
          <w:rFonts w:hint="eastAsia" w:ascii="宋体" w:hAnsi="宋体" w:eastAsia="宋体" w:cs="宋体"/>
          <w:color w:val="auto"/>
          <w:sz w:val="28"/>
          <w:szCs w:val="28"/>
          <w:highlight w:val="none"/>
        </w:rPr>
        <w:t>质量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印刷、出版</w:t>
      </w:r>
      <w:r>
        <w:rPr>
          <w:rFonts w:hint="eastAsia" w:ascii="宋体" w:hAnsi="宋体" w:eastAsia="宋体" w:cs="宋体"/>
          <w:color w:val="auto"/>
          <w:sz w:val="28"/>
          <w:szCs w:val="28"/>
          <w:highlight w:val="none"/>
        </w:rPr>
        <w:t>等过程中产生的任何安全事故，我方承担全部责任。</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4、我方提供的服务符合现行的国家、行业、地区、企业标准及要求，标准不一致的，以更为严格的为准，我方对提供的服务的质量、安全、环保等承担全部责任。</w:t>
      </w:r>
    </w:p>
    <w:p>
      <w:pPr>
        <w:widowControl/>
        <w:spacing w:line="400" w:lineRule="exact"/>
        <w:ind w:firstLine="560" w:firstLineChars="200"/>
        <w:rPr>
          <w:rFonts w:hint="eastAsia" w:ascii="宋体" w:hAnsi="宋体" w:eastAsia="宋体" w:cs="宋体"/>
          <w:color w:val="auto"/>
          <w:sz w:val="28"/>
          <w:szCs w:val="28"/>
          <w:highlight w:val="none"/>
        </w:rPr>
      </w:pPr>
    </w:p>
    <w:p>
      <w:pPr>
        <w:pStyle w:val="111"/>
        <w:rPr>
          <w:rFonts w:hint="eastAsia" w:ascii="宋体" w:hAnsi="宋体" w:eastAsia="宋体" w:cs="宋体"/>
          <w:color w:val="auto"/>
          <w:highlight w:val="none"/>
        </w:rPr>
      </w:pP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pPr>
        <w:widowControl/>
        <w:spacing w:line="400" w:lineRule="exact"/>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11"/>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widowControl/>
        <w:spacing w:before="190" w:beforeLines="50"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（二）参加政府采购活动行为自律承诺书</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为响应党中央、国务院关于治理政府采购领域商业贿赂行为的号召，我公司在此庄严承诺：</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1、在参与政府采购活动中遵纪守法、诚信经营、公平竞标。</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2、不向政府采购人、采购代理机构和政府采购评审专家进行任何形式的商业贿赂以谋取交易机会。</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3、不向政府采购代理机构和采购人提供虚假资质文件或采用虚假应标方式参与政府采购市场竞争并谋取中标、成交。</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4、不采取“围标、陪标”等商业欺诈手段获得政府采购定单。</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5、不采取不正当手段诋毁、排挤其他</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6、不在提供商品和服务时“偷梁换柱、以次充好”损害采购人的合法权益。</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7、不与采购人、采购代理机构政府采购评审专家或其它</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恶意串通，进行质疑和投诉，维护政府采购市场秩序。</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8、尊重和接受政府采购监督管理部门的监督和政府采购代理机构招标采购要求，承担因违约行为给采购人造成的损失。</w:t>
      </w: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9、不发生其他有悖于政府采购公开、公平、公正和诚信原则的行为。</w:t>
      </w:r>
    </w:p>
    <w:p>
      <w:pPr>
        <w:widowControl/>
        <w:spacing w:line="400" w:lineRule="exact"/>
        <w:rPr>
          <w:rFonts w:hint="eastAsia" w:ascii="宋体" w:hAnsi="宋体" w:eastAsia="宋体" w:cs="宋体"/>
          <w:color w:val="auto"/>
          <w:sz w:val="28"/>
          <w:szCs w:val="28"/>
          <w:highlight w:val="none"/>
        </w:rPr>
      </w:pPr>
    </w:p>
    <w:p>
      <w:pPr>
        <w:widowControl/>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spacing w:line="400" w:lineRule="exact"/>
        <w:ind w:firstLine="560" w:firstLineChars="200"/>
        <w:rPr>
          <w:rFonts w:hint="eastAsia" w:ascii="宋体" w:hAnsi="宋体" w:eastAsia="宋体" w:cs="宋体"/>
          <w:color w:val="auto"/>
          <w:sz w:val="28"/>
          <w:szCs w:val="28"/>
          <w:highlight w:val="none"/>
        </w:rPr>
        <w:sectPr>
          <w:pgSz w:w="11906" w:h="16838"/>
          <w:pgMar w:top="1417" w:right="1417" w:bottom="1417" w:left="1417" w:header="850" w:footer="992" w:gutter="0"/>
          <w:pgNumType w:fmt="decimal"/>
          <w:cols w:space="720" w:num="1"/>
          <w:docGrid w:type="lines" w:linePitch="381" w:charSpace="704"/>
        </w:sectPr>
      </w:pPr>
      <w:r>
        <w:rPr>
          <w:rFonts w:hint="eastAsia" w:ascii="宋体" w:hAnsi="宋体" w:eastAsia="宋体" w:cs="宋体"/>
          <w:color w:val="auto"/>
          <w:sz w:val="28"/>
          <w:szCs w:val="28"/>
          <w:highlight w:val="none"/>
        </w:rPr>
        <w:t>日　期：　　年　月　日</w:t>
      </w:r>
    </w:p>
    <w:p>
      <w:pPr>
        <w:widowControl/>
        <w:jc w:val="center"/>
        <w:outlineLvl w:val="0"/>
        <w:rPr>
          <w:rFonts w:hint="eastAsia" w:ascii="宋体" w:hAnsi="宋体" w:eastAsia="宋体" w:cs="宋体"/>
          <w:b/>
          <w:bCs/>
          <w:color w:val="auto"/>
          <w:sz w:val="32"/>
          <w:szCs w:val="32"/>
          <w:highlight w:val="none"/>
        </w:rPr>
      </w:pPr>
      <w:bookmarkStart w:id="234" w:name="_Toc6327"/>
      <w:bookmarkStart w:id="235" w:name="_Toc9476"/>
      <w:r>
        <w:rPr>
          <w:rFonts w:hint="eastAsia" w:ascii="宋体" w:hAnsi="宋体" w:eastAsia="宋体" w:cs="宋体"/>
          <w:b/>
          <w:bCs/>
          <w:color w:val="auto"/>
          <w:sz w:val="32"/>
          <w:szCs w:val="32"/>
          <w:highlight w:val="none"/>
        </w:rPr>
        <w:t>第六部分  响应方案</w:t>
      </w:r>
      <w:bookmarkEnd w:id="234"/>
      <w:bookmarkEnd w:id="235"/>
    </w:p>
    <w:p>
      <w:pPr>
        <w:widowControl/>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服务商</w:t>
      </w:r>
      <w:r>
        <w:rPr>
          <w:rFonts w:hint="eastAsia" w:ascii="宋体" w:hAnsi="宋体" w:eastAsia="宋体" w:cs="宋体"/>
          <w:b/>
          <w:color w:val="auto"/>
          <w:sz w:val="28"/>
          <w:szCs w:val="28"/>
          <w:highlight w:val="none"/>
        </w:rPr>
        <w:t>可结合第三章《</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内容及要求》相关要求</w:t>
      </w:r>
      <w:r>
        <w:rPr>
          <w:rFonts w:hint="eastAsia" w:ascii="宋体" w:hAnsi="宋体" w:eastAsia="宋体" w:cs="宋体"/>
          <w:b/>
          <w:color w:val="auto"/>
          <w:sz w:val="28"/>
          <w:szCs w:val="28"/>
          <w:highlight w:val="none"/>
          <w:lang w:val="en-US" w:eastAsia="zh-CN"/>
        </w:rPr>
        <w:t>等自行</w:t>
      </w:r>
      <w:r>
        <w:rPr>
          <w:rFonts w:hint="eastAsia" w:ascii="宋体" w:hAnsi="宋体" w:eastAsia="宋体" w:cs="宋体"/>
          <w:b/>
          <w:color w:val="auto"/>
          <w:sz w:val="28"/>
          <w:szCs w:val="28"/>
          <w:highlight w:val="none"/>
        </w:rPr>
        <w:t>编制响应方案</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格式自定</w:t>
      </w:r>
      <w:r>
        <w:rPr>
          <w:rFonts w:hint="eastAsia" w:ascii="宋体" w:hAnsi="宋体" w:eastAsia="宋体" w:cs="宋体"/>
          <w:b/>
          <w:color w:val="auto"/>
          <w:sz w:val="28"/>
          <w:szCs w:val="28"/>
          <w:highlight w:val="none"/>
        </w:rPr>
        <w:t>。</w:t>
      </w: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pStyle w:val="111"/>
        <w:rPr>
          <w:rFonts w:hint="eastAsia" w:ascii="宋体" w:hAnsi="宋体" w:eastAsia="宋体" w:cs="宋体"/>
          <w:color w:val="auto"/>
          <w:highlight w:val="none"/>
        </w:rPr>
      </w:pPr>
    </w:p>
    <w:p>
      <w:pPr>
        <w:pStyle w:val="31"/>
        <w:rPr>
          <w:rFonts w:hint="eastAsia" w:ascii="宋体" w:hAnsi="宋体" w:eastAsia="宋体" w:cs="宋体"/>
          <w:color w:val="auto"/>
          <w:sz w:val="28"/>
          <w:szCs w:val="28"/>
          <w:highlight w:val="none"/>
        </w:rPr>
      </w:pPr>
    </w:p>
    <w:p>
      <w:pPr>
        <w:widowControl/>
        <w:spacing w:after="190" w:afterLines="50"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、商务条款响应说明</w:t>
      </w:r>
    </w:p>
    <w:p>
      <w:pPr>
        <w:widowControl/>
        <w:spacing w:after="190" w:afterLines="50" w:line="400" w:lineRule="exact"/>
        <w:rPr>
          <w:rFonts w:hint="eastAsia" w:ascii="宋体" w:hAnsi="宋体" w:eastAsia="宋体" w:cs="宋体"/>
          <w:b/>
          <w:color w:val="auto"/>
          <w:sz w:val="28"/>
          <w:szCs w:val="28"/>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firstLine="141"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谈判文件</w:t>
            </w:r>
            <w:r>
              <w:rPr>
                <w:rFonts w:hint="eastAsia" w:ascii="宋体" w:hAnsi="宋体" w:eastAsia="宋体" w:cs="宋体"/>
                <w:color w:val="auto"/>
                <w:sz w:val="28"/>
                <w:szCs w:val="28"/>
                <w:highlight w:val="none"/>
              </w:rPr>
              <w:t>要求</w:t>
            </w:r>
          </w:p>
        </w:tc>
        <w:tc>
          <w:tcPr>
            <w:tcW w:w="3015" w:type="dxa"/>
            <w:noWrap w:val="0"/>
            <w:vAlign w:val="center"/>
          </w:tcPr>
          <w:p>
            <w:pPr>
              <w:keepNext w:val="0"/>
              <w:keepLines w:val="0"/>
              <w:suppressLineNumbers w:val="0"/>
              <w:spacing w:before="0" w:beforeAutospacing="0" w:after="0" w:afterAutospacing="0" w:line="560" w:lineRule="exact"/>
              <w:ind w:left="0" w:right="-170" w:rightChars="-80" w:firstLine="424"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谈判响应</w:t>
            </w:r>
          </w:p>
        </w:tc>
        <w:tc>
          <w:tcPr>
            <w:tcW w:w="1881" w:type="dxa"/>
            <w:noWrap w:val="0"/>
            <w:vAlign w:val="center"/>
          </w:tcPr>
          <w:p>
            <w:pPr>
              <w:keepNext w:val="0"/>
              <w:keepLines w:val="0"/>
              <w:suppressLineNumbers w:val="0"/>
              <w:spacing w:before="0" w:beforeAutospacing="0" w:after="0" w:afterAutospacing="0" w:line="560" w:lineRule="exact"/>
              <w:ind w:left="0" w:right="-170" w:rightChars="-80" w:firstLine="424"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45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3015"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c>
          <w:tcPr>
            <w:tcW w:w="1881" w:type="dxa"/>
            <w:noWrap w:val="0"/>
            <w:vAlign w:val="center"/>
          </w:tcPr>
          <w:p>
            <w:pPr>
              <w:keepNext w:val="0"/>
              <w:keepLines w:val="0"/>
              <w:suppressLineNumbers w:val="0"/>
              <w:spacing w:before="0" w:beforeAutospacing="0" w:after="0" w:afterAutospacing="0" w:line="560" w:lineRule="exact"/>
              <w:ind w:left="0" w:right="-170" w:rightChars="-80"/>
              <w:jc w:val="center"/>
              <w:rPr>
                <w:rFonts w:hint="eastAsia" w:ascii="宋体" w:hAnsi="宋体" w:eastAsia="宋体" w:cs="宋体"/>
                <w:color w:val="auto"/>
                <w:sz w:val="28"/>
                <w:szCs w:val="28"/>
                <w:highlight w:val="none"/>
              </w:rPr>
            </w:pPr>
          </w:p>
        </w:tc>
      </w:tr>
    </w:tbl>
    <w:p>
      <w:pPr>
        <w:autoSpaceDE w:val="0"/>
        <w:autoSpaceDN w:val="0"/>
        <w:adjustRightIn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pPr>
        <w:autoSpaceDE w:val="0"/>
        <w:autoSpaceDN w:val="0"/>
        <w:adjustRightInd w:val="0"/>
        <w:spacing w:line="360" w:lineRule="auto"/>
        <w:ind w:firstLine="500" w:firstLineChars="177"/>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1、按照</w:t>
      </w:r>
      <w:r>
        <w:rPr>
          <w:rFonts w:hint="eastAsia" w:ascii="宋体" w:hAnsi="宋体" w:eastAsia="宋体" w:cs="宋体"/>
          <w:color w:val="auto"/>
          <w:sz w:val="28"/>
          <w:szCs w:val="28"/>
          <w:highlight w:val="none"/>
          <w:lang w:val="en-US" w:eastAsia="zh-CN"/>
        </w:rPr>
        <w:t>服务商</w:t>
      </w:r>
      <w:r>
        <w:rPr>
          <w:rFonts w:hint="eastAsia" w:ascii="宋体" w:hAnsi="宋体" w:eastAsia="宋体" w:cs="宋体"/>
          <w:color w:val="auto"/>
          <w:sz w:val="28"/>
          <w:szCs w:val="28"/>
          <w:highlight w:val="none"/>
        </w:rPr>
        <w:t>须知前附表商务条款须如实填写（包括</w:t>
      </w:r>
      <w:r>
        <w:rPr>
          <w:rFonts w:hint="eastAsia" w:ascii="宋体" w:hAnsi="宋体" w:eastAsia="宋体" w:cs="宋体"/>
          <w:color w:val="auto"/>
          <w:sz w:val="28"/>
          <w:szCs w:val="28"/>
          <w:highlight w:val="none"/>
          <w:lang w:val="en-US" w:eastAsia="zh-CN"/>
        </w:rPr>
        <w:t>服务期</w:t>
      </w: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lang w:val="en-US" w:eastAsia="zh-CN"/>
        </w:rPr>
        <w:t>付款</w:t>
      </w:r>
      <w:r>
        <w:rPr>
          <w:rFonts w:hint="eastAsia" w:ascii="宋体" w:hAnsi="宋体" w:eastAsia="宋体" w:cs="宋体"/>
          <w:color w:val="auto"/>
          <w:sz w:val="28"/>
          <w:szCs w:val="28"/>
          <w:highlight w:val="none"/>
        </w:rPr>
        <w:t>方式等）。</w:t>
      </w:r>
    </w:p>
    <w:p>
      <w:pPr>
        <w:autoSpaceDE w:val="0"/>
        <w:autoSpaceDN w:val="0"/>
        <w:adjustRightInd w:val="0"/>
        <w:spacing w:line="360" w:lineRule="auto"/>
        <w:ind w:firstLine="56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2、响应说明填写：优于、相同、低于。</w:t>
      </w:r>
    </w:p>
    <w:p>
      <w:pPr>
        <w:widowControl/>
        <w:tabs>
          <w:tab w:val="right" w:pos="9070"/>
        </w:tabs>
        <w:spacing w:line="440" w:lineRule="exact"/>
        <w:rPr>
          <w:rFonts w:hint="eastAsia" w:ascii="宋体" w:hAnsi="宋体" w:eastAsia="宋体" w:cs="宋体"/>
          <w:color w:val="auto"/>
          <w:sz w:val="28"/>
          <w:szCs w:val="28"/>
          <w:highlight w:val="none"/>
        </w:rPr>
      </w:pPr>
    </w:p>
    <w:p>
      <w:pPr>
        <w:widowControl/>
        <w:tabs>
          <w:tab w:val="right" w:pos="9070"/>
        </w:tabs>
        <w:spacing w:line="440" w:lineRule="exac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pPr>
        <w:widowControl/>
        <w:spacing w:after="190" w:afterLines="50" w:line="400" w:lineRule="exact"/>
        <w:rPr>
          <w:rFonts w:hint="eastAsia" w:ascii="宋体" w:hAnsi="宋体" w:eastAsia="宋体" w:cs="宋体"/>
          <w:b/>
          <w:color w:val="auto"/>
          <w:sz w:val="28"/>
          <w:szCs w:val="28"/>
          <w:highlight w:val="none"/>
        </w:rPr>
      </w:pPr>
    </w:p>
    <w:p>
      <w:pPr>
        <w:pStyle w:val="12"/>
        <w:rPr>
          <w:rFonts w:hint="eastAsia" w:ascii="宋体" w:hAnsi="宋体" w:eastAsia="宋体" w:cs="宋体"/>
          <w:b/>
          <w:color w:val="auto"/>
          <w:sz w:val="28"/>
          <w:szCs w:val="28"/>
          <w:highlight w:val="none"/>
        </w:rPr>
      </w:pPr>
    </w:p>
    <w:p>
      <w:pPr>
        <w:widowControl/>
        <w:spacing w:after="190" w:afterLines="50" w:line="40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、技术/服务偏差表</w:t>
      </w:r>
    </w:p>
    <w:p>
      <w:pPr>
        <w:kinsoku w:val="0"/>
        <w:spacing w:line="500" w:lineRule="exact"/>
        <w:ind w:firstLine="141" w:firstLineChars="50"/>
        <w:rPr>
          <w:rFonts w:hint="eastAsia" w:ascii="宋体" w:hAnsi="宋体" w:eastAsia="宋体" w:cs="宋体"/>
          <w:color w:val="auto"/>
          <w:sz w:val="28"/>
          <w:szCs w:val="28"/>
          <w:highlight w:val="none"/>
        </w:rPr>
      </w:pPr>
    </w:p>
    <w:tbl>
      <w:tblPr>
        <w:tblStyle w:val="33"/>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76"/>
        <w:gridCol w:w="3282"/>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7" w:type="dxa"/>
            <w:noWrap w:val="0"/>
            <w:vAlign w:val="center"/>
          </w:tcPr>
          <w:p>
            <w:pPr>
              <w:pStyle w:val="16"/>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2576" w:type="dxa"/>
            <w:noWrap w:val="0"/>
            <w:vAlign w:val="center"/>
          </w:tcPr>
          <w:p>
            <w:pPr>
              <w:pStyle w:val="16"/>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采 购</w:t>
            </w:r>
            <w:r>
              <w:rPr>
                <w:rFonts w:hint="eastAsia" w:ascii="宋体" w:hAnsi="宋体" w:eastAsia="宋体" w:cs="宋体"/>
                <w:color w:val="auto"/>
                <w:sz w:val="28"/>
                <w:szCs w:val="28"/>
                <w:highlight w:val="none"/>
              </w:rPr>
              <w:t>要 求</w:t>
            </w:r>
          </w:p>
        </w:tc>
        <w:tc>
          <w:tcPr>
            <w:tcW w:w="3282" w:type="dxa"/>
            <w:noWrap w:val="0"/>
            <w:vAlign w:val="center"/>
          </w:tcPr>
          <w:p>
            <w:pPr>
              <w:pStyle w:val="16"/>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谈判</w:t>
            </w:r>
            <w:r>
              <w:rPr>
                <w:rFonts w:hint="eastAsia" w:ascii="宋体" w:hAnsi="宋体" w:eastAsia="宋体" w:cs="宋体"/>
                <w:color w:val="auto"/>
                <w:sz w:val="28"/>
                <w:szCs w:val="28"/>
                <w:highlight w:val="none"/>
              </w:rPr>
              <w:t>响应</w:t>
            </w:r>
          </w:p>
        </w:tc>
        <w:tc>
          <w:tcPr>
            <w:tcW w:w="2450" w:type="dxa"/>
            <w:noWrap w:val="0"/>
            <w:vAlign w:val="center"/>
          </w:tcPr>
          <w:p>
            <w:pPr>
              <w:pStyle w:val="16"/>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center"/>
          </w:tcPr>
          <w:p>
            <w:pPr>
              <w:pStyle w:val="16"/>
              <w:spacing w:line="600" w:lineRule="exact"/>
              <w:rPr>
                <w:rFonts w:hint="eastAsia" w:ascii="宋体" w:hAnsi="宋体" w:eastAsia="宋体" w:cs="宋体"/>
                <w:color w:val="auto"/>
                <w:sz w:val="28"/>
                <w:szCs w:val="28"/>
                <w:highlight w:val="none"/>
              </w:rPr>
            </w:pPr>
          </w:p>
        </w:tc>
        <w:tc>
          <w:tcPr>
            <w:tcW w:w="3282" w:type="dxa"/>
            <w:noWrap w:val="0"/>
            <w:vAlign w:val="center"/>
          </w:tcPr>
          <w:p>
            <w:pPr>
              <w:pStyle w:val="16"/>
              <w:spacing w:line="600" w:lineRule="exact"/>
              <w:rPr>
                <w:rFonts w:hint="eastAsia" w:ascii="宋体" w:hAnsi="宋体" w:eastAsia="宋体" w:cs="宋体"/>
                <w:color w:val="auto"/>
                <w:sz w:val="28"/>
                <w:szCs w:val="28"/>
                <w:highlight w:val="none"/>
              </w:rPr>
            </w:pPr>
          </w:p>
        </w:tc>
        <w:tc>
          <w:tcPr>
            <w:tcW w:w="2450" w:type="dxa"/>
            <w:noWrap w:val="0"/>
            <w:vAlign w:val="center"/>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noWrap w:val="0"/>
            <w:vAlign w:val="top"/>
          </w:tcPr>
          <w:p>
            <w:pPr>
              <w:pStyle w:val="16"/>
              <w:spacing w:line="600" w:lineRule="exact"/>
              <w:rPr>
                <w:rFonts w:hint="eastAsia" w:ascii="宋体" w:hAnsi="宋体" w:eastAsia="宋体" w:cs="宋体"/>
                <w:color w:val="auto"/>
                <w:sz w:val="28"/>
                <w:szCs w:val="28"/>
                <w:highlight w:val="none"/>
              </w:rPr>
            </w:pPr>
          </w:p>
        </w:tc>
        <w:tc>
          <w:tcPr>
            <w:tcW w:w="2576" w:type="dxa"/>
            <w:noWrap w:val="0"/>
            <w:vAlign w:val="top"/>
          </w:tcPr>
          <w:p>
            <w:pPr>
              <w:pStyle w:val="16"/>
              <w:spacing w:line="600" w:lineRule="exact"/>
              <w:rPr>
                <w:rFonts w:hint="eastAsia" w:ascii="宋体" w:hAnsi="宋体" w:eastAsia="宋体" w:cs="宋体"/>
                <w:color w:val="auto"/>
                <w:sz w:val="28"/>
                <w:szCs w:val="28"/>
                <w:highlight w:val="none"/>
              </w:rPr>
            </w:pPr>
          </w:p>
        </w:tc>
        <w:tc>
          <w:tcPr>
            <w:tcW w:w="3282" w:type="dxa"/>
            <w:noWrap w:val="0"/>
            <w:vAlign w:val="top"/>
          </w:tcPr>
          <w:p>
            <w:pPr>
              <w:pStyle w:val="16"/>
              <w:spacing w:line="600" w:lineRule="exact"/>
              <w:rPr>
                <w:rFonts w:hint="eastAsia" w:ascii="宋体" w:hAnsi="宋体" w:eastAsia="宋体" w:cs="宋体"/>
                <w:color w:val="auto"/>
                <w:sz w:val="28"/>
                <w:szCs w:val="28"/>
                <w:highlight w:val="none"/>
              </w:rPr>
            </w:pPr>
          </w:p>
        </w:tc>
        <w:tc>
          <w:tcPr>
            <w:tcW w:w="2450" w:type="dxa"/>
            <w:noWrap w:val="0"/>
            <w:vAlign w:val="top"/>
          </w:tcPr>
          <w:p>
            <w:pPr>
              <w:pStyle w:val="16"/>
              <w:spacing w:line="600" w:lineRule="exact"/>
              <w:rPr>
                <w:rFonts w:hint="eastAsia" w:ascii="宋体" w:hAnsi="宋体" w:eastAsia="宋体" w:cs="宋体"/>
                <w:color w:val="auto"/>
                <w:sz w:val="28"/>
                <w:szCs w:val="28"/>
                <w:highlight w:val="none"/>
              </w:rPr>
            </w:pPr>
          </w:p>
        </w:tc>
      </w:tr>
    </w:tbl>
    <w:p>
      <w:pPr>
        <w:pStyle w:val="1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pPr>
        <w:autoSpaceDE w:val="0"/>
        <w:autoSpaceDN w:val="0"/>
        <w:adjustRightInd w:val="0"/>
        <w:spacing w:line="360" w:lineRule="auto"/>
        <w:ind w:firstLine="56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请按项目实际情况，对应</w:t>
      </w:r>
      <w:r>
        <w:rPr>
          <w:rFonts w:hint="eastAsia" w:ascii="宋体" w:hAnsi="宋体" w:eastAsia="宋体" w:cs="宋体"/>
          <w:color w:val="auto"/>
          <w:sz w:val="28"/>
          <w:szCs w:val="28"/>
          <w:highlight w:val="none"/>
          <w:lang w:val="en-US" w:eastAsia="zh-CN"/>
        </w:rPr>
        <w:t>谈判文件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内容及</w:t>
      </w:r>
      <w:r>
        <w:rPr>
          <w:rFonts w:hint="eastAsia" w:ascii="宋体" w:hAnsi="宋体" w:eastAsia="宋体" w:cs="宋体"/>
          <w:color w:val="auto"/>
          <w:sz w:val="28"/>
          <w:szCs w:val="28"/>
          <w:highlight w:val="none"/>
          <w:lang w:val="en-US" w:eastAsia="zh-CN"/>
        </w:rPr>
        <w:t>要求</w:t>
      </w:r>
      <w:r>
        <w:rPr>
          <w:rFonts w:hint="eastAsia" w:ascii="宋体" w:hAnsi="宋体" w:eastAsia="宋体" w:cs="宋体"/>
          <w:color w:val="auto"/>
          <w:sz w:val="28"/>
          <w:szCs w:val="28"/>
          <w:highlight w:val="none"/>
        </w:rPr>
        <w:t>”，认真</w:t>
      </w:r>
      <w:r>
        <w:rPr>
          <w:rFonts w:hint="eastAsia" w:ascii="宋体" w:hAnsi="宋体" w:eastAsia="宋体" w:cs="宋体"/>
          <w:color w:val="auto"/>
          <w:sz w:val="28"/>
          <w:szCs w:val="28"/>
          <w:highlight w:val="none"/>
          <w:lang w:val="en-US" w:eastAsia="zh-CN"/>
        </w:rPr>
        <w:t>逐条</w:t>
      </w:r>
      <w:r>
        <w:rPr>
          <w:rFonts w:hint="eastAsia" w:ascii="宋体" w:hAnsi="宋体" w:eastAsia="宋体" w:cs="宋体"/>
          <w:color w:val="auto"/>
          <w:sz w:val="28"/>
          <w:szCs w:val="28"/>
          <w:highlight w:val="none"/>
        </w:rPr>
        <w:t>填写本表。偏离情况填写：优于</w:t>
      </w:r>
      <w:r>
        <w:rPr>
          <w:rFonts w:hint="eastAsia" w:ascii="宋体" w:hAnsi="宋体" w:eastAsia="宋体" w:cs="宋体"/>
          <w:color w:val="auto"/>
          <w:sz w:val="28"/>
          <w:szCs w:val="28"/>
          <w:highlight w:val="none"/>
          <w:lang w:val="en-US" w:eastAsia="zh-CN"/>
        </w:rPr>
        <w:t>或等于</w:t>
      </w:r>
      <w:r>
        <w:rPr>
          <w:rFonts w:hint="eastAsia" w:ascii="宋体" w:hAnsi="宋体" w:eastAsia="宋体" w:cs="宋体"/>
          <w:color w:val="auto"/>
          <w:sz w:val="28"/>
          <w:szCs w:val="28"/>
          <w:highlight w:val="none"/>
        </w:rPr>
        <w:t>或低于。</w:t>
      </w: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widowControl/>
        <w:tabs>
          <w:tab w:val="right" w:pos="9070"/>
        </w:tabs>
        <w:spacing w:line="440" w:lineRule="exac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服务商</w:t>
      </w:r>
      <w:r>
        <w:rPr>
          <w:rFonts w:hint="eastAsia" w:ascii="宋体" w:hAnsi="宋体" w:eastAsia="宋体" w:cs="宋体"/>
          <w:color w:val="auto"/>
          <w:sz w:val="28"/>
          <w:szCs w:val="28"/>
          <w:highlight w:val="none"/>
        </w:rPr>
        <w:t>全称并加盖公章）</w:t>
      </w:r>
    </w:p>
    <w:p>
      <w:pPr>
        <w:widowControl/>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2"/>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widowControl/>
        <w:spacing w:line="40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服务商</w:t>
      </w:r>
      <w:r>
        <w:rPr>
          <w:rFonts w:hint="eastAsia" w:ascii="宋体" w:hAnsi="宋体" w:eastAsia="宋体" w:cs="宋体"/>
          <w:b/>
          <w:color w:val="auto"/>
          <w:sz w:val="28"/>
          <w:szCs w:val="28"/>
          <w:highlight w:val="none"/>
        </w:rPr>
        <w:t>认为有利于本次</w:t>
      </w:r>
      <w:r>
        <w:rPr>
          <w:rFonts w:hint="eastAsia" w:ascii="宋体" w:hAnsi="宋体" w:eastAsia="宋体" w:cs="宋体"/>
          <w:b/>
          <w:color w:val="auto"/>
          <w:sz w:val="28"/>
          <w:szCs w:val="28"/>
          <w:highlight w:val="none"/>
          <w:lang w:eastAsia="zh-CN"/>
        </w:rPr>
        <w:t>谈判</w:t>
      </w:r>
      <w:r>
        <w:rPr>
          <w:rFonts w:hint="eastAsia" w:ascii="宋体" w:hAnsi="宋体" w:eastAsia="宋体" w:cs="宋体"/>
          <w:b/>
          <w:color w:val="auto"/>
          <w:sz w:val="28"/>
          <w:szCs w:val="28"/>
          <w:highlight w:val="none"/>
        </w:rPr>
        <w:t>的其他情况说明。</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bidi w:val="0"/>
        <w:rPr>
          <w:rFonts w:hint="eastAsia" w:ascii="宋体" w:hAnsi="宋体" w:eastAsia="宋体" w:cs="宋体"/>
          <w:color w:val="auto"/>
          <w:kern w:val="2"/>
          <w:sz w:val="21"/>
          <w:szCs w:val="24"/>
          <w:highlight w:val="none"/>
          <w:lang w:val="en-US" w:eastAsia="zh-CN" w:bidi="ar-SA"/>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rPr>
          <w:rFonts w:hint="eastAsia" w:ascii="宋体" w:hAnsi="宋体" w:eastAsia="宋体" w:cs="宋体"/>
          <w:color w:val="auto"/>
        </w:rPr>
      </w:pPr>
    </w:p>
    <w:sectPr>
      <w:headerReference r:id="rId25" w:type="default"/>
      <w:footerReference r:id="rId26" w:type="default"/>
      <w:pgSz w:w="11906" w:h="16838"/>
      <w:pgMar w:top="1417" w:right="1418" w:bottom="1417" w:left="1418" w:header="851" w:footer="794" w:gutter="0"/>
      <w:pgNumType w:fmt="decimal"/>
      <w:cols w:space="425" w:num="1"/>
      <w:docGrid w:type="linesAndChar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rPr>
        <w:rFonts w:hint="eastAsia" w:ascii="宋体" w:hAnsi="宋体" w:eastAsia="宋体"/>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rPr>
        <w:rFonts w:ascii="宋体" w:hAnsi="宋体" w:eastAsia="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ind w:right="-2"/>
      <w:rPr>
        <w:rFonts w:hint="eastAsia" w:ascii="宋体" w:hAnsi="宋体" w:eastAsia="宋体"/>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rPr>
        <w:rFonts w:ascii="宋体" w:hAnsi="宋体" w:eastAsia="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0"/>
        <w:tab w:val="clear" w:pos="4153"/>
        <w:tab w:val="clear" w:pos="8306"/>
      </w:tabs>
    </w:pPr>
    <w:r>
      <w:rPr>
        <w:rFonts w:hint="eastAsia" w:ascii="宋体" w:hAnsi="宋体" w:eastAsia="宋体"/>
        <w:lang w:eastAsia="zh-CN"/>
      </w:rPr>
      <w:t>陕西新胜项目管理有限公司</w:t>
    </w:r>
    <w:r>
      <w:rPr>
        <w:rFonts w:ascii="宋体" w:hAnsi="宋体" w:eastAsia="宋体"/>
      </w:rPr>
      <w:tab/>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hint="eastAsia" w:ascii="宋体" w:hAnsi="宋体" w:eastAsia="宋体"/>
      </w:rPr>
      <w:t>页</w:t>
    </w:r>
    <w:r>
      <w:rPr>
        <w:rFonts w:ascii="宋体" w:hAnsi="宋体" w:eastAsia="宋体"/>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20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rPr>
        <w:rFonts w:hint="eastAsia" w:ascii="宋体" w:hAnsi="宋体"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rPr>
        <w:rFonts w:hint="eastAsia" w:ascii="宋体" w:hAnsi="宋体"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5"/>
        <w:tab w:val="right" w:pos="9070"/>
        <w:tab w:val="clear" w:pos="4153"/>
        <w:tab w:val="clear" w:pos="8306"/>
      </w:tabs>
      <w:ind w:right="-2"/>
      <w:rPr>
        <w:rFonts w:hint="eastAsia" w:ascii="宋体" w:hAnsi="宋体"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5"/>
        <w:tab w:val="right" w:pos="9070"/>
        <w:tab w:val="clear" w:pos="4153"/>
        <w:tab w:val="clear" w:pos="8306"/>
      </w:tabs>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7088"/>
        <w:tab w:val="right" w:pos="14002"/>
        <w:tab w:val="clear" w:pos="4153"/>
        <w:tab w:val="clear" w:pos="8306"/>
      </w:tabs>
      <w:rPr>
        <w:rFonts w:ascii="宋体" w:hAnsi="宋体" w:eastAsia="宋体"/>
      </w:rPr>
    </w:pPr>
    <w:r>
      <w:rPr>
        <w:rFonts w:hint="eastAsia" w:ascii="宋体" w:hAnsi="宋体" w:eastAsia="宋体"/>
        <w:lang w:eastAsia="zh-CN"/>
      </w:rPr>
      <w:t>陕西新胜项目管理有限公司</w:t>
    </w:r>
    <w:r>
      <w:rPr>
        <w:rFonts w:ascii="宋体" w:hAnsi="宋体" w:eastAsia="宋体"/>
      </w:rPr>
      <w:tab/>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hint="eastAsia" w:ascii="宋体" w:hAnsi="宋体" w:eastAsia="宋体"/>
      </w:rPr>
      <w:t>页</w:t>
    </w:r>
    <w:r>
      <w:rPr>
        <w:rFonts w:ascii="宋体" w:hAnsi="宋体" w:eastAsia="宋体"/>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enter" w:pos="4536"/>
        <w:tab w:val="right" w:pos="9072"/>
        <w:tab w:val="clear" w:pos="4153"/>
        <w:tab w:val="clear" w:pos="8306"/>
      </w:tabs>
      <w:ind w:right="-2"/>
      <w:rPr>
        <w:rFonts w:hint="eastAsia" w:ascii="宋体" w:hAnsi="宋体"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pBdr>
        <w:bottom w:val="none" w:color="auto" w:sz="0" w:space="1"/>
      </w:pBdr>
      <w:tabs>
        <w:tab w:val="clear" w:pos="4153"/>
        <w:tab w:val="clear" w:pos="8306"/>
      </w:tabs>
      <w:jc w:val="right"/>
      <w:rPr>
        <w:rFonts w:hint="eastAsia" w:ascii="宋体" w:hAnsi="宋体"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77"/>
      <w:rPr>
        <w:rFonts w:ascii="宋体" w:hAnsi="宋体" w:eastAsia="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tabs>
        <w:tab w:val="clear" w:pos="4153"/>
        <w:tab w:val="clear" w:pos="8306"/>
      </w:tabs>
      <w:jc w:val="left"/>
      <w:rPr>
        <w:rFonts w:hint="eastAsia" w:ascii="宋体" w:hAnsi="宋体" w:eastAsia="宋体"/>
        <w:lang w:eastAsia="zh-CN"/>
      </w:rPr>
    </w:pPr>
    <w:r>
      <w:rPr>
        <w:rFonts w:hint="eastAsia" w:ascii="宋体" w:hAnsi="宋体" w:eastAsia="宋体"/>
        <w:lang w:eastAsia="zh-CN"/>
      </w:rPr>
      <w:t>神木市交通运输局神木市李家阴湾至花石崖公路改建工程（工可研）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jc w:val="right"/>
    </w:pPr>
    <w:r>
      <w:rPr>
        <w:rFonts w:hint="eastAsia" w:ascii="宋体" w:hAnsi="宋体" w:eastAsia="宋体"/>
      </w:rPr>
      <w:t>〈项目名称〉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tabs>
        <w:tab w:val="clear" w:pos="4153"/>
        <w:tab w:val="clear" w:pos="8306"/>
      </w:tabs>
      <w:jc w:val="right"/>
      <w:rPr>
        <w:rFonts w:hint="eastAsia" w:ascii="宋体" w:hAnsi="宋体" w:eastAsia="宋体"/>
        <w:lang w:eastAsia="zh-CN"/>
      </w:rPr>
    </w:pPr>
    <w:r>
      <w:rPr>
        <w:rFonts w:hint="eastAsia" w:ascii="宋体" w:hAnsi="宋体" w:eastAsia="宋体"/>
        <w:lang w:eastAsia="zh-CN"/>
      </w:rPr>
      <w:t>神木市交通运输局神木市李家阴湾至花石崖公路改建工程（工可研）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tabs>
        <w:tab w:val="clear" w:pos="4153"/>
        <w:tab w:val="clear" w:pos="8306"/>
      </w:tabs>
      <w:jc w:val="left"/>
      <w:rPr>
        <w:rFonts w:hint="eastAsia" w:ascii="宋体" w:hAnsi="宋体" w:eastAsia="宋体"/>
        <w:lang w:eastAsia="zh-CN"/>
      </w:rPr>
    </w:pPr>
    <w:r>
      <w:rPr>
        <w:rFonts w:hint="eastAsia" w:ascii="宋体" w:hAnsi="宋体" w:eastAsia="宋体"/>
        <w:lang w:eastAsia="zh-CN"/>
      </w:rPr>
      <w:t>神木市交通运输局神木市李家阴湾至花石崖公路改建工程（工可研）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pBdr>
        <w:bottom w:val="none" w:color="auto" w:sz="0" w:space="1"/>
      </w:pBdr>
      <w:tabs>
        <w:tab w:val="clear" w:pos="4153"/>
        <w:tab w:val="clear" w:pos="8306"/>
      </w:tabs>
      <w:jc w:val="right"/>
      <w:rPr>
        <w:rFonts w:hint="eastAsia" w:ascii="宋体" w:hAnsi="宋体"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tabs>
        <w:tab w:val="clear" w:pos="4153"/>
        <w:tab w:val="clear" w:pos="8306"/>
      </w:tabs>
      <w:jc w:val="left"/>
      <w:rPr>
        <w:rFonts w:hint="eastAsia" w:ascii="宋体" w:hAnsi="宋体" w:eastAsia="宋体"/>
        <w:lang w:eastAsia="zh-CN"/>
      </w:rPr>
    </w:pPr>
    <w:r>
      <w:rPr>
        <w:rFonts w:hint="eastAsia" w:ascii="宋体" w:hAnsi="宋体" w:eastAsia="宋体"/>
        <w:lang w:eastAsia="zh-CN"/>
      </w:rPr>
      <w:t>神木市交通运输局神木市李家阴湾至花石崖公路改建工程（工可研）</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tabs>
        <w:tab w:val="clear" w:pos="4153"/>
        <w:tab w:val="clear" w:pos="8306"/>
      </w:tabs>
      <w:jc w:val="left"/>
      <w:rPr>
        <w:rFonts w:hint="eastAsia" w:ascii="宋体" w:hAnsi="宋体" w:eastAsia="宋体"/>
        <w:lang w:eastAsia="zh-CN"/>
      </w:rPr>
    </w:pPr>
    <w:r>
      <w:rPr>
        <w:rFonts w:hint="eastAsia" w:ascii="宋体" w:hAnsi="宋体" w:eastAsia="宋体"/>
        <w:lang w:eastAsia="zh-CN"/>
      </w:rPr>
      <w:t>神木市交通运输局神木市李家阴湾至花石崖公路改建工程（工可研）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A1C2"/>
    <w:multiLevelType w:val="singleLevel"/>
    <w:tmpl w:val="9398A1C2"/>
    <w:lvl w:ilvl="0" w:tentative="0">
      <w:start w:val="1"/>
      <w:numFmt w:val="decimal"/>
      <w:suff w:val="nothing"/>
      <w:lvlText w:val="%1、"/>
      <w:lvlJc w:val="left"/>
    </w:lvl>
  </w:abstractNum>
  <w:abstractNum w:abstractNumId="1">
    <w:nsid w:val="BEC34BE1"/>
    <w:multiLevelType w:val="singleLevel"/>
    <w:tmpl w:val="BEC34BE1"/>
    <w:lvl w:ilvl="0" w:tentative="0">
      <w:start w:val="3"/>
      <w:numFmt w:val="chineseCounting"/>
      <w:suff w:val="nothing"/>
      <w:lvlText w:val="%1、"/>
      <w:lvlJc w:val="left"/>
      <w:rPr>
        <w:rFonts w:hint="eastAsia"/>
      </w:rPr>
    </w:lvl>
  </w:abstractNum>
  <w:abstractNum w:abstractNumId="2">
    <w:nsid w:val="116B3F6E"/>
    <w:multiLevelType w:val="singleLevel"/>
    <w:tmpl w:val="116B3F6E"/>
    <w:lvl w:ilvl="0" w:tentative="0">
      <w:start w:val="4"/>
      <w:numFmt w:val="chineseCounting"/>
      <w:suff w:val="space"/>
      <w:lvlText w:val="第%1章"/>
      <w:lvlJc w:val="left"/>
      <w:rPr>
        <w:rFonts w:hint="eastAsia"/>
      </w:rPr>
    </w:lvl>
  </w:abstractNum>
  <w:abstractNum w:abstractNumId="3">
    <w:nsid w:val="2F30CA1A"/>
    <w:multiLevelType w:val="singleLevel"/>
    <w:tmpl w:val="2F30CA1A"/>
    <w:lvl w:ilvl="0" w:tentative="0">
      <w:start w:val="2"/>
      <w:numFmt w:val="decimal"/>
      <w:suff w:val="nothing"/>
      <w:lvlText w:val="%1、"/>
      <w:lvlJc w:val="left"/>
    </w:lvl>
  </w:abstractNum>
  <w:abstractNum w:abstractNumId="4">
    <w:nsid w:val="74A4A1D1"/>
    <w:multiLevelType w:val="multilevel"/>
    <w:tmpl w:val="74A4A1D1"/>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ZTI3ZDhiMjI5YTk0ZDA3OWFiNTVkMzdiNWNkMGIifQ=="/>
  </w:docVars>
  <w:rsids>
    <w:rsidRoot w:val="56464949"/>
    <w:rsid w:val="02820350"/>
    <w:rsid w:val="03523D5B"/>
    <w:rsid w:val="03BF642A"/>
    <w:rsid w:val="03FB7E16"/>
    <w:rsid w:val="04763EE5"/>
    <w:rsid w:val="04814D63"/>
    <w:rsid w:val="04ED41A7"/>
    <w:rsid w:val="04F76DD4"/>
    <w:rsid w:val="052462CC"/>
    <w:rsid w:val="05404C1F"/>
    <w:rsid w:val="05793983"/>
    <w:rsid w:val="068055AE"/>
    <w:rsid w:val="06D118A6"/>
    <w:rsid w:val="06DA13CF"/>
    <w:rsid w:val="07366D61"/>
    <w:rsid w:val="07F1665D"/>
    <w:rsid w:val="08071A24"/>
    <w:rsid w:val="098F7F23"/>
    <w:rsid w:val="09AD03A9"/>
    <w:rsid w:val="0A1B17B6"/>
    <w:rsid w:val="0ACF3D15"/>
    <w:rsid w:val="0B2B66E4"/>
    <w:rsid w:val="0B9D4E95"/>
    <w:rsid w:val="0BD7795F"/>
    <w:rsid w:val="0C7E7DDA"/>
    <w:rsid w:val="0D1C655F"/>
    <w:rsid w:val="0D21359D"/>
    <w:rsid w:val="0DA970D9"/>
    <w:rsid w:val="0E100F06"/>
    <w:rsid w:val="0F1862C4"/>
    <w:rsid w:val="0F907CF2"/>
    <w:rsid w:val="102E3B76"/>
    <w:rsid w:val="10D26947"/>
    <w:rsid w:val="1181566E"/>
    <w:rsid w:val="11BD49AA"/>
    <w:rsid w:val="11C97D4A"/>
    <w:rsid w:val="12AE3985"/>
    <w:rsid w:val="13E42C19"/>
    <w:rsid w:val="147C10A3"/>
    <w:rsid w:val="14CF38C9"/>
    <w:rsid w:val="15622277"/>
    <w:rsid w:val="162722CE"/>
    <w:rsid w:val="16640041"/>
    <w:rsid w:val="16B759A2"/>
    <w:rsid w:val="16BC7E7D"/>
    <w:rsid w:val="17180B47"/>
    <w:rsid w:val="19467FA8"/>
    <w:rsid w:val="199B4F45"/>
    <w:rsid w:val="1AD42FE8"/>
    <w:rsid w:val="1C1A2AD1"/>
    <w:rsid w:val="1C493F61"/>
    <w:rsid w:val="1CBB311A"/>
    <w:rsid w:val="1F220A99"/>
    <w:rsid w:val="207D6B5E"/>
    <w:rsid w:val="217735C4"/>
    <w:rsid w:val="219A700D"/>
    <w:rsid w:val="222608A0"/>
    <w:rsid w:val="22F4719C"/>
    <w:rsid w:val="23360E9D"/>
    <w:rsid w:val="23B92987"/>
    <w:rsid w:val="24547947"/>
    <w:rsid w:val="249A2D2C"/>
    <w:rsid w:val="253C24DE"/>
    <w:rsid w:val="25512E06"/>
    <w:rsid w:val="260F5C20"/>
    <w:rsid w:val="26571970"/>
    <w:rsid w:val="26682A57"/>
    <w:rsid w:val="26977FBF"/>
    <w:rsid w:val="28F25980"/>
    <w:rsid w:val="290C778F"/>
    <w:rsid w:val="2953641F"/>
    <w:rsid w:val="29FB210E"/>
    <w:rsid w:val="2BBB474F"/>
    <w:rsid w:val="2BBD4024"/>
    <w:rsid w:val="2CD47877"/>
    <w:rsid w:val="2CEF46B1"/>
    <w:rsid w:val="2D393B7E"/>
    <w:rsid w:val="2DAB7EBB"/>
    <w:rsid w:val="2E5F7662"/>
    <w:rsid w:val="2E666C17"/>
    <w:rsid w:val="2E7D038C"/>
    <w:rsid w:val="2EB14DC2"/>
    <w:rsid w:val="2EDC0C65"/>
    <w:rsid w:val="2EF6195B"/>
    <w:rsid w:val="2F0A3A24"/>
    <w:rsid w:val="2F866E22"/>
    <w:rsid w:val="2FAF6A5A"/>
    <w:rsid w:val="302E54F0"/>
    <w:rsid w:val="30640F12"/>
    <w:rsid w:val="317038E6"/>
    <w:rsid w:val="31990762"/>
    <w:rsid w:val="31EF5153"/>
    <w:rsid w:val="322E7A29"/>
    <w:rsid w:val="3284589B"/>
    <w:rsid w:val="3344327C"/>
    <w:rsid w:val="33986B16"/>
    <w:rsid w:val="33E3199F"/>
    <w:rsid w:val="343B1D75"/>
    <w:rsid w:val="3474193F"/>
    <w:rsid w:val="35497A06"/>
    <w:rsid w:val="35FC399A"/>
    <w:rsid w:val="36D22A55"/>
    <w:rsid w:val="37070849"/>
    <w:rsid w:val="3862042D"/>
    <w:rsid w:val="387719FE"/>
    <w:rsid w:val="396957EB"/>
    <w:rsid w:val="39E17EB0"/>
    <w:rsid w:val="3A6A7A6C"/>
    <w:rsid w:val="3AA765CB"/>
    <w:rsid w:val="3C2E6878"/>
    <w:rsid w:val="3CE07B72"/>
    <w:rsid w:val="3D363C36"/>
    <w:rsid w:val="3D430983"/>
    <w:rsid w:val="3E5527E2"/>
    <w:rsid w:val="3E960155"/>
    <w:rsid w:val="400B3158"/>
    <w:rsid w:val="41F924D7"/>
    <w:rsid w:val="42AE28D8"/>
    <w:rsid w:val="43525542"/>
    <w:rsid w:val="43A833B4"/>
    <w:rsid w:val="43D4054A"/>
    <w:rsid w:val="44F7040D"/>
    <w:rsid w:val="45EE3170"/>
    <w:rsid w:val="46B502C1"/>
    <w:rsid w:val="46C81938"/>
    <w:rsid w:val="47C02A7A"/>
    <w:rsid w:val="47F84AEB"/>
    <w:rsid w:val="4819662E"/>
    <w:rsid w:val="483E6F78"/>
    <w:rsid w:val="48561630"/>
    <w:rsid w:val="48D04F3E"/>
    <w:rsid w:val="490E1F0B"/>
    <w:rsid w:val="491D1C29"/>
    <w:rsid w:val="49E30CA1"/>
    <w:rsid w:val="4A20136C"/>
    <w:rsid w:val="4A220DD7"/>
    <w:rsid w:val="4A2F09BA"/>
    <w:rsid w:val="4A327D7A"/>
    <w:rsid w:val="4A3B47D7"/>
    <w:rsid w:val="4A5C0E1D"/>
    <w:rsid w:val="4AA77F21"/>
    <w:rsid w:val="4B8A1D1C"/>
    <w:rsid w:val="4B8B7441"/>
    <w:rsid w:val="4C195387"/>
    <w:rsid w:val="4CB749BC"/>
    <w:rsid w:val="4CE70AA9"/>
    <w:rsid w:val="4D07739D"/>
    <w:rsid w:val="4D275349"/>
    <w:rsid w:val="4D467EC5"/>
    <w:rsid w:val="4D64659D"/>
    <w:rsid w:val="4E281379"/>
    <w:rsid w:val="4F807068"/>
    <w:rsid w:val="506F22DF"/>
    <w:rsid w:val="51024103"/>
    <w:rsid w:val="51711289"/>
    <w:rsid w:val="522D51B0"/>
    <w:rsid w:val="52D706BD"/>
    <w:rsid w:val="539A468B"/>
    <w:rsid w:val="53EC109A"/>
    <w:rsid w:val="541D74A6"/>
    <w:rsid w:val="547C41CC"/>
    <w:rsid w:val="548E5CAE"/>
    <w:rsid w:val="54CF07A0"/>
    <w:rsid w:val="550D12C8"/>
    <w:rsid w:val="55312EB5"/>
    <w:rsid w:val="56464949"/>
    <w:rsid w:val="56530F5D"/>
    <w:rsid w:val="5689574E"/>
    <w:rsid w:val="56DE7AF1"/>
    <w:rsid w:val="56E323E1"/>
    <w:rsid w:val="571B5F1F"/>
    <w:rsid w:val="572648C3"/>
    <w:rsid w:val="572A7F10"/>
    <w:rsid w:val="57442E69"/>
    <w:rsid w:val="57574A7D"/>
    <w:rsid w:val="57623B4D"/>
    <w:rsid w:val="58AA2A92"/>
    <w:rsid w:val="592D3CE7"/>
    <w:rsid w:val="5938086C"/>
    <w:rsid w:val="596E3BE7"/>
    <w:rsid w:val="59AB508B"/>
    <w:rsid w:val="5A7707FE"/>
    <w:rsid w:val="5ABB72A7"/>
    <w:rsid w:val="5AEB3E5A"/>
    <w:rsid w:val="5B1C06DB"/>
    <w:rsid w:val="5BA109BC"/>
    <w:rsid w:val="5BB46942"/>
    <w:rsid w:val="5C5679F9"/>
    <w:rsid w:val="5D4D2BAA"/>
    <w:rsid w:val="5EDB4BBF"/>
    <w:rsid w:val="5F134085"/>
    <w:rsid w:val="5F3F29C6"/>
    <w:rsid w:val="5F625052"/>
    <w:rsid w:val="5FA25E8E"/>
    <w:rsid w:val="60754DD6"/>
    <w:rsid w:val="60C33ECF"/>
    <w:rsid w:val="62C16809"/>
    <w:rsid w:val="631877B6"/>
    <w:rsid w:val="644D4674"/>
    <w:rsid w:val="645F4A7C"/>
    <w:rsid w:val="65181116"/>
    <w:rsid w:val="651D2E62"/>
    <w:rsid w:val="65436640"/>
    <w:rsid w:val="65674A25"/>
    <w:rsid w:val="661909BB"/>
    <w:rsid w:val="666420A8"/>
    <w:rsid w:val="67EC1211"/>
    <w:rsid w:val="68CF6B69"/>
    <w:rsid w:val="6A957618"/>
    <w:rsid w:val="6B64125D"/>
    <w:rsid w:val="6C0319ED"/>
    <w:rsid w:val="6C8372DC"/>
    <w:rsid w:val="6C90660F"/>
    <w:rsid w:val="6CB5632C"/>
    <w:rsid w:val="6D196605"/>
    <w:rsid w:val="6DBC66F8"/>
    <w:rsid w:val="6DF2033E"/>
    <w:rsid w:val="6F174DC6"/>
    <w:rsid w:val="6F5F6B2F"/>
    <w:rsid w:val="6FE64905"/>
    <w:rsid w:val="6FFD3FBC"/>
    <w:rsid w:val="710B1C85"/>
    <w:rsid w:val="71341C5F"/>
    <w:rsid w:val="71AE2862"/>
    <w:rsid w:val="720A29C0"/>
    <w:rsid w:val="72FF44EF"/>
    <w:rsid w:val="73D11901"/>
    <w:rsid w:val="74010D3B"/>
    <w:rsid w:val="750C4CA1"/>
    <w:rsid w:val="75361199"/>
    <w:rsid w:val="75F23E97"/>
    <w:rsid w:val="76127EB1"/>
    <w:rsid w:val="775419AB"/>
    <w:rsid w:val="790B0DB8"/>
    <w:rsid w:val="79224A93"/>
    <w:rsid w:val="79595B0A"/>
    <w:rsid w:val="79D02741"/>
    <w:rsid w:val="7A561CC5"/>
    <w:rsid w:val="7B8E4662"/>
    <w:rsid w:val="7DC26844"/>
    <w:rsid w:val="7DD547CA"/>
    <w:rsid w:val="7DD73A6B"/>
    <w:rsid w:val="7EBB39C0"/>
    <w:rsid w:val="7EC14D4E"/>
    <w:rsid w:val="7F2F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7"/>
    <w:qFormat/>
    <w:uiPriority w:val="0"/>
    <w:pPr>
      <w:keepNext/>
      <w:keepLines/>
      <w:widowControl/>
      <w:suppressLineNumbers w:val="0"/>
      <w:spacing w:before="0" w:beforeAutospacing="0" w:after="0" w:afterAutospacing="0" w:line="240" w:lineRule="auto"/>
      <w:ind w:left="0" w:right="0"/>
      <w:jc w:val="center"/>
      <w:outlineLvl w:val="0"/>
    </w:pPr>
    <w:rPr>
      <w:rFonts w:hint="default" w:ascii="Calibri Light" w:hAnsi="Calibri Light" w:eastAsia="仿宋" w:cs="Calibri Light"/>
      <w:b/>
      <w:color w:val="000000"/>
      <w:kern w:val="44"/>
      <w:sz w:val="36"/>
      <w:szCs w:val="44"/>
      <w:lang w:val="en-US" w:eastAsia="zh-CN" w:bidi="ar"/>
    </w:rPr>
  </w:style>
  <w:style w:type="paragraph" w:styleId="3">
    <w:name w:val="heading 2"/>
    <w:basedOn w:val="1"/>
    <w:next w:val="1"/>
    <w:link w:val="6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9"/>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64"/>
    <w:semiHidden/>
    <w:unhideWhenUsed/>
    <w:qFormat/>
    <w:uiPriority w:val="0"/>
    <w:pPr>
      <w:keepNext/>
      <w:keepLines/>
      <w:widowControl/>
      <w:suppressLineNumbers w:val="0"/>
      <w:spacing w:before="280" w:beforeAutospacing="0" w:after="290" w:afterAutospacing="0" w:line="376" w:lineRule="atLeast"/>
      <w:ind w:left="0" w:right="0"/>
      <w:jc w:val="both"/>
      <w:outlineLvl w:val="3"/>
    </w:pPr>
    <w:rPr>
      <w:rFonts w:hint="default" w:ascii="Calibri" w:hAnsi="Calibri" w:eastAsia="华文仿宋" w:cs="Times New Roman"/>
      <w:b/>
      <w:bCs/>
      <w:kern w:val="2"/>
      <w:sz w:val="28"/>
      <w:szCs w:val="28"/>
      <w:lang w:val="en-US" w:eastAsia="zh-CN" w:bidi="ar"/>
    </w:rPr>
  </w:style>
  <w:style w:type="paragraph" w:styleId="6">
    <w:name w:val="heading 5"/>
    <w:basedOn w:val="1"/>
    <w:next w:val="1"/>
    <w:qFormat/>
    <w:uiPriority w:val="1"/>
    <w:pPr>
      <w:ind w:left="787"/>
      <w:outlineLvl w:val="4"/>
    </w:pPr>
    <w:rPr>
      <w:rFonts w:ascii="仿宋" w:hAnsi="仿宋" w:eastAsia="仿宋" w:cs="仿宋"/>
      <w:b/>
      <w:bCs/>
      <w:sz w:val="28"/>
      <w:szCs w:val="28"/>
      <w:lang w:val="zh-CN" w:eastAsia="zh-CN" w:bidi="zh-CN"/>
    </w:rPr>
  </w:style>
  <w:style w:type="paragraph" w:styleId="7">
    <w:name w:val="heading 6"/>
    <w:basedOn w:val="1"/>
    <w:next w:val="1"/>
    <w:link w:val="72"/>
    <w:semiHidden/>
    <w:unhideWhenUsed/>
    <w:qFormat/>
    <w:uiPriority w:val="0"/>
    <w:pPr>
      <w:keepNext w:val="0"/>
      <w:keepLines w:val="0"/>
      <w:widowControl/>
      <w:suppressLineNumbers w:val="0"/>
      <w:spacing w:before="0" w:beforeAutospacing="1" w:after="0" w:afterAutospacing="1" w:line="400" w:lineRule="exact"/>
      <w:ind w:left="0" w:right="0"/>
      <w:jc w:val="left"/>
      <w:outlineLvl w:val="5"/>
    </w:pPr>
    <w:rPr>
      <w:rFonts w:hint="eastAsia" w:ascii="宋体" w:hAnsi="宋体" w:eastAsia="宋体" w:cs="宋体"/>
      <w:b/>
      <w:bCs/>
      <w:kern w:val="0"/>
      <w:sz w:val="15"/>
      <w:szCs w:val="15"/>
      <w:lang w:val="en-US" w:eastAsia="zh-CN" w:bidi="ar"/>
    </w:rPr>
  </w:style>
  <w:style w:type="character" w:default="1" w:styleId="35">
    <w:name w:val="Default Paragraph Font"/>
    <w:semiHidden/>
    <w:qFormat/>
    <w:uiPriority w:val="0"/>
  </w:style>
  <w:style w:type="table" w:default="1" w:styleId="3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table of authorities"/>
    <w:basedOn w:val="1"/>
    <w:next w:val="1"/>
    <w:qFormat/>
    <w:uiPriority w:val="0"/>
    <w:pPr>
      <w:spacing w:before="100" w:beforeAutospacing="1" w:after="100" w:afterAutospacing="1"/>
      <w:ind w:left="420" w:leftChars="200"/>
    </w:pPr>
    <w:rPr>
      <w:rFonts w:ascii="Times New Roman" w:hAnsi="Times New Roman" w:cs="Times New Roman"/>
    </w:rPr>
  </w:style>
  <w:style w:type="paragraph" w:styleId="9">
    <w:name w:val="Normal Indent"/>
    <w:basedOn w:val="1"/>
    <w:next w:val="1"/>
    <w:qFormat/>
    <w:uiPriority w:val="0"/>
    <w:pPr>
      <w:keepNext w:val="0"/>
      <w:keepLines w:val="0"/>
      <w:widowControl/>
      <w:suppressLineNumbers w:val="0"/>
      <w:spacing w:before="0" w:beforeAutospacing="0" w:after="0" w:afterAutospacing="0" w:line="400" w:lineRule="exact"/>
      <w:ind w:left="0" w:right="0" w:firstLine="420"/>
      <w:jc w:val="both"/>
    </w:pPr>
    <w:rPr>
      <w:rFonts w:hint="default" w:ascii="Calibri Light" w:hAnsi="Calibri Light" w:eastAsia="华文仿宋" w:cs="Calibri Light"/>
      <w:kern w:val="2"/>
      <w:sz w:val="28"/>
      <w:szCs w:val="28"/>
      <w:lang w:val="en-US" w:eastAsia="zh-CN" w:bidi="ar"/>
    </w:rPr>
  </w:style>
  <w:style w:type="paragraph" w:styleId="10">
    <w:name w:val="Document Map"/>
    <w:basedOn w:val="1"/>
    <w:link w:val="56"/>
    <w:qFormat/>
    <w:uiPriority w:val="0"/>
    <w:pPr>
      <w:shd w:val="clear" w:color="auto" w:fill="000080"/>
    </w:pPr>
  </w:style>
  <w:style w:type="paragraph" w:styleId="11">
    <w:name w:val="annotation text"/>
    <w:basedOn w:val="1"/>
    <w:link w:val="66"/>
    <w:qFormat/>
    <w:uiPriority w:val="0"/>
    <w:pPr>
      <w:jc w:val="left"/>
    </w:pPr>
  </w:style>
  <w:style w:type="paragraph" w:styleId="12">
    <w:name w:val="Body Text"/>
    <w:basedOn w:val="1"/>
    <w:link w:val="71"/>
    <w:qFormat/>
    <w:uiPriority w:val="0"/>
    <w:pPr>
      <w:keepNext w:val="0"/>
      <w:keepLines w:val="0"/>
      <w:widowControl/>
      <w:suppressLineNumbers w:val="0"/>
      <w:spacing w:before="0" w:beforeAutospacing="0" w:after="0" w:afterAutospacing="0" w:line="360" w:lineRule="auto"/>
      <w:ind w:left="0" w:right="0"/>
      <w:jc w:val="both"/>
    </w:pPr>
    <w:rPr>
      <w:rFonts w:hint="eastAsia" w:ascii="宋体" w:hAnsi="宋体" w:eastAsia="华文仿宋" w:cs="Calibri Light"/>
      <w:color w:val="000000"/>
      <w:kern w:val="2"/>
      <w:sz w:val="24"/>
      <w:szCs w:val="28"/>
      <w:lang w:val="en-US" w:eastAsia="zh-CN" w:bidi="ar"/>
    </w:rPr>
  </w:style>
  <w:style w:type="paragraph" w:styleId="13">
    <w:name w:val="Body Text Indent"/>
    <w:basedOn w:val="1"/>
    <w:next w:val="14"/>
    <w:link w:val="73"/>
    <w:qFormat/>
    <w:uiPriority w:val="0"/>
    <w:pPr>
      <w:spacing w:after="120" w:afterLines="0" w:afterAutospacing="0"/>
      <w:ind w:left="420" w:leftChars="200"/>
    </w:pPr>
  </w:style>
  <w:style w:type="paragraph" w:styleId="14">
    <w:name w:val="envelope return"/>
    <w:basedOn w:val="1"/>
    <w:qFormat/>
    <w:uiPriority w:val="0"/>
    <w:pPr>
      <w:snapToGrid w:val="0"/>
    </w:pPr>
    <w:rPr>
      <w:rFonts w:ascii="Arial" w:hAnsi="Arial"/>
    </w:rPr>
  </w:style>
  <w:style w:type="paragraph" w:styleId="15">
    <w:name w:val="toc 5"/>
    <w:basedOn w:val="1"/>
    <w:next w:val="1"/>
    <w:qFormat/>
    <w:uiPriority w:val="0"/>
    <w:pPr>
      <w:ind w:left="1680"/>
    </w:pPr>
  </w:style>
  <w:style w:type="paragraph" w:styleId="16">
    <w:name w:val="Plain Text"/>
    <w:basedOn w:val="1"/>
    <w:next w:val="1"/>
    <w:link w:val="54"/>
    <w:qFormat/>
    <w:uiPriority w:val="0"/>
    <w:pPr>
      <w:keepNext w:val="0"/>
      <w:keepLines w:val="0"/>
      <w:widowControl/>
      <w:suppressLineNumbers w:val="0"/>
      <w:spacing w:before="0" w:beforeAutospacing="0" w:after="0" w:afterAutospacing="0" w:line="324" w:lineRule="auto"/>
      <w:ind w:left="0" w:right="0"/>
      <w:jc w:val="both"/>
    </w:pPr>
    <w:rPr>
      <w:rFonts w:hint="eastAsia" w:ascii="宋体" w:hAnsi="Courier New" w:eastAsia="华文仿宋" w:cs="Times New Roman"/>
      <w:kern w:val="2"/>
      <w:sz w:val="28"/>
      <w:szCs w:val="21"/>
      <w:lang w:val="en-US" w:eastAsia="zh-CN" w:bidi="ar"/>
    </w:rPr>
  </w:style>
  <w:style w:type="paragraph" w:styleId="17">
    <w:name w:val="Date"/>
    <w:basedOn w:val="1"/>
    <w:next w:val="1"/>
    <w:link w:val="55"/>
    <w:qFormat/>
    <w:uiPriority w:val="0"/>
    <w:pPr>
      <w:ind w:left="100" w:leftChars="2500"/>
    </w:pPr>
  </w:style>
  <w:style w:type="paragraph" w:styleId="18">
    <w:name w:val="Body Text Indent 2"/>
    <w:basedOn w:val="1"/>
    <w:next w:val="19"/>
    <w:qFormat/>
    <w:uiPriority w:val="0"/>
    <w:pPr>
      <w:spacing w:after="120" w:line="480" w:lineRule="auto"/>
      <w:ind w:left="420" w:leftChars="200"/>
    </w:pPr>
    <w:rPr>
      <w:rFonts w:ascii="Times New Roman" w:hAnsi="Times New Roman"/>
      <w:sz w:val="24"/>
      <w:szCs w:val="24"/>
    </w:rPr>
  </w:style>
  <w:style w:type="paragraph" w:styleId="19">
    <w:name w:val="toc 1"/>
    <w:basedOn w:val="1"/>
    <w:next w:val="1"/>
    <w:qFormat/>
    <w:uiPriority w:val="0"/>
  </w:style>
  <w:style w:type="paragraph" w:styleId="20">
    <w:name w:val="Balloon Text"/>
    <w:basedOn w:val="1"/>
    <w:link w:val="58"/>
    <w:qFormat/>
    <w:uiPriority w:val="0"/>
    <w:rPr>
      <w:sz w:val="18"/>
    </w:rPr>
  </w:style>
  <w:style w:type="paragraph" w:styleId="21">
    <w:name w:val="footer"/>
    <w:basedOn w:val="1"/>
    <w:next w:val="1"/>
    <w:link w:val="57"/>
    <w:qFormat/>
    <w:uiPriority w:val="0"/>
    <w:pPr>
      <w:keepNext w:val="0"/>
      <w:keepLines w:val="0"/>
      <w:widowControl/>
      <w:suppressLineNumbers w:val="0"/>
      <w:tabs>
        <w:tab w:val="center" w:pos="4153"/>
        <w:tab w:val="right" w:pos="8306"/>
      </w:tabs>
      <w:snapToGrid w:val="0"/>
      <w:spacing w:before="0" w:beforeAutospacing="0" w:after="0" w:afterAutospacing="0" w:line="240" w:lineRule="atLeast"/>
      <w:ind w:left="0" w:right="0"/>
      <w:jc w:val="left"/>
    </w:pPr>
    <w:rPr>
      <w:rFonts w:hint="default" w:ascii="Calibri Light" w:hAnsi="Calibri Light" w:eastAsia="华文仿宋" w:cs="Calibri Light"/>
      <w:kern w:val="2"/>
      <w:sz w:val="18"/>
      <w:szCs w:val="18"/>
      <w:lang w:val="en-US" w:eastAsia="zh-CN" w:bidi="ar"/>
    </w:rPr>
  </w:style>
  <w:style w:type="paragraph" w:styleId="22">
    <w:name w:val="header"/>
    <w:basedOn w:val="1"/>
    <w:link w:val="74"/>
    <w:qFormat/>
    <w:uiPriority w:val="0"/>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line="240" w:lineRule="auto"/>
      <w:ind w:left="0" w:right="0"/>
      <w:jc w:val="center"/>
    </w:pPr>
    <w:rPr>
      <w:rFonts w:hint="default" w:ascii="Times New Roman" w:hAnsi="Times New Roman" w:eastAsia="宋体" w:cs="Times New Roman"/>
      <w:kern w:val="0"/>
      <w:sz w:val="18"/>
      <w:szCs w:val="20"/>
      <w:lang w:val="en-US" w:eastAsia="zh-CN" w:bidi="ar"/>
    </w:rPr>
  </w:style>
  <w:style w:type="paragraph" w:styleId="23">
    <w:name w:val="Subtitle"/>
    <w:basedOn w:val="1"/>
    <w:link w:val="62"/>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4">
    <w:name w:val="toc 6"/>
    <w:basedOn w:val="1"/>
    <w:next w:val="1"/>
    <w:qFormat/>
    <w:uiPriority w:val="0"/>
    <w:pPr>
      <w:ind w:left="1050"/>
      <w:jc w:val="left"/>
    </w:pPr>
    <w:rPr>
      <w:rFonts w:ascii="Calibri" w:hAnsi="Calibri" w:cs="Calibri"/>
      <w:sz w:val="18"/>
      <w:szCs w:val="18"/>
    </w:rPr>
  </w:style>
  <w:style w:type="paragraph" w:styleId="25">
    <w:name w:val="toc 2"/>
    <w:basedOn w:val="1"/>
    <w:next w:val="1"/>
    <w:qFormat/>
    <w:uiPriority w:val="39"/>
    <w:pPr>
      <w:ind w:left="420" w:leftChars="200"/>
    </w:pPr>
  </w:style>
  <w:style w:type="paragraph" w:styleId="26">
    <w:name w:val="Body Text 2"/>
    <w:basedOn w:val="1"/>
    <w:link w:val="75"/>
    <w:qFormat/>
    <w:uiPriority w:val="0"/>
    <w:pPr>
      <w:spacing w:after="120" w:afterLines="0" w:afterAutospacing="0" w:line="480" w:lineRule="auto"/>
    </w:pPr>
  </w:style>
  <w:style w:type="paragraph" w:styleId="27">
    <w:name w:val="Message Header"/>
    <w:basedOn w:val="1"/>
    <w:link w:val="7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8">
    <w:name w:val="HTML Preformatted"/>
    <w:basedOn w:val="1"/>
    <w:link w:val="77"/>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00" w:lineRule="exact"/>
      <w:ind w:left="0" w:right="0"/>
      <w:jc w:val="left"/>
    </w:pPr>
    <w:rPr>
      <w:rFonts w:ascii="Arial" w:hAnsi="Arial" w:eastAsia="华文仿宋" w:cs="Arial"/>
      <w:kern w:val="0"/>
      <w:sz w:val="24"/>
      <w:szCs w:val="28"/>
      <w:lang w:val="en-US" w:eastAsia="zh-CN" w:bidi="ar"/>
    </w:rPr>
  </w:style>
  <w:style w:type="paragraph" w:styleId="29">
    <w:name w:val="Normal (Web)"/>
    <w:basedOn w:val="1"/>
    <w:next w:val="21"/>
    <w:qFormat/>
    <w:uiPriority w:val="0"/>
    <w:pPr>
      <w:keepNext w:val="0"/>
      <w:keepLines w:val="0"/>
      <w:widowControl/>
      <w:suppressLineNumbers w:val="0"/>
      <w:spacing w:before="0" w:beforeAutospacing="1" w:after="0" w:afterAutospacing="1" w:line="400" w:lineRule="exact"/>
      <w:ind w:left="0" w:right="0"/>
      <w:jc w:val="left"/>
    </w:pPr>
    <w:rPr>
      <w:rFonts w:hint="default" w:ascii="Calibri Light" w:hAnsi="Calibri Light" w:eastAsia="华文仿宋" w:cs="Times New Roman"/>
      <w:kern w:val="0"/>
      <w:sz w:val="24"/>
      <w:szCs w:val="28"/>
      <w:lang w:val="en-US" w:eastAsia="zh-CN" w:bidi="ar"/>
    </w:rPr>
  </w:style>
  <w:style w:type="paragraph" w:styleId="30">
    <w:name w:val="annotation subject"/>
    <w:basedOn w:val="11"/>
    <w:next w:val="11"/>
    <w:link w:val="65"/>
    <w:qFormat/>
    <w:uiPriority w:val="0"/>
    <w:rPr>
      <w:b/>
    </w:rPr>
  </w:style>
  <w:style w:type="paragraph" w:styleId="31">
    <w:name w:val="Body Text First Indent"/>
    <w:basedOn w:val="1"/>
    <w:next w:val="32"/>
    <w:link w:val="70"/>
    <w:qFormat/>
    <w:uiPriority w:val="0"/>
    <w:pPr>
      <w:keepNext w:val="0"/>
      <w:keepLines w:val="0"/>
      <w:widowControl/>
      <w:suppressLineNumbers w:val="0"/>
      <w:spacing w:before="0" w:beforeAutospacing="0" w:after="0" w:afterAutospacing="0" w:line="240" w:lineRule="auto"/>
      <w:ind w:left="0" w:right="0" w:firstLine="420" w:firstLineChars="100"/>
      <w:jc w:val="both"/>
    </w:pPr>
    <w:rPr>
      <w:rFonts w:hint="default" w:ascii="Times New Roman" w:hAnsi="Times New Roman" w:eastAsia="华文仿宋" w:cs="Calibri Light"/>
      <w:kern w:val="2"/>
      <w:sz w:val="18"/>
      <w:szCs w:val="18"/>
      <w:lang w:val="en-US" w:eastAsia="zh-CN" w:bidi="ar"/>
    </w:rPr>
  </w:style>
  <w:style w:type="paragraph" w:styleId="32">
    <w:name w:val="Body Text First Indent 2"/>
    <w:basedOn w:val="13"/>
    <w:next w:val="1"/>
    <w:link w:val="78"/>
    <w:qFormat/>
    <w:uiPriority w:val="0"/>
    <w:pPr>
      <w:keepNext w:val="0"/>
      <w:keepLines w:val="0"/>
      <w:widowControl/>
      <w:suppressLineNumbers w:val="0"/>
      <w:spacing w:before="0" w:beforeAutospacing="0" w:after="0" w:afterAutospacing="0" w:line="360" w:lineRule="auto"/>
      <w:ind w:left="0" w:right="0" w:firstLine="420" w:firstLineChars="200"/>
      <w:jc w:val="both"/>
    </w:pPr>
    <w:rPr>
      <w:rFonts w:hint="eastAsia" w:ascii="仿宋_GB2312" w:hAnsi="Calibri" w:eastAsia="宋体" w:cs="Times New Roman"/>
      <w:kern w:val="2"/>
      <w:sz w:val="24"/>
      <w:szCs w:val="28"/>
      <w:lang w:val="en-US" w:eastAsia="zh-CN" w:bidi="ar"/>
    </w:rPr>
  </w:style>
  <w:style w:type="table" w:styleId="34">
    <w:name w:val="Table Grid"/>
    <w:basedOn w:val="33"/>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6">
    <w:name w:val="Strong"/>
    <w:basedOn w:val="35"/>
    <w:qFormat/>
    <w:uiPriority w:val="0"/>
    <w:rPr>
      <w:b/>
      <w:bCs/>
    </w:rPr>
  </w:style>
  <w:style w:type="character" w:styleId="37">
    <w:name w:val="page number"/>
    <w:basedOn w:val="35"/>
    <w:qFormat/>
    <w:uiPriority w:val="0"/>
    <w:rPr>
      <w:rFonts w:hint="default" w:ascii="Times New Roman" w:hAnsi="Times New Roman" w:eastAsia="宋体" w:cs="Times New Roman"/>
    </w:rPr>
  </w:style>
  <w:style w:type="character" w:styleId="38">
    <w:name w:val="FollowedHyperlink"/>
    <w:basedOn w:val="35"/>
    <w:qFormat/>
    <w:uiPriority w:val="0"/>
    <w:rPr>
      <w:color w:val="800080"/>
      <w:u w:val="single"/>
    </w:rPr>
  </w:style>
  <w:style w:type="character" w:styleId="39">
    <w:name w:val="Emphasis"/>
    <w:basedOn w:val="35"/>
    <w:qFormat/>
    <w:uiPriority w:val="0"/>
    <w:rPr>
      <w:b/>
    </w:rPr>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000000"/>
      <w:sz w:val="18"/>
      <w:szCs w:val="18"/>
      <w:u w:val="none"/>
    </w:rPr>
  </w:style>
  <w:style w:type="character" w:styleId="45">
    <w:name w:val="HTML Code"/>
    <w:basedOn w:val="35"/>
    <w:qFormat/>
    <w:uiPriority w:val="0"/>
    <w:rPr>
      <w:rFonts w:hint="default" w:ascii="monospace" w:hAnsi="monospace" w:eastAsia="monospace" w:cs="monospace"/>
      <w:sz w:val="20"/>
    </w:rPr>
  </w:style>
  <w:style w:type="character" w:styleId="46">
    <w:name w:val="annotation reference"/>
    <w:basedOn w:val="35"/>
    <w:qFormat/>
    <w:uiPriority w:val="0"/>
    <w:rPr>
      <w:sz w:val="21"/>
      <w:szCs w:val="21"/>
    </w:rPr>
  </w:style>
  <w:style w:type="character" w:styleId="47">
    <w:name w:val="HTML Cite"/>
    <w:basedOn w:val="35"/>
    <w:qFormat/>
    <w:uiPriority w:val="0"/>
  </w:style>
  <w:style w:type="character" w:styleId="48">
    <w:name w:val="HTML Keyboard"/>
    <w:basedOn w:val="35"/>
    <w:qFormat/>
    <w:uiPriority w:val="0"/>
    <w:rPr>
      <w:rFonts w:hint="default" w:ascii="monospace" w:hAnsi="monospace" w:eastAsia="monospace" w:cs="monospace"/>
      <w:sz w:val="20"/>
    </w:rPr>
  </w:style>
  <w:style w:type="character" w:styleId="49">
    <w:name w:val="HTML Sample"/>
    <w:basedOn w:val="35"/>
    <w:qFormat/>
    <w:uiPriority w:val="0"/>
    <w:rPr>
      <w:rFonts w:hint="default" w:ascii="monospace" w:hAnsi="monospace" w:eastAsia="monospace" w:cs="monospace"/>
    </w:rPr>
  </w:style>
  <w:style w:type="paragraph" w:customStyle="1" w:styleId="50">
    <w:name w:val="msolistparagraph"/>
    <w:basedOn w:val="1"/>
    <w:qFormat/>
    <w:uiPriority w:val="0"/>
    <w:pPr>
      <w:keepNext w:val="0"/>
      <w:keepLines w:val="0"/>
      <w:widowControl/>
      <w:suppressLineNumbers w:val="0"/>
      <w:spacing w:before="0" w:beforeAutospacing="0" w:after="0" w:afterAutospacing="0" w:line="400" w:lineRule="exact"/>
      <w:ind w:left="0" w:right="0" w:firstLine="420" w:firstLineChars="200"/>
      <w:jc w:val="both"/>
    </w:pPr>
    <w:rPr>
      <w:rFonts w:hint="default" w:ascii="Calibri Light" w:hAnsi="Calibri Light" w:eastAsia="华文仿宋" w:cs="Calibri Light"/>
      <w:kern w:val="2"/>
      <w:sz w:val="28"/>
      <w:szCs w:val="28"/>
      <w:lang w:val="en-US" w:eastAsia="zh-CN" w:bidi="ar"/>
    </w:rPr>
  </w:style>
  <w:style w:type="character" w:customStyle="1" w:styleId="51">
    <w:name w:val="qxdate"/>
    <w:basedOn w:val="35"/>
    <w:qFormat/>
    <w:uiPriority w:val="0"/>
    <w:rPr>
      <w:color w:val="333333"/>
      <w:sz w:val="18"/>
      <w:szCs w:val="18"/>
    </w:rPr>
  </w:style>
  <w:style w:type="character" w:customStyle="1" w:styleId="52">
    <w:name w:val="glyphicon"/>
    <w:basedOn w:val="35"/>
    <w:qFormat/>
    <w:uiPriority w:val="0"/>
  </w:style>
  <w:style w:type="character" w:customStyle="1" w:styleId="53">
    <w:name w:val="hour_am"/>
    <w:basedOn w:val="35"/>
    <w:qFormat/>
    <w:uiPriority w:val="0"/>
  </w:style>
  <w:style w:type="character" w:customStyle="1" w:styleId="54">
    <w:name w:val="纯文本 Char"/>
    <w:basedOn w:val="35"/>
    <w:link w:val="16"/>
    <w:qFormat/>
    <w:uiPriority w:val="0"/>
    <w:rPr>
      <w:rFonts w:hint="eastAsia" w:ascii="宋体" w:hAnsi="Courier New" w:eastAsia="华文仿宋" w:cs="宋体"/>
      <w:kern w:val="2"/>
      <w:sz w:val="28"/>
      <w:szCs w:val="21"/>
      <w:lang w:val="zh-CN"/>
    </w:rPr>
  </w:style>
  <w:style w:type="character" w:customStyle="1" w:styleId="55">
    <w:name w:val="日期 Char"/>
    <w:basedOn w:val="35"/>
    <w:link w:val="17"/>
    <w:qFormat/>
    <w:uiPriority w:val="0"/>
    <w:rPr>
      <w:rFonts w:hint="default" w:ascii="Calibri Light" w:hAnsi="Calibri Light" w:eastAsia="华文仿宋" w:cs="Calibri Light"/>
      <w:kern w:val="2"/>
      <w:sz w:val="28"/>
      <w:szCs w:val="28"/>
    </w:rPr>
  </w:style>
  <w:style w:type="character" w:customStyle="1" w:styleId="56">
    <w:name w:val="文档结构图 Char"/>
    <w:basedOn w:val="35"/>
    <w:link w:val="10"/>
    <w:qFormat/>
    <w:uiPriority w:val="0"/>
    <w:rPr>
      <w:rFonts w:hint="eastAsia" w:ascii="宋体" w:hAnsi="Calibri Light" w:eastAsia="宋体" w:cs="Calibri Light"/>
      <w:kern w:val="2"/>
      <w:sz w:val="18"/>
      <w:szCs w:val="18"/>
    </w:rPr>
  </w:style>
  <w:style w:type="character" w:customStyle="1" w:styleId="57">
    <w:name w:val="页脚 Char"/>
    <w:basedOn w:val="35"/>
    <w:link w:val="21"/>
    <w:qFormat/>
    <w:uiPriority w:val="0"/>
    <w:rPr>
      <w:rFonts w:hint="default" w:ascii="Calibri Light" w:hAnsi="Calibri Light" w:eastAsia="华文仿宋" w:cs="Calibri Light"/>
      <w:kern w:val="2"/>
      <w:sz w:val="18"/>
      <w:szCs w:val="18"/>
    </w:rPr>
  </w:style>
  <w:style w:type="character" w:customStyle="1" w:styleId="58">
    <w:name w:val="批注框文本 Char"/>
    <w:basedOn w:val="35"/>
    <w:link w:val="20"/>
    <w:qFormat/>
    <w:uiPriority w:val="0"/>
    <w:rPr>
      <w:rFonts w:hint="default" w:ascii="Calibri Light" w:hAnsi="Calibri Light" w:eastAsia="华文仿宋" w:cs="Calibri Light"/>
      <w:kern w:val="2"/>
      <w:sz w:val="18"/>
      <w:szCs w:val="18"/>
    </w:rPr>
  </w:style>
  <w:style w:type="character" w:customStyle="1" w:styleId="59">
    <w:name w:val="占位符文本1"/>
    <w:basedOn w:val="35"/>
    <w:qFormat/>
    <w:uiPriority w:val="0"/>
    <w:rPr>
      <w:color w:val="808080"/>
    </w:rPr>
  </w:style>
  <w:style w:type="character" w:customStyle="1" w:styleId="60">
    <w:name w:val="未处理的提及1"/>
    <w:basedOn w:val="35"/>
    <w:qFormat/>
    <w:uiPriority w:val="0"/>
    <w:rPr>
      <w:color w:val="605E5C"/>
      <w:shd w:val="clear" w:fill="E1DFDD"/>
    </w:rPr>
  </w:style>
  <w:style w:type="character" w:customStyle="1" w:styleId="61">
    <w:name w:val="正文缩进 字符"/>
    <w:basedOn w:val="35"/>
    <w:qFormat/>
    <w:uiPriority w:val="0"/>
    <w:rPr>
      <w:rFonts w:hint="default" w:ascii="Times New Roman" w:hAnsi="Times New Roman" w:cs="Times New Roman"/>
      <w:kern w:val="2"/>
      <w:sz w:val="21"/>
      <w:szCs w:val="24"/>
    </w:rPr>
  </w:style>
  <w:style w:type="character" w:customStyle="1" w:styleId="62">
    <w:name w:val="副标题 Char"/>
    <w:basedOn w:val="35"/>
    <w:link w:val="23"/>
    <w:qFormat/>
    <w:uiPriority w:val="0"/>
    <w:rPr>
      <w:rFonts w:hint="eastAsia" w:ascii="等线 Light" w:hAnsi="等线 Light" w:eastAsia="等线 Light" w:cs="等线 Light"/>
      <w:b/>
      <w:bCs/>
      <w:kern w:val="28"/>
      <w:sz w:val="32"/>
      <w:szCs w:val="32"/>
      <w:lang w:val="zh-CN"/>
    </w:rPr>
  </w:style>
  <w:style w:type="character" w:customStyle="1" w:styleId="63">
    <w:name w:val="gjfg"/>
    <w:basedOn w:val="35"/>
    <w:qFormat/>
    <w:uiPriority w:val="0"/>
  </w:style>
  <w:style w:type="character" w:customStyle="1" w:styleId="64">
    <w:name w:val="标题 4 Char"/>
    <w:basedOn w:val="35"/>
    <w:link w:val="5"/>
    <w:qFormat/>
    <w:uiPriority w:val="0"/>
    <w:rPr>
      <w:rFonts w:hint="default" w:ascii="Calibri" w:hAnsi="Calibri" w:eastAsia="华文仿宋" w:cs="Calibri"/>
      <w:b/>
      <w:bCs/>
      <w:kern w:val="2"/>
      <w:sz w:val="28"/>
      <w:szCs w:val="28"/>
    </w:rPr>
  </w:style>
  <w:style w:type="character" w:customStyle="1" w:styleId="65">
    <w:name w:val="批注主题 Char"/>
    <w:basedOn w:val="66"/>
    <w:link w:val="30"/>
    <w:qFormat/>
    <w:uiPriority w:val="0"/>
    <w:rPr>
      <w:rFonts w:hint="default" w:ascii="Calibri Light" w:hAnsi="Calibri Light" w:eastAsia="华文仿宋" w:cs="Calibri Light"/>
      <w:b/>
      <w:bCs/>
      <w:kern w:val="2"/>
      <w:sz w:val="28"/>
      <w:szCs w:val="28"/>
    </w:rPr>
  </w:style>
  <w:style w:type="character" w:customStyle="1" w:styleId="66">
    <w:name w:val="批注文字 Char"/>
    <w:basedOn w:val="35"/>
    <w:link w:val="11"/>
    <w:qFormat/>
    <w:uiPriority w:val="0"/>
    <w:rPr>
      <w:rFonts w:hint="default" w:ascii="Calibri Light" w:hAnsi="Calibri Light" w:eastAsia="华文仿宋" w:cs="Calibri Light"/>
      <w:kern w:val="2"/>
      <w:sz w:val="28"/>
      <w:szCs w:val="28"/>
    </w:rPr>
  </w:style>
  <w:style w:type="character" w:customStyle="1" w:styleId="67">
    <w:name w:val="标题 1 Char"/>
    <w:basedOn w:val="35"/>
    <w:link w:val="2"/>
    <w:qFormat/>
    <w:uiPriority w:val="0"/>
    <w:rPr>
      <w:rFonts w:hint="default" w:ascii="Calibri Light" w:hAnsi="Calibri Light" w:eastAsia="仿宋" w:cs="Calibri Light"/>
      <w:b/>
      <w:color w:val="000000"/>
      <w:kern w:val="44"/>
      <w:sz w:val="36"/>
      <w:szCs w:val="44"/>
    </w:rPr>
  </w:style>
  <w:style w:type="character" w:customStyle="1" w:styleId="68">
    <w:name w:val="标题 2 Char"/>
    <w:basedOn w:val="35"/>
    <w:link w:val="3"/>
    <w:qFormat/>
    <w:uiPriority w:val="0"/>
    <w:rPr>
      <w:rFonts w:hint="default" w:ascii="Calibri" w:hAnsi="Calibri" w:eastAsia="华文仿宋" w:cs="Calibri"/>
      <w:b/>
      <w:bCs/>
      <w:kern w:val="2"/>
      <w:sz w:val="32"/>
      <w:szCs w:val="32"/>
    </w:rPr>
  </w:style>
  <w:style w:type="character" w:customStyle="1" w:styleId="69">
    <w:name w:val="标题 3 Char"/>
    <w:basedOn w:val="35"/>
    <w:link w:val="4"/>
    <w:qFormat/>
    <w:uiPriority w:val="0"/>
    <w:rPr>
      <w:rFonts w:hint="default" w:ascii="Calibri Light" w:hAnsi="Calibri Light" w:eastAsia="华文仿宋" w:cs="Calibri Light"/>
      <w:b/>
      <w:bCs/>
      <w:kern w:val="2"/>
      <w:sz w:val="32"/>
      <w:szCs w:val="32"/>
      <w:u w:val="double"/>
    </w:rPr>
  </w:style>
  <w:style w:type="character" w:customStyle="1" w:styleId="70">
    <w:name w:val="正文首行缩进 Char"/>
    <w:basedOn w:val="71"/>
    <w:link w:val="31"/>
    <w:qFormat/>
    <w:uiPriority w:val="0"/>
    <w:rPr>
      <w:rFonts w:hint="eastAsia" w:ascii="宋体" w:hAnsi="宋体" w:eastAsia="华文仿宋" w:cs="Calibri Light"/>
      <w:color w:val="000000"/>
      <w:kern w:val="2"/>
      <w:sz w:val="18"/>
      <w:szCs w:val="18"/>
    </w:rPr>
  </w:style>
  <w:style w:type="character" w:customStyle="1" w:styleId="71">
    <w:name w:val="正文文本 Char"/>
    <w:basedOn w:val="35"/>
    <w:link w:val="12"/>
    <w:qFormat/>
    <w:uiPriority w:val="0"/>
    <w:rPr>
      <w:rFonts w:hint="eastAsia" w:ascii="宋体" w:hAnsi="宋体" w:eastAsia="华文仿宋" w:cs="Calibri Light"/>
      <w:color w:val="000000"/>
      <w:kern w:val="2"/>
      <w:sz w:val="24"/>
      <w:szCs w:val="28"/>
    </w:rPr>
  </w:style>
  <w:style w:type="character" w:customStyle="1" w:styleId="72">
    <w:name w:val="标题 6 Char"/>
    <w:basedOn w:val="35"/>
    <w:link w:val="7"/>
    <w:qFormat/>
    <w:uiPriority w:val="0"/>
    <w:rPr>
      <w:rFonts w:hint="eastAsia" w:ascii="宋体" w:hAnsi="宋体" w:eastAsia="宋体" w:cs="宋体"/>
      <w:b/>
      <w:bCs/>
      <w:sz w:val="15"/>
      <w:szCs w:val="15"/>
    </w:rPr>
  </w:style>
  <w:style w:type="character" w:customStyle="1" w:styleId="73">
    <w:name w:val="正文文本缩进 Char"/>
    <w:basedOn w:val="35"/>
    <w:link w:val="13"/>
    <w:qFormat/>
    <w:uiPriority w:val="0"/>
    <w:rPr>
      <w:rFonts w:hint="eastAsia" w:ascii="仿宋_GB2312" w:hAnsi="Calibri" w:eastAsia="仿宋_GB2312" w:cs="仿宋_GB2312"/>
      <w:kern w:val="2"/>
      <w:sz w:val="24"/>
      <w:szCs w:val="28"/>
    </w:rPr>
  </w:style>
  <w:style w:type="character" w:customStyle="1" w:styleId="74">
    <w:name w:val="页眉 Char"/>
    <w:basedOn w:val="35"/>
    <w:link w:val="22"/>
    <w:qFormat/>
    <w:uiPriority w:val="0"/>
    <w:rPr>
      <w:sz w:val="18"/>
    </w:rPr>
  </w:style>
  <w:style w:type="character" w:customStyle="1" w:styleId="75">
    <w:name w:val="正文文本 2 Char"/>
    <w:basedOn w:val="35"/>
    <w:link w:val="26"/>
    <w:qFormat/>
    <w:uiPriority w:val="0"/>
    <w:rPr>
      <w:rFonts w:hint="default" w:ascii="Calibri Light" w:hAnsi="Calibri Light" w:eastAsia="华文仿宋" w:cs="Calibri Light"/>
      <w:kern w:val="2"/>
      <w:sz w:val="30"/>
      <w:szCs w:val="28"/>
    </w:rPr>
  </w:style>
  <w:style w:type="character" w:customStyle="1" w:styleId="76">
    <w:name w:val="信息标题 Char"/>
    <w:basedOn w:val="35"/>
    <w:link w:val="27"/>
    <w:qFormat/>
    <w:uiPriority w:val="0"/>
    <w:rPr>
      <w:rFonts w:hint="default" w:ascii="Cambria" w:hAnsi="Cambria" w:eastAsia="Cambria" w:cs="Cambria"/>
      <w:kern w:val="2"/>
      <w:sz w:val="24"/>
      <w:szCs w:val="24"/>
      <w:shd w:val="pct20" w:color="auto" w:fill="auto"/>
    </w:rPr>
  </w:style>
  <w:style w:type="character" w:customStyle="1" w:styleId="77">
    <w:name w:val="HTML 预设格式 Char"/>
    <w:basedOn w:val="35"/>
    <w:link w:val="28"/>
    <w:qFormat/>
    <w:uiPriority w:val="0"/>
    <w:rPr>
      <w:rFonts w:hint="default" w:ascii="Arial" w:hAnsi="Arial" w:eastAsia="华文仿宋" w:cs="Arial"/>
      <w:sz w:val="24"/>
      <w:szCs w:val="28"/>
    </w:rPr>
  </w:style>
  <w:style w:type="character" w:customStyle="1" w:styleId="78">
    <w:name w:val="正文首行缩进 2 Char"/>
    <w:basedOn w:val="73"/>
    <w:link w:val="32"/>
    <w:qFormat/>
    <w:uiPriority w:val="0"/>
    <w:rPr>
      <w:rFonts w:hint="eastAsia" w:ascii="仿宋_GB2312" w:hAnsi="Calibri" w:eastAsia="仿宋_GB2312" w:cs="仿宋_GB2312"/>
      <w:kern w:val="2"/>
      <w:sz w:val="24"/>
      <w:szCs w:val="28"/>
    </w:rPr>
  </w:style>
  <w:style w:type="character" w:customStyle="1" w:styleId="79">
    <w:name w:val="input1"/>
    <w:basedOn w:val="35"/>
    <w:qFormat/>
    <w:uiPriority w:val="0"/>
    <w:rPr>
      <w:color w:val="000000"/>
      <w:sz w:val="21"/>
      <w:szCs w:val="21"/>
      <w:bdr w:val="single" w:color="000000" w:sz="2" w:space="0"/>
      <w:shd w:val="clear" w:fill="F7F2B0"/>
    </w:rPr>
  </w:style>
  <w:style w:type="character" w:customStyle="1" w:styleId="80">
    <w:name w:val="button"/>
    <w:basedOn w:val="35"/>
    <w:qFormat/>
    <w:uiPriority w:val="0"/>
  </w:style>
  <w:style w:type="character" w:customStyle="1" w:styleId="81">
    <w:name w:val="redfilefwwh"/>
    <w:basedOn w:val="35"/>
    <w:qFormat/>
    <w:uiPriority w:val="0"/>
    <w:rPr>
      <w:color w:val="BA2636"/>
      <w:sz w:val="18"/>
      <w:szCs w:val="18"/>
    </w:rPr>
  </w:style>
  <w:style w:type="character" w:customStyle="1" w:styleId="82">
    <w:name w:val="redfilenumber"/>
    <w:basedOn w:val="35"/>
    <w:qFormat/>
    <w:uiPriority w:val="0"/>
    <w:rPr>
      <w:color w:val="BA2636"/>
      <w:sz w:val="18"/>
      <w:szCs w:val="18"/>
    </w:rPr>
  </w:style>
  <w:style w:type="character" w:customStyle="1" w:styleId="83">
    <w:name w:val="页眉 Char1"/>
    <w:basedOn w:val="35"/>
    <w:qFormat/>
    <w:uiPriority w:val="0"/>
    <w:rPr>
      <w:sz w:val="18"/>
      <w:szCs w:val="18"/>
    </w:rPr>
  </w:style>
  <w:style w:type="character" w:customStyle="1" w:styleId="84">
    <w:name w:val="font101"/>
    <w:basedOn w:val="35"/>
    <w:qFormat/>
    <w:uiPriority w:val="0"/>
    <w:rPr>
      <w:rFonts w:hint="eastAsia" w:ascii="仿宋_GB2312" w:eastAsia="仿宋_GB2312" w:cs="仿宋_GB2312"/>
      <w:color w:val="000000"/>
      <w:sz w:val="28"/>
      <w:u w:val="single"/>
    </w:rPr>
  </w:style>
  <w:style w:type="character" w:customStyle="1" w:styleId="85">
    <w:name w:val="hour_pm"/>
    <w:basedOn w:val="35"/>
    <w:qFormat/>
    <w:uiPriority w:val="0"/>
  </w:style>
  <w:style w:type="character" w:customStyle="1" w:styleId="86">
    <w:name w:val="cfdate"/>
    <w:basedOn w:val="35"/>
    <w:qFormat/>
    <w:uiPriority w:val="0"/>
    <w:rPr>
      <w:color w:val="333333"/>
      <w:sz w:val="18"/>
      <w:szCs w:val="18"/>
    </w:rPr>
  </w:style>
  <w:style w:type="character" w:customStyle="1" w:styleId="87">
    <w:name w:val="old"/>
    <w:basedOn w:val="35"/>
    <w:qFormat/>
    <w:uiPriority w:val="0"/>
    <w:rPr>
      <w:color w:val="999999"/>
    </w:rPr>
  </w:style>
  <w:style w:type="character" w:customStyle="1" w:styleId="88">
    <w:name w:val="tmpztreemove_arrow"/>
    <w:basedOn w:val="35"/>
    <w:qFormat/>
    <w:uiPriority w:val="0"/>
    <w:rPr>
      <w:shd w:val="clear" w:fill="FFFFFF"/>
    </w:rPr>
  </w:style>
  <w:style w:type="paragraph" w:customStyle="1" w:styleId="89">
    <w:name w:val="正文文本首行缩进"/>
    <w:basedOn w:val="12"/>
    <w:qFormat/>
    <w:uiPriority w:val="0"/>
    <w:pPr>
      <w:keepNext w:val="0"/>
      <w:keepLines w:val="0"/>
      <w:widowControl/>
      <w:suppressLineNumbers w:val="0"/>
      <w:adjustRightInd w:val="0"/>
      <w:spacing w:before="0" w:beforeAutospacing="0" w:after="0" w:afterAutospacing="0" w:line="360" w:lineRule="auto"/>
      <w:ind w:left="0" w:right="0" w:firstLine="420"/>
      <w:jc w:val="left"/>
    </w:pPr>
    <w:rPr>
      <w:rFonts w:hint="eastAsia" w:ascii="宋体" w:hAnsi="宋体" w:eastAsia="华文仿宋" w:cs="Calibri Light"/>
      <w:color w:val="000000"/>
      <w:kern w:val="0"/>
      <w:sz w:val="21"/>
      <w:szCs w:val="28"/>
      <w:lang w:val="en-US" w:eastAsia="zh-CN" w:bidi="ar"/>
    </w:rPr>
  </w:style>
  <w:style w:type="character" w:customStyle="1" w:styleId="90">
    <w:name w:val="displayarti"/>
    <w:basedOn w:val="35"/>
    <w:qFormat/>
    <w:uiPriority w:val="0"/>
    <w:rPr>
      <w:color w:val="FFFFFF"/>
      <w:shd w:val="clear" w:fill="A00000"/>
    </w:rPr>
  </w:style>
  <w:style w:type="character" w:customStyle="1" w:styleId="91">
    <w:name w:val="页脚 Char1"/>
    <w:basedOn w:val="35"/>
    <w:qFormat/>
    <w:uiPriority w:val="0"/>
    <w:rPr>
      <w:sz w:val="18"/>
      <w:szCs w:val="18"/>
    </w:rPr>
  </w:style>
  <w:style w:type="character" w:customStyle="1" w:styleId="92">
    <w:name w:val="hover"/>
    <w:basedOn w:val="35"/>
    <w:qFormat/>
    <w:uiPriority w:val="0"/>
    <w:rPr>
      <w:shd w:val="clear" w:fill="EEEEEE"/>
    </w:rPr>
  </w:style>
  <w:style w:type="paragraph" w:customStyle="1" w:styleId="93">
    <w:name w:val="正文（缩进 2 字符）"/>
    <w:basedOn w:val="1"/>
    <w:qFormat/>
    <w:uiPriority w:val="0"/>
    <w:pPr>
      <w:keepNext w:val="0"/>
      <w:keepLines w:val="0"/>
      <w:widowControl/>
      <w:suppressLineNumbers w:val="0"/>
      <w:spacing w:before="0" w:beforeAutospacing="0" w:after="0" w:afterAutospacing="0" w:line="400" w:lineRule="exact"/>
      <w:ind w:left="0" w:right="0" w:firstLine="200" w:firstLineChars="200"/>
      <w:jc w:val="both"/>
    </w:pPr>
    <w:rPr>
      <w:rFonts w:hint="default" w:ascii="Calibri Light" w:hAnsi="Calibri Light" w:eastAsia="华文仿宋" w:cs="Calibri Light"/>
      <w:kern w:val="2"/>
      <w:sz w:val="28"/>
      <w:szCs w:val="28"/>
      <w:lang w:val="en-US" w:eastAsia="zh-CN" w:bidi="ar"/>
    </w:rPr>
  </w:style>
  <w:style w:type="paragraph" w:customStyle="1" w:styleId="94">
    <w:name w:val="列出段落3"/>
    <w:basedOn w:val="1"/>
    <w:qFormat/>
    <w:uiPriority w:val="0"/>
    <w:pPr>
      <w:keepNext w:val="0"/>
      <w:keepLines w:val="0"/>
      <w:widowControl/>
      <w:suppressLineNumbers w:val="0"/>
      <w:spacing w:before="0" w:beforeAutospacing="0" w:after="0" w:afterAutospacing="0" w:line="400" w:lineRule="exact"/>
      <w:ind w:left="0" w:right="0" w:firstLine="420" w:firstLineChars="200"/>
      <w:jc w:val="both"/>
    </w:pPr>
    <w:rPr>
      <w:rFonts w:hint="default" w:ascii="Calibri Light" w:hAnsi="Calibri Light" w:eastAsia="华文仿宋" w:cs="Times New Roman"/>
      <w:kern w:val="2"/>
      <w:sz w:val="28"/>
      <w:szCs w:val="28"/>
      <w:lang w:val="en-US" w:eastAsia="zh-CN" w:bidi="ar"/>
    </w:rPr>
  </w:style>
  <w:style w:type="paragraph" w:customStyle="1" w:styleId="95">
    <w:name w:val="标题 2（投标文件）"/>
    <w:basedOn w:val="3"/>
    <w:qFormat/>
    <w:uiPriority w:val="0"/>
    <w:pPr>
      <w:keepNext/>
      <w:keepLines/>
      <w:widowControl/>
      <w:suppressLineNumbers w:val="0"/>
      <w:spacing w:before="0" w:beforeAutospacing="0" w:after="0" w:afterAutospacing="0" w:line="240" w:lineRule="auto"/>
      <w:ind w:left="0" w:right="0"/>
      <w:jc w:val="center"/>
      <w:outlineLvl w:val="1"/>
    </w:pPr>
    <w:rPr>
      <w:rFonts w:hint="default" w:ascii="Calibri" w:hAnsi="Calibri" w:eastAsia="华文仿宋" w:cs="Times New Roman"/>
      <w:bCs/>
      <w:kern w:val="2"/>
      <w:sz w:val="32"/>
      <w:szCs w:val="32"/>
      <w:lang w:val="en-US" w:eastAsia="zh-CN" w:bidi="ar"/>
    </w:rPr>
  </w:style>
  <w:style w:type="paragraph" w:customStyle="1" w:styleId="96">
    <w:name w:val="Table Paragraph"/>
    <w:basedOn w:val="1"/>
    <w:qFormat/>
    <w:uiPriority w:val="0"/>
    <w:pPr>
      <w:keepNext w:val="0"/>
      <w:keepLines w:val="0"/>
      <w:widowControl/>
      <w:suppressLineNumbers w:val="0"/>
      <w:spacing w:before="0" w:beforeAutospacing="0" w:after="0" w:afterAutospacing="0" w:line="400" w:lineRule="exact"/>
      <w:ind w:left="0" w:right="0"/>
      <w:jc w:val="both"/>
    </w:pPr>
    <w:rPr>
      <w:rFonts w:hint="eastAsia" w:ascii="宋体" w:hAnsi="宋体" w:eastAsia="宋体" w:cs="宋体"/>
      <w:kern w:val="2"/>
      <w:sz w:val="28"/>
      <w:szCs w:val="28"/>
      <w:lang w:val="en-US" w:eastAsia="zh-CN" w:bidi="ar"/>
    </w:rPr>
  </w:style>
  <w:style w:type="paragraph" w:customStyle="1" w:styleId="97">
    <w:name w:val="BodyText1I"/>
    <w:basedOn w:val="98"/>
    <w:next w:val="1"/>
    <w:qFormat/>
    <w:uiPriority w:val="0"/>
    <w:pPr>
      <w:keepNext w:val="0"/>
      <w:keepLines w:val="0"/>
      <w:widowControl/>
      <w:suppressLineNumbers w:val="0"/>
      <w:spacing w:before="0" w:beforeAutospacing="0" w:after="0" w:afterAutospacing="0" w:line="360" w:lineRule="auto"/>
      <w:ind w:left="0" w:right="0" w:firstLine="200" w:firstLineChars="200"/>
      <w:jc w:val="both"/>
    </w:pPr>
    <w:rPr>
      <w:rFonts w:hint="default" w:ascii="Arial" w:hAnsi="Arial" w:eastAsia="宋体" w:cs="Times New Roman"/>
      <w:kern w:val="2"/>
      <w:sz w:val="21"/>
      <w:szCs w:val="21"/>
      <w:lang w:val="en-US" w:eastAsia="zh-CN" w:bidi="ar"/>
    </w:rPr>
  </w:style>
  <w:style w:type="paragraph" w:customStyle="1" w:styleId="98">
    <w:name w:val="BodyText"/>
    <w:basedOn w:val="1"/>
    <w:next w:val="1"/>
    <w:qFormat/>
    <w:uiPriority w:val="0"/>
    <w:pPr>
      <w:jc w:val="both"/>
      <w:textAlignment w:val="baseline"/>
    </w:pPr>
    <w:rPr>
      <w:rFonts w:ascii="宋体" w:hAnsi="宋体" w:eastAsia="宋体"/>
      <w:kern w:val="2"/>
      <w:sz w:val="24"/>
      <w:szCs w:val="24"/>
      <w:lang w:val="zh-CN" w:eastAsia="zh-CN" w:bidi="zh-CN"/>
    </w:rPr>
  </w:style>
  <w:style w:type="paragraph" w:customStyle="1" w:styleId="99">
    <w:name w:val="Default"/>
    <w:basedOn w:val="1"/>
    <w:qFormat/>
    <w:uiPriority w:val="0"/>
    <w:pPr>
      <w:keepNext w:val="0"/>
      <w:keepLines w:val="0"/>
      <w:widowControl w:val="0"/>
      <w:suppressLineNumbers w:val="0"/>
      <w:autoSpaceDE w:val="0"/>
      <w:autoSpaceDN w:val="0"/>
      <w:adjustRightInd w:val="0"/>
      <w:spacing w:before="0" w:beforeAutospacing="0" w:after="0" w:afterAutospacing="0" w:line="240" w:lineRule="auto"/>
      <w:ind w:left="0" w:right="0"/>
      <w:jc w:val="left"/>
    </w:pPr>
    <w:rPr>
      <w:rFonts w:hint="eastAsia" w:ascii="宋体" w:hAnsi="Times New Roman" w:eastAsia="Arial Unicode MS" w:cs="宋体"/>
      <w:color w:val="000000"/>
      <w:kern w:val="0"/>
      <w:sz w:val="24"/>
      <w:szCs w:val="24"/>
      <w:lang w:val="en-US" w:eastAsia="zh-CN" w:bidi="ar"/>
    </w:rPr>
  </w:style>
  <w:style w:type="paragraph" w:customStyle="1" w:styleId="100">
    <w:name w:val="WPSOffice手动目录 1"/>
    <w:basedOn w:val="1"/>
    <w:qFormat/>
    <w:uiPriority w:val="0"/>
    <w:pPr>
      <w:keepNext w:val="0"/>
      <w:keepLines w:val="0"/>
      <w:widowControl/>
      <w:suppressLineNumbers w:val="0"/>
      <w:spacing w:before="0" w:beforeAutospacing="0" w:after="0" w:afterAutospacing="0" w:line="240" w:lineRule="auto"/>
      <w:ind w:left="0" w:right="0"/>
      <w:jc w:val="left"/>
    </w:pPr>
    <w:rPr>
      <w:rFonts w:hint="default" w:ascii="Times New Roman" w:hAnsi="Times New Roman" w:eastAsia="宋体" w:cs="Times New Roman"/>
      <w:kern w:val="0"/>
      <w:sz w:val="20"/>
      <w:szCs w:val="20"/>
      <w:lang w:val="en-US" w:eastAsia="zh-CN" w:bidi="ar"/>
    </w:rPr>
  </w:style>
  <w:style w:type="character" w:customStyle="1" w:styleId="101">
    <w:name w:val="mini-outputtext1"/>
    <w:basedOn w:val="35"/>
    <w:qFormat/>
    <w:uiPriority w:val="0"/>
  </w:style>
  <w:style w:type="table" w:customStyle="1" w:styleId="102">
    <w:name w:val="网格型1"/>
    <w:basedOn w:val="103"/>
    <w:qFormat/>
    <w:uiPriority w:val="0"/>
  </w:style>
  <w:style w:type="table" w:customStyle="1" w:styleId="103">
    <w:name w:val="普通表格1"/>
    <w:semiHidden/>
    <w:qFormat/>
    <w:uiPriority w:val="0"/>
  </w:style>
  <w:style w:type="paragraph" w:customStyle="1" w:styleId="104">
    <w:name w:val="页脚1"/>
    <w:basedOn w:val="1"/>
    <w:qFormat/>
    <w:uiPriority w:val="0"/>
    <w:pPr>
      <w:tabs>
        <w:tab w:val="center" w:pos="4153"/>
        <w:tab w:val="right" w:pos="8306"/>
      </w:tabs>
      <w:snapToGrid w:val="0"/>
      <w:jc w:val="left"/>
    </w:pPr>
    <w:rPr>
      <w:rFonts w:ascii="Calibri Light" w:hAnsi="Calibri Light" w:eastAsia="华文仿宋"/>
      <w:sz w:val="18"/>
      <w:szCs w:val="28"/>
    </w:rPr>
  </w:style>
  <w:style w:type="character" w:customStyle="1" w:styleId="105">
    <w:name w:val="font11"/>
    <w:basedOn w:val="35"/>
    <w:qFormat/>
    <w:uiPriority w:val="0"/>
    <w:rPr>
      <w:rFonts w:hint="eastAsia" w:ascii="宋体" w:hAnsi="宋体" w:eastAsia="宋体" w:cs="宋体"/>
      <w:color w:val="000000"/>
      <w:sz w:val="21"/>
      <w:szCs w:val="21"/>
      <w:u w:val="none"/>
    </w:rPr>
  </w:style>
  <w:style w:type="paragraph" w:customStyle="1" w:styleId="106">
    <w:name w:val="_Style 2"/>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table" w:customStyle="1" w:styleId="107">
    <w:name w:val="Table Normal"/>
    <w:unhideWhenUsed/>
    <w:qFormat/>
    <w:uiPriority w:val="0"/>
    <w:tblPr>
      <w:tblCellMar>
        <w:top w:w="0" w:type="dxa"/>
        <w:left w:w="0" w:type="dxa"/>
        <w:bottom w:w="0" w:type="dxa"/>
        <w:right w:w="0" w:type="dxa"/>
      </w:tblCellMar>
    </w:tblPr>
  </w:style>
  <w:style w:type="paragraph" w:customStyle="1" w:styleId="108">
    <w:name w:val="※正文"/>
    <w:basedOn w:val="1"/>
    <w:next w:val="1"/>
    <w:qFormat/>
    <w:uiPriority w:val="0"/>
    <w:pPr>
      <w:keepNext w:val="0"/>
      <w:keepLines w:val="0"/>
      <w:widowControl/>
      <w:suppressLineNumbers w:val="0"/>
      <w:wordWrap w:val="0"/>
      <w:spacing w:before="0" w:beforeAutospacing="0" w:after="0" w:afterAutospacing="0" w:line="400" w:lineRule="exact"/>
      <w:ind w:left="0" w:right="0"/>
      <w:jc w:val="both"/>
    </w:pPr>
    <w:rPr>
      <w:rFonts w:hint="default" w:ascii="Calibri Light" w:hAnsi="Calibri Light" w:eastAsia="华文仿宋" w:cs="Calibri Light"/>
      <w:kern w:val="2"/>
      <w:sz w:val="28"/>
      <w:szCs w:val="28"/>
      <w:lang w:val="en-US" w:eastAsia="zh-CN" w:bidi="ar"/>
    </w:rPr>
  </w:style>
  <w:style w:type="paragraph" w:customStyle="1" w:styleId="109">
    <w:name w:val="样式 WG标题3 + 行距: 固定值 18 磅"/>
    <w:basedOn w:val="1"/>
    <w:qFormat/>
    <w:uiPriority w:val="0"/>
    <w:pPr>
      <w:keepNext w:val="0"/>
      <w:keepLines w:val="0"/>
      <w:widowControl w:val="0"/>
      <w:suppressLineNumbers w:val="0"/>
      <w:autoSpaceDE w:val="0"/>
      <w:autoSpaceDN w:val="0"/>
      <w:adjustRightInd w:val="0"/>
      <w:spacing w:before="0" w:beforeAutospacing="0" w:after="0" w:afterAutospacing="0" w:line="360" w:lineRule="exact"/>
      <w:ind w:left="0" w:right="0" w:firstLine="200" w:firstLineChars="200"/>
      <w:jc w:val="both"/>
      <w:outlineLvl w:val="2"/>
    </w:pPr>
    <w:rPr>
      <w:rFonts w:hint="default" w:ascii="Times New Roman" w:hAnsi="Times New Roman" w:eastAsia="宋体" w:cs="Times New Roman"/>
      <w:b/>
      <w:color w:val="000000"/>
      <w:kern w:val="20"/>
      <w:sz w:val="21"/>
      <w:szCs w:val="20"/>
      <w:lang w:val="en-US" w:eastAsia="zh-CN" w:bidi="ar"/>
    </w:rPr>
  </w:style>
  <w:style w:type="paragraph" w:customStyle="1" w:styleId="110">
    <w:name w:val="表格文字中"/>
    <w:basedOn w:val="1"/>
    <w:qFormat/>
    <w:uiPriority w:val="0"/>
    <w:pPr>
      <w:keepNext w:val="0"/>
      <w:keepLines w:val="0"/>
      <w:widowControl w:val="0"/>
      <w:suppressLineNumbers w:val="0"/>
      <w:adjustRightInd w:val="0"/>
      <w:snapToGrid w:val="0"/>
      <w:spacing w:before="0" w:beforeAutospacing="0" w:after="0" w:afterAutospacing="0"/>
      <w:ind w:left="22" w:leftChars="8" w:right="0"/>
      <w:jc w:val="center"/>
    </w:pPr>
    <w:rPr>
      <w:rFonts w:hint="default" w:ascii="Times New Roman" w:hAnsi="Times New Roman" w:eastAsia="宋体" w:cs="Times New Roman"/>
      <w:kern w:val="0"/>
      <w:sz w:val="21"/>
      <w:szCs w:val="22"/>
      <w:lang w:val="en-US" w:eastAsia="zh-CN" w:bidi="ar"/>
    </w:rPr>
  </w:style>
  <w:style w:type="paragraph" w:customStyle="1" w:styleId="111">
    <w:name w:val="正文缩进1"/>
    <w:basedOn w:val="1"/>
    <w:qFormat/>
    <w:uiPriority w:val="0"/>
    <w:pPr>
      <w:ind w:firstLine="420" w:firstLineChars="200"/>
    </w:pPr>
  </w:style>
  <w:style w:type="character" w:customStyle="1" w:styleId="112">
    <w:name w:val="NormalCharacter"/>
    <w:link w:val="113"/>
    <w:semiHidden/>
    <w:qFormat/>
    <w:uiPriority w:val="0"/>
  </w:style>
  <w:style w:type="paragraph" w:customStyle="1" w:styleId="113">
    <w:name w:val="UserStyle_0"/>
    <w:basedOn w:val="1"/>
    <w:link w:val="112"/>
    <w:qFormat/>
    <w:uiPriority w:val="0"/>
  </w:style>
  <w:style w:type="paragraph" w:customStyle="1" w:styleId="114">
    <w:name w:val="List Paragraph"/>
    <w:basedOn w:val="1"/>
    <w:qFormat/>
    <w:uiPriority w:val="1"/>
    <w:pPr>
      <w:spacing w:before="57"/>
      <w:ind w:left="1677" w:hanging="720"/>
    </w:pPr>
    <w:rPr>
      <w:rFonts w:ascii="宋体" w:hAnsi="宋体" w:eastAsia="宋体" w:cs="宋体"/>
      <w:lang w:val="zh-CN" w:eastAsia="zh-CN" w:bidi="zh-CN"/>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页眉1"/>
    <w:basedOn w:val="1"/>
    <w:next w:val="22"/>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17">
    <w:name w:val="Heading #2|1"/>
    <w:basedOn w:val="1"/>
    <w:qFormat/>
    <w:uiPriority w:val="0"/>
    <w:pPr>
      <w:spacing w:after="300"/>
      <w:ind w:firstLine="310"/>
      <w:jc w:val="left"/>
      <w:outlineLvl w:val="1"/>
    </w:pPr>
    <w:rPr>
      <w:rFonts w:ascii="宋体" w:hAnsi="宋体" w:cs="宋体"/>
      <w:color w:val="000000"/>
      <w:kern w:val="0"/>
      <w:sz w:val="46"/>
      <w:szCs w:val="46"/>
      <w:lang w:val="zh-TW" w:eastAsia="zh-TW" w:bidi="zh-TW"/>
    </w:rPr>
  </w:style>
  <w:style w:type="character" w:customStyle="1" w:styleId="118">
    <w:name w:val="font71"/>
    <w:basedOn w:val="35"/>
    <w:qFormat/>
    <w:uiPriority w:val="0"/>
    <w:rPr>
      <w:rFonts w:hint="eastAsia" w:ascii="宋体" w:hAnsi="宋体" w:eastAsia="宋体" w:cs="宋体"/>
      <w:color w:val="333333"/>
      <w:sz w:val="21"/>
      <w:szCs w:val="21"/>
      <w:u w:val="none"/>
    </w:rPr>
  </w:style>
  <w:style w:type="character" w:customStyle="1" w:styleId="119">
    <w:name w:val="font51"/>
    <w:basedOn w:val="35"/>
    <w:qFormat/>
    <w:uiPriority w:val="0"/>
    <w:rPr>
      <w:rFonts w:hint="default" w:ascii="Arial" w:hAnsi="Arial" w:cs="Arial"/>
      <w:color w:val="333333"/>
      <w:sz w:val="21"/>
      <w:szCs w:val="21"/>
      <w:u w:val="none"/>
    </w:rPr>
  </w:style>
  <w:style w:type="character" w:customStyle="1" w:styleId="120">
    <w:name w:val="font01"/>
    <w:basedOn w:val="3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62148</Words>
  <Characters>65520</Characters>
  <Lines>0</Lines>
  <Paragraphs>0</Paragraphs>
  <TotalTime>38</TotalTime>
  <ScaleCrop>false</ScaleCrop>
  <LinksUpToDate>false</LinksUpToDate>
  <CharactersWithSpaces>67901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2022-11-03T03:25:00Z</dcterms:created>
  <dc:creator>李倩</dc:creator>
  <cp:lastModifiedBy>苦涩的橙子C</cp:lastModifiedBy>
  <cp:lastPrinted>2023-10-09T01:13:00Z</cp:lastPrinted>
  <dcterms:modified xsi:type="dcterms:W3CDTF">2023-10-10T09:37:38Z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D9605110EC144DBA93A2FF354FC1F70C</vt:lpwstr>
  </property>
</Properties>
</file>