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2022年碾子镇、平安镇高标准农田建设项目土壤改良措施</w:t>
      </w:r>
    </w:p>
    <w:p>
      <w:pPr>
        <w:jc w:val="center"/>
        <w:rPr>
          <w:sz w:val="28"/>
          <w:szCs w:val="24"/>
        </w:rPr>
      </w:pPr>
      <w:r>
        <w:rPr>
          <w:rFonts w:hint="eastAsia" w:ascii="宋体" w:hAnsi="宋体" w:cs="宋体"/>
          <w:b/>
          <w:sz w:val="32"/>
          <w:szCs w:val="32"/>
          <w:u w:val="none"/>
          <w:lang w:eastAsia="zh-CN"/>
        </w:rPr>
        <w:t>采购内容及要求</w:t>
      </w:r>
    </w:p>
    <w:p>
      <w:pPr>
        <w:spacing w:line="276" w:lineRule="auto"/>
        <w:jc w:val="center"/>
        <w:rPr>
          <w:sz w:val="24"/>
        </w:rPr>
      </w:pPr>
    </w:p>
    <w:p>
      <w:pPr>
        <w:spacing w:line="360" w:lineRule="auto"/>
        <w:ind w:firstLine="480" w:firstLineChars="200"/>
        <w:rPr>
          <w:rFonts w:hint="eastAsia" w:cs="楷体_GB2312" w:asciiTheme="minorHAnsi" w:hAnsiTheme="minorHAnsi" w:eastAsiaTheme="minorEastAsia"/>
          <w:b w:val="0"/>
          <w:bCs w:val="0"/>
          <w:kern w:val="2"/>
          <w:sz w:val="24"/>
          <w:szCs w:val="32"/>
          <w:lang w:val="zh-CN" w:eastAsia="zh-CN" w:bidi="ar-SA"/>
        </w:rPr>
      </w:pPr>
      <w:r>
        <w:rPr>
          <w:rFonts w:hint="eastAsia" w:cs="楷体_GB2312" w:asciiTheme="minorHAnsi" w:hAnsiTheme="minorHAnsi" w:eastAsiaTheme="minorEastAsia"/>
          <w:b w:val="0"/>
          <w:bCs w:val="0"/>
          <w:kern w:val="2"/>
          <w:sz w:val="24"/>
          <w:szCs w:val="32"/>
          <w:lang w:val="zh-CN" w:eastAsia="zh-CN" w:bidi="ar-SA"/>
        </w:rPr>
        <w:t>一、项目基本情况</w:t>
      </w:r>
    </w:p>
    <w:p>
      <w:pPr>
        <w:spacing w:line="360" w:lineRule="auto"/>
        <w:ind w:firstLine="480" w:firstLineChars="200"/>
        <w:rPr>
          <w:rFonts w:hint="default" w:cs="楷体_GB2312" w:asciiTheme="minorHAnsi" w:hAnsiTheme="minorHAnsi" w:eastAsiaTheme="minorEastAsia"/>
          <w:b w:val="0"/>
          <w:bCs w:val="0"/>
          <w:kern w:val="2"/>
          <w:sz w:val="24"/>
          <w:szCs w:val="32"/>
          <w:lang w:val="en-US" w:eastAsia="zh-CN" w:bidi="ar-SA"/>
        </w:rPr>
      </w:pPr>
      <w:r>
        <w:rPr>
          <w:rFonts w:hint="eastAsia" w:cs="楷体_GB2312" w:asciiTheme="minorHAnsi" w:hAnsiTheme="minorHAnsi" w:eastAsiaTheme="minorEastAsia"/>
          <w:b w:val="0"/>
          <w:bCs w:val="0"/>
          <w:kern w:val="2"/>
          <w:sz w:val="24"/>
          <w:szCs w:val="32"/>
          <w:lang w:val="zh-CN" w:eastAsia="zh-CN" w:bidi="ar-SA"/>
        </w:rPr>
        <w:t>该项目采购内容为：</w:t>
      </w:r>
      <w:r>
        <w:rPr>
          <w:rFonts w:hint="eastAsia" w:cs="楷体_GB2312"/>
          <w:b w:val="0"/>
          <w:bCs w:val="0"/>
          <w:kern w:val="2"/>
          <w:sz w:val="24"/>
          <w:szCs w:val="32"/>
          <w:lang w:val="en-US" w:eastAsia="zh-CN" w:bidi="ar-SA"/>
        </w:rPr>
        <w:t>通过土壤改良措施，使项目区在地力提升和群众掌握实用技术上有明显提高，扭转传统种植模式，达到增产致富的目的</w:t>
      </w:r>
      <w:r>
        <w:rPr>
          <w:rFonts w:hint="eastAsia" w:cs="楷体_GB2312" w:asciiTheme="minorHAnsi" w:hAnsiTheme="minorHAnsi" w:eastAsiaTheme="minorEastAsia"/>
          <w:b w:val="0"/>
          <w:bCs w:val="0"/>
          <w:kern w:val="2"/>
          <w:sz w:val="24"/>
          <w:szCs w:val="32"/>
          <w:lang w:val="en-US" w:eastAsia="zh-CN" w:bidi="ar-SA"/>
        </w:rPr>
        <w:t>，对</w:t>
      </w:r>
      <w:r>
        <w:rPr>
          <w:rFonts w:hint="eastAsia" w:cs="楷体_GB2312"/>
          <w:b w:val="0"/>
          <w:bCs w:val="0"/>
          <w:kern w:val="2"/>
          <w:sz w:val="24"/>
          <w:szCs w:val="32"/>
          <w:lang w:val="en-US" w:eastAsia="zh-CN" w:bidi="ar-SA"/>
        </w:rPr>
        <w:t>5500</w:t>
      </w:r>
      <w:r>
        <w:rPr>
          <w:rFonts w:hint="eastAsia" w:cs="楷体_GB2312" w:asciiTheme="minorHAnsi" w:hAnsiTheme="minorHAnsi" w:eastAsiaTheme="minorEastAsia"/>
          <w:b w:val="0"/>
          <w:bCs w:val="0"/>
          <w:kern w:val="2"/>
          <w:sz w:val="24"/>
          <w:szCs w:val="32"/>
          <w:lang w:val="en-US" w:eastAsia="zh-CN" w:bidi="ar-SA"/>
        </w:rPr>
        <w:t>亩高标准农田建设项目所涵盖农田进行</w:t>
      </w:r>
      <w:r>
        <w:rPr>
          <w:rFonts w:hint="eastAsia" w:cs="楷体_GB2312"/>
          <w:b w:val="0"/>
          <w:bCs w:val="0"/>
          <w:kern w:val="2"/>
          <w:sz w:val="24"/>
          <w:szCs w:val="32"/>
          <w:lang w:val="en-US" w:eastAsia="zh-CN" w:bidi="ar-SA"/>
        </w:rPr>
        <w:t>土壤改良</w:t>
      </w:r>
      <w:r>
        <w:rPr>
          <w:rFonts w:hint="eastAsia" w:cs="楷体_GB2312" w:asciiTheme="minorHAnsi" w:hAnsiTheme="minorHAnsi" w:eastAsiaTheme="minorEastAsia"/>
          <w:b w:val="0"/>
          <w:bCs w:val="0"/>
          <w:kern w:val="2"/>
          <w:sz w:val="24"/>
          <w:szCs w:val="32"/>
          <w:lang w:val="en-US" w:eastAsia="zh-CN" w:bidi="ar-SA"/>
        </w:rPr>
        <w:t>。</w:t>
      </w:r>
    </w:p>
    <w:p>
      <w:pPr>
        <w:spacing w:line="360" w:lineRule="auto"/>
        <w:ind w:firstLine="480" w:firstLineChars="200"/>
        <w:rPr>
          <w:rFonts w:hint="eastAsia" w:cs="楷体_GB2312" w:asciiTheme="minorHAnsi" w:hAnsiTheme="minorHAnsi" w:eastAsiaTheme="minorEastAsia"/>
          <w:b w:val="0"/>
          <w:bCs w:val="0"/>
          <w:kern w:val="2"/>
          <w:sz w:val="24"/>
          <w:szCs w:val="32"/>
          <w:lang w:val="zh-CN" w:eastAsia="zh-CN" w:bidi="ar-SA"/>
        </w:rPr>
      </w:pPr>
      <w:r>
        <w:rPr>
          <w:rFonts w:hint="eastAsia" w:cs="楷体_GB2312" w:asciiTheme="minorHAnsi" w:hAnsiTheme="minorHAnsi" w:eastAsiaTheme="minorEastAsia"/>
          <w:b w:val="0"/>
          <w:bCs w:val="0"/>
          <w:kern w:val="2"/>
          <w:sz w:val="24"/>
          <w:szCs w:val="32"/>
          <w:lang w:val="zh-CN" w:eastAsia="zh-CN" w:bidi="ar-SA"/>
        </w:rPr>
        <w:t>二、采购预算及形成方式</w:t>
      </w:r>
    </w:p>
    <w:p>
      <w:pPr>
        <w:spacing w:line="360" w:lineRule="auto"/>
        <w:ind w:firstLine="480" w:firstLineChars="200"/>
        <w:rPr>
          <w:rFonts w:hint="default" w:cs="楷体_GB2312" w:asciiTheme="minorHAnsi" w:hAnsiTheme="minorHAnsi" w:eastAsiaTheme="minorEastAsia"/>
          <w:b w:val="0"/>
          <w:bCs w:val="0"/>
          <w:kern w:val="2"/>
          <w:sz w:val="24"/>
          <w:szCs w:val="32"/>
          <w:lang w:val="en-US" w:eastAsia="zh-CN" w:bidi="ar-SA"/>
        </w:rPr>
      </w:pPr>
      <w:r>
        <w:rPr>
          <w:rFonts w:hint="eastAsia" w:cs="楷体_GB2312" w:asciiTheme="minorHAnsi" w:hAnsiTheme="minorHAnsi" w:eastAsiaTheme="minorEastAsia"/>
          <w:b w:val="0"/>
          <w:bCs w:val="0"/>
          <w:kern w:val="2"/>
          <w:sz w:val="24"/>
          <w:szCs w:val="32"/>
          <w:lang w:val="zh-CN" w:eastAsia="zh-CN" w:bidi="ar-SA"/>
        </w:rPr>
        <w:t>该项目资金来源为</w:t>
      </w:r>
      <w:r>
        <w:rPr>
          <w:rFonts w:hint="eastAsia" w:cs="楷体_GB2312" w:asciiTheme="minorHAnsi" w:hAnsiTheme="minorHAnsi" w:eastAsiaTheme="minorEastAsia"/>
          <w:b w:val="0"/>
          <w:bCs w:val="0"/>
          <w:kern w:val="2"/>
          <w:sz w:val="24"/>
          <w:szCs w:val="32"/>
          <w:lang w:val="en-US" w:eastAsia="zh-CN" w:bidi="ar-SA"/>
        </w:rPr>
        <w:t>财政涉农整合资金。</w:t>
      </w:r>
    </w:p>
    <w:p>
      <w:pPr>
        <w:numPr>
          <w:ilvl w:val="0"/>
          <w:numId w:val="1"/>
        </w:numPr>
        <w:spacing w:line="360" w:lineRule="auto"/>
        <w:ind w:firstLine="480" w:firstLineChars="200"/>
        <w:rPr>
          <w:rFonts w:hint="eastAsia"/>
          <w:lang w:val="zh-CN" w:eastAsia="zh-CN"/>
        </w:rPr>
      </w:pPr>
      <w:r>
        <w:rPr>
          <w:rFonts w:hint="eastAsia" w:cs="楷体_GB2312" w:asciiTheme="minorHAnsi" w:hAnsiTheme="minorHAnsi" w:eastAsiaTheme="minorEastAsia"/>
          <w:b w:val="0"/>
          <w:bCs w:val="0"/>
          <w:kern w:val="2"/>
          <w:sz w:val="24"/>
          <w:szCs w:val="32"/>
          <w:lang w:val="zh-CN" w:eastAsia="zh-CN" w:bidi="ar-SA"/>
        </w:rPr>
        <w:t>技术规格要求</w:t>
      </w:r>
    </w:p>
    <w:p>
      <w:pPr>
        <w:spacing w:line="360" w:lineRule="auto"/>
        <w:ind w:firstLine="480" w:firstLineChars="200"/>
        <w:rPr>
          <w:rFonts w:hint="eastAsia" w:cs="楷体_GB2312" w:asciiTheme="minorHAnsi" w:hAnsiTheme="minorHAnsi" w:eastAsiaTheme="minorEastAsia"/>
          <w:b w:val="0"/>
          <w:bCs w:val="0"/>
          <w:kern w:val="2"/>
          <w:sz w:val="24"/>
          <w:szCs w:val="32"/>
          <w:lang w:val="en-US" w:eastAsia="zh-CN" w:bidi="ar-SA"/>
        </w:rPr>
      </w:pPr>
      <w:r>
        <w:rPr>
          <w:rFonts w:hint="eastAsia" w:cs="楷体_GB2312" w:asciiTheme="minorHAnsi" w:hAnsiTheme="minorHAnsi" w:eastAsiaTheme="minorEastAsia"/>
          <w:b w:val="0"/>
          <w:bCs w:val="0"/>
          <w:kern w:val="2"/>
          <w:sz w:val="24"/>
          <w:szCs w:val="32"/>
          <w:lang w:val="en-US" w:eastAsia="zh-CN" w:bidi="ar-SA"/>
        </w:rPr>
        <w:t xml:space="preserve"> 1.配方肥要求：①技术参数：有机质≥4.5% 、总养分(N+P2O5+K2O)≥36%（其中N</w:t>
      </w:r>
      <w:r>
        <w:rPr>
          <w:rFonts w:hint="default" w:cs="楷体_GB2312" w:asciiTheme="minorHAnsi" w:hAnsiTheme="minorHAnsi" w:eastAsiaTheme="minorEastAsia"/>
          <w:b w:val="0"/>
          <w:bCs w:val="0"/>
          <w:kern w:val="2"/>
          <w:sz w:val="24"/>
          <w:szCs w:val="32"/>
          <w:lang w:val="en-US" w:eastAsia="zh-CN" w:bidi="ar-SA"/>
        </w:rPr>
        <w:t>≥</w:t>
      </w:r>
      <w:r>
        <w:rPr>
          <w:rFonts w:hint="eastAsia" w:cs="楷体_GB2312" w:asciiTheme="minorHAnsi" w:hAnsiTheme="minorHAnsi" w:eastAsiaTheme="minorEastAsia"/>
          <w:b w:val="0"/>
          <w:bCs w:val="0"/>
          <w:kern w:val="2"/>
          <w:sz w:val="24"/>
          <w:szCs w:val="32"/>
          <w:lang w:val="en-US" w:eastAsia="zh-CN" w:bidi="ar-SA"/>
        </w:rPr>
        <w:t>17%、P2O5</w:t>
      </w:r>
      <w:r>
        <w:rPr>
          <w:rFonts w:hint="default" w:cs="楷体_GB2312" w:asciiTheme="minorHAnsi" w:hAnsiTheme="minorHAnsi" w:eastAsiaTheme="minorEastAsia"/>
          <w:b w:val="0"/>
          <w:bCs w:val="0"/>
          <w:kern w:val="2"/>
          <w:sz w:val="24"/>
          <w:szCs w:val="32"/>
          <w:lang w:val="en-US" w:eastAsia="zh-CN" w:bidi="ar-SA"/>
        </w:rPr>
        <w:t>≥</w:t>
      </w:r>
      <w:r>
        <w:rPr>
          <w:rFonts w:hint="eastAsia" w:cs="楷体_GB2312" w:asciiTheme="minorHAnsi" w:hAnsiTheme="minorHAnsi" w:eastAsiaTheme="minorEastAsia"/>
          <w:b w:val="0"/>
          <w:bCs w:val="0"/>
          <w:kern w:val="2"/>
          <w:sz w:val="24"/>
          <w:szCs w:val="32"/>
          <w:lang w:val="en-US" w:eastAsia="zh-CN" w:bidi="ar-SA"/>
        </w:rPr>
        <w:t>7%、K2O</w:t>
      </w:r>
      <w:r>
        <w:rPr>
          <w:rFonts w:hint="default" w:cs="楷体_GB2312" w:asciiTheme="minorHAnsi" w:hAnsiTheme="minorHAnsi" w:eastAsiaTheme="minorEastAsia"/>
          <w:b w:val="0"/>
          <w:bCs w:val="0"/>
          <w:kern w:val="2"/>
          <w:sz w:val="24"/>
          <w:szCs w:val="32"/>
          <w:lang w:val="en-US" w:eastAsia="zh-CN" w:bidi="ar-SA"/>
        </w:rPr>
        <w:t>≥</w:t>
      </w:r>
      <w:r>
        <w:rPr>
          <w:rFonts w:hint="eastAsia" w:cs="楷体_GB2312" w:asciiTheme="minorHAnsi" w:hAnsiTheme="minorHAnsi" w:eastAsiaTheme="minorEastAsia"/>
          <w:b w:val="0"/>
          <w:bCs w:val="0"/>
          <w:kern w:val="2"/>
          <w:sz w:val="24"/>
          <w:szCs w:val="32"/>
          <w:lang w:val="en-US" w:eastAsia="zh-CN" w:bidi="ar-SA"/>
        </w:rPr>
        <w:t>12%）、中微量元素2%，氯基型；②执行标准：GB/T 21633-2020 国家标准；③包装规格：50kg/袋。</w:t>
      </w:r>
    </w:p>
    <w:p>
      <w:pPr>
        <w:spacing w:line="360" w:lineRule="auto"/>
        <w:ind w:firstLine="480" w:firstLineChars="200"/>
        <w:rPr>
          <w:rFonts w:hint="eastAsia" w:cs="楷体_GB2312" w:asciiTheme="minorHAnsi" w:hAnsiTheme="minorHAnsi" w:eastAsiaTheme="minorEastAsia"/>
          <w:b w:val="0"/>
          <w:bCs w:val="0"/>
          <w:kern w:val="2"/>
          <w:sz w:val="24"/>
          <w:szCs w:val="32"/>
          <w:lang w:val="en-US" w:eastAsia="zh-CN" w:bidi="ar-SA"/>
        </w:rPr>
      </w:pPr>
      <w:r>
        <w:rPr>
          <w:rFonts w:hint="eastAsia" w:cs="楷体_GB2312" w:asciiTheme="minorHAnsi" w:hAnsiTheme="minorHAnsi" w:eastAsiaTheme="minorEastAsia"/>
          <w:b w:val="0"/>
          <w:bCs w:val="0"/>
          <w:kern w:val="2"/>
          <w:sz w:val="24"/>
          <w:szCs w:val="32"/>
          <w:lang w:val="en-US" w:eastAsia="zh-CN" w:bidi="ar-SA"/>
        </w:rPr>
        <w:t>2.有机肥要求：①技术参数：功能菌个数≥0.2亿/克、有机质≥40%；②执行标准：NY/T884-2012行业标准；③包装规格：40kg/袋。</w:t>
      </w:r>
    </w:p>
    <w:p>
      <w:pPr>
        <w:spacing w:line="360" w:lineRule="auto"/>
        <w:ind w:firstLine="480" w:firstLineChars="200"/>
        <w:rPr>
          <w:rFonts w:hint="eastAsia" w:cs="楷体_GB2312" w:asciiTheme="minorHAnsi" w:hAnsiTheme="minorHAnsi" w:eastAsiaTheme="minorEastAsia"/>
          <w:b w:val="0"/>
          <w:bCs w:val="0"/>
          <w:kern w:val="2"/>
          <w:sz w:val="24"/>
          <w:szCs w:val="32"/>
          <w:lang w:val="zh-CN" w:eastAsia="zh-CN" w:bidi="ar-SA"/>
        </w:rPr>
      </w:pPr>
      <w:r>
        <w:rPr>
          <w:rFonts w:hint="eastAsia" w:cs="楷体_GB2312" w:asciiTheme="minorHAnsi" w:hAnsiTheme="minorHAnsi" w:eastAsiaTheme="minorEastAsia"/>
          <w:b w:val="0"/>
          <w:bCs w:val="0"/>
          <w:kern w:val="2"/>
          <w:sz w:val="24"/>
          <w:szCs w:val="32"/>
          <w:lang w:val="zh-CN" w:eastAsia="zh-CN" w:bidi="ar-SA"/>
        </w:rPr>
        <w:t>四、技术标准要求(依照标准、参照标准）</w:t>
      </w:r>
    </w:p>
    <w:p>
      <w:pPr>
        <w:spacing w:line="360" w:lineRule="auto"/>
        <w:ind w:firstLine="480" w:firstLineChars="200"/>
        <w:rPr>
          <w:rFonts w:hint="eastAsia" w:cs="楷体_GB2312" w:asciiTheme="minorHAnsi" w:hAnsiTheme="minorHAnsi" w:eastAsiaTheme="minorEastAsia"/>
          <w:b w:val="0"/>
          <w:bCs w:val="0"/>
          <w:kern w:val="2"/>
          <w:sz w:val="24"/>
          <w:szCs w:val="32"/>
          <w:lang w:val="en-US" w:eastAsia="zh-CN" w:bidi="ar-SA"/>
        </w:rPr>
      </w:pPr>
      <w:r>
        <w:rPr>
          <w:rFonts w:hint="eastAsia" w:cs="楷体_GB2312" w:asciiTheme="minorHAnsi" w:hAnsiTheme="minorHAnsi" w:eastAsiaTheme="minorEastAsia"/>
          <w:b w:val="0"/>
          <w:bCs w:val="0"/>
          <w:kern w:val="2"/>
          <w:sz w:val="24"/>
          <w:szCs w:val="32"/>
          <w:lang w:val="en-US" w:eastAsia="zh-CN" w:bidi="ar-SA"/>
        </w:rPr>
        <w:t>/</w:t>
      </w:r>
    </w:p>
    <w:p>
      <w:pPr>
        <w:spacing w:line="360" w:lineRule="auto"/>
        <w:ind w:firstLine="480" w:firstLineChars="200"/>
        <w:rPr>
          <w:rFonts w:hint="eastAsia" w:cs="楷体_GB2312" w:asciiTheme="minorHAnsi" w:hAnsiTheme="minorHAnsi" w:eastAsiaTheme="minorEastAsia"/>
          <w:b w:val="0"/>
          <w:bCs w:val="0"/>
          <w:kern w:val="2"/>
          <w:sz w:val="24"/>
          <w:szCs w:val="32"/>
          <w:lang w:val="zh-CN" w:eastAsia="zh-CN" w:bidi="ar-SA"/>
        </w:rPr>
      </w:pPr>
      <w:r>
        <w:rPr>
          <w:rFonts w:hint="eastAsia" w:cs="楷体_GB2312" w:asciiTheme="minorHAnsi" w:hAnsiTheme="minorHAnsi" w:eastAsiaTheme="minorEastAsia"/>
          <w:b w:val="0"/>
          <w:bCs w:val="0"/>
          <w:kern w:val="2"/>
          <w:sz w:val="24"/>
          <w:szCs w:val="32"/>
          <w:lang w:val="zh-CN" w:eastAsia="zh-CN" w:bidi="ar-SA"/>
        </w:rPr>
        <w:t>五、完成时间</w:t>
      </w:r>
    </w:p>
    <w:p>
      <w:pPr>
        <w:spacing w:line="360" w:lineRule="auto"/>
        <w:ind w:firstLine="480" w:firstLineChars="200"/>
        <w:rPr>
          <w:rFonts w:hint="default" w:cs="楷体_GB2312" w:asciiTheme="minorHAnsi" w:hAnsiTheme="minorHAnsi" w:eastAsiaTheme="minorEastAsia"/>
          <w:b w:val="0"/>
          <w:bCs w:val="0"/>
          <w:kern w:val="2"/>
          <w:sz w:val="24"/>
          <w:szCs w:val="32"/>
          <w:lang w:val="en-US" w:eastAsia="zh-CN" w:bidi="ar-SA"/>
        </w:rPr>
      </w:pPr>
      <w:r>
        <w:rPr>
          <w:rFonts w:hint="eastAsia" w:cs="楷体_GB2312"/>
          <w:b w:val="0"/>
          <w:bCs w:val="0"/>
          <w:kern w:val="2"/>
          <w:sz w:val="24"/>
          <w:szCs w:val="32"/>
          <w:lang w:val="en-US" w:eastAsia="zh-CN" w:bidi="ar-SA"/>
        </w:rPr>
        <w:t>完成时限</w:t>
      </w:r>
      <w:r>
        <w:rPr>
          <w:rFonts w:hint="eastAsia" w:cs="楷体_GB2312" w:asciiTheme="minorHAnsi" w:hAnsiTheme="minorHAnsi" w:eastAsiaTheme="minorEastAsia"/>
          <w:b w:val="0"/>
          <w:bCs w:val="0"/>
          <w:kern w:val="2"/>
          <w:sz w:val="24"/>
          <w:szCs w:val="32"/>
          <w:lang w:val="zh-CN" w:eastAsia="zh-CN" w:bidi="ar-SA"/>
        </w:rPr>
        <w:t>：</w:t>
      </w:r>
      <w:r>
        <w:rPr>
          <w:rFonts w:hint="eastAsia" w:cs="楷体_GB2312"/>
          <w:b w:val="0"/>
          <w:bCs w:val="0"/>
          <w:kern w:val="2"/>
          <w:sz w:val="24"/>
          <w:szCs w:val="32"/>
          <w:lang w:val="en-US" w:eastAsia="zh-CN" w:bidi="ar-SA"/>
        </w:rPr>
        <w:t>需在2023年12月底前完成采购、配送、发放等相关工作，确保土壤改良任务按时发放完成。</w:t>
      </w:r>
    </w:p>
    <w:p>
      <w:pPr>
        <w:spacing w:line="360" w:lineRule="auto"/>
        <w:ind w:firstLine="480" w:firstLineChars="200"/>
        <w:rPr>
          <w:rFonts w:hint="eastAsia" w:cs="楷体_GB2312" w:asciiTheme="minorHAnsi" w:hAnsiTheme="minorHAnsi" w:eastAsiaTheme="minorEastAsia"/>
          <w:b w:val="0"/>
          <w:bCs w:val="0"/>
          <w:kern w:val="2"/>
          <w:sz w:val="24"/>
          <w:szCs w:val="32"/>
          <w:lang w:val="zh-CN" w:eastAsia="zh-CN" w:bidi="ar-SA"/>
        </w:rPr>
      </w:pPr>
      <w:r>
        <w:rPr>
          <w:rFonts w:hint="eastAsia" w:cs="楷体_GB2312"/>
          <w:b w:val="0"/>
          <w:bCs w:val="0"/>
          <w:kern w:val="2"/>
          <w:sz w:val="24"/>
          <w:szCs w:val="32"/>
          <w:lang w:val="en-US" w:eastAsia="zh-CN" w:bidi="ar-SA"/>
        </w:rPr>
        <w:t>六、</w:t>
      </w:r>
      <w:r>
        <w:rPr>
          <w:rFonts w:hint="eastAsia" w:cs="楷体_GB2312" w:asciiTheme="minorHAnsi" w:hAnsiTheme="minorHAnsi" w:eastAsiaTheme="minorEastAsia"/>
          <w:b w:val="0"/>
          <w:bCs w:val="0"/>
          <w:kern w:val="2"/>
          <w:sz w:val="24"/>
          <w:szCs w:val="32"/>
          <w:lang w:val="zh-CN" w:eastAsia="zh-CN" w:bidi="ar-SA"/>
        </w:rPr>
        <w:t>验收方法及标准：根据农业部《2012年全国测土配方施肥技术普及行动方案》，</w:t>
      </w:r>
    </w:p>
    <w:p>
      <w:pPr>
        <w:spacing w:line="360" w:lineRule="auto"/>
        <w:ind w:firstLine="480" w:firstLineChars="200"/>
        <w:rPr>
          <w:rFonts w:hint="eastAsia" w:cs="楷体_GB2312" w:asciiTheme="minorHAnsi" w:hAnsiTheme="minorHAnsi" w:eastAsiaTheme="minorEastAsia"/>
          <w:b w:val="0"/>
          <w:bCs w:val="0"/>
          <w:kern w:val="2"/>
          <w:sz w:val="24"/>
          <w:szCs w:val="32"/>
          <w:lang w:val="zh-CN" w:eastAsia="zh-CN" w:bidi="ar-SA"/>
        </w:rPr>
      </w:pPr>
      <w:r>
        <w:rPr>
          <w:rFonts w:hint="eastAsia" w:cs="楷体_GB2312" w:asciiTheme="minorHAnsi" w:hAnsiTheme="minorHAnsi" w:eastAsiaTheme="minorEastAsia"/>
          <w:b w:val="0"/>
          <w:bCs w:val="0"/>
          <w:kern w:val="2"/>
          <w:sz w:val="24"/>
          <w:szCs w:val="32"/>
          <w:lang w:val="zh-CN" w:eastAsia="zh-CN" w:bidi="ar-SA"/>
        </w:rPr>
        <w:t>《测土配方施肥技术规范》等相关文件和项目规范性要求，参照《测土配方施肥补贴项目验收暂行办法》，</w:t>
      </w:r>
      <w:r>
        <w:rPr>
          <w:rFonts w:hint="eastAsia" w:cs="楷体_GB2312" w:asciiTheme="minorHAnsi" w:hAnsiTheme="minorHAnsi" w:eastAsiaTheme="minorEastAsia"/>
          <w:b w:val="0"/>
          <w:bCs w:val="0"/>
          <w:kern w:val="2"/>
          <w:sz w:val="24"/>
          <w:szCs w:val="32"/>
          <w:lang w:val="en-US" w:eastAsia="zh-CN" w:bidi="ar-SA"/>
        </w:rPr>
        <w:t>组织专家进行验收。</w:t>
      </w:r>
    </w:p>
    <w:p>
      <w:pPr>
        <w:spacing w:line="360" w:lineRule="auto"/>
        <w:ind w:firstLine="480" w:firstLineChars="200"/>
        <w:rPr>
          <w:rFonts w:hint="default" w:cs="楷体_GB2312" w:asciiTheme="minorHAnsi" w:hAnsiTheme="minorHAnsi" w:eastAsiaTheme="minorEastAsia"/>
          <w:b w:val="0"/>
          <w:bCs w:val="0"/>
          <w:kern w:val="2"/>
          <w:sz w:val="24"/>
          <w:szCs w:val="32"/>
          <w:lang w:val="en-US" w:eastAsia="zh-CN" w:bidi="ar-SA"/>
        </w:rPr>
      </w:pPr>
      <w:r>
        <w:rPr>
          <w:rFonts w:hint="eastAsia" w:cs="楷体_GB2312" w:asciiTheme="minorHAnsi" w:hAnsiTheme="minorHAnsi" w:eastAsiaTheme="minorEastAsia"/>
          <w:b w:val="0"/>
          <w:bCs w:val="0"/>
          <w:kern w:val="2"/>
          <w:sz w:val="24"/>
          <w:szCs w:val="32"/>
          <w:lang w:val="zh-CN" w:eastAsia="zh-CN" w:bidi="ar-SA"/>
        </w:rPr>
        <w:t>七、付款方式：</w:t>
      </w:r>
      <w:r>
        <w:rPr>
          <w:rFonts w:hint="eastAsia" w:cs="楷体_GB2312" w:asciiTheme="minorHAnsi" w:hAnsiTheme="minorHAnsi" w:eastAsiaTheme="minorEastAsia"/>
          <w:b w:val="0"/>
          <w:bCs w:val="0"/>
          <w:kern w:val="2"/>
          <w:sz w:val="24"/>
          <w:szCs w:val="32"/>
          <w:lang w:val="en-US" w:eastAsia="zh-CN" w:bidi="ar-SA"/>
        </w:rPr>
        <w:t>按合同约定</w:t>
      </w:r>
    </w:p>
    <w:p>
      <w:pPr>
        <w:spacing w:line="360" w:lineRule="auto"/>
        <w:ind w:firstLine="480" w:firstLineChars="200"/>
        <w:rPr>
          <w:rFonts w:hint="default" w:cs="楷体_GB2312" w:asciiTheme="minorHAnsi" w:hAnsiTheme="minorHAnsi" w:eastAsiaTheme="minorEastAsia"/>
          <w:b w:val="0"/>
          <w:bCs w:val="0"/>
          <w:kern w:val="2"/>
          <w:sz w:val="24"/>
          <w:szCs w:val="32"/>
          <w:lang w:val="en-US" w:eastAsia="zh-CN" w:bidi="ar-SA"/>
        </w:rPr>
      </w:pPr>
      <w:r>
        <w:rPr>
          <w:rFonts w:hint="eastAsia" w:cs="楷体_GB2312" w:asciiTheme="minorHAnsi" w:hAnsiTheme="minorHAnsi" w:eastAsiaTheme="minorEastAsia"/>
          <w:b w:val="0"/>
          <w:bCs w:val="0"/>
          <w:kern w:val="2"/>
          <w:sz w:val="24"/>
          <w:szCs w:val="32"/>
          <w:lang w:val="zh-CN" w:eastAsia="zh-CN" w:bidi="ar-SA"/>
        </w:rPr>
        <w:t>八、售后服务要求：</w:t>
      </w:r>
      <w:r>
        <w:rPr>
          <w:rFonts w:hint="eastAsia" w:cs="楷体_GB2312" w:asciiTheme="minorHAnsi" w:hAnsiTheme="minorHAnsi" w:eastAsiaTheme="minorEastAsia"/>
          <w:b w:val="0"/>
          <w:bCs w:val="0"/>
          <w:kern w:val="2"/>
          <w:sz w:val="24"/>
          <w:szCs w:val="32"/>
          <w:lang w:val="en-US" w:eastAsia="zh-CN" w:bidi="ar-SA"/>
        </w:rPr>
        <w:t>满足相应文件售后要求。</w:t>
      </w:r>
    </w:p>
    <w:p>
      <w:pPr>
        <w:spacing w:line="360" w:lineRule="auto"/>
        <w:ind w:firstLine="480" w:firstLineChars="200"/>
        <w:rPr>
          <w:rFonts w:hint="eastAsia" w:cs="楷体_GB2312" w:asciiTheme="minorHAnsi" w:hAnsiTheme="minorHAnsi" w:eastAsiaTheme="minorEastAsia"/>
          <w:b w:val="0"/>
          <w:bCs w:val="0"/>
          <w:kern w:val="2"/>
          <w:sz w:val="24"/>
          <w:szCs w:val="32"/>
          <w:lang w:val="zh-CN" w:eastAsia="zh-CN" w:bidi="ar-SA"/>
        </w:rPr>
      </w:pPr>
      <w:r>
        <w:rPr>
          <w:rFonts w:hint="eastAsia" w:cs="楷体_GB2312" w:asciiTheme="minorHAnsi" w:hAnsiTheme="minorHAnsi" w:eastAsiaTheme="minorEastAsia"/>
          <w:b w:val="0"/>
          <w:bCs w:val="0"/>
          <w:kern w:val="2"/>
          <w:sz w:val="24"/>
          <w:szCs w:val="32"/>
          <w:lang w:val="zh-CN" w:eastAsia="zh-CN" w:bidi="ar-SA"/>
        </w:rPr>
        <w:t>九、供应商资格要求</w:t>
      </w:r>
    </w:p>
    <w:p>
      <w:pPr>
        <w:spacing w:line="360" w:lineRule="auto"/>
        <w:ind w:firstLine="480" w:firstLineChars="200"/>
        <w:rPr>
          <w:rFonts w:hint="eastAsia" w:cs="楷体_GB2312" w:asciiTheme="minorHAnsi" w:hAnsiTheme="minorHAnsi" w:eastAsiaTheme="minorEastAsia"/>
          <w:b w:val="0"/>
          <w:bCs w:val="0"/>
          <w:kern w:val="2"/>
          <w:sz w:val="24"/>
          <w:szCs w:val="32"/>
          <w:lang w:val="zh-CN" w:eastAsia="zh-CN" w:bidi="ar-SA"/>
        </w:rPr>
      </w:pPr>
      <w:r>
        <w:rPr>
          <w:rFonts w:hint="eastAsia" w:cs="楷体_GB2312" w:asciiTheme="minorHAnsi" w:hAnsiTheme="minorHAnsi" w:eastAsiaTheme="minorEastAsia"/>
          <w:b w:val="0"/>
          <w:bCs w:val="0"/>
          <w:kern w:val="2"/>
          <w:sz w:val="24"/>
          <w:szCs w:val="32"/>
          <w:lang w:val="zh-CN" w:eastAsia="zh-CN" w:bidi="ar-SA"/>
        </w:rPr>
        <w:t>1、满足《中华人民共和国政府采购法》第二十二条规定：</w:t>
      </w:r>
    </w:p>
    <w:p>
      <w:pPr>
        <w:spacing w:line="360" w:lineRule="auto"/>
        <w:ind w:firstLine="480" w:firstLineChars="200"/>
        <w:rPr>
          <w:rFonts w:hint="eastAsia" w:cs="楷体_GB2312" w:asciiTheme="minorHAnsi" w:hAnsiTheme="minorHAnsi" w:eastAsiaTheme="minorEastAsia"/>
          <w:b w:val="0"/>
          <w:bCs w:val="0"/>
          <w:kern w:val="2"/>
          <w:sz w:val="24"/>
          <w:szCs w:val="32"/>
          <w:lang w:val="zh-CN" w:eastAsia="zh-CN" w:bidi="ar-SA"/>
        </w:rPr>
      </w:pPr>
      <w:r>
        <w:rPr>
          <w:rFonts w:hint="eastAsia" w:cs="楷体_GB2312" w:asciiTheme="minorHAnsi" w:hAnsiTheme="minorHAnsi" w:eastAsiaTheme="minorEastAsia"/>
          <w:b w:val="0"/>
          <w:bCs w:val="0"/>
          <w:kern w:val="2"/>
          <w:sz w:val="24"/>
          <w:szCs w:val="32"/>
          <w:lang w:val="zh-CN" w:eastAsia="zh-CN" w:bidi="ar-SA"/>
        </w:rPr>
        <w:t>1）具有独立承担民事责任能力的法人、其他组织或自然人，并出具合法有效的营业执照或事业单位法人证书等国家规定的相关证明，自然人参与的提供其身份证明；</w:t>
      </w:r>
    </w:p>
    <w:p>
      <w:pPr>
        <w:spacing w:line="360" w:lineRule="auto"/>
        <w:ind w:firstLine="480" w:firstLineChars="200"/>
        <w:rPr>
          <w:rFonts w:hint="eastAsia" w:cs="楷体_GB2312"/>
          <w:b w:val="0"/>
          <w:bCs w:val="0"/>
          <w:kern w:val="2"/>
          <w:sz w:val="24"/>
          <w:szCs w:val="32"/>
          <w:lang w:val="zh-CN" w:eastAsia="zh-CN" w:bidi="ar-SA"/>
        </w:rPr>
      </w:pPr>
      <w:r>
        <w:rPr>
          <w:rFonts w:hint="eastAsia" w:cs="楷体_GB2312"/>
          <w:b w:val="0"/>
          <w:bCs w:val="0"/>
          <w:kern w:val="2"/>
          <w:sz w:val="24"/>
          <w:szCs w:val="32"/>
          <w:lang w:val="zh-CN" w:eastAsia="zh-CN" w:bidi="ar-SA"/>
        </w:rPr>
        <w:t>（</w:t>
      </w:r>
      <w:r>
        <w:rPr>
          <w:rFonts w:hint="eastAsia" w:cs="楷体_GB2312"/>
          <w:b w:val="0"/>
          <w:bCs w:val="0"/>
          <w:kern w:val="2"/>
          <w:sz w:val="24"/>
          <w:szCs w:val="32"/>
          <w:lang w:val="en-US" w:eastAsia="zh-CN" w:bidi="ar-SA"/>
        </w:rPr>
        <w:t>2</w:t>
      </w:r>
      <w:r>
        <w:rPr>
          <w:rFonts w:hint="eastAsia" w:cs="楷体_GB2312"/>
          <w:b w:val="0"/>
          <w:bCs w:val="0"/>
          <w:kern w:val="2"/>
          <w:sz w:val="24"/>
          <w:szCs w:val="32"/>
          <w:lang w:val="zh-CN" w:eastAsia="zh-CN" w:bidi="ar-SA"/>
        </w:rPr>
        <w:t>）</w:t>
      </w:r>
      <w:r>
        <w:rPr>
          <w:rFonts w:hint="eastAsia" w:cs="楷体_GB2312" w:asciiTheme="minorHAnsi" w:hAnsiTheme="minorHAnsi" w:eastAsiaTheme="minorEastAsia"/>
          <w:b w:val="0"/>
          <w:bCs w:val="0"/>
          <w:kern w:val="2"/>
          <w:sz w:val="24"/>
          <w:szCs w:val="32"/>
          <w:lang w:val="zh-CN" w:eastAsia="zh-CN" w:bidi="ar-SA"/>
        </w:rPr>
        <w:t>投标人为生产厂家需提供国家相关部门核发的肥料登记证，若为代理商则需提供加盖厂家原色公章的肥料登记证复印件</w:t>
      </w:r>
      <w:r>
        <w:rPr>
          <w:rFonts w:hint="eastAsia" w:cs="楷体_GB2312"/>
          <w:b w:val="0"/>
          <w:bCs w:val="0"/>
          <w:kern w:val="2"/>
          <w:sz w:val="24"/>
          <w:szCs w:val="32"/>
          <w:lang w:val="zh-CN" w:eastAsia="zh-CN" w:bidi="ar-SA"/>
        </w:rPr>
        <w:t>；</w:t>
      </w:r>
    </w:p>
    <w:p>
      <w:pPr>
        <w:pStyle w:val="8"/>
        <w:ind w:firstLine="480" w:firstLineChars="200"/>
        <w:rPr>
          <w:rFonts w:hint="eastAsia"/>
          <w:lang w:val="zh-CN" w:eastAsia="zh-CN"/>
        </w:rPr>
      </w:pPr>
      <w:r>
        <w:rPr>
          <w:rFonts w:hint="eastAsia" w:cs="楷体_GB2312"/>
          <w:b w:val="0"/>
          <w:bCs w:val="0"/>
          <w:kern w:val="2"/>
          <w:sz w:val="24"/>
          <w:szCs w:val="32"/>
          <w:lang w:val="zh-CN" w:eastAsia="zh-CN" w:bidi="ar-SA"/>
        </w:rPr>
        <w:t>（</w:t>
      </w:r>
      <w:r>
        <w:rPr>
          <w:rFonts w:hint="eastAsia" w:cs="楷体_GB2312"/>
          <w:b w:val="0"/>
          <w:bCs w:val="0"/>
          <w:kern w:val="2"/>
          <w:sz w:val="24"/>
          <w:szCs w:val="32"/>
          <w:lang w:val="en-US" w:eastAsia="zh-CN" w:bidi="ar-SA"/>
        </w:rPr>
        <w:t>3</w:t>
      </w:r>
      <w:r>
        <w:rPr>
          <w:rFonts w:hint="eastAsia" w:cs="楷体_GB2312"/>
          <w:b w:val="0"/>
          <w:bCs w:val="0"/>
          <w:kern w:val="2"/>
          <w:sz w:val="24"/>
          <w:szCs w:val="32"/>
          <w:lang w:val="zh-CN" w:eastAsia="zh-CN" w:bidi="ar-SA"/>
        </w:rPr>
        <w:t>）投标人所投产品须具有农业部门批准核发的的肥料登记证；</w:t>
      </w:r>
    </w:p>
    <w:p>
      <w:pPr>
        <w:spacing w:line="360" w:lineRule="auto"/>
        <w:ind w:firstLine="480" w:firstLineChars="200"/>
        <w:rPr>
          <w:rFonts w:hint="eastAsia" w:cs="楷体_GB2312" w:asciiTheme="minorHAnsi" w:hAnsiTheme="minorHAnsi" w:eastAsiaTheme="minorEastAsia"/>
          <w:b w:val="0"/>
          <w:bCs w:val="0"/>
          <w:kern w:val="2"/>
          <w:sz w:val="24"/>
          <w:szCs w:val="32"/>
          <w:lang w:val="zh-CN" w:eastAsia="zh-CN" w:bidi="ar-SA"/>
        </w:rPr>
      </w:pPr>
      <w:r>
        <w:rPr>
          <w:rFonts w:hint="eastAsia" w:cs="楷体_GB2312" w:asciiTheme="minorHAnsi" w:hAnsiTheme="minorHAnsi" w:eastAsiaTheme="minorEastAsia"/>
          <w:b w:val="0"/>
          <w:bCs w:val="0"/>
          <w:kern w:val="2"/>
          <w:sz w:val="24"/>
          <w:szCs w:val="32"/>
          <w:lang w:val="zh-CN" w:eastAsia="zh-CN" w:bidi="ar-SA"/>
        </w:rPr>
        <w:t>（</w:t>
      </w:r>
      <w:r>
        <w:rPr>
          <w:rFonts w:hint="eastAsia" w:cs="楷体_GB2312"/>
          <w:b w:val="0"/>
          <w:bCs w:val="0"/>
          <w:kern w:val="2"/>
          <w:sz w:val="24"/>
          <w:szCs w:val="32"/>
          <w:lang w:val="en-US" w:eastAsia="zh-CN" w:bidi="ar-SA"/>
        </w:rPr>
        <w:t>4</w:t>
      </w:r>
      <w:r>
        <w:rPr>
          <w:rFonts w:hint="eastAsia" w:cs="楷体_GB2312" w:asciiTheme="minorHAnsi" w:hAnsiTheme="minorHAnsi" w:eastAsiaTheme="minorEastAsia"/>
          <w:b w:val="0"/>
          <w:bCs w:val="0"/>
          <w:kern w:val="2"/>
          <w:sz w:val="24"/>
          <w:szCs w:val="32"/>
          <w:lang w:val="zh-CN" w:eastAsia="zh-CN" w:bidi="ar-SA"/>
        </w:rPr>
        <w:t>）财务状况报告：提供</w:t>
      </w:r>
      <w:r>
        <w:rPr>
          <w:rFonts w:hint="eastAsia" w:cs="楷体_GB2312"/>
          <w:b w:val="0"/>
          <w:bCs w:val="0"/>
          <w:kern w:val="2"/>
          <w:sz w:val="24"/>
          <w:szCs w:val="32"/>
          <w:lang w:val="en-US" w:eastAsia="zh-CN" w:bidi="ar-SA"/>
        </w:rPr>
        <w:t>2021年度或</w:t>
      </w:r>
      <w:r>
        <w:rPr>
          <w:rFonts w:hint="eastAsia" w:cs="楷体_GB2312" w:asciiTheme="minorHAnsi" w:hAnsiTheme="minorHAnsi" w:eastAsiaTheme="minorEastAsia"/>
          <w:b w:val="0"/>
          <w:bCs w:val="0"/>
          <w:kern w:val="2"/>
          <w:sz w:val="24"/>
          <w:szCs w:val="32"/>
          <w:lang w:val="zh-CN" w:eastAsia="zh-CN" w:bidi="ar-SA"/>
        </w:rPr>
        <w:t>202</w:t>
      </w:r>
      <w:r>
        <w:rPr>
          <w:rFonts w:hint="eastAsia" w:cs="楷体_GB2312"/>
          <w:b w:val="0"/>
          <w:bCs w:val="0"/>
          <w:kern w:val="2"/>
          <w:sz w:val="24"/>
          <w:szCs w:val="32"/>
          <w:lang w:val="en-US" w:eastAsia="zh-CN" w:bidi="ar-SA"/>
        </w:rPr>
        <w:t>2</w:t>
      </w:r>
      <w:r>
        <w:rPr>
          <w:rFonts w:hint="eastAsia" w:cs="楷体_GB2312" w:asciiTheme="minorHAnsi" w:hAnsiTheme="minorHAnsi" w:eastAsiaTheme="minorEastAsia"/>
          <w:b w:val="0"/>
          <w:bCs w:val="0"/>
          <w:kern w:val="2"/>
          <w:sz w:val="24"/>
          <w:szCs w:val="32"/>
          <w:lang w:val="zh-CN" w:eastAsia="zh-CN" w:bidi="ar-SA"/>
        </w:rPr>
        <w:t>年度的财务审计报告（至少包括资产负债表和利润表，成立时间至提交响应文件截止时间不足一年的可提供成立后任意时段的资产负债表）或其开标前三个月内银行出具的资信证明；</w:t>
      </w:r>
    </w:p>
    <w:p>
      <w:pPr>
        <w:spacing w:line="360" w:lineRule="auto"/>
        <w:ind w:firstLine="480" w:firstLineChars="200"/>
        <w:rPr>
          <w:rFonts w:hint="eastAsia" w:cs="楷体_GB2312" w:asciiTheme="minorHAnsi" w:hAnsiTheme="minorHAnsi" w:eastAsiaTheme="minorEastAsia"/>
          <w:b w:val="0"/>
          <w:bCs w:val="0"/>
          <w:kern w:val="2"/>
          <w:sz w:val="24"/>
          <w:szCs w:val="32"/>
          <w:lang w:val="zh-CN" w:eastAsia="zh-CN" w:bidi="ar-SA"/>
        </w:rPr>
      </w:pPr>
      <w:r>
        <w:rPr>
          <w:rFonts w:hint="eastAsia" w:cs="楷体_GB2312" w:asciiTheme="minorHAnsi" w:hAnsiTheme="minorHAnsi" w:eastAsiaTheme="minorEastAsia"/>
          <w:b w:val="0"/>
          <w:bCs w:val="0"/>
          <w:kern w:val="2"/>
          <w:sz w:val="24"/>
          <w:szCs w:val="32"/>
          <w:lang w:val="zh-CN" w:eastAsia="zh-CN" w:bidi="ar-SA"/>
        </w:rPr>
        <w:t>（</w:t>
      </w:r>
      <w:r>
        <w:rPr>
          <w:rFonts w:hint="eastAsia" w:cs="楷体_GB2312"/>
          <w:b w:val="0"/>
          <w:bCs w:val="0"/>
          <w:kern w:val="2"/>
          <w:sz w:val="24"/>
          <w:szCs w:val="32"/>
          <w:lang w:val="en-US" w:eastAsia="zh-CN" w:bidi="ar-SA"/>
        </w:rPr>
        <w:t>5</w:t>
      </w:r>
      <w:r>
        <w:rPr>
          <w:rFonts w:hint="eastAsia" w:cs="楷体_GB2312" w:asciiTheme="minorHAnsi" w:hAnsiTheme="minorHAnsi" w:eastAsiaTheme="minorEastAsia"/>
          <w:b w:val="0"/>
          <w:bCs w:val="0"/>
          <w:kern w:val="2"/>
          <w:sz w:val="24"/>
          <w:szCs w:val="32"/>
          <w:lang w:val="zh-CN" w:eastAsia="zh-CN" w:bidi="ar-SA"/>
        </w:rPr>
        <w:t>）税收缴纳证明：提供响应文件递交时间近一年内任意三个月的纳税证明或完税证明，依法免税的单位应提供相关证明材料；</w:t>
      </w:r>
      <w:bookmarkStart w:id="0" w:name="_GoBack"/>
      <w:bookmarkEnd w:id="0"/>
    </w:p>
    <w:p>
      <w:pPr>
        <w:spacing w:line="360" w:lineRule="auto"/>
        <w:ind w:firstLine="480" w:firstLineChars="200"/>
        <w:rPr>
          <w:rFonts w:hint="eastAsia" w:cs="楷体_GB2312" w:asciiTheme="minorHAnsi" w:hAnsiTheme="minorHAnsi" w:eastAsiaTheme="minorEastAsia"/>
          <w:b w:val="0"/>
          <w:bCs w:val="0"/>
          <w:kern w:val="2"/>
          <w:sz w:val="24"/>
          <w:szCs w:val="32"/>
          <w:lang w:val="zh-CN" w:eastAsia="zh-CN" w:bidi="ar-SA"/>
        </w:rPr>
      </w:pPr>
      <w:r>
        <w:rPr>
          <w:rFonts w:hint="eastAsia" w:cs="楷体_GB2312" w:asciiTheme="minorHAnsi" w:hAnsiTheme="minorHAnsi" w:eastAsiaTheme="minorEastAsia"/>
          <w:b w:val="0"/>
          <w:bCs w:val="0"/>
          <w:kern w:val="2"/>
          <w:sz w:val="24"/>
          <w:szCs w:val="32"/>
          <w:lang w:val="zh-CN" w:eastAsia="zh-CN" w:bidi="ar-SA"/>
        </w:rPr>
        <w:t>（</w:t>
      </w:r>
      <w:r>
        <w:rPr>
          <w:rFonts w:hint="eastAsia" w:cs="楷体_GB2312"/>
          <w:b w:val="0"/>
          <w:bCs w:val="0"/>
          <w:kern w:val="2"/>
          <w:sz w:val="24"/>
          <w:szCs w:val="32"/>
          <w:lang w:val="en-US" w:eastAsia="zh-CN" w:bidi="ar-SA"/>
        </w:rPr>
        <w:t>6</w:t>
      </w:r>
      <w:r>
        <w:rPr>
          <w:rFonts w:hint="eastAsia" w:cs="楷体_GB2312" w:asciiTheme="minorHAnsi" w:hAnsiTheme="minorHAnsi" w:eastAsiaTheme="minorEastAsia"/>
          <w:b w:val="0"/>
          <w:bCs w:val="0"/>
          <w:kern w:val="2"/>
          <w:sz w:val="24"/>
          <w:szCs w:val="32"/>
          <w:lang w:val="zh-CN" w:eastAsia="zh-CN" w:bidi="ar-SA"/>
        </w:rPr>
        <w:t>）社会保障资金缴纳证明：提供响应文件递交时间近一年内任意三个月的社会保障资金缴存单据或社保机构开具的社会保险参保缴费情况证明，依法不需要缴纳社会保障资金的单位应提供相关证明材料；</w:t>
      </w:r>
    </w:p>
    <w:p>
      <w:pPr>
        <w:spacing w:line="360" w:lineRule="auto"/>
        <w:ind w:firstLine="480" w:firstLineChars="200"/>
        <w:rPr>
          <w:rFonts w:hint="eastAsia" w:cs="楷体_GB2312"/>
          <w:b w:val="0"/>
          <w:bCs w:val="0"/>
          <w:kern w:val="2"/>
          <w:sz w:val="24"/>
          <w:szCs w:val="32"/>
          <w:lang w:val="zh-CN" w:eastAsia="zh-CN" w:bidi="ar-SA"/>
        </w:rPr>
      </w:pPr>
      <w:r>
        <w:rPr>
          <w:rFonts w:hint="eastAsia" w:cs="楷体_GB2312" w:asciiTheme="minorHAnsi" w:hAnsiTheme="minorHAnsi" w:eastAsiaTheme="minorEastAsia"/>
          <w:b w:val="0"/>
          <w:bCs w:val="0"/>
          <w:kern w:val="2"/>
          <w:sz w:val="24"/>
          <w:szCs w:val="32"/>
          <w:lang w:val="zh-CN" w:eastAsia="zh-CN" w:bidi="ar-SA"/>
        </w:rPr>
        <w:t>（</w:t>
      </w:r>
      <w:r>
        <w:rPr>
          <w:rFonts w:hint="eastAsia" w:cs="楷体_GB2312"/>
          <w:b w:val="0"/>
          <w:bCs w:val="0"/>
          <w:kern w:val="2"/>
          <w:sz w:val="24"/>
          <w:szCs w:val="32"/>
          <w:lang w:val="en-US" w:eastAsia="zh-CN" w:bidi="ar-SA"/>
        </w:rPr>
        <w:t>7</w:t>
      </w:r>
      <w:r>
        <w:rPr>
          <w:rFonts w:hint="eastAsia" w:cs="楷体_GB2312" w:asciiTheme="minorHAnsi" w:hAnsiTheme="minorHAnsi" w:eastAsiaTheme="minorEastAsia"/>
          <w:b w:val="0"/>
          <w:bCs w:val="0"/>
          <w:kern w:val="2"/>
          <w:sz w:val="24"/>
          <w:szCs w:val="32"/>
          <w:lang w:val="zh-CN" w:eastAsia="zh-CN" w:bidi="ar-SA"/>
        </w:rPr>
        <w:t>）供应商具有履行本合同所必需的专业技术能力的说明及承诺</w:t>
      </w:r>
      <w:r>
        <w:rPr>
          <w:rFonts w:hint="eastAsia" w:cs="楷体_GB2312"/>
          <w:b w:val="0"/>
          <w:bCs w:val="0"/>
          <w:kern w:val="2"/>
          <w:sz w:val="24"/>
          <w:szCs w:val="32"/>
          <w:lang w:val="zh-CN" w:eastAsia="zh-CN" w:bidi="ar-SA"/>
        </w:rPr>
        <w:t>；</w:t>
      </w:r>
    </w:p>
    <w:p>
      <w:pPr>
        <w:spacing w:line="360" w:lineRule="auto"/>
        <w:ind w:left="479" w:leftChars="228" w:firstLine="0" w:firstLineChars="0"/>
        <w:rPr>
          <w:rFonts w:hint="eastAsia" w:cs="楷体_GB2312" w:asciiTheme="minorHAnsi" w:hAnsiTheme="minorHAnsi" w:eastAsiaTheme="minorEastAsia"/>
          <w:b w:val="0"/>
          <w:bCs w:val="0"/>
          <w:kern w:val="2"/>
          <w:sz w:val="24"/>
          <w:szCs w:val="32"/>
          <w:lang w:val="zh-CN" w:eastAsia="zh-CN" w:bidi="ar-SA"/>
        </w:rPr>
      </w:pPr>
      <w:r>
        <w:rPr>
          <w:rFonts w:hint="eastAsia" w:cs="楷体_GB2312" w:asciiTheme="minorHAnsi" w:hAnsiTheme="minorHAnsi" w:eastAsiaTheme="minorEastAsia"/>
          <w:b w:val="0"/>
          <w:bCs w:val="0"/>
          <w:kern w:val="2"/>
          <w:sz w:val="24"/>
          <w:szCs w:val="32"/>
          <w:lang w:val="zh-CN" w:eastAsia="zh-CN" w:bidi="ar-SA"/>
        </w:rPr>
        <w:t>（</w:t>
      </w:r>
      <w:r>
        <w:rPr>
          <w:rFonts w:hint="eastAsia" w:cs="楷体_GB2312"/>
          <w:b w:val="0"/>
          <w:bCs w:val="0"/>
          <w:kern w:val="2"/>
          <w:sz w:val="24"/>
          <w:szCs w:val="32"/>
          <w:lang w:val="en-US" w:eastAsia="zh-CN" w:bidi="ar-SA"/>
        </w:rPr>
        <w:t>8</w:t>
      </w:r>
      <w:r>
        <w:rPr>
          <w:rFonts w:hint="eastAsia" w:cs="楷体_GB2312" w:asciiTheme="minorHAnsi" w:hAnsiTheme="minorHAnsi" w:eastAsiaTheme="minorEastAsia"/>
          <w:b w:val="0"/>
          <w:bCs w:val="0"/>
          <w:kern w:val="2"/>
          <w:sz w:val="24"/>
          <w:szCs w:val="32"/>
          <w:lang w:val="zh-CN" w:eastAsia="zh-CN" w:bidi="ar-SA"/>
        </w:rPr>
        <w:t>）提供参加本次政府采购活动前三年内在经营活动中没有重大违法记录的书面声明；（</w:t>
      </w:r>
      <w:r>
        <w:rPr>
          <w:rFonts w:hint="eastAsia" w:cs="楷体_GB2312"/>
          <w:b w:val="0"/>
          <w:bCs w:val="0"/>
          <w:kern w:val="2"/>
          <w:sz w:val="24"/>
          <w:szCs w:val="32"/>
          <w:lang w:val="en-US" w:eastAsia="zh-CN" w:bidi="ar-SA"/>
        </w:rPr>
        <w:t>9</w:t>
      </w:r>
      <w:r>
        <w:rPr>
          <w:rFonts w:hint="eastAsia" w:cs="楷体_GB2312" w:asciiTheme="minorHAnsi" w:hAnsiTheme="minorHAnsi" w:eastAsiaTheme="minorEastAsia"/>
          <w:b w:val="0"/>
          <w:bCs w:val="0"/>
          <w:kern w:val="2"/>
          <w:sz w:val="24"/>
          <w:szCs w:val="32"/>
          <w:lang w:val="zh-CN" w:eastAsia="zh-CN" w:bidi="ar-SA"/>
        </w:rPr>
        <w:t>）法定代表人授权书（附法定代表人身份证复印件）及被授权人身份证（法定代表人直接参加投标只需提供法定代表人身份证）；</w:t>
      </w:r>
    </w:p>
    <w:p>
      <w:pPr>
        <w:spacing w:line="360" w:lineRule="auto"/>
        <w:ind w:left="479" w:leftChars="228" w:firstLine="0" w:firstLineChars="0"/>
        <w:rPr>
          <w:rFonts w:hint="eastAsia" w:cs="楷体_GB2312" w:asciiTheme="minorHAnsi" w:hAnsiTheme="minorHAnsi" w:eastAsiaTheme="minorEastAsia"/>
          <w:b w:val="0"/>
          <w:bCs w:val="0"/>
          <w:kern w:val="2"/>
          <w:sz w:val="24"/>
          <w:szCs w:val="32"/>
          <w:lang w:val="zh-CN" w:eastAsia="zh-CN" w:bidi="ar-SA"/>
        </w:rPr>
      </w:pPr>
      <w:r>
        <w:rPr>
          <w:rFonts w:hint="eastAsia" w:cs="楷体_GB2312" w:asciiTheme="minorHAnsi" w:hAnsiTheme="minorHAnsi" w:eastAsiaTheme="minorEastAsia"/>
          <w:b w:val="0"/>
          <w:bCs w:val="0"/>
          <w:kern w:val="2"/>
          <w:sz w:val="24"/>
          <w:szCs w:val="32"/>
          <w:lang w:val="zh-CN" w:eastAsia="zh-CN" w:bidi="ar-SA"/>
        </w:rPr>
        <w:t>（</w:t>
      </w:r>
      <w:r>
        <w:rPr>
          <w:rFonts w:hint="eastAsia" w:cs="楷体_GB2312"/>
          <w:b w:val="0"/>
          <w:bCs w:val="0"/>
          <w:kern w:val="2"/>
          <w:sz w:val="24"/>
          <w:szCs w:val="32"/>
          <w:lang w:val="en-US" w:eastAsia="zh-CN" w:bidi="ar-SA"/>
        </w:rPr>
        <w:t>10</w:t>
      </w:r>
      <w:r>
        <w:rPr>
          <w:rFonts w:hint="eastAsia" w:cs="楷体_GB2312" w:asciiTheme="minorHAnsi" w:hAnsiTheme="minorHAnsi" w:eastAsiaTheme="minorEastAsia"/>
          <w:b w:val="0"/>
          <w:bCs w:val="0"/>
          <w:kern w:val="2"/>
          <w:sz w:val="24"/>
          <w:szCs w:val="32"/>
          <w:lang w:val="zh-CN" w:eastAsia="zh-CN" w:bidi="ar-SA"/>
        </w:rPr>
        <w:t>）提供通过“中国政府采购网”(www.ccgp.gov.cn)及“信用中国”网站（www.creditchina.gov.cn）查询相关主体无失信记录（网站查询的截图加盖投标人公章，查询时间为公告发布之日起至响应文件递交截止时间）；</w:t>
      </w:r>
    </w:p>
    <w:p>
      <w:pPr>
        <w:spacing w:line="360" w:lineRule="auto"/>
        <w:ind w:left="479" w:leftChars="228" w:firstLine="0" w:firstLineChars="0"/>
        <w:rPr>
          <w:rFonts w:hint="default" w:cs="楷体_GB2312" w:asciiTheme="minorHAnsi" w:hAnsiTheme="minorHAnsi" w:eastAsiaTheme="minorEastAsia"/>
          <w:b w:val="0"/>
          <w:bCs w:val="0"/>
          <w:kern w:val="2"/>
          <w:sz w:val="24"/>
          <w:szCs w:val="32"/>
          <w:lang w:val="en-US" w:eastAsia="zh-CN" w:bidi="ar-SA"/>
        </w:rPr>
      </w:pPr>
      <w:r>
        <w:rPr>
          <w:rFonts w:hint="eastAsia" w:cs="楷体_GB2312" w:asciiTheme="minorHAnsi" w:hAnsiTheme="minorHAnsi" w:eastAsiaTheme="minorEastAsia"/>
          <w:b w:val="0"/>
          <w:bCs w:val="0"/>
          <w:kern w:val="2"/>
          <w:sz w:val="24"/>
          <w:szCs w:val="32"/>
          <w:lang w:val="zh-CN" w:eastAsia="zh-CN" w:bidi="ar-SA"/>
        </w:rPr>
        <w:t>（1</w:t>
      </w:r>
      <w:r>
        <w:rPr>
          <w:rFonts w:hint="eastAsia" w:cs="楷体_GB2312"/>
          <w:b w:val="0"/>
          <w:bCs w:val="0"/>
          <w:kern w:val="2"/>
          <w:sz w:val="24"/>
          <w:szCs w:val="32"/>
          <w:lang w:val="en-US" w:eastAsia="zh-CN" w:bidi="ar-SA"/>
        </w:rPr>
        <w:t>1</w:t>
      </w:r>
      <w:r>
        <w:rPr>
          <w:rFonts w:hint="eastAsia" w:cs="楷体_GB2312" w:asciiTheme="minorHAnsi" w:hAnsiTheme="minorHAnsi" w:eastAsiaTheme="minorEastAsia"/>
          <w:b w:val="0"/>
          <w:bCs w:val="0"/>
          <w:kern w:val="2"/>
          <w:sz w:val="24"/>
          <w:szCs w:val="32"/>
          <w:lang w:val="zh-CN" w:eastAsia="zh-CN" w:bidi="ar-SA"/>
        </w:rPr>
        <w:t>）本项目不接受联合体投标</w:t>
      </w:r>
      <w:r>
        <w:rPr>
          <w:rFonts w:hint="eastAsia" w:cs="楷体_GB2312"/>
          <w:b w:val="0"/>
          <w:bCs w:val="0"/>
          <w:kern w:val="2"/>
          <w:sz w:val="24"/>
          <w:szCs w:val="32"/>
          <w:lang w:val="zh-CN" w:eastAsia="zh-CN" w:bidi="ar-SA"/>
        </w:rPr>
        <w:t>。</w:t>
      </w:r>
    </w:p>
    <w:sectPr>
      <w:pgSz w:w="11906" w:h="16838"/>
      <w:pgMar w:top="820" w:right="1266" w:bottom="1118"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HiddenHorzOCR">
    <w:altName w:val="MS Mincho"/>
    <w:panose1 w:val="00000000000000000000"/>
    <w:charset w:val="80"/>
    <w:family w:val="auto"/>
    <w:pitch w:val="default"/>
    <w:sig w:usb0="00000000" w:usb1="00000000" w:usb2="00000010" w:usb3="00000000" w:csb0="00020000" w:csb1="00000000"/>
  </w:font>
  <w:font w:name="time">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CF3C52" w:usb2="00000016" w:usb3="00000000" w:csb0="0004001F" w:csb1="00000000"/>
  </w:font>
  <w:font w:name="MS Mincho">
    <w:panose1 w:val="02020609040205080304"/>
    <w:charset w:val="80"/>
    <w:family w:val="auto"/>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253BCF"/>
    <w:multiLevelType w:val="singleLevel"/>
    <w:tmpl w:val="13253BC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dmNjI5ODI3YjMxMzgxZjA0NTRkOGMyNGE3M2Y5YWEifQ=="/>
  </w:docVars>
  <w:rsids>
    <w:rsidRoot w:val="00FE57E8"/>
    <w:rsid w:val="00234E51"/>
    <w:rsid w:val="003755C4"/>
    <w:rsid w:val="00460365"/>
    <w:rsid w:val="004E27DF"/>
    <w:rsid w:val="005B6843"/>
    <w:rsid w:val="005D0BE4"/>
    <w:rsid w:val="0066365E"/>
    <w:rsid w:val="006C3A4F"/>
    <w:rsid w:val="00992A4F"/>
    <w:rsid w:val="00A626E3"/>
    <w:rsid w:val="00AA5DBC"/>
    <w:rsid w:val="00E2168D"/>
    <w:rsid w:val="00EF109F"/>
    <w:rsid w:val="00FE57E8"/>
    <w:rsid w:val="00FF1073"/>
    <w:rsid w:val="01067ECB"/>
    <w:rsid w:val="0D545C9F"/>
    <w:rsid w:val="0E123096"/>
    <w:rsid w:val="0F691B1E"/>
    <w:rsid w:val="12ED3C4A"/>
    <w:rsid w:val="13D34DC2"/>
    <w:rsid w:val="142932D3"/>
    <w:rsid w:val="1456008D"/>
    <w:rsid w:val="1B3B7780"/>
    <w:rsid w:val="25D270EE"/>
    <w:rsid w:val="28CD4440"/>
    <w:rsid w:val="2E2D32F1"/>
    <w:rsid w:val="30413EEA"/>
    <w:rsid w:val="328A733E"/>
    <w:rsid w:val="35D119BA"/>
    <w:rsid w:val="362D7FF8"/>
    <w:rsid w:val="36371B12"/>
    <w:rsid w:val="37EF779C"/>
    <w:rsid w:val="3EB83FFD"/>
    <w:rsid w:val="40286188"/>
    <w:rsid w:val="44DA0570"/>
    <w:rsid w:val="453A0C85"/>
    <w:rsid w:val="461C1CAE"/>
    <w:rsid w:val="47BD086A"/>
    <w:rsid w:val="4AD81433"/>
    <w:rsid w:val="4FC05AB4"/>
    <w:rsid w:val="50CB21F3"/>
    <w:rsid w:val="50E27F05"/>
    <w:rsid w:val="52097713"/>
    <w:rsid w:val="54300083"/>
    <w:rsid w:val="58A3359C"/>
    <w:rsid w:val="5B24111A"/>
    <w:rsid w:val="618B585D"/>
    <w:rsid w:val="63225422"/>
    <w:rsid w:val="68CB6C3B"/>
    <w:rsid w:val="6A724F5F"/>
    <w:rsid w:val="7004359C"/>
    <w:rsid w:val="764A7FD1"/>
    <w:rsid w:val="7A542F12"/>
    <w:rsid w:val="7C460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6">
    <w:name w:val="heading 3"/>
    <w:basedOn w:val="1"/>
    <w:next w:val="1"/>
    <w:link w:val="25"/>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line="240" w:lineRule="auto"/>
      <w:ind w:left="420" w:leftChars="200" w:firstLine="420" w:firstLineChars="200"/>
    </w:pPr>
  </w:style>
  <w:style w:type="paragraph" w:styleId="3">
    <w:name w:val="Body Text Indent"/>
    <w:basedOn w:val="1"/>
    <w:next w:val="4"/>
    <w:unhideWhenUsed/>
    <w:qFormat/>
    <w:uiPriority w:val="0"/>
    <w:pPr>
      <w:adjustRightInd w:val="0"/>
      <w:spacing w:after="120" w:line="360" w:lineRule="auto"/>
      <w:ind w:left="420" w:leftChars="200"/>
    </w:pPr>
    <w:rPr>
      <w:rFonts w:hint="eastAsia" w:ascii="宋体" w:hAnsi="宋体" w:eastAsia="仿宋" w:cs="宋体"/>
      <w:kern w:val="0"/>
      <w:sz w:val="24"/>
      <w:szCs w:val="21"/>
    </w:rPr>
  </w:style>
  <w:style w:type="paragraph" w:styleId="4">
    <w:name w:val="envelope return"/>
    <w:basedOn w:val="1"/>
    <w:qFormat/>
    <w:uiPriority w:val="0"/>
    <w:pPr>
      <w:suppressAutoHyphens/>
      <w:bidi w:val="0"/>
      <w:snapToGrid w:val="0"/>
    </w:pPr>
    <w:rPr>
      <w:rFonts w:ascii="Arial" w:hAnsi="Arial" w:eastAsia="宋体" w:cs="Times New Roman"/>
    </w:rPr>
  </w:style>
  <w:style w:type="paragraph" w:styleId="8">
    <w:name w:val="Body Text"/>
    <w:basedOn w:val="1"/>
    <w:next w:val="1"/>
    <w:qFormat/>
    <w:uiPriority w:val="0"/>
    <w:pPr>
      <w:spacing w:after="120" w:afterLines="0"/>
    </w:pPr>
  </w:style>
  <w:style w:type="paragraph" w:styleId="9">
    <w:name w:val="Plain Text"/>
    <w:basedOn w:val="1"/>
    <w:unhideWhenUsed/>
    <w:qFormat/>
    <w:uiPriority w:val="0"/>
    <w:rPr>
      <w:rFonts w:hint="eastAsia" w:ascii="宋体" w:hAnsi="Courier New" w:eastAsia="仿宋" w:cs="宋体"/>
      <w:kern w:val="0"/>
      <w:szCs w:val="21"/>
    </w:rPr>
  </w:style>
  <w:style w:type="paragraph" w:styleId="10">
    <w:name w:val="Balloon Text"/>
    <w:basedOn w:val="1"/>
    <w:link w:val="27"/>
    <w:semiHidden/>
    <w:unhideWhenUsed/>
    <w:qFormat/>
    <w:uiPriority w:val="99"/>
    <w:rPr>
      <w:sz w:val="18"/>
      <w:szCs w:val="18"/>
    </w:rPr>
  </w:style>
  <w:style w:type="paragraph" w:styleId="11">
    <w:name w:val="footer"/>
    <w:basedOn w:val="1"/>
    <w:link w:val="24"/>
    <w:semiHidden/>
    <w:unhideWhenUsed/>
    <w:qFormat/>
    <w:uiPriority w:val="99"/>
    <w:pPr>
      <w:tabs>
        <w:tab w:val="center" w:pos="4153"/>
        <w:tab w:val="right" w:pos="8306"/>
      </w:tabs>
      <w:snapToGrid w:val="0"/>
      <w:jc w:val="left"/>
    </w:pPr>
    <w:rPr>
      <w:sz w:val="18"/>
      <w:szCs w:val="18"/>
    </w:rPr>
  </w:style>
  <w:style w:type="paragraph" w:styleId="12">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6"/>
    <w:basedOn w:val="1"/>
    <w:next w:val="1"/>
    <w:qFormat/>
    <w:uiPriority w:val="0"/>
    <w:pPr>
      <w:ind w:left="1050"/>
      <w:jc w:val="left"/>
    </w:pPr>
    <w:rPr>
      <w:rFonts w:ascii="仿宋_GB2312" w:eastAsia="仿宋_GB2312"/>
      <w:sz w:val="18"/>
      <w:szCs w:val="18"/>
    </w:rPr>
  </w:style>
  <w:style w:type="paragraph" w:styleId="14">
    <w:name w:val="toc 2"/>
    <w:basedOn w:val="1"/>
    <w:next w:val="1"/>
    <w:qFormat/>
    <w:uiPriority w:val="39"/>
    <w:pPr>
      <w:tabs>
        <w:tab w:val="right" w:leader="dot" w:pos="8715"/>
      </w:tabs>
      <w:ind w:left="991" w:leftChars="472"/>
    </w:pPr>
    <w:rPr>
      <w:rFonts w:ascii="宋体" w:hAnsi="宋体" w:cs="HiddenHorzOCR"/>
      <w:kern w:val="0"/>
      <w:sz w:val="24"/>
    </w:r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8"/>
    <w:next w:val="13"/>
    <w:qFormat/>
    <w:uiPriority w:val="0"/>
    <w:pPr>
      <w:ind w:firstLine="420" w:firstLineChars="100"/>
    </w:pPr>
    <w:rPr>
      <w:sz w:val="21"/>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Emphasis"/>
    <w:basedOn w:val="19"/>
    <w:qFormat/>
    <w:uiPriority w:val="20"/>
    <w:rPr>
      <w:i/>
      <w:iCs/>
    </w:rPr>
  </w:style>
  <w:style w:type="character" w:styleId="21">
    <w:name w:val="Hyperlink"/>
    <w:basedOn w:val="19"/>
    <w:semiHidden/>
    <w:unhideWhenUsed/>
    <w:qFormat/>
    <w:uiPriority w:val="99"/>
    <w:rPr>
      <w:color w:val="0000FF"/>
      <w:u w:val="single"/>
    </w:rPr>
  </w:style>
  <w:style w:type="character" w:styleId="22">
    <w:name w:val="HTML Cite"/>
    <w:basedOn w:val="19"/>
    <w:semiHidden/>
    <w:unhideWhenUsed/>
    <w:qFormat/>
    <w:uiPriority w:val="99"/>
    <w:rPr>
      <w:i/>
      <w:iCs/>
    </w:rPr>
  </w:style>
  <w:style w:type="character" w:customStyle="1" w:styleId="23">
    <w:name w:val="页眉 Char"/>
    <w:basedOn w:val="19"/>
    <w:link w:val="12"/>
    <w:semiHidden/>
    <w:qFormat/>
    <w:uiPriority w:val="99"/>
    <w:rPr>
      <w:sz w:val="18"/>
      <w:szCs w:val="18"/>
    </w:rPr>
  </w:style>
  <w:style w:type="character" w:customStyle="1" w:styleId="24">
    <w:name w:val="页脚 Char"/>
    <w:basedOn w:val="19"/>
    <w:link w:val="11"/>
    <w:semiHidden/>
    <w:qFormat/>
    <w:uiPriority w:val="99"/>
    <w:rPr>
      <w:sz w:val="18"/>
      <w:szCs w:val="18"/>
    </w:rPr>
  </w:style>
  <w:style w:type="character" w:customStyle="1" w:styleId="25">
    <w:name w:val="标题 3 Char"/>
    <w:basedOn w:val="19"/>
    <w:link w:val="6"/>
    <w:qFormat/>
    <w:uiPriority w:val="9"/>
    <w:rPr>
      <w:rFonts w:ascii="宋体" w:hAnsi="宋体" w:eastAsia="宋体" w:cs="宋体"/>
      <w:b/>
      <w:bCs/>
      <w:kern w:val="0"/>
      <w:sz w:val="27"/>
      <w:szCs w:val="27"/>
    </w:rPr>
  </w:style>
  <w:style w:type="character" w:customStyle="1" w:styleId="26">
    <w:name w:val="fw_ext"/>
    <w:basedOn w:val="19"/>
    <w:qFormat/>
    <w:uiPriority w:val="0"/>
  </w:style>
  <w:style w:type="character" w:customStyle="1" w:styleId="27">
    <w:name w:val="批注框文本 Char"/>
    <w:basedOn w:val="19"/>
    <w:link w:val="10"/>
    <w:semiHidden/>
    <w:qFormat/>
    <w:uiPriority w:val="99"/>
    <w:rPr>
      <w:sz w:val="18"/>
      <w:szCs w:val="18"/>
    </w:rPr>
  </w:style>
  <w:style w:type="paragraph" w:customStyle="1" w:styleId="28">
    <w:name w:val="*正文"/>
    <w:basedOn w:val="1"/>
    <w:qFormat/>
    <w:uiPriority w:val="0"/>
    <w:pPr>
      <w:widowControl/>
      <w:spacing w:line="360" w:lineRule="auto"/>
      <w:ind w:firstLine="200" w:firstLineChars="200"/>
      <w:contextualSpacing/>
    </w:pPr>
    <w:rPr>
      <w:rFonts w:ascii="time" w:hAnsi="time"/>
      <w:kern w:val="0"/>
      <w:sz w:val="24"/>
      <w:lang w:bidi="en-US"/>
    </w:rPr>
  </w:style>
  <w:style w:type="paragraph" w:styleId="2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1046</Words>
  <Characters>1102</Characters>
  <Lines>9</Lines>
  <Paragraphs>2</Paragraphs>
  <TotalTime>0</TotalTime>
  <ScaleCrop>false</ScaleCrop>
  <LinksUpToDate>false</LinksUpToDate>
  <CharactersWithSpaces>1107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2021-09-07T08:01:00Z</dcterms:created>
  <dc:creator>ASUS</dc:creator>
  <cp:lastModifiedBy>马方琴</cp:lastModifiedBy>
  <cp:lastPrinted>2022-05-09T08:41:00Z</cp:lastPrinted>
  <dcterms:modified xsi:type="dcterms:W3CDTF">2023-09-03T01:29:43Z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2695ED9187CA492F88ADE0644018A80B</vt:lpwstr>
  </property>
</Properties>
</file>