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bookmarkStart w:id="0" w:name="_Toc1668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3.1.2</w:t>
      </w:r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封山育林区调查区划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汉中市2023年秦岭中段（南麓）水源涵养与生物多样性保护恢复项目城固县封山育林</w:t>
      </w:r>
      <w:r>
        <w:rPr>
          <w:rFonts w:hint="eastAsia" w:ascii="仿宋_GB2312" w:hAnsi="仿宋_GB2312" w:eastAsia="仿宋_GB2312" w:cs="仿宋_GB2312"/>
          <w:sz w:val="32"/>
          <w:szCs w:val="32"/>
        </w:rPr>
        <w:t>区划为三级：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—林班（封育区）—小班。封育区设计面积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15674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亩，其中有效封育面积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亩，共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5个封育区63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作业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小班。最小小班面积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亩，最大小班面积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290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亩。</w:t>
      </w:r>
    </w:p>
    <w:p>
      <w:pPr>
        <w:pStyle w:val="4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  <w:t>3.1.2封育区现状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封育区林地面积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15674</w:t>
      </w:r>
      <w:r>
        <w:rPr>
          <w:rFonts w:hint="eastAsia" w:ascii="仿宋_GB2312" w:hAnsi="仿宋_GB2312" w:eastAsia="仿宋_GB2312" w:cs="仿宋_GB2312"/>
          <w:sz w:val="32"/>
          <w:szCs w:val="32"/>
        </w:rPr>
        <w:t>亩，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有效封育面积15000亩。</w:t>
      </w:r>
      <w:r>
        <w:rPr>
          <w:rFonts w:hint="eastAsia" w:ascii="仿宋_GB2312" w:hAnsi="仿宋_GB2312" w:eastAsia="仿宋_GB2312" w:cs="仿宋_GB2312"/>
          <w:sz w:val="32"/>
          <w:szCs w:val="32"/>
        </w:rPr>
        <w:t>地处秦岭南麓中山区，最高海拔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1832</w:t>
      </w:r>
      <w:r>
        <w:rPr>
          <w:rFonts w:hint="eastAsia" w:ascii="仿宋_GB2312" w:hAnsi="仿宋_GB2312" w:eastAsia="仿宋_GB2312" w:cs="仿宋_GB2312"/>
          <w:sz w:val="32"/>
          <w:szCs w:val="32"/>
        </w:rPr>
        <w:t>米，最低海拔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sz w:val="32"/>
          <w:szCs w:val="32"/>
        </w:rPr>
        <w:t>米，坡向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以东、南</w:t>
      </w:r>
      <w:r>
        <w:rPr>
          <w:rFonts w:hint="eastAsia" w:ascii="仿宋_GB2312" w:hAnsi="仿宋_GB2312" w:eastAsia="仿宋_GB2312" w:cs="仿宋_GB2312"/>
          <w:sz w:val="32"/>
          <w:szCs w:val="32"/>
        </w:rPr>
        <w:t>坡为主，坡度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～3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°，坡位为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坡，土壤为黄棕壤，土壤厚度2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～40cm。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封育区属于郁闭度小于0.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乔木</w:t>
      </w:r>
      <w:r>
        <w:rPr>
          <w:rFonts w:hint="eastAsia" w:ascii="仿宋_GB2312" w:hAnsi="仿宋_GB2312" w:eastAsia="仿宋_GB2312" w:cs="仿宋_GB2312"/>
          <w:sz w:val="32"/>
          <w:szCs w:val="32"/>
        </w:rPr>
        <w:t>林地，林相残败，树种结构简单。经调查，树种以栎类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和阔杂</w:t>
      </w:r>
      <w:r>
        <w:rPr>
          <w:rFonts w:hint="eastAsia" w:ascii="仿宋_GB2312" w:hAnsi="仿宋_GB2312" w:eastAsia="仿宋_GB2312" w:cs="仿宋_GB2312"/>
          <w:sz w:val="32"/>
          <w:szCs w:val="32"/>
        </w:rPr>
        <w:t>为主，分布不均匀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现有母树平均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株/亩，平均高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m，平均胸径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cm，生长状况较差，分布不均匀，油松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、冷杉</w:t>
      </w:r>
      <w:r>
        <w:rPr>
          <w:rFonts w:hint="eastAsia" w:ascii="仿宋_GB2312" w:hAnsi="仿宋_GB2312" w:eastAsia="仿宋_GB2312" w:cs="仿宋_GB2312"/>
          <w:sz w:val="32"/>
          <w:szCs w:val="32"/>
        </w:rPr>
        <w:t>等为零星分布；现有幼苗、幼树平均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株/亩，平均高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180c</w:t>
      </w:r>
      <w:r>
        <w:rPr>
          <w:rFonts w:hint="eastAsia" w:ascii="仿宋_GB2312" w:hAnsi="仿宋_GB2312" w:eastAsia="仿宋_GB2312" w:cs="仿宋_GB2312"/>
          <w:sz w:val="32"/>
          <w:szCs w:val="32"/>
        </w:rPr>
        <w:t>m，分布零星，生长良好；灌木以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红刺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胡枝子、马桑、盐夫木</w:t>
      </w:r>
      <w:r>
        <w:rPr>
          <w:rFonts w:hint="eastAsia" w:ascii="仿宋_GB2312" w:hAnsi="仿宋_GB2312" w:eastAsia="仿宋_GB2312" w:cs="仿宋_GB2312"/>
          <w:sz w:val="32"/>
          <w:szCs w:val="32"/>
        </w:rPr>
        <w:t>为主,覆盖度3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%以上。</w:t>
      </w:r>
      <w:bookmarkStart w:id="1" w:name="_Toc18306"/>
    </w:p>
    <w:bookmarkEnd w:id="1"/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  <w:t>3.2.1封育类型划分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依据《封山（沙）育林技术规程》，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</w:rPr>
        <w:t>封育区各小班立地条件和现有母树、幼树及灌木、草本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植物</w:t>
      </w:r>
      <w:r>
        <w:rPr>
          <w:rFonts w:hint="eastAsia" w:ascii="仿宋_GB2312" w:hAnsi="仿宋_GB2312" w:eastAsia="仿宋_GB2312" w:cs="仿宋_GB2312"/>
          <w:sz w:val="32"/>
          <w:szCs w:val="32"/>
        </w:rPr>
        <w:t>生长分布情况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天然更新状况，封育类型确定为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乔木型1</w:t>
      </w:r>
      <w:r>
        <w:rPr>
          <w:rFonts w:hint="eastAsia" w:ascii="仿宋_GB2312" w:hAnsi="仿宋_GB2312" w:eastAsia="仿宋_GB2312" w:cs="仿宋_GB2312"/>
          <w:sz w:val="32"/>
          <w:szCs w:val="32"/>
        </w:rPr>
        <w:t>个类型。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bookmarkStart w:id="2" w:name="_Toc27621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  <w:t>3.2.2封育方式</w:t>
      </w:r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/>
        <w:textAlignment w:val="auto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根据封育区的自然条件和社会经济条件确定封育方式。封育区因具有一定的目的树种，生长良好，故封育方式确定为半封。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3.2.3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封育年限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/>
        <w:textAlignment w:val="auto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</w:rPr>
        <w:t>《封山（沙）育林技术规程》规定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该封育区为有林地封育</w:t>
      </w:r>
      <w:r>
        <w:rPr>
          <w:rFonts w:hint="eastAsia" w:ascii="仿宋_GB2312" w:hAnsi="仿宋_GB2312" w:eastAsia="仿宋_GB2312" w:cs="仿宋_GB2312"/>
          <w:sz w:val="32"/>
          <w:szCs w:val="32"/>
        </w:rPr>
        <w:t>，确定封育年限为5年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年开始封育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年结束。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bookmarkStart w:id="3" w:name="_Toc22400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  <w:t>3.2.4封育目标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封育期满（202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年）后，乔木郁闭度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达到</w:t>
      </w:r>
      <w:r>
        <w:rPr>
          <w:rFonts w:hint="eastAsia" w:ascii="仿宋_GB2312" w:hAnsi="仿宋_GB2312" w:eastAsia="仿宋_GB2312" w:cs="仿宋_GB2312"/>
          <w:sz w:val="32"/>
          <w:szCs w:val="32"/>
        </w:rPr>
        <w:t>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郁闭度比封育前增加0.2，</w:t>
      </w:r>
      <w:r>
        <w:rPr>
          <w:rFonts w:hint="eastAsia" w:ascii="仿宋_GB2312" w:hAnsi="仿宋_GB2312" w:eastAsia="仿宋_GB2312" w:cs="仿宋_GB2312"/>
          <w:sz w:val="32"/>
          <w:szCs w:val="32"/>
        </w:rPr>
        <w:t>且分布均匀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达到有效涵养水源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控制水土流失，改善区域生态环境的目的。</w:t>
      </w:r>
      <w:bookmarkStart w:id="4" w:name="_Toc518139878"/>
      <w:bookmarkEnd w:id="4"/>
      <w:bookmarkStart w:id="5" w:name="_Toc518126774"/>
      <w:bookmarkEnd w:id="5"/>
      <w:bookmarkStart w:id="6" w:name="_Toc530533575"/>
      <w:bookmarkEnd w:id="6"/>
      <w:bookmarkStart w:id="7" w:name="_Toc146527871"/>
      <w:bookmarkEnd w:id="7"/>
      <w:bookmarkStart w:id="8" w:name="_Toc148070514"/>
      <w:bookmarkEnd w:id="8"/>
      <w:bookmarkStart w:id="9" w:name="_Toc529616724"/>
      <w:bookmarkEnd w:id="9"/>
      <w:bookmarkStart w:id="10" w:name="_Toc87779150"/>
      <w:bookmarkEnd w:id="10"/>
      <w:bookmarkStart w:id="11" w:name="_Toc530366141"/>
      <w:bookmarkEnd w:id="11"/>
      <w:bookmarkStart w:id="12" w:name="_Toc530368346"/>
      <w:bookmarkEnd w:id="12"/>
      <w:bookmarkStart w:id="13" w:name="_Toc518126944"/>
      <w:bookmarkEnd w:id="13"/>
      <w:bookmarkStart w:id="14" w:name="_Toc146960691"/>
      <w:bookmarkEnd w:id="14"/>
      <w:bookmarkStart w:id="15" w:name="_Toc18205239"/>
      <w:bookmarkEnd w:id="15"/>
      <w:bookmarkStart w:id="16" w:name="_Toc529702222"/>
      <w:bookmarkEnd w:id="16"/>
      <w:bookmarkStart w:id="17" w:name="_Toc529616845"/>
      <w:bookmarkEnd w:id="17"/>
      <w:bookmarkStart w:id="18" w:name="_Toc30885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  <w:t>3.2.5封禁措施</w:t>
      </w:r>
      <w:bookmarkEnd w:id="18"/>
      <w:bookmarkStart w:id="26" w:name="_GoBack"/>
      <w:bookmarkEnd w:id="2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19" w:name="_Toc518139879"/>
      <w:bookmarkEnd w:id="19"/>
      <w:bookmarkStart w:id="20" w:name="_Toc518126945"/>
      <w:bookmarkEnd w:id="20"/>
      <w:bookmarkStart w:id="21" w:name="_Toc518126775"/>
      <w:bookmarkEnd w:id="21"/>
      <w:bookmarkStart w:id="22" w:name="_Toc13579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3.2.5.1管护房</w:t>
      </w:r>
      <w:bookmarkEnd w:id="2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及巡护人员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根据封育区面积和人为活动情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况，在各封育区附近设一管护点，落实管护人员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共需设置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管护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名。定期对封育区进行全面巡护，杜绝一切破坏封育设施和毁林案件的发生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bookmarkStart w:id="23" w:name="_Toc518126777"/>
      <w:bookmarkEnd w:id="23"/>
      <w:bookmarkStart w:id="24" w:name="_Toc518139881"/>
      <w:bookmarkEnd w:id="24"/>
      <w:bookmarkStart w:id="25" w:name="_Toc518126947"/>
      <w:bookmarkEnd w:id="25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  <w:t>3.2.6.1林中空地补植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</w:t>
      </w:r>
      <w:r>
        <w:rPr>
          <w:rFonts w:hint="eastAsia" w:ascii="仿宋_GB2312" w:hAnsi="仿宋_GB2312" w:eastAsia="仿宋_GB2312" w:cs="仿宋_GB2312"/>
          <w:sz w:val="32"/>
          <w:szCs w:val="32"/>
        </w:rPr>
        <w:t>封育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对封育区林中空地和乔木稀疏地段进行人工补植，</w:t>
      </w:r>
      <w:r>
        <w:rPr>
          <w:rFonts w:hint="eastAsia" w:ascii="仿宋_GB2312" w:hAnsi="仿宋_GB2312" w:eastAsia="仿宋_GB2312" w:cs="仿宋_GB2312"/>
          <w:sz w:val="32"/>
          <w:szCs w:val="32"/>
        </w:rPr>
        <w:t>设计补植面积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2105</w:t>
      </w:r>
      <w:r>
        <w:rPr>
          <w:rFonts w:hint="eastAsia" w:ascii="仿宋_GB2312" w:hAnsi="仿宋_GB2312" w:eastAsia="仿宋_GB2312" w:cs="仿宋_GB2312"/>
          <w:sz w:val="32"/>
          <w:szCs w:val="32"/>
        </w:rPr>
        <w:t>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封育区</w:t>
      </w:r>
      <w:r>
        <w:rPr>
          <w:rFonts w:hint="eastAsia" w:ascii="仿宋_GB2312" w:hAnsi="仿宋_GB2312" w:eastAsia="仿宋_GB2312" w:cs="仿宋_GB2312"/>
          <w:sz w:val="32"/>
          <w:szCs w:val="32"/>
        </w:rPr>
        <w:t>面积的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详见设计表2）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封育</w:t>
      </w:r>
      <w:r>
        <w:rPr>
          <w:rFonts w:hint="eastAsia" w:ascii="仿宋_GB2312" w:hAnsi="仿宋_GB2312" w:eastAsia="仿宋_GB2312" w:cs="仿宋_GB2312"/>
          <w:sz w:val="32"/>
          <w:szCs w:val="32"/>
        </w:rPr>
        <w:t>补植主要技术措施如下：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树种选择：根据封育区立地条件，按照适地适树的原则，选择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侧柏、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杉木、厚朴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作为补植树种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优先使用良种培育的播种苗、容器苗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整地方式：穴状整地，规格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cm×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cm×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cm，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株/亩，整地时间随整地随栽植。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造林时间：补植造林时间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</w:rPr>
        <w:t>秋季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开始到土壤封冻前结束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4、造林</w:t>
      </w:r>
      <w:r>
        <w:rPr>
          <w:rFonts w:hint="eastAsia" w:ascii="仿宋_GB2312" w:hAnsi="仿宋_GB2312" w:eastAsia="仿宋_GB2312" w:cs="仿宋_GB2312"/>
          <w:sz w:val="32"/>
          <w:szCs w:val="32"/>
        </w:rPr>
        <w:t>苗木：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补植苗木分别为第一作业区使用两年生侧柏容器苗，第二、第三作业区使用一年生厚朴裸根苗、第四封育区使用两年生杉木容器苗，第五作业区使用两年生侧柏容器苗和两年生杉木容器苗。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两年生侧柏容器苗地径≥0.60cm,苗高≥40cm的合格苗木；厚朴、杉木</w:t>
      </w:r>
      <w:r>
        <w:rPr>
          <w:rFonts w:hint="eastAsia" w:ascii="仿宋_GB2312" w:hAnsi="仿宋_GB2312" w:eastAsia="仿宋_GB2312" w:cs="仿宋_GB2312"/>
          <w:sz w:val="32"/>
          <w:szCs w:val="32"/>
        </w:rPr>
        <w:t>苗木质量等级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需达到</w:t>
      </w:r>
      <w:r>
        <w:rPr>
          <w:rFonts w:hint="eastAsia" w:ascii="仿宋_GB2312" w:hAnsi="仿宋_GB2312" w:eastAsia="仿宋_GB2312" w:cs="仿宋_GB2312"/>
          <w:sz w:val="32"/>
          <w:szCs w:val="32"/>
        </w:rPr>
        <w:t>Ⅱ级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以上（详见附表2）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topLinePunct/>
        <w:spacing w:line="360" w:lineRule="exact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topLinePunct/>
        <w:spacing w:line="360" w:lineRule="exact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topLinePunct/>
        <w:spacing w:line="360" w:lineRule="exact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苗木质量标准表</w:t>
      </w:r>
    </w:p>
    <w:tbl>
      <w:tblPr>
        <w:tblStyle w:val="5"/>
        <w:tblpPr w:leftFromText="180" w:rightFromText="180" w:vertAnchor="text" w:horzAnchor="page" w:tblpX="1350" w:tblpY="402"/>
        <w:tblOverlap w:val="never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89"/>
        <w:gridCol w:w="680"/>
        <w:gridCol w:w="872"/>
        <w:gridCol w:w="1017"/>
        <w:gridCol w:w="762"/>
        <w:gridCol w:w="1339"/>
        <w:gridCol w:w="1135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tblHeader/>
        </w:trPr>
        <w:tc>
          <w:tcPr>
            <w:tcW w:w="704" w:type="dxa"/>
            <w:vMerge w:val="restart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树种</w:t>
            </w:r>
          </w:p>
        </w:tc>
        <w:tc>
          <w:tcPr>
            <w:tcW w:w="889" w:type="dxa"/>
            <w:vMerge w:val="restart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苗木种类</w:t>
            </w:r>
          </w:p>
        </w:tc>
        <w:tc>
          <w:tcPr>
            <w:tcW w:w="2569" w:type="dxa"/>
            <w:gridSpan w:val="3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Ⅰ级苗</w:t>
            </w: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Ⅱ级苗</w:t>
            </w:r>
          </w:p>
        </w:tc>
        <w:tc>
          <w:tcPr>
            <w:tcW w:w="1918" w:type="dxa"/>
            <w:vMerge w:val="restart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综合控制指标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tblHeader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苗龄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地径(cm)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苗高(cm)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苗龄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地径(cm)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苗高(cm)</w:t>
            </w:r>
          </w:p>
        </w:tc>
        <w:tc>
          <w:tcPr>
            <w:tcW w:w="1918" w:type="dxa"/>
            <w:vMerge w:val="continue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704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杉木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容器苗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2-0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0.4-0.6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25-40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苗木充分木质化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704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厚朴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播种苗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1-0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0.6-0.8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40-50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苗木充分木质化</w:t>
            </w:r>
          </w:p>
        </w:tc>
      </w:tr>
    </w:tbl>
    <w:p>
      <w:pPr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5、用</w:t>
      </w:r>
      <w:r>
        <w:rPr>
          <w:rFonts w:hint="eastAsia" w:ascii="仿宋_GB2312" w:hAnsi="仿宋_GB2312" w:eastAsia="仿宋_GB2312" w:cs="仿宋_GB2312"/>
          <w:sz w:val="32"/>
          <w:szCs w:val="32"/>
        </w:rPr>
        <w:t>苗量、用工量：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补植密度原则为3×4米，根据地形不规则补植，平均每亩补植60株，需用苗量126300株，其中侧柏32340株、厚朴53280株、杉木40680株，补植需</w:t>
      </w:r>
      <w:r>
        <w:rPr>
          <w:rFonts w:hint="eastAsia" w:ascii="仿宋_GB2312" w:hAnsi="仿宋_GB2312" w:eastAsia="仿宋_GB2312" w:cs="仿宋_GB2312"/>
          <w:sz w:val="32"/>
          <w:szCs w:val="32"/>
        </w:rPr>
        <w:t>用工量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4023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DU3OGY1Y2Q3NDA0MDBjNmU1ZjJkOWUxZDlkMTUifQ=="/>
  </w:docVars>
  <w:rsids>
    <w:rsidRoot w:val="00000000"/>
    <w:rsid w:val="5A1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6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60" w:lineRule="exact"/>
      <w:outlineLvl w:val="1"/>
    </w:pPr>
    <w:rPr>
      <w:rFonts w:ascii="Arial" w:hAnsi="Arial" w:eastAsia="黑体"/>
      <w:bCs/>
      <w:sz w:val="30"/>
      <w:szCs w:val="30"/>
    </w:rPr>
  </w:style>
  <w:style w:type="paragraph" w:styleId="3">
    <w:name w:val="heading 3"/>
    <w:basedOn w:val="1"/>
    <w:next w:val="1"/>
    <w:uiPriority w:val="6"/>
    <w:pPr>
      <w:keepNext/>
      <w:keepLines/>
      <w:widowControl w:val="0"/>
      <w:spacing w:after="312" w:line="500" w:lineRule="exact"/>
      <w:jc w:val="both"/>
      <w:outlineLvl w:val="2"/>
    </w:pPr>
    <w:rPr>
      <w:rFonts w:ascii="宋体" w:hAnsi="宋体" w:cs="宋体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lock Text"/>
    <w:basedOn w:val="1"/>
    <w:qFormat/>
    <w:uiPriority w:val="0"/>
    <w:pPr>
      <w:ind w:left="2" w:right="25" w:rightChars="12" w:hanging="2"/>
    </w:pPr>
    <w:rPr>
      <w:rFonts w:ascii="楷体_GB2312" w:hAnsi="宋体" w:eastAsia="楷体_GB2312" w:cs="Times New Roman"/>
    </w:rPr>
  </w:style>
  <w:style w:type="paragraph" w:customStyle="1" w:styleId="7">
    <w:name w:val="样式 宋体 小四 行距: 固定值 24 磅 首行缩进:  2 字符"/>
    <w:basedOn w:val="1"/>
    <w:qFormat/>
    <w:uiPriority w:val="0"/>
    <w:pPr>
      <w:adjustRightInd w:val="0"/>
      <w:snapToGrid w:val="0"/>
      <w:spacing w:line="560" w:lineRule="exact"/>
      <w:ind w:firstLine="560" w:firstLineChars="200"/>
    </w:pPr>
    <w:rPr>
      <w:rFonts w:ascii="仿宋_GB2312" w:hAnsi="宋体" w:eastAsia="仿宋_GB2312" w:cs="宋体"/>
      <w:snapToGrid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2023-10-09T00:42:51Z</dcterms:created>
  <dc:creator>Administrator</dc:creator>
  <cp:lastModifiedBy>WPS_1648726684</cp:lastModifiedBy>
  <dcterms:modified xsi:type="dcterms:W3CDTF">2023-10-09T00:47:57Z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0BE00C559AC34B369677285CB62AE071_12</vt:lpwstr>
  </property>
</Properties>
</file>