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960"/>
          <w:tab w:val="left" w:pos="8460"/>
        </w:tabs>
        <w:spacing w:line="360" w:lineRule="auto"/>
        <w:rPr>
          <w:rFonts w:hint="eastAsia" w:ascii="宋体" w:hAnsi="宋体" w:cs="宋体"/>
          <w:b/>
          <w:bCs w:val="0"/>
          <w:color w:val="000000" w:themeColor="text1"/>
          <w:sz w:val="30"/>
          <w:szCs w:val="30"/>
          <w:lang w:val="en-US" w:eastAsia="zh-CN"/>
          <w14:textFill>
            <w14:solidFill>
              <w14:schemeClr w14:val="tx1"/>
            </w14:solidFill>
          </w14:textFill>
        </w:rPr>
      </w:pPr>
      <w:bookmarkStart w:id="326" w:name="_GoBack"/>
      <w:bookmarkEnd w:id="326"/>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SXCY2023-33</w:t>
      </w: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cs="宋体"/>
          <w:b/>
          <w:color w:val="000000" w:themeColor="text1"/>
          <w:sz w:val="44"/>
          <w:szCs w:val="44"/>
          <w:lang w:val="en-US" w:eastAsia="zh-CN"/>
          <w14:textFill>
            <w14:solidFill>
              <w14:schemeClr w14:val="tx1"/>
            </w14:solidFill>
          </w14:textFill>
        </w:rPr>
      </w:pPr>
      <w:r>
        <w:rPr>
          <w:rFonts w:hint="eastAsia" w:ascii="宋体" w:hAnsi="宋体" w:cs="宋体"/>
          <w:b/>
          <w:color w:val="000000" w:themeColor="text1"/>
          <w:sz w:val="44"/>
          <w:szCs w:val="44"/>
          <w:lang w:val="en-US" w:eastAsia="zh-CN"/>
          <w14:textFill>
            <w14:solidFill>
              <w14:schemeClr w14:val="tx1"/>
            </w14:solidFill>
          </w14:textFill>
        </w:rPr>
        <w:t>旦八镇初级中学等8所学校足球场人造草坪维修改造工程</w:t>
      </w:r>
    </w:p>
    <w:p>
      <w:pPr>
        <w:rPr>
          <w:rFonts w:hint="eastAsia" w:ascii="宋体" w:hAnsi="宋体" w:cs="宋体"/>
          <w:b/>
          <w:color w:val="000000" w:themeColor="text1"/>
          <w:sz w:val="48"/>
          <w:szCs w:val="48"/>
          <w:lang w:val="en-US" w:eastAsia="zh-CN"/>
          <w14:textFill>
            <w14:solidFill>
              <w14:schemeClr w14:val="tx1"/>
            </w14:solidFill>
          </w14:textFill>
        </w:rPr>
      </w:pPr>
    </w:p>
    <w:p>
      <w:pPr>
        <w:pStyle w:val="16"/>
        <w:rPr>
          <w:rFonts w:hint="eastAsia"/>
        </w:rPr>
      </w:pPr>
    </w:p>
    <w:p>
      <w:pPr>
        <w:pStyle w:val="16"/>
        <w:rPr>
          <w:rFonts w:hint="eastAsia"/>
        </w:rPr>
      </w:pPr>
    </w:p>
    <w:p>
      <w:pPr>
        <w:spacing w:line="360" w:lineRule="auto"/>
        <w:jc w:val="both"/>
        <w:rPr>
          <w:rFonts w:hint="eastAsia" w:ascii="宋体" w:hAnsi="宋体" w:eastAsia="宋体" w:cs="宋体"/>
          <w:b/>
          <w:color w:val="000000" w:themeColor="text1"/>
          <w:sz w:val="48"/>
          <w:szCs w:val="48"/>
          <w14:textFill>
            <w14:solidFill>
              <w14:schemeClr w14:val="tx1"/>
            </w14:solidFill>
          </w14:textFill>
        </w:rPr>
      </w:pPr>
    </w:p>
    <w:p>
      <w:pPr>
        <w:pStyle w:val="7"/>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竞争性磋商文件</w:t>
      </w:r>
    </w:p>
    <w:p>
      <w:pPr>
        <w:spacing w:line="360" w:lineRule="auto"/>
        <w:jc w:val="center"/>
        <w:rPr>
          <w:rFonts w:hint="eastAsia" w:ascii="宋体" w:hAnsi="宋体" w:eastAsia="宋体" w:cs="宋体"/>
          <w:color w:val="000000" w:themeColor="text1"/>
          <w:sz w:val="30"/>
          <w:szCs w:val="30"/>
          <w:lang w:val="en-US" w:eastAsia="zh-CN"/>
          <w14:textFill>
            <w14:solidFill>
              <w14:schemeClr w14:val="tx1"/>
            </w14:solidFill>
          </w14:textFill>
        </w:rPr>
      </w:pPr>
      <w:bookmarkStart w:id="0" w:name="_Toc363463325"/>
    </w:p>
    <w:bookmarkEnd w:id="0"/>
    <w:p>
      <w:pPr>
        <w:spacing w:line="720" w:lineRule="auto"/>
        <w:ind w:firstLine="636" w:firstLineChars="198"/>
        <w:jc w:val="left"/>
        <w:rPr>
          <w:rFonts w:hint="eastAsia" w:ascii="宋体" w:hAnsi="宋体" w:eastAsia="宋体" w:cs="宋体"/>
          <w:b/>
          <w:color w:val="000000" w:themeColor="text1"/>
          <w:sz w:val="32"/>
          <w:szCs w:val="32"/>
          <w14:textFill>
            <w14:solidFill>
              <w14:schemeClr w14:val="tx1"/>
            </w14:solidFill>
          </w14:textFill>
        </w:rPr>
      </w:pPr>
    </w:p>
    <w:p>
      <w:pPr>
        <w:pStyle w:val="7"/>
        <w:ind w:left="0" w:leftChars="0" w:firstLine="0" w:firstLineChars="0"/>
        <w:rPr>
          <w:rFonts w:hint="eastAsia" w:ascii="宋体" w:hAnsi="宋体" w:eastAsia="宋体" w:cs="宋体"/>
          <w:b/>
          <w:color w:val="000000" w:themeColor="text1"/>
          <w:sz w:val="32"/>
          <w:szCs w:val="32"/>
          <w14:textFill>
            <w14:solidFill>
              <w14:schemeClr w14:val="tx1"/>
            </w14:solidFill>
          </w14:textFill>
        </w:rPr>
      </w:pPr>
    </w:p>
    <w:p>
      <w:pPr>
        <w:pStyle w:val="7"/>
        <w:rPr>
          <w:rFonts w:hint="eastAsia" w:ascii="宋体" w:hAnsi="宋体" w:eastAsia="宋体" w:cs="宋体"/>
          <w:b/>
          <w:color w:val="000000" w:themeColor="text1"/>
          <w:sz w:val="32"/>
          <w:szCs w:val="32"/>
          <w14:textFill>
            <w14:solidFill>
              <w14:schemeClr w14:val="tx1"/>
            </w14:solidFill>
          </w14:textFill>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   购   人：  </w:t>
      </w:r>
      <w:r>
        <w:rPr>
          <w:rFonts w:hint="eastAsia" w:ascii="宋体" w:hAnsi="宋体" w:cs="宋体"/>
          <w:b/>
          <w:color w:val="000000" w:themeColor="text1"/>
          <w:sz w:val="32"/>
          <w:szCs w:val="32"/>
          <w:lang w:val="en-US" w:eastAsia="zh-CN"/>
          <w14:textFill>
            <w14:solidFill>
              <w14:schemeClr w14:val="tx1"/>
            </w14:solidFill>
          </w14:textFill>
        </w:rPr>
        <w:t>志丹县教育科技体育局</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采购代理机构：  </w:t>
      </w:r>
      <w:r>
        <w:rPr>
          <w:rFonts w:hint="eastAsia" w:ascii="宋体" w:hAnsi="宋体" w:cs="宋体"/>
          <w:b/>
          <w:color w:val="000000" w:themeColor="text1"/>
          <w:sz w:val="32"/>
          <w:szCs w:val="32"/>
          <w:lang w:val="en-US" w:eastAsia="zh-CN"/>
          <w14:textFill>
            <w14:solidFill>
              <w14:schemeClr w14:val="tx1"/>
            </w14:solidFill>
          </w14:textFill>
        </w:rPr>
        <w:t>陕西宸永项目管理有限公司</w:t>
      </w:r>
      <w:r>
        <w:rPr>
          <w:rFonts w:hint="eastAsia" w:ascii="宋体" w:hAnsi="宋体" w:eastAsia="宋体" w:cs="宋体"/>
          <w:b/>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日        期：  二</w:t>
      </w:r>
      <w:r>
        <w:rPr>
          <w:rFonts w:hint="eastAsia" w:ascii="宋体" w:hAnsi="宋体" w:cs="宋体"/>
          <w:b/>
          <w:color w:val="000000" w:themeColor="text1"/>
          <w:sz w:val="32"/>
          <w:szCs w:val="32"/>
          <w:lang w:val="en-US" w:eastAsia="zh-CN"/>
          <w14:textFill>
            <w14:solidFill>
              <w14:schemeClr w14:val="tx1"/>
            </w14:solidFill>
          </w14:textFill>
        </w:rPr>
        <w:t>〇</w:t>
      </w:r>
      <w:r>
        <w:rPr>
          <w:rFonts w:hint="eastAsia" w:ascii="宋体" w:hAnsi="宋体" w:eastAsia="宋体" w:cs="宋体"/>
          <w:b/>
          <w:color w:val="000000" w:themeColor="text1"/>
          <w:sz w:val="32"/>
          <w:szCs w:val="32"/>
          <w:lang w:val="en-US" w:eastAsia="zh-CN"/>
          <w14:textFill>
            <w14:solidFill>
              <w14:schemeClr w14:val="tx1"/>
            </w14:solidFill>
          </w14:textFill>
        </w:rPr>
        <w:t>二</w:t>
      </w:r>
      <w:r>
        <w:rPr>
          <w:rFonts w:hint="eastAsia" w:ascii="宋体" w:hAnsi="宋体" w:cs="宋体"/>
          <w:b/>
          <w:color w:val="000000" w:themeColor="text1"/>
          <w:sz w:val="32"/>
          <w:szCs w:val="32"/>
          <w:lang w:val="en-US" w:eastAsia="zh-CN"/>
          <w14:textFill>
            <w14:solidFill>
              <w14:schemeClr w14:val="tx1"/>
            </w14:solidFill>
          </w14:textFill>
        </w:rPr>
        <w:t>三</w:t>
      </w:r>
      <w:r>
        <w:rPr>
          <w:rFonts w:hint="eastAsia" w:ascii="宋体" w:hAnsi="宋体" w:eastAsia="宋体" w:cs="宋体"/>
          <w:b/>
          <w:color w:val="000000" w:themeColor="text1"/>
          <w:sz w:val="32"/>
          <w:szCs w:val="32"/>
          <w:lang w:val="en-US" w:eastAsia="zh-CN"/>
          <w14:textFill>
            <w14:solidFill>
              <w14:schemeClr w14:val="tx1"/>
            </w14:solidFill>
          </w14:textFill>
        </w:rPr>
        <w:t>年</w:t>
      </w:r>
      <w:r>
        <w:rPr>
          <w:rFonts w:hint="eastAsia" w:ascii="宋体" w:hAnsi="宋体" w:cs="宋体"/>
          <w:b/>
          <w:color w:val="000000" w:themeColor="text1"/>
          <w:sz w:val="32"/>
          <w:szCs w:val="32"/>
          <w:lang w:val="en-US" w:eastAsia="zh-CN"/>
          <w14:textFill>
            <w14:solidFill>
              <w14:schemeClr w14:val="tx1"/>
            </w14:solidFill>
          </w14:textFill>
        </w:rPr>
        <w:t>八</w:t>
      </w:r>
      <w:r>
        <w:rPr>
          <w:rFonts w:hint="eastAsia" w:ascii="宋体" w:hAnsi="宋体" w:eastAsia="宋体" w:cs="宋体"/>
          <w:b/>
          <w:color w:val="000000" w:themeColor="text1"/>
          <w:sz w:val="32"/>
          <w:szCs w:val="32"/>
          <w:lang w:val="en-US" w:eastAsia="zh-CN"/>
          <w14:textFill>
            <w14:solidFill>
              <w14:schemeClr w14:val="tx1"/>
            </w14:solidFill>
          </w14:textFill>
        </w:rPr>
        <w:t>月</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sectPr>
          <w:headerReference r:id="rId4" w:type="first"/>
          <w:headerReference r:id="rId3" w:type="default"/>
          <w:pgSz w:w="11906" w:h="16838"/>
          <w:pgMar w:top="1440" w:right="1440" w:bottom="1440" w:left="1440" w:header="851" w:footer="992" w:gutter="0"/>
          <w:pgNumType w:fmt="decimal"/>
          <w:cols w:space="720" w:num="1"/>
          <w:titlePg/>
          <w:docGrid w:linePitch="312" w:charSpace="0"/>
        </w:sectPr>
      </w:pPr>
      <w:bookmarkStart w:id="1" w:name="_Toc438073527"/>
    </w:p>
    <w:p>
      <w:pPr>
        <w:spacing w:line="360" w:lineRule="auto"/>
        <w:jc w:val="center"/>
        <w:rPr>
          <w:rFonts w:hint="eastAsia" w:ascii="宋体" w:hAnsi="宋体" w:eastAsia="宋体" w:cs="宋体"/>
          <w:b/>
          <w:color w:val="000000" w:themeColor="text1"/>
          <w:sz w:val="40"/>
          <w:szCs w:val="40"/>
          <w14:textFill>
            <w14:solidFill>
              <w14:schemeClr w14:val="tx1"/>
            </w14:solidFill>
          </w14:textFill>
        </w:rPr>
      </w:pPr>
      <w:r>
        <w:rPr>
          <w:rFonts w:hint="eastAsia" w:ascii="宋体" w:hAnsi="宋体" w:eastAsia="宋体" w:cs="宋体"/>
          <w:b/>
          <w:color w:val="000000" w:themeColor="text1"/>
          <w:sz w:val="40"/>
          <w:szCs w:val="40"/>
          <w14:textFill>
            <w14:solidFill>
              <w14:schemeClr w14:val="tx1"/>
            </w14:solidFill>
          </w14:textFill>
        </w:rPr>
        <w:t>目    录</w:t>
      </w:r>
    </w:p>
    <w:p>
      <w:pPr>
        <w:pStyle w:val="7"/>
        <w:rPr>
          <w:rFonts w:hint="eastAsia"/>
        </w:rPr>
      </w:pP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"1-3"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_Toc115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第一章 竞争性磋商公告</w:t>
      </w:r>
      <w:r>
        <w:rPr>
          <w:b/>
          <w:bCs/>
          <w:sz w:val="28"/>
        </w:rPr>
        <w:tab/>
      </w:r>
      <w:r>
        <w:rPr>
          <w:b/>
          <w:bCs/>
          <w:sz w:val="28"/>
        </w:rPr>
        <w:fldChar w:fldCharType="begin"/>
      </w:r>
      <w:r>
        <w:rPr>
          <w:b/>
          <w:bCs/>
          <w:sz w:val="28"/>
        </w:rPr>
        <w:instrText xml:space="preserve"> PAGEREF _Toc115 </w:instrText>
      </w:r>
      <w:r>
        <w:rPr>
          <w:b/>
          <w:bCs/>
          <w:sz w:val="28"/>
        </w:rPr>
        <w:fldChar w:fldCharType="separate"/>
      </w:r>
      <w:r>
        <w:rPr>
          <w:b/>
          <w:bCs/>
          <w:sz w:val="28"/>
        </w:rPr>
        <w:t>1</w:t>
      </w:r>
      <w:r>
        <w:rPr>
          <w:b/>
          <w:bCs/>
          <w:sz w:val="28"/>
        </w:rPr>
        <w:fldChar w:fldCharType="end"/>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_Toc10488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第二章 供应商须知</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_Toc9686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第三章 评标办法</w:t>
      </w:r>
      <w:r>
        <w:rPr>
          <w:b/>
          <w:bCs/>
          <w:sz w:val="28"/>
        </w:rPr>
        <w:tab/>
      </w:r>
      <w:r>
        <w:rPr>
          <w:rFonts w:hint="eastAsia"/>
          <w:b/>
          <w:bCs/>
          <w:sz w:val="28"/>
          <w:lang w:val="en-US" w:eastAsia="zh-CN"/>
        </w:rPr>
        <w:t>5</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3</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_Toc30671 </w:instrText>
      </w:r>
      <w:r>
        <w:rPr>
          <w:rFonts w:hint="eastAsia" w:ascii="宋体" w:hAnsi="宋体" w:eastAsia="宋体" w:cs="宋体"/>
          <w:b/>
          <w:bCs/>
          <w:sz w:val="28"/>
          <w:szCs w:val="24"/>
        </w:rPr>
        <w:fldChar w:fldCharType="separate"/>
      </w:r>
      <w:r>
        <w:rPr>
          <w:rFonts w:hint="eastAsia"/>
          <w:b/>
          <w:bCs/>
          <w:sz w:val="28"/>
          <w:szCs w:val="44"/>
        </w:rPr>
        <w:t>第四章 合同</w:t>
      </w:r>
      <w:r>
        <w:rPr>
          <w:rFonts w:hint="eastAsia"/>
          <w:b/>
          <w:bCs/>
          <w:sz w:val="28"/>
          <w:szCs w:val="44"/>
          <w:lang w:eastAsia="zh-CN"/>
        </w:rPr>
        <w:t>（</w:t>
      </w:r>
      <w:r>
        <w:rPr>
          <w:rFonts w:hint="eastAsia"/>
          <w:b/>
          <w:bCs/>
          <w:sz w:val="28"/>
          <w:szCs w:val="44"/>
          <w:lang w:val="en-US" w:eastAsia="zh-CN"/>
        </w:rPr>
        <w:t>拟签订文本</w:t>
      </w:r>
      <w:r>
        <w:rPr>
          <w:rFonts w:hint="eastAsia"/>
          <w:b/>
          <w:bCs/>
          <w:sz w:val="28"/>
          <w:szCs w:val="44"/>
          <w:lang w:eastAsia="zh-CN"/>
        </w:rPr>
        <w:t>）</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7</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_Toc22897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第五章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采购内容和</w:t>
      </w:r>
      <w:r>
        <w:rPr>
          <w:rFonts w:hint="eastAsia" w:ascii="宋体" w:hAnsi="宋体" w:eastAsia="宋体" w:cs="宋体"/>
          <w:b/>
          <w:bCs/>
          <w:sz w:val="28"/>
          <w:szCs w:val="48"/>
        </w:rPr>
        <w:t>技术</w:t>
      </w:r>
      <w:r>
        <w:rPr>
          <w:rFonts w:hint="eastAsia" w:ascii="宋体" w:hAnsi="宋体" w:eastAsia="宋体" w:cs="宋体"/>
          <w:b/>
          <w:bCs/>
          <w:sz w:val="28"/>
          <w:szCs w:val="44"/>
        </w:rPr>
        <w:t>要求</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1</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_Toc3645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第六章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磋商响应文件格式</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2</w:t>
      </w:r>
    </w:p>
    <w:p>
      <w:pPr>
        <w:pStyle w:val="28"/>
        <w:keepNext w:val="0"/>
        <w:keepLines w:val="0"/>
        <w:pageBreakBefore w:val="0"/>
        <w:widowControl w:val="0"/>
        <w:tabs>
          <w:tab w:val="right" w:leader="middleDot" w:pos="9026"/>
        </w:tabs>
        <w:kinsoku/>
        <w:wordWrap/>
        <w:overflowPunct/>
        <w:topLinePunct w:val="0"/>
        <w:autoSpaceDE/>
        <w:autoSpaceDN/>
        <w:bidi w:val="0"/>
        <w:adjustRightInd/>
        <w:snapToGrid/>
        <w:spacing w:line="480" w:lineRule="auto"/>
        <w:textAlignment w:val="auto"/>
      </w:pPr>
    </w:p>
    <w:p>
      <w:pPr>
        <w:pStyle w:val="66"/>
        <w:keepNext w:val="0"/>
        <w:keepLines w:val="0"/>
        <w:pageBreakBefore w:val="0"/>
        <w:widowControl w:val="0"/>
        <w:tabs>
          <w:tab w:val="right" w:leader="dot" w:pos="9016"/>
        </w:tabs>
        <w:kinsoku/>
        <w:wordWrap/>
        <w:overflowPunct/>
        <w:topLinePunct w:val="0"/>
        <w:autoSpaceDE/>
        <w:autoSpaceDN/>
        <w:bidi w:val="0"/>
        <w:adjustRightInd/>
        <w:snapToGrid/>
        <w:spacing w:line="480" w:lineRule="auto"/>
        <w:ind w:left="0"/>
        <w:jc w:val="both"/>
        <w:textAlignment w:val="auto"/>
        <w:rPr>
          <w:rFonts w:hint="eastAsia" w:ascii="宋体" w:hAnsi="宋体" w:eastAsia="宋体" w:cs="宋体"/>
          <w:b/>
          <w:color w:val="000000" w:themeColor="text1"/>
          <w:sz w:val="24"/>
          <w:szCs w:val="24"/>
          <w14:textFill>
            <w14:solidFill>
              <w14:schemeClr w14:val="tx1"/>
            </w14:solidFill>
          </w14:textFill>
        </w:rPr>
        <w:sectPr>
          <w:footerReference r:id="rId6" w:type="first"/>
          <w:footerReference r:id="rId5" w:type="default"/>
          <w:pgSz w:w="11906" w:h="16838"/>
          <w:pgMar w:top="1440" w:right="1440" w:bottom="1440" w:left="1440" w:header="851" w:footer="992" w:gutter="0"/>
          <w:pgNumType w:fmt="decimal" w:start="1"/>
          <w:cols w:space="720" w:num="1"/>
          <w:titlePg/>
          <w:docGrid w:linePitch="312" w:charSpace="0"/>
        </w:sectPr>
      </w:pPr>
      <w:r>
        <w:rPr>
          <w:rFonts w:hint="eastAsia" w:ascii="宋体" w:hAnsi="宋体" w:eastAsia="宋体" w:cs="宋体"/>
          <w:color w:val="000000" w:themeColor="text1"/>
          <w:szCs w:val="24"/>
          <w14:textFill>
            <w14:solidFill>
              <w14:schemeClr w14:val="tx1"/>
            </w14:solidFill>
          </w14:textFill>
        </w:rPr>
        <w:fldChar w:fldCharType="end"/>
      </w:r>
    </w:p>
    <w:p>
      <w:pPr>
        <w:pStyle w:val="3"/>
        <w:numPr>
          <w:ilvl w:val="0"/>
          <w:numId w:val="2"/>
        </w:numPr>
        <w:jc w:val="center"/>
        <w:rPr>
          <w:rFonts w:hint="eastAsia" w:ascii="宋体" w:hAnsi="宋体" w:eastAsia="宋体" w:cs="宋体"/>
          <w:color w:val="000000" w:themeColor="text1"/>
          <w:sz w:val="32"/>
          <w:szCs w:val="32"/>
          <w14:textFill>
            <w14:solidFill>
              <w14:schemeClr w14:val="tx1"/>
            </w14:solidFill>
          </w14:textFill>
        </w:rPr>
      </w:pPr>
      <w:bookmarkStart w:id="2" w:name="_Toc115"/>
      <w:r>
        <w:rPr>
          <w:rFonts w:hint="eastAsia" w:ascii="宋体" w:hAnsi="宋体" w:eastAsia="宋体" w:cs="宋体"/>
          <w:color w:val="000000" w:themeColor="text1"/>
          <w:sz w:val="32"/>
          <w:szCs w:val="32"/>
          <w14:textFill>
            <w14:solidFill>
              <w14:schemeClr w14:val="tx1"/>
            </w14:solidFill>
          </w14:textFill>
        </w:rPr>
        <w:t>竞争性磋商公告</w:t>
      </w:r>
      <w:bookmarkEnd w:id="1"/>
      <w:bookmarkEnd w:id="2"/>
    </w:p>
    <w:p>
      <w:pPr>
        <w:numPr>
          <w:ilvl w:val="0"/>
          <w:numId w:val="0"/>
        </w:numPr>
        <w:rPr>
          <w:rFonts w:hint="eastAsia"/>
        </w:rPr>
      </w:pPr>
    </w:p>
    <w:p>
      <w:pPr>
        <w:spacing w:line="360" w:lineRule="auto"/>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项目概括</w:t>
      </w:r>
    </w:p>
    <w:p>
      <w:pPr>
        <w:spacing w:line="360" w:lineRule="auto"/>
        <w:ind w:firstLine="604" w:firstLineChars="200"/>
        <w:rPr>
          <w:rFonts w:hint="eastAsia" w:ascii="宋体" w:hAnsi="宋体" w:eastAsia="宋体" w:cs="宋体"/>
          <w:color w:val="FF0000"/>
          <w:spacing w:val="11"/>
          <w:sz w:val="28"/>
          <w:szCs w:val="28"/>
        </w:rPr>
      </w:pPr>
      <w:r>
        <w:rPr>
          <w:rFonts w:hint="eastAsia" w:ascii="宋体" w:hAnsi="宋体" w:cs="宋体"/>
          <w:color w:val="000000"/>
          <w:spacing w:val="11"/>
          <w:sz w:val="28"/>
          <w:szCs w:val="28"/>
          <w:lang w:eastAsia="zh-CN"/>
        </w:rPr>
        <w:t>旦八镇初级中学等8所学校足球场人造草坪维修改造工程</w:t>
      </w:r>
      <w:r>
        <w:rPr>
          <w:rFonts w:hint="eastAsia" w:ascii="宋体" w:hAnsi="宋体" w:eastAsia="宋体" w:cs="宋体"/>
          <w:color w:val="000000"/>
          <w:spacing w:val="11"/>
          <w:sz w:val="28"/>
          <w:szCs w:val="28"/>
        </w:rPr>
        <w:t>的潜在供应商应在延安市新区盛世花园北区12号楼一单元802室</w:t>
      </w:r>
      <w:r>
        <w:rPr>
          <w:rFonts w:hint="eastAsia" w:ascii="宋体" w:hAnsi="宋体" w:eastAsia="宋体" w:cs="宋体"/>
          <w:color w:val="000000"/>
          <w:spacing w:val="11"/>
          <w:sz w:val="28"/>
          <w:szCs w:val="28"/>
          <w:lang w:val="en-US" w:eastAsia="zh-CN"/>
        </w:rPr>
        <w:t>获取采购文件，</w:t>
      </w:r>
      <w:r>
        <w:rPr>
          <w:rFonts w:hint="eastAsia" w:ascii="宋体" w:hAnsi="宋体" w:eastAsia="宋体" w:cs="宋体"/>
          <w:color w:val="000000" w:themeColor="text1"/>
          <w:spacing w:val="11"/>
          <w:sz w:val="28"/>
          <w:szCs w:val="28"/>
          <w14:textFill>
            <w14:solidFill>
              <w14:schemeClr w14:val="tx1"/>
            </w14:solidFill>
          </w14:textFill>
        </w:rPr>
        <w:t>并于</w:t>
      </w:r>
      <w:r>
        <w:rPr>
          <w:rFonts w:hint="eastAsia" w:ascii="宋体" w:hAnsi="宋体" w:cs="宋体"/>
          <w:color w:val="000000" w:themeColor="text1"/>
          <w:spacing w:val="11"/>
          <w:sz w:val="28"/>
          <w:szCs w:val="28"/>
          <w:lang w:val="en-US" w:eastAsia="zh-CN"/>
          <w14:textFill>
            <w14:solidFill>
              <w14:schemeClr w14:val="tx1"/>
            </w14:solidFill>
          </w14:textFill>
        </w:rPr>
        <w:t xml:space="preserve"> </w:t>
      </w:r>
      <w:r>
        <w:rPr>
          <w:rFonts w:hint="eastAsia" w:ascii="宋体" w:hAnsi="宋体" w:cs="宋体"/>
          <w:color w:val="auto"/>
          <w:spacing w:val="11"/>
          <w:sz w:val="28"/>
          <w:szCs w:val="28"/>
          <w:lang w:val="en-US" w:eastAsia="zh-CN"/>
        </w:rPr>
        <w:t>2023</w:t>
      </w:r>
      <w:r>
        <w:rPr>
          <w:rFonts w:hint="eastAsia" w:ascii="宋体" w:hAnsi="宋体" w:eastAsia="宋体" w:cs="宋体"/>
          <w:color w:val="auto"/>
          <w:spacing w:val="11"/>
          <w:sz w:val="28"/>
          <w:szCs w:val="28"/>
        </w:rPr>
        <w:t>年</w:t>
      </w:r>
      <w:r>
        <w:rPr>
          <w:rFonts w:hint="eastAsia" w:ascii="宋体" w:hAnsi="宋体" w:cs="宋体"/>
          <w:color w:val="auto"/>
          <w:spacing w:val="11"/>
          <w:sz w:val="28"/>
          <w:szCs w:val="28"/>
          <w:lang w:val="en-US" w:eastAsia="zh-CN"/>
        </w:rPr>
        <w:t>9</w:t>
      </w:r>
      <w:r>
        <w:rPr>
          <w:rFonts w:hint="eastAsia" w:ascii="宋体" w:hAnsi="宋体" w:eastAsia="宋体" w:cs="宋体"/>
          <w:color w:val="auto"/>
          <w:spacing w:val="11"/>
          <w:sz w:val="28"/>
          <w:szCs w:val="28"/>
          <w:lang w:val="en-US" w:eastAsia="zh-CN"/>
        </w:rPr>
        <w:t xml:space="preserve"> </w:t>
      </w:r>
      <w:r>
        <w:rPr>
          <w:rFonts w:hint="eastAsia" w:ascii="宋体" w:hAnsi="宋体" w:eastAsia="宋体" w:cs="宋体"/>
          <w:color w:val="auto"/>
          <w:spacing w:val="11"/>
          <w:sz w:val="28"/>
          <w:szCs w:val="28"/>
        </w:rPr>
        <w:t>月</w:t>
      </w:r>
      <w:r>
        <w:rPr>
          <w:rFonts w:hint="eastAsia" w:ascii="宋体" w:hAnsi="宋体" w:cs="宋体"/>
          <w:color w:val="auto"/>
          <w:spacing w:val="11"/>
          <w:sz w:val="28"/>
          <w:szCs w:val="28"/>
          <w:lang w:val="en-US" w:eastAsia="zh-CN"/>
        </w:rPr>
        <w:t>4</w:t>
      </w:r>
      <w:r>
        <w:rPr>
          <w:rFonts w:hint="eastAsia" w:ascii="宋体" w:hAnsi="宋体" w:eastAsia="宋体" w:cs="宋体"/>
          <w:color w:val="auto"/>
          <w:spacing w:val="11"/>
          <w:sz w:val="28"/>
          <w:szCs w:val="28"/>
          <w:lang w:val="en-US" w:eastAsia="zh-CN"/>
        </w:rPr>
        <w:t xml:space="preserve"> </w:t>
      </w:r>
      <w:r>
        <w:rPr>
          <w:rFonts w:hint="eastAsia" w:ascii="宋体" w:hAnsi="宋体" w:cs="宋体"/>
          <w:color w:val="auto"/>
          <w:spacing w:val="11"/>
          <w:sz w:val="28"/>
          <w:szCs w:val="28"/>
          <w:lang w:val="en-US" w:eastAsia="zh-CN"/>
        </w:rPr>
        <w:t xml:space="preserve"> </w:t>
      </w:r>
      <w:r>
        <w:rPr>
          <w:rFonts w:hint="eastAsia" w:ascii="宋体" w:hAnsi="宋体" w:eastAsia="宋体" w:cs="宋体"/>
          <w:color w:val="auto"/>
          <w:spacing w:val="11"/>
          <w:sz w:val="28"/>
          <w:szCs w:val="28"/>
        </w:rPr>
        <w:t xml:space="preserve">日 </w:t>
      </w:r>
      <w:r>
        <w:rPr>
          <w:rFonts w:hint="eastAsia" w:ascii="宋体" w:hAnsi="宋体" w:cs="宋体"/>
          <w:color w:val="auto"/>
          <w:spacing w:val="11"/>
          <w:sz w:val="28"/>
          <w:szCs w:val="28"/>
          <w:lang w:val="en-US" w:eastAsia="zh-CN"/>
        </w:rPr>
        <w:t xml:space="preserve">10 </w:t>
      </w:r>
      <w:r>
        <w:rPr>
          <w:rFonts w:hint="eastAsia" w:ascii="宋体" w:hAnsi="宋体" w:eastAsia="宋体" w:cs="宋体"/>
          <w:color w:val="auto"/>
          <w:spacing w:val="11"/>
          <w:sz w:val="28"/>
          <w:szCs w:val="28"/>
        </w:rPr>
        <w:t>时</w:t>
      </w:r>
      <w:r>
        <w:rPr>
          <w:rFonts w:hint="eastAsia" w:ascii="宋体" w:hAnsi="宋体" w:eastAsia="宋体" w:cs="宋体"/>
          <w:color w:val="auto"/>
          <w:spacing w:val="11"/>
          <w:sz w:val="28"/>
          <w:szCs w:val="28"/>
          <w:lang w:val="en-US" w:eastAsia="zh-CN"/>
        </w:rPr>
        <w:t xml:space="preserve"> </w:t>
      </w:r>
      <w:r>
        <w:rPr>
          <w:rFonts w:hint="eastAsia" w:ascii="宋体" w:hAnsi="宋体" w:cs="宋体"/>
          <w:color w:val="auto"/>
          <w:spacing w:val="11"/>
          <w:sz w:val="28"/>
          <w:szCs w:val="28"/>
          <w:lang w:val="en-US" w:eastAsia="zh-CN"/>
        </w:rPr>
        <w:t xml:space="preserve">30 </w:t>
      </w:r>
      <w:r>
        <w:rPr>
          <w:rFonts w:hint="eastAsia" w:ascii="宋体" w:hAnsi="宋体" w:eastAsia="宋体" w:cs="宋体"/>
          <w:color w:val="auto"/>
          <w:spacing w:val="11"/>
          <w:sz w:val="28"/>
          <w:szCs w:val="28"/>
        </w:rPr>
        <w:t>分</w:t>
      </w:r>
      <w:r>
        <w:rPr>
          <w:rFonts w:hint="eastAsia" w:ascii="宋体" w:hAnsi="宋体" w:eastAsia="宋体" w:cs="宋体"/>
          <w:color w:val="000000" w:themeColor="text1"/>
          <w:spacing w:val="11"/>
          <w:sz w:val="28"/>
          <w:szCs w:val="28"/>
          <w14:textFill>
            <w14:solidFill>
              <w14:schemeClr w14:val="tx1"/>
            </w14:solidFill>
          </w14:textFill>
        </w:rPr>
        <w:t>（北京时间）前提交响应</w:t>
      </w:r>
      <w:r>
        <w:rPr>
          <w:rFonts w:hint="eastAsia" w:ascii="宋体" w:hAnsi="宋体" w:eastAsia="宋体" w:cs="宋体"/>
          <w:color w:val="auto"/>
          <w:spacing w:val="11"/>
          <w:sz w:val="28"/>
          <w:szCs w:val="28"/>
        </w:rPr>
        <w:t>文件。</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一、项目基本情况</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项目编号：</w:t>
      </w:r>
      <w:r>
        <w:rPr>
          <w:rFonts w:hint="eastAsia" w:ascii="宋体" w:hAnsi="宋体" w:cs="宋体"/>
          <w:color w:val="000000"/>
          <w:sz w:val="28"/>
          <w:szCs w:val="28"/>
          <w:lang w:eastAsia="zh-CN"/>
        </w:rPr>
        <w:t>SXCY2023-33</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项目名称：</w:t>
      </w:r>
      <w:r>
        <w:rPr>
          <w:rFonts w:hint="eastAsia" w:ascii="宋体" w:hAnsi="宋体" w:cs="宋体"/>
          <w:color w:val="000000"/>
          <w:sz w:val="28"/>
          <w:szCs w:val="28"/>
          <w:lang w:eastAsia="zh-CN"/>
        </w:rPr>
        <w:t>旦八镇初级中学等8所学校足球场人造草坪维修改造工程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采购方式：竞争性磋商</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rPr>
        <w:t>预算金</w:t>
      </w:r>
      <w:r>
        <w:rPr>
          <w:rFonts w:hint="eastAsia" w:ascii="宋体" w:hAnsi="宋体" w:eastAsia="宋体" w:cs="宋体"/>
          <w:color w:val="auto"/>
          <w:sz w:val="28"/>
          <w:szCs w:val="28"/>
        </w:rPr>
        <w:t>额：</w:t>
      </w:r>
      <w:r>
        <w:rPr>
          <w:rFonts w:hint="eastAsia" w:ascii="宋体" w:hAnsi="宋体" w:cs="宋体"/>
          <w:color w:val="auto"/>
          <w:sz w:val="28"/>
          <w:szCs w:val="28"/>
          <w:lang w:val="en-US" w:eastAsia="zh-CN"/>
        </w:rPr>
        <w:t>3112906.25</w:t>
      </w:r>
      <w:r>
        <w:rPr>
          <w:rFonts w:hint="eastAsia" w:ascii="宋体" w:hAnsi="宋体" w:eastAsia="宋体" w:cs="宋体"/>
          <w:color w:val="auto"/>
          <w:sz w:val="28"/>
          <w:szCs w:val="28"/>
        </w:rPr>
        <w:t>元</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合同包1(</w:t>
      </w:r>
      <w:r>
        <w:rPr>
          <w:rFonts w:hint="eastAsia" w:ascii="宋体" w:hAnsi="宋体" w:cs="宋体"/>
          <w:color w:val="auto"/>
          <w:sz w:val="28"/>
          <w:szCs w:val="28"/>
          <w:lang w:eastAsia="zh-CN"/>
        </w:rPr>
        <w:t>旦八镇初级中学等8所学校足球场人造草坪维修改造工程</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合同包预算金额：</w:t>
      </w:r>
      <w:r>
        <w:rPr>
          <w:rFonts w:hint="eastAsia" w:ascii="宋体" w:hAnsi="宋体" w:cs="宋体"/>
          <w:color w:val="auto"/>
          <w:sz w:val="28"/>
          <w:szCs w:val="28"/>
          <w:lang w:val="en-US" w:eastAsia="zh-CN"/>
        </w:rPr>
        <w:t>3112906.25</w:t>
      </w:r>
      <w:r>
        <w:rPr>
          <w:rFonts w:hint="eastAsia" w:ascii="宋体" w:hAnsi="宋体" w:eastAsia="宋体" w:cs="宋体"/>
          <w:color w:val="000000"/>
          <w:sz w:val="28"/>
          <w:szCs w:val="28"/>
        </w:rPr>
        <w:t>元</w:t>
      </w:r>
    </w:p>
    <w:tbl>
      <w:tblPr>
        <w:tblStyle w:val="33"/>
        <w:tblW w:w="10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3"/>
        <w:gridCol w:w="1633"/>
        <w:gridCol w:w="1817"/>
        <w:gridCol w:w="1133"/>
        <w:gridCol w:w="1467"/>
        <w:gridCol w:w="1667"/>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blHeader/>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品目号</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品目名称</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采购标的</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数量</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（单位）</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技术规格、参数及要求</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品目预算(元)</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auto"/>
                <w:sz w:val="28"/>
                <w:szCs w:val="28"/>
                <w:lang w:eastAsia="zh-CN"/>
              </w:rPr>
              <w:t>其他构筑物工程施工</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cs="宋体"/>
                <w:color w:val="auto"/>
                <w:sz w:val="21"/>
                <w:szCs w:val="21"/>
                <w:lang w:eastAsia="zh-CN"/>
              </w:rPr>
              <w:t>对旦八镇初级中学，红都小学，金丁镇中心小学，创新实验小学，永宁镇中心小学，侯市小学，红军小学，吴堡小学等8所学校足球场更换人造草坪等。</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1(项)</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详见采购文件</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3112906.25</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both"/>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3106101.48</w:t>
            </w:r>
          </w:p>
        </w:tc>
      </w:tr>
    </w:tbl>
    <w:p>
      <w:pPr>
        <w:spacing w:line="360" w:lineRule="auto"/>
        <w:ind w:firstLine="560" w:firstLineChars="200"/>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本合同包不接受联合体投标</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合</w:t>
      </w:r>
      <w:r>
        <w:rPr>
          <w:rFonts w:hint="eastAsia" w:ascii="宋体" w:hAnsi="宋体" w:eastAsia="宋体" w:cs="宋体"/>
          <w:color w:val="000000" w:themeColor="text1"/>
          <w:sz w:val="28"/>
          <w:szCs w:val="28"/>
          <w14:textFill>
            <w14:solidFill>
              <w14:schemeClr w14:val="tx1"/>
            </w14:solidFill>
          </w14:textFill>
        </w:rPr>
        <w:t>同履行期限：</w:t>
      </w:r>
      <w:r>
        <w:rPr>
          <w:rFonts w:hint="eastAsia" w:ascii="宋体" w:hAnsi="宋体" w:cs="宋体"/>
          <w:color w:val="000000" w:themeColor="text1"/>
          <w:sz w:val="28"/>
          <w:szCs w:val="28"/>
          <w:lang w:val="en-US" w:eastAsia="zh-CN"/>
          <w14:textFill>
            <w14:solidFill>
              <w14:schemeClr w14:val="tx1"/>
            </w14:solidFill>
          </w14:textFill>
        </w:rPr>
        <w:t>合同签订之日起30天。</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二、申请人的资格要求</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1.满足《中华人民共和国政府采购法》第二十二条规定</w:t>
      </w:r>
      <w:r>
        <w:rPr>
          <w:rFonts w:hint="eastAsia" w:ascii="宋体" w:hAnsi="宋体" w:eastAsia="宋体" w:cs="宋体"/>
          <w:color w:val="000000"/>
          <w:sz w:val="28"/>
          <w:szCs w:val="28"/>
          <w:lang w:eastAsia="zh-CN"/>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2.落实政府采购政策需满足的资格要求：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旦八镇初级中学等8所学校足球场人造草坪维修改造工程</w:t>
      </w:r>
      <w:r>
        <w:rPr>
          <w:rFonts w:hint="eastAsia" w:ascii="宋体" w:hAnsi="宋体" w:eastAsia="宋体" w:cs="宋体"/>
          <w:color w:val="000000"/>
          <w:sz w:val="28"/>
          <w:szCs w:val="28"/>
        </w:rPr>
        <w:t>)落实政府采购政策需满足的资格要求如下: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依据《中华人民共和国政府采购法》和《中华人民共和国政府采购法实施条例》的有关规定，落实政府采购政策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2.1《政府采购促进中小企业发展管理办法》的通知（财库〔2020〕46号）；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2.2财政部司法部关于政府采购支持监狱企业发展有关问题的通知--财库〔2014〕68号；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2.3《国务院办公厅关于建立政府强制采购节能产品制度的通知》--国办发〔2007〕51号。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2.4《环境标志产品政府采购实施意见》--财库[2006]90号；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2.5《节能产品政府采购实施意见》--（财库[2004]185号）；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2.6 </w:t>
      </w:r>
      <w:r>
        <w:rPr>
          <w:rFonts w:hint="eastAsia" w:ascii="宋体" w:hAnsi="宋体" w:eastAsia="宋体" w:cs="宋体"/>
          <w:color w:val="000000"/>
          <w:sz w:val="28"/>
          <w:szCs w:val="28"/>
        </w:rPr>
        <w:t>《关于促进残疾人就业政府采购政策的通知》财库〔2017〕141号；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2.7陕西省财政厅关于印发《陕西省中小企业政府采购信用融资办法》（陕财办采〔2018〕23号）。</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3.本项目的特定资格要求：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旦八镇初级中学等8所学校足球场人造草坪维修改造工程</w:t>
      </w:r>
      <w:r>
        <w:rPr>
          <w:rFonts w:hint="eastAsia" w:ascii="宋体" w:hAnsi="宋体" w:eastAsia="宋体" w:cs="宋体"/>
          <w:color w:val="000000"/>
          <w:sz w:val="28"/>
          <w:szCs w:val="28"/>
        </w:rPr>
        <w:t>)特定资格要求如下: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具有独立承担民事责任能力的法人、其他组织或自然人，法人或其他组织提供营业执照（事业单位法人证书），自然人提供身份证明。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3.1提供营业执照、税务登记证、组织机构代码证或三证合一的营业执照（供应商无需提供营业执照年检报告，在资格审查时通过互联网或者相关信息系统查询）；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3.2银行开户许可证或开户行基本信息；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3.3法定代表人授权委托书及被授权人身份证（法定代表人直接参加时，只须出示法定代表人身份证）；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3.4提供参加政府采购活动前3年内经营活动中没有重大违法记录声明；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3.5税收缴纳证明：</w:t>
      </w:r>
      <w:r>
        <w:rPr>
          <w:rFonts w:hint="eastAsia" w:ascii="宋体" w:hAnsi="宋体" w:eastAsia="宋体" w:cs="宋体"/>
          <w:color w:val="auto"/>
          <w:sz w:val="28"/>
          <w:szCs w:val="28"/>
        </w:rPr>
        <w:t>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月1日以来已缴纳的至少一个月的纳税证明或完税证明，纳税证明或完税证明上应有代收机构或税务机关的公章。依法免税的供应商应提供相关文件证明；</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3</w:t>
      </w:r>
      <w:r>
        <w:rPr>
          <w:rFonts w:hint="eastAsia" w:ascii="宋体" w:hAnsi="宋体" w:eastAsia="宋体" w:cs="宋体"/>
          <w:color w:val="auto"/>
          <w:sz w:val="28"/>
          <w:szCs w:val="28"/>
        </w:rPr>
        <w:t>.6</w:t>
      </w:r>
      <w:r>
        <w:rPr>
          <w:rFonts w:hint="eastAsia" w:ascii="宋体" w:hAnsi="宋体" w:eastAsia="宋体" w:cs="宋体"/>
          <w:color w:val="auto"/>
          <w:sz w:val="28"/>
          <w:szCs w:val="28"/>
          <w:lang w:val="en-US" w:eastAsia="zh-CN"/>
        </w:rPr>
        <w:t>社会保障资金缴纳证明：自202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月1日以来已缴存的至少一个月的社会保障资金缴存单据或社保机构开具的社会保险参保缴费情况证明，依法不需要缴纳社会保障资金的供应商应提供相关文件证明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8"/>
          <w:szCs w:val="28"/>
        </w:rPr>
        <w:t>；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3.7财务状况报告：提供202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或202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3.8需具备</w:t>
      </w:r>
      <w:r>
        <w:rPr>
          <w:rFonts w:hint="eastAsia" w:ascii="宋体" w:hAnsi="宋体" w:cs="宋体"/>
          <w:color w:val="000000" w:themeColor="text1"/>
          <w:sz w:val="28"/>
          <w:szCs w:val="28"/>
          <w:lang w:val="en-US" w:eastAsia="zh-CN"/>
          <w14:textFill>
            <w14:solidFill>
              <w14:schemeClr w14:val="tx1"/>
            </w14:solidFill>
          </w14:textFill>
        </w:rPr>
        <w:t>市政公用工程施工</w:t>
      </w:r>
      <w:r>
        <w:rPr>
          <w:rFonts w:hint="eastAsia" w:ascii="宋体" w:hAnsi="宋体" w:eastAsia="宋体" w:cs="宋体"/>
          <w:color w:val="000000" w:themeColor="text1"/>
          <w:sz w:val="28"/>
          <w:szCs w:val="28"/>
          <w:lang w:val="en-US" w:eastAsia="zh-CN"/>
          <w14:textFill>
            <w14:solidFill>
              <w14:schemeClr w14:val="tx1"/>
            </w14:solidFill>
          </w14:textFill>
        </w:rPr>
        <w:t>总承包叁级</w:t>
      </w:r>
      <w:r>
        <w:rPr>
          <w:rFonts w:hint="eastAsia" w:ascii="宋体" w:hAnsi="宋体" w:cs="宋体"/>
          <w:color w:val="000000" w:themeColor="text1"/>
          <w:sz w:val="28"/>
          <w:szCs w:val="28"/>
          <w:lang w:val="en-US" w:eastAsia="zh-CN"/>
          <w14:textFill>
            <w14:solidFill>
              <w14:schemeClr w14:val="tx1"/>
            </w14:solidFill>
          </w14:textFill>
        </w:rPr>
        <w:t>及</w:t>
      </w:r>
      <w:r>
        <w:rPr>
          <w:rFonts w:hint="eastAsia" w:ascii="宋体" w:hAnsi="宋体" w:eastAsia="宋体" w:cs="宋体"/>
          <w:color w:val="000000" w:themeColor="text1"/>
          <w:sz w:val="28"/>
          <w:szCs w:val="28"/>
          <w:lang w:val="en-US" w:eastAsia="zh-CN"/>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sz w:val="28"/>
          <w:szCs w:val="28"/>
          <w:lang w:val="en-US" w:eastAsia="zh-CN"/>
          <w14:textFill>
            <w14:solidFill>
              <w14:schemeClr w14:val="tx1"/>
            </w14:solidFill>
          </w14:textFill>
        </w:rPr>
        <w:t>市政公用工程</w:t>
      </w:r>
      <w:r>
        <w:rPr>
          <w:rFonts w:hint="eastAsia" w:ascii="宋体" w:hAnsi="宋体" w:eastAsia="宋体" w:cs="宋体"/>
          <w:color w:val="000000" w:themeColor="text1"/>
          <w:sz w:val="28"/>
          <w:szCs w:val="28"/>
          <w:lang w:val="en-US" w:eastAsia="zh-CN"/>
          <w14:textFill>
            <w14:solidFill>
              <w14:schemeClr w14:val="tx1"/>
            </w14:solidFill>
          </w14:textFill>
        </w:rPr>
        <w:t>专业二级及以上注册建造师执业资格，具备有效的安全生产考核合格证书，且在本单位注册，未担任其他在建工程项目的项目经理；</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本项目不接受联合体磋商。</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三、获取</w:t>
      </w:r>
      <w:r>
        <w:rPr>
          <w:rFonts w:hint="eastAsia" w:ascii="宋体" w:hAnsi="宋体" w:cs="宋体"/>
          <w:b/>
          <w:bCs/>
          <w:color w:val="000000"/>
          <w:sz w:val="28"/>
          <w:szCs w:val="28"/>
          <w:lang w:val="en-US" w:eastAsia="zh-CN"/>
        </w:rPr>
        <w:t>招标</w:t>
      </w:r>
      <w:r>
        <w:rPr>
          <w:rFonts w:hint="eastAsia" w:ascii="宋体" w:hAnsi="宋体" w:eastAsia="宋体" w:cs="宋体"/>
          <w:b/>
          <w:bCs/>
          <w:color w:val="000000"/>
          <w:sz w:val="28"/>
          <w:szCs w:val="28"/>
        </w:rPr>
        <w:t>文件</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时间</w:t>
      </w:r>
      <w:r>
        <w:rPr>
          <w:rFonts w:hint="eastAsia" w:ascii="宋体" w:hAnsi="宋体" w:eastAsia="宋体" w:cs="宋体"/>
          <w:b w:val="0"/>
          <w:bCs w:val="0"/>
          <w:color w:val="000000" w:themeColor="text1"/>
          <w:sz w:val="28"/>
          <w:szCs w:val="28"/>
          <w14:textFill>
            <w14:solidFill>
              <w14:schemeClr w14:val="tx1"/>
            </w14:solidFill>
          </w14:textFill>
        </w:rPr>
        <w:t>：202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8</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23 </w:t>
      </w:r>
      <w:r>
        <w:rPr>
          <w:rFonts w:hint="eastAsia" w:ascii="宋体" w:hAnsi="宋体" w:eastAsia="宋体" w:cs="宋体"/>
          <w:b w:val="0"/>
          <w:bCs w:val="0"/>
          <w:color w:val="000000" w:themeColor="text1"/>
          <w:sz w:val="28"/>
          <w:szCs w:val="28"/>
          <w14:textFill>
            <w14:solidFill>
              <w14:schemeClr w14:val="tx1"/>
            </w14:solidFill>
          </w14:textFill>
        </w:rPr>
        <w:t>日至202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 xml:space="preserve">8 </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29 </w:t>
      </w:r>
      <w:r>
        <w:rPr>
          <w:rFonts w:hint="eastAsia" w:ascii="宋体" w:hAnsi="宋体" w:eastAsia="宋体" w:cs="宋体"/>
          <w:b w:val="0"/>
          <w:bCs w:val="0"/>
          <w:color w:val="000000" w:themeColor="text1"/>
          <w:sz w:val="28"/>
          <w:szCs w:val="28"/>
          <w14:textFill>
            <w14:solidFill>
              <w14:schemeClr w14:val="tx1"/>
            </w14:solidFill>
          </w14:textFill>
        </w:rPr>
        <w:t>日</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每天上</w:t>
      </w:r>
      <w:r>
        <w:rPr>
          <w:rFonts w:hint="eastAsia" w:ascii="宋体" w:hAnsi="宋体" w:eastAsia="宋体" w:cs="宋体"/>
          <w:b w:val="0"/>
          <w:bCs w:val="0"/>
          <w:color w:val="000000"/>
          <w:sz w:val="28"/>
          <w:szCs w:val="28"/>
        </w:rPr>
        <w:t>午09:00:00至12:00:00，下午14:00:00至1</w:t>
      </w:r>
      <w:r>
        <w:rPr>
          <w:rFonts w:hint="eastAsia" w:ascii="宋体" w:hAnsi="宋体" w:cs="宋体"/>
          <w:b w:val="0"/>
          <w:bCs w:val="0"/>
          <w:color w:val="000000"/>
          <w:sz w:val="28"/>
          <w:szCs w:val="28"/>
          <w:lang w:val="en-US" w:eastAsia="zh-CN"/>
        </w:rPr>
        <w:t>7</w:t>
      </w:r>
      <w:r>
        <w:rPr>
          <w:rFonts w:hint="eastAsia" w:ascii="宋体" w:hAnsi="宋体" w:eastAsia="宋体" w:cs="宋体"/>
          <w:b w:val="0"/>
          <w:bCs w:val="0"/>
          <w:color w:val="000000"/>
          <w:sz w:val="28"/>
          <w:szCs w:val="28"/>
        </w:rPr>
        <w:t>:00:00（北京时间,法定节假日除外）</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地点：延安市新区盛世花园北区12号楼一单元802室</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方式：</w:t>
      </w:r>
      <w:r>
        <w:rPr>
          <w:rFonts w:hint="eastAsia" w:ascii="宋体" w:hAnsi="宋体" w:cs="宋体"/>
          <w:b w:val="0"/>
          <w:bCs w:val="0"/>
          <w:color w:val="000000"/>
          <w:sz w:val="28"/>
          <w:szCs w:val="28"/>
          <w:lang w:val="en-US" w:eastAsia="zh-CN"/>
        </w:rPr>
        <w:t>现场</w:t>
      </w:r>
      <w:r>
        <w:rPr>
          <w:rFonts w:hint="eastAsia" w:ascii="宋体" w:hAnsi="宋体" w:eastAsia="宋体" w:cs="宋体"/>
          <w:b w:val="0"/>
          <w:bCs w:val="0"/>
          <w:color w:val="000000"/>
          <w:sz w:val="28"/>
          <w:szCs w:val="28"/>
        </w:rPr>
        <w:t>获取</w:t>
      </w:r>
    </w:p>
    <w:p>
      <w:pPr>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售价：</w:t>
      </w:r>
      <w:r>
        <w:rPr>
          <w:rFonts w:hint="eastAsia" w:ascii="宋体" w:hAnsi="宋体" w:cs="宋体"/>
          <w:b w:val="0"/>
          <w:bCs w:val="0"/>
          <w:color w:val="000000"/>
          <w:sz w:val="28"/>
          <w:szCs w:val="28"/>
          <w:lang w:val="en-US" w:eastAsia="zh-CN"/>
        </w:rPr>
        <w:t>500元/套，售后不退。</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四、提交投标文件截止时间、开标时间和地点</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时间：</w:t>
      </w:r>
      <w:r>
        <w:rPr>
          <w:rFonts w:hint="eastAsia" w:ascii="宋体" w:hAnsi="宋体" w:cs="宋体"/>
          <w:b w:val="0"/>
          <w:bCs w:val="0"/>
          <w:color w:val="000000" w:themeColor="text1"/>
          <w:sz w:val="28"/>
          <w:szCs w:val="28"/>
          <w:lang w:eastAsia="zh-CN"/>
          <w14:textFill>
            <w14:solidFill>
              <w14:schemeClr w14:val="tx1"/>
            </w14:solidFill>
          </w14:textFill>
        </w:rPr>
        <w:t xml:space="preserve">2023年 </w:t>
      </w:r>
      <w:r>
        <w:rPr>
          <w:rFonts w:hint="eastAsia" w:ascii="宋体" w:hAnsi="宋体" w:cs="宋体"/>
          <w:b w:val="0"/>
          <w:bCs w:val="0"/>
          <w:color w:val="000000" w:themeColor="text1"/>
          <w:sz w:val="28"/>
          <w:szCs w:val="28"/>
          <w:lang w:val="en-US" w:eastAsia="zh-CN"/>
          <w14:textFill>
            <w14:solidFill>
              <w14:schemeClr w14:val="tx1"/>
            </w14:solidFill>
          </w14:textFill>
        </w:rPr>
        <w:t xml:space="preserve">9 </w:t>
      </w:r>
      <w:r>
        <w:rPr>
          <w:rFonts w:hint="eastAsia" w:ascii="宋体" w:hAnsi="宋体" w:cs="宋体"/>
          <w:b w:val="0"/>
          <w:bCs w:val="0"/>
          <w:color w:val="000000" w:themeColor="text1"/>
          <w:sz w:val="28"/>
          <w:szCs w:val="28"/>
          <w:lang w:eastAsia="zh-CN"/>
          <w14:textFill>
            <w14:solidFill>
              <w14:schemeClr w14:val="tx1"/>
            </w14:solidFill>
          </w14:textFill>
        </w:rPr>
        <w:t xml:space="preserve">月 </w:t>
      </w:r>
      <w:r>
        <w:rPr>
          <w:rFonts w:hint="eastAsia" w:ascii="宋体" w:hAnsi="宋体" w:cs="宋体"/>
          <w:b w:val="0"/>
          <w:bCs w:val="0"/>
          <w:color w:val="000000" w:themeColor="text1"/>
          <w:sz w:val="28"/>
          <w:szCs w:val="28"/>
          <w:lang w:val="en-US" w:eastAsia="zh-CN"/>
          <w14:textFill>
            <w14:solidFill>
              <w14:schemeClr w14:val="tx1"/>
            </w14:solidFill>
          </w14:textFill>
        </w:rPr>
        <w:t xml:space="preserve"> 4 </w:t>
      </w:r>
      <w:r>
        <w:rPr>
          <w:rFonts w:hint="eastAsia" w:ascii="宋体" w:hAnsi="宋体" w:cs="宋体"/>
          <w:b w:val="0"/>
          <w:bCs w:val="0"/>
          <w:color w:val="000000" w:themeColor="text1"/>
          <w:sz w:val="28"/>
          <w:szCs w:val="28"/>
          <w:lang w:eastAsia="zh-CN"/>
          <w14:textFill>
            <w14:solidFill>
              <w14:schemeClr w14:val="tx1"/>
            </w14:solidFill>
          </w14:textFill>
        </w:rPr>
        <w:t xml:space="preserve">日 </w:t>
      </w:r>
      <w:r>
        <w:rPr>
          <w:rFonts w:hint="eastAsia" w:ascii="宋体" w:hAnsi="宋体" w:cs="宋体"/>
          <w:b w:val="0"/>
          <w:bCs w:val="0"/>
          <w:color w:val="000000" w:themeColor="text1"/>
          <w:sz w:val="28"/>
          <w:szCs w:val="28"/>
          <w:lang w:val="en-US" w:eastAsia="zh-CN"/>
          <w14:textFill>
            <w14:solidFill>
              <w14:schemeClr w14:val="tx1"/>
            </w14:solidFill>
          </w14:textFill>
        </w:rPr>
        <w:t>10</w:t>
      </w:r>
      <w:r>
        <w:rPr>
          <w:rFonts w:hint="eastAsia" w:ascii="宋体" w:hAnsi="宋体" w:cs="宋体"/>
          <w:b w:val="0"/>
          <w:bCs w:val="0"/>
          <w:color w:val="000000" w:themeColor="text1"/>
          <w:sz w:val="28"/>
          <w:szCs w:val="28"/>
          <w:lang w:eastAsia="zh-CN"/>
          <w14:textFill>
            <w14:solidFill>
              <w14:schemeClr w14:val="tx1"/>
            </w14:solidFill>
          </w14:textFill>
        </w:rPr>
        <w:t xml:space="preserve"> </w:t>
      </w:r>
      <w:r>
        <w:rPr>
          <w:rFonts w:hint="eastAsia" w:ascii="宋体" w:hAnsi="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cs="宋体"/>
          <w:b w:val="0"/>
          <w:bCs w:val="0"/>
          <w:color w:val="000000" w:themeColor="text1"/>
          <w:sz w:val="28"/>
          <w:szCs w:val="28"/>
          <w:lang w:eastAsia="zh-CN"/>
          <w14:textFill>
            <w14:solidFill>
              <w14:schemeClr w14:val="tx1"/>
            </w14:solidFill>
          </w14:textFill>
        </w:rPr>
        <w:t xml:space="preserve">时 </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cs="宋体"/>
          <w:b w:val="0"/>
          <w:bCs w:val="0"/>
          <w:color w:val="000000" w:themeColor="text1"/>
          <w:sz w:val="28"/>
          <w:szCs w:val="28"/>
          <w:lang w:eastAsia="zh-CN"/>
          <w14:textFill>
            <w14:solidFill>
              <w14:schemeClr w14:val="tx1"/>
            </w14:solidFill>
          </w14:textFill>
        </w:rPr>
        <w:t>0 分  00 秒</w:t>
      </w:r>
      <w:r>
        <w:rPr>
          <w:rFonts w:hint="eastAsia" w:ascii="宋体" w:hAnsi="宋体" w:eastAsia="宋体" w:cs="宋体"/>
          <w:b w:val="0"/>
          <w:bCs w:val="0"/>
          <w:color w:val="000000" w:themeColor="text1"/>
          <w:sz w:val="28"/>
          <w:szCs w:val="28"/>
          <w14:textFill>
            <w14:solidFill>
              <w14:schemeClr w14:val="tx1"/>
            </w14:solidFill>
          </w14:textFill>
        </w:rPr>
        <w:t>（北京时间）</w:t>
      </w:r>
    </w:p>
    <w:p>
      <w:pPr>
        <w:spacing w:line="360" w:lineRule="auto"/>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提交投标文件地点：</w:t>
      </w:r>
      <w:r>
        <w:rPr>
          <w:rFonts w:hint="eastAsia" w:ascii="宋体" w:hAnsi="宋体" w:eastAsia="宋体" w:cs="宋体"/>
          <w:b w:val="0"/>
          <w:bCs w:val="0"/>
          <w:color w:val="000000"/>
          <w:sz w:val="28"/>
          <w:szCs w:val="28"/>
        </w:rPr>
        <w:t>延安市新区盛世花园北区12号楼一单元802室</w:t>
      </w:r>
    </w:p>
    <w:p>
      <w:pPr>
        <w:spacing w:line="360" w:lineRule="auto"/>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开标地点：</w:t>
      </w:r>
      <w:r>
        <w:rPr>
          <w:rFonts w:hint="eastAsia" w:ascii="宋体" w:hAnsi="宋体" w:eastAsia="宋体" w:cs="宋体"/>
          <w:b w:val="0"/>
          <w:bCs w:val="0"/>
          <w:color w:val="000000"/>
          <w:sz w:val="28"/>
          <w:szCs w:val="28"/>
        </w:rPr>
        <w:t>延安市新区盛世花园北区12号楼一单元802室</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cs="宋体"/>
          <w:b/>
          <w:bCs/>
          <w:color w:val="000000"/>
          <w:sz w:val="28"/>
          <w:szCs w:val="28"/>
          <w:lang w:val="en-US" w:eastAsia="zh-CN"/>
        </w:rPr>
        <w:t>五</w:t>
      </w:r>
      <w:r>
        <w:rPr>
          <w:rFonts w:hint="eastAsia" w:ascii="宋体" w:hAnsi="宋体" w:eastAsia="宋体" w:cs="宋体"/>
          <w:b/>
          <w:bCs/>
          <w:color w:val="000000"/>
          <w:sz w:val="28"/>
          <w:szCs w:val="28"/>
        </w:rPr>
        <w:t>、公告期限</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自本公告发布之日起</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个工作日。</w:t>
      </w:r>
    </w:p>
    <w:p>
      <w:pPr>
        <w:numPr>
          <w:ilvl w:val="0"/>
          <w:numId w:val="3"/>
        </w:num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其他补充事宜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（1）供应商购买磋商文件时需携带本单位介绍信及本人身份证原件或复印件（加盖公章（鲜章））；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w:t>
      </w:r>
      <w:r>
        <w:rPr>
          <w:rFonts w:hint="eastAsia" w:ascii="宋体" w:hAnsi="宋体" w:cs="宋体"/>
          <w:b w:val="0"/>
          <w:bCs w:val="0"/>
          <w:color w:val="000000"/>
          <w:sz w:val="28"/>
          <w:szCs w:val="28"/>
          <w:lang w:val="en-US" w:eastAsia="zh-CN"/>
        </w:rPr>
        <w:t>2</w:t>
      </w:r>
      <w:r>
        <w:rPr>
          <w:rFonts w:hint="eastAsia" w:ascii="宋体" w:hAnsi="宋体" w:eastAsia="宋体" w:cs="宋体"/>
          <w:b w:val="0"/>
          <w:bCs w:val="0"/>
          <w:color w:val="000000"/>
          <w:sz w:val="28"/>
          <w:szCs w:val="28"/>
          <w:lang w:val="en-US" w:eastAsia="zh-CN"/>
        </w:rPr>
        <w:t>）请投标人按照陕西省财政厅关于政府采购供应商注册登记有关事项的通知中的要求，通过陕西省政府采购网（http://www.ccgp-shaanxi.gov.cn/）注册登记加入陕西省政府采购供应商库。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lang w:val="en-US" w:eastAsia="zh-CN"/>
        </w:rPr>
        <w:t>）本项目专门面向</w:t>
      </w:r>
      <w:r>
        <w:rPr>
          <w:rFonts w:hint="eastAsia" w:ascii="宋体" w:hAnsi="宋体" w:cs="宋体"/>
          <w:b w:val="0"/>
          <w:bCs w:val="0"/>
          <w:color w:val="auto"/>
          <w:sz w:val="28"/>
          <w:szCs w:val="28"/>
          <w:lang w:val="en-US" w:eastAsia="zh-CN"/>
        </w:rPr>
        <w:t>小微</w:t>
      </w:r>
      <w:r>
        <w:rPr>
          <w:rFonts w:hint="eastAsia" w:ascii="宋体" w:hAnsi="宋体" w:eastAsia="宋体" w:cs="宋体"/>
          <w:b w:val="0"/>
          <w:bCs w:val="0"/>
          <w:color w:val="auto"/>
          <w:sz w:val="28"/>
          <w:szCs w:val="28"/>
          <w:lang w:val="en-US" w:eastAsia="zh-CN"/>
        </w:rPr>
        <w:t>企业采购</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w:t>
      </w:r>
      <w:r>
        <w:rPr>
          <w:rFonts w:hint="eastAsia" w:ascii="宋体" w:hAnsi="宋体" w:cs="宋体"/>
          <w:b w:val="0"/>
          <w:bCs w:val="0"/>
          <w:color w:val="000000"/>
          <w:sz w:val="28"/>
          <w:szCs w:val="28"/>
          <w:lang w:val="en-US" w:eastAsia="zh-CN"/>
        </w:rPr>
        <w:t>4</w:t>
      </w:r>
      <w:r>
        <w:rPr>
          <w:rFonts w:hint="eastAsia" w:ascii="宋体" w:hAnsi="宋体" w:eastAsia="宋体" w:cs="宋体"/>
          <w:b w:val="0"/>
          <w:bCs w:val="0"/>
          <w:color w:val="000000"/>
          <w:sz w:val="28"/>
          <w:szCs w:val="28"/>
          <w:lang w:val="en-US" w:eastAsia="zh-CN"/>
        </w:rPr>
        <w:t xml:space="preserve">）发布公告的媒介：本次招标公告在《陕西省政府采购网》上发布。 </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cs="宋体"/>
          <w:b/>
          <w:bCs/>
          <w:color w:val="000000"/>
          <w:sz w:val="28"/>
          <w:szCs w:val="28"/>
          <w:lang w:val="en-US" w:eastAsia="zh-CN"/>
        </w:rPr>
        <w:t>七</w:t>
      </w:r>
      <w:r>
        <w:rPr>
          <w:rFonts w:hint="eastAsia" w:ascii="宋体" w:hAnsi="宋体" w:eastAsia="宋体" w:cs="宋体"/>
          <w:b/>
          <w:bCs/>
          <w:color w:val="000000"/>
          <w:sz w:val="28"/>
          <w:szCs w:val="28"/>
        </w:rPr>
        <w:t>、凡对本次采购提出询问，请按以下方式联系</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1.采购人信息</w:t>
      </w:r>
    </w:p>
    <w:p>
      <w:pPr>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名称：</w:t>
      </w:r>
      <w:r>
        <w:rPr>
          <w:rFonts w:hint="eastAsia" w:ascii="宋体" w:hAnsi="宋体" w:cs="宋体"/>
          <w:color w:val="000000"/>
          <w:sz w:val="28"/>
          <w:szCs w:val="28"/>
          <w:lang w:val="en-US" w:eastAsia="zh-CN"/>
        </w:rPr>
        <w:t>志丹县教育科技体育局</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地址：延安市</w:t>
      </w:r>
      <w:r>
        <w:rPr>
          <w:rFonts w:hint="eastAsia" w:ascii="宋体" w:hAnsi="宋体" w:cs="宋体"/>
          <w:color w:val="000000"/>
          <w:sz w:val="28"/>
          <w:szCs w:val="28"/>
          <w:lang w:val="en-US" w:eastAsia="zh-CN"/>
        </w:rPr>
        <w:t>志丹县</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联系方式：</w:t>
      </w:r>
      <w:r>
        <w:rPr>
          <w:rFonts w:hint="eastAsia" w:ascii="宋体" w:hAnsi="宋体" w:eastAsia="宋体" w:cs="宋体"/>
          <w:color w:val="000000"/>
          <w:sz w:val="28"/>
          <w:szCs w:val="28"/>
          <w:lang w:val="en-US" w:eastAsia="zh-CN"/>
        </w:rPr>
        <w:t>0911-</w:t>
      </w:r>
      <w:r>
        <w:rPr>
          <w:rFonts w:hint="eastAsia" w:ascii="宋体" w:hAnsi="宋体" w:cs="宋体"/>
          <w:color w:val="000000"/>
          <w:sz w:val="28"/>
          <w:szCs w:val="28"/>
          <w:lang w:val="en-US" w:eastAsia="zh-CN"/>
        </w:rPr>
        <w:t>6622461</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2.采购代理机构信息</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名称：陕西宸永项目管理有限公司</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地址：延安市新区盛世花园北区12号楼一单元802室</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联系方式：0911-8688810</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3.项目联系方式</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项目联系人：杨工</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电话：0911-8688810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sectPr>
          <w:footerReference r:id="rId8" w:type="first"/>
          <w:footerReference r:id="rId7" w:type="default"/>
          <w:pgSz w:w="11906" w:h="16838"/>
          <w:pgMar w:top="1440" w:right="1440" w:bottom="1440" w:left="1440" w:header="851" w:footer="992" w:gutter="0"/>
          <w:pgNumType w:fmt="decimal" w:start="1"/>
          <w:cols w:space="720" w:num="1"/>
          <w:docGrid w:linePitch="312" w:charSpace="0"/>
        </w:sectPr>
      </w:pPr>
    </w:p>
    <w:p>
      <w:pPr>
        <w:pStyle w:val="3"/>
        <w:numPr>
          <w:ilvl w:val="0"/>
          <w:numId w:val="2"/>
        </w:numPr>
        <w:ind w:left="0" w:leftChars="0" w:firstLine="0" w:firstLineChars="0"/>
        <w:jc w:val="center"/>
        <w:rPr>
          <w:rFonts w:hint="eastAsia" w:ascii="宋体" w:hAnsi="宋体" w:eastAsia="宋体" w:cs="宋体"/>
          <w:color w:val="000000" w:themeColor="text1"/>
          <w:sz w:val="32"/>
          <w:szCs w:val="32"/>
          <w14:textFill>
            <w14:solidFill>
              <w14:schemeClr w14:val="tx1"/>
            </w14:solidFill>
          </w14:textFill>
        </w:rPr>
      </w:pPr>
      <w:bookmarkStart w:id="3" w:name="_Toc421778363"/>
      <w:bookmarkStart w:id="4" w:name="_Toc10488"/>
      <w:r>
        <w:rPr>
          <w:rFonts w:hint="eastAsia" w:ascii="宋体" w:hAnsi="宋体" w:eastAsia="宋体" w:cs="宋体"/>
          <w:color w:val="000000" w:themeColor="text1"/>
          <w:sz w:val="32"/>
          <w:szCs w:val="32"/>
          <w14:textFill>
            <w14:solidFill>
              <w14:schemeClr w14:val="tx1"/>
            </w14:solidFill>
          </w14:textFill>
        </w:rPr>
        <w:t>供应商须知</w:t>
      </w:r>
      <w:bookmarkEnd w:id="3"/>
      <w:bookmarkEnd w:id="4"/>
    </w:p>
    <w:p>
      <w:pPr>
        <w:numPr>
          <w:ilvl w:val="0"/>
          <w:numId w:val="0"/>
        </w:numPr>
        <w:ind w:leftChars="0"/>
        <w:rPr>
          <w:rFonts w:hint="eastAsia"/>
        </w:rPr>
      </w:pPr>
    </w:p>
    <w:p>
      <w:pPr>
        <w:spacing w:line="360" w:lineRule="auto"/>
        <w:jc w:val="center"/>
        <w:outlineLvl w:val="1"/>
        <w:rPr>
          <w:rFonts w:hint="eastAsia" w:ascii="宋体" w:hAnsi="宋体" w:eastAsia="宋体" w:cs="宋体"/>
          <w:b/>
          <w:color w:val="000000" w:themeColor="text1"/>
          <w:sz w:val="28"/>
          <w14:textFill>
            <w14:solidFill>
              <w14:schemeClr w14:val="tx1"/>
            </w14:solidFill>
          </w14:textFill>
        </w:rPr>
      </w:pPr>
      <w:bookmarkStart w:id="5" w:name="_Toc15103"/>
      <w:bookmarkStart w:id="6" w:name="_Toc526842682"/>
      <w:bookmarkStart w:id="7" w:name="_Toc421778364"/>
      <w:bookmarkStart w:id="8" w:name="_Toc500323094"/>
      <w:bookmarkStart w:id="9" w:name="_Toc420591642"/>
      <w:r>
        <w:rPr>
          <w:rFonts w:hint="eastAsia" w:ascii="宋体" w:hAnsi="宋体" w:eastAsia="宋体" w:cs="宋体"/>
          <w:b/>
          <w:color w:val="000000" w:themeColor="text1"/>
          <w:sz w:val="28"/>
          <w14:textFill>
            <w14:solidFill>
              <w14:schemeClr w14:val="tx1"/>
            </w14:solidFill>
          </w14:textFill>
        </w:rPr>
        <w:t>供应商须知前附表</w:t>
      </w:r>
      <w:bookmarkEnd w:id="5"/>
      <w:bookmarkEnd w:id="6"/>
      <w:bookmarkEnd w:id="7"/>
      <w:bookmarkEnd w:id="8"/>
      <w:bookmarkEnd w:id="9"/>
    </w:p>
    <w:tbl>
      <w:tblPr>
        <w:tblStyle w:val="33"/>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0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条款号</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szCs w:val="24"/>
                <w:lang w:val="en-US" w:eastAsia="zh-CN"/>
              </w:rPr>
              <w:t>采购人</w:t>
            </w:r>
            <w:r>
              <w:rPr>
                <w:rFonts w:hint="eastAsia" w:ascii="宋体" w:hAnsi="宋体" w:eastAsia="宋体" w:cs="宋体"/>
                <w:color w:val="000000" w:themeColor="text1"/>
                <w:sz w:val="24"/>
                <w:szCs w:val="24"/>
                <w:lang w:val="en-US" w:eastAsia="zh-CN"/>
                <w14:textFill>
                  <w14:solidFill>
                    <w14:schemeClr w14:val="tx1"/>
                  </w14:solidFill>
                </w14:textFill>
              </w:rPr>
              <w:t>名称：</w:t>
            </w:r>
            <w:r>
              <w:rPr>
                <w:rFonts w:hint="eastAsia" w:ascii="宋体" w:hAnsi="宋体" w:cs="宋体"/>
                <w:color w:val="000000" w:themeColor="text1"/>
                <w:sz w:val="24"/>
                <w:szCs w:val="24"/>
                <w:lang w:val="en-US" w:eastAsia="zh-CN"/>
                <w14:textFill>
                  <w14:solidFill>
                    <w14:schemeClr w14:val="tx1"/>
                  </w14:solidFill>
                </w14:textFill>
              </w:rPr>
              <w:t>志丹县教育科技体育局</w:t>
            </w:r>
          </w:p>
          <w:p>
            <w:pPr>
              <w:spacing w:line="360" w:lineRule="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地址：延安市志丹县</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val="en-US" w:eastAsia="zh-CN"/>
                <w14:textFill>
                  <w14:solidFill>
                    <w14:schemeClr w14:val="tx1"/>
                  </w14:solidFill>
                </w14:textFill>
              </w:rPr>
              <w:t>石海玉</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lang w:val="en-US" w:eastAsia="zh-CN"/>
                <w14:textFill>
                  <w14:solidFill>
                    <w14:schemeClr w14:val="tx1"/>
                  </w14:solidFill>
                </w14:textFill>
              </w:rPr>
              <w:t>0911-</w:t>
            </w:r>
            <w:r>
              <w:rPr>
                <w:rFonts w:hint="eastAsia" w:ascii="宋体" w:hAnsi="宋体" w:cs="宋体"/>
                <w:color w:val="000000" w:themeColor="text1"/>
                <w:sz w:val="24"/>
                <w:szCs w:val="24"/>
                <w:lang w:val="en-US" w:eastAsia="zh-CN"/>
                <w14:textFill>
                  <w14:solidFill>
                    <w14:schemeClr w14:val="tx1"/>
                  </w14:solidFill>
                </w14:textFill>
              </w:rPr>
              <w:t>6622461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采购代理机构</w:t>
            </w:r>
            <w:r>
              <w:rPr>
                <w:rFonts w:hint="eastAsia" w:ascii="宋体" w:hAnsi="宋体" w:eastAsia="宋体" w:cs="宋体"/>
                <w:color w:val="000000"/>
                <w:sz w:val="24"/>
                <w:szCs w:val="24"/>
              </w:rPr>
              <w:t>：</w:t>
            </w: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地址：</w:t>
            </w:r>
            <w:r>
              <w:rPr>
                <w:rFonts w:hint="eastAsia" w:ascii="宋体" w:hAnsi="宋体" w:cs="宋体"/>
                <w:color w:val="000000"/>
                <w:sz w:val="24"/>
                <w:szCs w:val="24"/>
                <w:lang w:eastAsia="zh-CN"/>
              </w:rPr>
              <w:t>延安市新区盛世花园北区12号楼一单元802室</w:t>
            </w:r>
          </w:p>
          <w:p>
            <w:pPr>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szCs w:val="24"/>
              </w:rPr>
              <w:t>联系人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杨工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联系方式</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 xml:space="preserve">0911-8688810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sz w:val="24"/>
                <w:szCs w:val="24"/>
                <w:lang w:eastAsia="zh-CN"/>
              </w:rPr>
              <w:t>旦八镇初级中学等8所学校足球场人造草坪维修改造工程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出资比例</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项目预算</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3112906.25</w:t>
            </w:r>
            <w:r>
              <w:rPr>
                <w:rFonts w:hint="eastAsia" w:ascii="宋体" w:hAnsi="宋体" w:eastAsia="宋体" w:cs="宋体"/>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最高限价</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3106101.48</w:t>
            </w:r>
            <w:r>
              <w:rPr>
                <w:rFonts w:hint="eastAsia" w:ascii="宋体" w:hAnsi="宋体" w:eastAsia="宋体" w:cs="宋体"/>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磋商内容</w:t>
            </w:r>
          </w:p>
        </w:tc>
        <w:tc>
          <w:tcPr>
            <w:tcW w:w="7371" w:type="dxa"/>
            <w:tcBorders>
              <w:top w:val="single" w:color="auto" w:sz="4" w:space="0"/>
              <w:left w:val="single" w:color="auto" w:sz="4" w:space="0"/>
              <w:bottom w:val="single" w:color="auto" w:sz="4" w:space="0"/>
              <w:right w:val="single" w:color="auto" w:sz="4" w:space="0"/>
            </w:tcBorders>
            <w:vAlign w:val="bottom"/>
          </w:tcPr>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对旦八镇初级中学，红都小学，金丁镇中心小学，创新实验小学，永宁镇中心小学，侯市小学，红军小学，吴堡小学等8所学校足球场更换人造草坪等。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工</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eastAsia="zh-CN"/>
                <w14:textFill>
                  <w14:solidFill>
                    <w14:schemeClr w14:val="tx1"/>
                  </w14:solidFill>
                </w14:textFill>
              </w:rPr>
              <w:t>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cs="宋体"/>
                <w:color w:val="000000" w:themeColor="text1"/>
                <w:sz w:val="24"/>
                <w:szCs w:val="24"/>
                <w:highlight w:val="yellow"/>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1.3.</w:t>
            </w:r>
            <w:r>
              <w:rPr>
                <w:rFonts w:hint="eastAsia" w:ascii="宋体" w:hAnsi="宋体" w:cs="宋体"/>
                <w:color w:val="auto"/>
                <w:sz w:val="24"/>
                <w:szCs w:val="24"/>
                <w:lang w:val="en-US" w:eastAsia="zh-CN"/>
              </w:rPr>
              <w:t>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供应商资质条件、能力和信誉</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4"/>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w:t>
            </w:r>
            <w:r>
              <w:rPr>
                <w:rFonts w:hint="eastAsia" w:ascii="宋体" w:hAnsi="宋体" w:cs="宋体"/>
                <w:color w:val="000000" w:themeColor="text1"/>
                <w:sz w:val="24"/>
                <w:szCs w:val="24"/>
                <w:lang w:val="en-US" w:eastAsia="zh-CN"/>
                <w14:textFill>
                  <w14:solidFill>
                    <w14:schemeClr w14:val="tx1"/>
                  </w14:solidFill>
                </w14:textFill>
              </w:rPr>
              <w:t>2023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或20</w:t>
            </w:r>
            <w:r>
              <w:rPr>
                <w:rFonts w:hint="eastAsia" w:ascii="宋体" w:hAnsi="宋体" w:cs="宋体"/>
                <w:color w:val="000000" w:themeColor="text1"/>
                <w:kern w:val="2"/>
                <w:sz w:val="24"/>
                <w:szCs w:val="24"/>
                <w:lang w:val="en-US" w:eastAsia="zh-CN" w:bidi="ar-SA"/>
                <w14:textFill>
                  <w14:solidFill>
                    <w14:schemeClr w14:val="tx1"/>
                  </w14:solidFill>
                </w14:textFill>
              </w:rPr>
              <w:t>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8.需具备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市政公用工程施工</w:t>
            </w:r>
            <w:r>
              <w:rPr>
                <w:rFonts w:hint="eastAsia" w:ascii="宋体" w:hAnsi="宋体" w:eastAsia="宋体" w:cs="宋体"/>
                <w:color w:val="000000" w:themeColor="text1"/>
                <w:kern w:val="2"/>
                <w:sz w:val="24"/>
                <w:szCs w:val="24"/>
                <w:lang w:val="en-US" w:eastAsia="zh-CN" w:bidi="ar-SA"/>
                <w14:textFill>
                  <w14:solidFill>
                    <w14:schemeClr w14:val="tx1"/>
                  </w14:solidFill>
                </w14:textFill>
              </w:rPr>
              <w:t>总承包叁级</w:t>
            </w:r>
            <w:r>
              <w:rPr>
                <w:rFonts w:hint="eastAsia" w:ascii="宋体" w:hAnsi="宋体" w:cs="宋体"/>
                <w:color w:val="000000" w:themeColor="text1"/>
                <w:kern w:val="2"/>
                <w:sz w:val="24"/>
                <w:szCs w:val="24"/>
                <w:lang w:val="en-US" w:eastAsia="zh-CN" w:bidi="ar-SA"/>
                <w14:textFill>
                  <w14:solidFill>
                    <w14:schemeClr w14:val="tx1"/>
                  </w14:solidFill>
                </w14:textFill>
              </w:rPr>
              <w:t>及</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专业二级及以上注册建造师执业资格，具备有效的安全生产考核合格证书，且在本单位注册，未担任其他在建工程项目的项目经理；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联合体</w:t>
            </w:r>
            <w:r>
              <w:rPr>
                <w:rFonts w:hint="eastAsia" w:ascii="宋体" w:hAnsi="宋体" w:cs="宋体"/>
                <w:color w:val="000000" w:themeColor="text1"/>
                <w:sz w:val="24"/>
                <w:szCs w:val="24"/>
                <w:lang w:eastAsia="zh-CN"/>
                <w14:textFill>
                  <w14:solidFill>
                    <w14:schemeClr w14:val="tx1"/>
                  </w14:solidFill>
                </w14:textFill>
              </w:rPr>
              <w:t>磋商</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不召开</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预备会，相关事宜以招标答疑方式进行。</w:t>
            </w:r>
          </w:p>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0" w:name="_Toc343511299"/>
            <w:r>
              <w:rPr>
                <w:rFonts w:hint="eastAsia" w:ascii="宋体" w:hAnsi="宋体" w:eastAsia="宋体" w:cs="宋体"/>
                <w:color w:val="000000" w:themeColor="text1"/>
                <w:sz w:val="24"/>
                <w:szCs w:val="24"/>
                <w14:textFill>
                  <w14:solidFill>
                    <w14:schemeClr w14:val="tx1"/>
                  </w14:solidFill>
                </w14:textFill>
              </w:rPr>
              <w:t>供应商需以书面形式向</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提交需澄清或答疑的问题，同时将澄清或答疑问题的电子版发至</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机构电子邮箱：</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"mailto:sxzb9@126.com"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，采购人和代理机构负责做出统一解答和必要澄清后，以书面的《招标答疑纪要》发送各供应商。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供应商提出问题的截止时间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提交首次响应文件截止之日3个工作日前，以书面形式提交至采购代理机构（并将电子版发至</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"mailto:sxzb9@126.com" </w:instrText>
            </w:r>
            <w:r>
              <w:rPr>
                <w:rFonts w:hint="eastAsia" w:ascii="宋体" w:hAnsi="宋体" w:eastAsia="宋体" w:cs="宋体"/>
                <w:color w:val="000000"/>
                <w:sz w:val="24"/>
                <w:szCs w:val="24"/>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1.10</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不接受分包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采购人澄清磋商文件的截止时间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FF0000"/>
                <w:sz w:val="24"/>
                <w:szCs w:val="24"/>
                <w:lang w:val="en-US"/>
              </w:rPr>
            </w:pPr>
            <w:r>
              <w:rPr>
                <w:rFonts w:hint="default" w:ascii="宋体" w:hAnsi="宋体" w:eastAsia="宋体" w:cs="宋体"/>
                <w:color w:val="auto"/>
                <w:sz w:val="24"/>
                <w:szCs w:val="24"/>
                <w:lang w:val="en-US" w:eastAsia="zh-CN"/>
              </w:rPr>
              <w:t xml:space="preserve">2023年 </w:t>
            </w:r>
            <w:r>
              <w:rPr>
                <w:rFonts w:hint="eastAsia" w:ascii="宋体" w:hAnsi="宋体" w:cs="宋体"/>
                <w:color w:val="auto"/>
                <w:sz w:val="24"/>
                <w:szCs w:val="24"/>
                <w:lang w:val="en-US" w:eastAsia="zh-CN"/>
              </w:rPr>
              <w:t xml:space="preserve">9  </w:t>
            </w:r>
            <w:r>
              <w:rPr>
                <w:rFonts w:hint="default" w:ascii="宋体" w:hAnsi="宋体" w:eastAsia="宋体" w:cs="宋体"/>
                <w:color w:val="auto"/>
                <w:sz w:val="24"/>
                <w:szCs w:val="24"/>
                <w:lang w:val="en-US" w:eastAsia="zh-CN"/>
              </w:rPr>
              <w:t xml:space="preserve">月 </w:t>
            </w:r>
            <w:r>
              <w:rPr>
                <w:rFonts w:hint="eastAsia" w:ascii="宋体" w:hAnsi="宋体" w:cs="宋体"/>
                <w:color w:val="auto"/>
                <w:sz w:val="24"/>
                <w:szCs w:val="24"/>
                <w:lang w:val="en-US" w:eastAsia="zh-CN"/>
              </w:rPr>
              <w:t xml:space="preserve">4   </w:t>
            </w:r>
            <w:r>
              <w:rPr>
                <w:rFonts w:hint="default" w:ascii="宋体" w:hAnsi="宋体" w:eastAsia="宋体" w:cs="宋体"/>
                <w:color w:val="auto"/>
                <w:sz w:val="24"/>
                <w:szCs w:val="24"/>
                <w:lang w:val="en-US" w:eastAsia="zh-CN"/>
              </w:rPr>
              <w:t xml:space="preserve">日 </w:t>
            </w:r>
            <w:r>
              <w:rPr>
                <w:rFonts w:hint="eastAsia" w:ascii="宋体" w:hAnsi="宋体" w:cs="宋体"/>
                <w:color w:val="auto"/>
                <w:sz w:val="24"/>
                <w:szCs w:val="24"/>
                <w:lang w:val="en-US" w:eastAsia="zh-CN"/>
              </w:rPr>
              <w:t xml:space="preserve">10  </w:t>
            </w:r>
            <w:r>
              <w:rPr>
                <w:rFonts w:hint="default" w:ascii="宋体" w:hAnsi="宋体" w:eastAsia="宋体" w:cs="宋体"/>
                <w:color w:val="auto"/>
                <w:sz w:val="24"/>
                <w:szCs w:val="24"/>
                <w:lang w:val="en-US" w:eastAsia="zh-CN"/>
              </w:rPr>
              <w:t xml:space="preserve">时 </w:t>
            </w:r>
            <w:r>
              <w:rPr>
                <w:rFonts w:hint="eastAsia" w:ascii="宋体" w:hAnsi="宋体" w:cs="宋体"/>
                <w:color w:val="auto"/>
                <w:sz w:val="24"/>
                <w:szCs w:val="24"/>
                <w:lang w:val="en-US" w:eastAsia="zh-CN"/>
              </w:rPr>
              <w:t>3</w:t>
            </w:r>
            <w:r>
              <w:rPr>
                <w:rFonts w:hint="default" w:ascii="宋体" w:hAnsi="宋体" w:eastAsia="宋体" w:cs="宋体"/>
                <w:color w:val="auto"/>
                <w:sz w:val="24"/>
                <w:szCs w:val="24"/>
                <w:lang w:val="en-US" w:eastAsia="zh-CN"/>
              </w:rPr>
              <w:t>0 分  00 秒</w:t>
            </w:r>
            <w:r>
              <w:rPr>
                <w:rFonts w:hint="default" w:ascii="宋体" w:hAnsi="宋体" w:eastAsia="宋体" w:cs="宋体"/>
                <w:color w:val="auto"/>
                <w:sz w:val="24"/>
                <w:szCs w:val="24"/>
                <w:lang w:val="en-US"/>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供应商确认收到磋商文件澄清的时间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磋商文件澄清发出后当日内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供应商确认收到磋商文件修改的时间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磋商文件修改发出后当日内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磋商有效期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90日历天（从磋商响应文件截止之日算起）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磋商保证金</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val="0"/>
              <w:wordWrap/>
              <w:topLinePunct w:val="0"/>
              <w:bidi w:val="0"/>
              <w:spacing w:line="360" w:lineRule="auto"/>
              <w:jc w:val="both"/>
              <w:rPr>
                <w:rFonts w:hint="eastAsia" w:ascii="宋体" w:hAnsi="宋体" w:eastAsia="宋体" w:cs="宋体"/>
                <w:b/>
                <w:bCs/>
                <w:color w:val="auto"/>
                <w:kern w:val="2"/>
                <w:sz w:val="24"/>
                <w:szCs w:val="24"/>
                <w:u w:val="none"/>
                <w:lang w:eastAsia="zh-CN"/>
              </w:rPr>
            </w:pPr>
            <w:r>
              <w:rPr>
                <w:rFonts w:hint="eastAsia" w:ascii="宋体" w:hAnsi="宋体" w:eastAsia="宋体" w:cs="宋体"/>
                <w:b/>
                <w:bCs/>
                <w:color w:val="auto"/>
                <w:kern w:val="2"/>
                <w:sz w:val="24"/>
                <w:szCs w:val="24"/>
                <w:lang w:val="en-US" w:eastAsia="zh-CN"/>
              </w:rPr>
              <w:t>磋商</w:t>
            </w:r>
            <w:r>
              <w:rPr>
                <w:rFonts w:hint="eastAsia" w:ascii="宋体" w:hAnsi="宋体" w:eastAsia="宋体" w:cs="宋体"/>
                <w:b/>
                <w:bCs/>
                <w:color w:val="auto"/>
                <w:kern w:val="2"/>
                <w:sz w:val="24"/>
                <w:szCs w:val="24"/>
              </w:rPr>
              <w:t>保证金：</w:t>
            </w:r>
            <w:r>
              <w:rPr>
                <w:rFonts w:hint="eastAsia" w:ascii="宋体" w:hAnsi="宋体" w:cs="宋体"/>
                <w:b/>
                <w:bCs/>
                <w:color w:val="auto"/>
                <w:kern w:val="2"/>
                <w:sz w:val="24"/>
                <w:szCs w:val="24"/>
                <w:lang w:val="en-US" w:eastAsia="zh-CN"/>
              </w:rPr>
              <w:t>5</w:t>
            </w:r>
            <w:r>
              <w:rPr>
                <w:rFonts w:hint="eastAsia" w:ascii="宋体" w:hAnsi="宋体" w:eastAsia="宋体" w:cs="宋体"/>
                <w:b/>
                <w:bCs/>
                <w:color w:val="auto"/>
                <w:kern w:val="2"/>
                <w:sz w:val="24"/>
                <w:szCs w:val="24"/>
                <w:lang w:val="en-US" w:eastAsia="zh-CN"/>
              </w:rPr>
              <w:t>0000</w:t>
            </w:r>
            <w:r>
              <w:rPr>
                <w:rFonts w:hint="eastAsia" w:ascii="宋体" w:hAnsi="宋体" w:eastAsia="宋体" w:cs="宋体"/>
                <w:b/>
                <w:bCs/>
                <w:color w:val="auto"/>
                <w:kern w:val="2"/>
                <w:sz w:val="24"/>
                <w:szCs w:val="24"/>
                <w:u w:val="none"/>
              </w:rPr>
              <w:t>元整</w:t>
            </w:r>
            <w:r>
              <w:rPr>
                <w:rFonts w:hint="eastAsia" w:ascii="宋体" w:hAnsi="宋体" w:eastAsia="宋体" w:cs="宋体"/>
                <w:b/>
                <w:bCs/>
                <w:color w:val="auto"/>
                <w:kern w:val="2"/>
                <w:sz w:val="24"/>
                <w:szCs w:val="24"/>
                <w:u w:val="none"/>
                <w:lang w:eastAsia="zh-CN"/>
              </w:rPr>
              <w:t>（</w:t>
            </w:r>
            <w:r>
              <w:rPr>
                <w:rFonts w:hint="eastAsia" w:ascii="宋体" w:hAnsi="宋体" w:cs="宋体"/>
                <w:b/>
                <w:bCs/>
                <w:color w:val="auto"/>
                <w:kern w:val="2"/>
                <w:sz w:val="24"/>
                <w:szCs w:val="24"/>
                <w:u w:val="none"/>
                <w:lang w:val="en-US" w:eastAsia="zh-CN"/>
              </w:rPr>
              <w:t>伍</w:t>
            </w:r>
            <w:r>
              <w:rPr>
                <w:rFonts w:hint="eastAsia" w:ascii="宋体" w:hAnsi="宋体" w:eastAsia="宋体" w:cs="宋体"/>
                <w:b/>
                <w:bCs/>
                <w:color w:val="auto"/>
                <w:kern w:val="2"/>
                <w:sz w:val="24"/>
                <w:szCs w:val="24"/>
                <w:u w:val="none"/>
                <w:lang w:val="en-US" w:eastAsia="zh-CN"/>
              </w:rPr>
              <w:t>万元整</w:t>
            </w:r>
            <w:r>
              <w:rPr>
                <w:rFonts w:hint="eastAsia" w:ascii="宋体" w:hAnsi="宋体" w:eastAsia="宋体" w:cs="宋体"/>
                <w:b/>
                <w:bCs/>
                <w:color w:val="auto"/>
                <w:kern w:val="2"/>
                <w:sz w:val="24"/>
                <w:szCs w:val="24"/>
                <w:u w:val="none"/>
                <w:lang w:eastAsia="zh-CN"/>
              </w:rPr>
              <w:t>）</w:t>
            </w:r>
          </w:p>
          <w:p>
            <w:pPr>
              <w:pStyle w:val="17"/>
              <w:pageBreakBefore w:val="0"/>
              <w:wordWrap/>
              <w:topLinePunct w:val="0"/>
              <w:bidi w:val="0"/>
              <w:spacing w:line="360" w:lineRule="auto"/>
              <w:ind w:left="0" w:leftChars="0" w:firstLine="0" w:firstLineChars="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SA"/>
              </w:rPr>
              <w:t>备注：SXCY2023-33磋商保证金</w:t>
            </w:r>
          </w:p>
          <w:p>
            <w:pPr>
              <w:pageBreakBefore w:val="0"/>
              <w:widowControl w:val="0"/>
              <w:wordWrap/>
              <w:topLinePunct w:val="0"/>
              <w:bidi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kern w:val="2"/>
                <w:sz w:val="24"/>
                <w:szCs w:val="24"/>
              </w:rPr>
              <w:t>保证金有效期限：保证金的有效期与</w:t>
            </w:r>
            <w:r>
              <w:rPr>
                <w:rFonts w:hint="eastAsia" w:ascii="宋体" w:hAnsi="宋体" w:eastAsia="宋体" w:cs="宋体"/>
                <w:color w:val="auto"/>
                <w:kern w:val="2"/>
                <w:sz w:val="24"/>
                <w:szCs w:val="24"/>
                <w:lang w:val="en-US" w:eastAsia="zh-CN"/>
              </w:rPr>
              <w:t>磋商</w:t>
            </w:r>
            <w:r>
              <w:rPr>
                <w:rFonts w:hint="eastAsia" w:ascii="宋体" w:hAnsi="宋体" w:eastAsia="宋体" w:cs="宋体"/>
                <w:color w:val="auto"/>
                <w:kern w:val="2"/>
                <w:sz w:val="24"/>
                <w:szCs w:val="24"/>
              </w:rPr>
              <w:t>有效期一致。</w:t>
            </w:r>
          </w:p>
          <w:p>
            <w:pPr>
              <w:pageBreakBefore w:val="0"/>
              <w:tabs>
                <w:tab w:val="left" w:pos="0"/>
              </w:tabs>
              <w:kinsoku w:val="0"/>
              <w:wordWrap/>
              <w:topLinePunct w:val="0"/>
              <w:bidi w:val="0"/>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交款方式：</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保证金应当以银行网银转账、支票、汇票、本票</w:t>
            </w:r>
            <w:r>
              <w:rPr>
                <w:rFonts w:hint="eastAsia" w:ascii="宋体" w:hAnsi="宋体" w:cs="宋体"/>
                <w:color w:val="auto"/>
                <w:sz w:val="24"/>
                <w:szCs w:val="24"/>
                <w:lang w:eastAsia="zh-CN"/>
              </w:rPr>
              <w:t>、保函</w:t>
            </w:r>
            <w:r>
              <w:rPr>
                <w:rFonts w:hint="eastAsia" w:ascii="宋体" w:hAnsi="宋体" w:eastAsia="宋体" w:cs="宋体"/>
                <w:color w:val="auto"/>
                <w:sz w:val="24"/>
                <w:szCs w:val="24"/>
              </w:rPr>
              <w:t>等非现金形式提交。供应商未按照采购文件要求提交保证金的，响应文件无效。请</w:t>
            </w:r>
            <w:r>
              <w:rPr>
                <w:rFonts w:hint="eastAsia" w:ascii="宋体" w:hAnsi="宋体" w:eastAsia="宋体" w:cs="宋体"/>
                <w:color w:val="auto"/>
                <w:sz w:val="24"/>
                <w:szCs w:val="24"/>
                <w:lang w:eastAsia="zh-CN"/>
              </w:rPr>
              <w:t>供应商在响应文件递交截止时间</w:t>
            </w:r>
            <w:r>
              <w:rPr>
                <w:rFonts w:hint="eastAsia" w:ascii="宋体" w:hAnsi="宋体" w:eastAsia="宋体" w:cs="宋体"/>
                <w:color w:val="auto"/>
                <w:sz w:val="24"/>
                <w:szCs w:val="24"/>
                <w:lang w:val="en-US" w:eastAsia="zh-CN"/>
              </w:rPr>
              <w:t>前将磋商保证金由基本账户（投标保证金的交付单位和投标供应商的名称必须一致）缴纳到下列账户：</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开户单位：</w:t>
            </w:r>
            <w:r>
              <w:rPr>
                <w:rFonts w:hint="eastAsia" w:ascii="宋体" w:hAnsi="宋体" w:eastAsia="宋体" w:cs="宋体"/>
                <w:b/>
                <w:bCs/>
                <w:color w:val="auto"/>
                <w:sz w:val="24"/>
                <w:szCs w:val="24"/>
                <w:lang w:eastAsia="zh-CN"/>
              </w:rPr>
              <w:t>陕西宸永项目管理有限公司</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开户行名称：</w:t>
            </w:r>
            <w:r>
              <w:rPr>
                <w:rFonts w:hint="eastAsia" w:ascii="宋体" w:hAnsi="宋体" w:eastAsia="宋体" w:cs="宋体"/>
                <w:b/>
                <w:bCs/>
                <w:color w:val="auto"/>
                <w:sz w:val="24"/>
                <w:szCs w:val="24"/>
                <w:lang w:val="en-US" w:eastAsia="zh-CN"/>
              </w:rPr>
              <w:t>中国建设银行股份有限公司延安马家湾支行</w:t>
            </w:r>
          </w:p>
          <w:p>
            <w:pPr>
              <w:rPr>
                <w:rFonts w:hint="eastAsia" w:ascii="宋体" w:hAnsi="宋体" w:eastAsia="宋体" w:cs="宋体"/>
                <w:color w:val="FF0000"/>
                <w:sz w:val="24"/>
                <w:szCs w:val="24"/>
                <w:lang w:eastAsia="zh-CN"/>
              </w:rPr>
            </w:pPr>
            <w:r>
              <w:rPr>
                <w:rFonts w:hint="eastAsia" w:ascii="宋体" w:hAnsi="宋体" w:eastAsia="宋体" w:cs="宋体"/>
                <w:b/>
                <w:bCs/>
                <w:color w:val="auto"/>
                <w:sz w:val="24"/>
                <w:szCs w:val="24"/>
              </w:rPr>
              <w:t>账      号：</w:t>
            </w:r>
            <w:r>
              <w:rPr>
                <w:rFonts w:hint="eastAsia" w:ascii="宋体" w:hAnsi="宋体" w:eastAsia="宋体" w:cs="宋体"/>
                <w:b/>
                <w:bCs/>
                <w:color w:val="auto"/>
                <w:sz w:val="24"/>
                <w:szCs w:val="24"/>
                <w:lang w:val="en-US" w:eastAsia="zh-CN"/>
              </w:rPr>
              <w:t>61050168980000000758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3.6</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是否允许递交</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备选</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方案</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签字或盖章要求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响应文件正、副本必须逐页加盖公章</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鲜章</w:t>
            </w:r>
            <w:r>
              <w:rPr>
                <w:rFonts w:hint="eastAsia" w:ascii="宋体" w:hAnsi="宋体" w:cs="宋体"/>
                <w:color w:val="000000"/>
                <w:sz w:val="24"/>
                <w:szCs w:val="24"/>
                <w:lang w:eastAsia="zh-CN"/>
              </w:rPr>
              <w:t>）</w:t>
            </w:r>
            <w:r>
              <w:rPr>
                <w:rFonts w:hint="eastAsia" w:ascii="宋体" w:hAnsi="宋体" w:eastAsia="宋体" w:cs="宋体"/>
                <w:color w:val="000000"/>
                <w:sz w:val="24"/>
                <w:szCs w:val="24"/>
              </w:rPr>
              <w:t>并经法定代表人或其委托代理人</w:t>
            </w:r>
            <w:r>
              <w:rPr>
                <w:rFonts w:hint="eastAsia" w:ascii="宋体" w:hAnsi="宋体" w:eastAsia="宋体" w:cs="宋体"/>
                <w:color w:val="000000"/>
                <w:sz w:val="24"/>
                <w:szCs w:val="24"/>
                <w:lang w:eastAsia="zh-CN"/>
              </w:rPr>
              <w:t>在指定页面</w:t>
            </w:r>
            <w:r>
              <w:rPr>
                <w:rFonts w:hint="eastAsia" w:ascii="宋体" w:hAnsi="宋体" w:eastAsia="宋体" w:cs="宋体"/>
                <w:color w:val="000000"/>
                <w:sz w:val="24"/>
                <w:szCs w:val="24"/>
              </w:rPr>
              <w:t>签字或盖章</w:t>
            </w:r>
            <w:r>
              <w:rPr>
                <w:rFonts w:hint="eastAsia" w:ascii="宋体" w:hAnsi="宋体" w:eastAsia="宋体" w:cs="宋体"/>
                <w:color w:val="000000" w:themeColor="text1"/>
                <w:sz w:val="24"/>
                <w:szCs w:val="24"/>
                <w14:textFill>
                  <w14:solidFill>
                    <w14:schemeClr w14:val="tx1"/>
                  </w14:solidFill>
                </w14:textFill>
              </w:rPr>
              <w:t>。由委托代理人签字或盖章的在响应文件中须同时提交响应文件签署授权委托书。除</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供应商对错误处须修改外，全套响应文件应无涂改或行间插字和增删。如有修改，修改处应由</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供应商加盖单位公章或由公司法人或授权代理签字或盖章。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磋商响应文件副本份数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文件正本壹份、副本</w:t>
            </w:r>
            <w:r>
              <w:rPr>
                <w:rFonts w:hint="eastAsia" w:ascii="宋体" w:hAnsi="宋体" w:cs="宋体"/>
                <w:color w:val="000000" w:themeColor="text1"/>
                <w:sz w:val="24"/>
                <w:szCs w:val="24"/>
                <w:lang w:eastAsia="zh-CN"/>
                <w14:textFill>
                  <w14:solidFill>
                    <w14:schemeClr w14:val="tx1"/>
                  </w14:solidFill>
                </w14:textFill>
              </w:rPr>
              <w:t>贰</w:t>
            </w:r>
            <w:r>
              <w:rPr>
                <w:rFonts w:hint="eastAsia" w:ascii="宋体" w:hAnsi="宋体" w:eastAsia="宋体" w:cs="宋体"/>
                <w:color w:val="000000" w:themeColor="text1"/>
                <w:sz w:val="24"/>
                <w:szCs w:val="24"/>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、资格证明文件壹份</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文件电子</w:t>
            </w:r>
            <w:r>
              <w:rPr>
                <w:rFonts w:hint="eastAsia" w:ascii="宋体" w:hAnsi="宋体" w:eastAsia="宋体" w:cs="宋体"/>
                <w:color w:val="000000" w:themeColor="text1"/>
                <w:sz w:val="24"/>
                <w:szCs w:val="24"/>
                <w:lang w:val="en-US" w:eastAsia="zh-CN"/>
                <w14:textFill>
                  <w14:solidFill>
                    <w14:schemeClr w14:val="tx1"/>
                  </w14:solidFill>
                </w14:textFill>
              </w:rPr>
              <w:t>U</w:t>
            </w:r>
            <w:r>
              <w:rPr>
                <w:rFonts w:hint="eastAsia" w:ascii="宋体" w:hAnsi="宋体" w:eastAsia="宋体" w:cs="宋体"/>
                <w:color w:val="000000" w:themeColor="text1"/>
                <w:sz w:val="24"/>
                <w:szCs w:val="24"/>
                <w14:textFill>
                  <w14:solidFill>
                    <w14:schemeClr w14:val="tx1"/>
                  </w14:solidFill>
                </w14:textFill>
              </w:rPr>
              <w:t>盘壹份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lang w:eastAsia="zh-CN"/>
                <w14:textFill>
                  <w14:solidFill>
                    <w14:schemeClr w14:val="tx1"/>
                  </w14:solidFill>
                </w14:textFill>
              </w:rPr>
              <w:t>文件</w:t>
            </w:r>
            <w:r>
              <w:rPr>
                <w:rFonts w:hint="eastAsia" w:ascii="宋体" w:hAnsi="宋体" w:eastAsia="宋体" w:cs="宋体"/>
                <w:color w:val="000000" w:themeColor="text1"/>
                <w:sz w:val="24"/>
                <w:szCs w:val="24"/>
                <w:lang w:val="en-US" w:eastAsia="zh-CN"/>
                <w14:textFill>
                  <w14:solidFill>
                    <w14:schemeClr w14:val="tx1"/>
                  </w14:solidFill>
                </w14:textFill>
              </w:rPr>
              <w:t>Word和PDF各</w:t>
            </w:r>
            <w:r>
              <w:rPr>
                <w:rFonts w:hint="eastAsia" w:ascii="宋体" w:hAnsi="宋体" w:cs="宋体"/>
                <w:color w:val="000000" w:themeColor="text1"/>
                <w:sz w:val="24"/>
                <w:szCs w:val="24"/>
                <w:lang w:val="en-US" w:eastAsia="zh-CN"/>
                <w14:textFill>
                  <w14:solidFill>
                    <w14:schemeClr w14:val="tx1"/>
                  </w14:solidFill>
                </w14:textFill>
              </w:rPr>
              <w:t>壹</w:t>
            </w:r>
            <w:r>
              <w:rPr>
                <w:rFonts w:hint="eastAsia" w:ascii="宋体" w:hAnsi="宋体" w:eastAsia="宋体" w:cs="宋体"/>
                <w:color w:val="000000" w:themeColor="text1"/>
                <w:sz w:val="24"/>
                <w:szCs w:val="24"/>
                <w:lang w:val="en-US" w:eastAsia="zh-CN"/>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，单独密封随</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文件一同递交。</w:t>
            </w:r>
            <w:r>
              <w:rPr>
                <w:rFonts w:hint="eastAsia" w:ascii="宋体" w:hAnsi="宋体" w:eastAsia="宋体" w:cs="宋体"/>
                <w:color w:val="000000" w:themeColor="text1"/>
                <w:sz w:val="24"/>
                <w:szCs w:val="24"/>
                <w:lang w:val="en-US" w:eastAsia="zh-CN"/>
                <w14:textFill>
                  <w14:solidFill>
                    <w14:schemeClr w14:val="tx1"/>
                  </w14:solidFill>
                </w14:textFill>
              </w:rPr>
              <w:t>U盘名称为</w:t>
            </w:r>
            <w:r>
              <w:rPr>
                <w:rFonts w:hint="eastAsia" w:ascii="宋体" w:hAnsi="宋体" w:eastAsia="宋体" w:cs="宋体"/>
                <w:color w:val="000000" w:themeColor="text1"/>
                <w:sz w:val="24"/>
                <w:szCs w:val="24"/>
                <w14:textFill>
                  <w14:solidFill>
                    <w14:schemeClr w14:val="tx1"/>
                  </w14:solidFill>
                </w14:textFill>
              </w:rPr>
              <w:t>供应商名称</w:t>
            </w:r>
            <w:r>
              <w:rPr>
                <w:rFonts w:hint="eastAsia" w:ascii="宋体" w:hAnsi="宋体" w:eastAsia="宋体" w:cs="宋体"/>
                <w:color w:val="000000" w:themeColor="text1"/>
                <w:sz w:val="24"/>
                <w:szCs w:val="24"/>
                <w:lang w:eastAsia="zh-CN"/>
                <w14:textFill>
                  <w14:solidFill>
                    <w14:schemeClr w14:val="tx1"/>
                  </w14:solidFill>
                </w14:textFill>
              </w:rPr>
              <w:t>，不按要求按废标处理</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未按上述要求提供的，采购人或采购代理机构有权拒收其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按无效</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封套上写明</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2"/>
                <w:sz w:val="24"/>
                <w:szCs w:val="24"/>
                <w:u w:val="single"/>
                <w:lang w:val="en-US"/>
              </w:rPr>
            </w:pPr>
            <w:r>
              <w:rPr>
                <w:rFonts w:hint="eastAsia" w:ascii="宋体" w:hAnsi="宋体" w:eastAsia="宋体" w:cs="宋体"/>
                <w:kern w:val="2"/>
                <w:sz w:val="24"/>
                <w:szCs w:val="24"/>
              </w:rPr>
              <w:t>1.采购人名称：</w:t>
            </w:r>
            <w:r>
              <w:rPr>
                <w:rFonts w:hint="eastAsia" w:ascii="宋体" w:hAnsi="宋体" w:eastAsia="宋体" w:cs="宋体"/>
                <w:kern w:val="2"/>
                <w:sz w:val="24"/>
                <w:szCs w:val="24"/>
                <w:u w:val="single"/>
                <w:lang w:val="en-US" w:eastAsia="zh-CN"/>
              </w:rPr>
              <w:t xml:space="preserve">                </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2.标注 “正本”、“副本”、“</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文件电子版”、“资格证明文件”字样，所有封套均应加贴封条，并在封套的封口处加盖供应商单位公章并经法定代表人</w:t>
            </w:r>
            <w:r>
              <w:rPr>
                <w:rFonts w:hint="eastAsia" w:ascii="宋体" w:hAnsi="宋体" w:cs="宋体"/>
                <w:kern w:val="2"/>
                <w:sz w:val="24"/>
                <w:szCs w:val="24"/>
                <w:lang w:eastAsia="zh-CN"/>
              </w:rPr>
              <w:t>（签字或盖章）</w:t>
            </w:r>
            <w:r>
              <w:rPr>
                <w:rFonts w:hint="eastAsia" w:ascii="宋体" w:hAnsi="宋体" w:eastAsia="宋体" w:cs="宋体"/>
                <w:kern w:val="2"/>
                <w:sz w:val="24"/>
                <w:szCs w:val="24"/>
                <w:lang w:val="en-US" w:eastAsia="zh-CN"/>
              </w:rPr>
              <w:t>和</w:t>
            </w:r>
            <w:r>
              <w:rPr>
                <w:rFonts w:hint="eastAsia" w:ascii="宋体" w:hAnsi="宋体" w:eastAsia="宋体" w:cs="宋体"/>
                <w:kern w:val="2"/>
                <w:sz w:val="24"/>
                <w:szCs w:val="24"/>
              </w:rPr>
              <w:t>其委托代理</w:t>
            </w:r>
            <w:r>
              <w:rPr>
                <w:rFonts w:hint="eastAsia" w:ascii="宋体" w:hAnsi="宋体" w:eastAsia="宋体" w:cs="宋体"/>
                <w:kern w:val="2"/>
                <w:sz w:val="24"/>
                <w:szCs w:val="24"/>
                <w:lang w:eastAsia="zh-CN"/>
              </w:rPr>
              <w:t>人</w:t>
            </w:r>
            <w:r>
              <w:rPr>
                <w:rFonts w:hint="eastAsia" w:ascii="宋体" w:hAnsi="宋体" w:eastAsia="宋体" w:cs="宋体"/>
                <w:kern w:val="2"/>
                <w:sz w:val="24"/>
                <w:szCs w:val="24"/>
              </w:rPr>
              <w:t>签字。</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3. 供应商：</w:t>
            </w:r>
            <w:r>
              <w:rPr>
                <w:rFonts w:hint="eastAsia" w:ascii="宋体" w:hAnsi="宋体" w:eastAsia="宋体" w:cs="宋体"/>
                <w:kern w:val="2"/>
                <w:sz w:val="24"/>
                <w:szCs w:val="24"/>
                <w:u w:val="single"/>
              </w:rPr>
              <w:t>（单位全称）</w:t>
            </w:r>
            <w:r>
              <w:rPr>
                <w:rFonts w:hint="eastAsia" w:ascii="宋体" w:hAnsi="宋体" w:eastAsia="宋体" w:cs="宋体"/>
                <w:kern w:val="2"/>
                <w:sz w:val="24"/>
                <w:szCs w:val="24"/>
              </w:rPr>
              <w:t>（盖单位公章）</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法定代表人：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w:t>
            </w:r>
            <w:r>
              <w:rPr>
                <w:rFonts w:hint="eastAsia" w:ascii="宋体" w:hAnsi="宋体" w:cs="宋体"/>
                <w:kern w:val="2"/>
                <w:sz w:val="24"/>
                <w:szCs w:val="24"/>
                <w:lang w:eastAsia="zh-CN"/>
              </w:rPr>
              <w:t>签字或盖章</w:t>
            </w:r>
            <w:r>
              <w:rPr>
                <w:rFonts w:hint="eastAsia" w:ascii="宋体" w:hAnsi="宋体" w:eastAsia="宋体" w:cs="宋体"/>
                <w:kern w:val="2"/>
                <w:sz w:val="24"/>
                <w:szCs w:val="24"/>
              </w:rPr>
              <w:t>）</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委托代理人：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（签字）</w:t>
            </w:r>
          </w:p>
          <w:p>
            <w:pPr>
              <w:widowControl w:val="0"/>
              <w:numPr>
                <w:ilvl w:val="0"/>
                <w:numId w:val="5"/>
              </w:numPr>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u w:val="single"/>
              </w:rPr>
              <w:t>（项目名称）、（项目编号）</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文件（或</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文件电子版或资格证明文件）</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rPr>
              <w:t>在</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2023</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年</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9</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4</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日</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10</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时</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30</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4.1.5</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装订要求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spacing w:val="4"/>
                <w:sz w:val="24"/>
                <w:szCs w:val="24"/>
                <w14:textFill>
                  <w14:solidFill>
                    <w14:schemeClr w14:val="tx1"/>
                  </w14:solidFill>
                </w14:textFill>
              </w:rPr>
              <w:t>磋商响应文件的正本与副本应采用胶缝方式</w:t>
            </w:r>
            <w:r>
              <w:rPr>
                <w:rFonts w:hint="eastAsia" w:ascii="宋体" w:hAnsi="宋体" w:eastAsia="宋体" w:cs="宋体"/>
                <w:color w:val="000000" w:themeColor="text1"/>
                <w:sz w:val="24"/>
                <w:szCs w:val="24"/>
                <w14:textFill>
                  <w14:solidFill>
                    <w14:schemeClr w14:val="tx1"/>
                  </w14:solidFill>
                </w14:textFill>
              </w:rPr>
              <w:t>分别装订成册</w:t>
            </w:r>
            <w:r>
              <w:rPr>
                <w:rFonts w:hint="eastAsia" w:ascii="宋体" w:hAnsi="宋体" w:eastAsia="宋体" w:cs="宋体"/>
                <w:color w:val="000000" w:themeColor="text1"/>
                <w:spacing w:val="4"/>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装订应牢固、不易拆散和换页，</w:t>
            </w:r>
            <w:r>
              <w:rPr>
                <w:rFonts w:hint="eastAsia" w:ascii="宋体" w:hAnsi="宋体" w:eastAsia="宋体" w:cs="宋体"/>
                <w:color w:val="000000" w:themeColor="text1"/>
                <w:spacing w:val="4"/>
                <w:sz w:val="24"/>
                <w:szCs w:val="24"/>
                <w14:textFill>
                  <w14:solidFill>
                    <w14:schemeClr w14:val="tx1"/>
                  </w14:solidFill>
                </w14:textFill>
              </w:rPr>
              <w:t>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4"/>
                <w:sz w:val="24"/>
                <w:szCs w:val="24"/>
                <w14:textFill>
                  <w14:solidFill>
                    <w14:schemeClr w14:val="tx1"/>
                  </w14:solidFill>
                </w14:textFill>
              </w:rPr>
              <w:t>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是否退还磋商响应文件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rPr>
            </w:pPr>
            <w:r>
              <w:rPr>
                <w:rFonts w:hint="eastAsia" w:ascii="宋体" w:hAnsi="宋体" w:eastAsia="宋体" w:cs="宋体"/>
                <w:color w:val="auto"/>
                <w:sz w:val="24"/>
                <w:szCs w:val="24"/>
              </w:rPr>
              <w:t>磋商时间：</w:t>
            </w:r>
            <w:r>
              <w:rPr>
                <w:rFonts w:hint="eastAsia" w:ascii="宋体" w:hAnsi="宋体" w:eastAsia="宋体" w:cs="宋体"/>
                <w:color w:val="auto"/>
                <w:sz w:val="24"/>
                <w:szCs w:val="24"/>
                <w:lang w:eastAsia="zh-CN"/>
              </w:rPr>
              <w:t xml:space="preserve">2023年 </w:t>
            </w:r>
            <w:r>
              <w:rPr>
                <w:rFonts w:hint="eastAsia" w:ascii="宋体" w:hAnsi="宋体" w:cs="宋体"/>
                <w:color w:val="auto"/>
                <w:sz w:val="24"/>
                <w:szCs w:val="24"/>
                <w:lang w:val="en-US" w:eastAsia="zh-CN"/>
              </w:rPr>
              <w:t xml:space="preserve">9   </w:t>
            </w:r>
            <w:r>
              <w:rPr>
                <w:rFonts w:hint="eastAsia" w:ascii="宋体" w:hAnsi="宋体" w:eastAsia="宋体" w:cs="宋体"/>
                <w:color w:val="auto"/>
                <w:sz w:val="24"/>
                <w:szCs w:val="24"/>
                <w:lang w:eastAsia="zh-CN"/>
              </w:rPr>
              <w:t>月</w:t>
            </w:r>
            <w:r>
              <w:rPr>
                <w:rFonts w:hint="eastAsia" w:ascii="宋体" w:hAnsi="宋体" w:cs="宋体"/>
                <w:color w:val="auto"/>
                <w:sz w:val="24"/>
                <w:szCs w:val="24"/>
                <w:lang w:val="en-US" w:eastAsia="zh-CN"/>
              </w:rPr>
              <w:t xml:space="preserve"> 4  </w:t>
            </w:r>
            <w:r>
              <w:rPr>
                <w:rFonts w:hint="eastAsia" w:ascii="宋体" w:hAnsi="宋体" w:eastAsia="宋体" w:cs="宋体"/>
                <w:color w:val="auto"/>
                <w:sz w:val="24"/>
                <w:szCs w:val="24"/>
                <w:lang w:eastAsia="zh-CN"/>
              </w:rPr>
              <w:t xml:space="preserve">日 </w:t>
            </w:r>
            <w:r>
              <w:rPr>
                <w:rFonts w:hint="eastAsia" w:ascii="宋体" w:hAnsi="宋体" w:cs="宋体"/>
                <w:color w:val="auto"/>
                <w:sz w:val="24"/>
                <w:szCs w:val="24"/>
                <w:lang w:val="en-US" w:eastAsia="zh-CN"/>
              </w:rPr>
              <w:t xml:space="preserve"> 10 </w:t>
            </w:r>
            <w:r>
              <w:rPr>
                <w:rFonts w:hint="eastAsia" w:ascii="宋体" w:hAnsi="宋体" w:eastAsia="宋体" w:cs="宋体"/>
                <w:color w:val="auto"/>
                <w:sz w:val="24"/>
                <w:szCs w:val="24"/>
                <w:lang w:eastAsia="zh-CN"/>
              </w:rPr>
              <w:t xml:space="preserve"> 时 </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0 分  00 秒</w:t>
            </w:r>
            <w:r>
              <w:rPr>
                <w:rFonts w:hint="eastAsia" w:ascii="宋体" w:hAnsi="宋体" w:eastAsia="宋体" w:cs="宋体"/>
                <w:color w:val="auto"/>
                <w:sz w:val="24"/>
                <w:szCs w:val="24"/>
              </w:rPr>
              <w:t>（北京时间）</w:t>
            </w:r>
          </w:p>
          <w:p>
            <w:pPr>
              <w:spacing w:line="360" w:lineRule="auto"/>
              <w:rPr>
                <w:rFonts w:hint="eastAsia" w:ascii="宋体" w:hAnsi="宋体" w:eastAsia="宋体" w:cs="宋体"/>
                <w:color w:val="FF0000"/>
                <w:sz w:val="24"/>
                <w:szCs w:val="24"/>
                <w:lang w:eastAsia="zh-CN"/>
              </w:rPr>
            </w:pPr>
            <w:r>
              <w:rPr>
                <w:rFonts w:hint="eastAsia" w:ascii="宋体" w:hAnsi="宋体" w:eastAsia="宋体" w:cs="宋体"/>
                <w:color w:val="auto"/>
                <w:sz w:val="24"/>
                <w:szCs w:val="24"/>
              </w:rPr>
              <w:t>磋商地点：</w:t>
            </w:r>
            <w:r>
              <w:rPr>
                <w:rFonts w:hint="eastAsia" w:ascii="宋体" w:hAnsi="宋体" w:eastAsia="宋体" w:cs="宋体"/>
                <w:color w:val="000000" w:themeColor="text1"/>
                <w:spacing w:val="4"/>
                <w:sz w:val="24"/>
                <w:szCs w:val="24"/>
                <w14:textFill>
                  <w14:solidFill>
                    <w14:schemeClr w14:val="tx1"/>
                  </w14:solidFill>
                </w14:textFill>
              </w:rPr>
              <w:t>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资格证明文件</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0"/>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5.税收缴纳证明：自20</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w:t>
            </w:r>
            <w:r>
              <w:rPr>
                <w:rFonts w:hint="eastAsia" w:ascii="宋体" w:hAnsi="宋体" w:cs="宋体"/>
                <w:color w:val="000000" w:themeColor="text1"/>
                <w:kern w:val="2"/>
                <w:sz w:val="24"/>
                <w:szCs w:val="24"/>
                <w:lang w:val="en-US" w:eastAsia="zh-CN" w:bidi="ar-SA"/>
                <w14:textFill>
                  <w14:solidFill>
                    <w14:schemeClr w14:val="tx1"/>
                  </w14:solidFill>
                </w14:textFill>
              </w:rPr>
              <w:t>2022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8.需具备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市政公用工程施工</w:t>
            </w:r>
            <w:r>
              <w:rPr>
                <w:rFonts w:hint="eastAsia" w:ascii="宋体" w:hAnsi="宋体" w:eastAsia="宋体" w:cs="宋体"/>
                <w:color w:val="000000" w:themeColor="text1"/>
                <w:kern w:val="2"/>
                <w:sz w:val="24"/>
                <w:szCs w:val="24"/>
                <w:lang w:val="en-US" w:eastAsia="zh-CN" w:bidi="ar-SA"/>
                <w14:textFill>
                  <w14:solidFill>
                    <w14:schemeClr w14:val="tx1"/>
                  </w14:solidFill>
                </w14:textFill>
              </w:rPr>
              <w:t>总承包叁级</w:t>
            </w:r>
            <w:r>
              <w:rPr>
                <w:rFonts w:hint="eastAsia" w:ascii="宋体" w:hAnsi="宋体" w:cs="宋体"/>
                <w:color w:val="000000" w:themeColor="text1"/>
                <w:kern w:val="2"/>
                <w:sz w:val="24"/>
                <w:szCs w:val="24"/>
                <w:lang w:val="en-US" w:eastAsia="zh-CN" w:bidi="ar-SA"/>
                <w14:textFill>
                  <w14:solidFill>
                    <w14:schemeClr w14:val="tx1"/>
                  </w14:solidFill>
                </w14:textFill>
              </w:rPr>
              <w:t>及</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专业二级及以上注册建造师执业资格，具备有效的安全生产考核合格证书，且在本单位注册，未担任其他在建工程项目的项目经理；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autoSpaceDE w:val="0"/>
              <w:autoSpaceDN w:val="0"/>
              <w:adjustRightInd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eastAsia" w:ascii="宋体" w:hAnsi="宋体" w:cs="宋体"/>
                <w:color w:val="000000" w:themeColor="text1"/>
                <w:kern w:val="2"/>
                <w:sz w:val="24"/>
                <w:szCs w:val="24"/>
                <w:lang w:val="en-US" w:eastAsia="zh-CN" w:bidi="ar-SA"/>
                <w14:textFill>
                  <w14:solidFill>
                    <w14:schemeClr w14:val="tx1"/>
                  </w14:solidFill>
                </w14:textFill>
              </w:rPr>
              <w:t>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p>
            <w:pPr>
              <w:autoSpaceDE w:val="0"/>
              <w:autoSpaceDN w:val="0"/>
              <w:adjustRightIn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以上资格证明文件为供应商的必备文件，开标当天，请将上述资格证明文件</w:t>
            </w:r>
            <w:r>
              <w:rPr>
                <w:rFonts w:hint="eastAsia" w:ascii="宋体" w:hAnsi="宋体" w:cs="宋体"/>
                <w:b/>
                <w:color w:val="000000" w:themeColor="text1"/>
                <w:sz w:val="24"/>
                <w:szCs w:val="24"/>
                <w:lang w:eastAsia="zh-CN"/>
                <w14:textFill>
                  <w14:solidFill>
                    <w14:schemeClr w14:val="tx1"/>
                  </w14:solidFill>
                </w14:textFill>
              </w:rPr>
              <w:t>复印件</w:t>
            </w:r>
            <w:r>
              <w:rPr>
                <w:rFonts w:hint="eastAsia" w:ascii="宋体" w:hAnsi="宋体" w:eastAsia="宋体" w:cs="宋体"/>
                <w:b/>
                <w:color w:val="000000" w:themeColor="text1"/>
                <w:sz w:val="24"/>
                <w:szCs w:val="24"/>
                <w:lang w:eastAsia="zh-CN"/>
                <w14:textFill>
                  <w14:solidFill>
                    <w14:schemeClr w14:val="tx1"/>
                  </w14:solidFill>
                </w14:textFill>
              </w:rPr>
              <w:t>胶装</w:t>
            </w:r>
            <w:r>
              <w:rPr>
                <w:rFonts w:hint="eastAsia" w:ascii="宋体" w:hAnsi="宋体" w:cs="宋体"/>
                <w:b/>
                <w:color w:val="000000" w:themeColor="text1"/>
                <w:sz w:val="24"/>
                <w:szCs w:val="24"/>
                <w:lang w:eastAsia="zh-CN"/>
                <w14:textFill>
                  <w14:solidFill>
                    <w14:schemeClr w14:val="tx1"/>
                  </w14:solidFill>
                </w14:textFill>
              </w:rPr>
              <w:t>加盖公章</w:t>
            </w:r>
            <w:r>
              <w:rPr>
                <w:rFonts w:hint="eastAsia" w:ascii="宋体" w:hAnsi="宋体" w:eastAsia="宋体" w:cs="宋体"/>
                <w:b/>
                <w:color w:val="000000" w:themeColor="text1"/>
                <w:sz w:val="24"/>
                <w:szCs w:val="24"/>
                <w:lang w:eastAsia="zh-CN"/>
                <w14:textFill>
                  <w14:solidFill>
                    <w14:schemeClr w14:val="tx1"/>
                  </w14:solidFill>
                </w14:textFill>
              </w:rPr>
              <w:t>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文件一起单独密封递交（密封要求同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文件），以便对其</w:t>
            </w:r>
            <w:r>
              <w:rPr>
                <w:rFonts w:hint="eastAsia" w:ascii="宋体" w:hAnsi="宋体" w:cs="宋体"/>
                <w:b/>
                <w:color w:val="000000" w:themeColor="text1"/>
                <w:sz w:val="24"/>
                <w:szCs w:val="24"/>
                <w:lang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资格进行审查。有给定格式的需按照</w:t>
            </w:r>
            <w:r>
              <w:rPr>
                <w:rFonts w:hint="eastAsia" w:ascii="宋体" w:hAnsi="宋体" w:eastAsia="宋体" w:cs="宋体"/>
                <w:b/>
                <w:color w:val="000000" w:themeColor="text1"/>
                <w:sz w:val="24"/>
                <w:szCs w:val="24"/>
                <w:lang w:val="en-US"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文件给定格式提供，</w:t>
            </w:r>
            <w:r>
              <w:rPr>
                <w:rFonts w:hint="eastAsia" w:ascii="宋体" w:hAnsi="宋体" w:cs="宋体"/>
                <w:b/>
                <w:color w:val="000000" w:themeColor="text1"/>
                <w:sz w:val="24"/>
                <w:szCs w:val="24"/>
                <w:lang w:eastAsia="zh-CN"/>
                <w14:textFill>
                  <w14:solidFill>
                    <w14:schemeClr w14:val="tx1"/>
                  </w14:solidFill>
                </w14:textFill>
              </w:rPr>
              <w:t>未提供</w:t>
            </w:r>
            <w:r>
              <w:rPr>
                <w:rFonts w:hint="eastAsia" w:ascii="宋体" w:hAnsi="宋体" w:eastAsia="宋体" w:cs="宋体"/>
                <w:b/>
                <w:color w:val="000000" w:themeColor="text1"/>
                <w:sz w:val="24"/>
                <w:szCs w:val="24"/>
                <w:lang w:eastAsia="zh-CN"/>
                <w14:textFill>
                  <w14:solidFill>
                    <w14:schemeClr w14:val="tx1"/>
                  </w14:solidFill>
                </w14:textFill>
              </w:rPr>
              <w:t>按无效</w:t>
            </w:r>
            <w:r>
              <w:rPr>
                <w:rFonts w:hint="eastAsia" w:ascii="宋体" w:hAnsi="宋体" w:cs="宋体"/>
                <w:b/>
                <w:color w:val="000000" w:themeColor="text1"/>
                <w:sz w:val="24"/>
                <w:szCs w:val="24"/>
                <w:lang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6.1.1</w:t>
            </w:r>
          </w:p>
        </w:tc>
        <w:tc>
          <w:tcPr>
            <w:tcW w:w="2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磋商小组的组建</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磋商小组构成：</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eastAsia="zh-CN"/>
              </w:rPr>
              <w:t>人；其中</w:t>
            </w:r>
            <w:r>
              <w:rPr>
                <w:rFonts w:hint="eastAsia" w:ascii="宋体" w:hAnsi="宋体" w:cs="宋体"/>
                <w:color w:val="000000"/>
                <w:kern w:val="0"/>
                <w:sz w:val="24"/>
                <w:szCs w:val="24"/>
                <w:lang w:eastAsia="zh-CN"/>
              </w:rPr>
              <w:t>采购人</w:t>
            </w:r>
            <w:r>
              <w:rPr>
                <w:rFonts w:hint="eastAsia" w:ascii="宋体" w:hAnsi="宋体" w:eastAsia="宋体" w:cs="宋体"/>
                <w:color w:val="000000"/>
                <w:kern w:val="0"/>
                <w:sz w:val="24"/>
                <w:szCs w:val="24"/>
                <w:lang w:eastAsia="zh-CN"/>
              </w:rPr>
              <w:t>代表</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人；专家</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人；</w:t>
            </w:r>
          </w:p>
          <w:p>
            <w:pPr>
              <w:autoSpaceDE w:val="0"/>
              <w:autoSpaceDN w:val="0"/>
              <w:adjustRightInd w:val="0"/>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eastAsia="zh-CN"/>
              </w:rPr>
              <w:t>磋商小组专家确定方式：陕西省政府采购综合管理平台</w:t>
            </w:r>
            <w:r>
              <w:rPr>
                <w:rFonts w:hint="eastAsia" w:ascii="宋体" w:hAnsi="宋体" w:cs="宋体"/>
                <w:color w:val="000000"/>
                <w:kern w:val="0"/>
                <w:sz w:val="24"/>
                <w:szCs w:val="24"/>
                <w:lang w:eastAsia="zh-CN"/>
              </w:rPr>
              <w:t>专</w:t>
            </w:r>
            <w:r>
              <w:rPr>
                <w:rFonts w:hint="eastAsia" w:ascii="宋体" w:hAnsi="宋体" w:eastAsia="宋体" w:cs="宋体"/>
                <w:color w:val="000000"/>
                <w:kern w:val="0"/>
                <w:sz w:val="24"/>
                <w:szCs w:val="24"/>
                <w:lang w:eastAsia="zh-CN"/>
              </w:rPr>
              <w:t>家库随机抽取</w:t>
            </w:r>
            <w:r>
              <w:rPr>
                <w:rFonts w:hint="eastAsia" w:ascii="宋体" w:hAnsi="宋体" w:eastAsia="宋体"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是否授权磋商小组确定成交供应商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否,</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小组推荐3名成交候选供应商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履约担保</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专门面向</w:t>
            </w:r>
            <w:r>
              <w:rPr>
                <w:rFonts w:hint="eastAsia" w:ascii="宋体" w:hAnsi="宋体" w:cs="宋体"/>
                <w:color w:val="auto"/>
                <w:sz w:val="24"/>
                <w:szCs w:val="24"/>
                <w:lang w:eastAsia="zh-CN"/>
              </w:rPr>
              <w:t>小微</w:t>
            </w:r>
            <w:r>
              <w:rPr>
                <w:rFonts w:hint="eastAsia" w:ascii="宋体" w:hAnsi="宋体" w:eastAsia="宋体" w:cs="宋体"/>
                <w:color w:val="auto"/>
                <w:sz w:val="24"/>
                <w:szCs w:val="24"/>
                <w:lang w:eastAsia="zh-CN"/>
              </w:rPr>
              <w:t>企业采购</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采购标的所属行业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rPr>
              <w:t>10</w:t>
            </w:r>
          </w:p>
        </w:tc>
        <w:tc>
          <w:tcPr>
            <w:tcW w:w="944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代理服务费收费标准：</w:t>
            </w:r>
            <w:r>
              <w:rPr>
                <w:rFonts w:hint="eastAsia" w:ascii="宋体" w:hAnsi="宋体" w:eastAsia="宋体" w:cs="宋体"/>
                <w:color w:val="000000" w:themeColor="text1"/>
                <w:sz w:val="24"/>
                <w:szCs w:val="24"/>
                <w14:textFill>
                  <w14:solidFill>
                    <w14:schemeClr w14:val="tx1"/>
                  </w14:solidFill>
                </w14:textFill>
              </w:rPr>
              <w:t>采购代理机构参照国家计委关于印发《招标代理服务收费管理暂行办法》计价格[2002]1980号文和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国家发展改革委关于降低部分建设项目收费标准规范收费行为等有关问题的通知</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发改价格[2011]534号</w:t>
            </w:r>
            <w:r>
              <w:rPr>
                <w:rFonts w:hint="eastAsia" w:ascii="宋体" w:hAnsi="宋体" w:eastAsia="宋体" w:cs="宋体"/>
                <w:color w:val="000000" w:themeColor="text1"/>
                <w:sz w:val="24"/>
                <w:szCs w:val="24"/>
                <w:lang w:eastAsia="zh-CN"/>
                <w14:textFill>
                  <w14:solidFill>
                    <w14:schemeClr w14:val="tx1"/>
                  </w14:solidFill>
                </w14:textFill>
              </w:rPr>
              <w:t>规</w:t>
            </w:r>
            <w:r>
              <w:rPr>
                <w:rFonts w:hint="eastAsia" w:ascii="宋体" w:hAnsi="宋体" w:eastAsia="宋体" w:cs="宋体"/>
                <w:color w:val="000000" w:themeColor="text1"/>
                <w:sz w:val="24"/>
                <w:szCs w:val="24"/>
                <w14:textFill>
                  <w14:solidFill>
                    <w14:schemeClr w14:val="tx1"/>
                  </w14:solidFill>
                </w14:textFill>
              </w:rPr>
              <w:t>定标准收取代理服务费</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lang w:eastAsia="zh-CN"/>
              </w:rPr>
              <w:t>磋商文件</w:t>
            </w:r>
            <w:r>
              <w:rPr>
                <w:rFonts w:hint="eastAsia" w:ascii="宋体" w:hAnsi="宋体" w:eastAsia="宋体" w:cs="宋体"/>
                <w:b/>
                <w:bCs/>
                <w:sz w:val="24"/>
                <w:szCs w:val="24"/>
              </w:rPr>
              <w:t>的最终解释权归</w:t>
            </w:r>
            <w:r>
              <w:rPr>
                <w:rFonts w:hint="eastAsia" w:ascii="宋体" w:hAnsi="宋体" w:eastAsia="宋体" w:cs="宋体"/>
                <w:b/>
                <w:bCs/>
                <w:sz w:val="24"/>
                <w:szCs w:val="24"/>
                <w:lang w:eastAsia="zh-CN"/>
              </w:rPr>
              <w:t>采购代理机构</w:t>
            </w:r>
            <w:r>
              <w:rPr>
                <w:rFonts w:hint="eastAsia" w:ascii="宋体" w:hAnsi="宋体" w:eastAsia="宋体" w:cs="宋体"/>
                <w:b/>
                <w:bCs/>
                <w:sz w:val="24"/>
                <w:szCs w:val="24"/>
              </w:rPr>
              <w:t>所有</w:t>
            </w:r>
          </w:p>
        </w:tc>
      </w:tr>
    </w:tbl>
    <w:p>
      <w:pPr>
        <w:spacing w:line="360" w:lineRule="auto"/>
        <w:jc w:val="left"/>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1" w:name="_Toc421778365"/>
      <w:bookmarkStart w:id="12" w:name="_Toc425240464"/>
      <w:bookmarkStart w:id="13" w:name="_Toc420591643"/>
      <w:bookmarkStart w:id="14" w:name="_Toc526842683"/>
      <w:bookmarkStart w:id="15" w:name="_Toc13586"/>
      <w:r>
        <w:rPr>
          <w:rFonts w:hint="eastAsia" w:ascii="宋体" w:hAnsi="宋体" w:eastAsia="宋体" w:cs="宋体"/>
          <w:b/>
          <w:color w:val="000000" w:themeColor="text1"/>
          <w:sz w:val="28"/>
          <w:szCs w:val="28"/>
          <w14:textFill>
            <w14:solidFill>
              <w14:schemeClr w14:val="tx1"/>
            </w14:solidFill>
          </w14:textFill>
        </w:rPr>
        <w:t>1．总则</w:t>
      </w:r>
      <w:bookmarkEnd w:id="11"/>
      <w:bookmarkEnd w:id="12"/>
      <w:bookmarkEnd w:id="13"/>
      <w:bookmarkEnd w:id="14"/>
      <w:bookmarkEnd w:id="1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1.1 项目概况</w:t>
      </w:r>
    </w:p>
    <w:p>
      <w:pPr>
        <w:pStyle w:val="14"/>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1.1.1 根据《中华人民共和国招标投标法》、《中华人民共和国招标投标法实施条例》、《中华人民共和国政府采购法》、《中华人民共和国政府采购法实施条例》、《政府采购货物和服务招标投标管理办法--财政部令第87号》、《财政部关于印发《政府采购竞争性磋商采购方式管理暂行办法》的通知--财库〔2014〕214号》等有关法律、法规和规章的规定，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项目己具备</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条件，现对本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项目进行竞争性磋商。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1.1.2 本项目采购人：见供应商须知前附表。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 本项目采购代理机构：见供应商须知前附表。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1.1.4</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本项目名称：见供应商须知前附表。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1.2 资金来源和落实情况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1.2.1 本项目的资金来源：见供应商须知前附表。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1.2.2 本项目的资金落实情况：见供应商须知前附表。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1.3 磋商范围、</w:t>
      </w:r>
      <w:r>
        <w:rPr>
          <w:rFonts w:hint="eastAsia" w:ascii="宋体" w:hAnsi="宋体" w:eastAsia="宋体" w:cs="宋体"/>
          <w:b/>
          <w:color w:val="000000" w:themeColor="text1"/>
          <w:sz w:val="28"/>
          <w:szCs w:val="28"/>
          <w:lang w:eastAsia="zh-CN"/>
          <w14:textFill>
            <w14:solidFill>
              <w14:schemeClr w14:val="tx1"/>
            </w14:solidFill>
          </w14:textFill>
        </w:rPr>
        <w:t>工期</w:t>
      </w:r>
      <w:r>
        <w:rPr>
          <w:rFonts w:hint="eastAsia" w:ascii="宋体" w:hAnsi="宋体" w:cs="宋体"/>
          <w:b/>
          <w:color w:val="000000" w:themeColor="text1"/>
          <w:sz w:val="28"/>
          <w:szCs w:val="28"/>
          <w:lang w:eastAsia="zh-CN"/>
          <w14:textFill>
            <w14:solidFill>
              <w14:schemeClr w14:val="tx1"/>
            </w14:solidFill>
          </w14:textFill>
        </w:rPr>
        <w:t>、质保期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1.3.1 本次磋商范围：见供应商须知前附表。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1.3.2 本项目的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 xml:space="preserve"> 本项目的</w:t>
      </w:r>
      <w:r>
        <w:rPr>
          <w:rFonts w:hint="eastAsia" w:ascii="宋体" w:hAnsi="宋体" w:cs="宋体"/>
          <w:color w:val="000000" w:themeColor="text1"/>
          <w:sz w:val="28"/>
          <w:szCs w:val="28"/>
          <w:lang w:eastAsia="zh-CN"/>
          <w14:textFill>
            <w14:solidFill>
              <w14:schemeClr w14:val="tx1"/>
            </w14:solidFill>
          </w14:textFill>
        </w:rPr>
        <w:t>质保期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1.4 供应商资格要求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1.4.1 供应商应具备承担本项目</w:t>
      </w:r>
      <w:r>
        <w:rPr>
          <w:rFonts w:hint="eastAsia" w:ascii="宋体" w:hAnsi="宋体" w:cs="宋体"/>
          <w:color w:val="000000" w:themeColor="text1"/>
          <w:sz w:val="28"/>
          <w:szCs w:val="28"/>
          <w:lang w:eastAsia="zh-CN"/>
          <w14:textFill>
            <w14:solidFill>
              <w14:schemeClr w14:val="tx1"/>
            </w14:solidFill>
          </w14:textFill>
        </w:rPr>
        <w:t>工程</w:t>
      </w:r>
      <w:r>
        <w:rPr>
          <w:rFonts w:hint="eastAsia" w:ascii="宋体" w:hAnsi="宋体" w:eastAsia="宋体" w:cs="宋体"/>
          <w:color w:val="000000" w:themeColor="text1"/>
          <w:sz w:val="28"/>
          <w:szCs w:val="28"/>
          <w14:textFill>
            <w14:solidFill>
              <w14:schemeClr w14:val="tx1"/>
            </w14:solidFill>
          </w14:textFill>
        </w:rPr>
        <w:t>的资质条件、能力和信誉。供应商应是通过投标报名并购买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 供应商须知前附表规定接受联合体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 xml:space="preserve">的，除应符合本章第1.4.1项和供应商须知前附表的要求外，还应遵守以下规定：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（1）联合体各方应按</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文件提供的格式签订联合体协议书，明确联合体牵头人和各方权利义务；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（2）由同一专业的单位组成的联合体，按照资质等级较低的单位确定资质等级；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（3）联合体各方不得再以自己名义单独或参加其他联合体在同一标段中</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1.4.3 供应商不得存在下列情形之一：</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（1）为采购人不具有独立法人资格的附属机构（单位）；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项目前期准备提供咨询服务的；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项目的代建人；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项目提供采购代理服务的；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项目的监理人或代建人或采购代理机构同为一个法定代表人的；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项目的监理人或代建人或采购代理机构相互控股或参股的；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项目的监理人或代建人或采购代理机构相互任职或工作的；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（9）被责令停业的；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（10）被暂停或取消</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资格的；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（11）财产被接管或冻结的；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（12）在最近三年内有骗取中标或严重违约或重大</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质量问题的。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（13）与采购人存在利害关系可能影响招标公正性的法人、其他组织或者个人，不得参加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（14）单位负责人为同一人或者存在控股、管理关系的不同单位，不得参加同一标段</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或者未划分标段的同一</w:t>
      </w:r>
      <w:r>
        <w:rPr>
          <w:rFonts w:hint="eastAsia" w:ascii="宋体" w:hAnsi="宋体" w:eastAsia="宋体" w:cs="宋体"/>
          <w:color w:val="000000"/>
          <w:sz w:val="28"/>
          <w:szCs w:val="28"/>
        </w:rPr>
        <w:t>采购项目</w:t>
      </w:r>
      <w:r>
        <w:rPr>
          <w:rFonts w:hint="eastAsia" w:ascii="宋体" w:hAnsi="宋体" w:eastAsia="宋体" w:cs="宋体"/>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1.5 费用承担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供应商准备和参加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活动发生的费用自理。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1.6 保密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参与招标投标活动的各方应对磋商文件和磋商响应文件中的商业和技术等秘密保密，违者应对由此造成的后果承担法律责任。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1.7 语言文字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除专用术语外，与招标投标有关的语言均使用中文。必要时专用术语应附有中文注释。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1.8 计量单位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所有计量均采用中华人民共和国法定计量单位。</w:t>
      </w:r>
    </w:p>
    <w:p>
      <w:pPr>
        <w:pStyle w:val="5"/>
        <w:pageBreakBefore w:val="0"/>
        <w:widowControl w:val="0"/>
        <w:kinsoku/>
        <w:wordWrap/>
        <w:overflowPunct/>
        <w:topLinePunct w:val="0"/>
        <w:autoSpaceDE/>
        <w:autoSpaceDN/>
        <w:bidi w:val="0"/>
        <w:adjustRightInd/>
        <w:spacing w:before="0" w:after="0" w:line="36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 9投标预备会：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6" w:name="_Toc343511447"/>
      <w:r>
        <w:rPr>
          <w:rFonts w:hint="eastAsia" w:ascii="宋体" w:hAnsi="宋体" w:eastAsia="宋体" w:cs="宋体"/>
          <w:color w:val="000000" w:themeColor="text1"/>
          <w:sz w:val="28"/>
          <w:szCs w:val="28"/>
          <w14:textFill>
            <w14:solidFill>
              <w14:schemeClr w14:val="tx1"/>
            </w14:solidFill>
          </w14:textFill>
        </w:rPr>
        <w:t xml:space="preserve">1.9.1 </w:t>
      </w:r>
      <w:bookmarkEnd w:id="16"/>
      <w:r>
        <w:rPr>
          <w:rFonts w:hint="eastAsia" w:ascii="宋体" w:hAnsi="宋体" w:eastAsia="宋体" w:cs="宋体"/>
          <w:color w:val="000000" w:themeColor="text1"/>
          <w:sz w:val="28"/>
          <w:szCs w:val="28"/>
          <w14:textFill>
            <w14:solidFill>
              <w14:schemeClr w14:val="tx1"/>
            </w14:solidFill>
          </w14:textFill>
        </w:rPr>
        <w:t>供应商须知前附表规定召开投标预备会的，采购人按供应商须知前附表规定的时间和地点召开投标预备会，澄清供应商提出的问题。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7" w:name="_Toc343511448"/>
      <w:r>
        <w:rPr>
          <w:rFonts w:hint="eastAsia" w:ascii="宋体" w:hAnsi="宋体" w:eastAsia="宋体" w:cs="宋体"/>
          <w:color w:val="000000" w:themeColor="text1"/>
          <w:sz w:val="28"/>
          <w:szCs w:val="28"/>
          <w14:textFill>
            <w14:solidFill>
              <w14:schemeClr w14:val="tx1"/>
            </w14:solidFill>
          </w14:textFill>
        </w:rPr>
        <w:t xml:space="preserve">1.9.2 </w:t>
      </w:r>
      <w:bookmarkEnd w:id="17"/>
      <w:r>
        <w:rPr>
          <w:rFonts w:hint="eastAsia" w:ascii="宋体" w:hAnsi="宋体" w:eastAsia="宋体" w:cs="宋体"/>
          <w:color w:val="000000" w:themeColor="text1"/>
          <w:sz w:val="28"/>
          <w:szCs w:val="28"/>
          <w14:textFill>
            <w14:solidFill>
              <w14:schemeClr w14:val="tx1"/>
            </w14:solidFill>
          </w14:textFill>
        </w:rPr>
        <w:t>供应商应在供应商须知前附表规定的时间前，以书面形式将提出的问题送达采购人，以便采购人在会议期间澄清。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8" w:name="_Toc343511449"/>
      <w:r>
        <w:rPr>
          <w:rFonts w:hint="eastAsia" w:ascii="宋体" w:hAnsi="宋体" w:eastAsia="宋体" w:cs="宋体"/>
          <w:color w:val="000000" w:themeColor="text1"/>
          <w:sz w:val="28"/>
          <w:szCs w:val="28"/>
          <w14:textFill>
            <w14:solidFill>
              <w14:schemeClr w14:val="tx1"/>
            </w14:solidFill>
          </w14:textFill>
        </w:rPr>
        <w:t xml:space="preserve">1.9.3 </w:t>
      </w:r>
      <w:bookmarkEnd w:id="18"/>
      <w:r>
        <w:rPr>
          <w:rFonts w:hint="eastAsia" w:ascii="宋体" w:hAnsi="宋体" w:eastAsia="宋体" w:cs="宋体"/>
          <w:color w:val="000000" w:themeColor="text1"/>
          <w:sz w:val="28"/>
          <w:szCs w:val="28"/>
          <w14:textFill>
            <w14:solidFill>
              <w14:schemeClr w14:val="tx1"/>
            </w14:solidFill>
          </w14:textFill>
        </w:rPr>
        <w:t>投标预备会后，采购人在供应商须知前附表规定的时间内，将对供应商所提问题的澄清，以书面方式通知所有购买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文件的供应商。该澄清内容为</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文件的组成部分。</w:t>
      </w:r>
    </w:p>
    <w:p>
      <w:pPr>
        <w:wordWrap/>
        <w:overflowPunct/>
        <w:topLinePunct w:val="0"/>
        <w:bidi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1.10 踏勘现场</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1.10.1 投标人须知前附表规定组织踏勘现场的，采购人按投标人须知前附表规定的时间、地点组织投标人踏勘项目现场。部分投标人未按时参加踏勘现场的，不影响踏勘现场的正常进行。</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1.10.2 投标人踏勘现场发生的费用自理。</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1.10.3 除采购人的原因外，投标人自行负责在踏勘现场中所发生的人员伤亡和财产损失与采购人和招标代理机构无关。</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sz w:val="28"/>
          <w:szCs w:val="28"/>
        </w:rPr>
        <w:t>1.10.4 采购人在踏勘现场中介绍的项目场地和相关的周边环境情况，供投标人在编制响应文件时参考，采购人不对投标人据此作出的判断和决策负责。</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9" w:name="_Toc420591644"/>
      <w:bookmarkStart w:id="20" w:name="_Toc425240465"/>
      <w:bookmarkStart w:id="21" w:name="_Toc421778366"/>
      <w:bookmarkStart w:id="22" w:name="_Toc32145"/>
      <w:bookmarkStart w:id="23" w:name="_Toc526842684"/>
      <w:r>
        <w:rPr>
          <w:rFonts w:hint="eastAsia" w:ascii="宋体" w:hAnsi="宋体" w:eastAsia="宋体" w:cs="宋体"/>
          <w:b/>
          <w:color w:val="000000" w:themeColor="text1"/>
          <w:sz w:val="28"/>
          <w:szCs w:val="28"/>
          <w14:textFill>
            <w14:solidFill>
              <w14:schemeClr w14:val="tx1"/>
            </w14:solidFill>
          </w14:textFill>
        </w:rPr>
        <w:t>2．磋商文件</w:t>
      </w:r>
      <w:bookmarkEnd w:id="19"/>
      <w:bookmarkEnd w:id="20"/>
      <w:bookmarkEnd w:id="21"/>
      <w:bookmarkEnd w:id="22"/>
      <w:bookmarkEnd w:id="2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2.1 磋商文件的组成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本磋商文件包括：</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（1）竞争性磋商公告；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（2）供应商须知；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（3）评标办法；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sz w:val="28"/>
          <w:szCs w:val="28"/>
        </w:rPr>
        <w:t>合同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拟签订文本</w:t>
      </w:r>
      <w:r>
        <w:rPr>
          <w:rFonts w:hint="eastAsia" w:ascii="宋体" w:hAnsi="宋体" w:eastAsia="宋体" w:cs="宋体"/>
          <w:color w:val="000000"/>
          <w:sz w:val="28"/>
          <w:szCs w:val="28"/>
          <w:lang w:eastAsia="zh-CN"/>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（5）技术标准和要求；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（6）磋商响应文件格式；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（7）供应商须知前附表规定的其他材料。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根据本章第1.</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款、第2.2 款和第2.3 款对磋商文件所作的澄清、修改，构成磋商文件的组成部分。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2.2 磋商文件的澄清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供应商应仔细阅读和检查磋商文件的全部内容。如发现缺页或附件不全，应及时向采购人提出，以便补齐。如有疑问，应在供应商须知前附表规定的时间前以书面</w:t>
      </w:r>
      <w:bookmarkStart w:id="24" w:name="_Hlk525807954"/>
      <w:r>
        <w:rPr>
          <w:rFonts w:hint="eastAsia" w:ascii="宋体" w:hAnsi="宋体" w:eastAsia="宋体" w:cs="宋体"/>
          <w:color w:val="000000" w:themeColor="text1"/>
          <w:sz w:val="28"/>
          <w:szCs w:val="28"/>
          <w14:textFill>
            <w14:solidFill>
              <w14:schemeClr w14:val="tx1"/>
            </w14:solidFill>
          </w14:textFill>
        </w:rPr>
        <w:t>形式（包括信函、电报、传真等可以有形地表现所载内容的形式，下同）并将电子版发至</w:t>
      </w:r>
      <w:bookmarkEnd w:id="24"/>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"mailto:sxzb9@126.com" </w:instrText>
      </w:r>
      <w:r>
        <w:rPr>
          <w:rFonts w:hint="eastAsia" w:ascii="宋体" w:hAnsi="宋体" w:eastAsia="宋体" w:cs="宋体"/>
          <w:color w:val="000000"/>
          <w:sz w:val="28"/>
          <w:szCs w:val="28"/>
        </w:rPr>
        <w:fldChar w:fldCharType="separate"/>
      </w:r>
      <w:r>
        <w:rPr>
          <w:rFonts w:hint="eastAsia" w:ascii="宋体" w:hAnsi="宋体" w:cs="宋体"/>
          <w:color w:val="000000"/>
          <w:sz w:val="28"/>
          <w:szCs w:val="28"/>
          <w:lang w:val="en-US" w:eastAsia="zh-CN"/>
        </w:rPr>
        <w:t>471993164@qq.com</w:t>
      </w:r>
      <w:r>
        <w:rPr>
          <w:rFonts w:hint="eastAsia" w:ascii="宋体" w:hAnsi="宋体" w:eastAsia="宋体" w:cs="宋体"/>
          <w:color w:val="000000"/>
          <w:sz w:val="28"/>
          <w:szCs w:val="28"/>
        </w:rPr>
        <w:fldChar w:fldCharType="end"/>
      </w:r>
      <w:r>
        <w:rPr>
          <w:rFonts w:hint="eastAsia" w:ascii="宋体" w:hAnsi="宋体" w:eastAsia="宋体" w:cs="宋体"/>
          <w:color w:val="000000" w:themeColor="text1"/>
          <w:sz w:val="28"/>
          <w:szCs w:val="28"/>
          <w14:textFill>
            <w14:solidFill>
              <w14:schemeClr w14:val="tx1"/>
            </w14:solidFill>
          </w14:textFill>
        </w:rPr>
        <w:t>，要求采购人对磋商文件予以澄清。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 磋商文件的澄清将在提交首次响应文件截止之日3个工作日前以书面形式发给所有购买磋商文件的供应商，但不指明澄清问题的来源。如果澄清发出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2.2.3 供应商在收到澄清后，应在供应商须知前附表规定的时间内以书面形式通知采购人，确认己收到该澄清。</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2.3 磋商文件的修改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2.3.1 在提交首次响应文件截止之日3个工作日前，采购人可以书面形式修改磋商文件，并通知所有已购买磋商文件的供应商。如果修改磋商文件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5" w:name="_Toc420591645"/>
      <w:r>
        <w:rPr>
          <w:rFonts w:hint="eastAsia" w:ascii="宋体" w:hAnsi="宋体" w:eastAsia="宋体" w:cs="宋体"/>
          <w:color w:val="000000" w:themeColor="text1"/>
          <w:sz w:val="28"/>
          <w:szCs w:val="28"/>
          <w14:textFill>
            <w14:solidFill>
              <w14:schemeClr w14:val="tx1"/>
            </w14:solidFill>
          </w14:textFill>
        </w:rPr>
        <w:t>2.3.2 供应商收到修改内容后，应在供应商须知前附表规定的时间内以书面形式通知采购人，确认己收到该修改。</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6" w:name="_Hlk525808648"/>
      <w:r>
        <w:rPr>
          <w:rFonts w:hint="eastAsia" w:ascii="宋体" w:hAnsi="宋体" w:eastAsia="宋体" w:cs="宋体"/>
          <w:b/>
          <w:color w:val="000000" w:themeColor="text1"/>
          <w:sz w:val="28"/>
          <w:szCs w:val="28"/>
          <w14:textFill>
            <w14:solidFill>
              <w14:schemeClr w14:val="tx1"/>
            </w14:solidFill>
          </w14:textFill>
        </w:rPr>
        <w:t>2.4澄清或者修改有关法律条文</w:t>
      </w:r>
    </w:p>
    <w:bookmarkEnd w:id="2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7" w:name="_Hlk525809582"/>
      <w:r>
        <w:rPr>
          <w:rFonts w:hint="eastAsia" w:ascii="宋体" w:hAnsi="宋体" w:eastAsia="宋体" w:cs="宋体"/>
          <w:b/>
          <w:color w:val="000000" w:themeColor="text1"/>
          <w:sz w:val="28"/>
          <w:szCs w:val="28"/>
          <w14:textFill>
            <w14:solidFill>
              <w14:schemeClr w14:val="tx1"/>
            </w14:solidFill>
          </w14:textFill>
        </w:rPr>
        <w:t>2.4.1 中华人民共和国财政部令第87号--政府采购货物和服务招标投标管理办法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第二十七条 采购人或者采购代理机构可以对已发出的</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文件、资格预审文件、投标邀请书进行必要的澄清或者修改，但不得改变采购标的和资格条件。澄清或者修改应当在原公告发布媒体上发布澄清公告。澄清或者修改的内容为</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、资格预审文件、投标邀请书的组成部分。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编制的，采购人或者采购代理机构应当在投标截止时间至少15日前，以书面形式通知所有获取</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的潜在投标人；不足15日的，采购人或者采购代理机构应当顺延提交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的截止时间。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bookmarkEnd w:id="27"/>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2.4.2 关于做好政府采购信息公开工作的通知--财库[2015]135号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6.更正事项。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采购人或者采购代理机构对已发出的</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名称及首次公告日期，更正事项、内容及日期，</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联系人和电话。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、资格预审申请文件、响应文件编制的，采购人或者采购代理机构发布澄清公告并以书面形式通知潜在供应商的时间，应当在投标截止时间至少</w:t>
      </w: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日前、提交资格预审申请文件截止时间至少</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日前，或者提交首次响应文件截止之日</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个工作日前；不足上述时间的，应当顺延提交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、资格预审申请文件或响应文件的截止时间。</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2.4.3财政部关于印发《政府采购竞争性磋商采购方式管理暂行办法》的通知--财库〔2014〕214号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第十条 从磋商文件发出之日起至供应商提交首次响应文件截止之日止不得少于10日。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磋商文件售价应当按照弥补磋商文件制作成本费用的原则确定，不得以营利为目的，不得以项目预算金额作为确定磋商文件售价依据。磋商文件的发售期限自开始之日起不得少于5个工作日。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28" w:name="_Toc425240466"/>
      <w:bookmarkStart w:id="29" w:name="_Toc27230"/>
      <w:bookmarkStart w:id="30" w:name="_Toc421778367"/>
      <w:bookmarkStart w:id="31" w:name="_Toc526842685"/>
      <w:r>
        <w:rPr>
          <w:rFonts w:hint="eastAsia" w:ascii="宋体" w:hAnsi="宋体" w:eastAsia="宋体" w:cs="宋体"/>
          <w:b/>
          <w:color w:val="000000" w:themeColor="text1"/>
          <w:sz w:val="28"/>
          <w:szCs w:val="28"/>
          <w14:textFill>
            <w14:solidFill>
              <w14:schemeClr w14:val="tx1"/>
            </w14:solidFill>
          </w14:textFill>
        </w:rPr>
        <w:t>3．磋商响应文件</w:t>
      </w:r>
      <w:bookmarkEnd w:id="25"/>
      <w:bookmarkEnd w:id="28"/>
      <w:bookmarkEnd w:id="29"/>
      <w:bookmarkEnd w:id="30"/>
      <w:bookmarkEnd w:id="3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3.1 磋商响应文件的组成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 磋商响应文件应包括下列内容：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2）磋商一览表（</w:t>
      </w: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3）法定代表人身份证明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4）法定代表人授权委托书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）技术方案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）商务方案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）陕西省政府采购供应商拒绝政府采购领域商业贿赂承诺书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）资格审查资料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）其它资料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3.1.2本次</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的最小单元为“项目”，供应商可根据自身的资质情况和经营范围进行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，但不得将其子目自行分解或针对该项目中的品目进行不完全</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，任何不完全的</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将按无效</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3.2 磋商报价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3.2.1供应商应对此项目进行全面响应，不得将其中所列的所有服务内容拆开报价。凡本磋商文件要求（或允许）及供应商认为需要进行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的各项费用项目（不论是否要求进入报价），若投标时未报或未在磋商响应文件中予以说明，采购人将认为这些费用供应商已计取，并包含在总报价中（项目内容、项目量调整除外）</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3.2.2所有根据合同或其它原因应由磋商单位支付的税款和其它应交纳的费用都要包括在磋商单位提交的磋商报价中。</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3.2.3磋商单位的磋商报价在合同执行过程中是固定不变的，不得以任何理由予以变更。任何包含价格调整要求的磋商，将被认为是非响应性磋商而予以拒绝。</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3.2.4磋商单位的磋商报价明显不合理或者低于成本，有可能影响服务质量和不能诚信履约的，可要求该磋商单位在规定的期限内提供书面文件予以解释说明，并提交相关证明材料；否则，磋商小组可以拒绝该磋商单位的磋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3.2.5凡因对磋商文件阅读不深、理解不透、误解、疏漏或因对市场行情了解不清而造成的后果和风险均由磋商单位自负。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3.2.6供应商应对此项目进行全面响应，不得将其中所列的所有货物内容拆开报价。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3.2.7凡本磋商文件要求（或允许）及供应商认为需要进行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时未报或未在磋商响应文件中予以说明，采购人将认为这些费用供应商已计取，并包含在总报价中（项目内容、项目量调整除外）。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3.2.8供应商不得以低于成本的报价参加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，当磋商小组认为供应商的报价明显不合理或低于成本价，有可能影响商品质量和不能诚信履约的，可要求供应商提供书面说明，并提交相关证明，否则，可拒绝供应商的磋商响应文件。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3.2.9第二次报价。</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进入评审阶段，磋商小组与供应商磋商后，各有效供应商进行第二次报价。此报价作为最终报价评定的依据。</w:t>
      </w:r>
      <w:r>
        <w:rPr>
          <w:rFonts w:hint="eastAsia" w:ascii="宋体" w:hAnsi="宋体" w:eastAsia="宋体" w:cs="宋体"/>
          <w:color w:val="000000"/>
          <w:sz w:val="28"/>
          <w:szCs w:val="28"/>
          <w:lang w:val="en-US" w:eastAsia="zh-CN"/>
        </w:rPr>
        <w:t>以二次报价为最终成交价（二次报价单由代理公司提供）。</w:t>
      </w:r>
      <w:r>
        <w:rPr>
          <w:rFonts w:hint="eastAsia" w:ascii="宋体" w:hAnsi="宋体" w:eastAsia="宋体" w:cs="宋体"/>
          <w:color w:val="000000"/>
          <w:sz w:val="28"/>
          <w:szCs w:val="28"/>
        </w:rPr>
        <w:t xml:space="preserve">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3.2.10最低磋商报价不作为成交的唯一条件，须经磋商报价、技术部分、商务部分等综合评定。</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 投标有效期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3.3.1 在供应商须知前附表规定的投标有效期内，供应商不得要求撤销或修改其磋商响应文件。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3.3.2 出现特殊情况需要延长投标有效期的，采购人以书面形式通知所有供应商延长投标有效期。供应商同意延长的，应相应延长其磋商保证金的有效期，但不得要求或被允许修改或撤销其磋商响应文件；供应商拒绝延长的，其投标失效，但供应商有权收回其磋商保证金。</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3.4 磋商保证金</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2" w:name="_Toc343511515"/>
      <w:bookmarkStart w:id="33" w:name="_Hlk522170699"/>
      <w:r>
        <w:rPr>
          <w:rFonts w:hint="eastAsia" w:ascii="宋体" w:hAnsi="宋体" w:eastAsia="宋体" w:cs="宋体"/>
          <w:sz w:val="28"/>
          <w:szCs w:val="28"/>
        </w:rPr>
        <w:t>3.4.1 供应商在递交磋商响应文件的同时，应按供应商须知前附表规定的金额、担保形式</w:t>
      </w:r>
      <w:r>
        <w:rPr>
          <w:rFonts w:hint="eastAsia" w:ascii="宋体" w:hAnsi="宋体" w:eastAsia="宋体" w:cs="宋体"/>
          <w:sz w:val="28"/>
          <w:szCs w:val="28"/>
          <w:lang w:eastAsia="zh-CN"/>
        </w:rPr>
        <w:t>缴纳磋商保证金，</w:t>
      </w:r>
      <w:r>
        <w:rPr>
          <w:rFonts w:hint="eastAsia" w:ascii="宋体" w:hAnsi="宋体" w:eastAsia="宋体" w:cs="宋体"/>
          <w:sz w:val="28"/>
          <w:szCs w:val="28"/>
          <w:lang w:val="en-US" w:eastAsia="zh-CN"/>
        </w:rPr>
        <w:t>供应商的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保证金交纳时间，以银行提供的已到账单位汇款信息为准。并作为其响应文件的组成部分</w:t>
      </w:r>
      <w:r>
        <w:rPr>
          <w:rFonts w:hint="eastAsia" w:ascii="宋体" w:hAnsi="宋体" w:eastAsia="宋体" w:cs="宋体"/>
          <w:color w:val="000000"/>
          <w:sz w:val="28"/>
          <w:szCs w:val="28"/>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供应商不按本章第3.4.1项要求提交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作废标处理。</w:t>
      </w:r>
    </w:p>
    <w:bookmarkEnd w:id="32"/>
    <w:bookmarkEnd w:id="33"/>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4" w:name="_Toc343511517"/>
      <w:r>
        <w:rPr>
          <w:rFonts w:hint="eastAsia" w:ascii="宋体" w:hAnsi="宋体" w:eastAsia="宋体" w:cs="宋体"/>
          <w:color w:val="000000" w:themeColor="text1"/>
          <w:sz w:val="28"/>
          <w:szCs w:val="28"/>
          <w14:textFill>
            <w14:solidFill>
              <w14:schemeClr w14:val="tx1"/>
            </w14:solidFill>
          </w14:textFill>
        </w:rPr>
        <w:t>3.4.3</w:t>
      </w:r>
      <w:bookmarkEnd w:id="34"/>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要求供应商提交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保证金不得超过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预算金额的2%。</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保证金应当以支票、汇票、本票或者金融机构、担保机构出具的保函等非现金形式提交。供应商未按照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的，投标无效。</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采购代理机构应当自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通知书发出之日起5个工作日内退还未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的供应商扣除银行交易手续费后退还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保证金及银行同期存款利息。自政府采购合同签订之日起5个工作日内退还</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3.4.4采购人在</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中要求供应商提交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不得超过</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项目估算价的2%。</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有效期应当与投标有效期一致。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依法必须进行</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的项目的境内投标单位，以现金或者支票形式提交的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应当从其基本账户转出。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采购人不得挪用</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3.4.5采购人终止</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的，应当及时发布公告，或者以书面形式通知被邀请的或者已经获取资格预审文件、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的潜在供应商。已经发售资格预审文件、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或者已经收取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的，采购人应当及时退还所收取的资格预审文件、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的费用，以及所收取的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3.4.6供应商撤回已提交的</w:t>
      </w:r>
      <w:r>
        <w:rPr>
          <w:rFonts w:hint="eastAsia" w:ascii="宋体" w:hAnsi="宋体" w:eastAsia="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文件，应当在投标截止时间前书面通知采购人。采购人已收取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的，应当自收到供应商书面撤回通知之日起5日内退还。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投标截止后供应商撤销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的，采购人可以不退还</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3.4.7</w:t>
      </w:r>
      <w:r>
        <w:rPr>
          <w:rFonts w:hint="eastAsia" w:ascii="宋体" w:hAnsi="宋体" w:eastAsia="宋体" w:cs="宋体"/>
          <w:color w:val="000000"/>
          <w:sz w:val="28"/>
          <w:szCs w:val="28"/>
        </w:rPr>
        <w:t>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人应当依照采购投标法和本条例的规定签订书面合同，合同的标的、价款、质量、履行期限等主要条款应当与采购文件和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人的响应文件的内容一致。采购人和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人不得再行订立背离合同实质性内容的其他协议。</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themeColor="text1"/>
          <w:sz w:val="28"/>
          <w:szCs w:val="28"/>
          <w14:textFill>
            <w14:solidFill>
              <w14:schemeClr w14:val="tx1"/>
            </w14:solidFill>
          </w14:textFill>
        </w:rPr>
        <w:t>3.4.8</w:t>
      </w:r>
      <w:bookmarkStart w:id="35" w:name="_Toc343511518"/>
      <w:bookmarkStart w:id="36" w:name="_Hlk522172384"/>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人无正当理由不与采购人订立合同，在签订合同时向采购人提出附加条件，或者不按照采购文件要求提交履约保证金的，取消其中标资格，</w:t>
      </w:r>
      <w:r>
        <w:rPr>
          <w:rFonts w:hint="eastAsia" w:ascii="宋体" w:hAnsi="宋体" w:eastAsia="宋体" w:cs="宋体"/>
          <w:color w:val="000000"/>
          <w:sz w:val="28"/>
          <w:szCs w:val="28"/>
          <w:lang w:eastAsia="zh-CN"/>
        </w:rPr>
        <w:t>磋商保证金</w:t>
      </w:r>
      <w:r>
        <w:rPr>
          <w:rFonts w:hint="eastAsia" w:ascii="宋体" w:hAnsi="宋体" w:eastAsia="宋体" w:cs="宋体"/>
          <w:color w:val="000000"/>
          <w:sz w:val="28"/>
          <w:szCs w:val="28"/>
        </w:rPr>
        <w:t>不予退还。对依法必须进行采购的项目的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人，由有关行政监督部门责令改正，可以处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项目金额10‰以下的罚款。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3.4.9有下列情形之一的，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将不予退还</w:t>
      </w:r>
      <w:bookmarkEnd w:id="35"/>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公司有权扣留其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，以弥补采购人损失。</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7" w:name="_Hlk522172370"/>
      <w:r>
        <w:rPr>
          <w:rFonts w:hint="eastAsia" w:ascii="宋体" w:hAnsi="宋体" w:eastAsia="宋体" w:cs="宋体"/>
          <w:color w:val="000000" w:themeColor="text1"/>
          <w:sz w:val="28"/>
          <w:szCs w:val="28"/>
          <w14:textFill>
            <w14:solidFill>
              <w14:schemeClr w14:val="tx1"/>
            </w14:solidFill>
          </w14:textFill>
        </w:rPr>
        <w:t>（1）供应商在规定的投标有效期内撤销或修改其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（2）中标人在收到</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通知书后，无正当理由拒签合同协议书或未按</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规定提交履约担保。</w:t>
      </w:r>
    </w:p>
    <w:bookmarkEnd w:id="36"/>
    <w:bookmarkEnd w:id="37"/>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（3）供应商与采购人、其他供应商或者采购代理机构恶意串通的。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（4）供应商中标后无正当理由放弃中标的</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（5）供应商中标后未能按规定交纳</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（6）供应商中标后将中标项目转让给他人，或者在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中未说明，且未经采购人同意，将中标项目分包给他人的。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中提供伪造、套改、虚假资料参加投标的。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（8）供应商不按法定程序进行质疑和投诉,捏造事实，查无实据，造成恶劣影响，导致采购活动无法正常进行的。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规定的其他情形。</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3.4.10以信用担保函形式交纳保证金，必须是陕西省财政厅认定的具有开具投标保函资格的单位开具的保函。投标供应商违约，开具保函单位承担连带责任，其保函内容及格式详见附件一。</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3.5 资格审查内容</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8.需具备</w:t>
      </w:r>
      <w:r>
        <w:rPr>
          <w:rFonts w:hint="eastAsia" w:ascii="宋体" w:hAnsi="宋体" w:cs="宋体"/>
          <w:color w:val="000000"/>
          <w:sz w:val="28"/>
          <w:szCs w:val="28"/>
          <w:lang w:val="en-US" w:eastAsia="zh-CN"/>
        </w:rPr>
        <w:t>市政公用工程施工</w:t>
      </w:r>
      <w:r>
        <w:rPr>
          <w:rFonts w:hint="eastAsia" w:ascii="宋体" w:hAnsi="宋体" w:eastAsia="宋体" w:cs="宋体"/>
          <w:color w:val="000000"/>
          <w:sz w:val="28"/>
          <w:szCs w:val="28"/>
          <w:lang w:val="en-US" w:eastAsia="zh-CN"/>
        </w:rPr>
        <w:t>总承包叁级</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以上资质（含叁级），并在人员、设备、资金等方面具有相应的施工能力，具有有效的安全生产许可证，其中拟派项目经理须具备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专业二级及以上注册建造师执业资格，具备有效的安全生产考核合格证书，且在本单位注册，未担任其他在建工程项目的项目经理；</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pStyle w:val="16"/>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sz w:val="28"/>
          <w:szCs w:val="28"/>
          <w:highlight w:val="none"/>
          <w:lang w:eastAsia="zh-CN"/>
        </w:rPr>
        <w:t>以上资格证明文件为供应商的必备文件，开标当天，请将上述资格证明文件胶装同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文件一起单独密封递交（密封要求同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文件），以便对其</w:t>
      </w:r>
      <w:r>
        <w:rPr>
          <w:rFonts w:hint="eastAsia" w:ascii="宋体" w:hAnsi="宋体" w:cs="宋体"/>
          <w:b/>
          <w:color w:val="000000"/>
          <w:sz w:val="28"/>
          <w:szCs w:val="28"/>
          <w:highlight w:val="none"/>
          <w:lang w:eastAsia="zh-CN"/>
        </w:rPr>
        <w:t>磋商</w:t>
      </w:r>
      <w:r>
        <w:rPr>
          <w:rFonts w:hint="eastAsia" w:ascii="宋体" w:hAnsi="宋体" w:eastAsia="宋体" w:cs="宋体"/>
          <w:b/>
          <w:color w:val="000000"/>
          <w:sz w:val="28"/>
          <w:szCs w:val="28"/>
          <w:highlight w:val="none"/>
          <w:lang w:eastAsia="zh-CN"/>
        </w:rPr>
        <w:t>资格进行审查。有给定格式的需按照</w:t>
      </w:r>
      <w:r>
        <w:rPr>
          <w:rFonts w:hint="eastAsia" w:ascii="宋体" w:hAnsi="宋体" w:eastAsia="宋体" w:cs="宋体"/>
          <w:b/>
          <w:color w:val="000000"/>
          <w:sz w:val="28"/>
          <w:szCs w:val="28"/>
          <w:highlight w:val="none"/>
          <w:lang w:val="en-US" w:eastAsia="zh-CN"/>
        </w:rPr>
        <w:t>磋商</w:t>
      </w:r>
      <w:r>
        <w:rPr>
          <w:rFonts w:hint="eastAsia" w:ascii="宋体" w:hAnsi="宋体" w:eastAsia="宋体" w:cs="宋体"/>
          <w:b/>
          <w:color w:val="000000"/>
          <w:sz w:val="28"/>
          <w:szCs w:val="28"/>
          <w:highlight w:val="none"/>
          <w:lang w:eastAsia="zh-CN"/>
        </w:rPr>
        <w:t>文件给定格式提供，若供应商资格证明文件不符合审查要求，将按无效处理</w:t>
      </w:r>
      <w:r>
        <w:rPr>
          <w:rFonts w:hint="eastAsia" w:ascii="宋体" w:hAnsi="宋体" w:eastAsia="宋体" w:cs="宋体"/>
          <w:b/>
          <w:color w:val="000000"/>
          <w:sz w:val="28"/>
          <w:szCs w:val="28"/>
          <w:highlight w:val="none"/>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3.6 备选投标方案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除供应商须知前附表另有规定外，供应商不得递交备选投标方案。</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3.7 磋商响应文件的编制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3.7.1 磋商响应文件应按第六章“磋商响应文件格式”进行编写，如有必要，可以增加附页，作为磋商响应文件的组成部分。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3.7.2 磋商响应文件应当对磋商文件有关</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、投标有效期、技术标准和要求、磋商范围等实质性内容作出响应。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3.7.3 磋商响应文件应尽量避免涂改、行间插字或删除。如果出现上述情况，改动之处应加盖供应商单位公章。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3.7.4 磋商响应文件正本壹份，副本份数见供应商须知前附表。正本和副本的封面上应清楚地标记“正本”或“副本”的字样。当副本和正本不一致时，以正本为准。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8" w:name="_Hlk525815536"/>
      <w:r>
        <w:rPr>
          <w:rFonts w:hint="eastAsia" w:ascii="宋体" w:hAnsi="宋体" w:eastAsia="宋体" w:cs="宋体"/>
          <w:color w:val="000000" w:themeColor="text1"/>
          <w:sz w:val="28"/>
          <w:szCs w:val="28"/>
          <w14:textFill>
            <w14:solidFill>
              <w14:schemeClr w14:val="tx1"/>
            </w14:solidFill>
          </w14:textFill>
        </w:rPr>
        <w:t>3.7.5磋商响应文件的正本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和所有的副本必须全部打印装订成册，并编制目录，统一装订、编码，必须在每一页的下方清楚标明。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3.7.6磋商响应文件的正本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和所有的副本必须逐页加盖供应商单位公章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鲜章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未按本章第3.7.1项至第3.7.</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项规定，出现任何一项未按要求编制的磋商响应文件，采购人（或采购代理机构）不予受理，磋商响应文件按无效文件处理。</w:t>
      </w:r>
    </w:p>
    <w:bookmarkEnd w:id="38"/>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39" w:name="_Toc420591646"/>
      <w:bookmarkStart w:id="40" w:name="_Toc526842686"/>
      <w:bookmarkStart w:id="41" w:name="_Toc20940"/>
      <w:bookmarkStart w:id="42" w:name="_Toc421778368"/>
      <w:bookmarkStart w:id="43" w:name="_Toc425240467"/>
      <w:r>
        <w:rPr>
          <w:rFonts w:hint="eastAsia" w:ascii="宋体" w:hAnsi="宋体" w:eastAsia="宋体" w:cs="宋体"/>
          <w:b/>
          <w:color w:val="000000" w:themeColor="text1"/>
          <w:sz w:val="28"/>
          <w:szCs w:val="28"/>
          <w14:textFill>
            <w14:solidFill>
              <w14:schemeClr w14:val="tx1"/>
            </w14:solidFill>
          </w14:textFill>
        </w:rPr>
        <w:t>4．投标</w:t>
      </w:r>
      <w:bookmarkEnd w:id="39"/>
      <w:bookmarkEnd w:id="40"/>
      <w:bookmarkEnd w:id="41"/>
      <w:bookmarkEnd w:id="42"/>
      <w:bookmarkEnd w:id="4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4.1 磋商响应文件的密封和标记</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4.1.1</w:t>
      </w:r>
      <w:bookmarkStart w:id="44" w:name="_Hlk518638585"/>
      <w:r>
        <w:rPr>
          <w:rFonts w:hint="eastAsia" w:ascii="宋体" w:hAnsi="宋体" w:eastAsia="宋体" w:cs="宋体"/>
          <w:b w:val="0"/>
          <w:bCs/>
          <w:color w:val="000000"/>
          <w:sz w:val="28"/>
          <w:szCs w:val="28"/>
        </w:rPr>
        <w:t>磋商响应文件</w:t>
      </w:r>
      <w:bookmarkEnd w:id="44"/>
      <w:r>
        <w:rPr>
          <w:rFonts w:hint="eastAsia" w:ascii="宋体" w:hAnsi="宋体" w:eastAsia="宋体" w:cs="宋体"/>
          <w:b w:val="0"/>
          <w:bCs/>
          <w:color w:val="000000"/>
          <w:sz w:val="28"/>
          <w:szCs w:val="28"/>
        </w:rPr>
        <w:t>的正本须单独包装</w:t>
      </w:r>
      <w:r>
        <w:rPr>
          <w:rFonts w:hint="eastAsia" w:ascii="宋体" w:hAnsi="宋体" w:eastAsia="宋体" w:cs="宋体"/>
          <w:b w:val="0"/>
          <w:bCs/>
          <w:color w:val="000000"/>
          <w:sz w:val="28"/>
          <w:szCs w:val="28"/>
          <w:lang w:eastAsia="zh-CN"/>
        </w:rPr>
        <w:t>在</w:t>
      </w:r>
      <w:r>
        <w:rPr>
          <w:rFonts w:hint="eastAsia" w:ascii="宋体" w:hAnsi="宋体" w:eastAsia="宋体" w:cs="宋体"/>
          <w:b w:val="0"/>
          <w:bCs/>
          <w:color w:val="000000"/>
          <w:sz w:val="28"/>
          <w:szCs w:val="28"/>
        </w:rPr>
        <w:t>档案袋或其他密封袋，副本可以包装在一个封套内（包装要求同正本）或分别包装（包装要求同正本），所有封套均应加贴封条，并在封套的封口处加盖供应商单位公章及法定代表人</w:t>
      </w:r>
      <w:r>
        <w:rPr>
          <w:rFonts w:hint="eastAsia" w:ascii="宋体" w:hAnsi="宋体" w:eastAsia="宋体" w:cs="宋体"/>
          <w:b w:val="0"/>
          <w:bCs/>
          <w:color w:val="000000"/>
          <w:sz w:val="28"/>
          <w:szCs w:val="28"/>
          <w:lang w:eastAsia="zh-CN"/>
        </w:rPr>
        <w:t>签字或盖章和其委托代理人签字或盖章</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4.1.2 磋商响应</w:t>
      </w:r>
      <w:bookmarkStart w:id="45" w:name="_Hlk518638885"/>
      <w:r>
        <w:rPr>
          <w:rFonts w:hint="eastAsia" w:ascii="宋体" w:hAnsi="宋体" w:eastAsia="宋体" w:cs="宋体"/>
          <w:color w:val="000000" w:themeColor="text1"/>
          <w:sz w:val="28"/>
          <w:szCs w:val="28"/>
          <w14:textFill>
            <w14:solidFill>
              <w14:schemeClr w14:val="tx1"/>
            </w14:solidFill>
          </w14:textFill>
        </w:rPr>
        <w:t>文件的封套上应清楚地标记“正本”、“副本”字样，资格证明文件的封套上应清楚地标记 “资格证明文件”字样</w:t>
      </w:r>
      <w:bookmarkEnd w:id="45"/>
      <w:r>
        <w:rPr>
          <w:rFonts w:hint="eastAsia" w:ascii="宋体" w:hAnsi="宋体" w:eastAsia="宋体" w:cs="宋体"/>
          <w:color w:val="000000" w:themeColor="text1"/>
          <w:sz w:val="28"/>
          <w:szCs w:val="28"/>
          <w14:textFill>
            <w14:solidFill>
              <w14:schemeClr w14:val="tx1"/>
            </w14:solidFill>
          </w14:textFill>
        </w:rPr>
        <w:t>，其他内容见供应商须知前附表。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4.1.3未按本章第4.1.1项至第4.1.2项规定，出现任何一项未按要求编制的磋商响应文件，采购人（或采购代理机构）不予受理，磋商响应文件按无效文件处理。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4.2 磋商响应文件的递交</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000000"/>
          <w:sz w:val="28"/>
          <w:szCs w:val="28"/>
        </w:rPr>
        <w:t>4.2.1 供应商应在供应商须知前附表第4.2.2 项规定的提交首次响应文件截止之日前递交磋商响应文件。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4.2.2 供应商递交磋商响应文件的地点：见供应商须知前附表。</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4.2.3 除供应商须知前附表另有规定外，供应商所递交的磋商响应文件不予退还。</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4.2.4 </w:t>
      </w:r>
      <w:bookmarkStart w:id="46" w:name="_Hlk522174718"/>
      <w:r>
        <w:rPr>
          <w:rFonts w:hint="eastAsia" w:ascii="宋体" w:hAnsi="宋体" w:eastAsia="宋体" w:cs="宋体"/>
          <w:color w:val="000000"/>
          <w:sz w:val="28"/>
          <w:szCs w:val="28"/>
        </w:rPr>
        <w:t>采购人收到磋商响应文件后，供应商须登记填写《磋商响应文件递交登记表》。</w:t>
      </w:r>
    </w:p>
    <w:bookmarkEnd w:id="46"/>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4.2.5逾期送达的或者未送达指定地点的磋商响应文件，采购人不予受理。</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4.2.6每家单位只允许提交壹套《磋商响应文件》。否则，采购人有权取消其</w:t>
      </w:r>
      <w:r>
        <w:rPr>
          <w:rFonts w:hint="eastAsia" w:ascii="宋体" w:hAnsi="宋体" w:cs="宋体"/>
          <w:color w:val="000000"/>
          <w:sz w:val="28"/>
          <w:szCs w:val="28"/>
          <w:lang w:eastAsia="zh-CN"/>
        </w:rPr>
        <w:t>磋商</w:t>
      </w:r>
      <w:r>
        <w:rPr>
          <w:rFonts w:hint="eastAsia" w:ascii="宋体" w:hAnsi="宋体" w:eastAsia="宋体" w:cs="宋体"/>
          <w:color w:val="000000"/>
          <w:sz w:val="28"/>
          <w:szCs w:val="28"/>
        </w:rPr>
        <w:t>资格。</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4.3 磋商响应文件的修改与撤回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4.3.1 在供应商须知前附表第4.2.2 项规定的提交首次响应文件截止之日前，供应商可以修改或撤回已递交的磋商响应文件，但应以书面形式通知采购人。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4.3.2 供应商修改或撤回已递交磋商响应文件的书面通知应按照本章第3.7.3 项的要求必须由供应商加盖供应商单位公章。采购人收到书面通知后，供应商须在其登记填写的《磋商响应文件</w:t>
      </w:r>
      <w:r>
        <w:rPr>
          <w:rFonts w:hint="eastAsia" w:ascii="宋体" w:hAnsi="宋体" w:eastAsia="宋体" w:cs="宋体"/>
          <w:color w:val="000000"/>
          <w:sz w:val="28"/>
          <w:szCs w:val="28"/>
        </w:rPr>
        <w:t>递交登记表</w:t>
      </w:r>
      <w:r>
        <w:rPr>
          <w:rFonts w:hint="eastAsia" w:ascii="宋体" w:hAnsi="宋体" w:eastAsia="宋体" w:cs="宋体"/>
          <w:color w:val="000000" w:themeColor="text1"/>
          <w:sz w:val="28"/>
          <w:szCs w:val="28"/>
          <w14:textFill>
            <w14:solidFill>
              <w14:schemeClr w14:val="tx1"/>
            </w14:solidFill>
          </w14:textFill>
        </w:rPr>
        <w:t>》“备注”栏注明，此《磋商响应文件递交登记表》作为向供应商出具的签收凭证存根。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4.3.3 修改的内容为磋商响应文件的组成部分。修改的磋商响应文件应按照本章第3条、第4条规定进行编制、密封、标记和递交，并标明“修改”字样。</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47" w:name="_Toc420591647"/>
      <w:bookmarkStart w:id="48" w:name="_Toc526842687"/>
      <w:bookmarkStart w:id="49" w:name="_Toc425240468"/>
      <w:bookmarkStart w:id="50" w:name="_Toc20463"/>
      <w:bookmarkStart w:id="51" w:name="_Toc421778369"/>
      <w:r>
        <w:rPr>
          <w:rFonts w:hint="eastAsia" w:ascii="宋体" w:hAnsi="宋体" w:eastAsia="宋体" w:cs="宋体"/>
          <w:b/>
          <w:color w:val="000000" w:themeColor="text1"/>
          <w:sz w:val="28"/>
          <w:szCs w:val="28"/>
          <w14:textFill>
            <w14:solidFill>
              <w14:schemeClr w14:val="tx1"/>
            </w14:solidFill>
          </w14:textFill>
        </w:rPr>
        <w:t>5．磋商</w:t>
      </w:r>
      <w:bookmarkEnd w:id="47"/>
      <w:bookmarkEnd w:id="48"/>
      <w:bookmarkEnd w:id="49"/>
      <w:bookmarkEnd w:id="50"/>
      <w:bookmarkEnd w:id="5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5.1 磋商时间和地点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2" w:name="_Hlk522256941"/>
      <w:r>
        <w:rPr>
          <w:rFonts w:hint="eastAsia" w:ascii="宋体" w:hAnsi="宋体" w:eastAsia="宋体" w:cs="宋体"/>
          <w:color w:val="000000" w:themeColor="text1"/>
          <w:sz w:val="28"/>
          <w:szCs w:val="28"/>
          <w14:textFill>
            <w14:solidFill>
              <w14:schemeClr w14:val="tx1"/>
            </w14:solidFill>
          </w14:textFill>
        </w:rPr>
        <w:t>5.1.1采购人在本章第2.2.2 项规定的提交首次响应文件截止之日（磋商时间）和供应商须知前附表规定的地点磋商，并邀请所有供应商的法定代表人或其委托代理人准时参加。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5.1.2</w:t>
      </w:r>
      <w:r>
        <w:rPr>
          <w:rFonts w:hint="eastAsia" w:ascii="宋体" w:hAnsi="宋体" w:cs="宋体"/>
          <w:color w:val="000000" w:themeColor="text1"/>
          <w:sz w:val="28"/>
          <w:szCs w:val="28"/>
          <w:lang w:eastAsia="zh-CN"/>
          <w14:textFill>
            <w14:solidFill>
              <w14:schemeClr w14:val="tx1"/>
            </w14:solidFill>
          </w14:textFill>
        </w:rPr>
        <w:t>磋商供应商</w:t>
      </w:r>
      <w:r>
        <w:rPr>
          <w:rFonts w:hint="eastAsia" w:ascii="宋体" w:hAnsi="宋体" w:eastAsia="宋体" w:cs="宋体"/>
          <w:color w:val="000000" w:themeColor="text1"/>
          <w:sz w:val="28"/>
          <w:szCs w:val="28"/>
          <w14:textFill>
            <w14:solidFill>
              <w14:schemeClr w14:val="tx1"/>
            </w14:solidFill>
          </w14:textFill>
        </w:rPr>
        <w:t>未参加开标的，视同认可开标结果。</w:t>
      </w:r>
    </w:p>
    <w:bookmarkEnd w:id="52"/>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5.2磋商程序（摘要）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主持人按下列程序进行磋商：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（1）宣布项目名称及磋商响应文件接收截止时间，终止一切磋商响应文件的接收工作，并宣布磋商会议开始。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（2）宣布磋商会议纪律。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（3）介绍政府采购监督管理部门、采购人、监标人、采购代理机构工作人员。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（4）宣布本项目供应商签到名单，确认供应商身份。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（5）请采购人、监标人和供应商委托代理人共同查验资格证明文件的密封情况，并由监标人宣布审核结果。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（6）由采购人和监标人对供应商进行资格审查。开标现场，由监标人对各供应商进行资格审查，并公布资格审查结果，资格审查不通过，该供应商无权进入下一步开标程序。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按照磋商文件供应商须知有关规定，由监标人和供应商委托代理人共同查验磋商响应文件的密封情况，并由监标人宣布审核结果。对检查出的不符合密封规定要求的磋商响应文件作为无效文件处理，不得启封。采购代理机构接标人在开标大会结束后，经该供应商签字确认后将其磋商响应文件退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（9）启封磋商响应文件，休会（请各供应商代表不要远离会场，保持通信畅通，以便磋商小组及时通知磋商响应文件中需要进行澄清或说明的事项）。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（10）将磋商响应文件送交磋商小组评审；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通过资格审查和符合性评审后，再进行第二次磋商报价（最终磋商报价），各供应商就磋商中的技术、商务、价格、服务等内容按要求进行补充、完善、澄清、承诺，并按给定格式报出不可更改的第二次磋商报价，第二次报价为最终评定的依据，并作为成交价格，参与综合比较与评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（12）磋商结束。</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5.3磋商现场需带的原件：见供应商须知前附表。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53" w:name="_Toc15987"/>
      <w:bookmarkStart w:id="54" w:name="_Toc526842688"/>
      <w:bookmarkStart w:id="55" w:name="_Toc421778370"/>
      <w:bookmarkStart w:id="56" w:name="_Toc420591648"/>
      <w:bookmarkStart w:id="57" w:name="_Toc425240469"/>
      <w:r>
        <w:rPr>
          <w:rFonts w:hint="eastAsia" w:ascii="宋体" w:hAnsi="宋体" w:eastAsia="宋体" w:cs="宋体"/>
          <w:b/>
          <w:color w:val="000000" w:themeColor="text1"/>
          <w:sz w:val="28"/>
          <w:szCs w:val="28"/>
          <w14:textFill>
            <w14:solidFill>
              <w14:schemeClr w14:val="tx1"/>
            </w14:solidFill>
          </w14:textFill>
        </w:rPr>
        <w:t>6．评标</w:t>
      </w:r>
      <w:bookmarkEnd w:id="53"/>
      <w:bookmarkEnd w:id="54"/>
      <w:bookmarkEnd w:id="55"/>
      <w:bookmarkEnd w:id="56"/>
      <w:bookmarkEnd w:id="57"/>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6.1 磋商小组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6.1.1 评标由采购人依法组建的磋商小组负责。磋商小组由采购人或其委托的采购代理机构熟悉相关业务的代表，以及有关技术、经济等方面的专家组成。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6.1.2 磋商小组成员有下列情形之一的，应当回避：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(1）供应商或供应商的主要负责人的近亲属；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(3）与供应商有经济利益关系，可能影响对投标公正评审的；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6.2 评标原则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评标活动遵循公平、公正、科学和择优的原则。</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6.3 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6.3.1磋商小组按照第三章“评标办法”规定的方法、评审因素、标准和程序对磋商响应文件进行评审。第三章“评标办法”没有规定的方法、评审因素和标准，不作为评标依据。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8" w:name="_Toc425240470"/>
      <w:bookmarkStart w:id="59" w:name="_Toc420591649"/>
      <w:bookmarkStart w:id="60" w:name="_Toc421778371"/>
      <w:r>
        <w:rPr>
          <w:rFonts w:hint="eastAsia" w:ascii="宋体" w:hAnsi="宋体" w:eastAsia="宋体" w:cs="宋体"/>
          <w:color w:val="000000" w:themeColor="text1"/>
          <w:sz w:val="28"/>
          <w:szCs w:val="28"/>
          <w14:textFill>
            <w14:solidFill>
              <w14:schemeClr w14:val="tx1"/>
            </w14:solidFill>
          </w14:textFill>
        </w:rPr>
        <w:t>6.3.2政府采购评审专家应当遵守评审工作纪律，不得泄露评审文件、评审情况和评审中获悉的商业秘密。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小组或者询价小组在评审过程中发现供应商有行贿、提供虚假材料或者串通等违法行为的，应当及时向财政部门报告。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政府采购评审专家在评审过程中受到非法干预的，应当及时向财政、监察等部门举报。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6.3.3评标委员会、竞争性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小组或者询价小组成员应当按照客观、公正、审慎的原则，根据采购文件规定的评审程序、评审方法和评审标准进行独立评审。采购文件内容违反国家有关强制性规定的，评标委员会、竞争性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小组或者询价小组应当停止评审并向采购人或者采购代理机构说明情况。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或者询价小组成员应当在评审报告上签字，对自己的评审意见承担法律责任。对评审报告有异议的，应当在评审报告上签署不同意见，并说明理由，否则视为同意评审报告。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6.3.4采购人、采购代理机构不得向评标委员会、竞争性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小组或者询价小组的评审专家作倾向性、误导性的解释或者说明。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6.3.5采购代理机构应当自评审结束之日起2个工作日内将评审报告送交采购人。采购人应当自收到评审报告之日起5个工作日内在评审报告推荐的中标或者成交候选供应商中按顺序确定中标或者成交供应商。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1" w:name="_Hlk522178150"/>
      <w:r>
        <w:rPr>
          <w:rFonts w:hint="eastAsia" w:ascii="宋体" w:hAnsi="宋体" w:eastAsia="宋体" w:cs="宋体"/>
          <w:color w:val="000000" w:themeColor="text1"/>
          <w:sz w:val="28"/>
          <w:szCs w:val="28"/>
          <w14:textFill>
            <w14:solidFill>
              <w14:schemeClr w14:val="tx1"/>
            </w14:solidFill>
          </w14:textFill>
        </w:rPr>
        <w:t>6.3.6 评标委员会成员应当依照招标投标法和本条例的规定，按照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规定的评标标准和方法，客观、公正地对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提出评审意见。</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没有规定的评标标准和方法不得作为评标的依据。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6.3.7有下列情形之一的，评标委员会应当否决其投标：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未经投标单位盖章和单位负责人签字；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（二）投标联合体没有提交共同投标协议；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（三）投标人不符合国家或者</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规定的资格条件；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（四）同一投标人提交两个以上不同的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，但</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要求提交备选投标的除外；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低于成本或者高于</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设定的最高投标限价；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没有对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的实质性要求和条件作出响应；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（七）投标人有串通投标、弄虚作假、行贿等违法行为。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6.3.8</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中有含义不明确的内容、明显文字或者计算错误，评标委员会认为需要投标人作出必要澄清、说明的，应当书面通知该投标人。投标人的澄清、说明应当采用书面形式，并不得超出</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的范围或者改变</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评标委员会不得暗示或者诱导投标人作出澄清、说明，不得接受投标人主动提出的澄清、说明。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6.3.9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6.3.10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6.3.11出让或者出租资格、资质证书供他人投标的，依照法律、行政法规的规定给予行政处罚；构成犯罪的，依法追究刑事责任。</w:t>
      </w:r>
      <w:bookmarkEnd w:id="61"/>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62" w:name="_Toc26000"/>
      <w:bookmarkStart w:id="63" w:name="_Toc526842689"/>
      <w:r>
        <w:rPr>
          <w:rFonts w:hint="eastAsia" w:ascii="宋体" w:hAnsi="宋体" w:eastAsia="宋体" w:cs="宋体"/>
          <w:b/>
          <w:color w:val="000000" w:themeColor="text1"/>
          <w:sz w:val="28"/>
          <w:szCs w:val="28"/>
          <w14:textFill>
            <w14:solidFill>
              <w14:schemeClr w14:val="tx1"/>
            </w14:solidFill>
          </w14:textFill>
        </w:rPr>
        <w:t>7．合同授予</w:t>
      </w:r>
      <w:bookmarkEnd w:id="58"/>
      <w:bookmarkEnd w:id="59"/>
      <w:bookmarkEnd w:id="60"/>
      <w:bookmarkEnd w:id="62"/>
      <w:bookmarkEnd w:id="6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7.1 定标方式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4" w:name="_Hlk522179251"/>
      <w:r>
        <w:rPr>
          <w:rFonts w:hint="eastAsia" w:ascii="宋体" w:hAnsi="宋体" w:eastAsia="宋体" w:cs="宋体"/>
          <w:color w:val="000000" w:themeColor="text1"/>
          <w:sz w:val="28"/>
          <w:szCs w:val="28"/>
          <w14:textFill>
            <w14:solidFill>
              <w14:schemeClr w14:val="tx1"/>
            </w14:solidFill>
          </w14:textFill>
        </w:rPr>
        <w:t>7.1.1除供应商须知前附表规定评标委员会直接确定成交供应商外，采购人依据磋商小组推荐的成交候选供应商确定成交供应商，磋商小组推荐成交候选供应商的人数见供应商须知前附表。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7.1.2评标完成后，评标委员会应当向招标人提交书面评标报告和</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候选人名单。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7.1.3中标或者成交供应商拒绝与采购人签订合同的，采购人可以按照评审报告推荐的中标或者成交候选供应商名单排序，确定下一候选人为中标或者成交供应商，也可以重新开展政府采购活动。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7.1.4 国有资金占控股或者主导地位的依法必须进行招标的项目，招标人应当确定排名第一的中标候选人为中标人。排名第一的中标候选人放弃中标、因不可抗力不能履行合同、不按照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要求提交履约保证金，或者被查实存在影响中标结果的违法行为等情形，不符合中标条件的，招标人可以按照评标委员会提出的中标候选人名单排序依次确定其他中标候选人为中标人，也可以重新招标。</w:t>
      </w:r>
    </w:p>
    <w:bookmarkEnd w:id="64"/>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7.2 成交通知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5" w:name="_Hlk522179377"/>
      <w:r>
        <w:rPr>
          <w:rFonts w:hint="eastAsia" w:ascii="宋体" w:hAnsi="宋体" w:eastAsia="宋体" w:cs="宋体"/>
          <w:color w:val="000000" w:themeColor="text1"/>
          <w:sz w:val="28"/>
          <w:szCs w:val="28"/>
          <w14:textFill>
            <w14:solidFill>
              <w14:schemeClr w14:val="tx1"/>
            </w14:solidFill>
          </w14:textFill>
        </w:rPr>
        <w:t>7.2.1在本章第3.3款规定的投标有效期内，采购人以书面形式向成交供应商发出成交通知书，同时将成交结果通知未</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的供应商。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7.2.2采购代理机构应当自评审结束之日起2个工作日内将评审报告送交采购人。采购人应当自收到评审报告之日起5个工作日内在评审报告推荐的中标或者成交候选人中按顺序确定中标或者成交供应商。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7.2.3中标结果公告公示期一个工作日。</w:t>
      </w:r>
      <w:bookmarkEnd w:id="6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7.3 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6" w:name="_Hlk522179747"/>
      <w:r>
        <w:rPr>
          <w:rFonts w:hint="eastAsia" w:ascii="宋体" w:hAnsi="宋体" w:eastAsia="宋体" w:cs="宋体"/>
          <w:color w:val="000000" w:themeColor="text1"/>
          <w:sz w:val="28"/>
          <w:szCs w:val="28"/>
          <w14:textFill>
            <w14:solidFill>
              <w14:schemeClr w14:val="tx1"/>
            </w14:solidFill>
          </w14:textFill>
        </w:rPr>
        <w:t>7.3.1在签订合同前，成交供应商应按供应商须知前附表规定的金额、担保形式和磋商文件第四章“合同</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拟签订文本</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”规定的履约担保格式向采购人提交履约担保。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7.3.2 成交供应商不能按本章第7.3.1项要求提交履约担保的，视为放弃中标，其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不予退还，给采购人造成的损失超过</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数额的，成交供应商还应当对超过部分予以赔偿。</w:t>
      </w:r>
    </w:p>
    <w:bookmarkEnd w:id="6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7.4 签订合同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67" w:name="_Toc420591650"/>
      <w:bookmarkStart w:id="68" w:name="_Toc526842690"/>
      <w:bookmarkStart w:id="69" w:name="_Toc425240471"/>
      <w:bookmarkStart w:id="70" w:name="_Toc421778372"/>
      <w:bookmarkStart w:id="71" w:name="_Toc20459"/>
      <w:r>
        <w:rPr>
          <w:rFonts w:hint="eastAsia" w:ascii="宋体" w:hAnsi="宋体" w:eastAsia="宋体" w:cs="宋体"/>
          <w:b w:val="0"/>
          <w:bCs/>
          <w:color w:val="000000" w:themeColor="text1"/>
          <w:sz w:val="28"/>
          <w:szCs w:val="28"/>
          <w14:textFill>
            <w14:solidFill>
              <w14:schemeClr w14:val="tx1"/>
            </w14:solidFill>
          </w14:textFill>
        </w:rPr>
        <w:t>7.4.1 采购人和成交供应商应当自成交通知书发出之日起</w:t>
      </w:r>
      <w:r>
        <w:rPr>
          <w:rFonts w:hint="eastAsia" w:ascii="宋体" w:hAnsi="宋体" w:cs="宋体"/>
          <w:b w:val="0"/>
          <w:bCs/>
          <w:color w:val="000000" w:themeColor="text1"/>
          <w:sz w:val="28"/>
          <w:szCs w:val="28"/>
          <w:lang w:val="en-US" w:eastAsia="zh-CN"/>
          <w14:textFill>
            <w14:solidFill>
              <w14:schemeClr w14:val="tx1"/>
            </w14:solidFill>
          </w14:textFill>
        </w:rPr>
        <w:t>15</w:t>
      </w:r>
      <w:r>
        <w:rPr>
          <w:rFonts w:hint="eastAsia" w:ascii="宋体" w:hAnsi="宋体" w:eastAsia="宋体" w:cs="宋体"/>
          <w:b w:val="0"/>
          <w:bCs/>
          <w:color w:val="000000" w:themeColor="text1"/>
          <w:sz w:val="28"/>
          <w:szCs w:val="28"/>
          <w14:textFill>
            <w14:solidFill>
              <w14:schemeClr w14:val="tx1"/>
            </w14:solidFill>
          </w14:textFill>
        </w:rPr>
        <w:t>天内，根据磋商文件和成交供应商的磋商响应文件订立书面合同。成交供应商无正当理由拒签合同，采购人取消其成交资格，其磋商保证金不予退还；成交供应商还应向采购人赔偿成交金额的10%的损失。违约后，磋商保证金和赔偿金一并缴入</w:t>
      </w:r>
      <w:r>
        <w:rPr>
          <w:rFonts w:hint="eastAsia" w:ascii="宋体" w:hAnsi="宋体" w:eastAsia="宋体" w:cs="宋体"/>
          <w:b w:val="0"/>
          <w:bCs/>
          <w:color w:val="000000" w:themeColor="text1"/>
          <w:sz w:val="28"/>
          <w:szCs w:val="28"/>
          <w:lang w:eastAsia="zh-CN"/>
          <w14:textFill>
            <w14:solidFill>
              <w14:schemeClr w14:val="tx1"/>
            </w14:solidFill>
          </w14:textFill>
        </w:rPr>
        <w:t>采购人</w:t>
      </w:r>
      <w:r>
        <w:rPr>
          <w:rFonts w:hint="eastAsia" w:ascii="宋体" w:hAnsi="宋体" w:eastAsia="宋体" w:cs="宋体"/>
          <w:b w:val="0"/>
          <w:bCs/>
          <w:color w:val="000000" w:themeColor="text1"/>
          <w:sz w:val="28"/>
          <w:szCs w:val="28"/>
          <w14:textFill>
            <w14:solidFill>
              <w14:schemeClr w14:val="tx1"/>
            </w14:solidFill>
          </w14:textFill>
        </w:rPr>
        <w:t>指定账户。</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2" w:name="_Hlk522179758"/>
      <w:r>
        <w:rPr>
          <w:rFonts w:hint="eastAsia" w:ascii="宋体" w:hAnsi="宋体" w:eastAsia="宋体" w:cs="宋体"/>
          <w:b w:val="0"/>
          <w:bCs/>
          <w:color w:val="000000" w:themeColor="text1"/>
          <w:sz w:val="28"/>
          <w:szCs w:val="28"/>
          <w14:textFill>
            <w14:solidFill>
              <w14:schemeClr w14:val="tx1"/>
            </w14:solidFill>
          </w14:textFill>
        </w:rPr>
        <w:t>7.4.2 发出中标通知书后，采购人无正当理由拒签合同的，采购人向中标供应商退还</w:t>
      </w:r>
      <w:r>
        <w:rPr>
          <w:rFonts w:hint="eastAsia" w:ascii="宋体" w:hAnsi="宋体" w:eastAsia="宋体" w:cs="宋体"/>
          <w:b w:val="0"/>
          <w:bCs/>
          <w:color w:val="000000" w:themeColor="text1"/>
          <w:sz w:val="28"/>
          <w:szCs w:val="28"/>
          <w:lang w:eastAsia="zh-CN"/>
          <w14:textFill>
            <w14:solidFill>
              <w14:schemeClr w14:val="tx1"/>
            </w14:solidFill>
          </w14:textFill>
        </w:rPr>
        <w:t>磋商保证金</w:t>
      </w:r>
      <w:r>
        <w:rPr>
          <w:rFonts w:hint="eastAsia" w:ascii="宋体" w:hAnsi="宋体" w:eastAsia="宋体" w:cs="宋体"/>
          <w:b w:val="0"/>
          <w:bCs/>
          <w:color w:val="000000" w:themeColor="text1"/>
          <w:sz w:val="28"/>
          <w:szCs w:val="28"/>
          <w14:textFill>
            <w14:solidFill>
              <w14:schemeClr w14:val="tx1"/>
            </w14:solidFill>
          </w14:textFill>
        </w:rPr>
        <w:t xml:space="preserve">；给中标供应商造成损失的，还应当赔偿损失。 </w:t>
      </w:r>
    </w:p>
    <w:bookmarkEnd w:id="72"/>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7.4.3国务院财政部门应当会同国务院有关部门制定政府采购合同标准文本。</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7.4.4</w:t>
      </w:r>
      <w:r>
        <w:rPr>
          <w:rFonts w:hint="eastAsia" w:ascii="宋体" w:hAnsi="宋体" w:eastAsia="宋体" w:cs="宋体"/>
          <w:b w:val="0"/>
          <w:bCs/>
          <w:color w:val="000000" w:themeColor="text1"/>
          <w:sz w:val="28"/>
          <w:szCs w:val="28"/>
          <w:lang w:val="en-US" w:eastAsia="zh-CN"/>
          <w14:textFill>
            <w14:solidFill>
              <w14:schemeClr w14:val="tx1"/>
            </w14:solidFill>
          </w14:textFill>
        </w:rPr>
        <w:t>为保证采购合同的履行，确需收取履约保证金的，履约保证金收取比例应不超过合同金额的5%（</w:t>
      </w:r>
      <w:r>
        <w:rPr>
          <w:rFonts w:hint="eastAsia" w:ascii="宋体" w:hAnsi="宋体" w:eastAsia="宋体" w:cs="宋体"/>
          <w:b w:val="0"/>
          <w:bCs/>
          <w:color w:val="000000" w:themeColor="text1"/>
          <w:sz w:val="28"/>
          <w:szCs w:val="28"/>
          <w14:textFill>
            <w14:solidFill>
              <w14:schemeClr w14:val="tx1"/>
            </w14:solidFill>
          </w14:textFill>
        </w:rPr>
        <w:t>供应商应当以支票、汇票、本票或者金融机构、担保机构出具的保函等非现金形式提交</w:t>
      </w:r>
      <w:r>
        <w:rPr>
          <w:rFonts w:hint="eastAsia" w:ascii="宋体" w:hAnsi="宋体" w:eastAsia="宋体" w:cs="宋体"/>
          <w:b w:val="0"/>
          <w:bCs/>
          <w:color w:val="000000" w:themeColor="text1"/>
          <w:sz w:val="28"/>
          <w:szCs w:val="28"/>
          <w:lang w:val="en-US" w:eastAsia="zh-CN"/>
          <w14:textFill>
            <w14:solidFill>
              <w14:schemeClr w14:val="tx1"/>
            </w14:solidFill>
          </w14:textFill>
        </w:rPr>
        <w:t>）。中标或成交供应商合同主要义务履行完毕后，采购人或采购代理机构应按照合同约定及时退还。</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7.4.5中标或者成交供应商拒绝与采购人签订合同的，采购人可以按照评审报告推荐的中标或者成交候选人名单排序，确定下一候选人为中标或者成交供应商，也可以重新开展政府采购活动。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7.4.6采购人应当自政府采购合同签订之日起2个工作日内，将政府采购合同在省级以上人民政府财政部门指定的媒体上公告，但政府采购合同中涉及国家秘密、商业秘密的内容除外。</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7.4.7采购人应当按照政府采购合同规定，及时向中标或者成交供应商支付采购资金。</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7.4.8政府</w:t>
      </w:r>
      <w:r>
        <w:rPr>
          <w:rFonts w:hint="eastAsia" w:ascii="宋体" w:hAnsi="宋体" w:eastAsia="宋体" w:cs="宋体"/>
          <w:b w:val="0"/>
          <w:bCs/>
          <w:color w:val="000000" w:themeColor="text1"/>
          <w:sz w:val="28"/>
          <w:szCs w:val="28"/>
          <w:lang w:eastAsia="zh-CN"/>
          <w14:textFill>
            <w14:solidFill>
              <w14:schemeClr w14:val="tx1"/>
            </w14:solidFill>
          </w14:textFill>
        </w:rPr>
        <w:t>项目</w:t>
      </w:r>
      <w:r>
        <w:rPr>
          <w:rFonts w:hint="eastAsia" w:ascii="宋体" w:hAnsi="宋体" w:eastAsia="宋体" w:cs="宋体"/>
          <w:b w:val="0"/>
          <w:bCs/>
          <w:color w:val="000000" w:themeColor="text1"/>
          <w:sz w:val="28"/>
          <w:szCs w:val="28"/>
          <w14:textFill>
            <w14:solidFill>
              <w14:schemeClr w14:val="tx1"/>
            </w14:solidFill>
          </w14:textFill>
        </w:rPr>
        <w:t>资金支付程序，按照国家有关</w:t>
      </w:r>
      <w:r>
        <w:rPr>
          <w:rFonts w:hint="eastAsia" w:ascii="宋体" w:hAnsi="宋体" w:eastAsia="宋体" w:cs="宋体"/>
          <w:b w:val="0"/>
          <w:bCs/>
          <w:color w:val="000000" w:themeColor="text1"/>
          <w:sz w:val="28"/>
          <w:szCs w:val="28"/>
          <w:lang w:eastAsia="zh-CN"/>
          <w14:textFill>
            <w14:solidFill>
              <w14:schemeClr w14:val="tx1"/>
            </w14:solidFill>
          </w14:textFill>
        </w:rPr>
        <w:t>财政资金</w:t>
      </w:r>
      <w:r>
        <w:rPr>
          <w:rFonts w:hint="eastAsia" w:ascii="宋体" w:hAnsi="宋体" w:eastAsia="宋体" w:cs="宋体"/>
          <w:b w:val="0"/>
          <w:bCs/>
          <w:color w:val="000000" w:themeColor="text1"/>
          <w:sz w:val="28"/>
          <w:szCs w:val="28"/>
          <w14:textFill>
            <w14:solidFill>
              <w14:schemeClr w14:val="tx1"/>
            </w14:solidFill>
          </w14:textFill>
        </w:rPr>
        <w:t>支付管理的规定执行。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3" w:name="_Hlk522179832"/>
      <w:r>
        <w:rPr>
          <w:rFonts w:hint="eastAsia" w:ascii="宋体" w:hAnsi="宋体" w:eastAsia="宋体" w:cs="宋体"/>
          <w:b w:val="0"/>
          <w:bCs/>
          <w:color w:val="000000" w:themeColor="text1"/>
          <w:sz w:val="28"/>
          <w:szCs w:val="28"/>
          <w14:textFill>
            <w14:solidFill>
              <w14:schemeClr w14:val="tx1"/>
            </w14:solidFill>
          </w14:textFill>
        </w:rPr>
        <w:t>7.4.9招标人和中标人应当依照招标投标法和本条例的规定签订书面合同，合同的标的、价款、质量、履行期限等主要条款应当与</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和中标人的</w:t>
      </w:r>
      <w:r>
        <w:rPr>
          <w:rFonts w:hint="eastAsia" w:ascii="宋体" w:hAnsi="宋体" w:eastAsia="宋体" w:cs="宋体"/>
          <w:b w:val="0"/>
          <w:bCs/>
          <w:color w:val="000000" w:themeColor="text1"/>
          <w:sz w:val="28"/>
          <w:szCs w:val="28"/>
          <w:lang w:eastAsia="zh-CN"/>
          <w14:textFill>
            <w14:solidFill>
              <w14:schemeClr w14:val="tx1"/>
            </w14:solidFill>
          </w14:textFill>
        </w:rPr>
        <w:t>响应文件</w:t>
      </w:r>
      <w:r>
        <w:rPr>
          <w:rFonts w:hint="eastAsia" w:ascii="宋体" w:hAnsi="宋体" w:eastAsia="宋体" w:cs="宋体"/>
          <w:b w:val="0"/>
          <w:bCs/>
          <w:color w:val="000000" w:themeColor="text1"/>
          <w:sz w:val="28"/>
          <w:szCs w:val="28"/>
          <w14:textFill>
            <w14:solidFill>
              <w14:schemeClr w14:val="tx1"/>
            </w14:solidFill>
          </w14:textFill>
        </w:rPr>
        <w:t>的内容一致。招标人和中标人不得再行订立背离合同实质性内容的其他协议。</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7.4.10</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要求</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人提交履约保证金的，中标人应当按照</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的要求提交。履约保证金不得超过</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合同金额的</w:t>
      </w:r>
      <w:r>
        <w:rPr>
          <w:rFonts w:hint="eastAsia" w:ascii="宋体" w:hAnsi="宋体" w:eastAsia="宋体" w:cs="宋体"/>
          <w:b w:val="0"/>
          <w:bCs/>
          <w:color w:val="000000" w:themeColor="text1"/>
          <w:sz w:val="28"/>
          <w:szCs w:val="28"/>
          <w:lang w:val="en-US" w:eastAsia="zh-CN"/>
          <w14:textFill>
            <w14:solidFill>
              <w14:schemeClr w14:val="tx1"/>
            </w14:solidFill>
          </w14:textFill>
        </w:rPr>
        <w:t>5</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7.4.11</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应当按照合同约定履行义务，完成</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不得向他人转让</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项目，也不得将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项目肢解后分别向他人转让。</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按照合同约定或者经招标人同意，可以将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项目的部分非主体、非关键性工作分包给他人完成。接受分包的人应当具备相应的资格条件，并不得再次分包。</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应当就分包项目向招标人负责，接受分包的人就分包项目承担连带责任。</w:t>
      </w:r>
    </w:p>
    <w:bookmarkEnd w:id="73"/>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8．重新招标和不再招标</w:t>
      </w:r>
      <w:bookmarkEnd w:id="67"/>
      <w:bookmarkEnd w:id="68"/>
      <w:bookmarkEnd w:id="69"/>
      <w:bookmarkEnd w:id="70"/>
      <w:bookmarkEnd w:id="7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8.1 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有下列情形之一的，采购人将重新招标：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（l）提交首次响应文件截止之日止，供应商少于3个的；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（2）经磋商小组评审后否决所有投标的。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8.2 不再招标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重新招标后供应商仍少于3个或者所有投标被否决的，属于必须审批或核准的工程建设项目，经原审批或核准部门批准后不再进行招标。</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74" w:name="_Toc421778373"/>
      <w:bookmarkStart w:id="75" w:name="_Toc2742"/>
      <w:bookmarkStart w:id="76" w:name="_Toc526842691"/>
      <w:bookmarkStart w:id="77" w:name="_Toc420591651"/>
      <w:bookmarkStart w:id="78" w:name="_Toc425240472"/>
      <w:r>
        <w:rPr>
          <w:rFonts w:hint="eastAsia" w:ascii="宋体" w:hAnsi="宋体" w:eastAsia="宋体" w:cs="宋体"/>
          <w:b/>
          <w:color w:val="000000" w:themeColor="text1"/>
          <w:sz w:val="28"/>
          <w:szCs w:val="28"/>
          <w14:textFill>
            <w14:solidFill>
              <w14:schemeClr w14:val="tx1"/>
            </w14:solidFill>
          </w14:textFill>
        </w:rPr>
        <w:t>9．纪律和监督</w:t>
      </w:r>
      <w:bookmarkEnd w:id="74"/>
      <w:bookmarkEnd w:id="75"/>
      <w:bookmarkEnd w:id="76"/>
      <w:bookmarkEnd w:id="77"/>
      <w:bookmarkEnd w:id="78"/>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9.1 对采购人的纪律要求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采购人不得泄漏招标投标活动中应当保密的情况和资料，不得与供应商串通损害国家利益、社会公共利益或者他人合法权益。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9.2 对供应商的纪律要求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9.2.1供应商不得相互串通投标或者与采购人串通投标，不得向采购人或者磋商小组成员行贿谋取成交，不得以他人名义投标或者以其他方式弄虚作假骗取成交；供应商不得以任何方式干扰、影响评标工作。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9.2.2采购人员与供应商有利害关系而不依法回避的，由财政部门给予警告，并处2000元以上2万元以下的罚款。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9.2.3有政府采购法第七十一条、第七十二条规定的违法行为之一，影响或者可能影响中标、成交结果的，依照下列规定处理：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（一）未确定中标或者成交供应商的，终止本次政府采购活动，重新开展政府采购活动。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（三）政府采购合同已签订但尚未履行的，撤销合同，从合格的中标或者成交候选人中另行确定中标或者成交供应商；没有合格的中标或者成交候选人的，重新开展政府采购活动。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（四）政府采购合同已经履行，给采购人、供应商造成损失的，由责任人承担赔偿责任。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政府采购当事人有其他违反政府采购法或者本条例规定的行为，经改正后仍然影响或者可能影响中标、成交结果或者依法被认定为中标、成交无效的，依照前款规定处理。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9.2.4供应商有下列情形之一的，依照政府采购法第七十七条第一款的规定追究法律责任：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（一）向评标委员会、竞争性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小组或者询价小组成员行贿或者提供其他不正当利益；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（二）中标或者成交后无正当理由拒不与采购人签订政府采购合同；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（三）未按照采购文件确定的事项签订政府采购合同；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（四）将政府采购合同转包；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（五）提供假冒伪劣产品；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（六）擅自变更、中止或者终止政府采购合同。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9.2.5供应商捏造事实、提供虚假材料或者以非法手段取得证明材料进行投诉的，由财政部门列入不良行为记录名单，禁止其1至3年内参加政府采购活动。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9.2.6有下列情形之一的，属于恶意串通，对供应商依照政府采购法第七十七条第一款的规定追究法律责任，对采购人、采购代理机构及其工作人员依照政府采购法第七十二条的规定追究法律责任：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（一）供应商直接或者间接从采购人或者采购代理机构处获得其他供应商的相关情况并修改其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（二）供应商按照采购人或者采购代理机构的授意撤换、修改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（三）供应商之间协商报价、技术方案等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（四）属于同一集团、协会、商会等组织成员的供应商按照该组织要求协同参加政府采购活动；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（五）供应商之间事先约定由某一特定供应商中标、成交；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（六）供应商之间商定部分供应商放弃参加政府采购活动或者放弃中标、成交；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（七）供应商与采购人或者采购代理机构之间、供应商相互之间，为谋求特定供应商中标、成交或者排斥其他供应商的其他串通行为。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9.2.7禁止投标人相互串通投标。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（一）投标人之间协商</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（二）投标人之间约定中标人；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（三）投标人之间约定部分投标人放弃投标或者中标；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（四）属于同一集团、协会、商会等组织成员的投标人按照该组织要求协同投标；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（五）投标人之间为谋取中标或者排斥特定投标人而采取的其他联合行动。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9.2.8有下列情形之一的，视为投标人相互串通投标：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由同一单位或者个人编制；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（二）不同投标人委托同一单位或者个人办理投标事宜；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载明的项目管理成员为同一人；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异常一致或者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呈规律性差异；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相互混装；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（六）不同投标人的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从同一单位或者个人的账户转出。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9.2.9禁止招标人与投标人串通投标。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（一）招标人在开标前开启</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并将有关信息泄露给其他投标人；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（二）招标人直接或者间接向投标人泄露标底、评标委员会成员等信息；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（三）招标人明示或者暗示投标人压低或者抬高</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（四）招标人授意投标人撤换、修改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（五）招标人明示或者暗示投标人为特定投标人中标提供方便；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（六）招标人与投标人为谋求特定投标人中标而采取的其他串通行为。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9.2.10使用通过受让或者租借等方式获取的资格、资质证书投标的，属于招标投标法第三十三条规定的以他人名义投标。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投标人有下列情形之一的，属于招标投标法第三十三条规定的以其他方式弄虚作假的行为：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（一）使用伪造、变造的许可证件；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（二）提供虚假的财务状况或者业绩；</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（三）提供虚假的项目负责人或者主要技术人员简历、劳动关系证明；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（四）提供虚假的信用状况；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（五）其他弄虚作假的行为。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9.2.11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9.2.12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9.2.13出让或者出租资格、资质证书供他人投标的，依照法律、行政法规的规定给予行政处罚；构成犯罪的，依法追究刑事责任。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9.3 对磋商小组成员的纪律要求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9.3.1磋商小组成员不得收受他人的财物或者其他好处，不得向他人透漏对磋商响应文件的评审和比较、成交候选供应商的推荐情况以及评标有关的其他情况。在评标活动中，磋商小组成员不得擅离职守，影响评标程序正常进行，不得使用第三章“评标办法”没有规定的评审因素和标准进行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9.3.2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政府采购评审专家与供应商存在利害关系未回避的，处2万元以上5万元以下的罚款，禁止其参加政府采购评审活动。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政府采购评审专家收受采购人、采购代理机构、供应商贿赂或者获取其他不正当利益，构成犯罪的，依法追究刑事责任；尚不构成犯罪的，处2万元以上5万元以下的罚款，禁止其参加政府采购评审活动。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政府采购评审专家有上述违法行为的，其评审意见无效，不得获取评审费；有违法所得的，没收违法所得；给他人造成损失的，依法承担民事责任。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79" w:name="_Hlk522181179"/>
      <w:r>
        <w:rPr>
          <w:rFonts w:hint="eastAsia" w:ascii="宋体" w:hAnsi="宋体" w:eastAsia="宋体" w:cs="宋体"/>
          <w:color w:val="000000" w:themeColor="text1"/>
          <w:sz w:val="28"/>
          <w:szCs w:val="28"/>
          <w14:textFill>
            <w14:solidFill>
              <w14:schemeClr w14:val="tx1"/>
            </w14:solidFill>
          </w14:textFill>
        </w:rPr>
        <w:t>9.3.3评标委员会成员有下列行为之一的，由有关行政监督部门责令改正；情节严重的，禁止其在一定期限内参加依法必须进行招标的项目的评标；情节特别严重的，取消其担任评标委员会成员的资格：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（一）应当回避而不回避；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（二）擅离职守；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（四）私下接触投标人；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（五）向招标人征询确定中标人的意向或者接受任何单位或者个人明示或者暗示提出的倾向或者排斥特定投标人的要求；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（六）对依法应当否决的投标不提出否决意见；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（七）暗示或者诱导投标人作出澄清、说明或者接受投标人主动提出的澄清、说明；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（八）其他不客观、不公正履行职务的行为。</w:t>
      </w:r>
      <w:bookmarkEnd w:id="79"/>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9.4 对与评标活动有关的工作人员的纪律要求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9.4.1与评标活动有关的工作人员不得收受他人的财物或者其他好处，不得向他人透漏对磋商响应文件的评审和比较、成交候选供应商的推荐情况以及评标有关的其他情况。在评标活动中，与评标活动有关的工作人员不得擅离职守，影响评标程序正常进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9.4.2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9.4.3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（一）要求对依法必须进行招标的项目不招标，或者要求对依法应当公开招标的项目不公开招标；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（二）要求评标委员会成员或者招标人以其指定的投标人作为中标候选人或者中标人，或者以其他方式非法干涉评标活动，影响中标结果；</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（三）以其他方式非法干涉招标投标活动。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9.5 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9.5.1供应商和其他利害关系人认为本次招标活动违反法律、法规和规章规定的，有权向有关行政监督部门投诉。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9.5.2供应商的质疑和投诉，详见《中华人民共和国财政部令第94号--政府采购质疑和投诉办法》有关规定。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9.5.3投诉人不得以投诉为名排挤竞争对手，不得进行虚假、恶意投诉，阻碍招标投标活动的正常进行。</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9.6评标过程的监控</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本项目评标过程实行全程录音、录像监控，供应商在评标过程中所进行的试图影响评标结果的不公正活动，可能导致其投标被拒绝。</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9.7.1供应商对采购事项有疑问的，应当按照《政府采购质疑和投诉办法》规定，以书面形式向采购人或代理机构提出，经法定代表人签字并加盖公章。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9.7.2供应商认为采购文件、采购过程、中标或者成交结果使自己的权益受到损害的，可以在知道或者应知其权益受到损害之日起7个工作日内，以书面形式向采购人、采购代理机构提出质疑。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9.7.3供应商对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条款或技术参数有异议的，应当在开标前通过澄清或修改程序提出。供应商已经参与开标，并于开标后对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提出质疑的，其质疑应当被视为无效质疑。在法定质疑期内对采购文件只能是一次性提出针对同一采购程序环节的质疑。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9.7.4提出质疑的供应商（以下简称质疑供应商）应当是参与所质疑项目采购活动的供应商。潜在供应商已依法获取其可质疑的采购文件的，可以对该文件提出质疑。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9.7.5对采购文件提出质疑的，应当在获取采购文件或者采购文件公告期限届满之日起7个工作日内提出。</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9.7.6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9.7.7有下列情形之一的，属于无效质疑，代理机构可不予受理：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（1）未在有效期限内提出质疑的；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（2）质疑未以书面形式提出的；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（3）所提交材料未明示属于质疑材料的；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（4）质疑书没有法定代表人签署本人姓名或印盖本人姓名章并加盖供应商公章；质疑书由参加</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的授权代表签署本人姓名或印盖本人姓名章的，没有法定代表人的特别授权；质疑书加盖合同专用章的；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（5）质疑书未提供有效联系人或联系方式的；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（6）质疑事项已经进入投诉或者诉讼程序的；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（7）其它不符合受理条件的情形。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9.7.8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9.7.9供应商对评审过程、中标或者成交结果提出质疑的，采购人、采购代理机构可以组织原评标委员会、竞争性谈判小组、询价小组或者竞争性磋商小组协助答复质疑。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9.7.10质疑人有下列情形之一的，代理机构应驳回质疑：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（1）质疑缺乏事实和法律依据的；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（2）质疑人捏造事实、提供虚假材料，或在一定期限内多次质疑而无实据的；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（3）质疑已经处理并答复后，质疑人就同一事项又提起质疑且未提供新的有效证据的；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（4）其他根据相关法律、法规应当予以驳回的情形。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9.7.11供应商进行虚假和恶意质疑的，代理机构可以提请有关部门将其列入不良记录名单，在一至三年内禁止参加政府采购活动，并将处理决定在相关政府采购媒体上公布。</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9.7.12采购人、采购代理机构认为供应商质疑不成立，或者成立但未对中标、成交结果构成影响的，继续开展采购活动；认为供应商质疑成立且影响或者可能影响中标、成交结果的，按照下列情况处理：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质疑答复导致中标、成交结果改变的，采购人或者采购代理机构应当将有关情况书面报告本级财政部门。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9.7.13质疑供应商对采购人、采购代理机构的答复不满意，或者采购人、采购代理机构未在规定时间内作出答复的，可以在答复期满后15个工作日内向本办法第六条规定的财政部门提起投诉（投诉书范本见附件2）。</w:t>
      </w: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附件1</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质疑函范本</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一、质疑供应商基本信息</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二、质疑项目基本情况</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采购文件获取日期：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三、质疑事项具体内容</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质疑事项1：</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质疑事项2</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四、与质疑事项相关的质疑请求</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 xml:space="preserve">)：                   公章：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质疑函制作说明：</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1.供应商提出质疑时，应提交质疑函和必要的证明材料。</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8"/>
          <w:szCs w:val="28"/>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3.质疑供应商若对项目的某一分包进行质疑，质疑函中应列明具体分包号。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4.质疑函的质疑事项应具体、明确，并有必要的事实依据和法律依据。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5.质疑函的质疑请求应与质疑事项相关。</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附件2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投诉书范本</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法定代表人/主要负责人：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相关供应商：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代理机构名称：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采购结果公告: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三、质疑基本情况</w:t>
      </w:r>
    </w:p>
    <w:p>
      <w:pPr>
        <w:spacing w:line="360" w:lineRule="auto"/>
        <w:ind w:firstLine="560" w:firstLineChars="200"/>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日,向</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提出质疑，质疑事项为：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u w:val="single"/>
          <w14:textFill>
            <w14:solidFill>
              <w14:schemeClr w14:val="tx1"/>
            </w14:solidFill>
          </w14:textFill>
        </w:rPr>
        <w:t>采购人/代理机构</w:t>
      </w:r>
      <w:r>
        <w:rPr>
          <w:rFonts w:hint="eastAsia" w:ascii="宋体" w:hAnsi="宋体" w:eastAsia="宋体" w:cs="宋体"/>
          <w:color w:val="000000" w:themeColor="text1"/>
          <w:sz w:val="28"/>
          <w:szCs w:val="28"/>
          <w14:textFill>
            <w14:solidFill>
              <w14:schemeClr w14:val="tx1"/>
            </w14:solidFill>
          </w14:textFill>
        </w:rPr>
        <w:t>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 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公章：</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投诉书制作说明：</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8"/>
          <w:szCs w:val="28"/>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3.投诉人若对项目的某一分包进行投诉，投诉书应列明具体分包号。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4.投诉书应简要列明质疑事项，质疑函、质疑答复等作为附件材料提供。</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5.投诉书的投诉事项应具体、明确，并有必要的事实依据和法律依据。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6.投诉书的投诉请求应与投诉事项相关。</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sectPr>
          <w:footerReference r:id="rId10" w:type="first"/>
          <w:footerReference r:id="rId9" w:type="default"/>
          <w:pgSz w:w="11906" w:h="16838"/>
          <w:pgMar w:top="1440" w:right="1440" w:bottom="1440" w:left="1440" w:header="851" w:footer="992" w:gutter="0"/>
          <w:lnNumType w:countBy="0" w:distance="360"/>
          <w:pgNumType w:fmt="decimal"/>
          <w:cols w:space="720" w:num="1"/>
          <w:titlePg/>
          <w:docGrid w:linePitch="312" w:charSpace="0"/>
        </w:sectPr>
      </w:pPr>
    </w:p>
    <w:p>
      <w:pPr>
        <w:spacing w:line="360" w:lineRule="auto"/>
        <w:ind w:firstLine="562" w:firstLineChars="200"/>
        <w:outlineLvl w:val="1"/>
        <w:rPr>
          <w:rFonts w:hint="eastAsia" w:ascii="宋体" w:hAnsi="宋体" w:eastAsia="宋体" w:cs="宋体"/>
          <w:b/>
          <w:color w:val="000000" w:themeColor="text1"/>
          <w:sz w:val="28"/>
          <w:szCs w:val="28"/>
          <w14:textFill>
            <w14:solidFill>
              <w14:schemeClr w14:val="tx1"/>
            </w14:solidFill>
          </w14:textFill>
        </w:rPr>
      </w:pPr>
      <w:bookmarkStart w:id="80" w:name="_Toc25074"/>
      <w:bookmarkStart w:id="81" w:name="_Toc526842692"/>
      <w:bookmarkStart w:id="82" w:name="_Toc420591652"/>
      <w:bookmarkStart w:id="83" w:name="_Toc425240473"/>
      <w:bookmarkStart w:id="84" w:name="_Toc421778374"/>
      <w:r>
        <w:rPr>
          <w:rFonts w:hint="eastAsia" w:ascii="宋体" w:hAnsi="宋体" w:eastAsia="宋体" w:cs="宋体"/>
          <w:b/>
          <w:color w:val="000000" w:themeColor="text1"/>
          <w:sz w:val="28"/>
          <w:szCs w:val="28"/>
          <w14:textFill>
            <w14:solidFill>
              <w14:schemeClr w14:val="tx1"/>
            </w14:solidFill>
          </w14:textFill>
        </w:rPr>
        <w:t>10、需要补充的其他内容</w:t>
      </w:r>
      <w:bookmarkEnd w:id="80"/>
      <w:bookmarkEnd w:id="81"/>
      <w:bookmarkStart w:id="85" w:name="_Toc356305901"/>
    </w:p>
    <w:bookmarkEnd w:id="82"/>
    <w:bookmarkEnd w:id="83"/>
    <w:bookmarkEnd w:id="84"/>
    <w:bookmarkEnd w:id="85"/>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bookmarkStart w:id="86" w:name="_Hlk525811728"/>
      <w:r>
        <w:rPr>
          <w:rFonts w:hint="eastAsia" w:ascii="宋体" w:hAnsi="宋体" w:eastAsia="宋体" w:cs="宋体"/>
          <w:b/>
          <w:color w:val="000000" w:themeColor="text1"/>
          <w:sz w:val="28"/>
          <w:szCs w:val="28"/>
          <w14:textFill>
            <w14:solidFill>
              <w14:schemeClr w14:val="tx1"/>
            </w14:solidFill>
          </w14:textFill>
        </w:rPr>
        <w:t>10.</w:t>
      </w:r>
      <w:r>
        <w:rPr>
          <w:rFonts w:hint="eastAsia" w:ascii="宋体" w:hAnsi="宋体" w:eastAsia="宋体" w:cs="宋体"/>
          <w:b/>
          <w:color w:val="000000" w:themeColor="text1"/>
          <w:sz w:val="28"/>
          <w:szCs w:val="28"/>
          <w:lang w:val="en-US" w:eastAsia="zh-CN"/>
          <w14:textFill>
            <w14:solidFill>
              <w14:schemeClr w14:val="tx1"/>
            </w14:solidFill>
          </w14:textFill>
        </w:rPr>
        <w:t>1</w:t>
      </w:r>
      <w:r>
        <w:rPr>
          <w:rFonts w:hint="eastAsia" w:ascii="宋体" w:hAnsi="宋体" w:eastAsia="宋体" w:cs="宋体"/>
          <w:b/>
          <w:color w:val="000000" w:themeColor="text1"/>
          <w:sz w:val="28"/>
          <w:szCs w:val="28"/>
          <w14:textFill>
            <w14:solidFill>
              <w14:schemeClr w14:val="tx1"/>
            </w14:solidFill>
          </w14:textFill>
        </w:rPr>
        <w:t>合格投标人不足3家的有关法律条文</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（1）中华人民共和国财政部令第87号--政府采购货物和服务招标投标管理办法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第四十一条 开标时，应当由投标人或者其推选的代表检查</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的密封情况；经确认无误后，由采购人或者采购代理机构工作人员当众拆封，宣布投标人名称、投标价格和</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规定的需要宣布的其他内容。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投标人不足3家的，不得开标。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第四十四条 公开招标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开标结束后，采购人或者采购代理机构应当依法对投标人的资格进行审查。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合格投标人不足3家的，不得评标。</w:t>
      </w:r>
    </w:p>
    <w:bookmarkEnd w:id="86"/>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w:t>
      </w:r>
      <w:bookmarkStart w:id="87" w:name="_Toc525798436"/>
      <w:r>
        <w:rPr>
          <w:rFonts w:hint="eastAsia" w:ascii="宋体" w:hAnsi="宋体" w:eastAsia="宋体" w:cs="宋体"/>
          <w:b/>
          <w:color w:val="000000" w:themeColor="text1"/>
          <w:sz w:val="28"/>
          <w:szCs w:val="28"/>
          <w14:textFill>
            <w14:solidFill>
              <w14:schemeClr w14:val="tx1"/>
            </w14:solidFill>
          </w14:textFill>
        </w:rPr>
        <w:t>财政部关于政府采购竞争性磋商采购方式管理暂行办法有关问题的补充通知</w:t>
      </w:r>
      <w:bookmarkEnd w:id="87"/>
      <w:r>
        <w:rPr>
          <w:rFonts w:hint="eastAsia" w:ascii="宋体" w:hAnsi="宋体" w:eastAsia="宋体" w:cs="宋体"/>
          <w:b/>
          <w:color w:val="000000" w:themeColor="text1"/>
          <w:sz w:val="28"/>
          <w:szCs w:val="28"/>
          <w14:textFill>
            <w14:solidFill>
              <w14:schemeClr w14:val="tx1"/>
            </w14:solidFill>
          </w14:textFill>
        </w:rPr>
        <w:t>--财库〔2015〕124号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（3）财政部关于印发《政府采购竞争性磋商采购方式管理暂行办法》的通知--财库〔2014〕214号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第二十一条磋商文件能够详细列明采购标的的技术、服务要求的，磋商结束后，磋商小组应当要求所有实质性响应的供应商在规定时间内提交最后报价，提交最后报价的供应商不得少于3家。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最后报价是供应商响应文件的有效组成部分。符合本办法第三条第四项情形的，提交最后报价的供应商可以为2家。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参与磋商的供应商通过发布公告征集，征集不够的，可由采购单位或磋商小组推荐。在采购过程中符合竞争要求的供应商不足3家的，且采购单位或磋商小组不推荐的，须终止磋商采购活动，发布项目终止公告并说明原因，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竞争性磋商项目重新开展采购活动时，经财政部门批准，也可以采取公开招标方式。若继续采用竞争性磋商方式的，实质性响应的供应商仍然不足3家，且只有2家的，采购单位、代理机构须报经财政部门批准后，可以继续与2家供应商进行竞争性磋商。只有1家的，先按废标处理，如采购单位有特殊需求，须报经财政部门批准后，与该供应商进行单一来源谈判。</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第一次报价后，磋商小组可以变更采购需求，最后报价为最终报价。如采购需求没有实质性变化，各供应商的报价应逐次降低，本次报价超过上次报价的，为无效报价。出现相同报价的，可再次报价，直至产生唯一最低报价。如果因此导致报价在预算之内的供应商不足三家的情况，可以比照前款规定执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磋商开始到成交供应商确定前，磋商小组、采购人及有关人员要严格遵循保密原则，任何一方不得向与评审无关的单位和人员透露与磋商有关的其它供应商的技术资料、价格及其它信息。否则，按《中华人民共和国政府采购法》、《中华人民共和国政府采购法实施条例》及有关法律、法规的法律规定进行相应的处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bookmarkStart w:id="88" w:name="_Toc454100766"/>
      <w:bookmarkStart w:id="89" w:name="_Toc363113718"/>
      <w:bookmarkStart w:id="90" w:name="_Toc359828156"/>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bookmarkEnd w:id="88"/>
      <w:bookmarkEnd w:id="89"/>
      <w:bookmarkEnd w:id="90"/>
    </w:p>
    <w:p>
      <w:pPr>
        <w:spacing w:line="360" w:lineRule="auto"/>
        <w:ind w:firstLine="560" w:firstLineChars="200"/>
        <w:rPr>
          <w:rFonts w:hint="eastAsia"/>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color w:val="000000"/>
          <w:sz w:val="28"/>
          <w:szCs w:val="28"/>
        </w:rPr>
        <w:t>10.6.1</w:t>
      </w:r>
      <w:r>
        <w:rPr>
          <w:rFonts w:hint="eastAsia" w:ascii="宋体" w:hAnsi="宋体" w:eastAsia="宋体" w:cs="宋体"/>
          <w:color w:val="000000"/>
          <w:sz w:val="28"/>
          <w:szCs w:val="28"/>
          <w:lang w:eastAsia="zh-CN"/>
        </w:rPr>
        <w:t>代理服务费：采购代理机构参照国家计委关于印发《招标代理服务收费管理暂行办法》计价格[2002]1980号文和《国家发展改革委关于降低部分建设项目收费标准规范收费行为等有关问题的通知》发改价格[2011]534号规定标准收取代理服务费。</w:t>
      </w:r>
    </w:p>
    <w:p>
      <w:pPr>
        <w:pStyle w:val="3"/>
        <w:numPr>
          <w:ilvl w:val="0"/>
          <w:numId w:val="6"/>
        </w:numPr>
        <w:jc w:val="center"/>
        <w:rPr>
          <w:rFonts w:hint="eastAsia" w:ascii="宋体" w:hAnsi="宋体" w:eastAsia="宋体" w:cs="宋体"/>
          <w:color w:val="000000" w:themeColor="text1"/>
          <w:sz w:val="32"/>
          <w:szCs w:val="32"/>
          <w14:textFill>
            <w14:solidFill>
              <w14:schemeClr w14:val="tx1"/>
            </w14:solidFill>
          </w14:textFill>
        </w:rPr>
      </w:pPr>
      <w:bookmarkStart w:id="91" w:name="_Toc9686"/>
      <w:bookmarkStart w:id="92" w:name="_Toc421778376"/>
      <w:r>
        <w:rPr>
          <w:rFonts w:hint="eastAsia" w:ascii="宋体" w:hAnsi="宋体" w:eastAsia="宋体" w:cs="宋体"/>
          <w:color w:val="000000" w:themeColor="text1"/>
          <w:sz w:val="32"/>
          <w:szCs w:val="32"/>
          <w14:textFill>
            <w14:solidFill>
              <w14:schemeClr w14:val="tx1"/>
            </w14:solidFill>
          </w14:textFill>
        </w:rPr>
        <w:t>评标办法</w:t>
      </w:r>
      <w:bookmarkEnd w:id="91"/>
      <w:bookmarkEnd w:id="92"/>
    </w:p>
    <w:p>
      <w:pPr>
        <w:pStyle w:val="2"/>
        <w:spacing w:before="0" w:after="0" w:line="360" w:lineRule="auto"/>
        <w:jc w:val="center"/>
        <w:rPr>
          <w:rFonts w:hint="eastAsia"/>
          <w:highlight w:val="yellow"/>
        </w:rPr>
      </w:pPr>
      <w:bookmarkStart w:id="93" w:name="_Toc7185"/>
      <w:r>
        <w:rPr>
          <w:rFonts w:hint="eastAsia" w:ascii="宋体" w:hAnsi="宋体" w:eastAsia="宋体" w:cs="宋体"/>
          <w:color w:val="000000" w:themeColor="text1"/>
          <w:sz w:val="24"/>
          <w:highlight w:val="none"/>
          <w14:textFill>
            <w14:solidFill>
              <w14:schemeClr w14:val="tx1"/>
            </w14:solidFill>
          </w14:textFill>
        </w:rPr>
        <w:t>评标办法前附表</w:t>
      </w:r>
      <w:bookmarkEnd w:id="93"/>
    </w:p>
    <w:tbl>
      <w:tblPr>
        <w:tblStyle w:val="33"/>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72"/>
        <w:gridCol w:w="2286"/>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94" w:name="_Toc343511683"/>
            <w:bookmarkStart w:id="95" w:name="_Toc247085757"/>
            <w:bookmarkStart w:id="96" w:name="_Toc18142"/>
            <w:bookmarkStart w:id="97" w:name="_Toc394320898"/>
            <w:bookmarkStart w:id="98" w:name="_Toc246996985"/>
            <w:bookmarkStart w:id="99" w:name="_Toc169940988"/>
            <w:bookmarkStart w:id="100" w:name="_Toc343511682"/>
            <w:bookmarkStart w:id="101" w:name="_Toc123211617"/>
            <w:bookmarkStart w:id="102" w:name="_Toc246996242"/>
            <w:bookmarkStart w:id="103" w:name="_Toc361406429"/>
            <w:bookmarkStart w:id="104" w:name="_Toc456197085"/>
            <w:bookmarkStart w:id="105" w:name="_Toc397410656"/>
            <w:bookmarkStart w:id="106" w:name="_Toc225592722"/>
            <w:bookmarkStart w:id="107" w:name="_Toc397585236"/>
            <w:bookmarkStart w:id="108" w:name="_Toc112236889"/>
            <w:bookmarkStart w:id="109" w:name="_Toc361406350"/>
            <w:bookmarkStart w:id="110" w:name="_Toc152045599"/>
            <w:bookmarkStart w:id="111" w:name="_Toc397585167"/>
            <w:bookmarkStart w:id="112" w:name="_Toc179632617"/>
            <w:bookmarkStart w:id="113" w:name="_Toc221523517"/>
            <w:bookmarkStart w:id="114" w:name="_Toc145989485"/>
            <w:bookmarkStart w:id="115" w:name="_Toc132684599"/>
            <w:bookmarkStart w:id="116" w:name="_Toc152042376"/>
            <w:bookmarkStart w:id="117" w:name="_Toc395711817"/>
            <w:bookmarkStart w:id="118" w:name="_Toc397410469"/>
            <w:bookmarkStart w:id="119" w:name="_Toc144974566"/>
            <w:r>
              <w:rPr>
                <w:rFonts w:hint="eastAsia" w:ascii="宋体" w:hAnsi="宋体" w:eastAsia="宋体" w:cs="宋体"/>
                <w:b/>
                <w:color w:val="000000" w:themeColor="text1"/>
                <w:sz w:val="24"/>
                <w:szCs w:val="24"/>
                <w14:textFill>
                  <w14:solidFill>
                    <w14:schemeClr w14:val="tx1"/>
                  </w14:solidFill>
                </w14:textFill>
              </w:rPr>
              <w:t>条款号</w:t>
            </w:r>
            <w:bookmarkEnd w:id="94"/>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20" w:name="_Toc343511684"/>
            <w:r>
              <w:rPr>
                <w:rFonts w:hint="eastAsia" w:ascii="宋体" w:hAnsi="宋体" w:eastAsia="宋体" w:cs="宋体"/>
                <w:b/>
                <w:color w:val="000000" w:themeColor="text1"/>
                <w:sz w:val="24"/>
                <w:szCs w:val="24"/>
                <w14:textFill>
                  <w14:solidFill>
                    <w14:schemeClr w14:val="tx1"/>
                  </w14:solidFill>
                </w14:textFill>
              </w:rPr>
              <w:t>评审因素</w:t>
            </w:r>
            <w:bookmarkEnd w:id="120"/>
          </w:p>
        </w:tc>
        <w:tc>
          <w:tcPr>
            <w:tcW w:w="6439"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21" w:name="_Toc343511685"/>
            <w:r>
              <w:rPr>
                <w:rFonts w:hint="eastAsia" w:ascii="宋体" w:hAnsi="宋体" w:eastAsia="宋体" w:cs="宋体"/>
                <w:b/>
                <w:color w:val="000000" w:themeColor="text1"/>
                <w:sz w:val="24"/>
                <w:szCs w:val="24"/>
                <w14:textFill>
                  <w14:solidFill>
                    <w14:schemeClr w14:val="tx1"/>
                  </w14:solidFill>
                </w14:textFill>
              </w:rPr>
              <w:t>评审标准</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w:t>
            </w:r>
          </w:p>
        </w:tc>
        <w:tc>
          <w:tcPr>
            <w:tcW w:w="772"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资格</w:t>
            </w:r>
          </w:p>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审查</w:t>
            </w:r>
          </w:p>
        </w:tc>
        <w:tc>
          <w:tcPr>
            <w:tcW w:w="2286" w:type="dxa"/>
            <w:vAlign w:val="center"/>
          </w:tcPr>
          <w:p>
            <w:pPr>
              <w:spacing w:line="360" w:lineRule="auto"/>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eastAsia="zh-CN"/>
              </w:rPr>
              <w:t>资格要求</w:t>
            </w:r>
          </w:p>
        </w:tc>
        <w:tc>
          <w:tcPr>
            <w:tcW w:w="6439" w:type="dxa"/>
            <w:vAlign w:val="center"/>
          </w:tcPr>
          <w:p>
            <w:pPr>
              <w:spacing w:line="360" w:lineRule="auto"/>
              <w:jc w:val="both"/>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第二章“供应商须知”第1.4.1项规定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0"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2" w:name="_Toc343511686"/>
            <w:r>
              <w:rPr>
                <w:rFonts w:hint="eastAsia" w:ascii="宋体" w:hAnsi="宋体" w:eastAsia="宋体" w:cs="宋体"/>
                <w:color w:val="000000" w:themeColor="text1"/>
                <w:sz w:val="24"/>
                <w:szCs w:val="24"/>
                <w14:textFill>
                  <w14:solidFill>
                    <w14:schemeClr w14:val="tx1"/>
                  </w14:solidFill>
                </w14:textFill>
              </w:rPr>
              <w:t>2.1.1</w:t>
            </w:r>
            <w:bookmarkEnd w:id="122"/>
          </w:p>
        </w:tc>
        <w:tc>
          <w:tcPr>
            <w:tcW w:w="772"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3" w:name="_Toc343511687"/>
            <w:r>
              <w:rPr>
                <w:rFonts w:hint="eastAsia" w:ascii="宋体" w:hAnsi="宋体" w:eastAsia="宋体" w:cs="宋体"/>
                <w:color w:val="000000" w:themeColor="text1"/>
                <w:sz w:val="24"/>
                <w:szCs w:val="24"/>
                <w14:textFill>
                  <w14:solidFill>
                    <w14:schemeClr w14:val="tx1"/>
                  </w14:solidFill>
                </w14:textFill>
              </w:rPr>
              <w:t>形式</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w:t>
            </w:r>
            <w:bookmarkEnd w:id="123"/>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4" w:name="_Toc343511688"/>
            <w:r>
              <w:rPr>
                <w:rFonts w:hint="eastAsia" w:ascii="宋体" w:hAnsi="宋体" w:eastAsia="宋体" w:cs="宋体"/>
                <w:color w:val="000000" w:themeColor="text1"/>
                <w:sz w:val="24"/>
                <w:szCs w:val="24"/>
                <w14:textFill>
                  <w14:solidFill>
                    <w14:schemeClr w14:val="tx1"/>
                  </w14:solidFill>
                </w14:textFill>
              </w:rPr>
              <w:t>供应商名称</w:t>
            </w:r>
            <w:bookmarkEnd w:id="124"/>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25" w:name="_Toc343511689"/>
            <w:r>
              <w:rPr>
                <w:rFonts w:hint="eastAsia" w:ascii="宋体" w:hAnsi="宋体" w:eastAsia="宋体" w:cs="宋体"/>
                <w:color w:val="000000" w:themeColor="text1"/>
                <w:sz w:val="24"/>
                <w:szCs w:val="24"/>
                <w14:textFill>
                  <w14:solidFill>
                    <w14:schemeClr w14:val="tx1"/>
                  </w14:solidFill>
                </w14:textFill>
              </w:rPr>
              <w:t>与营业执照、资质证书、安全生产许可证一致</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6" w:name="_Toc343511690"/>
            <w:r>
              <w:rPr>
                <w:rFonts w:hint="eastAsia" w:ascii="宋体" w:hAnsi="宋体" w:cs="宋体"/>
                <w:color w:val="000000" w:themeColor="text1"/>
                <w:sz w:val="24"/>
                <w:szCs w:val="24"/>
                <w:lang w:val="en-US"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函签字盖章</w:t>
            </w:r>
            <w:bookmarkEnd w:id="126"/>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符合第二章“供应商须知”第3.7款规定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7" w:name="_Toc343511692"/>
            <w:r>
              <w:rPr>
                <w:rFonts w:hint="eastAsia" w:ascii="宋体" w:hAnsi="宋体" w:cs="宋体"/>
                <w:color w:val="000000" w:themeColor="text1"/>
                <w:sz w:val="24"/>
                <w:szCs w:val="24"/>
                <w:lang w:val="en-US"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文件格式</w:t>
            </w:r>
            <w:bookmarkEnd w:id="127"/>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28" w:name="_Toc343511693"/>
            <w:r>
              <w:rPr>
                <w:rFonts w:hint="eastAsia" w:ascii="宋体" w:hAnsi="宋体" w:eastAsia="宋体" w:cs="宋体"/>
                <w:color w:val="000000" w:themeColor="text1"/>
                <w:sz w:val="24"/>
                <w:szCs w:val="24"/>
                <w14:textFill>
                  <w14:solidFill>
                    <w14:schemeClr w14:val="tx1"/>
                  </w14:solidFill>
                </w14:textFill>
              </w:rPr>
              <w:t>符合第</w:t>
            </w:r>
            <w:r>
              <w:rPr>
                <w:rFonts w:hint="eastAsia" w:ascii="宋体" w:hAnsi="宋体" w:cs="宋体"/>
                <w:color w:val="000000" w:themeColor="text1"/>
                <w:sz w:val="24"/>
                <w:szCs w:val="24"/>
                <w:lang w:val="en-US"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章“</w:t>
            </w:r>
            <w:r>
              <w:rPr>
                <w:rFonts w:hint="eastAsia" w:ascii="宋体" w:hAnsi="宋体" w:cs="宋体"/>
                <w:color w:val="000000" w:themeColor="text1"/>
                <w:sz w:val="24"/>
                <w:szCs w:val="24"/>
                <w:lang w:val="en-US"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文件格式”的要求</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9" w:name="_Toc343511694"/>
            <w:r>
              <w:rPr>
                <w:rFonts w:hint="eastAsia" w:ascii="宋体" w:hAnsi="宋体" w:eastAsia="宋体" w:cs="宋体"/>
                <w:color w:val="000000" w:themeColor="text1"/>
                <w:sz w:val="24"/>
                <w:szCs w:val="24"/>
                <w14:textFill>
                  <w14:solidFill>
                    <w14:schemeClr w14:val="tx1"/>
                  </w14:solidFill>
                </w14:textFill>
              </w:rPr>
              <w:t>报价唯一</w:t>
            </w:r>
            <w:bookmarkEnd w:id="129"/>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0" w:name="_Toc343511695"/>
            <w:r>
              <w:rPr>
                <w:rFonts w:hint="eastAsia" w:ascii="宋体" w:hAnsi="宋体" w:eastAsia="宋体" w:cs="宋体"/>
                <w:color w:val="000000" w:themeColor="text1"/>
                <w:sz w:val="24"/>
                <w:szCs w:val="24"/>
                <w14:textFill>
                  <w14:solidFill>
                    <w14:schemeClr w14:val="tx1"/>
                  </w14:solidFill>
                </w14:textFill>
              </w:rPr>
              <w:t>只能有一个有效报价</w:t>
            </w:r>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10"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1" w:name="_Toc343511710"/>
            <w:r>
              <w:rPr>
                <w:rFonts w:hint="eastAsia" w:ascii="宋体" w:hAnsi="宋体" w:eastAsia="宋体" w:cs="宋体"/>
                <w:color w:val="000000" w:themeColor="text1"/>
                <w:sz w:val="24"/>
                <w:szCs w:val="24"/>
                <w14:textFill>
                  <w14:solidFill>
                    <w14:schemeClr w14:val="tx1"/>
                  </w14:solidFill>
                </w14:textFill>
              </w:rPr>
              <w:t>2.1.</w:t>
            </w:r>
            <w:bookmarkEnd w:id="131"/>
            <w:r>
              <w:rPr>
                <w:rFonts w:hint="eastAsia" w:ascii="宋体" w:hAnsi="宋体" w:eastAsia="宋体" w:cs="宋体"/>
                <w:color w:val="000000" w:themeColor="text1"/>
                <w:sz w:val="24"/>
                <w:szCs w:val="24"/>
                <w14:textFill>
                  <w14:solidFill>
                    <w14:schemeClr w14:val="tx1"/>
                  </w14:solidFill>
                </w14:textFill>
              </w:rPr>
              <w:t>2</w:t>
            </w:r>
          </w:p>
        </w:tc>
        <w:tc>
          <w:tcPr>
            <w:tcW w:w="772"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2" w:name="_Toc343511711"/>
            <w:r>
              <w:rPr>
                <w:rFonts w:hint="eastAsia" w:ascii="宋体" w:hAnsi="宋体" w:eastAsia="宋体" w:cs="宋体"/>
                <w:color w:val="000000" w:themeColor="text1"/>
                <w:sz w:val="24"/>
                <w:szCs w:val="24"/>
                <w14:textFill>
                  <w14:solidFill>
                    <w14:schemeClr w14:val="tx1"/>
                  </w14:solidFill>
                </w14:textFill>
              </w:rPr>
              <w:t>响应性</w:t>
            </w:r>
            <w:bookmarkEnd w:id="132"/>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3" w:name="_Toc343511712"/>
            <w:r>
              <w:rPr>
                <w:rFonts w:hint="eastAsia" w:ascii="宋体" w:hAnsi="宋体" w:eastAsia="宋体" w:cs="宋体"/>
                <w:color w:val="000000" w:themeColor="text1"/>
                <w:sz w:val="24"/>
                <w:szCs w:val="24"/>
                <w14:textFill>
                  <w14:solidFill>
                    <w14:schemeClr w14:val="tx1"/>
                  </w14:solidFill>
                </w14:textFill>
              </w:rPr>
              <w:t>评审</w:t>
            </w:r>
            <w:bookmarkEnd w:id="133"/>
            <w:bookmarkStart w:id="134" w:name="_Toc343511713"/>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w:t>
            </w:r>
            <w:bookmarkEnd w:id="134"/>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5" w:name="_Toc343511714"/>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报价</w:t>
            </w:r>
            <w:bookmarkEnd w:id="135"/>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6" w:name="_Toc343511715"/>
            <w:r>
              <w:rPr>
                <w:rFonts w:hint="eastAsia" w:ascii="宋体" w:hAnsi="宋体" w:eastAsia="宋体" w:cs="宋体"/>
                <w:color w:val="000000" w:themeColor="text1"/>
                <w:sz w:val="24"/>
                <w:szCs w:val="24"/>
                <w14:textFill>
                  <w14:solidFill>
                    <w14:schemeClr w14:val="tx1"/>
                  </w14:solidFill>
                </w14:textFill>
              </w:rPr>
              <w:t>符合第二章“供应商须知”第3.</w:t>
            </w: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项规定</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7" w:name="_Toc343511716"/>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内容</w:t>
            </w:r>
            <w:bookmarkEnd w:id="137"/>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8" w:name="_Toc343511717"/>
            <w:r>
              <w:rPr>
                <w:rFonts w:hint="eastAsia" w:ascii="宋体" w:hAnsi="宋体" w:eastAsia="宋体" w:cs="宋体"/>
                <w:color w:val="000000" w:themeColor="text1"/>
                <w:sz w:val="24"/>
                <w:szCs w:val="24"/>
                <w14:textFill>
                  <w14:solidFill>
                    <w14:schemeClr w14:val="tx1"/>
                  </w14:solidFill>
                </w14:textFill>
              </w:rPr>
              <w:t>符合第二章“供应商须知”第1.3.1项规定</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工期</w:t>
            </w:r>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9" w:name="_Toc343511721"/>
            <w:r>
              <w:rPr>
                <w:rFonts w:hint="eastAsia" w:ascii="宋体" w:hAnsi="宋体" w:eastAsia="宋体" w:cs="宋体"/>
                <w:color w:val="000000" w:themeColor="text1"/>
                <w:sz w:val="24"/>
                <w:szCs w:val="24"/>
                <w14:textFill>
                  <w14:solidFill>
                    <w14:schemeClr w14:val="tx1"/>
                  </w14:solidFill>
                </w14:textFill>
              </w:rPr>
              <w:t>符合第二章“供应商须知”第1.3.2项规定</w:t>
            </w:r>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质保期</w:t>
            </w:r>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符合第二章“供应商须知”第1.3.</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0" w:name="_Toc343511722"/>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有效期</w:t>
            </w:r>
            <w:bookmarkEnd w:id="140"/>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41" w:name="_Toc343511723"/>
            <w:r>
              <w:rPr>
                <w:rFonts w:hint="eastAsia" w:ascii="宋体" w:hAnsi="宋体" w:eastAsia="宋体" w:cs="宋体"/>
                <w:color w:val="000000" w:themeColor="text1"/>
                <w:sz w:val="24"/>
                <w:szCs w:val="24"/>
                <w14:textFill>
                  <w14:solidFill>
                    <w14:schemeClr w14:val="tx1"/>
                  </w14:solidFill>
                </w14:textFill>
              </w:rPr>
              <w:t>符合第二章“供应商须知”第3.3.1项规定</w:t>
            </w:r>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2" w:name="_Toc343511728"/>
            <w:r>
              <w:rPr>
                <w:rFonts w:hint="eastAsia" w:ascii="宋体" w:hAnsi="宋体" w:eastAsia="宋体" w:cs="宋体"/>
                <w:color w:val="000000" w:themeColor="text1"/>
                <w:sz w:val="24"/>
                <w:szCs w:val="24"/>
                <w14:textFill>
                  <w14:solidFill>
                    <w14:schemeClr w14:val="tx1"/>
                  </w14:solidFill>
                </w14:textFill>
              </w:rPr>
              <w:t>已标价工程量清单</w:t>
            </w:r>
            <w:bookmarkEnd w:id="142"/>
          </w:p>
        </w:tc>
        <w:tc>
          <w:tcPr>
            <w:tcW w:w="6439" w:type="dxa"/>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43" w:name="_Toc343511729"/>
            <w:r>
              <w:rPr>
                <w:rFonts w:hint="eastAsia" w:ascii="宋体" w:hAnsi="宋体" w:eastAsia="宋体" w:cs="宋体"/>
                <w:color w:val="000000" w:themeColor="text1"/>
                <w:sz w:val="24"/>
                <w:szCs w:val="24"/>
                <w14:textFill>
                  <w14:solidFill>
                    <w14:schemeClr w14:val="tx1"/>
                  </w14:solidFill>
                </w14:textFill>
              </w:rPr>
              <w:t>符合第五章“采购内容和技术要求”给出的子目编码、子目名称、子目特征、计量单位和工程量。</w:t>
            </w:r>
            <w:bookmarkEnd w:id="1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有效</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价格</w:t>
            </w:r>
          </w:p>
        </w:tc>
        <w:tc>
          <w:tcPr>
            <w:tcW w:w="6439" w:type="dxa"/>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小于（含等于）本工程</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最高限价（采购预算）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4" w:name="_Toc343511732"/>
            <w:r>
              <w:rPr>
                <w:rFonts w:hint="eastAsia" w:ascii="宋体" w:hAnsi="宋体" w:eastAsia="宋体" w:cs="宋体"/>
                <w:b/>
                <w:color w:val="000000" w:themeColor="text1"/>
                <w:sz w:val="24"/>
                <w:szCs w:val="24"/>
                <w14:textFill>
                  <w14:solidFill>
                    <w14:schemeClr w14:val="tx1"/>
                  </w14:solidFill>
                </w14:textFill>
              </w:rPr>
              <w:t>条款号</w:t>
            </w:r>
            <w:bookmarkEnd w:id="144"/>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5" w:name="_Toc343511733"/>
            <w:r>
              <w:rPr>
                <w:rFonts w:hint="eastAsia" w:ascii="宋体" w:hAnsi="宋体" w:eastAsia="宋体" w:cs="宋体"/>
                <w:b/>
                <w:color w:val="000000" w:themeColor="text1"/>
                <w:sz w:val="24"/>
                <w:szCs w:val="24"/>
                <w14:textFill>
                  <w14:solidFill>
                    <w14:schemeClr w14:val="tx1"/>
                  </w14:solidFill>
                </w14:textFill>
              </w:rPr>
              <w:t>条款内容</w:t>
            </w:r>
            <w:bookmarkEnd w:id="145"/>
          </w:p>
        </w:tc>
        <w:tc>
          <w:tcPr>
            <w:tcW w:w="6439"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6" w:name="_Toc343511734"/>
            <w:r>
              <w:rPr>
                <w:rFonts w:hint="eastAsia" w:ascii="宋体" w:hAnsi="宋体" w:eastAsia="宋体" w:cs="宋体"/>
                <w:b/>
                <w:color w:val="000000" w:themeColor="text1"/>
                <w:sz w:val="24"/>
                <w:szCs w:val="24"/>
                <w14:textFill>
                  <w14:solidFill>
                    <w14:schemeClr w14:val="tx1"/>
                  </w14:solidFill>
                </w14:textFill>
              </w:rPr>
              <w:t>编列内容</w:t>
            </w:r>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7" w:name="_Toc343511735"/>
            <w:r>
              <w:rPr>
                <w:rFonts w:hint="eastAsia" w:ascii="宋体" w:hAnsi="宋体" w:eastAsia="宋体" w:cs="宋体"/>
                <w:color w:val="000000" w:themeColor="text1"/>
                <w:sz w:val="24"/>
                <w:szCs w:val="24"/>
                <w14:textFill>
                  <w14:solidFill>
                    <w14:schemeClr w14:val="tx1"/>
                  </w14:solidFill>
                </w14:textFill>
              </w:rPr>
              <w:t>2.2.1</w:t>
            </w:r>
            <w:bookmarkEnd w:id="147"/>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8" w:name="_Toc343511736"/>
            <w:r>
              <w:rPr>
                <w:rFonts w:hint="eastAsia" w:ascii="宋体" w:hAnsi="宋体" w:eastAsia="宋体" w:cs="宋体"/>
                <w:color w:val="000000" w:themeColor="text1"/>
                <w:sz w:val="24"/>
                <w:szCs w:val="24"/>
                <w14:textFill>
                  <w14:solidFill>
                    <w14:schemeClr w14:val="tx1"/>
                  </w14:solidFill>
                </w14:textFill>
              </w:rPr>
              <w:t>分值构成</w:t>
            </w:r>
            <w:bookmarkEnd w:id="148"/>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9" w:name="_Toc343511737"/>
            <w:r>
              <w:rPr>
                <w:rFonts w:hint="eastAsia" w:ascii="宋体" w:hAnsi="宋体" w:eastAsia="宋体" w:cs="宋体"/>
                <w:color w:val="000000" w:themeColor="text1"/>
                <w:sz w:val="24"/>
                <w:szCs w:val="24"/>
                <w14:textFill>
                  <w14:solidFill>
                    <w14:schemeClr w14:val="tx1"/>
                  </w14:solidFill>
                </w14:textFill>
              </w:rPr>
              <w:t>(总分100分)</w:t>
            </w:r>
            <w:bookmarkEnd w:id="149"/>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50" w:name="_Toc343511738"/>
            <w:r>
              <w:rPr>
                <w:rFonts w:hint="eastAsia" w:ascii="宋体" w:hAnsi="宋体" w:eastAsia="宋体" w:cs="宋体"/>
                <w:color w:val="000000" w:themeColor="text1"/>
                <w:sz w:val="24"/>
                <w:szCs w:val="24"/>
                <w14:textFill>
                  <w14:solidFill>
                    <w14:schemeClr w14:val="tx1"/>
                  </w14:solidFill>
                </w14:textFill>
              </w:rPr>
              <w:t>技术</w:t>
            </w:r>
            <w:r>
              <w:rPr>
                <w:rFonts w:hint="eastAsia" w:ascii="宋体" w:hAnsi="宋体" w:eastAsia="宋体" w:cs="宋体"/>
                <w:color w:val="000000" w:themeColor="text1"/>
                <w:sz w:val="24"/>
                <w:szCs w:val="24"/>
                <w:lang w:eastAsia="zh-CN"/>
                <w14:textFill>
                  <w14:solidFill>
                    <w14:schemeClr w14:val="tx1"/>
                  </w14:solidFill>
                </w14:textFill>
              </w:rPr>
              <w:t>部分</w:t>
            </w:r>
            <w:r>
              <w:rPr>
                <w:rFonts w:hint="eastAsia" w:ascii="宋体" w:hAnsi="宋体" w:eastAsia="宋体" w:cs="宋体"/>
                <w:color w:val="000000" w:themeColor="text1"/>
                <w:sz w:val="24"/>
                <w:szCs w:val="24"/>
                <w14:textFill>
                  <w14:solidFill>
                    <w14:schemeClr w14:val="tx1"/>
                  </w14:solidFill>
                </w14:textFill>
              </w:rPr>
              <w:t>：</w:t>
            </w:r>
            <w:bookmarkEnd w:id="150"/>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0分（施工组织设计）</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51" w:name="_Toc343511739"/>
            <w:r>
              <w:rPr>
                <w:rFonts w:hint="eastAsia" w:ascii="宋体" w:hAnsi="宋体" w:eastAsia="宋体" w:cs="宋体"/>
                <w:color w:val="000000" w:themeColor="text1"/>
                <w:sz w:val="24"/>
                <w:szCs w:val="24"/>
                <w14:textFill>
                  <w14:solidFill>
                    <w14:schemeClr w14:val="tx1"/>
                  </w14:solidFill>
                </w14:textFill>
              </w:rPr>
              <w:t>商务</w:t>
            </w:r>
            <w:r>
              <w:rPr>
                <w:rFonts w:hint="eastAsia" w:ascii="宋体" w:hAnsi="宋体" w:eastAsia="宋体" w:cs="宋体"/>
                <w:color w:val="000000" w:themeColor="text1"/>
                <w:sz w:val="24"/>
                <w:szCs w:val="24"/>
                <w:lang w:eastAsia="zh-CN"/>
                <w14:textFill>
                  <w14:solidFill>
                    <w14:schemeClr w14:val="tx1"/>
                  </w14:solidFill>
                </w14:textFill>
              </w:rPr>
              <w:t>部分</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0分</w:t>
            </w:r>
            <w:bookmarkEnd w:id="151"/>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2" w:name="_Toc343511740"/>
            <w:r>
              <w:rPr>
                <w:rFonts w:hint="eastAsia" w:ascii="宋体" w:hAnsi="宋体" w:eastAsia="宋体" w:cs="宋体"/>
                <w:color w:val="000000" w:themeColor="text1"/>
                <w:sz w:val="24"/>
                <w:szCs w:val="24"/>
                <w14:textFill>
                  <w14:solidFill>
                    <w14:schemeClr w14:val="tx1"/>
                  </w14:solidFill>
                </w14:textFill>
              </w:rPr>
              <w:t>2.2.2</w:t>
            </w:r>
            <w:bookmarkEnd w:id="152"/>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3" w:name="_Toc343511741"/>
            <w:r>
              <w:rPr>
                <w:rFonts w:hint="eastAsia" w:ascii="宋体" w:hAnsi="宋体" w:eastAsia="宋体" w:cs="宋体"/>
                <w:color w:val="000000" w:themeColor="text1"/>
                <w:sz w:val="24"/>
                <w:szCs w:val="24"/>
                <w14:textFill>
                  <w14:solidFill>
                    <w14:schemeClr w14:val="tx1"/>
                  </w14:solidFill>
                </w14:textFill>
              </w:rPr>
              <w:t>评标方法</w:t>
            </w:r>
            <w:bookmarkEnd w:id="153"/>
          </w:p>
        </w:tc>
        <w:tc>
          <w:tcPr>
            <w:tcW w:w="643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4" w:name="_Toc343511742"/>
            <w:r>
              <w:rPr>
                <w:rFonts w:hint="eastAsia" w:ascii="宋体" w:hAnsi="宋体" w:eastAsia="宋体" w:cs="宋体"/>
                <w:color w:val="000000" w:themeColor="text1"/>
                <w:sz w:val="24"/>
                <w:szCs w:val="24"/>
                <w14:textFill>
                  <w14:solidFill>
                    <w14:schemeClr w14:val="tx1"/>
                  </w14:solidFill>
                </w14:textFill>
              </w:rPr>
              <w:t>详细评审</w:t>
            </w:r>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2.2.3</w:t>
            </w:r>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w:t>
            </w:r>
            <w:r>
              <w:rPr>
                <w:rFonts w:hint="eastAsia" w:ascii="宋体" w:hAnsi="宋体" w:eastAsia="宋体" w:cs="宋体"/>
                <w:b/>
                <w:color w:val="000000" w:themeColor="text1"/>
                <w:sz w:val="21"/>
                <w:szCs w:val="21"/>
                <w:lang w:eastAsia="zh-CN"/>
                <w14:textFill>
                  <w14:solidFill>
                    <w14:schemeClr w14:val="tx1"/>
                  </w14:solidFill>
                </w14:textFill>
              </w:rPr>
              <w:t>部分</w:t>
            </w:r>
            <w:r>
              <w:rPr>
                <w:rFonts w:hint="eastAsia" w:ascii="宋体" w:hAnsi="宋体" w:eastAsia="宋体" w:cs="宋体"/>
                <w:b/>
                <w:color w:val="000000" w:themeColor="text1"/>
                <w:sz w:val="21"/>
                <w:szCs w:val="21"/>
                <w14:textFill>
                  <w14:solidFill>
                    <w14:schemeClr w14:val="tx1"/>
                  </w14:solidFill>
                </w14:textFill>
              </w:rPr>
              <w:t>评分因素</w:t>
            </w:r>
          </w:p>
        </w:tc>
        <w:tc>
          <w:tcPr>
            <w:tcW w:w="6439" w:type="dxa"/>
            <w:vAlign w:val="center"/>
          </w:tcPr>
          <w:p>
            <w:pPr>
              <w:spacing w:line="360" w:lineRule="auto"/>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评分标准（满分</w:t>
            </w:r>
            <w:r>
              <w:rPr>
                <w:rFonts w:hint="eastAsia" w:ascii="宋体" w:hAnsi="宋体" w:eastAsia="宋体" w:cs="宋体"/>
                <w:b/>
                <w:color w:val="000000" w:themeColor="text1"/>
                <w:sz w:val="21"/>
                <w:szCs w:val="21"/>
                <w:lang w:val="en-US" w:eastAsia="zh-CN"/>
                <w14:textFill>
                  <w14:solidFill>
                    <w14:schemeClr w14:val="tx1"/>
                  </w14:solidFill>
                </w14:textFill>
              </w:rPr>
              <w:t>5</w:t>
            </w:r>
            <w:r>
              <w:rPr>
                <w:rFonts w:hint="eastAsia" w:ascii="宋体" w:hAnsi="宋体" w:eastAsia="宋体" w:cs="宋体"/>
                <w:b/>
                <w:color w:val="000000" w:themeColor="text1"/>
                <w:sz w:val="21"/>
                <w:szCs w:val="21"/>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5" w:name="_Hlk521924147"/>
            <w:r>
              <w:rPr>
                <w:rFonts w:hint="eastAsia" w:ascii="宋体" w:hAnsi="宋体" w:eastAsia="宋体" w:cs="宋体"/>
                <w:color w:val="000000" w:themeColor="text1"/>
                <w:sz w:val="24"/>
                <w:szCs w:val="24"/>
                <w14:textFill>
                  <w14:solidFill>
                    <w14:schemeClr w14:val="tx1"/>
                  </w14:solidFill>
                </w14:textFill>
              </w:rPr>
              <w:t>施工组织设计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0分）</w:t>
            </w:r>
          </w:p>
        </w:tc>
        <w:tc>
          <w:tcPr>
            <w:tcW w:w="2286" w:type="dxa"/>
            <w:vAlign w:val="center"/>
          </w:tcPr>
          <w:p>
            <w:pPr>
              <w:overflowPunct w:val="0"/>
              <w:topLinePunct/>
              <w:autoSpaceDE w:val="0"/>
              <w:adjustRightInd w:val="0"/>
              <w:spacing w:line="360" w:lineRule="auto"/>
              <w:jc w:val="center"/>
              <w:rPr>
                <w:rFonts w:hint="eastAsia" w:eastAsia="宋体"/>
                <w:lang w:eastAsia="zh-CN"/>
              </w:rPr>
            </w:pPr>
            <w:r>
              <w:rPr>
                <w:rFonts w:hint="eastAsia" w:ascii="宋体" w:hAnsi="宋体" w:eastAsia="宋体" w:cs="宋体"/>
                <w:color w:val="000000" w:themeColor="text1"/>
                <w:sz w:val="24"/>
                <w:szCs w:val="24"/>
                <w14:textFill>
                  <w14:solidFill>
                    <w14:schemeClr w14:val="tx1"/>
                  </w14:solidFill>
                </w14:textFill>
              </w:rPr>
              <w:t>确保工程质量的技术组织措施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5分</w:t>
            </w:r>
            <w:r>
              <w:rPr>
                <w:rFonts w:hint="eastAsia" w:ascii="宋体" w:hAnsi="宋体" w:eastAsia="宋体" w:cs="宋体"/>
                <w:color w:val="000000" w:themeColor="text1"/>
                <w:sz w:val="24"/>
                <w:szCs w:val="24"/>
                <w:lang w:eastAsia="zh-CN"/>
                <w14:textFill>
                  <w14:solidFill>
                    <w14:schemeClr w14:val="tx1"/>
                  </w14:solidFill>
                </w14:textFill>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确保安全生产的技术组织措施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确保文明施工的技术组织措施及环境保护措施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确保工期的技术组织措施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施工方案和项目经理部组成人员</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项目管理机构设置合理，拟派驻本项目的项目组成员（项目经理、质量、安全、施工、造价、材料员）齐全。</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施工机械配备和材料投入计划</w:t>
            </w:r>
          </w:p>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eastAsia="宋体"/>
                <w:lang w:eastAsia="zh-CN"/>
              </w:rPr>
            </w:pPr>
            <w:r>
              <w:rPr>
                <w:rFonts w:hint="eastAsia" w:ascii="宋体" w:hAnsi="宋体" w:eastAsia="宋体" w:cs="宋体"/>
                <w:color w:val="000000" w:themeColor="text1"/>
                <w:sz w:val="24"/>
                <w:szCs w:val="24"/>
                <w14:textFill>
                  <w14:solidFill>
                    <w14:schemeClr w14:val="tx1"/>
                  </w14:solidFill>
                </w14:textFill>
              </w:rPr>
              <w:t>施工所用材料的质量保证、参考用材品牌表</w:t>
            </w: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施工进度表或施工网络图</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劳动力安排计划及劳务分包情况表</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施工总平面布置图</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r>
              <w:rPr>
                <w:rFonts w:hint="eastAsia" w:ascii="宋体" w:hAnsi="宋体" w:eastAsia="宋体" w:cs="宋体"/>
                <w:color w:val="000000" w:themeColor="text1"/>
                <w:sz w:val="24"/>
                <w:szCs w:val="24"/>
                <w14:textFill>
                  <w14:solidFill>
                    <w14:schemeClr w14:val="tx1"/>
                  </w14:solidFill>
                </w14:textFill>
              </w:rPr>
              <w:t>此项缺失，</w:t>
            </w:r>
            <w:r>
              <w:rPr>
                <w:rFonts w:hint="eastAsia" w:ascii="宋体" w:hAnsi="宋体" w:cs="宋体"/>
                <w:color w:val="000000" w:themeColor="text1"/>
                <w:sz w:val="24"/>
                <w:szCs w:val="24"/>
                <w:lang w:eastAsia="zh-CN"/>
                <w14:textFill>
                  <w14:solidFill>
                    <w14:schemeClr w14:val="tx1"/>
                  </w14:solidFill>
                </w14:textFill>
              </w:rPr>
              <w:t>得零分。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新技术、新产品、新工艺、新材料应用</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5分，良好3分，一般2分，</w:t>
            </w:r>
            <w:r>
              <w:rPr>
                <w:rFonts w:hint="eastAsia" w:ascii="宋体" w:hAnsi="宋体" w:eastAsia="宋体" w:cs="宋体"/>
                <w:color w:val="000000" w:themeColor="text1"/>
                <w:sz w:val="24"/>
                <w:szCs w:val="24"/>
                <w14:textFill>
                  <w14:solidFill>
                    <w14:schemeClr w14:val="tx1"/>
                  </w14:solidFill>
                </w14:textFill>
              </w:rPr>
              <w:t>此项缺失，</w:t>
            </w:r>
            <w:r>
              <w:rPr>
                <w:rFonts w:hint="eastAsia" w:ascii="宋体" w:hAnsi="宋体" w:cs="宋体"/>
                <w:color w:val="000000" w:themeColor="text1"/>
                <w:sz w:val="24"/>
                <w:szCs w:val="24"/>
                <w:lang w:eastAsia="zh-CN"/>
                <w14:textFill>
                  <w14:solidFill>
                    <w14:schemeClr w14:val="tx1"/>
                  </w14:solidFill>
                </w14:textFill>
              </w:rPr>
              <w:t>得零分。</w:t>
            </w:r>
          </w:p>
        </w:tc>
      </w:tr>
      <w:bookmark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2.2.4</w:t>
            </w:r>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商务</w:t>
            </w:r>
            <w:r>
              <w:rPr>
                <w:rFonts w:hint="eastAsia" w:ascii="宋体" w:hAnsi="宋体" w:eastAsia="宋体" w:cs="宋体"/>
                <w:b/>
                <w:color w:val="000000" w:themeColor="text1"/>
                <w:sz w:val="24"/>
                <w:szCs w:val="24"/>
                <w:lang w:eastAsia="zh-CN"/>
                <w14:textFill>
                  <w14:solidFill>
                    <w14:schemeClr w14:val="tx1"/>
                  </w14:solidFill>
                </w14:textFill>
              </w:rPr>
              <w:t>部分</w:t>
            </w:r>
            <w:r>
              <w:rPr>
                <w:rFonts w:hint="eastAsia" w:ascii="宋体" w:hAnsi="宋体" w:eastAsia="宋体" w:cs="宋体"/>
                <w:b/>
                <w:color w:val="000000" w:themeColor="text1"/>
                <w:sz w:val="24"/>
                <w:szCs w:val="24"/>
                <w14:textFill>
                  <w14:solidFill>
                    <w14:schemeClr w14:val="tx1"/>
                  </w14:solidFill>
                </w14:textFill>
              </w:rPr>
              <w:t>评分因素</w:t>
            </w:r>
          </w:p>
        </w:tc>
        <w:tc>
          <w:tcPr>
            <w:tcW w:w="6439" w:type="dxa"/>
            <w:vAlign w:val="center"/>
          </w:tcPr>
          <w:p>
            <w:pPr>
              <w:spacing w:line="360" w:lineRule="auto"/>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评分标准（满分</w:t>
            </w:r>
            <w:r>
              <w:rPr>
                <w:rFonts w:hint="eastAsia" w:ascii="宋体" w:hAnsi="宋体" w:eastAsia="宋体" w:cs="宋体"/>
                <w:b/>
                <w:color w:val="000000" w:themeColor="text1"/>
                <w:sz w:val="24"/>
                <w:szCs w:val="24"/>
                <w:lang w:val="en-US" w:eastAsia="zh-CN"/>
                <w14:textFill>
                  <w14:solidFill>
                    <w14:schemeClr w14:val="tx1"/>
                  </w14:solidFill>
                </w14:textFill>
              </w:rPr>
              <w:t>2</w:t>
            </w:r>
            <w:r>
              <w:rPr>
                <w:rFonts w:hint="eastAsia" w:ascii="宋体" w:hAnsi="宋体" w:eastAsia="宋体" w:cs="宋体"/>
                <w:b/>
                <w:color w:val="000000" w:themeColor="text1"/>
                <w:sz w:val="24"/>
                <w:szCs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lang w:eastAsia="zh-CN"/>
                <w14:textFill>
                  <w14:solidFill>
                    <w14:schemeClr w14:val="tx1"/>
                  </w14:solidFill>
                </w14:textFill>
              </w:rPr>
              <w:t>部分</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w:t>
            </w: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同类业绩</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sz w:val="24"/>
                <w:szCs w:val="24"/>
                <w:lang w:val="en-US" w:eastAsia="zh-CN"/>
              </w:rPr>
              <w:t>投标人提供2020年1月1日及以后具有类似项目的业绩，响应文件中附有说明其业绩证明材料（以合同或中标通知书为准），每个业绩计1分，最高</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分</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工程质量承诺</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质量保修承诺完整、合理</w:t>
            </w:r>
            <w:r>
              <w:rPr>
                <w:rFonts w:hint="eastAsia" w:ascii="宋体" w:hAnsi="宋体" w:eastAsia="宋体" w:cs="宋体"/>
                <w:color w:val="000000" w:themeColor="text1"/>
                <w:sz w:val="24"/>
                <w:szCs w:val="24"/>
                <w:lang w:eastAsia="zh-CN"/>
                <w14:textFill>
                  <w14:solidFill>
                    <w14:schemeClr w14:val="tx1"/>
                  </w14:solidFill>
                </w14:textFill>
              </w:rPr>
              <w:t>，进行</w:t>
            </w:r>
            <w:r>
              <w:rPr>
                <w:rFonts w:hint="eastAsia" w:ascii="宋体" w:hAnsi="宋体" w:eastAsia="宋体" w:cs="宋体"/>
                <w:color w:val="000000" w:themeColor="text1"/>
                <w:sz w:val="24"/>
                <w:szCs w:val="24"/>
                <w14:textFill>
                  <w14:solidFill>
                    <w14:schemeClr w14:val="tx1"/>
                  </w14:solidFill>
                </w14:textFill>
              </w:rPr>
              <w:t>综合评审</w:t>
            </w:r>
            <w:r>
              <w:rPr>
                <w:rFonts w:hint="eastAsia" w:ascii="宋体" w:hAnsi="宋体" w:eastAsia="宋体" w:cs="宋体"/>
                <w:color w:val="000000" w:themeColor="text1"/>
                <w:sz w:val="24"/>
                <w:szCs w:val="24"/>
                <w:lang w:eastAsia="zh-CN"/>
                <w14:textFill>
                  <w14:solidFill>
                    <w14:schemeClr w14:val="tx1"/>
                  </w14:solidFill>
                </w14:textFill>
              </w:rPr>
              <w:t>，承诺全面合理，符合采购人实际</w:t>
            </w:r>
            <w:r>
              <w:rPr>
                <w:rFonts w:hint="eastAsia" w:ascii="宋体" w:hAnsi="宋体" w:cs="宋体"/>
                <w:color w:val="000000" w:themeColor="text1"/>
                <w:sz w:val="24"/>
                <w:szCs w:val="24"/>
                <w:lang w:eastAsia="zh-CN"/>
                <w14:textFill>
                  <w14:solidFill>
                    <w14:schemeClr w14:val="tx1"/>
                  </w14:solidFill>
                </w14:textFill>
              </w:rPr>
              <w:t>需</w:t>
            </w:r>
            <w:r>
              <w:rPr>
                <w:rFonts w:hint="eastAsia" w:ascii="宋体" w:hAnsi="宋体" w:eastAsia="宋体" w:cs="宋体"/>
                <w:color w:val="000000" w:themeColor="text1"/>
                <w:sz w:val="24"/>
                <w:szCs w:val="24"/>
                <w:lang w:eastAsia="zh-CN"/>
                <w14:textFill>
                  <w14:solidFill>
                    <w14:schemeClr w14:val="tx1"/>
                  </w14:solidFill>
                </w14:textFill>
              </w:rPr>
              <w:t>求</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7-10</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承诺完整，实际操作性不强</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4-6</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承诺</w:t>
            </w:r>
            <w:r>
              <w:rPr>
                <w:rFonts w:hint="eastAsia" w:ascii="宋体" w:hAnsi="宋体" w:eastAsia="宋体" w:cs="宋体"/>
                <w:color w:val="000000" w:themeColor="text1"/>
                <w:sz w:val="24"/>
                <w:szCs w:val="24"/>
                <w14:textFill>
                  <w14:solidFill>
                    <w14:schemeClr w14:val="tx1"/>
                  </w14:solidFill>
                </w14:textFill>
              </w:rPr>
              <w:t>一般</w:t>
            </w:r>
            <w:r>
              <w:rPr>
                <w:rFonts w:hint="eastAsia" w:ascii="宋体" w:hAnsi="宋体" w:eastAsia="宋体" w:cs="宋体"/>
                <w:color w:val="000000" w:themeColor="text1"/>
                <w:sz w:val="24"/>
                <w:szCs w:val="24"/>
                <w:lang w:eastAsia="zh-CN"/>
                <w14:textFill>
                  <w14:solidFill>
                    <w14:schemeClr w14:val="tx1"/>
                  </w14:solidFill>
                </w14:textFill>
              </w:rPr>
              <w:t>，简单</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0-3</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后续服务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后续服务条款具体、可行；并有详细的后续服务措施承诺且具体、可行</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2.2.5</w:t>
            </w:r>
          </w:p>
        </w:tc>
        <w:tc>
          <w:tcPr>
            <w:tcW w:w="2286"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lang w:eastAsia="zh-CN"/>
                <w14:textFill>
                  <w14:solidFill>
                    <w14:schemeClr w14:val="tx1"/>
                  </w14:solidFill>
                </w14:textFill>
              </w:rPr>
              <w:t>报价评分因素</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评分标准（满分</w:t>
            </w:r>
            <w:r>
              <w:rPr>
                <w:rFonts w:hint="eastAsia" w:ascii="宋体" w:hAnsi="宋体" w:eastAsia="宋体" w:cs="宋体"/>
                <w:color w:val="000000" w:themeColor="text1"/>
                <w:sz w:val="24"/>
                <w:szCs w:val="24"/>
                <w:lang w:val="en-US" w:eastAsia="zh-CN"/>
                <w14:textFill>
                  <w14:solidFill>
                    <w14:schemeClr w14:val="tx1"/>
                  </w14:solidFill>
                </w14:textFill>
              </w:rPr>
              <w:t>30分</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kern w:val="0"/>
                <w:sz w:val="24"/>
                <w:szCs w:val="24"/>
                <w:lang w:val="en-US" w:eastAsia="zh-CN"/>
              </w:rPr>
              <w:t>磋商</w:t>
            </w:r>
            <w:r>
              <w:rPr>
                <w:rFonts w:hint="eastAsia" w:ascii="宋体" w:hAnsi="宋体" w:eastAsia="宋体" w:cs="宋体"/>
                <w:color w:val="auto"/>
                <w:kern w:val="0"/>
                <w:sz w:val="24"/>
                <w:szCs w:val="24"/>
              </w:rPr>
              <w:t>报价</w:t>
            </w:r>
          </w:p>
        </w:tc>
        <w:tc>
          <w:tcPr>
            <w:tcW w:w="2286"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0分</w:t>
            </w:r>
          </w:p>
        </w:tc>
        <w:tc>
          <w:tcPr>
            <w:tcW w:w="6439" w:type="dxa"/>
            <w:vAlign w:val="top"/>
          </w:tcPr>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1、本次磋商设最高投标限价。供应商的磋商报价超过最高投标限价的视为废标，不再参与下一步评审。</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2、未超出财政预算，实质性满足磋商文件要求且最后报价最低的报价为磋商基准价，其价格分为满分</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0分。其它供应商的价格分统一按照下列公式计算：磋商报价得分=（磋商基准价/最后磋商报价）×价格分值×100%</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、磋商报价不完整的，不进入评标基准价的计算，本项得0分。</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eastAsia="zh-CN"/>
              </w:rPr>
              <w:t>、磋商小组三分之二以上成员认为某磋商报价有低于成本价嫌疑的，有可能影响产品质量或者不能诚信履约的，应当要求其在评标现场合理的时间内提供书面说明，必要时提交相关证明材料;供应商不能证明其报价合理性的，磋商小组应当将其作为无效磋商处理。</w:t>
            </w:r>
          </w:p>
        </w:tc>
      </w:tr>
    </w:tbl>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旦八镇初级中学等8所学校足球场人造草坪维修改造工程</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文件，由</w:t>
      </w:r>
      <w:r>
        <w:rPr>
          <w:rFonts w:hint="eastAsia" w:ascii="宋体" w:hAnsi="宋体" w:cs="宋体"/>
          <w:color w:val="000000" w:themeColor="text1"/>
          <w:sz w:val="28"/>
          <w:szCs w:val="28"/>
          <w:lang w:eastAsia="zh-CN"/>
          <w14:textFill>
            <w14:solidFill>
              <w14:schemeClr w14:val="tx1"/>
            </w14:solidFill>
          </w14:textFill>
        </w:rPr>
        <w:t>陕西宸永项目管理有限公司</w:t>
      </w:r>
      <w:r>
        <w:rPr>
          <w:rFonts w:hint="eastAsia" w:ascii="宋体" w:hAnsi="宋体" w:eastAsia="宋体" w:cs="宋体"/>
          <w:color w:val="000000" w:themeColor="text1"/>
          <w:sz w:val="28"/>
          <w:szCs w:val="28"/>
          <w14:textFill>
            <w14:solidFill>
              <w14:schemeClr w14:val="tx1"/>
            </w14:solidFill>
          </w14:textFill>
        </w:rPr>
        <w:t>根据采购人提出的采购要求和商务要求编制，经</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color w:val="000000" w:themeColor="text1"/>
          <w:sz w:val="28"/>
          <w:szCs w:val="28"/>
          <w14:textFill>
            <w14:solidFill>
              <w14:schemeClr w14:val="tx1"/>
            </w14:solidFill>
          </w14:textFill>
        </w:rPr>
        <w:t>审定、备案后发售。</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6" w:name="_Toc22424"/>
      <w:bookmarkStart w:id="157" w:name="_Toc526842695"/>
      <w:r>
        <w:rPr>
          <w:rFonts w:hint="eastAsia" w:ascii="宋体" w:hAnsi="宋体" w:eastAsia="宋体" w:cs="宋体"/>
          <w:color w:val="000000" w:themeColor="text1"/>
          <w:sz w:val="28"/>
          <w:szCs w:val="28"/>
          <w14:textFill>
            <w14:solidFill>
              <w14:schemeClr w14:val="tx1"/>
            </w14:solidFill>
          </w14:textFill>
        </w:rPr>
        <w:t>1. 评标方法</w:t>
      </w:r>
      <w:bookmarkEnd w:id="156"/>
      <w:bookmarkEnd w:id="157"/>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1.1评标原则</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（1）公平、公正、科学、择优；</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合理、方案可行；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（3）价格合理,且不低于成本价；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（4）禁止不正当竞争。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 本次评标采用综合评分法。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按照《中华人民共和国招标投标法》的规定，本次评标采用“综合评估法”，即在最大限度地满足</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文件实质性要求前提下，按照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文件中规定的各项因素和相应的权重分值进行综合评审后，以总得分最高的投标人作为中标候选人并依次排序。</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磋商小组对满足磋商文件实质性要求的磋商响应文件，按照本章第2.2款规定的评分标准进行打分。磋商小组对供应商在磋商响应文件中提出的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、质量、投标价格等能否最大限度地满足磋商文件的要求进行评审、赋分，向采购人推荐</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名成交候选供应商，标明排列顺序，综合得分最高者为第一成交候选供应商。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1.3在评标过程中，供应商对采购人和磋商小组施加影响的任何行为，都将导致其投标资格被取消。</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8" w:name="_Toc526842696"/>
      <w:bookmarkStart w:id="159" w:name="_Toc24205"/>
      <w:r>
        <w:rPr>
          <w:rFonts w:hint="eastAsia" w:ascii="宋体" w:hAnsi="宋体" w:eastAsia="宋体" w:cs="宋体"/>
          <w:color w:val="000000" w:themeColor="text1"/>
          <w:sz w:val="28"/>
          <w:szCs w:val="28"/>
          <w14:textFill>
            <w14:solidFill>
              <w14:schemeClr w14:val="tx1"/>
            </w14:solidFill>
          </w14:textFill>
        </w:rPr>
        <w:t>2. 评审标准</w:t>
      </w:r>
      <w:bookmarkEnd w:id="158"/>
      <w:bookmarkEnd w:id="159"/>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0" w:name="_Toc8321"/>
      <w:bookmarkStart w:id="161" w:name="_Toc526842697"/>
      <w:r>
        <w:rPr>
          <w:rFonts w:hint="eastAsia" w:ascii="宋体" w:hAnsi="宋体" w:eastAsia="宋体" w:cs="宋体"/>
          <w:color w:val="000000" w:themeColor="text1"/>
          <w:sz w:val="28"/>
          <w:szCs w:val="28"/>
          <w14:textFill>
            <w14:solidFill>
              <w14:schemeClr w14:val="tx1"/>
            </w14:solidFill>
          </w14:textFill>
        </w:rPr>
        <w:t>2.1 初步评审标准</w:t>
      </w:r>
      <w:bookmarkEnd w:id="160"/>
      <w:bookmarkEnd w:id="161"/>
    </w:p>
    <w:p>
      <w:pPr>
        <w:wordWrap/>
        <w:overflowPunct/>
        <w:topLinePunct w:val="0"/>
        <w:bidi w:val="0"/>
        <w:spacing w:line="360" w:lineRule="auto"/>
        <w:ind w:firstLine="560" w:firstLineChars="200"/>
        <w:rPr>
          <w:rFonts w:hint="eastAsia" w:ascii="宋体" w:hAnsi="宋体" w:eastAsia="宋体" w:cs="宋体"/>
          <w:color w:val="000000"/>
          <w:sz w:val="28"/>
          <w:szCs w:val="28"/>
        </w:rPr>
      </w:pPr>
      <w:bookmarkStart w:id="162" w:name="_Toc526842698"/>
      <w:bookmarkStart w:id="163" w:name="_Toc526842699"/>
      <w:r>
        <w:rPr>
          <w:rFonts w:hint="eastAsia" w:ascii="宋体" w:hAnsi="宋体" w:eastAsia="宋体" w:cs="宋体"/>
          <w:color w:val="000000"/>
          <w:sz w:val="28"/>
          <w:szCs w:val="28"/>
        </w:rPr>
        <w:t>2.1.1形式评审标准：见评标办法前附表。</w:t>
      </w:r>
    </w:p>
    <w:p>
      <w:pPr>
        <w:pStyle w:val="4"/>
        <w:ind w:firstLine="560" w:firstLineChars="200"/>
        <w:rPr>
          <w:rFonts w:hint="eastAsia" w:ascii="宋体" w:hAnsi="宋体" w:eastAsia="宋体" w:cs="宋体"/>
          <w:b w:val="0"/>
          <w:bCs/>
          <w:color w:val="000000"/>
          <w:sz w:val="28"/>
          <w:szCs w:val="28"/>
        </w:rPr>
      </w:pPr>
      <w:bookmarkStart w:id="164" w:name="_Toc3038"/>
      <w:r>
        <w:rPr>
          <w:rFonts w:hint="eastAsia" w:ascii="宋体" w:hAnsi="宋体" w:eastAsia="宋体" w:cs="宋体"/>
          <w:b w:val="0"/>
          <w:bCs/>
          <w:color w:val="000000"/>
          <w:sz w:val="28"/>
          <w:szCs w:val="28"/>
        </w:rPr>
        <w:t>2.1.2响应性评审标准：见评标办法前附表。</w:t>
      </w:r>
      <w:bookmarkEnd w:id="164"/>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5" w:name="_Toc21767"/>
      <w:r>
        <w:rPr>
          <w:rFonts w:hint="eastAsia" w:ascii="宋体" w:hAnsi="宋体" w:eastAsia="宋体" w:cs="宋体"/>
          <w:color w:val="000000" w:themeColor="text1"/>
          <w:sz w:val="28"/>
          <w:szCs w:val="28"/>
          <w14:textFill>
            <w14:solidFill>
              <w14:schemeClr w14:val="tx1"/>
            </w14:solidFill>
          </w14:textFill>
        </w:rPr>
        <w:t>2.2 详细评审标准</w:t>
      </w:r>
      <w:bookmarkEnd w:id="162"/>
      <w:bookmarkEnd w:id="165"/>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分值构成</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2.2.2评分标准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6" w:name="_Toc15104"/>
      <w:r>
        <w:rPr>
          <w:rFonts w:hint="eastAsia" w:ascii="宋体" w:hAnsi="宋体" w:eastAsia="宋体" w:cs="宋体"/>
          <w:color w:val="000000" w:themeColor="text1"/>
          <w:sz w:val="28"/>
          <w:szCs w:val="28"/>
          <w14:textFill>
            <w14:solidFill>
              <w14:schemeClr w14:val="tx1"/>
            </w14:solidFill>
          </w14:textFill>
        </w:rPr>
        <w:t>3. 评标程序</w:t>
      </w:r>
      <w:bookmarkEnd w:id="163"/>
      <w:bookmarkEnd w:id="166"/>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3.1按照初审、详评、推荐成交候选供应商三个步骤进行评标。在上一步评审中被废标者，不进入下一步的评审。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3.1.1对磋商响应文件的初审: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按照以下内容对磋商响应文件初审，一项不合格即为废标。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（1）磋商响应文件的完整性。磋商响应文件构成是否有重大缺项，是否按照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文件要求的格式编写磋商响应文件。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（2）磋商响应文件的有效性。磋商响应文件的签署、加盖印章是否合格、有效；提供的各种证明文件、数据、资料是否齐全。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提供的资格证明文件是否符合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（3）磋商响应文件的响应性。投标有效期是否符合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文件要求；是否满足本次投标的特殊要求；投标方案是否有重大缺漏项；投标服务内容与要求是否有重大偏离；投标商务条款是否有重大偏离；对合同中规定的双方的权利和义务是否做出了实质性修改。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文件的要求提交了有效足额的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3.1.2对于磋商响应文件中可能出现的不一致和算术计算错误按以下方法更正: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（1）磋商响应文件中开标一览表（报价表）内容与磋商响应文件中明细表内容不一致的，以开标一览表（报价表）为准。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（2）用数字表示的金额和用文字表示的金额不一致的，以文字表示的金额为准。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（3）总价金额与按单价汇总金额不一致的，以单价金额计算结果为准；但单价金额小数点有明显错位的，以总价为准，并修正单价。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磋商小组将按照上述修正错误的方法修正磋商响应文件中的</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，修正后的价格对供应商具有约束力。如果供应商不接受修正后的价格，其投标将被拒绝。</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3.1.3详评:对于经初审合格的所有投标，由磋商小组各成员按照下列《评标分值及评审要素一览表》规定的内容独立进行综合评价、比较打分，然后汇总每个投标人的得分，按包从高到低依次排序，推荐成交候选供应商。</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7" w:name="_Toc23340"/>
      <w:bookmarkStart w:id="168" w:name="_Toc526842700"/>
      <w:r>
        <w:rPr>
          <w:rFonts w:hint="eastAsia" w:ascii="宋体" w:hAnsi="宋体" w:eastAsia="宋体" w:cs="宋体"/>
          <w:color w:val="000000" w:themeColor="text1"/>
          <w:sz w:val="28"/>
          <w:szCs w:val="28"/>
          <w14:textFill>
            <w14:solidFill>
              <w14:schemeClr w14:val="tx1"/>
            </w14:solidFill>
          </w14:textFill>
        </w:rPr>
        <w:t>3.2初步评审</w:t>
      </w:r>
      <w:bookmarkEnd w:id="167"/>
      <w:bookmarkEnd w:id="168"/>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3.2.1磋商小组依据本章第2.1款规定的标准对磋商响应文件进行初步评审。有一项不符合评审标准的，磋商小组应当否决其投标。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 供应商有以下情形之一的，磋商小组应当否决其投标：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（1）第二章“供应商须知”第1.4.1项规定的任何一种情形的；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（2）串通投标或弄虚作假或有其他违法行为的；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（3）不按磋商小组要求澄清、说明或补正的。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3.2.3磋商报价有算术错误的，磋商小组按以下原则对磋商报价进行修正，修正的价格经供应商书面确认后具有约束力。供应商不接受修正价格的，磋商小组应当否决其投标。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（1）磋商响应文件中的大写金额与小写金额不一致的，以大写金额为准；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（2）总价金额与依据单价计算出的结果不一致的，以单价金额为准修正总价，但单价金额小数点有明显错误的除外。</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9" w:name="_Toc272"/>
      <w:bookmarkStart w:id="170" w:name="_Toc526842701"/>
      <w:r>
        <w:rPr>
          <w:rFonts w:hint="eastAsia" w:ascii="宋体" w:hAnsi="宋体" w:eastAsia="宋体" w:cs="宋体"/>
          <w:color w:val="000000" w:themeColor="text1"/>
          <w:sz w:val="28"/>
          <w:szCs w:val="28"/>
          <w14:textFill>
            <w14:solidFill>
              <w14:schemeClr w14:val="tx1"/>
            </w14:solidFill>
          </w14:textFill>
        </w:rPr>
        <w:t>3.3 详细评审</w:t>
      </w:r>
      <w:bookmarkEnd w:id="169"/>
      <w:bookmarkEnd w:id="170"/>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3.3.1评审内容及步骤</w:t>
      </w:r>
    </w:p>
    <w:p>
      <w:pPr>
        <w:pStyle w:val="7"/>
        <w:ind w:left="0" w:leftChars="0" w:firstLine="41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评标前磋商小组需先对供应商磋商响应文件中的资格证明文件（加盖单位公章的复印件）进行资格审查和符合性评审，然后再对通过资格审查和符合性评审的供应商进行技术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进行量化打分。</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3.3.2技术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的评审：</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磋商小组依据供应商提交的磋商响应文件，对供应商的技术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进行详细评审。</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3.3.3确定供应商的有效报价：</w:t>
      </w:r>
    </w:p>
    <w:p>
      <w:pPr>
        <w:pStyle w:val="21"/>
        <w:spacing w:line="360" w:lineRule="auto"/>
        <w:ind w:left="0" w:firstLine="548"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供应商有效报价αi：磋商报价≤最高投标限价（采购预算）的磋商报价。当出现价格汇总错误、单价与合不符时，必须以磋商小组修正的为准，否则不再参与评标。</w:t>
      </w:r>
    </w:p>
    <w:p>
      <w:pPr>
        <w:tabs>
          <w:tab w:val="left" w:pos="6060"/>
        </w:tabs>
        <w:spacing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3.3.4商务标评审，详见上述评标办法前附表。</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3.3.5汇总上述技术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和商务</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得分，按综合得分由高到低的顺序排序。</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3.3.6确定成交供应商：</w:t>
      </w:r>
    </w:p>
    <w:p>
      <w:pPr>
        <w:spacing w:line="360" w:lineRule="auto"/>
        <w:ind w:firstLine="551"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u w:val="single"/>
          <w14:textFill>
            <w14:solidFill>
              <w14:schemeClr w14:val="tx1"/>
            </w14:solidFill>
          </w14:textFill>
        </w:rPr>
        <w:t>采购人依据磋商小组推荐的候选人，按照评标排序来确定第一名为成交供应商。成交供应商磋商报价（总价和综合单价）为成交价即为合同价，以此类推</w:t>
      </w:r>
      <w:r>
        <w:rPr>
          <w:rFonts w:hint="eastAsia" w:ascii="宋体" w:hAnsi="宋体" w:eastAsia="宋体" w:cs="宋体"/>
          <w:color w:val="000000" w:themeColor="text1"/>
          <w:sz w:val="28"/>
          <w:szCs w:val="28"/>
          <w14:textFill>
            <w14:solidFill>
              <w14:schemeClr w14:val="tx1"/>
            </w14:solidFill>
          </w14:textFill>
        </w:rPr>
        <w:t>。</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当确定的成交供应商放弃成交或不能够履行磋商响应文件承诺的条款，成交供应商按排名顺序依次递补或经采购人及监管同意后项目废标。</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3.3.7其他情况：</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综合得分并列时，比较磋商报价，此分项得分高者排序靠前；若磋商报价得分仍相同，比较供应商技术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得分；如仍相同，则由评委无记名投票，以得票高低确定排序先后。</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评标中采用插入法计算保留小数点后两位，第三位四舍五入。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本办法由采购人负责解释，未尽事宜执行有关规定。</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1" w:name="_Toc17944"/>
      <w:bookmarkStart w:id="172" w:name="_Toc526842702"/>
      <w:r>
        <w:rPr>
          <w:rFonts w:hint="eastAsia" w:ascii="宋体" w:hAnsi="宋体" w:eastAsia="宋体" w:cs="宋体"/>
          <w:color w:val="000000" w:themeColor="text1"/>
          <w:sz w:val="28"/>
          <w:szCs w:val="28"/>
          <w14:textFill>
            <w14:solidFill>
              <w14:schemeClr w14:val="tx1"/>
            </w14:solidFill>
          </w14:textFill>
        </w:rPr>
        <w:t>3.4 磋商响应文件的澄清和补正</w:t>
      </w:r>
      <w:bookmarkEnd w:id="171"/>
      <w:bookmarkEnd w:id="172"/>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3.4.1在评标过程中，磋商小组可以书面形式要求供应商对所提交磋商响应文件中不明确的内容进行书面澄清或说明，或者对细微偏差进行补正。磋商小组不接受供应商主动提出的澄清、说明或补正。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澄清、说明和补正不得改变磋商响应文件的实质性内容（算术性错误修正的除外）。供应商的书面澄清、说明和补正属于磋商响应文件的组成部分。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3.4.3 磋商小组对供应商提交的澄清、说明或补正有疑问的，可以要求供应商进一步澄清、说明或补正，直至满足磋商小组的要求。</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3" w:name="_Toc13592"/>
      <w:bookmarkStart w:id="174" w:name="_Toc526842703"/>
      <w:r>
        <w:rPr>
          <w:rFonts w:hint="eastAsia" w:ascii="宋体" w:hAnsi="宋体" w:eastAsia="宋体" w:cs="宋体"/>
          <w:color w:val="000000" w:themeColor="text1"/>
          <w:sz w:val="28"/>
          <w:szCs w:val="28"/>
          <w14:textFill>
            <w14:solidFill>
              <w14:schemeClr w14:val="tx1"/>
            </w14:solidFill>
          </w14:textFill>
        </w:rPr>
        <w:t>3.5 评标结果</w:t>
      </w:r>
      <w:bookmarkEnd w:id="173"/>
      <w:bookmarkEnd w:id="174"/>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3.5.1磋商小组按照得分由高到低的顺序推荐成交候选供应商。</w:t>
      </w:r>
    </w:p>
    <w:p>
      <w:pPr>
        <w:spacing w:line="360" w:lineRule="auto"/>
        <w:ind w:firstLine="56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3.5.2 磋商小组完成评标后，应当向采购人提交书面评标报告。</w:t>
      </w:r>
    </w:p>
    <w:p>
      <w:pPr>
        <w:pStyle w:val="2"/>
        <w:spacing w:before="0" w:after="0" w:line="360" w:lineRule="auto"/>
        <w:rPr>
          <w:rFonts w:hint="eastAsia" w:ascii="宋体" w:hAnsi="宋体" w:eastAsia="宋体" w:cs="宋体"/>
          <w:color w:val="000000" w:themeColor="text1"/>
          <w:sz w:val="28"/>
          <w:szCs w:val="28"/>
          <w14:textFill>
            <w14:solidFill>
              <w14:schemeClr w14:val="tx1"/>
            </w14:solidFill>
          </w14:textFill>
        </w:rPr>
      </w:pPr>
      <w:bookmarkStart w:id="175" w:name="_Toc18242"/>
      <w:r>
        <w:rPr>
          <w:rFonts w:hint="eastAsia" w:ascii="宋体" w:hAnsi="宋体" w:eastAsia="宋体" w:cs="宋体"/>
          <w:color w:val="000000" w:themeColor="text1"/>
          <w:sz w:val="28"/>
          <w:szCs w:val="28"/>
          <w14:textFill>
            <w14:solidFill>
              <w14:schemeClr w14:val="tx1"/>
            </w14:solidFill>
          </w14:textFill>
        </w:rPr>
        <w:t>4.需要落实的政府采购政策</w:t>
      </w:r>
      <w:bookmarkEnd w:id="175"/>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lang w:val="en-US" w:eastAsia="zh-CN"/>
        </w:rPr>
      </w:pPr>
      <w:bookmarkStart w:id="176" w:name="_Toc6400"/>
      <w:bookmarkStart w:id="177" w:name="_Toc487726885"/>
      <w:bookmarkStart w:id="178" w:name="_Toc369361291"/>
      <w:bookmarkStart w:id="179" w:name="_Toc360604917"/>
      <w:bookmarkStart w:id="180" w:name="_Toc290389727"/>
      <w:bookmarkStart w:id="181" w:name="_Toc332199024"/>
      <w:bookmarkStart w:id="182" w:name="_Toc526842704"/>
      <w:bookmarkStart w:id="183" w:name="_Toc332199115"/>
      <w:bookmarkStart w:id="184" w:name="_Toc500323106"/>
      <w:bookmarkStart w:id="185" w:name="_Toc15026"/>
      <w:bookmarkStart w:id="186" w:name="_Toc9257"/>
      <w:r>
        <w:rPr>
          <w:rFonts w:hint="eastAsia" w:ascii="宋体" w:hAnsi="宋体" w:eastAsia="宋体" w:cs="宋体"/>
          <w:b/>
          <w:bCs w:val="0"/>
          <w:color w:val="000000"/>
          <w:sz w:val="28"/>
          <w:szCs w:val="28"/>
          <w:lang w:val="en-US" w:eastAsia="zh-CN"/>
        </w:rPr>
        <w:t>1.</w:t>
      </w:r>
      <w:r>
        <w:rPr>
          <w:rFonts w:hint="eastAsia" w:ascii="宋体" w:hAnsi="宋体" w:eastAsia="宋体" w:cs="宋体"/>
          <w:b/>
          <w:bCs w:val="0"/>
          <w:color w:val="000000"/>
          <w:sz w:val="28"/>
          <w:szCs w:val="28"/>
        </w:rPr>
        <w:t>《政府采购促进中小企业发展管理办法》的通知（财库〔2020〕46号）</w:t>
      </w:r>
      <w:bookmarkEnd w:id="17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87" w:name="_Toc26075"/>
      <w:bookmarkStart w:id="188" w:name="_Toc2618"/>
      <w:bookmarkStart w:id="189" w:name="_Toc15061"/>
      <w:bookmarkStart w:id="190" w:name="_Toc28308"/>
      <w:bookmarkStart w:id="191" w:name="_Toc10056"/>
      <w:bookmarkStart w:id="192" w:name="_Toc12159"/>
      <w:r>
        <w:rPr>
          <w:rFonts w:hint="eastAsia" w:ascii="宋体" w:hAnsi="宋体" w:eastAsia="宋体" w:cs="宋体"/>
          <w:b w:val="0"/>
          <w:bCs/>
          <w:color w:val="000000"/>
          <w:sz w:val="28"/>
          <w:szCs w:val="28"/>
          <w:lang w:val="en-US" w:eastAsia="zh-CN"/>
        </w:rPr>
        <w:t>在政府采购活动中，供应商提供的货物、工程或者服务符合下列情形的，享受《办法》规定的中小企业扶持政策:</w:t>
      </w:r>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3" w:name="_Toc3750"/>
      <w:bookmarkStart w:id="194" w:name="_Toc29610"/>
      <w:bookmarkStart w:id="195" w:name="_Toc12926"/>
      <w:bookmarkStart w:id="196" w:name="_Toc13553"/>
      <w:bookmarkStart w:id="197" w:name="_Toc13145"/>
      <w:r>
        <w:rPr>
          <w:rFonts w:hint="eastAsia" w:ascii="宋体" w:hAnsi="宋体" w:eastAsia="宋体" w:cs="宋体"/>
          <w:b w:val="0"/>
          <w:bCs/>
          <w:color w:val="000000"/>
          <w:sz w:val="28"/>
          <w:szCs w:val="28"/>
          <w:lang w:val="en-US" w:eastAsia="zh-CN"/>
        </w:rPr>
        <w:t>(一)在货物采购项目中，货物由中小企业制造，即货物由中小企业生产且使用该中小企业商号或者注册商标；</w:t>
      </w:r>
      <w:bookmarkEnd w:id="193"/>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8" w:name="_Toc10777"/>
      <w:bookmarkStart w:id="199" w:name="_Toc27737"/>
      <w:bookmarkStart w:id="200" w:name="_Toc2212"/>
      <w:bookmarkStart w:id="201" w:name="_Toc98"/>
      <w:bookmarkStart w:id="202" w:name="_Toc5972"/>
      <w:r>
        <w:rPr>
          <w:rFonts w:hint="eastAsia" w:ascii="宋体" w:hAnsi="宋体" w:eastAsia="宋体" w:cs="宋体"/>
          <w:b w:val="0"/>
          <w:bCs/>
          <w:color w:val="000000"/>
          <w:sz w:val="28"/>
          <w:szCs w:val="28"/>
          <w:lang w:val="en-US" w:eastAsia="zh-CN"/>
        </w:rPr>
        <w:t>(二)在工程采购项目中，工程由中小企业承建，即工程施工单位为中小企业；</w:t>
      </w:r>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3" w:name="_Toc2676"/>
      <w:bookmarkStart w:id="204" w:name="_Toc14952"/>
      <w:bookmarkStart w:id="205" w:name="_Toc30603"/>
      <w:bookmarkStart w:id="206" w:name="_Toc31732"/>
      <w:bookmarkStart w:id="207" w:name="_Toc13181"/>
      <w:r>
        <w:rPr>
          <w:rFonts w:hint="eastAsia" w:ascii="宋体" w:hAnsi="宋体" w:eastAsia="宋体" w:cs="宋体"/>
          <w:b w:val="0"/>
          <w:bCs/>
          <w:color w:val="000000"/>
          <w:sz w:val="28"/>
          <w:szCs w:val="28"/>
          <w:lang w:val="en-US" w:eastAsia="zh-CN"/>
        </w:rPr>
        <w:t>(三)在服务采购项目中，服务由中小企业承接，即提供服务的人员为中小企业依照《中华人民共和国劳动合同法》订立劳动合同的从业人员。</w:t>
      </w:r>
      <w:bookmarkEnd w:id="203"/>
      <w:bookmarkEnd w:id="204"/>
      <w:bookmarkEnd w:id="205"/>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8" w:name="_Toc9186"/>
      <w:bookmarkStart w:id="209" w:name="_Toc28280"/>
      <w:bookmarkStart w:id="210" w:name="_Toc21217"/>
      <w:bookmarkStart w:id="211" w:name="_Toc31112"/>
      <w:bookmarkStart w:id="212" w:name="_Toc31982"/>
      <w:r>
        <w:rPr>
          <w:rFonts w:hint="eastAsia" w:ascii="宋体" w:hAnsi="宋体" w:eastAsia="宋体" w:cs="宋体"/>
          <w:b w:val="0"/>
          <w:bCs/>
          <w:color w:val="000000"/>
          <w:sz w:val="28"/>
          <w:szCs w:val="28"/>
          <w:lang w:val="en-US" w:eastAsia="zh-CN"/>
        </w:rPr>
        <w:t>在货物采购项目中，供应商提供的货物既有中小企业制造货物，也有大型企业制造货物的，不享受《办法》规定的中小企业扶持政策。</w:t>
      </w:r>
      <w:bookmarkEnd w:id="208"/>
      <w:bookmarkEnd w:id="209"/>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3" w:name="_Toc12766"/>
      <w:bookmarkStart w:id="214" w:name="_Toc6020"/>
      <w:bookmarkStart w:id="215" w:name="_Toc28678"/>
      <w:bookmarkStart w:id="216" w:name="_Toc23925"/>
      <w:bookmarkStart w:id="217" w:name="_Toc18434"/>
      <w:r>
        <w:rPr>
          <w:rFonts w:hint="eastAsia" w:ascii="宋体" w:hAnsi="宋体" w:eastAsia="宋体" w:cs="宋体"/>
          <w:b w:val="0"/>
          <w:bCs/>
          <w:color w:val="000000"/>
          <w:sz w:val="28"/>
          <w:szCs w:val="28"/>
          <w:lang w:val="en-US" w:eastAsia="zh-CN"/>
        </w:rPr>
        <w:t>以联合体形式参加政府采购活动，联合体各方均为中小企业的，联合体视同中小企业。其中，联合体各方均为小微企业的，联合体视同小微企业。</w:t>
      </w:r>
      <w:bookmarkEnd w:id="213"/>
      <w:bookmarkEnd w:id="214"/>
      <w:bookmarkEnd w:id="215"/>
      <w:bookmarkEnd w:id="216"/>
      <w:bookmarkEnd w:id="21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8" w:name="_Toc24099"/>
      <w:bookmarkStart w:id="219" w:name="_Toc9423"/>
      <w:bookmarkStart w:id="220" w:name="_Toc28971"/>
      <w:bookmarkStart w:id="221" w:name="_Toc17492"/>
      <w:bookmarkStart w:id="222" w:name="_Toc1848"/>
      <w:r>
        <w:rPr>
          <w:rFonts w:hint="eastAsia" w:ascii="宋体" w:hAnsi="宋体" w:eastAsia="宋体" w:cs="宋体"/>
          <w:b w:val="0"/>
          <w:bCs/>
          <w:color w:val="000000"/>
          <w:sz w:val="28"/>
          <w:szCs w:val="28"/>
          <w:lang w:val="en-US" w:eastAsia="zh-CN"/>
        </w:rPr>
        <w:t>依据《办法》规定享受扶持政策获得政府采购合同的，小微企业不得将合同分包给大中型企业，中型企业不得将合同分包给大型企业。</w:t>
      </w:r>
      <w:bookmarkEnd w:id="218"/>
      <w:bookmarkEnd w:id="219"/>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3" w:name="_Toc12812"/>
      <w:bookmarkStart w:id="224" w:name="_Toc26502"/>
      <w:bookmarkStart w:id="225" w:name="_Toc7194"/>
      <w:bookmarkStart w:id="226" w:name="_Toc4775"/>
      <w:bookmarkStart w:id="227" w:name="_Toc26091"/>
      <w:r>
        <w:rPr>
          <w:rFonts w:hint="eastAsia" w:ascii="宋体" w:hAnsi="宋体" w:eastAsia="宋体" w:cs="宋体"/>
          <w:b w:val="0"/>
          <w:bCs/>
          <w:color w:val="000000"/>
          <w:sz w:val="28"/>
          <w:szCs w:val="28"/>
          <w:lang w:val="en-US" w:eastAsia="zh-CN"/>
        </w:rPr>
        <w:t>根据《政府采购促进中小企业发展管理办法》的通知（财库〔2020〕46号）规定，参加政府采购活动的中小企业应当提供《中小企业声明函》（见附件）。供应商提供的《中小企业声明函》资料必须真实，否则，按照有关规定予以处理。</w:t>
      </w:r>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8" w:name="_Toc4731"/>
      <w:bookmarkStart w:id="229" w:name="_Toc10392"/>
      <w:bookmarkStart w:id="230" w:name="_Toc2963"/>
      <w:bookmarkStart w:id="231" w:name="_Toc29579"/>
      <w:bookmarkStart w:id="232" w:name="_Toc28497"/>
      <w:r>
        <w:rPr>
          <w:rFonts w:hint="eastAsia" w:ascii="宋体" w:hAnsi="宋体" w:eastAsia="宋体" w:cs="宋体"/>
          <w:b w:val="0"/>
          <w:bCs/>
          <w:color w:val="000000"/>
          <w:sz w:val="28"/>
          <w:szCs w:val="28"/>
          <w:lang w:val="en-US" w:eastAsia="zh-CN"/>
        </w:rPr>
        <w:t>评标委员会根据《政府采购促进中小企业发展管理办法》的通知（财库〔2020〕46号）、《财政部关于进一步加大政府采购支持中小企业力度的通知》（财库〔2022〕19号）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bookmarkEnd w:id="228"/>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33" w:name="_Toc10033"/>
      <w:bookmarkStart w:id="234" w:name="_Toc2434"/>
      <w:bookmarkStart w:id="235" w:name="_Toc12101"/>
      <w:bookmarkStart w:id="236" w:name="_Toc11983"/>
      <w:bookmarkStart w:id="237" w:name="_Toc25557"/>
      <w:r>
        <w:rPr>
          <w:rFonts w:hint="eastAsia" w:ascii="宋体" w:hAnsi="宋体" w:eastAsia="宋体" w:cs="宋体"/>
          <w:b w:val="0"/>
          <w:bCs/>
          <w:color w:val="000000"/>
          <w:sz w:val="28"/>
          <w:szCs w:val="28"/>
          <w:lang w:val="en-US" w:eastAsia="zh-CN"/>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lang w:val="en-US" w:eastAsia="zh-CN"/>
        </w:rPr>
        <w:t>2.</w:t>
      </w:r>
      <w:r>
        <w:rPr>
          <w:rFonts w:hint="eastAsia" w:ascii="宋体" w:hAnsi="宋体" w:eastAsia="宋体" w:cs="宋体"/>
          <w:b/>
          <w:bCs w:val="0"/>
          <w:color w:val="000000"/>
          <w:sz w:val="28"/>
          <w:szCs w:val="28"/>
        </w:rPr>
        <w:t>财政部司法部关于政府采购支持监狱企业发展有关问题的通知—财库〔2014〕68号</w:t>
      </w:r>
      <w:bookmarkEnd w:id="192"/>
      <w:r>
        <w:rPr>
          <w:rFonts w:hint="eastAsia" w:ascii="宋体" w:hAnsi="宋体" w:eastAsia="宋体" w:cs="宋体"/>
          <w:b/>
          <w:bCs w:val="0"/>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8" w:name="_Toc13779"/>
      <w:r>
        <w:rPr>
          <w:rFonts w:hint="eastAsia" w:ascii="宋体" w:hAnsi="宋体" w:eastAsia="宋体" w:cs="宋体"/>
          <w:b w:val="0"/>
          <w:bCs/>
          <w:color w:val="000000"/>
          <w:sz w:val="28"/>
          <w:szCs w:val="28"/>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bookmarkEnd w:id="23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9" w:name="_Toc30736"/>
      <w:r>
        <w:rPr>
          <w:rFonts w:hint="eastAsia" w:ascii="宋体" w:hAnsi="宋体" w:eastAsia="宋体" w:cs="宋体"/>
          <w:b w:val="0"/>
          <w:bCs/>
          <w:color w:val="000000"/>
          <w:sz w:val="28"/>
          <w:szCs w:val="28"/>
        </w:rPr>
        <w:t>评标委员会对监狱企业的价格给予</w:t>
      </w:r>
      <w:r>
        <w:rPr>
          <w:rFonts w:hint="eastAsia" w:ascii="宋体" w:hAnsi="宋体" w:cs="宋体"/>
          <w:b w:val="0"/>
          <w:bCs/>
          <w:color w:val="000000"/>
          <w:sz w:val="28"/>
          <w:szCs w:val="28"/>
          <w:lang w:val="en-US" w:eastAsia="zh-CN"/>
        </w:rPr>
        <w:t>10</w:t>
      </w:r>
      <w:r>
        <w:rPr>
          <w:rFonts w:hint="eastAsia" w:ascii="宋体" w:hAnsi="宋体" w:eastAsia="宋体" w:cs="宋体"/>
          <w:b w:val="0"/>
          <w:bCs/>
          <w:color w:val="000000"/>
          <w:sz w:val="28"/>
          <w:szCs w:val="28"/>
        </w:rPr>
        <w:t>%的扣除，用扣除后的价格参与评审。</w:t>
      </w:r>
      <w:bookmarkEnd w:id="23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0" w:name="_Toc15904"/>
      <w:r>
        <w:rPr>
          <w:rFonts w:hint="eastAsia" w:ascii="宋体" w:hAnsi="宋体" w:eastAsia="宋体" w:cs="宋体"/>
          <w:b/>
          <w:bCs w:val="0"/>
          <w:color w:val="000000"/>
          <w:sz w:val="28"/>
          <w:szCs w:val="28"/>
          <w:lang w:val="en-US" w:eastAsia="zh-CN"/>
        </w:rPr>
        <w:t>3.</w:t>
      </w:r>
      <w:r>
        <w:rPr>
          <w:rFonts w:hint="eastAsia" w:ascii="宋体" w:hAnsi="宋体" w:eastAsia="宋体" w:cs="宋体"/>
          <w:b/>
          <w:bCs w:val="0"/>
          <w:color w:val="000000"/>
          <w:sz w:val="28"/>
          <w:szCs w:val="28"/>
        </w:rPr>
        <w:t>《国务院办公厅关于建立政府强制采购节能产品制度的通知》—国办发〔2007〕51号</w:t>
      </w:r>
      <w:bookmarkEnd w:id="24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1" w:name="_Toc24650"/>
      <w:r>
        <w:rPr>
          <w:rFonts w:hint="eastAsia" w:ascii="宋体" w:hAnsi="宋体" w:eastAsia="宋体" w:cs="宋体"/>
          <w:b w:val="0"/>
          <w:bCs/>
          <w:color w:val="000000"/>
          <w:sz w:val="28"/>
          <w:szCs w:val="28"/>
        </w:rPr>
        <w:t>各级政府机构使用财政性资金进行政府采购活动时，在技术、服务等指标满足采购需求的前提下，要优先采购节能产品，对部分节能效果、性能等达到要求的产品，实行强制采购。</w:t>
      </w:r>
      <w:bookmarkEnd w:id="241"/>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2" w:name="_Toc3243"/>
      <w:r>
        <w:rPr>
          <w:rFonts w:hint="eastAsia" w:ascii="宋体" w:hAnsi="宋体" w:eastAsia="宋体" w:cs="宋体"/>
          <w:b/>
          <w:bCs w:val="0"/>
          <w:color w:val="000000"/>
          <w:sz w:val="28"/>
          <w:szCs w:val="28"/>
          <w:lang w:val="en-US" w:eastAsia="zh-CN"/>
        </w:rPr>
        <w:t>4.</w:t>
      </w:r>
      <w:r>
        <w:rPr>
          <w:rFonts w:hint="eastAsia" w:ascii="宋体" w:hAnsi="宋体" w:eastAsia="宋体" w:cs="宋体"/>
          <w:b/>
          <w:bCs w:val="0"/>
          <w:color w:val="000000"/>
          <w:sz w:val="28"/>
          <w:szCs w:val="28"/>
        </w:rPr>
        <w:t>《环境标志产品政府采购实施的意见》--财库[2006]90号</w:t>
      </w:r>
      <w:bookmarkEnd w:id="24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3" w:name="_Toc16156"/>
      <w:r>
        <w:rPr>
          <w:rFonts w:hint="eastAsia" w:ascii="宋体" w:hAnsi="宋体" w:eastAsia="宋体" w:cs="宋体"/>
          <w:b w:val="0"/>
          <w:bCs/>
          <w:color w:val="000000"/>
          <w:sz w:val="28"/>
          <w:szCs w:val="28"/>
        </w:rPr>
        <w:t>根据《环境标志产品政府采购实施的意见》--财库[2006]90号规定，采购人采购的产品在品目清单中并具有认证证书的，在性能、技术、服务等指标同等条件下，应当优先采购清单中的产品。</w:t>
      </w:r>
      <w:bookmarkEnd w:id="24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4" w:name="_Toc28793"/>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bookmarkEnd w:id="244"/>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val="0"/>
          <w:bCs/>
          <w:color w:val="000000"/>
          <w:sz w:val="28"/>
          <w:szCs w:val="28"/>
        </w:rPr>
      </w:pPr>
      <w:bookmarkStart w:id="245" w:name="_Toc29696"/>
      <w:r>
        <w:rPr>
          <w:rFonts w:hint="eastAsia" w:ascii="宋体" w:hAnsi="宋体" w:eastAsia="宋体" w:cs="宋体"/>
          <w:b/>
          <w:bCs w:val="0"/>
          <w:color w:val="000000"/>
          <w:sz w:val="28"/>
          <w:szCs w:val="28"/>
          <w:lang w:val="en-US" w:eastAsia="zh-CN"/>
        </w:rPr>
        <w:t>5.</w:t>
      </w:r>
      <w:r>
        <w:rPr>
          <w:rFonts w:hint="eastAsia" w:ascii="宋体" w:hAnsi="宋体" w:eastAsia="宋体" w:cs="宋体"/>
          <w:b/>
          <w:bCs w:val="0"/>
          <w:color w:val="000000"/>
          <w:sz w:val="28"/>
          <w:szCs w:val="28"/>
        </w:rPr>
        <w:t>《节能产品政府采购实施意见》--（财库[2004]185号）</w:t>
      </w:r>
      <w:bookmarkEnd w:id="245"/>
      <w:r>
        <w:rPr>
          <w:rFonts w:hint="eastAsia" w:ascii="宋体" w:hAnsi="宋体" w:eastAsia="宋体" w:cs="宋体"/>
          <w:b w:val="0"/>
          <w:bCs/>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6" w:name="_Toc3457"/>
      <w:r>
        <w:rPr>
          <w:rFonts w:hint="eastAsia" w:ascii="宋体" w:hAnsi="宋体" w:eastAsia="宋体" w:cs="宋体"/>
          <w:b w:val="0"/>
          <w:bCs/>
          <w:color w:val="000000"/>
          <w:sz w:val="28"/>
          <w:szCs w:val="28"/>
        </w:rPr>
        <w:t>根据《节能产品政府采购实施意见》--（财库[2004]185号）规定，采购人采购的产品在品目清单中并具有认证证书的，在技术、服务等指标同等条件下，应当优先采购节能清单所列的节能产品。</w:t>
      </w:r>
      <w:bookmarkEnd w:id="24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7" w:name="_Toc21485"/>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bookmarkEnd w:id="24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8" w:name="_Toc2641"/>
      <w:r>
        <w:rPr>
          <w:rFonts w:hint="eastAsia" w:ascii="宋体" w:hAnsi="宋体" w:eastAsia="宋体" w:cs="宋体"/>
          <w:b w:val="0"/>
          <w:bCs/>
          <w:color w:val="000000"/>
          <w:sz w:val="28"/>
          <w:szCs w:val="28"/>
          <w:lang w:eastAsia="zh-CN"/>
        </w:rPr>
        <w:t>注：</w:t>
      </w:r>
      <w:r>
        <w:rPr>
          <w:rFonts w:hint="eastAsia" w:ascii="宋体" w:hAnsi="宋体" w:eastAsia="宋体" w:cs="宋体"/>
          <w:b w:val="0"/>
          <w:bCs/>
          <w:color w:val="000000"/>
          <w:sz w:val="28"/>
          <w:szCs w:val="28"/>
        </w:rPr>
        <w:t>获得上述认证的产品在</w:t>
      </w:r>
      <w:r>
        <w:rPr>
          <w:rFonts w:hint="eastAsia" w:ascii="宋体" w:hAnsi="宋体" w:eastAsia="宋体" w:cs="宋体"/>
          <w:b w:val="0"/>
          <w:bCs/>
          <w:color w:val="000000"/>
          <w:sz w:val="28"/>
          <w:szCs w:val="28"/>
          <w:lang w:eastAsia="zh-CN"/>
        </w:rPr>
        <w:t>投标</w:t>
      </w:r>
      <w:r>
        <w:rPr>
          <w:rFonts w:hint="eastAsia" w:ascii="宋体" w:hAnsi="宋体" w:eastAsia="宋体" w:cs="宋体"/>
          <w:b w:val="0"/>
          <w:bCs/>
          <w:color w:val="000000"/>
          <w:sz w:val="28"/>
          <w:szCs w:val="28"/>
        </w:rPr>
        <w:t>时应提供有效证明材料。以上所有证明文件复印件须加盖</w:t>
      </w:r>
      <w:r>
        <w:rPr>
          <w:rFonts w:hint="eastAsia" w:ascii="宋体" w:hAnsi="宋体" w:eastAsia="宋体" w:cs="宋体"/>
          <w:b w:val="0"/>
          <w:bCs/>
          <w:color w:val="000000"/>
          <w:sz w:val="28"/>
          <w:szCs w:val="28"/>
          <w:lang w:eastAsia="zh-CN"/>
        </w:rPr>
        <w:t>供应商</w:t>
      </w:r>
      <w:r>
        <w:rPr>
          <w:rFonts w:hint="eastAsia" w:ascii="宋体" w:hAnsi="宋体" w:eastAsia="宋体" w:cs="宋体"/>
          <w:b w:val="0"/>
          <w:bCs/>
          <w:color w:val="000000"/>
          <w:sz w:val="28"/>
          <w:szCs w:val="28"/>
        </w:rPr>
        <w:t>公章并注明“与原件一致”，否则不予计分。</w:t>
      </w:r>
      <w:bookmarkEnd w:id="24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9" w:name="_Toc17122"/>
      <w:r>
        <w:rPr>
          <w:rFonts w:hint="eastAsia" w:ascii="宋体" w:hAnsi="宋体" w:eastAsia="宋体" w:cs="宋体"/>
          <w:b/>
          <w:bCs w:val="0"/>
          <w:color w:val="000000"/>
          <w:sz w:val="28"/>
          <w:szCs w:val="28"/>
          <w:lang w:val="en-US" w:eastAsia="zh-CN"/>
        </w:rPr>
        <w:t>6.</w:t>
      </w:r>
      <w:r>
        <w:rPr>
          <w:rFonts w:hint="eastAsia" w:ascii="宋体" w:hAnsi="宋体" w:eastAsia="宋体" w:cs="宋体"/>
          <w:b/>
          <w:bCs w:val="0"/>
          <w:color w:val="000000"/>
          <w:sz w:val="28"/>
          <w:szCs w:val="28"/>
        </w:rPr>
        <w:t>《关于促进残疾人就业政府采购政策的通知》财库〔2017〕141号</w:t>
      </w:r>
      <w:bookmarkEnd w:id="24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50" w:name="_Toc1750"/>
      <w:r>
        <w:rPr>
          <w:rFonts w:hint="eastAsia" w:ascii="宋体" w:hAnsi="宋体" w:eastAsia="宋体" w:cs="宋体"/>
          <w:b w:val="0"/>
          <w:bCs/>
          <w:color w:val="000000"/>
          <w:sz w:val="28"/>
          <w:szCs w:val="28"/>
        </w:rPr>
        <w:t>福利企业参加政府采购活动时，应当提供市级以上民政局、财政局、残联部门出具的福利性企业的证明文件。</w:t>
      </w:r>
      <w:bookmarkEnd w:id="25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lang w:val="en-US" w:eastAsia="zh-CN"/>
        </w:rPr>
      </w:pPr>
      <w:bookmarkStart w:id="251" w:name="_Toc20174"/>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.陕西省财政厅关于印发《陕西省中小企业政府采购信用融资办法》（陕财办采〔2018〕23号）</w:t>
      </w:r>
      <w:bookmarkEnd w:id="251"/>
    </w:p>
    <w:p>
      <w:pPr>
        <w:spacing w:line="360" w:lineRule="auto"/>
        <w:ind w:firstLine="560" w:firstLineChars="200"/>
        <w:outlineLvl w:val="1"/>
        <w:rPr>
          <w:rFonts w:hint="eastAsia" w:ascii="宋体" w:hAnsi="宋体" w:eastAsia="宋体" w:cs="宋体"/>
          <w:b w:val="0"/>
          <w:bCs/>
          <w:color w:val="000000" w:themeColor="text1"/>
          <w:sz w:val="28"/>
          <w:szCs w:val="28"/>
          <w:lang w:val="en-US" w:eastAsia="zh-CN"/>
          <w14:textFill>
            <w14:solidFill>
              <w14:schemeClr w14:val="tx1"/>
            </w14:solidFill>
          </w14:textFill>
        </w:rPr>
      </w:pPr>
      <w:bookmarkStart w:id="252" w:name="_Toc2203"/>
      <w:bookmarkStart w:id="253" w:name="_Toc1696"/>
      <w:bookmarkStart w:id="254" w:name="_Toc802"/>
      <w:bookmarkStart w:id="255" w:name="_Toc2902"/>
      <w:bookmarkStart w:id="256" w:name="_Toc26044"/>
      <w:r>
        <w:rPr>
          <w:rFonts w:hint="eastAsia" w:ascii="宋体" w:hAnsi="宋体" w:eastAsia="宋体" w:cs="宋体"/>
          <w:b w:val="0"/>
          <w:bCs/>
          <w:color w:val="000000" w:themeColor="text1"/>
          <w:sz w:val="28"/>
          <w:szCs w:val="28"/>
          <w:lang w:val="en-US" w:eastAsia="zh-CN"/>
          <w14:textFill>
            <w14:solidFill>
              <w14:schemeClr w14:val="tx1"/>
            </w14:solidFill>
          </w14:textFill>
        </w:rPr>
        <w:t>融资平台：有融资需求的供应商可根据自身情况，在陕西省政府采购信用融资平台（含各市分平台）自主选择金融机构及其融资产品，凭政府采购中标（成交）通知书或政府采购合同向金融机构提出融资申请。</w:t>
      </w:r>
      <w:bookmarkEnd w:id="252"/>
      <w:bookmarkEnd w:id="253"/>
      <w:bookmarkEnd w:id="254"/>
      <w:bookmarkEnd w:id="255"/>
      <w:bookmarkEnd w:id="256"/>
    </w:p>
    <w:p>
      <w:pPr>
        <w:spacing w:line="360" w:lineRule="auto"/>
        <w:outlineLvl w:val="1"/>
        <w:rPr>
          <w:rFonts w:hint="eastAsia" w:ascii="宋体" w:hAnsi="宋体" w:eastAsia="宋体" w:cs="宋体"/>
          <w:b w:val="0"/>
          <w:bCs/>
          <w:color w:val="000000" w:themeColor="text1"/>
          <w:sz w:val="28"/>
          <w:szCs w:val="28"/>
          <w14:textFill>
            <w14:solidFill>
              <w14:schemeClr w14:val="tx1"/>
            </w14:solidFill>
          </w14:textFill>
        </w:rPr>
      </w:pPr>
      <w:bookmarkStart w:id="257" w:name="_Toc4872"/>
      <w:bookmarkStart w:id="258" w:name="_Toc29619"/>
      <w:bookmarkStart w:id="259" w:name="_Toc30311"/>
      <w:bookmarkStart w:id="260" w:name="_Toc31707"/>
      <w:bookmarkStart w:id="261" w:name="_Toc6798"/>
      <w:r>
        <w:rPr>
          <w:rFonts w:hint="eastAsia" w:ascii="宋体" w:hAnsi="宋体" w:eastAsia="宋体" w:cs="宋体"/>
          <w:b w:val="0"/>
          <w:bCs/>
          <w:color w:val="000000" w:themeColor="text1"/>
          <w:sz w:val="28"/>
          <w:szCs w:val="28"/>
          <w:lang w:val="en-US" w:eastAsia="zh-CN"/>
          <w14:textFill>
            <w14:solidFill>
              <w14:schemeClr w14:val="tx1"/>
            </w14:solidFill>
          </w14:textFill>
        </w:rPr>
        <w:t>网址：http://www.ccgp-shaanxi.gov.cn/zcdservice/zcd/shanxi/</w:t>
      </w:r>
      <w:bookmarkEnd w:id="257"/>
      <w:bookmarkEnd w:id="258"/>
      <w:bookmarkEnd w:id="259"/>
      <w:bookmarkEnd w:id="260"/>
      <w:bookmarkEnd w:id="261"/>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附件A:废标条件</w:t>
      </w:r>
      <w:bookmarkEnd w:id="177"/>
      <w:bookmarkEnd w:id="178"/>
      <w:bookmarkEnd w:id="179"/>
      <w:bookmarkEnd w:id="180"/>
      <w:bookmarkEnd w:id="181"/>
      <w:bookmarkEnd w:id="182"/>
      <w:bookmarkEnd w:id="183"/>
      <w:bookmarkEnd w:id="184"/>
      <w:bookmarkEnd w:id="185"/>
      <w:bookmarkEnd w:id="186"/>
    </w:p>
    <w:p>
      <w:pPr>
        <w:adjustRightInd w:val="0"/>
        <w:snapToGrid w:val="0"/>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废 标 条 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A0. 总  则</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本附件所集中所示的否决投标条件，是本章“评标办法”的组成部分，是对本章正文部分所归定否决投标条件的总结和补充，如果出现相互矛盾的情况，以本章正文部分的规定为准。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A1. 否决投标条件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供应商或其磋商响应文件有下列情形之一的，否决其投标：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w:t>
      </w:r>
      <w:r>
        <w:rPr>
          <w:rFonts w:hint="eastAsia" w:ascii="宋体" w:hAnsi="宋体" w:eastAsia="宋体" w:cs="宋体"/>
          <w:color w:val="000000" w:themeColor="text1"/>
          <w:spacing w:val="4"/>
          <w:sz w:val="28"/>
          <w:szCs w:val="28"/>
          <w:lang w:eastAsia="zh-CN"/>
          <w14:textFill>
            <w14:solidFill>
              <w14:schemeClr w14:val="tx1"/>
            </w14:solidFill>
          </w14:textFill>
        </w:rPr>
        <w:t>磋商报价</w:t>
      </w:r>
      <w:r>
        <w:rPr>
          <w:rFonts w:hint="eastAsia" w:ascii="宋体" w:hAnsi="宋体" w:eastAsia="宋体" w:cs="宋体"/>
          <w:color w:val="000000" w:themeColor="text1"/>
          <w:spacing w:val="4"/>
          <w:sz w:val="28"/>
          <w:szCs w:val="28"/>
          <w14:textFill>
            <w14:solidFill>
              <w14:schemeClr w14:val="tx1"/>
            </w14:solidFill>
          </w14:textFill>
        </w:rPr>
        <w:t>明显低于成本形成不正当竞争的；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正副本数量不符合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的语言、计量单位、报价货币、知识产权、</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有效期等不符合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（4）未按</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规定要求密封、签署、盖章的；无</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有效期或有效期达不到</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要求的</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规定且影响整个</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有效性和采购活动公平竞争的；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（5）响应技术标准明显不符合</w:t>
      </w:r>
      <w:r>
        <w:rPr>
          <w:rFonts w:hint="eastAsia" w:ascii="宋体" w:hAnsi="宋体" w:eastAsia="宋体" w:cs="宋体"/>
          <w:color w:val="000000" w:themeColor="text1"/>
          <w:spacing w:val="4"/>
          <w:sz w:val="28"/>
          <w:szCs w:val="28"/>
          <w:lang w:eastAsia="zh-CN"/>
          <w14:textFill>
            <w14:solidFill>
              <w14:schemeClr w14:val="tx1"/>
            </w14:solidFill>
          </w14:textFill>
        </w:rPr>
        <w:t>项目</w:t>
      </w:r>
      <w:r>
        <w:rPr>
          <w:rFonts w:hint="eastAsia" w:ascii="宋体" w:hAnsi="宋体" w:eastAsia="宋体" w:cs="宋体"/>
          <w:color w:val="000000" w:themeColor="text1"/>
          <w:spacing w:val="4"/>
          <w:sz w:val="28"/>
          <w:szCs w:val="28"/>
          <w14:textFill>
            <w14:solidFill>
              <w14:schemeClr w14:val="tx1"/>
            </w14:solidFill>
          </w14:textFill>
        </w:rPr>
        <w:t>的要求；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（6）附有采购人不能接受的条件或者不符合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规定的其他实质性要求，商务条款偏离的；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（7）未按照</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要求编制，内容严重缺失的。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单位未经过正常渠道领取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，或</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名称与领取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时登记的</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单位名称不符的；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9</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未按规定交纳</w:t>
      </w:r>
      <w:r>
        <w:rPr>
          <w:rFonts w:hint="eastAsia" w:ascii="宋体" w:hAnsi="宋体" w:eastAsia="宋体" w:cs="宋体"/>
          <w:color w:val="000000" w:themeColor="text1"/>
          <w:spacing w:val="4"/>
          <w:sz w:val="28"/>
          <w:szCs w:val="28"/>
          <w:lang w:eastAsia="zh-CN"/>
          <w14:textFill>
            <w14:solidFill>
              <w14:schemeClr w14:val="tx1"/>
            </w14:solidFill>
          </w14:textFill>
        </w:rPr>
        <w:t>磋商保证金</w:t>
      </w:r>
      <w:r>
        <w:rPr>
          <w:rFonts w:hint="eastAsia" w:ascii="宋体" w:hAnsi="宋体" w:eastAsia="宋体" w:cs="宋体"/>
          <w:color w:val="000000" w:themeColor="text1"/>
          <w:spacing w:val="4"/>
          <w:sz w:val="28"/>
          <w:szCs w:val="28"/>
          <w14:textFill>
            <w14:solidFill>
              <w14:schemeClr w14:val="tx1"/>
            </w14:solidFill>
          </w14:textFill>
        </w:rPr>
        <w:t>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10</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未按照</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格式及内容要求填写的；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11</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针对同一项目递交两份或多份内容不同的</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，未书面声明哪一份是有效的或出现选择性报价的；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附有采购人、</w:t>
      </w:r>
      <w:r>
        <w:rPr>
          <w:rFonts w:hint="eastAsia" w:ascii="宋体" w:hAnsi="宋体" w:eastAsia="宋体" w:cs="宋体"/>
          <w:color w:val="000000" w:themeColor="text1"/>
          <w:spacing w:val="4"/>
          <w:sz w:val="28"/>
          <w:szCs w:val="28"/>
          <w:lang w:eastAsia="zh-CN"/>
          <w14:textFill>
            <w14:solidFill>
              <w14:schemeClr w14:val="tx1"/>
            </w14:solidFill>
          </w14:textFill>
        </w:rPr>
        <w:t>招标</w:t>
      </w:r>
      <w:r>
        <w:rPr>
          <w:rFonts w:hint="eastAsia" w:ascii="宋体" w:hAnsi="宋体" w:eastAsia="宋体" w:cs="宋体"/>
          <w:color w:val="000000" w:themeColor="text1"/>
          <w:spacing w:val="4"/>
          <w:sz w:val="28"/>
          <w:szCs w:val="28"/>
          <w14:textFill>
            <w14:solidFill>
              <w14:schemeClr w14:val="tx1"/>
            </w14:solidFill>
          </w14:textFill>
        </w:rPr>
        <w:t>组织机构不能接受的条款和商务响应方面（</w:t>
      </w:r>
      <w:r>
        <w:rPr>
          <w:rFonts w:hint="eastAsia" w:ascii="宋体" w:hAnsi="宋体" w:eastAsia="宋体" w:cs="宋体"/>
          <w:color w:val="000000" w:themeColor="text1"/>
          <w:spacing w:val="4"/>
          <w:sz w:val="28"/>
          <w:szCs w:val="28"/>
          <w:lang w:eastAsia="zh-CN"/>
          <w14:textFill>
            <w14:solidFill>
              <w14:schemeClr w14:val="tx1"/>
            </w14:solidFill>
          </w14:textFill>
        </w:rPr>
        <w:t>工期、履约验收</w:t>
      </w:r>
      <w:r>
        <w:rPr>
          <w:rFonts w:hint="eastAsia" w:ascii="宋体" w:hAnsi="宋体" w:eastAsia="宋体" w:cs="宋体"/>
          <w:color w:val="000000" w:themeColor="text1"/>
          <w:spacing w:val="4"/>
          <w:sz w:val="28"/>
          <w:szCs w:val="28"/>
          <w14:textFill>
            <w14:solidFill>
              <w14:schemeClr w14:val="tx1"/>
            </w14:solidFill>
          </w14:textFill>
        </w:rPr>
        <w:t>）与</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要求不一致的；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13</w:t>
      </w:r>
      <w:r>
        <w:rPr>
          <w:rFonts w:hint="eastAsia" w:ascii="宋体" w:hAnsi="宋体" w:eastAsia="宋体" w:cs="宋体"/>
          <w:color w:val="000000" w:themeColor="text1"/>
          <w:spacing w:val="4"/>
          <w:sz w:val="28"/>
          <w:szCs w:val="28"/>
          <w:lang w:eastAsia="zh-CN"/>
          <w14:textFill>
            <w14:solidFill>
              <w14:schemeClr w14:val="tx1"/>
            </w14:solidFill>
          </w14:textFill>
        </w:rPr>
        <w:t>）在政府采购或其它重大项目履约过程中有不良记录，不能按期履约的；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14</w:t>
      </w:r>
      <w:r>
        <w:rPr>
          <w:rFonts w:hint="eastAsia" w:ascii="宋体" w:hAnsi="宋体" w:eastAsia="宋体" w:cs="宋体"/>
          <w:color w:val="000000" w:themeColor="text1"/>
          <w:spacing w:val="4"/>
          <w:sz w:val="28"/>
          <w:szCs w:val="28"/>
          <w:lang w:eastAsia="zh-CN"/>
          <w14:textFill>
            <w14:solidFill>
              <w14:schemeClr w14:val="tx1"/>
            </w14:solidFill>
          </w14:textFill>
        </w:rPr>
        <w:t>）磋商报价与市场价偏离较大，低于成本，形成不正当竞争的；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15</w:t>
      </w:r>
      <w:r>
        <w:rPr>
          <w:rFonts w:hint="eastAsia" w:ascii="宋体" w:hAnsi="宋体" w:eastAsia="宋体" w:cs="宋体"/>
          <w:color w:val="000000" w:themeColor="text1"/>
          <w:spacing w:val="4"/>
          <w:sz w:val="28"/>
          <w:szCs w:val="28"/>
          <w:lang w:eastAsia="zh-CN"/>
          <w14:textFill>
            <w14:solidFill>
              <w14:schemeClr w14:val="tx1"/>
            </w14:solidFill>
          </w14:textFill>
        </w:rPr>
        <w:t>）有重大缺漏项的；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16</w:t>
      </w:r>
      <w:r>
        <w:rPr>
          <w:rFonts w:hint="eastAsia" w:ascii="宋体" w:hAnsi="宋体" w:eastAsia="宋体" w:cs="宋体"/>
          <w:color w:val="000000" w:themeColor="text1"/>
          <w:spacing w:val="4"/>
          <w:sz w:val="28"/>
          <w:szCs w:val="28"/>
          <w:lang w:eastAsia="zh-CN"/>
          <w14:textFill>
            <w14:solidFill>
              <w14:schemeClr w14:val="tx1"/>
            </w14:solidFill>
          </w14:textFill>
        </w:rPr>
        <w:t>）以他人名义进行投标的；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17</w:t>
      </w:r>
      <w:r>
        <w:rPr>
          <w:rFonts w:hint="eastAsia" w:ascii="宋体" w:hAnsi="宋体" w:eastAsia="宋体" w:cs="宋体"/>
          <w:color w:val="000000" w:themeColor="text1"/>
          <w:spacing w:val="4"/>
          <w:sz w:val="28"/>
          <w:szCs w:val="28"/>
          <w:lang w:eastAsia="zh-CN"/>
          <w14:textFill>
            <w14:solidFill>
              <w14:schemeClr w14:val="tx1"/>
            </w14:solidFill>
          </w14:textFill>
        </w:rPr>
        <w:t>）投标人无法定代表人授权书或其授权书的有效性不符合磋商文件规定的；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18</w:t>
      </w:r>
      <w:r>
        <w:rPr>
          <w:rFonts w:hint="eastAsia" w:ascii="宋体" w:hAnsi="宋体" w:eastAsia="宋体" w:cs="宋体"/>
          <w:color w:val="000000" w:themeColor="text1"/>
          <w:spacing w:val="4"/>
          <w:sz w:val="28"/>
          <w:szCs w:val="28"/>
          <w:lang w:eastAsia="zh-CN"/>
          <w14:textFill>
            <w14:solidFill>
              <w14:schemeClr w14:val="tx1"/>
            </w14:solidFill>
          </w14:textFill>
        </w:rPr>
        <w:t>）投标人有串通投标、弄虚作假、行贿等违法行为的。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19</w:t>
      </w:r>
      <w:r>
        <w:rPr>
          <w:rFonts w:hint="eastAsia" w:ascii="宋体" w:hAnsi="宋体" w:eastAsia="宋体" w:cs="宋体"/>
          <w:color w:val="000000" w:themeColor="text1"/>
          <w:spacing w:val="4"/>
          <w:sz w:val="28"/>
          <w:szCs w:val="28"/>
          <w:lang w:eastAsia="zh-CN"/>
          <w14:textFill>
            <w14:solidFill>
              <w14:schemeClr w14:val="tx1"/>
            </w14:solidFill>
          </w14:textFill>
        </w:rPr>
        <w:t>）照抄或复印磋商文件技术及商务要求的、手写的、未按规定签署的响应文件的；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20</w:t>
      </w:r>
      <w:r>
        <w:rPr>
          <w:rFonts w:hint="eastAsia" w:ascii="宋体" w:hAnsi="宋体" w:eastAsia="宋体" w:cs="宋体"/>
          <w:color w:val="000000" w:themeColor="text1"/>
          <w:spacing w:val="4"/>
          <w:sz w:val="28"/>
          <w:szCs w:val="28"/>
          <w:lang w:eastAsia="zh-CN"/>
          <w14:textFill>
            <w14:solidFill>
              <w14:schemeClr w14:val="tx1"/>
            </w14:solidFill>
          </w14:textFill>
        </w:rPr>
        <w:t>）响应文件的实质性内容未使用中文表述，意思表述不明确，前后矛盾或者使用计量单位不符合磋商文件要求；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21</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的关键内容字迹模糊、无法辨认的，或者</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中经修正的内容字迹模糊难以辨认或者修改处未按规定签名盖章的；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未实质性响</w:t>
      </w:r>
      <w:r>
        <w:rPr>
          <w:rFonts w:hint="eastAsia" w:ascii="宋体" w:hAnsi="宋体" w:eastAsia="宋体" w:cs="宋体"/>
          <w:color w:val="000000" w:themeColor="text1"/>
          <w:spacing w:val="4"/>
          <w:sz w:val="28"/>
          <w:szCs w:val="28"/>
          <w:lang w:eastAsia="zh-CN"/>
          <w14:textFill>
            <w14:solidFill>
              <w14:schemeClr w14:val="tx1"/>
            </w14:solidFill>
          </w14:textFill>
        </w:rPr>
        <w:t>应或者擅自改变磋商文件要求的；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23</w:t>
      </w:r>
      <w:r>
        <w:rPr>
          <w:rFonts w:hint="eastAsia" w:ascii="宋体" w:hAnsi="宋体" w:eastAsia="宋体" w:cs="宋体"/>
          <w:color w:val="000000" w:themeColor="text1"/>
          <w:spacing w:val="4"/>
          <w:sz w:val="28"/>
          <w:szCs w:val="28"/>
          <w:lang w:eastAsia="zh-CN"/>
          <w14:textFill>
            <w14:solidFill>
              <w14:schemeClr w14:val="tx1"/>
            </w14:solidFill>
          </w14:textFill>
        </w:rPr>
        <w:t>）磋商报价超出最高限价或者超出采购预算，采购人不能支付的；</w:t>
      </w:r>
    </w:p>
    <w:p>
      <w:pPr>
        <w:pStyle w:val="32"/>
        <w:ind w:left="0" w:leftChars="0" w:firstLine="0" w:firstLineChars="0"/>
        <w:rPr>
          <w:rFonts w:hint="eastAsia"/>
          <w:lang w:eastAsia="zh-CN"/>
        </w:rPr>
      </w:pPr>
      <w:r>
        <w:rPr>
          <w:rFonts w:hint="eastAsia" w:ascii="宋体" w:hAnsi="宋体" w:eastAsia="宋体" w:cs="宋体"/>
          <w:color w:val="000000" w:themeColor="text1"/>
          <w:spacing w:val="4"/>
          <w:kern w:val="2"/>
          <w:sz w:val="28"/>
          <w:szCs w:val="28"/>
          <w:lang w:val="en-US" w:eastAsia="zh-CN" w:bidi="ar-SA"/>
          <w14:textFill>
            <w14:solidFill>
              <w14:schemeClr w14:val="tx1"/>
            </w14:solidFill>
          </w14:textFill>
        </w:rPr>
        <w:t>（25）中小企业声明函未按要求填写，或填写信息有误的。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w:t>
      </w:r>
      <w:r>
        <w:rPr>
          <w:rFonts w:hint="eastAsia" w:ascii="宋体" w:hAnsi="宋体" w:cs="宋体"/>
          <w:color w:val="000000" w:themeColor="text1"/>
          <w:spacing w:val="4"/>
          <w:sz w:val="28"/>
          <w:szCs w:val="28"/>
          <w:lang w:val="en-US" w:eastAsia="zh-CN"/>
          <w14:textFill>
            <w14:solidFill>
              <w14:schemeClr w14:val="tx1"/>
            </w14:solidFill>
          </w14:textFill>
        </w:rPr>
        <w:t>4</w:t>
      </w:r>
      <w:r>
        <w:rPr>
          <w:rFonts w:hint="eastAsia" w:ascii="宋体" w:hAnsi="宋体" w:eastAsia="宋体" w:cs="宋体"/>
          <w:color w:val="000000" w:themeColor="text1"/>
          <w:spacing w:val="4"/>
          <w:sz w:val="28"/>
          <w:szCs w:val="28"/>
          <w:lang w:eastAsia="zh-CN"/>
          <w14:textFill>
            <w14:solidFill>
              <w14:schemeClr w14:val="tx1"/>
            </w14:solidFill>
          </w14:textFill>
        </w:rPr>
        <w:t>）法律法规规定其他投标无效情形的。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A2 . 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有下列情形之一的，属于供应商相互串通投标：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（1）供应商之间协商磋商报价等磋商响应文件的实质性内容；</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（2）供应商之间约定成交供应商；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（3）供应商之间约定部分供应商放弃投标或者成交；</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（4）属于同一集团、协会、商会等组织成员的供应商按照该组织要求协同投标；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（5）供应商之间为谋取成交或者排斥特定供应商而采取的其他联合行动。</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有下列情形之一的，视为供应商相互串通投标：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（1）不同供应商的磋商响应文件由同一单位或者个人编制；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（2）不同供应商委托同一单位或者个人办理投标事宜；</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（3）不同供应商的磋商响应文件载明的项目管理成员为同一人；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（4）不同供应商的磋商响应文件异常一致或者磋商报价呈规律性差异；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（5）不同供应商的磋商响应文件相互混装；</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（6）不同供应商的磋商保证金从同一单位或者个人的账户转出。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 弄虚作假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供应商有下列情形之一的，属于弄虚作假的行为：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A3.1 使用伪造、变造的许可证件；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A3.2 提供虚假的财务状况或者业绩；</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A3.3 提供虚假的项目负责人或者技术人员简历、劳动关系证明；</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A3.4 提供虚假的信用状况；</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A3.5 其他弄虚作假的行为。</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16"/>
        <w:jc w:val="both"/>
        <w:rPr>
          <w:rFonts w:hint="eastAsia" w:ascii="宋体" w:hAnsi="宋体" w:eastAsia="宋体" w:cs="宋体"/>
          <w:sz w:val="28"/>
          <w:szCs w:val="28"/>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Pr>
        <w:pStyle w:val="3"/>
        <w:numPr>
          <w:ilvl w:val="0"/>
          <w:numId w:val="6"/>
        </w:numPr>
        <w:bidi w:val="0"/>
        <w:ind w:left="0" w:leftChars="0" w:firstLine="0" w:firstLineChars="0"/>
        <w:jc w:val="center"/>
        <w:rPr>
          <w:rFonts w:hint="eastAsia"/>
          <w:sz w:val="32"/>
          <w:szCs w:val="32"/>
          <w:lang w:eastAsia="zh-CN"/>
        </w:rPr>
      </w:pPr>
      <w:bookmarkStart w:id="262" w:name="_Toc30610"/>
      <w:bookmarkStart w:id="263" w:name="_Toc30671"/>
      <w:bookmarkStart w:id="264" w:name="_Toc406150410"/>
      <w:bookmarkStart w:id="265" w:name="_Toc457826139"/>
      <w:r>
        <w:rPr>
          <w:rFonts w:hint="eastAsia"/>
          <w:sz w:val="32"/>
          <w:szCs w:val="32"/>
        </w:rPr>
        <w:t>合同</w:t>
      </w:r>
      <w:r>
        <w:rPr>
          <w:rFonts w:hint="eastAsia"/>
          <w:sz w:val="32"/>
          <w:szCs w:val="32"/>
          <w:lang w:eastAsia="zh-CN"/>
        </w:rPr>
        <w:t>（</w:t>
      </w:r>
      <w:r>
        <w:rPr>
          <w:rFonts w:hint="eastAsia"/>
          <w:sz w:val="32"/>
          <w:szCs w:val="32"/>
          <w:lang w:val="en-US" w:eastAsia="zh-CN"/>
        </w:rPr>
        <w:t>拟签订文本</w:t>
      </w:r>
      <w:r>
        <w:rPr>
          <w:rFonts w:hint="eastAsia"/>
          <w:sz w:val="32"/>
          <w:szCs w:val="32"/>
          <w:lang w:eastAsia="zh-CN"/>
        </w:rPr>
        <w:t>）</w:t>
      </w:r>
      <w:bookmarkEnd w:id="262"/>
      <w:bookmarkEnd w:id="263"/>
    </w:p>
    <w:p>
      <w:pPr>
        <w:numPr>
          <w:ilvl w:val="0"/>
          <w:numId w:val="0"/>
        </w:numPr>
        <w:ind w:leftChars="0"/>
        <w:rPr>
          <w:rFonts w:hint="eastAsia"/>
          <w:lang w:eastAsia="zh-CN"/>
        </w:rPr>
      </w:pPr>
    </w:p>
    <w:p>
      <w:pPr>
        <w:widowControl/>
        <w:wordWrap w:val="0"/>
        <w:spacing w:line="360" w:lineRule="auto"/>
        <w:jc w:val="right"/>
        <w:rPr>
          <w:rFonts w:hint="eastAsia" w:ascii="宋体" w:hAnsi="宋体" w:eastAsia="宋体" w:cs="宋体"/>
          <w:bCs/>
          <w:kern w:val="0"/>
          <w:sz w:val="28"/>
          <w:szCs w:val="28"/>
        </w:rPr>
      </w:pPr>
      <w:r>
        <w:rPr>
          <w:rFonts w:hint="eastAsia" w:ascii="宋体" w:hAnsi="宋体" w:eastAsia="宋体" w:cs="宋体"/>
          <w:kern w:val="0"/>
          <w:sz w:val="28"/>
          <w:szCs w:val="28"/>
        </w:rPr>
        <w:t xml:space="preserve">合同编号：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甲方：</w:t>
      </w:r>
      <w:r>
        <w:rPr>
          <w:rFonts w:hint="eastAsia" w:ascii="宋体" w:hAnsi="宋体" w:cs="宋体"/>
          <w:sz w:val="28"/>
          <w:szCs w:val="28"/>
          <w:lang w:eastAsia="zh-CN"/>
        </w:rPr>
        <w:t>志丹县教育科技体育局</w:t>
      </w:r>
      <w:r>
        <w:rPr>
          <w:rFonts w:hint="eastAsia" w:ascii="宋体" w:hAnsi="宋体" w:eastAsia="宋体" w:cs="宋体"/>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乙方：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代理机构</w:t>
      </w:r>
      <w:r>
        <w:rPr>
          <w:rFonts w:hint="eastAsia" w:ascii="宋体" w:hAnsi="宋体" w:eastAsia="宋体" w:cs="宋体"/>
          <w:sz w:val="28"/>
          <w:szCs w:val="28"/>
          <w:lang w:eastAsia="zh-CN"/>
        </w:rPr>
        <w:t>：</w:t>
      </w:r>
      <w:r>
        <w:rPr>
          <w:rFonts w:hint="eastAsia" w:ascii="宋体" w:hAnsi="宋体" w:cs="宋体"/>
          <w:sz w:val="28"/>
          <w:szCs w:val="28"/>
          <w:lang w:eastAsia="zh-CN"/>
        </w:rPr>
        <w:t>陕西宸永项目管理有限公司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依照《中华人民共和国</w:t>
      </w:r>
      <w:r>
        <w:rPr>
          <w:rFonts w:hint="eastAsia" w:ascii="宋体" w:hAnsi="宋体" w:cs="宋体"/>
          <w:sz w:val="28"/>
          <w:szCs w:val="28"/>
          <w:lang w:val="en-US" w:eastAsia="zh-CN"/>
        </w:rPr>
        <w:t>民法典</w:t>
      </w:r>
      <w:r>
        <w:rPr>
          <w:rFonts w:hint="eastAsia" w:ascii="宋体" w:hAnsi="宋体" w:eastAsia="宋体" w:cs="宋体"/>
          <w:sz w:val="28"/>
          <w:szCs w:val="28"/>
          <w:lang w:eastAsia="zh-CN"/>
        </w:rPr>
        <w:t>》、《中华人民共和国建筑法》及其他有关法律、行政法规，遵循平等、自愿、公平和诚实信用的原则，双方就本建设工程施工协商一致，订立本合同。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一、工程概况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工程名称：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工程地点：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工程项目内容：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资金来源：</w:t>
      </w:r>
      <w:r>
        <w:rPr>
          <w:rFonts w:hint="eastAsia" w:ascii="宋体" w:hAnsi="宋体" w:cs="宋体"/>
          <w:sz w:val="28"/>
          <w:szCs w:val="28"/>
          <w:lang w:eastAsia="zh-CN"/>
        </w:rPr>
        <w:t>财政资金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二、工程承包范围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承包范围：该项目工程量清单范围内发包人要求的全部工作内容。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不包括的工程范围：       /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三、合同工期：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工期：</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开工日期：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竣工日期：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四、质量标准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工程质量标准：《建设工程施工质量验收统一标准》GB50300-2013合格标准。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五、合同价款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1.合同总价（大写）：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（小写）￥：元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（其中：工程预留金   /    元，零星工作费    /     元，安全防护、文明施工措施费      /      元，工程分包和材料购置费     /   元，总承包服务费   /  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2.综合单价：详见承包人的报价书。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六、组成合同的文件：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1.本合同协议书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2.本合同专用条款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3.本合同通用条款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4.成交通知书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5.响应文件、工程报价单或预算书及其附件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6.谈判文件、答疑纪要及工程量清单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7.标准、规范及有关技术文件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双方为履行本合同的有关洽商、变更等书面协议、文件，视为本合同的组成部分。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七、本协议书中有关词语含义与合同第二部分《通用条款》中赋予的定义相同。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八、承包人按照合同约定进行施工、竣工并在质量保修期内承担工程质量保修责任。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九、工程经费支付及结算办法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default" w:ascii="宋体" w:hAnsi="宋体" w:eastAsia="宋体" w:cs="宋体"/>
          <w:sz w:val="28"/>
          <w:szCs w:val="28"/>
          <w:u w:val="single"/>
          <w:lang w:val="en-US" w:eastAsia="zh-CN"/>
        </w:rPr>
      </w:pPr>
      <w:r>
        <w:rPr>
          <w:rFonts w:hint="eastAsia" w:ascii="宋体" w:hAnsi="宋体" w:eastAsia="宋体" w:cs="宋体"/>
          <w:sz w:val="28"/>
          <w:szCs w:val="28"/>
          <w:lang w:eastAsia="zh-CN"/>
        </w:rPr>
        <w:t>付款方式</w:t>
      </w:r>
      <w:r>
        <w:rPr>
          <w:rFonts w:hint="eastAsia" w:ascii="宋体" w:hAnsi="宋体" w:cs="宋体"/>
          <w:sz w:val="28"/>
          <w:szCs w:val="28"/>
          <w:lang w:eastAsia="zh-CN"/>
        </w:rPr>
        <w:t>：</w:t>
      </w:r>
      <w:r>
        <w:rPr>
          <w:rFonts w:hint="eastAsia" w:ascii="宋体" w:hAnsi="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十、发包人职责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1.负责施工现场的协调、施工质量检查监督及工程验收工作。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2.负责提供具备正常施工条件。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3.施工中出现问题召集有关部门和单位会商解决。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4.做好隐蔽工程的随检工作，凡隐蔽工程验收不合格，不能进行下道工序。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十一、承包人职责：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1.要组织精良的施工队伍和机具，严格按照施工图纸和技术要求以及有关规范、规程，主动接受甲方的检查监督，保质保量， 按工期要求完成施工任务。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2.严把工程质量关。做好施工记录，备齐所需技术材料，质量检测资料。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3.强化安全施工意识，承担施工期间质量、安全事故的全部责任。凡施工中出现的质量和安全事故，甲方概不负责。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4.积极提供建议，及时向甲方反映施工中出现的问题，并协商解决。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5.严格遵守甲方的各项规章制度，违者按有关规定予以处罚。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6.施工中要做到不扰民，不污染环境，场地整齐、干净，所产生的废料及时清运，不抛撒，对此项做出承诺，若违反由发包人在承包人缴纳的履约保证金中予以处罚，直至保证金全部。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十二、解决纠纷方式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合同履行过程中如发生纠纷，双方应通过协商解决。协商仍不成时可提请延安市仲裁委员会裁决。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十三、合同生效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合同订立时间：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本合同一式</w:t>
      </w:r>
      <w:r>
        <w:rPr>
          <w:rFonts w:hint="eastAsia" w:ascii="宋体" w:hAnsi="宋体" w:cs="宋体"/>
          <w:sz w:val="28"/>
          <w:szCs w:val="28"/>
          <w:lang w:val="en-US" w:eastAsia="zh-CN"/>
        </w:rPr>
        <w:t>肆</w:t>
      </w:r>
      <w:r>
        <w:rPr>
          <w:rFonts w:hint="eastAsia" w:ascii="宋体" w:hAnsi="宋体" w:eastAsia="宋体" w:cs="宋体"/>
          <w:sz w:val="28"/>
          <w:szCs w:val="28"/>
          <w:lang w:eastAsia="zh-CN"/>
        </w:rPr>
        <w:t>份，经供需双方签字盖章后生效，甲方</w:t>
      </w:r>
      <w:r>
        <w:rPr>
          <w:rFonts w:hint="eastAsia" w:ascii="宋体" w:hAnsi="宋体" w:cs="宋体"/>
          <w:sz w:val="28"/>
          <w:szCs w:val="28"/>
          <w:lang w:eastAsia="zh-CN"/>
        </w:rPr>
        <w:t>贰</w:t>
      </w:r>
      <w:r>
        <w:rPr>
          <w:rFonts w:hint="eastAsia" w:ascii="宋体" w:hAnsi="宋体" w:eastAsia="宋体" w:cs="宋体"/>
          <w:sz w:val="28"/>
          <w:szCs w:val="28"/>
          <w:lang w:eastAsia="zh-CN"/>
        </w:rPr>
        <w:t>份，乙方</w:t>
      </w:r>
      <w:r>
        <w:rPr>
          <w:rFonts w:hint="eastAsia" w:ascii="宋体" w:hAnsi="宋体" w:cs="宋体"/>
          <w:sz w:val="28"/>
          <w:szCs w:val="28"/>
          <w:lang w:val="en-US" w:eastAsia="zh-CN"/>
        </w:rPr>
        <w:t>壹</w:t>
      </w:r>
      <w:r>
        <w:rPr>
          <w:rFonts w:hint="eastAsia" w:ascii="宋体" w:hAnsi="宋体" w:eastAsia="宋体" w:cs="宋体"/>
          <w:sz w:val="28"/>
          <w:szCs w:val="28"/>
          <w:lang w:eastAsia="zh-CN"/>
        </w:rPr>
        <w:t>份，鉴证方</w:t>
      </w:r>
      <w:r>
        <w:rPr>
          <w:rFonts w:hint="eastAsia" w:ascii="宋体" w:hAnsi="宋体" w:cs="宋体"/>
          <w:sz w:val="28"/>
          <w:szCs w:val="28"/>
          <w:lang w:val="en-US" w:eastAsia="zh-CN"/>
        </w:rPr>
        <w:t>壹</w:t>
      </w:r>
      <w:r>
        <w:rPr>
          <w:rFonts w:hint="eastAsia" w:ascii="宋体" w:hAnsi="宋体" w:eastAsia="宋体" w:cs="宋体"/>
          <w:sz w:val="28"/>
          <w:szCs w:val="28"/>
          <w:lang w:eastAsia="zh-CN"/>
        </w:rPr>
        <w:t>份，均具有同等法律效力。</w:t>
      </w:r>
    </w:p>
    <w:p>
      <w:pPr>
        <w:keepNext w:val="0"/>
        <w:keepLines w:val="0"/>
        <w:pageBreakBefore w:val="0"/>
        <w:widowControl w:val="0"/>
        <w:kinsoku w:val="0"/>
        <w:wordWrap/>
        <w:overflowPunct/>
        <w:topLinePunct w:val="0"/>
        <w:autoSpaceDE/>
        <w:autoSpaceDN/>
        <w:bidi w:val="0"/>
        <w:adjustRightInd/>
        <w:snapToGrid/>
        <w:spacing w:line="590" w:lineRule="exact"/>
        <w:ind w:left="0" w:leftChars="0" w:right="0" w:rightChars="0" w:firstLine="480" w:firstLineChars="200"/>
        <w:jc w:val="both"/>
        <w:textAlignment w:val="auto"/>
        <w:outlineLvl w:val="9"/>
        <w:rPr>
          <w:rFonts w:hint="eastAsia" w:ascii="宋体" w:hAnsi="宋体" w:eastAsia="宋体" w:cs="宋体"/>
          <w:bCs/>
          <w:sz w:val="24"/>
          <w:szCs w:val="24"/>
        </w:rPr>
      </w:pPr>
    </w:p>
    <w:p>
      <w:pPr>
        <w:pStyle w:val="16"/>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bookmarkEnd w:id="264"/>
    <w:bookmarkEnd w:id="265"/>
    <w:tbl>
      <w:tblPr>
        <w:tblStyle w:val="33"/>
        <w:tblpPr w:leftFromText="180" w:rightFromText="180" w:vertAnchor="text" w:horzAnchor="page" w:tblpX="1342" w:tblpY="260"/>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jc w:val="both"/>
              <w:rPr>
                <w:rFonts w:hint="eastAsia" w:ascii="宋体" w:hAnsi="宋体" w:eastAsia="宋体" w:cs="宋体"/>
                <w:bCs/>
                <w:sz w:val="28"/>
                <w:szCs w:val="28"/>
              </w:rPr>
            </w:pPr>
            <w:r>
              <w:rPr>
                <w:rFonts w:hint="eastAsia" w:ascii="宋体" w:hAnsi="宋体" w:eastAsia="宋体" w:cs="宋体"/>
                <w:bCs/>
                <w:sz w:val="28"/>
                <w:szCs w:val="28"/>
              </w:rPr>
              <w:t>甲  方</w:t>
            </w:r>
          </w:p>
        </w:tc>
        <w:tc>
          <w:tcPr>
            <w:tcW w:w="3260" w:type="dxa"/>
            <w:noWrap w:val="0"/>
            <w:vAlign w:val="top"/>
          </w:tcPr>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乙  方</w:t>
            </w:r>
          </w:p>
        </w:tc>
        <w:tc>
          <w:tcPr>
            <w:tcW w:w="3260" w:type="dxa"/>
            <w:noWrap w:val="0"/>
            <w:vAlign w:val="top"/>
          </w:tcPr>
          <w:p>
            <w:pPr>
              <w:spacing w:line="420" w:lineRule="exact"/>
              <w:jc w:val="center"/>
              <w:rPr>
                <w:rFonts w:hint="default" w:ascii="宋体" w:hAnsi="宋体" w:eastAsia="宋体" w:cs="宋体"/>
                <w:bCs/>
                <w:sz w:val="28"/>
                <w:szCs w:val="28"/>
                <w:lang w:val="en-US"/>
              </w:rPr>
            </w:pPr>
            <w:r>
              <w:rPr>
                <w:rFonts w:hint="eastAsia" w:ascii="宋体" w:hAnsi="宋体" w:cs="宋体"/>
                <w:sz w:val="28"/>
                <w:szCs w:val="28"/>
                <w:lang w:val="en-US" w:eastAsia="zh-CN"/>
              </w:rPr>
              <w:t>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r>
              <w:rPr>
                <w:rFonts w:hint="eastAsia" w:ascii="宋体" w:hAnsi="宋体" w:eastAsia="宋体" w:cs="宋体"/>
                <w:bCs/>
                <w:sz w:val="28"/>
                <w:szCs w:val="28"/>
                <w:lang w:val="en-US" w:eastAsia="zh-CN"/>
              </w:rPr>
              <w:t xml:space="preserve"> 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r>
              <w:rPr>
                <w:rFonts w:hint="eastAsia" w:ascii="宋体" w:hAnsi="宋体" w:eastAsia="宋体" w:cs="宋体"/>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 xml:space="preserve">法定代表人： </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default" w:ascii="宋体" w:hAnsi="宋体" w:eastAsia="宋体" w:cs="宋体"/>
                <w:bCs/>
                <w:sz w:val="28"/>
                <w:szCs w:val="28"/>
                <w:lang w:val="en-US"/>
              </w:rPr>
            </w:pPr>
            <w:r>
              <w:rPr>
                <w:rFonts w:hint="eastAsia" w:ascii="宋体" w:hAnsi="宋体" w:eastAsia="宋体" w:cs="宋体"/>
                <w:bCs/>
                <w:sz w:val="28"/>
                <w:szCs w:val="28"/>
              </w:rPr>
              <w:t>电话：</w:t>
            </w:r>
            <w:r>
              <w:rPr>
                <w:rFonts w:hint="eastAsia" w:ascii="宋体" w:hAnsi="宋体" w:eastAsia="宋体" w:cs="宋体"/>
                <w:bCs/>
                <w:sz w:val="28"/>
                <w:szCs w:val="28"/>
                <w:lang w:val="en-US" w:eastAsia="zh-CN"/>
              </w:rPr>
              <w:t xml:space="preserve"> </w:t>
            </w:r>
            <w:r>
              <w:rPr>
                <w:rFonts w:hint="eastAsia" w:ascii="宋体" w:hAnsi="宋体" w:cs="宋体"/>
                <w:bCs/>
                <w:sz w:val="28"/>
                <w:szCs w:val="28"/>
                <w:lang w:val="en-US" w:eastAsia="zh-CN"/>
              </w:rPr>
              <w:t>0911-8688810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开户银行：</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帐号：</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r>
    </w:tbl>
    <w:p>
      <w:pPr>
        <w:numPr>
          <w:ilvl w:val="0"/>
          <w:numId w:val="0"/>
        </w:numPr>
        <w:rPr>
          <w:rFonts w:hint="eastAsia" w:ascii="宋体" w:hAnsi="宋体" w:eastAsia="宋体" w:cs="宋体"/>
        </w:rPr>
      </w:pPr>
    </w:p>
    <w:p>
      <w:pPr>
        <w:pStyle w:val="3"/>
        <w:keepNext w:val="0"/>
        <w:pageBreakBefore/>
        <w:numPr>
          <w:ilvl w:val="0"/>
          <w:numId w:val="0"/>
        </w:numPr>
        <w:ind w:leftChars="0"/>
        <w:jc w:val="center"/>
        <w:rPr>
          <w:rFonts w:hint="eastAsia" w:ascii="宋体" w:hAnsi="宋体" w:eastAsia="宋体" w:cs="宋体"/>
          <w:sz w:val="28"/>
          <w:szCs w:val="28"/>
          <w:lang w:eastAsia="zh-CN"/>
        </w:rPr>
      </w:pPr>
      <w:bookmarkStart w:id="266" w:name="_Toc22897"/>
      <w:r>
        <w:rPr>
          <w:rFonts w:hint="eastAsia" w:ascii="宋体" w:hAnsi="宋体" w:cs="宋体"/>
          <w:color w:val="000000" w:themeColor="text1"/>
          <w:sz w:val="30"/>
          <w:szCs w:val="30"/>
          <w:lang w:eastAsia="zh-CN"/>
          <w14:textFill>
            <w14:solidFill>
              <w14:schemeClr w14:val="tx1"/>
            </w14:solidFill>
          </w14:textFill>
        </w:rPr>
        <w:t>第五章</w:t>
      </w:r>
      <w:r>
        <w:rPr>
          <w:rFonts w:hint="eastAsia" w:ascii="宋体" w:hAnsi="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采购内容和技术要求</w:t>
      </w:r>
      <w:bookmarkEnd w:id="266"/>
    </w:p>
    <w:p>
      <w:pPr>
        <w:jc w:val="center"/>
        <w:rPr>
          <w:rFonts w:hint="eastAsia" w:ascii="宋体" w:hAnsi="宋体" w:eastAsia="宋体" w:cs="宋体"/>
          <w:b/>
          <w:color w:val="000000" w:themeColor="text1"/>
          <w:kern w:val="44"/>
          <w:sz w:val="30"/>
          <w:szCs w:val="30"/>
          <w:lang w:val="en-US" w:eastAsia="zh-CN" w:bidi="ar-SA"/>
          <w14:textFill>
            <w14:solidFill>
              <w14:schemeClr w14:val="tx1"/>
            </w14:solidFill>
          </w14:textFill>
        </w:rPr>
      </w:pPr>
      <w:r>
        <w:rPr>
          <w:rFonts w:hint="eastAsia" w:ascii="宋体" w:hAnsi="宋体" w:eastAsia="宋体" w:cs="宋体"/>
          <w:b/>
          <w:color w:val="000000" w:themeColor="text1"/>
          <w:kern w:val="44"/>
          <w:sz w:val="30"/>
          <w:szCs w:val="30"/>
          <w:lang w:val="en-US" w:eastAsia="zh-CN" w:bidi="ar-SA"/>
          <w14:textFill>
            <w14:solidFill>
              <w14:schemeClr w14:val="tx1"/>
            </w14:solidFill>
          </w14:textFill>
        </w:rPr>
        <w:t>编制说明</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eastAsia="宋体" w:cs="宋体"/>
          <w:b/>
          <w:bCs/>
          <w:sz w:val="28"/>
          <w:szCs w:val="28"/>
          <w:lang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eastAsia="zh-CN"/>
        </w:rPr>
        <w:t>工程概况：</w:t>
      </w:r>
    </w:p>
    <w:p>
      <w:pPr>
        <w:spacing w:line="360" w:lineRule="auto"/>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本工程为</w:t>
      </w:r>
      <w:r>
        <w:rPr>
          <w:rFonts w:hint="eastAsia" w:ascii="宋体" w:hAnsi="宋体" w:cs="宋体"/>
          <w:sz w:val="28"/>
          <w:szCs w:val="28"/>
          <w:lang w:val="en-US" w:eastAsia="zh-CN"/>
        </w:rPr>
        <w:t>旦八镇初级中学等8所学校足球场人造草坪维修改造工程</w:t>
      </w:r>
      <w:r>
        <w:rPr>
          <w:rFonts w:hint="eastAsia" w:ascii="宋体" w:hAnsi="宋体" w:eastAsia="宋体" w:cs="宋体"/>
          <w:sz w:val="28"/>
          <w:szCs w:val="28"/>
          <w:lang w:eastAsia="zh-CN"/>
        </w:rPr>
        <w:t>位于陕西省延安</w:t>
      </w:r>
      <w:r>
        <w:rPr>
          <w:rFonts w:hint="eastAsia" w:ascii="宋体" w:hAnsi="宋体" w:cs="宋体"/>
          <w:sz w:val="28"/>
          <w:szCs w:val="28"/>
          <w:lang w:val="en-US" w:eastAsia="zh-CN"/>
        </w:rPr>
        <w:t>市志丹县</w:t>
      </w:r>
      <w:r>
        <w:rPr>
          <w:rFonts w:hint="eastAsia" w:ascii="宋体" w:hAnsi="宋体" w:eastAsia="宋体" w:cs="宋体"/>
          <w:sz w:val="28"/>
          <w:szCs w:val="28"/>
          <w:lang w:eastAsia="zh-CN"/>
        </w:rPr>
        <w:t>，主要工程内容</w:t>
      </w:r>
      <w:r>
        <w:rPr>
          <w:rFonts w:hint="eastAsia" w:ascii="宋体" w:hAnsi="宋体" w:eastAsia="宋体" w:cs="宋体"/>
          <w:sz w:val="28"/>
          <w:szCs w:val="28"/>
          <w:lang w:val="en-US" w:eastAsia="zh-CN"/>
        </w:rPr>
        <w:t>为</w:t>
      </w:r>
      <w:bookmarkStart w:id="267" w:name="_Toc3645"/>
      <w:r>
        <w:rPr>
          <w:rFonts w:hint="eastAsia" w:ascii="宋体" w:hAnsi="宋体" w:eastAsia="宋体" w:cs="宋体"/>
          <w:sz w:val="28"/>
          <w:szCs w:val="28"/>
          <w:lang w:val="en-US" w:eastAsia="zh-CN"/>
        </w:rPr>
        <w:t>对旦八镇初级中学，红都小学，金丁镇中心小学，创新实验小学，永宁镇中心小学，侯市小学，红军小学，吴堡小学等8所学校足球场更换人造草坪等。</w:t>
      </w: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center"/>
        <w:rPr>
          <w:rFonts w:hint="eastAsia" w:ascii="宋体" w:hAnsi="宋体" w:cs="宋体"/>
          <w:color w:val="000000" w:themeColor="text1"/>
          <w:sz w:val="52"/>
          <w:szCs w:val="52"/>
          <w:lang w:val="en-US" w:eastAsia="zh-CN"/>
          <w14:textFill>
            <w14:solidFill>
              <w14:schemeClr w14:val="tx1"/>
            </w14:solidFill>
          </w14:textFill>
        </w:rPr>
      </w:pPr>
      <w:r>
        <w:rPr>
          <w:rFonts w:hint="eastAsia" w:ascii="宋体" w:hAnsi="宋体" w:cs="宋体"/>
          <w:color w:val="000000" w:themeColor="text1"/>
          <w:sz w:val="52"/>
          <w:szCs w:val="52"/>
          <w:lang w:val="en-US" w:eastAsia="zh-CN"/>
          <w14:textFill>
            <w14:solidFill>
              <w14:schemeClr w14:val="tx1"/>
            </w14:solidFill>
          </w14:textFill>
        </w:rPr>
        <w:t>工程量清单</w:t>
      </w:r>
    </w:p>
    <w:p>
      <w:pPr>
        <w:jc w:val="center"/>
        <w:rPr>
          <w:rFonts w:hint="default"/>
          <w:sz w:val="52"/>
          <w:szCs w:val="52"/>
          <w:lang w:val="en-US" w:eastAsia="zh-CN"/>
        </w:rPr>
      </w:pPr>
      <w:r>
        <w:rPr>
          <w:rFonts w:hint="eastAsia" w:ascii="宋体" w:hAnsi="宋体" w:cs="宋体"/>
          <w:color w:val="000000" w:themeColor="text1"/>
          <w:sz w:val="52"/>
          <w:szCs w:val="52"/>
          <w:lang w:val="en-US" w:eastAsia="zh-CN"/>
          <w14:textFill>
            <w14:solidFill>
              <w14:schemeClr w14:val="tx1"/>
            </w14:solidFill>
          </w14:textFill>
        </w:rPr>
        <w:t>另附</w:t>
      </w:r>
    </w:p>
    <w:p>
      <w:pPr>
        <w:pStyle w:val="3"/>
        <w:keepNext w:val="0"/>
        <w:pageBreakBefore/>
        <w:numPr>
          <w:ilvl w:val="0"/>
          <w:numId w:val="0"/>
        </w:numPr>
        <w:tabs>
          <w:tab w:val="left" w:pos="2898"/>
          <w:tab w:val="center" w:pos="5348"/>
        </w:tabs>
        <w:ind w:leftChars="0"/>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 xml:space="preserve">第六章  </w:t>
      </w:r>
      <w:r>
        <w:rPr>
          <w:rFonts w:hint="eastAsia" w:ascii="宋体" w:hAnsi="宋体" w:eastAsia="宋体" w:cs="宋体"/>
          <w:color w:val="000000" w:themeColor="text1"/>
          <w:sz w:val="30"/>
          <w:szCs w:val="30"/>
          <w14:textFill>
            <w14:solidFill>
              <w14:schemeClr w14:val="tx1"/>
            </w14:solidFill>
          </w14:textFill>
        </w:rPr>
        <w:t>磋商响应文件格式</w:t>
      </w:r>
      <w:bookmarkEnd w:id="267"/>
    </w:p>
    <w:p>
      <w:pPr>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文件格式由本章目录所列第1部分至第</w:t>
      </w:r>
      <w:r>
        <w:rPr>
          <w:rFonts w:hint="eastAsia" w:ascii="宋体" w:hAnsi="宋体" w:cs="宋体"/>
          <w:b w:val="0"/>
          <w:bCs/>
          <w:color w:val="000000"/>
          <w:sz w:val="28"/>
          <w:szCs w:val="28"/>
          <w:lang w:val="en-US" w:eastAsia="zh-CN"/>
        </w:rPr>
        <w:t>9</w:t>
      </w:r>
      <w:r>
        <w:rPr>
          <w:rFonts w:hint="eastAsia" w:ascii="宋体" w:hAnsi="宋体" w:eastAsia="宋体" w:cs="宋体"/>
          <w:b w:val="0"/>
          <w:bCs/>
          <w:color w:val="000000"/>
          <w:sz w:val="28"/>
          <w:szCs w:val="28"/>
        </w:rPr>
        <w:t>部分构成。</w:t>
      </w:r>
      <w:r>
        <w:rPr>
          <w:rFonts w:hint="eastAsia" w:ascii="宋体" w:hAnsi="宋体" w:eastAsia="宋体" w:cs="宋体"/>
          <w:b w:val="0"/>
          <w:bCs/>
          <w:color w:val="000000"/>
          <w:sz w:val="28"/>
          <w:szCs w:val="28"/>
          <w:lang w:eastAsia="zh-CN"/>
        </w:rPr>
        <w:t>不得缺项漏项，否则按废标处理，其中资格证明文件还应单独提供，相应要求详见资格审查</w:t>
      </w:r>
      <w:r>
        <w:rPr>
          <w:rFonts w:hint="eastAsia" w:ascii="宋体" w:hAnsi="宋体" w:cs="宋体"/>
          <w:b w:val="0"/>
          <w:bCs/>
          <w:color w:val="000000"/>
          <w:sz w:val="28"/>
          <w:szCs w:val="28"/>
          <w:lang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2.供应商应认真审阅本章内容，并参照格式要求编制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文件。凡未按格式要求编制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文件而造成的不利后果，由供应商自行承担。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文件的正、副本必须按照要求编制，凡正、副本不相符的，以正本为准。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eastAsia="宋体" w:cs="宋体"/>
          <w:b w:val="0"/>
          <w:bCs/>
          <w:color w:val="000000"/>
          <w:sz w:val="28"/>
          <w:szCs w:val="28"/>
          <w:lang w:val="en-US" w:eastAsia="zh-CN"/>
        </w:rPr>
        <w:t>4.</w:t>
      </w:r>
      <w:r>
        <w:rPr>
          <w:rFonts w:hint="eastAsia" w:ascii="宋体" w:hAnsi="宋体" w:cs="宋体"/>
          <w:b w:val="0"/>
          <w:bCs/>
          <w:color w:val="000000"/>
          <w:sz w:val="28"/>
          <w:szCs w:val="28"/>
          <w:lang w:val="en-US" w:eastAsia="zh-CN"/>
        </w:rPr>
        <w:t>响应</w:t>
      </w:r>
      <w:r>
        <w:rPr>
          <w:rFonts w:hint="eastAsia" w:ascii="宋体" w:hAnsi="宋体" w:eastAsia="宋体" w:cs="宋体"/>
          <w:b w:val="0"/>
          <w:bCs/>
          <w:color w:val="000000"/>
          <w:sz w:val="28"/>
          <w:szCs w:val="28"/>
          <w:lang w:val="en-US" w:eastAsia="zh-CN"/>
        </w:rPr>
        <w:t>文件的正本和所有的副本、资格文件必须全部打印并分别装订成册，并编制目录，统一装订、编码，必须在每一页的下方清楚标明。</w:t>
      </w:r>
      <w:r>
        <w:rPr>
          <w:rFonts w:hint="eastAsia"/>
        </w:rPr>
        <w:br w:type="page"/>
      </w:r>
    </w:p>
    <w:tbl>
      <w:tblPr>
        <w:tblStyle w:val="33"/>
        <w:tblpPr w:leftFromText="180" w:rightFromText="180" w:vertAnchor="text" w:horzAnchor="margin" w:tblpXSpec="right" w:tblpY="157"/>
        <w:tblW w:w="1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4" w:type="dxa"/>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sz w:val="30"/>
                <w:szCs w:val="30"/>
                <w:lang w:val="zh-CN"/>
                <w14:textFill>
                  <w14:solidFill>
                    <w14:schemeClr w14:val="tx1"/>
                  </w14:solidFill>
                </w14:textFill>
              </w:rPr>
            </w:pPr>
            <w:r>
              <w:rPr>
                <w:rFonts w:hint="eastAsia" w:ascii="宋体" w:hAnsi="宋体" w:eastAsia="宋体" w:cs="宋体"/>
                <w:b/>
                <w:bCs/>
                <w:color w:val="000000" w:themeColor="text1"/>
                <w:sz w:val="30"/>
                <w:szCs w:val="30"/>
                <w:lang w:val="zh-CN"/>
                <w14:textFill>
                  <w14:solidFill>
                    <w14:schemeClr w14:val="tx1"/>
                  </w14:solidFill>
                </w14:textFill>
              </w:rPr>
              <w:t>正本/副本</w:t>
            </w:r>
          </w:p>
        </w:tc>
      </w:tr>
    </w:tbl>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rPr>
          <w:rFonts w:hint="default" w:ascii="宋体" w:hAnsi="宋体" w:eastAsia="宋体" w:cs="宋体"/>
          <w:b/>
          <w:bCs w:val="0"/>
          <w:i/>
          <w:iCs/>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SXCY2023-33</w:t>
      </w: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cs="宋体"/>
          <w:b/>
          <w:color w:val="000000" w:themeColor="text1"/>
          <w:sz w:val="48"/>
          <w:szCs w:val="48"/>
          <w:lang w:val="en-US" w:eastAsia="zh-CN"/>
          <w14:textFill>
            <w14:solidFill>
              <w14:schemeClr w14:val="tx1"/>
            </w14:solidFill>
          </w14:textFill>
        </w:rPr>
        <w:t>旦八镇初级中学等8所学校足球场人造草坪维修改造工程</w:t>
      </w:r>
    </w:p>
    <w:p>
      <w:pPr>
        <w:pStyle w:val="16"/>
        <w:rPr>
          <w:rFonts w:hint="eastAsia" w:ascii="宋体" w:hAnsi="宋体" w:eastAsia="宋体" w:cs="宋体"/>
          <w:b/>
          <w:color w:val="000000" w:themeColor="text1"/>
          <w:sz w:val="30"/>
          <w:szCs w:val="30"/>
          <w14:textFill>
            <w14:solidFill>
              <w14:schemeClr w14:val="tx1"/>
            </w14:solidFill>
          </w14:textFill>
        </w:rPr>
      </w:pPr>
    </w:p>
    <w:p>
      <w:pPr>
        <w:pStyle w:val="16"/>
        <w:rPr>
          <w:rFonts w:hint="eastAsia" w:ascii="宋体" w:hAnsi="宋体" w:eastAsia="宋体" w:cs="宋体"/>
          <w:b/>
          <w:color w:val="000000" w:themeColor="text1"/>
          <w:sz w:val="30"/>
          <w:szCs w:val="30"/>
          <w14:textFill>
            <w14:solidFill>
              <w14:schemeClr w14:val="tx1"/>
            </w14:solidFill>
          </w14:textFill>
        </w:rPr>
      </w:pPr>
    </w:p>
    <w:p>
      <w:pPr>
        <w:rPr>
          <w:rFonts w:hint="eastAsia" w:ascii="宋体" w:hAnsi="宋体" w:eastAsia="宋体" w:cs="宋体"/>
          <w:b/>
          <w:color w:val="000000" w:themeColor="text1"/>
          <w:sz w:val="30"/>
          <w:szCs w:val="30"/>
          <w14:textFill>
            <w14:solidFill>
              <w14:schemeClr w14:val="tx1"/>
            </w14:solidFill>
          </w14:textFill>
        </w:rPr>
      </w:pPr>
    </w:p>
    <w:p>
      <w:pPr>
        <w:pStyle w:val="16"/>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磋商响应文件</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rPr>
      </w:pPr>
    </w:p>
    <w:p>
      <w:pPr>
        <w:pStyle w:val="16"/>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602" w:firstLineChars="200"/>
        <w:rPr>
          <w:rFonts w:hint="eastAsia" w:ascii="宋体" w:hAnsi="宋体" w:eastAsia="宋体" w:cs="宋体"/>
          <w:b/>
          <w:color w:val="000000" w:themeColor="text1"/>
          <w:sz w:val="30"/>
          <w:szCs w:val="30"/>
          <w:u w:val="single"/>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供</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应</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商：</w:t>
      </w:r>
      <w:r>
        <w:rPr>
          <w:rFonts w:hint="eastAsia" w:ascii="宋体" w:hAnsi="宋体" w:eastAsia="宋体" w:cs="宋体"/>
          <w:b/>
          <w:color w:val="000000" w:themeColor="text1"/>
          <w:sz w:val="30"/>
          <w:szCs w:val="30"/>
          <w:u w:val="single"/>
          <w14:textFill>
            <w14:solidFill>
              <w14:schemeClr w14:val="tx1"/>
            </w14:solidFill>
          </w14:textFill>
        </w:rPr>
        <w:t xml:space="preserve">          （单位全称）      </w:t>
      </w:r>
      <w:r>
        <w:rPr>
          <w:rFonts w:hint="eastAsia" w:ascii="宋体" w:hAnsi="宋体" w:eastAsia="宋体" w:cs="宋体"/>
          <w:b/>
          <w:color w:val="000000" w:themeColor="text1"/>
          <w:sz w:val="30"/>
          <w:szCs w:val="30"/>
          <w14:textFill>
            <w14:solidFill>
              <w14:schemeClr w14:val="tx1"/>
            </w14:solidFill>
          </w14:textFill>
        </w:rPr>
        <w:t>（盖单位公章）</w:t>
      </w:r>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bookmarkStart w:id="268" w:name="_Toc343512253"/>
      <w:r>
        <w:rPr>
          <w:rFonts w:hint="eastAsia" w:ascii="宋体" w:hAnsi="宋体" w:eastAsia="宋体" w:cs="宋体"/>
          <w:b/>
          <w:color w:val="000000" w:themeColor="text1"/>
          <w:sz w:val="30"/>
          <w:szCs w:val="30"/>
          <w14:textFill>
            <w14:solidFill>
              <w14:schemeClr w14:val="tx1"/>
            </w14:solidFill>
          </w14:textFill>
        </w:rPr>
        <w:t>法定代表人：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lang w:eastAsia="zh-CN"/>
          <w14:textFill>
            <w14:solidFill>
              <w14:schemeClr w14:val="tx1"/>
            </w14:solidFill>
          </w14:textFill>
        </w:rPr>
        <w:t>签字或盖章</w:t>
      </w:r>
      <w:r>
        <w:rPr>
          <w:rFonts w:hint="eastAsia" w:ascii="宋体" w:hAnsi="宋体" w:eastAsia="宋体" w:cs="宋体"/>
          <w:b/>
          <w:color w:val="000000" w:themeColor="text1"/>
          <w:sz w:val="30"/>
          <w:szCs w:val="30"/>
          <w14:textFill>
            <w14:solidFill>
              <w14:schemeClr w14:val="tx1"/>
            </w14:solidFill>
          </w14:textFill>
        </w:rPr>
        <w:t>）</w:t>
      </w:r>
      <w:bookmarkEnd w:id="268"/>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委托代理人：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（签字）</w:t>
      </w:r>
    </w:p>
    <w:p>
      <w:pPr>
        <w:spacing w:line="360" w:lineRule="auto"/>
        <w:ind w:firstLine="602" w:firstLineChars="200"/>
        <w:jc w:val="both"/>
        <w:rPr>
          <w:rFonts w:hint="eastAsia" w:ascii="宋体" w:hAnsi="宋体" w:eastAsia="宋体" w:cs="宋体"/>
          <w:b/>
          <w:color w:val="000000" w:themeColor="text1"/>
          <w:sz w:val="30"/>
          <w:szCs w:val="30"/>
          <w14:textFill>
            <w14:solidFill>
              <w14:schemeClr w14:val="tx1"/>
            </w14:solidFill>
          </w14:textFill>
        </w:rPr>
      </w:pPr>
      <w:bookmarkStart w:id="269" w:name="_Toc343512254"/>
      <w:r>
        <w:rPr>
          <w:rFonts w:hint="eastAsia" w:ascii="宋体" w:hAnsi="宋体" w:cs="宋体"/>
          <w:b/>
          <w:color w:val="000000" w:themeColor="text1"/>
          <w:sz w:val="30"/>
          <w:szCs w:val="30"/>
          <w:u w:val="none"/>
          <w:lang w:eastAsia="zh-CN"/>
          <w14:textFill>
            <w14:solidFill>
              <w14:schemeClr w14:val="tx1"/>
            </w14:solidFill>
          </w14:textFill>
        </w:rPr>
        <w:t>日</w:t>
      </w:r>
      <w:r>
        <w:rPr>
          <w:rFonts w:hint="eastAsia" w:ascii="宋体" w:hAnsi="宋体" w:cs="宋体"/>
          <w:b/>
          <w:color w:val="000000" w:themeColor="text1"/>
          <w:sz w:val="30"/>
          <w:szCs w:val="30"/>
          <w:u w:val="none"/>
          <w:lang w:val="en-US" w:eastAsia="zh-CN"/>
          <w14:textFill>
            <w14:solidFill>
              <w14:schemeClr w14:val="tx1"/>
            </w14:solidFill>
          </w14:textFill>
        </w:rPr>
        <w:t xml:space="preserve">      </w:t>
      </w:r>
      <w:r>
        <w:rPr>
          <w:rFonts w:hint="eastAsia" w:ascii="宋体" w:hAnsi="宋体" w:cs="宋体"/>
          <w:b/>
          <w:color w:val="000000" w:themeColor="text1"/>
          <w:sz w:val="30"/>
          <w:szCs w:val="30"/>
          <w:u w:val="none"/>
          <w:lang w:eastAsia="zh-CN"/>
          <w14:textFill>
            <w14:solidFill>
              <w14:schemeClr w14:val="tx1"/>
            </w14:solidFill>
          </w14:textFill>
        </w:rPr>
        <w:t>期：</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年</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月</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日</w:t>
      </w:r>
      <w:bookmarkEnd w:id="269"/>
    </w:p>
    <w:p>
      <w:pPr>
        <w:spacing w:line="360" w:lineRule="auto"/>
        <w:rPr>
          <w:rFonts w:hint="eastAsia" w:ascii="宋体" w:hAnsi="宋体" w:eastAsia="宋体" w:cs="宋体"/>
          <w:color w:val="000000" w:themeColor="text1"/>
          <w14:textFill>
            <w14:solidFill>
              <w14:schemeClr w14:val="tx1"/>
            </w14:solidFill>
          </w14:textFill>
        </w:rPr>
        <w:sectPr>
          <w:footerReference r:id="rId11" w:type="default"/>
          <w:pgSz w:w="11906" w:h="16838"/>
          <w:pgMar w:top="1440" w:right="1440" w:bottom="1440" w:left="1440" w:header="851" w:footer="992" w:gutter="0"/>
          <w:pgNumType w:fmt="decimal"/>
          <w:cols w:space="720" w:num="1"/>
          <w:titlePg/>
          <w:docGrid w:linePitch="312" w:charSpace="0"/>
        </w:sectPr>
      </w:pP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bookmarkStart w:id="270" w:name="_Toc420591500"/>
      <w:bookmarkStart w:id="271" w:name="_Toc420591666"/>
      <w:bookmarkStart w:id="272" w:name="_Toc421778385"/>
      <w:bookmarkStart w:id="273" w:name="_Toc372885969"/>
      <w:r>
        <w:rPr>
          <w:rFonts w:hint="eastAsia" w:ascii="宋体" w:hAnsi="宋体" w:eastAsia="宋体" w:cs="宋体"/>
          <w:b/>
          <w:color w:val="000000" w:themeColor="text1"/>
          <w:sz w:val="44"/>
          <w:szCs w:val="44"/>
          <w14:textFill>
            <w14:solidFill>
              <w14:schemeClr w14:val="tx1"/>
            </w14:solidFill>
          </w14:textFill>
        </w:rPr>
        <w:t>目    录</w:t>
      </w:r>
      <w:bookmarkEnd w:id="270"/>
      <w:bookmarkEnd w:id="271"/>
      <w:bookmarkEnd w:id="272"/>
      <w:bookmarkEnd w:id="273"/>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一、</w:t>
      </w:r>
      <w:r>
        <w:rPr>
          <w:rFonts w:hint="eastAsia" w:ascii="宋体" w:hAnsi="宋体" w:cs="宋体"/>
          <w:b/>
          <w:bCs/>
          <w:color w:val="000000" w:themeColor="text1"/>
          <w:sz w:val="28"/>
          <w:szCs w:val="24"/>
          <w:lang w:val="en-US" w:eastAsia="zh-CN"/>
          <w14:textFill>
            <w14:solidFill>
              <w14:schemeClr w14:val="tx1"/>
            </w14:solidFill>
          </w14:textFill>
        </w:rPr>
        <w:t>响应</w:t>
      </w:r>
      <w:r>
        <w:rPr>
          <w:rFonts w:hint="eastAsia" w:ascii="宋体" w:hAnsi="宋体" w:eastAsia="宋体" w:cs="宋体"/>
          <w:b/>
          <w:bCs/>
          <w:color w:val="000000" w:themeColor="text1"/>
          <w:sz w:val="28"/>
          <w:szCs w:val="24"/>
          <w14:textFill>
            <w14:solidFill>
              <w14:schemeClr w14:val="tx1"/>
            </w14:solidFill>
          </w14:textFill>
        </w:rPr>
        <w:t>函</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二、磋商一览表（</w:t>
      </w:r>
      <w:r>
        <w:rPr>
          <w:rFonts w:hint="eastAsia" w:ascii="宋体" w:hAnsi="宋体" w:cs="宋体"/>
          <w:b/>
          <w:bCs/>
          <w:color w:val="000000" w:themeColor="text1"/>
          <w:sz w:val="28"/>
          <w:szCs w:val="24"/>
          <w:lang w:eastAsia="zh-CN"/>
          <w14:textFill>
            <w14:solidFill>
              <w14:schemeClr w14:val="tx1"/>
            </w14:solidFill>
          </w14:textFill>
        </w:rPr>
        <w:t>一</w:t>
      </w:r>
      <w:r>
        <w:rPr>
          <w:rFonts w:hint="eastAsia" w:ascii="宋体" w:hAnsi="宋体" w:eastAsia="宋体" w:cs="宋体"/>
          <w:b/>
          <w:bCs/>
          <w:color w:val="000000" w:themeColor="text1"/>
          <w:sz w:val="28"/>
          <w:szCs w:val="24"/>
          <w14:textFill>
            <w14:solidFill>
              <w14:schemeClr w14:val="tx1"/>
            </w14:solidFill>
          </w14:textFill>
        </w:rPr>
        <w:t>次）</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三、法定代表人身份证明</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四、法定代表人授权委托书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五</w:t>
      </w:r>
      <w:r>
        <w:rPr>
          <w:rFonts w:hint="eastAsia" w:ascii="宋体" w:hAnsi="宋体" w:eastAsia="宋体" w:cs="宋体"/>
          <w:b/>
          <w:bCs/>
          <w:color w:val="000000" w:themeColor="text1"/>
          <w:sz w:val="28"/>
          <w:szCs w:val="24"/>
          <w14:textFill>
            <w14:solidFill>
              <w14:schemeClr w14:val="tx1"/>
            </w14:solidFill>
          </w14:textFill>
        </w:rPr>
        <w:t>、技术方案</w:t>
      </w:r>
    </w:p>
    <w:p>
      <w:pPr>
        <w:spacing w:line="360" w:lineRule="auto"/>
        <w:ind w:firstLine="562" w:firstLineChars="200"/>
        <w:rPr>
          <w:rFonts w:hint="eastAsia" w:ascii="宋体" w:hAnsi="宋体" w:cs="宋体"/>
          <w:b/>
          <w:bCs/>
          <w:color w:val="000000" w:themeColor="text1"/>
          <w:sz w:val="28"/>
          <w:szCs w:val="24"/>
          <w:lang w:eastAsia="zh-CN"/>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六</w:t>
      </w:r>
      <w:r>
        <w:rPr>
          <w:rFonts w:hint="eastAsia" w:ascii="宋体" w:hAnsi="宋体" w:eastAsia="宋体" w:cs="宋体"/>
          <w:b/>
          <w:bCs/>
          <w:color w:val="000000" w:themeColor="text1"/>
          <w:sz w:val="28"/>
          <w:szCs w:val="24"/>
          <w14:textFill>
            <w14:solidFill>
              <w14:schemeClr w14:val="tx1"/>
            </w14:solidFill>
          </w14:textFill>
        </w:rPr>
        <w:t>、商务方案</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七</w:t>
      </w:r>
      <w:r>
        <w:rPr>
          <w:rFonts w:hint="eastAsia" w:ascii="宋体" w:hAnsi="宋体" w:eastAsia="宋体" w:cs="宋体"/>
          <w:b/>
          <w:bCs/>
          <w:color w:val="000000" w:themeColor="text1"/>
          <w:sz w:val="28"/>
          <w:szCs w:val="24"/>
          <w14:textFill>
            <w14:solidFill>
              <w14:schemeClr w14:val="tx1"/>
            </w14:solidFill>
          </w14:textFill>
        </w:rPr>
        <w:t>、陕西省政府采购供应商拒绝政府采购领域商业贿赂承诺书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八</w:t>
      </w:r>
      <w:r>
        <w:rPr>
          <w:rFonts w:hint="eastAsia" w:ascii="宋体" w:hAnsi="宋体" w:eastAsia="宋体" w:cs="宋体"/>
          <w:b/>
          <w:bCs/>
          <w:color w:val="000000" w:themeColor="text1"/>
          <w:sz w:val="28"/>
          <w:szCs w:val="24"/>
          <w14:textFill>
            <w14:solidFill>
              <w14:schemeClr w14:val="tx1"/>
            </w14:solidFill>
          </w14:textFill>
        </w:rPr>
        <w:t>、资格审查资料</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九</w:t>
      </w:r>
      <w:r>
        <w:rPr>
          <w:rFonts w:hint="eastAsia" w:ascii="宋体" w:hAnsi="宋体" w:eastAsia="宋体" w:cs="宋体"/>
          <w:b/>
          <w:bCs/>
          <w:color w:val="000000" w:themeColor="text1"/>
          <w:sz w:val="28"/>
          <w:szCs w:val="24"/>
          <w14:textFill>
            <w14:solidFill>
              <w14:schemeClr w14:val="tx1"/>
            </w14:solidFill>
          </w14:textFill>
        </w:rPr>
        <w:t>、其它资料</w:t>
      </w:r>
    </w:p>
    <w:p>
      <w:pPr>
        <w:pStyle w:val="7"/>
        <w:rPr>
          <w:rFonts w:hint="eastAsia"/>
        </w:rPr>
      </w:pPr>
    </w:p>
    <w:p>
      <w:pPr>
        <w:spacing w:line="360" w:lineRule="auto"/>
        <w:ind w:firstLine="562" w:firstLineChars="200"/>
        <w:rPr>
          <w:rFonts w:hint="eastAsia" w:ascii="宋体" w:hAnsi="宋体" w:eastAsia="宋体" w:cs="宋体"/>
          <w:b/>
          <w:bCs/>
          <w:color w:val="000000"/>
          <w:sz w:val="28"/>
          <w:szCs w:val="28"/>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b/>
          <w:bCs/>
          <w:color w:val="000000"/>
          <w:sz w:val="28"/>
          <w:szCs w:val="28"/>
        </w:rPr>
        <w:t>注：以上磋商响应文件内容必须加盖公司公章，否则按无效投标处理</w:t>
      </w: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74" w:name="_Toc500323111"/>
      <w:bookmarkStart w:id="275" w:name="_Toc421778387"/>
      <w:bookmarkStart w:id="276" w:name="_Toc2157"/>
      <w:bookmarkStart w:id="277" w:name="_Toc425240482"/>
      <w:bookmarkStart w:id="278" w:name="_Toc420591668"/>
      <w:bookmarkStart w:id="279" w:name="_Toc3816"/>
      <w:r>
        <w:rPr>
          <w:rFonts w:hint="eastAsia" w:ascii="宋体" w:hAnsi="宋体" w:eastAsia="宋体" w:cs="宋体"/>
          <w:b/>
          <w:color w:val="000000" w:themeColor="text1"/>
          <w:sz w:val="28"/>
          <w:szCs w:val="28"/>
          <w14:textFill>
            <w14:solidFill>
              <w14:schemeClr w14:val="tx1"/>
            </w14:solidFill>
          </w14:textFill>
        </w:rPr>
        <w:t>一、</w:t>
      </w:r>
      <w:r>
        <w:rPr>
          <w:rFonts w:hint="eastAsia" w:ascii="宋体" w:hAnsi="宋体" w:eastAsia="宋体" w:cs="宋体"/>
          <w:b/>
          <w:color w:val="000000" w:themeColor="text1"/>
          <w:sz w:val="28"/>
          <w:szCs w:val="28"/>
          <w:lang w:val="en-US" w:eastAsia="zh-CN"/>
          <w14:textFill>
            <w14:solidFill>
              <w14:schemeClr w14:val="tx1"/>
            </w14:solidFill>
          </w14:textFill>
        </w:rPr>
        <w:t>响应</w:t>
      </w:r>
      <w:r>
        <w:rPr>
          <w:rFonts w:hint="eastAsia" w:ascii="宋体" w:hAnsi="宋体" w:eastAsia="宋体" w:cs="宋体"/>
          <w:b/>
          <w:color w:val="000000" w:themeColor="text1"/>
          <w:sz w:val="28"/>
          <w:szCs w:val="28"/>
          <w14:textFill>
            <w14:solidFill>
              <w14:schemeClr w14:val="tx1"/>
            </w14:solidFill>
          </w14:textFill>
        </w:rPr>
        <w:t>函</w:t>
      </w:r>
    </w:p>
    <w:p>
      <w:pPr>
        <w:spacing w:line="208" w:lineRule="exact"/>
        <w:rPr>
          <w:rFonts w:hint="eastAsia" w:ascii="宋体" w:hAnsi="宋体" w:cs="宋体"/>
        </w:rPr>
      </w:pPr>
    </w:p>
    <w:tbl>
      <w:tblPr>
        <w:tblStyle w:val="33"/>
        <w:tblW w:w="9220" w:type="dxa"/>
        <w:jc w:val="center"/>
        <w:tblLayout w:type="fixed"/>
        <w:tblCellMar>
          <w:top w:w="0" w:type="dxa"/>
          <w:left w:w="108" w:type="dxa"/>
          <w:bottom w:w="0" w:type="dxa"/>
          <w:right w:w="108" w:type="dxa"/>
        </w:tblCellMar>
      </w:tblPr>
      <w:tblGrid>
        <w:gridCol w:w="847"/>
        <w:gridCol w:w="627"/>
        <w:gridCol w:w="1"/>
        <w:gridCol w:w="1507"/>
        <w:gridCol w:w="91"/>
        <w:gridCol w:w="2490"/>
        <w:gridCol w:w="391"/>
        <w:gridCol w:w="192"/>
        <w:gridCol w:w="424"/>
        <w:gridCol w:w="805"/>
        <w:gridCol w:w="1845"/>
      </w:tblGrid>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企 业 法 人</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法定地址</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法定代表人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响</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应</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与</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声</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明</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项目名称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文件编号</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被授权人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递交响应文件</w:t>
            </w:r>
          </w:p>
        </w:tc>
        <w:tc>
          <w:tcPr>
            <w:tcW w:w="6238"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rPr>
                <w:rFonts w:hint="eastAsia" w:ascii="宋体" w:hAnsi="宋体" w:eastAsia="宋体" w:cs="宋体"/>
                <w:sz w:val="24"/>
              </w:rPr>
            </w:pPr>
            <w:r>
              <w:rPr>
                <w:rFonts w:hint="eastAsia" w:ascii="宋体" w:hAnsi="宋体" w:eastAsia="宋体" w:cs="宋体"/>
                <w:sz w:val="24"/>
              </w:rPr>
              <w:t>正本</w:t>
            </w:r>
            <w:r>
              <w:rPr>
                <w:rFonts w:hint="eastAsia" w:ascii="宋体" w:hAnsi="宋体" w:eastAsia="宋体" w:cs="宋体"/>
                <w:sz w:val="24"/>
                <w:u w:val="single"/>
              </w:rPr>
              <w:t xml:space="preserve"> 1 </w:t>
            </w:r>
            <w:r>
              <w:rPr>
                <w:rFonts w:hint="eastAsia" w:ascii="宋体" w:hAnsi="宋体" w:eastAsia="宋体" w:cs="宋体"/>
                <w:sz w:val="24"/>
              </w:rPr>
              <w:t>份、副本</w:t>
            </w:r>
            <w:r>
              <w:rPr>
                <w:rFonts w:hint="eastAsia" w:ascii="宋体" w:hAnsi="宋体" w:eastAsia="宋体" w:cs="宋体"/>
                <w:sz w:val="24"/>
                <w:u w:val="single"/>
              </w:rPr>
              <w:t xml:space="preserve"> 2 </w:t>
            </w:r>
            <w:r>
              <w:rPr>
                <w:rFonts w:hint="eastAsia" w:ascii="宋体" w:hAnsi="宋体" w:eastAsia="宋体" w:cs="宋体"/>
                <w:sz w:val="24"/>
              </w:rPr>
              <w:t>份</w:t>
            </w:r>
            <w:r>
              <w:rPr>
                <w:rFonts w:hint="eastAsia" w:ascii="宋体" w:hAnsi="宋体" w:eastAsia="宋体" w:cs="宋体"/>
                <w:sz w:val="24"/>
                <w:lang w:eastAsia="zh-CN"/>
              </w:rPr>
              <w:t>、电子版（</w:t>
            </w:r>
            <w:r>
              <w:rPr>
                <w:rFonts w:hint="eastAsia" w:ascii="宋体" w:hAnsi="宋体" w:eastAsia="宋体" w:cs="宋体"/>
                <w:sz w:val="24"/>
                <w:lang w:val="en-US" w:eastAsia="zh-CN"/>
              </w:rPr>
              <w:t>U盘</w:t>
            </w:r>
            <w:r>
              <w:rPr>
                <w:rFonts w:hint="eastAsia" w:ascii="宋体" w:hAnsi="宋体" w:eastAsia="宋体" w:cs="宋体"/>
                <w:sz w:val="24"/>
                <w:lang w:eastAsia="zh-CN"/>
              </w:rPr>
              <w:t>）</w:t>
            </w:r>
            <w:r>
              <w:rPr>
                <w:rFonts w:hint="eastAsia" w:ascii="宋体" w:hAnsi="宋体" w:eastAsia="宋体" w:cs="宋体"/>
                <w:sz w:val="24"/>
                <w:u w:val="single"/>
                <w:lang w:val="en-US" w:eastAsia="zh-CN"/>
              </w:rPr>
              <w:t>1</w:t>
            </w:r>
            <w:r>
              <w:rPr>
                <w:rFonts w:hint="eastAsia" w:ascii="宋体" w:hAnsi="宋体" w:eastAsia="宋体" w:cs="宋体"/>
                <w:sz w:val="24"/>
                <w:lang w:val="en-US" w:eastAsia="zh-CN"/>
              </w:rPr>
              <w:t>份，资质</w:t>
            </w:r>
            <w:r>
              <w:rPr>
                <w:rFonts w:hint="eastAsia" w:ascii="宋体" w:hAnsi="宋体" w:cs="宋体"/>
                <w:sz w:val="24"/>
                <w:lang w:val="en-US" w:eastAsia="zh-CN"/>
              </w:rPr>
              <w:t>证明文件</w:t>
            </w:r>
            <w:r>
              <w:rPr>
                <w:rFonts w:hint="eastAsia" w:ascii="宋体" w:hAnsi="宋体" w:eastAsia="宋体" w:cs="宋体"/>
                <w:sz w:val="24"/>
                <w:u w:val="single"/>
                <w:lang w:val="en-US" w:eastAsia="zh-CN"/>
              </w:rPr>
              <w:t>1</w:t>
            </w:r>
            <w:r>
              <w:rPr>
                <w:rFonts w:hint="eastAsia" w:ascii="宋体" w:hAnsi="宋体" w:eastAsia="宋体" w:cs="宋体"/>
                <w:sz w:val="24"/>
                <w:lang w:val="en-US" w:eastAsia="zh-CN"/>
              </w:rPr>
              <w:t>份</w:t>
            </w:r>
            <w:r>
              <w:rPr>
                <w:rFonts w:hint="eastAsia" w:ascii="宋体" w:hAnsi="宋体" w:eastAsia="宋体" w:cs="宋体"/>
                <w:sz w:val="24"/>
              </w:rPr>
              <w:t>。</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8373"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rPr>
                <w:rFonts w:hint="eastAsia" w:ascii="宋体" w:hAnsi="宋体" w:eastAsia="宋体" w:cs="宋体"/>
                <w:sz w:val="24"/>
              </w:rPr>
            </w:pPr>
            <w:r>
              <w:rPr>
                <w:rFonts w:hint="eastAsia" w:ascii="宋体" w:hAnsi="宋体" w:eastAsia="宋体" w:cs="宋体"/>
                <w:sz w:val="24"/>
              </w:rPr>
              <w:t>作为供应商郑重声明</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A</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依据</w:t>
            </w:r>
            <w:r>
              <w:rPr>
                <w:rFonts w:hint="eastAsia" w:ascii="宋体" w:hAnsi="宋体" w:cs="宋体"/>
                <w:color w:val="auto"/>
                <w:sz w:val="24"/>
                <w:lang w:val="en-US" w:eastAsia="zh-CN"/>
              </w:rPr>
              <w:t>磋商</w:t>
            </w:r>
            <w:r>
              <w:rPr>
                <w:rFonts w:hint="eastAsia" w:ascii="宋体" w:hAnsi="宋体" w:eastAsia="宋体" w:cs="宋体"/>
                <w:sz w:val="24"/>
              </w:rPr>
              <w:t>文件的内容要求，提供完全满足采购需求的合格产品和全面技术、售后服务保障。</w:t>
            </w:r>
          </w:p>
        </w:tc>
      </w:tr>
      <w:tr>
        <w:tblPrEx>
          <w:tblCellMar>
            <w:top w:w="0" w:type="dxa"/>
            <w:left w:w="108" w:type="dxa"/>
            <w:bottom w:w="0" w:type="dxa"/>
            <w:right w:w="108" w:type="dxa"/>
          </w:tblCellMar>
        </w:tblPrEx>
        <w:trPr>
          <w:trHeight w:val="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B</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已详细阅读和核实全部</w:t>
            </w:r>
            <w:r>
              <w:rPr>
                <w:rFonts w:hint="eastAsia" w:ascii="宋体" w:hAnsi="宋体" w:cs="宋体"/>
                <w:color w:val="auto"/>
                <w:sz w:val="24"/>
                <w:lang w:val="en-US" w:eastAsia="zh-CN"/>
              </w:rPr>
              <w:t>磋商</w:t>
            </w:r>
            <w:r>
              <w:rPr>
                <w:rFonts w:hint="eastAsia" w:ascii="宋体" w:hAnsi="宋体" w:eastAsia="宋体" w:cs="宋体"/>
                <w:sz w:val="24"/>
              </w:rPr>
              <w:t>文件内容,完全清楚和知道必须放弃提出含糊不清或误解问题的所有权利。</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C</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同意提供与本次</w:t>
            </w:r>
            <w:r>
              <w:rPr>
                <w:rFonts w:hint="eastAsia" w:ascii="宋体" w:hAnsi="宋体" w:cs="宋体"/>
                <w:color w:val="auto"/>
                <w:sz w:val="24"/>
                <w:lang w:val="en-US" w:eastAsia="zh-CN"/>
              </w:rPr>
              <w:t>磋商</w:t>
            </w:r>
            <w:r>
              <w:rPr>
                <w:rFonts w:hint="eastAsia" w:ascii="宋体" w:hAnsi="宋体" w:eastAsia="宋体" w:cs="宋体"/>
                <w:sz w:val="24"/>
              </w:rPr>
              <w:t>采购活动相关的其他任何证据和资料。</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D</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尊重</w:t>
            </w:r>
            <w:r>
              <w:rPr>
                <w:rFonts w:hint="eastAsia" w:ascii="宋体" w:hAnsi="宋体" w:cs="宋体"/>
                <w:color w:val="auto"/>
                <w:sz w:val="24"/>
                <w:lang w:val="en-US" w:eastAsia="zh-CN"/>
              </w:rPr>
              <w:t>磋商</w:t>
            </w:r>
            <w:r>
              <w:rPr>
                <w:rFonts w:hint="eastAsia" w:ascii="宋体" w:hAnsi="宋体" w:eastAsia="宋体" w:cs="宋体"/>
                <w:sz w:val="24"/>
              </w:rPr>
              <w:t>小组的评审结论及成交结果。</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E</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如若成交，将根据</w:t>
            </w:r>
            <w:r>
              <w:rPr>
                <w:rFonts w:hint="eastAsia" w:ascii="宋体" w:hAnsi="宋体" w:cs="宋体"/>
                <w:color w:val="auto"/>
                <w:sz w:val="24"/>
                <w:lang w:val="en-US" w:eastAsia="zh-CN"/>
              </w:rPr>
              <w:t>磋商</w:t>
            </w:r>
            <w:r>
              <w:rPr>
                <w:rFonts w:hint="eastAsia" w:ascii="宋体" w:hAnsi="宋体" w:eastAsia="宋体" w:cs="宋体"/>
                <w:sz w:val="24"/>
              </w:rPr>
              <w:t>文件的要求、响应文件及承诺条件，全面签约并履行约定书规定的责任和义务。</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F</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35" w:firstLineChars="98"/>
              <w:rPr>
                <w:rFonts w:hint="eastAsia" w:ascii="宋体" w:hAnsi="宋体" w:eastAsia="宋体" w:cs="宋体"/>
                <w:sz w:val="24"/>
                <w:lang w:eastAsia="zh-CN"/>
              </w:rPr>
            </w:pPr>
            <w:r>
              <w:rPr>
                <w:rFonts w:hint="eastAsia" w:ascii="宋体" w:hAnsi="宋体" w:eastAsia="宋体" w:cs="宋体"/>
                <w:sz w:val="24"/>
                <w:lang w:eastAsia="zh-CN"/>
              </w:rPr>
              <w:t>本响应</w:t>
            </w:r>
            <w:r>
              <w:rPr>
                <w:rFonts w:hint="eastAsia" w:ascii="宋体" w:hAnsi="宋体" w:eastAsia="宋体" w:cs="宋体"/>
                <w:sz w:val="24"/>
                <w:lang w:val="en-US" w:eastAsia="zh-CN"/>
              </w:rPr>
              <w:t>函</w:t>
            </w:r>
            <w:r>
              <w:rPr>
                <w:rFonts w:hint="eastAsia" w:ascii="宋体" w:hAnsi="宋体" w:eastAsia="宋体" w:cs="宋体"/>
                <w:sz w:val="24"/>
                <w:lang w:eastAsia="zh-CN"/>
              </w:rPr>
              <w:t>有效期</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p>
        </w:tc>
      </w:tr>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有关本次</w:t>
            </w:r>
            <w:r>
              <w:rPr>
                <w:rFonts w:hint="eastAsia" w:ascii="宋体" w:hAnsi="宋体" w:cs="宋体"/>
                <w:color w:val="auto"/>
                <w:sz w:val="24"/>
                <w:lang w:val="en-US" w:eastAsia="zh-CN"/>
              </w:rPr>
              <w:t>磋商</w:t>
            </w:r>
            <w:r>
              <w:rPr>
                <w:rFonts w:hint="eastAsia" w:ascii="宋体" w:hAnsi="宋体" w:eastAsia="宋体" w:cs="宋体"/>
                <w:sz w:val="24"/>
              </w:rPr>
              <w:t>的所有联络函电，请按下列方式联系：</w:t>
            </w: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地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邮政编码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电话/传真</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联 系 人</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网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手机号码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73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供应商</w:t>
            </w:r>
          </w:p>
        </w:tc>
        <w:tc>
          <w:tcPr>
            <w:tcW w:w="3073" w:type="dxa"/>
            <w:gridSpan w:val="3"/>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法定代表人或被授权人</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签署日期</w:t>
            </w:r>
          </w:p>
        </w:tc>
      </w:tr>
      <w:tr>
        <w:tblPrEx>
          <w:tblCellMar>
            <w:top w:w="0" w:type="dxa"/>
            <w:left w:w="108" w:type="dxa"/>
            <w:bottom w:w="0" w:type="dxa"/>
            <w:right w:w="108" w:type="dxa"/>
          </w:tblCellMar>
        </w:tblPrEx>
        <w:trPr>
          <w:trHeight w:val="221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（企业公章）</w:t>
            </w:r>
          </w:p>
        </w:tc>
        <w:tc>
          <w:tcPr>
            <w:tcW w:w="307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80" w:firstLineChars="200"/>
              <w:jc w:val="center"/>
              <w:rPr>
                <w:rFonts w:hint="eastAsia" w:ascii="宋体" w:hAnsi="宋体" w:eastAsia="宋体" w:cs="宋体"/>
                <w:bCs/>
                <w:sz w:val="24"/>
              </w:rPr>
            </w:pPr>
            <w:r>
              <w:rPr>
                <w:rFonts w:hint="eastAsia" w:ascii="宋体" w:hAnsi="宋体" w:eastAsia="宋体" w:cs="宋体"/>
                <w:sz w:val="24"/>
              </w:rPr>
              <w:t>年   月   日</w:t>
            </w:r>
          </w:p>
        </w:tc>
      </w:tr>
    </w:tbl>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Lines/>
        <w:pageBreakBefore/>
        <w:numPr>
          <w:ilvl w:val="0"/>
          <w:numId w:val="7"/>
        </w:num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80" w:name="_Toc526842726"/>
      <w:bookmarkStart w:id="281" w:name="_Toc21622"/>
      <w:r>
        <w:rPr>
          <w:rFonts w:hint="eastAsia" w:ascii="宋体" w:hAnsi="宋体" w:eastAsia="宋体" w:cs="宋体"/>
          <w:b/>
          <w:color w:val="000000" w:themeColor="text1"/>
          <w:sz w:val="28"/>
          <w:szCs w:val="28"/>
          <w14:textFill>
            <w14:solidFill>
              <w14:schemeClr w14:val="tx1"/>
            </w14:solidFill>
          </w14:textFill>
        </w:rPr>
        <w:t>磋商一览表</w:t>
      </w:r>
      <w:bookmarkEnd w:id="274"/>
      <w:bookmarkEnd w:id="275"/>
      <w:bookmarkEnd w:id="276"/>
      <w:bookmarkEnd w:id="277"/>
      <w:bookmarkEnd w:id="278"/>
      <w:bookmarkEnd w:id="279"/>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一</w:t>
      </w:r>
      <w:r>
        <w:rPr>
          <w:rFonts w:hint="eastAsia" w:ascii="宋体" w:hAnsi="宋体" w:eastAsia="宋体" w:cs="宋体"/>
          <w:b/>
          <w:color w:val="000000" w:themeColor="text1"/>
          <w:sz w:val="28"/>
          <w:szCs w:val="28"/>
          <w14:textFill>
            <w14:solidFill>
              <w14:schemeClr w14:val="tx1"/>
            </w14:solidFill>
          </w14:textFill>
        </w:rPr>
        <w:t>次）</w:t>
      </w:r>
      <w:bookmarkEnd w:id="280"/>
      <w:bookmarkEnd w:id="281"/>
    </w:p>
    <w:p>
      <w:pPr>
        <w:pStyle w:val="7"/>
        <w:numPr>
          <w:ilvl w:val="0"/>
          <w:numId w:val="0"/>
        </w:numPr>
        <w:ind w:leftChars="202"/>
        <w:rPr>
          <w:rFonts w:hint="eastAsia"/>
        </w:rPr>
      </w:pPr>
    </w:p>
    <w:p>
      <w:pPr>
        <w:tabs>
          <w:tab w:val="left" w:pos="7920"/>
        </w:tabs>
        <w:jc w:val="center"/>
        <w:rPr>
          <w:rFonts w:hint="eastAsia" w:ascii="宋体" w:hAnsi="宋体" w:eastAsia="宋体" w:cs="宋体"/>
          <w:sz w:val="24"/>
          <w:szCs w:val="24"/>
          <w:u w:val="single"/>
        </w:rPr>
      </w:pP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.1</w:t>
      </w:r>
      <w:r>
        <w:rPr>
          <w:rFonts w:hint="eastAsia" w:ascii="宋体" w:hAnsi="宋体" w:eastAsia="宋体" w:cs="宋体"/>
          <w:sz w:val="24"/>
          <w:szCs w:val="24"/>
          <w:u w:val="single"/>
          <w:lang w:val="en-US" w:eastAsia="zh-CN"/>
        </w:rPr>
        <w:t>磋商</w:t>
      </w:r>
      <w:r>
        <w:rPr>
          <w:rFonts w:hint="eastAsia" w:ascii="宋体" w:hAnsi="宋体" w:eastAsia="宋体" w:cs="宋体"/>
          <w:sz w:val="24"/>
          <w:szCs w:val="24"/>
          <w:u w:val="single"/>
        </w:rPr>
        <w:t>报价总表</w:t>
      </w:r>
    </w:p>
    <w:p>
      <w:pPr>
        <w:autoSpaceDE w:val="0"/>
        <w:autoSpaceDN w:val="0"/>
        <w:adjustRightInd w:val="0"/>
        <w:spacing w:line="360" w:lineRule="auto"/>
        <w:jc w:val="righ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 xml:space="preserve"> </w:t>
      </w:r>
    </w:p>
    <w:p>
      <w:pPr>
        <w:spacing w:line="360" w:lineRule="exact"/>
        <w:rPr>
          <w:rFonts w:hint="eastAsia" w:ascii="宋体" w:hAnsi="宋体" w:eastAsia="宋体" w:cs="宋体"/>
          <w:sz w:val="24"/>
        </w:rPr>
      </w:pPr>
      <w:r>
        <w:rPr>
          <w:rFonts w:hint="eastAsia" w:ascii="宋体" w:hAnsi="宋体" w:eastAsia="宋体" w:cs="宋体"/>
          <w:sz w:val="24"/>
          <w:lang w:eastAsia="zh-CN"/>
        </w:rPr>
        <w:t>项目名称</w:t>
      </w:r>
      <w:r>
        <w:rPr>
          <w:rFonts w:hint="eastAsia" w:ascii="宋体" w:hAnsi="宋体" w:eastAsia="宋体" w:cs="宋体"/>
          <w:sz w:val="24"/>
          <w:lang w:val="en-US" w:eastAsia="zh-CN"/>
        </w:rPr>
        <w:t>:</w:t>
      </w:r>
      <w:r>
        <w:rPr>
          <w:rFonts w:hint="eastAsia" w:ascii="宋体" w:hAnsi="宋体" w:eastAsia="宋体" w:cs="宋体"/>
          <w:sz w:val="24"/>
        </w:rPr>
        <w:t xml:space="preserve">  </w:t>
      </w:r>
      <w:r>
        <w:rPr>
          <w:rFonts w:hint="eastAsia" w:ascii="宋体" w:hAnsi="宋体" w:cs="宋体"/>
          <w:sz w:val="24"/>
          <w:lang w:val="en-US" w:eastAsia="zh-CN"/>
        </w:rPr>
        <w:t xml:space="preserve">                                                 单位 ：元</w:t>
      </w:r>
      <w:r>
        <w:rPr>
          <w:rFonts w:hint="eastAsia" w:ascii="宋体" w:hAnsi="宋体" w:eastAsia="宋体" w:cs="宋体"/>
          <w:sz w:val="24"/>
        </w:rPr>
        <w:t xml:space="preserve">    </w:t>
      </w:r>
    </w:p>
    <w:p>
      <w:pPr>
        <w:spacing w:line="360" w:lineRule="exact"/>
        <w:rPr>
          <w:rFonts w:hint="eastAsia" w:ascii="宋体" w:hAnsi="宋体" w:eastAsia="宋体" w:cs="宋体"/>
          <w:sz w:val="22"/>
          <w:szCs w:val="44"/>
        </w:rPr>
      </w:pPr>
      <w:r>
        <w:rPr>
          <w:rFonts w:hint="eastAsia" w:ascii="宋体" w:hAnsi="宋体" w:eastAsia="宋体" w:cs="宋体"/>
          <w:sz w:val="24"/>
        </w:rPr>
        <w:t xml:space="preserve">                                              </w:t>
      </w:r>
    </w:p>
    <w:tbl>
      <w:tblPr>
        <w:tblStyle w:val="33"/>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367"/>
        <w:gridCol w:w="1750"/>
        <w:gridCol w:w="1650"/>
        <w:gridCol w:w="1425"/>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151" w:hRule="atLeast"/>
        </w:trPr>
        <w:tc>
          <w:tcPr>
            <w:tcW w:w="2185"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供应商</w:t>
            </w:r>
          </w:p>
        </w:tc>
        <w:tc>
          <w:tcPr>
            <w:tcW w:w="2367"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jc w:val="center"/>
              <w:rPr>
                <w:rFonts w:hint="eastAsia" w:ascii="宋体" w:hAnsi="宋体" w:eastAsia="宋体" w:cs="宋体"/>
                <w:sz w:val="24"/>
              </w:rPr>
            </w:pPr>
            <w:r>
              <w:rPr>
                <w:rFonts w:hint="eastAsia" w:ascii="宋体" w:hAnsi="宋体" w:eastAsia="宋体" w:cs="宋体"/>
                <w:sz w:val="24"/>
              </w:rPr>
              <w:t>（小写、元）</w:t>
            </w:r>
          </w:p>
          <w:p>
            <w:pPr>
              <w:jc w:val="center"/>
              <w:rPr>
                <w:rFonts w:hint="eastAsia" w:ascii="宋体" w:hAnsi="宋体" w:eastAsia="宋体" w:cs="宋体"/>
                <w:color w:val="000000"/>
                <w:sz w:val="24"/>
              </w:rPr>
            </w:pPr>
          </w:p>
        </w:tc>
        <w:tc>
          <w:tcPr>
            <w:tcW w:w="1750"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工期</w:t>
            </w:r>
          </w:p>
        </w:tc>
        <w:tc>
          <w:tcPr>
            <w:tcW w:w="1650" w:type="dxa"/>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质保期</w:t>
            </w:r>
          </w:p>
        </w:tc>
        <w:tc>
          <w:tcPr>
            <w:tcW w:w="1425"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41" w:hRule="atLeast"/>
        </w:trPr>
        <w:tc>
          <w:tcPr>
            <w:tcW w:w="2185" w:type="dxa"/>
            <w:noWrap w:val="0"/>
            <w:vAlign w:val="center"/>
          </w:tcPr>
          <w:p>
            <w:pPr>
              <w:rPr>
                <w:rFonts w:hint="eastAsia" w:ascii="宋体" w:hAnsi="宋体" w:eastAsia="宋体" w:cs="宋体"/>
                <w:color w:val="000000"/>
                <w:sz w:val="24"/>
              </w:rPr>
            </w:pPr>
          </w:p>
        </w:tc>
        <w:tc>
          <w:tcPr>
            <w:tcW w:w="2367" w:type="dxa"/>
            <w:noWrap w:val="0"/>
            <w:vAlign w:val="center"/>
          </w:tcPr>
          <w:p>
            <w:pPr>
              <w:rPr>
                <w:rFonts w:hint="eastAsia" w:ascii="宋体" w:hAnsi="宋体" w:eastAsia="宋体" w:cs="宋体"/>
                <w:color w:val="000000"/>
                <w:sz w:val="24"/>
              </w:rPr>
            </w:pPr>
          </w:p>
        </w:tc>
        <w:tc>
          <w:tcPr>
            <w:tcW w:w="1750" w:type="dxa"/>
            <w:noWrap w:val="0"/>
            <w:vAlign w:val="center"/>
          </w:tcPr>
          <w:p>
            <w:pPr>
              <w:rPr>
                <w:rFonts w:hint="eastAsia" w:ascii="宋体" w:hAnsi="宋体" w:eastAsia="宋体" w:cs="宋体"/>
                <w:color w:val="000000"/>
                <w:sz w:val="24"/>
              </w:rPr>
            </w:pPr>
          </w:p>
        </w:tc>
        <w:tc>
          <w:tcPr>
            <w:tcW w:w="1650" w:type="dxa"/>
            <w:noWrap w:val="0"/>
            <w:vAlign w:val="center"/>
          </w:tcPr>
          <w:p>
            <w:pPr>
              <w:rPr>
                <w:rFonts w:hint="eastAsia" w:ascii="宋体" w:hAnsi="宋体" w:eastAsia="宋体" w:cs="宋体"/>
                <w:color w:val="000000"/>
                <w:sz w:val="24"/>
              </w:rPr>
            </w:pPr>
          </w:p>
        </w:tc>
        <w:tc>
          <w:tcPr>
            <w:tcW w:w="1425" w:type="dxa"/>
            <w:noWrap w:val="0"/>
            <w:vAlign w:val="center"/>
          </w:tcPr>
          <w:p>
            <w:pP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trPr>
        <w:tc>
          <w:tcPr>
            <w:tcW w:w="2185" w:type="dxa"/>
            <w:noWrap w:val="0"/>
            <w:vAlign w:val="center"/>
          </w:tcPr>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（大写、元）人民币</w:t>
            </w:r>
          </w:p>
        </w:tc>
        <w:tc>
          <w:tcPr>
            <w:tcW w:w="7194" w:type="dxa"/>
            <w:gridSpan w:val="5"/>
            <w:noWrap w:val="0"/>
            <w:vAlign w:val="top"/>
          </w:tcPr>
          <w:p>
            <w:pPr>
              <w:tabs>
                <w:tab w:val="left" w:pos="5110"/>
              </w:tabs>
              <w:ind w:right="280"/>
              <w:rPr>
                <w:rFonts w:hint="eastAsia" w:ascii="宋体" w:hAnsi="宋体" w:eastAsia="宋体" w:cs="宋体"/>
                <w:sz w:val="24"/>
              </w:rPr>
            </w:pPr>
          </w:p>
        </w:tc>
      </w:tr>
    </w:tbl>
    <w:p>
      <w:pPr>
        <w:spacing w:line="480" w:lineRule="exact"/>
        <w:jc w:val="center"/>
        <w:rPr>
          <w:rFonts w:hint="eastAsia" w:ascii="宋体" w:hAnsi="宋体" w:eastAsia="宋体" w:cs="宋体"/>
          <w:bCs/>
          <w:sz w:val="44"/>
          <w:szCs w:val="44"/>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注：以上表内报价内容以元为单位，保留小数点后两位。</w:t>
      </w:r>
    </w:p>
    <w:p>
      <w:pPr>
        <w:spacing w:line="360" w:lineRule="auto"/>
        <w:ind w:firstLine="4440" w:firstLineChars="1850"/>
        <w:jc w:val="left"/>
        <w:rPr>
          <w:rFonts w:hint="eastAsia" w:ascii="宋体" w:hAnsi="宋体" w:eastAsia="宋体" w:cs="宋体"/>
          <w:color w:val="000000" w:themeColor="text1"/>
          <w:sz w:val="24"/>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tabs>
          <w:tab w:val="left" w:pos="5110"/>
        </w:tabs>
        <w:ind w:right="280"/>
        <w:jc w:val="center"/>
        <w:rPr>
          <w:rFonts w:hint="eastAsia" w:ascii="黑体" w:hAnsi="黑体" w:eastAsia="黑体" w:cs="黑体"/>
          <w:sz w:val="32"/>
          <w:szCs w:val="44"/>
          <w:u w:val="single"/>
        </w:rPr>
      </w:pPr>
    </w:p>
    <w:p>
      <w:pPr>
        <w:pStyle w:val="7"/>
        <w:rPr>
          <w:rFonts w:hint="eastAsia"/>
        </w:rPr>
      </w:pPr>
    </w:p>
    <w:p>
      <w:pPr>
        <w:tabs>
          <w:tab w:val="left" w:pos="5110"/>
        </w:tabs>
        <w:ind w:right="280"/>
        <w:jc w:val="center"/>
        <w:rPr>
          <w:rFonts w:hint="eastAsia" w:ascii="黑体" w:hAnsi="黑体" w:eastAsia="黑体" w:cs="黑体"/>
          <w:sz w:val="32"/>
          <w:szCs w:val="44"/>
          <w:u w:val="single"/>
        </w:rPr>
      </w:pPr>
    </w:p>
    <w:p>
      <w:pPr>
        <w:pStyle w:val="16"/>
        <w:rPr>
          <w:rFonts w:hint="eastAsia" w:ascii="黑体" w:hAnsi="黑体" w:eastAsia="黑体" w:cs="黑体"/>
          <w:sz w:val="32"/>
          <w:szCs w:val="44"/>
          <w:u w:val="single"/>
        </w:rPr>
      </w:pPr>
    </w:p>
    <w:p>
      <w:pPr>
        <w:rPr>
          <w:rFonts w:hint="eastAsia"/>
        </w:rPr>
      </w:pPr>
    </w:p>
    <w:p>
      <w:pPr>
        <w:rPr>
          <w:rFonts w:hint="eastAsia"/>
        </w:rPr>
      </w:pPr>
    </w:p>
    <w:p>
      <w:pPr>
        <w:tabs>
          <w:tab w:val="left" w:pos="5110"/>
        </w:tabs>
        <w:ind w:right="280"/>
        <w:jc w:val="center"/>
        <w:rPr>
          <w:rFonts w:hint="eastAsia" w:ascii="黑体" w:hAnsi="黑体" w:eastAsia="黑体" w:cs="黑体"/>
          <w:sz w:val="32"/>
          <w:szCs w:val="44"/>
          <w:u w:val="single"/>
          <w:lang w:val="en-US" w:eastAsia="zh-CN"/>
        </w:rPr>
      </w:pPr>
    </w:p>
    <w:p>
      <w:pPr>
        <w:tabs>
          <w:tab w:val="left" w:pos="5110"/>
        </w:tabs>
        <w:ind w:right="280"/>
        <w:jc w:val="center"/>
        <w:rPr>
          <w:rFonts w:hint="eastAsia" w:ascii="宋体" w:hAnsi="宋体" w:eastAsia="宋体" w:cs="宋体"/>
          <w:b/>
          <w:bCs/>
          <w:sz w:val="28"/>
          <w:szCs w:val="40"/>
          <w:u w:val="single"/>
          <w:lang w:val="en-US" w:eastAsia="zh-CN"/>
        </w:rPr>
      </w:pPr>
      <w:r>
        <w:rPr>
          <w:rFonts w:hint="eastAsia" w:ascii="宋体" w:hAnsi="宋体" w:eastAsia="宋体" w:cs="宋体"/>
          <w:b/>
          <w:bCs/>
          <w:sz w:val="28"/>
          <w:szCs w:val="40"/>
          <w:u w:val="single"/>
          <w:lang w:val="en-US" w:eastAsia="zh-CN"/>
        </w:rPr>
        <w:t>2</w:t>
      </w:r>
      <w:r>
        <w:rPr>
          <w:rFonts w:hint="eastAsia" w:ascii="宋体" w:hAnsi="宋体" w:eastAsia="宋体" w:cs="宋体"/>
          <w:b/>
          <w:bCs/>
          <w:sz w:val="28"/>
          <w:szCs w:val="40"/>
          <w:u w:val="single"/>
        </w:rPr>
        <w:t>.2</w:t>
      </w:r>
      <w:r>
        <w:rPr>
          <w:rFonts w:hint="eastAsia" w:ascii="宋体" w:hAnsi="宋体" w:eastAsia="宋体" w:cs="宋体"/>
          <w:b/>
          <w:bCs/>
          <w:sz w:val="28"/>
          <w:szCs w:val="40"/>
          <w:u w:val="single"/>
          <w:lang w:val="en-US" w:eastAsia="zh-CN"/>
        </w:rPr>
        <w:t>已标价工程量清单</w:t>
      </w:r>
    </w:p>
    <w:p>
      <w:pPr>
        <w:pStyle w:val="7"/>
        <w:rPr>
          <w:rFonts w:hint="eastAsia"/>
          <w:lang w:val="en-US" w:eastAsia="zh-CN"/>
        </w:rPr>
      </w:pPr>
    </w:p>
    <w:p>
      <w:pPr>
        <w:tabs>
          <w:tab w:val="left" w:pos="5110"/>
        </w:tabs>
        <w:ind w:right="280"/>
        <w:jc w:val="center"/>
        <w:rPr>
          <w:rFonts w:hint="eastAsia" w:ascii="黑体" w:hAnsi="黑体" w:eastAsia="黑体" w:cs="黑体"/>
          <w:sz w:val="32"/>
          <w:szCs w:val="44"/>
          <w:u w:val="single"/>
        </w:rPr>
      </w:pPr>
    </w:p>
    <w:p>
      <w:pPr>
        <w:tabs>
          <w:tab w:val="left" w:pos="5110"/>
        </w:tabs>
        <w:ind w:right="280"/>
        <w:jc w:val="center"/>
        <w:rPr>
          <w:rFonts w:hint="eastAsia" w:ascii="宋体" w:hAnsi="宋体" w:eastAsia="宋体" w:cs="宋体"/>
          <w:bCs/>
          <w:sz w:val="28"/>
          <w:szCs w:val="28"/>
          <w:lang w:eastAsia="zh-CN"/>
        </w:rPr>
      </w:pPr>
      <w:r>
        <w:rPr>
          <w:rFonts w:hint="eastAsia" w:ascii="宋体" w:hAnsi="宋体" w:cs="宋体"/>
          <w:bCs/>
          <w:sz w:val="28"/>
          <w:szCs w:val="28"/>
          <w:lang w:eastAsia="zh-CN"/>
        </w:rPr>
        <w:t>格式自拟</w:t>
      </w:r>
    </w:p>
    <w:p>
      <w:pPr>
        <w:snapToGrid w:val="0"/>
        <w:spacing w:line="336" w:lineRule="auto"/>
        <w:ind w:left="-96" w:firstLine="102"/>
        <w:rPr>
          <w:rFonts w:hint="eastAsia" w:ascii="宋体" w:hAnsi="宋体" w:cs="宋体"/>
          <w:bCs/>
          <w:sz w:val="24"/>
        </w:rPr>
      </w:pPr>
    </w:p>
    <w:p>
      <w:pPr>
        <w:jc w:val="both"/>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ind w:left="0" w:leftChars="0" w:firstLine="0" w:firstLineChars="0"/>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adjustRightInd w:val="0"/>
        <w:snapToGrid w:val="0"/>
        <w:spacing w:line="360" w:lineRule="auto"/>
        <w:rPr>
          <w:rFonts w:hint="eastAsia" w:ascii="宋体" w:hAnsi="宋体" w:eastAsia="宋体" w:cs="宋体"/>
          <w:bCs/>
          <w:color w:val="000000"/>
          <w:sz w:val="24"/>
        </w:rPr>
      </w:pPr>
    </w:p>
    <w:p>
      <w:pPr>
        <w:pStyle w:val="17"/>
        <w:rPr>
          <w:rFonts w:hint="eastAsia" w:ascii="宋体" w:hAnsi="宋体" w:cs="宋体"/>
          <w:sz w:val="24"/>
        </w:rPr>
      </w:pPr>
    </w:p>
    <w:p>
      <w:pPr>
        <w:pStyle w:val="17"/>
        <w:rPr>
          <w:rFonts w:hint="eastAsia" w:ascii="宋体" w:hAnsi="宋体" w:cs="宋体"/>
          <w:sz w:val="24"/>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282" w:name="_Toc526842727"/>
      <w:bookmarkStart w:id="283" w:name="_Toc29180"/>
      <w:bookmarkStart w:id="284" w:name="_Toc8191"/>
      <w:bookmarkStart w:id="285" w:name="_Toc425240483"/>
      <w:bookmarkStart w:id="286" w:name="_Toc420591669"/>
      <w:bookmarkStart w:id="287" w:name="_Toc421778388"/>
      <w:bookmarkStart w:id="288" w:name="_Toc500323112"/>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三、法定代表人身份证明</w:t>
      </w:r>
      <w:bookmarkEnd w:id="282"/>
      <w:bookmarkEnd w:id="283"/>
      <w:bookmarkEnd w:id="284"/>
      <w:bookmarkEnd w:id="285"/>
      <w:bookmarkEnd w:id="286"/>
      <w:bookmarkEnd w:id="287"/>
      <w:bookmarkEnd w:id="288"/>
    </w:p>
    <w:tbl>
      <w:tblPr>
        <w:tblStyle w:val="3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240"/>
        <w:gridCol w:w="2950"/>
        <w:gridCol w:w="10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00" w:type="dxa"/>
            <w:gridSpan w:val="5"/>
            <w:noWrap w:val="0"/>
            <w:vAlign w:val="top"/>
          </w:tcPr>
          <w:p>
            <w:pPr>
              <w:tabs>
                <w:tab w:val="left" w:pos="1260"/>
              </w:tabs>
              <w:spacing w:line="440" w:lineRule="exact"/>
              <w:rPr>
                <w:rFonts w:hint="eastAsia" w:ascii="宋体" w:hAnsi="宋体" w:eastAsia="宋体" w:cs="宋体"/>
                <w:bCs/>
                <w:sz w:val="24"/>
                <w:lang w:eastAsia="zh-CN"/>
              </w:rPr>
            </w:pPr>
            <w:bookmarkStart w:id="289" w:name="_Toc13782"/>
            <w:bookmarkStart w:id="290" w:name="_Toc425240484"/>
            <w:bookmarkStart w:id="291" w:name="_Toc420591670"/>
            <w:bookmarkStart w:id="292" w:name="_Toc32762"/>
            <w:bookmarkStart w:id="293" w:name="_Toc500323113"/>
            <w:bookmarkStart w:id="294" w:name="_Toc421778389"/>
            <w:bookmarkStart w:id="295" w:name="_Toc526842728"/>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企业名称</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法定地址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邮政编码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工商登记机关</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税务登记机关</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rPr>
                <w:rFonts w:hint="eastAsia" w:ascii="宋体" w:hAnsi="宋体" w:eastAsia="宋体" w:cs="宋体"/>
                <w:bCs/>
                <w:sz w:val="24"/>
              </w:rPr>
            </w:pPr>
            <w:r>
              <w:rPr>
                <w:rFonts w:hint="eastAsia" w:ascii="宋体" w:hAnsi="宋体" w:eastAsia="宋体" w:cs="宋体"/>
                <w:sz w:val="24"/>
              </w:rPr>
              <w:t>机构代码证号（统一社会信用代码）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  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代</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表</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电话</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传    真</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20" w:type="dxa"/>
            <w:vMerge w:val="restart"/>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法定代表人身份证复印件</w:t>
            </w:r>
          </w:p>
        </w:tc>
        <w:tc>
          <w:tcPr>
            <w:tcW w:w="5190" w:type="dxa"/>
            <w:gridSpan w:val="2"/>
            <w:vMerge w:val="restart"/>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eastAsia="宋体" w:cs="宋体"/>
                <w:sz w:val="24"/>
                <w:lang w:eastAsia="zh-CN"/>
              </w:rPr>
              <w:t>正反面</w:t>
            </w:r>
            <w:r>
              <w:rPr>
                <w:rFonts w:hint="eastAsia" w:ascii="宋体" w:hAnsi="宋体" w:eastAsia="宋体" w:cs="宋体"/>
                <w:sz w:val="24"/>
              </w:rPr>
              <w:t>粘贴处）</w:t>
            </w:r>
          </w:p>
        </w:tc>
        <w:tc>
          <w:tcPr>
            <w:tcW w:w="3190"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820" w:type="dxa"/>
            <w:vMerge w:val="continue"/>
            <w:noWrap w:val="0"/>
            <w:vAlign w:val="top"/>
          </w:tcPr>
          <w:p>
            <w:pPr>
              <w:rPr>
                <w:rFonts w:hint="eastAsia" w:ascii="宋体" w:hAnsi="宋体" w:eastAsia="宋体" w:cs="宋体"/>
                <w:sz w:val="24"/>
              </w:rPr>
            </w:pPr>
          </w:p>
        </w:tc>
        <w:tc>
          <w:tcPr>
            <w:tcW w:w="5190" w:type="dxa"/>
            <w:gridSpan w:val="2"/>
            <w:vMerge w:val="continue"/>
            <w:noWrap w:val="0"/>
            <w:vAlign w:val="top"/>
          </w:tcPr>
          <w:p>
            <w:pPr>
              <w:rPr>
                <w:rFonts w:hint="eastAsia" w:ascii="宋体" w:hAnsi="宋体" w:eastAsia="宋体" w:cs="宋体"/>
                <w:sz w:val="24"/>
              </w:rPr>
            </w:pPr>
          </w:p>
        </w:tc>
        <w:tc>
          <w:tcPr>
            <w:tcW w:w="3190" w:type="dxa"/>
            <w:gridSpan w:val="2"/>
            <w:noWrap w:val="0"/>
            <w:vAlign w:val="center"/>
          </w:tcPr>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ind w:right="280" w:firstLine="459"/>
              <w:jc w:val="center"/>
              <w:rPr>
                <w:rFonts w:hint="eastAsia" w:ascii="宋体" w:hAnsi="宋体" w:eastAsia="宋体" w:cs="宋体"/>
                <w:sz w:val="24"/>
              </w:rPr>
            </w:pPr>
            <w:r>
              <w:rPr>
                <w:rFonts w:hint="eastAsia" w:ascii="宋体" w:hAnsi="宋体" w:eastAsia="宋体" w:cs="宋体"/>
                <w:sz w:val="24"/>
              </w:rPr>
              <w:t>年   月   日</w:t>
            </w:r>
          </w:p>
        </w:tc>
      </w:tr>
    </w:tbl>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6" w:name="_Toc16096"/>
      <w:r>
        <w:rPr>
          <w:rFonts w:hint="eastAsia" w:ascii="宋体" w:hAnsi="宋体" w:eastAsia="宋体" w:cs="宋体"/>
          <w:b/>
          <w:color w:val="000000" w:themeColor="text1"/>
          <w:sz w:val="28"/>
          <w:szCs w:val="28"/>
          <w14:textFill>
            <w14:solidFill>
              <w14:schemeClr w14:val="tx1"/>
            </w14:solidFill>
          </w14:textFill>
        </w:rPr>
        <w:t>四、法定代表人授权委托书</w:t>
      </w:r>
      <w:bookmarkEnd w:id="289"/>
      <w:bookmarkEnd w:id="290"/>
      <w:bookmarkEnd w:id="291"/>
      <w:bookmarkEnd w:id="292"/>
      <w:bookmarkEnd w:id="293"/>
      <w:bookmarkEnd w:id="294"/>
      <w:bookmarkEnd w:id="295"/>
      <w:bookmarkEnd w:id="296"/>
    </w:p>
    <w:tbl>
      <w:tblPr>
        <w:tblStyle w:val="33"/>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40"/>
        <w:gridCol w:w="11"/>
        <w:gridCol w:w="1645"/>
        <w:gridCol w:w="311"/>
        <w:gridCol w:w="2151"/>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440" w:type="dxa"/>
            <w:gridSpan w:val="7"/>
            <w:noWrap w:val="0"/>
            <w:vAlign w:val="center"/>
          </w:tcPr>
          <w:p>
            <w:pPr>
              <w:tabs>
                <w:tab w:val="left" w:pos="1260"/>
              </w:tabs>
              <w:spacing w:line="440" w:lineRule="exact"/>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restart"/>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被授权人</w:t>
            </w: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手机号码</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联系电话</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图文传真</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通讯地址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restart"/>
            <w:noWrap w:val="0"/>
            <w:vAlign w:val="center"/>
          </w:tcPr>
          <w:p>
            <w:pPr>
              <w:tabs>
                <w:tab w:val="left" w:pos="1260"/>
              </w:tabs>
              <w:spacing w:line="320" w:lineRule="exact"/>
              <w:jc w:val="center"/>
              <w:rPr>
                <w:rFonts w:hint="eastAsia" w:ascii="宋体" w:hAnsi="宋体" w:eastAsia="宋体" w:cs="宋体"/>
                <w:sz w:val="24"/>
              </w:rPr>
            </w:pPr>
            <w:r>
              <w:rPr>
                <w:rFonts w:hint="eastAsia" w:ascii="宋体" w:hAnsi="宋体" w:eastAsia="宋体" w:cs="宋体"/>
                <w:sz w:val="24"/>
              </w:rPr>
              <w:t>被授权项目与内容</w:t>
            </w: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项目名称</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文件编号</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授权范围</w:t>
            </w:r>
          </w:p>
        </w:tc>
        <w:tc>
          <w:tcPr>
            <w:tcW w:w="6483" w:type="dxa"/>
            <w:gridSpan w:val="5"/>
            <w:noWrap w:val="0"/>
            <w:vAlign w:val="center"/>
          </w:tcPr>
          <w:p>
            <w:pPr>
              <w:tabs>
                <w:tab w:val="left" w:pos="1260"/>
              </w:tabs>
              <w:spacing w:line="360" w:lineRule="exact"/>
              <w:ind w:firstLine="240" w:firstLineChars="100"/>
              <w:rPr>
                <w:rFonts w:hint="eastAsia" w:ascii="宋体" w:hAnsi="宋体" w:eastAsia="宋体" w:cs="宋体"/>
                <w:sz w:val="24"/>
              </w:rPr>
            </w:pPr>
            <w:r>
              <w:rPr>
                <w:rFonts w:hint="eastAsia" w:ascii="宋体" w:hAnsi="宋体" w:eastAsia="宋体" w:cs="宋体"/>
                <w:sz w:val="24"/>
              </w:rPr>
              <w:t>全权办理本</w:t>
            </w:r>
            <w:r>
              <w:rPr>
                <w:rFonts w:hint="eastAsia" w:ascii="宋体" w:hAnsi="宋体" w:cs="宋体"/>
                <w:color w:val="auto"/>
                <w:sz w:val="24"/>
                <w:lang w:val="en-US" w:eastAsia="zh-CN"/>
              </w:rPr>
              <w:t>磋商</w:t>
            </w:r>
            <w:r>
              <w:rPr>
                <w:rFonts w:hint="eastAsia" w:ascii="宋体" w:hAnsi="宋体" w:cs="宋体"/>
                <w:sz w:val="24"/>
                <w:lang w:eastAsia="zh-CN"/>
              </w:rPr>
              <w:t>项目</w:t>
            </w:r>
            <w:r>
              <w:rPr>
                <w:rFonts w:hint="eastAsia" w:ascii="宋体" w:hAnsi="宋体" w:eastAsia="宋体" w:cs="宋体"/>
                <w:sz w:val="24"/>
              </w:rPr>
              <w:t>的</w:t>
            </w:r>
            <w:r>
              <w:rPr>
                <w:rFonts w:hint="eastAsia" w:ascii="宋体" w:hAnsi="宋体" w:cs="宋体"/>
                <w:color w:val="auto"/>
                <w:sz w:val="24"/>
                <w:lang w:val="en-US" w:eastAsia="zh-CN"/>
              </w:rPr>
              <w:t>磋商</w:t>
            </w:r>
            <w:r>
              <w:rPr>
                <w:rFonts w:hint="eastAsia" w:ascii="宋体" w:hAnsi="宋体" w:eastAsia="宋体" w:cs="宋体"/>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法律责任</w:t>
            </w:r>
          </w:p>
        </w:tc>
        <w:tc>
          <w:tcPr>
            <w:tcW w:w="6483" w:type="dxa"/>
            <w:gridSpan w:val="5"/>
            <w:noWrap w:val="0"/>
            <w:vAlign w:val="center"/>
          </w:tcPr>
          <w:p>
            <w:pPr>
              <w:tabs>
                <w:tab w:val="left" w:pos="1260"/>
              </w:tabs>
              <w:spacing w:line="360" w:lineRule="exact"/>
              <w:ind w:firstLine="220" w:firstLineChars="100"/>
              <w:rPr>
                <w:rFonts w:hint="eastAsia" w:ascii="宋体" w:hAnsi="宋体" w:eastAsia="宋体" w:cs="宋体"/>
                <w:spacing w:val="-10"/>
                <w:sz w:val="24"/>
              </w:rPr>
            </w:pPr>
            <w:r>
              <w:rPr>
                <w:rFonts w:hint="eastAsia" w:ascii="宋体" w:hAnsi="宋体" w:eastAsia="宋体" w:cs="宋体"/>
                <w:spacing w:val="-10"/>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授权期限</w:t>
            </w:r>
          </w:p>
        </w:tc>
        <w:tc>
          <w:tcPr>
            <w:tcW w:w="6483" w:type="dxa"/>
            <w:gridSpan w:val="5"/>
            <w:noWrap w:val="0"/>
            <w:vAlign w:val="center"/>
          </w:tcPr>
          <w:p>
            <w:pPr>
              <w:tabs>
                <w:tab w:val="left" w:pos="1260"/>
              </w:tabs>
              <w:spacing w:line="360" w:lineRule="exact"/>
              <w:ind w:firstLine="235" w:firstLineChars="98"/>
              <w:rPr>
                <w:rFonts w:hint="eastAsia" w:ascii="宋体" w:hAnsi="宋体" w:eastAsia="宋体" w:cs="宋体"/>
                <w:sz w:val="24"/>
                <w:lang w:eastAsia="zh-CN"/>
              </w:rPr>
            </w:pPr>
            <w:r>
              <w:rPr>
                <w:rFonts w:hint="eastAsia" w:ascii="宋体" w:hAnsi="宋体" w:eastAsia="宋体" w:cs="宋体"/>
                <w:bCs/>
                <w:sz w:val="24"/>
              </w:rPr>
              <w:t>本授权书有效期</w:t>
            </w:r>
            <w:r>
              <w:rPr>
                <w:rFonts w:hint="eastAsia" w:ascii="宋体" w:hAnsi="宋体" w:cs="宋体"/>
                <w:spacing w:val="-10"/>
                <w:sz w:val="24"/>
                <w:lang w:eastAsia="zh-CN"/>
              </w:rPr>
              <w:t>自本委托书签署之日起至投标有效期期满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13" w:type="dxa"/>
            <w:gridSpan w:val="4"/>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被授权人身份证复印件</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4613" w:type="dxa"/>
            <w:gridSpan w:val="4"/>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扫描件</w:t>
            </w:r>
            <w:r>
              <w:rPr>
                <w:rFonts w:hint="eastAsia" w:ascii="宋体" w:hAnsi="宋体" w:eastAsia="宋体" w:cs="宋体"/>
                <w:sz w:val="24"/>
              </w:rPr>
              <w:t>）</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jc w:val="center"/>
        </w:trPr>
        <w:tc>
          <w:tcPr>
            <w:tcW w:w="4613" w:type="dxa"/>
            <w:gridSpan w:val="4"/>
            <w:vMerge w:val="continue"/>
            <w:noWrap w:val="0"/>
            <w:vAlign w:val="center"/>
          </w:tcPr>
          <w:p>
            <w:pPr>
              <w:tabs>
                <w:tab w:val="left" w:pos="1260"/>
              </w:tabs>
              <w:spacing w:line="440" w:lineRule="exact"/>
              <w:rPr>
                <w:rFonts w:hint="eastAsia" w:ascii="宋体" w:hAnsi="宋体" w:eastAsia="宋体" w:cs="宋体"/>
                <w:sz w:val="24"/>
              </w:rPr>
            </w:pP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p>
            <w:pPr>
              <w:tabs>
                <w:tab w:val="left" w:pos="1260"/>
              </w:tabs>
              <w:spacing w:line="220" w:lineRule="exact"/>
              <w:jc w:val="center"/>
              <w:rPr>
                <w:rFonts w:hint="eastAsia" w:ascii="宋体" w:hAnsi="宋体" w:eastAsia="宋体" w:cs="宋体"/>
                <w:sz w:val="24"/>
              </w:rPr>
            </w:pPr>
          </w:p>
          <w:p>
            <w:pPr>
              <w:tabs>
                <w:tab w:val="left" w:pos="1260"/>
              </w:tabs>
              <w:spacing w:line="440" w:lineRule="exact"/>
              <w:jc w:val="right"/>
              <w:rPr>
                <w:rFonts w:hint="eastAsia" w:ascii="宋体" w:hAnsi="宋体" w:eastAsia="宋体" w:cs="宋体"/>
                <w:sz w:val="24"/>
              </w:rPr>
            </w:pPr>
            <w:r>
              <w:rPr>
                <w:rFonts w:hint="eastAsia" w:ascii="宋体" w:hAnsi="宋体" w:eastAsia="宋体" w:cs="宋体"/>
                <w:sz w:val="24"/>
              </w:rPr>
              <w:t>年   月   日</w:t>
            </w:r>
          </w:p>
        </w:tc>
      </w:tr>
    </w:tbl>
    <w:p>
      <w:pPr>
        <w:spacing w:line="360" w:lineRule="auto"/>
        <w:ind w:firstLine="420" w:firstLineChars="200"/>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7" w:name="_Toc500323115"/>
      <w:bookmarkStart w:id="298" w:name="_Toc3574"/>
      <w:bookmarkStart w:id="299" w:name="_Toc18320"/>
      <w:bookmarkStart w:id="300" w:name="_Toc526842730"/>
      <w:bookmarkStart w:id="301" w:name="_Toc425240485"/>
      <w:bookmarkStart w:id="302" w:name="_Toc421778390"/>
      <w:r>
        <w:rPr>
          <w:rFonts w:hint="eastAsia" w:ascii="宋体" w:hAnsi="宋体" w:cs="宋体"/>
          <w:b/>
          <w:color w:val="000000" w:themeColor="text1"/>
          <w:sz w:val="28"/>
          <w:szCs w:val="28"/>
          <w:lang w:eastAsia="zh-CN"/>
          <w14:textFill>
            <w14:solidFill>
              <w14:schemeClr w14:val="tx1"/>
            </w14:solidFill>
          </w14:textFill>
        </w:rPr>
        <w:t>五</w:t>
      </w:r>
      <w:r>
        <w:rPr>
          <w:rFonts w:hint="eastAsia" w:ascii="宋体" w:hAnsi="宋体" w:eastAsia="宋体" w:cs="宋体"/>
          <w:b/>
          <w:color w:val="000000" w:themeColor="text1"/>
          <w:sz w:val="28"/>
          <w:szCs w:val="28"/>
          <w14:textFill>
            <w14:solidFill>
              <w14:schemeClr w14:val="tx1"/>
            </w14:solidFill>
          </w14:textFill>
        </w:rPr>
        <w:t>、技术</w:t>
      </w:r>
      <w:bookmarkEnd w:id="297"/>
      <w:bookmarkEnd w:id="298"/>
      <w:r>
        <w:rPr>
          <w:rFonts w:hint="eastAsia" w:ascii="宋体" w:hAnsi="宋体" w:eastAsia="宋体" w:cs="宋体"/>
          <w:b/>
          <w:color w:val="000000" w:themeColor="text1"/>
          <w:sz w:val="28"/>
          <w:szCs w:val="28"/>
          <w14:textFill>
            <w14:solidFill>
              <w14:schemeClr w14:val="tx1"/>
            </w14:solidFill>
          </w14:textFill>
        </w:rPr>
        <w:t>方案</w:t>
      </w:r>
      <w:bookmarkEnd w:id="299"/>
      <w:bookmarkEnd w:id="30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包括但不限于：</w:t>
      </w:r>
    </w:p>
    <w:p>
      <w:pPr>
        <w:pStyle w:val="7"/>
        <w:rPr>
          <w:rFonts w:hint="eastAsia"/>
        </w:rPr>
      </w:pP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确保工程质量的技术组织措施；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确保安全生产的技术组织措施；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确保文明施工的技术组织措施及环境保护措施；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确保工期的技术组织措施；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施工方案和项目经理部组成人员；</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施工机械配备和材料投入计划；</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施工进度表或施工网络图；</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劳动力安排计划及劳务分包情况表；</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施工总平面布置图；</w:t>
      </w:r>
    </w:p>
    <w:p>
      <w:pPr>
        <w:pStyle w:val="82"/>
        <w:numPr>
          <w:ilvl w:val="0"/>
          <w:numId w:val="8"/>
        </w:numPr>
        <w:spacing w:after="120" w:line="360" w:lineRule="auto"/>
        <w:ind w:firstLineChars="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新技术、新产品、新工艺、新材料应用。</w:t>
      </w:r>
    </w:p>
    <w:p>
      <w:pPr>
        <w:pStyle w:val="82"/>
        <w:numPr>
          <w:ilvl w:val="0"/>
          <w:numId w:val="0"/>
        </w:numPr>
        <w:spacing w:after="120" w:line="360" w:lineRule="auto"/>
        <w:ind w:left="480" w:leftChars="0"/>
        <w:rPr>
          <w:rFonts w:hint="eastAsia" w:ascii="宋体" w:hAnsi="宋体" w:eastAsia="宋体" w:cs="宋体"/>
          <w:b/>
          <w:color w:val="000000" w:themeColor="text1"/>
          <w:sz w:val="28"/>
          <w:szCs w:val="28"/>
          <w14:textFill>
            <w14:solidFill>
              <w14:schemeClr w14:val="tx1"/>
            </w14:solidFill>
          </w14:textFill>
        </w:rPr>
      </w:pPr>
    </w:p>
    <w:p>
      <w:pPr>
        <w:pStyle w:val="82"/>
        <w:numPr>
          <w:ilvl w:val="0"/>
          <w:numId w:val="0"/>
        </w:numPr>
        <w:spacing w:after="120" w:line="360" w:lineRule="auto"/>
        <w:ind w:left="480" w:leftChars="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注：供应商提供的资料应真实可靠，否则由此引发的责任风险将由供应商自行承担</w:t>
      </w:r>
      <w:r>
        <w:rPr>
          <w:rFonts w:hint="eastAsia" w:ascii="宋体" w:hAnsi="宋体" w:eastAsia="宋体" w:cs="宋体"/>
          <w:b/>
          <w:bCs/>
          <w:color w:val="000000" w:themeColor="text1"/>
          <w:sz w:val="28"/>
          <w:szCs w:val="28"/>
          <w:lang w:eastAsia="zh-CN"/>
          <w14:textFill>
            <w14:solidFill>
              <w14:schemeClr w14:val="tx1"/>
            </w14:solidFill>
          </w14:textFill>
        </w:rPr>
        <w:t>。</w:t>
      </w: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pStyle w:val="7"/>
        <w:rPr>
          <w:rFonts w:hint="eastAsia"/>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overflowPunct w:val="0"/>
        <w:spacing w:line="360" w:lineRule="auto"/>
        <w:rPr>
          <w:rFonts w:ascii="宋体"/>
          <w:b/>
          <w:color w:val="000000"/>
          <w:sz w:val="24"/>
        </w:rPr>
      </w:pPr>
      <w:r>
        <w:rPr>
          <w:rFonts w:hint="eastAsia" w:ascii="宋体" w:hAnsi="宋体"/>
          <w:b/>
          <w:color w:val="000000"/>
          <w:sz w:val="24"/>
        </w:rPr>
        <w:t>附</w:t>
      </w:r>
      <w:r>
        <w:rPr>
          <w:rFonts w:ascii="宋体" w:hAnsi="宋体"/>
          <w:b/>
          <w:color w:val="000000"/>
          <w:sz w:val="24"/>
        </w:rPr>
        <w:t>1</w:t>
      </w:r>
      <w:r>
        <w:rPr>
          <w:rFonts w:hint="eastAsia" w:ascii="宋体" w:hAnsi="宋体"/>
          <w:b/>
          <w:color w:val="000000"/>
          <w:sz w:val="24"/>
        </w:rPr>
        <w:t>：项目经理简历表</w:t>
      </w:r>
    </w:p>
    <w:p>
      <w:pPr>
        <w:overflowPunct w:val="0"/>
        <w:spacing w:line="360" w:lineRule="auto"/>
        <w:ind w:firstLine="480" w:firstLineChars="200"/>
        <w:rPr>
          <w:rFonts w:ascii="宋体"/>
          <w:color w:val="000000"/>
          <w:sz w:val="24"/>
        </w:rPr>
      </w:pPr>
      <w:r>
        <w:rPr>
          <w:rFonts w:hint="eastAsia" w:ascii="宋体" w:hAnsi="宋体"/>
          <w:color w:val="000000"/>
          <w:sz w:val="24"/>
        </w:rPr>
        <w:t>项目经理应附建造师</w:t>
      </w:r>
      <w:r>
        <w:rPr>
          <w:rFonts w:hint="eastAsia" w:ascii="宋体" w:hAnsi="宋体"/>
          <w:color w:val="000000"/>
          <w:sz w:val="24"/>
          <w:lang w:eastAsia="zh-CN"/>
        </w:rPr>
        <w:t>注册证</w:t>
      </w:r>
      <w:r>
        <w:rPr>
          <w:rFonts w:hint="eastAsia" w:ascii="宋体" w:hAnsi="宋体"/>
          <w:color w:val="000000"/>
          <w:sz w:val="24"/>
        </w:rPr>
        <w:t>、安全生产考核合格证书、身份证</w:t>
      </w:r>
      <w:r>
        <w:rPr>
          <w:rFonts w:hint="eastAsia" w:ascii="宋体" w:hAnsi="宋体"/>
          <w:color w:val="000000"/>
          <w:sz w:val="24"/>
          <w:lang w:eastAsia="zh-CN"/>
        </w:rPr>
        <w:t>等及</w:t>
      </w:r>
      <w:r>
        <w:rPr>
          <w:rFonts w:hint="eastAsia" w:ascii="宋体" w:hAnsi="宋体"/>
          <w:color w:val="000000"/>
          <w:sz w:val="24"/>
        </w:rPr>
        <w:t>未担任其他在施建设工程项目项目经理的承诺书，管理过的项目业绩须附合同协议书。</w:t>
      </w:r>
    </w:p>
    <w:tbl>
      <w:tblPr>
        <w:tblStyle w:val="3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082"/>
        <w:gridCol w:w="1184"/>
        <w:gridCol w:w="1332"/>
        <w:gridCol w:w="2127"/>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1082" w:type="dxa"/>
            <w:noWrap w:val="0"/>
            <w:vAlign w:val="center"/>
          </w:tcPr>
          <w:p>
            <w:pPr>
              <w:overflowPunct w:val="0"/>
              <w:spacing w:line="360" w:lineRule="auto"/>
              <w:jc w:val="center"/>
              <w:rPr>
                <w:rFonts w:ascii="宋体"/>
                <w:color w:val="000000"/>
                <w:sz w:val="24"/>
              </w:rPr>
            </w:pPr>
          </w:p>
        </w:tc>
        <w:tc>
          <w:tcPr>
            <w:tcW w:w="118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龄</w:t>
            </w:r>
          </w:p>
        </w:tc>
        <w:tc>
          <w:tcPr>
            <w:tcW w:w="1332" w:type="dxa"/>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学历</w:t>
            </w: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称</w:t>
            </w:r>
          </w:p>
        </w:tc>
        <w:tc>
          <w:tcPr>
            <w:tcW w:w="1082" w:type="dxa"/>
            <w:noWrap w:val="0"/>
            <w:vAlign w:val="center"/>
          </w:tcPr>
          <w:p>
            <w:pPr>
              <w:overflowPunct w:val="0"/>
              <w:spacing w:line="360" w:lineRule="auto"/>
              <w:jc w:val="center"/>
              <w:rPr>
                <w:rFonts w:ascii="宋体"/>
                <w:color w:val="000000"/>
                <w:sz w:val="24"/>
              </w:rPr>
            </w:pPr>
          </w:p>
        </w:tc>
        <w:tc>
          <w:tcPr>
            <w:tcW w:w="118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务</w:t>
            </w:r>
          </w:p>
        </w:tc>
        <w:tc>
          <w:tcPr>
            <w:tcW w:w="1332" w:type="dxa"/>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拟在本工程任职</w:t>
            </w:r>
          </w:p>
        </w:tc>
        <w:tc>
          <w:tcPr>
            <w:tcW w:w="2258"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683"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注册建造师执业资格等级</w:t>
            </w:r>
          </w:p>
        </w:tc>
        <w:tc>
          <w:tcPr>
            <w:tcW w:w="1332" w:type="dxa"/>
            <w:noWrap w:val="0"/>
            <w:vAlign w:val="center"/>
          </w:tcPr>
          <w:p>
            <w:pPr>
              <w:overflowPunct w:val="0"/>
              <w:spacing w:line="360" w:lineRule="auto"/>
              <w:jc w:val="center"/>
              <w:rPr>
                <w:rFonts w:ascii="宋体"/>
                <w:color w:val="000000"/>
                <w:sz w:val="24"/>
              </w:rPr>
            </w:pPr>
            <w:r>
              <w:rPr>
                <w:rFonts w:ascii="宋体" w:hAnsi="宋体"/>
                <w:color w:val="000000"/>
                <w:sz w:val="24"/>
              </w:rPr>
              <w:t xml:space="preserve">      </w:t>
            </w:r>
            <w:r>
              <w:rPr>
                <w:rFonts w:hint="eastAsia" w:ascii="宋体" w:hAnsi="宋体"/>
                <w:color w:val="000000"/>
                <w:sz w:val="24"/>
              </w:rPr>
              <w:t>级</w:t>
            </w: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建造师专业</w:t>
            </w: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683"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安全生产考核合格证书</w:t>
            </w:r>
          </w:p>
        </w:tc>
        <w:tc>
          <w:tcPr>
            <w:tcW w:w="5717" w:type="dxa"/>
            <w:gridSpan w:val="3"/>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毕业学校</w:t>
            </w:r>
          </w:p>
        </w:tc>
        <w:tc>
          <w:tcPr>
            <w:tcW w:w="7983" w:type="dxa"/>
            <w:gridSpan w:val="5"/>
            <w:noWrap w:val="0"/>
            <w:vAlign w:val="center"/>
          </w:tcPr>
          <w:p>
            <w:pPr>
              <w:overflowPunct w:val="0"/>
              <w:spacing w:line="360" w:lineRule="auto"/>
              <w:ind w:firstLine="960" w:firstLineChars="400"/>
              <w:rPr>
                <w:rFonts w:ascii="宋体"/>
                <w:color w:val="000000"/>
                <w:sz w:val="24"/>
              </w:rPr>
            </w:pPr>
            <w:r>
              <w:rPr>
                <w:rFonts w:hint="eastAsia" w:ascii="宋体" w:hAnsi="宋体"/>
                <w:color w:val="000000"/>
                <w:sz w:val="24"/>
              </w:rPr>
              <w:t>年毕业于</w:t>
            </w:r>
            <w:r>
              <w:rPr>
                <w:rFonts w:ascii="宋体" w:hAnsi="宋体"/>
                <w:color w:val="000000"/>
                <w:sz w:val="24"/>
              </w:rPr>
              <w:t xml:space="preserve">                  </w:t>
            </w:r>
            <w:r>
              <w:rPr>
                <w:rFonts w:hint="eastAsia" w:ascii="宋体" w:hAnsi="宋体"/>
                <w:color w:val="000000"/>
                <w:sz w:val="24"/>
              </w:rPr>
              <w:t>学校</w:t>
            </w:r>
            <w:r>
              <w:rPr>
                <w:rFonts w:ascii="宋体" w:hAnsi="宋体"/>
                <w:color w:val="000000"/>
                <w:sz w:val="24"/>
              </w:rPr>
              <w:t xml:space="preserve">            </w:t>
            </w:r>
            <w:r>
              <w:rPr>
                <w:rFonts w:hint="eastAsia" w:ascii="宋体" w:hAnsi="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400" w:type="dxa"/>
            <w:gridSpan w:val="6"/>
            <w:noWrap w:val="0"/>
            <w:vAlign w:val="center"/>
          </w:tcPr>
          <w:p>
            <w:pPr>
              <w:overflowPunct w:val="0"/>
              <w:spacing w:line="360" w:lineRule="auto"/>
              <w:jc w:val="center"/>
              <w:rPr>
                <w:rFonts w:ascii="宋体"/>
                <w:color w:val="000000"/>
                <w:sz w:val="24"/>
              </w:rPr>
            </w:pPr>
            <w:r>
              <w:rPr>
                <w:rFonts w:hint="eastAsia" w:ascii="宋体" w:hAnsi="宋体"/>
                <w:color w:val="000000"/>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时</w:t>
            </w:r>
            <w:r>
              <w:rPr>
                <w:rFonts w:ascii="宋体" w:hAnsi="宋体"/>
                <w:color w:val="000000"/>
                <w:sz w:val="24"/>
              </w:rPr>
              <w:t xml:space="preserve">  </w:t>
            </w:r>
            <w:r>
              <w:rPr>
                <w:rFonts w:hint="eastAsia" w:ascii="宋体" w:hAnsi="宋体"/>
                <w:color w:val="000000"/>
                <w:sz w:val="24"/>
              </w:rPr>
              <w:t>间</w:t>
            </w:r>
          </w:p>
        </w:tc>
        <w:tc>
          <w:tcPr>
            <w:tcW w:w="3598"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参加过的类似项目名称</w:t>
            </w: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工程概况说明</w:t>
            </w:r>
          </w:p>
        </w:tc>
        <w:tc>
          <w:tcPr>
            <w:tcW w:w="2258"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bl>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overflowPunct w:val="0"/>
        <w:spacing w:line="360" w:lineRule="auto"/>
        <w:rPr>
          <w:rFonts w:ascii="宋体"/>
          <w:color w:val="000000"/>
          <w:sz w:val="24"/>
        </w:rPr>
      </w:pPr>
      <w:r>
        <w:rPr>
          <w:rFonts w:hint="eastAsia" w:ascii="宋体" w:hAnsi="宋体"/>
          <w:b/>
          <w:color w:val="000000"/>
          <w:sz w:val="24"/>
        </w:rPr>
        <w:t>附</w:t>
      </w:r>
      <w:r>
        <w:rPr>
          <w:rFonts w:ascii="宋体" w:hAnsi="宋体"/>
          <w:b/>
          <w:color w:val="000000"/>
          <w:sz w:val="24"/>
        </w:rPr>
        <w:t>2</w:t>
      </w:r>
      <w:r>
        <w:rPr>
          <w:rFonts w:hint="eastAsia" w:ascii="宋体" w:hAnsi="宋体"/>
          <w:b/>
          <w:color w:val="000000"/>
          <w:sz w:val="24"/>
        </w:rPr>
        <w:t>：主要项目管理人员简历表</w:t>
      </w:r>
    </w:p>
    <w:p>
      <w:pPr>
        <w:overflowPunct w:val="0"/>
        <w:spacing w:line="360" w:lineRule="auto"/>
        <w:ind w:firstLine="480" w:firstLineChars="200"/>
        <w:rPr>
          <w:rFonts w:ascii="宋体"/>
          <w:color w:val="000000"/>
          <w:sz w:val="24"/>
        </w:rPr>
      </w:pPr>
      <w:r>
        <w:rPr>
          <w:rFonts w:hint="eastAsia" w:ascii="宋体" w:hAnsi="宋体"/>
          <w:color w:val="000000"/>
          <w:sz w:val="24"/>
        </w:rPr>
        <w:t>主要项目管理人员指项目副经理、技术负责人、合同商务负责人、专职安全生产管理人员等岗位人员。应附注册资格证书、身份证，专职安全生产管理人员应附安全生产考核合格证书，主要业绩须附合同协议书。</w:t>
      </w:r>
    </w:p>
    <w:tbl>
      <w:tblPr>
        <w:tblStyle w:val="33"/>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404"/>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640" w:type="dxa"/>
            <w:gridSpan w:val="3"/>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学历和专业</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拥有的执业资格</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执业资格证书编号</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5" w:hRule="atLeast"/>
        </w:trPr>
        <w:tc>
          <w:tcPr>
            <w:tcW w:w="916" w:type="dxa"/>
            <w:noWrap w:val="0"/>
            <w:textDirection w:val="tbRlV"/>
            <w:vAlign w:val="center"/>
          </w:tcPr>
          <w:p>
            <w:pPr>
              <w:overflowPunct w:val="0"/>
              <w:spacing w:line="360" w:lineRule="auto"/>
              <w:ind w:right="113" w:firstLine="240" w:firstLineChars="100"/>
              <w:jc w:val="center"/>
              <w:rPr>
                <w:rFonts w:ascii="宋体"/>
                <w:color w:val="000000"/>
                <w:sz w:val="24"/>
              </w:rPr>
            </w:pPr>
            <w:r>
              <w:rPr>
                <w:rFonts w:hint="eastAsia" w:ascii="宋体" w:hAnsi="宋体"/>
                <w:color w:val="000000"/>
                <w:sz w:val="24"/>
              </w:rPr>
              <w:t>主要工作业绩及担任的主要工作</w:t>
            </w:r>
          </w:p>
        </w:tc>
        <w:tc>
          <w:tcPr>
            <w:tcW w:w="7724" w:type="dxa"/>
            <w:gridSpan w:val="2"/>
            <w:noWrap w:val="0"/>
            <w:vAlign w:val="center"/>
          </w:tcPr>
          <w:p>
            <w:pPr>
              <w:overflowPunct w:val="0"/>
              <w:spacing w:line="360" w:lineRule="auto"/>
              <w:ind w:firstLine="240" w:firstLineChars="100"/>
              <w:rPr>
                <w:rFonts w:ascii="宋体"/>
                <w:color w:val="000000"/>
                <w:sz w:val="24"/>
              </w:rPr>
            </w:pPr>
          </w:p>
        </w:tc>
      </w:tr>
    </w:tbl>
    <w:p>
      <w:pPr>
        <w:spacing w:line="480" w:lineRule="exact"/>
        <w:jc w:val="both"/>
        <w:rPr>
          <w:rFonts w:hint="eastAsia" w:ascii="方正小标宋简体" w:eastAsia="方正小标宋简体"/>
          <w:bCs/>
          <w:color w:val="000000"/>
          <w:sz w:val="44"/>
          <w:szCs w:val="44"/>
        </w:rPr>
      </w:pPr>
    </w:p>
    <w:p>
      <w:pPr>
        <w:overflowPunct w:val="0"/>
        <w:spacing w:line="360" w:lineRule="auto"/>
        <w:rPr>
          <w:rFonts w:ascii="宋体"/>
          <w:color w:val="000000"/>
          <w:sz w:val="24"/>
        </w:rPr>
      </w:pPr>
      <w:r>
        <w:rPr>
          <w:rFonts w:hint="eastAsia" w:ascii="宋体" w:hAnsi="宋体"/>
          <w:b/>
          <w:color w:val="000000"/>
          <w:sz w:val="24"/>
        </w:rPr>
        <w:t>附</w:t>
      </w:r>
      <w:r>
        <w:rPr>
          <w:rFonts w:ascii="宋体" w:hAnsi="宋体"/>
          <w:b/>
          <w:color w:val="000000"/>
          <w:sz w:val="24"/>
        </w:rPr>
        <w:t>3</w:t>
      </w:r>
      <w:r>
        <w:rPr>
          <w:rFonts w:hint="eastAsia" w:ascii="宋体" w:hAnsi="宋体"/>
          <w:b/>
          <w:color w:val="000000"/>
          <w:sz w:val="24"/>
        </w:rPr>
        <w:t>：承诺书</w:t>
      </w:r>
    </w:p>
    <w:p>
      <w:pPr>
        <w:overflowPunct w:val="0"/>
        <w:spacing w:line="360" w:lineRule="auto"/>
        <w:jc w:val="center"/>
        <w:rPr>
          <w:rFonts w:hint="eastAsia" w:ascii="宋体" w:hAnsi="宋体"/>
          <w:color w:val="000000"/>
          <w:sz w:val="24"/>
        </w:rPr>
      </w:pPr>
      <w:r>
        <w:rPr>
          <w:rFonts w:hint="eastAsia" w:ascii="宋体" w:hAnsi="宋体"/>
          <w:color w:val="000000"/>
          <w:sz w:val="24"/>
        </w:rPr>
        <w:t>承诺书</w:t>
      </w:r>
    </w:p>
    <w:p>
      <w:pPr>
        <w:pStyle w:val="16"/>
        <w:rPr>
          <w:rFonts w:hint="eastAsia" w:ascii="宋体" w:hAnsi="宋体"/>
          <w:color w:val="000000"/>
          <w:sz w:val="24"/>
        </w:rPr>
      </w:pPr>
    </w:p>
    <w:p>
      <w:pPr>
        <w:rPr>
          <w:rFonts w:hint="eastAsia" w:ascii="宋体" w:hAnsi="宋体"/>
          <w:color w:val="000000"/>
          <w:sz w:val="24"/>
        </w:rPr>
      </w:pPr>
    </w:p>
    <w:p>
      <w:pPr>
        <w:pStyle w:val="16"/>
      </w:pPr>
    </w:p>
    <w:p>
      <w:pPr>
        <w:keepNext w:val="0"/>
        <w:keepLines w:val="0"/>
        <w:pageBreakBefore w:val="0"/>
        <w:widowControl w:val="0"/>
        <w:kinsoku/>
        <w:wordWrap/>
        <w:overflowPunct w:val="0"/>
        <w:topLinePunct w:val="0"/>
        <w:autoSpaceDE/>
        <w:autoSpaceDN/>
        <w:bidi w:val="0"/>
        <w:adjustRightInd/>
        <w:snapToGrid/>
        <w:spacing w:line="480" w:lineRule="auto"/>
        <w:textAlignment w:val="auto"/>
        <w:rPr>
          <w:rFonts w:ascii="宋体"/>
          <w:color w:val="000000"/>
          <w:sz w:val="24"/>
          <w:szCs w:val="24"/>
        </w:rPr>
      </w:pPr>
      <w:r>
        <w:rPr>
          <w:rFonts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采购人</w:t>
      </w:r>
      <w:r>
        <w:rPr>
          <w:rFonts w:hint="eastAsia" w:ascii="宋体" w:hAnsi="宋体"/>
          <w:color w:val="000000"/>
          <w:sz w:val="24"/>
          <w:szCs w:val="24"/>
        </w:rPr>
        <w:t>名称）：</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、我方在此声明，我方拟派往</w:t>
      </w:r>
      <w:r>
        <w:rPr>
          <w:rFonts w:ascii="宋体" w:hAnsi="宋体"/>
          <w:color w:val="000000"/>
          <w:sz w:val="24"/>
          <w:szCs w:val="24"/>
          <w:u w:val="single"/>
        </w:rPr>
        <w:t xml:space="preserve">        </w:t>
      </w:r>
      <w:r>
        <w:rPr>
          <w:rFonts w:hint="eastAsia" w:ascii="宋体" w:hAnsi="宋体"/>
          <w:color w:val="000000"/>
          <w:sz w:val="24"/>
          <w:szCs w:val="24"/>
        </w:rPr>
        <w:t>（项目名称）（以下简称“本工程”）的项目经理</w:t>
      </w:r>
      <w:r>
        <w:rPr>
          <w:rFonts w:ascii="宋体" w:hAnsi="宋体"/>
          <w:color w:val="000000"/>
          <w:sz w:val="24"/>
          <w:szCs w:val="24"/>
          <w:u w:val="single"/>
        </w:rPr>
        <w:t xml:space="preserve">           </w:t>
      </w:r>
      <w:r>
        <w:rPr>
          <w:rFonts w:hint="eastAsia" w:ascii="宋体" w:hAnsi="宋体"/>
          <w:color w:val="000000"/>
          <w:sz w:val="24"/>
          <w:szCs w:val="24"/>
        </w:rPr>
        <w:t>（项目经理姓名）现阶段没有担任任何在施建设工程项目的项目经理。</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、如我方未按时发放农民工工资，</w:t>
      </w:r>
      <w:r>
        <w:rPr>
          <w:rFonts w:hint="eastAsia" w:ascii="宋体" w:hAnsi="宋体"/>
          <w:color w:val="000000"/>
          <w:sz w:val="24"/>
          <w:szCs w:val="24"/>
          <w:lang w:eastAsia="zh-CN"/>
        </w:rPr>
        <w:t>采购</w:t>
      </w:r>
      <w:r>
        <w:rPr>
          <w:rFonts w:hint="eastAsia" w:ascii="宋体" w:hAnsi="宋体"/>
          <w:color w:val="000000"/>
          <w:sz w:val="24"/>
          <w:szCs w:val="24"/>
        </w:rPr>
        <w:t>人除有权在应支付的进度款中扣除应发农民工工资外，我方还愿承担相应的违约责任。</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hint="eastAsia" w:ascii="宋体" w:hAnsi="宋体"/>
          <w:color w:val="000000"/>
          <w:sz w:val="24"/>
          <w:szCs w:val="24"/>
        </w:rPr>
        <w:t>我方保证上述信息的真实和准确，并愿意承担因我方就此弄虚作假所引起的一切法律后果。</w:t>
      </w:r>
    </w:p>
    <w:p>
      <w:pPr>
        <w:overflowPunct w:val="0"/>
        <w:spacing w:line="360" w:lineRule="auto"/>
        <w:ind w:firstLine="480" w:firstLineChars="200"/>
        <w:rPr>
          <w:rFonts w:ascii="宋体"/>
          <w:color w:val="000000"/>
          <w:sz w:val="24"/>
          <w:szCs w:val="24"/>
        </w:rPr>
      </w:pPr>
    </w:p>
    <w:p>
      <w:pPr>
        <w:overflowPunct w:val="0"/>
        <w:spacing w:line="360" w:lineRule="auto"/>
        <w:ind w:firstLine="480" w:firstLineChars="200"/>
        <w:rPr>
          <w:rFonts w:ascii="宋体"/>
          <w:color w:val="000000"/>
          <w:sz w:val="24"/>
          <w:szCs w:val="24"/>
        </w:rPr>
      </w:pPr>
    </w:p>
    <w:p>
      <w:pPr>
        <w:overflowPunct w:val="0"/>
        <w:spacing w:line="360" w:lineRule="auto"/>
        <w:ind w:firstLine="480" w:firstLineChars="200"/>
        <w:rPr>
          <w:rFonts w:ascii="宋体"/>
          <w:color w:val="000000"/>
          <w:sz w:val="24"/>
          <w:szCs w:val="24"/>
        </w:rPr>
      </w:pPr>
      <w:r>
        <w:rPr>
          <w:rFonts w:hint="eastAsia" w:ascii="宋体" w:hAnsi="宋体"/>
          <w:color w:val="000000"/>
          <w:sz w:val="24"/>
          <w:szCs w:val="24"/>
        </w:rPr>
        <w:t>特此承诺</w:t>
      </w:r>
    </w:p>
    <w:p>
      <w:pPr>
        <w:overflowPunct w:val="0"/>
        <w:spacing w:line="360" w:lineRule="auto"/>
        <w:ind w:firstLine="560" w:firstLineChars="200"/>
        <w:rPr>
          <w:rFonts w:ascii="宋体"/>
          <w:color w:val="000000"/>
          <w:sz w:val="28"/>
          <w:szCs w:val="28"/>
        </w:rPr>
      </w:pPr>
    </w:p>
    <w:p>
      <w:pPr>
        <w:overflowPunct w:val="0"/>
        <w:spacing w:line="360" w:lineRule="auto"/>
        <w:ind w:firstLine="560" w:firstLineChars="200"/>
        <w:rPr>
          <w:rFonts w:ascii="宋体"/>
          <w:color w:val="000000"/>
          <w:sz w:val="28"/>
          <w:szCs w:val="28"/>
        </w:rPr>
      </w:pPr>
    </w:p>
    <w:p>
      <w:pPr>
        <w:overflowPunct w:val="0"/>
        <w:spacing w:line="360" w:lineRule="auto"/>
        <w:ind w:firstLine="560" w:firstLineChars="200"/>
        <w:rPr>
          <w:rFonts w:ascii="宋体"/>
          <w:color w:val="000000"/>
          <w:sz w:val="28"/>
          <w:szCs w:val="28"/>
        </w:rPr>
      </w:pPr>
    </w:p>
    <w:p>
      <w:pPr>
        <w:overflowPunct w:val="0"/>
        <w:spacing w:line="360" w:lineRule="auto"/>
        <w:rPr>
          <w:rFonts w:ascii="宋体"/>
          <w:color w:val="000000"/>
          <w:sz w:val="24"/>
          <w:szCs w:val="24"/>
        </w:rPr>
      </w:pPr>
    </w:p>
    <w:p>
      <w:pPr>
        <w:keepNext w:val="0"/>
        <w:keepLines w:val="0"/>
        <w:pageBreakBefore w:val="0"/>
        <w:widowControl w:val="0"/>
        <w:kinsoku/>
        <w:wordWrap/>
        <w:overflowPunct w:val="0"/>
        <w:topLinePunct w:val="0"/>
        <w:autoSpaceDE/>
        <w:autoSpaceDN/>
        <w:bidi w:val="0"/>
        <w:adjustRightInd/>
        <w:snapToGrid/>
        <w:spacing w:line="480" w:lineRule="auto"/>
        <w:jc w:val="right"/>
        <w:textAlignment w:val="auto"/>
        <w:rPr>
          <w:rFonts w:asci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w:t>
      </w:r>
      <w:r>
        <w:rPr>
          <w:rFonts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val="0"/>
        <w:topLinePunct w:val="0"/>
        <w:autoSpaceDE/>
        <w:autoSpaceDN/>
        <w:bidi w:val="0"/>
        <w:adjustRightInd/>
        <w:snapToGrid/>
        <w:spacing w:line="480" w:lineRule="auto"/>
        <w:jc w:val="right"/>
        <w:textAlignment w:val="auto"/>
        <w:rPr>
          <w:rFonts w:ascii="宋体"/>
          <w:color w:val="000000"/>
          <w:sz w:val="24"/>
          <w:szCs w:val="24"/>
        </w:rPr>
      </w:pPr>
      <w:r>
        <w:rPr>
          <w:rFonts w:hint="eastAsia"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rPr>
        <w:t>（签字）</w:t>
      </w:r>
    </w:p>
    <w:p>
      <w:pPr>
        <w:keepNext w:val="0"/>
        <w:keepLines w:val="0"/>
        <w:pageBreakBefore w:val="0"/>
        <w:widowControl w:val="0"/>
        <w:kinsoku/>
        <w:wordWrap/>
        <w:overflowPunct w:val="0"/>
        <w:topLinePunct w:val="0"/>
        <w:autoSpaceDE/>
        <w:autoSpaceDN/>
        <w:bidi w:val="0"/>
        <w:adjustRightInd/>
        <w:snapToGrid/>
        <w:spacing w:line="480" w:lineRule="auto"/>
        <w:ind w:firstLine="4320" w:firstLineChars="1800"/>
        <w:jc w:val="both"/>
        <w:textAlignment w:val="auto"/>
        <w:rPr>
          <w:rFonts w:hint="eastAsia" w:ascii="宋体" w:hAnsi="宋体" w:eastAsia="宋体"/>
          <w:color w:val="000000"/>
          <w:sz w:val="24"/>
          <w:szCs w:val="24"/>
          <w:u w:val="single"/>
          <w:lang w:eastAsia="zh-CN"/>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u w:val="none"/>
          <w:lang w:eastAsia="zh-CN"/>
        </w:rPr>
        <w:t>日</w:t>
      </w:r>
    </w:p>
    <w:p>
      <w:pPr>
        <w:overflowPunct w:val="0"/>
        <w:spacing w:line="360" w:lineRule="auto"/>
        <w:jc w:val="right"/>
        <w:rPr>
          <w:rFonts w:ascii="宋体" w:hAnsi="宋体"/>
          <w:color w:val="000000"/>
          <w:sz w:val="24"/>
          <w:u w:val="single"/>
        </w:rPr>
      </w:pPr>
    </w:p>
    <w:p>
      <w:pPr>
        <w:overflowPunct w:val="0"/>
        <w:spacing w:line="360" w:lineRule="auto"/>
        <w:jc w:val="right"/>
        <w:rPr>
          <w:rFonts w:ascii="宋体" w:hAnsi="宋体"/>
          <w:color w:val="000000"/>
          <w:sz w:val="24"/>
          <w:u w:val="single"/>
        </w:rPr>
      </w:pPr>
    </w:p>
    <w:p>
      <w:pPr>
        <w:overflowPunct w:val="0"/>
        <w:spacing w:line="360" w:lineRule="auto"/>
        <w:jc w:val="both"/>
        <w:rPr>
          <w:rFonts w:hint="eastAsia" w:ascii="宋体" w:hAnsi="宋体"/>
          <w:color w:val="000000"/>
          <w:sz w:val="24"/>
          <w:u w:val="single"/>
        </w:rPr>
      </w:pPr>
    </w:p>
    <w:p>
      <w:pPr>
        <w:pStyle w:val="16"/>
        <w:rPr>
          <w:rFonts w:hint="eastAsia" w:ascii="宋体" w:hAnsi="宋体"/>
          <w:color w:val="000000"/>
          <w:sz w:val="24"/>
          <w:u w:val="single"/>
        </w:rPr>
      </w:pPr>
    </w:p>
    <w:p>
      <w:pPr>
        <w:rPr>
          <w:rFonts w:hint="eastAsia"/>
        </w:rPr>
      </w:pPr>
    </w:p>
    <w:p>
      <w:pPr>
        <w:overflowPunct w:val="0"/>
        <w:spacing w:line="360" w:lineRule="auto"/>
        <w:rPr>
          <w:rFonts w:ascii="宋体"/>
          <w:b/>
          <w:color w:val="000000"/>
          <w:sz w:val="24"/>
        </w:rPr>
      </w:pPr>
      <w:r>
        <w:rPr>
          <w:rFonts w:hint="eastAsia" w:ascii="宋体" w:hAnsi="宋体"/>
          <w:b/>
          <w:color w:val="000000"/>
          <w:sz w:val="24"/>
          <w:lang w:eastAsia="zh-CN"/>
        </w:rPr>
        <w:t>附</w:t>
      </w:r>
      <w:r>
        <w:rPr>
          <w:rFonts w:hint="eastAsia" w:ascii="宋体" w:hAnsi="宋体"/>
          <w:b/>
          <w:color w:val="000000"/>
          <w:sz w:val="24"/>
          <w:lang w:val="en-US" w:eastAsia="zh-CN"/>
        </w:rPr>
        <w:t>4：</w:t>
      </w:r>
      <w:r>
        <w:rPr>
          <w:rFonts w:hint="eastAsia" w:ascii="宋体" w:hAnsi="宋体"/>
          <w:b/>
          <w:color w:val="000000"/>
          <w:sz w:val="24"/>
        </w:rPr>
        <w:t>拟投入本工程的主要施工设备表</w:t>
      </w:r>
    </w:p>
    <w:tbl>
      <w:tblPr>
        <w:tblStyle w:val="33"/>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85"/>
        <w:gridCol w:w="789"/>
        <w:gridCol w:w="854"/>
        <w:gridCol w:w="692"/>
        <w:gridCol w:w="692"/>
        <w:gridCol w:w="1160"/>
        <w:gridCol w:w="845"/>
        <w:gridCol w:w="174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7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78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设备</w:t>
            </w:r>
          </w:p>
          <w:p>
            <w:pPr>
              <w:overflowPunct w:val="0"/>
              <w:spacing w:line="360" w:lineRule="auto"/>
              <w:jc w:val="center"/>
              <w:rPr>
                <w:rFonts w:ascii="宋体"/>
                <w:color w:val="000000"/>
                <w:sz w:val="24"/>
              </w:rPr>
            </w:pPr>
            <w:r>
              <w:rPr>
                <w:rFonts w:hint="eastAsia" w:ascii="宋体" w:hAnsi="宋体"/>
                <w:color w:val="000000"/>
                <w:sz w:val="24"/>
              </w:rPr>
              <w:t>名称</w:t>
            </w:r>
          </w:p>
        </w:tc>
        <w:tc>
          <w:tcPr>
            <w:tcW w:w="789"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85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1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额定功率</w:t>
            </w:r>
          </w:p>
          <w:p>
            <w:pPr>
              <w:overflowPunct w:val="0"/>
              <w:spacing w:line="360" w:lineRule="auto"/>
              <w:jc w:val="center"/>
              <w:rPr>
                <w:rFonts w:ascii="宋体"/>
                <w:color w:val="000000"/>
                <w:sz w:val="24"/>
              </w:rPr>
            </w:pPr>
            <w:r>
              <w:rPr>
                <w:rFonts w:hint="eastAsia" w:ascii="宋体" w:hAnsi="宋体"/>
                <w:color w:val="000000"/>
                <w:sz w:val="24"/>
              </w:rPr>
              <w:t>（</w:t>
            </w:r>
            <w:r>
              <w:rPr>
                <w:rFonts w:ascii="宋体" w:hAnsi="宋体"/>
                <w:color w:val="000000"/>
                <w:sz w:val="24"/>
              </w:rPr>
              <w:t>KW</w:t>
            </w:r>
            <w:r>
              <w:rPr>
                <w:rFonts w:hint="eastAsia" w:ascii="宋体" w:hAnsi="宋体"/>
                <w:color w:val="000000"/>
                <w:sz w:val="24"/>
              </w:rPr>
              <w:t>）</w:t>
            </w:r>
          </w:p>
        </w:tc>
        <w:tc>
          <w:tcPr>
            <w:tcW w:w="8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生产</w:t>
            </w:r>
          </w:p>
          <w:p>
            <w:pPr>
              <w:overflowPunct w:val="0"/>
              <w:spacing w:line="360" w:lineRule="auto"/>
              <w:jc w:val="center"/>
              <w:rPr>
                <w:rFonts w:ascii="宋体"/>
                <w:color w:val="000000"/>
                <w:sz w:val="24"/>
              </w:rPr>
            </w:pPr>
            <w:r>
              <w:rPr>
                <w:rFonts w:hint="eastAsia" w:ascii="宋体" w:hAnsi="宋体"/>
                <w:color w:val="000000"/>
                <w:sz w:val="24"/>
              </w:rPr>
              <w:t>能力</w:t>
            </w:r>
          </w:p>
        </w:tc>
        <w:tc>
          <w:tcPr>
            <w:tcW w:w="174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用于施工部位</w:t>
            </w:r>
          </w:p>
        </w:tc>
        <w:tc>
          <w:tcPr>
            <w:tcW w:w="7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bl>
    <w:p>
      <w:pPr>
        <w:overflowPunct w:val="0"/>
        <w:spacing w:line="360" w:lineRule="auto"/>
        <w:rPr>
          <w:rFonts w:ascii="宋体"/>
          <w:b/>
          <w:color w:val="000000"/>
          <w:sz w:val="24"/>
        </w:rPr>
      </w:pPr>
      <w:r>
        <w:rPr>
          <w:rFonts w:ascii="宋体"/>
          <w:color w:val="000000"/>
          <w:sz w:val="24"/>
        </w:rPr>
        <w:br w:type="page"/>
      </w:r>
      <w:r>
        <w:rPr>
          <w:rFonts w:hint="eastAsia" w:ascii="宋体" w:hAnsi="宋体"/>
          <w:b/>
          <w:color w:val="000000"/>
          <w:sz w:val="24"/>
        </w:rPr>
        <w:t>附</w:t>
      </w:r>
      <w:r>
        <w:rPr>
          <w:rFonts w:hint="eastAsia" w:ascii="宋体" w:hAnsi="宋体"/>
          <w:b/>
          <w:color w:val="000000"/>
          <w:sz w:val="24"/>
          <w:lang w:val="en-US" w:eastAsia="zh-CN"/>
        </w:rPr>
        <w:t>5</w:t>
      </w:r>
      <w:r>
        <w:rPr>
          <w:rFonts w:hint="eastAsia" w:ascii="宋体" w:hAnsi="宋体"/>
          <w:b/>
          <w:color w:val="000000"/>
          <w:sz w:val="24"/>
        </w:rPr>
        <w:t>：拟配备本工程的试验和检测仪器设备表</w:t>
      </w:r>
    </w:p>
    <w:tbl>
      <w:tblPr>
        <w:tblStyle w:val="33"/>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64"/>
        <w:gridCol w:w="1120"/>
        <w:gridCol w:w="1031"/>
        <w:gridCol w:w="876"/>
        <w:gridCol w:w="973"/>
        <w:gridCol w:w="1260"/>
        <w:gridCol w:w="8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7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106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仪器设备名称</w:t>
            </w:r>
          </w:p>
        </w:tc>
        <w:tc>
          <w:tcPr>
            <w:tcW w:w="112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103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87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973"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2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已使用</w:t>
            </w:r>
          </w:p>
          <w:p>
            <w:pPr>
              <w:overflowPunct w:val="0"/>
              <w:spacing w:line="360" w:lineRule="auto"/>
              <w:jc w:val="center"/>
              <w:rPr>
                <w:rFonts w:ascii="宋体"/>
                <w:color w:val="000000"/>
                <w:sz w:val="24"/>
              </w:rPr>
            </w:pPr>
            <w:r>
              <w:rPr>
                <w:rFonts w:hint="eastAsia" w:ascii="宋体" w:hAnsi="宋体"/>
                <w:color w:val="000000"/>
                <w:sz w:val="24"/>
              </w:rPr>
              <w:t>台时数</w:t>
            </w:r>
          </w:p>
        </w:tc>
        <w:tc>
          <w:tcPr>
            <w:tcW w:w="85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w:t>
            </w:r>
            <w:r>
              <w:rPr>
                <w:rFonts w:ascii="宋体" w:hAnsi="宋体"/>
                <w:color w:val="000000"/>
                <w:sz w:val="24"/>
              </w:rPr>
              <w:t xml:space="preserve">  </w:t>
            </w:r>
            <w:r>
              <w:rPr>
                <w:rFonts w:hint="eastAsia" w:ascii="宋体" w:hAnsi="宋体"/>
                <w:color w:val="000000"/>
                <w:sz w:val="24"/>
              </w:rPr>
              <w:t>途</w:t>
            </w:r>
          </w:p>
        </w:tc>
        <w:tc>
          <w:tcPr>
            <w:tcW w:w="105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bl>
    <w:p>
      <w:pPr>
        <w:widowControl/>
        <w:jc w:val="left"/>
        <w:rPr>
          <w:rFonts w:ascii="宋体"/>
          <w:b/>
          <w:color w:val="000000"/>
          <w:sz w:val="24"/>
        </w:rPr>
      </w:pPr>
      <w:r>
        <w:rPr>
          <w:rFonts w:ascii="宋体"/>
          <w:b/>
          <w:color w:val="000000"/>
          <w:sz w:val="24"/>
        </w:rPr>
        <w:br w:type="page"/>
      </w:r>
    </w:p>
    <w:p>
      <w:pPr>
        <w:overflowPunct w:val="0"/>
        <w:spacing w:line="360" w:lineRule="auto"/>
        <w:rPr>
          <w:rFonts w:ascii="宋体"/>
          <w:b/>
          <w:color w:val="000000"/>
          <w:sz w:val="24"/>
        </w:rPr>
      </w:pPr>
      <w:r>
        <w:rPr>
          <w:rFonts w:hint="eastAsia" w:ascii="宋体" w:hAnsi="宋体"/>
          <w:b/>
          <w:color w:val="000000"/>
          <w:sz w:val="24"/>
        </w:rPr>
        <w:t>附</w:t>
      </w:r>
      <w:r>
        <w:rPr>
          <w:rFonts w:hint="eastAsia" w:ascii="宋体" w:hAnsi="宋体"/>
          <w:b/>
          <w:color w:val="000000"/>
          <w:sz w:val="24"/>
          <w:lang w:val="en-US" w:eastAsia="zh-CN"/>
        </w:rPr>
        <w:t>6</w:t>
      </w:r>
      <w:r>
        <w:rPr>
          <w:rFonts w:hint="eastAsia" w:ascii="宋体" w:hAnsi="宋体"/>
          <w:b/>
          <w:color w:val="000000"/>
          <w:sz w:val="24"/>
        </w:rPr>
        <w:t>：劳动力计划表</w:t>
      </w:r>
    </w:p>
    <w:p>
      <w:pPr>
        <w:overflowPunct w:val="0"/>
        <w:spacing w:line="360" w:lineRule="auto"/>
        <w:ind w:right="360"/>
        <w:jc w:val="right"/>
        <w:rPr>
          <w:rFonts w:ascii="宋体" w:hAnsi="宋体"/>
          <w:color w:val="000000"/>
          <w:sz w:val="24"/>
        </w:rPr>
      </w:pPr>
      <w:r>
        <w:rPr>
          <w:rFonts w:hint="eastAsia" w:ascii="宋体" w:hAnsi="宋体"/>
          <w:color w:val="000000"/>
          <w:sz w:val="24"/>
        </w:rPr>
        <w:t>单位：人</w:t>
      </w:r>
      <w:r>
        <w:rPr>
          <w:rFonts w:ascii="宋体" w:hAnsi="宋体"/>
          <w:color w:val="000000"/>
          <w:sz w:val="24"/>
        </w:rPr>
        <w:t xml:space="preserve">   </w:t>
      </w:r>
    </w:p>
    <w:tbl>
      <w:tblPr>
        <w:tblStyle w:val="33"/>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29"/>
        <w:gridCol w:w="1047"/>
        <w:gridCol w:w="1062"/>
        <w:gridCol w:w="1062"/>
        <w:gridCol w:w="1062"/>
        <w:gridCol w:w="10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535" w:type="dxa"/>
            <w:gridSpan w:val="2"/>
            <w:noWrap w:val="0"/>
            <w:vAlign w:val="center"/>
          </w:tcPr>
          <w:p>
            <w:pPr>
              <w:overflowPunct w:val="0"/>
              <w:spacing w:line="360" w:lineRule="auto"/>
              <w:jc w:val="center"/>
              <w:rPr>
                <w:rFonts w:ascii="宋体"/>
                <w:color w:val="000000"/>
                <w:sz w:val="24"/>
              </w:rPr>
            </w:pPr>
            <w:r>
              <w:rPr>
                <w:rFonts w:hint="eastAsia" w:ascii="宋体" w:hAnsi="宋体"/>
                <w:color w:val="000000"/>
                <w:sz w:val="24"/>
              </w:rPr>
              <w:t>工种</w:t>
            </w:r>
          </w:p>
        </w:tc>
        <w:tc>
          <w:tcPr>
            <w:tcW w:w="7419" w:type="dxa"/>
            <w:gridSpan w:val="7"/>
            <w:noWrap w:val="0"/>
            <w:vAlign w:val="center"/>
          </w:tcPr>
          <w:p>
            <w:pPr>
              <w:overflowPunct w:val="0"/>
              <w:spacing w:line="360" w:lineRule="auto"/>
              <w:jc w:val="center"/>
              <w:rPr>
                <w:rFonts w:ascii="宋体"/>
                <w:color w:val="000000"/>
                <w:sz w:val="24"/>
              </w:rPr>
            </w:pPr>
            <w:r>
              <w:rPr>
                <w:rFonts w:hint="eastAsia" w:ascii="宋体" w:hAnsi="宋体"/>
                <w:color w:val="000000"/>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5" w:type="dxa"/>
            <w:gridSpan w:val="2"/>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5" w:type="dxa"/>
            <w:gridSpan w:val="2"/>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bl>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303" w:name="_Toc6747"/>
      <w:bookmarkStart w:id="304" w:name="_Toc14452"/>
      <w:bookmarkStart w:id="305" w:name="_Toc500323116"/>
      <w:bookmarkStart w:id="306" w:name="_Toc526842731"/>
      <w:bookmarkStart w:id="307" w:name="_Toc6183"/>
      <w:r>
        <w:rPr>
          <w:rFonts w:hint="eastAsia" w:ascii="宋体" w:hAnsi="宋体" w:cs="宋体"/>
          <w:b/>
          <w:color w:val="000000" w:themeColor="text1"/>
          <w:sz w:val="28"/>
          <w:szCs w:val="28"/>
          <w:lang w:eastAsia="zh-CN"/>
          <w14:textFill>
            <w14:solidFill>
              <w14:schemeClr w14:val="tx1"/>
            </w14:solidFill>
          </w14:textFill>
        </w:rPr>
        <w:t>六</w:t>
      </w:r>
      <w:r>
        <w:rPr>
          <w:rFonts w:hint="eastAsia" w:ascii="宋体" w:hAnsi="宋体" w:eastAsia="宋体" w:cs="宋体"/>
          <w:b/>
          <w:color w:val="000000" w:themeColor="text1"/>
          <w:sz w:val="28"/>
          <w:szCs w:val="28"/>
          <w14:textFill>
            <w14:solidFill>
              <w14:schemeClr w14:val="tx1"/>
            </w14:solidFill>
          </w14:textFill>
        </w:rPr>
        <w:t>、商务</w:t>
      </w:r>
      <w:bookmarkEnd w:id="303"/>
      <w:bookmarkEnd w:id="304"/>
      <w:bookmarkEnd w:id="305"/>
      <w:r>
        <w:rPr>
          <w:rFonts w:hint="eastAsia" w:ascii="宋体" w:hAnsi="宋体" w:eastAsia="宋体" w:cs="宋体"/>
          <w:b/>
          <w:color w:val="000000" w:themeColor="text1"/>
          <w:sz w:val="28"/>
          <w:szCs w:val="28"/>
          <w14:textFill>
            <w14:solidFill>
              <w14:schemeClr w14:val="tx1"/>
            </w14:solidFill>
          </w14:textFill>
        </w:rPr>
        <w:t>方案</w:t>
      </w:r>
      <w:bookmarkEnd w:id="306"/>
      <w:bookmarkEnd w:id="307"/>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包括但不限于：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6.1同类业绩；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6.2工程质量承诺；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6.3后续服务；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6.4有必要说明的商务事宜。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按照磋商文件评标办法相应要求，无固定格式，供应商自拟。</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注：供应商提供的资料应真实可靠，否则由此引发的责任风险将由供应商自行承担。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bookmarkEnd w:id="301"/>
    <w:bookmarkEnd w:id="302"/>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308" w:name="_Toc19179"/>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both"/>
        <w:rPr>
          <w:rFonts w:hint="eastAsia" w:ascii="宋体" w:hAnsi="宋体" w:eastAsia="宋体" w:cs="宋体"/>
          <w:b/>
          <w:color w:val="000000" w:themeColor="text1"/>
          <w:sz w:val="24"/>
          <w14:textFill>
            <w14:solidFill>
              <w14:schemeClr w14:val="tx1"/>
            </w14:solidFill>
          </w14:textFill>
        </w:rPr>
      </w:pPr>
    </w:p>
    <w:bookmarkEnd w:id="308"/>
    <w:p>
      <w:pPr>
        <w:keepLines/>
        <w:pageBreakBefore/>
        <w:spacing w:line="360" w:lineRule="auto"/>
        <w:jc w:val="center"/>
        <w:outlineLvl w:val="1"/>
        <w:rPr>
          <w:rFonts w:hint="eastAsia" w:ascii="宋体" w:hAnsi="宋体" w:cs="宋体"/>
          <w:b/>
          <w:color w:val="000000"/>
          <w:sz w:val="30"/>
          <w:szCs w:val="30"/>
        </w:rPr>
      </w:pPr>
      <w:r>
        <w:rPr>
          <w:rFonts w:hint="eastAsia" w:ascii="宋体" w:hAnsi="宋体" w:cs="宋体"/>
          <w:b/>
          <w:color w:val="000000"/>
          <w:sz w:val="30"/>
          <w:szCs w:val="30"/>
          <w:lang w:val="en-US" w:eastAsia="zh-CN"/>
        </w:rPr>
        <w:t>七、</w:t>
      </w:r>
      <w:r>
        <w:rPr>
          <w:rFonts w:hint="eastAsia" w:ascii="宋体" w:hAnsi="宋体" w:cs="宋体"/>
          <w:b/>
          <w:color w:val="000000"/>
          <w:sz w:val="30"/>
          <w:szCs w:val="30"/>
        </w:rPr>
        <w:t>陕西省政府采购供应商拒绝政府采购领域商业贿赂承诺书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为响应党中央、国务院关于治理政府采购领域商业贿赂行为的号召，我公司在此庄严承诺：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1.在参与政府采购活动中遵纪守法、诚信经营、公平竞标。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2.不向政府采购人、采购代理机构和政府采购评审专家进行任何形式的商业贿赂以谋取交易机会。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3.不向政府采购代理机构和采购人提供虚假资质文件或采用虚假应标方式参与政府采购市场竞争并谋取中标、成交。</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4.不采取“围标、陪标”等商业欺诈手段获得政府采购定单。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5.不采取不正当手段诋毁、排挤其他供应商。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6.不在提供商品和服务时“偷梁换柱、以次充好”损害采购人的合法权益。</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7.不与采购人、采购代理机构政府采购评审专家或其它供应商恶意串通，进行质疑和投诉，维护政府采购市场秩序。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8.尊重和接受政府采购监督管理部门的监督和政府采购代理机构招标采购要求，承担因违约行为给采购人造成的损失。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9.不发生其他有悖于政府采购公开、公平、公正和诚信原则的行为。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 w:val="28"/>
          <w:szCs w:val="28"/>
        </w:rPr>
      </w:pPr>
      <w:r>
        <w:rPr>
          <w:rFonts w:hint="eastAsia" w:ascii="宋体" w:hAnsi="宋体" w:cs="宋体"/>
          <w:color w:val="000000"/>
          <w:kern w:val="0"/>
          <w:sz w:val="28"/>
          <w:szCs w:val="28"/>
        </w:rPr>
        <w:t>地  址：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邮  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color w:val="000000"/>
          <w:sz w:val="28"/>
          <w:szCs w:val="28"/>
        </w:rPr>
      </w:pPr>
      <w:r>
        <w:rPr>
          <w:rFonts w:hint="eastAsia" w:ascii="宋体" w:hAnsi="宋体" w:cs="宋体"/>
          <w:color w:val="000000"/>
          <w:kern w:val="0"/>
          <w:sz w:val="28"/>
          <w:szCs w:val="28"/>
        </w:rPr>
        <w:t>电  话：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供应商：</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（盖章）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法定代表人：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（签字或法人印鉴）</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委托代理人：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（签字）  </w:t>
      </w:r>
    </w:p>
    <w:p>
      <w:pPr>
        <w:spacing w:line="360" w:lineRule="auto"/>
        <w:ind w:firstLine="562" w:firstLineChars="200"/>
        <w:jc w:val="both"/>
        <w:rPr>
          <w:rFonts w:hint="default" w:ascii="宋体" w:hAnsi="宋体" w:eastAsia="宋体" w:cs="宋体"/>
          <w:b/>
          <w:color w:val="000000"/>
          <w:sz w:val="32"/>
          <w:szCs w:val="32"/>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b/>
          <w:color w:val="000000"/>
          <w:sz w:val="28"/>
          <w:szCs w:val="28"/>
        </w:rPr>
        <w:t xml:space="preserve">日    期：  年 </w:t>
      </w:r>
      <w:r>
        <w:rPr>
          <w:rFonts w:hint="eastAsia" w:ascii="宋体" w:hAnsi="宋体" w:cs="宋体"/>
          <w:b/>
          <w:color w:val="000000"/>
          <w:sz w:val="28"/>
          <w:szCs w:val="28"/>
          <w:lang w:val="en-US" w:eastAsia="zh-CN"/>
        </w:rPr>
        <w:t xml:space="preserve"> 月  日</w:t>
      </w:r>
    </w:p>
    <w:p>
      <w:pPr>
        <w:pStyle w:val="31"/>
        <w:ind w:left="0" w:leftChars="0" w:firstLine="0" w:firstLineChars="0"/>
        <w:rPr>
          <w:rFonts w:hint="eastAsia" w:ascii="宋体" w:hAnsi="宋体" w:eastAsia="宋体" w:cs="宋体"/>
          <w:b/>
          <w:bCs/>
          <w:color w:val="000000"/>
          <w:sz w:val="24"/>
        </w:rPr>
      </w:pPr>
    </w:p>
    <w:p>
      <w:pPr>
        <w:widowControl/>
        <w:numPr>
          <w:ilvl w:val="0"/>
          <w:numId w:val="0"/>
        </w:numPr>
        <w:spacing w:line="360" w:lineRule="auto"/>
        <w:ind w:leftChars="200"/>
        <w:jc w:val="center"/>
        <w:rPr>
          <w:rFonts w:hint="eastAsia" w:ascii="宋体" w:hAnsi="宋体" w:eastAsia="宋体" w:cs="宋体"/>
          <w:b/>
          <w:color w:val="000000" w:themeColor="text1"/>
          <w:sz w:val="28"/>
          <w:szCs w:val="28"/>
          <w14:textFill>
            <w14:solidFill>
              <w14:schemeClr w14:val="tx1"/>
            </w14:solidFill>
          </w14:textFill>
        </w:rPr>
      </w:pPr>
      <w:bookmarkStart w:id="309" w:name="_Toc11275"/>
      <w:bookmarkStart w:id="310" w:name="_Toc500323119"/>
      <w:bookmarkStart w:id="311" w:name="_Toc526842734"/>
      <w:r>
        <w:rPr>
          <w:rFonts w:hint="eastAsia" w:ascii="宋体" w:hAnsi="宋体" w:cs="宋体"/>
          <w:b/>
          <w:color w:val="000000" w:themeColor="text1"/>
          <w:sz w:val="28"/>
          <w:szCs w:val="28"/>
          <w:lang w:val="en-US" w:eastAsia="zh-CN"/>
          <w14:textFill>
            <w14:solidFill>
              <w14:schemeClr w14:val="tx1"/>
            </w14:solidFill>
          </w14:textFill>
        </w:rPr>
        <w:t>八、</w:t>
      </w:r>
      <w:r>
        <w:rPr>
          <w:rFonts w:hint="eastAsia" w:ascii="宋体" w:hAnsi="宋体" w:eastAsia="宋体" w:cs="宋体"/>
          <w:b/>
          <w:color w:val="000000" w:themeColor="text1"/>
          <w:sz w:val="28"/>
          <w:szCs w:val="28"/>
          <w14:textFill>
            <w14:solidFill>
              <w14:schemeClr w14:val="tx1"/>
            </w14:solidFill>
          </w14:textFill>
        </w:rPr>
        <w:t>资格审查资料</w:t>
      </w:r>
      <w:bookmarkEnd w:id="309"/>
      <w:bookmarkEnd w:id="310"/>
      <w:bookmarkEnd w:id="311"/>
    </w:p>
    <w:p>
      <w:pPr>
        <w:pStyle w:val="7"/>
        <w:numPr>
          <w:ilvl w:val="0"/>
          <w:numId w:val="0"/>
        </w:numPr>
        <w:ind w:leftChars="200"/>
        <w:rPr>
          <w:rFonts w:hint="eastAsia"/>
        </w:rPr>
      </w:pPr>
    </w:p>
    <w:p>
      <w:pPr>
        <w:spacing w:line="360" w:lineRule="auto"/>
        <w:ind w:firstLine="56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以下资格审查资料在磋商响应文件中需提供加盖公章的复印件</w:t>
      </w:r>
      <w:r>
        <w:rPr>
          <w:rFonts w:hint="eastAsia" w:ascii="宋体" w:hAnsi="宋体" w:eastAsia="宋体" w:cs="宋体"/>
          <w:b/>
          <w:color w:val="000000" w:themeColor="text1"/>
          <w:sz w:val="24"/>
          <w14:textFill>
            <w14:solidFill>
              <w14:schemeClr w14:val="tx1"/>
            </w14:solidFill>
          </w14:textFill>
        </w:rPr>
        <w:t>：</w:t>
      </w:r>
    </w:p>
    <w:p>
      <w:pPr>
        <w:pStyle w:val="7"/>
        <w:rPr>
          <w:rFonts w:hint="eastAsia"/>
        </w:rPr>
      </w:pPr>
    </w:p>
    <w:p>
      <w:pPr>
        <w:spacing w:line="360" w:lineRule="auto"/>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（1）基本资格条件：符合《中华人民共和国政府采购法》第二十二条的规定；</w:t>
      </w:r>
    </w:p>
    <w:p>
      <w:pPr>
        <w:spacing w:line="360" w:lineRule="auto"/>
        <w:ind w:firstLine="560" w:firstLineChars="200"/>
        <w:rPr>
          <w:rFonts w:hint="eastAsia"/>
        </w:rPr>
      </w:pPr>
      <w:r>
        <w:rPr>
          <w:rFonts w:hint="eastAsia" w:ascii="宋体" w:hAnsi="宋体" w:cs="宋体"/>
          <w:bCs/>
          <w:color w:val="000000"/>
          <w:sz w:val="28"/>
          <w:szCs w:val="28"/>
          <w:lang w:val="en-US" w:eastAsia="zh-CN"/>
        </w:rPr>
        <w:t>（2）特定资格条件：</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bookmarkStart w:id="312" w:name="_Toc410976269"/>
      <w:bookmarkStart w:id="313" w:name="_Toc25286"/>
      <w:bookmarkStart w:id="314" w:name="_Toc421778393"/>
      <w:bookmarkStart w:id="315" w:name="_Toc425240488"/>
      <w:bookmarkStart w:id="316" w:name="_Toc420591675"/>
      <w:bookmarkStart w:id="317" w:name="_Toc17898"/>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8.需具备</w:t>
      </w:r>
      <w:r>
        <w:rPr>
          <w:rFonts w:hint="eastAsia" w:ascii="宋体" w:hAnsi="宋体" w:cs="宋体"/>
          <w:color w:val="000000"/>
          <w:sz w:val="28"/>
          <w:szCs w:val="28"/>
          <w:lang w:val="en-US" w:eastAsia="zh-CN"/>
        </w:rPr>
        <w:t>市政公用工程施工</w:t>
      </w:r>
      <w:r>
        <w:rPr>
          <w:rFonts w:hint="eastAsia" w:ascii="宋体" w:hAnsi="宋体" w:eastAsia="宋体" w:cs="宋体"/>
          <w:color w:val="000000"/>
          <w:sz w:val="28"/>
          <w:szCs w:val="28"/>
          <w:lang w:val="en-US" w:eastAsia="zh-CN"/>
        </w:rPr>
        <w:t>总承包叁级</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以上资质（含叁级），并在人员、设备、资金等方面具有相应的施工能力，具有有效的安全生产许可证，其中拟派项目经理须具备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专业二级及以上注册建造师执业资格，具备有效的安全生产考核合格证书，且在本单位注册，未担任其他在建工程项目的项目经理；</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widowControl/>
        <w:spacing w:line="360" w:lineRule="auto"/>
        <w:ind w:firstLine="560" w:firstLineChars="200"/>
        <w:rPr>
          <w:rFonts w:hint="eastAsia"/>
          <w:sz w:val="28"/>
          <w:szCs w:val="28"/>
          <w:lang w:val="en-US" w:eastAsia="zh-CN"/>
        </w:rPr>
        <w:sectPr>
          <w:footerReference r:id="rId13" w:type="first"/>
          <w:footerReference r:id="rId12" w:type="default"/>
          <w:pgSz w:w="11906" w:h="16838"/>
          <w:pgMar w:top="1440" w:right="1440" w:bottom="1440" w:left="1440" w:header="851" w:footer="992" w:gutter="0"/>
          <w:pgNumType w:fmt="decimal"/>
          <w:cols w:space="720" w:num="1"/>
          <w:titlePg/>
          <w:docGrid w:linePitch="312" w:charSpace="0"/>
        </w:sectPr>
      </w:pPr>
    </w:p>
    <w:p>
      <w:pPr>
        <w:pStyle w:val="31"/>
        <w:rPr>
          <w:rFonts w:hint="eastAsia" w:ascii="宋体" w:hAnsi="宋体" w:eastAsia="宋体" w:cs="宋体"/>
          <w:b/>
          <w:bCs/>
          <w:sz w:val="24"/>
          <w:szCs w:val="24"/>
          <w:lang w:val="en-US" w:eastAsia="zh-CN"/>
        </w:rPr>
      </w:pPr>
      <w:bookmarkStart w:id="318" w:name="_Hlk518637502"/>
      <w:bookmarkStart w:id="319" w:name="_Hlk519176925"/>
      <w:r>
        <w:rPr>
          <w:rFonts w:hint="eastAsia" w:ascii="宋体" w:hAnsi="宋体" w:eastAsia="宋体" w:cs="宋体"/>
          <w:b/>
          <w:bCs/>
          <w:sz w:val="24"/>
          <w:szCs w:val="24"/>
          <w:lang w:eastAsia="zh-CN"/>
        </w:rPr>
        <w:t>附件</w:t>
      </w:r>
      <w:r>
        <w:rPr>
          <w:rFonts w:hint="eastAsia" w:ascii="宋体" w:hAnsi="宋体" w:eastAsia="宋体" w:cs="宋体"/>
          <w:b/>
          <w:bCs/>
          <w:sz w:val="24"/>
          <w:szCs w:val="24"/>
          <w:lang w:val="en-US" w:eastAsia="zh-CN"/>
        </w:rPr>
        <w:t>1</w:t>
      </w:r>
    </w:p>
    <w:p>
      <w:pPr>
        <w:pStyle w:val="31"/>
        <w:rPr>
          <w:rFonts w:hint="eastAsia"/>
          <w:lang w:val="en-US" w:eastAsia="zh-CN"/>
        </w:rPr>
      </w:pPr>
    </w:p>
    <w:p>
      <w:pPr>
        <w:pStyle w:val="31"/>
        <w:jc w:val="center"/>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val="en-US" w:eastAsia="zh-CN"/>
        </w:rPr>
        <w:t>《中华人民共和国政府采购法》第二十二条的</w:t>
      </w:r>
      <w:r>
        <w:rPr>
          <w:rFonts w:hint="eastAsia" w:ascii="宋体" w:hAnsi="宋体" w:eastAsia="宋体" w:cs="宋体"/>
          <w:b/>
          <w:color w:val="000000"/>
          <w:sz w:val="32"/>
          <w:szCs w:val="32"/>
        </w:rPr>
        <w:t>书面</w:t>
      </w:r>
      <w:r>
        <w:rPr>
          <w:rFonts w:hint="eastAsia" w:ascii="宋体" w:hAnsi="宋体" w:eastAsia="宋体" w:cs="宋体"/>
          <w:b/>
          <w:color w:val="000000"/>
          <w:sz w:val="32"/>
          <w:szCs w:val="32"/>
          <w:lang w:val="en-US" w:eastAsia="zh-CN"/>
        </w:rPr>
        <w:t>承诺函</w:t>
      </w:r>
    </w:p>
    <w:p>
      <w:pPr>
        <w:pStyle w:val="3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8"/>
          <w:szCs w:val="28"/>
          <w:lang w:val="en-US" w:eastAsia="zh-CN"/>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（采购人名称）</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我单位作为参加</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采购项目的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 xml:space="preserve">单位，现郑重承诺我单位具备《中华人民共和国政府采购法》第二十二条供应商参加政府采购活动的基本资格条件：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（一）我单位具有独立承担民事责任的能力；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（二）我单位具有良好的商业信誉和健全的财务会计制度；</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（三）我单位具有履行合同所必需的设备和专业技术能力；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（四）我单位有依法缴纳税收和社会保障资金的良好记录；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（五）我单位参加政府采购活动前三年内，在经营活动中没有重大违法记录；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（六）我单位满足法律、行政法规规定的其他条件。</w:t>
      </w:r>
    </w:p>
    <w:p>
      <w:pPr>
        <w:pStyle w:val="31"/>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参加政府采购活动前3年内在经营活动中没有重大违法记录的书面声明</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我单位</w:t>
      </w:r>
      <w:r>
        <w:rPr>
          <w:rFonts w:hint="eastAsia" w:ascii="宋体" w:hAnsi="宋体" w:eastAsia="宋体" w:cs="宋体"/>
          <w:color w:val="000000" w:themeColor="text1"/>
          <w:sz w:val="28"/>
          <w:szCs w:val="28"/>
          <w:u w:val="single"/>
          <w14:textFill>
            <w14:solidFill>
              <w14:schemeClr w14:val="tx1"/>
            </w14:solidFill>
          </w14:textFill>
        </w:rPr>
        <w:t xml:space="preserve">         （供应商名称）</w:t>
      </w:r>
      <w:r>
        <w:rPr>
          <w:rFonts w:hint="eastAsia" w:ascii="宋体" w:hAnsi="宋体" w:eastAsia="宋体" w:cs="宋体"/>
          <w:color w:val="000000" w:themeColor="text1"/>
          <w:sz w:val="28"/>
          <w:szCs w:val="28"/>
          <w14:textFill>
            <w14:solidFill>
              <w14:schemeClr w14:val="tx1"/>
            </w14:solidFill>
          </w14:textFill>
        </w:rPr>
        <w:t>参加政府采购活动前3年内，在经营活动中没有重大违法记录，特此声明。</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若采购人在本项目</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过程中发现我单位参加政府采购活动前3年内，在经营活动中存在重大违法记录，我单位将无条件地退出本项目的</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活动，并承担因此引起的一切后果。</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pStyle w:val="16"/>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非联合体</w:t>
      </w:r>
      <w:r>
        <w:rPr>
          <w:rFonts w:hint="eastAsia" w:ascii="宋体" w:hAnsi="宋体" w:cs="宋体"/>
          <w:b/>
          <w:color w:val="000000" w:themeColor="text1"/>
          <w:sz w:val="32"/>
          <w:szCs w:val="32"/>
          <w:lang w:eastAsia="zh-CN"/>
          <w14:textFill>
            <w14:solidFill>
              <w14:schemeClr w14:val="tx1"/>
            </w14:solidFill>
          </w14:textFill>
        </w:rPr>
        <w:t>磋商</w:t>
      </w:r>
      <w:r>
        <w:rPr>
          <w:rFonts w:hint="eastAsia" w:ascii="宋体" w:hAnsi="宋体" w:eastAsia="宋体" w:cs="宋体"/>
          <w:b/>
          <w:color w:val="000000" w:themeColor="text1"/>
          <w:sz w:val="32"/>
          <w:szCs w:val="32"/>
          <w14:textFill>
            <w14:solidFill>
              <w14:schemeClr w14:val="tx1"/>
            </w14:solidFill>
          </w14:textFill>
        </w:rPr>
        <w:t>声明</w:t>
      </w:r>
    </w:p>
    <w:p>
      <w:pPr>
        <w:pStyle w:val="7"/>
        <w:rPr>
          <w:rFonts w:hint="eastAsia"/>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我公司收到贵单位</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竞争性磋商（项目编号：</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）的磋商文件，经详细研究，我们决定参加该项目的磋商活动。为此，我方郑重声明以下内容，并负法律责任。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1.本项目我公司以自己的名义参加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，不存在联合体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的情况。</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2.我公司愿按《中华人民共和国</w:t>
      </w:r>
      <w:r>
        <w:rPr>
          <w:rFonts w:hint="eastAsia" w:cs="宋体"/>
          <w:color w:val="000000" w:themeColor="text1"/>
          <w:sz w:val="28"/>
          <w:szCs w:val="28"/>
          <w:lang w:val="en-US" w:eastAsia="zh-CN"/>
          <w14:textFill>
            <w14:solidFill>
              <w14:schemeClr w14:val="tx1"/>
            </w14:solidFill>
          </w14:textFill>
        </w:rPr>
        <w:t>民法典</w:t>
      </w:r>
      <w:r>
        <w:rPr>
          <w:rFonts w:hint="eastAsia" w:ascii="宋体" w:hAnsi="宋体" w:eastAsia="宋体" w:cs="宋体"/>
          <w:color w:val="000000" w:themeColor="text1"/>
          <w:sz w:val="28"/>
          <w:szCs w:val="28"/>
          <w14:textFill>
            <w14:solidFill>
              <w14:schemeClr w14:val="tx1"/>
            </w14:solidFill>
          </w14:textFill>
        </w:rPr>
        <w:t>》履行自己的全部责任。</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特此声明。</w:t>
      </w:r>
    </w:p>
    <w:p>
      <w:pPr>
        <w:pStyle w:val="29"/>
        <w:spacing w:before="0" w:beforeAutospacing="0" w:after="0" w:afterAutospacing="0"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bookmarkEnd w:id="318"/>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rPr>
          <w:rFonts w:hint="eastAsia" w:ascii="宋体" w:hAnsi="宋体" w:eastAsia="宋体" w:cs="宋体"/>
          <w:color w:val="000000" w:themeColor="text1"/>
          <w:sz w:val="24"/>
          <w14:textFill>
            <w14:solidFill>
              <w14:schemeClr w14:val="tx1"/>
            </w14:solidFill>
          </w14:textFill>
        </w:rPr>
      </w:pPr>
    </w:p>
    <w:bookmarkEnd w:id="319"/>
    <w:p>
      <w:pPr>
        <w:pStyle w:val="16"/>
        <w:jc w:val="left"/>
        <w:rPr>
          <w:rFonts w:hint="eastAsia" w:ascii="宋体" w:hAnsi="宋体" w:eastAsia="宋体" w:cs="宋体"/>
          <w:b/>
          <w:color w:val="000000"/>
          <w:sz w:val="24"/>
          <w:szCs w:val="24"/>
        </w:rPr>
      </w:pPr>
      <w:bookmarkStart w:id="320" w:name="_Toc526842735"/>
      <w:bookmarkStart w:id="321" w:name="_Toc27768"/>
      <w:bookmarkStart w:id="322" w:name="_Toc500323120"/>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附件</w:t>
      </w:r>
      <w:r>
        <w:rPr>
          <w:rFonts w:hint="eastAsia" w:ascii="宋体" w:hAnsi="宋体" w:eastAsia="宋体" w:cs="宋体"/>
          <w:b/>
          <w:color w:val="000000"/>
          <w:sz w:val="24"/>
          <w:szCs w:val="24"/>
          <w:lang w:val="en-US" w:eastAsia="zh-CN"/>
        </w:rPr>
        <w:t>4</w:t>
      </w:r>
    </w:p>
    <w:p>
      <w:pPr>
        <w:rPr>
          <w:rFonts w:hint="eastAsia"/>
          <w:lang w:val="en-US" w:eastAsia="zh-CN"/>
        </w:rPr>
      </w:pPr>
    </w:p>
    <w:p>
      <w:pPr>
        <w:rPr>
          <w:rFonts w:hint="eastAsia" w:ascii="宋体" w:hAnsi="宋体" w:eastAsia="宋体" w:cs="宋体"/>
          <w:b/>
          <w:color w:val="000000"/>
          <w:sz w:val="24"/>
          <w:lang w:val="en-US" w:eastAsia="zh-CN"/>
        </w:rPr>
      </w:pPr>
    </w:p>
    <w:p>
      <w:pPr>
        <w:jc w:val="center"/>
        <w:rPr>
          <w:rFonts w:hint="eastAsia"/>
          <w:b/>
          <w:bCs/>
          <w:sz w:val="32"/>
          <w:szCs w:val="24"/>
        </w:rPr>
      </w:pPr>
      <w:r>
        <w:rPr>
          <w:rFonts w:hint="eastAsia"/>
          <w:b/>
          <w:bCs/>
          <w:sz w:val="32"/>
          <w:szCs w:val="24"/>
        </w:rPr>
        <w:t>控股管理关系承诺书</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  （采购人名称）</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我公司参加贵单位组织的</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项目名称</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（项目编号：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）的投标，现我公司向贵单位承诺：</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我公司郑重承诺，我公司参加此次项目的投标，不存在单位负责人为同一人或直接控股、管理关系。如有虚假或隐瞒，我公司愿承担一切后果。</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特此声明！</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供应商：</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rPr>
        <w:t>（盖章）</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日</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期：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年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月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numPr>
          <w:ilvl w:val="0"/>
          <w:numId w:val="9"/>
        </w:numPr>
        <w:kinsoku/>
        <w:wordWrap/>
        <w:overflowPunct/>
        <w:topLinePunct w:val="0"/>
        <w:autoSpaceDE/>
        <w:autoSpaceDN/>
        <w:bidi w:val="0"/>
        <w:adjustRightInd/>
        <w:snapToGrid/>
        <w:spacing w:line="70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其他材</w:t>
      </w:r>
      <w:bookmarkEnd w:id="312"/>
      <w:bookmarkEnd w:id="313"/>
      <w:bookmarkEnd w:id="314"/>
      <w:bookmarkEnd w:id="315"/>
      <w:bookmarkEnd w:id="316"/>
      <w:r>
        <w:rPr>
          <w:rFonts w:hint="eastAsia" w:ascii="宋体" w:hAnsi="宋体" w:eastAsia="宋体" w:cs="宋体"/>
          <w:b/>
          <w:color w:val="000000" w:themeColor="text1"/>
          <w:sz w:val="32"/>
          <w:szCs w:val="32"/>
          <w14:textFill>
            <w14:solidFill>
              <w14:schemeClr w14:val="tx1"/>
            </w14:solidFill>
          </w14:textFill>
        </w:rPr>
        <w:t>料</w:t>
      </w:r>
      <w:bookmarkEnd w:id="317"/>
      <w:bookmarkEnd w:id="320"/>
      <w:bookmarkEnd w:id="321"/>
      <w:bookmarkEnd w:id="322"/>
    </w:p>
    <w:p>
      <w:pPr>
        <w:rPr>
          <w:rFonts w:hint="eastAsia"/>
        </w:rPr>
      </w:pPr>
    </w:p>
    <w:p>
      <w:pPr>
        <w:spacing w:line="360" w:lineRule="auto"/>
        <w:jc w:val="left"/>
        <w:rPr>
          <w:rFonts w:hint="eastAsia" w:ascii="宋体" w:hAnsi="宋体" w:eastAsia="宋体" w:cs="宋体"/>
          <w:b/>
          <w:color w:val="000000" w:themeColor="text1"/>
          <w:sz w:val="24"/>
          <w14:textFill>
            <w14:solidFill>
              <w14:schemeClr w14:val="tx1"/>
            </w14:solidFill>
          </w14:textFill>
        </w:rPr>
      </w:pPr>
      <w:bookmarkStart w:id="323" w:name="_Toc10352"/>
      <w:bookmarkStart w:id="324" w:name="_Toc500323121"/>
      <w:r>
        <w:rPr>
          <w:rFonts w:hint="eastAsia" w:ascii="宋体" w:hAnsi="宋体" w:cs="宋体"/>
          <w:color w:val="000000" w:themeColor="text1"/>
          <w:sz w:val="28"/>
          <w:szCs w:val="28"/>
          <w:lang w:val="en-US" w:eastAsia="zh-CN"/>
          <w14:textFill>
            <w14:solidFill>
              <w14:schemeClr w14:val="tx1"/>
            </w14:solidFill>
          </w14:textFill>
        </w:rPr>
        <w:t>提供磋商保证金的缴纳证明；</w:t>
      </w: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附件1</w:t>
      </w:r>
      <w:bookmarkEnd w:id="323"/>
      <w:bookmarkEnd w:id="324"/>
    </w:p>
    <w:p>
      <w:pPr>
        <w:jc w:val="center"/>
        <w:rPr>
          <w:rFonts w:hint="eastAsia" w:ascii="宋体" w:hAnsi="宋体" w:eastAsia="宋体" w:cs="Times New Roman"/>
          <w:b/>
          <w:bCs/>
          <w:color w:val="auto"/>
          <w:kern w:val="2"/>
          <w:sz w:val="30"/>
          <w:szCs w:val="30"/>
          <w:highlight w:val="none"/>
          <w:lang w:val="en-US" w:eastAsia="zh-CN" w:bidi="ar-SA"/>
        </w:rPr>
      </w:pPr>
      <w:r>
        <w:rPr>
          <w:rFonts w:hint="eastAsia" w:ascii="宋体" w:hAnsi="宋体" w:eastAsia="宋体" w:cs="Times New Roman"/>
          <w:b/>
          <w:bCs/>
          <w:color w:val="auto"/>
          <w:kern w:val="2"/>
          <w:sz w:val="30"/>
          <w:szCs w:val="30"/>
          <w:highlight w:val="none"/>
          <w:lang w:val="en-US" w:eastAsia="zh-CN" w:bidi="ar-SA"/>
        </w:rPr>
        <w:t>中小企业声明函（工程）</w:t>
      </w:r>
    </w:p>
    <w:p>
      <w:pPr>
        <w:pStyle w:val="16"/>
        <w:spacing w:before="5"/>
        <w:rPr>
          <w:rFonts w:ascii="宋体" w:hAnsi="宋体" w:cs="宋体"/>
          <w:b/>
          <w:color w:val="auto"/>
          <w:sz w:val="24"/>
          <w:highlight w:val="none"/>
        </w:rPr>
      </w:pP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采购活动，工程的施工单位全部为符合政策要求的中小企业</w:t>
      </w:r>
      <w:r>
        <w:rPr>
          <w:rFonts w:hint="eastAsia" w:ascii="宋体" w:hAnsi="宋体" w:cs="宋体"/>
          <w:color w:val="auto"/>
          <w:sz w:val="24"/>
          <w:szCs w:val="24"/>
          <w:highlight w:val="none"/>
          <w:lang w:eastAsia="zh-CN"/>
        </w:rPr>
        <w:t>（或者：服务全部由符合政策要求的中小企业承接）</w:t>
      </w:r>
      <w:r>
        <w:rPr>
          <w:rFonts w:hint="eastAsia" w:ascii="宋体" w:hAnsi="宋体" w:eastAsia="宋体" w:cs="宋体"/>
          <w:color w:val="auto"/>
          <w:sz w:val="24"/>
          <w:szCs w:val="24"/>
          <w:highlight w:val="none"/>
        </w:rPr>
        <w:t>。相关企业（含联合体中的中小企业、签订分包意向协议的中小企业）的具体情况如下：</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1.（标的名称），属于（采购文件中明确的所属行业）；承建（承接）企业为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"_bookmark1"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vertAlign w:val="superscript"/>
        </w:rPr>
        <w:t>1</w:t>
      </w:r>
      <w:r>
        <w:rPr>
          <w:rFonts w:hint="eastAsia" w:ascii="宋体" w:hAnsi="宋体" w:eastAsia="宋体" w:cs="宋体"/>
          <w:color w:val="auto"/>
          <w:sz w:val="24"/>
          <w:szCs w:val="24"/>
          <w:highlight w:val="none"/>
          <w:vertAlign w:val="superscript"/>
        </w:rPr>
        <w:fldChar w:fldCharType="end"/>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pacing w:line="480" w:lineRule="auto"/>
        <w:ind w:firstLine="5520" w:firstLineChars="2300"/>
        <w:rPr>
          <w:rFonts w:hint="eastAsia" w:ascii="宋体" w:hAnsi="宋体" w:eastAsia="宋体" w:cs="宋体"/>
          <w:color w:val="auto"/>
          <w:sz w:val="24"/>
          <w:szCs w:val="24"/>
          <w:highlight w:val="none"/>
        </w:rPr>
      </w:pP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注：从业人员、营业收入、资产总额填报上一年度数据，无上一年度数据的新成立企业可不填报。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bookmarkStart w:id="325" w:name="_Hlk531121252"/>
      <w:r>
        <w:rPr>
          <w:rFonts w:hint="eastAsia" w:ascii="宋体" w:hAnsi="宋体" w:eastAsia="宋体" w:cs="宋体"/>
          <w:b/>
          <w:color w:val="000000" w:themeColor="text1"/>
          <w:sz w:val="32"/>
          <w:szCs w:val="32"/>
          <w14:textFill>
            <w14:solidFill>
              <w14:schemeClr w14:val="tx1"/>
            </w14:solidFill>
          </w14:textFill>
        </w:rPr>
        <w:t>残疾人福利性单位声明函</w:t>
      </w:r>
    </w:p>
    <w:p>
      <w:pPr>
        <w:spacing w:line="360" w:lineRule="auto"/>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14:textFill>
            <w14:solidFill>
              <w14:schemeClr w14:val="tx1"/>
            </w14:solidFill>
          </w14:textFill>
        </w:rPr>
        <w:t>〔2017〕 141</w:t>
      </w:r>
      <w:r>
        <w:rPr>
          <w:rFonts w:hint="eastAsia" w:ascii="宋体" w:hAnsi="宋体" w:eastAsia="宋体" w:cs="宋体"/>
          <w:color w:val="000000" w:themeColor="text1"/>
          <w:spacing w:val="6"/>
          <w:sz w:val="24"/>
          <w:szCs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日期：</w:t>
      </w:r>
    </w:p>
    <w:bookmarkEnd w:id="325"/>
    <w:p>
      <w:pPr>
        <w:spacing w:line="360" w:lineRule="auto"/>
        <w:rPr>
          <w:rFonts w:hint="eastAsia" w:ascii="宋体" w:hAnsi="宋体" w:eastAsia="宋体" w:cs="宋体"/>
          <w:color w:val="000000" w:themeColor="text1"/>
          <w:sz w:val="28"/>
          <w:szCs w:val="28"/>
          <w14:textFill>
            <w14:solidFill>
              <w14:schemeClr w14:val="tx1"/>
            </w14:solidFill>
          </w14:textFill>
        </w:rPr>
        <w:sectPr>
          <w:pgSz w:w="11906" w:h="16838"/>
          <w:pgMar w:top="1440" w:right="1440" w:bottom="1440" w:left="1440" w:header="851" w:footer="992" w:gutter="0"/>
          <w:pgNumType w:fmt="decimal"/>
          <w:cols w:space="720" w:num="1"/>
          <w:titlePg/>
          <w:docGrid w:linePitch="312" w:charSpace="889"/>
        </w:sectPr>
      </w:pPr>
    </w:p>
    <w:p>
      <w:pPr>
        <w:spacing w:line="360" w:lineRule="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监狱企业证明函（是/否）</w:t>
      </w:r>
    </w:p>
    <w:p>
      <w:pPr>
        <w:rPr>
          <w:rFonts w:hint="eastAsia" w:ascii="宋体" w:hAnsi="宋体" w:eastAsia="宋体" w:cs="宋体"/>
          <w:sz w:val="24"/>
          <w:szCs w:val="24"/>
          <w:lang w:eastAsia="zh-CN"/>
        </w:rPr>
      </w:pPr>
    </w:p>
    <w:p>
      <w:pPr>
        <w:spacing w:line="360" w:lineRule="auto"/>
        <w:jc w:val="left"/>
        <w:rPr>
          <w:rFonts w:hint="eastAsia" w:ascii="宋体" w:hAnsi="宋体" w:cs="宋体"/>
          <w:color w:val="000000"/>
          <w:sz w:val="24"/>
          <w:szCs w:val="24"/>
          <w:lang w:eastAsia="zh-CN"/>
        </w:rPr>
      </w:pPr>
    </w:p>
    <w:p>
      <w:pPr>
        <w:keepNext w:val="0"/>
        <w:keepLines w:val="0"/>
        <w:pageBreakBefore w:val="0"/>
        <w:widowControl w:val="0"/>
        <w:kinsoku/>
        <w:wordWrap/>
        <w:overflowPunct/>
        <w:topLinePunct w:val="0"/>
        <w:bidi w:val="0"/>
        <w:snapToGrid/>
        <w:spacing w:line="480" w:lineRule="auto"/>
        <w:jc w:val="left"/>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ascii="宋体" w:hAnsi="宋体" w:eastAsia="宋体" w:cs="宋体"/>
          <w:color w:val="000000"/>
          <w:sz w:val="24"/>
          <w:szCs w:val="24"/>
          <w:lang w:eastAsia="zh-CN"/>
        </w:rPr>
        <w:t>公司</w:t>
      </w:r>
      <w:r>
        <w:rPr>
          <w:rFonts w:hint="eastAsia" w:ascii="宋体" w:hAnsi="宋体" w:eastAsia="宋体" w:cs="宋体"/>
          <w:color w:val="000000"/>
          <w:sz w:val="24"/>
          <w:szCs w:val="24"/>
        </w:rPr>
        <w:t>对上述声明的真实性负责。如有虚假，将依法承担相应责任。</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特此声明！</w:t>
      </w:r>
    </w:p>
    <w:p>
      <w:pPr>
        <w:pStyle w:val="12"/>
        <w:keepNext w:val="0"/>
        <w:keepLines w:val="0"/>
        <w:pageBreakBefore w:val="0"/>
        <w:widowControl w:val="0"/>
        <w:kinsoku/>
        <w:wordWrap/>
        <w:overflowPunct/>
        <w:topLinePunct w:val="0"/>
        <w:bidi w:val="0"/>
        <w:snapToGrid/>
        <w:spacing w:line="480" w:lineRule="auto"/>
        <w:ind w:firstLine="57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供应商：</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（盖章）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法定代表人：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（签字或法人印鉴）</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委托代理人：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（签字）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color w:val="000000"/>
          <w:sz w:val="24"/>
          <w:szCs w:val="24"/>
        </w:rPr>
        <w:t>日    期：  年  月  日</w:t>
      </w:r>
    </w:p>
    <w:p>
      <w:pPr>
        <w:rPr>
          <w:rFonts w:hint="eastAsia" w:ascii="宋体" w:hAnsi="宋体" w:eastAsia="宋体" w:cs="宋体"/>
        </w:rPr>
      </w:pPr>
    </w:p>
    <w:p>
      <w:pPr>
        <w:pStyle w:val="5"/>
        <w:rPr>
          <w:rFonts w:hint="eastAsia"/>
        </w:rPr>
      </w:pPr>
    </w:p>
    <w:sectPr>
      <w:pgSz w:w="11906" w:h="16838"/>
      <w:pgMar w:top="1440" w:right="1440" w:bottom="1440" w:left="1440" w:header="851" w:footer="992" w:gutter="0"/>
      <w:pgNumType w:fmt="decimal"/>
      <w:cols w:space="720" w:num="1"/>
      <w:titlePg/>
      <w:docGrid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6" w:usb3="00000000" w:csb0="00060007"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2367280</wp:posOffset>
              </wp:positionH>
              <wp:positionV relativeFrom="paragraph">
                <wp:posOffset>19050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79</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6.4pt;margin-top:1.5pt;height:144pt;width:144pt;mso-position-horizontal-relative:margin;mso-wrap-style:none;z-index:251660288;mso-width-relative:page;mso-height-relative:page;" filled="f" stroked="f" coordsize="21600,21600" o:gfxdata="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863j9UAAAAJ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79</w:t>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5333365</wp:posOffset>
              </wp:positionH>
              <wp:positionV relativeFrom="paragraph">
                <wp:posOffset>-90170</wp:posOffset>
              </wp:positionV>
              <wp:extent cx="76200" cy="2228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 cy="222885"/>
                      </a:xfrm>
                      <a:prstGeom prst="rect">
                        <a:avLst/>
                      </a:prstGeom>
                      <a:noFill/>
                      <a:ln w="15875">
                        <a:noFill/>
                      </a:ln>
                      <a:effectLst/>
                    </wps:spPr>
                    <wps:txbx>
                      <w:txbxContent>
                        <w:p>
                          <w:pPr>
                            <w:rPr>
                              <w:rFonts w:hint="eastAsia"/>
                              <w:lang w:eastAsia="zh-CN"/>
                            </w:rPr>
                          </w:pPr>
                        </w:p>
                      </w:txbxContent>
                    </wps:txbx>
                    <wps:bodyPr wrap="square" lIns="0" tIns="0" rIns="0" bIns="0" upright="0">
                      <a:noAutofit/>
                    </wps:bodyPr>
                  </wps:wsp>
                </a:graphicData>
              </a:graphic>
            </wp:anchor>
          </w:drawing>
        </mc:Choice>
        <mc:Fallback>
          <w:pict>
            <v:shape id="_x0000_s1026" o:spid="_x0000_s1026" o:spt="202" type="#_x0000_t202" style="position:absolute;left:0pt;margin-left:419.95pt;margin-top:-7.1pt;height:17.55pt;width:6pt;mso-position-horizontal-relative:margin;z-index:251659264;mso-width-relative:page;mso-height-relative:page;" filled="f" stroked="f" coordsize="21600,21600" o:gfxdata="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zoqo2QAAAAoBAAAPAAAA&#10;AAAAAAEAIAAAACIAAABkcnMvZG93bnJldi54bWxQSwECFAAUAAAACACHTuJAIcMZR9sBAACwAwAA&#10;DgAAAAAAAAABACAAAAAoAQAAZHJzL2Uyb0RvYy54bWxQSwUGAAAAAAYABgBZAQAAdQUAAAAA&#10;">
              <v:fill on="f" focussize="0,0"/>
              <v:stroke on="f" weight="1.25pt"/>
              <v:imagedata o:title=""/>
              <o:lock v:ext="edit" aspectratio="f"/>
              <v:textbox inset="0mm,0mm,0mm,0mm">
                <w:txbxContent>
                  <w:p>
                    <w:pPr>
                      <w:rPr>
                        <w:rFonts w:hint="eastAsia"/>
                        <w:lang w:eastAsia="zh-CN"/>
                      </w:rPr>
                    </w:pPr>
                  </w:p>
                </w:txbxContent>
              </v:textbox>
            </v:shape>
          </w:pict>
        </mc:Fallback>
      </mc:AlternateContent>
    </w:r>
    <w:r>
      <w:rPr>
        <w:rFonts w:hint="eastAsia"/>
        <w:sz w:val="18"/>
        <w:lang w:val="en-US" w:eastAsia="zh-CN"/>
      </w:rPr>
      <w:t xml:space="preserve">                                                                                         </w:t>
    </w:r>
  </w:p>
  <w:p>
    <w:pPr>
      <w:pStyle w:val="23"/>
      <w:jc w:val="both"/>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0FD2C"/>
    <w:multiLevelType w:val="singleLevel"/>
    <w:tmpl w:val="81A0FD2C"/>
    <w:lvl w:ilvl="0" w:tentative="0">
      <w:start w:val="2"/>
      <w:numFmt w:val="chineseCounting"/>
      <w:suff w:val="nothing"/>
      <w:lvlText w:val="%1、"/>
      <w:lvlJc w:val="left"/>
      <w:rPr>
        <w:rFonts w:hint="eastAsia"/>
      </w:rPr>
    </w:lvl>
  </w:abstractNum>
  <w:abstractNum w:abstractNumId="1">
    <w:nsid w:val="88290D86"/>
    <w:multiLevelType w:val="singleLevel"/>
    <w:tmpl w:val="88290D86"/>
    <w:lvl w:ilvl="0" w:tentative="0">
      <w:start w:val="1"/>
      <w:numFmt w:val="chineseCounting"/>
      <w:suff w:val="space"/>
      <w:lvlText w:val="第%1章"/>
      <w:lvlJc w:val="left"/>
      <w:rPr>
        <w:rFonts w:hint="eastAsia"/>
      </w:rPr>
    </w:lvl>
  </w:abstractNum>
  <w:abstractNum w:abstractNumId="2">
    <w:nsid w:val="BA4B5C71"/>
    <w:multiLevelType w:val="singleLevel"/>
    <w:tmpl w:val="BA4B5C71"/>
    <w:lvl w:ilvl="0" w:tentative="0">
      <w:start w:val="9"/>
      <w:numFmt w:val="chineseCounting"/>
      <w:suff w:val="nothing"/>
      <w:lvlText w:val="%1、"/>
      <w:lvlJc w:val="left"/>
      <w:rPr>
        <w:rFonts w:hint="eastAsia"/>
      </w:rPr>
    </w:lvl>
  </w:abstractNum>
  <w:abstractNum w:abstractNumId="3">
    <w:nsid w:val="C15AB303"/>
    <w:multiLevelType w:val="singleLevel"/>
    <w:tmpl w:val="C15AB303"/>
    <w:lvl w:ilvl="0" w:tentative="0">
      <w:start w:val="6"/>
      <w:numFmt w:val="chineseCounting"/>
      <w:suff w:val="nothing"/>
      <w:lvlText w:val="%1、"/>
      <w:lvlJc w:val="left"/>
      <w:rPr>
        <w:rFonts w:hint="eastAsia"/>
      </w:rPr>
    </w:lvl>
  </w:abstractNum>
  <w:abstractNum w:abstractNumId="4">
    <w:nsid w:val="2D8E9F54"/>
    <w:multiLevelType w:val="singleLevel"/>
    <w:tmpl w:val="2D8E9F54"/>
    <w:lvl w:ilvl="0" w:tentative="0">
      <w:start w:val="4"/>
      <w:numFmt w:val="decimal"/>
      <w:lvlText w:val="%1."/>
      <w:lvlJc w:val="left"/>
      <w:pPr>
        <w:tabs>
          <w:tab w:val="left" w:pos="312"/>
        </w:tabs>
      </w:pPr>
    </w:lvl>
  </w:abstractNum>
  <w:abstractNum w:abstractNumId="5">
    <w:nsid w:val="53B7A859"/>
    <w:multiLevelType w:val="singleLevel"/>
    <w:tmpl w:val="53B7A859"/>
    <w:lvl w:ilvl="0" w:tentative="0">
      <w:start w:val="1"/>
      <w:numFmt w:val="decimal"/>
      <w:lvlText w:val="%1."/>
      <w:lvlJc w:val="left"/>
      <w:pPr>
        <w:tabs>
          <w:tab w:val="left" w:pos="312"/>
        </w:tabs>
      </w:pPr>
    </w:lvl>
  </w:abstractNum>
  <w:abstractNum w:abstractNumId="6">
    <w:nsid w:val="582A8D5B"/>
    <w:multiLevelType w:val="singleLevel"/>
    <w:tmpl w:val="582A8D5B"/>
    <w:lvl w:ilvl="0" w:tentative="0">
      <w:start w:val="5"/>
      <w:numFmt w:val="decimal"/>
      <w:suff w:val="nothing"/>
      <w:lvlText w:val="（%1）"/>
      <w:lvlJc w:val="left"/>
    </w:lvl>
  </w:abstractNum>
  <w:abstractNum w:abstractNumId="7">
    <w:nsid w:val="65AE7335"/>
    <w:multiLevelType w:val="singleLevel"/>
    <w:tmpl w:val="65AE7335"/>
    <w:lvl w:ilvl="0" w:tentative="0">
      <w:start w:val="3"/>
      <w:numFmt w:val="chineseCounting"/>
      <w:suff w:val="space"/>
      <w:lvlText w:val="第%1章"/>
      <w:lvlJc w:val="left"/>
      <w:rPr>
        <w:rFonts w:hint="eastAsia"/>
      </w:rPr>
    </w:lvl>
  </w:abstractNum>
  <w:abstractNum w:abstractNumId="8">
    <w:nsid w:val="6B5745E6"/>
    <w:multiLevelType w:val="multilevel"/>
    <w:tmpl w:val="6B5745E6"/>
    <w:lvl w:ilvl="0" w:tentative="0">
      <w:start w:val="1"/>
      <w:numFmt w:val="decimal"/>
      <w:lvlText w:val="%1)"/>
      <w:lvlJc w:val="left"/>
      <w:pPr>
        <w:ind w:left="900" w:hanging="420"/>
      </w:pPr>
      <w:rPr>
        <w:rFonts w:hint="default" w:ascii="Times New Roman" w:hAnsi="Times New Roman" w:cs="Times New Roman"/>
        <w:b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uKm+flFqyBRzzXDyyeD/rAnryMQ=" w:salt="UcVsNnIIhmZwIIV8D/ydQ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NzIwNWVkOWFkNDUxMDRlZjk3ZGNiMDJjZDM2ZjEifQ=="/>
  </w:docVars>
  <w:rsids>
    <w:rsidRoot w:val="0093278F"/>
    <w:rsid w:val="00000D62"/>
    <w:rsid w:val="000018F5"/>
    <w:rsid w:val="00001CC7"/>
    <w:rsid w:val="0000212D"/>
    <w:rsid w:val="0000214F"/>
    <w:rsid w:val="000048B5"/>
    <w:rsid w:val="00015CE8"/>
    <w:rsid w:val="00017281"/>
    <w:rsid w:val="00017DC3"/>
    <w:rsid w:val="00021358"/>
    <w:rsid w:val="00022F22"/>
    <w:rsid w:val="00025D01"/>
    <w:rsid w:val="00027C2A"/>
    <w:rsid w:val="00034306"/>
    <w:rsid w:val="00034E02"/>
    <w:rsid w:val="00034E36"/>
    <w:rsid w:val="000378FD"/>
    <w:rsid w:val="00037A97"/>
    <w:rsid w:val="000412BD"/>
    <w:rsid w:val="00041803"/>
    <w:rsid w:val="00041AE8"/>
    <w:rsid w:val="00042288"/>
    <w:rsid w:val="00042EC8"/>
    <w:rsid w:val="00045648"/>
    <w:rsid w:val="000459FC"/>
    <w:rsid w:val="00047DEC"/>
    <w:rsid w:val="00051447"/>
    <w:rsid w:val="000517C2"/>
    <w:rsid w:val="00052B5C"/>
    <w:rsid w:val="00053A15"/>
    <w:rsid w:val="00053CB1"/>
    <w:rsid w:val="00056310"/>
    <w:rsid w:val="00056BFE"/>
    <w:rsid w:val="0005762A"/>
    <w:rsid w:val="00057A66"/>
    <w:rsid w:val="00060164"/>
    <w:rsid w:val="00062DF9"/>
    <w:rsid w:val="00066AF7"/>
    <w:rsid w:val="00073DDA"/>
    <w:rsid w:val="0007452B"/>
    <w:rsid w:val="000764B7"/>
    <w:rsid w:val="00076D51"/>
    <w:rsid w:val="000809DF"/>
    <w:rsid w:val="00081CC9"/>
    <w:rsid w:val="000829F1"/>
    <w:rsid w:val="00082B17"/>
    <w:rsid w:val="0008413F"/>
    <w:rsid w:val="000857C3"/>
    <w:rsid w:val="00091357"/>
    <w:rsid w:val="0009187F"/>
    <w:rsid w:val="000944D4"/>
    <w:rsid w:val="000A0468"/>
    <w:rsid w:val="000A0542"/>
    <w:rsid w:val="000A0965"/>
    <w:rsid w:val="000A13CA"/>
    <w:rsid w:val="000A28B8"/>
    <w:rsid w:val="000A4D13"/>
    <w:rsid w:val="000A575B"/>
    <w:rsid w:val="000A766A"/>
    <w:rsid w:val="000B2864"/>
    <w:rsid w:val="000B3389"/>
    <w:rsid w:val="000B50A8"/>
    <w:rsid w:val="000C3E85"/>
    <w:rsid w:val="000C6648"/>
    <w:rsid w:val="000D1788"/>
    <w:rsid w:val="000E206D"/>
    <w:rsid w:val="000E61DF"/>
    <w:rsid w:val="000F1E70"/>
    <w:rsid w:val="000F2E92"/>
    <w:rsid w:val="00100CB8"/>
    <w:rsid w:val="0010155C"/>
    <w:rsid w:val="001067A8"/>
    <w:rsid w:val="00106D83"/>
    <w:rsid w:val="00110A31"/>
    <w:rsid w:val="00111020"/>
    <w:rsid w:val="001114C1"/>
    <w:rsid w:val="001117F8"/>
    <w:rsid w:val="001162CC"/>
    <w:rsid w:val="00116648"/>
    <w:rsid w:val="00120BC4"/>
    <w:rsid w:val="00120EE1"/>
    <w:rsid w:val="00134305"/>
    <w:rsid w:val="00135B38"/>
    <w:rsid w:val="001372A4"/>
    <w:rsid w:val="00140CCD"/>
    <w:rsid w:val="00146520"/>
    <w:rsid w:val="00147891"/>
    <w:rsid w:val="00151D52"/>
    <w:rsid w:val="00151EB2"/>
    <w:rsid w:val="0015209A"/>
    <w:rsid w:val="00152AE8"/>
    <w:rsid w:val="001607E6"/>
    <w:rsid w:val="00166CC4"/>
    <w:rsid w:val="00167F5D"/>
    <w:rsid w:val="0017598A"/>
    <w:rsid w:val="00177894"/>
    <w:rsid w:val="001835F8"/>
    <w:rsid w:val="001836B2"/>
    <w:rsid w:val="00186AFE"/>
    <w:rsid w:val="00187F17"/>
    <w:rsid w:val="00192900"/>
    <w:rsid w:val="00193659"/>
    <w:rsid w:val="00194F25"/>
    <w:rsid w:val="001959B6"/>
    <w:rsid w:val="0019684D"/>
    <w:rsid w:val="00196CE2"/>
    <w:rsid w:val="001A08AA"/>
    <w:rsid w:val="001A1237"/>
    <w:rsid w:val="001A3119"/>
    <w:rsid w:val="001A3C54"/>
    <w:rsid w:val="001A436B"/>
    <w:rsid w:val="001A526D"/>
    <w:rsid w:val="001A63C3"/>
    <w:rsid w:val="001A732D"/>
    <w:rsid w:val="001B186A"/>
    <w:rsid w:val="001B2266"/>
    <w:rsid w:val="001B501F"/>
    <w:rsid w:val="001C27C2"/>
    <w:rsid w:val="001C38A6"/>
    <w:rsid w:val="001C6476"/>
    <w:rsid w:val="001C6905"/>
    <w:rsid w:val="001D0DFE"/>
    <w:rsid w:val="001D1890"/>
    <w:rsid w:val="001D1A35"/>
    <w:rsid w:val="001D2053"/>
    <w:rsid w:val="001D2958"/>
    <w:rsid w:val="001D6624"/>
    <w:rsid w:val="001D7A05"/>
    <w:rsid w:val="001E0366"/>
    <w:rsid w:val="001E2CC4"/>
    <w:rsid w:val="001E697F"/>
    <w:rsid w:val="001E793A"/>
    <w:rsid w:val="001F2B43"/>
    <w:rsid w:val="001F3D82"/>
    <w:rsid w:val="001F4D8B"/>
    <w:rsid w:val="001F5D64"/>
    <w:rsid w:val="001F62C9"/>
    <w:rsid w:val="00200F28"/>
    <w:rsid w:val="0020111B"/>
    <w:rsid w:val="002034BF"/>
    <w:rsid w:val="002040CB"/>
    <w:rsid w:val="00204516"/>
    <w:rsid w:val="00204E91"/>
    <w:rsid w:val="00205767"/>
    <w:rsid w:val="002123FA"/>
    <w:rsid w:val="002125F4"/>
    <w:rsid w:val="00214B62"/>
    <w:rsid w:val="00214BB3"/>
    <w:rsid w:val="002155DF"/>
    <w:rsid w:val="00217D04"/>
    <w:rsid w:val="00220435"/>
    <w:rsid w:val="00221257"/>
    <w:rsid w:val="0022241C"/>
    <w:rsid w:val="002225B7"/>
    <w:rsid w:val="00224B19"/>
    <w:rsid w:val="00225CDD"/>
    <w:rsid w:val="00226B4D"/>
    <w:rsid w:val="00227264"/>
    <w:rsid w:val="00227A39"/>
    <w:rsid w:val="00231223"/>
    <w:rsid w:val="002325EF"/>
    <w:rsid w:val="00232BC9"/>
    <w:rsid w:val="00232D22"/>
    <w:rsid w:val="00234E6E"/>
    <w:rsid w:val="00237763"/>
    <w:rsid w:val="00240C02"/>
    <w:rsid w:val="00241C06"/>
    <w:rsid w:val="00245638"/>
    <w:rsid w:val="0025244F"/>
    <w:rsid w:val="0025370F"/>
    <w:rsid w:val="00255859"/>
    <w:rsid w:val="0026093B"/>
    <w:rsid w:val="00260FFD"/>
    <w:rsid w:val="00264E6B"/>
    <w:rsid w:val="002651E7"/>
    <w:rsid w:val="0026693B"/>
    <w:rsid w:val="0026785F"/>
    <w:rsid w:val="00270146"/>
    <w:rsid w:val="00271840"/>
    <w:rsid w:val="00273347"/>
    <w:rsid w:val="002749D2"/>
    <w:rsid w:val="00275196"/>
    <w:rsid w:val="00276DC0"/>
    <w:rsid w:val="00277E16"/>
    <w:rsid w:val="00283967"/>
    <w:rsid w:val="002846EF"/>
    <w:rsid w:val="002861C4"/>
    <w:rsid w:val="002870F0"/>
    <w:rsid w:val="00291433"/>
    <w:rsid w:val="0029361D"/>
    <w:rsid w:val="002944D0"/>
    <w:rsid w:val="00295AB1"/>
    <w:rsid w:val="002A07D4"/>
    <w:rsid w:val="002A51FD"/>
    <w:rsid w:val="002A5933"/>
    <w:rsid w:val="002A6E23"/>
    <w:rsid w:val="002A7F22"/>
    <w:rsid w:val="002B2588"/>
    <w:rsid w:val="002B43C2"/>
    <w:rsid w:val="002B4FA6"/>
    <w:rsid w:val="002B74A8"/>
    <w:rsid w:val="002C11D6"/>
    <w:rsid w:val="002C2E81"/>
    <w:rsid w:val="002C3533"/>
    <w:rsid w:val="002C3746"/>
    <w:rsid w:val="002C7A70"/>
    <w:rsid w:val="002D332E"/>
    <w:rsid w:val="002E3E8C"/>
    <w:rsid w:val="002E523F"/>
    <w:rsid w:val="002E58FB"/>
    <w:rsid w:val="002F0FC7"/>
    <w:rsid w:val="002F1D3B"/>
    <w:rsid w:val="002F2542"/>
    <w:rsid w:val="002F400E"/>
    <w:rsid w:val="002F5048"/>
    <w:rsid w:val="002F53A1"/>
    <w:rsid w:val="002F6804"/>
    <w:rsid w:val="002F6FF0"/>
    <w:rsid w:val="002F7B34"/>
    <w:rsid w:val="0030794B"/>
    <w:rsid w:val="00307CF5"/>
    <w:rsid w:val="0031157E"/>
    <w:rsid w:val="0031713E"/>
    <w:rsid w:val="00320994"/>
    <w:rsid w:val="00322F6F"/>
    <w:rsid w:val="003241C4"/>
    <w:rsid w:val="003268AA"/>
    <w:rsid w:val="003323FC"/>
    <w:rsid w:val="00335724"/>
    <w:rsid w:val="003366EC"/>
    <w:rsid w:val="00336897"/>
    <w:rsid w:val="003372EC"/>
    <w:rsid w:val="00337405"/>
    <w:rsid w:val="00343C64"/>
    <w:rsid w:val="00344116"/>
    <w:rsid w:val="00345E77"/>
    <w:rsid w:val="003464C4"/>
    <w:rsid w:val="00350997"/>
    <w:rsid w:val="00350D67"/>
    <w:rsid w:val="00354566"/>
    <w:rsid w:val="00357188"/>
    <w:rsid w:val="00357CB1"/>
    <w:rsid w:val="00360AAD"/>
    <w:rsid w:val="00362AD3"/>
    <w:rsid w:val="0036587B"/>
    <w:rsid w:val="00366CC2"/>
    <w:rsid w:val="00372D59"/>
    <w:rsid w:val="003735AF"/>
    <w:rsid w:val="00374382"/>
    <w:rsid w:val="003767D3"/>
    <w:rsid w:val="003771AB"/>
    <w:rsid w:val="003800E5"/>
    <w:rsid w:val="00381802"/>
    <w:rsid w:val="00381ED9"/>
    <w:rsid w:val="003830D6"/>
    <w:rsid w:val="00385C8D"/>
    <w:rsid w:val="00386021"/>
    <w:rsid w:val="00386805"/>
    <w:rsid w:val="00386930"/>
    <w:rsid w:val="00386988"/>
    <w:rsid w:val="003913A6"/>
    <w:rsid w:val="0039275B"/>
    <w:rsid w:val="00392F56"/>
    <w:rsid w:val="00393233"/>
    <w:rsid w:val="0039341E"/>
    <w:rsid w:val="0039349A"/>
    <w:rsid w:val="003939C4"/>
    <w:rsid w:val="003A0F61"/>
    <w:rsid w:val="003A1B2B"/>
    <w:rsid w:val="003A591C"/>
    <w:rsid w:val="003B0049"/>
    <w:rsid w:val="003B2350"/>
    <w:rsid w:val="003B3C4B"/>
    <w:rsid w:val="003C015B"/>
    <w:rsid w:val="003C07E8"/>
    <w:rsid w:val="003C1AF2"/>
    <w:rsid w:val="003C2919"/>
    <w:rsid w:val="003C5679"/>
    <w:rsid w:val="003C68EE"/>
    <w:rsid w:val="003D0A9B"/>
    <w:rsid w:val="003D1728"/>
    <w:rsid w:val="003D19BC"/>
    <w:rsid w:val="003D1CAB"/>
    <w:rsid w:val="003D2FFC"/>
    <w:rsid w:val="003D3568"/>
    <w:rsid w:val="003D4EE1"/>
    <w:rsid w:val="003D56FD"/>
    <w:rsid w:val="003D60AA"/>
    <w:rsid w:val="003D657C"/>
    <w:rsid w:val="003D75B2"/>
    <w:rsid w:val="003D7990"/>
    <w:rsid w:val="003E0B6D"/>
    <w:rsid w:val="003E2CE7"/>
    <w:rsid w:val="003E6154"/>
    <w:rsid w:val="003E6B32"/>
    <w:rsid w:val="003F0D7D"/>
    <w:rsid w:val="003F2B50"/>
    <w:rsid w:val="004009FC"/>
    <w:rsid w:val="004052E3"/>
    <w:rsid w:val="0040533A"/>
    <w:rsid w:val="004061F9"/>
    <w:rsid w:val="004068A3"/>
    <w:rsid w:val="00407327"/>
    <w:rsid w:val="00410C9E"/>
    <w:rsid w:val="00412AC6"/>
    <w:rsid w:val="004134BC"/>
    <w:rsid w:val="0041492A"/>
    <w:rsid w:val="00415DBC"/>
    <w:rsid w:val="00416790"/>
    <w:rsid w:val="00417B8C"/>
    <w:rsid w:val="0042115D"/>
    <w:rsid w:val="004211DF"/>
    <w:rsid w:val="004214E3"/>
    <w:rsid w:val="004215E0"/>
    <w:rsid w:val="004224AD"/>
    <w:rsid w:val="004237C2"/>
    <w:rsid w:val="00427A9D"/>
    <w:rsid w:val="0043115C"/>
    <w:rsid w:val="0043150F"/>
    <w:rsid w:val="00435436"/>
    <w:rsid w:val="00436AD8"/>
    <w:rsid w:val="004404EE"/>
    <w:rsid w:val="004406D4"/>
    <w:rsid w:val="00442158"/>
    <w:rsid w:val="00442B11"/>
    <w:rsid w:val="00443AA6"/>
    <w:rsid w:val="00444452"/>
    <w:rsid w:val="0044558A"/>
    <w:rsid w:val="004465B3"/>
    <w:rsid w:val="004514FE"/>
    <w:rsid w:val="00451977"/>
    <w:rsid w:val="00452A5C"/>
    <w:rsid w:val="00454750"/>
    <w:rsid w:val="004551F8"/>
    <w:rsid w:val="004579E8"/>
    <w:rsid w:val="004660AC"/>
    <w:rsid w:val="00470605"/>
    <w:rsid w:val="00471006"/>
    <w:rsid w:val="00471D94"/>
    <w:rsid w:val="00472D9A"/>
    <w:rsid w:val="004750BF"/>
    <w:rsid w:val="00475B29"/>
    <w:rsid w:val="00476AEC"/>
    <w:rsid w:val="00476B30"/>
    <w:rsid w:val="00477999"/>
    <w:rsid w:val="0048192B"/>
    <w:rsid w:val="00482DAF"/>
    <w:rsid w:val="004838BA"/>
    <w:rsid w:val="00484666"/>
    <w:rsid w:val="0048525B"/>
    <w:rsid w:val="00487931"/>
    <w:rsid w:val="00487C96"/>
    <w:rsid w:val="00491FC1"/>
    <w:rsid w:val="00495724"/>
    <w:rsid w:val="00497DA8"/>
    <w:rsid w:val="004A42DA"/>
    <w:rsid w:val="004A4C9A"/>
    <w:rsid w:val="004A6D5C"/>
    <w:rsid w:val="004B3B77"/>
    <w:rsid w:val="004B72AE"/>
    <w:rsid w:val="004B77C1"/>
    <w:rsid w:val="004C1003"/>
    <w:rsid w:val="004C1410"/>
    <w:rsid w:val="004C1ADA"/>
    <w:rsid w:val="004C3B66"/>
    <w:rsid w:val="004C3BC5"/>
    <w:rsid w:val="004C457C"/>
    <w:rsid w:val="004C5A7C"/>
    <w:rsid w:val="004C6508"/>
    <w:rsid w:val="004C6AA5"/>
    <w:rsid w:val="004D3387"/>
    <w:rsid w:val="004D5367"/>
    <w:rsid w:val="004D7086"/>
    <w:rsid w:val="004D7A32"/>
    <w:rsid w:val="004D7ADF"/>
    <w:rsid w:val="004E0943"/>
    <w:rsid w:val="004E144F"/>
    <w:rsid w:val="004E2429"/>
    <w:rsid w:val="004E4169"/>
    <w:rsid w:val="004E5D6E"/>
    <w:rsid w:val="004E5E5D"/>
    <w:rsid w:val="004E68C8"/>
    <w:rsid w:val="004F12D5"/>
    <w:rsid w:val="004F299B"/>
    <w:rsid w:val="004F4263"/>
    <w:rsid w:val="004F45D5"/>
    <w:rsid w:val="0050155C"/>
    <w:rsid w:val="00501C56"/>
    <w:rsid w:val="00502134"/>
    <w:rsid w:val="0050239B"/>
    <w:rsid w:val="00502C4B"/>
    <w:rsid w:val="00502CFB"/>
    <w:rsid w:val="0050382E"/>
    <w:rsid w:val="00507173"/>
    <w:rsid w:val="00512B47"/>
    <w:rsid w:val="00513A07"/>
    <w:rsid w:val="00514A59"/>
    <w:rsid w:val="005200CE"/>
    <w:rsid w:val="00521733"/>
    <w:rsid w:val="00521CA3"/>
    <w:rsid w:val="0053602D"/>
    <w:rsid w:val="00540627"/>
    <w:rsid w:val="00541067"/>
    <w:rsid w:val="005460CA"/>
    <w:rsid w:val="00551B8E"/>
    <w:rsid w:val="00554058"/>
    <w:rsid w:val="005574E8"/>
    <w:rsid w:val="005641D3"/>
    <w:rsid w:val="0057192F"/>
    <w:rsid w:val="00572C20"/>
    <w:rsid w:val="00574F48"/>
    <w:rsid w:val="00580CFF"/>
    <w:rsid w:val="005810FE"/>
    <w:rsid w:val="005822A9"/>
    <w:rsid w:val="005840EB"/>
    <w:rsid w:val="00584D3C"/>
    <w:rsid w:val="0058643D"/>
    <w:rsid w:val="005868B9"/>
    <w:rsid w:val="0058751F"/>
    <w:rsid w:val="005918FF"/>
    <w:rsid w:val="00595EB2"/>
    <w:rsid w:val="005A1265"/>
    <w:rsid w:val="005A1313"/>
    <w:rsid w:val="005A689F"/>
    <w:rsid w:val="005B1C66"/>
    <w:rsid w:val="005B6E25"/>
    <w:rsid w:val="005C305F"/>
    <w:rsid w:val="005C4C1A"/>
    <w:rsid w:val="005C59B8"/>
    <w:rsid w:val="005D1FFB"/>
    <w:rsid w:val="005D2A2F"/>
    <w:rsid w:val="005D2B60"/>
    <w:rsid w:val="005D305D"/>
    <w:rsid w:val="005D392B"/>
    <w:rsid w:val="005D3CE6"/>
    <w:rsid w:val="005D54FA"/>
    <w:rsid w:val="005D6143"/>
    <w:rsid w:val="005D74EB"/>
    <w:rsid w:val="005E2B7C"/>
    <w:rsid w:val="005E5173"/>
    <w:rsid w:val="005F19FE"/>
    <w:rsid w:val="005F2EB0"/>
    <w:rsid w:val="005F566D"/>
    <w:rsid w:val="005F66E2"/>
    <w:rsid w:val="00600F03"/>
    <w:rsid w:val="00603DC6"/>
    <w:rsid w:val="00604CA8"/>
    <w:rsid w:val="00605A3F"/>
    <w:rsid w:val="006064AB"/>
    <w:rsid w:val="00610461"/>
    <w:rsid w:val="00611023"/>
    <w:rsid w:val="0061589D"/>
    <w:rsid w:val="0061796C"/>
    <w:rsid w:val="006205A5"/>
    <w:rsid w:val="00620F88"/>
    <w:rsid w:val="006270C5"/>
    <w:rsid w:val="006311E0"/>
    <w:rsid w:val="0063180F"/>
    <w:rsid w:val="006361F1"/>
    <w:rsid w:val="0063734F"/>
    <w:rsid w:val="00642CF4"/>
    <w:rsid w:val="00644E19"/>
    <w:rsid w:val="00645DC9"/>
    <w:rsid w:val="00646656"/>
    <w:rsid w:val="006473CC"/>
    <w:rsid w:val="00647CC1"/>
    <w:rsid w:val="0065134A"/>
    <w:rsid w:val="0065283E"/>
    <w:rsid w:val="00652919"/>
    <w:rsid w:val="00653852"/>
    <w:rsid w:val="0065421E"/>
    <w:rsid w:val="006562AF"/>
    <w:rsid w:val="00656346"/>
    <w:rsid w:val="00657014"/>
    <w:rsid w:val="00662616"/>
    <w:rsid w:val="00664732"/>
    <w:rsid w:val="0066606A"/>
    <w:rsid w:val="00667CDD"/>
    <w:rsid w:val="00672B39"/>
    <w:rsid w:val="006739E8"/>
    <w:rsid w:val="006739FC"/>
    <w:rsid w:val="0067736D"/>
    <w:rsid w:val="006807DC"/>
    <w:rsid w:val="00682F76"/>
    <w:rsid w:val="006863F8"/>
    <w:rsid w:val="00686623"/>
    <w:rsid w:val="00686F14"/>
    <w:rsid w:val="00691637"/>
    <w:rsid w:val="0069191B"/>
    <w:rsid w:val="00693204"/>
    <w:rsid w:val="006942C7"/>
    <w:rsid w:val="00694323"/>
    <w:rsid w:val="006948DF"/>
    <w:rsid w:val="00695DE6"/>
    <w:rsid w:val="00697911"/>
    <w:rsid w:val="006A0B06"/>
    <w:rsid w:val="006A0F53"/>
    <w:rsid w:val="006A3F9B"/>
    <w:rsid w:val="006A4A7B"/>
    <w:rsid w:val="006A7539"/>
    <w:rsid w:val="006B28A8"/>
    <w:rsid w:val="006B605F"/>
    <w:rsid w:val="006B7833"/>
    <w:rsid w:val="006C121E"/>
    <w:rsid w:val="006C131C"/>
    <w:rsid w:val="006C1567"/>
    <w:rsid w:val="006C376A"/>
    <w:rsid w:val="006C5779"/>
    <w:rsid w:val="006C6595"/>
    <w:rsid w:val="006D1021"/>
    <w:rsid w:val="006D1557"/>
    <w:rsid w:val="006D172B"/>
    <w:rsid w:val="006D3F4A"/>
    <w:rsid w:val="006D5B04"/>
    <w:rsid w:val="006D6C4F"/>
    <w:rsid w:val="006E5BAD"/>
    <w:rsid w:val="006E61DA"/>
    <w:rsid w:val="006F549D"/>
    <w:rsid w:val="006F5F41"/>
    <w:rsid w:val="007020DF"/>
    <w:rsid w:val="00702572"/>
    <w:rsid w:val="00703C87"/>
    <w:rsid w:val="00703CC4"/>
    <w:rsid w:val="0070496C"/>
    <w:rsid w:val="0070603A"/>
    <w:rsid w:val="00706C7B"/>
    <w:rsid w:val="00706CC7"/>
    <w:rsid w:val="00707191"/>
    <w:rsid w:val="00712860"/>
    <w:rsid w:val="00720B5C"/>
    <w:rsid w:val="00722DE3"/>
    <w:rsid w:val="00727940"/>
    <w:rsid w:val="00727CC9"/>
    <w:rsid w:val="0073078A"/>
    <w:rsid w:val="00732284"/>
    <w:rsid w:val="007323CE"/>
    <w:rsid w:val="00733732"/>
    <w:rsid w:val="00734251"/>
    <w:rsid w:val="00734894"/>
    <w:rsid w:val="007379A0"/>
    <w:rsid w:val="00741564"/>
    <w:rsid w:val="0074241C"/>
    <w:rsid w:val="00747341"/>
    <w:rsid w:val="0075201C"/>
    <w:rsid w:val="007538C3"/>
    <w:rsid w:val="007539DD"/>
    <w:rsid w:val="0075489D"/>
    <w:rsid w:val="007552F6"/>
    <w:rsid w:val="0075656C"/>
    <w:rsid w:val="00756F7B"/>
    <w:rsid w:val="007628C8"/>
    <w:rsid w:val="00762953"/>
    <w:rsid w:val="007635B1"/>
    <w:rsid w:val="00764713"/>
    <w:rsid w:val="00770386"/>
    <w:rsid w:val="00770F63"/>
    <w:rsid w:val="007732BB"/>
    <w:rsid w:val="007806D0"/>
    <w:rsid w:val="00780A0C"/>
    <w:rsid w:val="00782B97"/>
    <w:rsid w:val="0078400C"/>
    <w:rsid w:val="00784081"/>
    <w:rsid w:val="00784A27"/>
    <w:rsid w:val="00784D68"/>
    <w:rsid w:val="007872F6"/>
    <w:rsid w:val="00791994"/>
    <w:rsid w:val="007A38E7"/>
    <w:rsid w:val="007A4476"/>
    <w:rsid w:val="007A49F6"/>
    <w:rsid w:val="007A7910"/>
    <w:rsid w:val="007B5837"/>
    <w:rsid w:val="007B695B"/>
    <w:rsid w:val="007B74A9"/>
    <w:rsid w:val="007B7878"/>
    <w:rsid w:val="007C16C1"/>
    <w:rsid w:val="007C1BF9"/>
    <w:rsid w:val="007C3C82"/>
    <w:rsid w:val="007C3CA0"/>
    <w:rsid w:val="007C49C0"/>
    <w:rsid w:val="007C648B"/>
    <w:rsid w:val="007C7809"/>
    <w:rsid w:val="007C7B61"/>
    <w:rsid w:val="007D1AEE"/>
    <w:rsid w:val="007D28ED"/>
    <w:rsid w:val="007D40B9"/>
    <w:rsid w:val="007D4D8A"/>
    <w:rsid w:val="007E30A7"/>
    <w:rsid w:val="007E3477"/>
    <w:rsid w:val="007E5AC5"/>
    <w:rsid w:val="007E7CD8"/>
    <w:rsid w:val="007F0AB9"/>
    <w:rsid w:val="007F45FD"/>
    <w:rsid w:val="00800678"/>
    <w:rsid w:val="008021B2"/>
    <w:rsid w:val="00802272"/>
    <w:rsid w:val="00802BDC"/>
    <w:rsid w:val="00802EC4"/>
    <w:rsid w:val="008030DA"/>
    <w:rsid w:val="0080379C"/>
    <w:rsid w:val="0080386D"/>
    <w:rsid w:val="008060F6"/>
    <w:rsid w:val="00810662"/>
    <w:rsid w:val="00810913"/>
    <w:rsid w:val="00813AD5"/>
    <w:rsid w:val="00813E73"/>
    <w:rsid w:val="0081450D"/>
    <w:rsid w:val="00820F1F"/>
    <w:rsid w:val="00824408"/>
    <w:rsid w:val="00824E18"/>
    <w:rsid w:val="00826844"/>
    <w:rsid w:val="00826F4B"/>
    <w:rsid w:val="00830474"/>
    <w:rsid w:val="0083272D"/>
    <w:rsid w:val="0084036F"/>
    <w:rsid w:val="00843C5A"/>
    <w:rsid w:val="00850DED"/>
    <w:rsid w:val="00852405"/>
    <w:rsid w:val="0085327A"/>
    <w:rsid w:val="00855EF0"/>
    <w:rsid w:val="008562AF"/>
    <w:rsid w:val="00856CA9"/>
    <w:rsid w:val="008574AC"/>
    <w:rsid w:val="00860DC6"/>
    <w:rsid w:val="008641A8"/>
    <w:rsid w:val="00867B4C"/>
    <w:rsid w:val="00871A47"/>
    <w:rsid w:val="00877879"/>
    <w:rsid w:val="00877BF2"/>
    <w:rsid w:val="00882446"/>
    <w:rsid w:val="00883BD0"/>
    <w:rsid w:val="00884C9F"/>
    <w:rsid w:val="00885C2C"/>
    <w:rsid w:val="0089046A"/>
    <w:rsid w:val="00891CC3"/>
    <w:rsid w:val="0089281C"/>
    <w:rsid w:val="00893599"/>
    <w:rsid w:val="00893A08"/>
    <w:rsid w:val="008952DA"/>
    <w:rsid w:val="00897E9C"/>
    <w:rsid w:val="008A1604"/>
    <w:rsid w:val="008A307B"/>
    <w:rsid w:val="008A51F8"/>
    <w:rsid w:val="008A7E53"/>
    <w:rsid w:val="008B179B"/>
    <w:rsid w:val="008B4600"/>
    <w:rsid w:val="008B5269"/>
    <w:rsid w:val="008C46A0"/>
    <w:rsid w:val="008C7340"/>
    <w:rsid w:val="008D105A"/>
    <w:rsid w:val="008D2A0A"/>
    <w:rsid w:val="008E36B4"/>
    <w:rsid w:val="008E48A3"/>
    <w:rsid w:val="008E60D3"/>
    <w:rsid w:val="008E6701"/>
    <w:rsid w:val="008E710B"/>
    <w:rsid w:val="008F0704"/>
    <w:rsid w:val="008F108F"/>
    <w:rsid w:val="008F3BBD"/>
    <w:rsid w:val="00901DF5"/>
    <w:rsid w:val="00902264"/>
    <w:rsid w:val="00903079"/>
    <w:rsid w:val="009036FC"/>
    <w:rsid w:val="00904467"/>
    <w:rsid w:val="0090520D"/>
    <w:rsid w:val="00905AD4"/>
    <w:rsid w:val="00906AEE"/>
    <w:rsid w:val="00907627"/>
    <w:rsid w:val="00907D41"/>
    <w:rsid w:val="0091007C"/>
    <w:rsid w:val="0091017C"/>
    <w:rsid w:val="009128BE"/>
    <w:rsid w:val="009133DC"/>
    <w:rsid w:val="00916A4A"/>
    <w:rsid w:val="00920221"/>
    <w:rsid w:val="00922C43"/>
    <w:rsid w:val="00923B99"/>
    <w:rsid w:val="00923F28"/>
    <w:rsid w:val="0092400B"/>
    <w:rsid w:val="009266F3"/>
    <w:rsid w:val="00930FDC"/>
    <w:rsid w:val="0093278F"/>
    <w:rsid w:val="00933479"/>
    <w:rsid w:val="00933E4B"/>
    <w:rsid w:val="00940511"/>
    <w:rsid w:val="00941700"/>
    <w:rsid w:val="00943871"/>
    <w:rsid w:val="00946938"/>
    <w:rsid w:val="009471BE"/>
    <w:rsid w:val="0094725F"/>
    <w:rsid w:val="009521D6"/>
    <w:rsid w:val="0095595D"/>
    <w:rsid w:val="00957CDF"/>
    <w:rsid w:val="009642F2"/>
    <w:rsid w:val="00964C07"/>
    <w:rsid w:val="00965392"/>
    <w:rsid w:val="00965C71"/>
    <w:rsid w:val="00972DAC"/>
    <w:rsid w:val="0097380C"/>
    <w:rsid w:val="0097390B"/>
    <w:rsid w:val="0097525F"/>
    <w:rsid w:val="009766C6"/>
    <w:rsid w:val="009775B6"/>
    <w:rsid w:val="00977A0D"/>
    <w:rsid w:val="00984A05"/>
    <w:rsid w:val="009865EF"/>
    <w:rsid w:val="009876E9"/>
    <w:rsid w:val="00990862"/>
    <w:rsid w:val="00993623"/>
    <w:rsid w:val="009938D6"/>
    <w:rsid w:val="00993964"/>
    <w:rsid w:val="00997CB7"/>
    <w:rsid w:val="009A2DDB"/>
    <w:rsid w:val="009A3135"/>
    <w:rsid w:val="009A4226"/>
    <w:rsid w:val="009A4FE1"/>
    <w:rsid w:val="009B0D18"/>
    <w:rsid w:val="009B399D"/>
    <w:rsid w:val="009B3AD2"/>
    <w:rsid w:val="009B613B"/>
    <w:rsid w:val="009B7891"/>
    <w:rsid w:val="009C04B5"/>
    <w:rsid w:val="009C14C2"/>
    <w:rsid w:val="009C1EA3"/>
    <w:rsid w:val="009C45A1"/>
    <w:rsid w:val="009C4AD7"/>
    <w:rsid w:val="009D0C09"/>
    <w:rsid w:val="009D4EB9"/>
    <w:rsid w:val="009D57E7"/>
    <w:rsid w:val="009D58BB"/>
    <w:rsid w:val="009E1AE6"/>
    <w:rsid w:val="009E2354"/>
    <w:rsid w:val="009E434C"/>
    <w:rsid w:val="009E4951"/>
    <w:rsid w:val="009E75FC"/>
    <w:rsid w:val="009F0134"/>
    <w:rsid w:val="009F3D6E"/>
    <w:rsid w:val="009F4001"/>
    <w:rsid w:val="009F42A8"/>
    <w:rsid w:val="009F5CD7"/>
    <w:rsid w:val="009F5E30"/>
    <w:rsid w:val="009F6685"/>
    <w:rsid w:val="00A047C5"/>
    <w:rsid w:val="00A05148"/>
    <w:rsid w:val="00A067EC"/>
    <w:rsid w:val="00A06860"/>
    <w:rsid w:val="00A07A42"/>
    <w:rsid w:val="00A1408B"/>
    <w:rsid w:val="00A20BBC"/>
    <w:rsid w:val="00A20D36"/>
    <w:rsid w:val="00A2484B"/>
    <w:rsid w:val="00A259A7"/>
    <w:rsid w:val="00A25FF6"/>
    <w:rsid w:val="00A26F5B"/>
    <w:rsid w:val="00A279DF"/>
    <w:rsid w:val="00A320D2"/>
    <w:rsid w:val="00A332B5"/>
    <w:rsid w:val="00A34515"/>
    <w:rsid w:val="00A360D3"/>
    <w:rsid w:val="00A403E0"/>
    <w:rsid w:val="00A445BE"/>
    <w:rsid w:val="00A45370"/>
    <w:rsid w:val="00A455C4"/>
    <w:rsid w:val="00A457E4"/>
    <w:rsid w:val="00A4667E"/>
    <w:rsid w:val="00A475DF"/>
    <w:rsid w:val="00A50A64"/>
    <w:rsid w:val="00A60946"/>
    <w:rsid w:val="00A615F0"/>
    <w:rsid w:val="00A61F61"/>
    <w:rsid w:val="00A62975"/>
    <w:rsid w:val="00A64BE6"/>
    <w:rsid w:val="00A6536D"/>
    <w:rsid w:val="00A65CD4"/>
    <w:rsid w:val="00A70867"/>
    <w:rsid w:val="00A70C28"/>
    <w:rsid w:val="00A81C05"/>
    <w:rsid w:val="00A82F2D"/>
    <w:rsid w:val="00A836EE"/>
    <w:rsid w:val="00A83E78"/>
    <w:rsid w:val="00A846E6"/>
    <w:rsid w:val="00A90164"/>
    <w:rsid w:val="00A933F3"/>
    <w:rsid w:val="00A93D3B"/>
    <w:rsid w:val="00A970A8"/>
    <w:rsid w:val="00AA4EBF"/>
    <w:rsid w:val="00AA6E3F"/>
    <w:rsid w:val="00AA7936"/>
    <w:rsid w:val="00AA7973"/>
    <w:rsid w:val="00AB1429"/>
    <w:rsid w:val="00AB1938"/>
    <w:rsid w:val="00AB391F"/>
    <w:rsid w:val="00AB5956"/>
    <w:rsid w:val="00AB674B"/>
    <w:rsid w:val="00AB699A"/>
    <w:rsid w:val="00AC0E68"/>
    <w:rsid w:val="00AC1051"/>
    <w:rsid w:val="00AC18C4"/>
    <w:rsid w:val="00AC1A89"/>
    <w:rsid w:val="00AC2AF0"/>
    <w:rsid w:val="00AC4D6F"/>
    <w:rsid w:val="00AD170B"/>
    <w:rsid w:val="00AD29EE"/>
    <w:rsid w:val="00AD404D"/>
    <w:rsid w:val="00AD74E7"/>
    <w:rsid w:val="00AE1377"/>
    <w:rsid w:val="00AE1C70"/>
    <w:rsid w:val="00AE31E2"/>
    <w:rsid w:val="00AE5796"/>
    <w:rsid w:val="00AE68BE"/>
    <w:rsid w:val="00AE6A5D"/>
    <w:rsid w:val="00AF02BA"/>
    <w:rsid w:val="00AF0B46"/>
    <w:rsid w:val="00AF3FFF"/>
    <w:rsid w:val="00AF4838"/>
    <w:rsid w:val="00AF6504"/>
    <w:rsid w:val="00B0018F"/>
    <w:rsid w:val="00B051CE"/>
    <w:rsid w:val="00B05561"/>
    <w:rsid w:val="00B07F6F"/>
    <w:rsid w:val="00B11746"/>
    <w:rsid w:val="00B140EF"/>
    <w:rsid w:val="00B14269"/>
    <w:rsid w:val="00B14FA7"/>
    <w:rsid w:val="00B20C04"/>
    <w:rsid w:val="00B30DA9"/>
    <w:rsid w:val="00B351BF"/>
    <w:rsid w:val="00B3626C"/>
    <w:rsid w:val="00B36776"/>
    <w:rsid w:val="00B36ABE"/>
    <w:rsid w:val="00B4478F"/>
    <w:rsid w:val="00B44C82"/>
    <w:rsid w:val="00B450FC"/>
    <w:rsid w:val="00B465B3"/>
    <w:rsid w:val="00B50F8D"/>
    <w:rsid w:val="00B5626E"/>
    <w:rsid w:val="00B5628B"/>
    <w:rsid w:val="00B56393"/>
    <w:rsid w:val="00B619C6"/>
    <w:rsid w:val="00B61DAA"/>
    <w:rsid w:val="00B62376"/>
    <w:rsid w:val="00B670C5"/>
    <w:rsid w:val="00B75058"/>
    <w:rsid w:val="00B752BA"/>
    <w:rsid w:val="00B7765A"/>
    <w:rsid w:val="00B80106"/>
    <w:rsid w:val="00B8475C"/>
    <w:rsid w:val="00B8643A"/>
    <w:rsid w:val="00B91FB5"/>
    <w:rsid w:val="00B92D92"/>
    <w:rsid w:val="00B95A6A"/>
    <w:rsid w:val="00B95CC1"/>
    <w:rsid w:val="00B96A5A"/>
    <w:rsid w:val="00BA0B61"/>
    <w:rsid w:val="00BA1753"/>
    <w:rsid w:val="00BA1AD0"/>
    <w:rsid w:val="00BA21A7"/>
    <w:rsid w:val="00BA39D5"/>
    <w:rsid w:val="00BB1853"/>
    <w:rsid w:val="00BB2B4F"/>
    <w:rsid w:val="00BB35DF"/>
    <w:rsid w:val="00BB5C25"/>
    <w:rsid w:val="00BB5C39"/>
    <w:rsid w:val="00BB5EB2"/>
    <w:rsid w:val="00BC091C"/>
    <w:rsid w:val="00BC0B00"/>
    <w:rsid w:val="00BC0D74"/>
    <w:rsid w:val="00BC3761"/>
    <w:rsid w:val="00BC5699"/>
    <w:rsid w:val="00BD15E7"/>
    <w:rsid w:val="00BD4C75"/>
    <w:rsid w:val="00BD5A64"/>
    <w:rsid w:val="00BD6583"/>
    <w:rsid w:val="00BE3425"/>
    <w:rsid w:val="00BE4401"/>
    <w:rsid w:val="00BE55AC"/>
    <w:rsid w:val="00BE5811"/>
    <w:rsid w:val="00BE6A6B"/>
    <w:rsid w:val="00BE7F73"/>
    <w:rsid w:val="00BF24BC"/>
    <w:rsid w:val="00BF35D4"/>
    <w:rsid w:val="00BF6247"/>
    <w:rsid w:val="00BF6968"/>
    <w:rsid w:val="00C0256A"/>
    <w:rsid w:val="00C02B7A"/>
    <w:rsid w:val="00C119D7"/>
    <w:rsid w:val="00C15459"/>
    <w:rsid w:val="00C160F7"/>
    <w:rsid w:val="00C21F78"/>
    <w:rsid w:val="00C24FDE"/>
    <w:rsid w:val="00C2633E"/>
    <w:rsid w:val="00C26EB9"/>
    <w:rsid w:val="00C3031C"/>
    <w:rsid w:val="00C3207E"/>
    <w:rsid w:val="00C32B90"/>
    <w:rsid w:val="00C346CE"/>
    <w:rsid w:val="00C35010"/>
    <w:rsid w:val="00C352EC"/>
    <w:rsid w:val="00C373B7"/>
    <w:rsid w:val="00C37E6B"/>
    <w:rsid w:val="00C40284"/>
    <w:rsid w:val="00C41D44"/>
    <w:rsid w:val="00C462E4"/>
    <w:rsid w:val="00C4687B"/>
    <w:rsid w:val="00C46922"/>
    <w:rsid w:val="00C47DC4"/>
    <w:rsid w:val="00C5048B"/>
    <w:rsid w:val="00C563A0"/>
    <w:rsid w:val="00C57FFC"/>
    <w:rsid w:val="00C646AF"/>
    <w:rsid w:val="00C700BC"/>
    <w:rsid w:val="00C727F6"/>
    <w:rsid w:val="00C73831"/>
    <w:rsid w:val="00C747D5"/>
    <w:rsid w:val="00C7541B"/>
    <w:rsid w:val="00C80151"/>
    <w:rsid w:val="00C80805"/>
    <w:rsid w:val="00C80C04"/>
    <w:rsid w:val="00C82C0D"/>
    <w:rsid w:val="00C91036"/>
    <w:rsid w:val="00C9193B"/>
    <w:rsid w:val="00C91BB1"/>
    <w:rsid w:val="00C93099"/>
    <w:rsid w:val="00C97F14"/>
    <w:rsid w:val="00CA0FEF"/>
    <w:rsid w:val="00CA210C"/>
    <w:rsid w:val="00CA3EC2"/>
    <w:rsid w:val="00CA6B55"/>
    <w:rsid w:val="00CA770E"/>
    <w:rsid w:val="00CB1CD4"/>
    <w:rsid w:val="00CB326A"/>
    <w:rsid w:val="00CB3661"/>
    <w:rsid w:val="00CB595B"/>
    <w:rsid w:val="00CB7092"/>
    <w:rsid w:val="00CB7771"/>
    <w:rsid w:val="00CB7C28"/>
    <w:rsid w:val="00CC0BE2"/>
    <w:rsid w:val="00CC329E"/>
    <w:rsid w:val="00CC3609"/>
    <w:rsid w:val="00CC3DC1"/>
    <w:rsid w:val="00CD3BF0"/>
    <w:rsid w:val="00CD3DAC"/>
    <w:rsid w:val="00CD4989"/>
    <w:rsid w:val="00CD6047"/>
    <w:rsid w:val="00CD7AFE"/>
    <w:rsid w:val="00CE3A32"/>
    <w:rsid w:val="00CE3C1D"/>
    <w:rsid w:val="00CE46D3"/>
    <w:rsid w:val="00CE4B79"/>
    <w:rsid w:val="00CF27AB"/>
    <w:rsid w:val="00CF2D37"/>
    <w:rsid w:val="00CF3837"/>
    <w:rsid w:val="00CF3C53"/>
    <w:rsid w:val="00CF5281"/>
    <w:rsid w:val="00CF5D30"/>
    <w:rsid w:val="00CF6DFD"/>
    <w:rsid w:val="00D02FA5"/>
    <w:rsid w:val="00D0365C"/>
    <w:rsid w:val="00D0395E"/>
    <w:rsid w:val="00D03A4B"/>
    <w:rsid w:val="00D0496A"/>
    <w:rsid w:val="00D07C4E"/>
    <w:rsid w:val="00D106D6"/>
    <w:rsid w:val="00D14D28"/>
    <w:rsid w:val="00D20A0A"/>
    <w:rsid w:val="00D24015"/>
    <w:rsid w:val="00D250D6"/>
    <w:rsid w:val="00D3173A"/>
    <w:rsid w:val="00D34A87"/>
    <w:rsid w:val="00D413E4"/>
    <w:rsid w:val="00D441A6"/>
    <w:rsid w:val="00D4459A"/>
    <w:rsid w:val="00D45D39"/>
    <w:rsid w:val="00D50997"/>
    <w:rsid w:val="00D52A98"/>
    <w:rsid w:val="00D6004C"/>
    <w:rsid w:val="00D6106F"/>
    <w:rsid w:val="00D61E25"/>
    <w:rsid w:val="00D62425"/>
    <w:rsid w:val="00D629DE"/>
    <w:rsid w:val="00D6400C"/>
    <w:rsid w:val="00D640ED"/>
    <w:rsid w:val="00D64BB0"/>
    <w:rsid w:val="00D64D39"/>
    <w:rsid w:val="00D7218F"/>
    <w:rsid w:val="00D73F55"/>
    <w:rsid w:val="00D7500E"/>
    <w:rsid w:val="00D75EC3"/>
    <w:rsid w:val="00D76F8A"/>
    <w:rsid w:val="00D807F7"/>
    <w:rsid w:val="00D80D1D"/>
    <w:rsid w:val="00D83CBC"/>
    <w:rsid w:val="00D909D4"/>
    <w:rsid w:val="00D911A8"/>
    <w:rsid w:val="00D92BAA"/>
    <w:rsid w:val="00D92F21"/>
    <w:rsid w:val="00D968DA"/>
    <w:rsid w:val="00D96F04"/>
    <w:rsid w:val="00DA0266"/>
    <w:rsid w:val="00DA0CF8"/>
    <w:rsid w:val="00DA2CA8"/>
    <w:rsid w:val="00DA2E65"/>
    <w:rsid w:val="00DA4287"/>
    <w:rsid w:val="00DA53DC"/>
    <w:rsid w:val="00DA5B99"/>
    <w:rsid w:val="00DA7DA2"/>
    <w:rsid w:val="00DA7F5F"/>
    <w:rsid w:val="00DB3B45"/>
    <w:rsid w:val="00DB4511"/>
    <w:rsid w:val="00DC0F91"/>
    <w:rsid w:val="00DC1D2C"/>
    <w:rsid w:val="00DC1FB5"/>
    <w:rsid w:val="00DC26E2"/>
    <w:rsid w:val="00DC33B9"/>
    <w:rsid w:val="00DD31DD"/>
    <w:rsid w:val="00DD4E85"/>
    <w:rsid w:val="00DD6418"/>
    <w:rsid w:val="00DE1B30"/>
    <w:rsid w:val="00DE2002"/>
    <w:rsid w:val="00DE35FC"/>
    <w:rsid w:val="00DE72B5"/>
    <w:rsid w:val="00DF48D0"/>
    <w:rsid w:val="00DF5017"/>
    <w:rsid w:val="00DF55C6"/>
    <w:rsid w:val="00DF6031"/>
    <w:rsid w:val="00E002FC"/>
    <w:rsid w:val="00E00FBD"/>
    <w:rsid w:val="00E0269B"/>
    <w:rsid w:val="00E029DD"/>
    <w:rsid w:val="00E04E24"/>
    <w:rsid w:val="00E05F56"/>
    <w:rsid w:val="00E06A0C"/>
    <w:rsid w:val="00E06F9C"/>
    <w:rsid w:val="00E10C60"/>
    <w:rsid w:val="00E173EC"/>
    <w:rsid w:val="00E17726"/>
    <w:rsid w:val="00E177DC"/>
    <w:rsid w:val="00E201B1"/>
    <w:rsid w:val="00E21093"/>
    <w:rsid w:val="00E21C6F"/>
    <w:rsid w:val="00E26C4E"/>
    <w:rsid w:val="00E324CF"/>
    <w:rsid w:val="00E350F8"/>
    <w:rsid w:val="00E36823"/>
    <w:rsid w:val="00E40AB2"/>
    <w:rsid w:val="00E41273"/>
    <w:rsid w:val="00E432BB"/>
    <w:rsid w:val="00E433EC"/>
    <w:rsid w:val="00E469B6"/>
    <w:rsid w:val="00E46CF7"/>
    <w:rsid w:val="00E46DF5"/>
    <w:rsid w:val="00E47796"/>
    <w:rsid w:val="00E53924"/>
    <w:rsid w:val="00E54185"/>
    <w:rsid w:val="00E55E0B"/>
    <w:rsid w:val="00E56886"/>
    <w:rsid w:val="00E64DB0"/>
    <w:rsid w:val="00E6704E"/>
    <w:rsid w:val="00E72387"/>
    <w:rsid w:val="00E7460E"/>
    <w:rsid w:val="00E74D15"/>
    <w:rsid w:val="00E756A5"/>
    <w:rsid w:val="00E75FAC"/>
    <w:rsid w:val="00E7633D"/>
    <w:rsid w:val="00E80DF7"/>
    <w:rsid w:val="00E868ED"/>
    <w:rsid w:val="00E875E8"/>
    <w:rsid w:val="00E922A1"/>
    <w:rsid w:val="00E94A6F"/>
    <w:rsid w:val="00E96491"/>
    <w:rsid w:val="00EA375D"/>
    <w:rsid w:val="00EA37EF"/>
    <w:rsid w:val="00EA4A8B"/>
    <w:rsid w:val="00EA4D38"/>
    <w:rsid w:val="00EA4FE4"/>
    <w:rsid w:val="00EB306E"/>
    <w:rsid w:val="00EB6948"/>
    <w:rsid w:val="00EB7123"/>
    <w:rsid w:val="00EB7635"/>
    <w:rsid w:val="00EC1ACF"/>
    <w:rsid w:val="00EC3FBF"/>
    <w:rsid w:val="00EC5752"/>
    <w:rsid w:val="00ED0521"/>
    <w:rsid w:val="00ED18D1"/>
    <w:rsid w:val="00ED2376"/>
    <w:rsid w:val="00ED44E2"/>
    <w:rsid w:val="00ED7A3F"/>
    <w:rsid w:val="00ED7DED"/>
    <w:rsid w:val="00EE363C"/>
    <w:rsid w:val="00EE6E87"/>
    <w:rsid w:val="00EE775D"/>
    <w:rsid w:val="00EF0A7F"/>
    <w:rsid w:val="00EF0A8B"/>
    <w:rsid w:val="00EF14DB"/>
    <w:rsid w:val="00EF20D0"/>
    <w:rsid w:val="00EF471C"/>
    <w:rsid w:val="00EF5256"/>
    <w:rsid w:val="00EF62D5"/>
    <w:rsid w:val="00F00393"/>
    <w:rsid w:val="00F003CF"/>
    <w:rsid w:val="00F026AD"/>
    <w:rsid w:val="00F03729"/>
    <w:rsid w:val="00F12B2A"/>
    <w:rsid w:val="00F1416C"/>
    <w:rsid w:val="00F22358"/>
    <w:rsid w:val="00F2277A"/>
    <w:rsid w:val="00F25AEF"/>
    <w:rsid w:val="00F27EB2"/>
    <w:rsid w:val="00F30003"/>
    <w:rsid w:val="00F3059D"/>
    <w:rsid w:val="00F3233C"/>
    <w:rsid w:val="00F324B5"/>
    <w:rsid w:val="00F33E66"/>
    <w:rsid w:val="00F37B1F"/>
    <w:rsid w:val="00F403F8"/>
    <w:rsid w:val="00F41C53"/>
    <w:rsid w:val="00F440A7"/>
    <w:rsid w:val="00F51FDE"/>
    <w:rsid w:val="00F52D4B"/>
    <w:rsid w:val="00F5741E"/>
    <w:rsid w:val="00F57FF0"/>
    <w:rsid w:val="00F60AC6"/>
    <w:rsid w:val="00F6112C"/>
    <w:rsid w:val="00F64D17"/>
    <w:rsid w:val="00F65C88"/>
    <w:rsid w:val="00F70DC5"/>
    <w:rsid w:val="00F719AF"/>
    <w:rsid w:val="00F73630"/>
    <w:rsid w:val="00F7441B"/>
    <w:rsid w:val="00F75081"/>
    <w:rsid w:val="00F754A4"/>
    <w:rsid w:val="00F75DF6"/>
    <w:rsid w:val="00F763B6"/>
    <w:rsid w:val="00F76FD6"/>
    <w:rsid w:val="00F7754B"/>
    <w:rsid w:val="00F837D2"/>
    <w:rsid w:val="00F83908"/>
    <w:rsid w:val="00F84AAA"/>
    <w:rsid w:val="00F87245"/>
    <w:rsid w:val="00F904A8"/>
    <w:rsid w:val="00F94C01"/>
    <w:rsid w:val="00F952A6"/>
    <w:rsid w:val="00F962A1"/>
    <w:rsid w:val="00F96B38"/>
    <w:rsid w:val="00F97AC0"/>
    <w:rsid w:val="00FA12B5"/>
    <w:rsid w:val="00FA4843"/>
    <w:rsid w:val="00FB1C01"/>
    <w:rsid w:val="00FB3424"/>
    <w:rsid w:val="00FB3BE4"/>
    <w:rsid w:val="00FB5EE7"/>
    <w:rsid w:val="00FC2705"/>
    <w:rsid w:val="00FC28F2"/>
    <w:rsid w:val="00FC57C9"/>
    <w:rsid w:val="00FC72AA"/>
    <w:rsid w:val="00FD212A"/>
    <w:rsid w:val="00FD36B8"/>
    <w:rsid w:val="00FE0928"/>
    <w:rsid w:val="00FE1D51"/>
    <w:rsid w:val="00FE5074"/>
    <w:rsid w:val="00FE5681"/>
    <w:rsid w:val="00FE5FF9"/>
    <w:rsid w:val="00FE7697"/>
    <w:rsid w:val="00FF0D68"/>
    <w:rsid w:val="00FF17A2"/>
    <w:rsid w:val="00FF3386"/>
    <w:rsid w:val="00FF6A1C"/>
    <w:rsid w:val="00FF6B1F"/>
    <w:rsid w:val="01226120"/>
    <w:rsid w:val="01271818"/>
    <w:rsid w:val="0152786E"/>
    <w:rsid w:val="01635C49"/>
    <w:rsid w:val="01B30539"/>
    <w:rsid w:val="01B57CB1"/>
    <w:rsid w:val="026E7B4E"/>
    <w:rsid w:val="02F2088F"/>
    <w:rsid w:val="033B110D"/>
    <w:rsid w:val="03A2440C"/>
    <w:rsid w:val="03C7439E"/>
    <w:rsid w:val="03CA37D9"/>
    <w:rsid w:val="03D12B67"/>
    <w:rsid w:val="03D8626A"/>
    <w:rsid w:val="04021876"/>
    <w:rsid w:val="0422171C"/>
    <w:rsid w:val="042F5B05"/>
    <w:rsid w:val="0458215C"/>
    <w:rsid w:val="046061CC"/>
    <w:rsid w:val="04745538"/>
    <w:rsid w:val="04C92897"/>
    <w:rsid w:val="04D03646"/>
    <w:rsid w:val="05895CC4"/>
    <w:rsid w:val="05997254"/>
    <w:rsid w:val="05B128D7"/>
    <w:rsid w:val="05E05A96"/>
    <w:rsid w:val="06361DFE"/>
    <w:rsid w:val="064648FC"/>
    <w:rsid w:val="06545602"/>
    <w:rsid w:val="06972A8A"/>
    <w:rsid w:val="06E57C76"/>
    <w:rsid w:val="074366AE"/>
    <w:rsid w:val="07E350C8"/>
    <w:rsid w:val="086668EF"/>
    <w:rsid w:val="090265EC"/>
    <w:rsid w:val="0930032E"/>
    <w:rsid w:val="0A95537F"/>
    <w:rsid w:val="0A9F3990"/>
    <w:rsid w:val="0B114FD4"/>
    <w:rsid w:val="0B571202"/>
    <w:rsid w:val="0B6C1E53"/>
    <w:rsid w:val="0BD9116B"/>
    <w:rsid w:val="0BE9290A"/>
    <w:rsid w:val="0C683626"/>
    <w:rsid w:val="0C7A5796"/>
    <w:rsid w:val="0C8C5AFB"/>
    <w:rsid w:val="0C963EF8"/>
    <w:rsid w:val="0D0826AD"/>
    <w:rsid w:val="0D103128"/>
    <w:rsid w:val="0D2D2AAA"/>
    <w:rsid w:val="0D30053E"/>
    <w:rsid w:val="0D8C04F1"/>
    <w:rsid w:val="0DBA4B4D"/>
    <w:rsid w:val="0E1101F2"/>
    <w:rsid w:val="0E26072A"/>
    <w:rsid w:val="103D3F25"/>
    <w:rsid w:val="10A81246"/>
    <w:rsid w:val="119416B6"/>
    <w:rsid w:val="11D25F32"/>
    <w:rsid w:val="12125943"/>
    <w:rsid w:val="124011D5"/>
    <w:rsid w:val="12433B36"/>
    <w:rsid w:val="126569F8"/>
    <w:rsid w:val="128D50B0"/>
    <w:rsid w:val="12A92B51"/>
    <w:rsid w:val="12B83BF7"/>
    <w:rsid w:val="12C5437D"/>
    <w:rsid w:val="12C72DE6"/>
    <w:rsid w:val="133F20B0"/>
    <w:rsid w:val="134560F5"/>
    <w:rsid w:val="135E2740"/>
    <w:rsid w:val="13824BF1"/>
    <w:rsid w:val="13F62B27"/>
    <w:rsid w:val="143642E1"/>
    <w:rsid w:val="143A26AB"/>
    <w:rsid w:val="1490506D"/>
    <w:rsid w:val="14B65F60"/>
    <w:rsid w:val="14E57140"/>
    <w:rsid w:val="15224B0B"/>
    <w:rsid w:val="1533640A"/>
    <w:rsid w:val="153F50D3"/>
    <w:rsid w:val="15461F78"/>
    <w:rsid w:val="16035FDF"/>
    <w:rsid w:val="168C5D0E"/>
    <w:rsid w:val="168F6A22"/>
    <w:rsid w:val="16946343"/>
    <w:rsid w:val="16B543D5"/>
    <w:rsid w:val="16BD3F10"/>
    <w:rsid w:val="17053961"/>
    <w:rsid w:val="171559AB"/>
    <w:rsid w:val="17593E68"/>
    <w:rsid w:val="17AC0656"/>
    <w:rsid w:val="17AF6D1D"/>
    <w:rsid w:val="17B113BF"/>
    <w:rsid w:val="17B12E8E"/>
    <w:rsid w:val="17F06029"/>
    <w:rsid w:val="18354E04"/>
    <w:rsid w:val="186971E7"/>
    <w:rsid w:val="19017392"/>
    <w:rsid w:val="191E736D"/>
    <w:rsid w:val="195049B4"/>
    <w:rsid w:val="195A108F"/>
    <w:rsid w:val="19B97B07"/>
    <w:rsid w:val="19DB3BBC"/>
    <w:rsid w:val="1A5F4E7E"/>
    <w:rsid w:val="1A727457"/>
    <w:rsid w:val="1AA466A3"/>
    <w:rsid w:val="1AFE67D6"/>
    <w:rsid w:val="1B395F40"/>
    <w:rsid w:val="1B472C35"/>
    <w:rsid w:val="1B6E5458"/>
    <w:rsid w:val="1B846E73"/>
    <w:rsid w:val="1BA31ED5"/>
    <w:rsid w:val="1BE23ADA"/>
    <w:rsid w:val="1C1F18E8"/>
    <w:rsid w:val="1C516EF6"/>
    <w:rsid w:val="1C5273D7"/>
    <w:rsid w:val="1C994E1A"/>
    <w:rsid w:val="1CD535BE"/>
    <w:rsid w:val="1CD63D8F"/>
    <w:rsid w:val="1CD67589"/>
    <w:rsid w:val="1D032F5A"/>
    <w:rsid w:val="1D9D511D"/>
    <w:rsid w:val="1DB22AE1"/>
    <w:rsid w:val="1E432EC2"/>
    <w:rsid w:val="1E5D0591"/>
    <w:rsid w:val="1F7C3428"/>
    <w:rsid w:val="1F8A649F"/>
    <w:rsid w:val="1F8A6578"/>
    <w:rsid w:val="1F9D4C77"/>
    <w:rsid w:val="201A4806"/>
    <w:rsid w:val="201D02D1"/>
    <w:rsid w:val="20740D69"/>
    <w:rsid w:val="20BF18B6"/>
    <w:rsid w:val="21116B7E"/>
    <w:rsid w:val="211778EC"/>
    <w:rsid w:val="213B0E0C"/>
    <w:rsid w:val="21FB5E4C"/>
    <w:rsid w:val="229C0E4F"/>
    <w:rsid w:val="22F268D4"/>
    <w:rsid w:val="234336EA"/>
    <w:rsid w:val="23FD74A8"/>
    <w:rsid w:val="240E4B90"/>
    <w:rsid w:val="24B1674A"/>
    <w:rsid w:val="24BD3A36"/>
    <w:rsid w:val="2510464C"/>
    <w:rsid w:val="25171622"/>
    <w:rsid w:val="254D3184"/>
    <w:rsid w:val="2585340F"/>
    <w:rsid w:val="26856324"/>
    <w:rsid w:val="269D352E"/>
    <w:rsid w:val="26BC4772"/>
    <w:rsid w:val="26DC5ACA"/>
    <w:rsid w:val="26EA3245"/>
    <w:rsid w:val="26F561C6"/>
    <w:rsid w:val="2764543E"/>
    <w:rsid w:val="27800239"/>
    <w:rsid w:val="27905770"/>
    <w:rsid w:val="27FA3F51"/>
    <w:rsid w:val="28053566"/>
    <w:rsid w:val="28434E9B"/>
    <w:rsid w:val="285D13EC"/>
    <w:rsid w:val="28645324"/>
    <w:rsid w:val="2865694F"/>
    <w:rsid w:val="28897A22"/>
    <w:rsid w:val="28A62BFE"/>
    <w:rsid w:val="28DE5466"/>
    <w:rsid w:val="28F8075F"/>
    <w:rsid w:val="296F4050"/>
    <w:rsid w:val="298C338C"/>
    <w:rsid w:val="29B2140D"/>
    <w:rsid w:val="2A106035"/>
    <w:rsid w:val="2AA82F26"/>
    <w:rsid w:val="2AF53303"/>
    <w:rsid w:val="2B557066"/>
    <w:rsid w:val="2B9841A4"/>
    <w:rsid w:val="2C075BA7"/>
    <w:rsid w:val="2C4A24BC"/>
    <w:rsid w:val="2C8473B7"/>
    <w:rsid w:val="2C952343"/>
    <w:rsid w:val="2D681650"/>
    <w:rsid w:val="2DF92934"/>
    <w:rsid w:val="2E7B5A71"/>
    <w:rsid w:val="2F0A2E12"/>
    <w:rsid w:val="2F374CA2"/>
    <w:rsid w:val="2F454C5F"/>
    <w:rsid w:val="2F6A7667"/>
    <w:rsid w:val="2F7C50D3"/>
    <w:rsid w:val="2F976BF0"/>
    <w:rsid w:val="2FC45829"/>
    <w:rsid w:val="2FCE7794"/>
    <w:rsid w:val="305D4927"/>
    <w:rsid w:val="305F4787"/>
    <w:rsid w:val="306F174F"/>
    <w:rsid w:val="30B63A8B"/>
    <w:rsid w:val="30EB79CF"/>
    <w:rsid w:val="31075DC0"/>
    <w:rsid w:val="31167D3E"/>
    <w:rsid w:val="313578DA"/>
    <w:rsid w:val="31A84FF6"/>
    <w:rsid w:val="32DE1DC2"/>
    <w:rsid w:val="32F470C1"/>
    <w:rsid w:val="333402A1"/>
    <w:rsid w:val="33814D5C"/>
    <w:rsid w:val="3382133D"/>
    <w:rsid w:val="339F03AA"/>
    <w:rsid w:val="33B63632"/>
    <w:rsid w:val="33FD7F0B"/>
    <w:rsid w:val="347D08A1"/>
    <w:rsid w:val="34A45A1D"/>
    <w:rsid w:val="34BA5572"/>
    <w:rsid w:val="34D3082A"/>
    <w:rsid w:val="34DE0A0E"/>
    <w:rsid w:val="352C27DA"/>
    <w:rsid w:val="3542119D"/>
    <w:rsid w:val="357D4B7F"/>
    <w:rsid w:val="35E6294C"/>
    <w:rsid w:val="35F918D5"/>
    <w:rsid w:val="362B7879"/>
    <w:rsid w:val="3644480A"/>
    <w:rsid w:val="36802A1D"/>
    <w:rsid w:val="36961941"/>
    <w:rsid w:val="36FB4B27"/>
    <w:rsid w:val="36FE3AF0"/>
    <w:rsid w:val="37123AEF"/>
    <w:rsid w:val="37AF4DE3"/>
    <w:rsid w:val="386A6C8B"/>
    <w:rsid w:val="38D743AC"/>
    <w:rsid w:val="38DB5B90"/>
    <w:rsid w:val="38E761C8"/>
    <w:rsid w:val="3964194F"/>
    <w:rsid w:val="3968645D"/>
    <w:rsid w:val="39827EF6"/>
    <w:rsid w:val="399732A4"/>
    <w:rsid w:val="39CF1A96"/>
    <w:rsid w:val="39D47467"/>
    <w:rsid w:val="39E134DF"/>
    <w:rsid w:val="3A43465E"/>
    <w:rsid w:val="3A474D97"/>
    <w:rsid w:val="3AAA2007"/>
    <w:rsid w:val="3B35353A"/>
    <w:rsid w:val="3BC634D1"/>
    <w:rsid w:val="3BDD014F"/>
    <w:rsid w:val="3BEA3B49"/>
    <w:rsid w:val="3CD8070C"/>
    <w:rsid w:val="3CF60FC7"/>
    <w:rsid w:val="3D1A3E3C"/>
    <w:rsid w:val="3DB83060"/>
    <w:rsid w:val="3DF040EA"/>
    <w:rsid w:val="3E2D40E6"/>
    <w:rsid w:val="3E395B9D"/>
    <w:rsid w:val="3E4A2E6D"/>
    <w:rsid w:val="3E572320"/>
    <w:rsid w:val="3EA719E9"/>
    <w:rsid w:val="3EB85B25"/>
    <w:rsid w:val="3F29723C"/>
    <w:rsid w:val="3FA37FE6"/>
    <w:rsid w:val="3FA44C23"/>
    <w:rsid w:val="3FEF4CAF"/>
    <w:rsid w:val="4003377A"/>
    <w:rsid w:val="40504003"/>
    <w:rsid w:val="40C13983"/>
    <w:rsid w:val="413D64F4"/>
    <w:rsid w:val="415112F9"/>
    <w:rsid w:val="415856A1"/>
    <w:rsid w:val="41855F22"/>
    <w:rsid w:val="41A97DAE"/>
    <w:rsid w:val="41DF1E21"/>
    <w:rsid w:val="420D409B"/>
    <w:rsid w:val="42216349"/>
    <w:rsid w:val="42333F9B"/>
    <w:rsid w:val="426D5939"/>
    <w:rsid w:val="429F4C54"/>
    <w:rsid w:val="430A4537"/>
    <w:rsid w:val="430C142F"/>
    <w:rsid w:val="432D459C"/>
    <w:rsid w:val="43576AE6"/>
    <w:rsid w:val="444255B6"/>
    <w:rsid w:val="444A3AAA"/>
    <w:rsid w:val="44D71A86"/>
    <w:rsid w:val="44F7381B"/>
    <w:rsid w:val="452E53D5"/>
    <w:rsid w:val="4557336D"/>
    <w:rsid w:val="45716DC1"/>
    <w:rsid w:val="457B1381"/>
    <w:rsid w:val="45F26761"/>
    <w:rsid w:val="461F2696"/>
    <w:rsid w:val="462B0F4C"/>
    <w:rsid w:val="463B2A78"/>
    <w:rsid w:val="464E08AF"/>
    <w:rsid w:val="469541B3"/>
    <w:rsid w:val="46A42F48"/>
    <w:rsid w:val="46EF35FC"/>
    <w:rsid w:val="4727150D"/>
    <w:rsid w:val="47C22447"/>
    <w:rsid w:val="48426A8C"/>
    <w:rsid w:val="486E1F78"/>
    <w:rsid w:val="488F68C6"/>
    <w:rsid w:val="48D679D5"/>
    <w:rsid w:val="48E6768F"/>
    <w:rsid w:val="491924BE"/>
    <w:rsid w:val="49A11775"/>
    <w:rsid w:val="49D34022"/>
    <w:rsid w:val="49DC11DB"/>
    <w:rsid w:val="4A190351"/>
    <w:rsid w:val="4A33475A"/>
    <w:rsid w:val="4A6034BA"/>
    <w:rsid w:val="4A7C09CE"/>
    <w:rsid w:val="4AC961D0"/>
    <w:rsid w:val="4B6A728E"/>
    <w:rsid w:val="4BD97452"/>
    <w:rsid w:val="4BDB3053"/>
    <w:rsid w:val="4C860B9A"/>
    <w:rsid w:val="4D3612B0"/>
    <w:rsid w:val="4D3B76F1"/>
    <w:rsid w:val="4D5821D2"/>
    <w:rsid w:val="4D7D0F3B"/>
    <w:rsid w:val="4DD576A3"/>
    <w:rsid w:val="4E64541E"/>
    <w:rsid w:val="4ED513E2"/>
    <w:rsid w:val="4F113151"/>
    <w:rsid w:val="4F8017A3"/>
    <w:rsid w:val="50AC6853"/>
    <w:rsid w:val="50D436DD"/>
    <w:rsid w:val="50DB6976"/>
    <w:rsid w:val="51357B34"/>
    <w:rsid w:val="518E129D"/>
    <w:rsid w:val="51D610EC"/>
    <w:rsid w:val="51ED7562"/>
    <w:rsid w:val="523336AF"/>
    <w:rsid w:val="529143BB"/>
    <w:rsid w:val="53330324"/>
    <w:rsid w:val="53512087"/>
    <w:rsid w:val="53A06B84"/>
    <w:rsid w:val="53B37E4E"/>
    <w:rsid w:val="5459619A"/>
    <w:rsid w:val="547D5970"/>
    <w:rsid w:val="54B679FB"/>
    <w:rsid w:val="54C05B91"/>
    <w:rsid w:val="54E03BC2"/>
    <w:rsid w:val="550255FC"/>
    <w:rsid w:val="551641B4"/>
    <w:rsid w:val="551A6761"/>
    <w:rsid w:val="558E52D9"/>
    <w:rsid w:val="55C12303"/>
    <w:rsid w:val="55CC7CC7"/>
    <w:rsid w:val="55CD4D71"/>
    <w:rsid w:val="561B2DB9"/>
    <w:rsid w:val="561D7C04"/>
    <w:rsid w:val="562A1095"/>
    <w:rsid w:val="56673C3A"/>
    <w:rsid w:val="56C9124D"/>
    <w:rsid w:val="56FE6795"/>
    <w:rsid w:val="57236962"/>
    <w:rsid w:val="57E82350"/>
    <w:rsid w:val="58717806"/>
    <w:rsid w:val="589670DF"/>
    <w:rsid w:val="58D13E1D"/>
    <w:rsid w:val="58E05682"/>
    <w:rsid w:val="58E92FFA"/>
    <w:rsid w:val="58EB7E6A"/>
    <w:rsid w:val="59350CC9"/>
    <w:rsid w:val="597C2D1D"/>
    <w:rsid w:val="5997199A"/>
    <w:rsid w:val="5A0459C7"/>
    <w:rsid w:val="5A2E5F69"/>
    <w:rsid w:val="5AE433F9"/>
    <w:rsid w:val="5BA07082"/>
    <w:rsid w:val="5BBB770C"/>
    <w:rsid w:val="5BEF509F"/>
    <w:rsid w:val="5C244F48"/>
    <w:rsid w:val="5C366F18"/>
    <w:rsid w:val="5C506A6E"/>
    <w:rsid w:val="5C56110F"/>
    <w:rsid w:val="5CB249CD"/>
    <w:rsid w:val="5D075F37"/>
    <w:rsid w:val="5DB958C0"/>
    <w:rsid w:val="5DF348DD"/>
    <w:rsid w:val="5DFA7F3B"/>
    <w:rsid w:val="5EBC7BB2"/>
    <w:rsid w:val="5ECC1C80"/>
    <w:rsid w:val="5F106BEE"/>
    <w:rsid w:val="5FA328D4"/>
    <w:rsid w:val="5FEB663D"/>
    <w:rsid w:val="600307B6"/>
    <w:rsid w:val="6027664C"/>
    <w:rsid w:val="608D377A"/>
    <w:rsid w:val="6097121E"/>
    <w:rsid w:val="60B76F59"/>
    <w:rsid w:val="60CA5AC7"/>
    <w:rsid w:val="60E53495"/>
    <w:rsid w:val="61024826"/>
    <w:rsid w:val="613E2DDF"/>
    <w:rsid w:val="61691A64"/>
    <w:rsid w:val="61B04307"/>
    <w:rsid w:val="62101856"/>
    <w:rsid w:val="625C530B"/>
    <w:rsid w:val="62640718"/>
    <w:rsid w:val="62886ABB"/>
    <w:rsid w:val="634D1FCC"/>
    <w:rsid w:val="637C7219"/>
    <w:rsid w:val="63DE20A3"/>
    <w:rsid w:val="645C53F8"/>
    <w:rsid w:val="64782C4C"/>
    <w:rsid w:val="65844AA8"/>
    <w:rsid w:val="65A45545"/>
    <w:rsid w:val="66017CD6"/>
    <w:rsid w:val="661F2C0A"/>
    <w:rsid w:val="662D15EB"/>
    <w:rsid w:val="665C07DE"/>
    <w:rsid w:val="6682330D"/>
    <w:rsid w:val="669E504F"/>
    <w:rsid w:val="66A87C06"/>
    <w:rsid w:val="66BE67E3"/>
    <w:rsid w:val="67015C25"/>
    <w:rsid w:val="67CA40EA"/>
    <w:rsid w:val="67FD1A54"/>
    <w:rsid w:val="69284D52"/>
    <w:rsid w:val="694E068C"/>
    <w:rsid w:val="6A6E6425"/>
    <w:rsid w:val="6A805D17"/>
    <w:rsid w:val="6A82333B"/>
    <w:rsid w:val="6BF41EAC"/>
    <w:rsid w:val="6C65783C"/>
    <w:rsid w:val="6C8625D8"/>
    <w:rsid w:val="6CDF423C"/>
    <w:rsid w:val="6D206400"/>
    <w:rsid w:val="6D2755C8"/>
    <w:rsid w:val="6D2F1B04"/>
    <w:rsid w:val="6D3962FB"/>
    <w:rsid w:val="6DCE7F8A"/>
    <w:rsid w:val="6E0858C1"/>
    <w:rsid w:val="6E73509D"/>
    <w:rsid w:val="6EA2087C"/>
    <w:rsid w:val="6ED018F2"/>
    <w:rsid w:val="6F453364"/>
    <w:rsid w:val="6FFC043E"/>
    <w:rsid w:val="701E5182"/>
    <w:rsid w:val="70375EEC"/>
    <w:rsid w:val="703F503F"/>
    <w:rsid w:val="705E5F23"/>
    <w:rsid w:val="70693F83"/>
    <w:rsid w:val="70817048"/>
    <w:rsid w:val="70A62EBA"/>
    <w:rsid w:val="70AD6927"/>
    <w:rsid w:val="70F3689E"/>
    <w:rsid w:val="712C4A7F"/>
    <w:rsid w:val="720940B7"/>
    <w:rsid w:val="739C44DF"/>
    <w:rsid w:val="743B67F5"/>
    <w:rsid w:val="74CC4B6F"/>
    <w:rsid w:val="752244C4"/>
    <w:rsid w:val="75A14A43"/>
    <w:rsid w:val="75C35A3D"/>
    <w:rsid w:val="75CF3EA3"/>
    <w:rsid w:val="760514FB"/>
    <w:rsid w:val="7638672F"/>
    <w:rsid w:val="77005D4D"/>
    <w:rsid w:val="771713B1"/>
    <w:rsid w:val="77802AF4"/>
    <w:rsid w:val="77F00530"/>
    <w:rsid w:val="77F77867"/>
    <w:rsid w:val="788E0BA6"/>
    <w:rsid w:val="78C71B26"/>
    <w:rsid w:val="78F23F65"/>
    <w:rsid w:val="7926030E"/>
    <w:rsid w:val="79BC5EA6"/>
    <w:rsid w:val="79D7229C"/>
    <w:rsid w:val="7A5144A5"/>
    <w:rsid w:val="7AD97FC2"/>
    <w:rsid w:val="7B0B0739"/>
    <w:rsid w:val="7B2353F6"/>
    <w:rsid w:val="7B661412"/>
    <w:rsid w:val="7B9E6B59"/>
    <w:rsid w:val="7BFE4505"/>
    <w:rsid w:val="7C807CF6"/>
    <w:rsid w:val="7CBA79A4"/>
    <w:rsid w:val="7D0F4C89"/>
    <w:rsid w:val="7D3210C8"/>
    <w:rsid w:val="7D385A74"/>
    <w:rsid w:val="7E03067F"/>
    <w:rsid w:val="7F2E195D"/>
    <w:rsid w:val="7FC7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360" w:lineRule="auto"/>
      <w:outlineLvl w:val="0"/>
    </w:pPr>
    <w:rPr>
      <w:b/>
      <w:kern w:val="44"/>
      <w:sz w:val="32"/>
    </w:rPr>
  </w:style>
  <w:style w:type="paragraph" w:styleId="2">
    <w:name w:val="heading 2"/>
    <w:basedOn w:val="1"/>
    <w:next w:val="1"/>
    <w:qFormat/>
    <w:uiPriority w:val="0"/>
    <w:pPr>
      <w:keepNext/>
      <w:keepLines/>
      <w:spacing w:before="260" w:after="260" w:line="416" w:lineRule="auto"/>
      <w:jc w:val="left"/>
      <w:outlineLvl w:val="1"/>
    </w:pPr>
    <w:rPr>
      <w:rFonts w:ascii="Cambria" w:hAnsi="Cambria"/>
      <w:b/>
      <w:sz w:val="32"/>
    </w:rPr>
  </w:style>
  <w:style w:type="paragraph" w:styleId="4">
    <w:name w:val="heading 3"/>
    <w:basedOn w:val="1"/>
    <w:next w:val="1"/>
    <w:qFormat/>
    <w:uiPriority w:val="0"/>
    <w:pPr>
      <w:keepNext/>
      <w:keepLines/>
      <w:spacing w:line="360" w:lineRule="auto"/>
      <w:outlineLvl w:val="2"/>
    </w:pPr>
    <w:rPr>
      <w:b/>
      <w:sz w:val="24"/>
    </w:rPr>
  </w:style>
  <w:style w:type="paragraph" w:styleId="5">
    <w:name w:val="heading 4"/>
    <w:basedOn w:val="1"/>
    <w:next w:val="1"/>
    <w:link w:val="43"/>
    <w:qFormat/>
    <w:uiPriority w:val="0"/>
    <w:pPr>
      <w:keepNext/>
      <w:keepLines/>
      <w:spacing w:before="280" w:after="290" w:line="376" w:lineRule="auto"/>
      <w:outlineLvl w:val="3"/>
    </w:pPr>
    <w:rPr>
      <w:rFonts w:hint="default" w:ascii="Cambria" w:hAnsi="Cambria"/>
      <w:b/>
      <w:bCs/>
      <w:sz w:val="28"/>
      <w:szCs w:val="28"/>
      <w:lang w:val="zh-CN" w:eastAsia="zh-CN"/>
    </w:rPr>
  </w:style>
  <w:style w:type="paragraph" w:styleId="6">
    <w:name w:val="heading 5"/>
    <w:basedOn w:val="1"/>
    <w:next w:val="7"/>
    <w:link w:val="44"/>
    <w:qFormat/>
    <w:uiPriority w:val="9"/>
    <w:pPr>
      <w:keepNext/>
      <w:keepLines/>
      <w:autoSpaceDE w:val="0"/>
      <w:autoSpaceDN w:val="0"/>
      <w:adjustRightInd w:val="0"/>
      <w:spacing w:before="100" w:beforeLines="50" w:beforeAutospacing="1" w:after="100" w:afterAutospacing="1" w:line="360" w:lineRule="auto"/>
      <w:jc w:val="left"/>
      <w:outlineLvl w:val="4"/>
    </w:pPr>
    <w:rPr>
      <w:rFonts w:hint="default" w:eastAsia="仿宋"/>
      <w:bCs/>
      <w:kern w:val="0"/>
      <w:sz w:val="24"/>
      <w:szCs w:val="28"/>
      <w:lang w:val="zh-CN" w:eastAsia="zh-CN"/>
    </w:rPr>
  </w:style>
  <w:style w:type="paragraph" w:styleId="8">
    <w:name w:val="heading 6"/>
    <w:basedOn w:val="1"/>
    <w:next w:val="1"/>
    <w:link w:val="50"/>
    <w:qFormat/>
    <w:uiPriority w:val="0"/>
    <w:pPr>
      <w:keepNext/>
      <w:keepLines/>
      <w:autoSpaceDE w:val="0"/>
      <w:autoSpaceDN w:val="0"/>
      <w:adjustRightInd w:val="0"/>
      <w:spacing w:before="240" w:beforeLines="50" w:after="64" w:line="320" w:lineRule="atLeast"/>
      <w:jc w:val="left"/>
      <w:outlineLvl w:val="5"/>
    </w:pPr>
    <w:rPr>
      <w:rFonts w:hint="default" w:ascii="Arial" w:hAnsi="Arial" w:eastAsia="仿宋"/>
      <w:b/>
      <w:bCs/>
      <w:kern w:val="0"/>
      <w:sz w:val="20"/>
      <w:szCs w:val="24"/>
      <w:lang w:val="zh-CN" w:eastAsia="zh-CN"/>
    </w:rPr>
  </w:style>
  <w:style w:type="paragraph" w:styleId="9">
    <w:name w:val="heading 7"/>
    <w:basedOn w:val="1"/>
    <w:next w:val="1"/>
    <w:link w:val="54"/>
    <w:qFormat/>
    <w:uiPriority w:val="0"/>
    <w:pPr>
      <w:keepNext/>
      <w:keepLines/>
      <w:autoSpaceDE w:val="0"/>
      <w:autoSpaceDN w:val="0"/>
      <w:adjustRightInd w:val="0"/>
      <w:spacing w:before="240" w:beforeLines="50" w:after="64" w:line="320" w:lineRule="atLeast"/>
      <w:jc w:val="left"/>
      <w:outlineLvl w:val="6"/>
    </w:pPr>
    <w:rPr>
      <w:rFonts w:hint="default" w:eastAsia="仿宋"/>
      <w:b/>
      <w:bCs/>
      <w:kern w:val="0"/>
      <w:sz w:val="20"/>
      <w:szCs w:val="24"/>
      <w:lang w:val="zh-CN" w:eastAsia="zh-CN"/>
    </w:rPr>
  </w:style>
  <w:style w:type="paragraph" w:styleId="10">
    <w:name w:val="heading 8"/>
    <w:basedOn w:val="1"/>
    <w:next w:val="1"/>
    <w:link w:val="52"/>
    <w:qFormat/>
    <w:uiPriority w:val="0"/>
    <w:pPr>
      <w:keepNext/>
      <w:keepLines/>
      <w:autoSpaceDE w:val="0"/>
      <w:autoSpaceDN w:val="0"/>
      <w:adjustRightInd w:val="0"/>
      <w:spacing w:before="240" w:beforeLines="50" w:after="64" w:line="320" w:lineRule="atLeast"/>
      <w:jc w:val="left"/>
      <w:outlineLvl w:val="7"/>
    </w:pPr>
    <w:rPr>
      <w:rFonts w:hint="default" w:ascii="Arial" w:hAnsi="Arial" w:eastAsia="仿宋"/>
      <w:kern w:val="0"/>
      <w:sz w:val="20"/>
      <w:szCs w:val="24"/>
      <w:lang w:val="zh-CN" w:eastAsia="zh-CN"/>
    </w:rPr>
  </w:style>
  <w:style w:type="paragraph" w:styleId="11">
    <w:name w:val="heading 9"/>
    <w:basedOn w:val="1"/>
    <w:next w:val="1"/>
    <w:link w:val="45"/>
    <w:qFormat/>
    <w:uiPriority w:val="0"/>
    <w:pPr>
      <w:keepNext/>
      <w:keepLines/>
      <w:autoSpaceDE w:val="0"/>
      <w:autoSpaceDN w:val="0"/>
      <w:adjustRightInd w:val="0"/>
      <w:spacing w:before="240" w:beforeLines="50" w:after="64" w:line="320" w:lineRule="atLeast"/>
      <w:jc w:val="left"/>
      <w:outlineLvl w:val="8"/>
    </w:pPr>
    <w:rPr>
      <w:rFonts w:hint="default" w:ascii="Arial" w:hAnsi="Arial" w:eastAsia="仿宋"/>
      <w:kern w:val="0"/>
      <w:szCs w:val="21"/>
      <w:lang w:val="zh-CN" w:eastAsia="zh-CN"/>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Body Text Indent"/>
    <w:basedOn w:val="1"/>
    <w:next w:val="1"/>
    <w:qFormat/>
    <w:uiPriority w:val="0"/>
    <w:pPr>
      <w:spacing w:line="360" w:lineRule="auto"/>
      <w:ind w:left="424" w:leftChars="202" w:firstLine="567"/>
    </w:pPr>
    <w:rPr>
      <w:sz w:val="24"/>
    </w:rPr>
  </w:style>
  <w:style w:type="paragraph" w:styleId="12">
    <w:name w:val="Normal Indent"/>
    <w:basedOn w:val="1"/>
    <w:qFormat/>
    <w:uiPriority w:val="99"/>
    <w:pPr>
      <w:autoSpaceDE w:val="0"/>
      <w:autoSpaceDN w:val="0"/>
      <w:adjustRightInd w:val="0"/>
      <w:ind w:firstLine="420"/>
    </w:pPr>
    <w:rPr>
      <w:kern w:val="0"/>
      <w:szCs w:val="21"/>
    </w:rPr>
  </w:style>
  <w:style w:type="paragraph" w:styleId="13">
    <w:name w:val="Document Map"/>
    <w:basedOn w:val="1"/>
    <w:link w:val="53"/>
    <w:qFormat/>
    <w:uiPriority w:val="0"/>
    <w:rPr>
      <w:rFonts w:hint="default" w:ascii="宋体"/>
      <w:sz w:val="18"/>
      <w:szCs w:val="18"/>
      <w:lang w:val="zh-CN" w:eastAsia="zh-CN"/>
    </w:rPr>
  </w:style>
  <w:style w:type="paragraph" w:styleId="14">
    <w:name w:val="annotation text"/>
    <w:basedOn w:val="1"/>
    <w:link w:val="60"/>
    <w:qFormat/>
    <w:uiPriority w:val="0"/>
    <w:pPr>
      <w:jc w:val="left"/>
    </w:pPr>
    <w:rPr>
      <w:rFonts w:hint="default"/>
      <w:lang w:val="zh-CN" w:eastAsia="zh-CN"/>
    </w:rPr>
  </w:style>
  <w:style w:type="paragraph" w:styleId="15">
    <w:name w:val="Body Text 3"/>
    <w:basedOn w:val="1"/>
    <w:link w:val="65"/>
    <w:qFormat/>
    <w:uiPriority w:val="0"/>
    <w:pPr>
      <w:spacing w:after="120"/>
    </w:pPr>
    <w:rPr>
      <w:rFonts w:hint="default"/>
      <w:sz w:val="16"/>
      <w:szCs w:val="16"/>
      <w:lang w:val="zh-CN" w:eastAsia="zh-CN"/>
    </w:rPr>
  </w:style>
  <w:style w:type="paragraph" w:styleId="16">
    <w:name w:val="Body Text"/>
    <w:basedOn w:val="1"/>
    <w:next w:val="1"/>
    <w:link w:val="48"/>
    <w:qFormat/>
    <w:uiPriority w:val="0"/>
    <w:pPr>
      <w:jc w:val="center"/>
    </w:pPr>
    <w:rPr>
      <w:rFonts w:hint="default"/>
      <w:lang w:val="zh-CN" w:eastAsia="zh-CN"/>
    </w:rPr>
  </w:style>
  <w:style w:type="paragraph" w:styleId="17">
    <w:name w:val="Block Text"/>
    <w:basedOn w:val="1"/>
    <w:unhideWhenUsed/>
    <w:qFormat/>
    <w:uiPriority w:val="99"/>
    <w:pPr>
      <w:ind w:left="1440" w:leftChars="700" w:right="700" w:rightChars="700"/>
    </w:pPr>
  </w:style>
  <w:style w:type="paragraph" w:styleId="18">
    <w:name w:val="toc 3"/>
    <w:basedOn w:val="1"/>
    <w:next w:val="1"/>
    <w:qFormat/>
    <w:uiPriority w:val="39"/>
    <w:pPr>
      <w:ind w:left="840" w:leftChars="400"/>
    </w:pPr>
  </w:style>
  <w:style w:type="paragraph" w:styleId="19">
    <w:name w:val="Plain Text"/>
    <w:basedOn w:val="1"/>
    <w:qFormat/>
    <w:uiPriority w:val="0"/>
    <w:rPr>
      <w:rFonts w:ascii="宋体" w:hAnsi="Courier New"/>
    </w:rPr>
  </w:style>
  <w:style w:type="paragraph" w:styleId="20">
    <w:name w:val="Date"/>
    <w:basedOn w:val="1"/>
    <w:next w:val="1"/>
    <w:link w:val="51"/>
    <w:qFormat/>
    <w:uiPriority w:val="0"/>
    <w:pPr>
      <w:ind w:left="100" w:leftChars="2500"/>
    </w:pPr>
    <w:rPr>
      <w:rFonts w:hint="default"/>
      <w:lang w:val="zh-CN" w:eastAsia="zh-CN"/>
    </w:rPr>
  </w:style>
  <w:style w:type="paragraph" w:styleId="21">
    <w:name w:val="Body Text Indent 2"/>
    <w:basedOn w:val="1"/>
    <w:qFormat/>
    <w:uiPriority w:val="0"/>
    <w:pPr>
      <w:spacing w:line="480" w:lineRule="exact"/>
      <w:ind w:left="-1"/>
    </w:pPr>
    <w:rPr>
      <w:sz w:val="24"/>
    </w:rPr>
  </w:style>
  <w:style w:type="paragraph" w:styleId="22">
    <w:name w:val="Balloon Text"/>
    <w:basedOn w:val="1"/>
    <w:link w:val="46"/>
    <w:qFormat/>
    <w:uiPriority w:val="0"/>
    <w:rPr>
      <w:rFonts w:hint="default"/>
      <w:sz w:val="18"/>
      <w:szCs w:val="18"/>
      <w:lang w:val="zh-CN" w:eastAsia="zh-CN"/>
    </w:rPr>
  </w:style>
  <w:style w:type="paragraph" w:styleId="23">
    <w:name w:val="footer"/>
    <w:basedOn w:val="1"/>
    <w:link w:val="55"/>
    <w:qFormat/>
    <w:uiPriority w:val="0"/>
    <w:pPr>
      <w:tabs>
        <w:tab w:val="center" w:pos="4153"/>
        <w:tab w:val="right" w:pos="8306"/>
      </w:tabs>
      <w:snapToGrid w:val="0"/>
      <w:jc w:val="left"/>
    </w:pPr>
    <w:rPr>
      <w:rFonts w:hint="default"/>
      <w:sz w:val="18"/>
      <w:lang w:val="zh-CN" w:eastAsia="zh-CN"/>
    </w:rPr>
  </w:style>
  <w:style w:type="paragraph" w:styleId="24">
    <w:name w:val="envelope return"/>
    <w:basedOn w:val="1"/>
    <w:qFormat/>
    <w:uiPriority w:val="0"/>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style>
  <w:style w:type="paragraph" w:styleId="27">
    <w:name w:val="Body Text Indent 3"/>
    <w:basedOn w:val="1"/>
    <w:qFormat/>
    <w:uiPriority w:val="0"/>
    <w:pPr>
      <w:spacing w:line="360" w:lineRule="auto"/>
      <w:ind w:left="420" w:firstLine="480"/>
    </w:pPr>
    <w:rPr>
      <w:rFonts w:ascii="宋体" w:hAnsi="宋体"/>
      <w:sz w:val="24"/>
    </w:rPr>
  </w:style>
  <w:style w:type="paragraph" w:styleId="28">
    <w:name w:val="toc 2"/>
    <w:basedOn w:val="1"/>
    <w:next w:val="1"/>
    <w:qFormat/>
    <w:uiPriority w:val="39"/>
    <w:pPr>
      <w:ind w:left="420" w:leftChars="200"/>
    </w:pPr>
  </w:style>
  <w:style w:type="paragraph" w:styleId="29">
    <w:name w:val="Normal (Web)"/>
    <w:basedOn w:val="1"/>
    <w:next w:val="24"/>
    <w:qFormat/>
    <w:uiPriority w:val="99"/>
    <w:pPr>
      <w:widowControl/>
      <w:spacing w:before="100" w:beforeAutospacing="1" w:after="100" w:afterAutospacing="1"/>
      <w:jc w:val="left"/>
    </w:pPr>
    <w:rPr>
      <w:rFonts w:ascii="宋体" w:hAnsi="宋体"/>
      <w:sz w:val="24"/>
    </w:rPr>
  </w:style>
  <w:style w:type="paragraph" w:styleId="30">
    <w:name w:val="annotation subject"/>
    <w:basedOn w:val="14"/>
    <w:next w:val="14"/>
    <w:link w:val="61"/>
    <w:qFormat/>
    <w:uiPriority w:val="0"/>
    <w:rPr>
      <w:b/>
      <w:bCs/>
    </w:rPr>
  </w:style>
  <w:style w:type="paragraph" w:styleId="31">
    <w:name w:val="Body Text First Indent"/>
    <w:basedOn w:val="16"/>
    <w:qFormat/>
    <w:uiPriority w:val="0"/>
    <w:pPr>
      <w:spacing w:after="120"/>
      <w:ind w:firstLine="420" w:firstLineChars="100"/>
      <w:jc w:val="both"/>
    </w:pPr>
  </w:style>
  <w:style w:type="paragraph" w:styleId="32">
    <w:name w:val="Body Text First Indent 2"/>
    <w:basedOn w:val="7"/>
    <w:next w:val="1"/>
    <w:qFormat/>
    <w:uiPriority w:val="0"/>
    <w:pPr>
      <w:adjustRightInd w:val="0"/>
      <w:spacing w:after="80"/>
      <w:textAlignment w:val="baseline"/>
    </w:pPr>
    <w:rPr>
      <w:rFonts w:ascii="宋体" w:hAnsi="宋体"/>
      <w:color w:val="000000"/>
      <w:kern w:val="0"/>
      <w:szCs w:val="20"/>
    </w:rPr>
  </w:style>
  <w:style w:type="table" w:styleId="34">
    <w:name w:val="Table Grid"/>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rFonts w:hint="default" w:ascii="Times New Roman" w:hAnsi="Times New Roman" w:eastAsia="宋体"/>
      <w:b/>
      <w:sz w:val="24"/>
    </w:rPr>
  </w:style>
  <w:style w:type="character" w:styleId="37">
    <w:name w:val="page number"/>
    <w:basedOn w:val="35"/>
    <w:qFormat/>
    <w:uiPriority w:val="0"/>
  </w:style>
  <w:style w:type="character" w:styleId="38">
    <w:name w:val="FollowedHyperlink"/>
    <w:basedOn w:val="35"/>
    <w:qFormat/>
    <w:uiPriority w:val="0"/>
    <w:rPr>
      <w:color w:val="800080"/>
      <w:u w:val="none"/>
    </w:rPr>
  </w:style>
  <w:style w:type="character" w:styleId="39">
    <w:name w:val="Emphasis"/>
    <w:basedOn w:val="35"/>
    <w:qFormat/>
    <w:uiPriority w:val="0"/>
  </w:style>
  <w:style w:type="character" w:styleId="40">
    <w:name w:val="Hyperlink"/>
    <w:qFormat/>
    <w:uiPriority w:val="99"/>
    <w:rPr>
      <w:rFonts w:hint="default" w:ascii="Times New Roman" w:hAnsi="Times New Roman" w:eastAsia="宋体"/>
      <w:color w:val="0000FF"/>
      <w:sz w:val="24"/>
      <w:u w:val="single"/>
    </w:rPr>
  </w:style>
  <w:style w:type="character" w:styleId="41">
    <w:name w:val="annotation reference"/>
    <w:qFormat/>
    <w:uiPriority w:val="0"/>
    <w:rPr>
      <w:sz w:val="21"/>
      <w:szCs w:val="21"/>
    </w:rPr>
  </w:style>
  <w:style w:type="character" w:customStyle="1" w:styleId="42">
    <w:name w:val="已访问的超链接1"/>
    <w:qFormat/>
    <w:uiPriority w:val="0"/>
    <w:rPr>
      <w:color w:val="800080"/>
      <w:u w:val="single"/>
    </w:rPr>
  </w:style>
  <w:style w:type="character" w:customStyle="1" w:styleId="43">
    <w:name w:val="标题 4 字符"/>
    <w:link w:val="5"/>
    <w:semiHidden/>
    <w:qFormat/>
    <w:uiPriority w:val="0"/>
    <w:rPr>
      <w:rFonts w:ascii="Cambria" w:hAnsi="Cambria" w:eastAsia="宋体" w:cs="Times New Roman"/>
      <w:b/>
      <w:bCs/>
      <w:kern w:val="2"/>
      <w:sz w:val="28"/>
      <w:szCs w:val="28"/>
    </w:rPr>
  </w:style>
  <w:style w:type="character" w:customStyle="1" w:styleId="44">
    <w:name w:val="标题 5 字符"/>
    <w:link w:val="6"/>
    <w:qFormat/>
    <w:uiPriority w:val="9"/>
    <w:rPr>
      <w:rFonts w:ascii="Times New Roman" w:hAnsi="Times New Roman" w:eastAsia="仿宋"/>
      <w:bCs/>
      <w:sz w:val="24"/>
      <w:szCs w:val="28"/>
    </w:rPr>
  </w:style>
  <w:style w:type="character" w:customStyle="1" w:styleId="45">
    <w:name w:val="标题 9 字符"/>
    <w:link w:val="11"/>
    <w:qFormat/>
    <w:uiPriority w:val="0"/>
    <w:rPr>
      <w:rFonts w:ascii="Arial" w:hAnsi="Arial" w:eastAsia="仿宋" w:cs="Arial"/>
      <w:sz w:val="21"/>
      <w:szCs w:val="21"/>
    </w:rPr>
  </w:style>
  <w:style w:type="character" w:customStyle="1" w:styleId="46">
    <w:name w:val="批注框文本 字符"/>
    <w:link w:val="22"/>
    <w:qFormat/>
    <w:uiPriority w:val="0"/>
    <w:rPr>
      <w:rFonts w:ascii="Times New Roman" w:hAnsi="Times New Roman"/>
      <w:kern w:val="2"/>
      <w:sz w:val="18"/>
      <w:szCs w:val="18"/>
    </w:rPr>
  </w:style>
  <w:style w:type="character" w:customStyle="1" w:styleId="47">
    <w:name w:val="正文首行缩进 Char"/>
    <w:basedOn w:val="48"/>
    <w:link w:val="49"/>
    <w:qFormat/>
    <w:uiPriority w:val="0"/>
    <w:rPr>
      <w:rFonts w:ascii="Times New Roman" w:hAnsi="Times New Roman"/>
      <w:kern w:val="2"/>
      <w:sz w:val="21"/>
      <w:szCs w:val="22"/>
    </w:rPr>
  </w:style>
  <w:style w:type="character" w:customStyle="1" w:styleId="48">
    <w:name w:val="正文文本 字符"/>
    <w:link w:val="16"/>
    <w:qFormat/>
    <w:uiPriority w:val="0"/>
    <w:rPr>
      <w:rFonts w:ascii="Times New Roman" w:hAnsi="Times New Roman"/>
      <w:kern w:val="2"/>
      <w:sz w:val="21"/>
      <w:szCs w:val="22"/>
    </w:rPr>
  </w:style>
  <w:style w:type="paragraph" w:customStyle="1" w:styleId="49">
    <w:name w:val="正文首行缩进1"/>
    <w:basedOn w:val="16"/>
    <w:link w:val="47"/>
    <w:qFormat/>
    <w:uiPriority w:val="0"/>
    <w:pPr>
      <w:spacing w:after="120"/>
      <w:ind w:firstLine="420" w:firstLineChars="100"/>
      <w:jc w:val="both"/>
    </w:pPr>
  </w:style>
  <w:style w:type="character" w:customStyle="1" w:styleId="50">
    <w:name w:val="标题 6 字符"/>
    <w:link w:val="8"/>
    <w:qFormat/>
    <w:uiPriority w:val="0"/>
    <w:rPr>
      <w:rFonts w:ascii="Arial" w:hAnsi="Arial" w:eastAsia="仿宋" w:cs="Arial"/>
      <w:b/>
      <w:bCs/>
      <w:szCs w:val="24"/>
    </w:rPr>
  </w:style>
  <w:style w:type="character" w:customStyle="1" w:styleId="51">
    <w:name w:val="日期 字符1"/>
    <w:link w:val="20"/>
    <w:qFormat/>
    <w:uiPriority w:val="0"/>
    <w:rPr>
      <w:rFonts w:ascii="Times New Roman" w:hAnsi="Times New Roman"/>
      <w:kern w:val="2"/>
      <w:sz w:val="21"/>
      <w:szCs w:val="22"/>
    </w:rPr>
  </w:style>
  <w:style w:type="character" w:customStyle="1" w:styleId="52">
    <w:name w:val="标题 8 字符"/>
    <w:link w:val="10"/>
    <w:qFormat/>
    <w:uiPriority w:val="0"/>
    <w:rPr>
      <w:rFonts w:ascii="Arial" w:hAnsi="Arial" w:eastAsia="仿宋" w:cs="Arial"/>
      <w:szCs w:val="24"/>
    </w:rPr>
  </w:style>
  <w:style w:type="character" w:customStyle="1" w:styleId="53">
    <w:name w:val="文档结构图 字符"/>
    <w:link w:val="13"/>
    <w:qFormat/>
    <w:uiPriority w:val="0"/>
    <w:rPr>
      <w:rFonts w:ascii="宋体" w:hAnsi="Times New Roman"/>
      <w:kern w:val="2"/>
      <w:sz w:val="18"/>
      <w:szCs w:val="18"/>
    </w:rPr>
  </w:style>
  <w:style w:type="character" w:customStyle="1" w:styleId="54">
    <w:name w:val="标题 7 字符"/>
    <w:link w:val="9"/>
    <w:qFormat/>
    <w:uiPriority w:val="0"/>
    <w:rPr>
      <w:rFonts w:ascii="Times New Roman" w:hAnsi="Times New Roman" w:eastAsia="仿宋"/>
      <w:b/>
      <w:bCs/>
      <w:szCs w:val="24"/>
    </w:rPr>
  </w:style>
  <w:style w:type="character" w:customStyle="1" w:styleId="55">
    <w:name w:val="页脚 字符"/>
    <w:link w:val="23"/>
    <w:qFormat/>
    <w:uiPriority w:val="0"/>
    <w:rPr>
      <w:rFonts w:ascii="Times New Roman" w:hAnsi="Times New Roman"/>
      <w:kern w:val="2"/>
      <w:sz w:val="18"/>
      <w:szCs w:val="22"/>
    </w:rPr>
  </w:style>
  <w:style w:type="character" w:customStyle="1" w:styleId="56">
    <w:name w:val="正文3 Char"/>
    <w:link w:val="57"/>
    <w:qFormat/>
    <w:uiPriority w:val="0"/>
    <w:rPr>
      <w:rFonts w:ascii="仿宋" w:hAnsi="仿宋" w:eastAsia="仿宋"/>
      <w:sz w:val="24"/>
      <w:szCs w:val="28"/>
    </w:rPr>
  </w:style>
  <w:style w:type="paragraph" w:customStyle="1" w:styleId="57">
    <w:name w:val="正文3"/>
    <w:basedOn w:val="49"/>
    <w:link w:val="56"/>
    <w:qFormat/>
    <w:uiPriority w:val="0"/>
    <w:pPr>
      <w:autoSpaceDE w:val="0"/>
      <w:autoSpaceDN w:val="0"/>
      <w:adjustRightInd w:val="0"/>
      <w:spacing w:after="0" w:line="360" w:lineRule="auto"/>
      <w:ind w:firstLine="200" w:firstLineChars="200"/>
      <w:jc w:val="left"/>
    </w:pPr>
    <w:rPr>
      <w:rFonts w:ascii="仿宋" w:hAnsi="仿宋" w:eastAsia="仿宋"/>
      <w:kern w:val="0"/>
      <w:sz w:val="24"/>
      <w:szCs w:val="28"/>
    </w:rPr>
  </w:style>
  <w:style w:type="character" w:customStyle="1" w:styleId="58">
    <w:name w:val="标题55 Char"/>
    <w:link w:val="59"/>
    <w:qFormat/>
    <w:uiPriority w:val="0"/>
    <w:rPr>
      <w:rFonts w:ascii="Times New Roman" w:hAnsi="Times New Roman" w:eastAsia="仿宋"/>
      <w:b/>
      <w:bCs/>
      <w:sz w:val="28"/>
      <w:szCs w:val="28"/>
    </w:rPr>
  </w:style>
  <w:style w:type="paragraph" w:customStyle="1" w:styleId="59">
    <w:name w:val="标题55"/>
    <w:basedOn w:val="6"/>
    <w:next w:val="57"/>
    <w:link w:val="58"/>
    <w:qFormat/>
    <w:uiPriority w:val="0"/>
    <w:pPr>
      <w:spacing w:before="50" w:beforeAutospacing="0"/>
    </w:pPr>
    <w:rPr>
      <w:b/>
      <w:sz w:val="28"/>
    </w:rPr>
  </w:style>
  <w:style w:type="character" w:customStyle="1" w:styleId="60">
    <w:name w:val="批注文字 字符"/>
    <w:link w:val="14"/>
    <w:qFormat/>
    <w:uiPriority w:val="0"/>
    <w:rPr>
      <w:rFonts w:ascii="Times New Roman" w:hAnsi="Times New Roman"/>
      <w:kern w:val="2"/>
      <w:sz w:val="21"/>
      <w:szCs w:val="22"/>
    </w:rPr>
  </w:style>
  <w:style w:type="character" w:customStyle="1" w:styleId="61">
    <w:name w:val="批注主题 字符"/>
    <w:link w:val="30"/>
    <w:qFormat/>
    <w:uiPriority w:val="0"/>
    <w:rPr>
      <w:rFonts w:ascii="Times New Roman" w:hAnsi="Times New Roman"/>
      <w:b/>
      <w:bCs/>
      <w:kern w:val="2"/>
      <w:sz w:val="21"/>
      <w:szCs w:val="22"/>
    </w:rPr>
  </w:style>
  <w:style w:type="character" w:customStyle="1" w:styleId="62">
    <w:name w:val="日期 字符"/>
    <w:qFormat/>
    <w:uiPriority w:val="0"/>
    <w:rPr>
      <w:kern w:val="2"/>
      <w:sz w:val="21"/>
      <w:szCs w:val="24"/>
      <w:lang w:bidi="ar-SA"/>
    </w:rPr>
  </w:style>
  <w:style w:type="character" w:customStyle="1" w:styleId="63">
    <w:name w:val="06-正文 Char"/>
    <w:link w:val="64"/>
    <w:qFormat/>
    <w:locked/>
    <w:uiPriority w:val="0"/>
    <w:rPr>
      <w:rFonts w:ascii="Arial" w:hAnsi="Arial"/>
      <w:sz w:val="24"/>
    </w:rPr>
  </w:style>
  <w:style w:type="paragraph" w:customStyle="1" w:styleId="64">
    <w:name w:val="06-正文"/>
    <w:basedOn w:val="1"/>
    <w:link w:val="63"/>
    <w:qFormat/>
    <w:uiPriority w:val="0"/>
    <w:pPr>
      <w:ind w:firstLine="480" w:firstLineChars="200"/>
    </w:pPr>
    <w:rPr>
      <w:rFonts w:hint="default" w:ascii="Arial" w:hAnsi="Arial"/>
      <w:kern w:val="0"/>
      <w:sz w:val="24"/>
      <w:szCs w:val="20"/>
      <w:lang w:val="zh-CN" w:eastAsia="zh-CN"/>
    </w:rPr>
  </w:style>
  <w:style w:type="character" w:customStyle="1" w:styleId="65">
    <w:name w:val="正文文本 3 字符"/>
    <w:link w:val="15"/>
    <w:qFormat/>
    <w:uiPriority w:val="0"/>
    <w:rPr>
      <w:rFonts w:ascii="Times New Roman" w:hAnsi="Times New Roman"/>
      <w:kern w:val="2"/>
      <w:sz w:val="16"/>
      <w:szCs w:val="16"/>
    </w:rPr>
  </w:style>
  <w:style w:type="paragraph" w:customStyle="1" w:styleId="66">
    <w:name w:val="目录 21"/>
    <w:basedOn w:val="1"/>
    <w:next w:val="1"/>
    <w:qFormat/>
    <w:uiPriority w:val="39"/>
    <w:pPr>
      <w:ind w:left="210"/>
      <w:jc w:val="left"/>
    </w:pPr>
    <w:rPr>
      <w:rFonts w:ascii="Calibri" w:hAnsi="Calibri"/>
      <w:smallCaps/>
      <w:sz w:val="20"/>
    </w:rPr>
  </w:style>
  <w:style w:type="paragraph" w:customStyle="1" w:styleId="67">
    <w:name w:val="目录 31"/>
    <w:basedOn w:val="1"/>
    <w:next w:val="1"/>
    <w:qFormat/>
    <w:uiPriority w:val="39"/>
    <w:pPr>
      <w:ind w:left="840" w:leftChars="400"/>
    </w:pPr>
  </w:style>
  <w:style w:type="paragraph" w:customStyle="1" w:styleId="68">
    <w:name w:val="目录 11"/>
    <w:basedOn w:val="1"/>
    <w:next w:val="1"/>
    <w:qFormat/>
    <w:uiPriority w:val="39"/>
    <w:pPr>
      <w:spacing w:before="120" w:after="120"/>
      <w:jc w:val="left"/>
    </w:pPr>
    <w:rPr>
      <w:rFonts w:ascii="Calibri" w:hAnsi="Calibri"/>
      <w:b/>
      <w:caps/>
      <w:sz w:val="20"/>
    </w:rPr>
  </w:style>
  <w:style w:type="paragraph" w:customStyle="1" w:styleId="69">
    <w:name w:val="列表段落1"/>
    <w:basedOn w:val="1"/>
    <w:qFormat/>
    <w:uiPriority w:val="34"/>
    <w:pPr>
      <w:ind w:firstLine="420" w:firstLineChars="200"/>
    </w:pPr>
  </w:style>
  <w:style w:type="paragraph" w:customStyle="1" w:styleId="70">
    <w:name w:val="目录"/>
    <w:basedOn w:val="1"/>
    <w:unhideWhenUsed/>
    <w:qFormat/>
    <w:uiPriority w:val="99"/>
    <w:pPr>
      <w:widowControl/>
      <w:jc w:val="center"/>
    </w:pPr>
    <w:rPr>
      <w:rFonts w:ascii="宋体"/>
      <w:b/>
      <w:sz w:val="36"/>
    </w:rPr>
  </w:style>
  <w:style w:type="paragraph" w:customStyle="1" w:styleId="71">
    <w:name w:val="Char Char Char Char Char Char Char Char Char Char Char Char Char Char Char1 Char"/>
    <w:basedOn w:val="1"/>
    <w:qFormat/>
    <w:uiPriority w:val="0"/>
    <w:pPr>
      <w:adjustRightInd w:val="0"/>
      <w:spacing w:line="312" w:lineRule="atLeast"/>
      <w:textAlignment w:val="baseline"/>
    </w:pPr>
    <w:rPr>
      <w:rFonts w:hint="default"/>
      <w:b/>
      <w:bCs/>
      <w:kern w:val="0"/>
      <w:sz w:val="36"/>
      <w:szCs w:val="32"/>
    </w:rPr>
  </w:style>
  <w:style w:type="paragraph" w:customStyle="1" w:styleId="72">
    <w:name w:val="节"/>
    <w:basedOn w:val="2"/>
    <w:qFormat/>
    <w:uiPriority w:val="0"/>
    <w:pPr>
      <w:numPr>
        <w:ilvl w:val="1"/>
        <w:numId w:val="1"/>
      </w:numPr>
      <w:tabs>
        <w:tab w:val="left" w:pos="576"/>
      </w:tabs>
      <w:spacing w:line="240" w:lineRule="auto"/>
      <w:jc w:val="both"/>
    </w:pPr>
    <w:rPr>
      <w:rFonts w:hint="default" w:ascii="黑体" w:hAnsi="Arial" w:eastAsia="黑体"/>
      <w:b w:val="0"/>
      <w:bCs/>
      <w:sz w:val="28"/>
      <w:szCs w:val="28"/>
    </w:rPr>
  </w:style>
  <w:style w:type="paragraph" w:customStyle="1" w:styleId="73">
    <w:name w:val="列出段落"/>
    <w:basedOn w:val="1"/>
    <w:qFormat/>
    <w:uiPriority w:val="34"/>
    <w:pPr>
      <w:ind w:firstLine="420" w:firstLineChars="200"/>
    </w:pPr>
    <w:rPr>
      <w:rFonts w:hint="default" w:ascii="Calibri" w:hAnsi="Calibri"/>
    </w:rPr>
  </w:style>
  <w:style w:type="paragraph" w:customStyle="1" w:styleId="74">
    <w:name w:val="Char Char Char Char Char Char Char Char Char Char Char1 Char Char Char Char Char Char Char Char Char Char Char Char"/>
    <w:basedOn w:val="1"/>
    <w:qFormat/>
    <w:uiPriority w:val="0"/>
    <w:rPr>
      <w:rFonts w:hint="default"/>
      <w:szCs w:val="20"/>
    </w:rPr>
  </w:style>
  <w:style w:type="paragraph" w:customStyle="1" w:styleId="75">
    <w:name w:val="_Style 3"/>
    <w:basedOn w:val="1"/>
    <w:qFormat/>
    <w:uiPriority w:val="34"/>
    <w:pPr>
      <w:ind w:firstLine="420" w:firstLineChars="200"/>
    </w:pPr>
    <w:rPr>
      <w:rFonts w:hint="default" w:ascii="Calibri" w:hAnsi="Calibri"/>
    </w:rPr>
  </w:style>
  <w:style w:type="paragraph" w:customStyle="1" w:styleId="76">
    <w:name w:val="正文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_Style 43"/>
    <w:basedOn w:val="13"/>
    <w:qFormat/>
    <w:uiPriority w:val="0"/>
    <w:pPr>
      <w:shd w:val="clear" w:color="auto" w:fill="000080"/>
    </w:pPr>
    <w:rPr>
      <w:rFonts w:ascii="Tahoma" w:hAnsi="Tahoma"/>
      <w:sz w:val="24"/>
      <w:szCs w:val="24"/>
    </w:rPr>
  </w:style>
  <w:style w:type="paragraph" w:customStyle="1" w:styleId="78">
    <w:name w:val="缩进正文"/>
    <w:qFormat/>
    <w:uiPriority w:val="0"/>
    <w:pPr>
      <w:spacing w:line="300" w:lineRule="auto"/>
      <w:ind w:firstLine="200" w:firstLineChars="200"/>
    </w:pPr>
    <w:rPr>
      <w:rFonts w:ascii="Times New Roman" w:hAnsi="Times New Roman" w:eastAsia="宋体" w:cs="Times New Roman"/>
      <w:sz w:val="28"/>
      <w:lang w:val="en-US" w:eastAsia="zh-CN" w:bidi="ar-SA"/>
    </w:rPr>
  </w:style>
  <w:style w:type="paragraph" w:customStyle="1" w:styleId="79">
    <w:name w:val="p17"/>
    <w:basedOn w:val="1"/>
    <w:qFormat/>
    <w:uiPriority w:val="0"/>
    <w:pPr>
      <w:widowControl/>
      <w:ind w:firstLine="420"/>
    </w:pPr>
    <w:rPr>
      <w:rFonts w:hint="default"/>
      <w:kern w:val="0"/>
      <w:szCs w:val="21"/>
    </w:rPr>
  </w:style>
  <w:style w:type="paragraph" w:customStyle="1" w:styleId="80">
    <w:name w:val="p18"/>
    <w:basedOn w:val="1"/>
    <w:qFormat/>
    <w:uiPriority w:val="0"/>
    <w:pPr>
      <w:widowControl/>
      <w:spacing w:line="360" w:lineRule="auto"/>
      <w:ind w:firstLine="420"/>
    </w:pPr>
    <w:rPr>
      <w:rFonts w:hint="default" w:ascii="Arial" w:hAnsi="Arial" w:eastAsia="Adobe 仿宋 Std R" w:cs="Arial"/>
      <w:kern w:val="0"/>
      <w:sz w:val="24"/>
      <w:szCs w:val="24"/>
    </w:rPr>
  </w:style>
  <w:style w:type="paragraph" w:customStyle="1" w:styleId="81">
    <w:name w:val="bt1bt1"/>
    <w:basedOn w:val="3"/>
    <w:qFormat/>
    <w:uiPriority w:val="0"/>
    <w:pPr>
      <w:spacing w:before="340" w:after="330" w:line="240" w:lineRule="auto"/>
      <w:jc w:val="center"/>
    </w:pPr>
    <w:rPr>
      <w:rFonts w:hint="default" w:ascii="黑体" w:eastAsia="黑体"/>
      <w:b w:val="0"/>
      <w:bCs/>
      <w:sz w:val="36"/>
      <w:szCs w:val="36"/>
    </w:rPr>
  </w:style>
  <w:style w:type="paragraph" w:styleId="82">
    <w:name w:val="List Paragraph"/>
    <w:basedOn w:val="1"/>
    <w:qFormat/>
    <w:uiPriority w:val="34"/>
    <w:pPr>
      <w:ind w:firstLine="420" w:firstLineChars="200"/>
    </w:pPr>
  </w:style>
  <w:style w:type="paragraph" w:customStyle="1" w:styleId="83">
    <w:name w:val="Default"/>
    <w:basedOn w:val="1"/>
    <w:qFormat/>
    <w:uiPriority w:val="99"/>
    <w:pPr>
      <w:autoSpaceDE w:val="0"/>
      <w:autoSpaceDN w:val="0"/>
      <w:jc w:val="left"/>
    </w:pPr>
    <w:rPr>
      <w:rFonts w:hint="eastAsia" w:ascii="宋体" w:hAnsi="Times New Roman"/>
      <w:color w:val="000000"/>
      <w:kern w:val="0"/>
      <w:sz w:val="24"/>
      <w:szCs w:val="24"/>
    </w:rPr>
  </w:style>
  <w:style w:type="paragraph" w:customStyle="1" w:styleId="84">
    <w:name w:val="Body text|21"/>
    <w:basedOn w:val="1"/>
    <w:qFormat/>
    <w:uiPriority w:val="0"/>
    <w:pPr>
      <w:widowControl w:val="0"/>
      <w:shd w:val="clear" w:color="auto" w:fill="FFFFFF"/>
      <w:spacing w:before="620" w:after="1520" w:line="280" w:lineRule="exact"/>
      <w:jc w:val="center"/>
    </w:pPr>
    <w:rPr>
      <w:rFonts w:ascii="PMingLiU" w:hAnsi="PMingLiU" w:eastAsia="PMingLiU" w:cs="PMingLiU"/>
      <w:spacing w:val="30"/>
      <w:sz w:val="28"/>
      <w:szCs w:val="28"/>
      <w:u w:val="none"/>
    </w:rPr>
  </w:style>
  <w:style w:type="character" w:customStyle="1" w:styleId="85">
    <w:name w:val="Table caption|2 + 10.5 pt"/>
    <w:basedOn w:val="86"/>
    <w:semiHidden/>
    <w:unhideWhenUsed/>
    <w:qFormat/>
    <w:uiPriority w:val="0"/>
    <w:rPr>
      <w:color w:val="000000"/>
      <w:spacing w:val="0"/>
      <w:w w:val="120"/>
      <w:position w:val="0"/>
      <w:sz w:val="21"/>
      <w:szCs w:val="21"/>
      <w:lang w:val="zh-CN" w:eastAsia="zh-CN" w:bidi="zh-CN"/>
    </w:rPr>
  </w:style>
  <w:style w:type="character" w:customStyle="1" w:styleId="86">
    <w:name w:val="Table caption|2_"/>
    <w:basedOn w:val="35"/>
    <w:link w:val="87"/>
    <w:qFormat/>
    <w:uiPriority w:val="0"/>
    <w:rPr>
      <w:rFonts w:ascii="PMingLiU" w:hAnsi="PMingLiU" w:eastAsia="PMingLiU" w:cs="PMingLiU"/>
      <w:spacing w:val="30"/>
      <w:sz w:val="28"/>
      <w:szCs w:val="28"/>
      <w:u w:val="none"/>
    </w:rPr>
  </w:style>
  <w:style w:type="paragraph" w:customStyle="1" w:styleId="87">
    <w:name w:val="Table caption|2"/>
    <w:basedOn w:val="1"/>
    <w:link w:val="86"/>
    <w:qFormat/>
    <w:uiPriority w:val="0"/>
    <w:pPr>
      <w:widowControl w:val="0"/>
      <w:shd w:val="clear" w:color="auto" w:fill="FFFFFF"/>
      <w:spacing w:after="320" w:line="280" w:lineRule="exact"/>
    </w:pPr>
    <w:rPr>
      <w:rFonts w:ascii="PMingLiU" w:hAnsi="PMingLiU" w:eastAsia="PMingLiU" w:cs="PMingLiU"/>
      <w:spacing w:val="30"/>
      <w:sz w:val="28"/>
      <w:szCs w:val="28"/>
      <w:u w:val="none"/>
    </w:rPr>
  </w:style>
  <w:style w:type="character" w:customStyle="1" w:styleId="88">
    <w:name w:val="font31"/>
    <w:basedOn w:val="35"/>
    <w:qFormat/>
    <w:uiPriority w:val="0"/>
    <w:rPr>
      <w:rFonts w:hint="eastAsia" w:ascii="宋体" w:hAnsi="宋体" w:eastAsia="宋体" w:cs="宋体"/>
      <w:color w:val="000000"/>
      <w:sz w:val="20"/>
      <w:szCs w:val="20"/>
      <w:u w:val="none"/>
    </w:rPr>
  </w:style>
  <w:style w:type="character" w:customStyle="1" w:styleId="89">
    <w:name w:val="font11"/>
    <w:basedOn w:val="35"/>
    <w:qFormat/>
    <w:uiPriority w:val="0"/>
    <w:rPr>
      <w:rFonts w:hint="eastAsia" w:ascii="宋体" w:hAnsi="宋体" w:eastAsia="宋体" w:cs="宋体"/>
      <w:color w:val="000000"/>
      <w:sz w:val="20"/>
      <w:szCs w:val="20"/>
      <w:u w:val="none"/>
      <w:vertAlign w:val="subscript"/>
    </w:rPr>
  </w:style>
  <w:style w:type="character" w:customStyle="1" w:styleId="90">
    <w:name w:val="input-direction"/>
    <w:basedOn w:val="35"/>
    <w:qFormat/>
    <w:uiPriority w:val="0"/>
    <w:rPr>
      <w:color w:val="FF6600"/>
    </w:rPr>
  </w:style>
  <w:style w:type="character" w:customStyle="1" w:styleId="91">
    <w:name w:val="number"/>
    <w:basedOn w:val="35"/>
    <w:qFormat/>
    <w:uiPriority w:val="0"/>
    <w:rPr>
      <w:color w:val="FF8833"/>
      <w:sz w:val="18"/>
      <w:szCs w:val="18"/>
    </w:rPr>
  </w:style>
  <w:style w:type="character" w:customStyle="1" w:styleId="92">
    <w:name w:val="span-long"/>
    <w:basedOn w:val="35"/>
    <w:qFormat/>
    <w:uiPriority w:val="0"/>
  </w:style>
  <w:style w:type="character" w:customStyle="1" w:styleId="93">
    <w:name w:val="proollist"/>
    <w:basedOn w:val="35"/>
    <w:qFormat/>
    <w:uiPriority w:val="0"/>
  </w:style>
  <w:style w:type="character" w:customStyle="1" w:styleId="94">
    <w:name w:val="beforeinfotext"/>
    <w:basedOn w:val="35"/>
    <w:qFormat/>
    <w:uiPriority w:val="0"/>
    <w:rPr>
      <w:color w:val="666666"/>
    </w:rPr>
  </w:style>
  <w:style w:type="character" w:customStyle="1" w:styleId="95">
    <w:name w:val="stclosebtn"/>
    <w:basedOn w:val="35"/>
    <w:qFormat/>
    <w:uiPriority w:val="0"/>
  </w:style>
  <w:style w:type="character" w:customStyle="1" w:styleId="96">
    <w:name w:val="button"/>
    <w:basedOn w:val="35"/>
    <w:qFormat/>
    <w:uiPriority w:val="0"/>
  </w:style>
  <w:style w:type="character" w:customStyle="1" w:styleId="97">
    <w:name w:val="phone"/>
    <w:basedOn w:val="35"/>
    <w:qFormat/>
    <w:uiPriority w:val="0"/>
    <w:rPr>
      <w:color w:val="FF8833"/>
      <w:sz w:val="18"/>
      <w:szCs w:val="18"/>
    </w:rPr>
  </w:style>
  <w:style w:type="character" w:customStyle="1" w:styleId="98">
    <w:name w:val="tmpztreemove_arrow"/>
    <w:basedOn w:val="35"/>
    <w:qFormat/>
    <w:uiPriority w:val="0"/>
  </w:style>
  <w:style w:type="character" w:customStyle="1" w:styleId="99">
    <w:name w:val="hilite"/>
    <w:basedOn w:val="35"/>
    <w:qFormat/>
    <w:uiPriority w:val="0"/>
    <w:rPr>
      <w:color w:val="FFFFFF"/>
      <w:shd w:val="clear" w:fill="666677"/>
    </w:rPr>
  </w:style>
  <w:style w:type="character" w:customStyle="1" w:styleId="100">
    <w:name w:val="active"/>
    <w:basedOn w:val="35"/>
    <w:qFormat/>
    <w:uiPriority w:val="0"/>
    <w:rPr>
      <w:color w:val="00FF00"/>
      <w:shd w:val="clear" w:fill="000000"/>
    </w:rPr>
  </w:style>
  <w:style w:type="character" w:customStyle="1" w:styleId="101">
    <w:name w:val="button2"/>
    <w:basedOn w:val="35"/>
    <w:qFormat/>
    <w:uiPriority w:val="0"/>
  </w:style>
  <w:style w:type="character" w:customStyle="1" w:styleId="102">
    <w:name w:val="active4"/>
    <w:basedOn w:val="35"/>
    <w:qFormat/>
    <w:uiPriority w:val="0"/>
    <w:rPr>
      <w:color w:val="00FF00"/>
      <w:shd w:val="clear" w:fill="000000"/>
    </w:rPr>
  </w:style>
  <w:style w:type="character" w:customStyle="1" w:styleId="103">
    <w:name w:val="hilite4"/>
    <w:basedOn w:val="35"/>
    <w:qFormat/>
    <w:uiPriority w:val="0"/>
    <w:rPr>
      <w:color w:val="FFFFFF"/>
      <w:shd w:val="clear" w:fill="666677"/>
    </w:rPr>
  </w:style>
  <w:style w:type="character" w:customStyle="1" w:styleId="104">
    <w:name w:val="active6"/>
    <w:basedOn w:val="35"/>
    <w:qFormat/>
    <w:uiPriority w:val="0"/>
    <w:rPr>
      <w:color w:val="00FF00"/>
      <w:shd w:val="clear" w:fil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41471</Words>
  <Characters>43685</Characters>
  <Lines>334</Lines>
  <Paragraphs>94</Paragraphs>
  <TotalTime>21</TotalTime>
  <ScaleCrop>false</ScaleCrop>
  <LinksUpToDate>false</LinksUpToDate>
  <CharactersWithSpaces>47248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2018-12-02T13:16:00Z</dcterms:created>
  <dc:creator>jia</dc:creator>
  <cp:lastModifiedBy>云深不知处</cp:lastModifiedBy>
  <cp:lastPrinted>2021-11-04T09:54:00Z</cp:lastPrinted>
  <dcterms:modified xsi:type="dcterms:W3CDTF">2023-09-05T03:39:05Z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A83ED00EF31449F2A62DC252AE781D4D_13</vt:lpwstr>
  </property>
</Properties>
</file>