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u w:val="single"/>
          <w:bdr w:val="none" w:color="auto" w:sz="0" w:space="0"/>
          <w:lang w:val="en-US" w:eastAsia="zh-CN" w:bidi="ar"/>
        </w:rPr>
        <w:t>子长市农村综合改革服务中心关于购置太阳能路灯采购招标公告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关于购置太阳能路灯采购</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2023年11月27日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项目编号：JYZC2023-049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shd w:val="clear" w:fill="FFFFFF"/>
        </w:rPr>
        <w:t>关于购置太阳能路灯采购</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预算金额：3,506,100.00元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合同包1(关于购置太阳能路灯采购):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合同包预算金额：3,506,100.00元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合同包最高限价：3,506,100.00元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65"/>
        <w:gridCol w:w="1753"/>
        <w:gridCol w:w="662"/>
        <w:gridCol w:w="101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7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5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路灯</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关于购置太阳能路灯采购</w:t>
            </w:r>
          </w:p>
        </w:tc>
        <w:tc>
          <w:tcPr>
            <w:tcW w:w="4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1(批)</w:t>
            </w:r>
          </w:p>
        </w:tc>
        <w:tc>
          <w:tcPr>
            <w:tcW w:w="7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5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3,506,100.00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3,506,100.00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合同包1(关于购置太阳能路灯采购)落实政府采购政策需满足的资格要求如下: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合同包1(关于购置太阳能路灯采购)特定资格要求如下: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3.3.税收缴纳证明：提供本年度已缴纳的至少连续3个月的纳税证明或完税证明，依法免税的 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3.5.财务状况报告：提供 2021年度或 2022 年的财务审计报告(成立时间至提交投标文件截止时间不足一年的成立后任意时段的资产负债表或提供开标日期前3个月内其基本开户银行出具的资信证明）；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3.6.供应商应出具参加政府采购活动前 3 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2023年11月06日 至 2023年11月10日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2023年11月27日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延安市新区为民服务中心7号楼公共资源交易中心交易4厅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延安市新区为民服务中心7号楼公共资源交易中心交易4厅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3. 递交纸质版投标文件的同时需在网上上传投标文件，本项目采取网上投标形式。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4.【请供应商按照陕西省财政厅关于政府采购供应商注册登记有关事项的通知中的要求，通过陕西省政府采购网注册登记加入陕西省政府采购供应商库。】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子长市农村综合改革服务中心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子长县朝阳路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13409110722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陕西集云项目管理有限公司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1DF342CE"/>
    <w:rsid w:val="54F97184"/>
    <w:rsid w:val="6CE6449B"/>
    <w:rsid w:val="6F9B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cp:lastPrinted>2023-11-02T09:14:00Z</cp:lastPrinted>
  <dcterms:modified xsi:type="dcterms:W3CDTF">2023-11-03T05:15:01Z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166C870C9E0243DEB7A3E4350AA09DE1</vt:lpwstr>
  </property>
</Properties>
</file>