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rPr>
          <w:rFonts w:ascii="仿宋" w:hAnsi="仿宋" w:eastAsia="仿宋" w:cs="仿宋_GB2312"/>
          <w:color w:val="auto"/>
          <w:sz w:val="24"/>
          <w:highlight w:val="none"/>
        </w:rPr>
      </w:pPr>
      <w:bookmarkStart w:id="0" w:name="_Toc183682338"/>
      <w:bookmarkStart w:id="1" w:name="_Toc217446030"/>
      <w:r>
        <w:rPr>
          <w:rFonts w:hint="eastAsia" w:ascii="宋体" w:hAnsi="宋体" w:cs="宋体"/>
          <w:b/>
          <w:bCs/>
          <w:color w:val="auto"/>
          <w:sz w:val="28"/>
          <w:szCs w:val="28"/>
          <w:highlight w:val="none"/>
          <w:lang w:val="zh-CN"/>
        </w:rPr>
        <w:drawing>
          <wp:inline distT="0" distB="0" distL="114300" distR="114300">
            <wp:extent cx="2764790" cy="1179830"/>
            <wp:effectExtent l="0" t="0" r="16510" b="1270"/>
            <wp:docPr id="1" name="图片 1" descr="3cd9fcc4cca39e09aac5f6c984b1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cd9fcc4cca39e09aac5f6c984b11cd"/>
                    <pic:cNvPicPr>
                      <a:picLocks noChangeAspect="1"/>
                    </pic:cNvPicPr>
                  </pic:nvPicPr>
                  <pic:blipFill>
                    <a:blip r:embed="rId18"/>
                    <a:stretch>
                      <a:fillRect/>
                    </a:stretch>
                  </pic:blipFill>
                  <pic:spPr>
                    <a:xfrm>
                      <a:off x="0" y="0"/>
                      <a:ext cx="2764790" cy="1179830"/>
                    </a:xfrm>
                    <a:prstGeom prst="rect">
                      <a:avLst/>
                    </a:prstGeom>
                    <a:noFill/>
                    <a:ln>
                      <a:noFill/>
                    </a:ln>
                  </pic:spPr>
                </pic:pic>
              </a:graphicData>
            </a:graphic>
          </wp:inline>
        </w:drawing>
      </w:r>
    </w:p>
    <w:p>
      <w:pPr>
        <w:spacing w:line="100" w:lineRule="atLeast"/>
        <w:rPr>
          <w:rFonts w:ascii="宋体" w:hAnsi="宋体" w:cs="宋体"/>
          <w:b/>
          <w:bCs/>
          <w:color w:val="auto"/>
          <w:sz w:val="28"/>
          <w:szCs w:val="28"/>
          <w:highlight w:val="none"/>
        </w:rPr>
      </w:pPr>
      <w:r>
        <w:rPr>
          <w:rFonts w:hint="eastAsia"/>
          <w:color w:val="auto"/>
          <w:highlight w:val="none"/>
        </w:rPr>
        <w:t xml:space="preserve">                         </w:t>
      </w:r>
      <w:r>
        <w:rPr>
          <w:rFonts w:hint="eastAsia"/>
          <w:color w:val="auto"/>
          <w:sz w:val="32"/>
          <w:szCs w:val="32"/>
          <w:highlight w:val="none"/>
        </w:rPr>
        <w:t xml:space="preserve">        </w:t>
      </w:r>
    </w:p>
    <w:p>
      <w:pPr>
        <w:spacing w:line="100" w:lineRule="atLeast"/>
        <w:jc w:val="right"/>
        <w:rPr>
          <w:rFonts w:hint="eastAsia" w:ascii="宋体" w:hAnsi="宋体" w:eastAsia="宋体" w:cs="宋体"/>
          <w:b/>
          <w:bCs/>
          <w:color w:val="auto"/>
          <w:sz w:val="28"/>
          <w:szCs w:val="28"/>
          <w:highlight w:val="none"/>
          <w:lang w:eastAsia="zh-CN"/>
        </w:rPr>
      </w:pPr>
      <w:r>
        <w:rPr>
          <w:rFonts w:hint="eastAsia" w:ascii="宋体" w:hAnsi="宋体" w:cs="宋体"/>
          <w:b/>
          <w:bCs/>
          <w:color w:val="auto"/>
          <w:sz w:val="32"/>
          <w:szCs w:val="32"/>
          <w:highlight w:val="none"/>
        </w:rPr>
        <w:t>招标编号：</w:t>
      </w:r>
      <w:r>
        <w:rPr>
          <w:rFonts w:hint="eastAsia" w:hAnsi="宋体" w:cs="宋体"/>
          <w:b/>
          <w:bCs/>
          <w:color w:val="auto"/>
          <w:sz w:val="32"/>
          <w:szCs w:val="32"/>
          <w:highlight w:val="none"/>
          <w:lang w:eastAsia="zh-CN"/>
        </w:rPr>
        <w:t>HZJZS2023-0092-3</w:t>
      </w:r>
    </w:p>
    <w:p>
      <w:pPr>
        <w:jc w:val="center"/>
        <w:rPr>
          <w:color w:val="auto"/>
          <w:sz w:val="52"/>
          <w:szCs w:val="52"/>
          <w:highlight w:val="none"/>
          <w:u w:val="single"/>
        </w:rPr>
      </w:pPr>
    </w:p>
    <w:p>
      <w:pPr>
        <w:spacing w:line="100" w:lineRule="atLeast"/>
        <w:jc w:val="center"/>
        <w:rPr>
          <w:rFonts w:hint="eastAsia"/>
          <w:b/>
          <w:bCs/>
          <w:color w:val="auto"/>
          <w:sz w:val="48"/>
          <w:szCs w:val="48"/>
          <w:highlight w:val="none"/>
        </w:rPr>
      </w:pPr>
    </w:p>
    <w:p>
      <w:pPr>
        <w:spacing w:line="100" w:lineRule="atLeast"/>
        <w:jc w:val="center"/>
        <w:rPr>
          <w:b/>
          <w:bCs/>
          <w:color w:val="auto"/>
          <w:sz w:val="96"/>
          <w:szCs w:val="96"/>
          <w:highlight w:val="none"/>
        </w:rPr>
      </w:pPr>
      <w:r>
        <w:rPr>
          <w:rFonts w:hint="eastAsia"/>
          <w:b/>
          <w:bCs/>
          <w:color w:val="auto"/>
          <w:sz w:val="72"/>
          <w:szCs w:val="72"/>
          <w:highlight w:val="none"/>
          <w:lang w:val="en-US" w:eastAsia="zh-CN"/>
        </w:rPr>
        <w:t>白水县2021年-2022年高标准农田改造提升项目</w:t>
      </w:r>
    </w:p>
    <w:p>
      <w:pPr>
        <w:spacing w:line="100" w:lineRule="atLeast"/>
        <w:jc w:val="center"/>
        <w:rPr>
          <w:rFonts w:hAnsi="宋体" w:cs="宋体"/>
          <w:b/>
          <w:color w:val="auto"/>
          <w:sz w:val="40"/>
          <w:szCs w:val="40"/>
          <w:highlight w:val="none"/>
        </w:rPr>
      </w:pPr>
    </w:p>
    <w:p>
      <w:pPr>
        <w:spacing w:line="100" w:lineRule="atLeast"/>
        <w:jc w:val="center"/>
        <w:rPr>
          <w:rFonts w:hint="eastAsia" w:ascii="黑体" w:hAnsi="黑体" w:eastAsia="黑体" w:cs="黑体"/>
          <w:b/>
          <w:bCs/>
          <w:color w:val="auto"/>
          <w:sz w:val="72"/>
          <w:szCs w:val="72"/>
          <w:highlight w:val="none"/>
          <w:lang w:eastAsia="zh-CN"/>
        </w:rPr>
      </w:pPr>
      <w:r>
        <w:rPr>
          <w:rFonts w:hint="eastAsia" w:ascii="黑体" w:hAnsi="黑体" w:eastAsia="黑体" w:cs="黑体"/>
          <w:b w:val="0"/>
          <w:bCs w:val="0"/>
          <w:color w:val="auto"/>
          <w:sz w:val="40"/>
          <w:szCs w:val="40"/>
          <w:highlight w:val="none"/>
          <w:lang w:val="en-US" w:eastAsia="zh-CN"/>
        </w:rPr>
        <w:t>标段名称：耕地质量等级评定及上图入库标段、科技推广标段</w:t>
      </w:r>
    </w:p>
    <w:p>
      <w:pPr>
        <w:spacing w:line="100" w:lineRule="atLeast"/>
        <w:jc w:val="center"/>
        <w:rPr>
          <w:rFonts w:hint="eastAsia" w:ascii="黑体" w:hAnsi="黑体" w:eastAsia="黑体" w:cs="黑体"/>
          <w:b/>
          <w:bCs/>
          <w:color w:val="auto"/>
          <w:sz w:val="84"/>
          <w:szCs w:val="84"/>
          <w:highlight w:val="none"/>
        </w:rPr>
      </w:pPr>
    </w:p>
    <w:p>
      <w:pPr>
        <w:spacing w:line="100" w:lineRule="atLeast"/>
        <w:jc w:val="center"/>
        <w:rPr>
          <w:b/>
          <w:bCs/>
          <w:color w:val="auto"/>
          <w:sz w:val="84"/>
          <w:szCs w:val="84"/>
          <w:highlight w:val="none"/>
        </w:rPr>
      </w:pPr>
      <w:r>
        <w:rPr>
          <w:rFonts w:hint="eastAsia" w:ascii="黑体" w:hAnsi="黑体" w:eastAsia="黑体" w:cs="黑体"/>
          <w:b/>
          <w:bCs/>
          <w:color w:val="auto"/>
          <w:sz w:val="84"/>
          <w:szCs w:val="84"/>
          <w:highlight w:val="none"/>
        </w:rPr>
        <w:t>招标文件</w:t>
      </w:r>
    </w:p>
    <w:p>
      <w:pPr>
        <w:spacing w:line="720" w:lineRule="auto"/>
        <w:rPr>
          <w:b/>
          <w:color w:val="auto"/>
          <w:sz w:val="32"/>
          <w:szCs w:val="32"/>
          <w:highlight w:val="none"/>
        </w:rPr>
      </w:pPr>
    </w:p>
    <w:p>
      <w:pPr>
        <w:spacing w:line="360" w:lineRule="auto"/>
        <w:ind w:firstLine="1928" w:firstLineChars="600"/>
        <w:jc w:val="both"/>
        <w:rPr>
          <w:rFonts w:hint="eastAsia" w:eastAsia="宋体"/>
          <w:b/>
          <w:color w:val="auto"/>
          <w:sz w:val="32"/>
          <w:szCs w:val="32"/>
          <w:highlight w:val="none"/>
          <w:lang w:val="en-US" w:eastAsia="zh-CN"/>
        </w:rPr>
      </w:pPr>
      <w:r>
        <w:rPr>
          <w:rFonts w:hint="eastAsia"/>
          <w:b/>
          <w:color w:val="auto"/>
          <w:sz w:val="32"/>
          <w:szCs w:val="32"/>
          <w:highlight w:val="none"/>
          <w:lang w:val="en-US" w:eastAsia="zh-CN"/>
        </w:rPr>
        <w:t>招   标   人：</w:t>
      </w:r>
      <w:r>
        <w:rPr>
          <w:rFonts w:hint="eastAsia"/>
          <w:b/>
          <w:color w:val="auto"/>
          <w:sz w:val="32"/>
          <w:szCs w:val="32"/>
          <w:highlight w:val="none"/>
          <w:lang w:eastAsia="zh-CN"/>
        </w:rPr>
        <w:t>白水县农业农村局</w:t>
      </w:r>
    </w:p>
    <w:p>
      <w:pPr>
        <w:spacing w:line="360" w:lineRule="auto"/>
        <w:jc w:val="center"/>
        <w:rPr>
          <w:rFonts w:hint="eastAsia"/>
          <w:b/>
          <w:color w:val="auto"/>
          <w:sz w:val="32"/>
          <w:szCs w:val="32"/>
          <w:highlight w:val="none"/>
        </w:rPr>
      </w:pPr>
    </w:p>
    <w:p>
      <w:pPr>
        <w:spacing w:line="360" w:lineRule="auto"/>
        <w:jc w:val="center"/>
        <w:rPr>
          <w:b/>
          <w:color w:val="auto"/>
          <w:sz w:val="32"/>
          <w:szCs w:val="32"/>
          <w:highlight w:val="none"/>
        </w:rPr>
      </w:pPr>
      <w:r>
        <w:rPr>
          <w:rFonts w:hint="eastAsia"/>
          <w:b/>
          <w:color w:val="auto"/>
          <w:sz w:val="32"/>
          <w:szCs w:val="32"/>
          <w:highlight w:val="none"/>
          <w:lang w:val="en-US" w:eastAsia="zh-CN"/>
        </w:rPr>
        <w:t xml:space="preserve"> </w:t>
      </w:r>
      <w:r>
        <w:rPr>
          <w:rFonts w:hint="eastAsia"/>
          <w:b/>
          <w:color w:val="auto"/>
          <w:sz w:val="32"/>
          <w:szCs w:val="32"/>
          <w:highlight w:val="none"/>
        </w:rPr>
        <w:t>招标代理机构：华智建造价咨询有限公司</w:t>
      </w:r>
    </w:p>
    <w:p>
      <w:pPr>
        <w:spacing w:line="360" w:lineRule="auto"/>
        <w:rPr>
          <w:b/>
          <w:color w:val="auto"/>
          <w:sz w:val="32"/>
          <w:szCs w:val="32"/>
          <w:highlight w:val="none"/>
        </w:rPr>
      </w:pPr>
    </w:p>
    <w:p>
      <w:pPr>
        <w:spacing w:line="360" w:lineRule="auto"/>
        <w:ind w:firstLine="3534" w:firstLineChars="1100"/>
        <w:rPr>
          <w:rFonts w:hAnsi="宋体" w:cs="宋体"/>
          <w:b/>
          <w:bCs/>
          <w:color w:val="auto"/>
          <w:sz w:val="32"/>
          <w:szCs w:val="36"/>
          <w:highlight w:val="none"/>
        </w:rPr>
        <w:sectPr>
          <w:headerReference r:id="rId5" w:type="first"/>
          <w:headerReference r:id="rId3" w:type="default"/>
          <w:footerReference r:id="rId6" w:type="default"/>
          <w:headerReference r:id="rId4" w:type="even"/>
          <w:footerReference r:id="rId7" w:type="even"/>
          <w:pgSz w:w="11906" w:h="16838"/>
          <w:pgMar w:top="1304" w:right="1304" w:bottom="1304" w:left="1304" w:header="851" w:footer="992" w:gutter="0"/>
          <w:pgNumType w:fmt="numberInDash" w:start="0"/>
          <w:cols w:space="720" w:num="1"/>
          <w:titlePg/>
          <w:docGrid w:linePitch="312" w:charSpace="0"/>
        </w:sectPr>
      </w:pPr>
      <w:r>
        <w:rPr>
          <w:rFonts w:hint="eastAsia" w:ascii="宋体" w:hAnsi="宋体"/>
          <w:b/>
          <w:color w:val="auto"/>
          <w:sz w:val="32"/>
          <w:szCs w:val="32"/>
          <w:highlight w:val="none"/>
        </w:rPr>
        <w:t>二〇二</w:t>
      </w:r>
      <w:r>
        <w:rPr>
          <w:rFonts w:hint="eastAsia" w:ascii="宋体" w:hAnsi="宋体"/>
          <w:b/>
          <w:color w:val="auto"/>
          <w:sz w:val="32"/>
          <w:szCs w:val="32"/>
          <w:highlight w:val="none"/>
          <w:lang w:eastAsia="zh-CN"/>
        </w:rPr>
        <w:t>三</w:t>
      </w:r>
      <w:r>
        <w:rPr>
          <w:rFonts w:hint="eastAsia" w:ascii="宋体" w:hAnsi="宋体"/>
          <w:b/>
          <w:color w:val="auto"/>
          <w:sz w:val="32"/>
          <w:szCs w:val="32"/>
          <w:highlight w:val="none"/>
        </w:rPr>
        <w:t>年</w:t>
      </w:r>
      <w:r>
        <w:rPr>
          <w:rFonts w:hint="eastAsia" w:ascii="宋体" w:hAnsi="宋体"/>
          <w:b/>
          <w:color w:val="auto"/>
          <w:sz w:val="32"/>
          <w:szCs w:val="32"/>
          <w:highlight w:val="none"/>
          <w:lang w:eastAsia="zh-CN"/>
        </w:rPr>
        <w:t>八</w:t>
      </w:r>
      <w:r>
        <w:rPr>
          <w:rFonts w:hint="eastAsia" w:ascii="宋体" w:hAnsi="宋体"/>
          <w:b/>
          <w:color w:val="auto"/>
          <w:sz w:val="32"/>
          <w:szCs w:val="32"/>
          <w:highlight w:val="none"/>
        </w:rPr>
        <w:t>月</w:t>
      </w:r>
    </w:p>
    <w:p>
      <w:pPr>
        <w:tabs>
          <w:tab w:val="left" w:pos="720"/>
        </w:tabs>
        <w:spacing w:line="360" w:lineRule="auto"/>
        <w:ind w:left="2763" w:leftChars="1143" w:hanging="363" w:hangingChars="129"/>
        <w:rPr>
          <w:rFonts w:ascii="仿宋" w:hAnsi="仿宋" w:eastAsia="仿宋" w:cs="仿宋_GB2312"/>
          <w:b/>
          <w:color w:val="auto"/>
          <w:sz w:val="28"/>
          <w:szCs w:val="28"/>
          <w:highlight w:val="none"/>
        </w:rPr>
      </w:pPr>
    </w:p>
    <w:bookmarkEnd w:id="0"/>
    <w:bookmarkEnd w:id="1"/>
    <w:p>
      <w:pPr>
        <w:spacing w:line="360" w:lineRule="auto"/>
        <w:ind w:firstLine="203" w:firstLineChars="46"/>
        <w:jc w:val="center"/>
        <w:rPr>
          <w:b/>
          <w:bCs/>
          <w:color w:val="auto"/>
          <w:sz w:val="44"/>
          <w:szCs w:val="44"/>
          <w:highlight w:val="none"/>
          <w:lang w:val="zh-CN"/>
        </w:rPr>
      </w:pPr>
      <w:r>
        <w:rPr>
          <w:rFonts w:hAnsi="宋体"/>
          <w:b/>
          <w:bCs/>
          <w:color w:val="auto"/>
          <w:sz w:val="44"/>
          <w:szCs w:val="44"/>
          <w:highlight w:val="none"/>
          <w:lang w:val="zh-CN"/>
        </w:rPr>
        <w:t>温馨提示</w:t>
      </w:r>
    </w:p>
    <w:p>
      <w:pPr>
        <w:spacing w:line="360" w:lineRule="auto"/>
        <w:ind w:firstLine="623" w:firstLineChars="194"/>
        <w:rPr>
          <w:b/>
          <w:bCs/>
          <w:color w:val="auto"/>
          <w:sz w:val="32"/>
          <w:szCs w:val="32"/>
          <w:highlight w:val="none"/>
          <w:lang w:val="zh-CN"/>
        </w:rPr>
      </w:pPr>
    </w:p>
    <w:p>
      <w:pPr>
        <w:spacing w:line="360" w:lineRule="auto"/>
        <w:ind w:firstLine="620" w:firstLineChars="194"/>
        <w:rPr>
          <w:bCs/>
          <w:color w:val="auto"/>
          <w:sz w:val="32"/>
          <w:szCs w:val="32"/>
          <w:highlight w:val="none"/>
          <w:lang w:val="zh-CN"/>
        </w:rPr>
      </w:pPr>
      <w:r>
        <w:rPr>
          <w:rFonts w:hint="eastAsia" w:hAnsi="宋体"/>
          <w:bCs/>
          <w:color w:val="auto"/>
          <w:sz w:val="32"/>
          <w:szCs w:val="32"/>
          <w:highlight w:val="none"/>
          <w:lang w:val="zh-CN"/>
        </w:rPr>
        <w:t>获取</w:t>
      </w:r>
      <w:r>
        <w:rPr>
          <w:rFonts w:hAnsi="宋体"/>
          <w:bCs/>
          <w:color w:val="auto"/>
          <w:sz w:val="32"/>
          <w:szCs w:val="32"/>
          <w:highlight w:val="none"/>
          <w:lang w:val="zh-CN"/>
        </w:rPr>
        <w:t>招标文件后，请仔细阅读，特别注意粗体部分，如有疑问，请来电咨询。</w:t>
      </w:r>
    </w:p>
    <w:p>
      <w:pPr>
        <w:snapToGrid w:val="0"/>
        <w:spacing w:line="360" w:lineRule="auto"/>
        <w:ind w:firstLine="600" w:firstLineChars="200"/>
        <w:rPr>
          <w:rFonts w:hint="eastAsia" w:ascii="宋体" w:hAnsi="宋体" w:eastAsia="宋体" w:cs="宋体"/>
          <w:color w:val="auto"/>
          <w:sz w:val="30"/>
          <w:szCs w:val="30"/>
          <w:highlight w:val="none"/>
          <w:lang w:val="en-US" w:eastAsia="zh-CN"/>
        </w:rPr>
      </w:pPr>
      <w:r>
        <w:rPr>
          <w:rFonts w:hint="eastAsia" w:ascii="宋体" w:hAnsi="宋体"/>
          <w:bCs/>
          <w:color w:val="auto"/>
          <w:sz w:val="30"/>
          <w:szCs w:val="30"/>
          <w:highlight w:val="none"/>
          <w:lang w:val="zh-CN"/>
        </w:rPr>
        <w:t>业务部电话：0914-2858889</w:t>
      </w:r>
    </w:p>
    <w:p>
      <w:pPr>
        <w:snapToGrid w:val="0"/>
        <w:spacing w:line="360" w:lineRule="auto"/>
        <w:ind w:firstLine="600" w:firstLineChars="200"/>
        <w:rPr>
          <w:rFonts w:hint="eastAsia" w:ascii="宋体" w:hAnsi="宋体" w:eastAsia="宋体" w:cs="宋体"/>
          <w:color w:val="auto"/>
          <w:sz w:val="30"/>
          <w:szCs w:val="30"/>
          <w:highlight w:val="none"/>
          <w:lang w:val="en-US" w:eastAsia="zh-CN"/>
        </w:rPr>
      </w:pPr>
      <w:r>
        <w:rPr>
          <w:rFonts w:hint="eastAsia" w:ascii="宋体" w:hAnsi="宋体"/>
          <w:bCs/>
          <w:color w:val="auto"/>
          <w:sz w:val="30"/>
          <w:szCs w:val="30"/>
          <w:highlight w:val="none"/>
          <w:lang w:val="zh-CN"/>
        </w:rPr>
        <w:t>财务部电话：0914-2858889</w:t>
      </w:r>
    </w:p>
    <w:p>
      <w:pPr>
        <w:spacing w:line="480" w:lineRule="auto"/>
        <w:ind w:firstLine="620" w:firstLineChars="194"/>
        <w:rPr>
          <w:rFonts w:ascii="宋体" w:hAnsi="宋体"/>
          <w:bCs/>
          <w:color w:val="auto"/>
          <w:sz w:val="32"/>
          <w:szCs w:val="32"/>
          <w:highlight w:val="none"/>
        </w:rPr>
      </w:pPr>
    </w:p>
    <w:p>
      <w:pPr>
        <w:spacing w:line="480" w:lineRule="auto"/>
        <w:ind w:firstLine="620" w:firstLineChars="194"/>
        <w:rPr>
          <w:rFonts w:ascii="宋体" w:hAnsi="宋体"/>
          <w:bCs/>
          <w:color w:val="auto"/>
          <w:sz w:val="32"/>
          <w:szCs w:val="32"/>
          <w:highlight w:val="none"/>
          <w:lang w:val="zh-CN"/>
        </w:rPr>
      </w:pPr>
    </w:p>
    <w:p>
      <w:pPr>
        <w:spacing w:line="480" w:lineRule="auto"/>
        <w:rPr>
          <w:rFonts w:hint="eastAsia" w:ascii="宋体" w:hAnsi="宋体"/>
          <w:b/>
          <w:bCs/>
          <w:color w:val="auto"/>
          <w:sz w:val="28"/>
          <w:szCs w:val="28"/>
          <w:highlight w:val="none"/>
          <w:lang w:val="zh-CN"/>
        </w:rPr>
      </w:pPr>
      <w:r>
        <w:rPr>
          <w:rFonts w:hint="eastAsia" w:ascii="宋体" w:hAnsi="宋体"/>
          <w:bCs/>
          <w:color w:val="auto"/>
          <w:sz w:val="28"/>
          <w:szCs w:val="28"/>
          <w:highlight w:val="none"/>
          <w:lang w:val="zh-CN"/>
        </w:rPr>
        <w:t xml:space="preserve">    </w:t>
      </w:r>
      <w:r>
        <w:rPr>
          <w:rFonts w:hint="eastAsia" w:ascii="宋体" w:hAnsi="宋体"/>
          <w:b/>
          <w:bCs/>
          <w:color w:val="auto"/>
          <w:sz w:val="28"/>
          <w:szCs w:val="28"/>
          <w:highlight w:val="none"/>
          <w:lang w:val="zh-CN"/>
        </w:rPr>
        <w:t>请将投标保证金汇至下列指定账户：</w:t>
      </w:r>
    </w:p>
    <w:p>
      <w:pPr>
        <w:spacing w:line="480" w:lineRule="auto"/>
        <w:ind w:firstLine="560" w:firstLineChars="200"/>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开户名称：</w:t>
      </w:r>
      <w:r>
        <w:rPr>
          <w:rFonts w:hint="eastAsia" w:ascii="宋体" w:hAnsi="宋体"/>
          <w:color w:val="auto"/>
          <w:kern w:val="0"/>
          <w:sz w:val="28"/>
          <w:szCs w:val="28"/>
          <w:highlight w:val="none"/>
          <w:lang w:eastAsia="zh-CN"/>
        </w:rPr>
        <w:t>华智建造价咨询有限公司</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 户 行：</w:t>
      </w:r>
      <w:r>
        <w:rPr>
          <w:rFonts w:hint="eastAsia" w:ascii="宋体" w:hAnsi="宋体"/>
          <w:color w:val="auto"/>
          <w:kern w:val="0"/>
          <w:sz w:val="28"/>
          <w:szCs w:val="28"/>
          <w:highlight w:val="none"/>
          <w:lang w:eastAsia="zh-CN"/>
        </w:rPr>
        <w:t>招商银行西安分行西安太白路支行</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账    号：</w:t>
      </w:r>
      <w:r>
        <w:rPr>
          <w:rFonts w:hint="eastAsia" w:ascii="宋体" w:hAnsi="宋体" w:eastAsia="宋体" w:cs="宋体"/>
          <w:color w:val="auto"/>
          <w:sz w:val="30"/>
          <w:szCs w:val="30"/>
          <w:highlight w:val="none"/>
          <w:lang w:val="en-US" w:eastAsia="zh-CN"/>
        </w:rPr>
        <w:t>129910591110108</w:t>
      </w:r>
    </w:p>
    <w:p>
      <w:pPr>
        <w:widowControl/>
        <w:spacing w:line="480" w:lineRule="auto"/>
        <w:ind w:right="-197" w:rightChars="-94" w:firstLine="555"/>
        <w:jc w:val="left"/>
        <w:rPr>
          <w:rFonts w:ascii="宋体" w:hAnsi="宋体"/>
          <w:color w:val="auto"/>
          <w:sz w:val="28"/>
          <w:szCs w:val="28"/>
          <w:highlight w:val="none"/>
          <w:shd w:val="clear" w:color="auto" w:fill="FCFCFC"/>
        </w:rPr>
      </w:pPr>
    </w:p>
    <w:p>
      <w:pPr>
        <w:widowControl/>
        <w:spacing w:line="480" w:lineRule="auto"/>
        <w:ind w:right="-197" w:rightChars="-94" w:firstLine="555"/>
        <w:jc w:val="left"/>
        <w:rPr>
          <w:rFonts w:ascii="宋体" w:hAnsi="宋体"/>
          <w:color w:val="auto"/>
          <w:sz w:val="28"/>
          <w:szCs w:val="28"/>
          <w:highlight w:val="none"/>
          <w:shd w:val="clear" w:color="auto" w:fill="FCFCFC"/>
        </w:rPr>
      </w:pPr>
    </w:p>
    <w:p>
      <w:pPr>
        <w:spacing w:line="480" w:lineRule="auto"/>
        <w:rPr>
          <w:rFonts w:ascii="宋体" w:hAnsi="宋体"/>
          <w:b/>
          <w:bCs/>
          <w:color w:val="auto"/>
          <w:sz w:val="28"/>
          <w:szCs w:val="28"/>
          <w:highlight w:val="none"/>
          <w:lang w:val="zh-CN"/>
        </w:rPr>
      </w:pPr>
      <w:r>
        <w:rPr>
          <w:rFonts w:hint="eastAsia" w:ascii="宋体" w:hAnsi="宋体"/>
          <w:b/>
          <w:bCs/>
          <w:color w:val="auto"/>
          <w:sz w:val="28"/>
          <w:szCs w:val="28"/>
          <w:highlight w:val="none"/>
          <w:lang w:val="zh-CN"/>
        </w:rPr>
        <w:t xml:space="preserve">    请将招标代理服务费汇至下列指定账户：</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开户名称：</w:t>
      </w:r>
      <w:r>
        <w:rPr>
          <w:rFonts w:hint="eastAsia" w:ascii="宋体" w:hAnsi="宋体"/>
          <w:color w:val="auto"/>
          <w:kern w:val="0"/>
          <w:sz w:val="28"/>
          <w:szCs w:val="28"/>
          <w:highlight w:val="none"/>
          <w:lang w:eastAsia="zh-CN"/>
        </w:rPr>
        <w:t>华智建造价咨询有限公司西安分公司</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 户 行：</w:t>
      </w:r>
      <w:r>
        <w:rPr>
          <w:rFonts w:hint="eastAsia" w:ascii="宋体" w:hAnsi="宋体"/>
          <w:color w:val="auto"/>
          <w:kern w:val="0"/>
          <w:sz w:val="28"/>
          <w:szCs w:val="28"/>
          <w:highlight w:val="none"/>
          <w:lang w:eastAsia="zh-CN"/>
        </w:rPr>
        <w:t>招商银行股份有限公司西安太白路支行</w:t>
      </w:r>
    </w:p>
    <w:p>
      <w:pPr>
        <w:ind w:firstLine="560" w:firstLineChars="200"/>
        <w:jc w:val="left"/>
        <w:rPr>
          <w:rFonts w:ascii="黑体" w:hAnsi="黑体" w:eastAsia="黑体"/>
          <w:b/>
          <w:color w:val="auto"/>
          <w:sz w:val="36"/>
          <w:szCs w:val="36"/>
          <w:highlight w:val="none"/>
        </w:rPr>
      </w:pPr>
      <w:r>
        <w:rPr>
          <w:rFonts w:hint="eastAsia" w:ascii="宋体" w:hAnsi="宋体"/>
          <w:color w:val="auto"/>
          <w:kern w:val="0"/>
          <w:sz w:val="28"/>
          <w:szCs w:val="28"/>
          <w:highlight w:val="none"/>
        </w:rPr>
        <w:t>账   号：</w:t>
      </w:r>
      <w:r>
        <w:rPr>
          <w:rFonts w:hint="eastAsia" w:ascii="宋体" w:hAnsi="宋体" w:eastAsia="宋体" w:cs="宋体"/>
          <w:color w:val="auto"/>
          <w:sz w:val="30"/>
          <w:szCs w:val="30"/>
          <w:highlight w:val="none"/>
          <w:lang w:val="en-US" w:eastAsia="zh-CN"/>
        </w:rPr>
        <w:t>129914472910802</w:t>
      </w:r>
    </w:p>
    <w:p>
      <w:pPr>
        <w:spacing w:line="480" w:lineRule="exact"/>
        <w:jc w:val="center"/>
        <w:rPr>
          <w:rFonts w:hint="eastAsia" w:ascii="方正小标宋简体" w:hAnsi="宋体" w:eastAsia="方正小标宋简体"/>
          <w:bCs/>
          <w:color w:val="auto"/>
          <w:sz w:val="36"/>
          <w:highlight w:val="none"/>
        </w:rPr>
      </w:pPr>
    </w:p>
    <w:p>
      <w:pPr>
        <w:spacing w:line="480" w:lineRule="exact"/>
        <w:jc w:val="center"/>
        <w:rPr>
          <w:rFonts w:ascii="方正小标宋简体" w:hAnsi="宋体" w:eastAsia="方正小标宋简体"/>
          <w:bCs/>
          <w:color w:val="auto"/>
          <w:sz w:val="36"/>
          <w:highlight w:val="none"/>
        </w:rPr>
      </w:pPr>
      <w:r>
        <w:rPr>
          <w:rFonts w:hint="eastAsia" w:ascii="方正小标宋简体" w:hAnsi="宋体" w:eastAsia="方正小标宋简体"/>
          <w:bCs/>
          <w:color w:val="auto"/>
          <w:sz w:val="36"/>
          <w:highlight w:val="none"/>
        </w:rPr>
        <w:t>目    录</w:t>
      </w:r>
    </w:p>
    <w:p>
      <w:pPr>
        <w:pStyle w:val="22"/>
        <w:tabs>
          <w:tab w:val="right" w:leader="dot" w:pos="8959"/>
        </w:tabs>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44"/>
          <w:sz w:val="24"/>
          <w:highlight w:val="none"/>
        </w:rPr>
        <w:fldChar w:fldCharType="begin"/>
      </w:r>
      <w:r>
        <w:rPr>
          <w:rFonts w:hint="eastAsia" w:asciiTheme="minorEastAsia" w:hAnsiTheme="minorEastAsia" w:eastAsiaTheme="minorEastAsia" w:cstheme="minorEastAsia"/>
          <w:b/>
          <w:color w:val="auto"/>
          <w:kern w:val="44"/>
          <w:sz w:val="24"/>
          <w:highlight w:val="none"/>
        </w:rPr>
        <w:instrText xml:space="preserve">TOC \o "1-2" \h \u </w:instrText>
      </w:r>
      <w:r>
        <w:rPr>
          <w:rFonts w:hint="eastAsia" w:asciiTheme="minorEastAsia" w:hAnsiTheme="minorEastAsia" w:eastAsiaTheme="minorEastAsia" w:cstheme="minorEastAsia"/>
          <w:b/>
          <w:color w:val="auto"/>
          <w:kern w:val="44"/>
          <w:sz w:val="24"/>
          <w:highlight w:val="none"/>
        </w:rPr>
        <w:fldChar w:fldCharType="separate"/>
      </w:r>
      <w:r>
        <w:rPr>
          <w:color w:val="auto"/>
          <w:highlight w:val="none"/>
        </w:rPr>
        <w:fldChar w:fldCharType="begin"/>
      </w:r>
      <w:r>
        <w:rPr>
          <w:color w:val="auto"/>
          <w:highlight w:val="none"/>
        </w:rPr>
        <w:instrText xml:space="preserve"> HYPERLINK \l "_Toc30886" </w:instrText>
      </w:r>
      <w:r>
        <w:rPr>
          <w:color w:val="auto"/>
          <w:highlight w:val="none"/>
        </w:rPr>
        <w:fldChar w:fldCharType="separate"/>
      </w:r>
      <w:r>
        <w:rPr>
          <w:rFonts w:hint="eastAsia" w:asciiTheme="minorEastAsia" w:hAnsiTheme="minorEastAsia" w:eastAsiaTheme="minorEastAsia" w:cstheme="minorEastAsia"/>
          <w:color w:val="auto"/>
          <w:kern w:val="44"/>
          <w:sz w:val="24"/>
          <w:highlight w:val="none"/>
        </w:rPr>
        <w:t>第一</w:t>
      </w:r>
      <w:r>
        <w:rPr>
          <w:rFonts w:hint="eastAsia" w:asciiTheme="minorEastAsia" w:hAnsiTheme="minorEastAsia" w:eastAsiaTheme="minorEastAsia" w:cstheme="minorEastAsia"/>
          <w:color w:val="auto"/>
          <w:sz w:val="24"/>
          <w:highlight w:val="none"/>
        </w:rPr>
        <w:t>章  招标公告</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_Toc30886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2"/>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"_Toc32185" </w:instrText>
      </w:r>
      <w:r>
        <w:rPr>
          <w:color w:val="auto"/>
          <w:highlight w:val="none"/>
        </w:rPr>
        <w:fldChar w:fldCharType="separate"/>
      </w:r>
      <w:r>
        <w:rPr>
          <w:rFonts w:hint="eastAsia" w:asciiTheme="minorEastAsia" w:hAnsiTheme="minorEastAsia" w:eastAsiaTheme="minorEastAsia" w:cstheme="minorEastAsia"/>
          <w:color w:val="auto"/>
          <w:kern w:val="44"/>
          <w:sz w:val="24"/>
          <w:highlight w:val="none"/>
        </w:rPr>
        <w:t>第二</w:t>
      </w:r>
      <w:r>
        <w:rPr>
          <w:rFonts w:hint="eastAsia" w:asciiTheme="minorEastAsia" w:hAnsiTheme="minorEastAsia" w:eastAsiaTheme="minorEastAsia" w:cstheme="minorEastAsia"/>
          <w:color w:val="auto"/>
          <w:sz w:val="24"/>
          <w:highlight w:val="none"/>
        </w:rPr>
        <w:t>章  投标人须知</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_Toc32185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13</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"_Toc24480" </w:instrText>
      </w:r>
      <w:r>
        <w:rPr>
          <w:color w:val="auto"/>
          <w:highlight w:val="none"/>
        </w:rPr>
        <w:fldChar w:fldCharType="separate"/>
      </w:r>
      <w:r>
        <w:rPr>
          <w:rFonts w:hint="eastAsia" w:asciiTheme="minorEastAsia" w:hAnsiTheme="minorEastAsia" w:eastAsiaTheme="minorEastAsia" w:cstheme="minorEastAsia"/>
          <w:bCs/>
          <w:color w:val="auto"/>
          <w:sz w:val="24"/>
          <w:highlight w:val="none"/>
        </w:rPr>
        <w:t>1.总则</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_Toc24480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19</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"_Toc3513" </w:instrText>
      </w:r>
      <w:r>
        <w:rPr>
          <w:color w:val="auto"/>
          <w:highlight w:val="none"/>
        </w:rPr>
        <w:fldChar w:fldCharType="separate"/>
      </w:r>
      <w:r>
        <w:rPr>
          <w:rFonts w:hint="eastAsia" w:asciiTheme="minorEastAsia" w:hAnsiTheme="minorEastAsia" w:eastAsiaTheme="minorEastAsia" w:cstheme="minorEastAsia"/>
          <w:bCs/>
          <w:color w:val="auto"/>
          <w:sz w:val="24"/>
          <w:highlight w:val="none"/>
        </w:rPr>
        <w:t>2.招标文件</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_Toc3513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21</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"_Toc21102" </w:instrText>
      </w:r>
      <w:r>
        <w:rPr>
          <w:color w:val="auto"/>
          <w:highlight w:val="none"/>
        </w:rPr>
        <w:fldChar w:fldCharType="separate"/>
      </w:r>
      <w:r>
        <w:rPr>
          <w:rFonts w:hint="eastAsia" w:asciiTheme="minorEastAsia" w:hAnsiTheme="minorEastAsia" w:eastAsiaTheme="minorEastAsia" w:cstheme="minorEastAsia"/>
          <w:bCs/>
          <w:color w:val="auto"/>
          <w:sz w:val="24"/>
          <w:highlight w:val="none"/>
        </w:rPr>
        <w:t>3.投标人</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_Toc21102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22</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"_Toc30717" </w:instrText>
      </w:r>
      <w:r>
        <w:rPr>
          <w:color w:val="auto"/>
          <w:highlight w:val="none"/>
        </w:rPr>
        <w:fldChar w:fldCharType="separate"/>
      </w:r>
      <w:r>
        <w:rPr>
          <w:rFonts w:hint="eastAsia" w:asciiTheme="minorEastAsia" w:hAnsiTheme="minorEastAsia" w:eastAsiaTheme="minorEastAsia" w:cstheme="minorEastAsia"/>
          <w:bCs/>
          <w:color w:val="auto"/>
          <w:sz w:val="24"/>
          <w:highlight w:val="none"/>
        </w:rPr>
        <w:t>4.投标文件</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_Toc30717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26</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"_Toc18996" </w:instrText>
      </w:r>
      <w:r>
        <w:rPr>
          <w:color w:val="auto"/>
          <w:highlight w:val="none"/>
        </w:rPr>
        <w:fldChar w:fldCharType="separate"/>
      </w:r>
      <w:r>
        <w:rPr>
          <w:rFonts w:hint="eastAsia" w:asciiTheme="minorEastAsia" w:hAnsiTheme="minorEastAsia" w:eastAsiaTheme="minorEastAsia" w:cstheme="minorEastAsia"/>
          <w:bCs/>
          <w:color w:val="auto"/>
          <w:sz w:val="24"/>
          <w:highlight w:val="none"/>
        </w:rPr>
        <w:t>5.投标</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_Toc18996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31</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"_Toc28948"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6.开标</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_Toc28948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32</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"_Toc12631"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7.投标人资格审查</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_Toc12631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33</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"_Toc27031"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8.评标</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_Toc27031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34</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"_Toc20140"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9.定标</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_Toc20140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38</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"_Toc19233"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10.合同授予</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_Toc19233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39</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"_Toc4881"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11.废标或变更采购方式</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_Toc4881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40</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"_Toc514"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12.招标代理服务费</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_Toc514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40</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"_Toc9439"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13.质疑与投诉</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_Toc9439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41</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"_Toc24938"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14.其他</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_Toc24938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42</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2"/>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"_Toc8148"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第三章  评标办法</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_Toc8148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46</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"_Toc7719"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1.评标程序</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_Toc7719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46</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4"/>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"_Toc30055"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2.评标方法</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_Toc30055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48</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2"/>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"_Toc15408"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第四章  采购内容及要求</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_Toc15408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53</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2"/>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"_Toc30884"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第五章  政府采购合同格式</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_Toc30884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54</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22"/>
        <w:tabs>
          <w:tab w:val="right" w:leader="dot" w:pos="8959"/>
        </w:tabs>
        <w:spacing w:line="360" w:lineRule="auto"/>
        <w:rPr>
          <w:rFonts w:asciiTheme="minorEastAsia" w:hAnsiTheme="minorEastAsia" w:eastAsiaTheme="minorEastAsia" w:cstheme="minorEastAsia"/>
          <w:color w:val="auto"/>
          <w:sz w:val="24"/>
          <w:highlight w:val="none"/>
        </w:rPr>
      </w:pPr>
      <w:r>
        <w:rPr>
          <w:color w:val="auto"/>
          <w:highlight w:val="none"/>
        </w:rPr>
        <w:fldChar w:fldCharType="begin"/>
      </w:r>
      <w:r>
        <w:rPr>
          <w:color w:val="auto"/>
          <w:highlight w:val="none"/>
        </w:rPr>
        <w:instrText xml:space="preserve"> HYPERLINK \l "_Toc28043" </w:instrText>
      </w:r>
      <w:r>
        <w:rPr>
          <w:color w:val="auto"/>
          <w:highlight w:val="none"/>
        </w:rPr>
        <w:fldChar w:fldCharType="separate"/>
      </w:r>
      <w:r>
        <w:rPr>
          <w:rFonts w:hint="eastAsia" w:asciiTheme="minorEastAsia" w:hAnsiTheme="minorEastAsia" w:eastAsiaTheme="minorEastAsia" w:cstheme="minorEastAsia"/>
          <w:color w:val="auto"/>
          <w:sz w:val="24"/>
          <w:highlight w:val="none"/>
        </w:rPr>
        <w:t>第六章  投标文件格式</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PAGEREF _Toc28043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60</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fldChar w:fldCharType="end"/>
      </w:r>
    </w:p>
    <w:p>
      <w:pPr>
        <w:pStyle w:val="7"/>
        <w:spacing w:beforeLines="50" w:afterLines="150" w:line="360" w:lineRule="auto"/>
        <w:ind w:firstLine="0"/>
        <w:jc w:val="center"/>
        <w:rPr>
          <w:rFonts w:ascii="黑体" w:hAnsi="宋体" w:eastAsia="黑体"/>
          <w:b/>
          <w:color w:val="auto"/>
          <w:kern w:val="44"/>
          <w:sz w:val="44"/>
          <w:szCs w:val="44"/>
          <w:highlight w:val="none"/>
        </w:rPr>
      </w:pPr>
      <w:r>
        <w:rPr>
          <w:rFonts w:hint="eastAsia" w:asciiTheme="minorEastAsia" w:hAnsiTheme="minorEastAsia" w:eastAsiaTheme="minorEastAsia" w:cstheme="minorEastAsia"/>
          <w:color w:val="auto"/>
          <w:kern w:val="44"/>
          <w:sz w:val="24"/>
          <w:szCs w:val="24"/>
          <w:highlight w:val="none"/>
        </w:rPr>
        <w:fldChar w:fldCharType="end"/>
      </w:r>
    </w:p>
    <w:p>
      <w:pPr>
        <w:pStyle w:val="7"/>
        <w:spacing w:beforeLines="50" w:afterLines="150"/>
        <w:ind w:firstLine="0"/>
        <w:jc w:val="center"/>
        <w:rPr>
          <w:rFonts w:ascii="黑体" w:hAnsi="宋体" w:eastAsia="黑体"/>
          <w:b/>
          <w:color w:val="auto"/>
          <w:kern w:val="44"/>
          <w:sz w:val="44"/>
          <w:szCs w:val="44"/>
          <w:highlight w:val="none"/>
        </w:rPr>
        <w:sectPr>
          <w:headerReference r:id="rId9" w:type="first"/>
          <w:footerReference r:id="rId11" w:type="first"/>
          <w:headerReference r:id="rId8" w:type="default"/>
          <w:footerReference r:id="rId10" w:type="default"/>
          <w:pgSz w:w="11907" w:h="16840"/>
          <w:pgMar w:top="1440" w:right="1474" w:bottom="1440" w:left="1474" w:header="851" w:footer="992" w:gutter="0"/>
          <w:cols w:space="720" w:num="1"/>
          <w:titlePg/>
        </w:sectPr>
      </w:pPr>
    </w:p>
    <w:p>
      <w:pPr>
        <w:pStyle w:val="7"/>
        <w:spacing w:beforeLines="50" w:afterLines="150"/>
        <w:ind w:firstLine="0"/>
        <w:jc w:val="center"/>
        <w:outlineLvl w:val="0"/>
        <w:rPr>
          <w:rFonts w:ascii="黑体" w:hAnsi="宋体" w:eastAsia="黑体"/>
          <w:color w:val="auto"/>
          <w:highlight w:val="none"/>
        </w:rPr>
      </w:pPr>
      <w:bookmarkStart w:id="2" w:name="_Toc30886"/>
      <w:r>
        <w:rPr>
          <w:rFonts w:hint="eastAsia" w:ascii="黑体" w:hAnsi="宋体" w:eastAsia="黑体"/>
          <w:b/>
          <w:color w:val="auto"/>
          <w:kern w:val="44"/>
          <w:sz w:val="44"/>
          <w:szCs w:val="44"/>
          <w:highlight w:val="none"/>
        </w:rPr>
        <w:t>第一</w:t>
      </w:r>
      <w:r>
        <w:rPr>
          <w:rFonts w:hint="eastAsia" w:ascii="黑体" w:hAnsi="宋体" w:eastAsia="黑体"/>
          <w:b/>
          <w:color w:val="auto"/>
          <w:sz w:val="44"/>
          <w:szCs w:val="44"/>
          <w:highlight w:val="none"/>
        </w:rPr>
        <w:t>章  招标公告</w:t>
      </w:r>
      <w:bookmarkEnd w:id="2"/>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宋体" w:hAnsi="宋体" w:eastAsia="宋体" w:cs="宋体"/>
          <w:b w:val="0"/>
          <w:bCs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白水县2021年-2022年高标准农田改造提升项目招标项目的潜在投标人应在西安市莲湖区丰庆路48号1幢305室（华智建造价咨询有限公司）获取招标文件，并于 2023年09月20日 09时00分 （北京时间）前递交投标文件。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项目编号：HZJZS2023-0092-3</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项目名称：白水县2021年-2022年高标准农田改造提升项目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采购方式：公开招标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预算金额：24,088,100.00元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合同包1(施工一标段):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合同包预算金额：1,548,100.00元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合同包最高限价：1,548,100.00元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814"/>
        <w:gridCol w:w="2678"/>
        <w:gridCol w:w="747"/>
        <w:gridCol w:w="771"/>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6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6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北塬镇顺孝村4m 混凝土道路、北塬镇顺孝村3.5m 混凝土道路、北塬镇顺孝村道路排水沟、北塬镇鹿角村新建蓄水池（800m³）、北塬镇鹿角村给水管道</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1,548,100.00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1,548,100.00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合同包2(施工二标段):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合同包预算金额：1,529,000.00元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合同包最高限价：1,529,000.00元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6"/>
        <w:gridCol w:w="708"/>
        <w:gridCol w:w="2980"/>
        <w:gridCol w:w="726"/>
        <w:gridCol w:w="729"/>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6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9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2-1</w:t>
            </w:r>
          </w:p>
        </w:tc>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9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尧禾镇安乐村3m 混凝土道路3、尧禾镇安乐村3m 混凝土道路1、北塬镇北塬村4m 混凝土道路、北塬镇北塬村3m 混凝土道路1、北塬镇北塬村3m 混凝土道路2、雷牙镇北井头村3m 混凝土道路2</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1,529,000.00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1,529,000.00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合同包3(施工三标段):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合同包预算金额：1,547,400.00元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合同包最高限价：1,547,400.00元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8"/>
        <w:gridCol w:w="772"/>
        <w:gridCol w:w="2870"/>
        <w:gridCol w:w="734"/>
        <w:gridCol w:w="745"/>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3-1</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雷牙镇北井头村3m 混凝土道路1、尧禾镇安乐村3m 混凝土道路2、尧禾镇阿西村灌溉管道（De160 PE 1.0MPa）、尧禾镇子阿村3m宽砂石路2、尧禾镇子阿村3m宽砂石路1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1,547,400.00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1,547,400.00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合同包4(施工四标段):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合同包预算金额：1,527,100.00元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合同包最高限价：1,527,100.00元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3"/>
        <w:gridCol w:w="794"/>
        <w:gridCol w:w="2823"/>
        <w:gridCol w:w="734"/>
        <w:gridCol w:w="745"/>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8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4-1</w:t>
            </w:r>
          </w:p>
        </w:tc>
        <w:tc>
          <w:tcPr>
            <w:tcW w:w="7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8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尧禾镇阿西村4m 混凝土道路、尧禾镇子阿村重建蓄水池（500m³）、雷牙镇李家卓村蓄水池扩建（500m³）、史官镇南彭衙村4m 混凝土道路、杜康镇大杨村4m 混凝土道路2</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1,527,100.00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1,527,100.00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合同包5(施工五标段):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合同包预算金额：1,816,900.00元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合同包最高限价：1,816,900.00元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4"/>
        <w:gridCol w:w="772"/>
        <w:gridCol w:w="2784"/>
        <w:gridCol w:w="747"/>
        <w:gridCol w:w="772"/>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5-1</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7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史官镇南彭衙村3.5m 混凝土道路、史官镇群英村4m 混凝土道路、史官镇丰乐村3.5m 混凝土道路2、杜康镇大杨村4m 混凝土道路1、史官镇群英村土壤改良</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1,816,900.00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1,816,900.00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合同包6(施工六标段):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合同包预算金额：1,048,200.00元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合同包最高限价：1,048,200.00元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6"/>
        <w:gridCol w:w="791"/>
        <w:gridCol w:w="2246"/>
        <w:gridCol w:w="971"/>
        <w:gridCol w:w="1221"/>
        <w:gridCol w:w="1682"/>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6-1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史官镇丰乐村3.5m 混凝土道路1、史官镇群英村土壤改良</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1,048,200.00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1,048,200.00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合同包7(施工七标段):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合同包预算金额：1,859,400.00元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合同包最高限价：1,859,400.00元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3"/>
        <w:gridCol w:w="836"/>
        <w:gridCol w:w="2406"/>
        <w:gridCol w:w="838"/>
        <w:gridCol w:w="954"/>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4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7-1</w:t>
            </w:r>
          </w:p>
        </w:tc>
        <w:tc>
          <w:tcPr>
            <w:tcW w:w="8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4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史官镇洞耳村新建蓄水池（500m³）、史官镇北彭衙村土壤改良及地力培肥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1,859,400.00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1,859,400.00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合同包8(土壤改良一标段):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合同包预算金额：1,497,800.00元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合同包最高限价：1,497,800.00元</w:t>
      </w:r>
    </w:p>
    <w:tbl>
      <w:tblPr>
        <w:tblStyle w:val="29"/>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2"/>
        <w:gridCol w:w="675"/>
        <w:gridCol w:w="2888"/>
        <w:gridCol w:w="793"/>
        <w:gridCol w:w="1072"/>
        <w:gridCol w:w="1714"/>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6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8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7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0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8-1</w:t>
            </w:r>
          </w:p>
        </w:tc>
        <w:tc>
          <w:tcPr>
            <w:tcW w:w="6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8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林皋镇段塬村土壤改良及地力培肥、林皋镇古槐村土壤改良及地力培肥、杜康镇张家塬村土壤改良及地力培肥、史官镇丰乐村土壤改良及地力培肥</w:t>
            </w:r>
          </w:p>
        </w:tc>
        <w:tc>
          <w:tcPr>
            <w:tcW w:w="7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10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1,497,800.00</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1,497,800.00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合同包9(土壤改良二标段):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合同包预算金额：1,522,600.00元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合同包最高限价：1,522,600.00元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857"/>
        <w:gridCol w:w="2317"/>
        <w:gridCol w:w="852"/>
        <w:gridCol w:w="982"/>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3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9-1</w:t>
            </w:r>
          </w:p>
        </w:tc>
        <w:tc>
          <w:tcPr>
            <w:tcW w:w="8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3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史官镇首居村土壤改良及地力培肥、北塬镇贺家塬土壤改良及地力培肥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1,522,600.00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1,522,600.00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合同包10(土壤改良三标段):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合同包预算金额：1,519,400.00元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合同包最高限价：1,519,400.00元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0"/>
        <w:gridCol w:w="814"/>
        <w:gridCol w:w="2359"/>
        <w:gridCol w:w="852"/>
        <w:gridCol w:w="982"/>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10-1</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城关镇白堡村土壤改良及地力培肥、雷牙镇北乾村土壤改良及地力培肥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1,519,400.00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1,519,400.00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合同包11(土壤改良四标段):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合同包预算金额：1,477,200.00元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合同包最高限价：1,477,200.00元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6"/>
        <w:gridCol w:w="685"/>
        <w:gridCol w:w="2781"/>
        <w:gridCol w:w="756"/>
        <w:gridCol w:w="791"/>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6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11-1</w:t>
            </w:r>
          </w:p>
        </w:tc>
        <w:tc>
          <w:tcPr>
            <w:tcW w:w="6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7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尧禾镇百草村土壤改良及地力培肥、尧禾镇田家洼村土壤改良及地力培肥、尧禾镇子阿村土壤改良及地力培肥、雷牙镇雷牙村土壤改良及地力培肥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1,477,200.00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1,477,200.00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合同包12(绿化施工一标段):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合同包预算金额：2,120,900.00元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合同包最高限价：2,120,900.00元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1"/>
        <w:gridCol w:w="665"/>
        <w:gridCol w:w="2955"/>
        <w:gridCol w:w="727"/>
        <w:gridCol w:w="731"/>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6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9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12-1</w:t>
            </w:r>
          </w:p>
        </w:tc>
        <w:tc>
          <w:tcPr>
            <w:tcW w:w="6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9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林皋镇可仙村、南马村绿化施工，尧禾镇阿西村、子阿村、汉寨村绿化施工、城关街道办侯家塬、小雷公村、新庄村、耀卓村绿化施工、西固镇龙山村绿化施工、北塬镇北塬村、顺孝村绿化施工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2,120,900.00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2,120,900.00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合同包13(绿化施工二标段):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合同包预算金额：2,123,000.00元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合同包最高限价：2,123,000.00元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2"/>
        <w:gridCol w:w="858"/>
        <w:gridCol w:w="2767"/>
        <w:gridCol w:w="738"/>
        <w:gridCol w:w="754"/>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13-1</w:t>
            </w:r>
          </w:p>
        </w:tc>
        <w:tc>
          <w:tcPr>
            <w:tcW w:w="8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7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城关街道办文化村绿化施工，史官镇北彭衙村、丰乐村、洞耳村绿化施工，杜康镇大杨村、冯家村、康家卫村绿化施工，雷牙镇北井头村、许家村、邱木村、先进村绿化施工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2,123,000.00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2,123,000.00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合同包14(监理一标段):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合同包预算金额：809,400.00元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合同包最高限价：809,400.00元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1"/>
        <w:gridCol w:w="1102"/>
        <w:gridCol w:w="1288"/>
        <w:gridCol w:w="1221"/>
        <w:gridCol w:w="1721"/>
        <w:gridCol w:w="1568"/>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14-1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监理一标段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809,400.00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809,400.00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合同履行期限：签定合同协议书起至工程竣工验收合格后一年止。</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合同包15(监理二标段):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合同包预算金额：535,100.00元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合同包最高限价：535,100.00元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1"/>
        <w:gridCol w:w="1102"/>
        <w:gridCol w:w="1288"/>
        <w:gridCol w:w="1221"/>
        <w:gridCol w:w="1721"/>
        <w:gridCol w:w="1568"/>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15-1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监理二标段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535,100.00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535,100.00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合同履行期限：签定合同协议书起至工程竣工验收合格后一年止。</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合同包16(监理三标段):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合同包预算金额：481,600.00元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合同包最高限价：481,600.00元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1"/>
        <w:gridCol w:w="1102"/>
        <w:gridCol w:w="1288"/>
        <w:gridCol w:w="1221"/>
        <w:gridCol w:w="1721"/>
        <w:gridCol w:w="1568"/>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16-1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监理三标段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481,600.00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481,600.00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合同履行期限：签定合同协议书起至工程竣工验收合格后一年止。</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合同包17(耕地质量等级评定及上图入库):</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合同包预算金额：750,000.00元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合同包最高限价：750,000.00元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963"/>
        <w:gridCol w:w="1878"/>
        <w:gridCol w:w="1109"/>
        <w:gridCol w:w="1496"/>
        <w:gridCol w:w="1539"/>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17-1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耕地质量等级评定及上图入库</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750,000.00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750,000.00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合同包18(科技推广):</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合同包预算金额：375,000.00元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合同包最高限价：375,000.00元</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0"/>
        <w:gridCol w:w="1125"/>
        <w:gridCol w:w="1190"/>
        <w:gridCol w:w="1240"/>
        <w:gridCol w:w="1758"/>
        <w:gridCol w:w="1573"/>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18-1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科技推广</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375,000.00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375,000.00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合同履行期限：90天内完成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合同包1(施工一标段)落实政府采购政策需满足的资格要求如下: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本项目专门面向中小企业采购（提供中小企业声明函，监狱企业和残疾人福利性单位视同小微企业）；</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（1）《政府采购促进中小企业发展管理办法》（财库〔2020〕46号）；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（2）《财政部 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（3）《财政部 民政部 中国残疾人联合会关于促进残疾人就业政府采购政策的通知》（财库〔2017〕141号）；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（4）《财政部 国家发展改革委关于印发(节能产品政府采购实施意见)的通知》(财库〔2004〕185号)；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（5）《国务院办公厅关于建立政府强制采购节能产品制度的通知》(国办发〔2007〕51号)；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（6）《财政部 环保总局关于环境标志产品政府采购实施的意见》(财库〔2006〕90号)；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（7）《财政部 发展改革委 生态环境部 市场监管总局关于调整优化节能产品、环境标志产品政府采购执行机制的通知》（财库〔2019〕9号）；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（8）《关于印发环境标志产品政府采购品目清单的通知》（财库〔2019〕18号）；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（9）《关于印发节能产品政府采购品目清单的通知》（财库〔2019〕19号）；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（10）《财政部 农业农村部 国家乡村振兴局关于运用政府采购政策支持乡村产业振兴的通知》（财库〔2021〕19号）；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（11）《陕西省财政厅关于印发陕西省中小企业政府采购信用融资办法》（陕财办采〔2018〕23号）；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（12）《陕西省财政厅关于加快推进我省中小企业政府采购信用融资工作的通知》（陕财办采〔2020〕15号）。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合同包2(施工二标段)落实政府采购政策需满足的资格要求如下: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合同包3(施工三标段)落实政府采购政策需满足的资格要求如下: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合同包4(施工四标段)落实政府采购政策需满足的资格要求如下: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合同包5(施工五标段)落实政府采购政策需满足的资格要求如下: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合同包6(施工六标段)落实政府采购政策需满足的资格要求如下: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合同包7(施工七标段)落实政府采购政策需满足的资格要求如下: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合同包8(土壤改良一标段)落实政府采购政策需满足的资格要求如下: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合同包9(土壤改良二标段)落实政府采购政策需满足的资格要求如下: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合同包10(土壤改良三标段)落实政府采购政策需满足的资格要求如下: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合同包11(土壤改良四标段)落实政府采购政策需满足的资格要求如下: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合同包12(绿化施工一标段)落实政府采购政策需满足的资格要求如下: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合同包13(绿化施工二标段)落实政府采购政策需满足的资格要求如下: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合同包14(监理一标段)落实政府采购政策需满足的资格要求如下: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合同包15(监理二标段)落实政府采购政策需满足的资格要求如下: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合同包16(监理三标段)落实政府采购政策需满足的资格要求如下: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合同包17(耕地质量等级评定及上图入库)落实政府采购政策需满足的资格要求如下: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合同包18(科技推广)落实政府采购政策需满足的资格要求如下: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合同包1(施工一标段)特定资格要求如下: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须具有水利水电工程或市政公用工程施工总承包三级及以上资质，且具有有效的安全生产许可证；拟派项目经理须具备水利水电工程或市政公用工程专业二级及以上注册建造师执业资格和有效的安全生产考核合格证书，且未担任其他在建工程的项目经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（9）投标人及项目经理在陕西建设网可查询，且无不良行为；</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合同包2(施工二标段)特定资格要求如下: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合同包3(施工三标段)特定资格要求如下: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合同包4(施工四标段)特定资格要求如下: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合同包5(施工五标段)特定资格要求如下: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合同包6(施工六标段)特定资格要求如下: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合同包7(施工七标段)特定资格要求如下: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合同包8(土壤改良一标段)特定资格要求如下: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（8）投标产品须具有农业部门批准核发的肥料登记证；</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合同包9(土壤改良二标段)特定资格要求如下: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同土壤改良一标段特定资格要求相同。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合同包10(土壤改良三标段)特定资格要求如下: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同土壤改良一标段特定资格要求相同。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合同包11(土壤改良四标段)特定资格要求如下: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同土壤改良一标段特定资格要求相同。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合同包12(绿化施工一标段)特定资格要求如下: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（8）投标人具有有效的安全生产许可证,在陕西建设网可查询，且无不良行为；</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合同包13(绿化施工二标段)特定资格要求如下: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同绿化施工一标段特定资格要求相同。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合同包14(监理一标段)特定资格要求如下: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须具备工程监理综合资质或水利工程或水利水电工程或市政公用工程监理乙级及以上资质，总监理工程师具备水工建筑或水利水电专业或市政公用工程专业国家注册监理工程师资格证书，且未承担其他在建项目总监理工程师；</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（9）投标人及总监理工程师在陕西建设网或全国水利平台可查询；</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合同包15(监理二标段)特定资格要求如下: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同监理一标段特定资格要求相同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合同包16(监理三标段)特定资格要求如下: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同监理一标段特定资格要求相同</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合同包17(耕地质量等级评定及上图入库)特定资格要求如下: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（8）投标人需具备土地规划乙级及以上资质（含乙级）和测绘乙级（含乙级）及以上资质 ,拟派项目负责人须具有相关专业中级及以上职称；；</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合同包18(科技推广)特定资格要求如下: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 2023年08月30日 至 2023年09月06日 ，每天上午 09:00:00 至 12:00:00 ，下午 14:00:00 至 17:00:00 （北京时间）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途径：西安市莲湖区丰庆路48号1幢305室（华智建造价咨询有限公司）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方式：现场获取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 300元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四、提交投标文件截止时间、开标时间和地点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 2023年09月20日 09时00分00秒 （北京时间）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提交投标文件地点：西安市高新路2号西部国际广场B座28层 开标会议室九</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开标地点：西安市高新路2号西部国际广场B座28层 开标会议室九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五、公告期限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六、其他补充事宜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获取招标文件时需提供单位介绍信原件、经办人加盖投标人公章的身份证复印件1套；2.请投标人按照陕西省财政厅关于政府采购供应商注册登记有关事项的通知中的要求，通过陕西省政府采购网注册登记加入陕西省政府采购供应商库；3.本项目专门面向中小企业采购（提供中小企业声明函，监狱企业和残疾人福利性单位视同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color="auto" w:fill="FFFFFF"/>
          <w:vertAlign w:val="baseline"/>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名称：白水县农业农村局</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地址：白水县雷公路</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联系方式：17365687555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名称：华智建造价咨询有限公司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地址：陕西省西安市莲湖区丰庆路48号1幢305室</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联系方式：18009149352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项目联系人：王丹</w:t>
      </w:r>
    </w:p>
    <w:p>
      <w:pPr>
        <w:widowControl/>
        <w:spacing w:line="360" w:lineRule="auto"/>
        <w:ind w:right="-197" w:rightChars="-94" w:firstLine="480" w:firstLineChars="200"/>
        <w:jc w:val="left"/>
        <w:outlineLvl w:val="9"/>
        <w:rPr>
          <w:rFonts w:hAnsi="宋体" w:cs="宋体"/>
          <w:b/>
          <w:bCs/>
          <w:color w:val="auto"/>
          <w:sz w:val="21"/>
          <w:szCs w:val="21"/>
          <w:highlight w:val="none"/>
        </w:rPr>
      </w:pPr>
      <w:r>
        <w:rPr>
          <w:rFonts w:hint="eastAsia" w:ascii="宋体" w:hAnsi="宋体" w:eastAsia="宋体" w:cs="宋体"/>
          <w:i w:val="0"/>
          <w:iCs w:val="0"/>
          <w:caps w:val="0"/>
          <w:color w:val="333333"/>
          <w:spacing w:val="0"/>
          <w:sz w:val="24"/>
          <w:szCs w:val="24"/>
          <w:shd w:val="clear" w:color="auto" w:fill="FFFFFF"/>
          <w:vertAlign w:val="baseline"/>
        </w:rPr>
        <w:t>电话：18009149352</w:t>
      </w:r>
    </w:p>
    <w:p>
      <w:pPr>
        <w:widowControl/>
        <w:spacing w:line="480" w:lineRule="auto"/>
        <w:ind w:right="-197" w:rightChars="-94" w:firstLine="420" w:firstLineChars="200"/>
        <w:jc w:val="left"/>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p>
    <w:p>
      <w:pPr>
        <w:widowControl/>
        <w:spacing w:line="480" w:lineRule="auto"/>
        <w:ind w:right="-197" w:rightChars="-94" w:firstLine="5040" w:firstLineChars="2400"/>
        <w:jc w:val="left"/>
        <w:rPr>
          <w:rFonts w:ascii="宋体" w:hAnsi="宋体" w:cs="宋体"/>
          <w:color w:val="auto"/>
          <w:kern w:val="0"/>
          <w:szCs w:val="21"/>
          <w:highlight w:val="none"/>
        </w:rPr>
      </w:pPr>
      <w:r>
        <w:rPr>
          <w:rFonts w:hint="eastAsia" w:ascii="宋体" w:hAnsi="宋体" w:cs="宋体"/>
          <w:color w:val="auto"/>
          <w:szCs w:val="21"/>
          <w:highlight w:val="none"/>
        </w:rPr>
        <w:t>  </w:t>
      </w:r>
    </w:p>
    <w:p>
      <w:pPr>
        <w:spacing w:after="50" w:line="600" w:lineRule="exact"/>
        <w:jc w:val="center"/>
        <w:outlineLvl w:val="0"/>
        <w:rPr>
          <w:rFonts w:ascii="黑体" w:hAnsi="宋体" w:eastAsia="黑体"/>
          <w:b/>
          <w:color w:val="auto"/>
          <w:sz w:val="48"/>
          <w:szCs w:val="44"/>
          <w:highlight w:val="none"/>
        </w:rPr>
      </w:pPr>
      <w:bookmarkStart w:id="3" w:name="_Toc213496267"/>
      <w:bookmarkStart w:id="4" w:name="_Toc213396759"/>
      <w:bookmarkStart w:id="5" w:name="_Toc217446031"/>
      <w:bookmarkStart w:id="6" w:name="_Toc32185"/>
      <w:bookmarkStart w:id="7" w:name="_Toc213397009"/>
      <w:bookmarkStart w:id="8" w:name="_Toc213396945"/>
      <w:bookmarkStart w:id="9" w:name="_Toc183582202"/>
      <w:bookmarkStart w:id="10" w:name="_Toc89075871"/>
      <w:bookmarkStart w:id="11" w:name="_Toc77400776"/>
      <w:bookmarkStart w:id="12" w:name="_Toc183682339"/>
      <w:r>
        <w:rPr>
          <w:rFonts w:hint="eastAsia" w:ascii="黑体" w:hAnsi="宋体" w:eastAsia="黑体"/>
          <w:b/>
          <w:color w:val="auto"/>
          <w:kern w:val="44"/>
          <w:sz w:val="48"/>
          <w:szCs w:val="44"/>
          <w:highlight w:val="none"/>
        </w:rPr>
        <w:t>第二</w:t>
      </w:r>
      <w:r>
        <w:rPr>
          <w:rFonts w:hint="eastAsia" w:ascii="黑体" w:hAnsi="宋体" w:eastAsia="黑体"/>
          <w:b/>
          <w:color w:val="auto"/>
          <w:sz w:val="48"/>
          <w:szCs w:val="44"/>
          <w:highlight w:val="none"/>
        </w:rPr>
        <w:t>章  投标人须知</w:t>
      </w:r>
      <w:bookmarkEnd w:id="3"/>
      <w:bookmarkEnd w:id="4"/>
      <w:bookmarkEnd w:id="5"/>
      <w:bookmarkEnd w:id="6"/>
      <w:bookmarkEnd w:id="7"/>
      <w:bookmarkEnd w:id="8"/>
      <w:bookmarkStart w:id="13" w:name="_Toc184274915"/>
      <w:bookmarkStart w:id="14" w:name="_Toc189727030"/>
      <w:bookmarkStart w:id="15" w:name="_Toc213397010"/>
      <w:bookmarkStart w:id="16" w:name="_Toc213496268"/>
      <w:bookmarkStart w:id="17" w:name="_Toc184283909"/>
      <w:bookmarkStart w:id="18" w:name="_Toc217446032"/>
      <w:bookmarkStart w:id="19" w:name="_Toc213396946"/>
      <w:bookmarkStart w:id="20" w:name="_Toc213396760"/>
    </w:p>
    <w:p>
      <w:pPr>
        <w:spacing w:beforeLines="100" w:afterLines="50" w:line="5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投标人须知前附表</w:t>
      </w:r>
    </w:p>
    <w:bookmarkEnd w:id="13"/>
    <w:bookmarkEnd w:id="14"/>
    <w:bookmarkEnd w:id="15"/>
    <w:bookmarkEnd w:id="16"/>
    <w:bookmarkEnd w:id="17"/>
    <w:bookmarkEnd w:id="18"/>
    <w:bookmarkEnd w:id="19"/>
    <w:bookmarkEnd w:id="20"/>
    <w:tbl>
      <w:tblPr>
        <w:tblStyle w:val="29"/>
        <w:tblW w:w="9501"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0" w:type="dxa"/>
          <w:bottom w:w="0" w:type="dxa"/>
          <w:right w:w="0" w:type="dxa"/>
        </w:tblCellMar>
      </w:tblPr>
      <w:tblGrid>
        <w:gridCol w:w="811"/>
        <w:gridCol w:w="2160"/>
        <w:gridCol w:w="653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51" w:hRule="exact"/>
          <w:jc w:val="center"/>
        </w:trPr>
        <w:tc>
          <w:tcPr>
            <w:tcW w:w="811" w:type="dxa"/>
            <w:tcBorders>
              <w:tl2br w:val="nil"/>
              <w:tr2bl w:val="nil"/>
            </w:tcBorders>
            <w:vAlign w:val="center"/>
          </w:tcPr>
          <w:p>
            <w:pPr>
              <w:pStyle w:val="57"/>
              <w:tabs>
                <w:tab w:val="left" w:pos="210"/>
              </w:tabs>
              <w:adjustRightInd/>
              <w:spacing w:beforeLines="50" w:line="360" w:lineRule="auto"/>
              <w:jc w:val="center"/>
              <w:rPr>
                <w:color w:val="auto"/>
                <w:sz w:val="21"/>
                <w:szCs w:val="21"/>
                <w:highlight w:val="none"/>
                <w:lang w:val="zh-CN"/>
              </w:rPr>
            </w:pPr>
            <w:r>
              <w:rPr>
                <w:rFonts w:hint="eastAsia"/>
                <w:color w:val="auto"/>
                <w:sz w:val="21"/>
                <w:szCs w:val="21"/>
                <w:highlight w:val="none"/>
                <w:lang w:val="zh-CN"/>
              </w:rPr>
              <w:t>序号</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内容</w:t>
            </w:r>
          </w:p>
        </w:tc>
        <w:tc>
          <w:tcPr>
            <w:tcW w:w="653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317" w:hRule="atLeas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 xml:space="preserve"> 1.</w:t>
            </w:r>
          </w:p>
        </w:tc>
        <w:tc>
          <w:tcPr>
            <w:tcW w:w="2160" w:type="dxa"/>
            <w:tcBorders>
              <w:tl2br w:val="nil"/>
              <w:tr2bl w:val="nil"/>
            </w:tcBorders>
            <w:vAlign w:val="center"/>
          </w:tcPr>
          <w:p>
            <w:pPr>
              <w:spacing w:line="360" w:lineRule="auto"/>
              <w:jc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招标人</w:t>
            </w:r>
          </w:p>
        </w:tc>
        <w:tc>
          <w:tcPr>
            <w:tcW w:w="6530" w:type="dxa"/>
            <w:tcBorders>
              <w:tl2br w:val="nil"/>
              <w:tr2bl w:val="nil"/>
            </w:tcBorders>
            <w:vAlign w:val="center"/>
          </w:tcPr>
          <w:p>
            <w:pPr>
              <w:spacing w:line="360" w:lineRule="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名 称：</w:t>
            </w:r>
            <w:r>
              <w:rPr>
                <w:rFonts w:hint="eastAsia" w:ascii="宋体" w:hAnsi="宋体" w:eastAsia="宋体" w:cs="宋体"/>
                <w:color w:val="auto"/>
                <w:kern w:val="0"/>
                <w:sz w:val="21"/>
                <w:szCs w:val="21"/>
                <w:highlight w:val="none"/>
                <w:lang w:val="en-US" w:eastAsia="zh-CN" w:bidi="ar-SA"/>
              </w:rPr>
              <w:t>白水县农业农村局</w:t>
            </w:r>
          </w:p>
          <w:p>
            <w:pPr>
              <w:spacing w:line="36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地址：白水县雷公路</w:t>
            </w:r>
          </w:p>
          <w:p>
            <w:pPr>
              <w:spacing w:line="36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联系人：李工  </w:t>
            </w:r>
          </w:p>
          <w:p>
            <w:pPr>
              <w:spacing w:line="36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电话：17365687555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157" w:hRule="atLeas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2.</w:t>
            </w:r>
          </w:p>
        </w:tc>
        <w:tc>
          <w:tcPr>
            <w:tcW w:w="2160" w:type="dxa"/>
            <w:tcBorders>
              <w:tl2br w:val="nil"/>
              <w:tr2bl w:val="nil"/>
            </w:tcBorders>
            <w:vAlign w:val="center"/>
          </w:tcPr>
          <w:p>
            <w:pPr>
              <w:spacing w:line="360" w:lineRule="auto"/>
              <w:jc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招标代理机构</w:t>
            </w:r>
          </w:p>
        </w:tc>
        <w:tc>
          <w:tcPr>
            <w:tcW w:w="6530" w:type="dxa"/>
            <w:tcBorders>
              <w:tl2br w:val="nil"/>
              <w:tr2bl w:val="nil"/>
            </w:tcBorders>
            <w:vAlign w:val="center"/>
          </w:tcPr>
          <w:p>
            <w:pPr>
              <w:spacing w:line="360" w:lineRule="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 xml:space="preserve">名  称: </w:t>
            </w:r>
            <w:r>
              <w:rPr>
                <w:rFonts w:hint="eastAsia" w:ascii="宋体" w:hAnsi="宋体" w:eastAsia="宋体" w:cs="宋体"/>
                <w:color w:val="auto"/>
                <w:kern w:val="0"/>
                <w:sz w:val="21"/>
                <w:szCs w:val="21"/>
                <w:highlight w:val="none"/>
                <w:lang w:val="en-US" w:eastAsia="zh-CN" w:bidi="ar-SA"/>
              </w:rPr>
              <w:t>华智建造价咨询有限公司</w:t>
            </w:r>
          </w:p>
          <w:p>
            <w:pPr>
              <w:spacing w:line="36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zh-CN" w:eastAsia="zh-CN" w:bidi="ar-SA"/>
              </w:rPr>
              <w:t>地  址：</w:t>
            </w:r>
            <w:r>
              <w:rPr>
                <w:rFonts w:hint="eastAsia" w:ascii="宋体" w:hAnsi="宋体" w:eastAsia="宋体" w:cs="宋体"/>
                <w:color w:val="auto"/>
                <w:kern w:val="0"/>
                <w:sz w:val="21"/>
                <w:szCs w:val="21"/>
                <w:highlight w:val="none"/>
                <w:lang w:val="en-US" w:eastAsia="zh-CN" w:bidi="ar-SA"/>
              </w:rPr>
              <w:t>西安市莲湖区丰庆路48号1幢305室</w:t>
            </w:r>
          </w:p>
          <w:p>
            <w:pPr>
              <w:spacing w:line="360" w:lineRule="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 xml:space="preserve">联系人: </w:t>
            </w:r>
            <w:r>
              <w:rPr>
                <w:rFonts w:hint="eastAsia" w:ascii="宋体" w:hAnsi="宋体" w:eastAsia="宋体" w:cs="宋体"/>
                <w:color w:val="auto"/>
                <w:kern w:val="0"/>
                <w:sz w:val="21"/>
                <w:szCs w:val="21"/>
                <w:highlight w:val="none"/>
                <w:lang w:val="en-US" w:eastAsia="zh-CN" w:bidi="ar-SA"/>
              </w:rPr>
              <w:t>王丹</w:t>
            </w:r>
          </w:p>
          <w:p>
            <w:pPr>
              <w:spacing w:line="360" w:lineRule="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 xml:space="preserve">电  话: </w:t>
            </w:r>
            <w:r>
              <w:rPr>
                <w:rFonts w:hint="eastAsia" w:ascii="宋体" w:hAnsi="宋体" w:eastAsia="宋体" w:cs="宋体"/>
                <w:color w:val="auto"/>
                <w:kern w:val="0"/>
                <w:sz w:val="21"/>
                <w:szCs w:val="21"/>
                <w:highlight w:val="none"/>
                <w:lang w:val="en-US" w:eastAsia="zh-CN" w:bidi="ar-SA"/>
              </w:rPr>
              <w:t>18009149352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997"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3.</w:t>
            </w:r>
          </w:p>
        </w:tc>
        <w:tc>
          <w:tcPr>
            <w:tcW w:w="2160" w:type="dxa"/>
            <w:tcBorders>
              <w:tl2br w:val="nil"/>
              <w:tr2bl w:val="nil"/>
            </w:tcBorders>
            <w:vAlign w:val="center"/>
          </w:tcPr>
          <w:p>
            <w:pPr>
              <w:spacing w:line="360" w:lineRule="auto"/>
              <w:jc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项目名称</w:t>
            </w:r>
          </w:p>
        </w:tc>
        <w:tc>
          <w:tcPr>
            <w:tcW w:w="6530" w:type="dxa"/>
            <w:tcBorders>
              <w:tl2br w:val="nil"/>
              <w:tr2bl w:val="nil"/>
            </w:tcBorders>
            <w:vAlign w:val="center"/>
          </w:tcPr>
          <w:p>
            <w:pPr>
              <w:spacing w:line="24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白水县2021年-2022年高标准农田改造提升项目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51"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4.</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采购项目编号</w:t>
            </w:r>
          </w:p>
        </w:tc>
        <w:tc>
          <w:tcPr>
            <w:tcW w:w="6530" w:type="dxa"/>
            <w:tcBorders>
              <w:tl2br w:val="nil"/>
              <w:tr2bl w:val="nil"/>
            </w:tcBorders>
            <w:vAlign w:val="center"/>
          </w:tcPr>
          <w:p>
            <w:pPr>
              <w:spacing w:beforeLines="50" w:line="360" w:lineRule="auto"/>
              <w:ind w:firstLine="105" w:firstLineChars="50"/>
              <w:rPr>
                <w:rFonts w:hint="eastAsia" w:ascii="宋体" w:hAnsi="宋体" w:eastAsia="宋体"/>
                <w:color w:val="auto"/>
                <w:highlight w:val="none"/>
                <w:lang w:eastAsia="zh-CN"/>
              </w:rPr>
            </w:pPr>
            <w:r>
              <w:rPr>
                <w:rFonts w:hint="eastAsia" w:ascii="宋体" w:hAnsi="宋体" w:eastAsia="宋体"/>
                <w:color w:val="auto"/>
                <w:highlight w:val="none"/>
                <w:lang w:eastAsia="zh-CN"/>
              </w:rPr>
              <w:t>HZJZS2023-0092-3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42"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5.</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资金来源</w:t>
            </w:r>
          </w:p>
        </w:tc>
        <w:tc>
          <w:tcPr>
            <w:tcW w:w="6530" w:type="dxa"/>
            <w:tcBorders>
              <w:tl2br w:val="nil"/>
              <w:tr2bl w:val="nil"/>
            </w:tcBorders>
            <w:vAlign w:val="center"/>
          </w:tcPr>
          <w:p>
            <w:pPr>
              <w:spacing w:beforeLines="50" w:line="360" w:lineRule="auto"/>
              <w:ind w:firstLine="210" w:firstLineChars="100"/>
              <w:rPr>
                <w:rFonts w:ascii="宋体" w:hAnsi="宋体"/>
                <w:color w:val="auto"/>
                <w:highlight w:val="none"/>
              </w:rPr>
            </w:pPr>
            <w:r>
              <w:rPr>
                <w:rFonts w:hint="eastAsia"/>
                <w:color w:val="auto"/>
                <w:szCs w:val="21"/>
                <w:highlight w:val="none"/>
              </w:rPr>
              <w:t>财政资金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42"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6.</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资金是否到位</w:t>
            </w:r>
          </w:p>
        </w:tc>
        <w:tc>
          <w:tcPr>
            <w:tcW w:w="6530" w:type="dxa"/>
            <w:tcBorders>
              <w:tl2br w:val="nil"/>
              <w:tr2bl w:val="nil"/>
            </w:tcBorders>
            <w:vAlign w:val="center"/>
          </w:tcPr>
          <w:p>
            <w:pPr>
              <w:spacing w:beforeLines="50" w:line="360" w:lineRule="auto"/>
              <w:ind w:firstLine="210" w:firstLineChars="100"/>
              <w:rPr>
                <w:rFonts w:ascii="宋体" w:hAnsi="宋体"/>
                <w:color w:val="auto"/>
                <w:highlight w:val="none"/>
              </w:rPr>
            </w:pPr>
            <w:r>
              <w:rPr>
                <w:rFonts w:hint="eastAsia" w:ascii="宋体" w:hAnsi="宋体"/>
                <w:color w:val="auto"/>
                <w:highlight w:val="none"/>
              </w:rPr>
              <w:t>已落实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475"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7.</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采购预算金额</w:t>
            </w:r>
          </w:p>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（最高限价）</w:t>
            </w:r>
          </w:p>
        </w:tc>
        <w:tc>
          <w:tcPr>
            <w:tcW w:w="6530" w:type="dxa"/>
            <w:tcBorders>
              <w:tl2br w:val="nil"/>
              <w:tr2bl w:val="nil"/>
            </w:tcBorders>
            <w:vAlign w:val="center"/>
          </w:tcPr>
          <w:p>
            <w:pPr>
              <w:pStyle w:val="57"/>
              <w:spacing w:beforeLines="50" w:line="360" w:lineRule="auto"/>
              <w:ind w:firstLine="420" w:firstLineChars="200"/>
              <w:jc w:val="both"/>
              <w:rPr>
                <w:rFonts w:hint="eastAsia"/>
                <w:color w:val="auto"/>
                <w:sz w:val="21"/>
                <w:szCs w:val="21"/>
                <w:highlight w:val="none"/>
              </w:rPr>
            </w:pPr>
            <w:r>
              <w:rPr>
                <w:rFonts w:hint="eastAsia"/>
                <w:color w:val="auto"/>
                <w:sz w:val="21"/>
                <w:szCs w:val="21"/>
                <w:highlight w:val="none"/>
              </w:rPr>
              <w:t>本项目采购预算金额（最高限价）：</w:t>
            </w:r>
          </w:p>
          <w:p>
            <w:pPr>
              <w:pStyle w:val="57"/>
              <w:spacing w:beforeLines="50" w:line="360" w:lineRule="auto"/>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耕地质量等级评定及上图入库：750000.00元</w:t>
            </w:r>
          </w:p>
          <w:p>
            <w:pPr>
              <w:pStyle w:val="57"/>
              <w:spacing w:beforeLines="50" w:line="360" w:lineRule="auto"/>
              <w:ind w:firstLine="420" w:firstLineChars="200"/>
              <w:jc w:val="both"/>
              <w:rPr>
                <w:rFonts w:hint="default"/>
                <w:color w:val="auto"/>
                <w:sz w:val="21"/>
                <w:szCs w:val="21"/>
                <w:highlight w:val="none"/>
                <w:lang w:val="en-US" w:eastAsia="zh-CN"/>
              </w:rPr>
            </w:pPr>
            <w:r>
              <w:rPr>
                <w:rFonts w:hint="eastAsia"/>
                <w:color w:val="auto"/>
                <w:sz w:val="21"/>
                <w:szCs w:val="21"/>
                <w:highlight w:val="none"/>
                <w:lang w:val="en-US" w:eastAsia="zh-CN"/>
              </w:rPr>
              <w:t>科技推广：375000.00元</w:t>
            </w:r>
          </w:p>
          <w:p>
            <w:pPr>
              <w:pStyle w:val="57"/>
              <w:spacing w:beforeLines="50" w:line="360" w:lineRule="auto"/>
              <w:ind w:firstLine="420" w:firstLineChars="200"/>
              <w:jc w:val="both"/>
              <w:rPr>
                <w:color w:val="auto"/>
                <w:sz w:val="21"/>
                <w:szCs w:val="21"/>
                <w:highlight w:val="none"/>
              </w:rPr>
            </w:pPr>
            <w:r>
              <w:rPr>
                <w:rFonts w:hint="eastAsia"/>
                <w:color w:val="auto"/>
                <w:sz w:val="21"/>
                <w:szCs w:val="21"/>
                <w:highlight w:val="none"/>
              </w:rPr>
              <w:t>投标人报价超出采购预算或最高限价，作为不实质性响应招标文件，按无效投标处理。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475"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hint="eastAsia" w:eastAsia="宋体" w:cs="Courier New"/>
                <w:color w:val="auto"/>
                <w:sz w:val="21"/>
                <w:szCs w:val="21"/>
                <w:highlight w:val="none"/>
                <w:lang w:val="en-US" w:eastAsia="zh-CN"/>
              </w:rPr>
            </w:pPr>
            <w:r>
              <w:rPr>
                <w:rFonts w:hint="eastAsia" w:cs="Courier New"/>
                <w:color w:val="auto"/>
                <w:sz w:val="21"/>
                <w:szCs w:val="21"/>
                <w:highlight w:val="none"/>
                <w:lang w:val="en-US" w:eastAsia="zh-CN"/>
              </w:rPr>
              <w:t>8</w:t>
            </w:r>
          </w:p>
        </w:tc>
        <w:tc>
          <w:tcPr>
            <w:tcW w:w="2160" w:type="dxa"/>
            <w:tcBorders>
              <w:tl2br w:val="nil"/>
              <w:tr2bl w:val="nil"/>
            </w:tcBorders>
            <w:vAlign w:val="center"/>
          </w:tcPr>
          <w:p>
            <w:pPr>
              <w:pStyle w:val="57"/>
              <w:spacing w:beforeLines="50" w:line="360" w:lineRule="auto"/>
              <w:ind w:left="38"/>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招标范围</w:t>
            </w:r>
          </w:p>
        </w:tc>
        <w:tc>
          <w:tcPr>
            <w:tcW w:w="6530" w:type="dxa"/>
            <w:tcBorders>
              <w:tl2br w:val="nil"/>
              <w:tr2bl w:val="nil"/>
            </w:tcBorders>
            <w:vAlign w:val="center"/>
          </w:tcPr>
          <w:p>
            <w:pPr>
              <w:pStyle w:val="57"/>
              <w:spacing w:beforeLines="50" w:line="360" w:lineRule="auto"/>
              <w:ind w:firstLine="420" w:firstLineChars="200"/>
              <w:jc w:val="both"/>
              <w:rPr>
                <w:rFonts w:hint="default"/>
                <w:color w:val="auto"/>
                <w:sz w:val="21"/>
                <w:szCs w:val="21"/>
                <w:highlight w:val="none"/>
                <w:lang w:val="en-US" w:eastAsia="zh-CN"/>
              </w:rPr>
            </w:pPr>
            <w:r>
              <w:rPr>
                <w:rFonts w:hint="eastAsia"/>
                <w:color w:val="auto"/>
                <w:sz w:val="21"/>
                <w:szCs w:val="21"/>
                <w:highlight w:val="none"/>
                <w:lang w:val="en-US" w:eastAsia="zh-CN"/>
              </w:rPr>
              <w:t>耕地质量等级评定及上图入库标段：以白水县耕地质量等级调查评价结果为基础，在2023年高标准农田建设（新建及改造）实施区域布设耕地质量调查样点，以在2023年高标准农田建设（新建及改造）区域采集试区域的坐标和范围信息，建设内容等，制作上图入库数据；5万亩的上图入库。科技推广标段：技术培训2500人次（一年3次）。具体详见采购内容及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720"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9.</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资格要求</w:t>
            </w:r>
          </w:p>
        </w:tc>
        <w:tc>
          <w:tcPr>
            <w:tcW w:w="6530" w:type="dxa"/>
            <w:tcBorders>
              <w:tl2br w:val="nil"/>
              <w:tr2bl w:val="nil"/>
            </w:tcBorders>
            <w:vAlign w:val="center"/>
          </w:tcPr>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200" w:leftChars="0" w:right="0" w:firstLine="18" w:firstLineChars="9"/>
              <w:jc w:val="both"/>
              <w:textAlignment w:val="baseline"/>
              <w:rPr>
                <w:rFonts w:hint="default" w:ascii="宋体" w:hAnsi="宋体" w:eastAsia="宋体" w:cs="宋体"/>
                <w:color w:val="auto"/>
                <w:kern w:val="0"/>
                <w:sz w:val="21"/>
                <w:szCs w:val="21"/>
                <w:highlight w:val="none"/>
                <w:lang w:val="en-US" w:eastAsia="zh-CN" w:bidi="ar-SA"/>
              </w:rPr>
            </w:pPr>
            <w:r>
              <w:rPr>
                <w:rFonts w:hint="eastAsia" w:cs="宋体"/>
                <w:color w:val="auto"/>
                <w:kern w:val="0"/>
                <w:sz w:val="21"/>
                <w:szCs w:val="21"/>
                <w:highlight w:val="none"/>
                <w:lang w:val="en-US" w:eastAsia="zh-CN" w:bidi="ar-SA"/>
              </w:rPr>
              <w:t>详见招标公告及资格审查表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67" w:hRule="exac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10.</w:t>
            </w:r>
          </w:p>
        </w:tc>
        <w:tc>
          <w:tcPr>
            <w:tcW w:w="2160" w:type="dxa"/>
            <w:tcBorders>
              <w:tl2br w:val="nil"/>
              <w:tr2bl w:val="nil"/>
            </w:tcBorders>
            <w:vAlign w:val="center"/>
          </w:tcPr>
          <w:p>
            <w:pPr>
              <w:pStyle w:val="57"/>
              <w:spacing w:beforeLines="50" w:line="360" w:lineRule="auto"/>
              <w:ind w:left="38"/>
              <w:jc w:val="center"/>
              <w:rPr>
                <w:color w:val="auto"/>
                <w:sz w:val="21"/>
                <w:szCs w:val="21"/>
                <w:highlight w:val="none"/>
                <w:lang w:val="zh-CN"/>
              </w:rPr>
            </w:pPr>
            <w:r>
              <w:rPr>
                <w:rFonts w:hint="eastAsia"/>
                <w:color w:val="auto"/>
                <w:sz w:val="21"/>
                <w:szCs w:val="21"/>
                <w:highlight w:val="none"/>
                <w:lang w:val="zh-CN"/>
              </w:rPr>
              <w:t>采购内容</w:t>
            </w:r>
          </w:p>
        </w:tc>
        <w:tc>
          <w:tcPr>
            <w:tcW w:w="6530" w:type="dxa"/>
            <w:tcBorders>
              <w:tl2br w:val="nil"/>
              <w:tr2bl w:val="nil"/>
            </w:tcBorders>
            <w:vAlign w:val="center"/>
          </w:tcPr>
          <w:p>
            <w:pPr>
              <w:pStyle w:val="57"/>
              <w:spacing w:beforeLines="50" w:line="360" w:lineRule="auto"/>
              <w:jc w:val="both"/>
              <w:rPr>
                <w:color w:val="auto"/>
                <w:sz w:val="21"/>
                <w:szCs w:val="21"/>
                <w:highlight w:val="none"/>
                <w:lang w:val="zh-CN"/>
              </w:rPr>
            </w:pPr>
            <w:r>
              <w:rPr>
                <w:rFonts w:hint="eastAsia"/>
                <w:color w:val="auto"/>
                <w:sz w:val="21"/>
                <w:szCs w:val="21"/>
                <w:highlight w:val="none"/>
                <w:lang w:val="zh-CN"/>
              </w:rPr>
              <w:t xml:space="preserve">  详见第四章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11.</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服务期限</w:t>
            </w:r>
          </w:p>
        </w:tc>
        <w:tc>
          <w:tcPr>
            <w:tcW w:w="6530" w:type="dxa"/>
            <w:tcBorders>
              <w:tl2br w:val="nil"/>
              <w:tr2bl w:val="nil"/>
            </w:tcBorders>
            <w:vAlign w:val="center"/>
          </w:tcPr>
          <w:p>
            <w:pPr>
              <w:pStyle w:val="57"/>
              <w:spacing w:beforeLines="50" w:line="360" w:lineRule="auto"/>
              <w:ind w:firstLine="210" w:firstLineChars="100"/>
              <w:jc w:val="both"/>
              <w:rPr>
                <w:rFonts w:hint="default"/>
                <w:color w:val="auto"/>
                <w:sz w:val="21"/>
                <w:szCs w:val="21"/>
                <w:highlight w:val="none"/>
                <w:lang w:val="en-US" w:eastAsia="zh-CN"/>
              </w:rPr>
            </w:pPr>
            <w:r>
              <w:rPr>
                <w:rFonts w:hint="eastAsia"/>
                <w:color w:val="auto"/>
                <w:sz w:val="21"/>
                <w:szCs w:val="21"/>
                <w:highlight w:val="none"/>
                <w:lang w:val="en-US" w:eastAsia="zh-CN"/>
              </w:rPr>
              <w:t>耕地质量等级评定及上图入库标段：365天</w:t>
            </w:r>
          </w:p>
          <w:p>
            <w:pPr>
              <w:pStyle w:val="57"/>
              <w:spacing w:beforeLines="50" w:line="360" w:lineRule="auto"/>
              <w:ind w:firstLine="210" w:firstLineChars="100"/>
              <w:jc w:val="both"/>
              <w:rPr>
                <w:rFonts w:hint="default"/>
                <w:color w:val="auto"/>
                <w:sz w:val="21"/>
                <w:szCs w:val="21"/>
                <w:highlight w:val="none"/>
                <w:lang w:val="en-US"/>
              </w:rPr>
            </w:pPr>
            <w:r>
              <w:rPr>
                <w:rFonts w:hint="eastAsia"/>
                <w:color w:val="auto"/>
                <w:sz w:val="21"/>
                <w:szCs w:val="21"/>
                <w:highlight w:val="none"/>
                <w:lang w:val="en-US" w:eastAsia="zh-CN"/>
              </w:rPr>
              <w:t>科技推广标段：365天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12.</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服务地点</w:t>
            </w:r>
          </w:p>
        </w:tc>
        <w:tc>
          <w:tcPr>
            <w:tcW w:w="6530" w:type="dxa"/>
            <w:tcBorders>
              <w:tl2br w:val="nil"/>
              <w:tr2bl w:val="nil"/>
            </w:tcBorders>
            <w:vAlign w:val="center"/>
          </w:tcPr>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采购人指定地点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11" w:hRule="exact"/>
          <w:jc w:val="center"/>
        </w:trPr>
        <w:tc>
          <w:tcPr>
            <w:tcW w:w="811" w:type="dxa"/>
            <w:tcBorders>
              <w:tl2br w:val="nil"/>
              <w:tr2bl w:val="nil"/>
            </w:tcBorders>
            <w:vAlign w:val="center"/>
          </w:tcPr>
          <w:p>
            <w:pPr>
              <w:pStyle w:val="57"/>
              <w:tabs>
                <w:tab w:val="left" w:pos="210"/>
                <w:tab w:val="left" w:pos="42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13.</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质量要求、验收标准</w:t>
            </w:r>
          </w:p>
        </w:tc>
        <w:tc>
          <w:tcPr>
            <w:tcW w:w="6530" w:type="dxa"/>
            <w:tcBorders>
              <w:tl2br w:val="nil"/>
              <w:tr2bl w:val="nil"/>
            </w:tcBorders>
            <w:shd w:val="clear" w:color="auto" w:fill="auto"/>
            <w:vAlign w:val="center"/>
          </w:tcPr>
          <w:p>
            <w:pPr>
              <w:pStyle w:val="57"/>
              <w:spacing w:beforeLines="50" w:line="360" w:lineRule="auto"/>
              <w:ind w:firstLine="210" w:firstLineChars="100"/>
              <w:jc w:val="both"/>
              <w:rPr>
                <w:color w:val="auto"/>
                <w:sz w:val="21"/>
                <w:szCs w:val="21"/>
                <w:highlight w:val="none"/>
              </w:rPr>
            </w:pPr>
            <w:r>
              <w:rPr>
                <w:rFonts w:hint="eastAsia"/>
                <w:color w:val="auto"/>
                <w:sz w:val="21"/>
                <w:szCs w:val="21"/>
                <w:highlight w:val="none"/>
              </w:rPr>
              <w:t>详见第四章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14.</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联合体投标</w:t>
            </w:r>
          </w:p>
        </w:tc>
        <w:tc>
          <w:tcPr>
            <w:tcW w:w="6530" w:type="dxa"/>
            <w:tcBorders>
              <w:tl2br w:val="nil"/>
              <w:tr2bl w:val="nil"/>
            </w:tcBorders>
            <w:vAlign w:val="center"/>
          </w:tcPr>
          <w:p>
            <w:pPr>
              <w:spacing w:beforeLines="50" w:line="360" w:lineRule="auto"/>
              <w:ind w:left="105" w:leftChars="50" w:right="105" w:rightChars="50" w:firstLine="105" w:firstLineChars="50"/>
              <w:rPr>
                <w:color w:val="auto"/>
                <w:szCs w:val="21"/>
                <w:highlight w:val="none"/>
              </w:rPr>
            </w:pPr>
            <w:r>
              <w:rPr>
                <w:rFonts w:hint="eastAsia"/>
                <w:color w:val="auto"/>
                <w:szCs w:val="21"/>
                <w:highlight w:val="none"/>
              </w:rPr>
              <w:t>不接受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811" w:type="dxa"/>
            <w:tcBorders>
              <w:tl2br w:val="nil"/>
              <w:tr2bl w:val="nil"/>
            </w:tcBorders>
            <w:vAlign w:val="center"/>
          </w:tcPr>
          <w:p>
            <w:pPr>
              <w:pStyle w:val="57"/>
              <w:tabs>
                <w:tab w:val="left" w:pos="210"/>
              </w:tabs>
              <w:adjustRightInd/>
              <w:spacing w:beforeLines="50" w:line="360" w:lineRule="auto"/>
              <w:ind w:right="-61"/>
              <w:jc w:val="center"/>
              <w:rPr>
                <w:rFonts w:cs="Courier New"/>
                <w:color w:val="auto"/>
                <w:sz w:val="21"/>
                <w:szCs w:val="21"/>
                <w:highlight w:val="none"/>
              </w:rPr>
            </w:pPr>
            <w:r>
              <w:rPr>
                <w:rFonts w:hint="eastAsia" w:cs="Courier New"/>
                <w:color w:val="auto"/>
                <w:sz w:val="21"/>
                <w:szCs w:val="21"/>
                <w:highlight w:val="none"/>
              </w:rPr>
              <w:t>15.</w:t>
            </w:r>
          </w:p>
        </w:tc>
        <w:tc>
          <w:tcPr>
            <w:tcW w:w="2160" w:type="dxa"/>
            <w:tcBorders>
              <w:tl2br w:val="nil"/>
              <w:tr2bl w:val="nil"/>
            </w:tcBorders>
            <w:vAlign w:val="center"/>
          </w:tcPr>
          <w:p>
            <w:pPr>
              <w:pStyle w:val="57"/>
              <w:spacing w:beforeLines="50" w:line="360" w:lineRule="auto"/>
              <w:rPr>
                <w:color w:val="auto"/>
                <w:sz w:val="21"/>
                <w:szCs w:val="21"/>
                <w:highlight w:val="none"/>
                <w:lang w:val="zh-CN"/>
              </w:rPr>
            </w:pPr>
            <w:r>
              <w:rPr>
                <w:rFonts w:hint="eastAsia"/>
                <w:color w:val="auto"/>
                <w:sz w:val="21"/>
                <w:szCs w:val="21"/>
                <w:highlight w:val="none"/>
                <w:lang w:val="zh-CN"/>
              </w:rPr>
              <w:t>考察现场、标前答疑会</w:t>
            </w:r>
          </w:p>
        </w:tc>
        <w:tc>
          <w:tcPr>
            <w:tcW w:w="6530" w:type="dxa"/>
            <w:tcBorders>
              <w:tl2br w:val="nil"/>
              <w:tr2bl w:val="nil"/>
            </w:tcBorders>
            <w:vAlign w:val="center"/>
          </w:tcPr>
          <w:p>
            <w:pPr>
              <w:pStyle w:val="57"/>
              <w:spacing w:beforeLines="50" w:line="360" w:lineRule="auto"/>
              <w:ind w:left="210" w:leftChars="100"/>
              <w:jc w:val="both"/>
              <w:rPr>
                <w:color w:val="auto"/>
                <w:sz w:val="21"/>
                <w:szCs w:val="21"/>
                <w:highlight w:val="none"/>
                <w:lang w:val="zh-CN"/>
              </w:rPr>
            </w:pPr>
            <w:r>
              <w:rPr>
                <w:rFonts w:hint="eastAsia"/>
                <w:color w:val="auto"/>
                <w:sz w:val="21"/>
                <w:szCs w:val="21"/>
                <w:highlight w:val="none"/>
                <w:lang w:val="zh-CN"/>
              </w:rPr>
              <w:t>不组织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16.</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转包与分包履约</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本项目不得转包及分包（经采购人同意的除外）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17.</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偏差</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不允许负偏差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18.</w:t>
            </w:r>
          </w:p>
        </w:tc>
        <w:tc>
          <w:tcPr>
            <w:tcW w:w="2160" w:type="dxa"/>
            <w:tcBorders>
              <w:tl2br w:val="nil"/>
              <w:tr2bl w:val="nil"/>
            </w:tcBorders>
            <w:vAlign w:val="center"/>
          </w:tcPr>
          <w:p>
            <w:pPr>
              <w:pStyle w:val="7"/>
              <w:spacing w:beforeLines="50" w:line="360" w:lineRule="auto"/>
              <w:ind w:firstLine="0"/>
              <w:jc w:val="center"/>
              <w:rPr>
                <w:color w:val="auto"/>
                <w:szCs w:val="21"/>
                <w:highlight w:val="none"/>
              </w:rPr>
            </w:pPr>
            <w:r>
              <w:rPr>
                <w:rFonts w:hint="eastAsia"/>
                <w:color w:val="auto"/>
                <w:szCs w:val="21"/>
                <w:highlight w:val="none"/>
              </w:rPr>
              <w:t>招标文件澄清</w:t>
            </w:r>
          </w:p>
          <w:p>
            <w:pPr>
              <w:pStyle w:val="7"/>
              <w:spacing w:beforeLines="50" w:line="360" w:lineRule="auto"/>
              <w:ind w:firstLine="0"/>
              <w:jc w:val="center"/>
              <w:rPr>
                <w:color w:val="auto"/>
                <w:szCs w:val="21"/>
                <w:highlight w:val="none"/>
                <w:lang w:val="zh-CN"/>
              </w:rPr>
            </w:pPr>
            <w:r>
              <w:rPr>
                <w:rFonts w:hint="eastAsia"/>
                <w:color w:val="auto"/>
                <w:szCs w:val="21"/>
                <w:highlight w:val="none"/>
              </w:rPr>
              <w:t>或修改时间、形式</w:t>
            </w:r>
          </w:p>
        </w:tc>
        <w:tc>
          <w:tcPr>
            <w:tcW w:w="6530" w:type="dxa"/>
            <w:tcBorders>
              <w:tl2br w:val="nil"/>
              <w:tr2bl w:val="nil"/>
            </w:tcBorders>
            <w:vAlign w:val="center"/>
          </w:tcPr>
          <w:p>
            <w:pPr>
              <w:pStyle w:val="7"/>
              <w:spacing w:beforeLines="50" w:line="360" w:lineRule="auto"/>
              <w:ind w:firstLine="210" w:firstLineChars="100"/>
              <w:rPr>
                <w:rFonts w:ascii="宋体" w:hAnsi="宋体"/>
                <w:color w:val="auto"/>
                <w:szCs w:val="21"/>
                <w:highlight w:val="none"/>
              </w:rPr>
            </w:pPr>
            <w:r>
              <w:rPr>
                <w:rFonts w:hint="eastAsia"/>
                <w:color w:val="auto"/>
                <w:szCs w:val="21"/>
                <w:highlight w:val="none"/>
                <w:lang w:val="zh-CN"/>
              </w:rPr>
              <w:t>时间：</w:t>
            </w:r>
            <w:r>
              <w:rPr>
                <w:rFonts w:hint="eastAsia" w:ascii="宋体" w:hAnsi="宋体"/>
                <w:color w:val="auto"/>
                <w:szCs w:val="21"/>
                <w:highlight w:val="none"/>
              </w:rPr>
              <w:t>递交投标文件截至时间15日前</w:t>
            </w:r>
          </w:p>
          <w:p>
            <w:pPr>
              <w:pStyle w:val="7"/>
              <w:spacing w:beforeLines="50" w:line="360" w:lineRule="auto"/>
              <w:ind w:firstLine="210" w:firstLineChars="100"/>
              <w:rPr>
                <w:color w:val="auto"/>
                <w:szCs w:val="21"/>
                <w:highlight w:val="none"/>
                <w:lang w:val="zh-CN"/>
              </w:rPr>
            </w:pPr>
            <w:r>
              <w:rPr>
                <w:rFonts w:hint="eastAsia" w:ascii="宋体" w:hAnsi="宋体"/>
                <w:color w:val="auto"/>
                <w:szCs w:val="21"/>
                <w:highlight w:val="none"/>
              </w:rPr>
              <w:t>形式：书面和公告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19.</w:t>
            </w:r>
          </w:p>
        </w:tc>
        <w:tc>
          <w:tcPr>
            <w:tcW w:w="2160" w:type="dxa"/>
            <w:tcBorders>
              <w:tl2br w:val="nil"/>
              <w:tr2bl w:val="nil"/>
            </w:tcBorders>
            <w:vAlign w:val="center"/>
          </w:tcPr>
          <w:p>
            <w:pPr>
              <w:pStyle w:val="57"/>
              <w:spacing w:beforeLines="50" w:line="360" w:lineRule="auto"/>
              <w:ind w:left="52"/>
              <w:jc w:val="center"/>
              <w:rPr>
                <w:color w:val="auto"/>
                <w:sz w:val="21"/>
                <w:szCs w:val="21"/>
                <w:highlight w:val="none"/>
                <w:lang w:val="zh-CN"/>
              </w:rPr>
            </w:pPr>
            <w:r>
              <w:rPr>
                <w:rFonts w:hint="eastAsia"/>
                <w:color w:val="auto"/>
                <w:sz w:val="21"/>
                <w:szCs w:val="21"/>
                <w:highlight w:val="none"/>
                <w:lang w:val="zh-CN"/>
              </w:rPr>
              <w:t>构成招标文件的</w:t>
            </w:r>
          </w:p>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其他文件</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招标文件的澄清</w:t>
            </w:r>
            <w:r>
              <w:rPr>
                <w:rFonts w:hint="eastAsia"/>
                <w:color w:val="auto"/>
                <w:sz w:val="21"/>
                <w:szCs w:val="21"/>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20.</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投标人对招标文件</w:t>
            </w:r>
          </w:p>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提出质疑的时间、形式</w:t>
            </w:r>
          </w:p>
        </w:tc>
        <w:tc>
          <w:tcPr>
            <w:tcW w:w="6530" w:type="dxa"/>
            <w:tcBorders>
              <w:tl2br w:val="nil"/>
              <w:tr2bl w:val="nil"/>
            </w:tcBorders>
            <w:vAlign w:val="center"/>
          </w:tcPr>
          <w:p>
            <w:pPr>
              <w:pStyle w:val="57"/>
              <w:spacing w:beforeLines="50" w:line="360" w:lineRule="auto"/>
              <w:ind w:left="840" w:leftChars="100" w:hanging="630" w:hangingChars="300"/>
              <w:rPr>
                <w:color w:val="auto"/>
                <w:sz w:val="21"/>
                <w:szCs w:val="21"/>
                <w:highlight w:val="none"/>
                <w:lang w:val="zh-CN"/>
              </w:rPr>
            </w:pPr>
            <w:r>
              <w:rPr>
                <w:rFonts w:hint="eastAsia"/>
                <w:color w:val="auto"/>
                <w:sz w:val="21"/>
                <w:szCs w:val="21"/>
                <w:highlight w:val="none"/>
                <w:lang w:val="zh-CN"/>
              </w:rPr>
              <w:t>时间：自投标人收到招标文件之日起7个工作日内，超过期限的采购人或采购代理机构不再受理</w:t>
            </w:r>
          </w:p>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形式：书面形式（详见</w:t>
            </w:r>
            <w:r>
              <w:rPr>
                <w:rFonts w:hint="eastAsia"/>
                <w:color w:val="auto"/>
                <w:sz w:val="21"/>
                <w:szCs w:val="21"/>
                <w:highlight w:val="none"/>
              </w:rPr>
              <w:t>投标人须知第13.1.2条款</w:t>
            </w:r>
            <w:r>
              <w:rPr>
                <w:rFonts w:hint="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090"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21.</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对投标人的质疑答复时间、形式</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时间：自收到投标人质疑函之日起7个工作日内</w:t>
            </w:r>
          </w:p>
          <w:p>
            <w:pPr>
              <w:pStyle w:val="57"/>
              <w:spacing w:beforeLines="50" w:line="360" w:lineRule="auto"/>
              <w:ind w:firstLine="210" w:firstLineChars="100"/>
              <w:rPr>
                <w:color w:val="auto"/>
                <w:sz w:val="21"/>
                <w:szCs w:val="21"/>
                <w:highlight w:val="none"/>
              </w:rPr>
            </w:pPr>
            <w:r>
              <w:rPr>
                <w:rFonts w:hint="eastAsia"/>
                <w:color w:val="auto"/>
                <w:sz w:val="21"/>
                <w:szCs w:val="21"/>
                <w:highlight w:val="none"/>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22.</w:t>
            </w:r>
          </w:p>
        </w:tc>
        <w:tc>
          <w:tcPr>
            <w:tcW w:w="2160" w:type="dxa"/>
            <w:tcBorders>
              <w:tl2br w:val="nil"/>
              <w:tr2bl w:val="nil"/>
            </w:tcBorders>
            <w:vAlign w:val="center"/>
          </w:tcPr>
          <w:p>
            <w:pPr>
              <w:pStyle w:val="57"/>
              <w:spacing w:beforeLines="50" w:line="360" w:lineRule="auto"/>
              <w:ind w:left="33"/>
              <w:jc w:val="center"/>
              <w:rPr>
                <w:color w:val="auto"/>
                <w:sz w:val="21"/>
                <w:szCs w:val="21"/>
                <w:highlight w:val="none"/>
                <w:lang w:val="zh-CN"/>
              </w:rPr>
            </w:pPr>
            <w:r>
              <w:rPr>
                <w:rFonts w:hint="eastAsia"/>
                <w:color w:val="auto"/>
                <w:sz w:val="21"/>
                <w:szCs w:val="21"/>
                <w:highlight w:val="none"/>
                <w:lang w:val="zh-CN"/>
              </w:rPr>
              <w:t>投标有效期</w:t>
            </w:r>
          </w:p>
        </w:tc>
        <w:tc>
          <w:tcPr>
            <w:tcW w:w="6530" w:type="dxa"/>
            <w:tcBorders>
              <w:tl2br w:val="nil"/>
              <w:tr2bl w:val="nil"/>
            </w:tcBorders>
            <w:vAlign w:val="center"/>
          </w:tcPr>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从投标截止日起90日历</w:t>
            </w:r>
            <w:r>
              <w:rPr>
                <w:rFonts w:hint="eastAsia"/>
                <w:color w:val="auto"/>
                <w:sz w:val="21"/>
                <w:szCs w:val="21"/>
                <w:highlight w:val="none"/>
              </w:rPr>
              <w:t>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075"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23.</w:t>
            </w:r>
          </w:p>
        </w:tc>
        <w:tc>
          <w:tcPr>
            <w:tcW w:w="2160" w:type="dxa"/>
            <w:tcBorders>
              <w:tl2br w:val="nil"/>
              <w:tr2bl w:val="nil"/>
            </w:tcBorders>
            <w:vAlign w:val="center"/>
          </w:tcPr>
          <w:p>
            <w:pPr>
              <w:pStyle w:val="57"/>
              <w:spacing w:beforeLines="50" w:line="360" w:lineRule="auto"/>
              <w:ind w:left="33"/>
              <w:jc w:val="center"/>
              <w:rPr>
                <w:color w:val="auto"/>
                <w:sz w:val="21"/>
                <w:szCs w:val="21"/>
                <w:highlight w:val="none"/>
                <w:lang w:val="zh-CN"/>
              </w:rPr>
            </w:pPr>
            <w:r>
              <w:rPr>
                <w:rFonts w:hint="eastAsia"/>
                <w:color w:val="auto"/>
                <w:sz w:val="21"/>
                <w:szCs w:val="21"/>
                <w:highlight w:val="none"/>
                <w:lang w:val="zh-CN"/>
              </w:rPr>
              <w:t>是否允许递交多个</w:t>
            </w:r>
          </w:p>
          <w:p>
            <w:pPr>
              <w:pStyle w:val="57"/>
              <w:spacing w:beforeLines="50" w:line="360" w:lineRule="auto"/>
              <w:ind w:left="33"/>
              <w:jc w:val="center"/>
              <w:rPr>
                <w:color w:val="auto"/>
                <w:sz w:val="21"/>
                <w:szCs w:val="21"/>
                <w:highlight w:val="none"/>
                <w:lang w:val="zh-CN"/>
              </w:rPr>
            </w:pPr>
            <w:r>
              <w:rPr>
                <w:rFonts w:hint="eastAsia"/>
                <w:color w:val="auto"/>
                <w:sz w:val="21"/>
                <w:szCs w:val="21"/>
                <w:highlight w:val="none"/>
                <w:lang w:val="zh-CN"/>
              </w:rPr>
              <w:t>备选投标方案</w:t>
            </w:r>
          </w:p>
        </w:tc>
        <w:tc>
          <w:tcPr>
            <w:tcW w:w="6530" w:type="dxa"/>
            <w:tcBorders>
              <w:tl2br w:val="nil"/>
              <w:tr2bl w:val="nil"/>
            </w:tcBorders>
            <w:vAlign w:val="center"/>
          </w:tcPr>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不允许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24.</w:t>
            </w:r>
          </w:p>
        </w:tc>
        <w:tc>
          <w:tcPr>
            <w:tcW w:w="2160" w:type="dxa"/>
            <w:tcBorders>
              <w:tl2br w:val="nil"/>
              <w:tr2bl w:val="nil"/>
            </w:tcBorders>
            <w:vAlign w:val="center"/>
          </w:tcPr>
          <w:p>
            <w:pPr>
              <w:pStyle w:val="57"/>
              <w:spacing w:beforeLines="50" w:line="360" w:lineRule="auto"/>
              <w:ind w:left="33"/>
              <w:jc w:val="center"/>
              <w:rPr>
                <w:color w:val="auto"/>
                <w:sz w:val="21"/>
                <w:szCs w:val="21"/>
                <w:highlight w:val="none"/>
                <w:lang w:val="zh-CN"/>
              </w:rPr>
            </w:pPr>
            <w:r>
              <w:rPr>
                <w:rFonts w:hint="eastAsia"/>
                <w:color w:val="auto"/>
                <w:sz w:val="21"/>
                <w:szCs w:val="21"/>
                <w:highlight w:val="none"/>
                <w:lang w:val="zh-CN"/>
              </w:rPr>
              <w:t>投标保证金</w:t>
            </w:r>
          </w:p>
        </w:tc>
        <w:tc>
          <w:tcPr>
            <w:tcW w:w="6530" w:type="dxa"/>
            <w:tcBorders>
              <w:tl2br w:val="nil"/>
              <w:tr2bl w:val="nil"/>
            </w:tcBorders>
            <w:vAlign w:val="center"/>
          </w:tcPr>
          <w:p>
            <w:pPr>
              <w:spacing w:beforeLines="50" w:line="360" w:lineRule="auto"/>
              <w:ind w:left="134" w:leftChars="64" w:firstLine="424" w:firstLineChars="202"/>
              <w:jc w:val="left"/>
              <w:rPr>
                <w:rFonts w:hint="default" w:ascii="宋体" w:hAnsi="宋体" w:eastAsia="宋体"/>
                <w:color w:val="auto"/>
                <w:highlight w:val="none"/>
                <w:lang w:val="en-US" w:eastAsia="zh-CN"/>
              </w:rPr>
            </w:pPr>
            <w:r>
              <w:rPr>
                <w:rFonts w:hint="eastAsia" w:ascii="宋体" w:hAnsi="宋体"/>
                <w:color w:val="auto"/>
                <w:highlight w:val="none"/>
                <w:lang w:val="en-US" w:eastAsia="zh-CN"/>
              </w:rPr>
              <w:t>本项目不需要缴纳保证金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017"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25.</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不予退还投标保证金的情形</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069"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26.</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投标文件份数</w:t>
            </w:r>
          </w:p>
        </w:tc>
        <w:tc>
          <w:tcPr>
            <w:tcW w:w="6530" w:type="dxa"/>
            <w:tcBorders>
              <w:tl2br w:val="nil"/>
              <w:tr2bl w:val="nil"/>
            </w:tcBorders>
            <w:vAlign w:val="center"/>
          </w:tcPr>
          <w:p>
            <w:pPr>
              <w:pStyle w:val="57"/>
              <w:spacing w:beforeLines="50" w:line="360" w:lineRule="auto"/>
              <w:ind w:firstLine="210" w:firstLineChars="100"/>
              <w:rPr>
                <w:rFonts w:cs="仿宋_GB2312"/>
                <w:color w:val="auto"/>
                <w:sz w:val="21"/>
                <w:szCs w:val="21"/>
                <w:highlight w:val="none"/>
              </w:rPr>
            </w:pPr>
            <w:r>
              <w:rPr>
                <w:rFonts w:hint="eastAsia" w:cs="仿宋_GB2312"/>
                <w:color w:val="auto"/>
                <w:sz w:val="21"/>
                <w:szCs w:val="21"/>
                <w:highlight w:val="none"/>
              </w:rPr>
              <w:t>投标文件纸质版一套正本、两套副本</w:t>
            </w:r>
          </w:p>
          <w:p>
            <w:pPr>
              <w:pStyle w:val="57"/>
              <w:spacing w:beforeLines="50" w:line="360" w:lineRule="auto"/>
              <w:ind w:firstLine="210" w:firstLineChars="100"/>
              <w:rPr>
                <w:color w:val="auto"/>
                <w:sz w:val="21"/>
                <w:szCs w:val="21"/>
                <w:highlight w:val="none"/>
                <w:lang w:val="zh-CN"/>
              </w:rPr>
            </w:pPr>
            <w:r>
              <w:rPr>
                <w:rFonts w:hint="eastAsia" w:cs="仿宋_GB2312"/>
                <w:color w:val="auto"/>
                <w:sz w:val="21"/>
                <w:szCs w:val="21"/>
                <w:highlight w:val="none"/>
              </w:rPr>
              <w:t>电子文件1份（U盘）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34"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27.</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签字盖章</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投标人必须按照招标文件的规定和要求签字、盖章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152"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28.</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投标文件是否分册装订</w:t>
            </w:r>
          </w:p>
        </w:tc>
        <w:tc>
          <w:tcPr>
            <w:tcW w:w="6530" w:type="dxa"/>
            <w:tcBorders>
              <w:tl2br w:val="nil"/>
              <w:tr2bl w:val="nil"/>
            </w:tcBorders>
            <w:vAlign w:val="center"/>
          </w:tcPr>
          <w:p>
            <w:pPr>
              <w:pStyle w:val="57"/>
              <w:numPr>
                <w:ilvl w:val="0"/>
                <w:numId w:val="2"/>
              </w:numPr>
              <w:spacing w:beforeLines="50" w:line="360" w:lineRule="auto"/>
              <w:rPr>
                <w:color w:val="auto"/>
                <w:sz w:val="21"/>
                <w:szCs w:val="21"/>
                <w:highlight w:val="none"/>
              </w:rPr>
            </w:pPr>
            <w:r>
              <w:rPr>
                <w:rFonts w:hint="eastAsia"/>
                <w:color w:val="auto"/>
                <w:sz w:val="21"/>
                <w:szCs w:val="21"/>
                <w:highlight w:val="none"/>
              </w:rPr>
              <w:t>不需要</w:t>
            </w:r>
          </w:p>
          <w:p>
            <w:pPr>
              <w:pStyle w:val="57"/>
              <w:numPr>
                <w:ilvl w:val="0"/>
                <w:numId w:val="3"/>
              </w:numPr>
              <w:spacing w:beforeLines="50" w:line="360" w:lineRule="auto"/>
              <w:rPr>
                <w:color w:val="auto"/>
                <w:sz w:val="21"/>
                <w:szCs w:val="21"/>
                <w:highlight w:val="none"/>
              </w:rPr>
            </w:pPr>
            <w:r>
              <w:rPr>
                <w:rFonts w:hint="eastAsia"/>
                <w:color w:val="auto"/>
                <w:sz w:val="21"/>
                <w:szCs w:val="21"/>
                <w:highlight w:val="none"/>
              </w:rPr>
              <w:t>需要，分册装订要求：</w:t>
            </w:r>
          </w:p>
          <w:p>
            <w:pPr>
              <w:spacing w:beforeLines="50" w:line="360" w:lineRule="auto"/>
              <w:ind w:left="134" w:leftChars="64" w:right="158" w:rightChars="75" w:firstLine="210" w:firstLineChars="100"/>
              <w:rPr>
                <w:rFonts w:ascii="宋体" w:hAnsi="宋体" w:cs="宋体"/>
                <w:color w:val="auto"/>
                <w:szCs w:val="21"/>
                <w:highlight w:val="none"/>
              </w:rPr>
            </w:pPr>
            <w:r>
              <w:rPr>
                <w:rFonts w:hint="eastAsia" w:ascii="宋体" w:hAnsi="宋体" w:cs="宋体"/>
                <w:color w:val="auto"/>
                <w:szCs w:val="21"/>
                <w:highlight w:val="none"/>
                <w:lang w:val="zh-CN"/>
              </w:rPr>
              <w:t>投标文件装订要求</w:t>
            </w:r>
            <w:r>
              <w:rPr>
                <w:rFonts w:hint="eastAsia" w:ascii="宋体" w:hAnsi="宋体" w:cs="宋体"/>
                <w:color w:val="auto"/>
                <w:szCs w:val="21"/>
                <w:highlight w:val="none"/>
              </w:rPr>
              <w:t>：</w:t>
            </w:r>
          </w:p>
          <w:p>
            <w:pPr>
              <w:spacing w:beforeLines="50" w:line="360" w:lineRule="auto"/>
              <w:ind w:left="134" w:leftChars="64" w:right="158" w:rightChars="75" w:firstLine="210" w:firstLineChars="100"/>
              <w:rPr>
                <w:rFonts w:ascii="宋体" w:hAnsi="宋体" w:cs="宋体"/>
                <w:color w:val="auto"/>
                <w:szCs w:val="21"/>
                <w:highlight w:val="none"/>
              </w:rPr>
            </w:pPr>
            <w:r>
              <w:rPr>
                <w:rFonts w:hint="eastAsia" w:ascii="宋体" w:hAnsi="宋体" w:cs="宋体"/>
                <w:color w:val="auto"/>
                <w:szCs w:val="21"/>
                <w:highlight w:val="none"/>
                <w:lang w:val="zh-CN"/>
              </w:rPr>
              <w:t>投标文件分开装订</w:t>
            </w:r>
            <w:r>
              <w:rPr>
                <w:rFonts w:hint="eastAsia" w:ascii="宋体" w:hAnsi="宋体" w:cs="宋体"/>
                <w:color w:val="auto"/>
                <w:szCs w:val="21"/>
                <w:highlight w:val="none"/>
              </w:rPr>
              <w:t>；每册采用A4页幅、双面打印、左侧胶装方式装订，装订应牢固、不易拆散和换页，活页装订的投标文件按无效投标文件处理。</w:t>
            </w:r>
          </w:p>
          <w:p>
            <w:pPr>
              <w:spacing w:beforeLines="50" w:line="360" w:lineRule="auto"/>
              <w:ind w:left="134" w:leftChars="64" w:right="158" w:rightChars="75" w:firstLine="210" w:firstLineChars="100"/>
              <w:rPr>
                <w:color w:val="auto"/>
                <w:szCs w:val="21"/>
                <w:highlight w:val="none"/>
              </w:rPr>
            </w:pPr>
            <w:r>
              <w:rPr>
                <w:rFonts w:hint="eastAsia"/>
                <w:color w:val="auto"/>
                <w:szCs w:val="21"/>
                <w:highlight w:val="none"/>
              </w:rPr>
              <w:t>装袋</w:t>
            </w:r>
            <w:r>
              <w:rPr>
                <w:rFonts w:hint="eastAsia" w:ascii="宋体" w:hAnsi="宋体" w:cs="宋体"/>
                <w:color w:val="auto"/>
                <w:szCs w:val="21"/>
                <w:highlight w:val="none"/>
                <w:lang w:val="zh-CN"/>
              </w:rPr>
              <w:t>要求</w:t>
            </w:r>
            <w:r>
              <w:rPr>
                <w:rFonts w:hint="eastAsia"/>
                <w:color w:val="auto"/>
                <w:szCs w:val="21"/>
                <w:highlight w:val="none"/>
              </w:rPr>
              <w:t>：</w:t>
            </w:r>
          </w:p>
          <w:p>
            <w:pPr>
              <w:spacing w:beforeLines="50" w:line="360" w:lineRule="auto"/>
              <w:ind w:left="134" w:leftChars="64" w:right="158" w:rightChars="75" w:firstLine="210" w:firstLineChars="100"/>
              <w:rPr>
                <w:color w:val="auto"/>
                <w:szCs w:val="21"/>
                <w:highlight w:val="none"/>
                <w:lang w:val="zh-CN"/>
              </w:rPr>
            </w:pPr>
            <w:r>
              <w:rPr>
                <w:rFonts w:hint="eastAsia"/>
                <w:color w:val="auto"/>
                <w:szCs w:val="21"/>
                <w:highlight w:val="none"/>
                <w:lang w:val="zh-CN"/>
              </w:rPr>
              <w:t>正本</w:t>
            </w:r>
            <w:r>
              <w:rPr>
                <w:rFonts w:hint="eastAsia"/>
                <w:color w:val="auto"/>
                <w:szCs w:val="21"/>
                <w:highlight w:val="none"/>
                <w:lang w:val="zh-CN" w:eastAsia="zh-CN"/>
              </w:rPr>
              <w:t>和U盘装在</w:t>
            </w:r>
            <w:r>
              <w:rPr>
                <w:rFonts w:hint="eastAsia"/>
                <w:color w:val="auto"/>
                <w:szCs w:val="21"/>
                <w:highlight w:val="none"/>
                <w:lang w:val="zh-CN"/>
              </w:rPr>
              <w:t>1个</w:t>
            </w:r>
            <w:r>
              <w:rPr>
                <w:rFonts w:hint="eastAsia"/>
                <w:color w:val="auto"/>
                <w:szCs w:val="21"/>
                <w:highlight w:val="none"/>
                <w:lang w:val="zh-CN" w:eastAsia="zh-CN"/>
              </w:rPr>
              <w:t>密封</w:t>
            </w:r>
            <w:r>
              <w:rPr>
                <w:rFonts w:hint="eastAsia"/>
                <w:color w:val="auto"/>
                <w:szCs w:val="21"/>
                <w:highlight w:val="none"/>
                <w:lang w:val="zh-CN"/>
              </w:rPr>
              <w:t>袋、所有副本</w:t>
            </w:r>
            <w:r>
              <w:rPr>
                <w:rFonts w:hint="eastAsia"/>
                <w:color w:val="auto"/>
                <w:szCs w:val="21"/>
                <w:highlight w:val="none"/>
                <w:lang w:val="zh-CN" w:eastAsia="zh-CN"/>
              </w:rPr>
              <w:t>装在</w:t>
            </w:r>
            <w:r>
              <w:rPr>
                <w:rFonts w:hint="eastAsia"/>
                <w:color w:val="auto"/>
                <w:szCs w:val="21"/>
                <w:highlight w:val="none"/>
                <w:lang w:val="zh-CN"/>
              </w:rPr>
              <w:t>1个</w:t>
            </w:r>
            <w:r>
              <w:rPr>
                <w:rFonts w:hint="eastAsia"/>
                <w:color w:val="auto"/>
                <w:szCs w:val="21"/>
                <w:highlight w:val="none"/>
                <w:lang w:val="zh-CN" w:eastAsia="zh-CN"/>
              </w:rPr>
              <w:t>密封</w:t>
            </w:r>
            <w:r>
              <w:rPr>
                <w:rFonts w:hint="eastAsia"/>
                <w:color w:val="auto"/>
                <w:szCs w:val="21"/>
                <w:highlight w:val="none"/>
                <w:lang w:val="zh-CN"/>
              </w:rPr>
              <w:t>袋</w:t>
            </w:r>
            <w:r>
              <w:rPr>
                <w:rFonts w:hint="eastAsia"/>
                <w:color w:val="auto"/>
                <w:szCs w:val="21"/>
                <w:highlight w:val="none"/>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Arial"/>
                <w:color w:val="auto"/>
                <w:sz w:val="21"/>
                <w:szCs w:val="21"/>
                <w:highlight w:val="none"/>
              </w:rPr>
            </w:pPr>
            <w:r>
              <w:rPr>
                <w:rFonts w:hint="eastAsia" w:cs="Arial"/>
                <w:color w:val="auto"/>
                <w:sz w:val="21"/>
                <w:szCs w:val="21"/>
                <w:highlight w:val="none"/>
              </w:rPr>
              <w:t>29.</w:t>
            </w:r>
          </w:p>
        </w:tc>
        <w:tc>
          <w:tcPr>
            <w:tcW w:w="2160" w:type="dxa"/>
            <w:tcBorders>
              <w:tl2br w:val="nil"/>
              <w:tr2bl w:val="nil"/>
            </w:tcBorders>
            <w:vAlign w:val="center"/>
          </w:tcPr>
          <w:p>
            <w:pPr>
              <w:pStyle w:val="57"/>
              <w:spacing w:beforeLines="50" w:line="360" w:lineRule="auto"/>
              <w:ind w:left="351" w:leftChars="167"/>
              <w:rPr>
                <w:color w:val="auto"/>
                <w:sz w:val="21"/>
                <w:szCs w:val="21"/>
                <w:highlight w:val="none"/>
                <w:lang w:val="zh-CN"/>
              </w:rPr>
            </w:pPr>
            <w:r>
              <w:rPr>
                <w:rFonts w:hint="eastAsia"/>
                <w:color w:val="auto"/>
                <w:sz w:val="21"/>
                <w:szCs w:val="21"/>
                <w:highlight w:val="none"/>
                <w:lang w:val="zh-CN"/>
              </w:rPr>
              <w:t>投标文件封面</w:t>
            </w:r>
          </w:p>
          <w:p>
            <w:pPr>
              <w:pStyle w:val="57"/>
              <w:spacing w:beforeLines="50" w:line="360" w:lineRule="auto"/>
              <w:ind w:left="351" w:leftChars="167" w:firstLine="420" w:firstLineChars="200"/>
              <w:rPr>
                <w:rFonts w:cs="Arial"/>
                <w:color w:val="auto"/>
                <w:sz w:val="21"/>
                <w:szCs w:val="21"/>
                <w:highlight w:val="none"/>
                <w:lang w:val="zh-CN"/>
              </w:rPr>
            </w:pPr>
            <w:r>
              <w:rPr>
                <w:rFonts w:hint="eastAsia"/>
                <w:color w:val="auto"/>
                <w:sz w:val="21"/>
                <w:szCs w:val="21"/>
                <w:highlight w:val="none"/>
                <w:lang w:val="zh-CN"/>
              </w:rPr>
              <w:t>标注</w:t>
            </w:r>
          </w:p>
        </w:tc>
        <w:tc>
          <w:tcPr>
            <w:tcW w:w="6530" w:type="dxa"/>
            <w:tcBorders>
              <w:tl2br w:val="nil"/>
              <w:tr2bl w:val="nil"/>
            </w:tcBorders>
            <w:vAlign w:val="center"/>
          </w:tcPr>
          <w:p>
            <w:pPr>
              <w:spacing w:beforeLines="50" w:line="360" w:lineRule="auto"/>
              <w:ind w:left="134" w:leftChars="64" w:right="158" w:rightChars="75" w:firstLine="210" w:firstLineChars="100"/>
              <w:rPr>
                <w:color w:val="auto"/>
                <w:szCs w:val="21"/>
                <w:highlight w:val="none"/>
                <w:lang w:val="zh-CN"/>
              </w:rPr>
            </w:pPr>
            <w:r>
              <w:rPr>
                <w:rFonts w:hint="eastAsia"/>
                <w:color w:val="auto"/>
                <w:szCs w:val="21"/>
                <w:highlight w:val="none"/>
                <w:lang w:val="zh-CN"/>
              </w:rPr>
              <w:t>投标文件正本和副本的封面上均应标明：采购项目名称、采购项目编号、投标人名称、年月日；并分别在右上角标明“正本”和“副本”字样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Arial"/>
                <w:color w:val="auto"/>
                <w:sz w:val="21"/>
                <w:szCs w:val="21"/>
                <w:highlight w:val="none"/>
              </w:rPr>
            </w:pPr>
            <w:r>
              <w:rPr>
                <w:rFonts w:hint="eastAsia" w:cs="Arial"/>
                <w:color w:val="auto"/>
                <w:sz w:val="21"/>
                <w:szCs w:val="21"/>
                <w:highlight w:val="none"/>
              </w:rPr>
              <w:t>30.</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封套上应载明的信息</w:t>
            </w:r>
          </w:p>
        </w:tc>
        <w:tc>
          <w:tcPr>
            <w:tcW w:w="6530" w:type="dxa"/>
            <w:tcBorders>
              <w:tl2br w:val="nil"/>
              <w:tr2bl w:val="nil"/>
            </w:tcBorders>
            <w:vAlign w:val="center"/>
          </w:tcPr>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采购人名称：</w:t>
            </w:r>
          </w:p>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 xml:space="preserve">采购项目名称：          </w:t>
            </w:r>
          </w:p>
          <w:p>
            <w:pPr>
              <w:pStyle w:val="57"/>
              <w:spacing w:beforeLines="50" w:line="360" w:lineRule="auto"/>
              <w:ind w:firstLine="210" w:firstLineChars="100"/>
              <w:jc w:val="both"/>
              <w:rPr>
                <w:rFonts w:hint="eastAsia" w:eastAsia="宋体"/>
                <w:color w:val="auto"/>
                <w:sz w:val="21"/>
                <w:szCs w:val="21"/>
                <w:highlight w:val="none"/>
                <w:lang w:val="en-US" w:eastAsia="zh-CN"/>
              </w:rPr>
            </w:pPr>
            <w:r>
              <w:rPr>
                <w:rFonts w:hint="eastAsia"/>
                <w:color w:val="auto"/>
                <w:sz w:val="21"/>
                <w:szCs w:val="21"/>
                <w:highlight w:val="none"/>
                <w:lang w:val="en-US" w:eastAsia="zh-CN"/>
              </w:rPr>
              <w:t>标段：</w:t>
            </w:r>
          </w:p>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投标文件</w:t>
            </w:r>
          </w:p>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采购项目编号：</w:t>
            </w:r>
          </w:p>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投标人名称：</w:t>
            </w:r>
          </w:p>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在    年  月   日  时  分前不得开启</w:t>
            </w:r>
          </w:p>
          <w:p>
            <w:pPr>
              <w:pStyle w:val="57"/>
              <w:spacing w:beforeLines="50" w:line="360" w:lineRule="auto"/>
              <w:ind w:firstLine="210" w:firstLineChars="100"/>
              <w:jc w:val="both"/>
              <w:rPr>
                <w:color w:val="auto"/>
                <w:sz w:val="21"/>
                <w:szCs w:val="21"/>
                <w:highlight w:val="none"/>
                <w:lang w:val="zh-CN"/>
              </w:rPr>
            </w:pPr>
            <w:r>
              <w:rPr>
                <w:rFonts w:hint="eastAsia"/>
                <w:color w:val="auto"/>
                <w:sz w:val="21"/>
                <w:szCs w:val="21"/>
                <w:highlight w:val="none"/>
                <w:lang w:val="zh-CN"/>
              </w:rPr>
              <w:t>“正本”或“副本”字样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31.</w:t>
            </w:r>
          </w:p>
        </w:tc>
        <w:tc>
          <w:tcPr>
            <w:tcW w:w="2160" w:type="dxa"/>
            <w:tcBorders>
              <w:tl2br w:val="nil"/>
              <w:tr2bl w:val="nil"/>
            </w:tcBorders>
            <w:vAlign w:val="center"/>
          </w:tcPr>
          <w:p>
            <w:pPr>
              <w:pStyle w:val="57"/>
              <w:spacing w:beforeLines="50" w:line="360" w:lineRule="auto"/>
              <w:ind w:left="352"/>
              <w:rPr>
                <w:color w:val="auto"/>
                <w:sz w:val="21"/>
                <w:szCs w:val="21"/>
                <w:highlight w:val="none"/>
                <w:lang w:val="zh-CN"/>
              </w:rPr>
            </w:pPr>
            <w:r>
              <w:rPr>
                <w:rFonts w:hint="eastAsia"/>
                <w:color w:val="auto"/>
                <w:sz w:val="21"/>
                <w:szCs w:val="21"/>
                <w:highlight w:val="none"/>
                <w:lang w:val="zh-CN"/>
              </w:rPr>
              <w:t>投标截止时间</w:t>
            </w:r>
          </w:p>
        </w:tc>
        <w:tc>
          <w:tcPr>
            <w:tcW w:w="6530" w:type="dxa"/>
            <w:tcBorders>
              <w:tl2br w:val="nil"/>
              <w:tr2bl w:val="nil"/>
            </w:tcBorders>
            <w:vAlign w:val="center"/>
          </w:tcPr>
          <w:p>
            <w:pPr>
              <w:pStyle w:val="57"/>
              <w:spacing w:beforeLines="50" w:line="360" w:lineRule="auto"/>
              <w:ind w:firstLine="210" w:firstLineChars="100"/>
              <w:rPr>
                <w:color w:val="auto"/>
                <w:highlight w:val="none"/>
              </w:rPr>
            </w:pPr>
            <w:r>
              <w:rPr>
                <w:rFonts w:hint="eastAsia"/>
                <w:color w:val="auto"/>
                <w:sz w:val="21"/>
                <w:szCs w:val="21"/>
                <w:highlight w:val="none"/>
                <w:lang w:val="zh-CN"/>
              </w:rPr>
              <w:t>详见招标公告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32.</w:t>
            </w:r>
          </w:p>
        </w:tc>
        <w:tc>
          <w:tcPr>
            <w:tcW w:w="2160" w:type="dxa"/>
            <w:tcBorders>
              <w:tl2br w:val="nil"/>
              <w:tr2bl w:val="nil"/>
            </w:tcBorders>
            <w:vAlign w:val="center"/>
          </w:tcPr>
          <w:p>
            <w:pPr>
              <w:pStyle w:val="57"/>
              <w:spacing w:beforeLines="50" w:line="360" w:lineRule="auto"/>
              <w:ind w:left="352"/>
              <w:rPr>
                <w:color w:val="auto"/>
                <w:sz w:val="21"/>
                <w:szCs w:val="21"/>
                <w:highlight w:val="none"/>
                <w:lang w:val="zh-CN"/>
              </w:rPr>
            </w:pPr>
            <w:r>
              <w:rPr>
                <w:rFonts w:hint="eastAsia"/>
                <w:color w:val="auto"/>
                <w:sz w:val="21"/>
                <w:szCs w:val="21"/>
                <w:highlight w:val="none"/>
                <w:lang w:val="zh-CN"/>
              </w:rPr>
              <w:t>递交投标文件地点</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详见招标公告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33.</w:t>
            </w:r>
          </w:p>
        </w:tc>
        <w:tc>
          <w:tcPr>
            <w:tcW w:w="2160" w:type="dxa"/>
            <w:tcBorders>
              <w:tl2br w:val="nil"/>
              <w:tr2bl w:val="nil"/>
            </w:tcBorders>
            <w:vAlign w:val="center"/>
          </w:tcPr>
          <w:p>
            <w:pPr>
              <w:pStyle w:val="57"/>
              <w:spacing w:beforeLines="50" w:line="360" w:lineRule="auto"/>
              <w:ind w:left="350"/>
              <w:rPr>
                <w:color w:val="auto"/>
                <w:sz w:val="21"/>
                <w:szCs w:val="21"/>
                <w:highlight w:val="none"/>
                <w:lang w:val="zh-CN"/>
              </w:rPr>
            </w:pPr>
            <w:r>
              <w:rPr>
                <w:rFonts w:hint="eastAsia"/>
                <w:color w:val="auto"/>
                <w:sz w:val="21"/>
                <w:szCs w:val="21"/>
                <w:highlight w:val="none"/>
                <w:lang w:val="zh-CN"/>
              </w:rPr>
              <w:t>投标文件是否退还</w:t>
            </w:r>
          </w:p>
        </w:tc>
        <w:tc>
          <w:tcPr>
            <w:tcW w:w="6530" w:type="dxa"/>
            <w:tcBorders>
              <w:tl2br w:val="nil"/>
              <w:tr2bl w:val="nil"/>
            </w:tcBorders>
            <w:vAlign w:val="center"/>
          </w:tcPr>
          <w:p>
            <w:pPr>
              <w:autoSpaceDE w:val="0"/>
              <w:autoSpaceDN w:val="0"/>
              <w:adjustRightInd w:val="0"/>
              <w:spacing w:beforeLines="50" w:line="360" w:lineRule="auto"/>
              <w:ind w:firstLine="210" w:firstLineChars="100"/>
              <w:jc w:val="left"/>
              <w:rPr>
                <w:rFonts w:ascii="宋体" w:hAnsi="宋体"/>
                <w:color w:val="auto"/>
                <w:highlight w:val="none"/>
              </w:rPr>
            </w:pPr>
            <w:r>
              <w:rPr>
                <w:rFonts w:hint="eastAsia" w:ascii="宋体" w:hAnsi="宋体"/>
                <w:color w:val="auto"/>
                <w:highlight w:val="none"/>
              </w:rPr>
              <w:t>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34.</w:t>
            </w:r>
          </w:p>
        </w:tc>
        <w:tc>
          <w:tcPr>
            <w:tcW w:w="2160" w:type="dxa"/>
            <w:tcBorders>
              <w:tl2br w:val="nil"/>
              <w:tr2bl w:val="nil"/>
            </w:tcBorders>
            <w:vAlign w:val="center"/>
          </w:tcPr>
          <w:p>
            <w:pPr>
              <w:pStyle w:val="57"/>
              <w:spacing w:beforeLines="50" w:line="360" w:lineRule="auto"/>
              <w:jc w:val="center"/>
              <w:rPr>
                <w:rFonts w:cs="Arial"/>
                <w:color w:val="auto"/>
                <w:sz w:val="21"/>
                <w:szCs w:val="21"/>
                <w:highlight w:val="none"/>
                <w:lang w:val="zh-CN"/>
              </w:rPr>
            </w:pPr>
            <w:r>
              <w:rPr>
                <w:rFonts w:hint="eastAsia"/>
                <w:color w:val="auto"/>
                <w:sz w:val="21"/>
                <w:szCs w:val="21"/>
                <w:highlight w:val="none"/>
                <w:lang w:val="zh-CN"/>
              </w:rPr>
              <w:t>开标时间和地点</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开标时间：同投标截止时间</w:t>
            </w:r>
          </w:p>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开标地点：同递交投标文件地点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Arial"/>
                <w:color w:val="auto"/>
                <w:sz w:val="21"/>
                <w:szCs w:val="21"/>
                <w:highlight w:val="none"/>
              </w:rPr>
            </w:pPr>
            <w:r>
              <w:rPr>
                <w:rFonts w:hint="eastAsia" w:cs="Arial"/>
                <w:color w:val="auto"/>
                <w:sz w:val="21"/>
                <w:szCs w:val="21"/>
                <w:highlight w:val="none"/>
              </w:rPr>
              <w:t>35.</w:t>
            </w:r>
          </w:p>
        </w:tc>
        <w:tc>
          <w:tcPr>
            <w:tcW w:w="2160" w:type="dxa"/>
            <w:tcBorders>
              <w:tl2br w:val="nil"/>
              <w:tr2bl w:val="nil"/>
            </w:tcBorders>
            <w:vAlign w:val="center"/>
          </w:tcPr>
          <w:p>
            <w:pPr>
              <w:spacing w:beforeLines="50" w:line="360" w:lineRule="auto"/>
              <w:jc w:val="center"/>
              <w:rPr>
                <w:color w:val="auto"/>
                <w:sz w:val="20"/>
                <w:szCs w:val="20"/>
                <w:highlight w:val="none"/>
                <w:lang w:val="zh-CN"/>
              </w:rPr>
            </w:pPr>
            <w:r>
              <w:rPr>
                <w:rFonts w:hint="eastAsia" w:ascii="宋体" w:hAnsi="宋体" w:cs="宋体"/>
                <w:color w:val="auto"/>
                <w:sz w:val="22"/>
                <w:szCs w:val="22"/>
                <w:highlight w:val="none"/>
              </w:rPr>
              <w:t>评标委员会的组建</w:t>
            </w:r>
          </w:p>
        </w:tc>
        <w:tc>
          <w:tcPr>
            <w:tcW w:w="6530" w:type="dxa"/>
            <w:tcBorders>
              <w:tl2br w:val="nil"/>
              <w:tr2bl w:val="nil"/>
            </w:tcBorders>
            <w:vAlign w:val="center"/>
          </w:tcPr>
          <w:p>
            <w:pPr>
              <w:spacing w:beforeLines="50" w:line="360" w:lineRule="auto"/>
              <w:rPr>
                <w:rFonts w:ascii="宋体" w:hAnsi="宋体" w:cs="宋体"/>
                <w:color w:val="auto"/>
                <w:sz w:val="22"/>
                <w:szCs w:val="22"/>
                <w:highlight w:val="none"/>
              </w:rPr>
            </w:pPr>
            <w:r>
              <w:rPr>
                <w:rFonts w:hint="eastAsia" w:ascii="宋体" w:hAnsi="宋体" w:cs="宋体"/>
                <w:color w:val="auto"/>
                <w:sz w:val="22"/>
                <w:szCs w:val="22"/>
                <w:highlight w:val="none"/>
              </w:rPr>
              <w:t>评标委员会构成：7人以上单数</w:t>
            </w:r>
          </w:p>
          <w:p>
            <w:pPr>
              <w:spacing w:beforeLines="50" w:line="360" w:lineRule="auto"/>
              <w:rPr>
                <w:color w:val="auto"/>
                <w:sz w:val="20"/>
                <w:szCs w:val="20"/>
                <w:highlight w:val="none"/>
                <w:lang w:val="zh-CN"/>
              </w:rPr>
            </w:pPr>
            <w:r>
              <w:rPr>
                <w:rFonts w:hint="eastAsia" w:ascii="宋体" w:hAnsi="宋体" w:cs="宋体"/>
                <w:color w:val="auto"/>
                <w:sz w:val="22"/>
                <w:szCs w:val="22"/>
                <w:highlight w:val="none"/>
              </w:rPr>
              <w:t>评标专家确定方式：</w:t>
            </w:r>
            <w:r>
              <w:rPr>
                <w:rFonts w:hint="eastAsia" w:ascii="宋体" w:hAnsi="宋体" w:cs="宋体"/>
                <w:color w:val="auto"/>
                <w:sz w:val="22"/>
                <w:szCs w:val="22"/>
                <w:highlight w:val="none"/>
                <w:lang w:eastAsia="zh-CN"/>
              </w:rPr>
              <w:t>由</w:t>
            </w:r>
            <w:r>
              <w:rPr>
                <w:rFonts w:hint="eastAsia" w:ascii="宋体" w:hAnsi="宋体" w:cs="宋体"/>
                <w:color w:val="auto"/>
                <w:sz w:val="22"/>
                <w:szCs w:val="22"/>
                <w:highlight w:val="none"/>
              </w:rPr>
              <w:t>陕西省财政厅政府采购专家库随机抽取</w:t>
            </w:r>
            <w:r>
              <w:rPr>
                <w:rFonts w:hint="eastAsia" w:ascii="宋体" w:hAnsi="宋体" w:cs="宋体"/>
                <w:color w:val="auto"/>
                <w:sz w:val="22"/>
                <w:szCs w:val="22"/>
                <w:highlight w:val="none"/>
                <w:lang w:val="en-US" w:eastAsia="zh-CN"/>
              </w:rPr>
              <w:t>5名专家和采购人委托的代表2名组成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36.</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评标方法及标准</w:t>
            </w:r>
          </w:p>
        </w:tc>
        <w:tc>
          <w:tcPr>
            <w:tcW w:w="6530" w:type="dxa"/>
            <w:tcBorders>
              <w:tl2br w:val="nil"/>
              <w:tr2bl w:val="nil"/>
            </w:tcBorders>
            <w:vAlign w:val="center"/>
          </w:tcPr>
          <w:p>
            <w:pPr>
              <w:pStyle w:val="57"/>
              <w:spacing w:beforeLines="50" w:line="360" w:lineRule="auto"/>
              <w:ind w:left="634" w:leftChars="102" w:hanging="420" w:hangingChars="200"/>
              <w:rPr>
                <w:color w:val="auto"/>
                <w:sz w:val="21"/>
                <w:szCs w:val="21"/>
                <w:highlight w:val="none"/>
                <w:lang w:val="zh-CN"/>
              </w:rPr>
            </w:pPr>
            <w:r>
              <w:rPr>
                <w:rFonts w:hint="eastAsia"/>
                <w:color w:val="auto"/>
                <w:sz w:val="21"/>
                <w:szCs w:val="21"/>
                <w:highlight w:val="none"/>
                <w:lang w:val="zh-CN"/>
              </w:rPr>
              <w:t>详见第三章评标方法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37.</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是否授权评标委员会确定中标人</w:t>
            </w:r>
          </w:p>
        </w:tc>
        <w:tc>
          <w:tcPr>
            <w:tcW w:w="6530" w:type="dxa"/>
            <w:tcBorders>
              <w:tl2br w:val="nil"/>
              <w:tr2bl w:val="nil"/>
            </w:tcBorders>
            <w:vAlign w:val="center"/>
          </w:tcPr>
          <w:p>
            <w:pPr>
              <w:pStyle w:val="57"/>
              <w:spacing w:beforeLines="50" w:line="360" w:lineRule="auto"/>
              <w:ind w:firstLine="210" w:firstLineChars="100"/>
              <w:rPr>
                <w:color w:val="auto"/>
                <w:sz w:val="21"/>
                <w:szCs w:val="21"/>
                <w:highlight w:val="none"/>
                <w:lang w:val="zh-CN"/>
              </w:rPr>
            </w:pPr>
            <w:r>
              <w:rPr>
                <w:rFonts w:hint="eastAsia"/>
                <w:color w:val="auto"/>
                <w:sz w:val="21"/>
                <w:szCs w:val="21"/>
                <w:highlight w:val="none"/>
                <w:lang w:val="zh-CN"/>
              </w:rPr>
              <w:t>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38.</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中标公告的时间、</w:t>
            </w:r>
          </w:p>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媒介和期限</w:t>
            </w:r>
          </w:p>
        </w:tc>
        <w:tc>
          <w:tcPr>
            <w:tcW w:w="6530" w:type="dxa"/>
            <w:tcBorders>
              <w:tl2br w:val="nil"/>
              <w:tr2bl w:val="nil"/>
            </w:tcBorders>
            <w:vAlign w:val="center"/>
          </w:tcPr>
          <w:p>
            <w:pPr>
              <w:pStyle w:val="7"/>
              <w:spacing w:beforeLines="50" w:line="360" w:lineRule="auto"/>
              <w:ind w:firstLine="210" w:firstLineChars="100"/>
              <w:rPr>
                <w:color w:val="auto"/>
                <w:szCs w:val="21"/>
                <w:highlight w:val="none"/>
                <w:lang w:val="zh-CN"/>
              </w:rPr>
            </w:pPr>
            <w:r>
              <w:rPr>
                <w:rFonts w:hint="eastAsia"/>
                <w:color w:val="auto"/>
                <w:szCs w:val="21"/>
                <w:highlight w:val="none"/>
                <w:lang w:val="zh-CN"/>
              </w:rPr>
              <w:t>公告时间：</w:t>
            </w:r>
            <w:r>
              <w:rPr>
                <w:rFonts w:hint="eastAsia" w:ascii="宋体" w:hAnsi="宋体"/>
                <w:color w:val="auto"/>
                <w:szCs w:val="21"/>
                <w:highlight w:val="none"/>
              </w:rPr>
              <w:t>在确定中标人之日起</w:t>
            </w:r>
            <w:r>
              <w:rPr>
                <w:rFonts w:hint="eastAsia" w:ascii="宋体" w:hAnsi="宋体"/>
                <w:b/>
                <w:color w:val="auto"/>
                <w:szCs w:val="21"/>
                <w:highlight w:val="none"/>
              </w:rPr>
              <w:t>2</w:t>
            </w:r>
            <w:r>
              <w:rPr>
                <w:rFonts w:hint="eastAsia" w:ascii="宋体" w:hAnsi="宋体"/>
                <w:color w:val="auto"/>
                <w:szCs w:val="21"/>
                <w:highlight w:val="none"/>
              </w:rPr>
              <w:t>个工作日内</w:t>
            </w:r>
          </w:p>
          <w:p>
            <w:pPr>
              <w:pStyle w:val="57"/>
              <w:spacing w:beforeLines="50" w:line="360" w:lineRule="auto"/>
              <w:ind w:left="210"/>
              <w:rPr>
                <w:color w:val="auto"/>
                <w:sz w:val="21"/>
                <w:szCs w:val="21"/>
                <w:highlight w:val="none"/>
                <w:lang w:val="zh-CN"/>
              </w:rPr>
            </w:pPr>
            <w:r>
              <w:rPr>
                <w:rFonts w:hint="eastAsia"/>
                <w:color w:val="auto"/>
                <w:sz w:val="21"/>
                <w:szCs w:val="21"/>
                <w:highlight w:val="none"/>
                <w:lang w:val="zh-CN"/>
              </w:rPr>
              <w:t>公告媒介：陕西省政府采购网</w:t>
            </w:r>
          </w:p>
          <w:p>
            <w:pPr>
              <w:pStyle w:val="57"/>
              <w:spacing w:beforeLines="50" w:line="360" w:lineRule="auto"/>
              <w:ind w:left="210"/>
              <w:rPr>
                <w:color w:val="auto"/>
                <w:sz w:val="21"/>
                <w:szCs w:val="21"/>
                <w:highlight w:val="none"/>
                <w:lang w:val="zh-CN"/>
              </w:rPr>
            </w:pPr>
            <w:r>
              <w:rPr>
                <w:rFonts w:hint="eastAsia"/>
                <w:color w:val="auto"/>
                <w:sz w:val="21"/>
                <w:szCs w:val="21"/>
                <w:highlight w:val="none"/>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39.</w:t>
            </w:r>
          </w:p>
        </w:tc>
        <w:tc>
          <w:tcPr>
            <w:tcW w:w="2160" w:type="dxa"/>
            <w:tcBorders>
              <w:tl2br w:val="nil"/>
              <w:tr2bl w:val="nil"/>
            </w:tcBorders>
            <w:vAlign w:val="center"/>
          </w:tcPr>
          <w:p>
            <w:pPr>
              <w:pStyle w:val="57"/>
              <w:spacing w:beforeLines="50" w:line="360" w:lineRule="auto"/>
              <w:ind w:left="96"/>
              <w:jc w:val="center"/>
              <w:rPr>
                <w:color w:val="auto"/>
                <w:sz w:val="21"/>
                <w:szCs w:val="21"/>
                <w:highlight w:val="none"/>
                <w:lang w:val="zh-CN"/>
              </w:rPr>
            </w:pPr>
            <w:r>
              <w:rPr>
                <w:rFonts w:hint="eastAsia"/>
                <w:color w:val="auto"/>
                <w:sz w:val="21"/>
                <w:szCs w:val="21"/>
                <w:highlight w:val="none"/>
                <w:lang w:val="zh-CN"/>
              </w:rPr>
              <w:t>履约保证金</w:t>
            </w:r>
          </w:p>
        </w:tc>
        <w:tc>
          <w:tcPr>
            <w:tcW w:w="6530" w:type="dxa"/>
            <w:tcBorders>
              <w:tl2br w:val="nil"/>
              <w:tr2bl w:val="nil"/>
            </w:tcBorders>
            <w:vAlign w:val="center"/>
          </w:tcPr>
          <w:p>
            <w:pPr>
              <w:pStyle w:val="57"/>
              <w:spacing w:beforeLines="50" w:line="360" w:lineRule="auto"/>
              <w:ind w:firstLine="105" w:firstLineChars="50"/>
              <w:rPr>
                <w:color w:val="auto"/>
                <w:sz w:val="21"/>
                <w:szCs w:val="21"/>
                <w:highlight w:val="none"/>
                <w:lang w:val="zh-CN"/>
              </w:rPr>
            </w:pPr>
            <w:r>
              <w:rPr>
                <w:rFonts w:hint="eastAsia"/>
                <w:color w:val="auto"/>
                <w:sz w:val="21"/>
                <w:szCs w:val="21"/>
                <w:highlight w:val="none"/>
                <w:lang w:val="zh-CN"/>
              </w:rPr>
              <w:t>是否要求中标人提交履约保证金：</w:t>
            </w:r>
          </w:p>
          <w:p>
            <w:pPr>
              <w:pStyle w:val="57"/>
              <w:spacing w:beforeLines="50" w:line="360" w:lineRule="auto"/>
              <w:ind w:left="210"/>
              <w:rPr>
                <w:color w:val="auto"/>
                <w:sz w:val="21"/>
                <w:szCs w:val="21"/>
                <w:highlight w:val="none"/>
                <w:lang w:val="zh-CN"/>
              </w:rPr>
            </w:pPr>
            <w:r>
              <w:rPr>
                <w:rFonts w:hint="eastAsia"/>
                <w:color w:val="auto"/>
                <w:szCs w:val="21"/>
                <w:highlight w:val="none"/>
              </w:rPr>
              <w:sym w:font="Wingdings" w:char="00A8"/>
            </w:r>
            <w:r>
              <w:rPr>
                <w:rFonts w:hint="eastAsia"/>
                <w:color w:val="auto"/>
                <w:sz w:val="21"/>
                <w:szCs w:val="21"/>
                <w:highlight w:val="none"/>
                <w:lang w:val="zh-CN"/>
              </w:rPr>
              <w:t>要求:</w:t>
            </w:r>
          </w:p>
          <w:p>
            <w:pPr>
              <w:pStyle w:val="57"/>
              <w:spacing w:beforeLines="50" w:line="360" w:lineRule="auto"/>
              <w:ind w:firstLine="105" w:firstLineChars="50"/>
              <w:rPr>
                <w:color w:val="auto"/>
                <w:sz w:val="21"/>
                <w:szCs w:val="21"/>
                <w:highlight w:val="none"/>
                <w:u w:val="single"/>
              </w:rPr>
            </w:pPr>
            <w:r>
              <w:rPr>
                <w:rFonts w:hint="eastAsia"/>
                <w:color w:val="auto"/>
                <w:sz w:val="21"/>
                <w:szCs w:val="21"/>
                <w:highlight w:val="none"/>
                <w:lang w:val="zh-CN"/>
              </w:rPr>
              <w:t xml:space="preserve">    履约保证金的金额：中标金额的</w:t>
            </w:r>
            <w:r>
              <w:rPr>
                <w:rFonts w:hint="eastAsia"/>
                <w:color w:val="auto"/>
                <w:sz w:val="21"/>
                <w:szCs w:val="21"/>
                <w:highlight w:val="none"/>
                <w:u w:val="single"/>
              </w:rPr>
              <w:t xml:space="preserve">    </w:t>
            </w:r>
          </w:p>
          <w:p>
            <w:pPr>
              <w:pStyle w:val="57"/>
              <w:spacing w:beforeLines="50" w:line="360" w:lineRule="auto"/>
              <w:ind w:firstLine="525" w:firstLineChars="250"/>
              <w:rPr>
                <w:color w:val="auto"/>
                <w:sz w:val="21"/>
                <w:szCs w:val="21"/>
                <w:highlight w:val="none"/>
                <w:lang w:val="zh-CN"/>
              </w:rPr>
            </w:pPr>
            <w:r>
              <w:rPr>
                <w:rFonts w:hint="eastAsia"/>
                <w:color w:val="auto"/>
                <w:sz w:val="21"/>
                <w:szCs w:val="21"/>
                <w:highlight w:val="none"/>
                <w:lang w:val="zh-CN"/>
              </w:rPr>
              <w:t>履约保证金的形式：可采取银行转账或履约担保方式提交</w:t>
            </w:r>
          </w:p>
          <w:p>
            <w:pPr>
              <w:spacing w:beforeLines="50" w:line="360" w:lineRule="auto"/>
              <w:ind w:right="105" w:rightChars="50" w:firstLine="210" w:firstLineChars="100"/>
              <w:rPr>
                <w:rFonts w:ascii="宋体" w:hAnsi="宋体"/>
                <w:color w:val="auto"/>
                <w:szCs w:val="21"/>
                <w:highlight w:val="none"/>
              </w:rPr>
            </w:pPr>
            <w:r>
              <w:rPr>
                <w:rFonts w:hint="eastAsia" w:ascii="宋体" w:hAnsi="宋体"/>
                <w:color w:val="auto"/>
                <w:szCs w:val="21"/>
                <w:highlight w:val="none"/>
              </w:rPr>
              <w:t xml:space="preserve"> </w:t>
            </w:r>
            <w:r>
              <w:rPr>
                <w:rFonts w:hint="eastAsia"/>
                <w:color w:val="auto"/>
                <w:szCs w:val="21"/>
                <w:highlight w:val="none"/>
                <w:lang w:val="zh-CN"/>
              </w:rPr>
              <w:t>☑</w:t>
            </w:r>
            <w:r>
              <w:rPr>
                <w:rFonts w:hint="eastAsia" w:ascii="宋体" w:hAnsi="宋体"/>
                <w:color w:val="auto"/>
                <w:szCs w:val="21"/>
                <w:highlight w:val="none"/>
              </w:rPr>
              <w:t>不需要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40.</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投标人信用信息</w:t>
            </w:r>
          </w:p>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查询截至时点</w:t>
            </w:r>
          </w:p>
        </w:tc>
        <w:tc>
          <w:tcPr>
            <w:tcW w:w="6530" w:type="dxa"/>
            <w:tcBorders>
              <w:tl2br w:val="nil"/>
              <w:tr2bl w:val="nil"/>
            </w:tcBorders>
            <w:vAlign w:val="center"/>
          </w:tcPr>
          <w:p>
            <w:pPr>
              <w:spacing w:beforeLines="50" w:line="360" w:lineRule="auto"/>
              <w:ind w:left="210" w:right="105" w:rightChars="50"/>
              <w:rPr>
                <w:rFonts w:ascii="宋体" w:hAnsi="宋体"/>
                <w:color w:val="auto"/>
                <w:szCs w:val="21"/>
                <w:highlight w:val="none"/>
              </w:rPr>
            </w:pPr>
            <w:r>
              <w:rPr>
                <w:rFonts w:hint="eastAsia" w:ascii="宋体" w:hAnsi="宋体"/>
                <w:color w:val="auto"/>
                <w:szCs w:val="21"/>
                <w:highlight w:val="none"/>
              </w:rPr>
              <w:t>招标公告期限截止日至今，由采购人和采购代理机构共同查询。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Courier New"/>
                <w:color w:val="auto"/>
                <w:sz w:val="21"/>
                <w:szCs w:val="21"/>
                <w:highlight w:val="none"/>
              </w:rPr>
            </w:pPr>
            <w:r>
              <w:rPr>
                <w:rFonts w:hint="eastAsia" w:cs="Courier New"/>
                <w:color w:val="auto"/>
                <w:sz w:val="21"/>
                <w:szCs w:val="21"/>
                <w:highlight w:val="none"/>
              </w:rPr>
              <w:t>41.</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开标现场是否</w:t>
            </w:r>
          </w:p>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演示与述标</w:t>
            </w:r>
          </w:p>
        </w:tc>
        <w:tc>
          <w:tcPr>
            <w:tcW w:w="6530" w:type="dxa"/>
            <w:tcBorders>
              <w:tl2br w:val="nil"/>
              <w:tr2bl w:val="nil"/>
            </w:tcBorders>
            <w:vAlign w:val="center"/>
          </w:tcPr>
          <w:p>
            <w:pPr>
              <w:spacing w:beforeLines="50" w:line="360" w:lineRule="auto"/>
              <w:ind w:right="105" w:rightChars="50" w:firstLine="210" w:firstLineChars="100"/>
              <w:rPr>
                <w:rFonts w:ascii="宋体" w:hAnsi="宋体"/>
                <w:color w:val="auto"/>
                <w:szCs w:val="21"/>
                <w:highlight w:val="none"/>
              </w:rPr>
            </w:pPr>
            <w:r>
              <w:rPr>
                <w:rFonts w:hint="eastAsia" w:ascii="宋体" w:hAnsi="宋体"/>
                <w:color w:val="auto"/>
                <w:szCs w:val="21"/>
                <w:highlight w:val="none"/>
              </w:rPr>
              <w:t>不需要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Arial"/>
                <w:color w:val="auto"/>
                <w:sz w:val="21"/>
                <w:szCs w:val="21"/>
                <w:highlight w:val="none"/>
              </w:rPr>
            </w:pPr>
            <w:r>
              <w:rPr>
                <w:rFonts w:hint="eastAsia" w:cs="Arial"/>
                <w:color w:val="auto"/>
                <w:sz w:val="21"/>
                <w:szCs w:val="21"/>
                <w:highlight w:val="none"/>
              </w:rPr>
              <w:t>42.</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其他</w:t>
            </w:r>
          </w:p>
        </w:tc>
        <w:tc>
          <w:tcPr>
            <w:tcW w:w="6530" w:type="dxa"/>
            <w:tcBorders>
              <w:tl2br w:val="nil"/>
              <w:tr2bl w:val="nil"/>
            </w:tcBorders>
            <w:vAlign w:val="center"/>
          </w:tcPr>
          <w:p>
            <w:pPr>
              <w:spacing w:beforeLines="50" w:line="360" w:lineRule="auto"/>
              <w:ind w:left="277" w:leftChars="132" w:right="105" w:rightChars="50" w:firstLine="2" w:firstLineChars="1"/>
              <w:rPr>
                <w:rFonts w:ascii="宋体" w:hAnsi="宋体"/>
                <w:color w:val="auto"/>
                <w:szCs w:val="21"/>
                <w:highlight w:val="none"/>
              </w:rPr>
            </w:pPr>
            <w:r>
              <w:rPr>
                <w:rFonts w:hint="eastAsia" w:ascii="宋体" w:hAnsi="宋体"/>
                <w:color w:val="auto"/>
                <w:szCs w:val="21"/>
                <w:highlight w:val="none"/>
              </w:rPr>
              <w:t>因疫情期间防控要求，为减少人群聚集，各投标人仅能派1名授权委托人参加开标会议。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cs="Arial"/>
                <w:color w:val="auto"/>
                <w:sz w:val="21"/>
                <w:szCs w:val="21"/>
                <w:highlight w:val="none"/>
              </w:rPr>
            </w:pPr>
            <w:r>
              <w:rPr>
                <w:rFonts w:hint="eastAsia" w:cs="Arial"/>
                <w:color w:val="auto"/>
                <w:sz w:val="21"/>
                <w:szCs w:val="21"/>
                <w:highlight w:val="none"/>
              </w:rPr>
              <w:t>43.</w:t>
            </w:r>
          </w:p>
        </w:tc>
        <w:tc>
          <w:tcPr>
            <w:tcW w:w="2160" w:type="dxa"/>
            <w:tcBorders>
              <w:tl2br w:val="nil"/>
              <w:tr2bl w:val="nil"/>
            </w:tcBorders>
            <w:vAlign w:val="center"/>
          </w:tcPr>
          <w:p>
            <w:pPr>
              <w:pStyle w:val="57"/>
              <w:spacing w:beforeLines="50" w:line="360" w:lineRule="auto"/>
              <w:jc w:val="center"/>
              <w:rPr>
                <w:color w:val="auto"/>
                <w:sz w:val="21"/>
                <w:szCs w:val="21"/>
                <w:highlight w:val="none"/>
                <w:lang w:val="zh-CN"/>
              </w:rPr>
            </w:pPr>
            <w:r>
              <w:rPr>
                <w:rFonts w:hint="eastAsia"/>
                <w:color w:val="auto"/>
                <w:sz w:val="21"/>
                <w:szCs w:val="21"/>
                <w:highlight w:val="none"/>
                <w:lang w:val="zh-CN"/>
              </w:rPr>
              <w:t>电子文件</w:t>
            </w:r>
          </w:p>
        </w:tc>
        <w:tc>
          <w:tcPr>
            <w:tcW w:w="6530" w:type="dxa"/>
            <w:tcBorders>
              <w:tl2br w:val="nil"/>
              <w:tr2bl w:val="nil"/>
            </w:tcBorders>
            <w:vAlign w:val="center"/>
          </w:tcPr>
          <w:p>
            <w:pPr>
              <w:spacing w:beforeLines="50" w:line="360" w:lineRule="auto"/>
              <w:ind w:left="277" w:leftChars="132" w:right="105" w:rightChars="50" w:firstLine="2" w:firstLineChars="1"/>
              <w:rPr>
                <w:rFonts w:ascii="宋体" w:hAnsi="宋体"/>
                <w:color w:val="auto"/>
                <w:szCs w:val="21"/>
                <w:highlight w:val="none"/>
              </w:rPr>
            </w:pPr>
            <w:r>
              <w:rPr>
                <w:rFonts w:hint="eastAsia" w:ascii="宋体" w:hAnsi="宋体"/>
                <w:color w:val="auto"/>
                <w:szCs w:val="21"/>
                <w:highlight w:val="none"/>
              </w:rPr>
              <w:t>电子文件包含：word格式和PDF格式的投标文件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hint="default" w:eastAsia="宋体" w:cs="Arial"/>
                <w:color w:val="auto"/>
                <w:sz w:val="21"/>
                <w:szCs w:val="21"/>
                <w:highlight w:val="none"/>
                <w:lang w:val="en-US" w:eastAsia="zh-CN"/>
              </w:rPr>
            </w:pPr>
            <w:r>
              <w:rPr>
                <w:rFonts w:hint="eastAsia" w:cs="Arial"/>
                <w:color w:val="auto"/>
                <w:sz w:val="21"/>
                <w:szCs w:val="21"/>
                <w:highlight w:val="none"/>
                <w:lang w:val="en-US" w:eastAsia="zh-CN"/>
              </w:rPr>
              <w:t>44.</w:t>
            </w:r>
          </w:p>
        </w:tc>
        <w:tc>
          <w:tcPr>
            <w:tcW w:w="2160" w:type="dxa"/>
            <w:tcBorders>
              <w:tl2br w:val="nil"/>
              <w:tr2bl w:val="nil"/>
            </w:tcBorders>
            <w:vAlign w:val="center"/>
          </w:tcPr>
          <w:p>
            <w:pPr>
              <w:spacing w:line="360" w:lineRule="auto"/>
              <w:jc w:val="center"/>
              <w:rPr>
                <w:rFonts w:hint="eastAsia"/>
                <w:color w:val="auto"/>
                <w:sz w:val="21"/>
                <w:szCs w:val="21"/>
                <w:highlight w:val="none"/>
                <w:lang w:val="zh-CN"/>
              </w:rPr>
            </w:pPr>
            <w:r>
              <w:rPr>
                <w:rFonts w:hint="eastAsia" w:hAnsi="宋体" w:cs="宋体"/>
                <w:color w:val="auto"/>
                <w:szCs w:val="24"/>
                <w:highlight w:val="none"/>
              </w:rPr>
              <w:t>招标代理服务费</w:t>
            </w:r>
          </w:p>
        </w:tc>
        <w:tc>
          <w:tcPr>
            <w:tcW w:w="6530" w:type="dxa"/>
            <w:tcBorders>
              <w:tl2br w:val="nil"/>
              <w:tr2bl w:val="nil"/>
            </w:tcBorders>
            <w:vAlign w:val="center"/>
          </w:tcPr>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招标代理服务费的支付：由中标人支付给招标代理公司</w:t>
            </w:r>
          </w:p>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招标代理服务费的交纳方式：现金/银行汇款</w:t>
            </w:r>
          </w:p>
          <w:p>
            <w:pPr>
              <w:spacing w:line="360" w:lineRule="auto"/>
              <w:rPr>
                <w:rFonts w:hint="eastAsia" w:ascii="宋体" w:hAnsi="宋体"/>
                <w:color w:val="auto"/>
                <w:szCs w:val="21"/>
                <w:highlight w:val="none"/>
              </w:rPr>
            </w:pPr>
            <w:r>
              <w:rPr>
                <w:rFonts w:hint="eastAsia" w:hAnsi="宋体" w:cs="宋体"/>
                <w:color w:val="auto"/>
                <w:szCs w:val="24"/>
                <w:highlight w:val="none"/>
                <w:lang w:val="en-US" w:eastAsia="zh-CN"/>
              </w:rPr>
              <w:t>招标代理服务费的金额：收费金额根据中标金额按“国家计委关于印发《招标代理服务收费管理暂行办法的通知》（计价格[2002]1980号）”100%计取，向招标代理机构一次付清招标代理服务费。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hint="default" w:eastAsia="宋体" w:cs="Arial"/>
                <w:color w:val="auto"/>
                <w:sz w:val="21"/>
                <w:szCs w:val="21"/>
                <w:highlight w:val="none"/>
                <w:lang w:val="en-US" w:eastAsia="zh-CN"/>
              </w:rPr>
            </w:pPr>
            <w:r>
              <w:rPr>
                <w:rFonts w:hint="eastAsia" w:cs="Arial"/>
                <w:color w:val="auto"/>
                <w:sz w:val="21"/>
                <w:szCs w:val="21"/>
                <w:highlight w:val="none"/>
                <w:lang w:val="en-US" w:eastAsia="zh-CN"/>
              </w:rPr>
              <w:t>45.</w:t>
            </w:r>
          </w:p>
        </w:tc>
        <w:tc>
          <w:tcPr>
            <w:tcW w:w="2160" w:type="dxa"/>
            <w:tcBorders>
              <w:tl2br w:val="nil"/>
              <w:tr2bl w:val="nil"/>
            </w:tcBorders>
            <w:vAlign w:val="center"/>
          </w:tcPr>
          <w:p>
            <w:pPr>
              <w:spacing w:line="360" w:lineRule="auto"/>
              <w:jc w:val="center"/>
              <w:rPr>
                <w:rFonts w:hint="eastAsia"/>
                <w:color w:val="auto"/>
                <w:sz w:val="21"/>
                <w:szCs w:val="21"/>
                <w:highlight w:val="none"/>
                <w:lang w:val="zh-CN"/>
              </w:rPr>
            </w:pPr>
            <w:r>
              <w:rPr>
                <w:rFonts w:hint="eastAsia" w:hAnsi="宋体" w:cs="宋体"/>
                <w:color w:val="auto"/>
                <w:szCs w:val="24"/>
                <w:highlight w:val="none"/>
                <w:lang w:val="zh-CN" w:eastAsia="zh-CN"/>
              </w:rPr>
              <w:t>是否专门面向中小企业采购</w:t>
            </w:r>
          </w:p>
        </w:tc>
        <w:tc>
          <w:tcPr>
            <w:tcW w:w="6530" w:type="dxa"/>
            <w:tcBorders>
              <w:tl2br w:val="nil"/>
              <w:tr2bl w:val="nil"/>
            </w:tcBorders>
            <w:vAlign w:val="center"/>
          </w:tcPr>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 xml:space="preserve">□否 </w:t>
            </w:r>
          </w:p>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sym w:font="Wingdings 2" w:char="0052"/>
            </w:r>
            <w:r>
              <w:rPr>
                <w:rFonts w:hint="eastAsia" w:hAnsi="宋体" w:cs="宋体"/>
                <w:color w:val="auto"/>
                <w:szCs w:val="24"/>
                <w:highlight w:val="none"/>
                <w:lang w:val="en-US" w:eastAsia="zh-CN"/>
              </w:rPr>
              <w:t>是，非中小微企业、监狱企业或者残疾人福利性单位的投标人，其投标无效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hint="default" w:cs="Arial"/>
                <w:color w:val="auto"/>
                <w:sz w:val="21"/>
                <w:szCs w:val="21"/>
                <w:highlight w:val="none"/>
                <w:lang w:val="en-US" w:eastAsia="zh-CN"/>
              </w:rPr>
            </w:pPr>
            <w:r>
              <w:rPr>
                <w:rFonts w:hint="eastAsia" w:cs="Arial"/>
                <w:color w:val="auto"/>
                <w:sz w:val="21"/>
                <w:szCs w:val="21"/>
                <w:highlight w:val="none"/>
                <w:lang w:val="en-US" w:eastAsia="zh-CN"/>
              </w:rPr>
              <w:t>46.</w:t>
            </w:r>
          </w:p>
        </w:tc>
        <w:tc>
          <w:tcPr>
            <w:tcW w:w="2160" w:type="dxa"/>
            <w:tcBorders>
              <w:tl2br w:val="nil"/>
              <w:tr2bl w:val="nil"/>
            </w:tcBorders>
            <w:vAlign w:val="center"/>
          </w:tcPr>
          <w:p>
            <w:pPr>
              <w:spacing w:line="360" w:lineRule="auto"/>
              <w:jc w:val="center"/>
              <w:rPr>
                <w:rFonts w:hint="eastAsia" w:hAnsi="宋体" w:cs="宋体"/>
                <w:color w:val="auto"/>
                <w:szCs w:val="24"/>
                <w:highlight w:val="none"/>
                <w:lang w:val="zh-CN" w:eastAsia="zh-CN"/>
              </w:rPr>
            </w:pPr>
            <w:r>
              <w:rPr>
                <w:rFonts w:hint="eastAsia" w:hAnsi="宋体" w:cs="宋体"/>
                <w:b/>
                <w:bCs/>
                <w:color w:val="auto"/>
                <w:szCs w:val="24"/>
                <w:highlight w:val="none"/>
              </w:rPr>
              <w:t>开标携带</w:t>
            </w:r>
            <w:r>
              <w:rPr>
                <w:rFonts w:hint="eastAsia" w:hAnsi="宋体" w:cs="宋体"/>
                <w:b/>
                <w:bCs/>
                <w:color w:val="auto"/>
                <w:szCs w:val="24"/>
                <w:highlight w:val="none"/>
                <w:lang w:eastAsia="zh-CN"/>
              </w:rPr>
              <w:t>资料</w:t>
            </w:r>
          </w:p>
        </w:tc>
        <w:tc>
          <w:tcPr>
            <w:tcW w:w="6530" w:type="dxa"/>
            <w:tcBorders>
              <w:tl2br w:val="nil"/>
              <w:tr2bl w:val="nil"/>
            </w:tcBorders>
            <w:vAlign w:val="center"/>
          </w:tcPr>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开标请携带：1.法定代表人参与开标的，提供法定代表人身份证明及身份证原件及复印件；授权代表参与开标的，提供法定代表人授权委托书、被委托人身份证原件及复印件；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811" w:type="dxa"/>
            <w:tcBorders>
              <w:tl2br w:val="nil"/>
              <w:tr2bl w:val="nil"/>
            </w:tcBorders>
            <w:vAlign w:val="center"/>
          </w:tcPr>
          <w:p>
            <w:pPr>
              <w:pStyle w:val="57"/>
              <w:tabs>
                <w:tab w:val="left" w:pos="210"/>
              </w:tabs>
              <w:adjustRightInd/>
              <w:spacing w:beforeLines="50" w:line="360" w:lineRule="auto"/>
              <w:ind w:right="-61" w:rightChars="-29"/>
              <w:jc w:val="center"/>
              <w:rPr>
                <w:rFonts w:hint="default" w:cs="Arial"/>
                <w:color w:val="auto"/>
                <w:sz w:val="21"/>
                <w:szCs w:val="21"/>
                <w:highlight w:val="none"/>
                <w:lang w:val="en-US" w:eastAsia="zh-CN"/>
              </w:rPr>
            </w:pPr>
            <w:r>
              <w:rPr>
                <w:rFonts w:hint="eastAsia" w:cs="Arial"/>
                <w:color w:val="auto"/>
                <w:sz w:val="21"/>
                <w:szCs w:val="21"/>
                <w:highlight w:val="none"/>
                <w:lang w:val="en-US" w:eastAsia="zh-CN"/>
              </w:rPr>
              <w:t>47</w:t>
            </w:r>
          </w:p>
        </w:tc>
        <w:tc>
          <w:tcPr>
            <w:tcW w:w="2160" w:type="dxa"/>
            <w:tcBorders>
              <w:tl2br w:val="nil"/>
              <w:tr2bl w:val="nil"/>
            </w:tcBorders>
            <w:vAlign w:val="center"/>
          </w:tcPr>
          <w:p>
            <w:pPr>
              <w:spacing w:line="360" w:lineRule="auto"/>
              <w:jc w:val="center"/>
              <w:rPr>
                <w:rFonts w:hint="eastAsia" w:hAnsi="宋体" w:eastAsia="宋体" w:cs="宋体"/>
                <w:b/>
                <w:bCs/>
                <w:color w:val="auto"/>
                <w:szCs w:val="24"/>
                <w:highlight w:val="none"/>
                <w:lang w:val="en-US" w:eastAsia="zh-CN"/>
              </w:rPr>
            </w:pPr>
            <w:r>
              <w:rPr>
                <w:rFonts w:hint="eastAsia" w:hAnsi="宋体" w:cs="宋体"/>
                <w:b/>
                <w:bCs/>
                <w:color w:val="auto"/>
                <w:szCs w:val="24"/>
                <w:highlight w:val="none"/>
                <w:lang w:val="en-US" w:eastAsia="zh-CN"/>
              </w:rPr>
              <w:t>其他</w:t>
            </w:r>
          </w:p>
        </w:tc>
        <w:tc>
          <w:tcPr>
            <w:tcW w:w="6530" w:type="dxa"/>
            <w:tcBorders>
              <w:tl2br w:val="nil"/>
              <w:tr2bl w:val="nil"/>
            </w:tcBorders>
            <w:vAlign w:val="center"/>
          </w:tcPr>
          <w:p>
            <w:pPr>
              <w:spacing w:line="360" w:lineRule="auto"/>
              <w:rPr>
                <w:rFonts w:hint="default" w:hAnsi="宋体" w:cs="宋体"/>
                <w:color w:val="auto"/>
                <w:szCs w:val="24"/>
                <w:highlight w:val="none"/>
                <w:lang w:val="en-US" w:eastAsia="zh-CN"/>
              </w:rPr>
            </w:pPr>
            <w:r>
              <w:rPr>
                <w:rFonts w:hint="eastAsia" w:hAnsi="宋体" w:cs="宋体"/>
                <w:color w:val="auto"/>
                <w:szCs w:val="24"/>
                <w:highlight w:val="none"/>
                <w:lang w:val="en-US" w:eastAsia="zh-CN"/>
              </w:rPr>
              <w:t>本项目标段内容由招标人提供。</w:t>
            </w:r>
          </w:p>
        </w:tc>
      </w:tr>
    </w:tbl>
    <w:p>
      <w:pPr>
        <w:pStyle w:val="3"/>
        <w:spacing w:before="0" w:afterLines="50" w:line="360" w:lineRule="auto"/>
        <w:rPr>
          <w:bCs/>
          <w:color w:val="auto"/>
          <w:sz w:val="36"/>
          <w:szCs w:val="36"/>
          <w:highlight w:val="none"/>
        </w:rPr>
      </w:pPr>
      <w:r>
        <w:rPr>
          <w:color w:val="auto"/>
          <w:highlight w:val="none"/>
        </w:rPr>
        <w:br w:type="page"/>
      </w:r>
      <w:bookmarkEnd w:id="9"/>
      <w:bookmarkEnd w:id="10"/>
      <w:bookmarkEnd w:id="11"/>
      <w:bookmarkEnd w:id="12"/>
      <w:bookmarkStart w:id="21" w:name="_Toc24480"/>
      <w:bookmarkStart w:id="22" w:name="_Toc217390843"/>
      <w:bookmarkStart w:id="23" w:name="_Toc183682344"/>
      <w:bookmarkStart w:id="24" w:name="_Toc183582207"/>
      <w:bookmarkStart w:id="25" w:name="_Toc217446036"/>
      <w:r>
        <w:rPr>
          <w:rFonts w:hint="eastAsia" w:ascii="黑体" w:hAnsi="宋体"/>
          <w:bCs/>
          <w:color w:val="auto"/>
          <w:sz w:val="36"/>
          <w:szCs w:val="36"/>
          <w:highlight w:val="none"/>
        </w:rPr>
        <w:t>1.总则</w:t>
      </w:r>
      <w:bookmarkEnd w:id="21"/>
    </w:p>
    <w:p>
      <w:pPr>
        <w:pStyle w:val="4"/>
        <w:spacing w:before="0" w:after="0" w:line="360" w:lineRule="auto"/>
        <w:rPr>
          <w:bCs/>
          <w:color w:val="auto"/>
          <w:sz w:val="30"/>
          <w:szCs w:val="30"/>
          <w:highlight w:val="none"/>
        </w:rPr>
      </w:pPr>
      <w:r>
        <w:rPr>
          <w:rFonts w:hint="eastAsia" w:ascii="宋体" w:hAnsi="宋体"/>
          <w:color w:val="auto"/>
          <w:sz w:val="30"/>
          <w:szCs w:val="30"/>
          <w:highlight w:val="none"/>
        </w:rPr>
        <w:t>1.1适用范围</w:t>
      </w:r>
    </w:p>
    <w:p>
      <w:pPr>
        <w:tabs>
          <w:tab w:val="left" w:pos="7665"/>
        </w:tabs>
        <w:spacing w:line="360" w:lineRule="auto"/>
        <w:ind w:firstLine="420" w:firstLineChars="200"/>
        <w:rPr>
          <w:color w:val="auto"/>
          <w:szCs w:val="21"/>
          <w:highlight w:val="none"/>
        </w:rPr>
      </w:pPr>
      <w:r>
        <w:rPr>
          <w:rFonts w:hint="eastAsia"/>
          <w:color w:val="auto"/>
          <w:szCs w:val="21"/>
          <w:highlight w:val="none"/>
        </w:rPr>
        <w:t>本招标文件仅适用于本次公开招标所叙述的服务项目采购活动。</w:t>
      </w:r>
      <w:bookmarkStart w:id="26" w:name="_Toc217446035"/>
      <w:bookmarkStart w:id="27" w:name="_Toc183682343"/>
      <w:bookmarkStart w:id="28" w:name="_Toc183582206"/>
    </w:p>
    <w:p>
      <w:pPr>
        <w:tabs>
          <w:tab w:val="left" w:pos="7665"/>
        </w:tabs>
        <w:spacing w:beforeLines="50" w:afterLines="50" w:line="360" w:lineRule="auto"/>
        <w:ind w:firstLine="1"/>
        <w:outlineLvl w:val="2"/>
        <w:rPr>
          <w:rFonts w:ascii="宋体" w:hAnsi="宋体"/>
          <w:b/>
          <w:color w:val="auto"/>
          <w:sz w:val="30"/>
          <w:szCs w:val="30"/>
          <w:highlight w:val="none"/>
        </w:rPr>
      </w:pPr>
      <w:r>
        <w:rPr>
          <w:rFonts w:hint="eastAsia" w:ascii="宋体" w:hAnsi="宋体"/>
          <w:b/>
          <w:color w:val="auto"/>
          <w:sz w:val="30"/>
          <w:szCs w:val="30"/>
          <w:highlight w:val="none"/>
        </w:rPr>
        <w:t>1.2</w:t>
      </w:r>
      <w:bookmarkEnd w:id="26"/>
      <w:bookmarkEnd w:id="27"/>
      <w:bookmarkEnd w:id="28"/>
      <w:r>
        <w:rPr>
          <w:rFonts w:hint="eastAsia"/>
          <w:b/>
          <w:color w:val="auto"/>
          <w:sz w:val="30"/>
          <w:szCs w:val="30"/>
          <w:highlight w:val="none"/>
        </w:rPr>
        <w:t>名词解释</w:t>
      </w:r>
    </w:p>
    <w:p>
      <w:pPr>
        <w:adjustRightInd w:val="0"/>
        <w:snapToGrid w:val="0"/>
        <w:spacing w:beforeLines="50" w:line="360" w:lineRule="auto"/>
        <w:ind w:firstLine="420" w:firstLineChars="200"/>
        <w:rPr>
          <w:rFonts w:ascii="宋体" w:hAnsi="宋体"/>
          <w:b/>
          <w:color w:val="auto"/>
          <w:szCs w:val="21"/>
          <w:highlight w:val="none"/>
        </w:rPr>
      </w:pPr>
      <w:r>
        <w:rPr>
          <w:rFonts w:hint="eastAsia" w:ascii="宋体" w:hAnsi="宋体"/>
          <w:color w:val="auto"/>
          <w:szCs w:val="21"/>
          <w:highlight w:val="none"/>
        </w:rPr>
        <w:t>1.2.1</w:t>
      </w:r>
      <w:r>
        <w:rPr>
          <w:rFonts w:hint="eastAsia" w:ascii="宋体" w:hAnsi="宋体"/>
          <w:b/>
          <w:color w:val="auto"/>
          <w:szCs w:val="21"/>
          <w:highlight w:val="none"/>
        </w:rPr>
        <w:t>采购人</w:t>
      </w:r>
      <w:r>
        <w:rPr>
          <w:rFonts w:hint="eastAsia" w:ascii="宋体" w:hAnsi="宋体"/>
          <w:color w:val="auto"/>
          <w:szCs w:val="21"/>
          <w:highlight w:val="none"/>
        </w:rPr>
        <w:t>系指依法进行政府采购的国家机关、事业单位、团体组织。本次采购的采购人名称、地址、电话、联系人见投标人须知前附表。</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1.2.2</w:t>
      </w:r>
      <w:r>
        <w:rPr>
          <w:rFonts w:hint="eastAsia" w:ascii="宋体" w:hAnsi="宋体"/>
          <w:b/>
          <w:color w:val="auto"/>
          <w:szCs w:val="21"/>
          <w:highlight w:val="none"/>
        </w:rPr>
        <w:t>监督机构</w:t>
      </w:r>
      <w:r>
        <w:rPr>
          <w:rFonts w:hint="eastAsia" w:ascii="宋体" w:hAnsi="宋体"/>
          <w:color w:val="auto"/>
          <w:szCs w:val="21"/>
          <w:highlight w:val="none"/>
        </w:rPr>
        <w:t>系指政府采购行政监督管理部门。本次采购的监督机构名称、地址、电话见投标人须知前附表。</w:t>
      </w:r>
    </w:p>
    <w:p>
      <w:pPr>
        <w:adjustRightInd w:val="0"/>
        <w:snapToGrid w:val="0"/>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1.2.3</w:t>
      </w:r>
      <w:r>
        <w:rPr>
          <w:rFonts w:hint="eastAsia" w:ascii="宋体" w:hAnsi="宋体"/>
          <w:b/>
          <w:color w:val="auto"/>
          <w:szCs w:val="21"/>
          <w:highlight w:val="none"/>
        </w:rPr>
        <w:t>采购代理机构</w:t>
      </w:r>
      <w:r>
        <w:rPr>
          <w:rFonts w:hint="eastAsia" w:ascii="宋体" w:hAnsi="宋体"/>
          <w:color w:val="auto"/>
          <w:szCs w:val="21"/>
          <w:highlight w:val="none"/>
        </w:rPr>
        <w:t>系指接受采购人委托，代理采购项目的依法经财政部门认定资格的采购代理机构。本次采购的采购代理机构名称、地址、电话、联系人见投标人须知前附表。</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1.2.4 </w:t>
      </w:r>
      <w:r>
        <w:rPr>
          <w:rFonts w:hint="eastAsia" w:ascii="宋体" w:hAnsi="宋体"/>
          <w:b/>
          <w:color w:val="auto"/>
          <w:szCs w:val="21"/>
          <w:highlight w:val="none"/>
        </w:rPr>
        <w:t>投标人</w:t>
      </w:r>
      <w:r>
        <w:rPr>
          <w:rFonts w:hint="eastAsia" w:ascii="宋体" w:hAnsi="宋体"/>
          <w:color w:val="auto"/>
          <w:szCs w:val="21"/>
          <w:highlight w:val="none"/>
        </w:rPr>
        <w:t>是指响应招标，参加投标竞争的法人或其他组织或个人。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1.2.5 </w:t>
      </w:r>
      <w:r>
        <w:rPr>
          <w:rFonts w:hint="eastAsia" w:ascii="宋体" w:hAnsi="宋体"/>
          <w:b/>
          <w:color w:val="auto"/>
          <w:szCs w:val="21"/>
          <w:highlight w:val="none"/>
        </w:rPr>
        <w:t>服务</w:t>
      </w:r>
      <w:r>
        <w:rPr>
          <w:rFonts w:hint="eastAsia" w:ascii="宋体" w:hAnsi="宋体"/>
          <w:color w:val="auto"/>
          <w:szCs w:val="21"/>
          <w:highlight w:val="none"/>
        </w:rPr>
        <w:t>是指人为满足招标文件要求而提供的服务。</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1.2.6 </w:t>
      </w:r>
      <w:r>
        <w:rPr>
          <w:rFonts w:hint="eastAsia" w:ascii="宋体" w:hAnsi="宋体"/>
          <w:b/>
          <w:color w:val="auto"/>
          <w:szCs w:val="21"/>
          <w:highlight w:val="none"/>
        </w:rPr>
        <w:t>节能产品</w:t>
      </w:r>
      <w:r>
        <w:rPr>
          <w:rFonts w:hint="eastAsia" w:ascii="宋体" w:hAnsi="宋体"/>
          <w:color w:val="auto"/>
          <w:szCs w:val="21"/>
          <w:highlight w:val="none"/>
        </w:rPr>
        <w:t>指财政部、发展改革委、生态环境部等部门发布的《节能产品品目清单》中的产品。</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1.2.7 </w:t>
      </w:r>
      <w:r>
        <w:rPr>
          <w:rFonts w:hint="eastAsia" w:ascii="宋体" w:hAnsi="宋体"/>
          <w:b/>
          <w:color w:val="auto"/>
          <w:szCs w:val="21"/>
          <w:highlight w:val="none"/>
        </w:rPr>
        <w:t>环境标志产品</w:t>
      </w:r>
      <w:r>
        <w:rPr>
          <w:rFonts w:hint="eastAsia" w:ascii="宋体" w:hAnsi="宋体"/>
          <w:color w:val="auto"/>
          <w:szCs w:val="21"/>
          <w:highlight w:val="none"/>
        </w:rPr>
        <w:t>是指财政部、发展改革委、生态环境部等部门发布的《环境标志产品品目清单》中的产品。</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1.2.8 </w:t>
      </w:r>
      <w:r>
        <w:rPr>
          <w:rFonts w:hint="eastAsia" w:ascii="宋体" w:hAnsi="宋体" w:cs="宋体"/>
          <w:b/>
          <w:color w:val="auto"/>
          <w:kern w:val="0"/>
          <w:szCs w:val="21"/>
          <w:highlight w:val="none"/>
        </w:rPr>
        <w:t>进口产品</w:t>
      </w:r>
      <w:r>
        <w:rPr>
          <w:rFonts w:hint="eastAsia" w:ascii="宋体" w:hAnsi="宋体" w:cs="宋体"/>
          <w:color w:val="auto"/>
          <w:kern w:val="0"/>
          <w:szCs w:val="21"/>
          <w:highlight w:val="none"/>
        </w:rPr>
        <w:t>是指通过中国海关报关验放进入中国境内且产自关境外的产品，详见《</w:t>
      </w:r>
      <w:r>
        <w:rPr>
          <w:rFonts w:ascii="宋体" w:hAnsi="宋体" w:cs="宋体"/>
          <w:color w:val="auto"/>
          <w:kern w:val="0"/>
          <w:szCs w:val="21"/>
          <w:highlight w:val="none"/>
        </w:rPr>
        <w:t>关于政府采购进口产品管理有关问题的通知</w:t>
      </w:r>
      <w:r>
        <w:rPr>
          <w:rFonts w:hint="eastAsia" w:ascii="宋体" w:hAnsi="宋体" w:cs="宋体"/>
          <w:color w:val="auto"/>
          <w:kern w:val="0"/>
          <w:szCs w:val="21"/>
          <w:highlight w:val="none"/>
        </w:rPr>
        <w:t>》(财库[2007]119号)。</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1.2.9</w:t>
      </w:r>
      <w:r>
        <w:rPr>
          <w:rFonts w:hint="eastAsia" w:ascii="宋体" w:hAnsi="宋体"/>
          <w:b/>
          <w:color w:val="auto"/>
          <w:szCs w:val="21"/>
          <w:highlight w:val="none"/>
        </w:rPr>
        <w:t>中小企业</w:t>
      </w:r>
      <w:r>
        <w:rPr>
          <w:rFonts w:hint="eastAsia" w:ascii="宋体" w:hAnsi="宋体"/>
          <w:color w:val="auto"/>
          <w:szCs w:val="21"/>
          <w:highlight w:val="none"/>
        </w:rPr>
        <w:t>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1.2.10 </w:t>
      </w:r>
      <w:r>
        <w:rPr>
          <w:rFonts w:hint="eastAsia" w:ascii="宋体" w:hAnsi="宋体"/>
          <w:b/>
          <w:color w:val="auto"/>
          <w:szCs w:val="21"/>
          <w:highlight w:val="none"/>
        </w:rPr>
        <w:t>监狱企业</w:t>
      </w:r>
      <w:r>
        <w:rPr>
          <w:rFonts w:hint="eastAsia" w:ascii="宋体" w:hAnsi="宋体"/>
          <w:color w:val="auto"/>
          <w:szCs w:val="21"/>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1.2.11</w:t>
      </w:r>
      <w:r>
        <w:rPr>
          <w:rFonts w:hint="eastAsia" w:ascii="宋体" w:hAnsi="宋体"/>
          <w:b/>
          <w:color w:val="auto"/>
          <w:szCs w:val="21"/>
          <w:highlight w:val="none"/>
        </w:rPr>
        <w:t xml:space="preserve"> </w:t>
      </w:r>
      <w:r>
        <w:rPr>
          <w:rFonts w:hint="eastAsia" w:ascii="宋体" w:hAnsi="宋体" w:cs="宋体"/>
          <w:b/>
          <w:color w:val="auto"/>
          <w:kern w:val="0"/>
          <w:szCs w:val="21"/>
          <w:highlight w:val="none"/>
        </w:rPr>
        <w:t>残疾人福利性单位</w:t>
      </w:r>
      <w:r>
        <w:rPr>
          <w:rFonts w:hint="eastAsia" w:ascii="宋体" w:hAnsi="宋体" w:cs="宋体"/>
          <w:color w:val="auto"/>
          <w:kern w:val="0"/>
          <w:szCs w:val="21"/>
          <w:highlight w:val="none"/>
        </w:rPr>
        <w:t>是指符合</w:t>
      </w:r>
      <w:r>
        <w:rPr>
          <w:rFonts w:hint="eastAsia" w:ascii="宋体" w:hAnsi="宋体"/>
          <w:color w:val="auto"/>
          <w:spacing w:val="6"/>
          <w:szCs w:val="21"/>
          <w:highlight w:val="none"/>
        </w:rPr>
        <w:t>《财政部、民政部、中国残疾人联合会关于促进残疾人就业政府采购政策的通知》（财库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pacing w:val="6"/>
          <w:szCs w:val="21"/>
          <w:highlight w:val="none"/>
        </w:rPr>
        <w:t>号）规定条件的单位。</w:t>
      </w:r>
    </w:p>
    <w:bookmarkEnd w:id="22"/>
    <w:bookmarkEnd w:id="23"/>
    <w:bookmarkEnd w:id="24"/>
    <w:bookmarkEnd w:id="25"/>
    <w:p>
      <w:pPr>
        <w:adjustRightInd w:val="0"/>
        <w:snapToGrid w:val="0"/>
        <w:spacing w:beforeLines="50" w:afterLines="50" w:line="360" w:lineRule="auto"/>
        <w:outlineLvl w:val="2"/>
        <w:rPr>
          <w:rFonts w:ascii="宋体" w:hAnsi="宋体" w:cs="宋体"/>
          <w:b/>
          <w:color w:val="auto"/>
          <w:kern w:val="0"/>
          <w:sz w:val="30"/>
          <w:szCs w:val="30"/>
          <w:highlight w:val="none"/>
        </w:rPr>
      </w:pPr>
      <w:bookmarkStart w:id="29" w:name="_Toc217446037"/>
      <w:bookmarkStart w:id="30" w:name="_Toc183682345"/>
      <w:bookmarkStart w:id="31" w:name="_Toc183582208"/>
      <w:r>
        <w:rPr>
          <w:rFonts w:hint="eastAsia" w:ascii="宋体" w:hAnsi="宋体"/>
          <w:b/>
          <w:color w:val="auto"/>
          <w:sz w:val="30"/>
          <w:szCs w:val="30"/>
          <w:highlight w:val="none"/>
        </w:rPr>
        <w:t>1.3合格的投标人</w:t>
      </w:r>
    </w:p>
    <w:p>
      <w:pPr>
        <w:tabs>
          <w:tab w:val="left" w:pos="7665"/>
        </w:tabs>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1.3.1 合格的投标人应具备以下条件：</w:t>
      </w:r>
    </w:p>
    <w:p>
      <w:pPr>
        <w:tabs>
          <w:tab w:val="left" w:pos="7665"/>
        </w:tabs>
        <w:spacing w:line="360" w:lineRule="auto"/>
        <w:ind w:firstLine="420" w:firstLineChars="200"/>
        <w:rPr>
          <w:rFonts w:ascii="宋体" w:hAnsi="宋体"/>
          <w:color w:val="auto"/>
          <w:spacing w:val="-4"/>
          <w:szCs w:val="21"/>
          <w:highlight w:val="none"/>
        </w:rPr>
      </w:pPr>
      <w:r>
        <w:rPr>
          <w:rFonts w:hint="eastAsia" w:ascii="宋体" w:hAnsi="宋体"/>
          <w:color w:val="auto"/>
          <w:szCs w:val="21"/>
          <w:highlight w:val="none"/>
        </w:rPr>
        <w:t>（1）具备且满足“招标公告”要求的</w:t>
      </w:r>
      <w:r>
        <w:rPr>
          <w:rFonts w:hint="eastAsia" w:ascii="宋体" w:hAnsi="宋体"/>
          <w:color w:val="auto"/>
          <w:spacing w:val="-4"/>
          <w:szCs w:val="21"/>
          <w:highlight w:val="none"/>
        </w:rPr>
        <w:t>；</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（2）向采购代理机构购买了招标文件并登记备案；</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（3）遵守国家、陕西省和西安市有关的法律法规、规章和规范性文件要求；</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（4）招标文件和法律、行政法规规定的其他条件。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1.3.2 投标人不得存在下列情形之一：</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隶属关系或者其他利害关系，且可能影响招标公正性；</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（2）与本采购项目其他投标人的法定代表人（或者负责人）为同一人；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（3）与本采购项目其他投标人存在控股、管理关系；</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（4）为本项目采购代理机构；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（5）为本项目代理投标的为其采购代理机构；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（6）为本项目提供整体设计、规范编制或者项目管理、监理、检测、咨询服务；</w:t>
      </w:r>
    </w:p>
    <w:p>
      <w:pPr>
        <w:adjustRightInd w:val="0"/>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受到刑事处罚；</w:t>
      </w:r>
    </w:p>
    <w:p>
      <w:pPr>
        <w:adjustRightInd w:val="0"/>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（8）受到财政部门3万元以上数额罚款的行政处罚或其他行政部门较大数额罚款的行政处罚（举行听证会的）；</w:t>
      </w:r>
    </w:p>
    <w:p>
      <w:pPr>
        <w:adjustRightInd w:val="0"/>
        <w:snapToGrid w:val="0"/>
        <w:spacing w:line="360" w:lineRule="auto"/>
        <w:rPr>
          <w:rFonts w:ascii="宋体" w:hAnsi="宋体"/>
          <w:bCs/>
          <w:color w:val="auto"/>
          <w:szCs w:val="21"/>
          <w:highlight w:val="none"/>
        </w:rPr>
      </w:pPr>
      <w:r>
        <w:rPr>
          <w:rFonts w:hint="eastAsia" w:ascii="宋体" w:hAnsi="宋体"/>
          <w:bCs/>
          <w:color w:val="auto"/>
          <w:szCs w:val="21"/>
          <w:highlight w:val="none"/>
        </w:rPr>
        <w:t xml:space="preserve">    （9）被责令停产停业、暂扣或者吊销许可证、暂扣或者吊销执照的行政处罚；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（10）</w:t>
      </w:r>
      <w:r>
        <w:rPr>
          <w:rFonts w:hint="eastAsia" w:ascii="宋体" w:hAnsi="宋体"/>
          <w:color w:val="auto"/>
          <w:szCs w:val="21"/>
          <w:highlight w:val="none"/>
        </w:rPr>
        <w:t>被列入失信被执行人名单；</w:t>
      </w:r>
    </w:p>
    <w:p>
      <w:pPr>
        <w:adjustRightInd w:val="0"/>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（11）被列入重大税收违法案件当事人名单；</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（12）处于被禁止参加政府采购活动处罚期限内或存在财政部门认定的其他重大违法记录。</w:t>
      </w:r>
    </w:p>
    <w:p>
      <w:pPr>
        <w:adjustRightInd w:val="0"/>
        <w:snapToGrid w:val="0"/>
        <w:spacing w:beforeLines="5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1.4 合格的服务</w:t>
      </w:r>
    </w:p>
    <w:p>
      <w:pP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1.4.1 投标人提供的所有服务，必须是合法来源，符合国家有关标准和规规范，并满足招标文件规定的服务要求。</w:t>
      </w:r>
    </w:p>
    <w:p>
      <w:pP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若本项目包括提供货物的，所供货物亦必须是合法生产、合法来源，符合国家有关标准要求，并满足招标文件规定的规格、参数、质量、有效期、售后服务及投标人须承担的运输、安装、技术支持、培训和招标文件规定的其它伴随服务等要求。</w:t>
      </w:r>
    </w:p>
    <w:p>
      <w:pP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1.4.2 采购人有权拒绝接受任何不合格的服务，由此产生的费用及相关后果均由投标人自行承担。</w:t>
      </w:r>
    </w:p>
    <w:p>
      <w:pPr>
        <w:pStyle w:val="15"/>
        <w:spacing w:beforeLines="50" w:afterLines="50" w:line="360" w:lineRule="auto"/>
        <w:ind w:firstLine="0"/>
        <w:outlineLvl w:val="2"/>
        <w:rPr>
          <w:rFonts w:ascii="宋体" w:hAnsi="宋体"/>
          <w:b/>
          <w:bCs/>
          <w:color w:val="auto"/>
          <w:sz w:val="30"/>
          <w:szCs w:val="30"/>
          <w:highlight w:val="none"/>
        </w:rPr>
      </w:pPr>
      <w:bookmarkStart w:id="32" w:name="_Toc217446047"/>
      <w:r>
        <w:rPr>
          <w:rFonts w:hint="eastAsia" w:ascii="宋体" w:hAnsi="宋体"/>
          <w:b/>
          <w:bCs/>
          <w:color w:val="auto"/>
          <w:sz w:val="30"/>
          <w:szCs w:val="30"/>
          <w:highlight w:val="none"/>
        </w:rPr>
        <w:t>1.5 知识产权</w:t>
      </w:r>
      <w:bookmarkEnd w:id="32"/>
      <w:r>
        <w:rPr>
          <w:rFonts w:hint="eastAsia" w:ascii="宋体" w:hAnsi="宋体"/>
          <w:b/>
          <w:bCs/>
          <w:color w:val="auto"/>
          <w:sz w:val="30"/>
          <w:szCs w:val="30"/>
          <w:highlight w:val="none"/>
        </w:rPr>
        <w:t>（如有）</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1.5.1 投标人应保证在本项目提供的任何服务和产品（包括部分使用）时，不会产生因第三方提出侵犯其专利权、商标权或其它知识产权而引起的法律和经济纠纷，如因专利权、商标权或其它知识产权而引起法律和经济纠纷，由投标人承担所有相关责任。</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1.5.2 采购人享有本项目实施过程中产生的知识成果及知识产权。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1.5.4 如采用投标人所不拥有的知识产权，则在投标报价中必须包括合法获取该知识产权的相关费用。</w:t>
      </w:r>
    </w:p>
    <w:bookmarkEnd w:id="29"/>
    <w:bookmarkEnd w:id="30"/>
    <w:bookmarkEnd w:id="31"/>
    <w:p>
      <w:pPr>
        <w:spacing w:beforeLines="50" w:afterLines="50" w:line="360" w:lineRule="auto"/>
        <w:outlineLvl w:val="2"/>
        <w:rPr>
          <w:rFonts w:ascii="宋体" w:hAnsi="宋体"/>
          <w:b/>
          <w:color w:val="auto"/>
          <w:sz w:val="30"/>
          <w:szCs w:val="30"/>
          <w:highlight w:val="none"/>
        </w:rPr>
      </w:pPr>
      <w:bookmarkStart w:id="33" w:name="_Toc89075875"/>
      <w:bookmarkStart w:id="34" w:name="_Toc183682346"/>
      <w:bookmarkStart w:id="35" w:name="_Toc183582209"/>
      <w:bookmarkStart w:id="36" w:name="_Toc77400779"/>
      <w:bookmarkStart w:id="37" w:name="_Toc217446038"/>
      <w:r>
        <w:rPr>
          <w:rFonts w:hint="eastAsia" w:ascii="宋体" w:hAnsi="宋体"/>
          <w:b/>
          <w:color w:val="auto"/>
          <w:sz w:val="30"/>
          <w:szCs w:val="30"/>
          <w:highlight w:val="none"/>
        </w:rPr>
        <w:t>1.6投标费用</w:t>
      </w:r>
    </w:p>
    <w:p>
      <w:pPr>
        <w:tabs>
          <w:tab w:val="left" w:pos="7665"/>
        </w:tabs>
        <w:spacing w:line="360" w:lineRule="auto"/>
        <w:ind w:firstLine="430" w:firstLineChars="205"/>
        <w:rPr>
          <w:rFonts w:ascii="宋体" w:hAnsi="宋体"/>
          <w:color w:val="auto"/>
          <w:szCs w:val="21"/>
          <w:highlight w:val="none"/>
        </w:rPr>
      </w:pPr>
      <w:r>
        <w:rPr>
          <w:rFonts w:hint="eastAsia" w:ascii="宋体" w:hAnsi="宋体"/>
          <w:color w:val="auto"/>
          <w:szCs w:val="21"/>
          <w:highlight w:val="none"/>
        </w:rPr>
        <w:t>不论投标结果如何，投标人准备和参加投标活动发生的费用自理。</w:t>
      </w:r>
    </w:p>
    <w:p>
      <w:pPr>
        <w:autoSpaceDE w:val="0"/>
        <w:autoSpaceDN w:val="0"/>
        <w:spacing w:beforeLines="50" w:afterLines="50" w:line="360" w:lineRule="auto"/>
        <w:outlineLvl w:val="2"/>
        <w:rPr>
          <w:rFonts w:ascii="宋体" w:hAnsi="宋体"/>
          <w:b/>
          <w:color w:val="auto"/>
          <w:sz w:val="30"/>
          <w:szCs w:val="30"/>
          <w:highlight w:val="none"/>
          <w:lang w:val="zh-CN"/>
        </w:rPr>
      </w:pPr>
      <w:r>
        <w:rPr>
          <w:rFonts w:hint="eastAsia" w:ascii="宋体" w:hAnsi="宋体"/>
          <w:b/>
          <w:color w:val="auto"/>
          <w:sz w:val="30"/>
          <w:szCs w:val="30"/>
          <w:highlight w:val="none"/>
          <w:lang w:val="zh-CN"/>
        </w:rPr>
        <w:t xml:space="preserve">1.7 </w:t>
      </w:r>
      <w:r>
        <w:rPr>
          <w:rFonts w:ascii="宋体" w:hAnsi="宋体"/>
          <w:b/>
          <w:color w:val="auto"/>
          <w:sz w:val="30"/>
          <w:szCs w:val="30"/>
          <w:highlight w:val="none"/>
          <w:lang w:val="zh-CN"/>
        </w:rPr>
        <w:t>保密</w:t>
      </w:r>
    </w:p>
    <w:p>
      <w:pPr>
        <w:autoSpaceDE w:val="0"/>
        <w:autoSpaceDN w:val="0"/>
        <w:spacing w:line="360" w:lineRule="auto"/>
        <w:ind w:firstLine="420" w:firstLineChars="200"/>
        <w:rPr>
          <w:rFonts w:ascii="宋体" w:hAnsi="宋体"/>
          <w:b/>
          <w:color w:val="auto"/>
          <w:sz w:val="30"/>
          <w:szCs w:val="30"/>
          <w:highlight w:val="none"/>
        </w:rPr>
      </w:pPr>
      <w:r>
        <w:rPr>
          <w:rFonts w:ascii="宋体" w:hAnsi="宋体"/>
          <w:color w:val="auto"/>
          <w:szCs w:val="21"/>
          <w:highlight w:val="none"/>
          <w:lang w:val="zh-CN"/>
        </w:rPr>
        <w:t>参与采购活动的当事人应对</w:t>
      </w:r>
      <w:r>
        <w:rPr>
          <w:rFonts w:hint="eastAsia" w:ascii="宋体" w:hAnsi="宋体"/>
          <w:color w:val="auto"/>
          <w:szCs w:val="21"/>
          <w:highlight w:val="none"/>
          <w:lang w:val="zh-CN"/>
        </w:rPr>
        <w:t>招标文件</w:t>
      </w:r>
      <w:r>
        <w:rPr>
          <w:rFonts w:ascii="宋体" w:hAnsi="宋体"/>
          <w:color w:val="auto"/>
          <w:szCs w:val="21"/>
          <w:highlight w:val="none"/>
          <w:lang w:val="zh-CN"/>
        </w:rPr>
        <w:t>和</w:t>
      </w:r>
      <w:r>
        <w:rPr>
          <w:rFonts w:hint="eastAsia" w:ascii="宋体" w:hAnsi="宋体"/>
          <w:color w:val="auto"/>
          <w:szCs w:val="21"/>
          <w:highlight w:val="none"/>
          <w:lang w:val="zh-CN"/>
        </w:rPr>
        <w:t>投标</w:t>
      </w:r>
      <w:r>
        <w:rPr>
          <w:rFonts w:ascii="宋体" w:hAnsi="宋体"/>
          <w:color w:val="auto"/>
          <w:szCs w:val="21"/>
          <w:highlight w:val="none"/>
          <w:lang w:val="zh-CN"/>
        </w:rPr>
        <w:t xml:space="preserve">文件中的商业秘密、技术秘密和个人隐私等保密，违者应对由此造成的后果承担法律责任。 </w:t>
      </w:r>
    </w:p>
    <w:p>
      <w:pPr>
        <w:tabs>
          <w:tab w:val="left" w:pos="7665"/>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1.8语言文字</w:t>
      </w:r>
    </w:p>
    <w:p>
      <w:pPr>
        <w:tabs>
          <w:tab w:val="left" w:pos="7665"/>
        </w:tabs>
        <w:spacing w:line="360" w:lineRule="auto"/>
        <w:ind w:firstLine="405"/>
        <w:rPr>
          <w:rFonts w:ascii="宋体" w:hAnsi="宋体"/>
          <w:color w:val="auto"/>
          <w:szCs w:val="21"/>
          <w:highlight w:val="none"/>
        </w:rPr>
      </w:pPr>
      <w:r>
        <w:rPr>
          <w:rFonts w:hint="eastAsia" w:ascii="宋体" w:hAnsi="宋体"/>
          <w:color w:val="auto"/>
          <w:szCs w:val="21"/>
          <w:highlight w:val="none"/>
        </w:rPr>
        <w:t>1.8.1 招标投标文件使用的语言为中文。专用术语使用外文的，应附有中文注释。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1.8.2 投标文件中如附有外文资料，必须逐一对应翻译成中文并加盖投标人单位章后附在相关外文资料后面，否则，投标人的投标文件将作为无效投标处理。</w:t>
      </w:r>
    </w:p>
    <w:p>
      <w:pPr>
        <w:pStyle w:val="16"/>
        <w:adjustRightInd w:val="0"/>
        <w:snapToGrid w:val="0"/>
        <w:spacing w:line="360" w:lineRule="auto"/>
        <w:ind w:firstLine="420" w:firstLineChars="200"/>
        <w:rPr>
          <w:color w:val="auto"/>
          <w:highlight w:val="none"/>
        </w:rPr>
      </w:pPr>
      <w:r>
        <w:rPr>
          <w:rFonts w:hint="eastAsia"/>
          <w:color w:val="auto"/>
          <w:highlight w:val="none"/>
        </w:rPr>
        <w:t>1.8.3 投标文件中翻译的中文资料与外文资料如果出现差异和矛盾时，以中文为准。但不能故意错误翻译，否则，投标人的投标文件将作为无效投标处理。</w:t>
      </w:r>
      <w:r>
        <w:rPr>
          <w:rFonts w:hint="eastAsia"/>
          <w:color w:val="auto"/>
          <w:kern w:val="0"/>
          <w:highlight w:val="none"/>
        </w:rPr>
        <w:t>必要时采购人可以要求投标人提供附有公证书的中文翻译文件或者与原版文件签章相一致的中文翻译文件。</w:t>
      </w:r>
    </w:p>
    <w:p>
      <w:pPr>
        <w:tabs>
          <w:tab w:val="left" w:pos="7665"/>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1.9计量单位</w:t>
      </w:r>
    </w:p>
    <w:p>
      <w:pPr>
        <w:tabs>
          <w:tab w:val="left" w:pos="7665"/>
        </w:tabs>
        <w:spacing w:line="360" w:lineRule="auto"/>
        <w:ind w:firstLine="405"/>
        <w:rPr>
          <w:rFonts w:ascii="宋体" w:hAnsi="宋体"/>
          <w:color w:val="auto"/>
          <w:szCs w:val="21"/>
          <w:highlight w:val="none"/>
        </w:rPr>
      </w:pPr>
      <w:r>
        <w:rPr>
          <w:rFonts w:hint="eastAsia" w:ascii="宋体" w:hAnsi="宋体"/>
          <w:color w:val="auto"/>
          <w:szCs w:val="21"/>
          <w:highlight w:val="none"/>
        </w:rPr>
        <w:t>所有计量单位均采用中华人民共和国法定计量单位。</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1.10 答疑会或现场考察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1.10.1 根据本采购项目的具体情况，采购代理机构认为有必要，可以组织召开标前答疑会或组织投标人对项目现场进行考察，澄清投标人提出的问题。答疑会或进行现场考察的时间与地点，采购代理机构将以书面形式通知所有获取了招标文件的投标人。</w:t>
      </w:r>
    </w:p>
    <w:p>
      <w:pPr>
        <w:adjustRightInd w:val="0"/>
        <w:snapToGrid w:val="0"/>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1.10.2 答疑会或现场考察后，采购人或采购代理机构对投标人所提问题的澄清，以书面形式通知所有获取了招标文件的投标人。该澄清内容为招标文件的组成部分。</w:t>
      </w:r>
    </w:p>
    <w:p>
      <w:pPr>
        <w:adjustRightInd w:val="0"/>
        <w:snapToGrid w:val="0"/>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1.10.3 采购人不对投标人现场考察而做出的推论、理解和结论负责。一旦成交，中标人不得以任何借口，提出额外补偿，或延长合同期限的要求。</w:t>
      </w:r>
    </w:p>
    <w:bookmarkEnd w:id="33"/>
    <w:bookmarkEnd w:id="34"/>
    <w:bookmarkEnd w:id="35"/>
    <w:bookmarkEnd w:id="36"/>
    <w:bookmarkEnd w:id="37"/>
    <w:p>
      <w:pPr>
        <w:tabs>
          <w:tab w:val="left" w:pos="7665"/>
        </w:tabs>
        <w:spacing w:beforeLines="50" w:afterLines="50" w:line="360" w:lineRule="auto"/>
        <w:outlineLvl w:val="1"/>
        <w:rPr>
          <w:rFonts w:ascii="黑体" w:hAnsi="宋体" w:eastAsia="黑体"/>
          <w:b/>
          <w:bCs/>
          <w:color w:val="auto"/>
          <w:sz w:val="36"/>
          <w:szCs w:val="36"/>
          <w:highlight w:val="none"/>
        </w:rPr>
      </w:pPr>
      <w:bookmarkStart w:id="38" w:name="_Toc3513"/>
      <w:bookmarkStart w:id="39" w:name="_Toc183682348"/>
      <w:bookmarkStart w:id="40" w:name="_Toc183582211"/>
      <w:bookmarkStart w:id="41" w:name="_Toc217446040"/>
      <w:r>
        <w:rPr>
          <w:rFonts w:hint="eastAsia" w:ascii="黑体" w:hAnsi="宋体" w:eastAsia="黑体"/>
          <w:b/>
          <w:bCs/>
          <w:color w:val="auto"/>
          <w:sz w:val="36"/>
          <w:szCs w:val="36"/>
          <w:highlight w:val="none"/>
        </w:rPr>
        <w:t>2.招标文件</w:t>
      </w:r>
      <w:bookmarkEnd w:id="38"/>
      <w:bookmarkStart w:id="42" w:name="_Toc183682347"/>
      <w:bookmarkStart w:id="43" w:name="_Toc183582210"/>
      <w:bookmarkStart w:id="44" w:name="_Toc217446039"/>
    </w:p>
    <w:p>
      <w:pPr>
        <w:tabs>
          <w:tab w:val="left" w:pos="7665"/>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2.1招标文件的</w:t>
      </w:r>
      <w:bookmarkEnd w:id="42"/>
      <w:bookmarkEnd w:id="43"/>
      <w:bookmarkEnd w:id="44"/>
      <w:r>
        <w:rPr>
          <w:rFonts w:hint="eastAsia" w:ascii="宋体" w:hAnsi="宋体"/>
          <w:b/>
          <w:color w:val="auto"/>
          <w:sz w:val="30"/>
          <w:szCs w:val="30"/>
          <w:highlight w:val="none"/>
        </w:rPr>
        <w:t>组成</w:t>
      </w:r>
    </w:p>
    <w:p>
      <w:pPr>
        <w:tabs>
          <w:tab w:val="left" w:pos="7665"/>
        </w:tabs>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本招标文件包括以下内容：</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（1）招标公告；</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（2）投标人须知；</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（3）评标办法；</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（4）采购内容及要求；</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（5）政府采购合同条款；</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（6）投标文件格式要求；</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（7）投标人须知前附表规定的其他材料。</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根据本章第1.10款、第2.2款对招标文件所作的澄清、修改，构成招标文件组成部分。</w:t>
      </w:r>
    </w:p>
    <w:p>
      <w:pPr>
        <w:tabs>
          <w:tab w:val="left" w:pos="7665"/>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 xml:space="preserve">2.2 </w:t>
      </w:r>
      <w:r>
        <w:rPr>
          <w:rFonts w:hint="eastAsia"/>
          <w:b/>
          <w:color w:val="auto"/>
          <w:sz w:val="30"/>
          <w:szCs w:val="30"/>
          <w:highlight w:val="none"/>
        </w:rPr>
        <w:t>招标文件的澄清</w:t>
      </w:r>
      <w:bookmarkEnd w:id="39"/>
      <w:bookmarkEnd w:id="40"/>
      <w:r>
        <w:rPr>
          <w:rFonts w:hint="eastAsia"/>
          <w:b/>
          <w:color w:val="auto"/>
          <w:sz w:val="30"/>
          <w:szCs w:val="30"/>
          <w:highlight w:val="none"/>
        </w:rPr>
        <w:t>和修改</w:t>
      </w:r>
      <w:bookmarkEnd w:id="41"/>
    </w:p>
    <w:p>
      <w:pPr>
        <w:tabs>
          <w:tab w:val="left" w:pos="720"/>
        </w:tabs>
        <w:spacing w:line="360" w:lineRule="auto"/>
        <w:ind w:firstLine="420" w:firstLineChars="200"/>
        <w:rPr>
          <w:rFonts w:ascii="宋体" w:hAnsi="宋体"/>
          <w:color w:val="auto"/>
          <w:szCs w:val="21"/>
          <w:highlight w:val="none"/>
        </w:rPr>
      </w:pPr>
      <w:bookmarkStart w:id="45" w:name="_Toc217446041"/>
      <w:bookmarkStart w:id="46" w:name="_Toc208848971"/>
      <w:r>
        <w:rPr>
          <w:rFonts w:hint="eastAsia" w:ascii="宋体" w:hAnsi="宋体"/>
          <w:color w:val="auto"/>
          <w:szCs w:val="21"/>
          <w:highlight w:val="none"/>
        </w:rPr>
        <w:t>2.2.1 在投标截止时间前，采购代理机构无论出于何种原因，可以对已发出的招标文件进行必要的澄清或者修改，但不得修改采购标的和资格条件。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采购人或采购代理机构对已发出的招标文件进行必要的澄清或者修改，澄清或修改的内容可能影响投标文件编制的，应当在投标文件截止时间</w:t>
      </w:r>
      <w:r>
        <w:rPr>
          <w:rFonts w:hint="eastAsia" w:ascii="宋体" w:hAnsi="宋体"/>
          <w:b/>
          <w:color w:val="auto"/>
          <w:szCs w:val="21"/>
          <w:highlight w:val="none"/>
        </w:rPr>
        <w:t>15</w:t>
      </w:r>
      <w:r>
        <w:rPr>
          <w:rFonts w:hint="eastAsia" w:ascii="宋体" w:hAnsi="宋体"/>
          <w:color w:val="auto"/>
          <w:szCs w:val="21"/>
          <w:highlight w:val="none"/>
        </w:rPr>
        <w:t>日前，以书面形式将澄清或者修改的内容通知所有获取招标文件的投标人，同时在原信息发布媒体上发布澄清公告。投标人在收到上述通知后，应立即以书面形式向采购代理机构确认。如果澄清或者修改发出的时间距规定的投标截止时间不足</w:t>
      </w:r>
      <w:r>
        <w:rPr>
          <w:rFonts w:hint="eastAsia" w:ascii="宋体" w:hAnsi="宋体" w:cs="TimesNewRomanPSMT"/>
          <w:b/>
          <w:color w:val="auto"/>
          <w:szCs w:val="21"/>
          <w:highlight w:val="none"/>
        </w:rPr>
        <w:t>15</w:t>
      </w:r>
      <w:r>
        <w:rPr>
          <w:rFonts w:hint="eastAsia" w:ascii="宋体" w:hAnsi="宋体"/>
          <w:color w:val="auto"/>
          <w:szCs w:val="21"/>
          <w:highlight w:val="none"/>
        </w:rPr>
        <w:t>日，将相应顺延投标截止时间。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w:t>
      </w:r>
      <w:r>
        <w:rPr>
          <w:rFonts w:hint="eastAsia" w:ascii="宋体" w:hAnsi="宋体"/>
          <w:b/>
          <w:bCs/>
          <w:color w:val="auto"/>
          <w:szCs w:val="21"/>
          <w:highlight w:val="none"/>
        </w:rPr>
        <w:t>.</w:t>
      </w:r>
      <w:r>
        <w:rPr>
          <w:rFonts w:hint="eastAsia" w:ascii="宋体" w:hAnsi="宋体"/>
          <w:color w:val="auto"/>
          <w:szCs w:val="21"/>
          <w:highlight w:val="none"/>
        </w:rPr>
        <w:t>3 投标人应仔细阅读和检查招标文件的全部内容。如发现缺页或附件不全，应及时向采购代理机构提出，以便补齐。如需要询问或澄清的（除质疑外），或认为有必要与采购代理机构进行技术交流的，均应在投标截止时间</w:t>
      </w:r>
      <w:r>
        <w:rPr>
          <w:rFonts w:hint="eastAsia" w:ascii="宋体" w:hAnsi="宋体"/>
          <w:b/>
          <w:color w:val="auto"/>
          <w:szCs w:val="21"/>
          <w:highlight w:val="none"/>
        </w:rPr>
        <w:t>10</w:t>
      </w:r>
      <w:r>
        <w:rPr>
          <w:rFonts w:hint="eastAsia" w:ascii="宋体" w:hAnsi="宋体"/>
          <w:color w:val="auto"/>
          <w:szCs w:val="21"/>
          <w:highlight w:val="none"/>
        </w:rPr>
        <w:t>日前按招标文件中的联系方式，以书面形式向采购代理机构提出，采购代理机构应当在</w:t>
      </w:r>
      <w:r>
        <w:rPr>
          <w:rFonts w:hint="eastAsia" w:ascii="宋体" w:hAnsi="宋体"/>
          <w:b/>
          <w:color w:val="auto"/>
          <w:szCs w:val="21"/>
          <w:highlight w:val="none"/>
        </w:rPr>
        <w:t>3</w:t>
      </w:r>
      <w:r>
        <w:rPr>
          <w:rFonts w:hint="eastAsia" w:ascii="宋体" w:hAnsi="宋体"/>
          <w:color w:val="auto"/>
          <w:szCs w:val="21"/>
          <w:highlight w:val="none"/>
        </w:rPr>
        <w:t>个工作日内，以书面形式予以答复，或认为有必要召开答疑会。超过该时间收到的需要询问或澄清的内容，采购代理机构有权不予答复。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2.2.4 在投标截止时间前，采购代理机构可以视采购具体情况，延长投标截止时间和开标时间，并在招标文件要求提交投标文件的截止时间前，将变更时间以书面形式通知所有获取招标文件的投标人，同时在原信息发布媒体上发布变更公告。</w:t>
      </w:r>
      <w:bookmarkStart w:id="47" w:name="_Toc183682350"/>
      <w:bookmarkStart w:id="48" w:name="_Toc183582213"/>
    </w:p>
    <w:p>
      <w:pPr>
        <w:spacing w:line="360" w:lineRule="auto"/>
        <w:ind w:firstLine="420"/>
        <w:rPr>
          <w:rFonts w:ascii="宋体" w:hAnsi="宋体"/>
          <w:color w:val="auto"/>
          <w:szCs w:val="21"/>
          <w:highlight w:val="none"/>
        </w:rPr>
      </w:pPr>
      <w:r>
        <w:rPr>
          <w:rFonts w:hint="eastAsia" w:ascii="宋体" w:hAnsi="宋体"/>
          <w:color w:val="auto"/>
          <w:szCs w:val="21"/>
          <w:highlight w:val="none"/>
        </w:rPr>
        <w:t xml:space="preserve">2.2.5 </w:t>
      </w:r>
      <w:r>
        <w:rPr>
          <w:rFonts w:hint="eastAsia" w:ascii="宋体"/>
          <w:color w:val="auto"/>
          <w:szCs w:val="21"/>
          <w:highlight w:val="none"/>
        </w:rPr>
        <w:t>当招标文件</w:t>
      </w:r>
      <w:r>
        <w:rPr>
          <w:rFonts w:hint="eastAsia" w:ascii="宋体" w:hAnsi="宋体"/>
          <w:color w:val="auto"/>
          <w:szCs w:val="21"/>
          <w:highlight w:val="none"/>
        </w:rPr>
        <w:t>澄清、答复、修改或补充通知与招标文件</w:t>
      </w:r>
      <w:r>
        <w:rPr>
          <w:rFonts w:hint="eastAsia" w:ascii="宋体"/>
          <w:color w:val="auto"/>
          <w:szCs w:val="21"/>
          <w:highlight w:val="none"/>
        </w:rPr>
        <w:t>就同一内容表述不一致时，以最后发出的书面文件内容为准。</w:t>
      </w:r>
    </w:p>
    <w:bookmarkEnd w:id="45"/>
    <w:bookmarkEnd w:id="46"/>
    <w:bookmarkEnd w:id="47"/>
    <w:bookmarkEnd w:id="48"/>
    <w:p>
      <w:pPr>
        <w:adjustRightInd w:val="0"/>
        <w:snapToGrid w:val="0"/>
        <w:spacing w:beforeLines="50" w:afterLines="50" w:line="360" w:lineRule="auto"/>
        <w:outlineLvl w:val="2"/>
        <w:rPr>
          <w:rFonts w:ascii="宋体" w:hAnsi="宋体"/>
          <w:b/>
          <w:color w:val="auto"/>
          <w:sz w:val="30"/>
          <w:szCs w:val="30"/>
          <w:highlight w:val="none"/>
        </w:rPr>
      </w:pPr>
      <w:r>
        <w:rPr>
          <w:rFonts w:hint="eastAsia" w:ascii="宋体" w:hAnsi="宋体"/>
          <w:b/>
          <w:bCs/>
          <w:color w:val="auto"/>
          <w:sz w:val="30"/>
          <w:szCs w:val="30"/>
          <w:highlight w:val="none"/>
        </w:rPr>
        <w:t>2.3 招标文件的解释权</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招标文件的解释权归采购代理机构，如发现招标文件内容与现行法律法规不相符的情况，以现行法律法规为准。</w:t>
      </w:r>
      <w:bookmarkStart w:id="49" w:name="_Toc77400780"/>
      <w:bookmarkStart w:id="50" w:name="_Toc89075876"/>
      <w:bookmarkStart w:id="51" w:name="_Toc217446042"/>
      <w:bookmarkStart w:id="52" w:name="_Toc183682351"/>
      <w:bookmarkStart w:id="53" w:name="_Toc183582214"/>
    </w:p>
    <w:bookmarkEnd w:id="49"/>
    <w:bookmarkEnd w:id="50"/>
    <w:bookmarkEnd w:id="51"/>
    <w:bookmarkEnd w:id="52"/>
    <w:bookmarkEnd w:id="53"/>
    <w:p>
      <w:pPr>
        <w:pStyle w:val="7"/>
        <w:spacing w:beforeLines="50" w:afterLines="50" w:line="360" w:lineRule="auto"/>
        <w:ind w:firstLine="0"/>
        <w:outlineLvl w:val="1"/>
        <w:rPr>
          <w:rFonts w:ascii="黑体" w:hAnsi="宋体" w:eastAsia="黑体"/>
          <w:b/>
          <w:color w:val="auto"/>
          <w:sz w:val="36"/>
          <w:szCs w:val="36"/>
          <w:highlight w:val="none"/>
        </w:rPr>
      </w:pPr>
      <w:bookmarkStart w:id="54" w:name="_Toc21102"/>
      <w:bookmarkStart w:id="55" w:name="_Toc183582215"/>
      <w:bookmarkStart w:id="56" w:name="_Toc183682352"/>
      <w:bookmarkStart w:id="57" w:name="_Toc217446043"/>
      <w:r>
        <w:rPr>
          <w:rFonts w:hint="eastAsia" w:ascii="黑体" w:eastAsia="黑体"/>
          <w:b/>
          <w:bCs/>
          <w:color w:val="auto"/>
          <w:sz w:val="36"/>
          <w:szCs w:val="36"/>
          <w:highlight w:val="none"/>
        </w:rPr>
        <w:t>3.投标人</w:t>
      </w:r>
      <w:bookmarkEnd w:id="54"/>
    </w:p>
    <w:p>
      <w:pPr>
        <w:pStyle w:val="7"/>
        <w:spacing w:afterLines="50" w:line="360" w:lineRule="auto"/>
        <w:ind w:firstLine="0"/>
        <w:outlineLvl w:val="2"/>
        <w:rPr>
          <w:b/>
          <w:color w:val="auto"/>
          <w:sz w:val="30"/>
          <w:szCs w:val="30"/>
          <w:highlight w:val="none"/>
        </w:rPr>
      </w:pPr>
      <w:r>
        <w:rPr>
          <w:b/>
          <w:color w:val="auto"/>
          <w:sz w:val="30"/>
          <w:szCs w:val="30"/>
          <w:highlight w:val="none"/>
        </w:rPr>
        <w:t>3.1投标人资格要求</w:t>
      </w:r>
    </w:p>
    <w:p>
      <w:pPr>
        <w:widowControl/>
        <w:adjustRightInd w:val="0"/>
        <w:snapToGrid w:val="0"/>
        <w:spacing w:line="360" w:lineRule="auto"/>
        <w:ind w:firstLine="420" w:firstLineChars="200"/>
        <w:jc w:val="left"/>
        <w:rPr>
          <w:color w:val="auto"/>
          <w:kern w:val="0"/>
          <w:szCs w:val="21"/>
          <w:highlight w:val="none"/>
          <w:lang w:val="zh-CN"/>
        </w:rPr>
      </w:pPr>
      <w:r>
        <w:rPr>
          <w:color w:val="auto"/>
          <w:szCs w:val="21"/>
          <w:highlight w:val="none"/>
        </w:rPr>
        <w:t xml:space="preserve">3.1.1 </w:t>
      </w:r>
      <w:r>
        <w:rPr>
          <w:color w:val="auto"/>
          <w:kern w:val="0"/>
          <w:szCs w:val="21"/>
          <w:highlight w:val="none"/>
        </w:rPr>
        <w:t>投标人应符合《中华人民共和国政府采购法》第二十二条规定的条件，</w:t>
      </w:r>
      <w:r>
        <w:rPr>
          <w:color w:val="auto"/>
          <w:kern w:val="0"/>
          <w:szCs w:val="21"/>
          <w:highlight w:val="none"/>
          <w:lang w:val="zh-CN"/>
        </w:rPr>
        <w:t>并根据《政府采购法实施条例》第十七条规定提供下列材料：</w:t>
      </w:r>
    </w:p>
    <w:p>
      <w:pPr>
        <w:spacing w:line="360" w:lineRule="auto"/>
        <w:ind w:left="420" w:leftChars="200" w:firstLine="0" w:firstLineChars="0"/>
        <w:rPr>
          <w:rFonts w:hint="eastAsia"/>
          <w:b w:val="0"/>
          <w:bCs/>
          <w:color w:val="auto"/>
          <w:szCs w:val="21"/>
          <w:highlight w:val="none"/>
          <w:lang w:val="en-US" w:eastAsia="zh-CN"/>
        </w:rPr>
      </w:pPr>
      <w:r>
        <w:rPr>
          <w:rFonts w:hint="eastAsia"/>
          <w:b w:val="0"/>
          <w:bCs/>
          <w:color w:val="auto"/>
          <w:szCs w:val="21"/>
          <w:highlight w:val="none"/>
          <w:lang w:val="en-US" w:eastAsia="zh-CN"/>
        </w:rPr>
        <w:t>合同包17(耕地质量等级评定及上图入库)特定资格要求如下:</w:t>
      </w:r>
    </w:p>
    <w:p>
      <w:pPr>
        <w:spacing w:line="360" w:lineRule="auto"/>
        <w:ind w:left="420" w:leftChars="200" w:firstLine="0" w:firstLineChars="0"/>
        <w:rPr>
          <w:rFonts w:hint="eastAsia"/>
          <w:b w:val="0"/>
          <w:bCs/>
          <w:color w:val="auto"/>
          <w:szCs w:val="21"/>
          <w:highlight w:val="none"/>
          <w:lang w:val="en-US" w:eastAsia="zh-CN"/>
        </w:rPr>
      </w:pPr>
      <w:r>
        <w:rPr>
          <w:rFonts w:hint="eastAsia"/>
          <w:b w:val="0"/>
          <w:bCs/>
          <w:color w:val="auto"/>
          <w:szCs w:val="21"/>
          <w:highlight w:val="none"/>
          <w:lang w:val="en-US" w:eastAsia="zh-CN"/>
        </w:rPr>
        <w:t>（1）投标人的营业执照等证明文件，自然人的身份证明； </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（2）法定代表人参加投标的，提供本人身份证复印件；法定代表人授权他人参加投标的，提供法定代表人授权委托书及被授权代表的身份证复印件；</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（3）提供投标人2022年全年度经审计的财务报告，或者提供开标前1个月内由开户银行出具的资信证明； </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（4）提供投标人2022年7月至开标前任意三个月已缴纳的完税证明或纳税凭证，依法不需要缴纳税收的应提供相关文件证明；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（5）提供投标人2022年7月至开标前任意三个月已缴纳的社会保障资金缴存单据或社保机构开具的社会保险参保缴费情况证明；依法不需要缴纳社会保障资金的应提供相关文件证明；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（6）提供投标人具备履行合同所必需的设备和专业技术能力的声明；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（7）参加本次投标前3年内，在经营活动中没有重大违法记录的书面声明；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（8）投标人需具备土地规划乙级及以上资质（含乙级）和测绘乙级（含乙级）及以上资质 ,拟派项目负责人须具有相关专业中级及以上职称；；</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（11）本项目不接受联合体投标；</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注：投标人只能对任意1个标段进行投标报名。</w:t>
      </w:r>
    </w:p>
    <w:p>
      <w:pPr>
        <w:spacing w:line="360" w:lineRule="auto"/>
        <w:ind w:left="420" w:leftChars="200" w:firstLine="0" w:firstLineChars="0"/>
        <w:rPr>
          <w:rFonts w:hint="eastAsia"/>
          <w:b w:val="0"/>
          <w:bCs/>
          <w:color w:val="auto"/>
          <w:szCs w:val="21"/>
          <w:highlight w:val="none"/>
          <w:lang w:val="en-US" w:eastAsia="zh-CN"/>
        </w:rPr>
      </w:pPr>
      <w:r>
        <w:rPr>
          <w:rFonts w:hint="eastAsia"/>
          <w:b w:val="0"/>
          <w:bCs/>
          <w:color w:val="auto"/>
          <w:szCs w:val="21"/>
          <w:highlight w:val="none"/>
          <w:lang w:val="en-US" w:eastAsia="zh-CN"/>
        </w:rPr>
        <w:t>合同包18(科技推广)特定资格要求如下:</w:t>
      </w:r>
    </w:p>
    <w:p>
      <w:pPr>
        <w:spacing w:line="360" w:lineRule="auto"/>
        <w:ind w:left="420" w:leftChars="200" w:firstLine="0" w:firstLineChars="0"/>
        <w:rPr>
          <w:rFonts w:hint="eastAsia"/>
          <w:b w:val="0"/>
          <w:bCs/>
          <w:color w:val="auto"/>
          <w:szCs w:val="21"/>
          <w:highlight w:val="none"/>
          <w:lang w:val="en-US" w:eastAsia="zh-CN"/>
        </w:rPr>
      </w:pPr>
      <w:r>
        <w:rPr>
          <w:rFonts w:hint="eastAsia"/>
          <w:b w:val="0"/>
          <w:bCs/>
          <w:color w:val="auto"/>
          <w:szCs w:val="21"/>
          <w:highlight w:val="none"/>
          <w:lang w:val="en-US" w:eastAsia="zh-CN"/>
        </w:rPr>
        <w:t>（1）投标人的营业执照等证明文件，自然人的身份证明； </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（2）法定代表人参加投标的，提供本人身份证复印件；法定代表人授权他人参加投标的，提供法定代表人授权委托书及被授权代表的身份证复印件；</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（3）提供投标人2022年全年度经审计的财务报告，或者提供开标前1个月内由开户银行出具的资信证明； </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（4）提供投标人2022年7月至开标前任意三个月已缴纳的完税证明或纳税凭证，依法不需要缴纳税收的应提供相关文件证明；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（5）提供投标人2022年7月至开标前任意三个月已缴纳的社会保障资金缴存单据或社保机构开具的社会保险参保缴费情况证明；依法不需要缴纳社会保障资金的应提供相关文件证明；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（6）提供投标人具备履行合同所必需的设备和专业技术能力的声明；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（7）参加本次投标前3年内，在经营活动中没有重大违法记录的书面声明；</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9）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（10）本项目不接受联合体投标；</w:t>
      </w:r>
      <w:r>
        <w:rPr>
          <w:rFonts w:hint="eastAsia"/>
          <w:b w:val="0"/>
          <w:bCs/>
          <w:color w:val="auto"/>
          <w:szCs w:val="21"/>
          <w:highlight w:val="none"/>
          <w:lang w:val="en-US" w:eastAsia="zh-CN"/>
        </w:rPr>
        <w:br w:type="textWrapping"/>
      </w:r>
      <w:r>
        <w:rPr>
          <w:rFonts w:hint="eastAsia"/>
          <w:b w:val="0"/>
          <w:bCs/>
          <w:color w:val="auto"/>
          <w:szCs w:val="21"/>
          <w:highlight w:val="none"/>
          <w:lang w:val="en-US" w:eastAsia="zh-CN"/>
        </w:rPr>
        <w:t>注：投标人只能对任意1个标段进行投标报名。</w:t>
      </w:r>
    </w:p>
    <w:p>
      <w:pPr>
        <w:spacing w:line="360" w:lineRule="auto"/>
        <w:ind w:left="420" w:leftChars="200" w:firstLine="0" w:firstLineChars="0"/>
        <w:rPr>
          <w:rFonts w:hint="eastAsia"/>
          <w:b w:val="0"/>
          <w:bCs/>
          <w:color w:val="auto"/>
          <w:szCs w:val="21"/>
          <w:highlight w:val="none"/>
          <w:lang w:val="en-US" w:eastAsia="zh-CN"/>
        </w:rPr>
      </w:pPr>
    </w:p>
    <w:p>
      <w:pPr>
        <w:spacing w:line="360" w:lineRule="auto"/>
        <w:ind w:firstLine="422" w:firstLineChars="200"/>
        <w:rPr>
          <w:b/>
          <w:color w:val="auto"/>
          <w:szCs w:val="21"/>
          <w:highlight w:val="none"/>
        </w:rPr>
      </w:pPr>
      <w:r>
        <w:rPr>
          <w:b/>
          <w:color w:val="auto"/>
          <w:szCs w:val="21"/>
          <w:highlight w:val="none"/>
        </w:rPr>
        <w:t>注：以上资格证明材料为必备材料</w:t>
      </w:r>
      <w:r>
        <w:rPr>
          <w:rFonts w:hint="eastAsia"/>
          <w:b/>
          <w:color w:val="auto"/>
          <w:szCs w:val="21"/>
          <w:highlight w:val="none"/>
        </w:rPr>
        <w:t>，</w:t>
      </w:r>
      <w:r>
        <w:rPr>
          <w:b/>
          <w:color w:val="auto"/>
          <w:szCs w:val="21"/>
          <w:highlight w:val="none"/>
        </w:rPr>
        <w:t>缺少一项或某项达不到招标文件要求的按无效投标文件处理。在投标文件正本中应附一套以上完整的资格证明材料，复印件加盖投标人单位公章；投标文件副本可采用正本的复印件并加盖投标人单位公章。</w:t>
      </w:r>
    </w:p>
    <w:p>
      <w:pPr>
        <w:tabs>
          <w:tab w:val="left" w:pos="720"/>
        </w:tabs>
        <w:snapToGrid w:val="0"/>
        <w:spacing w:line="360" w:lineRule="auto"/>
        <w:ind w:firstLine="420" w:firstLineChars="200"/>
        <w:rPr>
          <w:color w:val="auto"/>
          <w:szCs w:val="21"/>
          <w:highlight w:val="none"/>
        </w:rPr>
      </w:pPr>
      <w:r>
        <w:rPr>
          <w:color w:val="auto"/>
          <w:kern w:val="0"/>
          <w:szCs w:val="21"/>
          <w:highlight w:val="none"/>
        </w:rPr>
        <w:t xml:space="preserve">3.1.2 </w:t>
      </w:r>
      <w:r>
        <w:rPr>
          <w:bCs/>
          <w:color w:val="auto"/>
          <w:szCs w:val="21"/>
          <w:highlight w:val="none"/>
        </w:rPr>
        <w:t xml:space="preserve"> </w:t>
      </w:r>
      <w:r>
        <w:rPr>
          <w:color w:val="auto"/>
          <w:szCs w:val="21"/>
          <w:highlight w:val="none"/>
        </w:rPr>
        <w:t>投标人应保证所提供的全部证明材料的真实性，并保证愿意接受由采购人对其所提供材料的真实性的调查和考证。</w:t>
      </w:r>
    </w:p>
    <w:p>
      <w:pPr>
        <w:tabs>
          <w:tab w:val="left" w:pos="720"/>
        </w:tabs>
        <w:snapToGrid w:val="0"/>
        <w:spacing w:line="360" w:lineRule="auto"/>
        <w:outlineLvl w:val="2"/>
        <w:rPr>
          <w:color w:val="auto"/>
          <w:szCs w:val="21"/>
          <w:highlight w:val="none"/>
        </w:rPr>
      </w:pPr>
      <w:r>
        <w:rPr>
          <w:b/>
          <w:color w:val="auto"/>
          <w:sz w:val="30"/>
          <w:szCs w:val="30"/>
          <w:highlight w:val="none"/>
        </w:rPr>
        <w:t>3.2</w:t>
      </w:r>
      <w:r>
        <w:rPr>
          <w:b/>
          <w:bCs/>
          <w:color w:val="auto"/>
          <w:sz w:val="30"/>
          <w:szCs w:val="30"/>
          <w:highlight w:val="none"/>
        </w:rPr>
        <w:t>授权委托</w:t>
      </w:r>
    </w:p>
    <w:p>
      <w:pPr>
        <w:pStyle w:val="16"/>
        <w:adjustRightInd w:val="0"/>
        <w:snapToGrid w:val="0"/>
        <w:spacing w:line="360" w:lineRule="auto"/>
        <w:ind w:firstLine="525" w:firstLineChars="250"/>
        <w:rPr>
          <w:rFonts w:ascii="Times New Roman" w:hAnsi="Times New Roman" w:cs="Times New Roman"/>
          <w:color w:val="auto"/>
          <w:highlight w:val="none"/>
        </w:rPr>
      </w:pPr>
      <w:r>
        <w:rPr>
          <w:rFonts w:ascii="Times New Roman" w:hAnsi="Times New Roman" w:cs="Times New Roman"/>
          <w:color w:val="auto"/>
          <w:highlight w:val="none"/>
        </w:rPr>
        <w:t>3.2.1投标人代表为法定代表人的，应持有法定代表人身份证明。投标人代表不是法定代表人的，应持有法定代表人授权委托书。</w:t>
      </w:r>
    </w:p>
    <w:p>
      <w:pPr>
        <w:pStyle w:val="16"/>
        <w:adjustRightInd w:val="0"/>
        <w:snapToGrid w:val="0"/>
        <w:spacing w:line="360" w:lineRule="auto"/>
        <w:ind w:firstLine="525" w:firstLineChars="250"/>
        <w:rPr>
          <w:rFonts w:ascii="Times New Roman" w:hAnsi="Times New Roman" w:cs="Times New Roman"/>
          <w:color w:val="auto"/>
          <w:kern w:val="0"/>
          <w:highlight w:val="none"/>
        </w:rPr>
      </w:pPr>
      <w:r>
        <w:rPr>
          <w:rFonts w:ascii="Times New Roman" w:hAnsi="Times New Roman" w:cs="Times New Roman"/>
          <w:color w:val="auto"/>
          <w:highlight w:val="none"/>
        </w:rPr>
        <w:t>3.2</w:t>
      </w:r>
      <w:r>
        <w:rPr>
          <w:rFonts w:ascii="Times New Roman" w:hAnsi="Times New Roman" w:cs="Times New Roman"/>
          <w:color w:val="auto"/>
          <w:kern w:val="0"/>
          <w:highlight w:val="none"/>
        </w:rPr>
        <w:t>.2投标人应当委托本单位正式员工作为投标人代表，且投标人代表只能接受一个投标人的委托参加投标。</w:t>
      </w:r>
    </w:p>
    <w:p>
      <w:pPr>
        <w:pStyle w:val="16"/>
        <w:adjustRightInd w:val="0"/>
        <w:snapToGrid w:val="0"/>
        <w:spacing w:beforeLines="50" w:afterLines="50" w:line="360" w:lineRule="auto"/>
        <w:ind w:left="-178" w:leftChars="-85" w:firstLine="220" w:firstLineChars="73"/>
        <w:outlineLvl w:val="2"/>
        <w:rPr>
          <w:rFonts w:ascii="Times New Roman" w:hAnsi="Times New Roman" w:cs="Times New Roman"/>
          <w:color w:val="auto"/>
          <w:kern w:val="0"/>
          <w:sz w:val="30"/>
          <w:szCs w:val="30"/>
          <w:highlight w:val="none"/>
        </w:rPr>
      </w:pPr>
      <w:r>
        <w:rPr>
          <w:rFonts w:ascii="Times New Roman" w:hAnsi="Times New Roman" w:cs="Times New Roman"/>
          <w:b/>
          <w:color w:val="auto"/>
          <w:sz w:val="30"/>
          <w:szCs w:val="30"/>
          <w:highlight w:val="none"/>
        </w:rPr>
        <w:t>3.3联合投标</w:t>
      </w:r>
    </w:p>
    <w:p>
      <w:pPr>
        <w:tabs>
          <w:tab w:val="left" w:pos="7665"/>
        </w:tabs>
        <w:spacing w:line="360" w:lineRule="auto"/>
        <w:ind w:left="13" w:leftChars="6" w:firstLine="411" w:firstLineChars="196"/>
        <w:rPr>
          <w:rFonts w:ascii="宋体" w:hAnsi="宋体"/>
          <w:color w:val="auto"/>
          <w:szCs w:val="21"/>
          <w:highlight w:val="none"/>
        </w:rPr>
      </w:pPr>
      <w:r>
        <w:rPr>
          <w:rFonts w:hint="eastAsia" w:ascii="宋体" w:hAnsi="宋体"/>
          <w:color w:val="auto"/>
          <w:szCs w:val="21"/>
          <w:highlight w:val="none"/>
        </w:rPr>
        <w:t>3.3.1本项目不允许联合投标的，不适用本条款。</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3.3.2 两个以上投标人可以组成一个投标联合体，以一个投标人的身份投标。以联合体形式参加投标的，联合体各方均应当符合《中华人民共和国政府采购法》规定的资格条件：</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（1）联合体各方均应当符合本章第3.1.1条规定的投标人基本资格条件；</w:t>
      </w:r>
    </w:p>
    <w:p>
      <w:pPr>
        <w:adjustRightInd w:val="0"/>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（2）联合体各方中至少应当有一方符合本章第3.1.1（7）条款规定的投标人强制资格条件。</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3.3.3联合体各方之间应当签订共同投标协议，明确约定联合体各方承担的合同工作量比例和相应的责任，并将共同投标协议连同投标文件一并提交招标采购单位。联合体各方签订共同投标协议后，不得再以自己名义单独在同一项目中投标，也不得组成新的联合体参加同一项目投标。</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3.3.4联合体应当确定其中一个单位为投标的全权代表，负责参加投标的一切事务，并承担投标及履约中应承担的全部责任与义务。</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3.3.5联合体各方应当共同与采购人签订采购合同，就采购合同约定的事项对采购人承担连带责任。</w:t>
      </w:r>
    </w:p>
    <w:p>
      <w:pPr>
        <w:pStyle w:val="16"/>
        <w:adjustRightInd w:val="0"/>
        <w:snapToGrid w:val="0"/>
        <w:spacing w:beforeLines="50" w:afterLines="50" w:line="360" w:lineRule="auto"/>
        <w:ind w:left="-178" w:leftChars="-85" w:firstLine="220" w:firstLineChars="73"/>
        <w:outlineLvl w:val="2"/>
        <w:rPr>
          <w:rFonts w:ascii="Times New Roman" w:hAnsi="Times New Roman" w:cs="Times New Roman"/>
          <w:b/>
          <w:color w:val="auto"/>
          <w:sz w:val="30"/>
          <w:szCs w:val="30"/>
          <w:highlight w:val="none"/>
        </w:rPr>
      </w:pPr>
      <w:r>
        <w:rPr>
          <w:rFonts w:hint="eastAsia" w:ascii="Times New Roman" w:hAnsi="Times New Roman" w:cs="Times New Roman"/>
          <w:b/>
          <w:color w:val="auto"/>
          <w:sz w:val="30"/>
          <w:szCs w:val="30"/>
          <w:highlight w:val="none"/>
        </w:rPr>
        <w:t>3.4享受的政府采购政策</w:t>
      </w:r>
    </w:p>
    <w:p>
      <w:pPr>
        <w:pStyle w:val="16"/>
        <w:adjustRightInd w:val="0"/>
        <w:snapToGrid w:val="0"/>
        <w:spacing w:line="360" w:lineRule="auto"/>
        <w:ind w:firstLine="422" w:firstLineChars="200"/>
        <w:rPr>
          <w:rFonts w:ascii="Times New Roman" w:hAnsi="Times New Roman" w:cs="Times New Roman"/>
          <w:b/>
          <w:color w:val="auto"/>
          <w:highlight w:val="none"/>
        </w:rPr>
      </w:pPr>
      <w:r>
        <w:rPr>
          <w:rFonts w:ascii="Times New Roman" w:hAnsi="Times New Roman" w:cs="Times New Roman"/>
          <w:b/>
          <w:color w:val="auto"/>
          <w:highlight w:val="none"/>
        </w:rPr>
        <w:t>3.4.1 节能产品、环境标志产品</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3.4.1.1 若本项目包括提供货物（产品）的，则适用本条。</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3.4.1.2 投标人所投产品，将依据《节能产品、环境标志产品品目清单》和认证证书实施政府优先采购和强制采购。</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3.4.1.3 投标人可提供所投产品经国家确定的认证机构出具的、处于有效期之内的节能产品、环境标志产品认证证书复印件。采购代理机构通过中国政府采购网（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36"/>
          <w:rFonts w:ascii="Times New Roman" w:hAnsi="Times New Roman" w:cs="Times New Roman"/>
          <w:color w:val="auto"/>
          <w:highlight w:val="none"/>
        </w:rPr>
        <w:t>http://www.ccgp.gov.cn/</w:t>
      </w:r>
      <w:r>
        <w:rPr>
          <w:rStyle w:val="36"/>
          <w:rFonts w:ascii="Times New Roman" w:hAnsi="Times New Roman" w:cs="Times New Roman"/>
          <w:color w:val="auto"/>
          <w:highlight w:val="none"/>
        </w:rPr>
        <w:fldChar w:fldCharType="end"/>
      </w:r>
      <w:r>
        <w:rPr>
          <w:rFonts w:ascii="Times New Roman" w:hAnsi="Times New Roman" w:cs="Times New Roman"/>
          <w:color w:val="auto"/>
          <w:highlight w:val="none"/>
        </w:rPr>
        <w:t>）对获证产品信息进行核对。</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3.4.1.4 投标人所投产品属于下列情形之一的，属于优先采购的不再享受优先采购政策，或者属于强制采购的按无效投标文件处理：</w:t>
      </w:r>
    </w:p>
    <w:p>
      <w:pPr>
        <w:pStyle w:val="16"/>
        <w:adjustRightInd w:val="0"/>
        <w:snapToGrid w:val="0"/>
        <w:spacing w:line="36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（1）不属于《节能产品、环境标志产品品目清单》中的产品；</w:t>
      </w:r>
    </w:p>
    <w:p>
      <w:pPr>
        <w:pStyle w:val="16"/>
        <w:adjustRightInd w:val="0"/>
        <w:snapToGrid w:val="0"/>
        <w:spacing w:line="36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（2）未提供认证证书或经核对认证证书信息有误的。</w:t>
      </w:r>
    </w:p>
    <w:p>
      <w:pPr>
        <w:adjustRightInd w:val="0"/>
        <w:snapToGrid w:val="0"/>
        <w:spacing w:line="360" w:lineRule="auto"/>
        <w:ind w:firstLine="422" w:firstLineChars="200"/>
        <w:jc w:val="left"/>
        <w:rPr>
          <w:b/>
          <w:color w:val="auto"/>
          <w:szCs w:val="21"/>
          <w:highlight w:val="none"/>
        </w:rPr>
      </w:pPr>
      <w:r>
        <w:rPr>
          <w:b/>
          <w:color w:val="auto"/>
          <w:szCs w:val="21"/>
          <w:highlight w:val="none"/>
        </w:rPr>
        <w:t>3.4.2 中小企业</w:t>
      </w:r>
    </w:p>
    <w:p>
      <w:pPr>
        <w:adjustRightInd w:val="0"/>
        <w:snapToGrid w:val="0"/>
        <w:spacing w:line="360" w:lineRule="auto"/>
        <w:ind w:firstLine="630" w:firstLineChars="300"/>
        <w:rPr>
          <w:color w:val="auto"/>
          <w:szCs w:val="21"/>
          <w:highlight w:val="none"/>
        </w:rPr>
      </w:pPr>
      <w:r>
        <w:rPr>
          <w:color w:val="auto"/>
          <w:szCs w:val="21"/>
          <w:highlight w:val="none"/>
        </w:rPr>
        <w:t>3.4</w:t>
      </w:r>
      <w:r>
        <w:rPr>
          <w:b/>
          <w:color w:val="auto"/>
          <w:szCs w:val="21"/>
          <w:highlight w:val="none"/>
        </w:rPr>
        <w:t>.</w:t>
      </w:r>
      <w:r>
        <w:rPr>
          <w:color w:val="auto"/>
          <w:szCs w:val="21"/>
          <w:highlight w:val="none"/>
        </w:rPr>
        <w:t>2.1 投标人按照《工业和信息化部、国家统计局、国家发展和改革委员会、财政部关于印发中小企业划型标准规定的通知》规定划分标准，属于中小企业的，可享受</w:t>
      </w:r>
      <w:r>
        <w:rPr>
          <w:bCs/>
          <w:color w:val="auto"/>
          <w:kern w:val="0"/>
          <w:szCs w:val="21"/>
          <w:highlight w:val="none"/>
        </w:rPr>
        <w:t>支持</w:t>
      </w:r>
      <w:r>
        <w:rPr>
          <w:color w:val="auto"/>
          <w:szCs w:val="21"/>
          <w:highlight w:val="none"/>
        </w:rPr>
        <w:t>中小型企业发展优惠政策。</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3.4.2.2投标人作为中小企业参加政府采购活动时，应当提供《中小企业声明函》（见第六章投标文件格式），不提供或提供有瑕疵的，在评标时不享受政府采购优惠政策。</w:t>
      </w:r>
    </w:p>
    <w:p>
      <w:pPr>
        <w:pStyle w:val="16"/>
        <w:adjustRightInd w:val="0"/>
        <w:snapToGrid w:val="0"/>
        <w:spacing w:line="360" w:lineRule="auto"/>
        <w:ind w:firstLine="630" w:firstLineChars="300"/>
        <w:rPr>
          <w:rFonts w:ascii="Times New Roman" w:hAnsi="Times New Roman" w:eastAsia="方正仿宋_GBK" w:cs="Times New Roman"/>
          <w:color w:val="auto"/>
          <w:highlight w:val="none"/>
        </w:rPr>
      </w:pPr>
      <w:r>
        <w:rPr>
          <w:rFonts w:ascii="Times New Roman" w:hAnsi="Times New Roman" w:cs="Times New Roman"/>
          <w:color w:val="auto"/>
          <w:highlight w:val="none"/>
        </w:rPr>
        <w:t>3.4.2.3监狱企业参加政府采购活动时，视同中小企业。依照&lt;财政部、司法部关于政府采购支持监狱企业发展有关问题的通知&gt;（财库〔2014〕68号）之规定，应当提供由省级以上监狱管理局、戒毒管理局出具的属于监狱企业的证明文件，不提供或提供有瑕疵的不视为中小企业，在评标时不享受政府采购优惠政策。</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 xml:space="preserve">3.4.2.4 </w:t>
      </w:r>
      <w:r>
        <w:rPr>
          <w:rFonts w:ascii="Times New Roman" w:hAnsi="Times New Roman" w:cs="Times New Roman"/>
          <w:color w:val="auto"/>
          <w:kern w:val="0"/>
          <w:highlight w:val="none"/>
        </w:rPr>
        <w:t>残疾人福利性单位</w:t>
      </w:r>
      <w:r>
        <w:rPr>
          <w:rFonts w:ascii="Times New Roman" w:hAnsi="Times New Roman" w:cs="Times New Roman"/>
          <w:color w:val="auto"/>
          <w:highlight w:val="none"/>
        </w:rPr>
        <w:t>参加政府采购活动时，视同小微企业。依据</w:t>
      </w:r>
      <w:r>
        <w:rPr>
          <w:rFonts w:ascii="Times New Roman" w:hAnsi="Times New Roman" w:cs="Times New Roman"/>
          <w:color w:val="auto"/>
          <w:spacing w:val="6"/>
          <w:highlight w:val="none"/>
        </w:rPr>
        <w:t>《财政部、民政部、中国残疾人联合会关于促进残疾人就业政府采购政策的通知》（财库</w:t>
      </w:r>
      <w:r>
        <w:rPr>
          <w:rFonts w:ascii="Times New Roman" w:hAnsi="Times New Roman" w:cs="Times New Roman"/>
          <w:color w:val="auto"/>
          <w:highlight w:val="none"/>
        </w:rPr>
        <w:t>〔2017〕141</w:t>
      </w:r>
      <w:r>
        <w:rPr>
          <w:rFonts w:ascii="Times New Roman" w:hAnsi="Times New Roman" w:cs="Times New Roman"/>
          <w:color w:val="auto"/>
          <w:spacing w:val="6"/>
          <w:highlight w:val="none"/>
        </w:rPr>
        <w:t>号）的规定，</w:t>
      </w:r>
      <w:r>
        <w:rPr>
          <w:rFonts w:ascii="Times New Roman" w:hAnsi="Times New Roman" w:cs="Times New Roman"/>
          <w:color w:val="auto"/>
          <w:kern w:val="0"/>
          <w:highlight w:val="none"/>
        </w:rPr>
        <w:t>应当提供《残疾人福利性单位声明函》</w:t>
      </w:r>
      <w:r>
        <w:rPr>
          <w:rFonts w:ascii="Times New Roman" w:hAnsi="Times New Roman" w:cs="Times New Roman"/>
          <w:color w:val="auto"/>
          <w:highlight w:val="none"/>
        </w:rPr>
        <w:t>（见第六章投标文件格式）</w:t>
      </w:r>
      <w:r>
        <w:rPr>
          <w:rFonts w:ascii="Times New Roman" w:hAnsi="Times New Roman" w:cs="Times New Roman"/>
          <w:color w:val="auto"/>
          <w:kern w:val="0"/>
          <w:highlight w:val="none"/>
        </w:rPr>
        <w:t>，</w:t>
      </w:r>
      <w:r>
        <w:rPr>
          <w:rFonts w:ascii="Times New Roman" w:hAnsi="Times New Roman" w:cs="Times New Roman"/>
          <w:color w:val="auto"/>
          <w:highlight w:val="none"/>
        </w:rPr>
        <w:t>不提供或提供有瑕疵的，不视为小微企业，在评标时不享受政府采购优惠政策。</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3.4.2.5 联合体各方均为小型、微型企业的，参加政府采购活动时，视同小型、微型企业。联合体各方均需提供《中小企业声明函》，有一方未提供或提供有瑕疵的，在评标时不享受政府采购优惠（价格给予6%的折扣）政策。</w:t>
      </w:r>
    </w:p>
    <w:p>
      <w:pPr>
        <w:adjustRightInd w:val="0"/>
        <w:snapToGrid w:val="0"/>
        <w:spacing w:line="360" w:lineRule="auto"/>
        <w:ind w:firstLine="630" w:firstLineChars="300"/>
        <w:rPr>
          <w:b/>
          <w:color w:val="auto"/>
          <w:szCs w:val="21"/>
          <w:highlight w:val="none"/>
        </w:rPr>
      </w:pPr>
      <w:r>
        <w:rPr>
          <w:color w:val="auto"/>
          <w:szCs w:val="21"/>
          <w:highlight w:val="none"/>
        </w:rPr>
        <w:t>3.4.2.6 中小企业可以同时享受节能产品、环境标志产品优先采购政策。</w:t>
      </w:r>
      <w:r>
        <w:rPr>
          <w:b/>
          <w:color w:val="auto"/>
          <w:szCs w:val="21"/>
          <w:highlight w:val="none"/>
        </w:rPr>
        <w:t>同一项目中部分产品属于优先采购政策的，评审时只对该部分产品实行优先采购。</w:t>
      </w:r>
    </w:p>
    <w:p>
      <w:pPr>
        <w:adjustRightInd w:val="0"/>
        <w:snapToGrid w:val="0"/>
        <w:spacing w:line="360" w:lineRule="auto"/>
        <w:ind w:firstLine="630" w:firstLineChars="300"/>
        <w:rPr>
          <w:color w:val="auto"/>
          <w:szCs w:val="21"/>
          <w:highlight w:val="none"/>
        </w:rPr>
      </w:pPr>
      <w:r>
        <w:rPr>
          <w:color w:val="auto"/>
          <w:szCs w:val="21"/>
          <w:highlight w:val="none"/>
        </w:rPr>
        <w:t>3.4.2.7 政府采购监督检查和投诉处理中对中小企业的认定，由企业所在地的县级以上中小企业主管部门负责。</w:t>
      </w:r>
    </w:p>
    <w:p>
      <w:pPr>
        <w:adjustRightInd w:val="0"/>
        <w:snapToGrid w:val="0"/>
        <w:spacing w:line="360" w:lineRule="auto"/>
        <w:ind w:firstLine="422" w:firstLineChars="200"/>
        <w:rPr>
          <w:b/>
          <w:color w:val="auto"/>
          <w:szCs w:val="21"/>
          <w:highlight w:val="none"/>
        </w:rPr>
      </w:pPr>
      <w:r>
        <w:rPr>
          <w:b/>
          <w:color w:val="auto"/>
          <w:szCs w:val="21"/>
          <w:highlight w:val="none"/>
        </w:rPr>
        <w:t>3.4.5 进口产品</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3.4.5.1若本服务项目包括提供货物（产品）的，则适用本条。</w:t>
      </w:r>
    </w:p>
    <w:p>
      <w:pPr>
        <w:pStyle w:val="16"/>
        <w:adjustRightInd w:val="0"/>
        <w:snapToGrid w:val="0"/>
        <w:spacing w:line="360" w:lineRule="auto"/>
        <w:ind w:firstLine="630" w:firstLineChars="300"/>
        <w:rPr>
          <w:rFonts w:ascii="Times New Roman" w:hAnsi="Times New Roman" w:cs="Times New Roman"/>
          <w:color w:val="auto"/>
          <w:highlight w:val="none"/>
        </w:rPr>
      </w:pPr>
      <w:r>
        <w:rPr>
          <w:rFonts w:ascii="Times New Roman" w:hAnsi="Times New Roman" w:cs="Times New Roman"/>
          <w:color w:val="auto"/>
          <w:highlight w:val="none"/>
        </w:rPr>
        <w:t>3.4.5.2本项目拒绝进口产品参加投标。本条款适合未经财政部门批准采购进口产品的项目。</w:t>
      </w:r>
    </w:p>
    <w:p>
      <w:pPr>
        <w:adjustRightInd w:val="0"/>
        <w:snapToGrid w:val="0"/>
        <w:spacing w:beforeLines="50" w:afterLines="50" w:line="360" w:lineRule="auto"/>
        <w:jc w:val="left"/>
        <w:outlineLvl w:val="2"/>
        <w:rPr>
          <w:b/>
          <w:color w:val="auto"/>
          <w:sz w:val="30"/>
          <w:szCs w:val="30"/>
          <w:highlight w:val="none"/>
        </w:rPr>
      </w:pPr>
      <w:r>
        <w:rPr>
          <w:b/>
          <w:color w:val="auto"/>
          <w:sz w:val="30"/>
          <w:szCs w:val="30"/>
          <w:highlight w:val="none"/>
        </w:rPr>
        <w:t>3.5转包与分包</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3.5.1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中标人转包的，视同拒绝履行政府采购合同业务，将依法追究法律责任。</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3.5.2 本项目经采购人同意，可以将中标项目的部分非主体、非关键性工作分包给他人完成，</w:t>
      </w:r>
      <w:r>
        <w:rPr>
          <w:rFonts w:hint="eastAsia" w:ascii="宋体" w:hAnsi="宋体" w:cs="宋体"/>
          <w:b/>
          <w:color w:val="auto"/>
          <w:kern w:val="0"/>
          <w:szCs w:val="21"/>
          <w:highlight w:val="none"/>
        </w:rPr>
        <w:t>本项目“主体和关键性工作”是指</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耕地质量等级</w:t>
      </w:r>
      <w:r>
        <w:rPr>
          <w:rFonts w:hint="eastAsia" w:ascii="宋体" w:hAnsi="宋体" w:cs="宋体"/>
          <w:color w:val="auto"/>
          <w:kern w:val="0"/>
          <w:szCs w:val="21"/>
          <w:highlight w:val="none"/>
          <w:u w:val="single"/>
          <w:lang w:val="en-US" w:eastAsia="zh-CN"/>
        </w:rPr>
        <w:t>评定及</w:t>
      </w:r>
      <w:r>
        <w:rPr>
          <w:rFonts w:hint="eastAsia" w:ascii="宋体" w:hAnsi="宋体" w:cs="宋体"/>
          <w:color w:val="auto"/>
          <w:kern w:val="0"/>
          <w:szCs w:val="21"/>
          <w:highlight w:val="none"/>
          <w:u w:val="single"/>
          <w:lang w:eastAsia="zh-CN"/>
        </w:rPr>
        <w:t>上图入库、</w:t>
      </w:r>
      <w:r>
        <w:rPr>
          <w:rFonts w:hint="eastAsia" w:ascii="宋体" w:hAnsi="宋体" w:cs="宋体"/>
          <w:color w:val="auto"/>
          <w:kern w:val="0"/>
          <w:szCs w:val="21"/>
          <w:highlight w:val="none"/>
          <w:u w:val="single"/>
          <w:lang w:val="en-US" w:eastAsia="zh-CN"/>
        </w:rPr>
        <w:t>科技推广</w:t>
      </w:r>
      <w:r>
        <w:rPr>
          <w:rFonts w:hint="eastAsia" w:ascii="宋体" w:hAnsi="宋体" w:cs="宋体"/>
          <w:color w:val="auto"/>
          <w:kern w:val="0"/>
          <w:szCs w:val="21"/>
          <w:highlight w:val="none"/>
        </w:rPr>
        <w:t>。</w:t>
      </w:r>
    </w:p>
    <w:p>
      <w:pPr>
        <w:spacing w:line="360" w:lineRule="auto"/>
        <w:ind w:firstLine="493"/>
        <w:rPr>
          <w:rFonts w:ascii="宋体" w:hAnsi="宋体" w:cs="宋体"/>
          <w:b/>
          <w:bCs/>
          <w:color w:val="auto"/>
          <w:kern w:val="0"/>
          <w:szCs w:val="21"/>
          <w:highlight w:val="none"/>
        </w:rPr>
      </w:pPr>
      <w:r>
        <w:rPr>
          <w:rFonts w:hint="eastAsia" w:ascii="宋体" w:hAnsi="宋体" w:cs="宋体"/>
          <w:color w:val="auto"/>
          <w:kern w:val="0"/>
          <w:szCs w:val="21"/>
          <w:highlight w:val="none"/>
        </w:rPr>
        <w:t>接受分包的投标人应当具备相应的资格条件，并不得再次分包。</w:t>
      </w:r>
      <w:r>
        <w:rPr>
          <w:rFonts w:hint="eastAsia" w:ascii="宋体" w:hAnsi="宋体"/>
          <w:color w:val="auto"/>
          <w:szCs w:val="21"/>
          <w:highlight w:val="none"/>
        </w:rPr>
        <w:t>采购合同实行分包履行的，中标人就采购项目和分包项目向采购人负责，分包投标人就分包项目承担责任。</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3.6投标人的风险</w:t>
      </w:r>
    </w:p>
    <w:p>
      <w:pPr>
        <w:tabs>
          <w:tab w:val="left" w:pos="7665"/>
        </w:tabs>
        <w:spacing w:line="360" w:lineRule="auto"/>
        <w:ind w:firstLine="420" w:firstLineChars="200"/>
        <w:rPr>
          <w:rFonts w:ascii="宋体" w:hAnsi="宋体" w:cs="宋体"/>
          <w:color w:val="auto"/>
          <w:kern w:val="0"/>
          <w:szCs w:val="21"/>
          <w:highlight w:val="none"/>
        </w:rPr>
      </w:pPr>
      <w:r>
        <w:rPr>
          <w:rFonts w:hint="eastAsia" w:ascii="宋体" w:hAnsi="宋体"/>
          <w:color w:val="auto"/>
          <w:szCs w:val="21"/>
          <w:highlight w:val="none"/>
        </w:rPr>
        <w:t>投标人应认真阅读和充分理解招标文件中所有的事项、格式条款和规范要求，任何对</w:t>
      </w:r>
      <w:r>
        <w:rPr>
          <w:rFonts w:hint="eastAsia" w:ascii="宋体" w:hAnsi="宋体"/>
          <w:bCs/>
          <w:color w:val="auto"/>
          <w:szCs w:val="21"/>
          <w:highlight w:val="none"/>
        </w:rPr>
        <w:t>招标</w:t>
      </w:r>
      <w:r>
        <w:rPr>
          <w:rFonts w:hint="eastAsia" w:ascii="宋体" w:hAnsi="宋体"/>
          <w:color w:val="auto"/>
          <w:szCs w:val="21"/>
          <w:highlight w:val="none"/>
        </w:rPr>
        <w:t>文件的忽略或误解不能作为投标文件存在缺陷或瑕疵的理由；投标人</w:t>
      </w:r>
      <w:r>
        <w:rPr>
          <w:rFonts w:hint="eastAsia" w:ascii="宋体" w:hAnsi="宋体" w:cs="宋体"/>
          <w:color w:val="auto"/>
          <w:kern w:val="0"/>
          <w:szCs w:val="21"/>
          <w:highlight w:val="none"/>
        </w:rPr>
        <w:t>没有按照招标文件要求提供全部资料，</w:t>
      </w:r>
      <w:r>
        <w:rPr>
          <w:rFonts w:hint="eastAsia" w:ascii="宋体" w:hAnsi="宋体"/>
          <w:color w:val="auto"/>
          <w:szCs w:val="21"/>
          <w:highlight w:val="none"/>
        </w:rPr>
        <w:t>或未对招标文件全面做出实质性响应是投标人的风险，</w:t>
      </w:r>
      <w:r>
        <w:rPr>
          <w:rFonts w:hint="eastAsia" w:ascii="宋体" w:hAnsi="宋体" w:cs="宋体"/>
          <w:color w:val="auto"/>
          <w:kern w:val="0"/>
          <w:szCs w:val="21"/>
          <w:highlight w:val="none"/>
        </w:rPr>
        <w:t>并可能导致其投标文件被拒绝。</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3.7投标人的纪律要求</w:t>
      </w:r>
    </w:p>
    <w:p>
      <w:pPr>
        <w:pStyle w:val="7"/>
        <w:spacing w:line="360" w:lineRule="auto"/>
        <w:ind w:firstLineChars="200"/>
        <w:rPr>
          <w:color w:val="auto"/>
          <w:szCs w:val="21"/>
          <w:highlight w:val="none"/>
        </w:rPr>
      </w:pPr>
      <w:r>
        <w:rPr>
          <w:rFonts w:hint="eastAsia" w:ascii="宋体" w:hAnsi="宋体"/>
          <w:color w:val="auto"/>
          <w:szCs w:val="21"/>
          <w:highlight w:val="none"/>
        </w:rPr>
        <w:t>3.7.1</w:t>
      </w:r>
      <w:r>
        <w:rPr>
          <w:rFonts w:hint="eastAsia"/>
          <w:color w:val="auto"/>
          <w:szCs w:val="21"/>
          <w:highlight w:val="none"/>
        </w:rPr>
        <w:t>有下列情形之一的，属于不合格投标人，其投标或中标资格将被取消：</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（1）提供虚假材料谋取中标；</w:t>
      </w:r>
    </w:p>
    <w:p>
      <w:pPr>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（2）采取不正当手段诋毁、排挤其他投标人；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（3）与采购人、采购代理机构、其他投标人恶意串通；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（4）向采购人、采购代理机构、评标委员会成员行贿或者提供其他不正当利益；</w:t>
      </w:r>
    </w:p>
    <w:p>
      <w:pPr>
        <w:pStyle w:val="18"/>
        <w:tabs>
          <w:tab w:val="left" w:pos="720"/>
        </w:tabs>
        <w:spacing w:line="360" w:lineRule="auto"/>
        <w:ind w:firstLine="403" w:firstLineChars="192"/>
        <w:rPr>
          <w:rFonts w:ascii="宋体" w:hAnsi="宋体"/>
          <w:color w:val="auto"/>
          <w:sz w:val="21"/>
          <w:szCs w:val="21"/>
          <w:highlight w:val="none"/>
        </w:rPr>
      </w:pPr>
      <w:r>
        <w:rPr>
          <w:rFonts w:hint="eastAsia" w:ascii="宋体" w:hAnsi="宋体"/>
          <w:color w:val="auto"/>
          <w:sz w:val="21"/>
          <w:szCs w:val="21"/>
          <w:highlight w:val="none"/>
        </w:rPr>
        <w:t>（5）在招标过程中与采购人、采购代理机构进行协商谈判；</w:t>
      </w:r>
    </w:p>
    <w:p>
      <w:pPr>
        <w:pStyle w:val="18"/>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（6）拒绝有关部门的监督检查或者向监督检查部门提供虚假情况。</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3.7.2</w:t>
      </w:r>
      <w:r>
        <w:rPr>
          <w:rFonts w:ascii="宋体" w:hAnsi="宋体"/>
          <w:color w:val="auto"/>
          <w:szCs w:val="21"/>
          <w:highlight w:val="none"/>
        </w:rPr>
        <w:t>有下列情形之一的，视为投标</w:t>
      </w:r>
      <w:r>
        <w:rPr>
          <w:rFonts w:hint="eastAsia" w:ascii="宋体" w:hAnsi="宋体"/>
          <w:color w:val="auto"/>
          <w:szCs w:val="21"/>
          <w:highlight w:val="none"/>
        </w:rPr>
        <w:t>人</w:t>
      </w:r>
      <w:r>
        <w:rPr>
          <w:rFonts w:ascii="宋体" w:hAnsi="宋体"/>
          <w:color w:val="auto"/>
          <w:szCs w:val="21"/>
          <w:highlight w:val="none"/>
        </w:rPr>
        <w:t>相互恶意串通投标</w:t>
      </w:r>
      <w:r>
        <w:rPr>
          <w:rFonts w:hint="eastAsia" w:ascii="宋体" w:hAnsi="宋体"/>
          <w:color w:val="auto"/>
          <w:szCs w:val="21"/>
          <w:highlight w:val="none"/>
        </w:rPr>
        <w:t>，其投标无效</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的投标文件由同一单位或者个人编制；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委托同一单位或者个人办理投标事宜；</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的投标文件载明的项目管理成员为同一人；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的投标文件异常一致或者投标报价呈规律性差异；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的投标文件相互混装；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6</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的投标保证金从同一单位或者个人的账户转出</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（7）不同投标人的投标文件由同一投标人送达</w:t>
      </w:r>
      <w:r>
        <w:rPr>
          <w:rFonts w:ascii="宋体" w:hAnsi="宋体"/>
          <w:color w:val="auto"/>
          <w:szCs w:val="21"/>
          <w:highlight w:val="none"/>
        </w:rPr>
        <w:t>。</w:t>
      </w:r>
    </w:p>
    <w:bookmarkEnd w:id="55"/>
    <w:bookmarkEnd w:id="56"/>
    <w:bookmarkEnd w:id="57"/>
    <w:p>
      <w:pPr>
        <w:tabs>
          <w:tab w:val="left" w:pos="7665"/>
        </w:tabs>
        <w:spacing w:beforeLines="50" w:afterLines="50" w:line="360" w:lineRule="auto"/>
        <w:outlineLvl w:val="1"/>
        <w:rPr>
          <w:rFonts w:ascii="黑体" w:hAnsi="宋体" w:eastAsia="黑体" w:cs="宋体"/>
          <w:color w:val="auto"/>
          <w:kern w:val="0"/>
          <w:sz w:val="36"/>
          <w:szCs w:val="36"/>
          <w:highlight w:val="none"/>
        </w:rPr>
      </w:pPr>
      <w:bookmarkStart w:id="58" w:name="_Toc30717"/>
      <w:bookmarkStart w:id="59" w:name="_Toc217446048"/>
      <w:bookmarkStart w:id="60" w:name="_Toc183682354"/>
      <w:bookmarkStart w:id="61" w:name="_Toc183582217"/>
      <w:r>
        <w:rPr>
          <w:rFonts w:hint="eastAsia" w:ascii="黑体" w:hAnsi="宋体" w:eastAsia="黑体"/>
          <w:bCs/>
          <w:color w:val="auto"/>
          <w:sz w:val="36"/>
          <w:szCs w:val="36"/>
          <w:highlight w:val="none"/>
        </w:rPr>
        <w:t>4.投标文件</w:t>
      </w:r>
      <w:bookmarkEnd w:id="58"/>
    </w:p>
    <w:p>
      <w:pPr>
        <w:snapToGrid w:val="0"/>
        <w:spacing w:beforeLines="5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4.1投标文件的编写原则和要求</w:t>
      </w:r>
    </w:p>
    <w:p>
      <w:pP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4.1.1 投标人应仔细阅读招标文件的所有内容，按招标文件规定及要求编写，应当对招标文件提出的实质性要求做出响应，并提交完整的投标文件。投标人应对投标服务提供完整详细的技术说明，若投标人对指定的技术要求不能完全响应，应在投标文件中清楚地注明。</w:t>
      </w:r>
      <w:r>
        <w:rPr>
          <w:rFonts w:hint="eastAsia" w:ascii="宋体" w:hAnsi="宋体"/>
          <w:b/>
          <w:color w:val="auto"/>
          <w:szCs w:val="21"/>
          <w:highlight w:val="none"/>
        </w:rPr>
        <w:t>投标人拟在中标后将中标项目的非主体、非关键性工作交由他人完成的，应当在投标文件中载明。</w:t>
      </w:r>
      <w:r>
        <w:rPr>
          <w:rFonts w:hint="eastAsia" w:ascii="宋体" w:hAnsi="宋体"/>
          <w:color w:val="auto"/>
          <w:szCs w:val="21"/>
          <w:highlight w:val="none"/>
        </w:rPr>
        <w:t>投标人对本招标文件的每一项要求所给予的响应必须是唯一的，否则将视为无效投标文件。</w:t>
      </w:r>
    </w:p>
    <w:p>
      <w:pPr>
        <w:tabs>
          <w:tab w:val="left" w:pos="720"/>
        </w:tabs>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4.1.2 真实性原则</w:t>
      </w:r>
    </w:p>
    <w:p>
      <w:pP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4.1.2.1 投标人应保证所提供的投标文件和所有资料的真实性、准确性和完整性。</w:t>
      </w:r>
    </w:p>
    <w:p>
      <w:pP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4.1.2.2 投标人被认定为在政府采购活动中提供不真实材料的，无论其材料是否重要，采购人均有权拒绝，并取消其投标或中标资格，投标人需承担相应的法律后果。</w:t>
      </w:r>
    </w:p>
    <w:p>
      <w:pPr>
        <w:tabs>
          <w:tab w:val="left" w:pos="720"/>
        </w:tabs>
        <w:snapToGrid w:val="0"/>
        <w:spacing w:line="360" w:lineRule="auto"/>
        <w:ind w:firstLine="480"/>
        <w:rPr>
          <w:rFonts w:ascii="宋体" w:hAnsi="宋体"/>
          <w:b/>
          <w:color w:val="auto"/>
          <w:szCs w:val="21"/>
          <w:highlight w:val="none"/>
        </w:rPr>
      </w:pPr>
      <w:r>
        <w:rPr>
          <w:rFonts w:hint="eastAsia" w:ascii="宋体" w:hAnsi="宋体"/>
          <w:b/>
          <w:color w:val="auto"/>
          <w:szCs w:val="21"/>
          <w:highlight w:val="none"/>
        </w:rPr>
        <w:t>4.1.3 投标货币</w:t>
      </w:r>
    </w:p>
    <w:p>
      <w:pP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本项目的投标均以人民币报价。</w:t>
      </w:r>
    </w:p>
    <w:p>
      <w:pPr>
        <w:tabs>
          <w:tab w:val="left" w:pos="720"/>
        </w:tabs>
        <w:snapToGrid w:val="0"/>
        <w:spacing w:line="360" w:lineRule="auto"/>
        <w:ind w:firstLine="424" w:firstLineChars="201"/>
        <w:rPr>
          <w:rFonts w:hAnsi="宋体"/>
          <w:b/>
          <w:color w:val="auto"/>
          <w:highlight w:val="none"/>
        </w:rPr>
      </w:pPr>
      <w:r>
        <w:rPr>
          <w:rFonts w:hint="eastAsia" w:ascii="宋体" w:hAnsi="宋体"/>
          <w:b/>
          <w:color w:val="auto"/>
          <w:highlight w:val="none"/>
        </w:rPr>
        <w:t xml:space="preserve">4.1.4 </w:t>
      </w:r>
      <w:r>
        <w:rPr>
          <w:rFonts w:hint="eastAsia" w:hAnsi="宋体"/>
          <w:b/>
          <w:color w:val="auto"/>
          <w:highlight w:val="none"/>
        </w:rPr>
        <w:t>投标</w:t>
      </w:r>
      <w:r>
        <w:rPr>
          <w:rFonts w:hint="eastAsia"/>
          <w:b/>
          <w:color w:val="auto"/>
          <w:highlight w:val="none"/>
        </w:rPr>
        <w:t>文件形式</w:t>
      </w:r>
    </w:p>
    <w:p>
      <w:pPr>
        <w:pStyle w:val="16"/>
        <w:adjustRightInd w:val="0"/>
        <w:snapToGrid w:val="0"/>
        <w:spacing w:line="360" w:lineRule="auto"/>
        <w:ind w:firstLine="630" w:firstLineChars="300"/>
        <w:rPr>
          <w:color w:val="auto"/>
          <w:highlight w:val="none"/>
        </w:rPr>
      </w:pPr>
      <w:r>
        <w:rPr>
          <w:rFonts w:hint="eastAsia" w:hAnsi="宋体"/>
          <w:color w:val="auto"/>
          <w:highlight w:val="none"/>
        </w:rPr>
        <w:t>本项目投标</w:t>
      </w:r>
      <w:r>
        <w:rPr>
          <w:rFonts w:hint="eastAsia"/>
          <w:color w:val="auto"/>
          <w:highlight w:val="none"/>
        </w:rPr>
        <w:t>文件应采用书面文件形式，电报、传真、电子邮件形式的投标文件不予接受。</w:t>
      </w:r>
    </w:p>
    <w:p>
      <w:pPr>
        <w:tabs>
          <w:tab w:val="left" w:pos="720"/>
        </w:tabs>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4.1.5 备选方案</w:t>
      </w:r>
    </w:p>
    <w:p>
      <w:pPr>
        <w:tabs>
          <w:tab w:val="left" w:pos="720"/>
        </w:tabs>
        <w:snapToGrid w:val="0"/>
        <w:spacing w:line="360" w:lineRule="auto"/>
        <w:ind w:firstLine="630" w:firstLineChars="300"/>
        <w:rPr>
          <w:rFonts w:hAnsi="宋体"/>
          <w:color w:val="auto"/>
          <w:szCs w:val="21"/>
          <w:highlight w:val="none"/>
        </w:rPr>
      </w:pPr>
      <w:r>
        <w:rPr>
          <w:rFonts w:hint="eastAsia" w:ascii="宋体" w:hAnsi="宋体"/>
          <w:color w:val="auto"/>
          <w:szCs w:val="21"/>
          <w:highlight w:val="none"/>
        </w:rPr>
        <w:t>4.1.5.1 除投标人须知前附表规定允许外，投标人不得递交备选投标方案，投标文件的报价只允许有一个报价，不接受具有附加条件的报价，否则，视为</w:t>
      </w:r>
      <w:r>
        <w:rPr>
          <w:rFonts w:hint="eastAsia" w:hAnsi="宋体"/>
          <w:color w:val="auto"/>
          <w:szCs w:val="21"/>
          <w:highlight w:val="none"/>
        </w:rPr>
        <w:t>无效投标。</w:t>
      </w:r>
    </w:p>
    <w:p>
      <w:pP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4.1.5.2 允许投标人递交备选投标方案的，只有中标人所递交的备选投标方案方可予以考虑。评标委员会认为中标人的备选投标方案优于其按照招标文件要求编制的投标方案的，采购人可以接受该备选方案。</w:t>
      </w:r>
    </w:p>
    <w:p>
      <w:pPr>
        <w:tabs>
          <w:tab w:val="left" w:pos="720"/>
        </w:tabs>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4.1.5.3 投标人提供两个或两个以上投标报价，或者在投标文件中提供一个报价，但同时提供两个或两个以上供货方案的，视为提供备选方案。</w:t>
      </w:r>
    </w:p>
    <w:p>
      <w:pPr>
        <w:tabs>
          <w:tab w:val="left" w:pos="720"/>
        </w:tabs>
        <w:snapToGrid w:val="0"/>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4.2 投标文件的组成</w:t>
      </w:r>
    </w:p>
    <w:p>
      <w:pPr>
        <w:spacing w:line="360" w:lineRule="auto"/>
        <w:ind w:firstLine="411" w:firstLineChars="196"/>
        <w:rPr>
          <w:color w:val="auto"/>
          <w:highlight w:val="none"/>
        </w:rPr>
      </w:pPr>
      <w:r>
        <w:rPr>
          <w:rFonts w:hint="eastAsia" w:ascii="宋体" w:hAnsi="宋体"/>
          <w:color w:val="auto"/>
          <w:szCs w:val="21"/>
          <w:highlight w:val="none"/>
        </w:rPr>
        <w:t>4.2.1投标文件由下列文件组成：</w:t>
      </w:r>
    </w:p>
    <w:p>
      <w:pPr>
        <w:spacing w:line="360" w:lineRule="auto"/>
        <w:ind w:left="630"/>
        <w:rPr>
          <w:rFonts w:ascii="宋体" w:hAnsi="宋体" w:cs="宋体"/>
          <w:color w:val="auto"/>
          <w:szCs w:val="21"/>
          <w:highlight w:val="none"/>
        </w:rPr>
      </w:pPr>
      <w:r>
        <w:rPr>
          <w:rFonts w:hint="eastAsia" w:ascii="宋体" w:hAnsi="宋体"/>
          <w:color w:val="auto"/>
          <w:szCs w:val="21"/>
          <w:highlight w:val="none"/>
        </w:rPr>
        <w:t>（1）投标函</w:t>
      </w:r>
    </w:p>
    <w:p>
      <w:pPr>
        <w:spacing w:line="360" w:lineRule="auto"/>
        <w:ind w:left="630"/>
        <w:rPr>
          <w:rFonts w:ascii="宋体" w:hAnsi="宋体"/>
          <w:color w:val="auto"/>
          <w:szCs w:val="21"/>
          <w:highlight w:val="none"/>
        </w:rPr>
      </w:pPr>
      <w:r>
        <w:rPr>
          <w:rFonts w:hint="eastAsia" w:ascii="宋体" w:hAnsi="宋体"/>
          <w:color w:val="auto"/>
          <w:szCs w:val="21"/>
          <w:highlight w:val="none"/>
        </w:rPr>
        <w:t>（2）开标一览表</w:t>
      </w:r>
    </w:p>
    <w:p>
      <w:pPr>
        <w:spacing w:line="360" w:lineRule="auto"/>
        <w:ind w:left="630"/>
        <w:rPr>
          <w:rFonts w:ascii="宋体" w:hAnsi="宋体"/>
          <w:color w:val="auto"/>
          <w:szCs w:val="21"/>
          <w:highlight w:val="none"/>
        </w:rPr>
      </w:pPr>
      <w:r>
        <w:rPr>
          <w:rFonts w:hint="eastAsia" w:ascii="宋体" w:hAnsi="宋体"/>
          <w:color w:val="auto"/>
          <w:szCs w:val="21"/>
          <w:highlight w:val="none"/>
        </w:rPr>
        <w:t>（3）服务要求偏离表</w:t>
      </w:r>
    </w:p>
    <w:p>
      <w:pPr>
        <w:spacing w:line="360" w:lineRule="auto"/>
        <w:ind w:left="630"/>
        <w:rPr>
          <w:rFonts w:ascii="宋体" w:hAnsi="宋体"/>
          <w:color w:val="auto"/>
          <w:szCs w:val="21"/>
          <w:highlight w:val="none"/>
        </w:rPr>
      </w:pPr>
      <w:r>
        <w:rPr>
          <w:rFonts w:hint="eastAsia" w:ascii="宋体" w:hAnsi="宋体"/>
          <w:color w:val="auto"/>
          <w:szCs w:val="21"/>
          <w:highlight w:val="none"/>
        </w:rPr>
        <w:t>（4）商务条款偏离表</w:t>
      </w:r>
    </w:p>
    <w:p>
      <w:pPr>
        <w:spacing w:line="360" w:lineRule="auto"/>
        <w:ind w:left="630"/>
        <w:rPr>
          <w:rFonts w:ascii="宋体" w:hAnsi="宋体"/>
          <w:color w:val="auto"/>
          <w:szCs w:val="21"/>
          <w:highlight w:val="none"/>
        </w:rPr>
      </w:pPr>
      <w:r>
        <w:rPr>
          <w:rFonts w:hint="eastAsia" w:ascii="宋体" w:hAnsi="宋体"/>
          <w:color w:val="auto"/>
          <w:szCs w:val="21"/>
          <w:highlight w:val="none"/>
        </w:rPr>
        <w:t>（5）资格证明文件</w:t>
      </w:r>
    </w:p>
    <w:p>
      <w:pPr>
        <w:spacing w:line="360" w:lineRule="auto"/>
        <w:ind w:left="630"/>
        <w:rPr>
          <w:rFonts w:ascii="宋体" w:hAnsi="宋体"/>
          <w:color w:val="auto"/>
          <w:szCs w:val="21"/>
          <w:highlight w:val="none"/>
        </w:rPr>
      </w:pPr>
      <w:r>
        <w:rPr>
          <w:rFonts w:hint="eastAsia" w:ascii="宋体" w:hAnsi="宋体"/>
          <w:color w:val="auto"/>
          <w:szCs w:val="21"/>
          <w:highlight w:val="none"/>
        </w:rPr>
        <w:t>（6）技术文件</w:t>
      </w:r>
    </w:p>
    <w:p>
      <w:pPr>
        <w:spacing w:line="360" w:lineRule="auto"/>
        <w:ind w:left="630"/>
        <w:rPr>
          <w:rFonts w:ascii="宋体" w:hAnsi="宋体"/>
          <w:color w:val="auto"/>
          <w:szCs w:val="21"/>
          <w:highlight w:val="none"/>
        </w:rPr>
      </w:pPr>
      <w:r>
        <w:rPr>
          <w:rFonts w:hint="eastAsia" w:ascii="宋体" w:hAnsi="宋体"/>
          <w:color w:val="auto"/>
          <w:szCs w:val="21"/>
          <w:highlight w:val="none"/>
        </w:rPr>
        <w:t>（7）其他证明材料</w:t>
      </w:r>
    </w:p>
    <w:p>
      <w:pPr>
        <w:spacing w:line="360" w:lineRule="auto"/>
        <w:ind w:left="630"/>
        <w:rPr>
          <w:rFonts w:ascii="宋体" w:hAnsi="宋体"/>
          <w:color w:val="auto"/>
          <w:szCs w:val="21"/>
          <w:highlight w:val="none"/>
        </w:rPr>
      </w:pPr>
      <w:r>
        <w:rPr>
          <w:rFonts w:hint="eastAsia" w:ascii="宋体" w:hAnsi="宋体"/>
          <w:color w:val="auto"/>
          <w:szCs w:val="21"/>
          <w:highlight w:val="none"/>
        </w:rPr>
        <w:t>（8）投标人承诺书</w:t>
      </w:r>
    </w:p>
    <w:p>
      <w:pPr>
        <w:spacing w:line="360" w:lineRule="auto"/>
        <w:ind w:left="630"/>
        <w:rPr>
          <w:rFonts w:ascii="宋体" w:hAnsi="宋体"/>
          <w:color w:val="auto"/>
          <w:szCs w:val="21"/>
          <w:highlight w:val="none"/>
        </w:rPr>
      </w:pPr>
      <w:r>
        <w:rPr>
          <w:rFonts w:hint="eastAsia" w:ascii="宋体" w:hAnsi="宋体"/>
          <w:color w:val="auto"/>
          <w:szCs w:val="21"/>
          <w:highlight w:val="none"/>
        </w:rPr>
        <w:t>（9）供应商企业关系关联承诺书</w:t>
      </w:r>
    </w:p>
    <w:p>
      <w:pPr>
        <w:spacing w:line="360" w:lineRule="auto"/>
        <w:ind w:left="630"/>
        <w:rPr>
          <w:rFonts w:ascii="宋体" w:hAnsi="宋体"/>
          <w:color w:val="auto"/>
          <w:szCs w:val="21"/>
          <w:highlight w:val="none"/>
        </w:rPr>
      </w:pPr>
      <w:r>
        <w:rPr>
          <w:rFonts w:hint="eastAsia" w:ascii="宋体" w:hAnsi="宋体"/>
          <w:color w:val="auto"/>
          <w:szCs w:val="21"/>
          <w:highlight w:val="none"/>
        </w:rPr>
        <w:t>（10）拒绝政府采购领域商业贿赂承诺书</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（11）投标人认为有必要补充说明的事项</w:t>
      </w:r>
      <w:bookmarkEnd w:id="59"/>
      <w:bookmarkEnd w:id="60"/>
      <w:bookmarkEnd w:id="61"/>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4.3 投标报价</w:t>
      </w:r>
    </w:p>
    <w:p>
      <w:pPr>
        <w:spacing w:line="360" w:lineRule="auto"/>
        <w:ind w:firstLine="411" w:firstLineChars="196"/>
        <w:rPr>
          <w:rFonts w:ascii="宋体" w:hAnsi="宋体"/>
          <w:color w:val="auto"/>
          <w:szCs w:val="21"/>
          <w:highlight w:val="none"/>
        </w:rPr>
      </w:pPr>
      <w:r>
        <w:rPr>
          <w:rFonts w:hint="eastAsia" w:ascii="宋体" w:hAnsi="宋体"/>
          <w:bCs/>
          <w:color w:val="auto"/>
          <w:szCs w:val="21"/>
          <w:highlight w:val="none"/>
        </w:rPr>
        <w:t>4.3.1 投标人应</w:t>
      </w:r>
      <w:r>
        <w:rPr>
          <w:rFonts w:hint="eastAsia" w:ascii="宋体" w:hAnsi="宋体"/>
          <w:color w:val="auto"/>
          <w:szCs w:val="21"/>
          <w:highlight w:val="none"/>
        </w:rPr>
        <w:t>按照招标文件要求填报投标报价，并充分了解该采购项目的总体情况以及影响投标报价的其他要素。</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4.3.2 本项目采购预算金额或最高限价详见投标人须知前附表，投标人报价超出采购预算金额或最高限价的，作为不实质性响应招标文件，按无效投标处理。</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4.3.3 投标人的报价是投标人响应招标项目要求的全部工作内容的价格体现，包括投标人完成本项目所需的人工费、设备费、管理费、验收费、招标代理服务费、利润和税金等全部费用。在提供服务的过程中的任何遗漏，均由中标人免费提供，采购人将不再支付任何费用。中标后不允许擅自改变服务内容、质量标准、期限和追加项目预算。</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olor w:val="auto"/>
          <w:szCs w:val="21"/>
          <w:highlight w:val="none"/>
        </w:rPr>
        <w:t>4.3.4 投标</w:t>
      </w:r>
      <w:r>
        <w:rPr>
          <w:rFonts w:hint="eastAsia" w:ascii="宋体" w:hAnsi="宋体" w:cs="宋体"/>
          <w:color w:val="auto"/>
          <w:kern w:val="0"/>
          <w:szCs w:val="21"/>
          <w:highlight w:val="none"/>
        </w:rPr>
        <w:t>人应按</w:t>
      </w:r>
      <w:r>
        <w:rPr>
          <w:rFonts w:hint="eastAsia" w:ascii="宋体" w:hAnsi="宋体"/>
          <w:color w:val="auto"/>
          <w:szCs w:val="21"/>
          <w:highlight w:val="none"/>
        </w:rPr>
        <w:t>“开标一览表”</w:t>
      </w:r>
      <w:r>
        <w:rPr>
          <w:rFonts w:hint="eastAsia" w:ascii="宋体" w:hAnsi="宋体" w:cs="宋体"/>
          <w:color w:val="auto"/>
          <w:kern w:val="0"/>
          <w:szCs w:val="21"/>
          <w:highlight w:val="none"/>
        </w:rPr>
        <w:t>的内容</w:t>
      </w:r>
      <w:r>
        <w:rPr>
          <w:rFonts w:hint="eastAsia" w:ascii="宋体" w:hAnsi="宋体"/>
          <w:color w:val="auto"/>
          <w:szCs w:val="21"/>
          <w:highlight w:val="none"/>
        </w:rPr>
        <w:t>和格式要求填写。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 xml:space="preserve">4.3.5 </w:t>
      </w:r>
      <w:r>
        <w:rPr>
          <w:rFonts w:hint="eastAsia" w:ascii="宋体" w:hAnsi="宋体"/>
          <w:color w:val="auto"/>
          <w:szCs w:val="21"/>
          <w:highlight w:val="none"/>
        </w:rPr>
        <w:t>投标人每种服务和产品（如有）只允许有一个报价，并且在合同履行过程中是固定不变的，任何有选择或可调整的报价将不予接受，并按无效投标处理。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4.3.6 当评标委员会认为，某投标人的报价存在明显低于其他通过符合性审查投标人的报价，有可能影响服务质量和不能诚信履约的，</w:t>
      </w:r>
      <w:r>
        <w:rPr>
          <w:rFonts w:hint="eastAsia" w:ascii="宋体" w:hAnsi="宋体"/>
          <w:b/>
          <w:color w:val="auto"/>
          <w:szCs w:val="21"/>
          <w:highlight w:val="none"/>
        </w:rPr>
        <w:t>应当</w:t>
      </w:r>
      <w:r>
        <w:rPr>
          <w:rFonts w:hint="eastAsia" w:ascii="宋体" w:hAnsi="宋体"/>
          <w:color w:val="auto"/>
          <w:szCs w:val="21"/>
          <w:highlight w:val="none"/>
        </w:rPr>
        <w:t>要求其在评标现场规定时间内，提供必要的书面文件予以解释和说明，</w:t>
      </w:r>
      <w:r>
        <w:rPr>
          <w:rFonts w:hint="eastAsia" w:ascii="宋体" w:hAnsi="宋体"/>
          <w:b/>
          <w:color w:val="auto"/>
          <w:szCs w:val="21"/>
          <w:highlight w:val="none"/>
        </w:rPr>
        <w:t>必要时</w:t>
      </w:r>
      <w:r>
        <w:rPr>
          <w:rFonts w:hint="eastAsia" w:ascii="宋体" w:hAnsi="宋体"/>
          <w:color w:val="auto"/>
          <w:szCs w:val="21"/>
          <w:highlight w:val="none"/>
        </w:rPr>
        <w:t>提交相关证明材料；若投标人不能证明其报价合理性，评标委员会将其作无效投标处理。</w:t>
      </w:r>
    </w:p>
    <w:p>
      <w:pPr>
        <w:spacing w:beforeLines="5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4.4投标有效期</w:t>
      </w:r>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4.4.1投标有效期见投标人须知前附表。投标有效期短于此规定期限的投标，属于非实质性响应，将按无效投标处理。</w:t>
      </w:r>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4.4.2 出现特殊情况需要延长投标有效期的，采购代理机构或采购人可于投标有效期满之前，以书面形式通知所有投标人延长投标有效期。投标人应予书面答复，同意延长的，应相应延长其投标保证金有效期，但不得要求或被允许修改其投标文件；投标人拒绝延长的，其投标失效，但投标人有权收回其投标保证金。</w:t>
      </w:r>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4.4.3 在投标有效期内，投标人撤销投标文件的，应承担招标文件和法律规定的责任。</w:t>
      </w:r>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4.4.4 中标人的投标有效期自动延长至合同终止为止。</w:t>
      </w:r>
    </w:p>
    <w:p>
      <w:pPr>
        <w:pStyle w:val="7"/>
        <w:spacing w:beforeLines="50" w:afterLines="50" w:line="360" w:lineRule="auto"/>
        <w:ind w:firstLine="0"/>
        <w:outlineLvl w:val="2"/>
        <w:rPr>
          <w:rFonts w:ascii="宋体" w:hAnsi="宋体"/>
          <w:b/>
          <w:color w:val="auto"/>
          <w:sz w:val="30"/>
          <w:szCs w:val="30"/>
          <w:highlight w:val="none"/>
        </w:rPr>
      </w:pPr>
      <w:r>
        <w:rPr>
          <w:rFonts w:hint="eastAsia" w:ascii="宋体" w:hAnsi="宋体"/>
          <w:b/>
          <w:bCs/>
          <w:color w:val="auto"/>
          <w:sz w:val="30"/>
          <w:szCs w:val="30"/>
          <w:highlight w:val="none"/>
        </w:rPr>
        <w:t>4.5 投标保证金（不适用于本项目）</w:t>
      </w:r>
    </w:p>
    <w:p>
      <w:pPr>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4.5.1投标保证金的提交</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 xml:space="preserve">  4.5.1.1 开标现场不办理投标保证金事宜。</w:t>
      </w:r>
    </w:p>
    <w:p>
      <w:pPr>
        <w:spacing w:line="360" w:lineRule="auto"/>
        <w:ind w:firstLine="621" w:firstLineChars="296"/>
        <w:rPr>
          <w:rFonts w:ascii="宋体" w:hAnsi="宋体"/>
          <w:color w:val="auto"/>
          <w:szCs w:val="21"/>
          <w:highlight w:val="none"/>
        </w:rPr>
      </w:pPr>
      <w:r>
        <w:rPr>
          <w:rFonts w:hint="eastAsia" w:ascii="宋体" w:hAnsi="宋体"/>
          <w:color w:val="auto"/>
          <w:szCs w:val="21"/>
          <w:highlight w:val="none"/>
        </w:rPr>
        <w:t>4.5.1.2 投标人应按投标人须知前附表规定的金额、形式和时间提交，作为其投标文件的一部分。联合投标的，</w:t>
      </w:r>
      <w:r>
        <w:rPr>
          <w:rFonts w:hint="eastAsia" w:ascii="宋体" w:hAnsi="宋体"/>
          <w:color w:val="auto"/>
          <w:szCs w:val="21"/>
          <w:highlight w:val="none"/>
          <w:shd w:val="clear" w:color="auto" w:fill="FFFFFF"/>
        </w:rPr>
        <w:t>应当以联合体各方或者联合体中牵头人的名义提交投标保证金。</w:t>
      </w:r>
      <w:r>
        <w:rPr>
          <w:rFonts w:hint="eastAsia" w:ascii="宋体" w:hAnsi="宋体"/>
          <w:color w:val="auto"/>
          <w:szCs w:val="21"/>
          <w:highlight w:val="none"/>
        </w:rPr>
        <w:t>以联合体牵头单位提交投标保证金的，对联合体各方均具有约束力。</w:t>
      </w:r>
    </w:p>
    <w:p>
      <w:pPr>
        <w:spacing w:line="360" w:lineRule="auto"/>
        <w:ind w:firstLine="621" w:firstLineChars="296"/>
        <w:rPr>
          <w:rFonts w:ascii="宋体" w:hAnsi="宋体"/>
          <w:color w:val="auto"/>
          <w:szCs w:val="21"/>
          <w:highlight w:val="none"/>
        </w:rPr>
      </w:pPr>
      <w:r>
        <w:rPr>
          <w:rFonts w:hint="eastAsia" w:ascii="宋体" w:hAnsi="宋体"/>
          <w:color w:val="auto"/>
          <w:szCs w:val="21"/>
          <w:highlight w:val="none"/>
        </w:rPr>
        <w:t>4.5.1.3 投标保证金可以银行转账或者金融机构、担保机构出具的保函等非现金形式提交：</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（1）以银行转账提交保证金的，可以采取支票、电汇、网银、汇票、本票等方式，应从其基本账户转出，并在投标文件中附上基本账户开户证明。</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（2）以信用担保函形式提交保证金的，应按招标文件规定的格式提交，且是陕西省有关部门认定的具有开具投标保函资格的单位开具的保函。投标人违约，开具保函单位承担连带责任。</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（3）以汇票形式提交保证金的，应提前将汇票送至财务部门，汇票签发到期日至少为送至财务部门的当日，以便财务部门到银行办理兑现手续。</w:t>
      </w:r>
    </w:p>
    <w:p>
      <w:pPr>
        <w:spacing w:line="360" w:lineRule="auto"/>
        <w:jc w:val="center"/>
        <w:rPr>
          <w:color w:val="auto"/>
          <w:sz w:val="24"/>
          <w:highlight w:val="none"/>
        </w:rPr>
      </w:pPr>
      <w:r>
        <w:rPr>
          <w:rFonts w:hAnsi="宋体"/>
          <w:b/>
          <w:color w:val="auto"/>
          <w:sz w:val="24"/>
          <w:highlight w:val="none"/>
        </w:rPr>
        <w:t>陕西省有关部门认定的具有开具投标保函资格的名单</w:t>
      </w:r>
    </w:p>
    <w:tbl>
      <w:tblPr>
        <w:tblStyle w:val="29"/>
        <w:tblW w:w="793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230" w:type="dxa"/>
            <w:vAlign w:val="center"/>
          </w:tcPr>
          <w:p>
            <w:pPr>
              <w:rPr>
                <w:color w:val="auto"/>
                <w:szCs w:val="21"/>
                <w:highlight w:val="none"/>
              </w:rPr>
            </w:pPr>
            <w:r>
              <w:rPr>
                <w:rFonts w:hAnsi="宋体"/>
                <w:color w:val="auto"/>
                <w:szCs w:val="21"/>
                <w:highlight w:val="none"/>
              </w:rPr>
              <w:t>中国投融资担保股份有限公司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230" w:type="dxa"/>
            <w:vAlign w:val="center"/>
          </w:tcPr>
          <w:p>
            <w:pPr>
              <w:rPr>
                <w:rFonts w:hAnsi="宋体"/>
                <w:color w:val="auto"/>
                <w:szCs w:val="21"/>
                <w:highlight w:val="none"/>
              </w:rPr>
            </w:pPr>
            <w:r>
              <w:rPr>
                <w:rFonts w:hAnsi="宋体"/>
                <w:color w:val="auto"/>
                <w:szCs w:val="21"/>
                <w:highlight w:val="none"/>
              </w:rPr>
              <w:t>陕西省信用再担保有限责任公司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230" w:type="dxa"/>
            <w:vAlign w:val="center"/>
          </w:tcPr>
          <w:p>
            <w:pPr>
              <w:rPr>
                <w:rFonts w:hAnsi="宋体"/>
                <w:color w:val="auto"/>
                <w:szCs w:val="21"/>
                <w:highlight w:val="none"/>
              </w:rPr>
            </w:pPr>
            <w:r>
              <w:rPr>
                <w:rFonts w:hAnsi="宋体"/>
                <w:color w:val="auto"/>
                <w:szCs w:val="21"/>
                <w:highlight w:val="none"/>
              </w:rPr>
              <w:t>西安经济技术投资担保有限公司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4</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西安投融资担保有限公司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5</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陕西省信用再担保有限责任公司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6</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中国银行股份有限公司陕西省分行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7</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中国建设银行股份有限公司陕西省分行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8</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中国工商银行股份有限公司陕西省分行营业部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9</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中国农业银行股份有限公司陕西省分行营业部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10</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交通银行股份有限公司陕西省分行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11</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招商银行股份有限公司西安分行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12</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中国民生银行股份有限公司西安分行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13</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中国光大银行股份有限公司西安分行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14</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昆仑银行股份有限公司西安分行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15</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平安银行股份有限公司西安分行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16</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北京银行股份有限公司西安分行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17</w:t>
            </w:r>
          </w:p>
        </w:tc>
        <w:tc>
          <w:tcPr>
            <w:tcW w:w="7230" w:type="dxa"/>
            <w:vAlign w:val="center"/>
          </w:tcPr>
          <w:p>
            <w:pPr>
              <w:rPr>
                <w:rFonts w:ascii="宋体" w:hAnsi="宋体" w:cs="宋体"/>
                <w:color w:val="auto"/>
                <w:szCs w:val="21"/>
                <w:highlight w:val="none"/>
              </w:rPr>
            </w:pPr>
            <w:r>
              <w:rPr>
                <w:rFonts w:hint="eastAsia" w:ascii="宋体" w:hAnsi="宋体"/>
                <w:color w:val="auto"/>
                <w:szCs w:val="21"/>
                <w:highlight w:val="none"/>
              </w:rPr>
              <w:t>兴业银行股份有限公司西安分行</w:t>
            </w:r>
          </w:p>
        </w:tc>
      </w:tr>
    </w:tbl>
    <w:p>
      <w:pPr>
        <w:widowControl/>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4.5.1.4投标人</w:t>
      </w:r>
      <w:r>
        <w:rPr>
          <w:rFonts w:ascii="宋体" w:hAnsi="宋体"/>
          <w:color w:val="auto"/>
          <w:szCs w:val="21"/>
          <w:highlight w:val="none"/>
        </w:rPr>
        <w:t>未提供相关证明或经查实其</w:t>
      </w:r>
      <w:r>
        <w:rPr>
          <w:rFonts w:hint="eastAsia" w:ascii="宋体" w:hAnsi="宋体"/>
          <w:color w:val="auto"/>
          <w:szCs w:val="21"/>
          <w:highlight w:val="none"/>
        </w:rPr>
        <w:t>提</w:t>
      </w:r>
      <w:r>
        <w:rPr>
          <w:rFonts w:ascii="宋体" w:hAnsi="宋体"/>
          <w:color w:val="auto"/>
          <w:szCs w:val="21"/>
          <w:highlight w:val="none"/>
        </w:rPr>
        <w:t>交账户为非基本存款账户的，采购</w:t>
      </w:r>
      <w:r>
        <w:rPr>
          <w:rFonts w:hint="eastAsia" w:ascii="宋体" w:hAnsi="宋体"/>
          <w:color w:val="auto"/>
          <w:szCs w:val="21"/>
          <w:highlight w:val="none"/>
        </w:rPr>
        <w:t>代理</w:t>
      </w:r>
      <w:r>
        <w:rPr>
          <w:rFonts w:ascii="宋体" w:hAnsi="宋体"/>
          <w:color w:val="auto"/>
          <w:szCs w:val="21"/>
          <w:highlight w:val="none"/>
        </w:rPr>
        <w:t>机构按该</w:t>
      </w:r>
      <w:r>
        <w:rPr>
          <w:rFonts w:hint="eastAsia" w:ascii="宋体" w:hAnsi="宋体"/>
          <w:color w:val="auto"/>
          <w:szCs w:val="21"/>
          <w:highlight w:val="none"/>
        </w:rPr>
        <w:t>投标人</w:t>
      </w:r>
      <w:r>
        <w:rPr>
          <w:rFonts w:ascii="宋体" w:hAnsi="宋体"/>
          <w:color w:val="auto"/>
          <w:szCs w:val="21"/>
          <w:highlight w:val="none"/>
        </w:rPr>
        <w:t>未</w:t>
      </w:r>
      <w:r>
        <w:rPr>
          <w:rFonts w:hint="eastAsia" w:ascii="宋体" w:hAnsi="宋体"/>
          <w:color w:val="auto"/>
          <w:szCs w:val="21"/>
          <w:highlight w:val="none"/>
        </w:rPr>
        <w:t>提</w:t>
      </w:r>
      <w:r>
        <w:rPr>
          <w:rFonts w:ascii="宋体" w:hAnsi="宋体"/>
          <w:color w:val="auto"/>
          <w:szCs w:val="21"/>
          <w:highlight w:val="none"/>
        </w:rPr>
        <w:t>交</w:t>
      </w:r>
      <w:r>
        <w:rPr>
          <w:rFonts w:hint="eastAsia" w:ascii="宋体" w:hAnsi="宋体"/>
          <w:color w:val="auto"/>
          <w:szCs w:val="21"/>
          <w:highlight w:val="none"/>
        </w:rPr>
        <w:t>投标</w:t>
      </w:r>
      <w:r>
        <w:rPr>
          <w:rFonts w:ascii="宋体" w:hAnsi="宋体"/>
          <w:color w:val="auto"/>
          <w:szCs w:val="21"/>
          <w:highlight w:val="none"/>
        </w:rPr>
        <w:t>保证金处理。</w:t>
      </w:r>
    </w:p>
    <w:p>
      <w:pPr>
        <w:spacing w:line="360" w:lineRule="auto"/>
        <w:ind w:firstLine="621" w:firstLineChars="296"/>
        <w:rPr>
          <w:rFonts w:ascii="宋体" w:hAnsi="宋体"/>
          <w:color w:val="auto"/>
          <w:szCs w:val="21"/>
          <w:highlight w:val="none"/>
        </w:rPr>
      </w:pPr>
      <w:r>
        <w:rPr>
          <w:rFonts w:hint="eastAsia" w:ascii="宋体" w:hAnsi="宋体"/>
          <w:color w:val="auto"/>
          <w:szCs w:val="21"/>
          <w:highlight w:val="none"/>
        </w:rPr>
        <w:t>4.5.1.5未按招标文件要求在规定时间前（以银行实际到账时间为准）提交投标保证金的投标将被拒绝。</w:t>
      </w:r>
    </w:p>
    <w:p>
      <w:pPr>
        <w:spacing w:beforeLines="50" w:line="360" w:lineRule="auto"/>
        <w:ind w:firstLine="413" w:firstLineChars="196"/>
        <w:rPr>
          <w:rFonts w:ascii="宋体" w:hAnsi="宋体"/>
          <w:b/>
          <w:color w:val="auto"/>
          <w:szCs w:val="21"/>
          <w:highlight w:val="none"/>
        </w:rPr>
      </w:pPr>
      <w:r>
        <w:rPr>
          <w:rFonts w:hint="eastAsia" w:ascii="宋体" w:hAnsi="宋体"/>
          <w:b/>
          <w:color w:val="auto"/>
          <w:szCs w:val="21"/>
          <w:highlight w:val="none"/>
        </w:rPr>
        <w:t>4.5.2 投标保证金的退还</w:t>
      </w:r>
    </w:p>
    <w:p>
      <w:pPr>
        <w:spacing w:line="360" w:lineRule="auto"/>
        <w:ind w:firstLine="621" w:firstLineChars="296"/>
        <w:rPr>
          <w:rFonts w:ascii="宋体" w:hAnsi="宋体"/>
          <w:color w:val="auto"/>
          <w:szCs w:val="21"/>
          <w:highlight w:val="none"/>
        </w:rPr>
      </w:pPr>
      <w:r>
        <w:rPr>
          <w:rFonts w:hint="eastAsia" w:ascii="宋体" w:hAnsi="宋体"/>
          <w:color w:val="auto"/>
          <w:szCs w:val="21"/>
          <w:highlight w:val="none"/>
        </w:rPr>
        <w:t>4.5.2.1未中标人的投标保证金，将在中标通知书发出之日起5个工作日内全额退还。中标人的投标保证金，在采购人与中标人签订合同后5个工作日内全额退还。</w:t>
      </w:r>
    </w:p>
    <w:p>
      <w:pPr>
        <w:spacing w:line="360" w:lineRule="auto"/>
        <w:ind w:firstLine="621" w:firstLineChars="296"/>
        <w:rPr>
          <w:rFonts w:ascii="宋体" w:hAnsi="宋体"/>
          <w:color w:val="auto"/>
          <w:szCs w:val="21"/>
          <w:highlight w:val="none"/>
        </w:rPr>
      </w:pPr>
      <w:r>
        <w:rPr>
          <w:rFonts w:hint="eastAsia" w:ascii="宋体" w:hAnsi="宋体"/>
          <w:color w:val="auto"/>
          <w:szCs w:val="21"/>
          <w:highlight w:val="none"/>
        </w:rPr>
        <w:t>4.5.2.2有下列情形之一的，投标保证金将不予退还：</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（1）投标人在投标有效期内撤销投标文件的；</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（2）中标人在收到中标通知书后，无正当理由不与采购人订立合同，或着在签订合同时向采购人提出附加条件的；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（3）中标人无正当理由，未能按招标文件规定时间内领取《中标通知书》的；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（4）中标人未向采购代理机构支付采购（招标）代理服务费的；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（5）中标人未按招标文件规定向采购人提交履约保证金的；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（6）投标有效期内，投标人在政府采购活动中有违规、违纪和违法行为的；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（7）法律法规规定的其他情况。</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4.5.2.3 投标保证金退还程序：</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（1）未中标人的投标保证金，在《中标通知书》发出之日起5个工作日内，采购代理机构将主动退还至其基本账户。</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（2）中标人应当在合同签订生效之日起5个工作日内，持采购合同原件和办理人员身份证复印件到采购代理机构办理，逾期后果自负。采购代理机构应当及时将投标保证金退还至其基本账户。</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4.5.2.4 投标保证金退还时间：星期一至星期五，9:00-16:00。</w:t>
      </w:r>
    </w:p>
    <w:p>
      <w:pPr>
        <w:widowControl/>
        <w:tabs>
          <w:tab w:val="left" w:pos="1620"/>
        </w:tabs>
        <w:spacing w:line="360" w:lineRule="auto"/>
        <w:ind w:right="-197" w:rightChars="-94" w:firstLine="630" w:firstLineChars="300"/>
        <w:jc w:val="left"/>
        <w:rPr>
          <w:rFonts w:ascii="宋体" w:hAnsi="宋体"/>
          <w:color w:val="auto"/>
          <w:szCs w:val="21"/>
          <w:highlight w:val="none"/>
        </w:rPr>
      </w:pPr>
      <w:r>
        <w:rPr>
          <w:rFonts w:hint="eastAsia" w:ascii="宋体" w:hAnsi="宋体"/>
          <w:color w:val="auto"/>
          <w:szCs w:val="21"/>
          <w:highlight w:val="none"/>
        </w:rPr>
        <w:t>4.5.2.5 投标保证金退还地点：</w:t>
      </w:r>
      <w:r>
        <w:rPr>
          <w:rFonts w:hint="eastAsia" w:ascii="宋体" w:hAnsi="宋体"/>
          <w:color w:val="auto"/>
          <w:szCs w:val="21"/>
          <w:highlight w:val="none"/>
          <w:lang w:eastAsia="zh-CN"/>
        </w:rPr>
        <w:t>西安市莲湖区丰庆路48号1幢305室</w:t>
      </w:r>
      <w:r>
        <w:rPr>
          <w:rFonts w:hint="eastAsia" w:ascii="宋体" w:hAnsi="宋体"/>
          <w:color w:val="auto"/>
          <w:szCs w:val="21"/>
          <w:highlight w:val="none"/>
        </w:rPr>
        <w:t>。</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4.5.2.6投标保证金退还方式：银行转账。</w:t>
      </w:r>
    </w:p>
    <w:p>
      <w:pPr>
        <w:spacing w:beforeLines="5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4.6 商务文件</w:t>
      </w:r>
    </w:p>
    <w:p>
      <w:pPr>
        <w:spacing w:line="360" w:lineRule="auto"/>
        <w:ind w:firstLine="411" w:firstLineChars="196"/>
        <w:rPr>
          <w:rFonts w:ascii="宋体" w:hAnsi="宋体"/>
          <w:color w:val="auto"/>
          <w:szCs w:val="21"/>
          <w:highlight w:val="none"/>
        </w:rPr>
      </w:pPr>
      <w:r>
        <w:rPr>
          <w:rFonts w:hint="eastAsia" w:ascii="宋体" w:hAnsi="宋体"/>
          <w:bCs/>
          <w:color w:val="auto"/>
          <w:szCs w:val="21"/>
          <w:highlight w:val="none"/>
        </w:rPr>
        <w:t>4.6.1投标人应</w:t>
      </w:r>
      <w:r>
        <w:rPr>
          <w:rFonts w:hint="eastAsia" w:ascii="宋体" w:hAnsi="宋体"/>
          <w:color w:val="auto"/>
          <w:szCs w:val="21"/>
          <w:highlight w:val="none"/>
        </w:rPr>
        <w:t>按照招标文件商务要求做出完全响应。未作出商务响应的，作为不实质性响应招标文件，按无效投标处理。</w:t>
      </w:r>
    </w:p>
    <w:p>
      <w:pPr>
        <w:spacing w:line="360" w:lineRule="auto"/>
        <w:ind w:firstLine="411" w:firstLineChars="196"/>
        <w:rPr>
          <w:rFonts w:ascii="宋体" w:hAnsi="宋体"/>
          <w:bCs/>
          <w:color w:val="auto"/>
          <w:szCs w:val="21"/>
          <w:highlight w:val="none"/>
        </w:rPr>
      </w:pPr>
      <w:r>
        <w:rPr>
          <w:rFonts w:hint="eastAsia" w:ascii="宋体" w:hAnsi="宋体"/>
          <w:bCs/>
          <w:color w:val="auto"/>
          <w:szCs w:val="21"/>
          <w:highlight w:val="none"/>
        </w:rPr>
        <w:t>4.6.2</w:t>
      </w:r>
      <w:r>
        <w:rPr>
          <w:rFonts w:hint="eastAsia" w:ascii="宋体" w:hAnsi="宋体"/>
          <w:b/>
          <w:bCs/>
          <w:color w:val="auto"/>
          <w:szCs w:val="21"/>
          <w:highlight w:val="none"/>
        </w:rPr>
        <w:t xml:space="preserve"> </w:t>
      </w:r>
      <w:r>
        <w:rPr>
          <w:rFonts w:hint="eastAsia" w:ascii="宋体" w:hAnsi="宋体"/>
          <w:bCs/>
          <w:color w:val="auto"/>
          <w:szCs w:val="21"/>
          <w:highlight w:val="none"/>
        </w:rPr>
        <w:t>投标人应按照招标文件中售后服务要求作出的积极响应。包括以下内容：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（1）投标人设立的售后服务机构网点清单、服务电话和服务人员名单（加盖公章）；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（2）说明售后服务的响应机制、响应时间；如涉及产品还需说明产品的保修时间、保修期内的保修内容与范围、维修响应时间等并分别提供产品制造商和投标人的服务承诺和保障措施；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（3）培训措施：说明培训内容及培训的时间、地点、目标、培训人数、收费标准和办法。</w:t>
      </w:r>
    </w:p>
    <w:p>
      <w:pPr>
        <w:spacing w:line="360" w:lineRule="auto"/>
        <w:ind w:firstLine="420" w:firstLineChars="200"/>
        <w:rPr>
          <w:rFonts w:ascii="宋体" w:hAnsi="宋体"/>
          <w:b/>
          <w:bCs/>
          <w:color w:val="auto"/>
          <w:sz w:val="30"/>
          <w:szCs w:val="30"/>
          <w:highlight w:val="none"/>
        </w:rPr>
      </w:pPr>
      <w:r>
        <w:rPr>
          <w:rFonts w:hint="eastAsia" w:ascii="宋体" w:hAnsi="宋体"/>
          <w:color w:val="auto"/>
          <w:szCs w:val="21"/>
          <w:highlight w:val="none"/>
        </w:rPr>
        <w:t>4.6.</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其他证明材料不是必备证明材料，仅作为评审因素；投标人未提供的，评标时不予考虑；包括投标人享受政府采购优惠政策产品的证明材料、近3年类似业绩证明材料。</w:t>
      </w:r>
    </w:p>
    <w:p>
      <w:pPr>
        <w:spacing w:beforeLines="5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4.7 技术文件</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4.7.1 投标人应</w:t>
      </w:r>
      <w:r>
        <w:rPr>
          <w:rFonts w:hint="eastAsia" w:ascii="宋体" w:hAnsi="宋体"/>
          <w:color w:val="auto"/>
          <w:szCs w:val="21"/>
          <w:highlight w:val="none"/>
        </w:rPr>
        <w:t xml:space="preserve">按照招标文件要求做出的技术应答，主要是针对招标项目的技术指标、技术要求做出的实质性响应和满足。 </w:t>
      </w:r>
    </w:p>
    <w:p>
      <w:pPr>
        <w:spacing w:line="360" w:lineRule="auto"/>
        <w:ind w:left="2" w:leftChars="1" w:firstLine="420" w:firstLineChars="200"/>
        <w:rPr>
          <w:rFonts w:ascii="宋体" w:hAnsi="宋体"/>
          <w:color w:val="auto"/>
          <w:szCs w:val="21"/>
          <w:highlight w:val="none"/>
        </w:rPr>
      </w:pPr>
      <w:bookmarkStart w:id="62" w:name="_Toc183682355"/>
      <w:bookmarkStart w:id="63" w:name="_Toc183582218"/>
      <w:bookmarkStart w:id="64" w:name="_Toc217446049"/>
      <w:r>
        <w:rPr>
          <w:rFonts w:hint="eastAsia" w:ascii="宋体" w:hAnsi="宋体"/>
          <w:color w:val="auto"/>
          <w:szCs w:val="21"/>
          <w:highlight w:val="none"/>
        </w:rPr>
        <w:t>4.7.2 证明服务和产品（如有）符合招标文件规定相关文件可以是文字资料、图纸、数据、宣传彩页等，所有证明文件，表达意思必须统一。如需投标人提供样品，证明文件的表述与投标人所提供样品必须完全符合，且是投标文件的组成部分，否则，按未实质响应招标文件予以拒绝。</w:t>
      </w:r>
      <w:bookmarkEnd w:id="62"/>
      <w:bookmarkEnd w:id="63"/>
      <w:bookmarkEnd w:id="64"/>
      <w:bookmarkStart w:id="65" w:name="_Toc217446050"/>
      <w:bookmarkStart w:id="66" w:name="_Toc183682360"/>
      <w:bookmarkStart w:id="67" w:name="_Toc183582223"/>
    </w:p>
    <w:bookmarkEnd w:id="65"/>
    <w:bookmarkEnd w:id="66"/>
    <w:bookmarkEnd w:id="67"/>
    <w:p>
      <w:pPr>
        <w:tabs>
          <w:tab w:val="left" w:pos="7665"/>
        </w:tabs>
        <w:spacing w:beforeLines="50" w:afterLines="50" w:line="360" w:lineRule="auto"/>
        <w:outlineLvl w:val="2"/>
        <w:rPr>
          <w:rFonts w:ascii="宋体" w:hAnsi="宋体"/>
          <w:b/>
          <w:bCs/>
          <w:color w:val="auto"/>
          <w:sz w:val="30"/>
          <w:szCs w:val="30"/>
          <w:highlight w:val="none"/>
        </w:rPr>
      </w:pPr>
      <w:bookmarkStart w:id="68" w:name="_Toc183582225"/>
      <w:bookmarkStart w:id="69" w:name="_Toc217446052"/>
      <w:bookmarkStart w:id="70" w:name="_Toc183682362"/>
      <w:bookmarkStart w:id="71" w:name="_Toc89075877"/>
      <w:bookmarkStart w:id="72" w:name="_Toc77400781"/>
      <w:bookmarkStart w:id="73" w:name="_Toc183582226"/>
      <w:bookmarkStart w:id="74" w:name="_Toc217446053"/>
      <w:bookmarkStart w:id="75" w:name="_Toc183682363"/>
      <w:r>
        <w:rPr>
          <w:rFonts w:hint="eastAsia" w:ascii="宋体" w:hAnsi="宋体"/>
          <w:b/>
          <w:bCs/>
          <w:color w:val="auto"/>
          <w:sz w:val="30"/>
          <w:szCs w:val="30"/>
          <w:highlight w:val="none"/>
        </w:rPr>
        <w:t>4.8 投标文件的制作和签署</w:t>
      </w:r>
      <w:bookmarkEnd w:id="68"/>
      <w:bookmarkEnd w:id="69"/>
      <w:bookmarkEnd w:id="70"/>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4.8.1 投标文件应根据招标文件的要求制作。投标人应填写全称，同时加盖单位章，签署、盖章和内容应完整，如有遗漏，将被视为无效投标。</w:t>
      </w:r>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4.8.2 投标文件格式。投标人应严格按照第六章提供的“投标文件格式”编写相关内容。除明确允许投标人可以自行编写的外，投标人不得以“投标文件格式”规定之外的方式填写相关内容。否则，投标人提供的投标文件将作为无效投标处理。</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4.8.3 对于没有格式要求的投标文件由投标人自行编写。</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4.8.4 投标人应按“投标须知前附表”规定的份数准备投标文件正本、副本和相应的电子文件。正本和副本封面右上角应清楚地标明“正本”或“副本”字样。当副本和正本有不一致的内容，以正本书面投标文件为准。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4.8.5 投标文件的正本和副本均需打印或用不褪色、不变质的墨水书写，并由投标人的法定代表人或其授权代表在规定签章处签字和盖章。投标文件副本可采用正本的复印件。</w:t>
      </w:r>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4.8.6 投标文件的打印或书写应清楚工整，尽量避免行间插字、涂改或增删。如出现上述情况，改动之处应由投标人的法定代表人或其授权代表签字或盖单位章。字迹潦草、表达不清或可能导致非唯一理解的投标文件可能视为无效投标。</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4.8.7 投标文件的正本和副本应分别装订，并编制目录，投标文件需分册装订的，具体分册装订要求见</w:t>
      </w:r>
      <w:r>
        <w:rPr>
          <w:rFonts w:hint="eastAsia" w:ascii="宋体" w:hAnsi="宋体"/>
          <w:color w:val="auto"/>
          <w:szCs w:val="21"/>
          <w:highlight w:val="none"/>
          <w:lang w:val="zh-CN"/>
        </w:rPr>
        <w:t>投标人须知前附表的规定。投标文件</w:t>
      </w:r>
      <w:r>
        <w:rPr>
          <w:rFonts w:hint="eastAsia" w:ascii="宋体" w:hAnsi="宋体"/>
          <w:color w:val="auto"/>
          <w:szCs w:val="21"/>
          <w:highlight w:val="none"/>
        </w:rPr>
        <w:t>胶装后，页面不可抽取，不得有活动页，无破损、不可拆分。</w:t>
      </w:r>
    </w:p>
    <w:p>
      <w:pPr>
        <w:spacing w:line="360" w:lineRule="auto"/>
        <w:ind w:firstLine="420" w:firstLineChars="200"/>
        <w:jc w:val="left"/>
        <w:rPr>
          <w:rFonts w:ascii="宋体" w:hAnsi="宋体"/>
          <w:bCs/>
          <w:color w:val="auto"/>
          <w:szCs w:val="21"/>
          <w:highlight w:val="none"/>
        </w:rPr>
      </w:pPr>
      <w:r>
        <w:rPr>
          <w:rFonts w:hint="eastAsia" w:ascii="宋体" w:hAnsi="宋体"/>
          <w:color w:val="auto"/>
          <w:szCs w:val="21"/>
          <w:highlight w:val="none"/>
        </w:rPr>
        <w:t>4.8.8 电子文件制作要求。电子文件与纸质正本投标文件的内容应保持一致，具有同等法律效力。电子文件采用PDF格式，将有盖章和签字的纸质页面、证件等扫描文件一起编辑到PDF格式文件中，尤其是有盖章和签字的页不能遗漏。</w:t>
      </w:r>
      <w:r>
        <w:rPr>
          <w:rFonts w:hint="eastAsia" w:ascii="宋体" w:hAnsi="宋体"/>
          <w:bCs/>
          <w:color w:val="auto"/>
          <w:szCs w:val="21"/>
          <w:highlight w:val="none"/>
        </w:rPr>
        <w:t>电子文件（签字盖章后扫描为PDF格式的文档</w:t>
      </w:r>
      <w:r>
        <w:rPr>
          <w:rFonts w:hint="eastAsia" w:ascii="宋体" w:hAnsi="宋体"/>
          <w:bCs/>
          <w:color w:val="auto"/>
          <w:szCs w:val="21"/>
          <w:highlight w:val="none"/>
          <w:lang w:val="en-US" w:eastAsia="zh-CN"/>
        </w:rPr>
        <w:t>和</w:t>
      </w:r>
      <w:r>
        <w:rPr>
          <w:rFonts w:hint="eastAsia" w:ascii="宋体" w:hAnsi="宋体"/>
          <w:bCs/>
          <w:color w:val="auto"/>
          <w:szCs w:val="21"/>
          <w:highlight w:val="none"/>
        </w:rPr>
        <w:t>word格式的文档）应采用U盘或移动硬盘（谢绝光盘），电子版封面应具有项目名称和投标人名称标识。未按规定制作电子文件或开标现场</w:t>
      </w:r>
      <w:r>
        <w:rPr>
          <w:rFonts w:hint="eastAsia" w:ascii="宋体"/>
          <w:bCs/>
          <w:color w:val="auto"/>
          <w:szCs w:val="21"/>
          <w:highlight w:val="none"/>
        </w:rPr>
        <w:t>电子文件因自身原因导致无法读取的，</w:t>
      </w:r>
      <w:r>
        <w:rPr>
          <w:rFonts w:hint="eastAsia" w:ascii="宋体" w:hAnsi="宋体"/>
          <w:bCs/>
          <w:color w:val="auto"/>
          <w:szCs w:val="21"/>
          <w:highlight w:val="none"/>
        </w:rPr>
        <w:t>按无效投标文件处理。</w:t>
      </w:r>
    </w:p>
    <w:bookmarkEnd w:id="71"/>
    <w:bookmarkEnd w:id="72"/>
    <w:bookmarkEnd w:id="73"/>
    <w:bookmarkEnd w:id="74"/>
    <w:bookmarkEnd w:id="75"/>
    <w:p>
      <w:pPr>
        <w:tabs>
          <w:tab w:val="left" w:pos="1080"/>
        </w:tabs>
        <w:spacing w:beforeLines="50" w:afterLines="50" w:line="360" w:lineRule="auto"/>
        <w:outlineLvl w:val="1"/>
        <w:rPr>
          <w:rFonts w:ascii="黑体" w:hAnsi="宋体" w:eastAsia="黑体"/>
          <w:b/>
          <w:bCs/>
          <w:color w:val="auto"/>
          <w:sz w:val="36"/>
          <w:szCs w:val="36"/>
          <w:highlight w:val="none"/>
        </w:rPr>
      </w:pPr>
      <w:bookmarkStart w:id="76" w:name="_Toc18996"/>
      <w:bookmarkStart w:id="77" w:name="_Toc183682368"/>
      <w:bookmarkStart w:id="78" w:name="_Toc217446056"/>
      <w:bookmarkStart w:id="79" w:name="_Toc183582231"/>
      <w:bookmarkStart w:id="80" w:name="_Toc77400782"/>
      <w:bookmarkStart w:id="81" w:name="_Toc89075878"/>
      <w:r>
        <w:rPr>
          <w:rFonts w:hint="eastAsia" w:ascii="黑体" w:hAnsi="宋体" w:eastAsia="黑体"/>
          <w:b/>
          <w:bCs/>
          <w:color w:val="auto"/>
          <w:sz w:val="36"/>
          <w:szCs w:val="36"/>
          <w:highlight w:val="none"/>
        </w:rPr>
        <w:t>5.投标</w:t>
      </w:r>
      <w:bookmarkEnd w:id="76"/>
    </w:p>
    <w:p>
      <w:pPr>
        <w:tabs>
          <w:tab w:val="left" w:pos="1080"/>
        </w:tabs>
        <w:spacing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5.1 投标内容要求</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投标人应仔细阅读招标文件中的所有事项、格式、条款和要求，对招标文件的全部内容及要求作出实质性响应，提交相应资料。若分包，应以包为单位投标，不得在其中选项投标或将其中内容再行分解，否则投标无效。</w:t>
      </w:r>
    </w:p>
    <w:p>
      <w:pPr>
        <w:tabs>
          <w:tab w:val="left" w:pos="1080"/>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5.2 投标文件的密封和标记</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5.2.1 </w:t>
      </w:r>
      <w:r>
        <w:rPr>
          <w:rFonts w:hint="eastAsia" w:ascii="宋体" w:hAnsi="宋体"/>
          <w:color w:val="auto"/>
          <w:kern w:val="0"/>
          <w:szCs w:val="21"/>
          <w:highlight w:val="none"/>
        </w:rPr>
        <w:t>开标前，投标人应将投标文件所有正本、副本、电子文件全部密封。</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 xml:space="preserve">5.2.2 </w:t>
      </w:r>
      <w:r>
        <w:rPr>
          <w:rFonts w:hint="eastAsia" w:ascii="宋体" w:hAnsi="宋体"/>
          <w:color w:val="auto"/>
          <w:szCs w:val="21"/>
          <w:highlight w:val="none"/>
        </w:rPr>
        <w:t>投标文件装订、密封、装袋要求见投标人须知前附表，密封以不泄露投标人商业秘密、资格、技术及商务内容为标准。</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5.2.3 投标文件封套上应写明的内容见投标人须知前附表。</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olor w:val="auto"/>
          <w:szCs w:val="21"/>
          <w:highlight w:val="none"/>
        </w:rPr>
        <w:t>5.2.4 未按要求密封的投标文件，采购代理机构将予以拒收。</w:t>
      </w:r>
    </w:p>
    <w:p>
      <w:pPr>
        <w:tabs>
          <w:tab w:val="left" w:pos="1080"/>
        </w:tabs>
        <w:spacing w:beforeLines="50" w:afterLines="50" w:line="360" w:lineRule="auto"/>
        <w:outlineLvl w:val="2"/>
        <w:rPr>
          <w:rFonts w:ascii="宋体" w:hAnsi="宋体"/>
          <w:b/>
          <w:color w:val="auto"/>
          <w:sz w:val="30"/>
          <w:szCs w:val="30"/>
          <w:highlight w:val="none"/>
        </w:rPr>
      </w:pPr>
      <w:bookmarkStart w:id="82" w:name="_Toc183682364"/>
      <w:bookmarkStart w:id="83" w:name="_Toc183582227"/>
      <w:bookmarkStart w:id="84" w:name="_Toc217446054"/>
      <w:r>
        <w:rPr>
          <w:rFonts w:hint="eastAsia" w:ascii="宋体" w:hAnsi="宋体"/>
          <w:b/>
          <w:bCs/>
          <w:color w:val="auto"/>
          <w:sz w:val="30"/>
          <w:szCs w:val="30"/>
          <w:highlight w:val="none"/>
        </w:rPr>
        <w:t>5.3 投标文件的</w:t>
      </w:r>
      <w:bookmarkEnd w:id="82"/>
      <w:bookmarkEnd w:id="83"/>
      <w:r>
        <w:rPr>
          <w:rFonts w:hint="eastAsia" w:ascii="宋体" w:hAnsi="宋体"/>
          <w:b/>
          <w:bCs/>
          <w:color w:val="auto"/>
          <w:sz w:val="30"/>
          <w:szCs w:val="30"/>
          <w:highlight w:val="none"/>
        </w:rPr>
        <w:t>递交</w:t>
      </w:r>
      <w:bookmarkEnd w:id="84"/>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5.3.1 投标人应在投标人须知前附表规定的投标截止时间前递交投标文件。</w:t>
      </w:r>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5.3.2 投标人递交投标文件地点：见投标人须知前附表。</w:t>
      </w:r>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5.3.3 除投标人须知前附表另有规定外，投标人递交的投标文件不予退还。</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5.3.4采购代理机构收到投标文件后，应当如实记载投标文件的送达时间和密封情况，签收保存，并向投标人出具签收回执。</w:t>
      </w:r>
    </w:p>
    <w:p>
      <w:pPr>
        <w:tabs>
          <w:tab w:val="left" w:pos="851"/>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5.3.5 逾期送达的投标文件，采购代理机构将予以拒收。</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5.3.6 本次招标不接受邮寄的投标文件。</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5.3.7 需要投标人提供样品的，同投标文件一起递交。</w:t>
      </w:r>
      <w:bookmarkStart w:id="85" w:name="_Toc183582228"/>
      <w:bookmarkStart w:id="86" w:name="_Toc183682365"/>
      <w:bookmarkStart w:id="87" w:name="_Toc217446055"/>
    </w:p>
    <w:p>
      <w:pPr>
        <w:pStyle w:val="7"/>
        <w:spacing w:beforeLines="50" w:afterLines="50" w:line="360" w:lineRule="auto"/>
        <w:ind w:firstLine="0"/>
        <w:outlineLvl w:val="2"/>
        <w:rPr>
          <w:rFonts w:ascii="宋体" w:hAnsi="宋体"/>
          <w:b/>
          <w:bCs/>
          <w:color w:val="auto"/>
          <w:sz w:val="30"/>
          <w:szCs w:val="30"/>
          <w:highlight w:val="none"/>
        </w:rPr>
      </w:pPr>
      <w:r>
        <w:rPr>
          <w:rFonts w:hint="eastAsia" w:ascii="宋体" w:hAnsi="宋体"/>
          <w:b/>
          <w:bCs/>
          <w:color w:val="auto"/>
          <w:sz w:val="30"/>
          <w:szCs w:val="30"/>
          <w:highlight w:val="none"/>
        </w:rPr>
        <w:t>5.4 投标文件的修改和撤</w:t>
      </w:r>
      <w:bookmarkEnd w:id="85"/>
      <w:bookmarkEnd w:id="86"/>
      <w:r>
        <w:rPr>
          <w:rFonts w:hint="eastAsia" w:ascii="宋体" w:hAnsi="宋体"/>
          <w:b/>
          <w:bCs/>
          <w:color w:val="auto"/>
          <w:sz w:val="30"/>
          <w:szCs w:val="30"/>
          <w:highlight w:val="none"/>
        </w:rPr>
        <w:t>回</w:t>
      </w:r>
      <w:bookmarkEnd w:id="87"/>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5.4.1 在本章第5.3.1项规定的投标截止时间前，投标人可以修改或撤回已递交的投标文件，但应以书面形式通知采购代理机构。</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5.4.2 投标人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5.4.3 投标人撤回投标文件的，采购代理机构自收到投标人书面撤回通知之日起5个工作日内退还已收取的投标保证金。</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5.4.5 在投标截止时间之后，投标人不得对其递交的投标文件做任何修改或撤销投标。</w:t>
      </w:r>
    </w:p>
    <w:bookmarkEnd w:id="77"/>
    <w:bookmarkEnd w:id="78"/>
    <w:bookmarkEnd w:id="79"/>
    <w:bookmarkEnd w:id="80"/>
    <w:bookmarkEnd w:id="81"/>
    <w:p>
      <w:pPr>
        <w:pStyle w:val="7"/>
        <w:spacing w:beforeLines="100" w:afterLines="50" w:line="360" w:lineRule="auto"/>
        <w:ind w:firstLine="0"/>
        <w:outlineLvl w:val="1"/>
        <w:rPr>
          <w:rFonts w:ascii="黑体" w:hAnsi="宋体" w:eastAsia="黑体"/>
          <w:b/>
          <w:color w:val="auto"/>
          <w:sz w:val="36"/>
          <w:szCs w:val="36"/>
          <w:highlight w:val="none"/>
        </w:rPr>
      </w:pPr>
      <w:bookmarkStart w:id="88" w:name="_Toc28948"/>
      <w:r>
        <w:rPr>
          <w:rFonts w:hint="eastAsia" w:ascii="黑体" w:hAnsi="宋体" w:eastAsia="黑体"/>
          <w:b/>
          <w:color w:val="auto"/>
          <w:sz w:val="36"/>
          <w:szCs w:val="36"/>
          <w:highlight w:val="none"/>
        </w:rPr>
        <w:t>6.开标</w:t>
      </w:r>
      <w:bookmarkEnd w:id="88"/>
    </w:p>
    <w:p>
      <w:pPr>
        <w:spacing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6.1开标时间和地点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6.1.1 采购代理机构在投标人须知前附表中规定的投标截止时间（开标时间）和地点公开开标，并邀请采购人、所有投标人派代表准时参加并签到以证明其出席。</w:t>
      </w:r>
    </w:p>
    <w:p>
      <w:pPr>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6.1.2 投标人未参加开标的，视同认可开标结果。</w:t>
      </w:r>
    </w:p>
    <w:p>
      <w:pPr>
        <w:spacing w:line="360" w:lineRule="auto"/>
        <w:ind w:firstLine="420" w:firstLineChars="200"/>
        <w:rPr>
          <w:rFonts w:ascii="宋体" w:hAnsi="宋体"/>
          <w:color w:val="auto"/>
          <w:szCs w:val="21"/>
          <w:highlight w:val="none"/>
        </w:rPr>
      </w:pPr>
      <w:bookmarkStart w:id="89" w:name="_Toc217446059"/>
      <w:r>
        <w:rPr>
          <w:rFonts w:hint="eastAsia" w:ascii="宋体" w:hAnsi="宋体"/>
          <w:color w:val="auto"/>
          <w:szCs w:val="21"/>
          <w:highlight w:val="none"/>
        </w:rPr>
        <w:t>6.1.3 开标时，采购代理机构邀请有关监督管理机构对开标进行现场监督。</w:t>
      </w:r>
      <w:bookmarkStart w:id="90" w:name="_Toc21744605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6.1.4 投标人不足3家的，不得开标。</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6.2 开标程序</w:t>
      </w:r>
      <w:bookmarkEnd w:id="90"/>
    </w:p>
    <w:p>
      <w:pPr>
        <w:pStyle w:val="23"/>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6.2.1 开标由采购代理机构主持。主持人按照招标文件规定的开标时间宣布开标，并按下列程序进行（但不限于）：</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（1）宣布开标开始和开启录音录像设备并致辞；</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（2）宣布开标纪律和有关注意事项；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（3）公布在投标截止时间前递交投标文件的投标人名称（根据投标人签到表）；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（4）宣布开标人、唱标人、监标人、记录人等有关工作人员和现场监督人员姓名；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（5）检查并宣布投标文件的密封情况；</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开标唱标：主持人宣布开标后，由现场工作人员按顺序对投标人的“投标文件（正本）”当众进行拆封，由唱标人对其中“开标一览表”的采购项目编号、投标人名称、投标总价、服务期限等内容进行宣读并做开标记录；所有投标唱标完毕，如投标人对宣读的“开标一览表”上的内容有异议的，应当举手示意，在获得主持人同意后当场提出；如确实属于唱标人宣读错误的，经现场监督人员核实后，当场予以更正；无异议后，由投标人法定代表人或委托代理人及监督管理机构代表签字确认唱标内容；</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（7）宣布开标结束：主持人宣布开标结束后，所有投标人应立即退场</w:t>
      </w:r>
      <w:r>
        <w:rPr>
          <w:rFonts w:hint="eastAsia" w:ascii="宋体"/>
          <w:color w:val="auto"/>
          <w:szCs w:val="21"/>
          <w:highlight w:val="none"/>
        </w:rPr>
        <w:t>（招标文件要求演示、述标的除外）；同时所有投标人应保持通讯设备的畅通，以方便在评标过程中评标委员会要求投标人对投标文件的必要澄清。</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 xml:space="preserve">6.2.2 </w:t>
      </w:r>
      <w:r>
        <w:rPr>
          <w:rFonts w:hint="eastAsia" w:ascii="宋体"/>
          <w:color w:val="auto"/>
          <w:szCs w:val="21"/>
          <w:highlight w:val="none"/>
        </w:rPr>
        <w:t>检查投标文件密封情况是指，由投标人或者其推选的代表检查其自己递交的投标文件的密封情况，经检查无误后，签字确认。</w:t>
      </w:r>
    </w:p>
    <w:p>
      <w:pPr>
        <w:spacing w:line="360" w:lineRule="auto"/>
        <w:ind w:firstLine="420" w:firstLineChars="200"/>
        <w:rPr>
          <w:rFonts w:ascii="宋体" w:hAnsi="宋体"/>
          <w:color w:val="auto"/>
          <w:szCs w:val="21"/>
          <w:highlight w:val="none"/>
        </w:rPr>
      </w:pPr>
      <w:r>
        <w:rPr>
          <w:rFonts w:hint="eastAsia" w:ascii="宋体"/>
          <w:color w:val="auto"/>
          <w:szCs w:val="21"/>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但不得干扰、阻挠开标工作的正常进行。</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6.2.3 投标人对开标过程和开标记录有疑义，以及认为采购人、采购代理机构相关工作人员有需要回避的情形的，应当场提出询问或者回避申请。采购人、采购代理机构对投标人代表提出的询问或者回避申请应当及时处理，并制作记录。</w:t>
      </w:r>
    </w:p>
    <w:p>
      <w:pPr>
        <w:pStyle w:val="7"/>
        <w:spacing w:beforeLines="100" w:afterLines="50" w:line="360" w:lineRule="auto"/>
        <w:ind w:firstLine="0"/>
        <w:outlineLvl w:val="1"/>
        <w:rPr>
          <w:rFonts w:ascii="黑体" w:hAnsi="宋体" w:eastAsia="黑体"/>
          <w:b/>
          <w:color w:val="auto"/>
          <w:sz w:val="36"/>
          <w:szCs w:val="36"/>
          <w:highlight w:val="none"/>
        </w:rPr>
      </w:pPr>
      <w:bookmarkStart w:id="91" w:name="_Toc12631"/>
      <w:r>
        <w:rPr>
          <w:rFonts w:hint="eastAsia" w:ascii="黑体" w:hAnsi="宋体" w:eastAsia="黑体"/>
          <w:b/>
          <w:color w:val="auto"/>
          <w:sz w:val="36"/>
          <w:szCs w:val="36"/>
          <w:highlight w:val="none"/>
        </w:rPr>
        <w:t>7.投标人资格审查</w:t>
      </w:r>
      <w:bookmarkEnd w:id="91"/>
    </w:p>
    <w:p>
      <w:pPr>
        <w:spacing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7.1 资格审查</w:t>
      </w:r>
    </w:p>
    <w:p>
      <w:pPr>
        <w:tabs>
          <w:tab w:val="left" w:pos="0"/>
        </w:tabs>
        <w:adjustRightInd w:val="0"/>
        <w:snapToGrid w:val="0"/>
        <w:spacing w:line="520" w:lineRule="exact"/>
        <w:ind w:firstLine="413" w:firstLineChars="196"/>
        <w:rPr>
          <w:color w:val="auto"/>
          <w:highlight w:val="none"/>
        </w:rPr>
      </w:pPr>
      <w:r>
        <w:rPr>
          <w:rFonts w:hint="eastAsia" w:ascii="宋体" w:hAnsi="宋体"/>
          <w:b/>
          <w:color w:val="auto"/>
          <w:szCs w:val="21"/>
          <w:highlight w:val="none"/>
        </w:rPr>
        <w:t xml:space="preserve"> </w:t>
      </w:r>
      <w:r>
        <w:rPr>
          <w:rFonts w:hint="eastAsia" w:ascii="宋体" w:hAnsi="宋体" w:cs="宋体"/>
          <w:b/>
          <w:color w:val="auto"/>
          <w:kern w:val="0"/>
          <w:szCs w:val="21"/>
          <w:highlight w:val="none"/>
        </w:rPr>
        <w:t>7.1.1</w:t>
      </w:r>
      <w:r>
        <w:rPr>
          <w:rFonts w:hint="eastAsia"/>
          <w:color w:val="auto"/>
          <w:highlight w:val="none"/>
        </w:rPr>
        <w:t>采购人代表</w:t>
      </w:r>
      <w:r>
        <w:rPr>
          <w:color w:val="auto"/>
          <w:highlight w:val="none"/>
        </w:rPr>
        <w:t>按照</w:t>
      </w:r>
      <w:r>
        <w:rPr>
          <w:rFonts w:hint="eastAsia"/>
          <w:color w:val="auto"/>
          <w:highlight w:val="none"/>
        </w:rPr>
        <w:t>资格审查标准对投标人的资格证明文件和投标文件资格部分进行资格性审查，</w:t>
      </w:r>
      <w:r>
        <w:rPr>
          <w:color w:val="auto"/>
          <w:highlight w:val="none"/>
        </w:rPr>
        <w:t>如果</w:t>
      </w:r>
      <w:r>
        <w:rPr>
          <w:rFonts w:hint="eastAsia"/>
          <w:color w:val="auto"/>
          <w:highlight w:val="none"/>
        </w:rPr>
        <w:t>投标人</w:t>
      </w:r>
      <w:r>
        <w:rPr>
          <w:color w:val="auto"/>
          <w:highlight w:val="none"/>
        </w:rPr>
        <w:t>不满足招标文件所规定的</w:t>
      </w:r>
      <w:r>
        <w:rPr>
          <w:rFonts w:hint="eastAsia"/>
          <w:color w:val="auto"/>
          <w:highlight w:val="none"/>
        </w:rPr>
        <w:t>资格要求</w:t>
      </w:r>
      <w:r>
        <w:rPr>
          <w:color w:val="auto"/>
          <w:highlight w:val="none"/>
        </w:rPr>
        <w:t>或提供</w:t>
      </w:r>
      <w:r>
        <w:rPr>
          <w:rFonts w:hint="eastAsia"/>
          <w:color w:val="auto"/>
          <w:highlight w:val="none"/>
        </w:rPr>
        <w:t>资格证明文件</w:t>
      </w:r>
      <w:r>
        <w:rPr>
          <w:color w:val="auto"/>
          <w:highlight w:val="none"/>
        </w:rPr>
        <w:t>不全,将被视为未实质性响应招标文件。</w:t>
      </w:r>
    </w:p>
    <w:p>
      <w:pPr>
        <w:tabs>
          <w:tab w:val="left" w:pos="0"/>
        </w:tabs>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b/>
          <w:color w:val="auto"/>
          <w:kern w:val="0"/>
          <w:szCs w:val="21"/>
          <w:highlight w:val="none"/>
        </w:rPr>
        <w:t xml:space="preserve"> 7.1.2</w:t>
      </w:r>
      <w:r>
        <w:rPr>
          <w:rFonts w:hint="eastAsia" w:ascii="宋体" w:hAnsi="宋体" w:cs="宋体"/>
          <w:color w:val="auto"/>
          <w:kern w:val="0"/>
          <w:szCs w:val="21"/>
          <w:highlight w:val="none"/>
        </w:rPr>
        <w:t>审查标准：</w:t>
      </w:r>
    </w:p>
    <w:p>
      <w:pPr>
        <w:tabs>
          <w:tab w:val="left" w:pos="0"/>
        </w:tabs>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采购人代表将按下表所列举的审查标准对投标人基本资格条件进行</w:t>
      </w:r>
      <w:r>
        <w:rPr>
          <w:rFonts w:hint="eastAsia" w:ascii="宋体" w:cs="宋体"/>
          <w:bCs/>
          <w:color w:val="auto"/>
          <w:szCs w:val="21"/>
          <w:highlight w:val="none"/>
        </w:rPr>
        <w:t>审查，投标人若</w:t>
      </w:r>
      <w:r>
        <w:rPr>
          <w:rFonts w:hint="eastAsia" w:ascii="宋体" w:hAnsi="宋体" w:cs="宋体"/>
          <w:color w:val="auto"/>
          <w:kern w:val="0"/>
          <w:szCs w:val="21"/>
          <w:highlight w:val="none"/>
        </w:rPr>
        <w:t>有一项不合格，即判定其基本资格条件审查为不合格，将不具备投标资格，按无效投标处理。</w:t>
      </w:r>
    </w:p>
    <w:tbl>
      <w:tblPr>
        <w:tblStyle w:val="29"/>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5223"/>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31" w:type="dxa"/>
            <w:vAlign w:val="center"/>
          </w:tcPr>
          <w:p>
            <w:pPr>
              <w:tabs>
                <w:tab w:val="left" w:pos="0"/>
              </w:tabs>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5223" w:type="dxa"/>
            <w:vAlign w:val="center"/>
          </w:tcPr>
          <w:p>
            <w:pPr>
              <w:tabs>
                <w:tab w:val="left" w:pos="0"/>
              </w:tabs>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审查因素</w:t>
            </w:r>
          </w:p>
        </w:tc>
        <w:tc>
          <w:tcPr>
            <w:tcW w:w="1275" w:type="dxa"/>
            <w:vAlign w:val="center"/>
          </w:tcPr>
          <w:p>
            <w:pPr>
              <w:tabs>
                <w:tab w:val="left" w:pos="0"/>
              </w:tabs>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审查标准</w:t>
            </w:r>
          </w:p>
        </w:tc>
        <w:tc>
          <w:tcPr>
            <w:tcW w:w="1560" w:type="dxa"/>
            <w:vAlign w:val="center"/>
          </w:tcPr>
          <w:p>
            <w:pPr>
              <w:tabs>
                <w:tab w:val="left" w:pos="0"/>
              </w:tabs>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31"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223" w:type="dxa"/>
            <w:vAlign w:val="center"/>
          </w:tcPr>
          <w:p>
            <w:pPr>
              <w:tabs>
                <w:tab w:val="left" w:pos="0"/>
              </w:tabs>
              <w:adjustRightInd w:val="0"/>
              <w:snapToGrid w:val="0"/>
              <w:ind w:left="519" w:leftChars="-3" w:hanging="525" w:hangingChars="250"/>
              <w:rPr>
                <w:rFonts w:ascii="宋体" w:hAnsi="宋体" w:cs="宋体"/>
                <w:color w:val="auto"/>
                <w:kern w:val="0"/>
                <w:szCs w:val="21"/>
                <w:highlight w:val="none"/>
              </w:rPr>
            </w:pPr>
            <w:r>
              <w:rPr>
                <w:rFonts w:hint="eastAsia" w:ascii="宋体" w:hAnsi="宋体" w:cs="宋体"/>
                <w:color w:val="auto"/>
                <w:kern w:val="0"/>
                <w:szCs w:val="21"/>
                <w:highlight w:val="none"/>
              </w:rPr>
              <w:t>根据投标人类别进行审查：</w:t>
            </w:r>
          </w:p>
          <w:p>
            <w:pPr>
              <w:tabs>
                <w:tab w:val="left" w:pos="0"/>
              </w:tabs>
              <w:adjustRightInd w:val="0"/>
              <w:snapToGrid w:val="0"/>
              <w:ind w:left="519" w:leftChars="-3" w:hanging="525" w:hangingChars="250"/>
              <w:rPr>
                <w:rFonts w:ascii="宋体" w:hAnsi="宋体" w:cs="宋体"/>
                <w:color w:val="auto"/>
                <w:kern w:val="0"/>
                <w:szCs w:val="21"/>
                <w:highlight w:val="none"/>
              </w:rPr>
            </w:pPr>
            <w:r>
              <w:rPr>
                <w:rFonts w:hint="eastAsia" w:ascii="宋体" w:hAnsi="宋体" w:cs="宋体"/>
                <w:color w:val="auto"/>
                <w:kern w:val="0"/>
                <w:szCs w:val="21"/>
                <w:highlight w:val="none"/>
              </w:rPr>
              <w:t>(1)企业投标的：营业执照(3证合1或多证合1)复印件</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(2)事业单位投标的：事业单位法人证书复印件</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(3)其他组织投标的：登记证书复印件</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(4)自然人投标的：身份证复印件</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31" w:type="dxa"/>
            <w:vAlign w:val="center"/>
          </w:tcPr>
          <w:p>
            <w:pPr>
              <w:tabs>
                <w:tab w:val="left" w:pos="0"/>
              </w:tabs>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223" w:type="dxa"/>
            <w:vAlign w:val="center"/>
          </w:tcPr>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法定代表人参加投标的，提供本人身份证；法定代表人授权他人参加投标的，提供法定代表人委托授权书并出示被授权代表的身份证</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31" w:type="dxa"/>
            <w:vAlign w:val="center"/>
          </w:tcPr>
          <w:p>
            <w:pPr>
              <w:tabs>
                <w:tab w:val="left" w:pos="0"/>
              </w:tabs>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223" w:type="dxa"/>
            <w:vAlign w:val="center"/>
          </w:tcPr>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财务状况报告：提供投标人财务状况报告（提供投标人202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年全年度经审计的财务报告，或者提供开标前1个月内由开户银行出具的资信证明）</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要求：</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（1）供应商是法人的，应提供202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全年度经审计的供应商财务报告注复印件。</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（2）供应商是法人的,且成立不到1年的，提供开标前一个月内由基本开户银行出具的资信证明。</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（3）部分其他组织和自然人，提供开标前一个月内由银行出具的资信证明。</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（4）公益类事业单位无需提供财务审计报告。</w:t>
            </w:r>
          </w:p>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（5）复印件直接装订，并加盖供应商单位章。</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年全年度经审计财务报告</w:t>
            </w:r>
            <w:r>
              <w:rPr>
                <w:rFonts w:hint="eastAsia" w:ascii="宋体" w:hAnsi="宋体" w:cs="宋体"/>
                <w:color w:val="auto"/>
                <w:kern w:val="0"/>
                <w:szCs w:val="21"/>
                <w:highlight w:val="none"/>
                <w:lang w:eastAsia="zh-CN"/>
              </w:rPr>
              <w:t>三</w:t>
            </w:r>
            <w:r>
              <w:rPr>
                <w:rFonts w:hint="eastAsia" w:ascii="宋体" w:hAnsi="宋体" w:cs="宋体"/>
                <w:color w:val="auto"/>
                <w:kern w:val="0"/>
                <w:szCs w:val="21"/>
                <w:highlight w:val="none"/>
              </w:rPr>
              <w:t>表一注不齐全的，为不合格</w:t>
            </w:r>
          </w:p>
        </w:tc>
        <w:tc>
          <w:tcPr>
            <w:tcW w:w="1560"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bookmarkStart w:id="127" w:name="_GoBack"/>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31"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223" w:type="dxa"/>
            <w:vAlign w:val="center"/>
          </w:tcPr>
          <w:p>
            <w:pPr>
              <w:rPr>
                <w:rFonts w:hAnsi="宋体"/>
                <w:color w:val="auto"/>
                <w:szCs w:val="21"/>
                <w:highlight w:val="none"/>
              </w:rPr>
            </w:pPr>
            <w:r>
              <w:rPr>
                <w:rFonts w:hint="eastAsia" w:ascii="宋体" w:hAnsi="宋体"/>
                <w:color w:val="auto"/>
                <w:szCs w:val="21"/>
                <w:highlight w:val="none"/>
              </w:rPr>
              <w:t>（1）投</w:t>
            </w:r>
            <w:r>
              <w:rPr>
                <w:rFonts w:hint="eastAsia" w:hAnsi="宋体"/>
                <w:color w:val="auto"/>
                <w:szCs w:val="21"/>
                <w:highlight w:val="none"/>
              </w:rPr>
              <w:t>标人202</w:t>
            </w:r>
            <w:r>
              <w:rPr>
                <w:rFonts w:hint="eastAsia" w:hAnsi="宋体"/>
                <w:color w:val="auto"/>
                <w:szCs w:val="21"/>
                <w:highlight w:val="none"/>
                <w:lang w:val="en-US" w:eastAsia="zh-CN"/>
              </w:rPr>
              <w:t>2</w:t>
            </w:r>
            <w:r>
              <w:rPr>
                <w:rFonts w:hint="eastAsia" w:hAnsi="宋体"/>
                <w:color w:val="auto"/>
                <w:szCs w:val="21"/>
                <w:highlight w:val="none"/>
              </w:rPr>
              <w:t>年7月</w:t>
            </w:r>
            <w:r>
              <w:rPr>
                <w:rFonts w:hint="eastAsia" w:hAnsi="宋体"/>
                <w:color w:val="auto"/>
                <w:szCs w:val="21"/>
                <w:highlight w:val="none"/>
                <w:lang w:eastAsia="zh-CN"/>
              </w:rPr>
              <w:t>至开标前</w:t>
            </w:r>
            <w:r>
              <w:rPr>
                <w:rFonts w:hint="eastAsia" w:hAnsi="宋体"/>
                <w:color w:val="auto"/>
                <w:szCs w:val="21"/>
                <w:highlight w:val="none"/>
              </w:rPr>
              <w:t>任意三个月已缴纳的完税证明或纳税凭证</w:t>
            </w:r>
          </w:p>
          <w:p>
            <w:pPr>
              <w:rPr>
                <w:rFonts w:ascii="宋体" w:hAnsi="宋体" w:cs="宋体"/>
                <w:color w:val="auto"/>
                <w:kern w:val="0"/>
                <w:szCs w:val="21"/>
                <w:highlight w:val="none"/>
              </w:rPr>
            </w:pPr>
            <w:r>
              <w:rPr>
                <w:rFonts w:hint="eastAsia" w:ascii="Calibri" w:hAnsi="Calibri"/>
                <w:color w:val="auto"/>
                <w:szCs w:val="21"/>
                <w:highlight w:val="none"/>
              </w:rPr>
              <w:t>（2）依法免税的应提供相关文件证明</w:t>
            </w:r>
          </w:p>
          <w:p>
            <w:pPr>
              <w:rPr>
                <w:rFonts w:ascii="宋体" w:hAnsi="宋体"/>
                <w:color w:val="auto"/>
                <w:szCs w:val="21"/>
                <w:highlight w:val="none"/>
              </w:rPr>
            </w:pPr>
            <w:r>
              <w:rPr>
                <w:rFonts w:hint="eastAsia" w:ascii="宋体" w:hAnsi="宋体"/>
                <w:color w:val="auto"/>
                <w:szCs w:val="21"/>
                <w:highlight w:val="none"/>
              </w:rPr>
              <w:t>（3）公益类事业单位无需提供；</w:t>
            </w:r>
          </w:p>
          <w:p>
            <w:pPr>
              <w:rPr>
                <w:rFonts w:ascii="宋体" w:hAnsi="宋体" w:cs="宋体"/>
                <w:color w:val="auto"/>
                <w:kern w:val="0"/>
                <w:szCs w:val="21"/>
                <w:highlight w:val="none"/>
              </w:rPr>
            </w:pPr>
            <w:r>
              <w:rPr>
                <w:rFonts w:hint="eastAsia" w:ascii="宋体" w:hAnsi="宋体"/>
                <w:color w:val="auto"/>
                <w:szCs w:val="21"/>
                <w:highlight w:val="none"/>
              </w:rPr>
              <w:t>（4）新成立未发生缴纳税收事项的投标人，应提供纳税书面承诺</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731"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5223" w:type="dxa"/>
            <w:vAlign w:val="center"/>
          </w:tcPr>
          <w:p>
            <w:pPr>
              <w:numPr>
                <w:ilvl w:val="0"/>
                <w:numId w:val="4"/>
              </w:numPr>
              <w:rPr>
                <w:rFonts w:ascii="宋体" w:hAnsi="宋体"/>
                <w:color w:val="auto"/>
                <w:szCs w:val="21"/>
                <w:highlight w:val="none"/>
              </w:rPr>
            </w:pPr>
            <w:r>
              <w:rPr>
                <w:rFonts w:hint="eastAsia" w:ascii="宋体" w:hAnsi="宋体"/>
                <w:color w:val="auto"/>
                <w:szCs w:val="21"/>
                <w:highlight w:val="none"/>
              </w:rPr>
              <w:t>投标人202</w:t>
            </w:r>
            <w:r>
              <w:rPr>
                <w:rFonts w:hint="eastAsia" w:ascii="宋体" w:hAnsi="宋体"/>
                <w:color w:val="auto"/>
                <w:szCs w:val="21"/>
                <w:highlight w:val="none"/>
                <w:lang w:val="en-US" w:eastAsia="zh-CN"/>
              </w:rPr>
              <w:t>2</w:t>
            </w:r>
            <w:r>
              <w:rPr>
                <w:rFonts w:hint="eastAsia" w:ascii="宋体" w:hAnsi="宋体"/>
                <w:color w:val="auto"/>
                <w:szCs w:val="21"/>
                <w:highlight w:val="none"/>
              </w:rPr>
              <w:t>年7月至</w:t>
            </w:r>
            <w:r>
              <w:rPr>
                <w:rFonts w:hint="eastAsia" w:hAnsi="宋体"/>
                <w:color w:val="auto"/>
                <w:szCs w:val="21"/>
                <w:highlight w:val="none"/>
                <w:lang w:eastAsia="zh-CN"/>
              </w:rPr>
              <w:t>开标前</w:t>
            </w:r>
            <w:r>
              <w:rPr>
                <w:rFonts w:hint="eastAsia" w:hAnsi="宋体"/>
                <w:color w:val="auto"/>
                <w:szCs w:val="21"/>
                <w:highlight w:val="none"/>
              </w:rPr>
              <w:t>任意三个月</w:t>
            </w:r>
            <w:r>
              <w:rPr>
                <w:rFonts w:hint="eastAsia" w:ascii="宋体" w:hAnsi="宋体"/>
                <w:color w:val="auto"/>
                <w:szCs w:val="21"/>
                <w:highlight w:val="none"/>
              </w:rPr>
              <w:t>已缴纳的社会保障资金缴存单据或社保机构开具的社会保险参保缴费情况证明</w:t>
            </w:r>
          </w:p>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依法不需要缴纳社会保障资金的应提供相关文件证明</w:t>
            </w:r>
          </w:p>
          <w:p>
            <w:pPr>
              <w:rPr>
                <w:rFonts w:ascii="宋体" w:hAnsi="宋体"/>
                <w:color w:val="auto"/>
                <w:szCs w:val="21"/>
                <w:highlight w:val="none"/>
              </w:rPr>
            </w:pPr>
            <w:r>
              <w:rPr>
                <w:rFonts w:hint="eastAsia" w:ascii="宋体" w:hAnsi="宋体"/>
                <w:color w:val="auto"/>
                <w:szCs w:val="21"/>
                <w:highlight w:val="none"/>
              </w:rPr>
              <w:t>（3）公益类事业单位无需提供；</w:t>
            </w:r>
          </w:p>
          <w:p>
            <w:pPr>
              <w:rPr>
                <w:rFonts w:ascii="宋体" w:hAnsi="宋体" w:cs="宋体"/>
                <w:color w:val="auto"/>
                <w:kern w:val="0"/>
                <w:szCs w:val="21"/>
                <w:highlight w:val="none"/>
              </w:rPr>
            </w:pPr>
            <w:r>
              <w:rPr>
                <w:rFonts w:hint="eastAsia" w:ascii="宋体" w:hAnsi="宋体"/>
                <w:color w:val="auto"/>
                <w:szCs w:val="21"/>
                <w:highlight w:val="none"/>
              </w:rPr>
              <w:t>（4）新开通未发生</w:t>
            </w:r>
            <w:r>
              <w:rPr>
                <w:rFonts w:ascii="宋体" w:hAnsi="宋体"/>
                <w:color w:val="auto"/>
                <w:szCs w:val="21"/>
                <w:highlight w:val="none"/>
              </w:rPr>
              <w:t>社会保障资金</w:t>
            </w:r>
            <w:r>
              <w:rPr>
                <w:rFonts w:hint="eastAsia" w:ascii="宋体" w:hAnsi="宋体"/>
                <w:color w:val="auto"/>
                <w:szCs w:val="21"/>
                <w:highlight w:val="none"/>
              </w:rPr>
              <w:t>事项的投标人，应提供书面承诺</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731"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5223" w:type="dxa"/>
            <w:vAlign w:val="center"/>
          </w:tcPr>
          <w:p>
            <w:pPr>
              <w:rPr>
                <w:rFonts w:ascii="宋体" w:hAnsi="宋体"/>
                <w:color w:val="auto"/>
                <w:szCs w:val="21"/>
                <w:highlight w:val="none"/>
              </w:rPr>
            </w:pPr>
            <w:r>
              <w:rPr>
                <w:rFonts w:hint="eastAsia" w:ascii="宋体" w:hAnsi="宋体" w:cs="宋体"/>
                <w:color w:val="auto"/>
                <w:kern w:val="0"/>
                <w:szCs w:val="21"/>
                <w:highlight w:val="none"/>
                <w:lang w:val="zh-CN"/>
              </w:rPr>
              <w:t>具备履行合同所必需的设备和专业技术能力的证明的声明</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31"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5223" w:type="dxa"/>
            <w:vAlign w:val="center"/>
          </w:tcPr>
          <w:p>
            <w:pPr>
              <w:tabs>
                <w:tab w:val="left" w:pos="0"/>
              </w:tabs>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参加本次招标前3年内，在经营活动中没有重大违法记录的书面声明</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31"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5223" w:type="dxa"/>
            <w:vAlign w:val="center"/>
          </w:tcPr>
          <w:p>
            <w:pPr>
              <w:tabs>
                <w:tab w:val="left" w:pos="0"/>
              </w:tabs>
              <w:adjustRightInd w:val="0"/>
              <w:snapToGrid w:val="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 w:val="21"/>
                <w:szCs w:val="21"/>
                <w:highlight w:val="none"/>
                <w:lang w:val="en-US" w:eastAsia="zh-CN" w:bidi="ar-SA"/>
              </w:rPr>
              <w:t>投标人需具备土地规划乙级及以上资质（含乙级）和测绘乙级（含乙级）及以上资质 ,拟派项目负责人须具有相关专业中级及以上职称</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科技推广标段不提供</w:t>
            </w:r>
            <w:r>
              <w:rPr>
                <w:rFonts w:hint="eastAsia" w:ascii="宋体" w:hAnsi="宋体" w:cs="宋体"/>
                <w:b/>
                <w:bCs/>
                <w:color w:val="auto"/>
                <w:kern w:val="0"/>
                <w:szCs w:val="21"/>
                <w:highlight w:val="none"/>
                <w:lang w:eastAsia="zh-CN"/>
              </w:rPr>
              <w:t>）</w:t>
            </w:r>
          </w:p>
        </w:tc>
        <w:tc>
          <w:tcPr>
            <w:tcW w:w="1275" w:type="dxa"/>
            <w:vAlign w:val="center"/>
          </w:tcPr>
          <w:p>
            <w:pPr>
              <w:tabs>
                <w:tab w:val="left" w:pos="0"/>
              </w:tabs>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合法有效</w:t>
            </w:r>
          </w:p>
        </w:tc>
        <w:tc>
          <w:tcPr>
            <w:tcW w:w="1560" w:type="dxa"/>
            <w:vAlign w:val="center"/>
          </w:tcPr>
          <w:p>
            <w:pPr>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1" w:type="dxa"/>
            <w:vAlign w:val="center"/>
          </w:tcPr>
          <w:p>
            <w:pPr>
              <w:tabs>
                <w:tab w:val="left" w:pos="0"/>
              </w:tabs>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5223" w:type="dxa"/>
            <w:vAlign w:val="center"/>
          </w:tcPr>
          <w:p>
            <w:pPr>
              <w:tabs>
                <w:tab w:val="left" w:pos="0"/>
              </w:tabs>
              <w:adjustRightInd w:val="0"/>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中小企业声明函</w:t>
            </w:r>
          </w:p>
        </w:tc>
        <w:tc>
          <w:tcPr>
            <w:tcW w:w="1275" w:type="dxa"/>
            <w:vAlign w:val="center"/>
          </w:tcPr>
          <w:p>
            <w:pPr>
              <w:tabs>
                <w:tab w:val="left" w:pos="0"/>
              </w:tabs>
              <w:adjustRightInd w:val="0"/>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真实有效</w:t>
            </w:r>
          </w:p>
        </w:tc>
        <w:tc>
          <w:tcPr>
            <w:tcW w:w="1560" w:type="dxa"/>
            <w:vAlign w:val="center"/>
          </w:tcPr>
          <w:p>
            <w:pPr>
              <w:tabs>
                <w:tab w:val="left" w:pos="0"/>
              </w:tabs>
              <w:adjustRightInd w:val="0"/>
              <w:snapToGrid w:val="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按文件格式提供</w:t>
            </w:r>
          </w:p>
        </w:tc>
      </w:tr>
    </w:tbl>
    <w:p>
      <w:pPr>
        <w:tabs>
          <w:tab w:val="left" w:pos="0"/>
        </w:tabs>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注：以上复印件均需加盖单位公章，否则视为无效投标，不能进入下一项。</w:t>
      </w:r>
    </w:p>
    <w:bookmarkEnd w:id="89"/>
    <w:p>
      <w:pPr>
        <w:tabs>
          <w:tab w:val="left" w:pos="0"/>
        </w:tabs>
        <w:adjustRightInd w:val="0"/>
        <w:snapToGrid w:val="0"/>
        <w:spacing w:line="360" w:lineRule="auto"/>
        <w:ind w:firstLine="405"/>
        <w:rPr>
          <w:rFonts w:ascii="宋体" w:hAnsi="宋体" w:cs="宋体"/>
          <w:b/>
          <w:color w:val="auto"/>
          <w:kern w:val="0"/>
          <w:szCs w:val="21"/>
          <w:highlight w:val="none"/>
        </w:rPr>
      </w:pPr>
      <w:bookmarkStart w:id="92" w:name="_Toc27031"/>
      <w:r>
        <w:rPr>
          <w:rFonts w:hint="eastAsia" w:ascii="宋体" w:hAnsi="宋体" w:cs="宋体"/>
          <w:b/>
          <w:color w:val="auto"/>
          <w:kern w:val="0"/>
          <w:szCs w:val="21"/>
          <w:highlight w:val="none"/>
        </w:rPr>
        <w:t>7.1.3投标人限制性资格条件审查</w:t>
      </w:r>
    </w:p>
    <w:p>
      <w:pPr>
        <w:tabs>
          <w:tab w:val="left" w:pos="0"/>
        </w:tabs>
        <w:adjustRightInd w:val="0"/>
        <w:snapToGrid w:val="0"/>
        <w:spacing w:line="360" w:lineRule="auto"/>
        <w:ind w:firstLine="405"/>
        <w:rPr>
          <w:rFonts w:ascii="宋体" w:hAnsi="宋体" w:cs="宋体"/>
          <w:color w:val="auto"/>
          <w:kern w:val="0"/>
          <w:szCs w:val="21"/>
          <w:highlight w:val="none"/>
        </w:rPr>
      </w:pPr>
      <w:r>
        <w:rPr>
          <w:rFonts w:hint="eastAsia" w:ascii="宋体" w:hAnsi="宋体" w:cs="宋体"/>
          <w:color w:val="auto"/>
          <w:kern w:val="0"/>
          <w:szCs w:val="21"/>
          <w:highlight w:val="none"/>
        </w:rPr>
        <w:t xml:space="preserve">   7.1.3.1 审查方法：</w:t>
      </w:r>
    </w:p>
    <w:p>
      <w:pPr>
        <w:tabs>
          <w:tab w:val="left" w:pos="0"/>
        </w:tabs>
        <w:adjustRightInd w:val="0"/>
        <w:snapToGrid w:val="0"/>
        <w:spacing w:line="360" w:lineRule="auto"/>
        <w:ind w:firstLine="405"/>
        <w:rPr>
          <w:color w:val="auto"/>
          <w:kern w:val="0"/>
          <w:szCs w:val="21"/>
          <w:highlight w:val="none"/>
        </w:rPr>
      </w:pPr>
      <w:r>
        <w:rPr>
          <w:rFonts w:hint="eastAsia" w:ascii="宋体" w:hAnsi="宋体" w:cs="宋体"/>
          <w:color w:val="auto"/>
          <w:kern w:val="0"/>
          <w:szCs w:val="21"/>
          <w:highlight w:val="none"/>
        </w:rPr>
        <w:t xml:space="preserve">   </w:t>
      </w:r>
      <w:r>
        <w:rPr>
          <w:color w:val="auto"/>
          <w:kern w:val="0"/>
          <w:szCs w:val="21"/>
          <w:highlight w:val="none"/>
        </w:rPr>
        <w:t>（1）</w:t>
      </w:r>
      <w:r>
        <w:rPr>
          <w:rFonts w:hint="eastAsia"/>
          <w:color w:val="auto"/>
          <w:kern w:val="0"/>
          <w:szCs w:val="21"/>
          <w:highlight w:val="none"/>
        </w:rPr>
        <w:t>采购代理机构</w:t>
      </w:r>
      <w:r>
        <w:rPr>
          <w:color w:val="auto"/>
          <w:kern w:val="0"/>
          <w:szCs w:val="21"/>
          <w:highlight w:val="none"/>
        </w:rPr>
        <w:t>将通过信用中国网（http://www.creditchina.gov.cn/）和中国政府采购网（网址：http://www.ccgp.gov.cn/cr/list）对投标人的信用信息进行查询核实。</w:t>
      </w:r>
    </w:p>
    <w:p>
      <w:pPr>
        <w:tabs>
          <w:tab w:val="left" w:pos="0"/>
        </w:tabs>
        <w:adjustRightInd w:val="0"/>
        <w:snapToGrid w:val="0"/>
        <w:spacing w:line="360" w:lineRule="auto"/>
        <w:ind w:firstLine="735" w:firstLineChars="350"/>
        <w:rPr>
          <w:color w:val="auto"/>
          <w:kern w:val="0"/>
          <w:szCs w:val="21"/>
          <w:highlight w:val="none"/>
        </w:rPr>
      </w:pPr>
      <w:r>
        <w:rPr>
          <w:color w:val="auto"/>
          <w:kern w:val="0"/>
          <w:szCs w:val="21"/>
          <w:highlight w:val="none"/>
        </w:rPr>
        <w:t>（2）</w:t>
      </w:r>
      <w:r>
        <w:rPr>
          <w:rFonts w:hint="eastAsia"/>
          <w:color w:val="auto"/>
          <w:kern w:val="0"/>
          <w:szCs w:val="21"/>
          <w:highlight w:val="none"/>
        </w:rPr>
        <w:t>采购代理机构</w:t>
      </w:r>
      <w:r>
        <w:rPr>
          <w:color w:val="auto"/>
          <w:kern w:val="0"/>
          <w:szCs w:val="21"/>
          <w:highlight w:val="none"/>
        </w:rPr>
        <w:t>将通过投标人投标文件之资格审查部分文件和国家企业信用信息公示系统（http://www.gsxt.gov.cn/index.html）对投标人之间</w:t>
      </w:r>
      <w:r>
        <w:rPr>
          <w:color w:val="auto"/>
          <w:szCs w:val="21"/>
          <w:highlight w:val="none"/>
        </w:rPr>
        <w:t>存在</w:t>
      </w:r>
      <w:r>
        <w:rPr>
          <w:bCs/>
          <w:color w:val="auto"/>
          <w:szCs w:val="21"/>
          <w:highlight w:val="none"/>
        </w:rPr>
        <w:t>隶属关系或者其他利害关系</w:t>
      </w:r>
      <w:r>
        <w:rPr>
          <w:color w:val="auto"/>
          <w:kern w:val="0"/>
          <w:szCs w:val="21"/>
          <w:highlight w:val="none"/>
        </w:rPr>
        <w:t>进行相关信息的核实。</w:t>
      </w:r>
    </w:p>
    <w:p>
      <w:pPr>
        <w:tabs>
          <w:tab w:val="left" w:pos="0"/>
        </w:tabs>
        <w:adjustRightInd w:val="0"/>
        <w:snapToGrid w:val="0"/>
        <w:spacing w:line="360" w:lineRule="auto"/>
        <w:ind w:firstLine="735" w:firstLineChars="350"/>
        <w:rPr>
          <w:color w:val="auto"/>
          <w:kern w:val="0"/>
          <w:szCs w:val="21"/>
          <w:highlight w:val="none"/>
        </w:rPr>
      </w:pPr>
      <w:r>
        <w:rPr>
          <w:rFonts w:hint="eastAsia"/>
          <w:color w:val="auto"/>
          <w:kern w:val="0"/>
          <w:szCs w:val="21"/>
          <w:highlight w:val="none"/>
        </w:rPr>
        <w:t>注：由采购人代表进行监督查询，并签字确认。</w:t>
      </w:r>
    </w:p>
    <w:p>
      <w:pPr>
        <w:tabs>
          <w:tab w:val="left" w:pos="0"/>
        </w:tabs>
        <w:adjustRightInd w:val="0"/>
        <w:snapToGrid w:val="0"/>
        <w:spacing w:line="360" w:lineRule="auto"/>
        <w:ind w:firstLine="405"/>
        <w:rPr>
          <w:color w:val="auto"/>
          <w:kern w:val="0"/>
          <w:szCs w:val="21"/>
          <w:highlight w:val="none"/>
        </w:rPr>
      </w:pPr>
      <w:r>
        <w:rPr>
          <w:color w:val="auto"/>
          <w:kern w:val="0"/>
          <w:szCs w:val="21"/>
          <w:highlight w:val="none"/>
        </w:rPr>
        <w:t xml:space="preserve">  </w:t>
      </w:r>
      <w:r>
        <w:rPr>
          <w:rFonts w:ascii="宋体" w:hAnsi="宋体" w:cs="宋体"/>
          <w:color w:val="auto"/>
          <w:kern w:val="0"/>
          <w:szCs w:val="21"/>
          <w:highlight w:val="none"/>
        </w:rPr>
        <w:t xml:space="preserve"> 7.</w:t>
      </w:r>
      <w:r>
        <w:rPr>
          <w:rFonts w:hint="eastAsia" w:ascii="宋体" w:hAnsi="宋体" w:cs="宋体"/>
          <w:color w:val="auto"/>
          <w:kern w:val="0"/>
          <w:szCs w:val="21"/>
          <w:highlight w:val="none"/>
        </w:rPr>
        <w:t>1.3</w:t>
      </w:r>
      <w:r>
        <w:rPr>
          <w:rFonts w:ascii="宋体" w:hAnsi="宋体" w:cs="宋体"/>
          <w:color w:val="auto"/>
          <w:kern w:val="0"/>
          <w:szCs w:val="21"/>
          <w:highlight w:val="none"/>
        </w:rPr>
        <w:t>.2 审查标准：</w:t>
      </w:r>
    </w:p>
    <w:p>
      <w:pPr>
        <w:tabs>
          <w:tab w:val="left" w:pos="0"/>
        </w:tabs>
        <w:adjustRightInd w:val="0"/>
        <w:snapToGrid w:val="0"/>
        <w:spacing w:line="360" w:lineRule="auto"/>
        <w:ind w:firstLine="405"/>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投标人存在下列情形之一的，审查不予通过，即判定其限制性资格条件审查为不合格，将不具备投标资格，按无效投标处理：</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（1）与采购人、采购代理机构存在</w:t>
      </w:r>
      <w:r>
        <w:rPr>
          <w:rFonts w:hint="eastAsia" w:ascii="宋体" w:hAnsi="宋体"/>
          <w:bCs/>
          <w:color w:val="auto"/>
          <w:szCs w:val="21"/>
          <w:highlight w:val="none"/>
        </w:rPr>
        <w:t>隶属关系或者其他利害关系，且可能影响招标公正性；</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（2）与本采购项目其他投标人的法定代表人（或者负责人）为同一人；</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（3）与本采购项目其他投标人存在控股、管理关系；</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（4）为本项目采购代理机构；</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（5）为本项目代理投标的为其采购代理机构；</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（6）为本项目提供整体设计、规范编制或者项目管理、监理、检测、咨询服务；</w:t>
      </w:r>
    </w:p>
    <w:p>
      <w:pPr>
        <w:adjustRightInd w:val="0"/>
        <w:snapToGrid w:val="0"/>
        <w:spacing w:line="360" w:lineRule="auto"/>
        <w:ind w:firstLine="525" w:firstLineChars="250"/>
        <w:rPr>
          <w:rFonts w:ascii="宋体" w:hAnsi="宋体"/>
          <w:bCs/>
          <w:color w:val="auto"/>
          <w:szCs w:val="21"/>
          <w:highlight w:val="none"/>
        </w:rPr>
      </w:pPr>
      <w:r>
        <w:rPr>
          <w:rFonts w:hint="eastAsia" w:ascii="宋体" w:hAnsi="宋体"/>
          <w:color w:val="auto"/>
          <w:szCs w:val="21"/>
          <w:highlight w:val="none"/>
        </w:rPr>
        <w:t>（7）近3年</w:t>
      </w:r>
      <w:r>
        <w:rPr>
          <w:rFonts w:hint="eastAsia" w:ascii="宋体" w:hAnsi="宋体"/>
          <w:bCs/>
          <w:color w:val="auto"/>
          <w:szCs w:val="21"/>
          <w:highlight w:val="none"/>
        </w:rPr>
        <w:t>受到刑事处罚；</w:t>
      </w:r>
    </w:p>
    <w:p>
      <w:pPr>
        <w:adjustRightInd w:val="0"/>
        <w:snapToGrid w:val="0"/>
        <w:spacing w:line="360" w:lineRule="auto"/>
        <w:ind w:firstLine="525" w:firstLineChars="250"/>
        <w:rPr>
          <w:rFonts w:ascii="宋体" w:hAnsi="宋体"/>
          <w:bCs/>
          <w:color w:val="auto"/>
          <w:szCs w:val="21"/>
          <w:highlight w:val="none"/>
        </w:rPr>
      </w:pPr>
      <w:r>
        <w:rPr>
          <w:rFonts w:hint="eastAsia" w:ascii="宋体" w:hAnsi="宋体"/>
          <w:bCs/>
          <w:color w:val="auto"/>
          <w:szCs w:val="21"/>
          <w:highlight w:val="none"/>
        </w:rPr>
        <w:t>（8）</w:t>
      </w:r>
      <w:r>
        <w:rPr>
          <w:rFonts w:hint="eastAsia" w:ascii="宋体" w:hAnsi="宋体" w:cs="宋体"/>
          <w:color w:val="auto"/>
          <w:spacing w:val="-10"/>
          <w:kern w:val="0"/>
          <w:szCs w:val="21"/>
          <w:highlight w:val="none"/>
        </w:rPr>
        <w:t>近3年内受到财政部门3万元以上罚款，或者其他行政部门较大数额罚款行政处罚</w:t>
      </w:r>
      <w:r>
        <w:rPr>
          <w:rFonts w:hint="eastAsia" w:ascii="宋体" w:hAnsi="宋体"/>
          <w:bCs/>
          <w:color w:val="auto"/>
          <w:szCs w:val="21"/>
          <w:highlight w:val="none"/>
        </w:rPr>
        <w:t>（举行听证会的）；</w:t>
      </w:r>
    </w:p>
    <w:p>
      <w:pPr>
        <w:adjustRightInd w:val="0"/>
        <w:snapToGrid w:val="0"/>
        <w:spacing w:line="360" w:lineRule="auto"/>
        <w:rPr>
          <w:rFonts w:ascii="宋体" w:hAnsi="宋体"/>
          <w:bCs/>
          <w:color w:val="auto"/>
          <w:szCs w:val="21"/>
          <w:highlight w:val="none"/>
        </w:rPr>
      </w:pPr>
      <w:r>
        <w:rPr>
          <w:rFonts w:hint="eastAsia" w:ascii="宋体" w:hAnsi="宋体"/>
          <w:bCs/>
          <w:color w:val="auto"/>
          <w:szCs w:val="21"/>
          <w:highlight w:val="none"/>
        </w:rPr>
        <w:t xml:space="preserve">     （9）近3年被责令停产停业、暂扣或者吊销许可证、暂扣或者吊销执照的行政处罚；</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bCs/>
          <w:color w:val="auto"/>
          <w:szCs w:val="21"/>
          <w:highlight w:val="none"/>
        </w:rPr>
        <w:t>（10）</w:t>
      </w:r>
      <w:r>
        <w:rPr>
          <w:rFonts w:hint="eastAsia" w:ascii="宋体" w:hAnsi="宋体"/>
          <w:color w:val="auto"/>
          <w:szCs w:val="21"/>
          <w:highlight w:val="none"/>
        </w:rPr>
        <w:t>被列入严重失信被执行人名单；</w:t>
      </w:r>
    </w:p>
    <w:p>
      <w:pPr>
        <w:adjustRightInd w:val="0"/>
        <w:snapToGrid w:val="0"/>
        <w:spacing w:line="360" w:lineRule="auto"/>
        <w:ind w:firstLine="525" w:firstLineChars="250"/>
        <w:rPr>
          <w:rFonts w:ascii="宋体" w:hAnsi="宋体"/>
          <w:bCs/>
          <w:color w:val="auto"/>
          <w:szCs w:val="21"/>
          <w:highlight w:val="none"/>
        </w:rPr>
      </w:pPr>
      <w:r>
        <w:rPr>
          <w:rFonts w:hint="eastAsia" w:ascii="宋体" w:hAnsi="宋体"/>
          <w:color w:val="auto"/>
          <w:szCs w:val="21"/>
          <w:highlight w:val="none"/>
        </w:rPr>
        <w:t>（11）被列入重大税收违法案件当事人名单；</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bCs/>
          <w:color w:val="auto"/>
          <w:szCs w:val="21"/>
          <w:highlight w:val="none"/>
        </w:rPr>
        <w:t>（12）被禁止在一至三年内参加政府采购活动或存在</w:t>
      </w:r>
      <w:r>
        <w:rPr>
          <w:rFonts w:hint="eastAsia" w:ascii="宋体" w:hAnsi="宋体"/>
          <w:color w:val="auto"/>
          <w:szCs w:val="21"/>
          <w:highlight w:val="none"/>
        </w:rPr>
        <w:t>财政部门认定的其他重大违法记录；</w:t>
      </w:r>
    </w:p>
    <w:p>
      <w:pPr>
        <w:tabs>
          <w:tab w:val="left" w:pos="0"/>
        </w:tabs>
        <w:adjustRightInd w:val="0"/>
        <w:snapToGrid w:val="0"/>
        <w:spacing w:line="360" w:lineRule="auto"/>
        <w:ind w:firstLine="516" w:firstLineChars="246"/>
        <w:rPr>
          <w:rFonts w:ascii="宋体" w:hAnsi="宋体" w:cs="宋体"/>
          <w:color w:val="auto"/>
          <w:kern w:val="0"/>
          <w:szCs w:val="21"/>
          <w:highlight w:val="none"/>
        </w:rPr>
      </w:pPr>
      <w:r>
        <w:rPr>
          <w:rFonts w:hint="eastAsia" w:ascii="宋体" w:hAnsi="宋体" w:cs="宋体"/>
          <w:color w:val="auto"/>
          <w:kern w:val="0"/>
          <w:szCs w:val="21"/>
          <w:highlight w:val="none"/>
        </w:rPr>
        <w:t>（13）法律法规规定的其他情形。</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7.1.4 资格审查结果</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7.1.4.1 资格审查表应当经采购人代表签字确认。</w:t>
      </w:r>
    </w:p>
    <w:p>
      <w:pPr>
        <w:tabs>
          <w:tab w:val="left" w:pos="0"/>
        </w:tabs>
        <w:adjustRightInd w:val="0"/>
        <w:snapToGrid w:val="0"/>
        <w:spacing w:line="360" w:lineRule="auto"/>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7.1.4.2 信用查询结果的截屏资料，通过电子文件保存至U盘，作为资格审查表的附件随采购文件一起存档。</w:t>
      </w:r>
    </w:p>
    <w:p>
      <w:pPr>
        <w:spacing w:line="360" w:lineRule="auto"/>
        <w:rPr>
          <w:rFonts w:ascii="宋体" w:hAnsi="宋体"/>
          <w:b/>
          <w:color w:val="auto"/>
          <w:szCs w:val="21"/>
          <w:highlight w:val="none"/>
        </w:rPr>
      </w:pPr>
      <w:r>
        <w:rPr>
          <w:rFonts w:hint="eastAsia" w:ascii="宋体" w:hAnsi="宋体"/>
          <w:color w:val="auto"/>
          <w:szCs w:val="21"/>
          <w:highlight w:val="none"/>
        </w:rPr>
        <w:t xml:space="preserve">    </w:t>
      </w:r>
      <w:r>
        <w:rPr>
          <w:rFonts w:hint="eastAsia" w:ascii="宋体" w:hAnsi="宋体"/>
          <w:b/>
          <w:color w:val="auto"/>
          <w:szCs w:val="21"/>
          <w:highlight w:val="none"/>
        </w:rPr>
        <w:t>7.1.5 合格投标人不足3家的，不得评标。</w:t>
      </w:r>
    </w:p>
    <w:p>
      <w:pPr>
        <w:spacing w:beforeLines="50" w:afterLines="50" w:line="360" w:lineRule="auto"/>
        <w:ind w:firstLine="421"/>
        <w:outlineLvl w:val="1"/>
        <w:rPr>
          <w:rFonts w:ascii="宋体" w:hAnsi="宋体"/>
          <w:b/>
          <w:color w:val="auto"/>
          <w:szCs w:val="21"/>
          <w:highlight w:val="none"/>
        </w:rPr>
      </w:pPr>
      <w:r>
        <w:rPr>
          <w:rFonts w:hint="eastAsia" w:ascii="宋体" w:hAnsi="宋体"/>
          <w:b/>
          <w:color w:val="auto"/>
          <w:szCs w:val="21"/>
          <w:highlight w:val="none"/>
        </w:rPr>
        <w:t>7.1.6不合格的投标人，不得进入评标环节。</w:t>
      </w:r>
    </w:p>
    <w:p>
      <w:pPr>
        <w:spacing w:beforeLines="50" w:afterLines="50" w:line="360" w:lineRule="auto"/>
        <w:outlineLvl w:val="1"/>
        <w:rPr>
          <w:rFonts w:ascii="黑体" w:hAnsi="宋体" w:eastAsia="黑体"/>
          <w:b/>
          <w:color w:val="auto"/>
          <w:sz w:val="36"/>
          <w:szCs w:val="36"/>
          <w:highlight w:val="none"/>
        </w:rPr>
      </w:pPr>
      <w:r>
        <w:rPr>
          <w:rFonts w:hint="eastAsia" w:ascii="黑体" w:hAnsi="宋体" w:eastAsia="黑体"/>
          <w:b/>
          <w:color w:val="auto"/>
          <w:sz w:val="36"/>
          <w:szCs w:val="36"/>
          <w:highlight w:val="none"/>
        </w:rPr>
        <w:t>8.评标</w:t>
      </w:r>
      <w:bookmarkEnd w:id="92"/>
    </w:p>
    <w:p>
      <w:pPr>
        <w:spacing w:beforeLines="50" w:afterLines="50" w:line="360" w:lineRule="auto"/>
        <w:ind w:left="120" w:leftChars="50" w:hanging="15" w:hangingChars="5"/>
        <w:outlineLvl w:val="2"/>
        <w:rPr>
          <w:rFonts w:ascii="宋体" w:hAnsi="宋体"/>
          <w:color w:val="auto"/>
          <w:sz w:val="30"/>
          <w:szCs w:val="30"/>
          <w:highlight w:val="none"/>
        </w:rPr>
      </w:pPr>
      <w:r>
        <w:rPr>
          <w:rFonts w:hint="eastAsia" w:ascii="宋体" w:hAnsi="宋体"/>
          <w:b/>
          <w:color w:val="auto"/>
          <w:sz w:val="30"/>
          <w:szCs w:val="30"/>
          <w:highlight w:val="none"/>
        </w:rPr>
        <w:t>8.1 评标委员会</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8.1.1 评标由采购代理机构依法组建的评标委员会负责。评标委员会由采购人代表和评审专家组成，成员由5人以上单数组成。其中评审专家不得少于成员总数的三分之二。采购预算金额在1000万元以上、技术复杂的项目或者社会影响较大的项目，评标委员会成员应当为7人以上。评审专家人选在省级财政部门设立的政府采购评审专家库中随机抽取。</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对技术复杂、专业性强的采购项目，通过随机方式难以确定合适评审专家的，经主管预算单位同意，采购人或采购代理机构可以自行选定相应专业领域的评审专家。</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8.1.2 评标委员会成员到位后，推荐一名评审专家担任评标组长，并由评标组长牵头组织该项目评标工作，采购人代表，不得担任评标组长。</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8.1.3 评委会成员有下列情形之一的，应当回避：</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（1）采购人或投标人主要负责人的近亲属；</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（2）项目主管部门或者行政监督部门的人员；</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（3）与投标人有经济利益关系，可能影响对投标公正评审的；</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（3）曾因在招标、评标以及其他与招标投标有关活动中从事违法行为而受过行政处罚或刑事处罚的。</w:t>
      </w:r>
    </w:p>
    <w:p>
      <w:pPr>
        <w:autoSpaceDE w:val="0"/>
        <w:autoSpaceDN w:val="0"/>
        <w:spacing w:line="360" w:lineRule="auto"/>
        <w:ind w:firstLine="420" w:firstLineChars="200"/>
        <w:rPr>
          <w:rFonts w:ascii="宋体" w:hAnsi="宋体" w:cs="宋体"/>
          <w:color w:val="auto"/>
          <w:kern w:val="0"/>
          <w:highlight w:val="none"/>
          <w:lang w:val="zh-CN"/>
        </w:rPr>
      </w:pPr>
      <w:r>
        <w:rPr>
          <w:rFonts w:hint="eastAsia" w:ascii="宋体" w:hAnsi="宋体"/>
          <w:color w:val="auto"/>
          <w:szCs w:val="21"/>
          <w:highlight w:val="none"/>
        </w:rPr>
        <w:t xml:space="preserve">8.1.4 </w:t>
      </w:r>
      <w:r>
        <w:rPr>
          <w:rFonts w:hint="eastAsia" w:ascii="宋体" w:hAnsi="宋体" w:cs="宋体"/>
          <w:color w:val="auto"/>
          <w:kern w:val="0"/>
          <w:highlight w:val="none"/>
        </w:rPr>
        <w:t>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ascii="宋体" w:hAnsi="宋体" w:cs="宋体"/>
          <w:color w:val="auto"/>
          <w:kern w:val="0"/>
          <w:highlight w:val="none"/>
          <w:lang w:val="zh-CN"/>
        </w:rPr>
        <w:t>采购代理机构</w:t>
      </w:r>
      <w:r>
        <w:rPr>
          <w:rFonts w:hint="eastAsia" w:ascii="宋体" w:hAnsi="宋体" w:cs="宋体"/>
          <w:color w:val="auto"/>
          <w:kern w:val="0"/>
          <w:highlight w:val="none"/>
        </w:rPr>
        <w:t>应当将变更、重新组建评标委员会的情况予以记录，并随采购文件一并存档。</w:t>
      </w:r>
    </w:p>
    <w:p>
      <w:pPr>
        <w:autoSpaceDE w:val="0"/>
        <w:autoSpaceDN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8.1.5 评委会成员名单在中标结果公告前，应当保密。</w:t>
      </w:r>
    </w:p>
    <w:p>
      <w:pPr>
        <w:widowControl/>
        <w:autoSpaceDE w:val="0"/>
        <w:autoSpaceDN w:val="0"/>
        <w:spacing w:line="360" w:lineRule="auto"/>
        <w:ind w:right="51" w:firstLine="422" w:firstLineChars="200"/>
        <w:textAlignment w:val="bottom"/>
        <w:rPr>
          <w:color w:val="auto"/>
          <w:szCs w:val="21"/>
          <w:highlight w:val="none"/>
        </w:rPr>
      </w:pPr>
      <w:r>
        <w:rPr>
          <w:rFonts w:hint="eastAsia" w:ascii="宋体" w:hAnsi="宋体"/>
          <w:b/>
          <w:color w:val="auto"/>
          <w:szCs w:val="21"/>
          <w:highlight w:val="none"/>
        </w:rPr>
        <w:t xml:space="preserve">8.1.6  </w:t>
      </w:r>
      <w:r>
        <w:rPr>
          <w:b/>
          <w:color w:val="auto"/>
          <w:szCs w:val="21"/>
          <w:highlight w:val="none"/>
        </w:rPr>
        <w:t>评标委员会及其成员不得有下列行为：</w:t>
      </w:r>
    </w:p>
    <w:p>
      <w:pPr>
        <w:widowControl/>
        <w:spacing w:line="360" w:lineRule="auto"/>
        <w:jc w:val="left"/>
        <w:rPr>
          <w:rFonts w:ascii="宋体" w:hAnsi="宋体" w:cs="宋体"/>
          <w:color w:val="auto"/>
          <w:kern w:val="0"/>
          <w:szCs w:val="21"/>
          <w:highlight w:val="none"/>
        </w:rPr>
      </w:pPr>
      <w:r>
        <w:rPr>
          <w:rFonts w:hint="eastAsia" w:ascii="仿宋_GB2312" w:hAnsi="宋体" w:eastAsia="仿宋_GB2312" w:cs="宋体"/>
          <w:color w:val="auto"/>
          <w:kern w:val="0"/>
          <w:sz w:val="28"/>
          <w:szCs w:val="28"/>
          <w:highlight w:val="none"/>
        </w:rPr>
        <w:t xml:space="preserve">   </w:t>
      </w:r>
      <w:r>
        <w:rPr>
          <w:rFonts w:hint="eastAsia" w:ascii="宋体" w:hAnsi="宋体" w:cs="宋体"/>
          <w:color w:val="auto"/>
          <w:kern w:val="0"/>
          <w:szCs w:val="21"/>
          <w:highlight w:val="none"/>
        </w:rPr>
        <w:t>（1）确定参与评标至评标结束前私自接触投标人；</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（2）接受投标人提出的与投标文件不一致的澄清或者说明；</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（3）违反评标纪律发表倾向性意见或者征询采购人的倾向性意见；</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（4）对需要专业判断的主观评审因素协商评分；</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（5）在评标过程中擅离职守，影响评标程序正常进行的；</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（6）记录、复制或者带走任何评标资料；</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（7）其他不遵守评标纪律的行为。</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评标委员会成员有前款第一至五项行为之一的，其评审意见无效，并不得获取评审劳务报酬和报销异地评审差旅费。</w:t>
      </w:r>
    </w:p>
    <w:p>
      <w:pPr>
        <w:spacing w:line="360" w:lineRule="auto"/>
        <w:outlineLvl w:val="2"/>
        <w:rPr>
          <w:rFonts w:ascii="宋体" w:hAnsi="宋体"/>
          <w:color w:val="auto"/>
          <w:sz w:val="30"/>
          <w:szCs w:val="30"/>
          <w:highlight w:val="none"/>
        </w:rPr>
      </w:pPr>
      <w:r>
        <w:rPr>
          <w:rFonts w:hint="eastAsia" w:ascii="宋体" w:hAnsi="宋体"/>
          <w:b/>
          <w:color w:val="auto"/>
          <w:sz w:val="30"/>
          <w:szCs w:val="30"/>
          <w:highlight w:val="none"/>
        </w:rPr>
        <w:t>8.2 评标原则</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8.2.1“公平、公正、科学、择优”为本次评标的基本原则，评标委员会按照这一原则的要求，公正、平等地对待各投标人。同时，在评审中恪守以下原则：</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（1）统一性原则：评标委员会将按照统一的评标原则和评审方法，用统一标准进行评审。</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（2）独立性原则：评标工作在评标委员会内部独立进行，不受外界任何因素的干扰和影响。评标委员会成员对其出具的意见承担个人责任。投标</w:t>
      </w:r>
      <w:r>
        <w:rPr>
          <w:rFonts w:hint="eastAsia" w:ascii="宋体" w:hAnsi="宋体" w:cs="宋体"/>
          <w:color w:val="auto"/>
          <w:kern w:val="0"/>
          <w:szCs w:val="21"/>
          <w:highlight w:val="none"/>
        </w:rPr>
        <w:t>人试图影响或干预评审的任何行为，将导致其丧失投标的资格，并承担相应的法律责任。</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（3）客观性原则：评标委员会将严格按照招标文件要求，对投标人的投标文件进行认真评审；评标委员会对投标文件的评审仅依据投标文件本身，而不依据投标文件以外的任何因素。</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（4）保密性原则：采购代理机构应当采取必要的措施，保证评标在严格保密情况下进行。</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（5）综合性原则：评标委员会将综合分析、评审投标人的各项指标，而不以单项指标的优劣评定出中标人。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8.2.2 评标委员会有权对整个招标过程中出现的一切问题，根据《中华人民共和国政府采购法》及实施条例和《政府采购货物和服务招标投标管理办法》等相关规定进行处理。</w:t>
      </w:r>
    </w:p>
    <w:p>
      <w:pPr>
        <w:spacing w:beforeLines="50" w:afterLines="50" w:line="360" w:lineRule="auto"/>
        <w:outlineLvl w:val="2"/>
        <w:rPr>
          <w:rFonts w:ascii="宋体" w:hAnsi="宋体"/>
          <w:b/>
          <w:color w:val="auto"/>
          <w:sz w:val="30"/>
          <w:szCs w:val="30"/>
          <w:highlight w:val="none"/>
        </w:rPr>
      </w:pPr>
      <w:bookmarkStart w:id="93" w:name="_Toc217446060"/>
      <w:r>
        <w:rPr>
          <w:rFonts w:hint="eastAsia" w:ascii="宋体" w:hAnsi="宋体"/>
          <w:b/>
          <w:color w:val="auto"/>
          <w:sz w:val="30"/>
          <w:szCs w:val="30"/>
          <w:highlight w:val="none"/>
        </w:rPr>
        <w:t>8.3 评标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8.3.1 评标委员会按照招标文件第三章“评标办法”规定的方法、评审因素、标准和程序对投标文件进行评审。第三章“评标办法”没有规定的方法、评审因素和标准，不作为评标依据。</w:t>
      </w:r>
    </w:p>
    <w:p>
      <w:pPr>
        <w:pStyle w:val="51"/>
        <w:spacing w:line="360" w:lineRule="auto"/>
        <w:ind w:firstLine="420" w:firstLineChars="200"/>
        <w:rPr>
          <w:rFonts w:ascii="宋体" w:hAnsi="宋体"/>
          <w:color w:val="auto"/>
          <w:highlight w:val="none"/>
        </w:rPr>
      </w:pPr>
      <w:r>
        <w:rPr>
          <w:rFonts w:hint="eastAsia" w:ascii="宋体" w:hAnsi="宋体"/>
          <w:color w:val="auto"/>
          <w:highlight w:val="none"/>
        </w:rPr>
        <w:t>8.3.2 评标委员会</w:t>
      </w:r>
      <w:r>
        <w:rPr>
          <w:rFonts w:ascii="宋体" w:hAnsi="宋体"/>
          <w:color w:val="auto"/>
          <w:highlight w:val="none"/>
        </w:rPr>
        <w:t>负责具体评标事务，并独立履行下列职责：</w:t>
      </w:r>
    </w:p>
    <w:p>
      <w:pPr>
        <w:pStyle w:val="51"/>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）审查、评价投标文件是否符合招标文件的商务、技术、服务等实质性要求；</w:t>
      </w:r>
    </w:p>
    <w:p>
      <w:pPr>
        <w:pStyle w:val="51"/>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）要求投标</w:t>
      </w:r>
      <w:r>
        <w:rPr>
          <w:rFonts w:hint="eastAsia" w:ascii="宋体" w:hAnsi="宋体"/>
          <w:color w:val="auto"/>
          <w:highlight w:val="none"/>
        </w:rPr>
        <w:t>人</w:t>
      </w:r>
      <w:r>
        <w:rPr>
          <w:rFonts w:ascii="宋体" w:hAnsi="宋体"/>
          <w:color w:val="auto"/>
          <w:highlight w:val="none"/>
        </w:rPr>
        <w:t>对投标文件有关事项作出澄清或者说明；</w:t>
      </w:r>
    </w:p>
    <w:p>
      <w:pPr>
        <w:pStyle w:val="51"/>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）对投标文件进行比较和评价；</w:t>
      </w:r>
    </w:p>
    <w:p>
      <w:pPr>
        <w:pStyle w:val="51"/>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确定</w:t>
      </w:r>
      <w:r>
        <w:rPr>
          <w:rFonts w:ascii="宋体" w:hAnsi="宋体"/>
          <w:color w:val="auto"/>
          <w:highlight w:val="none"/>
        </w:rPr>
        <w:t>中标候选人名单，</w:t>
      </w:r>
      <w:r>
        <w:rPr>
          <w:rFonts w:hint="eastAsia" w:ascii="宋体" w:hAnsi="宋体"/>
          <w:color w:val="auto"/>
          <w:highlight w:val="none"/>
        </w:rPr>
        <w:t>以及</w:t>
      </w:r>
      <w:r>
        <w:rPr>
          <w:rFonts w:ascii="宋体" w:hAnsi="宋体"/>
          <w:color w:val="auto"/>
          <w:highlight w:val="none"/>
        </w:rPr>
        <w:t>根据采购人委托直接确定中标</w:t>
      </w:r>
      <w:r>
        <w:rPr>
          <w:rFonts w:hint="eastAsia" w:ascii="宋体" w:hAnsi="宋体"/>
          <w:color w:val="auto"/>
          <w:highlight w:val="none"/>
        </w:rPr>
        <w:t>人</w:t>
      </w:r>
      <w:r>
        <w:rPr>
          <w:rFonts w:ascii="宋体" w:hAnsi="宋体"/>
          <w:color w:val="auto"/>
          <w:highlight w:val="none"/>
        </w:rPr>
        <w:t>；</w:t>
      </w:r>
    </w:p>
    <w:p>
      <w:pPr>
        <w:pStyle w:val="51"/>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5</w:t>
      </w:r>
      <w:r>
        <w:rPr>
          <w:rFonts w:ascii="宋体" w:hAnsi="宋体"/>
          <w:color w:val="auto"/>
          <w:highlight w:val="none"/>
        </w:rPr>
        <w:t>）向采购人、采购代理机构或者有关部门报告评标中发现的违法行为。</w:t>
      </w:r>
    </w:p>
    <w:p>
      <w:pPr>
        <w:pStyle w:val="25"/>
        <w:snapToGrid w:val="0"/>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8.3.3评标委员会成员应当履行下列义务：</w:t>
      </w:r>
    </w:p>
    <w:p>
      <w:pPr>
        <w:pStyle w:val="25"/>
        <w:snapToGrid w:val="0"/>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（1）遵纪守法，客观、公正、廉洁地履行职责；</w:t>
      </w:r>
    </w:p>
    <w:p>
      <w:pPr>
        <w:pStyle w:val="25"/>
        <w:snapToGrid w:val="0"/>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（2）根据采购文件的规定独立进行评审，对个人的评审意见承担法律责任；</w:t>
      </w:r>
    </w:p>
    <w:p>
      <w:pPr>
        <w:pStyle w:val="25"/>
        <w:snapToGrid w:val="0"/>
        <w:spacing w:before="0" w:beforeAutospacing="0" w:after="0" w:afterAutospacing="0" w:line="360" w:lineRule="auto"/>
        <w:rPr>
          <w:color w:val="auto"/>
          <w:sz w:val="21"/>
          <w:szCs w:val="21"/>
          <w:highlight w:val="none"/>
        </w:rPr>
      </w:pPr>
      <w:r>
        <w:rPr>
          <w:rFonts w:hint="eastAsia"/>
          <w:color w:val="auto"/>
          <w:sz w:val="21"/>
          <w:szCs w:val="21"/>
          <w:highlight w:val="none"/>
        </w:rPr>
        <w:t>　　（3）参与评标报告的起草；</w:t>
      </w:r>
    </w:p>
    <w:p>
      <w:pPr>
        <w:pStyle w:val="25"/>
        <w:snapToGrid w:val="0"/>
        <w:spacing w:before="0" w:beforeAutospacing="0" w:after="0" w:afterAutospacing="0" w:line="360" w:lineRule="auto"/>
        <w:rPr>
          <w:color w:val="auto"/>
          <w:sz w:val="21"/>
          <w:szCs w:val="21"/>
          <w:highlight w:val="none"/>
        </w:rPr>
      </w:pPr>
      <w:r>
        <w:rPr>
          <w:rFonts w:hint="eastAsia"/>
          <w:color w:val="auto"/>
          <w:sz w:val="21"/>
          <w:szCs w:val="21"/>
          <w:highlight w:val="none"/>
        </w:rPr>
        <w:t>　　（4）配合采购人、采购代理机构答复投标人提出的质疑；</w:t>
      </w:r>
    </w:p>
    <w:p>
      <w:pPr>
        <w:pStyle w:val="25"/>
        <w:snapToGrid w:val="0"/>
        <w:spacing w:before="0" w:beforeAutospacing="0" w:after="0" w:afterAutospacing="0" w:line="360" w:lineRule="auto"/>
        <w:rPr>
          <w:color w:val="auto"/>
          <w:sz w:val="21"/>
          <w:szCs w:val="21"/>
          <w:highlight w:val="none"/>
        </w:rPr>
      </w:pPr>
      <w:r>
        <w:rPr>
          <w:rFonts w:hint="eastAsia"/>
          <w:color w:val="auto"/>
          <w:sz w:val="21"/>
          <w:szCs w:val="21"/>
          <w:highlight w:val="none"/>
        </w:rPr>
        <w:t>　　（5）配合财政部门的投诉处理和监督检查工作。</w:t>
      </w:r>
    </w:p>
    <w:p>
      <w:pPr>
        <w:pStyle w:val="51"/>
        <w:spacing w:line="360" w:lineRule="auto"/>
        <w:ind w:firstLine="420" w:firstLineChars="200"/>
        <w:rPr>
          <w:rFonts w:ascii="宋体" w:hAnsi="宋体"/>
          <w:color w:val="auto"/>
          <w:highlight w:val="none"/>
        </w:rPr>
      </w:pPr>
      <w:r>
        <w:rPr>
          <w:rFonts w:hint="eastAsia" w:ascii="宋体" w:hAnsi="宋体"/>
          <w:color w:val="auto"/>
          <w:highlight w:val="none"/>
        </w:rPr>
        <w:t xml:space="preserve">8.3.4 </w:t>
      </w:r>
      <w:r>
        <w:rPr>
          <w:rFonts w:ascii="宋体" w:hAnsi="宋体"/>
          <w:color w:val="auto"/>
          <w:highlight w:val="none"/>
        </w:rPr>
        <w:t>采购代理机构负责组织评标工作并履行下列职责：</w:t>
      </w:r>
    </w:p>
    <w:p>
      <w:pPr>
        <w:widowControl/>
        <w:spacing w:line="360" w:lineRule="auto"/>
        <w:ind w:firstLine="420" w:firstLineChars="200"/>
        <w:jc w:val="left"/>
        <w:rPr>
          <w:rFonts w:ascii="宋体" w:hAnsi="宋体"/>
          <w:bCs/>
          <w:color w:val="auto"/>
          <w:szCs w:val="21"/>
          <w:highlight w:val="none"/>
        </w:rPr>
      </w:pPr>
      <w:r>
        <w:rPr>
          <w:rFonts w:ascii="宋体" w:hAnsi="宋体"/>
          <w:bCs/>
          <w:color w:val="auto"/>
          <w:szCs w:val="21"/>
          <w:highlight w:val="none"/>
        </w:rPr>
        <w:t>（</w:t>
      </w:r>
      <w:r>
        <w:rPr>
          <w:rFonts w:hint="eastAsia" w:ascii="宋体" w:hAnsi="宋体"/>
          <w:bCs/>
          <w:color w:val="auto"/>
          <w:szCs w:val="21"/>
          <w:highlight w:val="none"/>
        </w:rPr>
        <w:t>1</w:t>
      </w:r>
      <w:r>
        <w:rPr>
          <w:rFonts w:ascii="宋体" w:hAnsi="宋体"/>
          <w:bCs/>
          <w:color w:val="auto"/>
          <w:szCs w:val="21"/>
          <w:highlight w:val="none"/>
        </w:rPr>
        <w:t>）</w:t>
      </w:r>
      <w:r>
        <w:rPr>
          <w:rFonts w:hint="eastAsia" w:ascii="宋体" w:hAnsi="宋体"/>
          <w:color w:val="auto"/>
          <w:kern w:val="0"/>
          <w:szCs w:val="21"/>
          <w:highlight w:val="none"/>
        </w:rPr>
        <w:t>核对评审专家身份和采购人代表授权函，对评审专家在政府采购活动中的职责履行情况予以记录，并及时将有关违法违规行为向财政部门报告；</w:t>
      </w:r>
    </w:p>
    <w:p>
      <w:pPr>
        <w:pStyle w:val="51"/>
        <w:spacing w:line="360" w:lineRule="auto"/>
        <w:ind w:firstLine="420" w:firstLineChars="200"/>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2</w:t>
      </w:r>
      <w:r>
        <w:rPr>
          <w:rFonts w:ascii="宋体" w:hAnsi="宋体"/>
          <w:bCs/>
          <w:color w:val="auto"/>
          <w:highlight w:val="none"/>
        </w:rPr>
        <w:t>）宣布评标纪律</w:t>
      </w:r>
      <w:r>
        <w:rPr>
          <w:rFonts w:hint="eastAsia" w:ascii="宋体" w:hAnsi="宋体"/>
          <w:bCs/>
          <w:color w:val="auto"/>
          <w:highlight w:val="none"/>
        </w:rPr>
        <w:t>和开启录音录像设备</w:t>
      </w:r>
      <w:r>
        <w:rPr>
          <w:rFonts w:ascii="宋体" w:hAnsi="宋体"/>
          <w:bCs/>
          <w:color w:val="auto"/>
          <w:highlight w:val="none"/>
        </w:rPr>
        <w:t>；</w:t>
      </w:r>
    </w:p>
    <w:p>
      <w:pPr>
        <w:pStyle w:val="51"/>
        <w:spacing w:line="360" w:lineRule="auto"/>
        <w:ind w:firstLine="420" w:firstLineChars="200"/>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3</w:t>
      </w:r>
      <w:r>
        <w:rPr>
          <w:rFonts w:ascii="宋体" w:hAnsi="宋体"/>
          <w:bCs/>
          <w:color w:val="auto"/>
          <w:highlight w:val="none"/>
        </w:rPr>
        <w:t>）公布投标</w:t>
      </w:r>
      <w:r>
        <w:rPr>
          <w:rFonts w:hint="eastAsia" w:ascii="宋体" w:hAnsi="宋体"/>
          <w:bCs/>
          <w:color w:val="auto"/>
          <w:highlight w:val="none"/>
        </w:rPr>
        <w:t>人</w:t>
      </w:r>
      <w:r>
        <w:rPr>
          <w:rFonts w:ascii="宋体" w:hAnsi="宋体"/>
          <w:bCs/>
          <w:color w:val="auto"/>
          <w:highlight w:val="none"/>
        </w:rPr>
        <w:t>名单，告知评标专家应当回避的情形；</w:t>
      </w:r>
    </w:p>
    <w:p>
      <w:pPr>
        <w:pStyle w:val="51"/>
        <w:spacing w:line="360" w:lineRule="auto"/>
        <w:ind w:firstLine="420" w:firstLineChars="200"/>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4</w:t>
      </w:r>
      <w:r>
        <w:rPr>
          <w:rFonts w:ascii="宋体" w:hAnsi="宋体"/>
          <w:bCs/>
          <w:color w:val="auto"/>
          <w:highlight w:val="none"/>
        </w:rPr>
        <w:t>）组织评标委员会推选评标组长，采购人代表不得担任组长；</w:t>
      </w:r>
    </w:p>
    <w:p>
      <w:pPr>
        <w:widowControl/>
        <w:spacing w:line="360" w:lineRule="auto"/>
        <w:ind w:firstLine="420" w:firstLineChars="200"/>
        <w:jc w:val="left"/>
        <w:rPr>
          <w:rFonts w:ascii="宋体" w:hAnsi="宋体" w:cs="宋体"/>
          <w:color w:val="auto"/>
          <w:kern w:val="0"/>
          <w:szCs w:val="21"/>
          <w:highlight w:val="none"/>
        </w:rPr>
      </w:pPr>
      <w:r>
        <w:rPr>
          <w:rFonts w:ascii="宋体" w:hAnsi="宋体"/>
          <w:bCs/>
          <w:color w:val="auto"/>
          <w:szCs w:val="21"/>
          <w:highlight w:val="none"/>
        </w:rPr>
        <w:t>（</w:t>
      </w:r>
      <w:r>
        <w:rPr>
          <w:rFonts w:hint="eastAsia" w:ascii="宋体" w:hAnsi="宋体"/>
          <w:bCs/>
          <w:color w:val="auto"/>
          <w:szCs w:val="21"/>
          <w:highlight w:val="none"/>
        </w:rPr>
        <w:t>5</w:t>
      </w:r>
      <w:r>
        <w:rPr>
          <w:rFonts w:ascii="宋体" w:hAnsi="宋体"/>
          <w:bCs/>
          <w:color w:val="auto"/>
          <w:szCs w:val="21"/>
          <w:highlight w:val="none"/>
        </w:rPr>
        <w:t>）</w:t>
      </w:r>
      <w:r>
        <w:rPr>
          <w:rFonts w:hint="eastAsia" w:ascii="宋体" w:hAnsi="宋体" w:cs="宋体"/>
          <w:color w:val="auto"/>
          <w:kern w:val="0"/>
          <w:szCs w:val="21"/>
          <w:highlight w:val="none"/>
        </w:rPr>
        <w:t>在评标期间采取必要的通讯管理措施，保证评标活动不受外界干扰；</w:t>
      </w:r>
    </w:p>
    <w:p>
      <w:pPr>
        <w:pStyle w:val="51"/>
        <w:spacing w:line="360" w:lineRule="auto"/>
        <w:ind w:firstLine="420" w:firstLineChars="200"/>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6</w:t>
      </w:r>
      <w:r>
        <w:rPr>
          <w:rFonts w:ascii="宋体" w:hAnsi="宋体"/>
          <w:bCs/>
          <w:color w:val="auto"/>
          <w:highlight w:val="none"/>
        </w:rPr>
        <w:t>）根据评标委员会的要求介绍政府采购相关政策法规、招标文件；</w:t>
      </w:r>
    </w:p>
    <w:p>
      <w:pPr>
        <w:pStyle w:val="51"/>
        <w:spacing w:line="360" w:lineRule="auto"/>
        <w:ind w:firstLine="420" w:firstLineChars="200"/>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7</w:t>
      </w:r>
      <w:r>
        <w:rPr>
          <w:rFonts w:ascii="宋体" w:hAnsi="宋体"/>
          <w:bCs/>
          <w:color w:val="auto"/>
          <w:highlight w:val="none"/>
        </w:rPr>
        <w:t>）维护评标秩序，监督评标委员会依照评标文件规定的评审程序、方法和标准进行独立评审，及时制止和纠正采购人代表、评审专家的倾向性言论或违法违规行为</w:t>
      </w:r>
      <w:r>
        <w:rPr>
          <w:rFonts w:hint="eastAsia" w:ascii="宋体" w:hAnsi="宋体"/>
          <w:bCs/>
          <w:color w:val="auto"/>
          <w:highlight w:val="none"/>
        </w:rPr>
        <w:t xml:space="preserve">； </w:t>
      </w:r>
    </w:p>
    <w:p>
      <w:pPr>
        <w:pStyle w:val="51"/>
        <w:spacing w:line="360" w:lineRule="auto"/>
        <w:ind w:firstLine="420" w:firstLineChars="200"/>
        <w:rPr>
          <w:rFonts w:ascii="宋体" w:hAnsi="宋体"/>
          <w:bCs/>
          <w:color w:val="auto"/>
          <w:highlight w:val="none"/>
        </w:rPr>
      </w:pPr>
      <w:r>
        <w:rPr>
          <w:rFonts w:ascii="宋体" w:hAnsi="宋体"/>
          <w:bCs/>
          <w:color w:val="auto"/>
          <w:highlight w:val="none"/>
        </w:rPr>
        <w:t>（</w:t>
      </w:r>
      <w:r>
        <w:rPr>
          <w:rFonts w:hint="eastAsia" w:ascii="宋体" w:hAnsi="宋体"/>
          <w:bCs/>
          <w:color w:val="auto"/>
          <w:highlight w:val="none"/>
        </w:rPr>
        <w:t>8</w:t>
      </w:r>
      <w:r>
        <w:rPr>
          <w:rFonts w:ascii="宋体" w:hAnsi="宋体"/>
          <w:bCs/>
          <w:color w:val="auto"/>
          <w:highlight w:val="none"/>
        </w:rPr>
        <w:t>）核对评标结果，有</w:t>
      </w:r>
      <w:r>
        <w:rPr>
          <w:rFonts w:hint="eastAsia" w:ascii="宋体" w:hAnsi="宋体"/>
          <w:bCs/>
          <w:color w:val="auto"/>
          <w:highlight w:val="none"/>
        </w:rPr>
        <w:t>《政府采购货物和服务招标投标管理办法》</w:t>
      </w:r>
      <w:r>
        <w:rPr>
          <w:rFonts w:ascii="宋体" w:hAnsi="宋体"/>
          <w:bCs/>
          <w:color w:val="auto"/>
          <w:highlight w:val="none"/>
        </w:rPr>
        <w:t>第</w:t>
      </w:r>
      <w:r>
        <w:rPr>
          <w:rFonts w:hint="eastAsia" w:ascii="宋体" w:hAnsi="宋体"/>
          <w:bCs/>
          <w:color w:val="auto"/>
          <w:highlight w:val="none"/>
        </w:rPr>
        <w:t>六十四</w:t>
      </w:r>
      <w:r>
        <w:rPr>
          <w:rFonts w:ascii="宋体" w:hAnsi="宋体"/>
          <w:bCs/>
          <w:color w:val="auto"/>
          <w:highlight w:val="none"/>
        </w:rPr>
        <w:t>条规定情形的，要求评标委员会复核或书面说明理由，评标委员会拒绝的，应予记录并向本级财政部门报告；</w:t>
      </w:r>
    </w:p>
    <w:p>
      <w:pPr>
        <w:widowControl/>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（9）</w:t>
      </w:r>
      <w:r>
        <w:rPr>
          <w:rFonts w:hint="eastAsia" w:ascii="宋体" w:hAnsi="宋体"/>
          <w:color w:val="auto"/>
          <w:kern w:val="0"/>
          <w:szCs w:val="21"/>
          <w:highlight w:val="none"/>
        </w:rPr>
        <w:t>评审工作完成后，按照规定向评审专家支付劳务报酬和异地评审差旅费，不得向评审专家以外的其他人员支付评审劳务报酬；</w:t>
      </w:r>
    </w:p>
    <w:p>
      <w:pPr>
        <w:spacing w:line="360" w:lineRule="auto"/>
        <w:ind w:firstLine="441" w:firstLineChars="21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10</w:t>
      </w:r>
      <w:r>
        <w:rPr>
          <w:rFonts w:ascii="宋体" w:hAnsi="宋体"/>
          <w:color w:val="auto"/>
          <w:szCs w:val="21"/>
          <w:highlight w:val="none"/>
        </w:rPr>
        <w:t>）处理与评标有关的其他事项。</w:t>
      </w:r>
    </w:p>
    <w:p>
      <w:pPr>
        <w:spacing w:line="360" w:lineRule="auto"/>
        <w:ind w:firstLine="441" w:firstLineChars="210"/>
        <w:rPr>
          <w:rFonts w:ascii="宋体" w:hAnsi="宋体"/>
          <w:color w:val="auto"/>
          <w:szCs w:val="21"/>
          <w:highlight w:val="none"/>
        </w:rPr>
      </w:pPr>
      <w:r>
        <w:rPr>
          <w:rFonts w:hint="eastAsia" w:ascii="宋体" w:hAnsi="宋体"/>
          <w:color w:val="auto"/>
          <w:szCs w:val="21"/>
          <w:highlight w:val="none"/>
        </w:rPr>
        <w:t xml:space="preserve">8.3.5 </w:t>
      </w:r>
      <w:r>
        <w:rPr>
          <w:rFonts w:ascii="宋体" w:hAnsi="宋体"/>
          <w:color w:val="auto"/>
          <w:szCs w:val="21"/>
          <w:highlight w:val="none"/>
        </w:rPr>
        <w:t>采购人可以在评标前介绍项目背景和采购需求，介绍内容不得含有歧视性、倾向性意见，不得超出招标文件所述范围。介绍应当提交书面介绍材料，并随采购文件一并存档。</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8.3.6 评标过程严格保密</w:t>
      </w:r>
    </w:p>
    <w:p>
      <w:pPr>
        <w:autoSpaceDE w:val="0"/>
        <w:autoSpaceDN w:val="0"/>
        <w:spacing w:line="360" w:lineRule="auto"/>
        <w:ind w:firstLine="630" w:firstLineChars="300"/>
        <w:rPr>
          <w:rFonts w:ascii="宋体" w:hAnsi="宋体" w:cs="宋体"/>
          <w:color w:val="auto"/>
          <w:kern w:val="0"/>
          <w:highlight w:val="none"/>
        </w:rPr>
      </w:pPr>
      <w:r>
        <w:rPr>
          <w:rFonts w:hint="eastAsia" w:ascii="宋体" w:hAnsi="宋体"/>
          <w:color w:val="auto"/>
          <w:szCs w:val="21"/>
          <w:highlight w:val="none"/>
        </w:rPr>
        <w:t xml:space="preserve">8.3.6.1 </w:t>
      </w:r>
      <w:r>
        <w:rPr>
          <w:rFonts w:hint="eastAsia" w:ascii="宋体" w:hAnsi="宋体" w:cs="宋体"/>
          <w:color w:val="auto"/>
          <w:kern w:val="0"/>
          <w:highlight w:val="none"/>
        </w:rPr>
        <w:t>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630" w:firstLineChars="300"/>
        <w:rPr>
          <w:rFonts w:ascii="宋体" w:hAnsi="宋体"/>
          <w:color w:val="auto"/>
          <w:szCs w:val="21"/>
          <w:highlight w:val="none"/>
        </w:rPr>
      </w:pPr>
      <w:r>
        <w:rPr>
          <w:rFonts w:hint="eastAsia" w:ascii="宋体" w:hAnsi="宋体" w:cs="宋体"/>
          <w:color w:val="auto"/>
          <w:kern w:val="0"/>
          <w:highlight w:val="none"/>
        </w:rPr>
        <w:t>8.3.6.2 有关人员对评标情况以及在评标过程中获悉的国家秘密、商业秘密负有保密责任。</w:t>
      </w:r>
      <w:r>
        <w:rPr>
          <w:rFonts w:hint="eastAsia" w:ascii="宋体" w:hAnsi="宋体"/>
          <w:color w:val="auto"/>
          <w:szCs w:val="21"/>
          <w:highlight w:val="none"/>
        </w:rPr>
        <w:t>开标后，直至授予中标人合同为止，凡属于对投标文件的审查、澄清、评价和比较的有关资料以及中标候选人的推荐情况，与评标有关的其他任何情况均严格保密。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8.3.7 投标人对评标委员会的评标过程或合同授予决定施加影响的任何行为都可能导致其投标被拒绝。</w:t>
      </w:r>
    </w:p>
    <w:p>
      <w:pPr>
        <w:tabs>
          <w:tab w:val="left" w:pos="426"/>
        </w:tabs>
        <w:spacing w:line="360" w:lineRule="auto"/>
        <w:rPr>
          <w:rFonts w:ascii="宋体" w:hAnsi="宋体"/>
          <w:color w:val="auto"/>
          <w:szCs w:val="21"/>
          <w:highlight w:val="none"/>
        </w:rPr>
      </w:pPr>
      <w:r>
        <w:rPr>
          <w:rFonts w:hint="eastAsia" w:ascii="宋体" w:hAnsi="宋体"/>
          <w:color w:val="auto"/>
          <w:szCs w:val="21"/>
          <w:highlight w:val="none"/>
        </w:rPr>
        <w:t xml:space="preserve">    8.3.8 评标完成后，评标委员会应当向采购人提交书面评标报告，并由采购代理机构转送。</w:t>
      </w:r>
    </w:p>
    <w:bookmarkEnd w:id="93"/>
    <w:p>
      <w:pPr>
        <w:spacing w:beforeLines="50" w:afterLines="50" w:line="360" w:lineRule="auto"/>
        <w:outlineLvl w:val="1"/>
        <w:rPr>
          <w:rFonts w:ascii="黑体" w:hAnsi="宋体" w:eastAsia="黑体"/>
          <w:b/>
          <w:color w:val="auto"/>
          <w:sz w:val="36"/>
          <w:szCs w:val="36"/>
          <w:highlight w:val="none"/>
        </w:rPr>
      </w:pPr>
      <w:bookmarkStart w:id="94" w:name="_Toc20140"/>
      <w:r>
        <w:rPr>
          <w:rFonts w:hint="eastAsia" w:ascii="黑体" w:hAnsi="宋体" w:eastAsia="黑体"/>
          <w:b/>
          <w:color w:val="auto"/>
          <w:sz w:val="36"/>
          <w:szCs w:val="36"/>
          <w:highlight w:val="none"/>
        </w:rPr>
        <w:t>9.定标</w:t>
      </w:r>
      <w:bookmarkEnd w:id="94"/>
      <w:bookmarkStart w:id="95" w:name="_Toc217446061"/>
    </w:p>
    <w:p>
      <w:pPr>
        <w:spacing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9.1 定标原则</w:t>
      </w:r>
      <w:bookmarkEnd w:id="95"/>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采购人或其授权的评标委员会按照评标报告中推荐的中标候选人名单，按顺序确定1名中标人。</w:t>
      </w:r>
      <w:bookmarkStart w:id="96" w:name="_Toc217446062"/>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9.2 定标程序</w:t>
      </w:r>
      <w:bookmarkEnd w:id="9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9.2.1评标委员会将评标情况写出书面报告，推荐3个中标候选人，并按照综合得分高低标明排列顺序。得分相同的，按投标报价由低到高顺序排列；得分且投标报价相同的并列。</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9.2.2 采购代理机构在评标结束后2个工作日内将评标报告送采购人。</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9.2.3 采购人应当在收到评标报告后5个工作日内，按照评标报告中推荐的中标候选人顺序和有关规定确定中标人，第一名中标候选人并列的，由采购人根据技术方案得分由高到低顺序确定。同时，复函采购代理机构。</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shd w:val="clear" w:color="auto" w:fill="FFFFFF"/>
        </w:rPr>
        <w:t>采购人在收到评标报告5个工作日内未按评标报告推荐的中标候选人顺序确定中标人，又不能说明合法理由的，视同按评标报告推荐的顺序确定排名第一的中标候选人为中标人。</w:t>
      </w:r>
    </w:p>
    <w:p>
      <w:pPr>
        <w:spacing w:line="360" w:lineRule="auto"/>
        <w:ind w:firstLine="367" w:firstLineChars="175"/>
        <w:rPr>
          <w:rFonts w:ascii="宋体" w:hAnsi="宋体"/>
          <w:color w:val="auto"/>
          <w:szCs w:val="21"/>
          <w:highlight w:val="none"/>
        </w:rPr>
      </w:pPr>
      <w:r>
        <w:rPr>
          <w:rFonts w:hint="eastAsia" w:ascii="宋体" w:hAnsi="宋体"/>
          <w:color w:val="auto"/>
          <w:szCs w:val="21"/>
          <w:highlight w:val="none"/>
        </w:rPr>
        <w:t>9.2.4 采购代理机构应当在接到采购人“定标”复函之日起2个工作日内，根据采购人确定的中标人，在省级以上财政部门指定的媒体上发布中标公告，同时向中标人发出《中标通知书》。</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9.2.5 采购代理机构，应当</w:t>
      </w:r>
      <w:r>
        <w:rPr>
          <w:rFonts w:hint="eastAsia" w:ascii="宋体" w:hAnsi="宋体" w:cs="宋体"/>
          <w:color w:val="auto"/>
          <w:kern w:val="0"/>
          <w:szCs w:val="21"/>
          <w:highlight w:val="none"/>
        </w:rPr>
        <w:t>对未通过资格审查或未通符合性审查的投标人，告知其未通过的原因；采用综合评分法评审的，还应当告知未中标人本身的评审得分与排序。</w:t>
      </w:r>
    </w:p>
    <w:p>
      <w:pPr>
        <w:spacing w:beforeLines="50" w:afterLines="50" w:line="360" w:lineRule="auto"/>
        <w:outlineLvl w:val="2"/>
        <w:rPr>
          <w:rFonts w:ascii="宋体" w:hAnsi="宋体"/>
          <w:b/>
          <w:color w:val="auto"/>
          <w:sz w:val="30"/>
          <w:szCs w:val="30"/>
          <w:highlight w:val="none"/>
        </w:rPr>
      </w:pPr>
      <w:bookmarkStart w:id="97" w:name="_Toc183582238"/>
      <w:bookmarkStart w:id="98" w:name="_Toc183682375"/>
      <w:bookmarkStart w:id="99" w:name="_Toc217446063"/>
      <w:r>
        <w:rPr>
          <w:rFonts w:hint="eastAsia" w:ascii="宋体" w:hAnsi="宋体"/>
          <w:b/>
          <w:bCs/>
          <w:color w:val="auto"/>
          <w:sz w:val="30"/>
          <w:szCs w:val="30"/>
          <w:highlight w:val="none"/>
        </w:rPr>
        <w:t>9.3 中标通知</w:t>
      </w:r>
      <w:bookmarkEnd w:id="97"/>
      <w:bookmarkEnd w:id="98"/>
      <w:r>
        <w:rPr>
          <w:rFonts w:hint="eastAsia" w:ascii="宋体" w:hAnsi="宋体"/>
          <w:b/>
          <w:bCs/>
          <w:color w:val="auto"/>
          <w:sz w:val="30"/>
          <w:szCs w:val="30"/>
          <w:highlight w:val="none"/>
        </w:rPr>
        <w:t>书</w:t>
      </w:r>
      <w:bookmarkEnd w:id="99"/>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9.3</w:t>
      </w:r>
      <w:r>
        <w:rPr>
          <w:rFonts w:hint="eastAsia" w:ascii="宋体" w:hAnsi="宋体"/>
          <w:b/>
          <w:bCs/>
          <w:color w:val="auto"/>
          <w:szCs w:val="21"/>
          <w:highlight w:val="none"/>
        </w:rPr>
        <w:t>.</w:t>
      </w:r>
      <w:r>
        <w:rPr>
          <w:rFonts w:hint="eastAsia" w:ascii="宋体" w:hAnsi="宋体"/>
          <w:color w:val="auto"/>
          <w:szCs w:val="21"/>
          <w:highlight w:val="none"/>
        </w:rPr>
        <w:t>1 中标通知书为签订政府采购合同的依据之一，是合同的有效组成部分。</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9.3.2 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9.3.3 中标人应当在接到采购代理机构通知之日起2个工作日内领取《中标通知书》。</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9.3.4 在《中标通知书》发出后，发现中标人有政府采购法律法规规章制度规定的中标无效情形的，采购代理机构应当宣布发出的中标通知书无效，并收回发出的中标通知书（中标人也应当交回），依法重新确定中标人或者重新开展采购活动，同时向同级财政部门报告。</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9.3.5 </w:t>
      </w:r>
      <w:r>
        <w:rPr>
          <w:rFonts w:hint="eastAsia" w:ascii="宋体" w:hAnsi="宋体"/>
          <w:color w:val="auto"/>
          <w:szCs w:val="21"/>
          <w:highlight w:val="none"/>
          <w:shd w:val="clear" w:color="auto" w:fill="FFFFFF"/>
        </w:rPr>
        <w:t>中标通知书发出后，采购人不得违法改变中标结果，中标人无正当理由不得放弃中标。</w:t>
      </w:r>
    </w:p>
    <w:p>
      <w:pPr>
        <w:tabs>
          <w:tab w:val="left" w:pos="7665"/>
        </w:tabs>
        <w:spacing w:beforeLines="100" w:afterLines="100"/>
        <w:outlineLvl w:val="1"/>
        <w:rPr>
          <w:rFonts w:ascii="黑体" w:eastAsia="黑体"/>
          <w:b/>
          <w:color w:val="auto"/>
          <w:sz w:val="36"/>
          <w:szCs w:val="36"/>
          <w:highlight w:val="none"/>
        </w:rPr>
      </w:pPr>
      <w:bookmarkStart w:id="100" w:name="_Toc19233"/>
      <w:r>
        <w:rPr>
          <w:rFonts w:hint="eastAsia" w:ascii="黑体" w:eastAsia="黑体"/>
          <w:b/>
          <w:color w:val="auto"/>
          <w:sz w:val="36"/>
          <w:szCs w:val="36"/>
          <w:highlight w:val="none"/>
        </w:rPr>
        <w:t>10.合同授予</w:t>
      </w:r>
      <w:bookmarkEnd w:id="100"/>
    </w:p>
    <w:p>
      <w:pPr>
        <w:tabs>
          <w:tab w:val="left" w:pos="7665"/>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10.1 履约保证金</w:t>
      </w:r>
    </w:p>
    <w:p>
      <w:pPr>
        <w:tabs>
          <w:tab w:val="left" w:pos="7665"/>
        </w:tabs>
        <w:spacing w:line="360" w:lineRule="auto"/>
        <w:ind w:firstLine="482"/>
        <w:rPr>
          <w:rFonts w:ascii="宋体" w:hAnsi="宋体"/>
          <w:color w:val="auto"/>
          <w:szCs w:val="21"/>
          <w:highlight w:val="none"/>
        </w:rPr>
      </w:pPr>
      <w:r>
        <w:rPr>
          <w:rFonts w:hint="eastAsia" w:ascii="宋体" w:hAnsi="宋体"/>
          <w:color w:val="auto"/>
          <w:szCs w:val="21"/>
          <w:highlight w:val="none"/>
        </w:rPr>
        <w:t>10.1.1 本项目需要提交履约保证金的，适用本条。</w:t>
      </w:r>
    </w:p>
    <w:p>
      <w:pPr>
        <w:tabs>
          <w:tab w:val="left" w:pos="7665"/>
        </w:tabs>
        <w:spacing w:line="360" w:lineRule="auto"/>
        <w:ind w:firstLine="482"/>
        <w:rPr>
          <w:rFonts w:ascii="宋体" w:hAnsi="宋体"/>
          <w:color w:val="auto"/>
          <w:szCs w:val="21"/>
          <w:highlight w:val="none"/>
        </w:rPr>
      </w:pPr>
      <w:r>
        <w:rPr>
          <w:rFonts w:hint="eastAsia" w:ascii="宋体" w:hAnsi="宋体"/>
          <w:color w:val="auto"/>
          <w:szCs w:val="21"/>
          <w:highlight w:val="none"/>
        </w:rPr>
        <w:t>10.1.2</w:t>
      </w:r>
      <w:r>
        <w:rPr>
          <w:rFonts w:hint="eastAsia" w:ascii="宋体" w:hAnsi="宋体" w:cs="宋体"/>
          <w:color w:val="auto"/>
          <w:kern w:val="0"/>
          <w:szCs w:val="21"/>
          <w:highlight w:val="none"/>
        </w:rPr>
        <w:t xml:space="preserve"> </w:t>
      </w:r>
      <w:r>
        <w:rPr>
          <w:rFonts w:hint="eastAsia" w:ascii="宋体" w:hAnsi="宋体"/>
          <w:color w:val="auto"/>
          <w:szCs w:val="21"/>
          <w:highlight w:val="none"/>
        </w:rPr>
        <w:t>中标人在收到采购代理机构的中标通知书后10日内，应按照</w:t>
      </w:r>
      <w:r>
        <w:rPr>
          <w:rFonts w:hint="eastAsia" w:ascii="宋体" w:hAnsi="宋体"/>
          <w:b/>
          <w:color w:val="auto"/>
          <w:szCs w:val="21"/>
          <w:highlight w:val="none"/>
        </w:rPr>
        <w:t>投标人须知前附表</w:t>
      </w:r>
      <w:r>
        <w:rPr>
          <w:rFonts w:hint="eastAsia" w:ascii="宋体" w:hAnsi="宋体"/>
          <w:color w:val="auto"/>
          <w:szCs w:val="21"/>
          <w:highlight w:val="none"/>
        </w:rPr>
        <w:t>规定的形式、金额，向采购人提交履约保证金或履约担保。联合体中标的，履约保证金或履约担保由联合体各方或者联合体中牵头人的名义提交。</w:t>
      </w:r>
    </w:p>
    <w:p>
      <w:pPr>
        <w:tabs>
          <w:tab w:val="left" w:pos="7665"/>
        </w:tabs>
        <w:spacing w:line="360" w:lineRule="auto"/>
        <w:ind w:firstLine="482"/>
        <w:rPr>
          <w:rFonts w:ascii="宋体" w:hAnsi="宋体"/>
          <w:b/>
          <w:color w:val="auto"/>
          <w:szCs w:val="21"/>
          <w:highlight w:val="none"/>
        </w:rPr>
      </w:pPr>
      <w:r>
        <w:rPr>
          <w:rFonts w:hint="eastAsia" w:ascii="宋体" w:hAnsi="宋体"/>
          <w:color w:val="auto"/>
          <w:szCs w:val="21"/>
          <w:highlight w:val="none"/>
        </w:rPr>
        <w:t>10.1.3 中标人</w:t>
      </w:r>
      <w:r>
        <w:rPr>
          <w:rFonts w:hint="eastAsia" w:ascii="宋体" w:hAnsi="宋体"/>
          <w:color w:val="auto"/>
          <w:spacing w:val="4"/>
          <w:szCs w:val="21"/>
          <w:highlight w:val="none"/>
        </w:rPr>
        <w:t>不能按照本章第10.1.2项规定</w:t>
      </w:r>
      <w:r>
        <w:rPr>
          <w:rFonts w:hint="eastAsia" w:ascii="宋体" w:hAnsi="宋体"/>
          <w:color w:val="auto"/>
          <w:szCs w:val="21"/>
          <w:highlight w:val="none"/>
        </w:rPr>
        <w:t>提交履约保证金或履约担保的</w:t>
      </w:r>
      <w:r>
        <w:rPr>
          <w:rFonts w:hint="eastAsia" w:ascii="宋体" w:hAnsi="宋体"/>
          <w:color w:val="auto"/>
          <w:spacing w:val="4"/>
          <w:szCs w:val="21"/>
          <w:highlight w:val="none"/>
        </w:rPr>
        <w:t>，视为放弃</w:t>
      </w:r>
      <w:r>
        <w:rPr>
          <w:rFonts w:hint="eastAsia" w:ascii="宋体" w:hAnsi="宋体"/>
          <w:color w:val="auto"/>
          <w:szCs w:val="21"/>
          <w:highlight w:val="none"/>
        </w:rPr>
        <w:t>中标资格</w:t>
      </w:r>
      <w:r>
        <w:rPr>
          <w:rFonts w:hint="eastAsia" w:ascii="宋体" w:hAnsi="宋体"/>
          <w:color w:val="auto"/>
          <w:spacing w:val="4"/>
          <w:szCs w:val="21"/>
          <w:highlight w:val="none"/>
        </w:rPr>
        <w:t>，</w:t>
      </w:r>
      <w:r>
        <w:rPr>
          <w:rFonts w:hint="eastAsia" w:ascii="宋体" w:hAnsi="宋体"/>
          <w:color w:val="auto"/>
          <w:spacing w:val="2"/>
          <w:szCs w:val="21"/>
          <w:highlight w:val="none"/>
        </w:rPr>
        <w:t>其投标保证金不予退还，给采购人造成的损失超过投标保证金金额的，中标人应当对超过部分予以赔偿。</w:t>
      </w:r>
    </w:p>
    <w:p>
      <w:pPr>
        <w:tabs>
          <w:tab w:val="left" w:pos="7665"/>
        </w:tabs>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10.2 签订合同</w:t>
      </w:r>
    </w:p>
    <w:p>
      <w:pPr>
        <w:tabs>
          <w:tab w:val="left" w:pos="7665"/>
        </w:tabs>
        <w:spacing w:line="360" w:lineRule="auto"/>
        <w:ind w:firstLine="482"/>
        <w:rPr>
          <w:rFonts w:ascii="宋体" w:hAnsi="宋体"/>
          <w:b/>
          <w:color w:val="auto"/>
          <w:szCs w:val="21"/>
          <w:highlight w:val="none"/>
        </w:rPr>
      </w:pPr>
      <w:r>
        <w:rPr>
          <w:rFonts w:hint="eastAsia" w:ascii="宋体" w:hAnsi="宋体"/>
          <w:color w:val="auto"/>
          <w:szCs w:val="21"/>
          <w:highlight w:val="none"/>
        </w:rPr>
        <w:t>10.2.1 中标人应在《中标通知书》发出之日起30日内与采购人签订采购合同。中标人无正当理由拒签合同，或者在签订合同时向采购人提出附件条件，采购人有权取消其中标资格，其投标保证金不予退还，给采购人造成的损失超过投标保证金数额的，</w:t>
      </w:r>
      <w:r>
        <w:rPr>
          <w:rFonts w:hint="eastAsia"/>
          <w:color w:val="auto"/>
          <w:spacing w:val="2"/>
          <w:szCs w:val="21"/>
          <w:highlight w:val="none"/>
        </w:rPr>
        <w:t>中标人应当对超过部分予以赔偿。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10.2.2 发出中标通知书后，采购人不得向中标人提出任何不合理要求，作为签订合同的条件，不得与中标人私下订立背离合同实质性内容的任何协议，所签订的合同不得对招标文件确定的事项和中标人投标文件做实质性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10.2.3中标人因不可抗力原因不能履行采购合同或放弃中标的，采购人可以与排在中标人之后第一位的中标候选人签订采购合同，以此类推。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10.2.4 联合体中标的，联合体各方应当与采购人签订采购合同，就中标项目向采购人承担连带责任。</w:t>
      </w:r>
    </w:p>
    <w:p>
      <w:pPr>
        <w:snapToGrid w:val="0"/>
        <w:spacing w:beforeLines="5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10.3 合同履行</w:t>
      </w:r>
    </w:p>
    <w:p>
      <w:pPr>
        <w:tabs>
          <w:tab w:val="left" w:pos="426"/>
        </w:tabs>
        <w:autoSpaceDE w:val="0"/>
        <w:autoSpaceDN w:val="0"/>
        <w:adjustRightInd w:val="0"/>
        <w:snapToGrid w:val="0"/>
        <w:spacing w:line="360" w:lineRule="auto"/>
        <w:ind w:firstLine="420" w:firstLineChars="200"/>
        <w:rPr>
          <w:rFonts w:ascii="宋体" w:hAnsi="宋体" w:cs="黑体"/>
          <w:b/>
          <w:bCs/>
          <w:color w:val="auto"/>
          <w:szCs w:val="21"/>
          <w:highlight w:val="none"/>
        </w:rPr>
      </w:pPr>
      <w:r>
        <w:rPr>
          <w:rFonts w:hint="eastAsia" w:ascii="宋体" w:hAnsi="宋体" w:cs="宋体"/>
          <w:color w:val="auto"/>
          <w:szCs w:val="21"/>
          <w:highlight w:val="none"/>
        </w:rPr>
        <w:t xml:space="preserve">10.3.1 </w:t>
      </w:r>
      <w:r>
        <w:rPr>
          <w:rFonts w:hint="eastAsia" w:ascii="宋体" w:hAnsi="宋体" w:cs="宋体"/>
          <w:color w:val="auto"/>
          <w:szCs w:val="21"/>
          <w:highlight w:val="none"/>
          <w:lang w:eastAsia="zh-TW"/>
        </w:rPr>
        <w:t>政府采购合同订立后，合同各方不得擅自变更</w:t>
      </w:r>
      <w:r>
        <w:rPr>
          <w:rFonts w:hint="eastAsia" w:ascii="宋体" w:hAnsi="宋体" w:cs="宋体"/>
          <w:color w:val="auto"/>
          <w:szCs w:val="21"/>
          <w:highlight w:val="none"/>
        </w:rPr>
        <w:t>或者</w:t>
      </w:r>
      <w:r>
        <w:rPr>
          <w:rFonts w:hint="eastAsia" w:ascii="宋体" w:hAnsi="宋体" w:cs="宋体"/>
          <w:color w:val="auto"/>
          <w:szCs w:val="21"/>
          <w:highlight w:val="none"/>
          <w:lang w:eastAsia="zh-TW"/>
        </w:rPr>
        <w:t>中止或者终止合同。政府采购合同需要变更的，采购人应将有关合同变更内容，以书面形式报政府采购监督管理</w:t>
      </w:r>
      <w:r>
        <w:rPr>
          <w:rFonts w:hint="eastAsia" w:ascii="宋体" w:hAnsi="宋体" w:cs="宋体"/>
          <w:color w:val="auto"/>
          <w:szCs w:val="21"/>
          <w:highlight w:val="none"/>
        </w:rPr>
        <w:t>部门</w:t>
      </w:r>
      <w:r>
        <w:rPr>
          <w:rFonts w:hint="eastAsia" w:ascii="宋体" w:hAnsi="宋体" w:cs="宋体"/>
          <w:color w:val="auto"/>
          <w:szCs w:val="21"/>
          <w:highlight w:val="none"/>
          <w:lang w:eastAsia="zh-TW"/>
        </w:rPr>
        <w:t>备案；因特殊情况需要中止或终止合同的，采购人应将中止或终止合同的理由以及相应措施，以书面形式报政府采购监督管理</w:t>
      </w:r>
      <w:r>
        <w:rPr>
          <w:rFonts w:hint="eastAsia" w:ascii="宋体" w:hAnsi="宋体" w:cs="宋体"/>
          <w:color w:val="auto"/>
          <w:szCs w:val="21"/>
          <w:highlight w:val="none"/>
        </w:rPr>
        <w:t>部门</w:t>
      </w:r>
      <w:r>
        <w:rPr>
          <w:rFonts w:hint="eastAsia" w:ascii="宋体" w:hAnsi="宋体" w:cs="宋体"/>
          <w:color w:val="auto"/>
          <w:szCs w:val="21"/>
          <w:highlight w:val="none"/>
          <w:lang w:eastAsia="zh-TW"/>
        </w:rPr>
        <w:t>备案。</w:t>
      </w:r>
    </w:p>
    <w:p>
      <w:pPr>
        <w:tabs>
          <w:tab w:val="left" w:pos="426"/>
        </w:tabs>
        <w:autoSpaceDE w:val="0"/>
        <w:autoSpaceDN w:val="0"/>
        <w:adjustRightInd w:val="0"/>
        <w:snapToGrid w:val="0"/>
        <w:spacing w:line="360" w:lineRule="auto"/>
        <w:ind w:firstLine="420" w:firstLineChars="200"/>
        <w:rPr>
          <w:rFonts w:ascii="宋体" w:hAnsi="宋体" w:cs="黑体"/>
          <w:b/>
          <w:bCs/>
          <w:color w:val="auto"/>
          <w:szCs w:val="21"/>
          <w:highlight w:val="none"/>
        </w:rPr>
      </w:pPr>
      <w:r>
        <w:rPr>
          <w:rFonts w:hint="eastAsia" w:ascii="宋体" w:hAnsi="宋体" w:cs="宋体"/>
          <w:color w:val="auto"/>
          <w:szCs w:val="21"/>
          <w:highlight w:val="none"/>
        </w:rPr>
        <w:t xml:space="preserve">10.3.2 </w:t>
      </w:r>
      <w:r>
        <w:rPr>
          <w:rFonts w:hint="eastAsia" w:ascii="宋体" w:hAnsi="宋体" w:cs="宋体"/>
          <w:color w:val="auto"/>
          <w:szCs w:val="21"/>
          <w:highlight w:val="none"/>
          <w:lang w:eastAsia="zh-TW"/>
        </w:rPr>
        <w:t>政府采购合同履行中，采购人需追加与合同标的相同的货物的，在不改变合同其他条款的前提下，可以与</w:t>
      </w:r>
      <w:r>
        <w:rPr>
          <w:rFonts w:hint="eastAsia" w:ascii="宋体" w:hAnsi="宋体" w:cs="宋体"/>
          <w:color w:val="auto"/>
          <w:szCs w:val="21"/>
          <w:highlight w:val="none"/>
        </w:rPr>
        <w:t>中标人</w:t>
      </w:r>
      <w:r>
        <w:rPr>
          <w:rFonts w:hint="eastAsia" w:ascii="宋体" w:hAnsi="宋体" w:cs="宋体"/>
          <w:color w:val="auto"/>
          <w:szCs w:val="21"/>
          <w:highlight w:val="none"/>
          <w:lang w:eastAsia="zh-TW"/>
        </w:rPr>
        <w:t>签订补充合同，但所补充合同的采购金额不得超过原</w:t>
      </w:r>
      <w:r>
        <w:rPr>
          <w:rFonts w:hint="eastAsia" w:ascii="宋体" w:hAnsi="宋体" w:cs="宋体"/>
          <w:color w:val="auto"/>
          <w:szCs w:val="21"/>
          <w:highlight w:val="none"/>
        </w:rPr>
        <w:t>合同</w:t>
      </w:r>
      <w:r>
        <w:rPr>
          <w:rFonts w:hint="eastAsia" w:ascii="宋体" w:hAnsi="宋体" w:cs="宋体"/>
          <w:color w:val="auto"/>
          <w:szCs w:val="21"/>
          <w:highlight w:val="none"/>
          <w:lang w:eastAsia="zh-TW"/>
        </w:rPr>
        <w:t>采购金额的百分之十。签订补充合同的</w:t>
      </w:r>
      <w:r>
        <w:rPr>
          <w:rFonts w:hint="eastAsia" w:ascii="宋体" w:hAnsi="宋体" w:cs="宋体"/>
          <w:color w:val="auto"/>
          <w:szCs w:val="21"/>
          <w:highlight w:val="none"/>
        </w:rPr>
        <w:t>应</w:t>
      </w:r>
      <w:r>
        <w:rPr>
          <w:rFonts w:hint="eastAsia" w:ascii="宋体" w:hAnsi="宋体" w:cs="宋体"/>
          <w:color w:val="auto"/>
          <w:szCs w:val="21"/>
          <w:highlight w:val="none"/>
          <w:lang w:eastAsia="zh-TW"/>
        </w:rPr>
        <w:t>按规定备案。</w:t>
      </w:r>
    </w:p>
    <w:p>
      <w:pPr>
        <w:spacing w:beforeLines="50" w:afterLines="50" w:line="360" w:lineRule="auto"/>
        <w:outlineLvl w:val="1"/>
        <w:rPr>
          <w:rFonts w:ascii="黑体" w:eastAsia="黑体"/>
          <w:b/>
          <w:color w:val="auto"/>
          <w:sz w:val="36"/>
          <w:szCs w:val="36"/>
          <w:highlight w:val="none"/>
        </w:rPr>
      </w:pPr>
      <w:bookmarkStart w:id="101" w:name="_Toc4881"/>
      <w:bookmarkStart w:id="102" w:name="_Toc217446081"/>
      <w:r>
        <w:rPr>
          <w:rFonts w:hint="eastAsia" w:ascii="黑体" w:eastAsia="黑体"/>
          <w:b/>
          <w:color w:val="auto"/>
          <w:sz w:val="36"/>
          <w:szCs w:val="36"/>
          <w:highlight w:val="none"/>
        </w:rPr>
        <w:t>11.废标或变更采购方式</w:t>
      </w:r>
      <w:bookmarkEnd w:id="101"/>
      <w:bookmarkStart w:id="103" w:name="_Toc217446072"/>
    </w:p>
    <w:p>
      <w:pPr>
        <w:spacing w:afterLines="50" w:line="360" w:lineRule="auto"/>
        <w:outlineLvl w:val="2"/>
        <w:rPr>
          <w:rFonts w:ascii="宋体" w:hAnsi="宋体"/>
          <w:b/>
          <w:color w:val="auto"/>
          <w:sz w:val="30"/>
          <w:szCs w:val="30"/>
          <w:highlight w:val="none"/>
        </w:rPr>
      </w:pPr>
      <w:r>
        <w:rPr>
          <w:rFonts w:hint="eastAsia" w:ascii="宋体" w:hAnsi="宋体"/>
          <w:b/>
          <w:bCs/>
          <w:color w:val="auto"/>
          <w:sz w:val="30"/>
          <w:szCs w:val="30"/>
          <w:highlight w:val="none"/>
        </w:rPr>
        <w:t>11.1废标的情形</w:t>
      </w:r>
      <w:bookmarkEnd w:id="103"/>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11.1.1 招标采购中，出现下列情形之一的，应予以废标：</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（1）符合专业条件的投标人或者对招标文件作实质响应的投标人不足3家的；</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（2）出现影响采购公正的违法、违规行为的；</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（3）投标人的报价均超过了采购预算或最高限价，采购人不能支付的；</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（4）因重大变故，采购任务取消的。</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11.1.2 废标后，采购代理机构应在财政部门指定采购网上公告，并公告废标的详细理由。</w:t>
      </w:r>
    </w:p>
    <w:p>
      <w:pPr>
        <w:pStyle w:val="7"/>
        <w:spacing w:beforeLines="50" w:afterLines="50" w:line="360" w:lineRule="auto"/>
        <w:ind w:firstLine="0"/>
        <w:outlineLvl w:val="2"/>
        <w:rPr>
          <w:rFonts w:ascii="宋体" w:hAnsi="宋体"/>
          <w:b/>
          <w:color w:val="auto"/>
          <w:sz w:val="30"/>
          <w:szCs w:val="30"/>
          <w:highlight w:val="none"/>
        </w:rPr>
      </w:pPr>
      <w:r>
        <w:rPr>
          <w:rFonts w:hint="eastAsia" w:ascii="宋体" w:hAnsi="宋体"/>
          <w:b/>
          <w:color w:val="auto"/>
          <w:sz w:val="30"/>
          <w:szCs w:val="30"/>
          <w:highlight w:val="none"/>
        </w:rPr>
        <w:t>11.2 变更采购方式</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11.2.1 存在下列情形之一的，除采购任务取消情形外，采购人经同级财政部门同意后，可以按《政府采购货物和服务招标投标管理办法》（财政部87号令）第四十三条规定的方式处理：</w:t>
      </w:r>
    </w:p>
    <w:p>
      <w:pPr>
        <w:pStyle w:val="7"/>
        <w:spacing w:line="360" w:lineRule="auto"/>
        <w:rPr>
          <w:rFonts w:ascii="宋体" w:hAnsi="宋体"/>
          <w:color w:val="auto"/>
          <w:szCs w:val="21"/>
          <w:highlight w:val="none"/>
        </w:rPr>
      </w:pPr>
      <w:r>
        <w:rPr>
          <w:rFonts w:hint="eastAsia" w:ascii="宋体" w:hAnsi="宋体"/>
          <w:color w:val="auto"/>
          <w:szCs w:val="21"/>
          <w:highlight w:val="none"/>
        </w:rPr>
        <w:t>（1）投标截止后参加投标的人不足3家的；</w:t>
      </w:r>
    </w:p>
    <w:p>
      <w:pPr>
        <w:pStyle w:val="7"/>
        <w:spacing w:line="360" w:lineRule="auto"/>
        <w:ind w:firstLineChars="200"/>
        <w:rPr>
          <w:rFonts w:ascii="宋体" w:hAnsi="宋体" w:cs="Arial"/>
          <w:color w:val="auto"/>
          <w:szCs w:val="21"/>
          <w:highlight w:val="none"/>
          <w:shd w:val="clear" w:color="auto" w:fill="FFFFFF"/>
        </w:rPr>
      </w:pPr>
      <w:r>
        <w:rPr>
          <w:rFonts w:hint="eastAsia" w:ascii="宋体" w:hAnsi="宋体" w:cs="Arial"/>
          <w:color w:val="auto"/>
          <w:szCs w:val="21"/>
          <w:highlight w:val="none"/>
          <w:shd w:val="clear" w:color="auto" w:fill="FFFFFF"/>
        </w:rPr>
        <w:t>（2）通过资格审查的投标人不足3家的；</w:t>
      </w:r>
    </w:p>
    <w:p>
      <w:pPr>
        <w:pStyle w:val="7"/>
        <w:spacing w:line="360" w:lineRule="auto"/>
        <w:ind w:firstLineChars="200"/>
        <w:rPr>
          <w:rFonts w:ascii="宋体" w:hAnsi="宋体" w:cs="Arial"/>
          <w:color w:val="auto"/>
          <w:szCs w:val="21"/>
          <w:highlight w:val="none"/>
          <w:shd w:val="clear" w:color="auto" w:fill="FFFFFF"/>
        </w:rPr>
      </w:pPr>
      <w:r>
        <w:rPr>
          <w:rFonts w:hint="eastAsia" w:ascii="宋体" w:hAnsi="宋体" w:cs="Arial"/>
          <w:color w:val="auto"/>
          <w:szCs w:val="21"/>
          <w:highlight w:val="none"/>
          <w:shd w:val="clear" w:color="auto" w:fill="FFFFFF"/>
        </w:rPr>
        <w:t>（3）通过符合性审查的投标人不足3家的。</w:t>
      </w:r>
    </w:p>
    <w:p>
      <w:pPr>
        <w:pStyle w:val="7"/>
        <w:spacing w:line="360" w:lineRule="auto"/>
        <w:ind w:firstLineChars="200"/>
        <w:rPr>
          <w:rFonts w:ascii="宋体" w:hAnsi="宋体"/>
          <w:b/>
          <w:color w:val="auto"/>
          <w:szCs w:val="21"/>
          <w:highlight w:val="none"/>
        </w:rPr>
      </w:pPr>
      <w:r>
        <w:rPr>
          <w:rFonts w:hint="eastAsia" w:ascii="宋体" w:hAnsi="宋体"/>
          <w:color w:val="auto"/>
          <w:szCs w:val="21"/>
          <w:highlight w:val="none"/>
        </w:rPr>
        <w:t>11.2.2 通过符合性审查的投标人只有2家时，采购人经同级财政部门同意后，可以按《</w:t>
      </w:r>
      <w:r>
        <w:rPr>
          <w:rFonts w:hint="eastAsia" w:ascii="宋体" w:hAnsi="宋体" w:cs="Arial"/>
          <w:color w:val="auto"/>
          <w:szCs w:val="21"/>
          <w:highlight w:val="none"/>
          <w:shd w:val="clear" w:color="auto" w:fill="FFFFFF"/>
        </w:rPr>
        <w:t>政府采购非招标采购方式管理办法》（财政部第74号令）的规定</w:t>
      </w:r>
      <w:r>
        <w:rPr>
          <w:rFonts w:hint="eastAsia" w:ascii="宋体" w:hAnsi="宋体"/>
          <w:color w:val="auto"/>
          <w:szCs w:val="21"/>
          <w:highlight w:val="none"/>
        </w:rPr>
        <w:t>与该2家投标人进行竞争性谈判采购。</w:t>
      </w:r>
    </w:p>
    <w:p>
      <w:pPr>
        <w:spacing w:beforeLines="100" w:afterLines="50" w:line="360" w:lineRule="auto"/>
        <w:outlineLvl w:val="1"/>
        <w:rPr>
          <w:rFonts w:ascii="黑体" w:hAnsi="宋体" w:eastAsia="黑体"/>
          <w:b/>
          <w:color w:val="auto"/>
          <w:sz w:val="36"/>
          <w:szCs w:val="36"/>
          <w:highlight w:val="none"/>
        </w:rPr>
      </w:pPr>
      <w:bookmarkStart w:id="104" w:name="_Toc514"/>
      <w:r>
        <w:rPr>
          <w:rFonts w:hint="eastAsia" w:ascii="黑体" w:hAnsi="宋体" w:eastAsia="黑体"/>
          <w:b/>
          <w:color w:val="auto"/>
          <w:sz w:val="36"/>
          <w:szCs w:val="36"/>
          <w:highlight w:val="none"/>
        </w:rPr>
        <w:t>12.招标代理服务费</w:t>
      </w:r>
      <w:bookmarkEnd w:id="104"/>
    </w:p>
    <w:p>
      <w:pPr>
        <w:spacing w:line="360" w:lineRule="auto"/>
        <w:ind w:firstLine="573"/>
        <w:rPr>
          <w:rFonts w:ascii="宋体" w:hAnsi="宋体"/>
          <w:b/>
          <w:color w:val="auto"/>
          <w:szCs w:val="21"/>
          <w:highlight w:val="none"/>
        </w:rPr>
      </w:pPr>
      <w:r>
        <w:rPr>
          <w:rFonts w:hint="eastAsia" w:ascii="宋体" w:hAnsi="宋体"/>
          <w:color w:val="auto"/>
          <w:szCs w:val="21"/>
          <w:highlight w:val="none"/>
        </w:rPr>
        <w:t>12.1 中标服务费由</w:t>
      </w:r>
      <w:r>
        <w:rPr>
          <w:rFonts w:hint="eastAsia" w:ascii="宋体" w:hAnsi="宋体"/>
          <w:color w:val="auto"/>
          <w:szCs w:val="21"/>
          <w:highlight w:val="none"/>
          <w:lang w:val="en-US" w:eastAsia="zh-CN"/>
        </w:rPr>
        <w:t>中标</w:t>
      </w:r>
      <w:r>
        <w:rPr>
          <w:rFonts w:hint="eastAsia" w:ascii="宋体" w:hAnsi="宋体"/>
          <w:color w:val="auto"/>
          <w:szCs w:val="21"/>
          <w:highlight w:val="none"/>
        </w:rPr>
        <w:t>人，按照合同约定向招标代理机构支付。</w:t>
      </w:r>
    </w:p>
    <w:p>
      <w:pPr>
        <w:spacing w:beforeLines="100" w:afterLines="50" w:line="360" w:lineRule="auto"/>
        <w:outlineLvl w:val="1"/>
        <w:rPr>
          <w:rFonts w:ascii="黑体" w:hAnsi="宋体" w:eastAsia="黑体"/>
          <w:b/>
          <w:color w:val="auto"/>
          <w:sz w:val="36"/>
          <w:szCs w:val="36"/>
          <w:highlight w:val="none"/>
        </w:rPr>
      </w:pPr>
      <w:bookmarkStart w:id="105" w:name="_Toc9439"/>
      <w:r>
        <w:rPr>
          <w:rFonts w:hint="eastAsia" w:ascii="黑体" w:hAnsi="宋体" w:eastAsia="黑体"/>
          <w:b/>
          <w:color w:val="auto"/>
          <w:sz w:val="36"/>
          <w:szCs w:val="36"/>
          <w:highlight w:val="none"/>
        </w:rPr>
        <w:t>13.质疑与投诉</w:t>
      </w:r>
      <w:bookmarkEnd w:id="105"/>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13.1质疑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13.1.1 投标人对本次招标采购活动有疑问的，应当按照财政部《政府采购法实施条例》的规定办理。</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13.1.2 投标人对采购文件、采购过程或中标结果使自身的合法权益受到损害，应当在法定期限内，按照质疑函范本格式要求以书面形式向采购代理机构或采购人提出质疑，并附必要的证明材料。</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13.1.3 质疑函应当包括下列内容：</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（1）投标人的姓名或者名称、地址、邮编、联系人及联系电话；</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（2）质疑项目的名称、编号；</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（3）具体、明确的质疑事项和与质疑事项相关的请求；</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（4）事实依据；</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（5）必要的法律依据；</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（6）提出质疑的日期。</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投标人为自然人的，应当由本人签字；投标人为法人或者其他组织的，应当由法定代表人、主要负责人，或者其授权代表签字或者盖章，并加盖单位章。</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13.1.4质疑人可以委托代理人办理质疑事项，代理人办理质疑事项时，除提交质疑函外，还应当提交质疑人的授权委托书及代理人的有效身份证明，授权委托书应当载明委托代理的具体权限期限和相关事项。</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13.1.5 质疑函范本格式在中国政府采购网站（</w:t>
      </w:r>
      <w:r>
        <w:rPr>
          <w:rFonts w:ascii="宋体" w:hAnsi="宋体"/>
          <w:color w:val="auto"/>
          <w:szCs w:val="21"/>
          <w:highlight w:val="none"/>
        </w:rPr>
        <w:t>http://www.ccgp.gov.cn/</w:t>
      </w:r>
      <w:r>
        <w:rPr>
          <w:rFonts w:hint="eastAsia" w:ascii="宋体" w:hAnsi="宋体"/>
          <w:color w:val="auto"/>
          <w:szCs w:val="21"/>
          <w:highlight w:val="none"/>
        </w:rPr>
        <w:t>）自行下载。</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13.1.6 接收质疑函的联系部门、联系电话和通讯地址同招标公告。</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13.1.7 有下列情形之一的，属于无效质疑，采购代理机构和采购人不予受理：</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（1）质疑人不是参与本次政府采购项目的投标人；</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（2）质疑人与质疑事项不存在利害关系的；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（3）未在法定期限内提出质疑的；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（4）质疑未以书面形式提出，以传真、电子邮件、移动通信等形式即时收悉提交的质疑材料；</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（5）质疑未按质疑函范本格式提出的；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（6）质疑书主要内容构成不完整的；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（7）质疑供应商是自然人，个体工商户未提交个体工商户营业执照和本人身份证明或非个体工商户未提供本人身份证明的；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（8）质疑供应商是法人，未提交法人营业执照或者事业法人证书和法定代表人身份证明的；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（9）质疑供应商是其他组织，未提交其他组织有效证明文件和主要负责人身份证明的；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（10）质疑供应商委托代理人进行质疑，未提交法定代表人授权委托书、授权代表身份证明的；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（11）质疑函未签字或未加盖公章的；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（12）以非法手段取得证据、材料的；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（13）质疑答复后，同一质疑人就同一事项再次提出质疑的；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（14）不符合法律、法规、规章和政府采购监管机构规定的其他条件的。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13.1.8 采购代理机构或采购人将在收到书面质疑后7个工作日内做出答复，并以书面形式通知质疑人和其他有关投标人。</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13.2 投诉</w:t>
      </w:r>
    </w:p>
    <w:p>
      <w:pPr>
        <w:widowControl/>
        <w:shd w:val="clear" w:color="auto" w:fill="FFFFFF"/>
        <w:tabs>
          <w:tab w:val="left" w:pos="8931"/>
        </w:tabs>
        <w:spacing w:line="360" w:lineRule="auto"/>
        <w:ind w:right="-113" w:firstLine="420" w:firstLineChars="200"/>
        <w:jc w:val="left"/>
        <w:rPr>
          <w:rFonts w:ascii="宋体" w:hAnsi="宋体" w:cs="Arial"/>
          <w:color w:val="auto"/>
          <w:kern w:val="0"/>
          <w:szCs w:val="21"/>
          <w:highlight w:val="none"/>
        </w:rPr>
      </w:pPr>
      <w:r>
        <w:rPr>
          <w:rFonts w:hint="eastAsia" w:ascii="宋体" w:hAnsi="宋体"/>
          <w:color w:val="auto"/>
          <w:szCs w:val="21"/>
          <w:highlight w:val="none"/>
        </w:rPr>
        <w:t>13.2.1质疑人对采购代理机构或采购人的答复不满意，或者采购人、采购代理机构未在规定时间内作出答复的，可以在答复期满后15个工作日内向</w:t>
      </w:r>
      <w:r>
        <w:rPr>
          <w:rFonts w:hint="eastAsia" w:ascii="宋体" w:hAnsi="宋体" w:cs="Arial"/>
          <w:color w:val="auto"/>
          <w:kern w:val="0"/>
          <w:szCs w:val="21"/>
          <w:highlight w:val="none"/>
        </w:rPr>
        <w:t>监督部门提起投诉，</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13.2.2 投诉人投诉时,应当提交投诉书和必要的证明材料，并按照被投诉采购人、采购代理机构（以下简称被投诉人）和与投诉事项有关的投标人数量提供投诉书的副本。投诉书应当包括下列内容：</w:t>
      </w:r>
    </w:p>
    <w:p>
      <w:pPr>
        <w:spacing w:line="360" w:lineRule="auto"/>
        <w:ind w:firstLine="420" w:firstLineChars="200"/>
        <w:jc w:val="left"/>
        <w:rPr>
          <w:rFonts w:ascii="宋体" w:hAnsi="宋体"/>
          <w:color w:val="auto"/>
          <w:szCs w:val="21"/>
          <w:highlight w:val="none"/>
        </w:rPr>
      </w:pPr>
      <w:r>
        <w:rPr>
          <w:rFonts w:hint="eastAsia" w:ascii="宋体" w:hAnsi="宋体" w:cs="Arial"/>
          <w:color w:val="auto"/>
          <w:kern w:val="0"/>
          <w:szCs w:val="21"/>
          <w:highlight w:val="none"/>
        </w:rPr>
        <w:t>　</w:t>
      </w:r>
      <w:r>
        <w:rPr>
          <w:rFonts w:hint="eastAsia" w:ascii="宋体" w:hAnsi="宋体"/>
          <w:color w:val="auto"/>
          <w:szCs w:val="21"/>
          <w:highlight w:val="none"/>
        </w:rPr>
        <w:t>（1）投诉人和被投诉人的姓名或者名称、通讯地址、邮编、联系人及联系电话；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（2）质疑和质疑答复情况说明及相关证明材料；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（3）具体、明确的投诉事项和与投诉事项相关的投诉请求；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（4）事实依据；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（5）法律依据；</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（6）提起投诉的日期。</w:t>
      </w:r>
    </w:p>
    <w:p>
      <w:pPr>
        <w:widowControl/>
        <w:shd w:val="clear" w:color="auto" w:fill="FFFFFF"/>
        <w:spacing w:line="360" w:lineRule="auto"/>
        <w:ind w:left="105" w:right="227" w:hanging="105" w:hangingChars="50"/>
        <w:jc w:val="left"/>
        <w:rPr>
          <w:rFonts w:ascii="宋体" w:hAnsi="宋体"/>
          <w:color w:val="auto"/>
          <w:szCs w:val="21"/>
          <w:highlight w:val="none"/>
        </w:rPr>
      </w:pPr>
      <w:r>
        <w:rPr>
          <w:rFonts w:hint="eastAsia" w:ascii="宋体" w:hAnsi="宋体" w:cs="Arial"/>
          <w:color w:val="auto"/>
          <w:kern w:val="0"/>
          <w:szCs w:val="21"/>
          <w:highlight w:val="none"/>
        </w:rPr>
        <w:t>　</w:t>
      </w:r>
      <w:r>
        <w:rPr>
          <w:rFonts w:hint="eastAsia" w:ascii="宋体" w:hAnsi="宋体"/>
          <w:color w:val="auto"/>
          <w:szCs w:val="21"/>
          <w:highlight w:val="none"/>
        </w:rPr>
        <w:t xml:space="preserve">   投诉人为自然人的，应当由本人签字；投诉人为法人或者其他组织的，应当由法定代表人、主要负责人，或者其授权代表签字或者盖章，并加盖单位章。</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13.2.3 投诉书范本格式在中国政府采购网站（</w:t>
      </w:r>
      <w:r>
        <w:rPr>
          <w:rFonts w:ascii="宋体" w:hAnsi="宋体"/>
          <w:color w:val="auto"/>
          <w:szCs w:val="21"/>
          <w:highlight w:val="none"/>
        </w:rPr>
        <w:t>http://www.ccgp.gov.cn/</w:t>
      </w:r>
      <w:r>
        <w:rPr>
          <w:rFonts w:hint="eastAsia" w:ascii="宋体" w:hAnsi="宋体"/>
          <w:color w:val="auto"/>
          <w:szCs w:val="21"/>
          <w:highlight w:val="none"/>
        </w:rPr>
        <w:t>）自行下载。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13.2.4 投诉人提起投诉应当符合下列条件：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（1）提起投诉前已依法进行质疑；</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（2）投诉书内容符合财政部94号令的规定；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（3）在投诉有效期限内提起投诉；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（4）同一投诉事项未经财政部门投诉处理；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（5）财政部规定的其他条件。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13.2.5  投诉人投诉的事项不得超出已质疑事项的范围，但基于质疑答复内容提出的投诉事项除外。</w:t>
      </w:r>
    </w:p>
    <w:p>
      <w:pPr>
        <w:spacing w:beforeLines="50" w:afterLines="50" w:line="360" w:lineRule="auto"/>
        <w:jc w:val="left"/>
        <w:outlineLvl w:val="1"/>
        <w:rPr>
          <w:rFonts w:ascii="黑体" w:hAnsi="宋体" w:eastAsia="黑体"/>
          <w:b/>
          <w:color w:val="auto"/>
          <w:sz w:val="36"/>
          <w:szCs w:val="36"/>
          <w:highlight w:val="none"/>
        </w:rPr>
      </w:pPr>
      <w:bookmarkStart w:id="106" w:name="_Toc24938"/>
      <w:r>
        <w:rPr>
          <w:rFonts w:hint="eastAsia" w:ascii="黑体" w:hAnsi="宋体" w:eastAsia="黑体"/>
          <w:b/>
          <w:color w:val="auto"/>
          <w:sz w:val="36"/>
          <w:szCs w:val="36"/>
          <w:highlight w:val="none"/>
        </w:rPr>
        <w:t>14.其他</w:t>
      </w:r>
      <w:bookmarkEnd w:id="106"/>
    </w:p>
    <w:p>
      <w:pPr>
        <w:spacing w:beforeLines="50" w:afterLines="50" w:line="360" w:lineRule="auto"/>
        <w:jc w:val="left"/>
        <w:outlineLvl w:val="2"/>
        <w:rPr>
          <w:rFonts w:ascii="宋体" w:hAnsi="宋体"/>
          <w:b/>
          <w:color w:val="auto"/>
          <w:sz w:val="30"/>
          <w:szCs w:val="30"/>
          <w:highlight w:val="none"/>
        </w:rPr>
      </w:pPr>
      <w:r>
        <w:rPr>
          <w:rFonts w:hint="eastAsia" w:ascii="宋体" w:hAnsi="宋体"/>
          <w:b/>
          <w:color w:val="auto"/>
          <w:sz w:val="30"/>
          <w:szCs w:val="30"/>
          <w:highlight w:val="none"/>
        </w:rPr>
        <w:t>14.1融资担保</w:t>
      </w:r>
    </w:p>
    <w:p>
      <w:pPr>
        <w:spacing w:beforeLines="50" w:afterLines="50" w:line="360" w:lineRule="auto"/>
        <w:ind w:firstLine="420" w:firstLineChars="200"/>
        <w:jc w:val="left"/>
        <w:rPr>
          <w:rFonts w:ascii="宋体" w:hAnsi="宋体"/>
          <w:b/>
          <w:color w:val="auto"/>
          <w:sz w:val="30"/>
          <w:szCs w:val="30"/>
          <w:highlight w:val="none"/>
        </w:rPr>
      </w:pPr>
      <w:r>
        <w:rPr>
          <w:rFonts w:hint="eastAsia" w:ascii="宋体" w:hAnsi="宋体"/>
          <w:color w:val="auto"/>
          <w:szCs w:val="21"/>
          <w:highlight w:val="none"/>
        </w:rPr>
        <w:t>中标人为中小企业的可以自愿选择融资担保形式，为本采购项目进行融资。融资担保机构联系方式参见本章第4.5.1.3（2）条款。</w:t>
      </w:r>
    </w:p>
    <w:p>
      <w:pPr>
        <w:spacing w:beforeLines="50" w:afterLines="50" w:line="360" w:lineRule="auto"/>
        <w:jc w:val="left"/>
        <w:outlineLvl w:val="2"/>
        <w:rPr>
          <w:rFonts w:ascii="宋体" w:hAnsi="宋体"/>
          <w:b/>
          <w:color w:val="auto"/>
          <w:sz w:val="30"/>
          <w:szCs w:val="30"/>
          <w:highlight w:val="none"/>
        </w:rPr>
      </w:pPr>
      <w:r>
        <w:rPr>
          <w:rFonts w:hint="eastAsia" w:ascii="宋体" w:hAnsi="宋体"/>
          <w:b/>
          <w:color w:val="auto"/>
          <w:sz w:val="30"/>
          <w:szCs w:val="30"/>
          <w:highlight w:val="none"/>
        </w:rPr>
        <w:t>14.2 录音录像</w:t>
      </w:r>
    </w:p>
    <w:p>
      <w:pPr>
        <w:spacing w:line="360" w:lineRule="auto"/>
        <w:ind w:firstLine="420" w:firstLineChars="200"/>
        <w:rPr>
          <w:rFonts w:ascii="黑体" w:hAnsi="宋体"/>
          <w:color w:val="auto"/>
          <w:sz w:val="44"/>
          <w:szCs w:val="44"/>
          <w:highlight w:val="none"/>
        </w:rPr>
      </w:pPr>
      <w:r>
        <w:rPr>
          <w:rFonts w:hint="eastAsia" w:ascii="宋体" w:hAnsi="宋体"/>
          <w:color w:val="auto"/>
          <w:szCs w:val="21"/>
          <w:highlight w:val="none"/>
        </w:rPr>
        <w:t>采购代理机构对开标、投标人资格审查和评标过程进行全程录音录像、文字记录，并存档备查。</w:t>
      </w:r>
    </w:p>
    <w:p>
      <w:pPr>
        <w:rPr>
          <w:rFonts w:ascii="黑体" w:hAnsi="宋体" w:eastAsia="黑体"/>
          <w:b/>
          <w:color w:val="auto"/>
          <w:sz w:val="44"/>
          <w:szCs w:val="44"/>
          <w:highlight w:val="none"/>
        </w:rPr>
      </w:pPr>
    </w:p>
    <w:p>
      <w:pPr>
        <w:spacing w:afterLines="100" w:line="360" w:lineRule="auto"/>
        <w:rPr>
          <w:rFonts w:hint="eastAsia" w:ascii="黑体" w:hAnsi="宋体" w:eastAsia="黑体"/>
          <w:bCs/>
          <w:color w:val="auto"/>
          <w:sz w:val="28"/>
          <w:szCs w:val="28"/>
          <w:highlight w:val="none"/>
        </w:rPr>
      </w:pPr>
    </w:p>
    <w:p>
      <w:pPr>
        <w:spacing w:afterLines="100" w:line="360" w:lineRule="auto"/>
        <w:rPr>
          <w:rFonts w:ascii="黑体" w:hAnsi="宋体" w:eastAsia="黑体"/>
          <w:bCs/>
          <w:color w:val="auto"/>
          <w:sz w:val="28"/>
          <w:szCs w:val="28"/>
          <w:highlight w:val="none"/>
        </w:rPr>
      </w:pPr>
      <w:r>
        <w:rPr>
          <w:rFonts w:hint="eastAsia" w:ascii="黑体" w:hAnsi="宋体" w:eastAsia="黑体"/>
          <w:bCs/>
          <w:color w:val="auto"/>
          <w:sz w:val="28"/>
          <w:szCs w:val="28"/>
          <w:highlight w:val="none"/>
        </w:rPr>
        <w:t>附件：</w:t>
      </w:r>
    </w:p>
    <w:p>
      <w:pPr>
        <w:spacing w:afterLines="100" w:line="360" w:lineRule="auto"/>
        <w:ind w:firstLine="420" w:firstLineChars="200"/>
        <w:rPr>
          <w:rFonts w:ascii="黑体" w:hAnsi="宋体" w:eastAsia="黑体"/>
          <w:bCs/>
          <w:color w:val="auto"/>
          <w:sz w:val="28"/>
          <w:szCs w:val="28"/>
          <w:highlight w:val="none"/>
        </w:rPr>
      </w:pPr>
      <w:r>
        <w:rPr>
          <w:rFonts w:hint="eastAsia" w:ascii="宋体" w:hAnsi="宋体"/>
          <w:bCs/>
          <w:color w:val="auto"/>
          <w:szCs w:val="21"/>
          <w:highlight w:val="none"/>
        </w:rPr>
        <w:t>若采用投标担保函，格式如下：</w:t>
      </w:r>
    </w:p>
    <w:p>
      <w:pPr>
        <w:spacing w:afterLines="100" w:line="360" w:lineRule="auto"/>
        <w:jc w:val="center"/>
        <w:rPr>
          <w:rFonts w:ascii="宋体" w:hAnsi="宋体"/>
          <w:b/>
          <w:color w:val="auto"/>
          <w:szCs w:val="32"/>
          <w:highlight w:val="none"/>
        </w:rPr>
      </w:pPr>
      <w:r>
        <w:rPr>
          <w:rFonts w:hint="eastAsia" w:ascii="宋体" w:hAnsi="宋体"/>
          <w:b/>
          <w:bCs/>
          <w:color w:val="auto"/>
          <w:sz w:val="36"/>
          <w:szCs w:val="36"/>
          <w:highlight w:val="none"/>
        </w:rPr>
        <w:t>投标担保函</w:t>
      </w:r>
    </w:p>
    <w:p>
      <w:pPr>
        <w:spacing w:line="360" w:lineRule="auto"/>
        <w:ind w:right="1320"/>
        <w:jc w:val="center"/>
        <w:rPr>
          <w:rFonts w:ascii="宋体" w:hAnsi="宋体"/>
          <w:color w:val="auto"/>
          <w:szCs w:val="21"/>
          <w:highlight w:val="none"/>
        </w:rPr>
      </w:pPr>
      <w:r>
        <w:rPr>
          <w:rFonts w:hint="eastAsia" w:ascii="宋体" w:hAnsi="宋体"/>
          <w:color w:val="auto"/>
          <w:sz w:val="24"/>
          <w:highlight w:val="none"/>
        </w:rPr>
        <w:t xml:space="preserve">                                            </w:t>
      </w:r>
      <w:r>
        <w:rPr>
          <w:rFonts w:hint="eastAsia" w:ascii="宋体" w:hAnsi="宋体"/>
          <w:color w:val="auto"/>
          <w:szCs w:val="21"/>
          <w:highlight w:val="none"/>
        </w:rPr>
        <w:t xml:space="preserve">        编号：</w:t>
      </w:r>
    </w:p>
    <w:p>
      <w:pPr>
        <w:spacing w:beforeLines="200" w:afterLines="50" w:line="360" w:lineRule="auto"/>
        <w:rPr>
          <w:rFonts w:ascii="宋体" w:hAnsi="宋体"/>
          <w:b/>
          <w:color w:val="auto"/>
          <w:szCs w:val="21"/>
          <w:highlight w:val="none"/>
        </w:rPr>
      </w:pPr>
      <w:r>
        <w:rPr>
          <w:rFonts w:hint="eastAsia" w:ascii="宋体" w:hAnsi="宋体"/>
          <w:b/>
          <w:color w:val="auto"/>
          <w:szCs w:val="21"/>
          <w:highlight w:val="none"/>
          <w:lang w:eastAsia="zh-CN"/>
        </w:rPr>
        <w:t>华智建造价咨询有限公司</w:t>
      </w:r>
      <w:r>
        <w:rPr>
          <w:rFonts w:hint="eastAsia" w:ascii="宋体" w:hAnsi="宋体"/>
          <w:b/>
          <w:color w:val="auto"/>
          <w:szCs w:val="21"/>
          <w:highlight w:val="none"/>
        </w:rPr>
        <w:t xml:space="preserve">： </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鉴于_______________（以下简称投标人）拟参加编号为__________的___________________________________采购项目（以下简称本项目）投标，根据本项目招标文件，投标人参加投标时应向你方交纳投标保证金，且可以投标担保函的形式交纳投标保证金。应投标人的申请，我方以保证的方式向你方提供如下投标保证金担保：</w:t>
      </w:r>
    </w:p>
    <w:p>
      <w:pPr>
        <w:spacing w:line="360" w:lineRule="auto"/>
        <w:ind w:firstLine="316" w:firstLineChars="150"/>
        <w:rPr>
          <w:rFonts w:ascii="黑体" w:hAnsi="宋体" w:eastAsia="黑体"/>
          <w:b/>
          <w:color w:val="auto"/>
          <w:szCs w:val="21"/>
          <w:highlight w:val="none"/>
        </w:rPr>
      </w:pPr>
      <w:r>
        <w:rPr>
          <w:rFonts w:hint="eastAsia" w:ascii="黑体" w:hAnsi="宋体" w:eastAsia="黑体"/>
          <w:b/>
          <w:color w:val="auto"/>
          <w:szCs w:val="21"/>
          <w:highlight w:val="none"/>
        </w:rPr>
        <w:t xml:space="preserve">一、保证责任的情形及保证金额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（一）在投标人出现下列情形之一时，我方承担保证责任：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1．中标后投标人无正当理由不与采购人签订《政府采购合同》；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2．招标文件规定的投标人应当缴纳保证金的其他情形。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（二）我方承担保证责任的最高金额为人民币______元（大写__________________________），即本项目的投标保证金金额。 </w:t>
      </w:r>
    </w:p>
    <w:p>
      <w:pPr>
        <w:spacing w:line="360" w:lineRule="auto"/>
        <w:ind w:firstLine="422" w:firstLineChars="200"/>
        <w:rPr>
          <w:rFonts w:ascii="黑体" w:hAnsi="宋体" w:eastAsia="黑体"/>
          <w:b/>
          <w:color w:val="auto"/>
          <w:szCs w:val="21"/>
          <w:highlight w:val="none"/>
        </w:rPr>
      </w:pPr>
      <w:r>
        <w:rPr>
          <w:rFonts w:hint="eastAsia" w:ascii="黑体" w:hAnsi="宋体" w:eastAsia="黑体"/>
          <w:b/>
          <w:color w:val="auto"/>
          <w:szCs w:val="21"/>
          <w:highlight w:val="none"/>
        </w:rPr>
        <w:t xml:space="preserve">二、保证的方式及保证期间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我方保证的方式为：连带责任保证。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我方的保证期间为：自本保函生效之日起______个月止。 </w:t>
      </w:r>
    </w:p>
    <w:p>
      <w:pPr>
        <w:spacing w:line="360" w:lineRule="auto"/>
        <w:ind w:firstLine="422" w:firstLineChars="200"/>
        <w:rPr>
          <w:rFonts w:ascii="黑体" w:hAnsi="宋体" w:eastAsia="黑体"/>
          <w:b/>
          <w:color w:val="auto"/>
          <w:szCs w:val="21"/>
          <w:highlight w:val="none"/>
        </w:rPr>
      </w:pPr>
      <w:r>
        <w:rPr>
          <w:rFonts w:hint="eastAsia" w:ascii="黑体" w:hAnsi="宋体" w:eastAsia="黑体"/>
          <w:b/>
          <w:color w:val="auto"/>
          <w:szCs w:val="21"/>
          <w:highlight w:val="none"/>
        </w:rPr>
        <w:t xml:space="preserve">三、承担保证责任的程序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2.我方在收到索赔通知及相关证明材料后，在_____个工作日内进行审查，符合应承担保证责任情形的，我方应按照你方的要求代投标人向你方支付投标保证金。</w:t>
      </w:r>
    </w:p>
    <w:p>
      <w:pPr>
        <w:spacing w:line="360" w:lineRule="auto"/>
        <w:ind w:firstLine="422" w:firstLineChars="200"/>
        <w:rPr>
          <w:rFonts w:ascii="黑体" w:hAnsi="宋体" w:eastAsia="黑体"/>
          <w:b/>
          <w:color w:val="auto"/>
          <w:szCs w:val="21"/>
          <w:highlight w:val="none"/>
        </w:rPr>
      </w:pPr>
      <w:r>
        <w:rPr>
          <w:rFonts w:hint="eastAsia" w:ascii="黑体" w:hAnsi="宋体" w:eastAsia="黑体"/>
          <w:b/>
          <w:color w:val="auto"/>
          <w:szCs w:val="21"/>
          <w:highlight w:val="none"/>
        </w:rPr>
        <w:t xml:space="preserve">四、保证责任的终止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1．保证期间届满你方未向我方书面主张保证责任的，自保证期间届满次日起，我方保证责任自动终止。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2．我方按照本保函向你方履行了保证责任后，自我方向你方支付款项（支付款项从我方账户划出）之日起，保证责任终止。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3．按照法律法规的规定或出现我方保证责任终止的其它情形的，我方在本保函项下的保证责任亦终止。</w:t>
      </w:r>
    </w:p>
    <w:p>
      <w:pPr>
        <w:spacing w:line="360" w:lineRule="auto"/>
        <w:ind w:firstLine="422" w:firstLineChars="200"/>
        <w:rPr>
          <w:rFonts w:ascii="黑体" w:hAnsi="宋体" w:eastAsia="黑体"/>
          <w:b/>
          <w:color w:val="auto"/>
          <w:szCs w:val="21"/>
          <w:highlight w:val="none"/>
        </w:rPr>
      </w:pPr>
      <w:r>
        <w:rPr>
          <w:rFonts w:hint="eastAsia" w:ascii="黑体" w:hAnsi="宋体" w:eastAsia="黑体"/>
          <w:b/>
          <w:color w:val="auto"/>
          <w:szCs w:val="21"/>
          <w:highlight w:val="none"/>
        </w:rPr>
        <w:t xml:space="preserve">五、免责条款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1．依照法律规定或你方与投标人的另行约定，全部或者部分免除投标人投标保证金义务时，我方亦免除相应的保证责任。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2．因你方原因致使投标人发生本保函第一条第（一）款约定情形的，我方不承担保证责任。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3．因不可抗力造成投标人发生本保函第一条约定情形的，我方不承担保证责任。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4．你方或其他有权机关对招标文件进行任何澄清或修改，加重我方保证责任的，我方对加重部分不承担保证责任，但该澄清或修改经我方事先书面同意的除外。 </w:t>
      </w:r>
    </w:p>
    <w:p>
      <w:pPr>
        <w:spacing w:line="360" w:lineRule="auto"/>
        <w:ind w:firstLine="422" w:firstLineChars="200"/>
        <w:rPr>
          <w:rFonts w:ascii="黑体" w:hAnsi="宋体" w:eastAsia="黑体"/>
          <w:b/>
          <w:color w:val="auto"/>
          <w:szCs w:val="21"/>
          <w:highlight w:val="none"/>
        </w:rPr>
      </w:pPr>
      <w:r>
        <w:rPr>
          <w:rFonts w:hint="eastAsia" w:ascii="黑体" w:hAnsi="宋体" w:eastAsia="黑体"/>
          <w:b/>
          <w:color w:val="auto"/>
          <w:szCs w:val="21"/>
          <w:highlight w:val="none"/>
        </w:rPr>
        <w:t>六、争议的解决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因本保函发生的纠纷，由你我双方协商解决，协商不成的，通过诉讼程序解决，诉讼管辖地法院为________________法院。 </w:t>
      </w:r>
    </w:p>
    <w:p>
      <w:pPr>
        <w:spacing w:line="360" w:lineRule="auto"/>
        <w:ind w:firstLine="422" w:firstLineChars="200"/>
        <w:rPr>
          <w:rFonts w:ascii="黑体" w:hAnsi="宋体" w:eastAsia="黑体"/>
          <w:b/>
          <w:color w:val="auto"/>
          <w:szCs w:val="21"/>
          <w:highlight w:val="none"/>
        </w:rPr>
      </w:pPr>
      <w:r>
        <w:rPr>
          <w:rFonts w:hint="eastAsia" w:ascii="黑体" w:hAnsi="宋体" w:eastAsia="黑体"/>
          <w:b/>
          <w:color w:val="auto"/>
          <w:szCs w:val="21"/>
          <w:highlight w:val="none"/>
        </w:rPr>
        <w:t xml:space="preserve">七、保函的生效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本保函自我方加盖公章之日起生效。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ind w:right="640" w:firstLine="4305" w:firstLineChars="2050"/>
        <w:rPr>
          <w:rFonts w:ascii="宋体" w:hAnsi="宋体"/>
          <w:color w:val="auto"/>
          <w:szCs w:val="21"/>
          <w:highlight w:val="none"/>
        </w:rPr>
      </w:pPr>
      <w:r>
        <w:rPr>
          <w:rFonts w:hint="eastAsia" w:ascii="宋体" w:hAnsi="宋体"/>
          <w:color w:val="auto"/>
          <w:szCs w:val="21"/>
          <w:highlight w:val="none"/>
        </w:rPr>
        <w:t>保证人：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right="640" w:firstLine="3885" w:firstLineChars="1850"/>
        <w:rPr>
          <w:rFonts w:ascii="宋体" w:hAnsi="宋体"/>
          <w:color w:val="auto"/>
          <w:szCs w:val="21"/>
          <w:highlight w:val="none"/>
        </w:rPr>
      </w:pPr>
    </w:p>
    <w:p>
      <w:pPr>
        <w:spacing w:line="360" w:lineRule="auto"/>
        <w:ind w:right="640" w:firstLine="4935" w:firstLineChars="2350"/>
        <w:rPr>
          <w:rFonts w:ascii="宋体" w:hAnsi="宋体"/>
          <w:color w:val="auto"/>
          <w:szCs w:val="21"/>
          <w:highlight w:val="none"/>
        </w:rPr>
      </w:pPr>
      <w:r>
        <w:rPr>
          <w:rFonts w:hint="eastAsia" w:ascii="宋体" w:hAnsi="宋体"/>
          <w:color w:val="auto"/>
          <w:szCs w:val="21"/>
          <w:highlight w:val="none"/>
        </w:rPr>
        <w:t>20  年  月  日</w:t>
      </w:r>
    </w:p>
    <w:p>
      <w:pPr>
        <w:pStyle w:val="3"/>
        <w:rPr>
          <w:color w:val="auto"/>
          <w:highlight w:val="none"/>
        </w:rPr>
        <w:sectPr>
          <w:footerReference r:id="rId13" w:type="first"/>
          <w:footerReference r:id="rId12" w:type="default"/>
          <w:pgSz w:w="11907" w:h="16840"/>
          <w:pgMar w:top="1440" w:right="1474" w:bottom="1440" w:left="1474" w:header="851" w:footer="992" w:gutter="0"/>
          <w:pgNumType w:fmt="decimal" w:start="1"/>
          <w:cols w:space="720" w:num="1"/>
          <w:titlePg/>
        </w:sectPr>
      </w:pPr>
    </w:p>
    <w:p>
      <w:pPr>
        <w:spacing w:afterLines="50" w:line="360" w:lineRule="auto"/>
        <w:jc w:val="center"/>
        <w:outlineLvl w:val="0"/>
        <w:rPr>
          <w:rFonts w:ascii="黑体" w:hAnsi="宋体" w:eastAsia="黑体"/>
          <w:b/>
          <w:color w:val="auto"/>
          <w:sz w:val="44"/>
          <w:szCs w:val="44"/>
          <w:highlight w:val="none"/>
        </w:rPr>
      </w:pPr>
      <w:bookmarkStart w:id="107" w:name="_Toc8148"/>
      <w:r>
        <w:rPr>
          <w:rFonts w:hint="eastAsia" w:ascii="黑体" w:hAnsi="宋体" w:eastAsia="黑体"/>
          <w:b/>
          <w:color w:val="auto"/>
          <w:sz w:val="44"/>
          <w:szCs w:val="44"/>
          <w:highlight w:val="none"/>
        </w:rPr>
        <w:t>第三章</w:t>
      </w:r>
      <w:bookmarkStart w:id="108" w:name="_Toc217446093"/>
      <w:r>
        <w:rPr>
          <w:rFonts w:hint="eastAsia" w:ascii="黑体" w:hAnsi="宋体" w:eastAsia="黑体"/>
          <w:b/>
          <w:color w:val="auto"/>
          <w:sz w:val="44"/>
          <w:szCs w:val="44"/>
          <w:highlight w:val="none"/>
        </w:rPr>
        <w:t xml:space="preserve">  评标办法</w:t>
      </w:r>
      <w:bookmarkEnd w:id="10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根据《中华人民共和国政府采购法》及实施条例和《政府采购货物和服务招标投标管理办法》（财政部第87号令）等法律法规规定，结合采购项目特点制定本评标办法。</w:t>
      </w:r>
    </w:p>
    <w:p>
      <w:pPr>
        <w:spacing w:beforeLines="50" w:afterLines="50" w:line="360" w:lineRule="auto"/>
        <w:outlineLvl w:val="1"/>
        <w:rPr>
          <w:rFonts w:ascii="黑体" w:hAnsi="宋体" w:eastAsia="黑体"/>
          <w:b/>
          <w:color w:val="auto"/>
          <w:sz w:val="36"/>
          <w:szCs w:val="36"/>
          <w:highlight w:val="none"/>
        </w:rPr>
      </w:pPr>
      <w:bookmarkStart w:id="109" w:name="_Toc7719"/>
      <w:r>
        <w:rPr>
          <w:rFonts w:hint="eastAsia" w:ascii="黑体" w:hAnsi="宋体" w:eastAsia="黑体"/>
          <w:color w:val="auto"/>
          <w:sz w:val="36"/>
          <w:szCs w:val="36"/>
          <w:highlight w:val="none"/>
        </w:rPr>
        <w:t>1.</w:t>
      </w:r>
      <w:r>
        <w:rPr>
          <w:rFonts w:hint="eastAsia" w:ascii="黑体" w:hAnsi="宋体" w:eastAsia="黑体"/>
          <w:b/>
          <w:color w:val="auto"/>
          <w:sz w:val="36"/>
          <w:szCs w:val="36"/>
          <w:highlight w:val="none"/>
        </w:rPr>
        <w:t>评标程序</w:t>
      </w:r>
      <w:bookmarkEnd w:id="109"/>
    </w:p>
    <w:p>
      <w:pPr>
        <w:spacing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1.1评标按照下列程序进行：</w:t>
      </w:r>
    </w:p>
    <w:p>
      <w:pPr>
        <w:spacing w:line="360" w:lineRule="auto"/>
        <w:ind w:firstLine="495"/>
        <w:rPr>
          <w:rFonts w:ascii="宋体" w:hAnsi="宋体"/>
          <w:color w:val="auto"/>
          <w:szCs w:val="21"/>
          <w:highlight w:val="none"/>
        </w:rPr>
      </w:pPr>
      <w:r>
        <w:rPr>
          <w:rFonts w:hint="eastAsia" w:ascii="宋体" w:hAnsi="宋体"/>
          <w:color w:val="auto"/>
          <w:szCs w:val="21"/>
          <w:highlight w:val="none"/>
        </w:rPr>
        <w:t>（1）投标文件符合性审查；</w:t>
      </w:r>
    </w:p>
    <w:p>
      <w:pPr>
        <w:spacing w:line="360" w:lineRule="auto"/>
        <w:ind w:firstLine="495"/>
        <w:rPr>
          <w:rFonts w:ascii="宋体" w:hAnsi="宋体"/>
          <w:color w:val="auto"/>
          <w:szCs w:val="21"/>
          <w:highlight w:val="none"/>
        </w:rPr>
      </w:pPr>
      <w:r>
        <w:rPr>
          <w:rFonts w:hint="eastAsia" w:ascii="宋体" w:hAnsi="宋体"/>
          <w:color w:val="auto"/>
          <w:szCs w:val="21"/>
          <w:highlight w:val="none"/>
        </w:rPr>
        <w:t>（2）澄清有关问题；</w:t>
      </w:r>
    </w:p>
    <w:p>
      <w:pPr>
        <w:spacing w:line="360" w:lineRule="auto"/>
        <w:ind w:firstLine="495"/>
        <w:rPr>
          <w:rFonts w:ascii="宋体" w:hAnsi="宋体"/>
          <w:color w:val="auto"/>
          <w:szCs w:val="21"/>
          <w:highlight w:val="none"/>
        </w:rPr>
      </w:pPr>
      <w:r>
        <w:rPr>
          <w:rFonts w:hint="eastAsia" w:ascii="宋体" w:hAnsi="宋体"/>
          <w:color w:val="auto"/>
          <w:szCs w:val="21"/>
          <w:highlight w:val="none"/>
        </w:rPr>
        <w:t>（3）比较与评价；</w:t>
      </w:r>
    </w:p>
    <w:p>
      <w:pPr>
        <w:spacing w:line="360" w:lineRule="auto"/>
        <w:ind w:firstLine="495"/>
        <w:rPr>
          <w:rFonts w:ascii="宋体" w:hAnsi="宋体"/>
          <w:color w:val="auto"/>
          <w:szCs w:val="21"/>
          <w:highlight w:val="none"/>
        </w:rPr>
      </w:pPr>
      <w:r>
        <w:rPr>
          <w:rFonts w:hint="eastAsia" w:ascii="宋体" w:hAnsi="宋体"/>
          <w:color w:val="auto"/>
          <w:szCs w:val="21"/>
          <w:highlight w:val="none"/>
        </w:rPr>
        <w:t>（4）复核与核对评标结果；</w:t>
      </w:r>
    </w:p>
    <w:p>
      <w:pPr>
        <w:spacing w:line="360" w:lineRule="auto"/>
        <w:ind w:firstLine="495"/>
        <w:rPr>
          <w:rFonts w:ascii="宋体" w:hAnsi="宋体"/>
          <w:color w:val="auto"/>
          <w:szCs w:val="21"/>
          <w:highlight w:val="none"/>
        </w:rPr>
      </w:pPr>
      <w:r>
        <w:rPr>
          <w:rFonts w:hint="eastAsia" w:ascii="宋体" w:hAnsi="宋体"/>
          <w:color w:val="auto"/>
          <w:szCs w:val="21"/>
          <w:highlight w:val="none"/>
        </w:rPr>
        <w:t>（5）确定中标候选人名单；</w:t>
      </w:r>
    </w:p>
    <w:p>
      <w:pPr>
        <w:spacing w:line="360" w:lineRule="auto"/>
        <w:ind w:firstLine="495"/>
        <w:rPr>
          <w:rFonts w:ascii="宋体" w:hAnsi="宋体"/>
          <w:color w:val="auto"/>
          <w:szCs w:val="21"/>
          <w:highlight w:val="none"/>
        </w:rPr>
      </w:pPr>
      <w:r>
        <w:rPr>
          <w:rFonts w:hint="eastAsia" w:ascii="宋体" w:hAnsi="宋体"/>
          <w:color w:val="auto"/>
          <w:szCs w:val="21"/>
          <w:highlight w:val="none"/>
        </w:rPr>
        <w:t>（6）编写评标报告。</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1.2 投标文件符合性审查</w:t>
      </w:r>
    </w:p>
    <w:p>
      <w:pPr>
        <w:spacing w:afterLines="50" w:line="360" w:lineRule="auto"/>
        <w:ind w:firstLine="420" w:firstLineChars="200"/>
        <w:rPr>
          <w:rFonts w:ascii="宋体" w:hAnsi="宋体"/>
          <w:color w:val="auto"/>
          <w:szCs w:val="21"/>
          <w:highlight w:val="none"/>
        </w:rPr>
      </w:pPr>
      <w:r>
        <w:rPr>
          <w:rFonts w:hint="eastAsia" w:ascii="宋体" w:hAnsi="宋体"/>
          <w:color w:val="auto"/>
          <w:szCs w:val="21"/>
          <w:highlight w:val="none"/>
        </w:rPr>
        <w:t>1.2.1评标委员会依法对符合资格投标人的投标文件进行符合性审查。评标委员会从投标文件的有效性、完整性和对招标文件的响应程度进行审查，以确定其是否对招标文件实质性内容作出响应</w:t>
      </w:r>
      <w:r>
        <w:rPr>
          <w:rFonts w:hint="eastAsia" w:ascii="宋体" w:hAnsi="宋体" w:cs="宋体"/>
          <w:color w:val="auto"/>
          <w:kern w:val="0"/>
          <w:szCs w:val="21"/>
          <w:highlight w:val="none"/>
        </w:rPr>
        <w:t>（采购人可根据具体项目的情况对实质性要求作特别的具体规定）</w:t>
      </w:r>
      <w:r>
        <w:rPr>
          <w:rFonts w:hint="eastAsia" w:ascii="宋体" w:hAnsi="宋体"/>
          <w:color w:val="auto"/>
          <w:szCs w:val="21"/>
          <w:highlight w:val="none"/>
        </w:rPr>
        <w:t>。</w:t>
      </w:r>
    </w:p>
    <w:p>
      <w:pPr>
        <w:spacing w:afterLines="50" w:line="360" w:lineRule="auto"/>
        <w:ind w:firstLine="411" w:firstLineChars="196"/>
        <w:rPr>
          <w:rFonts w:ascii="宋体" w:hAnsi="宋体"/>
          <w:color w:val="auto"/>
          <w:szCs w:val="21"/>
          <w:highlight w:val="none"/>
        </w:rPr>
      </w:pPr>
      <w:r>
        <w:rPr>
          <w:rFonts w:hint="eastAsia" w:ascii="宋体" w:hAnsi="宋体"/>
          <w:color w:val="auto"/>
          <w:szCs w:val="21"/>
          <w:highlight w:val="none"/>
        </w:rPr>
        <w:t>1.2.2评标委员会按下列评审标准进行符合性审：</w:t>
      </w:r>
    </w:p>
    <w:tbl>
      <w:tblPr>
        <w:tblStyle w:val="29"/>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658"/>
        <w:gridCol w:w="3695"/>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84" w:type="dxa"/>
            <w:vAlign w:val="center"/>
          </w:tcPr>
          <w:p>
            <w:pPr>
              <w:tabs>
                <w:tab w:val="left" w:pos="0"/>
              </w:tabs>
              <w:adjustRightInd w:val="0"/>
              <w:snapToGrid w:val="0"/>
              <w:jc w:val="center"/>
              <w:rPr>
                <w:rFonts w:ascii="宋体" w:hAnsi="宋体"/>
                <w:b/>
                <w:color w:val="auto"/>
                <w:sz w:val="24"/>
                <w:highlight w:val="none"/>
              </w:rPr>
            </w:pPr>
            <w:r>
              <w:rPr>
                <w:rFonts w:hint="eastAsia" w:ascii="宋体" w:hAnsi="宋体"/>
                <w:b/>
                <w:color w:val="auto"/>
                <w:sz w:val="24"/>
                <w:highlight w:val="none"/>
              </w:rPr>
              <w:t>序号</w:t>
            </w:r>
          </w:p>
        </w:tc>
        <w:tc>
          <w:tcPr>
            <w:tcW w:w="4353" w:type="dxa"/>
            <w:gridSpan w:val="2"/>
            <w:vAlign w:val="center"/>
          </w:tcPr>
          <w:p>
            <w:pPr>
              <w:tabs>
                <w:tab w:val="left" w:pos="0"/>
              </w:tabs>
              <w:adjustRightInd w:val="0"/>
              <w:snapToGrid w:val="0"/>
              <w:jc w:val="center"/>
              <w:rPr>
                <w:rFonts w:ascii="宋体" w:hAnsi="宋体"/>
                <w:b/>
                <w:color w:val="auto"/>
                <w:sz w:val="24"/>
                <w:highlight w:val="none"/>
              </w:rPr>
            </w:pPr>
            <w:r>
              <w:rPr>
                <w:rFonts w:hint="eastAsia" w:ascii="宋体" w:hAnsi="宋体"/>
                <w:b/>
                <w:color w:val="auto"/>
                <w:sz w:val="24"/>
                <w:highlight w:val="none"/>
              </w:rPr>
              <w:t>评审因素</w:t>
            </w:r>
          </w:p>
        </w:tc>
        <w:tc>
          <w:tcPr>
            <w:tcW w:w="4338" w:type="dxa"/>
            <w:vAlign w:val="center"/>
          </w:tcPr>
          <w:p>
            <w:pPr>
              <w:tabs>
                <w:tab w:val="left" w:pos="0"/>
              </w:tabs>
              <w:adjustRightInd w:val="0"/>
              <w:snapToGrid w:val="0"/>
              <w:jc w:val="center"/>
              <w:rPr>
                <w:rFonts w:ascii="宋体" w:hAnsi="宋体"/>
                <w:b/>
                <w:color w:val="auto"/>
                <w:sz w:val="24"/>
                <w:highlight w:val="none"/>
              </w:rPr>
            </w:pPr>
            <w:r>
              <w:rPr>
                <w:rFonts w:hint="eastAsia" w:ascii="宋体" w:hAnsi="宋体"/>
                <w:b/>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84" w:type="dxa"/>
            <w:vMerge w:val="restart"/>
            <w:vAlign w:val="center"/>
          </w:tcPr>
          <w:p>
            <w:pP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658" w:type="dxa"/>
            <w:vMerge w:val="restart"/>
            <w:vAlign w:val="center"/>
          </w:tcPr>
          <w:p>
            <w:pP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有效性审查</w:t>
            </w: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（1）投标文件的签署盖章</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（2）投标文件格式、语言、计量单位、报价货币</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（3）电子文件（U盘或移动硬盘）</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（4）报价唯一</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84" w:type="dxa"/>
            <w:vMerge w:val="restart"/>
            <w:vAlign w:val="center"/>
          </w:tcPr>
          <w:p>
            <w:pP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658" w:type="dxa"/>
            <w:vMerge w:val="restart"/>
            <w:vAlign w:val="center"/>
          </w:tcPr>
          <w:p>
            <w:pP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完整性审查</w:t>
            </w: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（5）投标文件份数</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应符合“投标人须知前附表”规定的正本、副本、电子文件数量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（6）投标文件内容</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84" w:type="dxa"/>
            <w:vMerge w:val="restart"/>
            <w:vAlign w:val="center"/>
          </w:tcPr>
          <w:p>
            <w:pP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658" w:type="dxa"/>
            <w:vMerge w:val="restart"/>
            <w:vAlign w:val="center"/>
          </w:tcPr>
          <w:p>
            <w:pP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投标文件的响应程度审查</w:t>
            </w: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（7）对招标文件响应程度</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（8）拟提供服务要求（技术参数）</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应满足招标文件提出的技术和功能要求。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（9）服务期限</w:t>
            </w:r>
          </w:p>
        </w:tc>
        <w:tc>
          <w:tcPr>
            <w:tcW w:w="4338"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应满足招标文件中要求的服务期限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84" w:type="dxa"/>
            <w:vMerge w:val="continue"/>
          </w:tcPr>
          <w:p>
            <w:pPr>
              <w:tabs>
                <w:tab w:val="left" w:pos="0"/>
              </w:tabs>
              <w:adjustRightInd w:val="0"/>
              <w:snapToGrid w:val="0"/>
              <w:spacing w:line="360" w:lineRule="auto"/>
              <w:rPr>
                <w:rFonts w:ascii="宋体" w:hAnsi="宋体"/>
                <w:color w:val="auto"/>
                <w:szCs w:val="21"/>
                <w:highlight w:val="none"/>
              </w:rPr>
            </w:pPr>
          </w:p>
        </w:tc>
        <w:tc>
          <w:tcPr>
            <w:tcW w:w="658" w:type="dxa"/>
            <w:vMerge w:val="continue"/>
          </w:tcPr>
          <w:p>
            <w:pPr>
              <w:tabs>
                <w:tab w:val="left" w:pos="0"/>
              </w:tabs>
              <w:adjustRightInd w:val="0"/>
              <w:snapToGrid w:val="0"/>
              <w:spacing w:line="360" w:lineRule="auto"/>
              <w:rPr>
                <w:rFonts w:ascii="宋体" w:hAnsi="宋体"/>
                <w:color w:val="auto"/>
                <w:szCs w:val="21"/>
                <w:highlight w:val="none"/>
              </w:rPr>
            </w:pPr>
          </w:p>
        </w:tc>
        <w:tc>
          <w:tcPr>
            <w:tcW w:w="3695" w:type="dxa"/>
            <w:vAlign w:val="center"/>
          </w:tcPr>
          <w:p>
            <w:pPr>
              <w:tabs>
                <w:tab w:val="left" w:pos="0"/>
              </w:tabs>
              <w:adjustRightInd w:val="0"/>
              <w:snapToGrid w:val="0"/>
              <w:rPr>
                <w:rFonts w:hint="eastAsia" w:ascii="宋体" w:hAnsi="宋体"/>
                <w:color w:val="auto"/>
                <w:szCs w:val="21"/>
                <w:highlight w:val="none"/>
              </w:rPr>
            </w:pPr>
            <w:r>
              <w:rPr>
                <w:rFonts w:hint="eastAsia" w:ascii="宋体" w:hAnsi="宋体"/>
                <w:color w:val="auto"/>
                <w:szCs w:val="21"/>
                <w:highlight w:val="none"/>
              </w:rPr>
              <w:t>（10）投标有效期</w:t>
            </w:r>
          </w:p>
        </w:tc>
        <w:tc>
          <w:tcPr>
            <w:tcW w:w="4338" w:type="dxa"/>
            <w:vAlign w:val="center"/>
          </w:tcPr>
          <w:p>
            <w:pPr>
              <w:tabs>
                <w:tab w:val="left" w:pos="0"/>
              </w:tabs>
              <w:adjustRightInd w:val="0"/>
              <w:snapToGrid w:val="0"/>
              <w:rPr>
                <w:rFonts w:hint="eastAsia" w:ascii="宋体" w:hAnsi="宋体"/>
                <w:color w:val="auto"/>
                <w:szCs w:val="21"/>
                <w:highlight w:val="none"/>
              </w:rPr>
            </w:pPr>
            <w:r>
              <w:rPr>
                <w:rFonts w:hint="eastAsia" w:ascii="宋体" w:hAnsi="宋体"/>
                <w:color w:val="auto"/>
                <w:szCs w:val="21"/>
                <w:highlight w:val="none"/>
              </w:rPr>
              <w:t>应满足招标文件中的规定</w:t>
            </w:r>
          </w:p>
        </w:tc>
      </w:tr>
    </w:tbl>
    <w:p>
      <w:pPr>
        <w:tabs>
          <w:tab w:val="left" w:pos="0"/>
        </w:tabs>
        <w:adjustRightInd w:val="0"/>
        <w:snapToGrid w:val="0"/>
        <w:spacing w:beforeLines="100"/>
        <w:ind w:firstLine="411" w:firstLineChars="196"/>
        <w:rPr>
          <w:rFonts w:ascii="楷体" w:hAnsi="楷体" w:eastAsia="楷体" w:cs="宋体"/>
          <w:color w:val="auto"/>
          <w:kern w:val="0"/>
          <w:sz w:val="24"/>
          <w:highlight w:val="none"/>
        </w:rPr>
      </w:pPr>
      <w:r>
        <w:rPr>
          <w:rFonts w:hint="eastAsia" w:ascii="楷体" w:hAnsi="楷体" w:eastAsia="楷体"/>
          <w:color w:val="auto"/>
          <w:szCs w:val="21"/>
          <w:highlight w:val="none"/>
        </w:rPr>
        <w:t>说明：以上各项有1项不合格，评审不予通过，作为</w:t>
      </w:r>
      <w:r>
        <w:rPr>
          <w:rFonts w:hint="eastAsia" w:ascii="楷体" w:hAnsi="楷体" w:eastAsia="楷体" w:cs="宋体"/>
          <w:color w:val="auto"/>
          <w:kern w:val="0"/>
          <w:szCs w:val="21"/>
          <w:highlight w:val="none"/>
        </w:rPr>
        <w:t>未实质性响应招标文件。</w:t>
      </w:r>
    </w:p>
    <w:p>
      <w:pPr>
        <w:spacing w:beforeLines="100" w:line="360" w:lineRule="auto"/>
        <w:ind w:firstLine="420" w:firstLineChars="200"/>
        <w:rPr>
          <w:rFonts w:ascii="宋体" w:hAnsi="宋体"/>
          <w:color w:val="auto"/>
          <w:szCs w:val="21"/>
          <w:highlight w:val="none"/>
        </w:rPr>
      </w:pPr>
      <w:r>
        <w:rPr>
          <w:rFonts w:hint="eastAsia" w:ascii="宋体" w:hAnsi="宋体"/>
          <w:color w:val="auto"/>
          <w:szCs w:val="21"/>
          <w:highlight w:val="none"/>
        </w:rPr>
        <w:t>1.2.3 未通过符合性检查的投标文件，不得进入后续评标环节。</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1.3 投标文件的澄清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为有助于投标文件的审查、比较和评价，评标委员会可以书面形式要求投标人对其投标文件中含义不明确、同类问题表述不一致或者有明显文字和计算错误的内容作必要的澄清、说明或者补正。有关澄清、说明或者补正应以书面形式提交，并由其法定代表人或委托代理人签字。评标委员会不接受投标人主动提出的澄清、说明或者补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1.3.2 投标人的澄清、说明或者补正不得超出投标文件的范围或者改变投标文件的实质性内容，并构成为投标文件的组成部分。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1.3.3 评标委员会对投标人提交的澄清、说明或者补正有疑问的，可以要求投标人进一步澄清、说明或者补正，直至满足评标委员会的要求。</w:t>
      </w:r>
    </w:p>
    <w:p>
      <w:pPr>
        <w:spacing w:beforeLines="50" w:afterLines="50" w:line="360" w:lineRule="auto"/>
        <w:jc w:val="left"/>
        <w:outlineLvl w:val="2"/>
        <w:rPr>
          <w:rFonts w:ascii="宋体" w:hAnsi="宋体"/>
          <w:b/>
          <w:color w:val="auto"/>
          <w:sz w:val="30"/>
          <w:szCs w:val="30"/>
          <w:highlight w:val="none"/>
        </w:rPr>
      </w:pPr>
      <w:r>
        <w:rPr>
          <w:rFonts w:hint="eastAsia" w:ascii="宋体" w:hAnsi="宋体"/>
          <w:b/>
          <w:color w:val="auto"/>
          <w:sz w:val="30"/>
          <w:szCs w:val="30"/>
          <w:highlight w:val="none"/>
        </w:rPr>
        <w:t>1.4 投标文件比较与评价</w:t>
      </w:r>
    </w:p>
    <w:p>
      <w:pPr>
        <w:tabs>
          <w:tab w:val="left" w:pos="0"/>
        </w:tabs>
        <w:adjustRightInd w:val="0"/>
        <w:snapToGrid w:val="0"/>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1.4.1 </w:t>
      </w:r>
      <w:r>
        <w:rPr>
          <w:rFonts w:hint="eastAsia" w:ascii="宋体" w:hAnsi="宋体"/>
          <w:bCs/>
          <w:color w:val="auto"/>
          <w:szCs w:val="21"/>
          <w:highlight w:val="none"/>
        </w:rPr>
        <w:t>评标委员会应按照招标文件中规定的评标方法</w:t>
      </w:r>
      <w:r>
        <w:rPr>
          <w:rFonts w:hint="eastAsia" w:ascii="宋体" w:hAnsi="宋体"/>
          <w:color w:val="auto"/>
          <w:szCs w:val="21"/>
          <w:highlight w:val="none"/>
        </w:rPr>
        <w:t>和标准，</w:t>
      </w:r>
      <w:r>
        <w:rPr>
          <w:rFonts w:hint="eastAsia" w:ascii="宋体" w:hAnsi="宋体"/>
          <w:bCs/>
          <w:color w:val="auto"/>
          <w:szCs w:val="21"/>
          <w:highlight w:val="none"/>
        </w:rPr>
        <w:t>对</w:t>
      </w:r>
      <w:r>
        <w:rPr>
          <w:rFonts w:hint="eastAsia" w:ascii="宋体" w:hAnsi="宋体"/>
          <w:color w:val="auto"/>
          <w:szCs w:val="21"/>
          <w:highlight w:val="none"/>
        </w:rPr>
        <w:t>符合性检查</w:t>
      </w:r>
      <w:r>
        <w:rPr>
          <w:rFonts w:hint="eastAsia" w:ascii="宋体" w:hAnsi="宋体"/>
          <w:bCs/>
          <w:color w:val="auto"/>
          <w:szCs w:val="21"/>
          <w:highlight w:val="none"/>
        </w:rPr>
        <w:t>通过的投标文件进行商务和技术评估，综合比较与评价。</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1.4.2 如果投标文件没有实质性响应招标文件的要求，评标委员会将予以拒绝。投标人不得通过修正或撤销不合要求的偏离或保留，从而使其投标成为实质性响应的投标。</w:t>
      </w:r>
    </w:p>
    <w:p>
      <w:pPr>
        <w:spacing w:before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1.5 复核与核对评标结果</w:t>
      </w:r>
    </w:p>
    <w:p>
      <w:pPr>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1.5.1 评分汇总结束后，评标委员会应当进行复核，特别要对拟推荐中标候选人的、报价最低的、投标文件被认定无效的进行重点复核。</w:t>
      </w:r>
    </w:p>
    <w:p>
      <w:pPr>
        <w:pStyle w:val="51"/>
        <w:spacing w:line="360" w:lineRule="auto"/>
        <w:ind w:firstLine="420" w:firstLineChars="200"/>
        <w:rPr>
          <w:rFonts w:ascii="宋体" w:hAnsi="宋体"/>
          <w:color w:val="auto"/>
          <w:highlight w:val="none"/>
        </w:rPr>
      </w:pPr>
      <w:r>
        <w:rPr>
          <w:rFonts w:hint="eastAsia" w:ascii="宋体" w:hAnsi="宋体"/>
          <w:color w:val="auto"/>
          <w:highlight w:val="none"/>
        </w:rPr>
        <w:t>1.5.2 评标结果汇总完成后，</w:t>
      </w:r>
      <w:r>
        <w:rPr>
          <w:rFonts w:ascii="宋体" w:hAnsi="宋体"/>
          <w:color w:val="auto"/>
          <w:highlight w:val="none"/>
        </w:rPr>
        <w:t>评标报告签署前，</w:t>
      </w:r>
      <w:r>
        <w:rPr>
          <w:rFonts w:hint="eastAsia" w:ascii="宋体" w:hAnsi="宋体"/>
          <w:color w:val="auto"/>
          <w:highlight w:val="none"/>
        </w:rPr>
        <w:t>采购代理机构应当</w:t>
      </w:r>
      <w:r>
        <w:rPr>
          <w:rFonts w:ascii="宋体" w:hAnsi="宋体"/>
          <w:bCs/>
          <w:color w:val="auto"/>
          <w:highlight w:val="none"/>
        </w:rPr>
        <w:t>核对评标结果，</w:t>
      </w:r>
      <w:r>
        <w:rPr>
          <w:rFonts w:ascii="宋体" w:hAnsi="宋体"/>
          <w:color w:val="auto"/>
          <w:highlight w:val="none"/>
        </w:rPr>
        <w:t>除下列情形外，任何人不得修改评标结果：</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）分值汇总计算错误的；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）分项评分超出评分标准范围的；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）评标委员会对客观评审因素评分不一致的；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）经评标委员会认定评分畸高、畸低的。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经复核发现存在以上情形之一的，评标委员会应当当场修改评标结果，并在评标报告中记载</w:t>
      </w:r>
      <w:r>
        <w:rPr>
          <w:rFonts w:hint="eastAsia" w:ascii="宋体" w:hAnsi="宋体"/>
          <w:color w:val="auto"/>
          <w:szCs w:val="21"/>
          <w:highlight w:val="none"/>
        </w:rPr>
        <w:t>。</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1.6 确定中标候选人名单</w:t>
      </w:r>
    </w:p>
    <w:p>
      <w:pPr>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定标及定标程序祥见第二章第9.1、9.2条款。</w:t>
      </w:r>
    </w:p>
    <w:p>
      <w:pPr>
        <w:spacing w:beforeLines="50" w:afterLines="50" w:line="360" w:lineRule="auto"/>
        <w:outlineLvl w:val="2"/>
        <w:rPr>
          <w:rFonts w:ascii="宋体" w:hAnsi="宋体"/>
          <w:b/>
          <w:color w:val="auto"/>
          <w:sz w:val="30"/>
          <w:szCs w:val="30"/>
          <w:highlight w:val="none"/>
        </w:rPr>
      </w:pPr>
      <w:r>
        <w:rPr>
          <w:rFonts w:hint="eastAsia" w:ascii="宋体" w:hAnsi="宋体"/>
          <w:b/>
          <w:color w:val="auto"/>
          <w:sz w:val="30"/>
          <w:szCs w:val="30"/>
          <w:highlight w:val="none"/>
        </w:rPr>
        <w:t>1.7 编写评标报告</w:t>
      </w:r>
    </w:p>
    <w:p>
      <w:pPr>
        <w:spacing w:beforeLines="50" w:line="360" w:lineRule="auto"/>
        <w:ind w:firstLine="482"/>
        <w:rPr>
          <w:rFonts w:ascii="宋体" w:hAnsi="宋体"/>
          <w:color w:val="auto"/>
          <w:szCs w:val="21"/>
          <w:highlight w:val="none"/>
        </w:rPr>
      </w:pPr>
      <w:r>
        <w:rPr>
          <w:rFonts w:hint="eastAsia" w:ascii="宋体" w:hAnsi="宋体"/>
          <w:color w:val="auto"/>
          <w:szCs w:val="21"/>
          <w:highlight w:val="none"/>
        </w:rPr>
        <w:t>1.7.1 评标委员会在确定中标候选人名单后，应当编写评标报告并向采购人出具。评标报告应当包括以下内容：</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（1）招标公告刊登的媒体名称、开标日期和地点；</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（2）投标人名单和评标委员会成员名单；</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（3）评标方法和标准；</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（4）开标记录和评标情况及说明，包括无效投标人名单及原因；</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（5）评标结果，确定的中标候选人名单；</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（6）其他需要说明的情况，包括评标过程中投标人根据评标委员会要求进行的澄清、说明或者补正，评标委员会成员的更换等，报价最高的投标人为第一中标候选人的，对其报价合理性予以特别书面。</w:t>
      </w:r>
    </w:p>
    <w:p>
      <w:pPr>
        <w:widowControl/>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spacing w:beforeLines="50" w:afterLines="50" w:line="360" w:lineRule="auto"/>
        <w:outlineLvl w:val="1"/>
        <w:rPr>
          <w:rFonts w:ascii="黑体" w:hAnsi="宋体" w:eastAsia="黑体"/>
          <w:b/>
          <w:color w:val="auto"/>
          <w:sz w:val="36"/>
          <w:szCs w:val="36"/>
          <w:highlight w:val="none"/>
        </w:rPr>
      </w:pPr>
      <w:bookmarkStart w:id="110" w:name="_Toc30055"/>
      <w:r>
        <w:rPr>
          <w:rFonts w:hint="eastAsia" w:ascii="黑体" w:hAnsi="宋体" w:eastAsia="黑体"/>
          <w:b/>
          <w:color w:val="auto"/>
          <w:sz w:val="36"/>
          <w:szCs w:val="36"/>
          <w:highlight w:val="none"/>
        </w:rPr>
        <w:t>2.评标方法</w:t>
      </w:r>
      <w:bookmarkEnd w:id="110"/>
    </w:p>
    <w:p>
      <w:pPr>
        <w:pStyle w:val="7"/>
        <w:spacing w:beforeLines="50" w:afterLines="50" w:line="360" w:lineRule="auto"/>
        <w:ind w:firstLine="0"/>
        <w:outlineLvl w:val="2"/>
        <w:rPr>
          <w:rFonts w:ascii="宋体" w:hAnsi="宋体"/>
          <w:b/>
          <w:color w:val="auto"/>
          <w:sz w:val="30"/>
          <w:szCs w:val="30"/>
          <w:highlight w:val="none"/>
        </w:rPr>
      </w:pPr>
      <w:r>
        <w:rPr>
          <w:rFonts w:hint="eastAsia" w:ascii="宋体" w:hAnsi="宋体"/>
          <w:b/>
          <w:color w:val="auto"/>
          <w:sz w:val="30"/>
          <w:szCs w:val="30"/>
          <w:highlight w:val="none"/>
        </w:rPr>
        <w:t>2.1综合评分法</w:t>
      </w:r>
    </w:p>
    <w:p>
      <w:pPr>
        <w:widowControl/>
        <w:spacing w:line="45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本采购项目评标方法采用综合评分法。即</w:t>
      </w:r>
      <w:r>
        <w:rPr>
          <w:rFonts w:hint="eastAsia" w:ascii="宋体" w:hAnsi="宋体" w:cs="宋体"/>
          <w:color w:val="auto"/>
          <w:kern w:val="0"/>
          <w:szCs w:val="21"/>
          <w:highlight w:val="none"/>
        </w:rPr>
        <w:t>投标文件满足招标文件全部实质性要求，且按照评审因素的量化指标评审得分最高的投标人为中标候选人的评标方法。</w:t>
      </w:r>
    </w:p>
    <w:p>
      <w:pPr>
        <w:widowControl/>
        <w:autoSpaceDE w:val="0"/>
        <w:autoSpaceDN w:val="0"/>
        <w:spacing w:beforeLines="50" w:afterLines="50" w:line="360" w:lineRule="auto"/>
        <w:ind w:right="51"/>
        <w:textAlignment w:val="bottom"/>
        <w:outlineLvl w:val="2"/>
        <w:rPr>
          <w:rFonts w:ascii="宋体" w:hAnsi="宋体"/>
          <w:b/>
          <w:color w:val="auto"/>
          <w:sz w:val="30"/>
          <w:szCs w:val="30"/>
          <w:highlight w:val="none"/>
        </w:rPr>
      </w:pPr>
      <w:r>
        <w:rPr>
          <w:rFonts w:hint="eastAsia" w:ascii="宋体" w:hAnsi="宋体"/>
          <w:b/>
          <w:color w:val="auto"/>
          <w:sz w:val="30"/>
          <w:szCs w:val="30"/>
          <w:highlight w:val="none"/>
        </w:rPr>
        <w:t xml:space="preserve">2.2 </w:t>
      </w:r>
      <w:r>
        <w:rPr>
          <w:rFonts w:hint="eastAsia"/>
          <w:b/>
          <w:color w:val="auto"/>
          <w:sz w:val="30"/>
          <w:szCs w:val="30"/>
          <w:highlight w:val="none"/>
        </w:rPr>
        <w:t>评标细则及标准</w:t>
      </w:r>
    </w:p>
    <w:p>
      <w:pPr>
        <w:pStyle w:val="16"/>
        <w:adjustRightInd w:val="0"/>
        <w:snapToGrid w:val="0"/>
        <w:spacing w:line="360" w:lineRule="auto"/>
        <w:ind w:firstLine="420" w:firstLineChars="200"/>
        <w:rPr>
          <w:rFonts w:hAnsi="宋体"/>
          <w:bCs/>
          <w:color w:val="auto"/>
          <w:highlight w:val="none"/>
        </w:rPr>
      </w:pPr>
      <w:r>
        <w:rPr>
          <w:rFonts w:hint="eastAsia" w:hAnsi="宋体"/>
          <w:color w:val="auto"/>
          <w:highlight w:val="none"/>
        </w:rPr>
        <w:t xml:space="preserve">2.2.1 </w:t>
      </w:r>
      <w:r>
        <w:rPr>
          <w:rFonts w:hint="eastAsia" w:hAnsi="宋体"/>
          <w:bCs/>
          <w:color w:val="auto"/>
          <w:highlight w:val="none"/>
        </w:rPr>
        <w:t>评标委员会将综合分析投标人的各项评审因素，而不以单项评审因素的优劣评选出中标人。对所有投标人的投标评估，都采用相同的程序和标准，严格按照招标文件的要求和条件进行。</w:t>
      </w:r>
    </w:p>
    <w:p>
      <w:pPr>
        <w:tabs>
          <w:tab w:val="left" w:pos="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评审因素包括：投标报价、服务方案、履约能力</w:t>
      </w:r>
      <w:r>
        <w:rPr>
          <w:rFonts w:hint="eastAsia" w:ascii="宋体" w:hAnsi="宋体" w:cs="宋体"/>
          <w:color w:val="auto"/>
          <w:kern w:val="0"/>
          <w:szCs w:val="21"/>
          <w:highlight w:val="none"/>
        </w:rPr>
        <w:t>等</w:t>
      </w:r>
      <w:r>
        <w:rPr>
          <w:rFonts w:hint="eastAsia" w:ascii="宋体" w:hAnsi="宋体"/>
          <w:color w:val="auto"/>
          <w:szCs w:val="21"/>
          <w:highlight w:val="none"/>
        </w:rPr>
        <w:t>对招标文件的响应程度，以及相应的比重或者权值等，但不包括“投标人须知”第3.1条</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规定的投标人资格条件。</w:t>
      </w:r>
    </w:p>
    <w:p>
      <w:pPr>
        <w:pStyle w:val="16"/>
        <w:adjustRightInd w:val="0"/>
        <w:snapToGrid w:val="0"/>
        <w:spacing w:line="360" w:lineRule="auto"/>
        <w:ind w:left="810" w:leftChars="203" w:hanging="384" w:hangingChars="183"/>
        <w:rPr>
          <w:rFonts w:hAnsi="宋体"/>
          <w:bCs/>
          <w:color w:val="auto"/>
          <w:highlight w:val="none"/>
        </w:rPr>
      </w:pPr>
      <w:r>
        <w:rPr>
          <w:rFonts w:hint="eastAsia" w:hAnsi="宋体"/>
          <w:bCs/>
          <w:color w:val="auto"/>
          <w:highlight w:val="none"/>
        </w:rPr>
        <w:t>2.2.3 评标委员会按以下操作程序对投标人的投标文件进行综合评分：</w:t>
      </w:r>
    </w:p>
    <w:p>
      <w:pPr>
        <w:pStyle w:val="18"/>
        <w:widowControl/>
        <w:tabs>
          <w:tab w:val="left" w:pos="1506"/>
        </w:tabs>
        <w:adjustRightInd w:val="0"/>
        <w:snapToGrid w:val="0"/>
        <w:spacing w:line="360" w:lineRule="auto"/>
        <w:ind w:firstLineChars="300"/>
        <w:rPr>
          <w:rFonts w:ascii="宋体" w:hAnsi="宋体"/>
          <w:bCs/>
          <w:color w:val="auto"/>
          <w:sz w:val="21"/>
          <w:szCs w:val="21"/>
          <w:highlight w:val="none"/>
        </w:rPr>
      </w:pPr>
      <w:r>
        <w:rPr>
          <w:rFonts w:hint="eastAsia" w:ascii="宋体" w:hAnsi="宋体"/>
          <w:bCs/>
          <w:color w:val="auto"/>
          <w:sz w:val="21"/>
          <w:szCs w:val="21"/>
          <w:highlight w:val="none"/>
        </w:rPr>
        <w:t>2.2.3.1 根据招标文件和评标原则，按《评标办法》所列评分因素和各评分因素的权重进行评标。</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2.2.3.2 按照财政部87号令第五十五条文件的规定，以本次满足投标文件要求的</w:t>
      </w:r>
      <w:r>
        <w:rPr>
          <w:rFonts w:hint="eastAsia" w:ascii="宋体" w:hAnsi="宋体"/>
          <w:b/>
          <w:color w:val="auto"/>
          <w:szCs w:val="21"/>
          <w:highlight w:val="none"/>
        </w:rPr>
        <w:t>最低投标评审价为评标基准价</w:t>
      </w:r>
      <w:r>
        <w:rPr>
          <w:rFonts w:hint="eastAsia" w:ascii="宋体" w:hAnsi="宋体"/>
          <w:color w:val="auto"/>
          <w:szCs w:val="21"/>
          <w:highlight w:val="none"/>
        </w:rPr>
        <w:t>，其价格为满分。投标评审价按下列公示计算：</w:t>
      </w:r>
    </w:p>
    <w:p>
      <w:pPr>
        <w:spacing w:line="360" w:lineRule="auto"/>
        <w:ind w:firstLine="1046" w:firstLineChars="496"/>
        <w:rPr>
          <w:rFonts w:ascii="宋体" w:hAnsi="宋体"/>
          <w:b/>
          <w:color w:val="auto"/>
          <w:szCs w:val="21"/>
          <w:highlight w:val="none"/>
        </w:rPr>
      </w:pPr>
      <w:r>
        <w:rPr>
          <w:rFonts w:hint="eastAsia" w:ascii="宋体" w:hAnsi="宋体"/>
          <w:b/>
          <w:color w:val="auto"/>
          <w:szCs w:val="21"/>
          <w:highlight w:val="none"/>
        </w:rPr>
        <w:t>投标报价得分=(评审基准价／投标评审价)×20</w:t>
      </w:r>
    </w:p>
    <w:p>
      <w:pPr>
        <w:pStyle w:val="18"/>
        <w:widowControl/>
        <w:tabs>
          <w:tab w:val="left" w:pos="1506"/>
        </w:tabs>
        <w:adjustRightInd w:val="0"/>
        <w:snapToGrid w:val="0"/>
        <w:spacing w:line="360" w:lineRule="auto"/>
        <w:ind w:firstLineChars="300"/>
        <w:rPr>
          <w:rFonts w:ascii="宋体" w:hAnsi="宋体"/>
          <w:bCs/>
          <w:color w:val="auto"/>
          <w:sz w:val="21"/>
          <w:szCs w:val="21"/>
          <w:highlight w:val="none"/>
        </w:rPr>
      </w:pPr>
      <w:r>
        <w:rPr>
          <w:rFonts w:hint="eastAsia" w:ascii="宋体" w:hAnsi="宋体"/>
          <w:bCs/>
          <w:color w:val="auto"/>
          <w:sz w:val="21"/>
          <w:szCs w:val="21"/>
          <w:highlight w:val="none"/>
        </w:rPr>
        <w:t>2.2.3.3 由评标委员会成员独立地根据各项因素的评分标准，结合每个投标人的实际情况，分别就投标报价以外的各项评审因素对每个投标人独立打分。</w:t>
      </w:r>
    </w:p>
    <w:p>
      <w:pPr>
        <w:pStyle w:val="18"/>
        <w:widowControl/>
        <w:tabs>
          <w:tab w:val="left" w:pos="1506"/>
        </w:tabs>
        <w:adjustRightInd w:val="0"/>
        <w:snapToGrid w:val="0"/>
        <w:spacing w:line="360" w:lineRule="auto"/>
        <w:ind w:firstLineChars="300"/>
        <w:rPr>
          <w:rFonts w:ascii="宋体" w:hAnsi="宋体"/>
          <w:bCs/>
          <w:color w:val="auto"/>
          <w:sz w:val="21"/>
          <w:szCs w:val="21"/>
          <w:highlight w:val="none"/>
        </w:rPr>
      </w:pPr>
      <w:r>
        <w:rPr>
          <w:rFonts w:hint="eastAsia" w:ascii="宋体" w:hAnsi="宋体"/>
          <w:bCs/>
          <w:color w:val="auto"/>
          <w:sz w:val="21"/>
          <w:szCs w:val="21"/>
          <w:highlight w:val="none"/>
        </w:rPr>
        <w:t>2.2.3.4 将所有评审因素所得实际评审分数相加，即为该投标人的评审总得分。评审总得分按下例公式计算：</w:t>
      </w: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评审总得分＝F1＋F2＋……＋Fn</w:t>
      </w: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F1、F2……Fn分别为各项评审因素的汇总得分；</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2.2.3.5 评审过程中，不得去掉报价中的最高报价和最低报价。</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2.2.4 小型和微型企业的报价折扣幅度标准：</w:t>
      </w:r>
    </w:p>
    <w:p>
      <w:pPr>
        <w:spacing w:line="360" w:lineRule="auto"/>
        <w:ind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lang w:eastAsia="zh-CN"/>
        </w:rPr>
        <w:t>无。</w:t>
      </w:r>
      <w:r>
        <w:rPr>
          <w:rFonts w:hint="eastAsia" w:ascii="宋体" w:hAnsi="宋体"/>
          <w:color w:val="auto"/>
          <w:szCs w:val="21"/>
          <w:highlight w:val="none"/>
          <w:lang w:val="en-US" w:eastAsia="zh-CN"/>
        </w:rPr>
        <w:t>专门面向中小企业采购的项目，不再执行价格评审的优惠政策。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（1）文字表述的内容含义不明确；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（2）同类问题表述不一致；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（3）有明显文字和计算错误；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（4）提供的技术信息和数据资料不完整；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（5）投标文件未按招标文件要求进行装订或未编制目录、页码；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（6）评标委员会认定的其他非实质性偏离。</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文件有上述（1）至（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p>
    <w:p>
      <w:pPr>
        <w:pStyle w:val="14"/>
        <w:rPr>
          <w:color w:val="auto"/>
          <w:highlight w:val="none"/>
        </w:rPr>
      </w:pPr>
    </w:p>
    <w:p>
      <w:pPr>
        <w:rPr>
          <w:color w:val="auto"/>
          <w:highlight w:val="none"/>
        </w:rPr>
      </w:pPr>
    </w:p>
    <w:p>
      <w:pPr>
        <w:pStyle w:val="14"/>
        <w:rPr>
          <w:color w:val="auto"/>
          <w:highlight w:val="none"/>
        </w:rPr>
      </w:pPr>
    </w:p>
    <w:p>
      <w:pPr>
        <w:rPr>
          <w:rFonts w:hint="eastAsia" w:ascii="宋体" w:hAnsi="宋体"/>
          <w:b/>
          <w:color w:val="auto"/>
          <w:szCs w:val="32"/>
          <w:highlight w:val="none"/>
        </w:rPr>
      </w:pPr>
      <w:r>
        <w:rPr>
          <w:rFonts w:hint="eastAsia" w:ascii="宋体" w:hAnsi="宋体"/>
          <w:b/>
          <w:color w:val="auto"/>
          <w:szCs w:val="32"/>
          <w:highlight w:val="none"/>
        </w:rPr>
        <w:br w:type="page"/>
      </w:r>
    </w:p>
    <w:p>
      <w:pPr>
        <w:pStyle w:val="15"/>
        <w:tabs>
          <w:tab w:val="left" w:pos="600"/>
        </w:tabs>
        <w:spacing w:beforeLines="100" w:line="360" w:lineRule="auto"/>
        <w:ind w:firstLine="0"/>
        <w:jc w:val="center"/>
        <w:rPr>
          <w:rFonts w:ascii="宋体" w:hAnsi="宋体"/>
          <w:b/>
          <w:color w:val="auto"/>
          <w:szCs w:val="32"/>
          <w:highlight w:val="none"/>
        </w:rPr>
      </w:pPr>
      <w:r>
        <w:rPr>
          <w:rFonts w:hint="eastAsia" w:ascii="宋体" w:hAnsi="宋体"/>
          <w:b/>
          <w:color w:val="auto"/>
          <w:szCs w:val="32"/>
          <w:highlight w:val="none"/>
        </w:rPr>
        <w:t>耕地质量等级评定及上图入库</w:t>
      </w:r>
      <w:r>
        <w:rPr>
          <w:rFonts w:hint="eastAsia" w:ascii="宋体" w:hAnsi="宋体"/>
          <w:b/>
          <w:color w:val="auto"/>
          <w:szCs w:val="32"/>
          <w:highlight w:val="none"/>
          <w:lang w:val="en-US" w:eastAsia="zh-CN"/>
        </w:rPr>
        <w:t>标段</w:t>
      </w:r>
      <w:r>
        <w:rPr>
          <w:rFonts w:hint="eastAsia" w:ascii="宋体" w:hAnsi="宋体"/>
          <w:b/>
          <w:color w:val="auto"/>
          <w:szCs w:val="32"/>
          <w:highlight w:val="none"/>
        </w:rPr>
        <w:t>评标办法</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center"/>
              <w:rPr>
                <w:rFonts w:ascii="宋体" w:hAnsi="宋体" w:cs="宋体"/>
                <w:b/>
                <w:bCs/>
                <w:color w:val="auto"/>
                <w:szCs w:val="21"/>
                <w:highlight w:val="none"/>
              </w:rPr>
            </w:pPr>
            <w:r>
              <w:rPr>
                <w:rFonts w:hint="eastAsia" w:ascii="宋体" w:hAnsi="宋体" w:cs="宋体"/>
                <w:b/>
                <w:color w:val="auto"/>
                <w:szCs w:val="21"/>
                <w:highlight w:val="none"/>
              </w:rPr>
              <w:t>投标</w:t>
            </w:r>
            <w:r>
              <w:rPr>
                <w:rFonts w:hint="eastAsia" w:ascii="宋体" w:hAnsi="宋体" w:cs="宋体"/>
                <w:b/>
                <w:bCs/>
                <w:color w:val="auto"/>
                <w:szCs w:val="21"/>
                <w:highlight w:val="none"/>
              </w:rPr>
              <w:t>报价</w:t>
            </w:r>
          </w:p>
          <w:p>
            <w:pPr>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（20分）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ascii="宋体" w:hAnsi="宋体" w:cs="宋体"/>
                <w:color w:val="auto"/>
                <w:szCs w:val="21"/>
                <w:highlight w:val="none"/>
              </w:rPr>
            </w:pPr>
            <w:r>
              <w:rPr>
                <w:rFonts w:hint="eastAsia"/>
                <w:color w:val="auto"/>
                <w:szCs w:val="21"/>
                <w:highlight w:val="none"/>
              </w:rPr>
              <w:t>按本章第2.2.3和2.2.4条款规定进行评审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项目的总体分析</w:t>
            </w:r>
          </w:p>
          <w:p>
            <w:pPr>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（15分）</w:t>
            </w:r>
          </w:p>
        </w:tc>
        <w:tc>
          <w:tcPr>
            <w:tcW w:w="7729" w:type="dxa"/>
            <w:tcBorders>
              <w:top w:val="single" w:color="auto" w:sz="4" w:space="0"/>
              <w:left w:val="single" w:color="auto" w:sz="4" w:space="0"/>
              <w:right w:val="single" w:color="auto" w:sz="4" w:space="0"/>
            </w:tcBorders>
            <w:vAlign w:val="center"/>
          </w:tcPr>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投标内容符合招标文件要求，对本项目背景、监测目标和原则进行分析：</w:t>
            </w:r>
          </w:p>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①理解全面、监测目标和原则理解透彻；得10-15分；</w:t>
            </w:r>
          </w:p>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②监测目标和原则理解</w:t>
            </w:r>
            <w:r>
              <w:rPr>
                <w:rFonts w:hint="eastAsia" w:ascii="宋体" w:hAnsi="宋体" w:cs="宋体"/>
                <w:color w:val="auto"/>
                <w:szCs w:val="21"/>
                <w:highlight w:val="none"/>
                <w:lang w:eastAsia="zh-CN"/>
              </w:rPr>
              <w:t>全面</w:t>
            </w:r>
            <w:r>
              <w:rPr>
                <w:rFonts w:hint="eastAsia" w:ascii="宋体" w:hAnsi="宋体" w:cs="宋体"/>
                <w:color w:val="auto"/>
                <w:szCs w:val="21"/>
                <w:highlight w:val="none"/>
              </w:rPr>
              <w:t>；得5-10分；</w:t>
            </w:r>
          </w:p>
          <w:p>
            <w:pPr>
              <w:spacing w:beforeLines="50" w:line="360" w:lineRule="auto"/>
              <w:rPr>
                <w:rFonts w:ascii="宋体" w:hAnsi="宋体" w:cs="宋体"/>
                <w:color w:val="auto"/>
                <w:szCs w:val="21"/>
                <w:highlight w:val="none"/>
              </w:rPr>
            </w:pPr>
            <w:r>
              <w:rPr>
                <w:rFonts w:hint="eastAsia" w:ascii="宋体" w:hAnsi="宋体" w:cs="宋体"/>
                <w:color w:val="auto"/>
                <w:szCs w:val="21"/>
                <w:highlight w:val="none"/>
              </w:rPr>
              <w:t>③理解不全面、监测目标和原则理解片面；得0-5分。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271" w:type="dxa"/>
            <w:tcBorders>
              <w:top w:val="single" w:color="auto" w:sz="4" w:space="0"/>
              <w:left w:val="single" w:color="auto" w:sz="4" w:space="0"/>
              <w:right w:val="single" w:color="auto" w:sz="4" w:space="0"/>
            </w:tcBorders>
            <w:vAlign w:val="center"/>
          </w:tcPr>
          <w:p>
            <w:pPr>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实施方案</w:t>
            </w:r>
          </w:p>
          <w:p>
            <w:pPr>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（20分）</w:t>
            </w:r>
          </w:p>
        </w:tc>
        <w:tc>
          <w:tcPr>
            <w:tcW w:w="7729" w:type="dxa"/>
            <w:tcBorders>
              <w:top w:val="single" w:color="auto" w:sz="4" w:space="0"/>
              <w:left w:val="single" w:color="auto" w:sz="4" w:space="0"/>
              <w:right w:val="single" w:color="auto" w:sz="4" w:space="0"/>
            </w:tcBorders>
            <w:vAlign w:val="center"/>
          </w:tcPr>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根据项目具体情况制定的实施方案：工作组织方案、各项管理制度的建立与管理、项目管理服务目标、监测方法及手段、数据库建立的措施、评价报告形成等。</w:t>
            </w:r>
          </w:p>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①内容全面、详尽、可行性强，得13-20分；</w:t>
            </w:r>
          </w:p>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②内容</w:t>
            </w:r>
            <w:r>
              <w:rPr>
                <w:rFonts w:hint="eastAsia" w:ascii="宋体" w:hAnsi="宋体" w:cs="宋体"/>
                <w:color w:val="auto"/>
                <w:szCs w:val="21"/>
                <w:highlight w:val="none"/>
                <w:lang w:eastAsia="zh-CN"/>
              </w:rPr>
              <w:t>完整、可行</w:t>
            </w:r>
            <w:r>
              <w:rPr>
                <w:rFonts w:hint="eastAsia" w:ascii="宋体" w:hAnsi="宋体" w:cs="宋体"/>
                <w:color w:val="auto"/>
                <w:szCs w:val="21"/>
                <w:highlight w:val="none"/>
              </w:rPr>
              <w:t>，得6-13分。</w:t>
            </w:r>
          </w:p>
          <w:p>
            <w:pPr>
              <w:spacing w:beforeLines="50" w:line="360" w:lineRule="auto"/>
              <w:rPr>
                <w:rFonts w:ascii="宋体" w:hAnsi="宋体" w:cs="宋体"/>
                <w:color w:val="auto"/>
                <w:szCs w:val="21"/>
                <w:highlight w:val="none"/>
              </w:rPr>
            </w:pPr>
            <w:r>
              <w:rPr>
                <w:rFonts w:hint="eastAsia" w:ascii="宋体" w:hAnsi="宋体" w:cs="宋体"/>
                <w:color w:val="auto"/>
                <w:szCs w:val="21"/>
                <w:highlight w:val="none"/>
              </w:rPr>
              <w:t>③内容欠缺，得0-6分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271" w:type="dxa"/>
            <w:tcBorders>
              <w:top w:val="single" w:color="auto" w:sz="4" w:space="0"/>
              <w:left w:val="single" w:color="auto" w:sz="4" w:space="0"/>
              <w:right w:val="single" w:color="auto" w:sz="4" w:space="0"/>
            </w:tcBorders>
            <w:vAlign w:val="center"/>
          </w:tcPr>
          <w:p>
            <w:pPr>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各项措施</w:t>
            </w:r>
          </w:p>
          <w:p>
            <w:pPr>
              <w:spacing w:beforeLines="50" w:line="360" w:lineRule="auto"/>
              <w:jc w:val="center"/>
              <w:rPr>
                <w:color w:val="auto"/>
                <w:highlight w:val="none"/>
              </w:rPr>
            </w:pPr>
            <w:r>
              <w:rPr>
                <w:rFonts w:hint="eastAsia" w:ascii="宋体" w:hAnsi="宋体" w:cs="宋体"/>
                <w:b/>
                <w:bCs/>
                <w:color w:val="auto"/>
                <w:szCs w:val="21"/>
                <w:highlight w:val="none"/>
              </w:rPr>
              <w:t>（15分）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进度、质量、安全保证、成果报告等各项服务保证措施：</w:t>
            </w:r>
          </w:p>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①</w:t>
            </w:r>
            <w:r>
              <w:rPr>
                <w:rFonts w:hint="eastAsia"/>
                <w:color w:val="auto"/>
                <w:highlight w:val="none"/>
                <w:lang w:val="en-US" w:eastAsia="zh-CN"/>
              </w:rPr>
              <w:t>科学、合理、可行性强</w:t>
            </w:r>
            <w:r>
              <w:rPr>
                <w:rFonts w:hint="eastAsia" w:ascii="宋体" w:hAnsi="宋体" w:cs="宋体"/>
                <w:color w:val="auto"/>
                <w:szCs w:val="21"/>
                <w:highlight w:val="none"/>
              </w:rPr>
              <w:t>，得10-15分；</w:t>
            </w:r>
          </w:p>
          <w:p>
            <w:pPr>
              <w:pStyle w:val="13"/>
              <w:rPr>
                <w:rFonts w:ascii="宋体" w:hAnsi="宋体" w:cs="宋体"/>
                <w:color w:val="auto"/>
                <w:szCs w:val="21"/>
                <w:highlight w:val="none"/>
              </w:rPr>
            </w:pPr>
            <w:r>
              <w:rPr>
                <w:rFonts w:hint="eastAsia" w:ascii="宋体" w:hAnsi="宋体" w:cs="宋体"/>
                <w:color w:val="auto"/>
                <w:szCs w:val="21"/>
                <w:highlight w:val="none"/>
              </w:rPr>
              <w:t>②各项服务保证措施达到要求，得5-10分。</w:t>
            </w:r>
          </w:p>
          <w:p>
            <w:pPr>
              <w:spacing w:beforeLines="50" w:line="360" w:lineRule="auto"/>
              <w:rPr>
                <w:rFonts w:ascii="宋体" w:hAnsi="宋体" w:cs="宋体"/>
                <w:color w:val="auto"/>
                <w:szCs w:val="21"/>
                <w:highlight w:val="none"/>
              </w:rPr>
            </w:pPr>
            <w:r>
              <w:rPr>
                <w:rFonts w:hint="eastAsia" w:ascii="宋体" w:hAnsi="宋体" w:cs="宋体"/>
                <w:color w:val="auto"/>
                <w:szCs w:val="21"/>
                <w:highlight w:val="none"/>
              </w:rPr>
              <w:t>③各项服务保证措施不合理不能达到要求，或某项缺失，得0-5分。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人员配备（10分）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color w:val="auto"/>
                <w:highlight w:val="none"/>
              </w:rPr>
            </w:pPr>
            <w:r>
              <w:rPr>
                <w:rFonts w:hint="eastAsia" w:ascii="宋体" w:hAnsi="宋体" w:cs="宋体"/>
                <w:color w:val="auto"/>
                <w:szCs w:val="21"/>
                <w:highlight w:val="none"/>
              </w:rPr>
              <w:t>1、项目负责人：拟派项目负责人具有相关专业高级职称得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ascii="宋体" w:hAnsi="宋体" w:cs="宋体"/>
                <w:b/>
                <w:bCs/>
                <w:color w:val="auto"/>
                <w:szCs w:val="21"/>
                <w:highlight w:val="none"/>
              </w:rPr>
            </w:pP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2、配备的服务团队情况</w:t>
            </w:r>
          </w:p>
          <w:p>
            <w:pPr>
              <w:spacing w:beforeLines="50" w:line="360" w:lineRule="auto"/>
              <w:jc w:val="left"/>
              <w:rPr>
                <w:rFonts w:ascii="宋体" w:hAnsi="宋体" w:cs="宋体"/>
                <w:color w:val="auto"/>
                <w:szCs w:val="21"/>
                <w:highlight w:val="none"/>
              </w:rPr>
            </w:pPr>
            <w:r>
              <w:rPr>
                <w:rFonts w:hint="eastAsia" w:ascii="宋体" w:hAnsi="宋体" w:cs="宋体"/>
                <w:color w:val="auto"/>
                <w:szCs w:val="21"/>
                <w:highlight w:val="none"/>
              </w:rPr>
              <w:t>①项目服务团队完备、人员结构数量配备合理、相应专业技术人员齐全，分工明确、有具体的责任制度，得5-</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p>
            <w:pPr>
              <w:pStyle w:val="13"/>
              <w:rPr>
                <w:rFonts w:ascii="宋体" w:hAnsi="宋体" w:cs="宋体"/>
                <w:color w:val="auto"/>
                <w:szCs w:val="21"/>
                <w:highlight w:val="none"/>
              </w:rPr>
            </w:pPr>
            <w:r>
              <w:rPr>
                <w:rFonts w:hint="eastAsia" w:ascii="宋体" w:hAnsi="宋体" w:cs="宋体"/>
                <w:color w:val="auto"/>
                <w:szCs w:val="21"/>
                <w:highlight w:val="none"/>
              </w:rPr>
              <w:t>②项目服务团队、人员配备、相应专业技术人员</w:t>
            </w:r>
            <w:r>
              <w:rPr>
                <w:rFonts w:hint="eastAsia" w:ascii="宋体" w:hAnsi="宋体" w:cs="宋体"/>
                <w:color w:val="auto"/>
                <w:szCs w:val="21"/>
                <w:highlight w:val="none"/>
                <w:lang w:val="en-US" w:eastAsia="zh-CN"/>
              </w:rPr>
              <w:t>齐全</w:t>
            </w:r>
            <w:r>
              <w:rPr>
                <w:rFonts w:hint="eastAsia" w:ascii="宋体" w:hAnsi="宋体" w:cs="宋体"/>
                <w:color w:val="auto"/>
                <w:szCs w:val="21"/>
                <w:highlight w:val="none"/>
              </w:rPr>
              <w:t>，得3-5分；</w:t>
            </w:r>
          </w:p>
          <w:p>
            <w:pPr>
              <w:spacing w:beforeLines="50" w:line="360" w:lineRule="auto"/>
              <w:rPr>
                <w:rFonts w:ascii="宋体" w:hAnsi="宋体" w:cs="宋体"/>
                <w:color w:val="auto"/>
                <w:kern w:val="0"/>
                <w:szCs w:val="21"/>
                <w:highlight w:val="none"/>
              </w:rPr>
            </w:pPr>
            <w:r>
              <w:rPr>
                <w:rFonts w:hint="eastAsia" w:ascii="宋体" w:hAnsi="宋体" w:cs="宋体"/>
                <w:color w:val="auto"/>
                <w:szCs w:val="21"/>
                <w:highlight w:val="none"/>
              </w:rPr>
              <w:t>③项目服务团队、人员配备或重要岗位缺失、相应专业技术人员不全，得0-3分。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tcBorders>
              <w:top w:val="single" w:color="auto" w:sz="4" w:space="0"/>
              <w:left w:val="single" w:color="auto" w:sz="4" w:space="0"/>
              <w:right w:val="single" w:color="auto" w:sz="4" w:space="0"/>
            </w:tcBorders>
            <w:vAlign w:val="center"/>
          </w:tcPr>
          <w:p>
            <w:pPr>
              <w:widowControl/>
              <w:spacing w:beforeLines="50"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仪器设备</w:t>
            </w:r>
          </w:p>
          <w:p>
            <w:pPr>
              <w:widowControl/>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ascii="宋体" w:hAnsi="宋体" w:cs="宋体"/>
                <w:color w:val="auto"/>
                <w:kern w:val="0"/>
                <w:szCs w:val="21"/>
                <w:highlight w:val="none"/>
              </w:rPr>
            </w:pPr>
            <w:r>
              <w:rPr>
                <w:rFonts w:hint="eastAsia" w:ascii="宋体" w:hAnsi="宋体" w:cs="宋体"/>
                <w:color w:val="auto"/>
                <w:szCs w:val="21"/>
                <w:highlight w:val="none"/>
              </w:rPr>
              <w:t>针对本项目配备的仪器设备情况进行横向对比，计0-</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业绩</w:t>
            </w:r>
          </w:p>
          <w:p>
            <w:pPr>
              <w:widowControl/>
              <w:spacing w:beforeLines="5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10</w:t>
            </w:r>
            <w:r>
              <w:rPr>
                <w:rFonts w:hint="eastAsia" w:ascii="宋体" w:hAnsi="宋体" w:cs="宋体"/>
                <w:b/>
                <w:bCs/>
                <w:color w:val="auto"/>
                <w:szCs w:val="21"/>
                <w:highlight w:val="none"/>
              </w:rPr>
              <w:t>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ascii="宋体" w:hAnsi="宋体" w:cs="宋体"/>
                <w:color w:val="auto"/>
                <w:kern w:val="0"/>
                <w:szCs w:val="21"/>
                <w:highlight w:val="none"/>
              </w:rPr>
            </w:pPr>
            <w:r>
              <w:rPr>
                <w:rFonts w:hint="eastAsia" w:ascii="宋体" w:hAnsi="宋体" w:cs="宋体"/>
                <w:color w:val="auto"/>
                <w:sz w:val="22"/>
                <w:szCs w:val="22"/>
                <w:highlight w:val="none"/>
              </w:rPr>
              <w:t>近三年（20</w:t>
            </w:r>
            <w:r>
              <w:rPr>
                <w:rFonts w:hint="eastAsia" w:ascii="宋体" w:hAnsi="宋体" w:cs="宋体"/>
                <w:color w:val="auto"/>
                <w:sz w:val="22"/>
                <w:szCs w:val="22"/>
                <w:highlight w:val="none"/>
                <w:lang w:val="en-US" w:eastAsia="zh-CN"/>
              </w:rPr>
              <w:t>20</w:t>
            </w:r>
            <w:r>
              <w:rPr>
                <w:rFonts w:hint="eastAsia" w:ascii="宋体" w:hAnsi="宋体" w:cs="宋体"/>
                <w:color w:val="auto"/>
                <w:sz w:val="22"/>
                <w:szCs w:val="22"/>
                <w:highlight w:val="none"/>
              </w:rPr>
              <w:t>年7月至今）具有类似业绩，每提供一项得</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分，本项最多得</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105" w:firstLineChars="50"/>
              <w:rPr>
                <w:rFonts w:ascii="宋体" w:hAnsi="宋体" w:cs="宋体"/>
                <w:b/>
                <w:bCs/>
                <w:color w:val="auto"/>
                <w:szCs w:val="21"/>
                <w:highlight w:val="none"/>
              </w:rPr>
            </w:pPr>
            <w:r>
              <w:rPr>
                <w:rFonts w:hint="eastAsia" w:ascii="宋体" w:hAnsi="宋体" w:cs="宋体"/>
                <w:b/>
                <w:bCs/>
                <w:color w:val="auto"/>
                <w:szCs w:val="21"/>
                <w:highlight w:val="none"/>
              </w:rPr>
              <w:t>服务承诺</w:t>
            </w:r>
          </w:p>
          <w:p>
            <w:pPr>
              <w:spacing w:beforeLines="50" w:line="360" w:lineRule="auto"/>
              <w:ind w:firstLine="105" w:firstLineChars="50"/>
              <w:rPr>
                <w:rFonts w:ascii="宋体" w:hAnsi="宋体" w:cs="宋体"/>
                <w:color w:val="auto"/>
                <w:szCs w:val="21"/>
                <w:highlight w:val="none"/>
              </w:rPr>
            </w:pPr>
            <w:r>
              <w:rPr>
                <w:rFonts w:hint="eastAsia" w:ascii="宋体" w:hAnsi="宋体" w:cs="宋体"/>
                <w:b/>
                <w:bCs/>
                <w:color w:val="auto"/>
                <w:szCs w:val="21"/>
                <w:highlight w:val="none"/>
              </w:rPr>
              <w:t>（5分）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ascii="宋体" w:hAnsi="宋体" w:cs="宋体"/>
                <w:color w:val="auto"/>
                <w:szCs w:val="21"/>
                <w:highlight w:val="none"/>
              </w:rPr>
            </w:pPr>
            <w:r>
              <w:rPr>
                <w:rFonts w:hint="eastAsia" w:ascii="宋体" w:hAnsi="宋体" w:cs="宋体"/>
                <w:color w:val="auto"/>
                <w:szCs w:val="21"/>
                <w:highlight w:val="none"/>
              </w:rPr>
              <w:t>投标人可针对本项目提供详细的后续服务承诺。</w:t>
            </w:r>
          </w:p>
          <w:p>
            <w:pPr>
              <w:spacing w:beforeLines="50" w:line="360" w:lineRule="auto"/>
              <w:rPr>
                <w:rFonts w:ascii="宋体" w:hAnsi="宋体" w:cs="宋体"/>
                <w:color w:val="auto"/>
                <w:szCs w:val="21"/>
                <w:highlight w:val="none"/>
              </w:rPr>
            </w:pPr>
            <w:r>
              <w:rPr>
                <w:rFonts w:ascii="Calibri" w:hAnsi="Calibri" w:cs="Calibri"/>
                <w:color w:val="auto"/>
                <w:sz w:val="20"/>
                <w:szCs w:val="20"/>
                <w:highlight w:val="none"/>
              </w:rPr>
              <w:t>①</w:t>
            </w:r>
            <w:r>
              <w:rPr>
                <w:rFonts w:hint="eastAsia" w:ascii="宋体" w:hAnsi="宋体" w:cs="宋体"/>
                <w:color w:val="auto"/>
                <w:szCs w:val="21"/>
                <w:highlight w:val="none"/>
              </w:rPr>
              <w:t>服务承诺全面、详细计3-5分；</w:t>
            </w:r>
          </w:p>
          <w:p>
            <w:pPr>
              <w:spacing w:beforeLines="50" w:line="360" w:lineRule="auto"/>
              <w:rPr>
                <w:rFonts w:ascii="宋体" w:hAnsi="宋体" w:cs="宋体"/>
                <w:color w:val="auto"/>
                <w:szCs w:val="21"/>
                <w:highlight w:val="none"/>
              </w:rPr>
            </w:pPr>
            <w:r>
              <w:rPr>
                <w:rFonts w:ascii="Calibri" w:hAnsi="Calibri" w:cs="Calibri"/>
                <w:color w:val="auto"/>
                <w:sz w:val="20"/>
                <w:szCs w:val="20"/>
                <w:highlight w:val="none"/>
              </w:rPr>
              <w:t>②</w:t>
            </w:r>
            <w:r>
              <w:rPr>
                <w:rFonts w:hint="eastAsia" w:ascii="宋体" w:hAnsi="宋体" w:cs="宋体"/>
                <w:color w:val="auto"/>
                <w:szCs w:val="21"/>
                <w:highlight w:val="none"/>
              </w:rPr>
              <w:t>服务承诺不全面，或有缺项漏项的计0-3分。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2"/>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ascii="宋体" w:hAnsi="宋体" w:cs="宋体"/>
                <w:color w:val="auto"/>
                <w:szCs w:val="21"/>
                <w:highlight w:val="none"/>
              </w:rPr>
            </w:pPr>
            <w:r>
              <w:rPr>
                <w:rFonts w:hint="eastAsia" w:ascii="宋体" w:hAnsi="宋体" w:cs="宋体"/>
                <w:b/>
                <w:color w:val="auto"/>
                <w:szCs w:val="21"/>
                <w:highlight w:val="none"/>
              </w:rPr>
              <w:t>备注：以上所有证明文件须提供清晰复印件加盖投标人公章装订于正、副本中。</w:t>
            </w:r>
          </w:p>
        </w:tc>
      </w:tr>
    </w:tbl>
    <w:p>
      <w:pPr>
        <w:pStyle w:val="15"/>
        <w:tabs>
          <w:tab w:val="left" w:pos="600"/>
        </w:tabs>
        <w:spacing w:beforeLines="50" w:afterLines="50" w:line="360" w:lineRule="auto"/>
        <w:ind w:firstLine="0"/>
        <w:jc w:val="center"/>
        <w:outlineLvl w:val="2"/>
        <w:rPr>
          <w:rFonts w:hint="eastAsia" w:ascii="宋体" w:hAnsi="宋体"/>
          <w:b/>
          <w:color w:val="auto"/>
          <w:szCs w:val="32"/>
          <w:highlight w:val="none"/>
        </w:rPr>
      </w:pPr>
      <w:r>
        <w:rPr>
          <w:rFonts w:hint="eastAsia" w:ascii="宋体" w:hAnsi="宋体"/>
          <w:b/>
          <w:color w:val="auto"/>
          <w:szCs w:val="32"/>
          <w:highlight w:val="none"/>
        </w:rPr>
        <w:t>科技推广标段评标办法</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center"/>
              <w:rPr>
                <w:rFonts w:hint="eastAsia" w:ascii="宋体" w:hAnsi="宋体" w:cs="宋体"/>
                <w:color w:val="auto"/>
                <w:szCs w:val="21"/>
              </w:rPr>
            </w:pPr>
            <w:r>
              <w:rPr>
                <w:rFonts w:hint="eastAsia" w:ascii="宋体" w:hAnsi="宋体" w:cs="宋体"/>
                <w:color w:val="auto"/>
                <w:szCs w:val="21"/>
              </w:rPr>
              <w:t>投标报价</w:t>
            </w:r>
          </w:p>
          <w:p>
            <w:pPr>
              <w:spacing w:beforeLines="50" w:line="360" w:lineRule="auto"/>
              <w:jc w:val="center"/>
              <w:rPr>
                <w:rFonts w:ascii="宋体" w:hAnsi="宋体" w:cs="宋体"/>
                <w:b/>
                <w:bCs/>
                <w:color w:val="auto"/>
                <w:szCs w:val="21"/>
                <w:highlight w:val="yellow"/>
              </w:rPr>
            </w:pPr>
            <w:r>
              <w:rPr>
                <w:rFonts w:hint="eastAsia" w:ascii="宋体" w:hAnsi="宋体" w:cs="宋体"/>
                <w:color w:val="auto"/>
                <w:szCs w:val="21"/>
              </w:rPr>
              <w:t>（20分）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color w:val="auto"/>
                <w:szCs w:val="21"/>
                <w:highlight w:val="yellow"/>
              </w:rPr>
            </w:pPr>
            <w:r>
              <w:rPr>
                <w:rFonts w:hint="eastAsia" w:ascii="宋体" w:hAnsi="宋体" w:cs="宋体"/>
                <w:color w:val="auto"/>
                <w:szCs w:val="21"/>
              </w:rPr>
              <w:t>按本章第2.2.3和2.2.4条款规定进行评审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center"/>
              <w:rPr>
                <w:rFonts w:hint="eastAsia" w:ascii="宋体" w:hAnsi="宋体" w:cs="宋体"/>
                <w:color w:val="auto"/>
                <w:szCs w:val="21"/>
              </w:rPr>
            </w:pPr>
            <w:r>
              <w:rPr>
                <w:rFonts w:hint="eastAsia" w:ascii="宋体" w:hAnsi="宋体" w:cs="宋体"/>
                <w:color w:val="auto"/>
                <w:szCs w:val="21"/>
              </w:rPr>
              <w:t>项目的总体分析</w:t>
            </w:r>
          </w:p>
          <w:p>
            <w:pPr>
              <w:spacing w:beforeLines="50" w:line="360" w:lineRule="auto"/>
              <w:jc w:val="center"/>
              <w:rPr>
                <w:rFonts w:ascii="宋体" w:hAnsi="宋体" w:cs="宋体"/>
                <w:b/>
                <w:bCs/>
                <w:color w:val="auto"/>
                <w:szCs w:val="21"/>
                <w:highlight w:val="yellow"/>
              </w:rPr>
            </w:pPr>
            <w:r>
              <w:rPr>
                <w:rFonts w:hint="eastAsia" w:ascii="宋体" w:hAnsi="宋体" w:cs="宋体"/>
                <w:color w:val="auto"/>
                <w:szCs w:val="21"/>
              </w:rPr>
              <w:t>（10分）</w:t>
            </w:r>
          </w:p>
        </w:tc>
        <w:tc>
          <w:tcPr>
            <w:tcW w:w="7729" w:type="dxa"/>
            <w:tcBorders>
              <w:top w:val="single" w:color="auto" w:sz="4" w:space="0"/>
              <w:left w:val="single" w:color="auto" w:sz="4" w:space="0"/>
              <w:right w:val="single" w:color="auto" w:sz="4" w:space="0"/>
            </w:tcBorders>
            <w:vAlign w:val="center"/>
          </w:tcPr>
          <w:p>
            <w:pPr>
              <w:autoSpaceDE w:val="0"/>
              <w:spacing w:beforeLines="50" w:line="360" w:lineRule="auto"/>
              <w:ind w:hanging="3"/>
              <w:rPr>
                <w:rFonts w:ascii="宋体" w:hAnsi="宋体" w:cs="宋体"/>
                <w:color w:val="auto"/>
                <w:szCs w:val="21"/>
              </w:rPr>
            </w:pPr>
            <w:r>
              <w:rPr>
                <w:rFonts w:hint="eastAsia" w:ascii="宋体" w:hAnsi="宋体" w:cs="宋体"/>
                <w:color w:val="auto"/>
                <w:szCs w:val="21"/>
              </w:rPr>
              <w:t>对本项目的总体分析，包含背景、区域环境</w:t>
            </w:r>
            <w:r>
              <w:rPr>
                <w:rFonts w:hint="eastAsia" w:ascii="宋体" w:hAnsi="宋体" w:cs="宋体"/>
                <w:color w:val="auto"/>
                <w:szCs w:val="21"/>
                <w:lang w:eastAsia="zh-CN"/>
              </w:rPr>
              <w:t>、</w:t>
            </w:r>
            <w:r>
              <w:rPr>
                <w:rFonts w:hint="eastAsia" w:ascii="宋体" w:hAnsi="宋体" w:cs="宋体"/>
                <w:color w:val="auto"/>
                <w:szCs w:val="21"/>
                <w:lang w:val="en-US" w:eastAsia="zh-CN"/>
              </w:rPr>
              <w:t>作用与意义</w:t>
            </w:r>
            <w:r>
              <w:rPr>
                <w:rFonts w:hint="eastAsia" w:ascii="宋体" w:hAnsi="宋体" w:cs="宋体"/>
                <w:color w:val="auto"/>
                <w:szCs w:val="21"/>
              </w:rPr>
              <w:t>等：</w:t>
            </w:r>
          </w:p>
          <w:p>
            <w:pPr>
              <w:autoSpaceDE w:val="0"/>
              <w:spacing w:beforeLines="50" w:line="360" w:lineRule="auto"/>
              <w:ind w:hanging="3"/>
              <w:rPr>
                <w:rFonts w:ascii="宋体" w:hAnsi="宋体" w:cs="宋体"/>
                <w:color w:val="auto"/>
                <w:szCs w:val="21"/>
              </w:rPr>
            </w:pPr>
            <w:r>
              <w:rPr>
                <w:color w:val="auto"/>
                <w:szCs w:val="21"/>
              </w:rPr>
              <w:t>①</w:t>
            </w:r>
            <w:r>
              <w:rPr>
                <w:rFonts w:hint="eastAsia" w:ascii="宋体" w:hAnsi="宋体" w:cs="宋体"/>
                <w:color w:val="auto"/>
                <w:szCs w:val="21"/>
              </w:rPr>
              <w:t>分析详细、完整、清晰，得</w:t>
            </w:r>
            <w:r>
              <w:rPr>
                <w:color w:val="auto"/>
                <w:szCs w:val="21"/>
              </w:rPr>
              <w:t>5-10</w:t>
            </w:r>
            <w:r>
              <w:rPr>
                <w:rFonts w:hint="eastAsia" w:ascii="宋体" w:hAnsi="宋体" w:cs="宋体"/>
                <w:color w:val="auto"/>
                <w:szCs w:val="21"/>
              </w:rPr>
              <w:t>分；</w:t>
            </w:r>
          </w:p>
          <w:p>
            <w:pPr>
              <w:spacing w:beforeLines="50" w:line="360" w:lineRule="auto"/>
              <w:rPr>
                <w:color w:val="auto"/>
                <w:szCs w:val="21"/>
                <w:highlight w:val="yellow"/>
              </w:rPr>
            </w:pPr>
            <w:r>
              <w:rPr>
                <w:color w:val="auto"/>
                <w:szCs w:val="21"/>
              </w:rPr>
              <w:t>②</w:t>
            </w:r>
            <w:r>
              <w:rPr>
                <w:rFonts w:hint="eastAsia" w:ascii="宋体" w:hAnsi="宋体" w:cs="宋体"/>
                <w:color w:val="auto"/>
                <w:szCs w:val="21"/>
              </w:rPr>
              <w:t>分析简单、内容</w:t>
            </w:r>
            <w:r>
              <w:rPr>
                <w:rFonts w:hint="eastAsia" w:ascii="宋体" w:hAnsi="宋体" w:cs="宋体"/>
                <w:color w:val="auto"/>
                <w:szCs w:val="21"/>
                <w:lang w:val="en-US" w:eastAsia="zh-CN"/>
              </w:rPr>
              <w:t>较差</w:t>
            </w:r>
            <w:r>
              <w:rPr>
                <w:rFonts w:hint="eastAsia" w:ascii="宋体" w:hAnsi="宋体" w:cs="宋体"/>
                <w:color w:val="auto"/>
                <w:szCs w:val="21"/>
              </w:rPr>
              <w:t>，得</w:t>
            </w:r>
            <w:r>
              <w:rPr>
                <w:color w:val="auto"/>
                <w:szCs w:val="21"/>
              </w:rPr>
              <w:t>0-5</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271" w:type="dxa"/>
            <w:vMerge w:val="restart"/>
            <w:tcBorders>
              <w:top w:val="single" w:color="auto" w:sz="4" w:space="0"/>
              <w:left w:val="single" w:color="auto" w:sz="4" w:space="0"/>
              <w:right w:val="single" w:color="auto" w:sz="4" w:space="0"/>
            </w:tcBorders>
            <w:vAlign w:val="center"/>
          </w:tcPr>
          <w:p>
            <w:pPr>
              <w:spacing w:beforeLines="50" w:line="360" w:lineRule="auto"/>
              <w:jc w:val="center"/>
              <w:rPr>
                <w:rFonts w:ascii="宋体" w:hAnsi="宋体" w:cs="宋体"/>
                <w:b/>
                <w:bCs/>
                <w:color w:val="auto"/>
                <w:szCs w:val="21"/>
                <w:highlight w:val="yellow"/>
              </w:rPr>
            </w:pPr>
            <w:r>
              <w:rPr>
                <w:rFonts w:hint="eastAsia" w:ascii="宋体" w:hAnsi="宋体" w:cs="宋体"/>
                <w:color w:val="auto"/>
                <w:szCs w:val="21"/>
              </w:rPr>
              <w:t>实施方案（3</w:t>
            </w:r>
            <w:r>
              <w:rPr>
                <w:rFonts w:hint="eastAsia" w:ascii="宋体" w:hAnsi="宋体" w:cs="宋体"/>
                <w:color w:val="auto"/>
                <w:szCs w:val="21"/>
                <w:lang w:val="en-US" w:eastAsia="zh-CN"/>
              </w:rPr>
              <w:t>0</w:t>
            </w:r>
            <w:r>
              <w:rPr>
                <w:rFonts w:hint="eastAsia" w:ascii="宋体" w:hAnsi="宋体" w:cs="宋体"/>
                <w:color w:val="auto"/>
                <w:szCs w:val="21"/>
              </w:rPr>
              <w:t>分）</w:t>
            </w:r>
          </w:p>
        </w:tc>
        <w:tc>
          <w:tcPr>
            <w:tcW w:w="7729" w:type="dxa"/>
            <w:tcBorders>
              <w:top w:val="single" w:color="auto" w:sz="4" w:space="0"/>
              <w:left w:val="single" w:color="auto" w:sz="4" w:space="0"/>
              <w:right w:val="single" w:color="auto" w:sz="4" w:space="0"/>
            </w:tcBorders>
            <w:vAlign w:val="center"/>
          </w:tcPr>
          <w:p>
            <w:pPr>
              <w:numPr>
                <w:ilvl w:val="0"/>
                <w:numId w:val="5"/>
              </w:numPr>
              <w:autoSpaceDE w:val="0"/>
              <w:spacing w:beforeLines="50" w:line="360" w:lineRule="auto"/>
              <w:ind w:hanging="3"/>
              <w:rPr>
                <w:color w:val="auto"/>
              </w:rPr>
            </w:pPr>
            <w:r>
              <w:rPr>
                <w:rFonts w:hint="eastAsia"/>
                <w:color w:val="auto"/>
              </w:rPr>
              <w:t>科技推广的组织措施进行说明：</w:t>
            </w:r>
          </w:p>
          <w:p>
            <w:pPr>
              <w:autoSpaceDE w:val="0"/>
              <w:spacing w:beforeLines="50" w:line="360" w:lineRule="auto"/>
              <w:rPr>
                <w:rFonts w:ascii="宋体" w:hAnsi="宋体" w:cs="宋体"/>
                <w:color w:val="auto"/>
                <w:szCs w:val="21"/>
              </w:rPr>
            </w:pPr>
            <w:r>
              <w:rPr>
                <w:color w:val="auto"/>
                <w:szCs w:val="21"/>
              </w:rPr>
              <w:t>①</w:t>
            </w:r>
            <w:r>
              <w:rPr>
                <w:rFonts w:hint="eastAsia"/>
                <w:color w:val="auto"/>
                <w:szCs w:val="21"/>
                <w:lang w:val="en-US" w:eastAsia="zh-CN"/>
              </w:rPr>
              <w:t>措施完整、</w:t>
            </w:r>
            <w:r>
              <w:rPr>
                <w:rFonts w:hint="eastAsia" w:ascii="宋体" w:hAnsi="宋体" w:cs="宋体"/>
                <w:color w:val="auto"/>
                <w:szCs w:val="21"/>
              </w:rPr>
              <w:t>针对性强，具体可行得10分～15分；</w:t>
            </w:r>
          </w:p>
          <w:p>
            <w:pPr>
              <w:autoSpaceDE w:val="0"/>
              <w:spacing w:beforeLines="50" w:line="360" w:lineRule="auto"/>
              <w:rPr>
                <w:color w:val="auto"/>
                <w:szCs w:val="21"/>
              </w:rPr>
            </w:pPr>
            <w:r>
              <w:rPr>
                <w:color w:val="auto"/>
                <w:szCs w:val="21"/>
              </w:rPr>
              <w:t>②</w:t>
            </w:r>
            <w:r>
              <w:rPr>
                <w:rFonts w:hint="eastAsia"/>
                <w:color w:val="auto"/>
                <w:szCs w:val="21"/>
              </w:rPr>
              <w:t>针对性</w:t>
            </w:r>
            <w:r>
              <w:rPr>
                <w:rFonts w:hint="eastAsia"/>
                <w:color w:val="auto"/>
                <w:szCs w:val="21"/>
                <w:lang w:val="en-US" w:eastAsia="zh-CN"/>
              </w:rPr>
              <w:t>较差，</w:t>
            </w:r>
            <w:r>
              <w:rPr>
                <w:rFonts w:hint="eastAsia"/>
                <w:color w:val="auto"/>
                <w:szCs w:val="21"/>
              </w:rPr>
              <w:t>基本可行得5分～10分；</w:t>
            </w:r>
          </w:p>
          <w:p>
            <w:pPr>
              <w:autoSpaceDE w:val="0"/>
              <w:spacing w:beforeLines="50" w:line="360" w:lineRule="auto"/>
              <w:rPr>
                <w:color w:val="auto"/>
              </w:rPr>
            </w:pPr>
            <w:r>
              <w:rPr>
                <w:color w:val="auto"/>
                <w:szCs w:val="21"/>
              </w:rPr>
              <w:t>③</w:t>
            </w:r>
            <w:r>
              <w:rPr>
                <w:rFonts w:hint="eastAsia"/>
                <w:color w:val="auto"/>
                <w:szCs w:val="21"/>
              </w:rPr>
              <w:t>可行性</w:t>
            </w:r>
            <w:r>
              <w:rPr>
                <w:rFonts w:hint="eastAsia"/>
                <w:color w:val="auto"/>
                <w:szCs w:val="21"/>
                <w:lang w:val="en-US" w:eastAsia="zh-CN"/>
              </w:rPr>
              <w:t>较差</w:t>
            </w:r>
            <w:r>
              <w:rPr>
                <w:rFonts w:hint="eastAsia"/>
                <w:color w:val="auto"/>
                <w:szCs w:val="21"/>
              </w:rPr>
              <w:t>得</w:t>
            </w:r>
            <w:r>
              <w:rPr>
                <w:color w:val="auto"/>
                <w:szCs w:val="21"/>
              </w:rPr>
              <w:t>0</w:t>
            </w:r>
            <w:r>
              <w:rPr>
                <w:rFonts w:hint="eastAsia"/>
                <w:color w:val="auto"/>
                <w:szCs w:val="21"/>
              </w:rPr>
              <w:t>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271" w:type="dxa"/>
            <w:vMerge w:val="continue"/>
            <w:tcBorders>
              <w:left w:val="single" w:color="auto" w:sz="4" w:space="0"/>
              <w:right w:val="single" w:color="auto" w:sz="4" w:space="0"/>
            </w:tcBorders>
            <w:vAlign w:val="center"/>
          </w:tcPr>
          <w:p>
            <w:pPr>
              <w:spacing w:beforeLines="50" w:line="360" w:lineRule="auto"/>
              <w:jc w:val="center"/>
              <w:rPr>
                <w:rFonts w:ascii="宋体" w:hAnsi="宋体" w:cs="宋体"/>
                <w:b/>
                <w:bCs/>
                <w:color w:val="auto"/>
                <w:szCs w:val="21"/>
                <w:highlight w:val="yellow"/>
              </w:rPr>
            </w:pPr>
          </w:p>
        </w:tc>
        <w:tc>
          <w:tcPr>
            <w:tcW w:w="7729" w:type="dxa"/>
            <w:tcBorders>
              <w:top w:val="single" w:color="auto" w:sz="4" w:space="0"/>
              <w:left w:val="single" w:color="auto" w:sz="4" w:space="0"/>
              <w:right w:val="single" w:color="auto" w:sz="4" w:space="0"/>
            </w:tcBorders>
            <w:vAlign w:val="center"/>
          </w:tcPr>
          <w:p>
            <w:pPr>
              <w:autoSpaceDE w:val="0"/>
              <w:spacing w:beforeLines="50" w:line="360" w:lineRule="auto"/>
              <w:rPr>
                <w:rFonts w:ascii="宋体" w:hAnsi="宋体" w:cs="宋体"/>
                <w:color w:val="auto"/>
                <w:szCs w:val="21"/>
              </w:rPr>
            </w:pPr>
            <w:r>
              <w:rPr>
                <w:rFonts w:hint="eastAsia" w:ascii="宋体" w:hAnsi="宋体" w:cs="宋体"/>
                <w:color w:val="auto"/>
                <w:szCs w:val="21"/>
              </w:rPr>
              <w:t>2、提供详尽的培训方案及培训计划，并列出培训的具体内容及组织形式，确保使用人员能够有效提高技能，（包括：培训人数、培训时间、培训内容等）。</w:t>
            </w:r>
          </w:p>
          <w:p>
            <w:pPr>
              <w:autoSpaceDE w:val="0"/>
              <w:spacing w:beforeLines="50" w:line="360" w:lineRule="auto"/>
              <w:rPr>
                <w:rFonts w:ascii="宋体" w:hAnsi="宋体" w:cs="宋体"/>
                <w:color w:val="auto"/>
                <w:szCs w:val="21"/>
              </w:rPr>
            </w:pPr>
            <w:r>
              <w:rPr>
                <w:color w:val="auto"/>
                <w:szCs w:val="21"/>
              </w:rPr>
              <w:t>①</w:t>
            </w:r>
            <w:r>
              <w:rPr>
                <w:rFonts w:hint="eastAsia"/>
                <w:color w:val="auto"/>
                <w:szCs w:val="21"/>
                <w:lang w:val="en-US" w:eastAsia="zh-CN"/>
              </w:rPr>
              <w:t>方案完整、</w:t>
            </w:r>
            <w:r>
              <w:rPr>
                <w:rFonts w:hint="eastAsia" w:ascii="宋体" w:hAnsi="宋体" w:cs="宋体"/>
                <w:color w:val="auto"/>
                <w:szCs w:val="21"/>
              </w:rPr>
              <w:t>针对性强，具体可行得1</w:t>
            </w:r>
            <w:r>
              <w:rPr>
                <w:rFonts w:hint="eastAsia" w:ascii="宋体" w:hAnsi="宋体" w:cs="宋体"/>
                <w:color w:val="auto"/>
                <w:szCs w:val="21"/>
                <w:lang w:val="en-US" w:eastAsia="zh-CN"/>
              </w:rPr>
              <w:t>0</w:t>
            </w:r>
            <w:r>
              <w:rPr>
                <w:rFonts w:hint="eastAsia" w:ascii="宋体" w:hAnsi="宋体" w:cs="宋体"/>
                <w:color w:val="auto"/>
                <w:szCs w:val="21"/>
              </w:rPr>
              <w:t>分～</w:t>
            </w:r>
            <w:r>
              <w:rPr>
                <w:rFonts w:hint="eastAsia" w:ascii="宋体" w:hAnsi="宋体" w:cs="宋体"/>
                <w:color w:val="auto"/>
                <w:szCs w:val="21"/>
                <w:lang w:val="en-US" w:eastAsia="zh-CN"/>
              </w:rPr>
              <w:t>15</w:t>
            </w:r>
            <w:r>
              <w:rPr>
                <w:rFonts w:hint="eastAsia" w:ascii="宋体" w:hAnsi="宋体" w:cs="宋体"/>
                <w:color w:val="auto"/>
                <w:szCs w:val="21"/>
              </w:rPr>
              <w:t>分；</w:t>
            </w:r>
          </w:p>
          <w:p>
            <w:pPr>
              <w:autoSpaceDE w:val="0"/>
              <w:spacing w:beforeLines="50" w:line="360" w:lineRule="auto"/>
              <w:rPr>
                <w:color w:val="auto"/>
                <w:szCs w:val="21"/>
              </w:rPr>
            </w:pPr>
            <w:r>
              <w:rPr>
                <w:color w:val="auto"/>
                <w:szCs w:val="21"/>
              </w:rPr>
              <w:t>②</w:t>
            </w:r>
            <w:r>
              <w:rPr>
                <w:rFonts w:hint="eastAsia" w:ascii="宋体" w:hAnsi="宋体" w:cs="宋体"/>
                <w:color w:val="auto"/>
                <w:szCs w:val="21"/>
              </w:rPr>
              <w:t>针对性</w:t>
            </w:r>
            <w:r>
              <w:rPr>
                <w:rFonts w:hint="eastAsia" w:ascii="宋体" w:hAnsi="宋体" w:cs="宋体"/>
                <w:color w:val="auto"/>
                <w:szCs w:val="21"/>
                <w:lang w:val="en-US" w:eastAsia="zh-CN"/>
              </w:rPr>
              <w:t>较差，</w:t>
            </w:r>
            <w:r>
              <w:rPr>
                <w:rFonts w:hint="eastAsia"/>
                <w:color w:val="auto"/>
                <w:szCs w:val="21"/>
              </w:rPr>
              <w:t>基本可行得5分～10分；</w:t>
            </w:r>
          </w:p>
          <w:p>
            <w:pPr>
              <w:autoSpaceDE w:val="0"/>
              <w:spacing w:beforeLines="50" w:line="360" w:lineRule="auto"/>
              <w:rPr>
                <w:color w:val="auto"/>
                <w:szCs w:val="21"/>
                <w:highlight w:val="yellow"/>
              </w:rPr>
            </w:pPr>
            <w:r>
              <w:rPr>
                <w:color w:val="auto"/>
                <w:szCs w:val="21"/>
              </w:rPr>
              <w:t>③</w:t>
            </w:r>
            <w:r>
              <w:rPr>
                <w:rFonts w:hint="eastAsia"/>
                <w:color w:val="auto"/>
                <w:szCs w:val="21"/>
              </w:rPr>
              <w:t>可行性</w:t>
            </w:r>
            <w:r>
              <w:rPr>
                <w:rFonts w:hint="eastAsia"/>
                <w:color w:val="auto"/>
                <w:szCs w:val="21"/>
                <w:lang w:val="en-US" w:eastAsia="zh-CN"/>
              </w:rPr>
              <w:t>较差</w:t>
            </w:r>
            <w:r>
              <w:rPr>
                <w:rFonts w:hint="eastAsia"/>
                <w:color w:val="auto"/>
                <w:szCs w:val="21"/>
              </w:rPr>
              <w:t>得</w:t>
            </w:r>
            <w:r>
              <w:rPr>
                <w:color w:val="auto"/>
                <w:szCs w:val="21"/>
              </w:rPr>
              <w:t>0</w:t>
            </w:r>
            <w:r>
              <w:rPr>
                <w:rFonts w:hint="eastAsia" w:ascii="宋体" w:hAnsi="宋体" w:cs="宋体"/>
                <w:color w:val="auto"/>
                <w:szCs w:val="21"/>
              </w:rPr>
              <w:t>分～</w:t>
            </w:r>
            <w:r>
              <w:rPr>
                <w:rFonts w:hint="eastAsia"/>
                <w:color w:val="auto"/>
                <w:szCs w:val="21"/>
                <w:lang w:val="en-US" w:eastAsia="zh-CN"/>
              </w:rPr>
              <w:t>8</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271" w:type="dxa"/>
            <w:tcBorders>
              <w:top w:val="single" w:color="auto" w:sz="4" w:space="0"/>
              <w:left w:val="single" w:color="auto" w:sz="4" w:space="0"/>
              <w:right w:val="single" w:color="auto" w:sz="4" w:space="0"/>
            </w:tcBorders>
            <w:vAlign w:val="center"/>
          </w:tcPr>
          <w:p>
            <w:pPr>
              <w:spacing w:beforeLines="50" w:line="360" w:lineRule="auto"/>
              <w:jc w:val="center"/>
              <w:rPr>
                <w:rFonts w:hint="eastAsia" w:ascii="宋体" w:hAnsi="宋体" w:cs="宋体"/>
                <w:color w:val="auto"/>
                <w:szCs w:val="21"/>
              </w:rPr>
            </w:pPr>
            <w:r>
              <w:rPr>
                <w:rFonts w:hint="eastAsia" w:ascii="宋体" w:hAnsi="宋体" w:cs="宋体"/>
                <w:color w:val="auto"/>
                <w:szCs w:val="21"/>
              </w:rPr>
              <w:t>人员配置</w:t>
            </w:r>
          </w:p>
          <w:p>
            <w:pPr>
              <w:spacing w:beforeLines="50" w:line="360" w:lineRule="auto"/>
              <w:jc w:val="center"/>
              <w:rPr>
                <w:rFonts w:ascii="宋体" w:hAnsi="宋体" w:cs="宋体"/>
                <w:b/>
                <w:bCs/>
                <w:color w:val="auto"/>
                <w:szCs w:val="21"/>
                <w:highlight w:val="yellow"/>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分）</w:t>
            </w:r>
          </w:p>
        </w:tc>
        <w:tc>
          <w:tcPr>
            <w:tcW w:w="7729" w:type="dxa"/>
            <w:tcBorders>
              <w:top w:val="single" w:color="auto" w:sz="4" w:space="0"/>
              <w:left w:val="single" w:color="auto" w:sz="4" w:space="0"/>
              <w:bottom w:val="single" w:color="auto" w:sz="4" w:space="0"/>
              <w:right w:val="single" w:color="auto" w:sz="4" w:space="0"/>
            </w:tcBorders>
            <w:vAlign w:val="center"/>
          </w:tcPr>
          <w:p>
            <w:pPr>
              <w:autoSpaceDE w:val="0"/>
              <w:spacing w:beforeLines="50" w:line="360" w:lineRule="auto"/>
              <w:ind w:hanging="3"/>
              <w:rPr>
                <w:rFonts w:ascii="宋体" w:hAnsi="宋体" w:cs="宋体"/>
                <w:color w:val="auto"/>
                <w:szCs w:val="21"/>
              </w:rPr>
            </w:pPr>
            <w:r>
              <w:rPr>
                <w:rFonts w:hint="eastAsia" w:ascii="宋体" w:hAnsi="宋体" w:cs="宋体"/>
                <w:color w:val="auto"/>
                <w:szCs w:val="21"/>
              </w:rPr>
              <w:t>为服务本项目，拟投入的人员、分工及职责：</w:t>
            </w:r>
          </w:p>
          <w:p>
            <w:pPr>
              <w:autoSpaceDE w:val="0"/>
              <w:spacing w:beforeLines="50" w:line="360" w:lineRule="auto"/>
              <w:ind w:hanging="3"/>
              <w:rPr>
                <w:rFonts w:ascii="宋体" w:hAnsi="宋体" w:cs="宋体"/>
                <w:color w:val="auto"/>
                <w:szCs w:val="21"/>
              </w:rPr>
            </w:pPr>
            <w:r>
              <w:rPr>
                <w:color w:val="auto"/>
                <w:szCs w:val="21"/>
              </w:rPr>
              <w:t>①</w:t>
            </w:r>
            <w:r>
              <w:rPr>
                <w:rFonts w:hint="eastAsia" w:ascii="宋体" w:hAnsi="宋体" w:cs="宋体"/>
                <w:color w:val="auto"/>
                <w:szCs w:val="21"/>
              </w:rPr>
              <w:t>项目团队人员配置合理、分工明确、职责清晰，得</w:t>
            </w:r>
            <w:r>
              <w:rPr>
                <w:rFonts w:hint="eastAsia"/>
                <w:color w:val="auto"/>
                <w:szCs w:val="21"/>
                <w:lang w:val="en-US" w:eastAsia="zh-CN"/>
              </w:rPr>
              <w:t>10-15</w:t>
            </w:r>
            <w:r>
              <w:rPr>
                <w:rFonts w:hint="eastAsia" w:ascii="宋体" w:hAnsi="宋体" w:cs="宋体"/>
                <w:color w:val="auto"/>
                <w:szCs w:val="21"/>
              </w:rPr>
              <w:t>分；</w:t>
            </w:r>
          </w:p>
          <w:p>
            <w:pPr>
              <w:spacing w:beforeLines="50" w:line="360" w:lineRule="auto"/>
              <w:rPr>
                <w:rFonts w:hint="eastAsia" w:ascii="宋体" w:hAnsi="宋体" w:cs="宋体"/>
                <w:color w:val="auto"/>
                <w:szCs w:val="21"/>
              </w:rPr>
            </w:pPr>
            <w:r>
              <w:rPr>
                <w:color w:val="auto"/>
                <w:szCs w:val="21"/>
              </w:rPr>
              <w:t>②</w:t>
            </w:r>
            <w:r>
              <w:rPr>
                <w:rFonts w:hint="eastAsia" w:ascii="宋体" w:hAnsi="宋体" w:cs="宋体"/>
                <w:color w:val="auto"/>
                <w:szCs w:val="21"/>
              </w:rPr>
              <w:t>人员配置较合理</w:t>
            </w:r>
            <w:r>
              <w:rPr>
                <w:rFonts w:hint="eastAsia" w:ascii="宋体" w:hAnsi="宋体" w:cs="宋体"/>
                <w:color w:val="auto"/>
                <w:szCs w:val="21"/>
                <w:lang w:eastAsia="zh-CN"/>
              </w:rPr>
              <w:t>、职责清晰</w:t>
            </w:r>
            <w:r>
              <w:rPr>
                <w:rFonts w:hint="eastAsia" w:ascii="宋体" w:hAnsi="宋体" w:cs="宋体"/>
                <w:color w:val="auto"/>
                <w:szCs w:val="21"/>
              </w:rPr>
              <w:t>得</w:t>
            </w:r>
            <w:r>
              <w:rPr>
                <w:rFonts w:hint="eastAsia"/>
                <w:color w:val="auto"/>
                <w:szCs w:val="21"/>
                <w:lang w:val="en-US" w:eastAsia="zh-CN"/>
              </w:rPr>
              <w:t>5</w:t>
            </w:r>
            <w:r>
              <w:rPr>
                <w:color w:val="auto"/>
                <w:szCs w:val="21"/>
              </w:rPr>
              <w:t>-</w:t>
            </w:r>
            <w:r>
              <w:rPr>
                <w:rFonts w:hint="eastAsia"/>
                <w:color w:val="auto"/>
                <w:szCs w:val="21"/>
                <w:lang w:val="en-US" w:eastAsia="zh-CN"/>
              </w:rPr>
              <w:t>10</w:t>
            </w:r>
            <w:r>
              <w:rPr>
                <w:rFonts w:hint="eastAsia" w:ascii="宋体" w:hAnsi="宋体" w:cs="宋体"/>
                <w:color w:val="auto"/>
                <w:szCs w:val="21"/>
              </w:rPr>
              <w:t>分。</w:t>
            </w:r>
          </w:p>
          <w:p>
            <w:pPr>
              <w:spacing w:beforeLines="50" w:line="360" w:lineRule="auto"/>
              <w:rPr>
                <w:rFonts w:hint="default" w:eastAsia="宋体"/>
                <w:lang w:val="en-US" w:eastAsia="zh-CN"/>
              </w:rPr>
            </w:pPr>
            <w:r>
              <w:rPr>
                <w:rFonts w:ascii="Times New Roman" w:hAnsi="Times New Roman" w:eastAsia="宋体" w:cs="Times New Roman"/>
                <w:b w:val="0"/>
                <w:color w:val="auto"/>
                <w:kern w:val="2"/>
                <w:sz w:val="21"/>
                <w:szCs w:val="21"/>
                <w:lang w:val="en-US" w:eastAsia="zh-CN" w:bidi="ar-SA"/>
              </w:rPr>
              <w:t>③</w:t>
            </w:r>
            <w:r>
              <w:rPr>
                <w:rFonts w:hint="eastAsia" w:ascii="宋体" w:hAnsi="宋体" w:cs="宋体"/>
                <w:color w:val="auto"/>
                <w:szCs w:val="21"/>
              </w:rPr>
              <w:t>人员配置较</w:t>
            </w:r>
            <w:r>
              <w:rPr>
                <w:rFonts w:hint="eastAsia" w:ascii="宋体" w:hAnsi="宋体" w:cs="宋体"/>
                <w:color w:val="auto"/>
                <w:szCs w:val="21"/>
                <w:lang w:val="en-US" w:eastAsia="zh-CN"/>
              </w:rPr>
              <w:t>差得0-5分。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tcBorders>
              <w:top w:val="single" w:color="auto" w:sz="4" w:space="0"/>
              <w:left w:val="single" w:color="auto" w:sz="4" w:space="0"/>
              <w:right w:val="single" w:color="auto" w:sz="4" w:space="0"/>
            </w:tcBorders>
            <w:vAlign w:val="center"/>
          </w:tcPr>
          <w:p>
            <w:pPr>
              <w:widowControl/>
              <w:spacing w:beforeLines="50" w:line="360" w:lineRule="auto"/>
              <w:jc w:val="center"/>
              <w:rPr>
                <w:rFonts w:ascii="宋体" w:hAnsi="宋体" w:cs="宋体"/>
                <w:b/>
                <w:bCs/>
                <w:color w:val="auto"/>
                <w:szCs w:val="21"/>
                <w:highlight w:val="yellow"/>
              </w:rPr>
            </w:pPr>
            <w:r>
              <w:rPr>
                <w:rFonts w:hint="eastAsia" w:ascii="宋体" w:hAnsi="宋体" w:cs="宋体"/>
                <w:b/>
                <w:bCs/>
                <w:color w:val="auto"/>
                <w:szCs w:val="21"/>
              </w:rPr>
              <w:t>仪器设备（</w:t>
            </w:r>
            <w:r>
              <w:rPr>
                <w:rFonts w:hint="eastAsia" w:ascii="宋体" w:hAnsi="宋体" w:cs="宋体"/>
                <w:b/>
                <w:bCs/>
                <w:color w:val="auto"/>
                <w:szCs w:val="21"/>
                <w:lang w:val="en-US" w:eastAsia="zh-CN"/>
              </w:rPr>
              <w:t>5</w:t>
            </w:r>
            <w:r>
              <w:rPr>
                <w:rFonts w:hint="eastAsia" w:ascii="宋体" w:hAnsi="宋体" w:cs="宋体"/>
                <w:b/>
                <w:bCs/>
                <w:color w:val="auto"/>
                <w:szCs w:val="21"/>
              </w:rPr>
              <w:t>分）</w:t>
            </w:r>
          </w:p>
        </w:tc>
        <w:tc>
          <w:tcPr>
            <w:tcW w:w="7729"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rPr>
                <w:rFonts w:hint="eastAsia" w:eastAsia="宋体"/>
                <w:color w:val="auto"/>
                <w:szCs w:val="21"/>
                <w:lang w:val="en-US" w:eastAsia="zh-CN"/>
              </w:rPr>
            </w:pPr>
            <w:r>
              <w:rPr>
                <w:rFonts w:hint="eastAsia" w:ascii="宋体" w:hAnsi="宋体" w:cs="宋体"/>
                <w:color w:val="auto"/>
                <w:szCs w:val="21"/>
              </w:rPr>
              <w:t>针对本项目配备的仪器设备情况进行横向对比，计0-</w:t>
            </w:r>
            <w:r>
              <w:rPr>
                <w:rFonts w:hint="eastAsia" w:ascii="宋体" w:hAnsi="宋体" w:cs="宋体"/>
                <w:color w:val="auto"/>
                <w:szCs w:val="21"/>
                <w:lang w:val="en-US" w:eastAsia="zh-CN"/>
              </w:rPr>
              <w:t>5</w:t>
            </w:r>
            <w:r>
              <w:rPr>
                <w:rFonts w:hint="eastAsia" w:ascii="宋体" w:hAnsi="宋体" w:cs="宋体"/>
                <w:color w:val="auto"/>
                <w:szCs w:val="21"/>
              </w:rPr>
              <w:t>分</w:t>
            </w: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ascii="宋体" w:hAnsi="宋体" w:cs="宋体"/>
                <w:b/>
                <w:bCs/>
                <w:color w:val="auto"/>
                <w:szCs w:val="21"/>
                <w:highlight w:val="yellow"/>
              </w:rPr>
            </w:pPr>
            <w:r>
              <w:rPr>
                <w:rFonts w:hint="eastAsia" w:ascii="宋体" w:hAnsi="宋体" w:cs="宋体"/>
                <w:color w:val="auto"/>
                <w:szCs w:val="21"/>
              </w:rPr>
              <w:t>合理化建议（5分）</w:t>
            </w:r>
          </w:p>
        </w:tc>
        <w:tc>
          <w:tcPr>
            <w:tcW w:w="7729" w:type="dxa"/>
            <w:tcBorders>
              <w:top w:val="single" w:color="auto" w:sz="4" w:space="0"/>
              <w:left w:val="single" w:color="auto" w:sz="4" w:space="0"/>
              <w:right w:val="single" w:color="auto" w:sz="4" w:space="0"/>
            </w:tcBorders>
            <w:vAlign w:val="center"/>
          </w:tcPr>
          <w:p>
            <w:pPr>
              <w:autoSpaceDE w:val="0"/>
              <w:spacing w:beforeLines="50" w:line="360" w:lineRule="auto"/>
              <w:ind w:hanging="3"/>
              <w:rPr>
                <w:rFonts w:ascii="宋体" w:hAnsi="宋体" w:cs="宋体"/>
                <w:color w:val="auto"/>
                <w:szCs w:val="21"/>
              </w:rPr>
            </w:pPr>
            <w:r>
              <w:rPr>
                <w:rFonts w:hint="eastAsia" w:ascii="宋体" w:hAnsi="宋体" w:cs="宋体"/>
                <w:color w:val="auto"/>
                <w:szCs w:val="21"/>
              </w:rPr>
              <w:t>针对本项目提出的合理化建议：</w:t>
            </w:r>
          </w:p>
          <w:p>
            <w:pPr>
              <w:autoSpaceDE w:val="0"/>
              <w:spacing w:beforeLines="50" w:line="360" w:lineRule="auto"/>
              <w:ind w:hanging="3"/>
              <w:rPr>
                <w:rFonts w:ascii="宋体" w:hAnsi="宋体" w:cs="宋体"/>
                <w:color w:val="auto"/>
                <w:szCs w:val="21"/>
              </w:rPr>
            </w:pPr>
            <w:r>
              <w:rPr>
                <w:color w:val="auto"/>
                <w:szCs w:val="21"/>
              </w:rPr>
              <w:t>①</w:t>
            </w:r>
            <w:r>
              <w:rPr>
                <w:rFonts w:hint="eastAsia" w:ascii="宋体" w:hAnsi="宋体" w:cs="宋体"/>
                <w:color w:val="auto"/>
                <w:szCs w:val="21"/>
              </w:rPr>
              <w:t>内容详细、完善、可行得</w:t>
            </w:r>
            <w:r>
              <w:rPr>
                <w:color w:val="auto"/>
                <w:szCs w:val="21"/>
              </w:rPr>
              <w:t>3-5</w:t>
            </w:r>
            <w:r>
              <w:rPr>
                <w:rFonts w:hint="eastAsia" w:ascii="宋体" w:hAnsi="宋体" w:cs="宋体"/>
                <w:color w:val="auto"/>
                <w:szCs w:val="21"/>
              </w:rPr>
              <w:t>分；</w:t>
            </w:r>
          </w:p>
          <w:p>
            <w:pPr>
              <w:autoSpaceDE w:val="0"/>
              <w:spacing w:beforeLines="50" w:line="360" w:lineRule="auto"/>
              <w:rPr>
                <w:color w:val="auto"/>
                <w:highlight w:val="yellow"/>
              </w:rPr>
            </w:pPr>
            <w:r>
              <w:rPr>
                <w:color w:val="auto"/>
                <w:szCs w:val="21"/>
              </w:rPr>
              <w:t>②</w:t>
            </w:r>
            <w:r>
              <w:rPr>
                <w:rFonts w:hint="eastAsia" w:ascii="宋体" w:hAnsi="宋体" w:cs="宋体"/>
                <w:color w:val="auto"/>
                <w:szCs w:val="21"/>
              </w:rPr>
              <w:t>内容较详细、可行得</w:t>
            </w:r>
            <w:r>
              <w:rPr>
                <w:color w:val="auto"/>
                <w:szCs w:val="21"/>
              </w:rPr>
              <w:t>0-3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71" w:type="dxa"/>
            <w:tcBorders>
              <w:left w:val="single" w:color="auto" w:sz="4" w:space="0"/>
              <w:right w:val="single" w:color="auto" w:sz="4" w:space="0"/>
            </w:tcBorders>
            <w:vAlign w:val="center"/>
          </w:tcPr>
          <w:p>
            <w:pPr>
              <w:widowControl/>
              <w:spacing w:beforeLines="50" w:line="360" w:lineRule="auto"/>
              <w:jc w:val="center"/>
              <w:rPr>
                <w:rFonts w:hint="eastAsia" w:ascii="宋体" w:hAnsi="宋体" w:cs="宋体"/>
                <w:color w:val="auto"/>
                <w:szCs w:val="21"/>
              </w:rPr>
            </w:pPr>
            <w:r>
              <w:rPr>
                <w:rFonts w:hint="eastAsia" w:ascii="宋体" w:hAnsi="宋体" w:cs="宋体"/>
                <w:color w:val="auto"/>
                <w:szCs w:val="21"/>
              </w:rPr>
              <w:t>业绩</w:t>
            </w:r>
          </w:p>
          <w:p>
            <w:pPr>
              <w:widowControl/>
              <w:spacing w:beforeLines="50" w:line="360" w:lineRule="auto"/>
              <w:jc w:val="center"/>
              <w:rPr>
                <w:rFonts w:ascii="宋体" w:hAnsi="宋体" w:cs="宋体"/>
                <w:b/>
                <w:bCs/>
                <w:color w:val="auto"/>
                <w:szCs w:val="21"/>
                <w:highlight w:val="yellow"/>
              </w:rPr>
            </w:pPr>
            <w:r>
              <w:rPr>
                <w:rFonts w:hint="eastAsia" w:ascii="宋体" w:hAnsi="宋体" w:cs="宋体"/>
                <w:color w:val="auto"/>
                <w:szCs w:val="21"/>
              </w:rPr>
              <w:t>（</w:t>
            </w:r>
            <w:r>
              <w:rPr>
                <w:rFonts w:hint="eastAsia" w:ascii="宋体" w:hAnsi="宋体" w:cs="宋体"/>
                <w:color w:val="auto"/>
                <w:szCs w:val="21"/>
                <w:lang w:val="en-US" w:eastAsia="zh-CN"/>
              </w:rPr>
              <w:t>10</w:t>
            </w:r>
            <w:r>
              <w:rPr>
                <w:rFonts w:hint="eastAsia" w:ascii="宋体" w:hAnsi="宋体" w:cs="宋体"/>
                <w:color w:val="auto"/>
                <w:szCs w:val="21"/>
              </w:rPr>
              <w:t>分）</w:t>
            </w:r>
          </w:p>
        </w:tc>
        <w:tc>
          <w:tcPr>
            <w:tcW w:w="7729" w:type="dxa"/>
            <w:tcBorders>
              <w:top w:val="single" w:color="auto" w:sz="4" w:space="0"/>
              <w:left w:val="single" w:color="auto" w:sz="4" w:space="0"/>
              <w:right w:val="single" w:color="auto" w:sz="4" w:space="0"/>
            </w:tcBorders>
            <w:vAlign w:val="center"/>
          </w:tcPr>
          <w:p>
            <w:pPr>
              <w:spacing w:beforeLines="50" w:line="360" w:lineRule="auto"/>
              <w:rPr>
                <w:rFonts w:ascii="宋体" w:hAnsi="宋体" w:cs="宋体"/>
                <w:color w:val="auto"/>
                <w:highlight w:val="yellow"/>
              </w:rPr>
            </w:pPr>
            <w:r>
              <w:rPr>
                <w:rFonts w:hint="eastAsia" w:ascii="宋体" w:hAnsi="宋体" w:cs="宋体"/>
                <w:color w:val="auto"/>
                <w:sz w:val="22"/>
                <w:szCs w:val="22"/>
              </w:rPr>
              <w:t>近三年（20</w:t>
            </w:r>
            <w:r>
              <w:rPr>
                <w:rFonts w:hint="eastAsia" w:ascii="宋体" w:hAnsi="宋体" w:cs="宋体"/>
                <w:color w:val="auto"/>
                <w:sz w:val="22"/>
                <w:szCs w:val="22"/>
                <w:lang w:val="en-US" w:eastAsia="zh-CN"/>
              </w:rPr>
              <w:t>20</w:t>
            </w:r>
            <w:r>
              <w:rPr>
                <w:rFonts w:hint="eastAsia" w:ascii="宋体" w:hAnsi="宋体" w:cs="宋体"/>
                <w:color w:val="auto"/>
                <w:sz w:val="22"/>
                <w:szCs w:val="22"/>
              </w:rPr>
              <w:t>年7月至今）具有培训类业绩，每提供一项得</w:t>
            </w:r>
            <w:r>
              <w:rPr>
                <w:rFonts w:hint="eastAsia" w:ascii="宋体" w:hAnsi="宋体" w:cs="宋体"/>
                <w:color w:val="auto"/>
                <w:sz w:val="22"/>
                <w:szCs w:val="22"/>
                <w:lang w:val="en-US" w:eastAsia="zh-CN"/>
              </w:rPr>
              <w:t>2</w:t>
            </w:r>
            <w:r>
              <w:rPr>
                <w:rFonts w:hint="eastAsia" w:ascii="宋体" w:hAnsi="宋体" w:cs="宋体"/>
                <w:color w:val="auto"/>
                <w:sz w:val="22"/>
                <w:szCs w:val="22"/>
              </w:rPr>
              <w:t>分，本项最多得</w:t>
            </w:r>
            <w:r>
              <w:rPr>
                <w:rFonts w:hint="eastAsia" w:ascii="宋体" w:hAnsi="宋体" w:cs="宋体"/>
                <w:color w:val="auto"/>
                <w:sz w:val="22"/>
                <w:szCs w:val="22"/>
                <w:lang w:val="en-US" w:eastAsia="zh-CN"/>
              </w:rPr>
              <w:t>10</w:t>
            </w:r>
            <w:r>
              <w:rPr>
                <w:rFonts w:hint="eastAsia" w:ascii="宋体" w:hAnsi="宋体" w:cs="宋体"/>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int="eastAsia" w:ascii="宋体" w:hAnsi="宋体" w:cs="宋体"/>
                <w:color w:val="auto"/>
                <w:szCs w:val="21"/>
              </w:rPr>
            </w:pPr>
            <w:r>
              <w:rPr>
                <w:rFonts w:hint="eastAsia" w:ascii="宋体" w:hAnsi="宋体" w:cs="宋体"/>
                <w:color w:val="auto"/>
                <w:szCs w:val="21"/>
              </w:rPr>
              <w:t>服务承诺与保障</w:t>
            </w:r>
          </w:p>
          <w:p>
            <w:pPr>
              <w:widowControl/>
              <w:spacing w:beforeLines="50" w:line="360" w:lineRule="auto"/>
              <w:jc w:val="center"/>
              <w:rPr>
                <w:rFonts w:ascii="宋体" w:hAnsi="宋体" w:cs="宋体"/>
                <w:color w:val="auto"/>
                <w:szCs w:val="21"/>
                <w:highlight w:val="yellow"/>
              </w:rPr>
            </w:pP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分）</w:t>
            </w:r>
          </w:p>
        </w:tc>
        <w:tc>
          <w:tcPr>
            <w:tcW w:w="7729"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color w:val="auto"/>
                <w:szCs w:val="21"/>
                <w:highlight w:val="yellow"/>
              </w:rPr>
            </w:pPr>
            <w:r>
              <w:rPr>
                <w:rFonts w:hint="eastAsia" w:ascii="宋体" w:hAnsi="宋体" w:cs="宋体"/>
                <w:color w:val="auto"/>
                <w:szCs w:val="21"/>
              </w:rPr>
              <w:t>有具体可行的服务承诺，在服务期过程中</w:t>
            </w:r>
            <w:r>
              <w:rPr>
                <w:rFonts w:hint="eastAsia" w:ascii="宋体" w:hAnsi="宋体" w:cs="宋体"/>
                <w:color w:val="auto"/>
                <w:szCs w:val="21"/>
                <w:lang w:val="en-US" w:eastAsia="zh-CN"/>
              </w:rPr>
              <w:t>提供相关技术咨询</w:t>
            </w:r>
            <w:r>
              <w:rPr>
                <w:rFonts w:hint="eastAsia" w:ascii="宋体" w:hAnsi="宋体" w:cs="宋体"/>
                <w:color w:val="auto"/>
                <w:szCs w:val="21"/>
              </w:rPr>
              <w:t>，出现问题有可行性方案，解决问题及时</w:t>
            </w:r>
            <w:r>
              <w:rPr>
                <w:rFonts w:hint="eastAsia" w:ascii="宋体" w:hAnsi="宋体" w:cs="宋体"/>
                <w:color w:val="auto"/>
                <w:szCs w:val="21"/>
                <w:lang w:eastAsia="zh-CN"/>
              </w:rPr>
              <w:t>，</w:t>
            </w:r>
            <w:r>
              <w:rPr>
                <w:rFonts w:hint="eastAsia" w:ascii="宋体" w:hAnsi="宋体" w:cs="宋体"/>
                <w:color w:val="auto"/>
                <w:szCs w:val="21"/>
              </w:rPr>
              <w:t>有完善的服务保障措施</w:t>
            </w:r>
            <w:r>
              <w:rPr>
                <w:rFonts w:hint="eastAsia" w:ascii="宋体" w:hAnsi="宋体" w:cs="宋体"/>
                <w:color w:val="auto"/>
                <w:szCs w:val="21"/>
                <w:lang w:eastAsia="zh-CN"/>
              </w:rPr>
              <w:t>。</w:t>
            </w:r>
            <w:r>
              <w:rPr>
                <w:rFonts w:hint="eastAsia" w:ascii="宋体" w:hAnsi="宋体" w:cs="宋体"/>
                <w:color w:val="auto"/>
                <w:szCs w:val="21"/>
              </w:rPr>
              <w:t>服务承诺与保障全面、详细计5-10分；不全面，或有缺项漏项的计0-5分。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2"/>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ascii="宋体" w:hAnsi="宋体" w:cs="宋体"/>
                <w:color w:val="auto"/>
                <w:szCs w:val="21"/>
              </w:rPr>
            </w:pPr>
            <w:r>
              <w:rPr>
                <w:rFonts w:hint="eastAsia" w:ascii="宋体" w:hAnsi="宋体" w:cs="宋体"/>
                <w:b/>
                <w:color w:val="auto"/>
                <w:szCs w:val="21"/>
              </w:rPr>
              <w:t>备注：以上所有证明文件须提供清晰复印件加盖投标人公章装订于正、副本中。</w:t>
            </w:r>
          </w:p>
        </w:tc>
      </w:tr>
    </w:tbl>
    <w:p>
      <w:pPr>
        <w:pStyle w:val="15"/>
        <w:tabs>
          <w:tab w:val="left" w:pos="600"/>
        </w:tabs>
        <w:spacing w:beforeLines="50" w:afterLines="50" w:line="360" w:lineRule="auto"/>
        <w:ind w:firstLine="0"/>
        <w:jc w:val="left"/>
        <w:outlineLvl w:val="2"/>
        <w:rPr>
          <w:rFonts w:hint="eastAsia" w:ascii="宋体" w:hAnsi="宋体"/>
          <w:b/>
          <w:color w:val="auto"/>
          <w:szCs w:val="32"/>
          <w:highlight w:val="none"/>
        </w:rPr>
      </w:pPr>
    </w:p>
    <w:p>
      <w:pPr>
        <w:pStyle w:val="15"/>
        <w:tabs>
          <w:tab w:val="left" w:pos="600"/>
        </w:tabs>
        <w:spacing w:beforeLines="50" w:afterLines="50" w:line="360" w:lineRule="auto"/>
        <w:ind w:firstLine="0"/>
        <w:jc w:val="left"/>
        <w:outlineLvl w:val="2"/>
        <w:rPr>
          <w:rFonts w:hint="eastAsia" w:ascii="宋体" w:hAnsi="宋体"/>
          <w:b/>
          <w:color w:val="auto"/>
          <w:sz w:val="30"/>
          <w:szCs w:val="30"/>
          <w:highlight w:val="none"/>
        </w:rPr>
      </w:pPr>
    </w:p>
    <w:p>
      <w:pPr>
        <w:pStyle w:val="15"/>
        <w:tabs>
          <w:tab w:val="left" w:pos="600"/>
        </w:tabs>
        <w:spacing w:beforeLines="50" w:afterLines="50" w:line="360" w:lineRule="auto"/>
        <w:ind w:firstLine="0"/>
        <w:jc w:val="left"/>
        <w:outlineLvl w:val="2"/>
        <w:rPr>
          <w:rFonts w:ascii="宋体" w:hAnsi="宋体"/>
          <w:b/>
          <w:color w:val="auto"/>
          <w:sz w:val="30"/>
          <w:szCs w:val="30"/>
          <w:highlight w:val="none"/>
        </w:rPr>
      </w:pPr>
      <w:r>
        <w:rPr>
          <w:rFonts w:hint="eastAsia" w:ascii="宋体" w:hAnsi="宋体"/>
          <w:b/>
          <w:color w:val="auto"/>
          <w:sz w:val="30"/>
          <w:szCs w:val="30"/>
          <w:highlight w:val="none"/>
        </w:rPr>
        <w:t>2.3无效投标的认定</w:t>
      </w:r>
    </w:p>
    <w:p>
      <w:pPr>
        <w:pStyle w:val="15"/>
        <w:tabs>
          <w:tab w:val="left" w:pos="600"/>
        </w:tabs>
        <w:spacing w:line="360"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在评标过程中，出现下列情形之一的，投标无效：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（1）投标文件未按照招标文件要求签署、盖章的；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（2）投标文件未按照招标文件规定的格式要求编制的；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s="宋体"/>
          <w:color w:val="auto"/>
          <w:kern w:val="0"/>
          <w:szCs w:val="21"/>
          <w:highlight w:val="none"/>
        </w:rPr>
        <w:t>不具备招标文件中规定的资格要求的；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（4）投标报价超过了招标文件中规定的预算金额或者最高限价的；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（5）投标内容出现漏项或数量与要求不符的；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（6）投标有效期、服务期限、质保期、售后服务等商务条款不能满足招标文件要求的；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（7）投标文件中附有采购人不能接受的附加条件的；</w:t>
      </w:r>
    </w:p>
    <w:p>
      <w:pPr>
        <w:pStyle w:val="15"/>
        <w:tabs>
          <w:tab w:val="left" w:pos="60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（8）投标货物（产品）的技术规格、技术标准明显不符合招标文件要求的（如有）；</w:t>
      </w:r>
    </w:p>
    <w:p>
      <w:pPr>
        <w:pStyle w:val="15"/>
        <w:tabs>
          <w:tab w:val="left" w:pos="60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（9）投标货物（产品）不符合强制执行的国家标准、行业标准的（如有）；</w:t>
      </w:r>
    </w:p>
    <w:p>
      <w:pPr>
        <w:pStyle w:val="15"/>
        <w:tabs>
          <w:tab w:val="left" w:pos="60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（10）投标货物（产品）不是国家强制节能产品品目清单中的产品（如有）；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（11）进口货物（产品）未办理正常进口手续的（如有）；</w:t>
      </w:r>
    </w:p>
    <w:p>
      <w:pPr>
        <w:pStyle w:val="15"/>
        <w:tabs>
          <w:tab w:val="left" w:pos="60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（12）投标文件的关键内容字迹模糊和无法辨认的；</w:t>
      </w:r>
    </w:p>
    <w:p>
      <w:pPr>
        <w:pStyle w:val="15"/>
        <w:tabs>
          <w:tab w:val="left" w:pos="60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（13）法律法规和招标文件规定的其他情形的。</w:t>
      </w:r>
    </w:p>
    <w:p>
      <w:pPr>
        <w:widowControl/>
        <w:autoSpaceDE w:val="0"/>
        <w:autoSpaceDN w:val="0"/>
        <w:spacing w:beforeLines="50" w:afterLines="50" w:line="360" w:lineRule="auto"/>
        <w:ind w:right="51"/>
        <w:textAlignment w:val="bottom"/>
        <w:outlineLvl w:val="2"/>
        <w:rPr>
          <w:rFonts w:ascii="宋体" w:hAnsi="宋体"/>
          <w:b/>
          <w:color w:val="auto"/>
          <w:sz w:val="30"/>
          <w:szCs w:val="30"/>
          <w:highlight w:val="none"/>
        </w:rPr>
      </w:pPr>
      <w:r>
        <w:rPr>
          <w:rFonts w:hint="eastAsia" w:ascii="宋体" w:hAnsi="宋体"/>
          <w:b/>
          <w:color w:val="auto"/>
          <w:sz w:val="30"/>
          <w:szCs w:val="30"/>
          <w:highlight w:val="none"/>
        </w:rPr>
        <w:t>2.4 特殊情况的处理</w:t>
      </w:r>
    </w:p>
    <w:p>
      <w:pPr>
        <w:widowControl/>
        <w:autoSpaceDE w:val="0"/>
        <w:autoSpaceDN w:val="0"/>
        <w:spacing w:line="360" w:lineRule="auto"/>
        <w:ind w:right="53" w:firstLine="420" w:firstLineChars="200"/>
        <w:textAlignment w:val="bottom"/>
        <w:rPr>
          <w:rFonts w:ascii="宋体" w:hAnsi="宋体"/>
          <w:color w:val="auto"/>
          <w:szCs w:val="21"/>
          <w:highlight w:val="none"/>
        </w:rPr>
      </w:pPr>
      <w:r>
        <w:rPr>
          <w:rFonts w:hint="eastAsia" w:ascii="宋体" w:hAnsi="宋体"/>
          <w:color w:val="auto"/>
          <w:szCs w:val="21"/>
          <w:highlight w:val="none"/>
        </w:rPr>
        <w:t>2.4.1 投标文件中如果出现计算错误，可按以下原则进行修正：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（1）投标文件中的大写金额与小写金额不一致的，以大写金额为准；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（2）投标文件中的总价金额与按单价计算的汇总金额不一致的，以单价计算的汇总金额为准；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（3）投标文件中的单价金额有明显小数点错误的，以总价为准，并修改单价；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（4）投标文件中有关分项表内容与“开标一览表”不一致的，以“开标一览表”为准；</w:t>
      </w:r>
    </w:p>
    <w:p>
      <w:pPr>
        <w:pStyle w:val="23"/>
        <w:ind w:firstLine="420"/>
        <w:rPr>
          <w:rFonts w:ascii="宋体" w:hAnsi="宋体" w:eastAsia="宋体"/>
          <w:color w:val="auto"/>
          <w:sz w:val="21"/>
          <w:szCs w:val="21"/>
          <w:highlight w:val="none"/>
        </w:rPr>
      </w:pPr>
      <w:r>
        <w:rPr>
          <w:rFonts w:hint="eastAsia" w:ascii="宋体" w:hAnsi="宋体" w:eastAsia="宋体"/>
          <w:color w:val="auto"/>
          <w:sz w:val="21"/>
          <w:szCs w:val="21"/>
          <w:highlight w:val="none"/>
        </w:rPr>
        <w:t>（5）投标文件中图表与文字表述不一致的，以文字表述为准；</w:t>
      </w:r>
    </w:p>
    <w:p>
      <w:pPr>
        <w:widowControl/>
        <w:autoSpaceDE w:val="0"/>
        <w:autoSpaceDN w:val="0"/>
        <w:spacing w:line="360" w:lineRule="auto"/>
        <w:ind w:right="53" w:firstLine="420" w:firstLineChars="200"/>
        <w:textAlignment w:val="bottom"/>
        <w:rPr>
          <w:rFonts w:ascii="宋体" w:hAnsi="宋体"/>
          <w:color w:val="auto"/>
          <w:szCs w:val="21"/>
          <w:highlight w:val="none"/>
        </w:rPr>
      </w:pPr>
      <w:r>
        <w:rPr>
          <w:rFonts w:hint="eastAsia" w:ascii="宋体" w:hAnsi="宋体"/>
          <w:color w:val="auto"/>
          <w:szCs w:val="21"/>
          <w:highlight w:val="none"/>
        </w:rPr>
        <w:t>（6）投标文件正本与副本不一致的，以正本为准；</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（7）对不同文字文本投标文件的解释发生异议的，以中文文本为准。</w:t>
      </w:r>
    </w:p>
    <w:p>
      <w:pPr>
        <w:widowControl/>
        <w:autoSpaceDE w:val="0"/>
        <w:autoSpaceDN w:val="0"/>
        <w:spacing w:line="360" w:lineRule="auto"/>
        <w:ind w:right="51" w:firstLine="422" w:firstLineChars="200"/>
        <w:textAlignment w:val="bottom"/>
        <w:rPr>
          <w:rFonts w:ascii="宋体" w:hAnsi="宋体"/>
          <w:b/>
          <w:color w:val="auto"/>
          <w:szCs w:val="21"/>
          <w:highlight w:val="none"/>
        </w:rPr>
      </w:pPr>
      <w:r>
        <w:rPr>
          <w:rFonts w:hint="eastAsia" w:ascii="宋体" w:hAnsi="宋体"/>
          <w:b/>
          <w:color w:val="auto"/>
          <w:szCs w:val="21"/>
          <w:highlight w:val="none"/>
        </w:rPr>
        <w:t>按上述修正错误的方法调整的投标报价应对投标人具有约束力。如果投标人不接受修正后的价格，其投标将被拒绝。</w:t>
      </w:r>
    </w:p>
    <w:p>
      <w:pPr>
        <w:widowControl/>
        <w:autoSpaceDE w:val="0"/>
        <w:autoSpaceDN w:val="0"/>
        <w:spacing w:line="360" w:lineRule="auto"/>
        <w:ind w:right="53" w:firstLine="420" w:firstLineChars="200"/>
        <w:textAlignment w:val="bottom"/>
        <w:rPr>
          <w:rFonts w:ascii="宋体" w:hAnsi="宋体"/>
          <w:color w:val="auto"/>
          <w:szCs w:val="21"/>
          <w:highlight w:val="none"/>
        </w:rPr>
      </w:pPr>
      <w:r>
        <w:rPr>
          <w:rFonts w:hint="eastAsia" w:ascii="宋体" w:hAnsi="宋体"/>
          <w:color w:val="auto"/>
          <w:szCs w:val="21"/>
          <w:highlight w:val="none"/>
        </w:rPr>
        <w:t>2.4.2 投标文件中，若某项有不合理报价（或零报价、漏报价）的，经评标委员会评审后，此项得分为零，不参与投标报价分值的计算。</w:t>
      </w:r>
    </w:p>
    <w:p>
      <w:pPr>
        <w:widowControl/>
        <w:autoSpaceDE w:val="0"/>
        <w:autoSpaceDN w:val="0"/>
        <w:spacing w:line="360" w:lineRule="auto"/>
        <w:ind w:right="53" w:firstLine="420" w:firstLineChars="200"/>
        <w:textAlignment w:val="bottom"/>
        <w:rPr>
          <w:rFonts w:ascii="宋体" w:hAnsi="宋体"/>
          <w:color w:val="auto"/>
          <w:szCs w:val="21"/>
          <w:highlight w:val="none"/>
        </w:rPr>
      </w:pPr>
      <w:r>
        <w:rPr>
          <w:rFonts w:hint="eastAsia" w:ascii="宋体" w:hAnsi="宋体"/>
          <w:color w:val="auto"/>
          <w:szCs w:val="21"/>
          <w:highlight w:val="none"/>
        </w:rPr>
        <w:t>2.4.3 评标委员会成员打分超过得分界限或未按本办法赋分时，该评标委员会成员的打分，按废票处理。</w:t>
      </w:r>
    </w:p>
    <w:p>
      <w:pPr>
        <w:widowControl/>
        <w:autoSpaceDE w:val="0"/>
        <w:autoSpaceDN w:val="0"/>
        <w:spacing w:line="360" w:lineRule="auto"/>
        <w:ind w:right="53" w:firstLine="420" w:firstLineChars="200"/>
        <w:textAlignment w:val="bottom"/>
        <w:rPr>
          <w:rFonts w:ascii="宋体" w:hAnsi="宋体"/>
          <w:color w:val="auto"/>
          <w:szCs w:val="21"/>
          <w:highlight w:val="none"/>
        </w:rPr>
      </w:pPr>
      <w:r>
        <w:rPr>
          <w:rFonts w:hint="eastAsia" w:ascii="宋体" w:hAnsi="宋体"/>
          <w:color w:val="auto"/>
          <w:szCs w:val="21"/>
          <w:highlight w:val="none"/>
        </w:rPr>
        <w:t>2.4.4 评标过程中，各种数字的计算结果，均保留两位小数，第三位“四舍五入”，但计算百分数时应精确到千分位，万分位“四舍五入”。</w:t>
      </w:r>
    </w:p>
    <w:p>
      <w:pPr>
        <w:pStyle w:val="61"/>
        <w:spacing w:line="360" w:lineRule="auto"/>
        <w:ind w:firstLine="420" w:firstLineChars="200"/>
        <w:rPr>
          <w:rFonts w:hAnsi="宋体"/>
          <w:color w:val="auto"/>
          <w:sz w:val="21"/>
          <w:szCs w:val="21"/>
          <w:highlight w:val="none"/>
        </w:rPr>
      </w:pPr>
      <w:r>
        <w:rPr>
          <w:rFonts w:hint="eastAsia" w:hAnsi="宋体"/>
          <w:color w:val="auto"/>
          <w:sz w:val="21"/>
          <w:szCs w:val="21"/>
          <w:highlight w:val="none"/>
        </w:rPr>
        <w:t>2.4.5 评标过程中，若出现本评标办法以外的特殊情况时，将暂停评标，待评委会商榷后，再进行评定。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2.4.6 </w:t>
      </w:r>
      <w:r>
        <w:rPr>
          <w:rFonts w:ascii="宋体" w:hAnsi="宋体"/>
          <w:color w:val="auto"/>
          <w:szCs w:val="21"/>
          <w:highlight w:val="none"/>
        </w:rPr>
        <w:t>评标报告签署后，采购人或者采购代理机构发现存在</w:t>
      </w:r>
      <w:r>
        <w:rPr>
          <w:rFonts w:hint="eastAsia" w:ascii="宋体" w:hAnsi="宋体"/>
          <w:color w:val="auto"/>
          <w:szCs w:val="21"/>
          <w:highlight w:val="none"/>
        </w:rPr>
        <w:t>本章第1.5.2条款</w:t>
      </w:r>
      <w:r>
        <w:rPr>
          <w:rFonts w:ascii="宋体" w:hAnsi="宋体"/>
          <w:color w:val="auto"/>
          <w:szCs w:val="21"/>
          <w:highlight w:val="none"/>
        </w:rPr>
        <w:t>情形之一的，应当组织原评标委员会进行重新评审，重新评审改变中标结果的，书面报</w:t>
      </w:r>
      <w:r>
        <w:rPr>
          <w:rFonts w:hint="eastAsia" w:ascii="宋体" w:hAnsi="宋体"/>
          <w:color w:val="auto"/>
          <w:szCs w:val="21"/>
          <w:highlight w:val="none"/>
        </w:rPr>
        <w:t>告</w:t>
      </w:r>
      <w:r>
        <w:rPr>
          <w:rFonts w:ascii="宋体" w:hAnsi="宋体"/>
          <w:color w:val="auto"/>
          <w:szCs w:val="21"/>
          <w:highlight w:val="none"/>
        </w:rPr>
        <w:t>本级财政部门。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对本</w:t>
      </w:r>
      <w:r>
        <w:rPr>
          <w:rFonts w:hint="eastAsia" w:ascii="宋体" w:hAnsi="宋体"/>
          <w:color w:val="auto"/>
          <w:szCs w:val="21"/>
          <w:highlight w:val="none"/>
        </w:rPr>
        <w:t>章第1.5.2</w:t>
      </w:r>
      <w:r>
        <w:rPr>
          <w:rFonts w:ascii="宋体" w:hAnsi="宋体"/>
          <w:color w:val="auto"/>
          <w:szCs w:val="21"/>
          <w:highlight w:val="none"/>
        </w:rPr>
        <w:t>条</w:t>
      </w:r>
      <w:r>
        <w:rPr>
          <w:rFonts w:hint="eastAsia" w:ascii="宋体" w:hAnsi="宋体"/>
          <w:color w:val="auto"/>
          <w:szCs w:val="21"/>
          <w:highlight w:val="none"/>
        </w:rPr>
        <w:t>（1）</w:t>
      </w:r>
      <w:r>
        <w:rPr>
          <w:rFonts w:ascii="宋体" w:hAnsi="宋体"/>
          <w:color w:val="auto"/>
          <w:szCs w:val="21"/>
          <w:highlight w:val="none"/>
        </w:rPr>
        <w:t>情形提出质疑的，采购代理机构应当组织原评标委员会进行重新评审，重新评审改变中标结果的，应当</w:t>
      </w:r>
      <w:r>
        <w:rPr>
          <w:rFonts w:hint="eastAsia" w:ascii="宋体" w:hAnsi="宋体"/>
          <w:color w:val="auto"/>
          <w:szCs w:val="21"/>
          <w:highlight w:val="none"/>
        </w:rPr>
        <w:t>书面</w:t>
      </w:r>
      <w:r>
        <w:rPr>
          <w:rFonts w:ascii="宋体" w:hAnsi="宋体"/>
          <w:color w:val="auto"/>
          <w:szCs w:val="21"/>
          <w:highlight w:val="none"/>
        </w:rPr>
        <w:t>报</w:t>
      </w:r>
      <w:r>
        <w:rPr>
          <w:rFonts w:hint="eastAsia" w:ascii="宋体" w:hAnsi="宋体"/>
          <w:color w:val="auto"/>
          <w:szCs w:val="21"/>
          <w:highlight w:val="none"/>
        </w:rPr>
        <w:t>告</w:t>
      </w:r>
      <w:r>
        <w:rPr>
          <w:rFonts w:ascii="宋体" w:hAnsi="宋体"/>
          <w:color w:val="auto"/>
          <w:szCs w:val="21"/>
          <w:highlight w:val="none"/>
        </w:rPr>
        <w:t>本级财政部门。</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2.4.7评标过程中，若出现合格投标人只有2家时，采购人可以选择以下其中一种方式：</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（1）本次招标按废标处理；</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（2）按照财政部《货物和服务招标投标管理办法》（87号令）第43条规定，改作竞争性谈判采购方式，继续采购活动。</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2.4.8 采购人若选择竞争性谈判采购方式继续采购活动时，应当按下列程序进行：</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（1）由评标委员会出具招标文件没有不合理条款、招标程序符合规定的书面意见并签署</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（2）由采购人按规定向财政部门提出申请变更采购方式；</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（3）采购代理机构根据财政部门批准的竞争性谈判采购方式，编制竞争性谈判文件，并直接向这2家合格投标人提供竞争性谈判文件；</w:t>
      </w:r>
    </w:p>
    <w:p>
      <w:pPr>
        <w:pStyle w:val="7"/>
        <w:spacing w:line="360" w:lineRule="auto"/>
        <w:ind w:firstLine="525"/>
        <w:rPr>
          <w:rFonts w:ascii="宋体" w:hAnsi="宋体"/>
          <w:color w:val="auto"/>
          <w:szCs w:val="21"/>
          <w:highlight w:val="none"/>
        </w:rPr>
      </w:pPr>
      <w:r>
        <w:rPr>
          <w:rFonts w:hint="eastAsia" w:ascii="宋体" w:hAnsi="宋体"/>
          <w:color w:val="auto"/>
          <w:szCs w:val="21"/>
          <w:highlight w:val="none"/>
        </w:rPr>
        <w:t>（4）采购代理机构将根据竞争性谈判文件规定的时间、地点组织竞争性谈判小组直接与这2家合格投标人进行竞争性谈判。</w:t>
      </w:r>
    </w:p>
    <w:p>
      <w:pPr>
        <w:pStyle w:val="7"/>
        <w:spacing w:line="360" w:lineRule="auto"/>
        <w:ind w:firstLineChars="200"/>
        <w:rPr>
          <w:rFonts w:ascii="宋体" w:hAnsi="宋体"/>
          <w:color w:val="auto"/>
          <w:szCs w:val="21"/>
          <w:highlight w:val="none"/>
        </w:rPr>
      </w:pPr>
      <w:r>
        <w:rPr>
          <w:rFonts w:hint="eastAsia" w:ascii="宋体" w:hAnsi="宋体"/>
          <w:color w:val="auto"/>
          <w:szCs w:val="21"/>
          <w:highlight w:val="none"/>
        </w:rPr>
        <w:t>2.4.9评标争议处理原则</w:t>
      </w:r>
    </w:p>
    <w:p>
      <w:pPr>
        <w:pStyle w:val="15"/>
        <w:tabs>
          <w:tab w:val="left" w:pos="600"/>
        </w:tabs>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评标委员会在评审过程中，对投标文件符合性审查、对投标人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pStyle w:val="15"/>
        <w:tabs>
          <w:tab w:val="left" w:pos="600"/>
        </w:tabs>
        <w:spacing w:line="360" w:lineRule="auto"/>
        <w:ind w:firstLine="0"/>
        <w:rPr>
          <w:rFonts w:ascii="宋体" w:hAnsi="宋体"/>
          <w:color w:val="auto"/>
          <w:sz w:val="21"/>
          <w:szCs w:val="21"/>
          <w:highlight w:val="none"/>
        </w:rPr>
      </w:pPr>
    </w:p>
    <w:p>
      <w:pPr>
        <w:rPr>
          <w:rFonts w:ascii="宋体" w:hAnsi="宋体"/>
          <w:color w:val="auto"/>
          <w:sz w:val="44"/>
          <w:szCs w:val="44"/>
          <w:highlight w:val="none"/>
        </w:rPr>
      </w:pPr>
      <w:r>
        <w:rPr>
          <w:rFonts w:hint="eastAsia" w:ascii="宋体" w:hAnsi="宋体"/>
          <w:color w:val="auto"/>
          <w:sz w:val="44"/>
          <w:szCs w:val="44"/>
          <w:highlight w:val="none"/>
        </w:rPr>
        <w:br w:type="page"/>
      </w:r>
    </w:p>
    <w:p>
      <w:pPr>
        <w:spacing w:afterLines="50" w:line="360" w:lineRule="auto"/>
        <w:jc w:val="center"/>
        <w:outlineLvl w:val="0"/>
        <w:rPr>
          <w:rFonts w:ascii="黑体" w:hAnsi="宋体" w:eastAsia="黑体"/>
          <w:b/>
          <w:color w:val="auto"/>
          <w:sz w:val="44"/>
          <w:szCs w:val="44"/>
          <w:highlight w:val="none"/>
        </w:rPr>
      </w:pPr>
      <w:bookmarkStart w:id="111" w:name="_Toc15408"/>
      <w:r>
        <w:rPr>
          <w:rFonts w:hint="eastAsia" w:ascii="黑体" w:hAnsi="宋体" w:eastAsia="黑体"/>
          <w:b/>
          <w:color w:val="auto"/>
          <w:sz w:val="44"/>
          <w:szCs w:val="44"/>
          <w:highlight w:val="none"/>
        </w:rPr>
        <w:t>第四章  采购内容及要求</w:t>
      </w:r>
      <w:bookmarkEnd w:id="108"/>
      <w:bookmarkEnd w:id="111"/>
    </w:p>
    <w:p>
      <w:pPr>
        <w:spacing w:line="360" w:lineRule="auto"/>
        <w:rPr>
          <w:rFonts w:hint="eastAsia" w:ascii="宋体" w:hAnsi="宋体" w:cs="宋体"/>
          <w:b/>
          <w:color w:val="auto"/>
          <w:sz w:val="24"/>
          <w:highlight w:val="none"/>
        </w:rPr>
      </w:pPr>
      <w:r>
        <w:rPr>
          <w:rFonts w:hint="eastAsia" w:ascii="宋体" w:hAnsi="宋体" w:cs="宋体"/>
          <w:b/>
          <w:color w:val="auto"/>
          <w:sz w:val="28"/>
          <w:szCs w:val="28"/>
          <w:highlight w:val="none"/>
        </w:rPr>
        <w:t>一、耕地质量等级评定及上图入库</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一</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采购内容及要求</w:t>
      </w:r>
    </w:p>
    <w:p>
      <w:pPr>
        <w:pStyle w:val="18"/>
        <w:spacing w:line="360" w:lineRule="auto"/>
        <w:ind w:firstLine="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 xml:space="preserve">    1、目标任务：完成</w:t>
      </w:r>
      <w:r>
        <w:rPr>
          <w:rFonts w:hint="eastAsia" w:ascii="宋体" w:hAnsi="宋体" w:cs="宋体"/>
          <w:bCs/>
          <w:color w:val="auto"/>
          <w:kern w:val="0"/>
          <w:sz w:val="21"/>
          <w:szCs w:val="21"/>
          <w:highlight w:val="none"/>
          <w:lang w:val="en-US" w:eastAsia="zh-CN"/>
        </w:rPr>
        <w:t>白水县</w:t>
      </w:r>
      <w:r>
        <w:rPr>
          <w:rFonts w:hint="eastAsia" w:ascii="宋体" w:hAnsi="宋体" w:cs="宋体"/>
          <w:bCs/>
          <w:color w:val="auto"/>
          <w:kern w:val="0"/>
          <w:sz w:val="21"/>
          <w:szCs w:val="21"/>
          <w:highlight w:val="none"/>
        </w:rPr>
        <w:t>202</w:t>
      </w:r>
      <w:r>
        <w:rPr>
          <w:rFonts w:hint="eastAsia" w:ascii="宋体" w:hAnsi="宋体" w:cs="宋体"/>
          <w:bCs/>
          <w:color w:val="auto"/>
          <w:kern w:val="0"/>
          <w:sz w:val="21"/>
          <w:szCs w:val="21"/>
          <w:highlight w:val="none"/>
          <w:lang w:val="en-US" w:eastAsia="zh-CN"/>
        </w:rPr>
        <w:t>3</w:t>
      </w:r>
      <w:r>
        <w:rPr>
          <w:rFonts w:hint="eastAsia" w:ascii="宋体" w:hAnsi="宋体" w:cs="宋体"/>
          <w:bCs/>
          <w:color w:val="auto"/>
          <w:kern w:val="0"/>
          <w:sz w:val="21"/>
          <w:szCs w:val="21"/>
          <w:highlight w:val="none"/>
        </w:rPr>
        <w:t>年高标准农田建设实施区域</w:t>
      </w:r>
      <w:r>
        <w:rPr>
          <w:rFonts w:hint="eastAsia" w:ascii="宋体" w:hAnsi="宋体" w:cs="宋体"/>
          <w:bCs/>
          <w:color w:val="auto"/>
          <w:kern w:val="0"/>
          <w:sz w:val="21"/>
          <w:szCs w:val="21"/>
          <w:highlight w:val="none"/>
          <w:lang w:val="en-US" w:eastAsia="zh-CN"/>
        </w:rPr>
        <w:t>内5万亩（新建及改造）</w:t>
      </w:r>
      <w:r>
        <w:rPr>
          <w:rFonts w:hint="eastAsia" w:ascii="宋体" w:hAnsi="宋体" w:cs="宋体"/>
          <w:bCs/>
          <w:color w:val="auto"/>
          <w:kern w:val="0"/>
          <w:sz w:val="21"/>
          <w:szCs w:val="21"/>
          <w:highlight w:val="none"/>
        </w:rPr>
        <w:t>耕地质量等级</w:t>
      </w:r>
      <w:r>
        <w:rPr>
          <w:rFonts w:hint="eastAsia" w:ascii="宋体" w:hAnsi="宋体" w:cs="宋体"/>
          <w:bCs/>
          <w:color w:val="auto"/>
          <w:kern w:val="0"/>
          <w:sz w:val="21"/>
          <w:szCs w:val="21"/>
          <w:highlight w:val="none"/>
          <w:lang w:val="en-US" w:eastAsia="zh-CN"/>
        </w:rPr>
        <w:t>评定及上图入库</w:t>
      </w:r>
      <w:r>
        <w:rPr>
          <w:rFonts w:hint="eastAsia" w:ascii="宋体" w:hAnsi="宋体" w:cs="宋体"/>
          <w:bCs/>
          <w:color w:val="auto"/>
          <w:kern w:val="0"/>
          <w:sz w:val="21"/>
          <w:szCs w:val="21"/>
          <w:highlight w:val="none"/>
        </w:rPr>
        <w:t>等相关工作。</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2、数量：</w:t>
      </w:r>
      <w:r>
        <w:rPr>
          <w:rFonts w:hint="eastAsia" w:ascii="宋体" w:hAnsi="宋体" w:cs="宋体"/>
          <w:bCs/>
          <w:color w:val="auto"/>
          <w:kern w:val="0"/>
          <w:sz w:val="21"/>
          <w:szCs w:val="21"/>
          <w:highlight w:val="none"/>
          <w:lang w:val="en-US" w:eastAsia="zh-CN"/>
        </w:rPr>
        <w:t>5</w:t>
      </w:r>
      <w:r>
        <w:rPr>
          <w:rFonts w:hint="eastAsia" w:ascii="宋体" w:hAnsi="宋体" w:cs="宋体"/>
          <w:bCs/>
          <w:color w:val="auto"/>
          <w:kern w:val="0"/>
          <w:sz w:val="21"/>
          <w:szCs w:val="21"/>
          <w:highlight w:val="none"/>
        </w:rPr>
        <w:t>万亩。</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3、完成内容：在高标准农田建设实施区域布设耕地质量调查点，开展建设前后耕地质量调查信息资料收集、实地调查与样品检测，完成高标准农田耕地质量等级变更调查评价，建立高标准农田耕地质量等级数据库并完成上图入库和年度更新等工作。</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具体为：耕地5万亩，每1000亩一个监测处</w:t>
      </w:r>
      <w:r>
        <w:rPr>
          <w:rFonts w:hint="eastAsia" w:ascii="宋体" w:hAnsi="宋体" w:cs="宋体"/>
          <w:bCs/>
          <w:color w:val="auto"/>
          <w:kern w:val="0"/>
          <w:sz w:val="21"/>
          <w:szCs w:val="21"/>
          <w:highlight w:val="none"/>
          <w:lang w:eastAsia="zh-CN"/>
        </w:rPr>
        <w:t>；上图入库</w:t>
      </w:r>
      <w:r>
        <w:rPr>
          <w:rFonts w:hint="eastAsia" w:ascii="宋体" w:hAnsi="宋体" w:cs="宋体"/>
          <w:bCs/>
          <w:color w:val="auto"/>
          <w:kern w:val="0"/>
          <w:sz w:val="21"/>
          <w:szCs w:val="21"/>
          <w:highlight w:val="none"/>
        </w:rPr>
        <w:t>。</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4、工作质量要求：满足《陕西省农业农村厅办公室关于开展高标准农田建设耕地质量等级调查评价的通知》（陕农办发[2021]24号）文件和《陕西省耕地质量与农业环境保护站》（陕耕地环保发[2021]5号）文件。</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5、成果要求：</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“高标准农田耕地质量调查评价”成果包括专题图件、数据库和评价报告等。</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（1）高标准农田建设地块与样点分布图；</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（2）高标准农田建设（前后）耕地质量等级图；</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（3）高标准农田建设（前后）耕地产能分布图；</w:t>
      </w:r>
    </w:p>
    <w:p>
      <w:pPr>
        <w:pStyle w:val="18"/>
        <w:spacing w:line="360" w:lineRule="auto"/>
        <w:ind w:firstLine="420" w:firstLineChars="200"/>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（4）高标准农田年度耕地质量调查评价数据库；</w:t>
      </w:r>
    </w:p>
    <w:p>
      <w:pPr>
        <w:pStyle w:val="18"/>
        <w:spacing w:line="360" w:lineRule="auto"/>
        <w:ind w:firstLine="420" w:firstLineChars="200"/>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rPr>
        <w:t>（5）高标准农田耕地质量调查评价报告</w:t>
      </w:r>
      <w:r>
        <w:rPr>
          <w:rFonts w:hint="eastAsia" w:ascii="宋体" w:hAnsi="宋体" w:cs="宋体"/>
          <w:bCs/>
          <w:color w:val="auto"/>
          <w:kern w:val="0"/>
          <w:sz w:val="21"/>
          <w:szCs w:val="21"/>
          <w:highlight w:val="none"/>
          <w:lang w:eastAsia="zh-CN"/>
        </w:rPr>
        <w:t>；</w:t>
      </w:r>
    </w:p>
    <w:p>
      <w:pPr>
        <w:pStyle w:val="18"/>
        <w:spacing w:line="360" w:lineRule="auto"/>
        <w:ind w:firstLine="420" w:firstLineChars="200"/>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lang w:eastAsia="zh-CN"/>
        </w:rPr>
        <w:t>（</w:t>
      </w:r>
      <w:r>
        <w:rPr>
          <w:rFonts w:hint="eastAsia" w:ascii="宋体" w:hAnsi="宋体" w:cs="宋体"/>
          <w:bCs/>
          <w:color w:val="auto"/>
          <w:kern w:val="0"/>
          <w:sz w:val="21"/>
          <w:szCs w:val="21"/>
          <w:highlight w:val="none"/>
          <w:lang w:val="en-US" w:eastAsia="zh-CN"/>
        </w:rPr>
        <w:t>6</w:t>
      </w:r>
      <w:r>
        <w:rPr>
          <w:rFonts w:hint="eastAsia" w:ascii="宋体" w:hAnsi="宋体" w:cs="宋体"/>
          <w:bCs/>
          <w:color w:val="auto"/>
          <w:kern w:val="0"/>
          <w:sz w:val="21"/>
          <w:szCs w:val="21"/>
          <w:highlight w:val="none"/>
          <w:lang w:eastAsia="zh-CN"/>
        </w:rPr>
        <w:t>）上图入库。</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lang w:eastAsia="zh-CN"/>
        </w:rPr>
        <w:t>）</w:t>
      </w:r>
      <w:r>
        <w:rPr>
          <w:rFonts w:hint="eastAsia" w:ascii="宋体" w:hAnsi="宋体" w:cs="宋体"/>
          <w:b/>
          <w:color w:val="auto"/>
          <w:sz w:val="24"/>
          <w:highlight w:val="none"/>
        </w:rPr>
        <w:t>商务要求：</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1、服务地点：采购人指定地点；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2、服务期限：</w:t>
      </w:r>
      <w:r>
        <w:rPr>
          <w:rFonts w:hint="eastAsia" w:ascii="宋体" w:hAnsi="宋体" w:cs="宋体"/>
          <w:bCs/>
          <w:color w:val="auto"/>
          <w:szCs w:val="21"/>
          <w:highlight w:val="none"/>
          <w:lang w:val="en-US" w:eastAsia="zh-CN"/>
        </w:rPr>
        <w:t>365</w:t>
      </w:r>
      <w:r>
        <w:rPr>
          <w:rFonts w:hint="eastAsia" w:ascii="宋体" w:hAnsi="宋体" w:cs="宋体"/>
          <w:bCs/>
          <w:color w:val="auto"/>
          <w:szCs w:val="21"/>
          <w:highlight w:val="none"/>
        </w:rPr>
        <w:t>天内；</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3、质量标准：符合国家、行业及招标文件的要求。</w:t>
      </w:r>
    </w:p>
    <w:p>
      <w:pPr>
        <w:spacing w:line="360" w:lineRule="auto"/>
        <w:rPr>
          <w:rFonts w:hint="eastAsia" w:ascii="宋体" w:hAnsi="宋体" w:eastAsia="宋体" w:cs="宋体"/>
          <w:bCs/>
          <w:color w:val="auto"/>
          <w:szCs w:val="21"/>
          <w:highlight w:val="none"/>
          <w:lang w:val="en-US" w:eastAsia="zh-CN"/>
        </w:rPr>
      </w:pPr>
      <w:r>
        <w:rPr>
          <w:rFonts w:hint="eastAsia" w:ascii="宋体" w:hAnsi="宋体" w:cs="宋体"/>
          <w:b/>
          <w:color w:val="auto"/>
          <w:sz w:val="28"/>
          <w:szCs w:val="28"/>
          <w:highlight w:val="none"/>
          <w:lang w:val="en-US" w:eastAsia="zh-CN"/>
        </w:rPr>
        <w:t>二、</w:t>
      </w:r>
      <w:r>
        <w:rPr>
          <w:rFonts w:hint="eastAsia" w:ascii="宋体" w:hAnsi="宋体" w:cs="宋体"/>
          <w:b/>
          <w:color w:val="auto"/>
          <w:sz w:val="28"/>
          <w:szCs w:val="28"/>
          <w:highlight w:val="none"/>
        </w:rPr>
        <w:t>科技推广</w:t>
      </w:r>
    </w:p>
    <w:p>
      <w:pPr>
        <w:spacing w:line="360" w:lineRule="auto"/>
        <w:ind w:firstLine="482" w:firstLineChars="200"/>
        <w:rPr>
          <w:rFonts w:hint="eastAsia" w:ascii="宋体" w:hAnsi="宋体" w:cs="宋体"/>
          <w:bCs/>
          <w:color w:val="auto"/>
          <w:szCs w:val="21"/>
        </w:rPr>
      </w:pP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一</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采购内容及要求</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1、主要内容：开展技术培训</w:t>
      </w:r>
      <w:r>
        <w:rPr>
          <w:rFonts w:hint="eastAsia" w:ascii="宋体" w:hAnsi="宋体" w:cs="宋体"/>
          <w:bCs/>
          <w:color w:val="auto"/>
          <w:szCs w:val="21"/>
          <w:lang w:val="en-US" w:eastAsia="zh-CN"/>
        </w:rPr>
        <w:t>25</w:t>
      </w:r>
      <w:r>
        <w:rPr>
          <w:rFonts w:hint="eastAsia" w:ascii="宋体" w:hAnsi="宋体" w:cs="宋体"/>
          <w:bCs/>
          <w:color w:val="auto"/>
          <w:szCs w:val="21"/>
        </w:rPr>
        <w:t>00人次，</w:t>
      </w:r>
      <w:r>
        <w:rPr>
          <w:rFonts w:hint="eastAsia" w:ascii="宋体" w:hAnsi="宋体" w:cs="宋体"/>
          <w:bCs/>
          <w:color w:val="auto"/>
          <w:szCs w:val="21"/>
          <w:lang w:val="en-US" w:eastAsia="zh-CN"/>
        </w:rPr>
        <w:t>一年3次。</w:t>
      </w:r>
      <w:r>
        <w:rPr>
          <w:rFonts w:hint="eastAsia" w:ascii="宋体" w:hAnsi="宋体" w:cs="宋体"/>
          <w:bCs/>
          <w:color w:val="auto"/>
          <w:szCs w:val="21"/>
        </w:rPr>
        <w:t>主要以小麦、玉米高产创建、病虫害防治、小麦、玉米优质栽培技术，优质蔬菜栽培技术，土壤优质培肥技术，秸秆综合利用技术，兼讲授苗木、果树田间作务技术。</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2、培训形式：采取集中培训，现场教学、入户指导、大喇叭宣传、发放明白纸等多种形式</w:t>
      </w:r>
    </w:p>
    <w:p>
      <w:pPr>
        <w:pStyle w:val="3"/>
        <w:spacing w:before="0" w:after="0" w:line="360" w:lineRule="auto"/>
        <w:ind w:firstLine="42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3、要求：提供讲义、培训资料以上，培训通知，培训记录，培训影像资料，群众培训签到册等。</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lang w:eastAsia="zh-CN"/>
        </w:rPr>
        <w:t>）</w:t>
      </w:r>
      <w:r>
        <w:rPr>
          <w:rFonts w:hint="eastAsia" w:ascii="宋体" w:hAnsi="宋体" w:cs="宋体"/>
          <w:b/>
          <w:color w:val="auto"/>
          <w:sz w:val="24"/>
          <w:highlight w:val="none"/>
        </w:rPr>
        <w:t>商务要求：</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1、服务地点：采购人指定地点；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2、服务期限：</w:t>
      </w:r>
      <w:r>
        <w:rPr>
          <w:rFonts w:hint="eastAsia" w:ascii="宋体" w:hAnsi="宋体" w:cs="宋体"/>
          <w:bCs/>
          <w:color w:val="auto"/>
          <w:szCs w:val="21"/>
          <w:highlight w:val="none"/>
          <w:lang w:val="en-US" w:eastAsia="zh-CN"/>
        </w:rPr>
        <w:t>365天内完成</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3、质量标准：符合国家、行业及招标文件的要求。</w:t>
      </w:r>
    </w:p>
    <w:p/>
    <w:p>
      <w:pPr>
        <w:pStyle w:val="2"/>
        <w:sectPr>
          <w:pgSz w:w="11907" w:h="16840"/>
          <w:pgMar w:top="1440" w:right="1474" w:bottom="1440" w:left="1474" w:header="851" w:footer="992" w:gutter="0"/>
          <w:pgNumType w:fmt="decimal"/>
          <w:cols w:space="720" w:num="1"/>
          <w:titlePg/>
        </w:sectPr>
      </w:pPr>
    </w:p>
    <w:p>
      <w:pPr>
        <w:spacing w:afterLines="50" w:line="360" w:lineRule="auto"/>
        <w:jc w:val="center"/>
        <w:outlineLvl w:val="0"/>
        <w:rPr>
          <w:rFonts w:ascii="黑体" w:hAnsi="宋体" w:eastAsia="黑体"/>
          <w:b/>
          <w:color w:val="auto"/>
          <w:sz w:val="44"/>
          <w:szCs w:val="44"/>
          <w:highlight w:val="none"/>
        </w:rPr>
      </w:pPr>
      <w:bookmarkStart w:id="112" w:name="_Toc30884"/>
      <w:r>
        <w:rPr>
          <w:rFonts w:hint="eastAsia" w:ascii="黑体" w:hAnsi="宋体" w:eastAsia="黑体"/>
          <w:b/>
          <w:color w:val="auto"/>
          <w:sz w:val="44"/>
          <w:szCs w:val="44"/>
          <w:highlight w:val="none"/>
        </w:rPr>
        <w:t>第五章  政府采购合同格式</w:t>
      </w:r>
      <w:bookmarkEnd w:id="112"/>
    </w:p>
    <w:p>
      <w:pPr>
        <w:pStyle w:val="3"/>
        <w:spacing w:line="240" w:lineRule="auto"/>
        <w:jc w:val="center"/>
        <w:rPr>
          <w:rFonts w:asciiTheme="minorEastAsia" w:hAnsiTheme="minorEastAsia" w:eastAsiaTheme="minorEastAsia" w:cstheme="minorEastAsia"/>
          <w:b w:val="0"/>
          <w:bCs/>
          <w:color w:val="auto"/>
          <w:sz w:val="18"/>
          <w:szCs w:val="11"/>
          <w:highlight w:val="none"/>
        </w:rPr>
      </w:pPr>
      <w:r>
        <w:rPr>
          <w:rFonts w:hint="eastAsia" w:asciiTheme="minorEastAsia" w:hAnsiTheme="minorEastAsia" w:eastAsiaTheme="minorEastAsia" w:cstheme="minorEastAsia"/>
          <w:b w:val="0"/>
          <w:bCs/>
          <w:color w:val="auto"/>
          <w:sz w:val="18"/>
          <w:szCs w:val="11"/>
          <w:highlight w:val="none"/>
        </w:rPr>
        <w:t>（以甲乙双方最终签订的合同为准）</w:t>
      </w:r>
    </w:p>
    <w:p>
      <w:pPr>
        <w:rPr>
          <w:rFonts w:asciiTheme="minorEastAsia" w:hAnsiTheme="minorEastAsia" w:eastAsiaTheme="minorEastAsia" w:cstheme="minorEastAsia"/>
          <w:bCs/>
          <w:color w:val="auto"/>
          <w:sz w:val="22"/>
          <w:szCs w:val="16"/>
          <w:highlight w:val="none"/>
        </w:rPr>
      </w:pPr>
      <w:r>
        <w:rPr>
          <w:rFonts w:hint="eastAsia" w:asciiTheme="minorEastAsia" w:hAnsiTheme="minorEastAsia" w:eastAsiaTheme="minorEastAsia" w:cstheme="minorEastAsia"/>
          <w:bCs/>
          <w:color w:val="auto"/>
          <w:sz w:val="22"/>
          <w:szCs w:val="16"/>
          <w:highlight w:val="none"/>
        </w:rPr>
        <w:br w:type="page"/>
      </w:r>
    </w:p>
    <w:p>
      <w:pPr>
        <w:spacing w:beforeLines="50" w:line="600" w:lineRule="auto"/>
        <w:jc w:val="center"/>
        <w:rPr>
          <w:b/>
          <w:bCs/>
          <w:color w:val="auto"/>
          <w:sz w:val="36"/>
          <w:szCs w:val="44"/>
          <w:highlight w:val="none"/>
        </w:rPr>
      </w:pPr>
      <w:r>
        <w:rPr>
          <w:rFonts w:hint="eastAsia"/>
          <w:b/>
          <w:bCs/>
          <w:color w:val="auto"/>
          <w:sz w:val="36"/>
          <w:szCs w:val="44"/>
          <w:highlight w:val="none"/>
        </w:rPr>
        <w:t>采 购 协 议</w:t>
      </w:r>
    </w:p>
    <w:p>
      <w:pPr>
        <w:tabs>
          <w:tab w:val="left" w:pos="735"/>
        </w:tabs>
        <w:autoSpaceDE w:val="0"/>
        <w:autoSpaceDN w:val="0"/>
        <w:adjustRightInd w:val="0"/>
        <w:snapToGrid w:val="0"/>
        <w:spacing w:beforeLines="100" w:line="360" w:lineRule="auto"/>
        <w:ind w:firstLine="629"/>
        <w:rPr>
          <w:rFonts w:ascii="宋体" w:hAnsi="宋体" w:cs="宋体"/>
          <w:b/>
          <w:bCs/>
          <w:color w:val="auto"/>
          <w:sz w:val="24"/>
          <w:highlight w:val="none"/>
          <w:lang w:val="zh-CN"/>
        </w:rPr>
      </w:pPr>
      <w:r>
        <w:rPr>
          <w:rFonts w:hint="eastAsia" w:ascii="宋体" w:hAnsi="宋体" w:cs="宋体"/>
          <w:b/>
          <w:bCs/>
          <w:color w:val="auto"/>
          <w:sz w:val="24"/>
          <w:highlight w:val="none"/>
          <w:lang w:val="zh-CN"/>
        </w:rPr>
        <w:t>甲方：</w:t>
      </w:r>
      <w:r>
        <w:rPr>
          <w:rFonts w:hint="eastAsia" w:ascii="宋体" w:hAnsi="宋体" w:cs="宋体"/>
          <w:bCs/>
          <w:color w:val="auto"/>
          <w:sz w:val="24"/>
          <w:highlight w:val="none"/>
          <w:lang w:val="zh-CN"/>
        </w:rPr>
        <w:t>（前款所称采购人）</w:t>
      </w:r>
    </w:p>
    <w:p>
      <w:pPr>
        <w:tabs>
          <w:tab w:val="left" w:pos="735"/>
        </w:tabs>
        <w:autoSpaceDE w:val="0"/>
        <w:autoSpaceDN w:val="0"/>
        <w:adjustRightInd w:val="0"/>
        <w:snapToGrid w:val="0"/>
        <w:spacing w:line="360" w:lineRule="auto"/>
        <w:ind w:firstLine="631"/>
        <w:rPr>
          <w:rFonts w:ascii="宋体" w:hAnsi="宋体" w:cs="宋体"/>
          <w:bCs/>
          <w:color w:val="auto"/>
          <w:sz w:val="24"/>
          <w:highlight w:val="none"/>
          <w:lang w:val="zh-CN"/>
        </w:rPr>
      </w:pPr>
      <w:r>
        <w:rPr>
          <w:rFonts w:hint="eastAsia" w:ascii="宋体" w:hAnsi="宋体" w:cs="宋体"/>
          <w:b/>
          <w:bCs/>
          <w:color w:val="auto"/>
          <w:sz w:val="24"/>
          <w:highlight w:val="none"/>
          <w:lang w:val="zh-CN"/>
        </w:rPr>
        <w:t>乙方：</w:t>
      </w:r>
      <w:r>
        <w:rPr>
          <w:rFonts w:hint="eastAsia" w:ascii="宋体" w:hAnsi="宋体" w:cs="宋体"/>
          <w:bCs/>
          <w:color w:val="auto"/>
          <w:sz w:val="24"/>
          <w:highlight w:val="none"/>
          <w:lang w:val="zh-CN"/>
        </w:rPr>
        <w:t>（前款所称中标人）</w:t>
      </w:r>
    </w:p>
    <w:p>
      <w:pPr>
        <w:pStyle w:val="3"/>
        <w:snapToGrid w:val="0"/>
        <w:spacing w:line="360" w:lineRule="auto"/>
        <w:ind w:firstLine="482" w:firstLineChars="200"/>
        <w:rPr>
          <w:rFonts w:ascii="宋体" w:hAnsi="宋体" w:eastAsia="宋体" w:cs="宋体"/>
          <w:color w:val="auto"/>
          <w:sz w:val="24"/>
          <w:szCs w:val="24"/>
          <w:highlight w:val="none"/>
          <w:lang w:val="zh-CN"/>
        </w:rPr>
      </w:pPr>
      <w:bookmarkStart w:id="113" w:name="_Toc505327293"/>
      <w:r>
        <w:rPr>
          <w:rFonts w:hint="eastAsia" w:ascii="宋体" w:hAnsi="宋体" w:eastAsia="宋体" w:cs="宋体"/>
          <w:color w:val="auto"/>
          <w:sz w:val="24"/>
          <w:szCs w:val="24"/>
          <w:highlight w:val="none"/>
          <w:lang w:val="zh-CN"/>
        </w:rPr>
        <w:t>一、合同内容:</w:t>
      </w:r>
      <w:bookmarkEnd w:id="113"/>
    </w:p>
    <w:p>
      <w:pPr>
        <w:pStyle w:val="3"/>
        <w:spacing w:line="360" w:lineRule="auto"/>
        <w:ind w:firstLine="482" w:firstLineChars="200"/>
        <w:rPr>
          <w:rFonts w:ascii="宋体" w:hAnsi="宋体" w:eastAsia="宋体" w:cs="宋体"/>
          <w:color w:val="auto"/>
          <w:sz w:val="24"/>
          <w:szCs w:val="24"/>
          <w:highlight w:val="none"/>
          <w:lang w:val="zh-CN"/>
        </w:rPr>
      </w:pPr>
      <w:bookmarkStart w:id="114" w:name="_Toc505327294"/>
      <w:r>
        <w:rPr>
          <w:rFonts w:hint="eastAsia" w:ascii="宋体" w:hAnsi="宋体" w:eastAsia="宋体" w:cs="宋体"/>
          <w:color w:val="auto"/>
          <w:sz w:val="24"/>
          <w:szCs w:val="24"/>
          <w:highlight w:val="none"/>
          <w:lang w:val="zh-CN"/>
        </w:rPr>
        <w:t>二、合同价款</w:t>
      </w:r>
      <w:bookmarkEnd w:id="114"/>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1、合同总价：</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2、合同总价包括：直接费、间接费及其它相关费用。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3、合同总价一次包死，不受市场价变化的影响。</w:t>
      </w:r>
    </w:p>
    <w:p>
      <w:pPr>
        <w:pStyle w:val="3"/>
        <w:spacing w:line="360" w:lineRule="auto"/>
        <w:ind w:firstLine="482" w:firstLineChars="200"/>
        <w:rPr>
          <w:rFonts w:ascii="宋体" w:hAnsi="宋体" w:eastAsia="宋体" w:cs="宋体"/>
          <w:color w:val="auto"/>
          <w:sz w:val="24"/>
          <w:szCs w:val="24"/>
          <w:highlight w:val="none"/>
          <w:lang w:val="zh-CN"/>
        </w:rPr>
      </w:pPr>
      <w:bookmarkStart w:id="115" w:name="_Toc505327295"/>
      <w:r>
        <w:rPr>
          <w:rFonts w:hint="eastAsia" w:ascii="宋体" w:hAnsi="宋体" w:eastAsia="宋体" w:cs="宋体"/>
          <w:color w:val="auto"/>
          <w:sz w:val="24"/>
          <w:szCs w:val="24"/>
          <w:highlight w:val="none"/>
          <w:lang w:val="zh-CN"/>
        </w:rPr>
        <w:t>三、合同结算</w:t>
      </w:r>
      <w:bookmarkEnd w:id="115"/>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1、付款比例：</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1-1、合同签订后支付合同款的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双方签订合同时商议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2、结算方式：银行转账。</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3、结算单位：由</w:t>
      </w:r>
      <w:r>
        <w:rPr>
          <w:rFonts w:hint="eastAsia" w:ascii="宋体" w:hAnsi="宋体" w:cs="宋体"/>
          <w:color w:val="auto"/>
          <w:sz w:val="24"/>
          <w:highlight w:val="none"/>
          <w:u w:val="single"/>
        </w:rPr>
        <w:t>采购人</w:t>
      </w:r>
      <w:r>
        <w:rPr>
          <w:rFonts w:hint="eastAsia" w:ascii="宋体" w:hAnsi="宋体" w:cs="宋体"/>
          <w:color w:val="auto"/>
          <w:sz w:val="24"/>
          <w:highlight w:val="none"/>
        </w:rPr>
        <w:t>负责结算，乙方开具合同总价数的全额发票交采购人。</w:t>
      </w:r>
    </w:p>
    <w:p>
      <w:pPr>
        <w:tabs>
          <w:tab w:val="left" w:pos="735"/>
        </w:tabs>
        <w:adjustRightInd w:val="0"/>
        <w:snapToGrid w:val="0"/>
        <w:spacing w:line="360" w:lineRule="auto"/>
        <w:ind w:firstLine="506" w:firstLineChars="210"/>
        <w:rPr>
          <w:rFonts w:ascii="宋体" w:hAnsi="宋体" w:cs="宋体"/>
          <w:b/>
          <w:color w:val="auto"/>
          <w:sz w:val="24"/>
          <w:highlight w:val="none"/>
        </w:rPr>
      </w:pPr>
      <w:r>
        <w:rPr>
          <w:rFonts w:hint="eastAsia" w:ascii="宋体" w:hAnsi="宋体" w:cs="宋体"/>
          <w:b/>
          <w:color w:val="auto"/>
          <w:sz w:val="24"/>
          <w:highlight w:val="none"/>
        </w:rPr>
        <w:t>四、交付时间:合同签订后</w:t>
      </w:r>
      <w:r>
        <w:rPr>
          <w:rFonts w:hint="eastAsia" w:ascii="宋体" w:hAnsi="宋体" w:cs="宋体"/>
          <w:b/>
          <w:color w:val="auto"/>
          <w:sz w:val="24"/>
          <w:highlight w:val="none"/>
          <w:u w:val="single"/>
          <w:lang w:val="en-US" w:eastAsia="zh-CN"/>
        </w:rPr>
        <w:t xml:space="preserve">   </w:t>
      </w:r>
      <w:r>
        <w:rPr>
          <w:rFonts w:hint="eastAsia" w:ascii="宋体" w:hAnsi="宋体" w:cs="宋体"/>
          <w:b/>
          <w:color w:val="auto"/>
          <w:sz w:val="24"/>
          <w:highlight w:val="none"/>
        </w:rPr>
        <w:t>日历天完成</w:t>
      </w:r>
    </w:p>
    <w:p>
      <w:pPr>
        <w:adjustRightInd w:val="0"/>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五、交付内容：</w:t>
      </w:r>
    </w:p>
    <w:p>
      <w:pPr>
        <w:adjustRightInd w:val="0"/>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六、项目评审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1、评审依据：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2、合同文本；</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3、投标文件及澄清函、招标文件；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4、国家和行业制定的相应的标准和规范。</w:t>
      </w:r>
    </w:p>
    <w:p>
      <w:pPr>
        <w:snapToGrid w:val="0"/>
        <w:spacing w:line="360" w:lineRule="auto"/>
        <w:ind w:right="893" w:firstLine="482" w:firstLineChars="200"/>
        <w:rPr>
          <w:rFonts w:ascii="宋体" w:hAnsi="宋体" w:cs="宋体"/>
          <w:b/>
          <w:color w:val="auto"/>
          <w:sz w:val="24"/>
          <w:highlight w:val="none"/>
        </w:rPr>
      </w:pPr>
      <w:r>
        <w:rPr>
          <w:rFonts w:hint="eastAsia" w:ascii="宋体" w:hAnsi="宋体" w:cs="宋体"/>
          <w:b/>
          <w:color w:val="auto"/>
          <w:sz w:val="24"/>
          <w:highlight w:val="none"/>
        </w:rPr>
        <w:t>七、违约责任</w:t>
      </w:r>
    </w:p>
    <w:p>
      <w:pPr>
        <w:numPr>
          <w:ilvl w:val="0"/>
          <w:numId w:val="6"/>
        </w:num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按《民法典》中的相关条款执行。</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2、乙方履约延误</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2-1、如乙方事先未征得甲方同意并得到甲方的谅解而单方面延迟交付报告，将按违约终止合同。</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在履行合同过程中，如果乙方遇到可能妨碍按时交付报告的情况，应及时以书面形式将拖延的事实，可能拖延的期限和理由通知甲方。甲方在收到乙方通知后，应尽快对情况进行评价，并确定是否通过修改合同，酌情延长交付时间或对乙方加收误期赔偿金。每延误一周的赔偿费按未提供服务的服务费用的百分之一（1%）计收，直至交付报告为止。误期赔偿费的最高限额为合同价格的百分之五（5%）。一旦达到误期赔偿费的最高限额，甲方可终止合同。</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3、违约终止合同：未按合同要求提供服务或质量不能满足技术要求，甲方会同监督机构有权终止合同，对乙方违约行为进行追究，同时按政府采购法的有关规定进行相应的处罚。</w:t>
      </w:r>
    </w:p>
    <w:p>
      <w:pPr>
        <w:adjustRightInd w:val="0"/>
        <w:snapToGrid w:val="0"/>
        <w:spacing w:line="360" w:lineRule="auto"/>
        <w:ind w:firstLine="645"/>
        <w:rPr>
          <w:rFonts w:ascii="宋体" w:hAnsi="宋体" w:cs="宋体"/>
          <w:b/>
          <w:color w:val="auto"/>
          <w:sz w:val="24"/>
          <w:highlight w:val="none"/>
        </w:rPr>
      </w:pPr>
      <w:r>
        <w:rPr>
          <w:rFonts w:hint="eastAsia" w:ascii="宋体" w:hAnsi="宋体" w:cs="宋体"/>
          <w:b/>
          <w:color w:val="auto"/>
          <w:sz w:val="24"/>
          <w:highlight w:val="none"/>
        </w:rPr>
        <w:t>八、争议的解决</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本合同发生争议，由当事人双方协商解决；协商或调解未果时，可向采购人所在地人民法院提请诉讼。</w:t>
      </w:r>
    </w:p>
    <w:p>
      <w:pPr>
        <w:adjustRightInd w:val="0"/>
        <w:snapToGrid w:val="0"/>
        <w:spacing w:line="360" w:lineRule="auto"/>
        <w:ind w:firstLine="645"/>
        <w:rPr>
          <w:rFonts w:ascii="宋体" w:hAnsi="宋体" w:cs="宋体"/>
          <w:b/>
          <w:color w:val="auto"/>
          <w:sz w:val="24"/>
          <w:highlight w:val="none"/>
        </w:rPr>
      </w:pPr>
      <w:r>
        <w:rPr>
          <w:rFonts w:hint="eastAsia" w:ascii="宋体" w:hAnsi="宋体" w:cs="宋体"/>
          <w:b/>
          <w:color w:val="auto"/>
          <w:sz w:val="24"/>
          <w:highlight w:val="none"/>
        </w:rPr>
        <w:t>九、合同组成</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1、成交通知书</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2、合同文件</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3、国家相关规范及标准</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w:t>
      </w:r>
    </w:p>
    <w:p>
      <w:pPr>
        <w:adjustRightInd w:val="0"/>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eastAsia="zh-CN"/>
        </w:rPr>
        <w:t>投标</w:t>
      </w:r>
      <w:r>
        <w:rPr>
          <w:rFonts w:hint="eastAsia" w:ascii="宋体" w:hAnsi="宋体" w:cs="宋体"/>
          <w:color w:val="auto"/>
          <w:sz w:val="24"/>
          <w:highlight w:val="none"/>
        </w:rPr>
        <w:t>文件</w:t>
      </w:r>
    </w:p>
    <w:p>
      <w:pPr>
        <w:widowControl/>
        <w:autoSpaceDE w:val="0"/>
        <w:autoSpaceDN w:val="0"/>
        <w:snapToGrid w:val="0"/>
        <w:spacing w:line="360" w:lineRule="auto"/>
        <w:ind w:right="893" w:firstLine="472" w:firstLineChars="196"/>
        <w:textAlignment w:val="bottom"/>
        <w:rPr>
          <w:rFonts w:ascii="宋体" w:hAnsi="宋体" w:cs="宋体"/>
          <w:b/>
          <w:color w:val="auto"/>
          <w:kern w:val="0"/>
          <w:sz w:val="24"/>
          <w:highlight w:val="none"/>
        </w:rPr>
      </w:pPr>
      <w:r>
        <w:rPr>
          <w:rFonts w:hint="eastAsia" w:ascii="宋体" w:hAnsi="宋体" w:cs="宋体"/>
          <w:b/>
          <w:color w:val="auto"/>
          <w:kern w:val="0"/>
          <w:sz w:val="24"/>
          <w:highlight w:val="none"/>
        </w:rPr>
        <w:t>十、合同生效及其它</w:t>
      </w:r>
    </w:p>
    <w:p>
      <w:pPr>
        <w:widowControl/>
        <w:autoSpaceDE w:val="0"/>
        <w:autoSpaceDN w:val="0"/>
        <w:snapToGrid w:val="0"/>
        <w:spacing w:line="360" w:lineRule="auto"/>
        <w:ind w:right="-110" w:firstLine="480" w:firstLineChars="200"/>
        <w:textAlignment w:val="bottom"/>
        <w:rPr>
          <w:rFonts w:ascii="宋体" w:hAnsi="宋体" w:cs="宋体"/>
          <w:color w:val="auto"/>
          <w:kern w:val="0"/>
          <w:sz w:val="24"/>
          <w:highlight w:val="none"/>
        </w:rPr>
      </w:pPr>
      <w:r>
        <w:rPr>
          <w:rFonts w:hint="eastAsia" w:ascii="宋体" w:hAnsi="宋体" w:cs="宋体"/>
          <w:color w:val="auto"/>
          <w:kern w:val="0"/>
          <w:sz w:val="24"/>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ascii="宋体" w:hAnsi="宋体" w:cs="宋体"/>
          <w:color w:val="auto"/>
          <w:kern w:val="0"/>
          <w:sz w:val="24"/>
          <w:highlight w:val="none"/>
        </w:rPr>
      </w:pPr>
      <w:r>
        <w:rPr>
          <w:rFonts w:hint="eastAsia" w:ascii="宋体" w:hAnsi="宋体" w:cs="宋体"/>
          <w:color w:val="auto"/>
          <w:kern w:val="0"/>
          <w:sz w:val="24"/>
          <w:highlight w:val="none"/>
        </w:rPr>
        <w:t>2、 本合同正本一式份，甲方、乙方双方分别执份。</w:t>
      </w:r>
    </w:p>
    <w:p>
      <w:pPr>
        <w:widowControl/>
        <w:tabs>
          <w:tab w:val="left" w:pos="8391"/>
        </w:tabs>
        <w:autoSpaceDE w:val="0"/>
        <w:autoSpaceDN w:val="0"/>
        <w:snapToGrid w:val="0"/>
        <w:spacing w:line="360" w:lineRule="auto"/>
        <w:ind w:right="-69" w:firstLine="480" w:firstLineChars="200"/>
        <w:textAlignment w:val="bottom"/>
        <w:rPr>
          <w:rFonts w:ascii="宋体" w:hAnsi="宋体" w:cs="宋体"/>
          <w:color w:val="auto"/>
          <w:kern w:val="0"/>
          <w:sz w:val="24"/>
          <w:highlight w:val="none"/>
        </w:rPr>
      </w:pPr>
      <w:r>
        <w:rPr>
          <w:rFonts w:hint="eastAsia" w:ascii="宋体" w:hAnsi="宋体" w:cs="宋体"/>
          <w:color w:val="auto"/>
          <w:kern w:val="0"/>
          <w:sz w:val="24"/>
          <w:highlight w:val="none"/>
        </w:rPr>
        <w:t>3、合同经甲乙双方盖章、签字后生效，合同签订地点为。</w:t>
      </w:r>
    </w:p>
    <w:p>
      <w:pPr>
        <w:widowControl/>
        <w:tabs>
          <w:tab w:val="left" w:pos="8391"/>
        </w:tabs>
        <w:autoSpaceDE w:val="0"/>
        <w:autoSpaceDN w:val="0"/>
        <w:snapToGrid w:val="0"/>
        <w:spacing w:line="360" w:lineRule="auto"/>
        <w:ind w:right="-69" w:firstLine="480" w:firstLineChars="200"/>
        <w:textAlignment w:val="bottom"/>
        <w:rPr>
          <w:rFonts w:ascii="宋体" w:hAnsi="宋体" w:cs="宋体"/>
          <w:color w:val="auto"/>
          <w:kern w:val="0"/>
          <w:sz w:val="24"/>
          <w:highlight w:val="none"/>
        </w:rPr>
      </w:pPr>
      <w:r>
        <w:rPr>
          <w:rFonts w:hint="eastAsia" w:ascii="宋体" w:hAnsi="宋体" w:cs="宋体"/>
          <w:color w:val="auto"/>
          <w:kern w:val="0"/>
          <w:sz w:val="24"/>
          <w:highlight w:val="none"/>
        </w:rPr>
        <w:t>4、生效时间：       年  月  日至       年  月  日</w:t>
      </w:r>
    </w:p>
    <w:p>
      <w:pPr>
        <w:widowControl/>
        <w:tabs>
          <w:tab w:val="left" w:pos="8391"/>
        </w:tabs>
        <w:autoSpaceDE w:val="0"/>
        <w:autoSpaceDN w:val="0"/>
        <w:snapToGrid w:val="0"/>
        <w:spacing w:line="360" w:lineRule="auto"/>
        <w:ind w:right="-69" w:firstLine="480" w:firstLineChars="200"/>
        <w:textAlignment w:val="bottom"/>
        <w:rPr>
          <w:rFonts w:ascii="宋体" w:hAnsi="宋体" w:cs="宋体"/>
          <w:color w:val="auto"/>
          <w:kern w:val="0"/>
          <w:sz w:val="24"/>
          <w:highlight w:val="none"/>
        </w:rPr>
      </w:pPr>
    </w:p>
    <w:tbl>
      <w:tblPr>
        <w:tblStyle w:val="29"/>
        <w:tblW w:w="4999" w:type="pct"/>
        <w:jc w:val="center"/>
        <w:tblLayout w:type="autofit"/>
        <w:tblCellMar>
          <w:top w:w="0" w:type="dxa"/>
          <w:left w:w="108" w:type="dxa"/>
          <w:bottom w:w="0" w:type="dxa"/>
          <w:right w:w="108" w:type="dxa"/>
        </w:tblCellMar>
      </w:tblPr>
      <w:tblGrid>
        <w:gridCol w:w="4585"/>
        <w:gridCol w:w="4588"/>
      </w:tblGrid>
      <w:tr>
        <w:tblPrEx>
          <w:tblCellMar>
            <w:top w:w="0" w:type="dxa"/>
            <w:left w:w="108" w:type="dxa"/>
            <w:bottom w:w="0" w:type="dxa"/>
            <w:right w:w="108" w:type="dxa"/>
          </w:tblCellMar>
        </w:tblPrEx>
        <w:trPr>
          <w:jc w:val="center"/>
        </w:trPr>
        <w:tc>
          <w:tcPr>
            <w:tcW w:w="2499" w:type="pct"/>
          </w:tcPr>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甲方名称</w:t>
            </w:r>
            <w:r>
              <w:rPr>
                <w:rFonts w:hint="eastAsia" w:ascii="宋体" w:hAnsi="宋体" w:cs="宋体"/>
                <w:color w:val="auto"/>
                <w:spacing w:val="-20"/>
                <w:kern w:val="0"/>
                <w:sz w:val="24"/>
                <w:highlight w:val="none"/>
              </w:rPr>
              <w:t>（盖章）</w:t>
            </w:r>
            <w:r>
              <w:rPr>
                <w:rFonts w:hint="eastAsia" w:ascii="宋体" w:hAnsi="宋体" w:cs="宋体"/>
                <w:color w:val="auto"/>
                <w:kern w:val="0"/>
                <w:sz w:val="24"/>
                <w:highlight w:val="none"/>
              </w:rPr>
              <w:t xml:space="preserve">:          </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地址：</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代表人（签字）：</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电话：</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开户银行：</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帐号：</w:t>
            </w:r>
          </w:p>
        </w:tc>
        <w:tc>
          <w:tcPr>
            <w:tcW w:w="2500" w:type="pct"/>
          </w:tcPr>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乙方名称</w:t>
            </w:r>
            <w:r>
              <w:rPr>
                <w:rFonts w:hint="eastAsia" w:ascii="宋体" w:hAnsi="宋体" w:cs="宋体"/>
                <w:color w:val="auto"/>
                <w:spacing w:val="-20"/>
                <w:kern w:val="0"/>
                <w:sz w:val="24"/>
                <w:highlight w:val="none"/>
              </w:rPr>
              <w:t>（盖章）</w:t>
            </w:r>
            <w:r>
              <w:rPr>
                <w:rFonts w:hint="eastAsia" w:ascii="宋体" w:hAnsi="宋体" w:cs="宋体"/>
                <w:color w:val="auto"/>
                <w:kern w:val="0"/>
                <w:sz w:val="24"/>
                <w:highlight w:val="none"/>
              </w:rPr>
              <w:t>:</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地址：</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代表人（签字）：</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电话：</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开户银行：</w:t>
            </w:r>
          </w:p>
          <w:p>
            <w:pPr>
              <w:widowControl/>
              <w:autoSpaceDE w:val="0"/>
              <w:autoSpaceDN w:val="0"/>
              <w:snapToGrid w:val="0"/>
              <w:spacing w:line="360" w:lineRule="auto"/>
              <w:ind w:right="-154"/>
              <w:textAlignment w:val="bottom"/>
              <w:rPr>
                <w:rFonts w:ascii="宋体" w:hAnsi="宋体" w:cs="宋体"/>
                <w:color w:val="auto"/>
                <w:kern w:val="0"/>
                <w:sz w:val="24"/>
                <w:highlight w:val="none"/>
              </w:rPr>
            </w:pPr>
            <w:r>
              <w:rPr>
                <w:rFonts w:hint="eastAsia" w:ascii="宋体" w:hAnsi="宋体" w:cs="宋体"/>
                <w:color w:val="auto"/>
                <w:kern w:val="0"/>
                <w:sz w:val="24"/>
                <w:highlight w:val="none"/>
              </w:rPr>
              <w:t>帐号：</w:t>
            </w:r>
          </w:p>
        </w:tc>
      </w:tr>
    </w:tbl>
    <w:p>
      <w:pPr>
        <w:rPr>
          <w:color w:val="auto"/>
          <w:highlight w:val="none"/>
          <w:lang w:val="zh-CN"/>
        </w:rPr>
      </w:pPr>
    </w:p>
    <w:p>
      <w:pPr>
        <w:widowControl/>
        <w:jc w:val="left"/>
        <w:rPr>
          <w:rFonts w:ascii="宋体" w:hAnsi="宋体"/>
          <w:b/>
          <w:color w:val="auto"/>
          <w:szCs w:val="21"/>
          <w:highlight w:val="none"/>
        </w:rPr>
      </w:pPr>
    </w:p>
    <w:p>
      <w:pPr>
        <w:rPr>
          <w:rFonts w:ascii="宋体" w:hAnsi="宋体"/>
          <w:b/>
          <w:color w:val="auto"/>
          <w:sz w:val="28"/>
          <w:szCs w:val="28"/>
          <w:highlight w:val="none"/>
        </w:rPr>
      </w:pPr>
      <w:r>
        <w:rPr>
          <w:rFonts w:hint="eastAsia" w:ascii="宋体" w:hAnsi="宋体"/>
          <w:b/>
          <w:color w:val="auto"/>
          <w:sz w:val="28"/>
          <w:szCs w:val="28"/>
          <w:highlight w:val="none"/>
        </w:rPr>
        <w:br w:type="page"/>
      </w:r>
    </w:p>
    <w:p>
      <w:pPr>
        <w:rPr>
          <w:rFonts w:ascii="宋体" w:hAnsi="宋体"/>
          <w:b/>
          <w:color w:val="auto"/>
          <w:sz w:val="28"/>
          <w:szCs w:val="28"/>
          <w:highlight w:val="none"/>
        </w:rPr>
      </w:pPr>
      <w:r>
        <w:rPr>
          <w:rFonts w:hint="eastAsia" w:ascii="宋体" w:hAnsi="宋体"/>
          <w:b/>
          <w:color w:val="auto"/>
          <w:sz w:val="28"/>
          <w:szCs w:val="28"/>
          <w:highlight w:val="none"/>
        </w:rPr>
        <w:t>附件1：</w:t>
      </w:r>
    </w:p>
    <w:p>
      <w:pPr>
        <w:jc w:val="center"/>
        <w:rPr>
          <w:rFonts w:ascii="宋体" w:hAnsi="宋体"/>
          <w:b/>
          <w:color w:val="auto"/>
          <w:sz w:val="36"/>
          <w:szCs w:val="36"/>
          <w:highlight w:val="none"/>
        </w:rPr>
      </w:pPr>
      <w:r>
        <w:rPr>
          <w:rFonts w:hint="eastAsia" w:ascii="宋体" w:hAnsi="宋体"/>
          <w:b/>
          <w:color w:val="auto"/>
          <w:sz w:val="36"/>
          <w:szCs w:val="36"/>
          <w:highlight w:val="none"/>
        </w:rPr>
        <w:t>政府采购履约担保函</w:t>
      </w:r>
    </w:p>
    <w:p>
      <w:pPr>
        <w:rPr>
          <w:color w:val="auto"/>
          <w:highlight w:val="none"/>
        </w:rPr>
      </w:pPr>
      <w:r>
        <w:rPr>
          <w:rFonts w:hint="eastAsia"/>
          <w:color w:val="auto"/>
          <w:highlight w:val="none"/>
        </w:rPr>
        <w:t xml:space="preserve">                                                            </w:t>
      </w:r>
    </w:p>
    <w:p>
      <w:pPr>
        <w:ind w:firstLine="6615" w:firstLineChars="3150"/>
        <w:rPr>
          <w:color w:val="auto"/>
          <w:highlight w:val="none"/>
        </w:rPr>
      </w:pPr>
      <w:r>
        <w:rPr>
          <w:rFonts w:hint="eastAsia"/>
          <w:color w:val="auto"/>
          <w:highlight w:val="none"/>
        </w:rPr>
        <w:t xml:space="preserve"> 编号：</w:t>
      </w:r>
    </w:p>
    <w:p>
      <w:pPr>
        <w:rPr>
          <w:color w:val="auto"/>
          <w:highlight w:val="none"/>
        </w:rPr>
      </w:pPr>
    </w:p>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（采购人）：</w:t>
      </w: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鉴于你方与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（以下简称投标人）于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日签定编号为   的《</w:t>
      </w:r>
      <w:r>
        <w:rPr>
          <w:rFonts w:hint="eastAsia" w:ascii="宋体" w:hAnsi="宋体"/>
          <w:color w:val="auto"/>
          <w:szCs w:val="21"/>
          <w:highlight w:val="none"/>
          <w:u w:val="single"/>
        </w:rPr>
        <w:t xml:space="preserve">           </w:t>
      </w:r>
      <w:r>
        <w:rPr>
          <w:rFonts w:hint="eastAsia" w:ascii="宋体" w:hAnsi="宋体"/>
          <w:color w:val="auto"/>
          <w:szCs w:val="21"/>
          <w:highlight w:val="none"/>
        </w:rPr>
        <w:t>政府采购合同》（以下简称主合同），且依据该合同的约定，投标人应在</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日前向你方交纳履约保证金，且可以履约担保函的形式交纳履约保证金。应投标人的申请，我方以保证的方式向你方提供如下履约保证金担保：</w:t>
      </w:r>
    </w:p>
    <w:p>
      <w:pP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   一、保证责任的情形及保证金额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（一）在投标人出现下列情形之一时，我方承担保证责任：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1．将中标项目转让给他人，或者在投标文件中未说明，且未经采购招标机构人同意，将中标项目分包给他人的；</w:t>
      </w:r>
    </w:p>
    <w:p>
      <w:pPr>
        <w:spacing w:line="360" w:lineRule="auto"/>
        <w:rPr>
          <w:rFonts w:ascii="宋体" w:hAnsi="宋体"/>
          <w:color w:val="auto"/>
          <w:szCs w:val="21"/>
          <w:highlight w:val="none"/>
        </w:rPr>
      </w:pPr>
      <w:r>
        <w:rPr>
          <w:rFonts w:hint="eastAsia" w:ascii="宋体" w:hAnsi="宋体"/>
          <w:color w:val="auto"/>
          <w:szCs w:val="21"/>
          <w:highlight w:val="none"/>
        </w:rPr>
        <w:t xml:space="preserve">　　2．主合同约定的应当缴纳履约保证金的情形: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（1）未按主合同约定的质量、数量和期限供应货物/提供服务/完成工程的；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（二）我方的保证范围是主合同约定的合同价款总额的</w:t>
      </w:r>
      <w:r>
        <w:rPr>
          <w:rFonts w:hint="eastAsia" w:ascii="宋体" w:hAnsi="宋体"/>
          <w:color w:val="auto"/>
          <w:szCs w:val="21"/>
          <w:highlight w:val="none"/>
          <w:u w:val="single"/>
        </w:rPr>
        <w:t xml:space="preserve">        </w:t>
      </w:r>
      <w:r>
        <w:rPr>
          <w:rFonts w:hint="eastAsia" w:ascii="宋体" w:hAnsi="宋体"/>
          <w:color w:val="auto"/>
          <w:szCs w:val="21"/>
          <w:highlight w:val="none"/>
        </w:rPr>
        <w:t>%数额为</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），币种为</w:t>
      </w:r>
      <w:r>
        <w:rPr>
          <w:rFonts w:hint="eastAsia" w:ascii="宋体" w:hAnsi="宋体"/>
          <w:color w:val="auto"/>
          <w:szCs w:val="21"/>
          <w:highlight w:val="none"/>
          <w:u w:val="single"/>
        </w:rPr>
        <w:t xml:space="preserve">        </w:t>
      </w:r>
      <w:r>
        <w:rPr>
          <w:rFonts w:hint="eastAsia" w:ascii="宋体" w:hAnsi="宋体"/>
          <w:color w:val="auto"/>
          <w:szCs w:val="21"/>
          <w:highlight w:val="none"/>
        </w:rPr>
        <w:t>。（即主合同履约保证金金额）</w:t>
      </w:r>
    </w:p>
    <w:p>
      <w:pP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   二、保证的方式及保证期间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我方保证的方式为：连带责任保证。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我方保证的期间为：自本合同生效之日起至投标人按照主合同约定的供货/完工期限届满后</w:t>
      </w:r>
      <w:r>
        <w:rPr>
          <w:rFonts w:hint="eastAsia" w:ascii="宋体" w:hAnsi="宋体"/>
          <w:color w:val="auto"/>
          <w:szCs w:val="21"/>
          <w:highlight w:val="none"/>
          <w:u w:val="single"/>
        </w:rPr>
        <w:t xml:space="preserve">     </w:t>
      </w:r>
      <w:r>
        <w:rPr>
          <w:rFonts w:hint="eastAsia" w:ascii="宋体" w:hAnsi="宋体"/>
          <w:color w:val="auto"/>
          <w:szCs w:val="21"/>
          <w:highlight w:val="none"/>
        </w:rPr>
        <w:t>日内。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如果投标人未按主合同约定向贵方供应货物/提供服务/完成工程的，由我方在保证金额内向你方支付上述款项。</w:t>
      </w:r>
    </w:p>
    <w:p>
      <w:pP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   三、承担保证责任的程序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1．你方要求我方承担保证责任的，应在本保函保证期间内向我方发出书面索赔通知。索赔通知应写明要求索赔的金额，支付款项应到达的帐号。并附有证明投标人违约事实的证明材料。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如果你方与投标人因货物质量问题产生争议，你方还需同时提供</w:t>
      </w:r>
      <w:r>
        <w:rPr>
          <w:rFonts w:hint="eastAsia" w:ascii="宋体" w:hAnsi="宋体"/>
          <w:color w:val="auto"/>
          <w:szCs w:val="21"/>
          <w:highlight w:val="none"/>
          <w:u w:val="single"/>
        </w:rPr>
        <w:t xml:space="preserve">        </w:t>
      </w:r>
      <w:r>
        <w:rPr>
          <w:rFonts w:hint="eastAsia" w:ascii="宋体" w:hAnsi="宋体"/>
          <w:color w:val="auto"/>
          <w:szCs w:val="21"/>
          <w:highlight w:val="none"/>
        </w:rPr>
        <w:t>部门出具的质量检测报告，或经诉讼（仲裁）程序裁决后的裁决书、调解书，本保证人即按照检测结果或裁决书、调解书决定是否承担保证责任。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我方收到你方的书面索赔通知及相应证明材料，在</w:t>
      </w:r>
      <w:r>
        <w:rPr>
          <w:rFonts w:hint="eastAsia" w:ascii="宋体" w:hAnsi="宋体"/>
          <w:color w:val="auto"/>
          <w:szCs w:val="21"/>
          <w:highlight w:val="none"/>
          <w:u w:val="single"/>
        </w:rPr>
        <w:t xml:space="preserve">     </w:t>
      </w:r>
      <w:r>
        <w:rPr>
          <w:rFonts w:hint="eastAsia" w:ascii="宋体" w:hAnsi="宋体"/>
          <w:color w:val="auto"/>
          <w:szCs w:val="21"/>
          <w:highlight w:val="none"/>
        </w:rPr>
        <w:t>工作日内进行核定后按照本保函的承诺承担保证责任。</w:t>
      </w:r>
    </w:p>
    <w:p>
      <w:pP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   四、保证责任的终止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2．我方按照本保函向你方履行了保证责任后，自我方向你方支付款项（支付款项从我方账户划出）之日起，保证责任即终止。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3．按照法律法规的规定或出现应终止我方保证责任的其它情形的，我方在本保函项下的保证责任亦终止。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你方与投标人修改主合同，加重我方保证责任的，我方对加重部分不承担保证责任，但该等修改事先经我方书面同意的除外；你方与投标人修改主合同履行期限，我方保证期间仍依修改前的履行期限计算，但该等修改事先经我方书面同意的除外。</w:t>
      </w:r>
    </w:p>
    <w:p>
      <w:pPr>
        <w:spacing w:beforeLines="50" w:afterLines="50" w:line="360" w:lineRule="auto"/>
        <w:rPr>
          <w:rFonts w:ascii="宋体" w:hAnsi="宋体"/>
          <w:b/>
          <w:color w:val="auto"/>
          <w:sz w:val="30"/>
          <w:szCs w:val="30"/>
          <w:highlight w:val="none"/>
        </w:rPr>
      </w:pPr>
      <w:r>
        <w:rPr>
          <w:rFonts w:hint="eastAsia" w:ascii="宋体" w:hAnsi="宋体"/>
          <w:b/>
          <w:color w:val="auto"/>
          <w:sz w:val="30"/>
          <w:szCs w:val="30"/>
          <w:highlight w:val="none"/>
        </w:rPr>
        <w:t xml:space="preserve">   五、免责条款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1．因你方违反主合同约定致使投标人不能履行义务的，我方不承担保证责任。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2．依照法律法规的规定或你方与投标人的另行约定，全部或者部分免除投标人应缴纳的保证金义务的，我方亦免除相应的保证责任。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3．因不可抗力造成投标人不能履行供货义务的，我方不承担保证责任。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六、争议的解决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因本保函发生的纠纷，由你我双方协商解决，协商不成的，通过诉讼程序解决，诉讼管辖地法院为</w:t>
      </w:r>
      <w:r>
        <w:rPr>
          <w:rFonts w:hint="eastAsia" w:ascii="宋体" w:hAnsi="宋体"/>
          <w:color w:val="auto"/>
          <w:szCs w:val="21"/>
          <w:highlight w:val="none"/>
          <w:u w:val="single"/>
        </w:rPr>
        <w:t xml:space="preserve">        </w:t>
      </w:r>
      <w:r>
        <w:rPr>
          <w:rFonts w:hint="eastAsia" w:ascii="宋体" w:hAnsi="宋体"/>
          <w:color w:val="auto"/>
          <w:szCs w:val="21"/>
          <w:highlight w:val="none"/>
        </w:rPr>
        <w:t>法院。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七、保函的生效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本保函自我方加盖公章之日起生效。</w:t>
      </w:r>
      <w:r>
        <w:rPr>
          <w:rFonts w:ascii="宋体" w:hAnsi="宋体"/>
          <w:color w:val="auto"/>
          <w:szCs w:val="21"/>
          <w:highlight w:val="none"/>
        </w:rPr>
        <w:t xml:space="preserve">                                 </w:t>
      </w:r>
    </w:p>
    <w:p>
      <w:pPr>
        <w:spacing w:line="360" w:lineRule="auto"/>
        <w:rPr>
          <w:rFonts w:ascii="宋体" w:hAnsi="宋体"/>
          <w:color w:val="auto"/>
          <w:szCs w:val="21"/>
          <w:highlight w:val="none"/>
        </w:rPr>
      </w:pPr>
    </w:p>
    <w:p>
      <w:pPr>
        <w:spacing w:line="360" w:lineRule="auto"/>
        <w:ind w:firstLine="5250" w:firstLineChars="2500"/>
        <w:rPr>
          <w:rFonts w:ascii="宋体" w:hAnsi="宋体"/>
          <w:color w:val="auto"/>
          <w:szCs w:val="21"/>
          <w:highlight w:val="none"/>
        </w:rPr>
      </w:pPr>
    </w:p>
    <w:p>
      <w:pPr>
        <w:spacing w:line="360" w:lineRule="auto"/>
        <w:ind w:firstLine="5250" w:firstLineChars="2500"/>
        <w:rPr>
          <w:rFonts w:ascii="宋体" w:hAnsi="宋体"/>
          <w:color w:val="auto"/>
          <w:szCs w:val="21"/>
          <w:highlight w:val="none"/>
        </w:rPr>
      </w:pPr>
      <w:r>
        <w:rPr>
          <w:rFonts w:hint="eastAsia" w:ascii="宋体" w:hAnsi="宋体"/>
          <w:color w:val="auto"/>
          <w:szCs w:val="21"/>
          <w:highlight w:val="none"/>
        </w:rPr>
        <w:t>保证人：       （公章）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 xml:space="preserve">                                                      20  年  月  日</w:t>
      </w:r>
    </w:p>
    <w:p>
      <w:pPr>
        <w:spacing w:beforeLines="50" w:line="520" w:lineRule="exact"/>
        <w:jc w:val="center"/>
        <w:rPr>
          <w:rFonts w:ascii="宋体" w:hAnsi="宋体"/>
          <w:b/>
          <w:color w:val="auto"/>
          <w:sz w:val="44"/>
          <w:szCs w:val="44"/>
          <w:highlight w:val="none"/>
        </w:rPr>
      </w:pPr>
    </w:p>
    <w:p>
      <w:pPr>
        <w:spacing w:beforeLines="50" w:line="520" w:lineRule="exact"/>
        <w:jc w:val="center"/>
        <w:rPr>
          <w:rFonts w:ascii="黑体" w:hAnsi="宋体" w:eastAsia="黑体"/>
          <w:b/>
          <w:color w:val="auto"/>
          <w:sz w:val="44"/>
          <w:szCs w:val="44"/>
          <w:highlight w:val="none"/>
        </w:rPr>
        <w:sectPr>
          <w:pgSz w:w="11907" w:h="16840"/>
          <w:pgMar w:top="1440" w:right="1474" w:bottom="1440" w:left="1474" w:header="851" w:footer="992" w:gutter="0"/>
          <w:pgNumType w:fmt="decimal"/>
          <w:cols w:space="720" w:num="1"/>
          <w:titlePg/>
        </w:sectPr>
      </w:pPr>
    </w:p>
    <w:p>
      <w:pPr>
        <w:spacing w:beforeLines="50" w:line="520" w:lineRule="exact"/>
        <w:jc w:val="center"/>
        <w:outlineLvl w:val="0"/>
        <w:rPr>
          <w:rFonts w:ascii="黑体" w:hAnsi="宋体" w:eastAsia="黑体"/>
          <w:b/>
          <w:color w:val="auto"/>
          <w:sz w:val="44"/>
          <w:szCs w:val="44"/>
          <w:highlight w:val="none"/>
        </w:rPr>
      </w:pPr>
      <w:bookmarkStart w:id="116" w:name="_Toc28043"/>
      <w:r>
        <w:rPr>
          <w:rFonts w:hint="eastAsia" w:ascii="黑体" w:hAnsi="宋体" w:eastAsia="黑体"/>
          <w:b/>
          <w:color w:val="auto"/>
          <w:sz w:val="44"/>
          <w:szCs w:val="44"/>
          <w:highlight w:val="none"/>
        </w:rPr>
        <w:t>第六章  投标文件格式</w:t>
      </w:r>
      <w:bookmarkEnd w:id="102"/>
      <w:bookmarkEnd w:id="116"/>
    </w:p>
    <w:p>
      <w:pPr>
        <w:spacing w:line="520" w:lineRule="exact"/>
        <w:jc w:val="center"/>
        <w:rPr>
          <w:rFonts w:ascii="仿宋_GB2312" w:eastAsia="仿宋_GB2312"/>
          <w:b/>
          <w:color w:val="auto"/>
          <w:sz w:val="32"/>
          <w:szCs w:val="32"/>
          <w:highlight w:val="none"/>
        </w:rPr>
      </w:pPr>
    </w:p>
    <w:p>
      <w:pPr>
        <w:spacing w:line="400" w:lineRule="exact"/>
        <w:jc w:val="center"/>
        <w:rPr>
          <w:rFonts w:ascii="仿宋_GB2312" w:eastAsia="仿宋_GB2312"/>
          <w:b/>
          <w:color w:val="auto"/>
          <w:sz w:val="32"/>
          <w:szCs w:val="32"/>
          <w:highlight w:val="none"/>
        </w:rPr>
      </w:pP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投标文件格式是投标人的部分投标文件格式，投标人应按照这些格式编制投标文件。编制投标文件前，请详细阅读招标文件，理解文件中的每一项要求，做出逐一实质性响应，认为有必要，可做补充说明。</w:t>
      </w:r>
    </w:p>
    <w:p>
      <w:pPr>
        <w:spacing w:line="400" w:lineRule="exact"/>
        <w:jc w:val="center"/>
        <w:rPr>
          <w:rFonts w:ascii="仿宋_GB2312" w:hAnsi="宋体" w:eastAsia="仿宋_GB2312"/>
          <w:b/>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pStyle w:val="3"/>
        <w:spacing w:line="400" w:lineRule="exact"/>
        <w:ind w:right="840"/>
        <w:jc w:val="right"/>
        <w:rPr>
          <w:rFonts w:ascii="宋体" w:hAnsi="宋体" w:eastAsia="宋体"/>
          <w:color w:val="auto"/>
          <w:szCs w:val="28"/>
          <w:highlight w:val="none"/>
        </w:rPr>
        <w:sectPr>
          <w:pgSz w:w="11907" w:h="16840"/>
          <w:pgMar w:top="1440" w:right="1474" w:bottom="1440" w:left="1474" w:header="851" w:footer="992" w:gutter="0"/>
          <w:pgNumType w:fmt="decimal"/>
          <w:cols w:space="720" w:num="1"/>
          <w:titlePg/>
        </w:sectPr>
      </w:pPr>
      <w:bookmarkStart w:id="117" w:name="_Toc217446082"/>
    </w:p>
    <w:p>
      <w:pPr>
        <w:spacing w:line="400" w:lineRule="exact"/>
        <w:ind w:right="840"/>
        <w:jc w:val="right"/>
        <w:rPr>
          <w:rFonts w:ascii="仿宋_GB2312" w:eastAsia="仿宋_GB2312"/>
          <w:color w:val="auto"/>
          <w:sz w:val="28"/>
          <w:highlight w:val="none"/>
        </w:rPr>
      </w:pPr>
      <w:r>
        <w:rPr>
          <w:rFonts w:hint="eastAsia" w:ascii="宋体" w:hAnsi="宋体"/>
          <w:color w:val="auto"/>
          <w:sz w:val="28"/>
          <w:highlight w:val="none"/>
        </w:rPr>
        <w:t>正本/副本</w:t>
      </w:r>
    </w:p>
    <w:p>
      <w:pPr>
        <w:spacing w:line="360" w:lineRule="auto"/>
        <w:rPr>
          <w:rFonts w:ascii="宋体" w:hAnsi="宋体"/>
          <w:color w:val="auto"/>
          <w:sz w:val="28"/>
          <w:highlight w:val="none"/>
        </w:rPr>
      </w:pPr>
      <w:r>
        <w:rPr>
          <w:rFonts w:hint="eastAsia" w:ascii="宋体" w:hAnsi="宋体"/>
          <w:b/>
          <w:bCs/>
          <w:color w:val="auto"/>
          <w:sz w:val="32"/>
          <w:szCs w:val="32"/>
          <w:highlight w:val="none"/>
          <w:lang w:val="zh-CN"/>
        </w:rPr>
        <w:t>政府采购项目</w:t>
      </w:r>
    </w:p>
    <w:p>
      <w:pPr>
        <w:spacing w:line="360" w:lineRule="auto"/>
        <w:rPr>
          <w:rFonts w:ascii="宋体" w:hAnsi="宋体"/>
          <w:b/>
          <w:bCs/>
          <w:color w:val="auto"/>
          <w:sz w:val="32"/>
          <w:szCs w:val="32"/>
          <w:highlight w:val="none"/>
        </w:rPr>
      </w:pPr>
      <w:r>
        <w:rPr>
          <w:rFonts w:hint="eastAsia" w:ascii="宋体" w:hAnsi="宋体"/>
          <w:b/>
          <w:bCs/>
          <w:color w:val="auto"/>
          <w:sz w:val="32"/>
          <w:szCs w:val="32"/>
          <w:highlight w:val="none"/>
          <w:lang w:val="zh-CN"/>
        </w:rPr>
        <w:t>项目编号：HZJZS2023-0092-3</w:t>
      </w:r>
    </w:p>
    <w:p>
      <w:pPr>
        <w:spacing w:line="400" w:lineRule="exact"/>
        <w:rPr>
          <w:rFonts w:ascii="仿宋_GB2312" w:eastAsia="仿宋_GB2312"/>
          <w:color w:val="auto"/>
          <w:sz w:val="28"/>
          <w:highlight w:val="none"/>
        </w:rPr>
      </w:pPr>
      <w:r>
        <w:rPr>
          <w:rFonts w:hint="eastAsia" w:ascii="仿宋_GB2312" w:eastAsia="仿宋_GB2312"/>
          <w:color w:val="auto"/>
          <w:sz w:val="28"/>
          <w:highlight w:val="none"/>
        </w:rPr>
        <w:t xml:space="preserve">            </w:t>
      </w:r>
    </w:p>
    <w:p>
      <w:pPr>
        <w:spacing w:line="400" w:lineRule="exact"/>
        <w:rPr>
          <w:rFonts w:ascii="仿宋_GB2312" w:eastAsia="仿宋_GB2312"/>
          <w:color w:val="auto"/>
          <w:sz w:val="28"/>
          <w:highlight w:val="none"/>
        </w:rPr>
      </w:pPr>
    </w:p>
    <w:p>
      <w:pPr>
        <w:spacing w:line="400" w:lineRule="exact"/>
        <w:rPr>
          <w:rFonts w:ascii="仿宋_GB2312" w:eastAsia="仿宋_GB2312"/>
          <w:color w:val="auto"/>
          <w:sz w:val="28"/>
          <w:highlight w:val="none"/>
        </w:rPr>
      </w:pPr>
      <w:r>
        <w:rPr>
          <w:rFonts w:hint="eastAsia" w:ascii="仿宋_GB2312" w:eastAsia="仿宋_GB2312"/>
          <w:color w:val="auto"/>
          <w:sz w:val="28"/>
          <w:highlight w:val="none"/>
        </w:rPr>
        <w:t xml:space="preserve">               </w:t>
      </w:r>
    </w:p>
    <w:p>
      <w:pPr>
        <w:spacing w:line="400" w:lineRule="exact"/>
        <w:jc w:val="center"/>
        <w:rPr>
          <w:rFonts w:ascii="仿宋_GB2312" w:eastAsia="仿宋_GB2312"/>
          <w:color w:val="auto"/>
          <w:sz w:val="28"/>
          <w:highlight w:val="none"/>
        </w:rPr>
      </w:pPr>
    </w:p>
    <w:p>
      <w:pPr>
        <w:spacing w:beforeLines="50"/>
        <w:jc w:val="center"/>
        <w:rPr>
          <w:rFonts w:asciiTheme="minorEastAsia" w:hAnsiTheme="minorEastAsia" w:eastAsiaTheme="minorEastAsia" w:cstheme="minorEastAsia"/>
          <w:b/>
          <w:bCs/>
          <w:color w:val="auto"/>
          <w:sz w:val="72"/>
          <w:szCs w:val="72"/>
          <w:highlight w:val="none"/>
        </w:rPr>
      </w:pPr>
      <w:r>
        <w:rPr>
          <w:rFonts w:hint="eastAsia" w:asciiTheme="minorEastAsia" w:hAnsiTheme="minorEastAsia" w:eastAsiaTheme="minorEastAsia" w:cstheme="minorEastAsia"/>
          <w:b/>
          <w:bCs/>
          <w:color w:val="auto"/>
          <w:sz w:val="52"/>
          <w:szCs w:val="52"/>
          <w:highlight w:val="none"/>
          <w:lang w:eastAsia="zh-CN"/>
        </w:rPr>
        <w:t>白水县2021年-2022年高标准农田改造提升项目</w:t>
      </w:r>
      <w:r>
        <w:rPr>
          <w:rFonts w:hint="eastAsia" w:asciiTheme="minorEastAsia" w:hAnsiTheme="minorEastAsia" w:eastAsiaTheme="minorEastAsia" w:cstheme="minorEastAsia"/>
          <w:b/>
          <w:bCs/>
          <w:color w:val="auto"/>
          <w:sz w:val="72"/>
          <w:szCs w:val="72"/>
          <w:highlight w:val="none"/>
        </w:rPr>
        <w:t xml:space="preserve"> </w:t>
      </w:r>
    </w:p>
    <w:p>
      <w:pPr>
        <w:spacing w:line="400" w:lineRule="exact"/>
        <w:jc w:val="center"/>
        <w:rPr>
          <w:rFonts w:ascii="宋体" w:hAnsi="宋体"/>
          <w:color w:val="auto"/>
          <w:sz w:val="44"/>
          <w:szCs w:val="44"/>
          <w:highlight w:val="none"/>
        </w:rPr>
      </w:pPr>
    </w:p>
    <w:p>
      <w:pPr>
        <w:pStyle w:val="7"/>
        <w:rPr>
          <w:color w:val="auto"/>
          <w:highlight w:val="none"/>
        </w:rPr>
      </w:pPr>
    </w:p>
    <w:p>
      <w:pPr>
        <w:pStyle w:val="7"/>
        <w:rPr>
          <w:color w:val="auto"/>
          <w:highlight w:val="none"/>
        </w:rPr>
      </w:pPr>
    </w:p>
    <w:p>
      <w:pPr>
        <w:pStyle w:val="7"/>
        <w:rPr>
          <w:color w:val="auto"/>
          <w:highlight w:val="none"/>
        </w:rPr>
      </w:pPr>
    </w:p>
    <w:p>
      <w:pPr>
        <w:spacing w:line="100" w:lineRule="atLeast"/>
        <w:jc w:val="center"/>
        <w:rPr>
          <w:rFonts w:hint="eastAsia" w:ascii="黑体" w:hAnsi="黑体" w:eastAsia="黑体" w:cs="黑体"/>
          <w:b/>
          <w:bCs/>
          <w:color w:val="auto"/>
          <w:sz w:val="72"/>
          <w:szCs w:val="72"/>
          <w:highlight w:val="none"/>
          <w:lang w:eastAsia="zh-CN"/>
        </w:rPr>
      </w:pPr>
      <w:r>
        <w:rPr>
          <w:rFonts w:hint="eastAsia" w:ascii="黑体" w:hAnsi="黑体" w:eastAsia="黑体" w:cs="黑体"/>
          <w:b w:val="0"/>
          <w:bCs w:val="0"/>
          <w:color w:val="auto"/>
          <w:sz w:val="40"/>
          <w:szCs w:val="40"/>
          <w:highlight w:val="none"/>
          <w:lang w:val="en-US" w:eastAsia="zh-CN"/>
        </w:rPr>
        <w:t>标段名称：耕地质量等级评定及上图入库标段/科技推广标段</w:t>
      </w:r>
    </w:p>
    <w:p>
      <w:pPr>
        <w:pStyle w:val="7"/>
        <w:ind w:firstLine="843" w:firstLineChars="400"/>
        <w:jc w:val="both"/>
        <w:rPr>
          <w:rFonts w:hint="default"/>
          <w:b/>
          <w:bCs/>
          <w:i w:val="0"/>
          <w:iCs w:val="0"/>
          <w:color w:val="auto"/>
          <w:highlight w:val="none"/>
          <w:u w:val="single"/>
          <w:lang w:val="en-US"/>
        </w:rPr>
      </w:pPr>
    </w:p>
    <w:p>
      <w:pPr>
        <w:pStyle w:val="7"/>
        <w:rPr>
          <w:color w:val="auto"/>
          <w:highlight w:val="none"/>
        </w:rPr>
      </w:pPr>
    </w:p>
    <w:p>
      <w:pPr>
        <w:pStyle w:val="7"/>
        <w:rPr>
          <w:color w:val="auto"/>
          <w:highlight w:val="none"/>
        </w:rPr>
      </w:pPr>
    </w:p>
    <w:p>
      <w:pPr>
        <w:spacing w:line="900" w:lineRule="exact"/>
        <w:jc w:val="center"/>
        <w:rPr>
          <w:rFonts w:ascii="方正小标宋简体" w:hAnsi="宋体" w:eastAsia="方正小标宋简体"/>
          <w:color w:val="auto"/>
          <w:sz w:val="84"/>
          <w:szCs w:val="84"/>
          <w:highlight w:val="none"/>
        </w:rPr>
      </w:pPr>
      <w:r>
        <w:rPr>
          <w:rFonts w:hint="eastAsia" w:ascii="黑体" w:hAnsi="黑体" w:eastAsia="黑体" w:cs="黑体"/>
          <w:color w:val="auto"/>
          <w:sz w:val="72"/>
          <w:szCs w:val="72"/>
          <w:highlight w:val="none"/>
        </w:rPr>
        <w:t xml:space="preserve">投标文件 </w:t>
      </w:r>
    </w:p>
    <w:p>
      <w:pPr>
        <w:pStyle w:val="7"/>
        <w:ind w:firstLine="0"/>
        <w:jc w:val="center"/>
        <w:rPr>
          <w:rFonts w:hint="default" w:ascii="宋体" w:hAnsi="宋体" w:eastAsia="宋体" w:cs="宋体"/>
          <w:i/>
          <w:iCs/>
          <w:color w:val="auto"/>
          <w:sz w:val="40"/>
          <w:szCs w:val="40"/>
          <w:highlight w:val="none"/>
          <w:lang w:val="en-US" w:eastAsia="zh-CN"/>
        </w:rPr>
      </w:pPr>
      <w:r>
        <w:rPr>
          <w:rFonts w:hint="eastAsia" w:ascii="宋体" w:hAnsi="宋体" w:cs="宋体"/>
          <w:i/>
          <w:iCs/>
          <w:color w:val="auto"/>
          <w:sz w:val="40"/>
          <w:szCs w:val="40"/>
          <w:highlight w:val="none"/>
          <w:lang w:val="en-US" w:eastAsia="zh-CN"/>
        </w:rPr>
        <w:t xml:space="preserve"> </w:t>
      </w:r>
    </w:p>
    <w:p>
      <w:pPr>
        <w:pStyle w:val="7"/>
        <w:rPr>
          <w:color w:val="auto"/>
          <w:sz w:val="28"/>
          <w:szCs w:val="28"/>
          <w:highlight w:val="none"/>
        </w:rPr>
      </w:pPr>
    </w:p>
    <w:p>
      <w:pPr>
        <w:pStyle w:val="7"/>
        <w:jc w:val="center"/>
        <w:rPr>
          <w:rFonts w:ascii="黑体" w:hAnsi="黑体" w:eastAsia="黑体" w:cs="黑体"/>
          <w:color w:val="auto"/>
          <w:sz w:val="32"/>
          <w:szCs w:val="32"/>
          <w:highlight w:val="none"/>
        </w:rPr>
      </w:pPr>
    </w:p>
    <w:p>
      <w:pPr>
        <w:pStyle w:val="7"/>
        <w:spacing w:beforeLines="50"/>
        <w:ind w:firstLine="1630" w:firstLineChars="580"/>
        <w:rPr>
          <w:rFonts w:ascii="宋体" w:hAnsi="宋体"/>
          <w:b/>
          <w:color w:val="auto"/>
          <w:sz w:val="28"/>
          <w:szCs w:val="28"/>
          <w:highlight w:val="none"/>
        </w:rPr>
      </w:pPr>
    </w:p>
    <w:p>
      <w:pPr>
        <w:pStyle w:val="7"/>
        <w:spacing w:beforeLines="50"/>
        <w:ind w:firstLine="1630" w:firstLineChars="580"/>
        <w:rPr>
          <w:rFonts w:ascii="宋体" w:hAnsi="宋体"/>
          <w:b/>
          <w:color w:val="auto"/>
          <w:sz w:val="28"/>
          <w:szCs w:val="28"/>
          <w:highlight w:val="none"/>
        </w:rPr>
      </w:pPr>
    </w:p>
    <w:p>
      <w:pPr>
        <w:pStyle w:val="7"/>
        <w:spacing w:beforeLines="50"/>
        <w:ind w:firstLine="1630" w:firstLineChars="580"/>
        <w:rPr>
          <w:rFonts w:ascii="宋体" w:hAnsi="宋体"/>
          <w:b/>
          <w:color w:val="auto"/>
          <w:sz w:val="28"/>
          <w:szCs w:val="28"/>
          <w:highlight w:val="none"/>
        </w:rPr>
      </w:pPr>
    </w:p>
    <w:p>
      <w:pPr>
        <w:pStyle w:val="7"/>
        <w:spacing w:beforeLines="50"/>
        <w:ind w:firstLine="0"/>
        <w:rPr>
          <w:rFonts w:ascii="宋体" w:hAnsi="宋体"/>
          <w:b/>
          <w:color w:val="auto"/>
          <w:sz w:val="28"/>
          <w:szCs w:val="28"/>
          <w:highlight w:val="none"/>
        </w:rPr>
      </w:pPr>
    </w:p>
    <w:p>
      <w:pPr>
        <w:pStyle w:val="7"/>
        <w:spacing w:beforeLines="50"/>
        <w:ind w:firstLine="1630" w:firstLineChars="58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投标人：</w:t>
      </w: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rPr>
        <w:t>（盖单位章）</w:t>
      </w:r>
    </w:p>
    <w:p>
      <w:pPr>
        <w:pStyle w:val="7"/>
        <w:spacing w:beforeLines="50"/>
        <w:ind w:firstLine="1630" w:firstLineChars="58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t>法定代表人或其委托代理人：</w:t>
      </w: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u w:val="none"/>
        </w:rPr>
        <w:t>（签字</w:t>
      </w:r>
      <w:r>
        <w:rPr>
          <w:rFonts w:hint="eastAsia" w:asciiTheme="minorEastAsia" w:hAnsiTheme="minorEastAsia" w:eastAsiaTheme="minorEastAsia" w:cstheme="minorEastAsia"/>
          <w:b/>
          <w:color w:val="auto"/>
          <w:sz w:val="28"/>
          <w:szCs w:val="28"/>
          <w:highlight w:val="none"/>
          <w:u w:val="none"/>
          <w:lang w:val="en-US" w:eastAsia="zh-CN"/>
        </w:rPr>
        <w:t>/盖章</w:t>
      </w:r>
      <w:r>
        <w:rPr>
          <w:rFonts w:hint="eastAsia" w:asciiTheme="minorEastAsia" w:hAnsiTheme="minorEastAsia" w:eastAsiaTheme="minorEastAsia" w:cstheme="minorEastAsia"/>
          <w:b/>
          <w:color w:val="auto"/>
          <w:sz w:val="28"/>
          <w:szCs w:val="28"/>
          <w:highlight w:val="none"/>
          <w:u w:val="none"/>
        </w:rPr>
        <w:t>）</w:t>
      </w:r>
    </w:p>
    <w:p>
      <w:pPr>
        <w:pStyle w:val="7"/>
        <w:spacing w:beforeLines="50"/>
        <w:ind w:firstLine="1630" w:firstLineChars="58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b/>
          <w:color w:val="auto"/>
          <w:sz w:val="28"/>
          <w:szCs w:val="28"/>
          <w:highlight w:val="none"/>
        </w:rPr>
        <w:t xml:space="preserve">时  间： </w:t>
      </w:r>
      <w:r>
        <w:rPr>
          <w:rFonts w:hint="eastAsia" w:asciiTheme="minorEastAsia" w:hAnsiTheme="minorEastAsia" w:eastAsiaTheme="minorEastAsia" w:cstheme="minorEastAsia"/>
          <w:b/>
          <w:color w:val="auto"/>
          <w:sz w:val="28"/>
          <w:szCs w:val="28"/>
          <w:highlight w:val="none"/>
          <w:u w:val="single"/>
        </w:rPr>
        <w:t>20    年  月  日</w:t>
      </w:r>
    </w:p>
    <w:bookmarkEnd w:id="117"/>
    <w:p>
      <w:pPr>
        <w:pStyle w:val="7"/>
        <w:spacing w:beforeLines="50" w:afterLines="50"/>
        <w:ind w:firstLine="0"/>
        <w:jc w:val="center"/>
        <w:rPr>
          <w:rFonts w:asciiTheme="minorEastAsia" w:hAnsiTheme="minorEastAsia" w:eastAsiaTheme="minorEastAsia" w:cstheme="minorEastAsia"/>
          <w:color w:val="auto"/>
          <w:sz w:val="44"/>
          <w:szCs w:val="44"/>
          <w:highlight w:val="none"/>
        </w:rPr>
        <w:sectPr>
          <w:pgSz w:w="11907" w:h="16840"/>
          <w:pgMar w:top="1440" w:right="1474" w:bottom="1440" w:left="1474" w:header="851" w:footer="992" w:gutter="0"/>
          <w:pgNumType w:fmt="decimal"/>
          <w:cols w:space="720" w:num="1"/>
          <w:titlePg/>
        </w:sectPr>
      </w:pPr>
    </w:p>
    <w:p>
      <w:pPr>
        <w:pStyle w:val="7"/>
        <w:spacing w:beforeLines="50" w:afterLines="50"/>
        <w:ind w:firstLine="0"/>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目  录</w:t>
      </w:r>
    </w:p>
    <w:p>
      <w:pPr>
        <w:pStyle w:val="7"/>
        <w:spacing w:beforeLines="50" w:line="360" w:lineRule="auto"/>
        <w:ind w:firstLine="0"/>
        <w:rPr>
          <w:color w:val="auto"/>
          <w:sz w:val="24"/>
          <w:szCs w:val="24"/>
          <w:highlight w:val="none"/>
        </w:rPr>
      </w:pPr>
    </w:p>
    <w:p>
      <w:pPr>
        <w:rPr>
          <w:color w:val="auto"/>
          <w:highlight w:val="none"/>
        </w:rPr>
      </w:pPr>
    </w:p>
    <w:p>
      <w:pPr>
        <w:spacing w:line="360" w:lineRule="auto"/>
        <w:ind w:left="630"/>
        <w:rPr>
          <w:rFonts w:ascii="宋体" w:hAnsi="宋体" w:cs="宋体"/>
          <w:color w:val="auto"/>
          <w:sz w:val="24"/>
          <w:highlight w:val="none"/>
        </w:rPr>
      </w:pPr>
      <w:r>
        <w:rPr>
          <w:rFonts w:hint="eastAsia" w:ascii="宋体" w:hAnsi="宋体"/>
          <w:color w:val="auto"/>
          <w:sz w:val="24"/>
          <w:highlight w:val="none"/>
        </w:rPr>
        <w:t>一、投标函</w:t>
      </w:r>
      <w:r>
        <w:rPr>
          <w:rFonts w:hint="eastAsia" w:ascii="宋体" w:hAnsi="宋体" w:cs="宋体"/>
          <w:color w:val="auto"/>
          <w:sz w:val="24"/>
          <w:highlight w:val="none"/>
        </w:rPr>
        <w:t>┄┄┄┄┄┄┄┄┄┄┄┄┄┄┄┄┄┄┄┄┄┄┄┄┄页码</w:t>
      </w:r>
    </w:p>
    <w:p>
      <w:pPr>
        <w:spacing w:line="360" w:lineRule="auto"/>
        <w:ind w:left="630"/>
        <w:rPr>
          <w:rFonts w:ascii="宋体" w:hAnsi="宋体"/>
          <w:color w:val="auto"/>
          <w:sz w:val="24"/>
          <w:highlight w:val="none"/>
        </w:rPr>
      </w:pPr>
      <w:r>
        <w:rPr>
          <w:rFonts w:hint="eastAsia" w:ascii="宋体" w:hAnsi="宋体"/>
          <w:color w:val="auto"/>
          <w:sz w:val="24"/>
          <w:highlight w:val="none"/>
        </w:rPr>
        <w:t>二、开标一览表</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三、服务要求偏离表</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四、商务条款偏离表</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五、资格证明文件</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六、技术文件</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七、其他证明材料</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八、投标人承诺书</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九、供应商企业关系关联承诺书</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十、拒绝政府采购领域商业贿赂承诺书</w:t>
      </w:r>
      <w:r>
        <w:rPr>
          <w:rFonts w:hint="eastAsia" w:ascii="宋体" w:hAnsi="宋体" w:cs="宋体"/>
          <w:color w:val="auto"/>
          <w:sz w:val="24"/>
          <w:highlight w:val="none"/>
        </w:rPr>
        <w:t>┄┄┄┄┄┄┄┄┄┄┄┄┄┄</w:t>
      </w:r>
    </w:p>
    <w:p>
      <w:pPr>
        <w:spacing w:line="360" w:lineRule="auto"/>
        <w:ind w:left="630"/>
        <w:rPr>
          <w:rFonts w:ascii="宋体" w:hAnsi="宋体"/>
          <w:color w:val="auto"/>
          <w:sz w:val="24"/>
          <w:highlight w:val="none"/>
        </w:rPr>
      </w:pPr>
      <w:r>
        <w:rPr>
          <w:rFonts w:hint="eastAsia" w:ascii="宋体" w:hAnsi="宋体"/>
          <w:color w:val="auto"/>
          <w:sz w:val="24"/>
          <w:highlight w:val="none"/>
        </w:rPr>
        <w:t>十一、投标人认为有必要补充说明的事项</w:t>
      </w:r>
      <w:r>
        <w:rPr>
          <w:rFonts w:hint="eastAsia" w:ascii="宋体" w:hAnsi="宋体" w:cs="宋体"/>
          <w:color w:val="auto"/>
          <w:sz w:val="24"/>
          <w:highlight w:val="none"/>
        </w:rPr>
        <w:t>┄┄┄┄┄┄┄┄┄┄┄┄┄</w:t>
      </w:r>
      <w:r>
        <w:rPr>
          <w:rFonts w:hint="eastAsia" w:ascii="宋体" w:hAnsi="宋体"/>
          <w:color w:val="auto"/>
          <w:sz w:val="24"/>
          <w:highlight w:val="none"/>
        </w:rPr>
        <w:br w:type="page"/>
      </w:r>
    </w:p>
    <w:p>
      <w:pPr>
        <w:pStyle w:val="7"/>
        <w:spacing w:beforeLines="50"/>
        <w:ind w:firstLine="0"/>
        <w:jc w:val="center"/>
        <w:rPr>
          <w:rFonts w:ascii="仿宋_GB2312" w:eastAsia="仿宋_GB2312"/>
          <w:b/>
          <w:bCs/>
          <w:color w:val="auto"/>
          <w:sz w:val="28"/>
          <w:szCs w:val="28"/>
          <w:highlight w:val="none"/>
        </w:rPr>
      </w:pPr>
      <w:r>
        <w:rPr>
          <w:rFonts w:hint="eastAsia" w:ascii="宋体" w:hAnsi="宋体"/>
          <w:b/>
          <w:color w:val="auto"/>
          <w:sz w:val="36"/>
          <w:szCs w:val="36"/>
          <w:highlight w:val="none"/>
        </w:rPr>
        <w:t>一、投 标 函</w:t>
      </w:r>
    </w:p>
    <w:p>
      <w:pPr>
        <w:pStyle w:val="18"/>
        <w:spacing w:line="360" w:lineRule="auto"/>
        <w:ind w:firstLine="0"/>
        <w:rPr>
          <w:rFonts w:ascii="宋体" w:hAnsi="宋体"/>
          <w:bCs/>
          <w:color w:val="auto"/>
          <w:sz w:val="21"/>
          <w:szCs w:val="21"/>
          <w:highlight w:val="none"/>
        </w:rPr>
      </w:pPr>
      <w:r>
        <w:rPr>
          <w:rFonts w:hint="eastAsia" w:ascii="宋体" w:hAnsi="宋体"/>
          <w:bCs/>
          <w:color w:val="auto"/>
          <w:sz w:val="21"/>
          <w:szCs w:val="21"/>
          <w:highlight w:val="none"/>
          <w:lang w:eastAsia="zh-CN"/>
        </w:rPr>
        <w:t>华智建造价咨询有限公司</w:t>
      </w:r>
      <w:r>
        <w:rPr>
          <w:rFonts w:hint="eastAsia" w:ascii="宋体" w:hAnsi="宋体"/>
          <w:bCs/>
          <w:color w:val="auto"/>
          <w:sz w:val="21"/>
          <w:szCs w:val="21"/>
          <w:highlight w:val="none"/>
        </w:rPr>
        <w:t>：</w:t>
      </w:r>
    </w:p>
    <w:p>
      <w:pPr>
        <w:pStyle w:val="18"/>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我方已仔细研究了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eastAsia="zh-CN"/>
        </w:rPr>
        <w:t>白水县2021年-2022年高标准农田改造提升项目</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lang w:eastAsia="zh-CN"/>
        </w:rPr>
        <w:t>标段</w:t>
      </w:r>
      <w:r>
        <w:rPr>
          <w:rFonts w:hint="eastAsia" w:ascii="宋体" w:hAnsi="宋体"/>
          <w:color w:val="auto"/>
          <w:sz w:val="21"/>
          <w:szCs w:val="21"/>
          <w:highlight w:val="none"/>
        </w:rPr>
        <w:t>的招标文件（政府采购项目编号：</w:t>
      </w:r>
      <w:r>
        <w:rPr>
          <w:rFonts w:hint="eastAsia" w:ascii="宋体" w:hAnsi="宋体"/>
          <w:color w:val="auto"/>
          <w:sz w:val="21"/>
          <w:szCs w:val="21"/>
          <w:highlight w:val="none"/>
          <w:lang w:eastAsia="zh-CN"/>
        </w:rPr>
        <w:t>HZJZS2023-0092-3</w:t>
      </w:r>
      <w:r>
        <w:rPr>
          <w:rFonts w:hint="eastAsia" w:ascii="宋体" w:hAnsi="宋体"/>
          <w:color w:val="auto"/>
          <w:sz w:val="21"/>
          <w:szCs w:val="21"/>
          <w:highlight w:val="none"/>
        </w:rPr>
        <w:t>）的全部内容，知悉参加投标的风险，我方承诺接受招标文件的全部条款且无任何异议，</w:t>
      </w:r>
      <w:r>
        <w:rPr>
          <w:rFonts w:hint="eastAsia" w:ascii="宋体" w:hAnsi="宋体"/>
          <w:bCs/>
          <w:color w:val="auto"/>
          <w:sz w:val="21"/>
          <w:szCs w:val="21"/>
          <w:highlight w:val="none"/>
        </w:rPr>
        <w:t>决定参加贵单位组织的本项目招标。</w:t>
      </w:r>
    </w:p>
    <w:p>
      <w:pPr>
        <w:pStyle w:val="16"/>
        <w:adjustRightInd w:val="0"/>
        <w:snapToGrid w:val="0"/>
        <w:spacing w:line="360" w:lineRule="auto"/>
        <w:ind w:firstLine="420" w:firstLineChars="200"/>
        <w:rPr>
          <w:rFonts w:hAnsi="宋体"/>
          <w:bCs/>
          <w:color w:val="auto"/>
          <w:highlight w:val="none"/>
        </w:rPr>
      </w:pPr>
      <w:r>
        <w:rPr>
          <w:rFonts w:hint="eastAsia" w:hAnsi="宋体"/>
          <w:color w:val="auto"/>
          <w:highlight w:val="none"/>
        </w:rPr>
        <w:t>一、我方提交投标文件正本一套和副本</w:t>
      </w:r>
      <w:r>
        <w:rPr>
          <w:rFonts w:hint="eastAsia" w:hAnsi="宋体"/>
          <w:color w:val="auto"/>
          <w:highlight w:val="none"/>
          <w:u w:val="single"/>
        </w:rPr>
        <w:t xml:space="preserve">   </w:t>
      </w:r>
      <w:r>
        <w:rPr>
          <w:rFonts w:hint="eastAsia" w:hAnsi="宋体"/>
          <w:color w:val="auto"/>
          <w:highlight w:val="none"/>
        </w:rPr>
        <w:t>套，</w:t>
      </w:r>
      <w:r>
        <w:rPr>
          <w:rFonts w:hint="eastAsia" w:hAnsi="宋体"/>
          <w:bCs/>
          <w:color w:val="auto"/>
          <w:highlight w:val="none"/>
        </w:rPr>
        <w:t>电子文件</w:t>
      </w:r>
      <w:r>
        <w:rPr>
          <w:rFonts w:hint="eastAsia" w:hAnsi="宋体"/>
          <w:bCs/>
          <w:color w:val="auto"/>
          <w:highlight w:val="none"/>
          <w:u w:val="single"/>
        </w:rPr>
        <w:t xml:space="preserve">   </w:t>
      </w:r>
      <w:r>
        <w:rPr>
          <w:rFonts w:hint="eastAsia" w:hAnsi="宋体"/>
          <w:bCs/>
          <w:color w:val="auto"/>
          <w:highlight w:val="none"/>
        </w:rPr>
        <w:t>份。</w:t>
      </w:r>
    </w:p>
    <w:p>
      <w:pPr>
        <w:pStyle w:val="16"/>
        <w:adjustRightInd w:val="0"/>
        <w:snapToGrid w:val="0"/>
        <w:spacing w:line="360" w:lineRule="auto"/>
        <w:ind w:firstLine="420" w:firstLineChars="200"/>
        <w:rPr>
          <w:rFonts w:hAnsi="宋体"/>
          <w:color w:val="auto"/>
          <w:highlight w:val="none"/>
        </w:rPr>
      </w:pPr>
      <w:r>
        <w:rPr>
          <w:rFonts w:hint="eastAsia" w:hAnsi="宋体"/>
          <w:color w:val="auto"/>
          <w:highlight w:val="none"/>
        </w:rPr>
        <w:t>二、我方投标总价为人民币（大写）</w:t>
      </w:r>
      <w:r>
        <w:rPr>
          <w:rFonts w:hint="eastAsia" w:hAnsi="宋体"/>
          <w:color w:val="auto"/>
          <w:highlight w:val="none"/>
          <w:u w:val="single"/>
        </w:rPr>
        <w:t xml:space="preserve">                  </w:t>
      </w:r>
      <w:r>
        <w:rPr>
          <w:rFonts w:hint="eastAsia" w:hAnsi="宋体"/>
          <w:color w:val="auto"/>
          <w:highlight w:val="none"/>
        </w:rPr>
        <w:t xml:space="preserve"> 元 （￥</w:t>
      </w:r>
      <w:r>
        <w:rPr>
          <w:rFonts w:hint="eastAsia" w:hAnsi="宋体"/>
          <w:color w:val="auto"/>
          <w:highlight w:val="none"/>
          <w:u w:val="single"/>
        </w:rPr>
        <w:t xml:space="preserve">        </w:t>
      </w:r>
      <w:r>
        <w:rPr>
          <w:rFonts w:hint="eastAsia" w:hAnsi="宋体"/>
          <w:color w:val="auto"/>
          <w:highlight w:val="none"/>
        </w:rPr>
        <w:t>），投标有效期为</w:t>
      </w:r>
      <w:r>
        <w:rPr>
          <w:rFonts w:hint="eastAsia"/>
          <w:color w:val="auto"/>
          <w:highlight w:val="none"/>
          <w:lang w:val="zh-CN"/>
        </w:rPr>
        <w:t>投标截止日起</w:t>
      </w:r>
      <w:r>
        <w:rPr>
          <w:rFonts w:hint="eastAsia"/>
          <w:color w:val="auto"/>
          <w:highlight w:val="none"/>
          <w:u w:val="single"/>
          <w:lang w:val="zh-CN"/>
        </w:rPr>
        <w:t>90</w:t>
      </w:r>
      <w:r>
        <w:rPr>
          <w:rFonts w:hint="eastAsia"/>
          <w:color w:val="auto"/>
          <w:highlight w:val="none"/>
          <w:lang w:val="zh-CN"/>
        </w:rPr>
        <w:t>日历</w:t>
      </w:r>
      <w:r>
        <w:rPr>
          <w:rFonts w:hint="eastAsia"/>
          <w:color w:val="auto"/>
          <w:highlight w:val="none"/>
        </w:rPr>
        <w:t>天。</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三、我方承诺承诺除商务和技术偏差表列出的偏差外，我方响应招标文件的全部要求。</w:t>
      </w:r>
    </w:p>
    <w:p>
      <w:pPr>
        <w:pStyle w:val="16"/>
        <w:adjustRightInd w:val="0"/>
        <w:snapToGrid w:val="0"/>
        <w:spacing w:line="360" w:lineRule="auto"/>
        <w:ind w:firstLine="420" w:firstLineChars="200"/>
        <w:rPr>
          <w:rFonts w:hAnsi="宋体"/>
          <w:color w:val="auto"/>
          <w:highlight w:val="none"/>
        </w:rPr>
      </w:pPr>
      <w:r>
        <w:rPr>
          <w:rFonts w:hint="eastAsia" w:hAnsi="宋体"/>
          <w:color w:val="auto"/>
          <w:highlight w:val="none"/>
        </w:rPr>
        <w:t>四、我方愿意向贵方提供任何与本项采购有关的样品、数据、情况和技术资料。若贵方需要，我方愿意提供我方作出的一切承诺的证明材料。</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五、我方承诺在招标文件规定的投标有效期内不撤销投标文件。</w:t>
      </w:r>
    </w:p>
    <w:p>
      <w:pPr>
        <w:pStyle w:val="16"/>
        <w:adjustRightInd w:val="0"/>
        <w:snapToGrid w:val="0"/>
        <w:spacing w:line="360" w:lineRule="auto"/>
        <w:ind w:firstLine="420" w:firstLineChars="200"/>
        <w:rPr>
          <w:rFonts w:hAnsi="宋体"/>
          <w:color w:val="auto"/>
          <w:highlight w:val="none"/>
        </w:rPr>
      </w:pPr>
      <w:r>
        <w:rPr>
          <w:rFonts w:hint="eastAsia" w:hAnsi="宋体"/>
          <w:color w:val="auto"/>
          <w:highlight w:val="none"/>
        </w:rPr>
        <w:t>六、我方承诺遵守《中华人民共和国政府采购法》及其实施条例的有关规定，保证在获得中标资格后：</w:t>
      </w:r>
    </w:p>
    <w:p>
      <w:pPr>
        <w:pStyle w:val="18"/>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（1）在收到中标通知书后，在中标通知书规定的期限内与采购人签订合同；</w:t>
      </w:r>
    </w:p>
    <w:p>
      <w:pPr>
        <w:pStyle w:val="18"/>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（2）在签订合同时，不向采购人提出附加条件；</w:t>
      </w:r>
    </w:p>
    <w:p>
      <w:pPr>
        <w:pStyle w:val="18"/>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（3）按照招标文件要求提交履约保证金；</w:t>
      </w:r>
    </w:p>
    <w:p>
      <w:pPr>
        <w:pStyle w:val="18"/>
        <w:spacing w:line="360" w:lineRule="auto"/>
        <w:ind w:firstLine="420" w:firstLineChars="200"/>
        <w:rPr>
          <w:rFonts w:ascii="宋体" w:hAnsi="宋体"/>
          <w:bCs/>
          <w:color w:val="auto"/>
          <w:sz w:val="21"/>
          <w:szCs w:val="21"/>
          <w:highlight w:val="none"/>
        </w:rPr>
      </w:pPr>
      <w:r>
        <w:rPr>
          <w:rFonts w:hint="eastAsia" w:ascii="宋体" w:hAnsi="宋体"/>
          <w:color w:val="auto"/>
          <w:sz w:val="21"/>
          <w:szCs w:val="21"/>
          <w:highlight w:val="none"/>
        </w:rPr>
        <w:t>（4）在合同约定的服务</w:t>
      </w:r>
      <w:r>
        <w:rPr>
          <w:rFonts w:hint="eastAsia" w:ascii="宋体" w:hAnsi="宋体"/>
          <w:bCs/>
          <w:color w:val="auto"/>
          <w:sz w:val="21"/>
          <w:szCs w:val="21"/>
          <w:highlight w:val="none"/>
        </w:rPr>
        <w:t>期限内完成合同规定的全部义务。</w:t>
      </w:r>
    </w:p>
    <w:p>
      <w:pPr>
        <w:pStyle w:val="18"/>
        <w:spacing w:line="360" w:lineRule="auto"/>
        <w:ind w:firstLine="420" w:firstLineChars="200"/>
        <w:rPr>
          <w:rFonts w:ascii="宋体" w:hAnsi="宋体"/>
          <w:bCs/>
          <w:color w:val="auto"/>
          <w:sz w:val="21"/>
          <w:szCs w:val="21"/>
          <w:highlight w:val="none"/>
        </w:rPr>
      </w:pPr>
      <w:r>
        <w:rPr>
          <w:rFonts w:hint="eastAsia" w:ascii="宋体" w:hAnsi="宋体"/>
          <w:color w:val="auto"/>
          <w:sz w:val="21"/>
          <w:szCs w:val="21"/>
          <w:highlight w:val="none"/>
          <w:lang w:val="en-US" w:eastAsia="zh-CN"/>
        </w:rPr>
        <w:t>七</w:t>
      </w:r>
      <w:r>
        <w:rPr>
          <w:rFonts w:hint="eastAsia" w:ascii="宋体" w:hAnsi="宋体"/>
          <w:color w:val="auto"/>
          <w:sz w:val="21"/>
          <w:szCs w:val="21"/>
          <w:highlight w:val="none"/>
        </w:rPr>
        <w:t>、</w:t>
      </w:r>
      <w:r>
        <w:rPr>
          <w:rFonts w:hint="eastAsia" w:ascii="宋体" w:hAnsi="宋体"/>
          <w:bCs/>
          <w:color w:val="auto"/>
          <w:sz w:val="21"/>
          <w:szCs w:val="21"/>
          <w:highlight w:val="none"/>
        </w:rPr>
        <w:t>我方完全理解最低报价不是中标的唯一条件，并尊重评标委员会的评审结论和中标结果。</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lang w:val="en-US" w:eastAsia="zh-CN"/>
        </w:rPr>
        <w:t>八</w:t>
      </w:r>
      <w:r>
        <w:rPr>
          <w:rFonts w:hint="eastAsia" w:ascii="宋体" w:hAnsi="宋体"/>
          <w:bCs/>
          <w:color w:val="auto"/>
          <w:sz w:val="21"/>
          <w:szCs w:val="21"/>
          <w:highlight w:val="none"/>
        </w:rPr>
        <w:t>、</w:t>
      </w:r>
      <w:r>
        <w:rPr>
          <w:rFonts w:hint="eastAsia" w:hAnsi="宋体"/>
          <w:color w:val="auto"/>
          <w:sz w:val="21"/>
          <w:szCs w:val="21"/>
          <w:highlight w:val="none"/>
        </w:rPr>
        <w:t>我方在此声明，所递交的投标文件及有关资料内容完整、真实和准确，且不存在第二章“投标人须知”第</w:t>
      </w:r>
      <w:r>
        <w:rPr>
          <w:rFonts w:hint="eastAsia" w:ascii="宋体" w:hAnsi="宋体"/>
          <w:color w:val="auto"/>
          <w:sz w:val="21"/>
          <w:szCs w:val="21"/>
          <w:highlight w:val="none"/>
        </w:rPr>
        <w:t>1.3.2</w:t>
      </w:r>
      <w:r>
        <w:rPr>
          <w:rFonts w:hint="eastAsia" w:hAnsi="宋体"/>
          <w:color w:val="auto"/>
          <w:sz w:val="21"/>
          <w:szCs w:val="21"/>
          <w:highlight w:val="none"/>
        </w:rPr>
        <w:t>条款规定的任何一种情形。否则，愿承担《中华人民共和国政府采购法》</w:t>
      </w:r>
      <w:r>
        <w:rPr>
          <w:rFonts w:hint="eastAsia" w:hAnsi="宋体"/>
          <w:bCs/>
          <w:color w:val="auto"/>
          <w:sz w:val="21"/>
          <w:szCs w:val="21"/>
          <w:highlight w:val="none"/>
        </w:rPr>
        <w:t>第七十七条规定的法律责任。</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lang w:val="en-US" w:eastAsia="zh-CN"/>
        </w:rPr>
        <w:t>九</w:t>
      </w:r>
      <w:r>
        <w:rPr>
          <w:rFonts w:hint="eastAsia" w:ascii="宋体" w:hAnsi="宋体"/>
          <w:bCs/>
          <w:color w:val="auto"/>
          <w:sz w:val="21"/>
          <w:szCs w:val="21"/>
          <w:highlight w:val="none"/>
        </w:rPr>
        <w:t>、我方的投标文件在开标后有效期为90日历天。</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十、有关本项目的所有函电，请按下列地址联系：</w:t>
      </w:r>
    </w:p>
    <w:p>
      <w:pPr>
        <w:pStyle w:val="18"/>
        <w:spacing w:line="360" w:lineRule="auto"/>
        <w:ind w:firstLine="0"/>
        <w:rPr>
          <w:rFonts w:ascii="宋体" w:hAnsi="宋体"/>
          <w:bCs/>
          <w:color w:val="auto"/>
          <w:sz w:val="21"/>
          <w:szCs w:val="21"/>
          <w:highlight w:val="none"/>
        </w:rPr>
      </w:pP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投 标 人：</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（盖单位章）</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法定代表人或委托代理人：</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u w:val="none"/>
        </w:rPr>
        <w:t>（签字</w:t>
      </w:r>
      <w:r>
        <w:rPr>
          <w:rFonts w:hint="eastAsia" w:ascii="宋体" w:hAnsi="宋体"/>
          <w:bCs/>
          <w:color w:val="auto"/>
          <w:sz w:val="21"/>
          <w:szCs w:val="21"/>
          <w:highlight w:val="none"/>
          <w:u w:val="none"/>
          <w:lang w:val="en-US" w:eastAsia="zh-CN"/>
        </w:rPr>
        <w:t>/盖章</w:t>
      </w:r>
      <w:r>
        <w:rPr>
          <w:rFonts w:hint="eastAsia" w:ascii="宋体" w:hAnsi="宋体"/>
          <w:bCs/>
          <w:color w:val="auto"/>
          <w:sz w:val="21"/>
          <w:szCs w:val="21"/>
          <w:highlight w:val="none"/>
          <w:u w:val="none"/>
        </w:rPr>
        <w:t>）</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通讯地址：</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邮政编码：</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联 系 人：</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联系电话：</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传    真：</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电子邮件：</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开户银行:</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帐    号：</w:t>
      </w:r>
    </w:p>
    <w:p>
      <w:pPr>
        <w:pStyle w:val="18"/>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日    期：</w:t>
      </w: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outlineLvl w:val="9"/>
        <w:rPr>
          <w:rFonts w:ascii="宋体" w:hAnsi="宋体"/>
          <w:bCs/>
          <w:color w:val="auto"/>
          <w:sz w:val="36"/>
          <w:szCs w:val="36"/>
          <w:highlight w:val="none"/>
        </w:rPr>
      </w:pPr>
    </w:p>
    <w:p>
      <w:pPr>
        <w:outlineLvl w:val="9"/>
        <w:rPr>
          <w:rFonts w:ascii="宋体" w:hAnsi="宋体"/>
          <w:b/>
          <w:bCs/>
          <w:color w:val="auto"/>
          <w:sz w:val="36"/>
          <w:szCs w:val="36"/>
          <w:highlight w:val="none"/>
        </w:rPr>
      </w:pPr>
    </w:p>
    <w:p>
      <w:pPr>
        <w:outlineLvl w:val="9"/>
        <w:rPr>
          <w:rFonts w:ascii="宋体" w:hAnsi="宋体"/>
          <w:bCs/>
          <w:color w:val="auto"/>
          <w:sz w:val="36"/>
          <w:szCs w:val="36"/>
          <w:highlight w:val="none"/>
        </w:rPr>
      </w:pPr>
    </w:p>
    <w:p>
      <w:pPr>
        <w:outlineLvl w:val="9"/>
        <w:rPr>
          <w:rFonts w:ascii="宋体" w:hAnsi="宋体"/>
          <w:b/>
          <w:bCs/>
          <w:color w:val="auto"/>
          <w:sz w:val="36"/>
          <w:szCs w:val="36"/>
          <w:highlight w:val="none"/>
        </w:rPr>
      </w:pPr>
    </w:p>
    <w:p>
      <w:pPr>
        <w:outlineLvl w:val="9"/>
        <w:rPr>
          <w:rFonts w:ascii="宋体" w:hAnsi="宋体"/>
          <w:bCs/>
          <w:color w:val="auto"/>
          <w:sz w:val="36"/>
          <w:szCs w:val="36"/>
          <w:highlight w:val="none"/>
        </w:rPr>
      </w:pPr>
    </w:p>
    <w:p>
      <w:pPr>
        <w:outlineLvl w:val="9"/>
        <w:rPr>
          <w:color w:val="auto"/>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spacing w:line="400" w:lineRule="exact"/>
        <w:outlineLvl w:val="9"/>
        <w:rPr>
          <w:rFonts w:ascii="宋体" w:hAnsi="宋体"/>
          <w:b/>
          <w:bCs/>
          <w:color w:val="auto"/>
          <w:sz w:val="36"/>
          <w:szCs w:val="36"/>
          <w:highlight w:val="none"/>
        </w:rPr>
      </w:pPr>
    </w:p>
    <w:p>
      <w:pPr>
        <w:pStyle w:val="27"/>
        <w:outlineLvl w:val="9"/>
        <w:rPr>
          <w:color w:val="auto"/>
          <w:highlight w:val="none"/>
        </w:rPr>
      </w:pPr>
    </w:p>
    <w:p>
      <w:pPr>
        <w:spacing w:line="400" w:lineRule="exact"/>
        <w:outlineLvl w:val="9"/>
        <w:rPr>
          <w:rFonts w:ascii="宋体" w:hAnsi="宋体"/>
          <w:b/>
          <w:bCs/>
          <w:color w:val="auto"/>
          <w:sz w:val="36"/>
          <w:szCs w:val="36"/>
          <w:highlight w:val="none"/>
        </w:rPr>
      </w:pPr>
    </w:p>
    <w:p>
      <w:pPr>
        <w:spacing w:line="400" w:lineRule="exact"/>
        <w:jc w:val="center"/>
        <w:rPr>
          <w:rFonts w:ascii="宋体" w:hAnsi="宋体"/>
          <w:b/>
          <w:bCs/>
          <w:color w:val="auto"/>
          <w:sz w:val="36"/>
          <w:szCs w:val="36"/>
          <w:highlight w:val="none"/>
        </w:rPr>
      </w:pPr>
    </w:p>
    <w:p>
      <w:pPr>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spacing w:line="400" w:lineRule="exact"/>
        <w:jc w:val="center"/>
        <w:rPr>
          <w:rFonts w:ascii="宋体" w:hAnsi="宋体"/>
          <w:b/>
          <w:color w:val="auto"/>
          <w:sz w:val="36"/>
          <w:szCs w:val="36"/>
          <w:highlight w:val="none"/>
        </w:rPr>
      </w:pPr>
      <w:r>
        <w:rPr>
          <w:rFonts w:hint="eastAsia" w:ascii="宋体" w:hAnsi="宋体"/>
          <w:b/>
          <w:bCs/>
          <w:color w:val="auto"/>
          <w:sz w:val="36"/>
          <w:szCs w:val="36"/>
          <w:highlight w:val="none"/>
        </w:rPr>
        <w:t>二、</w:t>
      </w:r>
      <w:r>
        <w:rPr>
          <w:rFonts w:hint="eastAsia" w:ascii="宋体" w:hAnsi="宋体"/>
          <w:b/>
          <w:color w:val="auto"/>
          <w:sz w:val="36"/>
          <w:szCs w:val="36"/>
          <w:highlight w:val="none"/>
        </w:rPr>
        <w:t>开标一览表</w:t>
      </w:r>
    </w:p>
    <w:p>
      <w:pPr>
        <w:spacing w:line="400" w:lineRule="exact"/>
        <w:jc w:val="center"/>
        <w:rPr>
          <w:rFonts w:ascii="宋体" w:hAnsi="宋体"/>
          <w:b/>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 xml:space="preserve">采购项目编号：                                                          单位：元 </w:t>
      </w:r>
    </w:p>
    <w:p>
      <w:pPr>
        <w:rPr>
          <w:rFonts w:ascii="宋体" w:hAnsi="宋体"/>
          <w:color w:val="auto"/>
          <w:szCs w:val="21"/>
          <w:highlight w:val="none"/>
        </w:rPr>
      </w:pPr>
      <w:r>
        <w:rPr>
          <w:rFonts w:hint="eastAsia" w:ascii="宋体" w:hAnsi="宋体"/>
          <w:color w:val="auto"/>
          <w:szCs w:val="21"/>
          <w:highlight w:val="none"/>
          <w:lang w:eastAsia="zh-CN"/>
        </w:rPr>
        <w:t>标段</w:t>
      </w:r>
      <w:r>
        <w:rPr>
          <w:rFonts w:hint="eastAsia" w:ascii="宋体" w:hAnsi="宋体"/>
          <w:color w:val="auto"/>
          <w:szCs w:val="21"/>
          <w:highlight w:val="none"/>
          <w:lang w:val="en-US" w:eastAsia="zh-CN"/>
        </w:rPr>
        <w:t>名称：</w:t>
      </w:r>
      <w:r>
        <w:rPr>
          <w:rFonts w:hint="eastAsia" w:ascii="宋体" w:hAnsi="宋体"/>
          <w:color w:val="auto"/>
          <w:szCs w:val="21"/>
          <w:highlight w:val="none"/>
        </w:rPr>
        <w:t xml:space="preserve">                      </w:t>
      </w:r>
    </w:p>
    <w:tbl>
      <w:tblPr>
        <w:tblStyle w:val="29"/>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3397"/>
        <w:gridCol w:w="1675"/>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393" w:type="dxa"/>
            <w:tcBorders>
              <w:tl2br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 xml:space="preserve">  投标报价</w:t>
            </w:r>
          </w:p>
          <w:p>
            <w:pPr>
              <w:jc w:val="center"/>
              <w:rPr>
                <w:rFonts w:ascii="宋体" w:hAnsi="宋体"/>
                <w:color w:val="auto"/>
                <w:szCs w:val="21"/>
                <w:highlight w:val="none"/>
              </w:rPr>
            </w:pPr>
          </w:p>
          <w:p>
            <w:pPr>
              <w:jc w:val="left"/>
              <w:rPr>
                <w:rFonts w:ascii="宋体" w:hAnsi="宋体"/>
                <w:color w:val="auto"/>
                <w:szCs w:val="21"/>
                <w:highlight w:val="none"/>
              </w:rPr>
            </w:pPr>
            <w:r>
              <w:rPr>
                <w:rFonts w:hint="eastAsia" w:ascii="宋体" w:hAnsi="宋体"/>
                <w:color w:val="auto"/>
                <w:szCs w:val="21"/>
                <w:highlight w:val="none"/>
              </w:rPr>
              <w:t>投标人</w:t>
            </w:r>
          </w:p>
        </w:tc>
        <w:tc>
          <w:tcPr>
            <w:tcW w:w="3397" w:type="dxa"/>
            <w:vAlign w:val="center"/>
          </w:tcPr>
          <w:p>
            <w:pPr>
              <w:jc w:val="center"/>
              <w:rPr>
                <w:rFonts w:ascii="宋体" w:hAnsi="宋体"/>
                <w:color w:val="auto"/>
                <w:szCs w:val="21"/>
                <w:highlight w:val="none"/>
              </w:rPr>
            </w:pPr>
            <w:r>
              <w:rPr>
                <w:rFonts w:hint="eastAsia" w:ascii="宋体" w:hAnsi="宋体"/>
                <w:color w:val="auto"/>
                <w:szCs w:val="21"/>
                <w:highlight w:val="none"/>
              </w:rPr>
              <w:t>投标总报价</w:t>
            </w:r>
          </w:p>
          <w:p>
            <w:pPr>
              <w:jc w:val="center"/>
              <w:rPr>
                <w:rFonts w:ascii="宋体" w:hAnsi="宋体"/>
                <w:color w:val="auto"/>
                <w:szCs w:val="21"/>
                <w:highlight w:val="none"/>
              </w:rPr>
            </w:pPr>
            <w:r>
              <w:rPr>
                <w:rFonts w:hint="eastAsia" w:ascii="宋体" w:hAnsi="宋体"/>
                <w:color w:val="auto"/>
                <w:szCs w:val="21"/>
                <w:highlight w:val="none"/>
              </w:rPr>
              <w:t>（元）</w:t>
            </w:r>
          </w:p>
        </w:tc>
        <w:tc>
          <w:tcPr>
            <w:tcW w:w="1675" w:type="dxa"/>
            <w:vAlign w:val="center"/>
          </w:tcPr>
          <w:p>
            <w:pPr>
              <w:jc w:val="center"/>
              <w:rPr>
                <w:rFonts w:ascii="宋体" w:hAnsi="宋体"/>
                <w:color w:val="auto"/>
                <w:szCs w:val="21"/>
                <w:highlight w:val="none"/>
              </w:rPr>
            </w:pPr>
            <w:r>
              <w:rPr>
                <w:rFonts w:hint="eastAsia" w:ascii="宋体" w:hAnsi="宋体"/>
                <w:color w:val="auto"/>
                <w:szCs w:val="21"/>
                <w:highlight w:val="none"/>
              </w:rPr>
              <w:t>服务</w:t>
            </w:r>
          </w:p>
          <w:p>
            <w:pPr>
              <w:jc w:val="center"/>
              <w:rPr>
                <w:rFonts w:ascii="宋体" w:hAnsi="宋体"/>
                <w:color w:val="auto"/>
                <w:szCs w:val="21"/>
                <w:highlight w:val="none"/>
              </w:rPr>
            </w:pPr>
            <w:r>
              <w:rPr>
                <w:rFonts w:hint="eastAsia" w:ascii="宋体" w:hAnsi="宋体"/>
                <w:color w:val="auto"/>
                <w:szCs w:val="21"/>
                <w:highlight w:val="none"/>
              </w:rPr>
              <w:t>期限</w:t>
            </w:r>
          </w:p>
        </w:tc>
        <w:tc>
          <w:tcPr>
            <w:tcW w:w="1583" w:type="dxa"/>
            <w:vAlign w:val="center"/>
          </w:tcPr>
          <w:p>
            <w:pPr>
              <w:jc w:val="center"/>
              <w:rPr>
                <w:rFonts w:ascii="宋体" w:hAnsi="宋体"/>
                <w:color w:val="auto"/>
                <w:szCs w:val="21"/>
                <w:highlight w:val="none"/>
              </w:rPr>
            </w:pPr>
            <w:r>
              <w:rPr>
                <w:rFonts w:hint="eastAsia" w:ascii="宋体" w:hAnsi="宋体"/>
                <w:color w:val="auto"/>
                <w:szCs w:val="21"/>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2393" w:type="dxa"/>
            <w:vAlign w:val="center"/>
          </w:tcPr>
          <w:p>
            <w:pPr>
              <w:jc w:val="center"/>
              <w:rPr>
                <w:rFonts w:ascii="宋体" w:hAnsi="宋体"/>
                <w:color w:val="auto"/>
                <w:szCs w:val="21"/>
                <w:highlight w:val="none"/>
              </w:rPr>
            </w:pPr>
          </w:p>
        </w:tc>
        <w:tc>
          <w:tcPr>
            <w:tcW w:w="3397" w:type="dxa"/>
            <w:vAlign w:val="center"/>
          </w:tcPr>
          <w:p>
            <w:pPr>
              <w:jc w:val="center"/>
              <w:rPr>
                <w:rFonts w:ascii="宋体" w:hAnsi="宋体"/>
                <w:color w:val="auto"/>
                <w:szCs w:val="21"/>
                <w:highlight w:val="none"/>
              </w:rPr>
            </w:pPr>
          </w:p>
        </w:tc>
        <w:tc>
          <w:tcPr>
            <w:tcW w:w="1675" w:type="dxa"/>
            <w:vAlign w:val="center"/>
          </w:tcPr>
          <w:p>
            <w:pPr>
              <w:jc w:val="center"/>
              <w:rPr>
                <w:color w:val="auto"/>
                <w:szCs w:val="21"/>
                <w:highlight w:val="none"/>
                <w:lang w:val="zh-CN"/>
              </w:rPr>
            </w:pPr>
          </w:p>
        </w:tc>
        <w:tc>
          <w:tcPr>
            <w:tcW w:w="1583" w:type="dxa"/>
            <w:vAlign w:val="center"/>
          </w:tcPr>
          <w:p>
            <w:pPr>
              <w:jc w:val="center"/>
              <w:rPr>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393" w:type="dxa"/>
            <w:vAlign w:val="center"/>
          </w:tcPr>
          <w:p>
            <w:pPr>
              <w:jc w:val="center"/>
              <w:rPr>
                <w:rFonts w:ascii="宋体" w:hAnsi="宋体"/>
                <w:color w:val="auto"/>
                <w:szCs w:val="21"/>
                <w:highlight w:val="none"/>
              </w:rPr>
            </w:pPr>
            <w:r>
              <w:rPr>
                <w:rFonts w:hint="eastAsia" w:ascii="宋体" w:hAnsi="宋体"/>
                <w:color w:val="auto"/>
                <w:szCs w:val="21"/>
                <w:highlight w:val="none"/>
              </w:rPr>
              <w:t>总报价大写</w:t>
            </w:r>
          </w:p>
        </w:tc>
        <w:tc>
          <w:tcPr>
            <w:tcW w:w="6655" w:type="dxa"/>
            <w:gridSpan w:val="3"/>
          </w:tcPr>
          <w:p>
            <w:pPr>
              <w:jc w:val="center"/>
              <w:rPr>
                <w:rFonts w:ascii="宋体" w:hAnsi="宋体"/>
                <w:color w:val="auto"/>
                <w:szCs w:val="21"/>
                <w:highlight w:val="none"/>
              </w:rPr>
            </w:pPr>
          </w:p>
        </w:tc>
      </w:tr>
    </w:tbl>
    <w:p>
      <w:pPr>
        <w:adjustRightInd w:val="0"/>
        <w:snapToGrid w:val="0"/>
        <w:spacing w:beforeLines="50"/>
        <w:ind w:left="-88" w:leftChars="-42" w:firstLine="210" w:firstLineChars="100"/>
        <w:rPr>
          <w:rFonts w:ascii="仿宋_GB2312" w:hAnsi="宋体" w:eastAsia="仿宋_GB2312"/>
          <w:color w:val="auto"/>
          <w:szCs w:val="21"/>
          <w:highlight w:val="none"/>
        </w:rPr>
      </w:pPr>
      <w:r>
        <w:rPr>
          <w:rFonts w:hint="eastAsia" w:ascii="仿宋_GB2312" w:hAnsi="宋体" w:eastAsia="仿宋_GB2312"/>
          <w:color w:val="auto"/>
          <w:szCs w:val="21"/>
          <w:highlight w:val="none"/>
        </w:rPr>
        <w:t>说明</w:t>
      </w:r>
      <w:r>
        <w:rPr>
          <w:rFonts w:hint="eastAsia" w:ascii="仿宋_GB2312" w:hAnsi="宋体" w:eastAsia="仿宋_GB2312"/>
          <w:b/>
          <w:color w:val="auto"/>
          <w:szCs w:val="21"/>
          <w:highlight w:val="none"/>
        </w:rPr>
        <w:t>：</w:t>
      </w:r>
      <w:r>
        <w:rPr>
          <w:rFonts w:hint="eastAsia" w:ascii="仿宋_GB2312" w:hAnsi="宋体" w:eastAsia="仿宋_GB2312"/>
          <w:color w:val="auto"/>
          <w:szCs w:val="21"/>
          <w:highlight w:val="none"/>
        </w:rPr>
        <w:t>1、报价应按总报价填写，精确到小数点后两位，大小写不一致时，以大写为准；</w:t>
      </w:r>
    </w:p>
    <w:p>
      <w:pPr>
        <w:spacing w:beforeLines="50" w:line="200" w:lineRule="exact"/>
        <w:ind w:left="412" w:leftChars="196" w:firstLine="210" w:firstLineChars="1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2、“开标一览表”以元为单位填写；</w:t>
      </w:r>
    </w:p>
    <w:p>
      <w:pPr>
        <w:spacing w:beforeLines="50" w:line="200" w:lineRule="exact"/>
        <w:ind w:firstLine="630" w:firstLineChars="3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3、有分包的，项目名称填写分包的项目名称，无分包的填写采购项目名称；</w:t>
      </w:r>
    </w:p>
    <w:p>
      <w:pPr>
        <w:spacing w:beforeLines="50" w:line="200" w:lineRule="exact"/>
        <w:ind w:firstLine="630" w:firstLineChars="3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4、本表所列各项数据与投标文件其他地方表述不一致时，以本表为准。</w:t>
      </w:r>
    </w:p>
    <w:p>
      <w:pPr>
        <w:adjustRightInd w:val="0"/>
        <w:spacing w:line="400" w:lineRule="exact"/>
        <w:ind w:firstLine="105" w:firstLineChars="50"/>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 xml:space="preserve">   </w:t>
      </w:r>
      <w:r>
        <w:rPr>
          <w:rFonts w:hint="eastAsia" w:ascii="仿宋_GB2312" w:hAnsi="宋体" w:eastAsia="仿宋_GB2312"/>
          <w:color w:val="auto"/>
          <w:szCs w:val="21"/>
          <w:highlight w:val="none"/>
        </w:rPr>
        <w:t xml:space="preserve"> </w:t>
      </w:r>
    </w:p>
    <w:p>
      <w:pPr>
        <w:spacing w:beforeLines="50" w:line="200" w:lineRule="exact"/>
        <w:ind w:firstLine="980" w:firstLineChars="350"/>
        <w:jc w:val="left"/>
        <w:rPr>
          <w:rFonts w:ascii="楷体" w:hAnsi="楷体" w:eastAsia="楷体"/>
          <w:color w:val="auto"/>
          <w:sz w:val="28"/>
          <w:szCs w:val="28"/>
          <w:highlight w:val="none"/>
        </w:rPr>
      </w:pPr>
    </w:p>
    <w:p>
      <w:pPr>
        <w:adjustRightInd w:val="0"/>
        <w:spacing w:line="400" w:lineRule="exact"/>
        <w:jc w:val="left"/>
        <w:rPr>
          <w:rFonts w:ascii="楷体" w:hAnsi="楷体" w:eastAsia="楷体"/>
          <w:color w:val="auto"/>
          <w:sz w:val="28"/>
          <w:szCs w:val="28"/>
          <w:highlight w:val="none"/>
        </w:rPr>
      </w:pPr>
    </w:p>
    <w:p>
      <w:pPr>
        <w:adjustRightInd w:val="0"/>
        <w:spacing w:line="400" w:lineRule="exact"/>
        <w:jc w:val="left"/>
        <w:rPr>
          <w:rFonts w:ascii="仿宋_GB2312" w:hAnsi="宋体" w:eastAsia="仿宋_GB2312"/>
          <w:color w:val="auto"/>
          <w:sz w:val="28"/>
          <w:szCs w:val="28"/>
          <w:highlight w:val="none"/>
        </w:rPr>
      </w:pPr>
    </w:p>
    <w:p>
      <w:pPr>
        <w:adjustRightInd w:val="0"/>
        <w:spacing w:line="400" w:lineRule="exact"/>
        <w:ind w:firstLine="120" w:firstLineChars="50"/>
        <w:jc w:val="left"/>
        <w:rPr>
          <w:rFonts w:ascii="宋体" w:hAnsi="宋体"/>
          <w:color w:val="auto"/>
          <w:sz w:val="24"/>
          <w:highlight w:val="none"/>
        </w:rPr>
      </w:pPr>
    </w:p>
    <w:p>
      <w:pPr>
        <w:adjustRightInd w:val="0"/>
        <w:spacing w:line="400" w:lineRule="exact"/>
        <w:ind w:firstLine="120" w:firstLineChars="50"/>
        <w:jc w:val="left"/>
        <w:rPr>
          <w:rFonts w:ascii="宋体" w:hAnsi="宋体"/>
          <w:color w:val="auto"/>
          <w:sz w:val="24"/>
          <w:highlight w:val="none"/>
        </w:rPr>
      </w:pPr>
    </w:p>
    <w:p>
      <w:pPr>
        <w:adjustRightInd w:val="0"/>
        <w:spacing w:line="400" w:lineRule="exact"/>
        <w:ind w:firstLine="3885" w:firstLineChars="1850"/>
        <w:jc w:val="left"/>
        <w:rPr>
          <w:rFonts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jc w:val="center"/>
        <w:rPr>
          <w:rFonts w:ascii="宋体" w:hAnsi="宋体"/>
          <w:color w:val="auto"/>
          <w:szCs w:val="21"/>
          <w:highlight w:val="none"/>
        </w:rPr>
      </w:pPr>
    </w:p>
    <w:p>
      <w:pPr>
        <w:spacing w:line="400" w:lineRule="exact"/>
        <w:ind w:firstLine="105" w:firstLineChars="50"/>
        <w:rPr>
          <w:rFonts w:ascii="宋体" w:hAnsi="宋体"/>
          <w:color w:val="auto"/>
          <w:szCs w:val="21"/>
          <w:highlight w:val="none"/>
        </w:rPr>
      </w:pPr>
    </w:p>
    <w:p>
      <w:pPr>
        <w:spacing w:line="400" w:lineRule="exact"/>
        <w:ind w:firstLine="3570" w:firstLineChars="1700"/>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u w:val="none"/>
        </w:rPr>
        <w:t>（签字</w:t>
      </w:r>
      <w:r>
        <w:rPr>
          <w:rFonts w:hint="eastAsia" w:ascii="宋体" w:hAnsi="宋体"/>
          <w:color w:val="auto"/>
          <w:szCs w:val="21"/>
          <w:highlight w:val="none"/>
          <w:u w:val="none"/>
          <w:lang w:val="en-US" w:eastAsia="zh-CN"/>
        </w:rPr>
        <w:t>/盖章</w:t>
      </w:r>
      <w:r>
        <w:rPr>
          <w:rFonts w:hint="eastAsia" w:ascii="宋体" w:hAnsi="宋体"/>
          <w:color w:val="auto"/>
          <w:szCs w:val="21"/>
          <w:highlight w:val="none"/>
          <w:u w:val="none"/>
        </w:rPr>
        <w:t>）</w:t>
      </w:r>
    </w:p>
    <w:p>
      <w:pPr>
        <w:spacing w:line="400" w:lineRule="exact"/>
        <w:ind w:firstLine="105" w:firstLineChars="50"/>
        <w:rPr>
          <w:rFonts w:ascii="仿宋_GB2312" w:hAnsi="宋体" w:eastAsia="仿宋_GB2312"/>
          <w:color w:val="auto"/>
          <w:szCs w:val="21"/>
          <w:highlight w:val="none"/>
        </w:rPr>
      </w:pPr>
    </w:p>
    <w:p>
      <w:pPr>
        <w:spacing w:line="400" w:lineRule="exact"/>
        <w:ind w:firstLine="105" w:firstLineChars="50"/>
        <w:rPr>
          <w:rFonts w:ascii="仿宋_GB2312" w:hAnsi="宋体" w:eastAsia="仿宋_GB2312"/>
          <w:color w:val="auto"/>
          <w:szCs w:val="21"/>
          <w:highlight w:val="none"/>
        </w:rPr>
      </w:pPr>
    </w:p>
    <w:p>
      <w:pPr>
        <w:spacing w:line="400" w:lineRule="exact"/>
        <w:ind w:firstLine="3885" w:firstLineChars="1850"/>
        <w:rPr>
          <w:rFonts w:ascii="仿宋_GB2312" w:hAnsi="宋体" w:eastAsia="仿宋_GB2312"/>
          <w:b/>
          <w:color w:val="auto"/>
          <w:szCs w:val="21"/>
          <w:highlight w:val="none"/>
        </w:rPr>
      </w:pPr>
      <w:r>
        <w:rPr>
          <w:rFonts w:hint="eastAsia" w:ascii="宋体" w:hAnsi="宋体"/>
          <w:color w:val="auto"/>
          <w:szCs w:val="21"/>
          <w:highlight w:val="none"/>
        </w:rPr>
        <w:t>日    期：20    年   月   日</w:t>
      </w:r>
    </w:p>
    <w:p>
      <w:pPr>
        <w:rPr>
          <w:rFonts w:ascii="仿宋_GB2312" w:hAnsi="宋体" w:eastAsia="仿宋_GB2312"/>
          <w:b/>
          <w:color w:val="auto"/>
          <w:sz w:val="36"/>
          <w:szCs w:val="36"/>
          <w:highlight w:val="none"/>
        </w:rPr>
      </w:pPr>
      <w:r>
        <w:rPr>
          <w:rFonts w:ascii="仿宋_GB2312" w:hAnsi="宋体" w:eastAsia="仿宋_GB2312"/>
          <w:b/>
          <w:color w:val="auto"/>
          <w:sz w:val="36"/>
          <w:szCs w:val="36"/>
          <w:highlight w:val="none"/>
        </w:rPr>
        <w:br w:type="page"/>
      </w:r>
    </w:p>
    <w:p>
      <w:pPr>
        <w:rPr>
          <w:color w:val="auto"/>
          <w:highlight w:val="none"/>
        </w:rPr>
      </w:pPr>
    </w:p>
    <w:p>
      <w:pPr>
        <w:pStyle w:val="14"/>
        <w:rPr>
          <w:color w:val="auto"/>
          <w:highlight w:val="none"/>
        </w:rPr>
      </w:pPr>
      <w:r>
        <w:rPr>
          <w:rFonts w:hint="eastAsia"/>
          <w:b/>
          <w:bCs/>
          <w:color w:val="auto"/>
          <w:sz w:val="24"/>
          <w:szCs w:val="32"/>
          <w:highlight w:val="none"/>
        </w:rPr>
        <w:t>附：分项报价表</w:t>
      </w:r>
    </w:p>
    <w:p>
      <w:pPr>
        <w:rPr>
          <w:color w:val="auto"/>
          <w:highlight w:val="none"/>
        </w:rPr>
      </w:pPr>
    </w:p>
    <w:tbl>
      <w:tblPr>
        <w:tblStyle w:val="29"/>
        <w:tblW w:w="8999" w:type="dxa"/>
        <w:tblInd w:w="-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541"/>
        <w:gridCol w:w="2050"/>
        <w:gridCol w:w="2150"/>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adjustRightInd w:val="0"/>
              <w:snapToGrid w:val="0"/>
              <w:ind w:right="23"/>
              <w:jc w:val="center"/>
              <w:rPr>
                <w:rFonts w:ascii="宋体" w:hAnsi="宋体" w:cs="宋体"/>
                <w:b/>
                <w:bCs/>
                <w:color w:val="auto"/>
                <w:szCs w:val="21"/>
              </w:rPr>
            </w:pPr>
            <w:r>
              <w:rPr>
                <w:rFonts w:hint="eastAsia" w:ascii="宋体" w:hAnsi="宋体" w:cs="宋体"/>
                <w:b/>
                <w:bCs/>
                <w:color w:val="auto"/>
                <w:szCs w:val="21"/>
              </w:rPr>
              <w:t>序号</w:t>
            </w:r>
          </w:p>
        </w:tc>
        <w:tc>
          <w:tcPr>
            <w:tcW w:w="2541" w:type="dxa"/>
            <w:vAlign w:val="center"/>
          </w:tcPr>
          <w:p>
            <w:pPr>
              <w:adjustRightInd w:val="0"/>
              <w:snapToGrid w:val="0"/>
              <w:ind w:right="23"/>
              <w:jc w:val="center"/>
              <w:rPr>
                <w:rFonts w:hint="eastAsia" w:ascii="宋体" w:hAnsi="宋体" w:eastAsia="宋体" w:cs="宋体"/>
                <w:b/>
                <w:bCs/>
                <w:color w:val="auto"/>
                <w:szCs w:val="21"/>
                <w:lang w:val="en-US" w:eastAsia="zh-CN"/>
              </w:rPr>
            </w:pPr>
            <w:r>
              <w:rPr>
                <w:rFonts w:hint="eastAsia" w:ascii="宋体" w:hAnsi="宋体" w:cs="宋体"/>
                <w:b/>
                <w:bCs/>
                <w:color w:val="auto"/>
                <w:szCs w:val="21"/>
                <w:lang w:val="en-US" w:eastAsia="zh-CN"/>
              </w:rPr>
              <w:t>服务内容</w:t>
            </w:r>
          </w:p>
        </w:tc>
        <w:tc>
          <w:tcPr>
            <w:tcW w:w="2050" w:type="dxa"/>
            <w:vAlign w:val="center"/>
          </w:tcPr>
          <w:p>
            <w:pPr>
              <w:adjustRightInd w:val="0"/>
              <w:snapToGrid w:val="0"/>
              <w:ind w:right="23"/>
              <w:jc w:val="center"/>
              <w:rPr>
                <w:rFonts w:hint="eastAsia" w:ascii="宋体" w:hAnsi="宋体" w:eastAsia="宋体" w:cs="宋体"/>
                <w:b/>
                <w:bCs/>
                <w:color w:val="auto"/>
                <w:szCs w:val="21"/>
                <w:lang w:eastAsia="zh-CN"/>
              </w:rPr>
            </w:pPr>
            <w:r>
              <w:rPr>
                <w:rFonts w:hint="eastAsia" w:ascii="宋体" w:hAnsi="宋体" w:cs="宋体"/>
                <w:b/>
                <w:color w:val="auto"/>
                <w:szCs w:val="21"/>
                <w:lang w:eastAsia="zh-CN"/>
              </w:rPr>
              <w:t>单价（元）</w:t>
            </w:r>
          </w:p>
        </w:tc>
        <w:tc>
          <w:tcPr>
            <w:tcW w:w="2150" w:type="dxa"/>
            <w:vAlign w:val="center"/>
          </w:tcPr>
          <w:p>
            <w:pPr>
              <w:adjustRightInd w:val="0"/>
              <w:snapToGrid w:val="0"/>
              <w:ind w:right="23"/>
              <w:jc w:val="center"/>
              <w:rPr>
                <w:rFonts w:hint="eastAsia" w:ascii="宋体" w:hAnsi="宋体" w:eastAsia="宋体" w:cs="宋体"/>
                <w:b/>
                <w:bCs/>
                <w:color w:val="auto"/>
                <w:szCs w:val="21"/>
                <w:lang w:eastAsia="zh-CN"/>
              </w:rPr>
            </w:pPr>
            <w:r>
              <w:rPr>
                <w:rFonts w:hint="eastAsia" w:ascii="宋体" w:hAnsi="宋体" w:cs="宋体"/>
                <w:b/>
                <w:bCs/>
                <w:color w:val="auto"/>
                <w:szCs w:val="21"/>
                <w:lang w:eastAsia="zh-CN"/>
              </w:rPr>
              <w:t>合价（元）</w:t>
            </w:r>
          </w:p>
        </w:tc>
        <w:tc>
          <w:tcPr>
            <w:tcW w:w="1417" w:type="dxa"/>
            <w:vAlign w:val="center"/>
          </w:tcPr>
          <w:p>
            <w:pPr>
              <w:adjustRightInd w:val="0"/>
              <w:snapToGrid w:val="0"/>
              <w:ind w:right="23"/>
              <w:jc w:val="center"/>
              <w:rPr>
                <w:rFonts w:hint="eastAsia" w:ascii="宋体" w:hAnsi="宋体" w:eastAsia="宋体" w:cs="宋体"/>
                <w:b/>
                <w:bCs/>
                <w:color w:val="auto"/>
                <w:szCs w:val="21"/>
                <w:lang w:eastAsia="zh-CN"/>
              </w:rPr>
            </w:pPr>
            <w:r>
              <w:rPr>
                <w:rFonts w:hint="eastAsia" w:ascii="宋体" w:hAnsi="宋体" w:cs="宋体"/>
                <w:b/>
                <w:bCs/>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adjustRightInd w:val="0"/>
              <w:snapToGrid w:val="0"/>
              <w:ind w:right="23"/>
              <w:jc w:val="center"/>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1</w:t>
            </w:r>
          </w:p>
        </w:tc>
        <w:tc>
          <w:tcPr>
            <w:tcW w:w="2541" w:type="dxa"/>
            <w:vAlign w:val="center"/>
          </w:tcPr>
          <w:p>
            <w:pPr>
              <w:adjustRightInd w:val="0"/>
              <w:snapToGrid w:val="0"/>
              <w:ind w:right="23"/>
              <w:jc w:val="center"/>
              <w:rPr>
                <w:rFonts w:hint="default" w:ascii="宋体" w:hAnsi="宋体" w:eastAsia="宋体" w:cs="宋体"/>
                <w:b w:val="0"/>
                <w:bCs w:val="0"/>
                <w:color w:val="auto"/>
                <w:szCs w:val="21"/>
                <w:lang w:val="en-US" w:eastAsia="zh-CN"/>
              </w:rPr>
            </w:pPr>
          </w:p>
        </w:tc>
        <w:tc>
          <w:tcPr>
            <w:tcW w:w="2050" w:type="dxa"/>
            <w:vAlign w:val="center"/>
          </w:tcPr>
          <w:p>
            <w:pPr>
              <w:adjustRightInd w:val="0"/>
              <w:snapToGrid w:val="0"/>
              <w:ind w:right="23"/>
              <w:jc w:val="center"/>
              <w:rPr>
                <w:rFonts w:hint="eastAsia" w:ascii="宋体" w:hAnsi="宋体" w:eastAsia="宋体" w:cs="宋体"/>
                <w:b w:val="0"/>
                <w:bCs w:val="0"/>
                <w:color w:val="auto"/>
                <w:szCs w:val="21"/>
              </w:rPr>
            </w:pPr>
          </w:p>
        </w:tc>
        <w:tc>
          <w:tcPr>
            <w:tcW w:w="2150" w:type="dxa"/>
            <w:vAlign w:val="center"/>
          </w:tcPr>
          <w:p>
            <w:pPr>
              <w:adjustRightInd w:val="0"/>
              <w:snapToGrid w:val="0"/>
              <w:ind w:right="23"/>
              <w:jc w:val="center"/>
              <w:rPr>
                <w:rFonts w:hint="eastAsia" w:ascii="宋体" w:hAnsi="宋体" w:eastAsia="宋体" w:cs="宋体"/>
                <w:b w:val="0"/>
                <w:bCs w:val="0"/>
                <w:color w:val="auto"/>
                <w:szCs w:val="21"/>
              </w:rPr>
            </w:pPr>
          </w:p>
        </w:tc>
        <w:tc>
          <w:tcPr>
            <w:tcW w:w="1417" w:type="dxa"/>
            <w:vAlign w:val="center"/>
          </w:tcPr>
          <w:p>
            <w:pPr>
              <w:adjustRightInd w:val="0"/>
              <w:snapToGrid w:val="0"/>
              <w:ind w:right="23"/>
              <w:jc w:val="center"/>
              <w:rPr>
                <w:rFonts w:hint="eastAsia" w:ascii="宋体" w:hAnsi="宋体" w:eastAsia="宋体" w:cs="宋体"/>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adjustRightInd w:val="0"/>
              <w:snapToGrid w:val="0"/>
              <w:ind w:right="23"/>
              <w:jc w:val="center"/>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2</w:t>
            </w:r>
          </w:p>
        </w:tc>
        <w:tc>
          <w:tcPr>
            <w:tcW w:w="2541" w:type="dxa"/>
            <w:vAlign w:val="center"/>
          </w:tcPr>
          <w:p>
            <w:pPr>
              <w:adjustRightInd w:val="0"/>
              <w:snapToGrid w:val="0"/>
              <w:ind w:right="23"/>
              <w:jc w:val="center"/>
              <w:rPr>
                <w:rFonts w:hint="default" w:ascii="宋体" w:hAnsi="宋体" w:eastAsia="宋体" w:cs="宋体"/>
                <w:b w:val="0"/>
                <w:bCs w:val="0"/>
                <w:color w:val="auto"/>
                <w:szCs w:val="21"/>
                <w:lang w:val="en-US" w:eastAsia="zh-CN"/>
              </w:rPr>
            </w:pPr>
          </w:p>
        </w:tc>
        <w:tc>
          <w:tcPr>
            <w:tcW w:w="2050" w:type="dxa"/>
            <w:vAlign w:val="center"/>
          </w:tcPr>
          <w:p>
            <w:pPr>
              <w:adjustRightInd w:val="0"/>
              <w:snapToGrid w:val="0"/>
              <w:ind w:right="23"/>
              <w:jc w:val="center"/>
              <w:rPr>
                <w:rFonts w:hint="eastAsia" w:ascii="宋体" w:hAnsi="宋体" w:eastAsia="宋体" w:cs="宋体"/>
                <w:b w:val="0"/>
                <w:bCs w:val="0"/>
                <w:color w:val="auto"/>
                <w:szCs w:val="21"/>
              </w:rPr>
            </w:pPr>
          </w:p>
        </w:tc>
        <w:tc>
          <w:tcPr>
            <w:tcW w:w="2150" w:type="dxa"/>
            <w:vAlign w:val="center"/>
          </w:tcPr>
          <w:p>
            <w:pPr>
              <w:adjustRightInd w:val="0"/>
              <w:snapToGrid w:val="0"/>
              <w:ind w:right="23"/>
              <w:jc w:val="center"/>
              <w:rPr>
                <w:rFonts w:hint="eastAsia" w:ascii="宋体" w:hAnsi="宋体" w:eastAsia="宋体" w:cs="宋体"/>
                <w:b w:val="0"/>
                <w:bCs w:val="0"/>
                <w:color w:val="auto"/>
                <w:szCs w:val="21"/>
              </w:rPr>
            </w:pPr>
          </w:p>
        </w:tc>
        <w:tc>
          <w:tcPr>
            <w:tcW w:w="1417" w:type="dxa"/>
            <w:vAlign w:val="center"/>
          </w:tcPr>
          <w:p>
            <w:pPr>
              <w:adjustRightInd w:val="0"/>
              <w:snapToGrid w:val="0"/>
              <w:ind w:right="23"/>
              <w:jc w:val="center"/>
              <w:rPr>
                <w:rFonts w:hint="eastAsia" w:ascii="宋体" w:hAnsi="宋体" w:eastAsia="宋体" w:cs="宋体"/>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1" w:type="dxa"/>
            <w:vAlign w:val="center"/>
          </w:tcPr>
          <w:p>
            <w:pPr>
              <w:adjustRightInd w:val="0"/>
              <w:snapToGrid w:val="0"/>
              <w:ind w:right="23"/>
              <w:jc w:val="center"/>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3</w:t>
            </w:r>
          </w:p>
        </w:tc>
        <w:tc>
          <w:tcPr>
            <w:tcW w:w="2541" w:type="dxa"/>
            <w:vAlign w:val="center"/>
          </w:tcPr>
          <w:p>
            <w:pPr>
              <w:adjustRightInd w:val="0"/>
              <w:snapToGrid w:val="0"/>
              <w:ind w:right="23"/>
              <w:jc w:val="both"/>
              <w:rPr>
                <w:rFonts w:hint="default" w:ascii="宋体" w:hAnsi="宋体" w:eastAsia="宋体" w:cs="宋体"/>
                <w:b w:val="0"/>
                <w:bCs w:val="0"/>
                <w:color w:val="auto"/>
                <w:szCs w:val="21"/>
                <w:lang w:val="en-US" w:eastAsia="zh-CN"/>
              </w:rPr>
            </w:pPr>
            <w:r>
              <w:rPr>
                <w:rFonts w:hint="eastAsia" w:ascii="宋体" w:hAnsi="宋体" w:cs="宋体"/>
                <w:b w:val="0"/>
                <w:bCs w:val="0"/>
                <w:color w:val="auto"/>
                <w:szCs w:val="21"/>
                <w:lang w:val="en-US" w:eastAsia="zh-CN"/>
              </w:rPr>
              <w:t>...</w:t>
            </w:r>
          </w:p>
        </w:tc>
        <w:tc>
          <w:tcPr>
            <w:tcW w:w="2050" w:type="dxa"/>
            <w:vAlign w:val="center"/>
          </w:tcPr>
          <w:p>
            <w:pPr>
              <w:adjustRightInd w:val="0"/>
              <w:snapToGrid w:val="0"/>
              <w:ind w:right="23"/>
              <w:jc w:val="center"/>
              <w:rPr>
                <w:rFonts w:hint="eastAsia" w:ascii="宋体" w:hAnsi="宋体" w:eastAsia="宋体" w:cs="宋体"/>
                <w:b w:val="0"/>
                <w:bCs w:val="0"/>
                <w:color w:val="auto"/>
                <w:szCs w:val="21"/>
              </w:rPr>
            </w:pPr>
          </w:p>
        </w:tc>
        <w:tc>
          <w:tcPr>
            <w:tcW w:w="2150" w:type="dxa"/>
            <w:vAlign w:val="center"/>
          </w:tcPr>
          <w:p>
            <w:pPr>
              <w:adjustRightInd w:val="0"/>
              <w:snapToGrid w:val="0"/>
              <w:ind w:right="23"/>
              <w:jc w:val="center"/>
              <w:rPr>
                <w:rFonts w:hint="eastAsia" w:ascii="宋体" w:hAnsi="宋体" w:eastAsia="宋体" w:cs="宋体"/>
                <w:b w:val="0"/>
                <w:bCs w:val="0"/>
                <w:color w:val="auto"/>
                <w:szCs w:val="21"/>
              </w:rPr>
            </w:pPr>
          </w:p>
        </w:tc>
        <w:tc>
          <w:tcPr>
            <w:tcW w:w="1417" w:type="dxa"/>
            <w:vAlign w:val="center"/>
          </w:tcPr>
          <w:p>
            <w:pPr>
              <w:adjustRightInd w:val="0"/>
              <w:snapToGrid w:val="0"/>
              <w:ind w:right="23"/>
              <w:jc w:val="center"/>
              <w:rPr>
                <w:rFonts w:hint="eastAsia" w:ascii="宋体" w:hAnsi="宋体" w:eastAsia="宋体" w:cs="宋体"/>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382" w:type="dxa"/>
            <w:gridSpan w:val="2"/>
            <w:vAlign w:val="center"/>
          </w:tcPr>
          <w:p>
            <w:pPr>
              <w:adjustRightInd w:val="0"/>
              <w:snapToGrid w:val="0"/>
              <w:ind w:right="23"/>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合计</w:t>
            </w:r>
          </w:p>
        </w:tc>
        <w:tc>
          <w:tcPr>
            <w:tcW w:w="5617" w:type="dxa"/>
            <w:gridSpan w:val="3"/>
            <w:vAlign w:val="center"/>
          </w:tcPr>
          <w:p>
            <w:pPr>
              <w:adjustRightInd w:val="0"/>
              <w:snapToGrid w:val="0"/>
              <w:ind w:right="23"/>
              <w:jc w:val="center"/>
              <w:rPr>
                <w:rFonts w:hint="eastAsia" w:ascii="宋体" w:hAnsi="宋体" w:eastAsia="宋体" w:cs="宋体"/>
                <w:b w:val="0"/>
                <w:bCs w:val="0"/>
                <w:color w:val="auto"/>
                <w:szCs w:val="21"/>
              </w:rPr>
            </w:pPr>
          </w:p>
        </w:tc>
      </w:tr>
    </w:tbl>
    <w:p>
      <w:pPr>
        <w:pStyle w:val="14"/>
        <w:rPr>
          <w:color w:val="auto"/>
          <w:highlight w:val="none"/>
        </w:rPr>
      </w:pPr>
    </w:p>
    <w:p>
      <w:pPr>
        <w:rPr>
          <w:rFonts w:hint="eastAsia" w:eastAsia="宋体"/>
          <w:color w:val="auto"/>
          <w:highlight w:val="none"/>
          <w:lang w:eastAsia="zh-CN"/>
        </w:rPr>
      </w:pPr>
      <w:r>
        <w:rPr>
          <w:rFonts w:hint="eastAsia"/>
          <w:color w:val="auto"/>
          <w:highlight w:val="none"/>
          <w:lang w:eastAsia="zh-CN"/>
        </w:rPr>
        <w:t>注：以上分项报价单价含：设备费、人工费、材料费等所有与项目实施有关的费用。</w:t>
      </w:r>
    </w:p>
    <w:p>
      <w:pPr>
        <w:pStyle w:val="14"/>
        <w:rPr>
          <w:color w:val="auto"/>
          <w:highlight w:val="none"/>
        </w:rPr>
      </w:pPr>
    </w:p>
    <w:p>
      <w:pPr>
        <w:rPr>
          <w:color w:val="auto"/>
          <w:highlight w:val="none"/>
        </w:rPr>
      </w:pPr>
    </w:p>
    <w:p>
      <w:pPr>
        <w:adjustRightInd w:val="0"/>
        <w:spacing w:line="400" w:lineRule="exact"/>
        <w:ind w:firstLine="3885" w:firstLineChars="1850"/>
        <w:jc w:val="left"/>
        <w:rPr>
          <w:rFonts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jc w:val="center"/>
        <w:rPr>
          <w:rFonts w:ascii="宋体" w:hAnsi="宋体"/>
          <w:color w:val="auto"/>
          <w:szCs w:val="21"/>
          <w:highlight w:val="none"/>
        </w:rPr>
      </w:pPr>
    </w:p>
    <w:p>
      <w:pPr>
        <w:spacing w:line="400" w:lineRule="exact"/>
        <w:ind w:firstLine="105" w:firstLineChars="50"/>
        <w:rPr>
          <w:rFonts w:ascii="宋体" w:hAnsi="宋体"/>
          <w:color w:val="auto"/>
          <w:szCs w:val="21"/>
          <w:highlight w:val="none"/>
        </w:rPr>
      </w:pPr>
    </w:p>
    <w:p>
      <w:pPr>
        <w:spacing w:line="400" w:lineRule="exact"/>
        <w:ind w:firstLine="3360" w:firstLineChars="1600"/>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u w:val="none"/>
        </w:rPr>
        <w:t>（签字</w:t>
      </w:r>
      <w:r>
        <w:rPr>
          <w:rFonts w:hint="eastAsia" w:ascii="宋体" w:hAnsi="宋体"/>
          <w:color w:val="auto"/>
          <w:szCs w:val="21"/>
          <w:highlight w:val="none"/>
          <w:u w:val="none"/>
          <w:lang w:val="en-US" w:eastAsia="zh-CN"/>
        </w:rPr>
        <w:t>/盖章</w:t>
      </w:r>
      <w:r>
        <w:rPr>
          <w:rFonts w:hint="eastAsia" w:ascii="宋体" w:hAnsi="宋体"/>
          <w:color w:val="auto"/>
          <w:szCs w:val="21"/>
          <w:highlight w:val="none"/>
          <w:u w:val="none"/>
        </w:rPr>
        <w:t>）</w:t>
      </w:r>
    </w:p>
    <w:p>
      <w:pPr>
        <w:spacing w:line="400" w:lineRule="exact"/>
        <w:ind w:firstLine="105" w:firstLineChars="50"/>
        <w:rPr>
          <w:rFonts w:ascii="仿宋_GB2312" w:hAnsi="宋体" w:eastAsia="仿宋_GB2312"/>
          <w:color w:val="auto"/>
          <w:szCs w:val="21"/>
          <w:highlight w:val="none"/>
        </w:rPr>
      </w:pPr>
    </w:p>
    <w:p>
      <w:pPr>
        <w:spacing w:line="400" w:lineRule="exact"/>
        <w:ind w:firstLine="105" w:firstLineChars="50"/>
        <w:rPr>
          <w:rFonts w:ascii="仿宋_GB2312" w:hAnsi="宋体" w:eastAsia="仿宋_GB2312"/>
          <w:color w:val="auto"/>
          <w:szCs w:val="21"/>
          <w:highlight w:val="none"/>
        </w:rPr>
      </w:pPr>
    </w:p>
    <w:p>
      <w:pPr>
        <w:jc w:val="right"/>
        <w:rPr>
          <w:color w:val="auto"/>
          <w:highlight w:val="none"/>
        </w:rPr>
        <w:sectPr>
          <w:pgSz w:w="11907" w:h="16840"/>
          <w:pgMar w:top="1440" w:right="1474" w:bottom="1440" w:left="1474" w:header="851" w:footer="992" w:gutter="0"/>
          <w:pgNumType w:fmt="decimal"/>
          <w:cols w:space="720" w:num="1"/>
          <w:titlePg/>
        </w:sectPr>
      </w:pPr>
      <w:r>
        <w:rPr>
          <w:rFonts w:hint="eastAsia" w:ascii="宋体" w:hAnsi="宋体"/>
          <w:color w:val="auto"/>
          <w:szCs w:val="21"/>
          <w:highlight w:val="none"/>
        </w:rPr>
        <w:t>日    期：20    年   月   日</w:t>
      </w:r>
    </w:p>
    <w:p>
      <w:pPr>
        <w:jc w:val="center"/>
        <w:rPr>
          <w:rFonts w:ascii="宋体" w:hAnsi="宋体"/>
          <w:b/>
          <w:color w:val="auto"/>
          <w:sz w:val="36"/>
          <w:szCs w:val="36"/>
          <w:highlight w:val="none"/>
        </w:rPr>
      </w:pPr>
      <w:r>
        <w:rPr>
          <w:rFonts w:hint="eastAsia" w:ascii="宋体" w:hAnsi="宋体"/>
          <w:b/>
          <w:color w:val="auto"/>
          <w:sz w:val="36"/>
          <w:szCs w:val="36"/>
          <w:highlight w:val="none"/>
        </w:rPr>
        <w:t>三、服务要求偏离表</w:t>
      </w:r>
    </w:p>
    <w:p>
      <w:pPr>
        <w:jc w:val="center"/>
        <w:rPr>
          <w:rFonts w:ascii="宋体" w:hAnsi="宋体"/>
          <w:b/>
          <w:color w:val="auto"/>
          <w:sz w:val="36"/>
          <w:szCs w:val="36"/>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投标人名称：                                                                          </w:t>
      </w:r>
    </w:p>
    <w:tbl>
      <w:tblPr>
        <w:tblStyle w:val="29"/>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281"/>
        <w:gridCol w:w="900"/>
        <w:gridCol w:w="1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序号</w:t>
            </w:r>
          </w:p>
        </w:tc>
        <w:tc>
          <w:tcPr>
            <w:tcW w:w="1474"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文件条目号</w:t>
            </w:r>
          </w:p>
        </w:tc>
        <w:tc>
          <w:tcPr>
            <w:tcW w:w="1865" w:type="dxa"/>
            <w:vAlign w:val="center"/>
          </w:tcPr>
          <w:p>
            <w:pPr>
              <w:adjustRightInd w:val="0"/>
              <w:snapToGrid w:val="0"/>
              <w:ind w:right="23"/>
              <w:jc w:val="center"/>
              <w:rPr>
                <w:rFonts w:ascii="宋体" w:hAnsi="宋体"/>
                <w:b/>
                <w:bCs/>
                <w:color w:val="auto"/>
                <w:szCs w:val="21"/>
                <w:highlight w:val="none"/>
              </w:rPr>
            </w:pPr>
            <w:r>
              <w:rPr>
                <w:rFonts w:hint="eastAsia" w:ascii="宋体" w:hAnsi="宋体"/>
                <w:b/>
                <w:color w:val="auto"/>
                <w:szCs w:val="21"/>
                <w:highlight w:val="none"/>
              </w:rPr>
              <w:t>采购服务要求</w:t>
            </w:r>
          </w:p>
        </w:tc>
        <w:tc>
          <w:tcPr>
            <w:tcW w:w="2281" w:type="dxa"/>
            <w:vAlign w:val="center"/>
          </w:tcPr>
          <w:p>
            <w:pPr>
              <w:adjustRightInd w:val="0"/>
              <w:snapToGrid w:val="0"/>
              <w:ind w:right="23"/>
              <w:jc w:val="center"/>
              <w:rPr>
                <w:rFonts w:ascii="宋体" w:hAnsi="宋体"/>
                <w:b/>
                <w:bCs/>
                <w:color w:val="auto"/>
                <w:szCs w:val="21"/>
                <w:highlight w:val="none"/>
              </w:rPr>
            </w:pPr>
            <w:r>
              <w:rPr>
                <w:rFonts w:hint="eastAsia" w:ascii="宋体" w:hAnsi="宋体"/>
                <w:b/>
                <w:color w:val="auto"/>
                <w:szCs w:val="21"/>
                <w:highlight w:val="none"/>
              </w:rPr>
              <w:t>投标文件应答</w:t>
            </w:r>
          </w:p>
        </w:tc>
        <w:tc>
          <w:tcPr>
            <w:tcW w:w="900"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w:t>
            </w:r>
          </w:p>
        </w:tc>
        <w:tc>
          <w:tcPr>
            <w:tcW w:w="1886"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Cs w:val="21"/>
                <w:highlight w:val="none"/>
              </w:rPr>
            </w:pPr>
          </w:p>
        </w:tc>
        <w:tc>
          <w:tcPr>
            <w:tcW w:w="1474" w:type="dxa"/>
          </w:tcPr>
          <w:p>
            <w:pPr>
              <w:adjustRightInd w:val="0"/>
              <w:snapToGrid w:val="0"/>
              <w:spacing w:line="360" w:lineRule="auto"/>
              <w:ind w:right="24"/>
              <w:rPr>
                <w:rFonts w:ascii="宋体" w:hAnsi="宋体"/>
                <w:bCs/>
                <w:color w:val="auto"/>
                <w:szCs w:val="21"/>
                <w:highlight w:val="none"/>
              </w:rPr>
            </w:pPr>
          </w:p>
        </w:tc>
        <w:tc>
          <w:tcPr>
            <w:tcW w:w="1865" w:type="dxa"/>
          </w:tcPr>
          <w:p>
            <w:pPr>
              <w:adjustRightInd w:val="0"/>
              <w:snapToGrid w:val="0"/>
              <w:spacing w:line="360" w:lineRule="auto"/>
              <w:ind w:right="24"/>
              <w:rPr>
                <w:rFonts w:ascii="宋体" w:hAnsi="宋体"/>
                <w:bCs/>
                <w:color w:val="auto"/>
                <w:szCs w:val="21"/>
                <w:highlight w:val="none"/>
              </w:rPr>
            </w:pPr>
          </w:p>
        </w:tc>
        <w:tc>
          <w:tcPr>
            <w:tcW w:w="2281" w:type="dxa"/>
          </w:tcPr>
          <w:p>
            <w:pPr>
              <w:adjustRightInd w:val="0"/>
              <w:snapToGrid w:val="0"/>
              <w:spacing w:line="360" w:lineRule="auto"/>
              <w:ind w:right="24"/>
              <w:rPr>
                <w:rFonts w:ascii="宋体" w:hAnsi="宋体"/>
                <w:bCs/>
                <w:color w:val="auto"/>
                <w:szCs w:val="21"/>
                <w:highlight w:val="none"/>
              </w:rPr>
            </w:pPr>
          </w:p>
        </w:tc>
        <w:tc>
          <w:tcPr>
            <w:tcW w:w="900" w:type="dxa"/>
          </w:tcPr>
          <w:p>
            <w:pPr>
              <w:adjustRightInd w:val="0"/>
              <w:snapToGrid w:val="0"/>
              <w:spacing w:line="360" w:lineRule="auto"/>
              <w:ind w:right="24"/>
              <w:rPr>
                <w:rFonts w:ascii="宋体" w:hAnsi="宋体"/>
                <w:bCs/>
                <w:color w:val="auto"/>
                <w:szCs w:val="21"/>
                <w:highlight w:val="none"/>
              </w:rPr>
            </w:pPr>
          </w:p>
        </w:tc>
        <w:tc>
          <w:tcPr>
            <w:tcW w:w="1886" w:type="dxa"/>
          </w:tcPr>
          <w:p>
            <w:pPr>
              <w:adjustRightInd w:val="0"/>
              <w:snapToGrid w:val="0"/>
              <w:spacing w:line="360" w:lineRule="auto"/>
              <w:ind w:right="24"/>
              <w:rPr>
                <w:rFonts w:ascii="宋体" w:hAnsi="宋体"/>
                <w:bCs/>
                <w:color w:val="auto"/>
                <w:szCs w:val="21"/>
                <w:highlight w:val="none"/>
              </w:rPr>
            </w:pPr>
          </w:p>
        </w:tc>
      </w:tr>
    </w:tbl>
    <w:p>
      <w:pPr>
        <w:spacing w:line="400" w:lineRule="exact"/>
        <w:ind w:left="540" w:leftChars="57" w:hanging="420" w:hangingChars="200"/>
        <w:rPr>
          <w:rFonts w:ascii="仿宋_GB2312" w:hAnsi="宋体" w:eastAsia="仿宋_GB2312"/>
          <w:color w:val="auto"/>
          <w:szCs w:val="21"/>
          <w:highlight w:val="none"/>
        </w:rPr>
      </w:pPr>
      <w:r>
        <w:rPr>
          <w:rFonts w:hint="eastAsia" w:ascii="仿宋_GB2312" w:hAnsi="宋体" w:eastAsia="仿宋_GB2312"/>
          <w:color w:val="auto"/>
          <w:szCs w:val="21"/>
          <w:highlight w:val="none"/>
        </w:rPr>
        <w:t>注：1.本表只填写投标文件中与招标文件有偏离（包括正偏离和负偏离）的内容，投标文件中的指标响应与招标文件要求完全一致的，不用在此表中列出，但必须提交空白表。</w:t>
      </w:r>
    </w:p>
    <w:p>
      <w:pPr>
        <w:spacing w:line="400" w:lineRule="exact"/>
        <w:ind w:left="598" w:leftChars="285"/>
        <w:rPr>
          <w:rFonts w:ascii="仿宋_GB2312" w:hAnsi="宋体" w:eastAsia="仿宋_GB2312"/>
          <w:color w:val="auto"/>
          <w:szCs w:val="21"/>
          <w:highlight w:val="none"/>
        </w:rPr>
      </w:pPr>
      <w:r>
        <w:rPr>
          <w:rFonts w:hint="eastAsia" w:ascii="仿宋_GB2312" w:hAnsi="宋体" w:eastAsia="仿宋_GB2312"/>
          <w:color w:val="auto"/>
          <w:szCs w:val="21"/>
          <w:highlight w:val="none"/>
        </w:rPr>
        <w:t>2．投标人必须据实填写，不得虚假响应，否则将取消其投标或中标资格，并按有关规定进行处罚。</w:t>
      </w:r>
    </w:p>
    <w:p>
      <w:pPr>
        <w:adjustRightInd w:val="0"/>
        <w:spacing w:line="400" w:lineRule="exact"/>
        <w:ind w:firstLine="367" w:firstLineChars="175"/>
        <w:jc w:val="left"/>
        <w:rPr>
          <w:rFonts w:ascii="仿宋_GB2312" w:hAnsi="宋体" w:eastAsia="仿宋_GB2312"/>
          <w:bCs/>
          <w:color w:val="auto"/>
          <w:szCs w:val="21"/>
          <w:highlight w:val="none"/>
        </w:rPr>
      </w:pPr>
    </w:p>
    <w:p>
      <w:pPr>
        <w:adjustRightInd w:val="0"/>
        <w:spacing w:afterLines="100" w:line="400" w:lineRule="exact"/>
        <w:ind w:firstLine="2047" w:firstLineChars="975"/>
        <w:jc w:val="left"/>
        <w:rPr>
          <w:rFonts w:ascii="宋体" w:hAnsi="宋体"/>
          <w:bCs/>
          <w:color w:val="auto"/>
          <w:szCs w:val="21"/>
          <w:highlight w:val="none"/>
        </w:rPr>
      </w:pPr>
      <w:r>
        <w:rPr>
          <w:rFonts w:hint="eastAsia" w:ascii="宋体" w:hAnsi="宋体"/>
          <w:bCs/>
          <w:color w:val="auto"/>
          <w:szCs w:val="21"/>
          <w:highlight w:val="none"/>
        </w:rPr>
        <w:t>投标人名称：</w:t>
      </w:r>
      <w:r>
        <w:rPr>
          <w:rFonts w:hint="eastAsia" w:ascii="宋体" w:hAnsi="宋体"/>
          <w:bCs/>
          <w:color w:val="auto"/>
          <w:szCs w:val="21"/>
          <w:highlight w:val="none"/>
          <w:u w:val="single"/>
        </w:rPr>
        <w:t xml:space="preserve">                     </w:t>
      </w:r>
      <w:r>
        <w:rPr>
          <w:rFonts w:hint="eastAsia" w:ascii="宋体" w:hAnsi="宋体"/>
          <w:bCs/>
          <w:color w:val="auto"/>
          <w:szCs w:val="21"/>
          <w:highlight w:val="none"/>
        </w:rPr>
        <w:t>（单位公章）</w:t>
      </w:r>
    </w:p>
    <w:p>
      <w:pPr>
        <w:adjustRightInd w:val="0"/>
        <w:spacing w:beforeLines="150" w:line="360" w:lineRule="auto"/>
        <w:ind w:firstLine="2047" w:firstLineChars="975"/>
        <w:jc w:val="left"/>
        <w:rPr>
          <w:rFonts w:ascii="宋体" w:hAnsi="宋体"/>
          <w:bCs/>
          <w:color w:val="auto"/>
          <w:szCs w:val="21"/>
          <w:highlight w:val="none"/>
        </w:rPr>
      </w:pPr>
      <w:r>
        <w:rPr>
          <w:rFonts w:hint="eastAsia" w:ascii="宋体" w:hAnsi="宋体"/>
          <w:color w:val="auto"/>
          <w:szCs w:val="21"/>
          <w:highlight w:val="none"/>
        </w:rPr>
        <w:t>法定代表人或授权代表：</w:t>
      </w:r>
      <w:r>
        <w:rPr>
          <w:rFonts w:hint="eastAsia" w:ascii="宋体" w:hAnsi="宋体"/>
          <w:color w:val="auto"/>
          <w:szCs w:val="21"/>
          <w:highlight w:val="none"/>
          <w:u w:val="single"/>
        </w:rPr>
        <w:t xml:space="preserve">          </w:t>
      </w:r>
      <w:r>
        <w:rPr>
          <w:rFonts w:hint="eastAsia" w:ascii="宋体" w:hAnsi="宋体"/>
          <w:color w:val="auto"/>
          <w:szCs w:val="21"/>
          <w:highlight w:val="none"/>
          <w:u w:val="none"/>
        </w:rPr>
        <w:t>（签字</w:t>
      </w:r>
      <w:r>
        <w:rPr>
          <w:rFonts w:hint="eastAsia" w:ascii="宋体" w:hAnsi="宋体"/>
          <w:color w:val="auto"/>
          <w:szCs w:val="21"/>
          <w:highlight w:val="none"/>
          <w:u w:val="none"/>
          <w:lang w:val="en-US" w:eastAsia="zh-CN"/>
        </w:rPr>
        <w:t>/盖章</w:t>
      </w:r>
      <w:r>
        <w:rPr>
          <w:rFonts w:hint="eastAsia" w:ascii="宋体" w:hAnsi="宋体"/>
          <w:color w:val="auto"/>
          <w:szCs w:val="21"/>
          <w:highlight w:val="none"/>
          <w:u w:val="none"/>
        </w:rPr>
        <w:t>）</w:t>
      </w:r>
      <w:r>
        <w:rPr>
          <w:rFonts w:hint="eastAsia" w:ascii="宋体" w:hAnsi="宋体"/>
          <w:bCs/>
          <w:color w:val="auto"/>
          <w:szCs w:val="21"/>
          <w:highlight w:val="none"/>
        </w:rPr>
        <w:t xml:space="preserve">       </w:t>
      </w:r>
    </w:p>
    <w:p>
      <w:pPr>
        <w:adjustRightInd w:val="0"/>
        <w:spacing w:beforeLines="150" w:line="360" w:lineRule="auto"/>
        <w:ind w:firstLine="367" w:firstLineChars="175"/>
        <w:jc w:val="left"/>
        <w:rPr>
          <w:rFonts w:ascii="宋体" w:hAnsi="宋体"/>
          <w:bCs/>
          <w:color w:val="auto"/>
          <w:szCs w:val="21"/>
          <w:highlight w:val="none"/>
        </w:rPr>
      </w:pPr>
      <w:r>
        <w:rPr>
          <w:rFonts w:hint="eastAsia" w:ascii="宋体" w:hAnsi="宋体"/>
          <w:bCs/>
          <w:color w:val="auto"/>
          <w:szCs w:val="21"/>
          <w:highlight w:val="none"/>
        </w:rPr>
        <w:t xml:space="preserve">        </w:t>
      </w:r>
    </w:p>
    <w:p>
      <w:pPr>
        <w:wordWrap w:val="0"/>
        <w:spacing w:line="400" w:lineRule="exact"/>
        <w:ind w:right="120" w:firstLine="420" w:firstLineChars="200"/>
        <w:jc w:val="right"/>
        <w:rPr>
          <w:rFonts w:ascii="宋体" w:hAnsi="宋体"/>
          <w:bCs/>
          <w:color w:val="auto"/>
          <w:szCs w:val="21"/>
          <w:highlight w:val="none"/>
        </w:rPr>
      </w:pPr>
      <w:r>
        <w:rPr>
          <w:rFonts w:hint="eastAsia" w:ascii="宋体" w:hAnsi="宋体"/>
          <w:bCs/>
          <w:color w:val="auto"/>
          <w:szCs w:val="21"/>
          <w:highlight w:val="none"/>
        </w:rPr>
        <w:t>日期:    年  月  日</w:t>
      </w:r>
    </w:p>
    <w:p>
      <w:pPr>
        <w:adjustRightInd w:val="0"/>
        <w:spacing w:line="400" w:lineRule="exact"/>
        <w:ind w:firstLine="840" w:firstLineChars="400"/>
        <w:jc w:val="left"/>
        <w:rPr>
          <w:rFonts w:ascii="仿宋_GB2312" w:eastAsia="仿宋_GB2312"/>
          <w:bCs/>
          <w:color w:val="auto"/>
          <w:szCs w:val="28"/>
          <w:highlight w:val="none"/>
        </w:rPr>
        <w:sectPr>
          <w:headerReference r:id="rId14" w:type="default"/>
          <w:pgSz w:w="11907" w:h="16840"/>
          <w:pgMar w:top="1440" w:right="1418" w:bottom="1440" w:left="1418" w:header="851" w:footer="992" w:gutter="0"/>
          <w:pgNumType w:fmt="decimal"/>
          <w:cols w:space="720" w:num="1"/>
          <w:docGrid w:linePitch="312" w:charSpace="0"/>
        </w:sectPr>
      </w:pPr>
    </w:p>
    <w:p>
      <w:pPr>
        <w:jc w:val="center"/>
        <w:rPr>
          <w:rFonts w:ascii="宋体" w:hAnsi="宋体"/>
          <w:b/>
          <w:color w:val="auto"/>
          <w:sz w:val="36"/>
          <w:szCs w:val="36"/>
          <w:highlight w:val="none"/>
        </w:rPr>
      </w:pPr>
      <w:r>
        <w:rPr>
          <w:rFonts w:hint="eastAsia" w:ascii="宋体" w:hAnsi="宋体"/>
          <w:b/>
          <w:color w:val="auto"/>
          <w:sz w:val="36"/>
          <w:szCs w:val="36"/>
          <w:highlight w:val="none"/>
        </w:rPr>
        <w:t>四、商务条款偏离表</w:t>
      </w:r>
    </w:p>
    <w:p>
      <w:pPr>
        <w:pStyle w:val="7"/>
        <w:rPr>
          <w:color w:val="auto"/>
          <w:highlight w:val="none"/>
        </w:rPr>
      </w:pPr>
    </w:p>
    <w:p>
      <w:pPr>
        <w:pStyle w:val="7"/>
        <w:spacing w:afterLines="50"/>
        <w:ind w:firstLine="110" w:firstLineChars="50"/>
        <w:rPr>
          <w:rFonts w:asciiTheme="minorEastAsia" w:hAnsiTheme="minorEastAsia" w:eastAsiaTheme="minorEastAsia" w:cstheme="minorEastAsia"/>
          <w:color w:val="auto"/>
          <w:sz w:val="22"/>
          <w:szCs w:val="21"/>
          <w:highlight w:val="none"/>
        </w:rPr>
      </w:pPr>
      <w:r>
        <w:rPr>
          <w:rFonts w:hint="eastAsia" w:asciiTheme="minorEastAsia" w:hAnsiTheme="minorEastAsia" w:eastAsiaTheme="minorEastAsia" w:cstheme="minorEastAsia"/>
          <w:color w:val="auto"/>
          <w:sz w:val="22"/>
          <w:szCs w:val="21"/>
          <w:highlight w:val="none"/>
        </w:rPr>
        <w:t xml:space="preserve">投标人名称：                                                                  </w:t>
      </w:r>
    </w:p>
    <w:tbl>
      <w:tblPr>
        <w:tblStyle w:val="2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501"/>
        <w:gridCol w:w="1666"/>
        <w:gridCol w:w="2267"/>
        <w:gridCol w:w="815"/>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序号</w:t>
            </w:r>
          </w:p>
        </w:tc>
        <w:tc>
          <w:tcPr>
            <w:tcW w:w="1501"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文件条目号</w:t>
            </w:r>
          </w:p>
        </w:tc>
        <w:tc>
          <w:tcPr>
            <w:tcW w:w="1666"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采购商务</w:t>
            </w:r>
          </w:p>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要求</w:t>
            </w:r>
          </w:p>
        </w:tc>
        <w:tc>
          <w:tcPr>
            <w:tcW w:w="2267"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响应文件商务响应</w:t>
            </w:r>
          </w:p>
        </w:tc>
        <w:tc>
          <w:tcPr>
            <w:tcW w:w="815"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w:t>
            </w:r>
          </w:p>
        </w:tc>
        <w:tc>
          <w:tcPr>
            <w:tcW w:w="2020"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Cs w:val="21"/>
                <w:highlight w:val="none"/>
              </w:rPr>
            </w:pPr>
          </w:p>
        </w:tc>
        <w:tc>
          <w:tcPr>
            <w:tcW w:w="1501" w:type="dxa"/>
          </w:tcPr>
          <w:p>
            <w:pPr>
              <w:adjustRightInd w:val="0"/>
              <w:snapToGrid w:val="0"/>
              <w:spacing w:line="360" w:lineRule="auto"/>
              <w:ind w:right="24"/>
              <w:rPr>
                <w:rFonts w:ascii="黑体" w:hAnsi="华文中宋" w:eastAsia="黑体"/>
                <w:bCs/>
                <w:color w:val="auto"/>
                <w:szCs w:val="21"/>
                <w:highlight w:val="none"/>
              </w:rPr>
            </w:pPr>
          </w:p>
        </w:tc>
        <w:tc>
          <w:tcPr>
            <w:tcW w:w="1666" w:type="dxa"/>
          </w:tcPr>
          <w:p>
            <w:pPr>
              <w:adjustRightInd w:val="0"/>
              <w:snapToGrid w:val="0"/>
              <w:spacing w:line="360" w:lineRule="auto"/>
              <w:ind w:right="24"/>
              <w:rPr>
                <w:rFonts w:ascii="黑体" w:hAnsi="华文中宋" w:eastAsia="黑体"/>
                <w:bCs/>
                <w:color w:val="auto"/>
                <w:szCs w:val="21"/>
                <w:highlight w:val="none"/>
              </w:rPr>
            </w:pPr>
          </w:p>
        </w:tc>
        <w:tc>
          <w:tcPr>
            <w:tcW w:w="2267" w:type="dxa"/>
          </w:tcPr>
          <w:p>
            <w:pPr>
              <w:adjustRightInd w:val="0"/>
              <w:snapToGrid w:val="0"/>
              <w:spacing w:line="360" w:lineRule="auto"/>
              <w:ind w:right="24"/>
              <w:rPr>
                <w:rFonts w:ascii="黑体" w:hAnsi="华文中宋" w:eastAsia="黑体"/>
                <w:bCs/>
                <w:color w:val="auto"/>
                <w:szCs w:val="21"/>
                <w:highlight w:val="none"/>
              </w:rPr>
            </w:pPr>
          </w:p>
        </w:tc>
        <w:tc>
          <w:tcPr>
            <w:tcW w:w="815" w:type="dxa"/>
          </w:tcPr>
          <w:p>
            <w:pPr>
              <w:adjustRightInd w:val="0"/>
              <w:snapToGrid w:val="0"/>
              <w:spacing w:line="360" w:lineRule="auto"/>
              <w:ind w:right="24"/>
              <w:rPr>
                <w:rFonts w:ascii="黑体" w:hAnsi="华文中宋" w:eastAsia="黑体"/>
                <w:bCs/>
                <w:color w:val="auto"/>
                <w:szCs w:val="21"/>
                <w:highlight w:val="none"/>
              </w:rPr>
            </w:pPr>
          </w:p>
        </w:tc>
        <w:tc>
          <w:tcPr>
            <w:tcW w:w="2020" w:type="dxa"/>
          </w:tcPr>
          <w:p>
            <w:pPr>
              <w:adjustRightInd w:val="0"/>
              <w:snapToGrid w:val="0"/>
              <w:spacing w:line="360" w:lineRule="auto"/>
              <w:ind w:right="24"/>
              <w:rPr>
                <w:rFonts w:ascii="黑体" w:hAnsi="华文中宋" w:eastAsia="黑体"/>
                <w:bCs/>
                <w:color w:val="auto"/>
                <w:szCs w:val="21"/>
                <w:highlight w:val="none"/>
              </w:rPr>
            </w:pPr>
          </w:p>
        </w:tc>
      </w:tr>
    </w:tbl>
    <w:p>
      <w:pPr>
        <w:spacing w:beforeLines="50" w:line="400" w:lineRule="exact"/>
        <w:ind w:left="105" w:leftChars="50"/>
        <w:rPr>
          <w:rFonts w:ascii="仿宋_GB2312" w:hAnsi="宋体" w:eastAsia="仿宋_GB2312"/>
          <w:color w:val="auto"/>
          <w:szCs w:val="21"/>
          <w:highlight w:val="none"/>
        </w:rPr>
      </w:pPr>
      <w:r>
        <w:rPr>
          <w:rFonts w:hint="eastAsia" w:ascii="仿宋_GB2312" w:hAnsi="宋体" w:eastAsia="仿宋_GB2312"/>
          <w:color w:val="auto"/>
          <w:szCs w:val="21"/>
          <w:highlight w:val="none"/>
        </w:rPr>
        <w:t>说明：1.本表只填写投标文件中与招标文件有偏离（包括正偏离和负偏离）的内容，投标文件中商务响应与招标文件要求完全一致的，不用在此表中列出，但必须提交空白表。</w:t>
      </w:r>
    </w:p>
    <w:p>
      <w:pPr>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2.投标人必须据实填写，不得虚假响应，否则将取消其投标或中标资格，并按有关规定进处罚。</w:t>
      </w:r>
    </w:p>
    <w:p>
      <w:pPr>
        <w:adjustRightInd w:val="0"/>
        <w:spacing w:line="400" w:lineRule="exact"/>
        <w:ind w:firstLine="420" w:firstLineChars="200"/>
        <w:jc w:val="left"/>
        <w:rPr>
          <w:rFonts w:ascii="仿宋_GB2312" w:hAnsi="宋体" w:eastAsia="仿宋_GB2312"/>
          <w:bCs/>
          <w:color w:val="auto"/>
          <w:szCs w:val="21"/>
          <w:highlight w:val="none"/>
        </w:rPr>
      </w:pPr>
    </w:p>
    <w:p>
      <w:pPr>
        <w:adjustRightInd w:val="0"/>
        <w:spacing w:line="400" w:lineRule="exact"/>
        <w:ind w:firstLine="2730" w:firstLineChars="1300"/>
        <w:jc w:val="left"/>
        <w:rPr>
          <w:rFonts w:ascii="宋体" w:hAnsi="宋体"/>
          <w:bCs/>
          <w:color w:val="auto"/>
          <w:szCs w:val="21"/>
          <w:highlight w:val="none"/>
        </w:rPr>
      </w:pPr>
      <w:r>
        <w:rPr>
          <w:rFonts w:hint="eastAsia" w:ascii="宋体" w:hAnsi="宋体"/>
          <w:bCs/>
          <w:color w:val="auto"/>
          <w:szCs w:val="21"/>
          <w:highlight w:val="none"/>
        </w:rPr>
        <w:t>投标人名称：</w:t>
      </w:r>
      <w:r>
        <w:rPr>
          <w:rFonts w:hint="eastAsia" w:ascii="宋体" w:hAnsi="宋体"/>
          <w:bCs/>
          <w:color w:val="auto"/>
          <w:szCs w:val="21"/>
          <w:highlight w:val="none"/>
          <w:u w:val="single"/>
        </w:rPr>
        <w:t xml:space="preserve">                     </w:t>
      </w:r>
      <w:r>
        <w:rPr>
          <w:rFonts w:hint="eastAsia" w:ascii="宋体" w:hAnsi="宋体"/>
          <w:bCs/>
          <w:color w:val="auto"/>
          <w:szCs w:val="21"/>
          <w:highlight w:val="none"/>
        </w:rPr>
        <w:t>（单位公章）</w:t>
      </w:r>
    </w:p>
    <w:p>
      <w:pPr>
        <w:adjustRightInd w:val="0"/>
        <w:spacing w:line="400" w:lineRule="exact"/>
        <w:ind w:firstLine="367" w:firstLineChars="175"/>
        <w:jc w:val="left"/>
        <w:rPr>
          <w:rFonts w:ascii="宋体" w:hAnsi="宋体"/>
          <w:color w:val="auto"/>
          <w:szCs w:val="21"/>
          <w:highlight w:val="none"/>
        </w:rPr>
      </w:pPr>
    </w:p>
    <w:p>
      <w:pPr>
        <w:adjustRightInd w:val="0"/>
        <w:spacing w:line="400" w:lineRule="exact"/>
        <w:ind w:firstLine="2730" w:firstLineChars="1300"/>
        <w:jc w:val="left"/>
        <w:rPr>
          <w:rFonts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u w:val="none"/>
        </w:rPr>
        <w:t>（签字</w:t>
      </w:r>
      <w:r>
        <w:rPr>
          <w:rFonts w:hint="eastAsia" w:ascii="宋体" w:hAnsi="宋体"/>
          <w:color w:val="auto"/>
          <w:szCs w:val="21"/>
          <w:highlight w:val="none"/>
          <w:u w:val="none"/>
          <w:lang w:val="en-US" w:eastAsia="zh-CN"/>
        </w:rPr>
        <w:t>/盖章</w:t>
      </w:r>
      <w:r>
        <w:rPr>
          <w:rFonts w:hint="eastAsia" w:ascii="宋体" w:hAnsi="宋体"/>
          <w:color w:val="auto"/>
          <w:szCs w:val="21"/>
          <w:highlight w:val="none"/>
          <w:u w:val="none"/>
        </w:rPr>
        <w:t>）</w:t>
      </w:r>
      <w:r>
        <w:rPr>
          <w:rFonts w:hint="eastAsia" w:ascii="宋体" w:hAnsi="宋体"/>
          <w:bCs/>
          <w:color w:val="auto"/>
          <w:szCs w:val="21"/>
          <w:highlight w:val="none"/>
        </w:rPr>
        <w:t xml:space="preserve">  </w:t>
      </w:r>
    </w:p>
    <w:p>
      <w:pPr>
        <w:adjustRightInd w:val="0"/>
        <w:spacing w:line="400" w:lineRule="exact"/>
        <w:ind w:firstLine="367" w:firstLineChars="175"/>
        <w:jc w:val="left"/>
        <w:rPr>
          <w:rFonts w:ascii="宋体" w:hAnsi="宋体"/>
          <w:bCs/>
          <w:color w:val="auto"/>
          <w:szCs w:val="21"/>
          <w:highlight w:val="none"/>
        </w:rPr>
      </w:pPr>
      <w:r>
        <w:rPr>
          <w:rFonts w:hint="eastAsia" w:ascii="宋体" w:hAnsi="宋体"/>
          <w:bCs/>
          <w:color w:val="auto"/>
          <w:szCs w:val="21"/>
          <w:highlight w:val="none"/>
        </w:rPr>
        <w:t xml:space="preserve">            </w:t>
      </w:r>
    </w:p>
    <w:p>
      <w:pPr>
        <w:adjustRightInd w:val="0"/>
        <w:spacing w:beforeLines="100" w:line="400" w:lineRule="exact"/>
        <w:ind w:firstLine="5512" w:firstLineChars="2625"/>
        <w:jc w:val="left"/>
        <w:rPr>
          <w:rFonts w:ascii="宋体" w:hAnsi="宋体"/>
          <w:bCs/>
          <w:color w:val="auto"/>
          <w:sz w:val="24"/>
          <w:highlight w:val="none"/>
        </w:rPr>
      </w:pPr>
      <w:r>
        <w:rPr>
          <w:rFonts w:hint="eastAsia" w:ascii="宋体" w:hAnsi="宋体"/>
          <w:bCs/>
          <w:color w:val="auto"/>
          <w:szCs w:val="21"/>
          <w:highlight w:val="none"/>
        </w:rPr>
        <w:t>日期:    年  月  日</w:t>
      </w:r>
    </w:p>
    <w:p>
      <w:pPr>
        <w:spacing w:line="360" w:lineRule="auto"/>
        <w:ind w:firstLine="960" w:firstLineChars="400"/>
        <w:rPr>
          <w:rFonts w:ascii="宋体" w:hAnsi="宋体"/>
          <w:color w:val="auto"/>
          <w:sz w:val="24"/>
          <w:highlight w:val="none"/>
        </w:rPr>
      </w:pPr>
    </w:p>
    <w:p>
      <w:pPr>
        <w:outlineLvl w:val="9"/>
        <w:rPr>
          <w:color w:val="auto"/>
          <w:highlight w:val="none"/>
        </w:rPr>
      </w:pPr>
    </w:p>
    <w:p>
      <w:pPr>
        <w:pStyle w:val="7"/>
        <w:spacing w:beforeLines="50" w:afterLines="50"/>
        <w:ind w:firstLine="0"/>
        <w:rPr>
          <w:b/>
          <w:color w:val="auto"/>
          <w:sz w:val="44"/>
          <w:szCs w:val="44"/>
          <w:highlight w:val="none"/>
        </w:rPr>
      </w:pPr>
    </w:p>
    <w:p>
      <w:pPr>
        <w:rPr>
          <w:rFonts w:hint="eastAsia"/>
          <w:b/>
          <w:color w:val="auto"/>
          <w:sz w:val="44"/>
          <w:szCs w:val="44"/>
          <w:highlight w:val="none"/>
        </w:rPr>
      </w:pPr>
      <w:r>
        <w:rPr>
          <w:rFonts w:hint="eastAsia"/>
          <w:b/>
          <w:color w:val="auto"/>
          <w:sz w:val="44"/>
          <w:szCs w:val="44"/>
          <w:highlight w:val="none"/>
        </w:rPr>
        <w:br w:type="page"/>
      </w:r>
    </w:p>
    <w:p>
      <w:pPr>
        <w:pStyle w:val="7"/>
        <w:spacing w:beforeLines="50" w:afterLines="50"/>
        <w:ind w:firstLine="0"/>
        <w:jc w:val="center"/>
        <w:rPr>
          <w:b/>
          <w:color w:val="auto"/>
          <w:sz w:val="44"/>
          <w:szCs w:val="44"/>
          <w:highlight w:val="none"/>
        </w:rPr>
      </w:pPr>
      <w:r>
        <w:rPr>
          <w:rFonts w:hint="eastAsia"/>
          <w:b/>
          <w:color w:val="auto"/>
          <w:sz w:val="44"/>
          <w:szCs w:val="44"/>
          <w:highlight w:val="none"/>
        </w:rPr>
        <w:t>五、资格证明文件</w:t>
      </w:r>
    </w:p>
    <w:p>
      <w:pPr>
        <w:rPr>
          <w:rFonts w:ascii="宋体" w:hAnsi="宋体"/>
          <w:b/>
          <w:color w:val="auto"/>
          <w:sz w:val="36"/>
          <w:szCs w:val="36"/>
          <w:highlight w:val="none"/>
        </w:rPr>
      </w:pPr>
      <w:r>
        <w:rPr>
          <w:rFonts w:hint="eastAsia" w:ascii="宋体" w:hAnsi="宋体"/>
          <w:b/>
          <w:color w:val="auto"/>
          <w:sz w:val="36"/>
          <w:szCs w:val="36"/>
          <w:highlight w:val="none"/>
        </w:rPr>
        <w:br w:type="page"/>
      </w:r>
    </w:p>
    <w:p>
      <w:pPr>
        <w:adjustRightInd w:val="0"/>
        <w:snapToGri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1.投标人基本情况表</w:t>
      </w:r>
    </w:p>
    <w:tbl>
      <w:tblPr>
        <w:tblStyle w:val="29"/>
        <w:tblW w:w="91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2"/>
        <w:gridCol w:w="1442"/>
        <w:gridCol w:w="213"/>
        <w:gridCol w:w="1086"/>
        <w:gridCol w:w="147"/>
        <w:gridCol w:w="1446"/>
        <w:gridCol w:w="141"/>
        <w:gridCol w:w="435"/>
        <w:gridCol w:w="829"/>
        <w:gridCol w:w="1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2022"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名称</w:t>
            </w:r>
          </w:p>
        </w:tc>
        <w:tc>
          <w:tcPr>
            <w:tcW w:w="7151" w:type="dxa"/>
            <w:gridSpan w:val="9"/>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2022"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统一社会信用代码</w:t>
            </w:r>
          </w:p>
        </w:tc>
        <w:tc>
          <w:tcPr>
            <w:tcW w:w="1442" w:type="dxa"/>
            <w:vAlign w:val="center"/>
          </w:tcPr>
          <w:p>
            <w:pPr>
              <w:topLinePunct/>
              <w:spacing w:line="440" w:lineRule="exact"/>
              <w:jc w:val="center"/>
              <w:rPr>
                <w:rFonts w:ascii="宋体" w:hAnsi="宋体"/>
                <w:color w:val="auto"/>
                <w:szCs w:val="21"/>
                <w:highlight w:val="none"/>
              </w:rPr>
            </w:pPr>
          </w:p>
        </w:tc>
        <w:tc>
          <w:tcPr>
            <w:tcW w:w="1446"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注册资金</w:t>
            </w:r>
          </w:p>
        </w:tc>
        <w:tc>
          <w:tcPr>
            <w:tcW w:w="1446" w:type="dxa"/>
            <w:vAlign w:val="center"/>
          </w:tcPr>
          <w:p>
            <w:pPr>
              <w:topLinePunct/>
              <w:jc w:val="center"/>
              <w:rPr>
                <w:rFonts w:ascii="宋体" w:hAnsi="宋体"/>
                <w:color w:val="auto"/>
                <w:szCs w:val="21"/>
                <w:highlight w:val="none"/>
              </w:rPr>
            </w:pPr>
          </w:p>
        </w:tc>
        <w:tc>
          <w:tcPr>
            <w:tcW w:w="1405"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成立时间</w:t>
            </w:r>
          </w:p>
        </w:tc>
        <w:tc>
          <w:tcPr>
            <w:tcW w:w="1412" w:type="dxa"/>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2022"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注册地址</w:t>
            </w:r>
          </w:p>
        </w:tc>
        <w:tc>
          <w:tcPr>
            <w:tcW w:w="4334" w:type="dxa"/>
            <w:gridSpan w:val="5"/>
            <w:vAlign w:val="center"/>
          </w:tcPr>
          <w:p>
            <w:pPr>
              <w:topLinePunct/>
              <w:spacing w:line="440" w:lineRule="exact"/>
              <w:jc w:val="center"/>
              <w:rPr>
                <w:rFonts w:ascii="宋体" w:hAnsi="宋体"/>
                <w:color w:val="auto"/>
                <w:szCs w:val="21"/>
                <w:highlight w:val="none"/>
              </w:rPr>
            </w:pPr>
          </w:p>
        </w:tc>
        <w:tc>
          <w:tcPr>
            <w:tcW w:w="1405"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资产总额</w:t>
            </w:r>
          </w:p>
        </w:tc>
        <w:tc>
          <w:tcPr>
            <w:tcW w:w="141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022"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上年营业额</w:t>
            </w:r>
          </w:p>
        </w:tc>
        <w:tc>
          <w:tcPr>
            <w:tcW w:w="1442" w:type="dxa"/>
            <w:vAlign w:val="center"/>
          </w:tcPr>
          <w:p>
            <w:pPr>
              <w:topLinePunct/>
              <w:jc w:val="center"/>
              <w:rPr>
                <w:rFonts w:ascii="宋体" w:hAnsi="宋体"/>
                <w:color w:val="auto"/>
                <w:szCs w:val="21"/>
                <w:highlight w:val="none"/>
              </w:rPr>
            </w:pPr>
          </w:p>
        </w:tc>
        <w:tc>
          <w:tcPr>
            <w:tcW w:w="1446"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员工总人数</w:t>
            </w:r>
          </w:p>
        </w:tc>
        <w:tc>
          <w:tcPr>
            <w:tcW w:w="1446" w:type="dxa"/>
            <w:vAlign w:val="center"/>
          </w:tcPr>
          <w:p>
            <w:pPr>
              <w:topLinePunct/>
              <w:jc w:val="center"/>
              <w:rPr>
                <w:rFonts w:ascii="宋体" w:hAnsi="宋体"/>
                <w:color w:val="auto"/>
                <w:szCs w:val="21"/>
                <w:highlight w:val="none"/>
              </w:rPr>
            </w:pPr>
          </w:p>
        </w:tc>
        <w:tc>
          <w:tcPr>
            <w:tcW w:w="1405"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企业类型</w:t>
            </w:r>
          </w:p>
        </w:tc>
        <w:tc>
          <w:tcPr>
            <w:tcW w:w="141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022" w:type="dxa"/>
            <w:vMerge w:val="restart"/>
            <w:vAlign w:val="center"/>
          </w:tcPr>
          <w:p>
            <w:pPr>
              <w:topLinePunct/>
              <w:jc w:val="center"/>
              <w:rPr>
                <w:rFonts w:ascii="宋体" w:hAnsi="宋体"/>
                <w:color w:val="auto"/>
                <w:szCs w:val="21"/>
                <w:highlight w:val="none"/>
              </w:rPr>
            </w:pPr>
            <w:r>
              <w:rPr>
                <w:rFonts w:hint="eastAsia" w:ascii="宋体" w:hAnsi="宋体"/>
                <w:color w:val="auto"/>
                <w:szCs w:val="21"/>
                <w:highlight w:val="none"/>
              </w:rPr>
              <w:t>法定代表人</w:t>
            </w:r>
          </w:p>
          <w:p>
            <w:pPr>
              <w:topLinePunct/>
              <w:jc w:val="center"/>
              <w:rPr>
                <w:rFonts w:ascii="宋体" w:hAnsi="宋体"/>
                <w:color w:val="auto"/>
                <w:szCs w:val="21"/>
                <w:highlight w:val="none"/>
              </w:rPr>
            </w:pPr>
            <w:r>
              <w:rPr>
                <w:rFonts w:hint="eastAsia" w:ascii="宋体" w:hAnsi="宋体"/>
                <w:color w:val="auto"/>
                <w:szCs w:val="21"/>
                <w:highlight w:val="none"/>
              </w:rPr>
              <w:t xml:space="preserve"> （单位负责人）</w:t>
            </w:r>
          </w:p>
        </w:tc>
        <w:tc>
          <w:tcPr>
            <w:tcW w:w="1442" w:type="dxa"/>
            <w:vMerge w:val="restart"/>
            <w:vAlign w:val="center"/>
          </w:tcPr>
          <w:p>
            <w:pPr>
              <w:topLinePunct/>
              <w:jc w:val="center"/>
              <w:rPr>
                <w:rFonts w:ascii="宋体" w:hAnsi="宋体"/>
                <w:color w:val="auto"/>
                <w:szCs w:val="21"/>
                <w:highlight w:val="none"/>
              </w:rPr>
            </w:pPr>
            <w:r>
              <w:rPr>
                <w:rFonts w:hint="eastAsia" w:ascii="宋体" w:hAnsi="宋体"/>
                <w:color w:val="auto"/>
                <w:szCs w:val="21"/>
                <w:highlight w:val="none"/>
              </w:rPr>
              <w:t>姓名</w:t>
            </w:r>
          </w:p>
        </w:tc>
        <w:tc>
          <w:tcPr>
            <w:tcW w:w="1446" w:type="dxa"/>
            <w:gridSpan w:val="3"/>
            <w:vMerge w:val="restart"/>
            <w:vAlign w:val="center"/>
          </w:tcPr>
          <w:p>
            <w:pPr>
              <w:topLinePunct/>
              <w:jc w:val="center"/>
              <w:rPr>
                <w:rFonts w:ascii="宋体" w:hAnsi="宋体"/>
                <w:color w:val="auto"/>
                <w:szCs w:val="21"/>
                <w:highlight w:val="none"/>
              </w:rPr>
            </w:pPr>
          </w:p>
        </w:tc>
        <w:tc>
          <w:tcPr>
            <w:tcW w:w="1446" w:type="dxa"/>
            <w:vMerge w:val="restart"/>
            <w:vAlign w:val="center"/>
          </w:tcPr>
          <w:p>
            <w:pPr>
              <w:topLinePunct/>
              <w:jc w:val="center"/>
              <w:rPr>
                <w:rFonts w:ascii="宋体" w:hAnsi="宋体"/>
                <w:color w:val="auto"/>
                <w:szCs w:val="21"/>
                <w:highlight w:val="none"/>
              </w:rPr>
            </w:pPr>
            <w:r>
              <w:rPr>
                <w:rFonts w:hint="eastAsia" w:ascii="宋体" w:hAnsi="宋体"/>
                <w:color w:val="auto"/>
                <w:szCs w:val="21"/>
                <w:highlight w:val="none"/>
              </w:rPr>
              <w:t>电话</w:t>
            </w:r>
          </w:p>
        </w:tc>
        <w:tc>
          <w:tcPr>
            <w:tcW w:w="1405"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手机</w:t>
            </w:r>
          </w:p>
        </w:tc>
        <w:tc>
          <w:tcPr>
            <w:tcW w:w="141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022" w:type="dxa"/>
            <w:vMerge w:val="continue"/>
            <w:vAlign w:val="center"/>
          </w:tcPr>
          <w:p>
            <w:pPr>
              <w:topLinePunct/>
              <w:jc w:val="center"/>
              <w:rPr>
                <w:rFonts w:ascii="宋体" w:hAnsi="宋体"/>
                <w:color w:val="auto"/>
                <w:szCs w:val="21"/>
                <w:highlight w:val="none"/>
              </w:rPr>
            </w:pPr>
          </w:p>
        </w:tc>
        <w:tc>
          <w:tcPr>
            <w:tcW w:w="1442" w:type="dxa"/>
            <w:vMerge w:val="continue"/>
            <w:vAlign w:val="center"/>
          </w:tcPr>
          <w:p>
            <w:pPr>
              <w:topLinePunct/>
              <w:jc w:val="center"/>
              <w:rPr>
                <w:rFonts w:ascii="宋体" w:hAnsi="宋体"/>
                <w:color w:val="auto"/>
                <w:szCs w:val="21"/>
                <w:highlight w:val="none"/>
              </w:rPr>
            </w:pPr>
          </w:p>
        </w:tc>
        <w:tc>
          <w:tcPr>
            <w:tcW w:w="1446" w:type="dxa"/>
            <w:gridSpan w:val="3"/>
            <w:vMerge w:val="continue"/>
            <w:vAlign w:val="center"/>
          </w:tcPr>
          <w:p>
            <w:pPr>
              <w:topLinePunct/>
              <w:jc w:val="center"/>
              <w:rPr>
                <w:rFonts w:ascii="宋体" w:hAnsi="宋体"/>
                <w:color w:val="auto"/>
                <w:szCs w:val="21"/>
                <w:highlight w:val="none"/>
              </w:rPr>
            </w:pPr>
          </w:p>
        </w:tc>
        <w:tc>
          <w:tcPr>
            <w:tcW w:w="1446" w:type="dxa"/>
            <w:vMerge w:val="continue"/>
            <w:vAlign w:val="center"/>
          </w:tcPr>
          <w:p>
            <w:pPr>
              <w:topLinePunct/>
              <w:jc w:val="center"/>
              <w:rPr>
                <w:rFonts w:ascii="宋体" w:hAnsi="宋体"/>
                <w:color w:val="auto"/>
                <w:szCs w:val="21"/>
                <w:highlight w:val="none"/>
              </w:rPr>
            </w:pPr>
          </w:p>
        </w:tc>
        <w:tc>
          <w:tcPr>
            <w:tcW w:w="1405"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办公</w:t>
            </w:r>
          </w:p>
        </w:tc>
        <w:tc>
          <w:tcPr>
            <w:tcW w:w="141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022" w:type="dxa"/>
            <w:vMerge w:val="restart"/>
            <w:vAlign w:val="center"/>
          </w:tcPr>
          <w:p>
            <w:pPr>
              <w:topLinePunct/>
              <w:jc w:val="center"/>
              <w:rPr>
                <w:rFonts w:ascii="宋体" w:hAnsi="宋体"/>
                <w:color w:val="auto"/>
                <w:szCs w:val="21"/>
                <w:highlight w:val="none"/>
              </w:rPr>
            </w:pPr>
            <w:r>
              <w:rPr>
                <w:rFonts w:hint="eastAsia" w:ascii="宋体" w:hAnsi="宋体"/>
                <w:color w:val="auto"/>
                <w:szCs w:val="21"/>
                <w:highlight w:val="none"/>
              </w:rPr>
              <w:t>联系方式</w:t>
            </w:r>
          </w:p>
        </w:tc>
        <w:tc>
          <w:tcPr>
            <w:tcW w:w="1442" w:type="dxa"/>
            <w:vMerge w:val="restart"/>
            <w:vAlign w:val="center"/>
          </w:tcPr>
          <w:p>
            <w:pPr>
              <w:topLinePunct/>
              <w:jc w:val="center"/>
              <w:rPr>
                <w:rFonts w:ascii="宋体" w:hAnsi="宋体"/>
                <w:color w:val="auto"/>
                <w:szCs w:val="21"/>
                <w:highlight w:val="none"/>
              </w:rPr>
            </w:pPr>
            <w:r>
              <w:rPr>
                <w:rFonts w:hint="eastAsia" w:ascii="宋体" w:hAnsi="宋体"/>
                <w:color w:val="auto"/>
                <w:szCs w:val="21"/>
                <w:highlight w:val="none"/>
              </w:rPr>
              <w:t>联系人</w:t>
            </w:r>
          </w:p>
        </w:tc>
        <w:tc>
          <w:tcPr>
            <w:tcW w:w="1446" w:type="dxa"/>
            <w:gridSpan w:val="3"/>
            <w:vMerge w:val="restart"/>
            <w:vAlign w:val="center"/>
          </w:tcPr>
          <w:p>
            <w:pPr>
              <w:topLinePunct/>
              <w:jc w:val="center"/>
              <w:rPr>
                <w:rFonts w:ascii="宋体" w:hAnsi="宋体"/>
                <w:color w:val="auto"/>
                <w:szCs w:val="21"/>
                <w:highlight w:val="none"/>
              </w:rPr>
            </w:pPr>
          </w:p>
        </w:tc>
        <w:tc>
          <w:tcPr>
            <w:tcW w:w="1446"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电话</w:t>
            </w:r>
          </w:p>
        </w:tc>
        <w:tc>
          <w:tcPr>
            <w:tcW w:w="2817" w:type="dxa"/>
            <w:gridSpan w:val="4"/>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022" w:type="dxa"/>
            <w:vMerge w:val="continue"/>
            <w:vAlign w:val="center"/>
          </w:tcPr>
          <w:p>
            <w:pPr>
              <w:topLinePunct/>
              <w:jc w:val="center"/>
              <w:rPr>
                <w:rFonts w:ascii="宋体" w:hAnsi="宋体"/>
                <w:color w:val="auto"/>
                <w:szCs w:val="21"/>
                <w:highlight w:val="none"/>
              </w:rPr>
            </w:pPr>
          </w:p>
        </w:tc>
        <w:tc>
          <w:tcPr>
            <w:tcW w:w="1442" w:type="dxa"/>
            <w:vMerge w:val="continue"/>
            <w:vAlign w:val="center"/>
          </w:tcPr>
          <w:p>
            <w:pPr>
              <w:topLinePunct/>
              <w:jc w:val="center"/>
              <w:rPr>
                <w:rFonts w:ascii="宋体" w:hAnsi="宋体"/>
                <w:color w:val="auto"/>
                <w:szCs w:val="21"/>
                <w:highlight w:val="none"/>
              </w:rPr>
            </w:pPr>
          </w:p>
        </w:tc>
        <w:tc>
          <w:tcPr>
            <w:tcW w:w="1446" w:type="dxa"/>
            <w:gridSpan w:val="3"/>
            <w:vMerge w:val="continue"/>
            <w:vAlign w:val="center"/>
          </w:tcPr>
          <w:p>
            <w:pPr>
              <w:topLinePunct/>
              <w:jc w:val="center"/>
              <w:rPr>
                <w:rFonts w:ascii="宋体" w:hAnsi="宋体"/>
                <w:color w:val="auto"/>
                <w:szCs w:val="21"/>
                <w:highlight w:val="none"/>
              </w:rPr>
            </w:pPr>
          </w:p>
        </w:tc>
        <w:tc>
          <w:tcPr>
            <w:tcW w:w="1446"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邮箱</w:t>
            </w:r>
          </w:p>
        </w:tc>
        <w:tc>
          <w:tcPr>
            <w:tcW w:w="2817" w:type="dxa"/>
            <w:gridSpan w:val="4"/>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2022"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基本账户开户银行</w:t>
            </w:r>
          </w:p>
        </w:tc>
        <w:tc>
          <w:tcPr>
            <w:tcW w:w="2888" w:type="dxa"/>
            <w:gridSpan w:val="4"/>
            <w:vAlign w:val="center"/>
          </w:tcPr>
          <w:p>
            <w:pPr>
              <w:topLinePunct/>
              <w:spacing w:line="440" w:lineRule="exact"/>
              <w:jc w:val="center"/>
              <w:rPr>
                <w:rFonts w:ascii="宋体" w:hAnsi="宋体"/>
                <w:color w:val="auto"/>
                <w:szCs w:val="21"/>
                <w:highlight w:val="none"/>
              </w:rPr>
            </w:pPr>
          </w:p>
        </w:tc>
        <w:tc>
          <w:tcPr>
            <w:tcW w:w="2022"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基本账户银行账号</w:t>
            </w:r>
          </w:p>
        </w:tc>
        <w:tc>
          <w:tcPr>
            <w:tcW w:w="2241" w:type="dxa"/>
            <w:gridSpan w:val="2"/>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8" w:hRule="atLeast"/>
        </w:trPr>
        <w:tc>
          <w:tcPr>
            <w:tcW w:w="2022" w:type="dxa"/>
            <w:vAlign w:val="center"/>
          </w:tcPr>
          <w:p>
            <w:pPr>
              <w:topLinePunct/>
              <w:spacing w:line="360" w:lineRule="exact"/>
              <w:rPr>
                <w:rFonts w:ascii="宋体" w:hAnsi="宋体"/>
                <w:color w:val="auto"/>
                <w:szCs w:val="21"/>
                <w:highlight w:val="none"/>
              </w:rPr>
            </w:pPr>
            <w:r>
              <w:rPr>
                <w:rFonts w:hint="eastAsia" w:ascii="宋体" w:hAnsi="宋体"/>
                <w:color w:val="auto"/>
                <w:szCs w:val="21"/>
                <w:highlight w:val="none"/>
              </w:rPr>
              <w:t>投标人关联企业情况（包括但不限于与投标人法定代表人为同一人或者存在控股、管理关系的不同单位）</w:t>
            </w:r>
          </w:p>
        </w:tc>
        <w:tc>
          <w:tcPr>
            <w:tcW w:w="7151" w:type="dxa"/>
            <w:gridSpan w:val="9"/>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3677"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投标人需具有的</w:t>
            </w:r>
            <w:r>
              <w:rPr>
                <w:rFonts w:ascii="宋体" w:hAnsi="宋体"/>
                <w:color w:val="auto"/>
                <w:szCs w:val="21"/>
                <w:highlight w:val="none"/>
              </w:rPr>
              <w:t>资质</w:t>
            </w:r>
            <w:r>
              <w:rPr>
                <w:rFonts w:hint="eastAsia" w:ascii="宋体" w:hAnsi="宋体"/>
                <w:color w:val="auto"/>
                <w:szCs w:val="21"/>
                <w:highlight w:val="none"/>
              </w:rPr>
              <w:t>证书</w:t>
            </w:r>
          </w:p>
        </w:tc>
        <w:tc>
          <w:tcPr>
            <w:tcW w:w="1086" w:type="dxa"/>
            <w:vAlign w:val="center"/>
          </w:tcPr>
          <w:p>
            <w:pPr>
              <w:topLinePunct/>
              <w:jc w:val="center"/>
              <w:rPr>
                <w:rFonts w:ascii="宋体" w:hAnsi="宋体"/>
                <w:color w:val="auto"/>
                <w:szCs w:val="21"/>
                <w:highlight w:val="none"/>
              </w:rPr>
            </w:pPr>
            <w:r>
              <w:rPr>
                <w:rFonts w:ascii="宋体" w:hAnsi="宋体"/>
                <w:color w:val="auto"/>
                <w:szCs w:val="21"/>
                <w:highlight w:val="none"/>
              </w:rPr>
              <w:t>等级</w:t>
            </w:r>
          </w:p>
        </w:tc>
        <w:tc>
          <w:tcPr>
            <w:tcW w:w="1734"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类型</w:t>
            </w:r>
          </w:p>
        </w:tc>
        <w:tc>
          <w:tcPr>
            <w:tcW w:w="2676"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3677" w:type="dxa"/>
            <w:gridSpan w:val="3"/>
            <w:vAlign w:val="center"/>
          </w:tcPr>
          <w:p>
            <w:pPr>
              <w:topLinePunct/>
              <w:jc w:val="center"/>
              <w:rPr>
                <w:rFonts w:ascii="宋体" w:hAnsi="宋体"/>
                <w:color w:val="auto"/>
                <w:szCs w:val="21"/>
                <w:highlight w:val="none"/>
              </w:rPr>
            </w:pPr>
          </w:p>
        </w:tc>
        <w:tc>
          <w:tcPr>
            <w:tcW w:w="1086" w:type="dxa"/>
            <w:vAlign w:val="center"/>
          </w:tcPr>
          <w:p>
            <w:pPr>
              <w:topLinePunct/>
              <w:jc w:val="center"/>
              <w:rPr>
                <w:rFonts w:ascii="宋体" w:hAnsi="宋体"/>
                <w:color w:val="auto"/>
                <w:szCs w:val="21"/>
                <w:highlight w:val="none"/>
              </w:rPr>
            </w:pPr>
          </w:p>
        </w:tc>
        <w:tc>
          <w:tcPr>
            <w:tcW w:w="1734" w:type="dxa"/>
            <w:gridSpan w:val="3"/>
            <w:vAlign w:val="center"/>
          </w:tcPr>
          <w:p>
            <w:pPr>
              <w:topLinePunct/>
              <w:jc w:val="center"/>
              <w:rPr>
                <w:rFonts w:ascii="宋体" w:hAnsi="宋体"/>
                <w:color w:val="auto"/>
                <w:szCs w:val="21"/>
                <w:highlight w:val="none"/>
              </w:rPr>
            </w:pPr>
          </w:p>
        </w:tc>
        <w:tc>
          <w:tcPr>
            <w:tcW w:w="2676" w:type="dxa"/>
            <w:gridSpan w:val="3"/>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3677" w:type="dxa"/>
            <w:gridSpan w:val="3"/>
            <w:vAlign w:val="center"/>
          </w:tcPr>
          <w:p>
            <w:pPr>
              <w:topLinePunct/>
              <w:jc w:val="center"/>
              <w:rPr>
                <w:rFonts w:ascii="宋体" w:hAnsi="宋体"/>
                <w:color w:val="auto"/>
                <w:szCs w:val="21"/>
                <w:highlight w:val="none"/>
              </w:rPr>
            </w:pPr>
          </w:p>
        </w:tc>
        <w:tc>
          <w:tcPr>
            <w:tcW w:w="1086" w:type="dxa"/>
            <w:vAlign w:val="center"/>
          </w:tcPr>
          <w:p>
            <w:pPr>
              <w:topLinePunct/>
              <w:jc w:val="center"/>
              <w:rPr>
                <w:rFonts w:ascii="宋体" w:hAnsi="宋体"/>
                <w:color w:val="auto"/>
                <w:szCs w:val="21"/>
                <w:highlight w:val="none"/>
              </w:rPr>
            </w:pPr>
          </w:p>
        </w:tc>
        <w:tc>
          <w:tcPr>
            <w:tcW w:w="1734" w:type="dxa"/>
            <w:gridSpan w:val="3"/>
            <w:vAlign w:val="center"/>
          </w:tcPr>
          <w:p>
            <w:pPr>
              <w:topLinePunct/>
              <w:jc w:val="center"/>
              <w:rPr>
                <w:rFonts w:ascii="宋体" w:hAnsi="宋体"/>
                <w:color w:val="auto"/>
                <w:szCs w:val="21"/>
                <w:highlight w:val="none"/>
              </w:rPr>
            </w:pPr>
          </w:p>
        </w:tc>
        <w:tc>
          <w:tcPr>
            <w:tcW w:w="2676" w:type="dxa"/>
            <w:gridSpan w:val="3"/>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trPr>
        <w:tc>
          <w:tcPr>
            <w:tcW w:w="3677" w:type="dxa"/>
            <w:gridSpan w:val="3"/>
            <w:vAlign w:val="center"/>
          </w:tcPr>
          <w:p>
            <w:pPr>
              <w:topLinePunct/>
              <w:jc w:val="center"/>
              <w:rPr>
                <w:rFonts w:ascii="宋体" w:hAnsi="宋体"/>
                <w:color w:val="auto"/>
                <w:szCs w:val="21"/>
                <w:highlight w:val="none"/>
              </w:rPr>
            </w:pPr>
          </w:p>
        </w:tc>
        <w:tc>
          <w:tcPr>
            <w:tcW w:w="1086" w:type="dxa"/>
            <w:vAlign w:val="center"/>
          </w:tcPr>
          <w:p>
            <w:pPr>
              <w:topLinePunct/>
              <w:jc w:val="center"/>
              <w:rPr>
                <w:rFonts w:ascii="宋体" w:hAnsi="宋体"/>
                <w:color w:val="auto"/>
                <w:szCs w:val="21"/>
                <w:highlight w:val="none"/>
              </w:rPr>
            </w:pPr>
          </w:p>
        </w:tc>
        <w:tc>
          <w:tcPr>
            <w:tcW w:w="1734" w:type="dxa"/>
            <w:gridSpan w:val="3"/>
            <w:vAlign w:val="center"/>
          </w:tcPr>
          <w:p>
            <w:pPr>
              <w:topLinePunct/>
              <w:jc w:val="center"/>
              <w:rPr>
                <w:rFonts w:ascii="宋体" w:hAnsi="宋体"/>
                <w:color w:val="auto"/>
                <w:szCs w:val="21"/>
                <w:highlight w:val="none"/>
              </w:rPr>
            </w:pPr>
          </w:p>
        </w:tc>
        <w:tc>
          <w:tcPr>
            <w:tcW w:w="2676" w:type="dxa"/>
            <w:gridSpan w:val="3"/>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3677" w:type="dxa"/>
            <w:gridSpan w:val="3"/>
            <w:vAlign w:val="center"/>
          </w:tcPr>
          <w:p>
            <w:pPr>
              <w:topLinePunct/>
              <w:jc w:val="center"/>
              <w:rPr>
                <w:rFonts w:ascii="宋体" w:hAnsi="宋体"/>
                <w:color w:val="auto"/>
                <w:szCs w:val="21"/>
                <w:highlight w:val="none"/>
              </w:rPr>
            </w:pPr>
          </w:p>
        </w:tc>
        <w:tc>
          <w:tcPr>
            <w:tcW w:w="1086" w:type="dxa"/>
            <w:vAlign w:val="center"/>
          </w:tcPr>
          <w:p>
            <w:pPr>
              <w:topLinePunct/>
              <w:jc w:val="center"/>
              <w:rPr>
                <w:rFonts w:ascii="宋体" w:hAnsi="宋体"/>
                <w:color w:val="auto"/>
                <w:szCs w:val="21"/>
                <w:highlight w:val="none"/>
              </w:rPr>
            </w:pPr>
          </w:p>
        </w:tc>
        <w:tc>
          <w:tcPr>
            <w:tcW w:w="1734" w:type="dxa"/>
            <w:gridSpan w:val="3"/>
            <w:vAlign w:val="center"/>
          </w:tcPr>
          <w:p>
            <w:pPr>
              <w:topLinePunct/>
              <w:jc w:val="center"/>
              <w:rPr>
                <w:rFonts w:ascii="宋体" w:hAnsi="宋体"/>
                <w:color w:val="auto"/>
                <w:szCs w:val="21"/>
                <w:highlight w:val="none"/>
              </w:rPr>
            </w:pPr>
          </w:p>
        </w:tc>
        <w:tc>
          <w:tcPr>
            <w:tcW w:w="2676" w:type="dxa"/>
            <w:gridSpan w:val="3"/>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3677" w:type="dxa"/>
            <w:gridSpan w:val="3"/>
            <w:vAlign w:val="center"/>
          </w:tcPr>
          <w:p>
            <w:pPr>
              <w:topLinePunct/>
              <w:jc w:val="center"/>
              <w:rPr>
                <w:rFonts w:ascii="宋体" w:hAnsi="宋体"/>
                <w:color w:val="auto"/>
                <w:szCs w:val="21"/>
                <w:highlight w:val="none"/>
              </w:rPr>
            </w:pPr>
          </w:p>
        </w:tc>
        <w:tc>
          <w:tcPr>
            <w:tcW w:w="1086" w:type="dxa"/>
            <w:vAlign w:val="center"/>
          </w:tcPr>
          <w:p>
            <w:pPr>
              <w:topLinePunct/>
              <w:jc w:val="center"/>
              <w:rPr>
                <w:rFonts w:ascii="宋体" w:hAnsi="宋体"/>
                <w:color w:val="auto"/>
                <w:szCs w:val="21"/>
                <w:highlight w:val="none"/>
              </w:rPr>
            </w:pPr>
          </w:p>
        </w:tc>
        <w:tc>
          <w:tcPr>
            <w:tcW w:w="1734" w:type="dxa"/>
            <w:gridSpan w:val="3"/>
            <w:vAlign w:val="center"/>
          </w:tcPr>
          <w:p>
            <w:pPr>
              <w:topLinePunct/>
              <w:jc w:val="center"/>
              <w:rPr>
                <w:rFonts w:ascii="宋体" w:hAnsi="宋体"/>
                <w:color w:val="auto"/>
                <w:szCs w:val="21"/>
                <w:highlight w:val="none"/>
              </w:rPr>
            </w:pPr>
          </w:p>
        </w:tc>
        <w:tc>
          <w:tcPr>
            <w:tcW w:w="2676" w:type="dxa"/>
            <w:gridSpan w:val="3"/>
            <w:vAlign w:val="center"/>
          </w:tcPr>
          <w:p>
            <w:pPr>
              <w:topLinePunct/>
              <w:jc w:val="center"/>
              <w:rPr>
                <w:rFonts w:ascii="宋体" w:hAnsi="宋体"/>
                <w:color w:val="auto"/>
                <w:szCs w:val="21"/>
                <w:highlight w:val="none"/>
              </w:rPr>
            </w:pPr>
          </w:p>
        </w:tc>
      </w:tr>
    </w:tbl>
    <w:p>
      <w:pPr>
        <w:adjustRightInd w:val="0"/>
        <w:snapToGrid w:val="0"/>
        <w:spacing w:beforeLines="50"/>
        <w:ind w:left="630" w:hanging="630" w:hangingChars="300"/>
        <w:rPr>
          <w:rFonts w:ascii="楷体" w:hAnsi="楷体" w:eastAsia="楷体"/>
          <w:color w:val="auto"/>
          <w:szCs w:val="21"/>
          <w:highlight w:val="none"/>
        </w:rPr>
      </w:pPr>
      <w:r>
        <w:rPr>
          <w:rFonts w:hint="eastAsia" w:ascii="楷体" w:hAnsi="楷体" w:eastAsia="楷体"/>
          <w:color w:val="auto"/>
          <w:szCs w:val="21"/>
          <w:highlight w:val="none"/>
        </w:rPr>
        <w:t>说明：企业类型指大型、中型、小型、微型；上年营业收入、资产总额应与财务报表中的数据一致， 金额单位为万元。</w:t>
      </w:r>
    </w:p>
    <w:p>
      <w:pPr>
        <w:adjustRightInd w:val="0"/>
        <w:snapToGrid w:val="0"/>
        <w:spacing w:beforeLines="100" w:line="360" w:lineRule="auto"/>
        <w:ind w:firstLine="388" w:firstLineChars="185"/>
        <w:rPr>
          <w:rFonts w:ascii="宋体" w:hAnsi="宋体"/>
          <w:color w:val="auto"/>
          <w:szCs w:val="21"/>
          <w:highlight w:val="none"/>
        </w:rPr>
      </w:pPr>
      <w:r>
        <w:rPr>
          <w:rFonts w:hint="eastAsia" w:ascii="宋体" w:hAnsi="宋体"/>
          <w:bCs/>
          <w:color w:val="auto"/>
          <w:szCs w:val="21"/>
          <w:highlight w:val="none"/>
        </w:rPr>
        <w:t>投  标  人：</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（盖单位章）</w:t>
      </w:r>
    </w:p>
    <w:p>
      <w:pPr>
        <w:adjustRightInd w:val="0"/>
        <w:spacing w:line="360" w:lineRule="auto"/>
        <w:ind w:firstLine="367" w:firstLineChars="175"/>
        <w:jc w:val="left"/>
        <w:rPr>
          <w:rFonts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u w:val="none"/>
        </w:rPr>
        <w:t>（签字</w:t>
      </w:r>
      <w:r>
        <w:rPr>
          <w:rFonts w:hint="eastAsia" w:ascii="宋体" w:hAnsi="宋体"/>
          <w:color w:val="auto"/>
          <w:szCs w:val="21"/>
          <w:highlight w:val="none"/>
          <w:u w:val="none"/>
          <w:lang w:val="en-US" w:eastAsia="zh-CN"/>
        </w:rPr>
        <w:t>/盖章</w:t>
      </w:r>
      <w:r>
        <w:rPr>
          <w:rFonts w:hint="eastAsia" w:ascii="宋体" w:hAnsi="宋体"/>
          <w:color w:val="auto"/>
          <w:szCs w:val="21"/>
          <w:highlight w:val="none"/>
          <w:u w:val="none"/>
        </w:rPr>
        <w:t>）</w:t>
      </w:r>
    </w:p>
    <w:p>
      <w:pPr>
        <w:adjustRightInd w:val="0"/>
        <w:spacing w:line="360" w:lineRule="auto"/>
        <w:ind w:firstLine="367" w:firstLineChars="175"/>
        <w:jc w:val="left"/>
        <w:rPr>
          <w:rFonts w:ascii="宋体" w:hAnsi="宋体"/>
          <w:bCs/>
          <w:color w:val="auto"/>
          <w:szCs w:val="21"/>
          <w:highlight w:val="none"/>
        </w:rPr>
      </w:pPr>
      <w:r>
        <w:rPr>
          <w:rFonts w:hint="eastAsia" w:ascii="宋体" w:hAnsi="宋体"/>
          <w:bCs/>
          <w:color w:val="auto"/>
          <w:szCs w:val="21"/>
          <w:highlight w:val="none"/>
        </w:rPr>
        <w:t>日      期:20</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adjustRightInd w:val="0"/>
        <w:snapToGrid w:val="0"/>
        <w:spacing w:line="360" w:lineRule="auto"/>
        <w:jc w:val="center"/>
        <w:rPr>
          <w:rFonts w:ascii="宋体" w:hAnsi="宋体"/>
          <w:b/>
          <w:color w:val="auto"/>
          <w:szCs w:val="21"/>
          <w:highlight w:val="none"/>
        </w:rPr>
        <w:sectPr>
          <w:pgSz w:w="11907" w:h="16840"/>
          <w:pgMar w:top="1440" w:right="1474" w:bottom="1440" w:left="1474" w:header="851" w:footer="992" w:gutter="0"/>
          <w:pgNumType w:fmt="decimal"/>
          <w:cols w:space="720" w:num="1"/>
          <w:titlePg/>
        </w:sectPr>
      </w:pPr>
    </w:p>
    <w:p>
      <w:pPr>
        <w:adjustRightInd w:val="0"/>
        <w:snapToGrid w:val="0"/>
        <w:spacing w:line="360" w:lineRule="auto"/>
        <w:jc w:val="center"/>
        <w:rPr>
          <w:rFonts w:ascii="宋体" w:hAnsi="宋体"/>
          <w:color w:val="auto"/>
          <w:szCs w:val="21"/>
          <w:highlight w:val="none"/>
        </w:rPr>
      </w:pPr>
      <w:r>
        <w:rPr>
          <w:rFonts w:hint="eastAsia" w:ascii="宋体" w:hAnsi="宋体"/>
          <w:b/>
          <w:color w:val="auto"/>
          <w:sz w:val="36"/>
          <w:szCs w:val="36"/>
          <w:highlight w:val="none"/>
        </w:rPr>
        <w:t>2.法定代表人（单位负责人）身份证明</w:t>
      </w:r>
    </w:p>
    <w:p>
      <w:pPr>
        <w:autoSpaceDE w:val="0"/>
        <w:autoSpaceDN w:val="0"/>
        <w:adjustRightInd w:val="0"/>
        <w:snapToGrid w:val="0"/>
        <w:spacing w:beforeLines="50" w:line="360" w:lineRule="auto"/>
        <w:jc w:val="left"/>
        <w:rPr>
          <w:rFonts w:ascii="宋体" w:hAnsi="宋体"/>
          <w:color w:val="auto"/>
          <w:sz w:val="24"/>
          <w:highlight w:val="none"/>
        </w:rPr>
      </w:pPr>
    </w:p>
    <w:p>
      <w:pPr>
        <w:autoSpaceDE w:val="0"/>
        <w:autoSpaceDN w:val="0"/>
        <w:adjustRightInd w:val="0"/>
        <w:snapToGrid w:val="0"/>
        <w:spacing w:beforeLines="50" w:line="360" w:lineRule="auto"/>
        <w:jc w:val="left"/>
        <w:rPr>
          <w:rFonts w:ascii="宋体" w:hAnsi="宋体" w:cs="宋体"/>
          <w:color w:val="auto"/>
          <w:kern w:val="0"/>
          <w:szCs w:val="21"/>
          <w:highlight w:val="none"/>
        </w:rPr>
      </w:pPr>
      <w:r>
        <w:rPr>
          <w:rFonts w:hint="eastAsia" w:ascii="宋体" w:hAnsi="宋体"/>
          <w:color w:val="auto"/>
          <w:szCs w:val="21"/>
          <w:highlight w:val="none"/>
        </w:rPr>
        <w:t>投标人</w:t>
      </w:r>
      <w:r>
        <w:rPr>
          <w:rFonts w:hint="eastAsia" w:ascii="宋体" w:hAnsi="宋体" w:cs="宋体"/>
          <w:color w:val="auto"/>
          <w:kern w:val="0"/>
          <w:szCs w:val="21"/>
          <w:highlight w:val="none"/>
        </w:rPr>
        <w:t>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napToGrid w:val="0"/>
        <w:spacing w:beforeLines="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统一社会信用代码：</w:t>
      </w:r>
      <w:r>
        <w:rPr>
          <w:rFonts w:hint="eastAsia" w:ascii="宋体" w:hAnsi="宋体" w:cs="宋体"/>
          <w:color w:val="auto"/>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性别：</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年龄：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职务：</w:t>
      </w:r>
      <w:r>
        <w:rPr>
          <w:rFonts w:hint="eastAsia" w:ascii="宋体" w:hAnsi="宋体" w:cs="宋体"/>
          <w:color w:val="auto"/>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w:t>
      </w:r>
      <w:r>
        <w:rPr>
          <w:rFonts w:hint="eastAsia" w:ascii="宋体" w:hAnsi="宋体"/>
          <w:color w:val="auto"/>
          <w:szCs w:val="21"/>
          <w:highlight w:val="none"/>
        </w:rPr>
        <w:t>人</w:t>
      </w:r>
      <w:r>
        <w:rPr>
          <w:rFonts w:hint="eastAsia" w:ascii="宋体" w:hAnsi="宋体" w:cs="宋体"/>
          <w:color w:val="auto"/>
          <w:kern w:val="0"/>
          <w:szCs w:val="21"/>
          <w:highlight w:val="none"/>
        </w:rPr>
        <w:t>名称）的法定代表人（单位负责人）。</w:t>
      </w:r>
    </w:p>
    <w:p>
      <w:pPr>
        <w:autoSpaceDE w:val="0"/>
        <w:autoSpaceDN w:val="0"/>
        <w:adjustRightInd w:val="0"/>
        <w:snapToGrid w:val="0"/>
        <w:spacing w:beforeLines="50" w:line="360" w:lineRule="auto"/>
        <w:jc w:val="left"/>
        <w:rPr>
          <w:rFonts w:ascii="宋体" w:hAnsi="宋体"/>
          <w:color w:val="auto"/>
          <w:szCs w:val="21"/>
          <w:highlight w:val="none"/>
        </w:rPr>
      </w:pPr>
      <w:r>
        <w:rPr>
          <w:rFonts w:hint="eastAsia" w:ascii="宋体" w:hAnsi="宋体" w:cs="宋体"/>
          <w:color w:val="auto"/>
          <w:kern w:val="0"/>
          <w:szCs w:val="21"/>
          <w:highlight w:val="none"/>
        </w:rPr>
        <w:t>特此证明。</w:t>
      </w:r>
    </w:p>
    <w:p>
      <w:pPr>
        <w:autoSpaceDE w:val="0"/>
        <w:autoSpaceDN w:val="0"/>
        <w:adjustRightInd w:val="0"/>
        <w:snapToGrid w:val="0"/>
        <w:spacing w:beforeLines="50" w:line="360" w:lineRule="auto"/>
        <w:jc w:val="left"/>
        <w:rPr>
          <w:rFonts w:ascii="宋体" w:hAnsi="宋体" w:cs="宋体"/>
          <w:color w:val="auto"/>
          <w:kern w:val="0"/>
          <w:szCs w:val="21"/>
          <w:highlight w:val="none"/>
        </w:rPr>
      </w:pPr>
      <w:r>
        <w:rPr>
          <w:rFonts w:hint="eastAsia" w:ascii="宋体" w:hAnsi="宋体"/>
          <w:color w:val="auto"/>
          <w:szCs w:val="21"/>
          <w:highlight w:val="none"/>
        </w:rPr>
        <w:t>附：法定代表人身份证复印件（正反面）</w:t>
      </w:r>
    </w:p>
    <w:p>
      <w:pPr>
        <w:snapToGrid w:val="0"/>
        <w:spacing w:line="480" w:lineRule="auto"/>
        <w:rPr>
          <w:rFonts w:ascii="宋体" w:hAnsi="宋体"/>
          <w:color w:val="auto"/>
          <w:szCs w:val="21"/>
          <w:highlight w:val="none"/>
        </w:rPr>
      </w:pPr>
    </w:p>
    <w:tbl>
      <w:tblPr>
        <w:tblStyle w:val="29"/>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5868" w:type="dxa"/>
            <w:vAlign w:val="center"/>
          </w:tcPr>
          <w:p>
            <w:pPr>
              <w:snapToGrid w:val="0"/>
              <w:spacing w:line="480" w:lineRule="auto"/>
              <w:jc w:val="center"/>
              <w:rPr>
                <w:rFonts w:ascii="宋体" w:hAnsi="宋体"/>
                <w:color w:val="auto"/>
                <w:szCs w:val="21"/>
                <w:highlight w:val="none"/>
              </w:rPr>
            </w:pPr>
          </w:p>
          <w:p>
            <w:pPr>
              <w:snapToGrid w:val="0"/>
              <w:spacing w:line="480" w:lineRule="auto"/>
              <w:jc w:val="center"/>
              <w:rPr>
                <w:rFonts w:ascii="宋体" w:hAnsi="宋体"/>
                <w:color w:val="auto"/>
                <w:szCs w:val="21"/>
                <w:highlight w:val="none"/>
              </w:rPr>
            </w:pPr>
          </w:p>
          <w:p>
            <w:pPr>
              <w:autoSpaceDE w:val="0"/>
              <w:autoSpaceDN w:val="0"/>
              <w:adjustRightInd w:val="0"/>
              <w:snapToGrid w:val="0"/>
              <w:spacing w:beforeLines="50" w:line="360" w:lineRule="auto"/>
              <w:jc w:val="center"/>
              <w:rPr>
                <w:rFonts w:ascii="宋体" w:hAnsi="宋体" w:cs="宋体"/>
                <w:color w:val="auto"/>
                <w:kern w:val="0"/>
                <w:szCs w:val="21"/>
                <w:highlight w:val="none"/>
              </w:rPr>
            </w:pPr>
            <w:r>
              <w:rPr>
                <w:rFonts w:hint="eastAsia" w:ascii="宋体" w:hAnsi="宋体"/>
                <w:color w:val="auto"/>
                <w:szCs w:val="21"/>
                <w:highlight w:val="none"/>
              </w:rPr>
              <w:t>法定代表人身份证（正反面）复印件粘贴处</w:t>
            </w:r>
          </w:p>
          <w:p>
            <w:pPr>
              <w:snapToGrid w:val="0"/>
              <w:spacing w:line="480" w:lineRule="auto"/>
              <w:jc w:val="center"/>
              <w:rPr>
                <w:rFonts w:ascii="宋体" w:hAnsi="宋体"/>
                <w:color w:val="auto"/>
                <w:szCs w:val="21"/>
                <w:highlight w:val="none"/>
              </w:rPr>
            </w:pPr>
          </w:p>
          <w:p>
            <w:pPr>
              <w:snapToGrid w:val="0"/>
              <w:spacing w:line="480" w:lineRule="auto"/>
              <w:jc w:val="center"/>
              <w:rPr>
                <w:rFonts w:ascii="宋体" w:hAnsi="宋体"/>
                <w:color w:val="auto"/>
                <w:szCs w:val="21"/>
                <w:highlight w:val="none"/>
              </w:rPr>
            </w:pPr>
          </w:p>
        </w:tc>
      </w:tr>
    </w:tbl>
    <w:p>
      <w:pPr>
        <w:snapToGrid w:val="0"/>
        <w:spacing w:line="480" w:lineRule="auto"/>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firstLine="3150" w:firstLineChars="1500"/>
        <w:jc w:val="left"/>
        <w:rPr>
          <w:rFonts w:ascii="宋体" w:hAnsi="宋体"/>
          <w:color w:val="auto"/>
          <w:szCs w:val="21"/>
          <w:highlight w:val="none"/>
        </w:rPr>
      </w:pPr>
    </w:p>
    <w:p>
      <w:pPr>
        <w:adjustRightInd w:val="0"/>
        <w:snapToGrid w:val="0"/>
        <w:spacing w:line="360" w:lineRule="auto"/>
        <w:ind w:right="420" w:firstLine="3150" w:firstLineChars="1500"/>
        <w:jc w:val="left"/>
        <w:rPr>
          <w:rFonts w:ascii="宋体" w:hAnsi="宋体"/>
          <w:color w:val="auto"/>
          <w:szCs w:val="21"/>
          <w:highlight w:val="none"/>
        </w:rPr>
      </w:pPr>
    </w:p>
    <w:p>
      <w:pPr>
        <w:adjustRightInd w:val="0"/>
        <w:snapToGrid w:val="0"/>
        <w:spacing w:line="360" w:lineRule="auto"/>
        <w:ind w:right="420" w:firstLine="3150" w:firstLineChars="1500"/>
        <w:jc w:val="left"/>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outlineLvl w:val="9"/>
        <w:rPr>
          <w:rFonts w:asciiTheme="minorEastAsia" w:hAnsiTheme="minorEastAsia" w:eastAsiaTheme="minorEastAsia" w:cstheme="minorEastAsia"/>
          <w:b w:val="0"/>
          <w:bCs/>
          <w:color w:val="auto"/>
          <w:sz w:val="21"/>
          <w:szCs w:val="21"/>
          <w:highlight w:val="none"/>
        </w:rPr>
      </w:pPr>
      <w:r>
        <w:rPr>
          <w:rFonts w:hint="eastAsia" w:ascii="宋体" w:hAnsi="宋体"/>
          <w:color w:val="auto"/>
          <w:sz w:val="21"/>
          <w:szCs w:val="21"/>
          <w:highlight w:val="none"/>
        </w:rPr>
        <w:t xml:space="preserve">                           </w:t>
      </w:r>
      <w:r>
        <w:rPr>
          <w:rFonts w:hint="eastAsia" w:asciiTheme="minorEastAsia" w:hAnsiTheme="minorEastAsia" w:eastAsiaTheme="minorEastAsia" w:cstheme="minorEastAsia"/>
          <w:b w:val="0"/>
          <w:bCs/>
          <w:color w:val="auto"/>
          <w:sz w:val="21"/>
          <w:szCs w:val="21"/>
          <w:highlight w:val="none"/>
        </w:rPr>
        <w:t xml:space="preserve">   法定代表人：</w:t>
      </w:r>
      <w:r>
        <w:rPr>
          <w:rFonts w:hint="eastAsia" w:asciiTheme="minorEastAsia" w:hAnsiTheme="minorEastAsia" w:eastAsiaTheme="minorEastAsia" w:cstheme="minorEastAsia"/>
          <w:b w:val="0"/>
          <w:bCs/>
          <w:color w:val="auto"/>
          <w:sz w:val="21"/>
          <w:szCs w:val="21"/>
          <w:highlight w:val="none"/>
          <w:u w:val="single"/>
        </w:rPr>
        <w:t xml:space="preserve">         </w:t>
      </w:r>
      <w:r>
        <w:rPr>
          <w:rFonts w:hint="eastAsia" w:asciiTheme="minorEastAsia" w:hAnsiTheme="minorEastAsia" w:eastAsiaTheme="minorEastAsia" w:cstheme="minorEastAsia"/>
          <w:b w:val="0"/>
          <w:bCs/>
          <w:color w:val="auto"/>
          <w:sz w:val="21"/>
          <w:szCs w:val="21"/>
          <w:highlight w:val="none"/>
          <w:u w:val="none"/>
        </w:rPr>
        <w:t>（签字</w:t>
      </w:r>
      <w:r>
        <w:rPr>
          <w:rFonts w:hint="eastAsia" w:asciiTheme="minorEastAsia" w:hAnsiTheme="minorEastAsia" w:eastAsiaTheme="minorEastAsia" w:cstheme="minorEastAsia"/>
          <w:b w:val="0"/>
          <w:bCs/>
          <w:color w:val="auto"/>
          <w:sz w:val="21"/>
          <w:szCs w:val="21"/>
          <w:highlight w:val="none"/>
          <w:u w:val="none"/>
          <w:lang w:val="en-US" w:eastAsia="zh-CN"/>
        </w:rPr>
        <w:t>/盖章</w:t>
      </w:r>
      <w:r>
        <w:rPr>
          <w:rFonts w:hint="eastAsia" w:asciiTheme="minorEastAsia" w:hAnsiTheme="minorEastAsia" w:eastAsiaTheme="minorEastAsia" w:cstheme="minorEastAsia"/>
          <w:b w:val="0"/>
          <w:bCs/>
          <w:color w:val="auto"/>
          <w:sz w:val="21"/>
          <w:szCs w:val="21"/>
          <w:highlight w:val="none"/>
          <w:u w:val="none"/>
        </w:rPr>
        <w:t>）</w:t>
      </w:r>
    </w:p>
    <w:p>
      <w:pPr>
        <w:adjustRightInd w:val="0"/>
        <w:snapToGrid w:val="0"/>
        <w:spacing w:line="360" w:lineRule="auto"/>
        <w:ind w:right="420" w:firstLine="4830" w:firstLineChars="2300"/>
        <w:jc w:val="left"/>
        <w:rPr>
          <w:rFonts w:ascii="宋体" w:hAnsi="宋体"/>
          <w:color w:val="auto"/>
          <w:szCs w:val="21"/>
          <w:highlight w:val="none"/>
        </w:rPr>
      </w:pPr>
    </w:p>
    <w:p>
      <w:pPr>
        <w:adjustRightInd w:val="0"/>
        <w:snapToGrid w:val="0"/>
        <w:spacing w:line="360" w:lineRule="auto"/>
        <w:ind w:right="420" w:firstLine="3780" w:firstLineChars="1800"/>
        <w:rPr>
          <w:rFonts w:ascii="宋体" w:hAnsi="宋体"/>
          <w:color w:val="auto"/>
          <w:szCs w:val="21"/>
          <w:highlight w:val="none"/>
        </w:rPr>
      </w:pPr>
      <w:r>
        <w:rPr>
          <w:rFonts w:hint="eastAsia" w:ascii="宋体" w:hAnsi="宋体"/>
          <w:color w:val="auto"/>
          <w:szCs w:val="21"/>
          <w:highlight w:val="none"/>
        </w:rPr>
        <w:t>日期：20    年  月  日</w:t>
      </w:r>
    </w:p>
    <w:p>
      <w:pPr>
        <w:adjustRightInd w:val="0"/>
        <w:snapToGrid w:val="0"/>
        <w:spacing w:line="360" w:lineRule="auto"/>
        <w:ind w:right="420" w:firstLine="240" w:firstLineChars="100"/>
        <w:rPr>
          <w:rFonts w:ascii="仿宋_GB2312" w:hAnsi="宋体" w:eastAsia="仿宋_GB2312"/>
          <w:color w:val="auto"/>
          <w:sz w:val="24"/>
          <w:highlight w:val="none"/>
        </w:rPr>
      </w:pPr>
    </w:p>
    <w:p>
      <w:pPr>
        <w:adjustRightInd w:val="0"/>
        <w:snapToGrid w:val="0"/>
        <w:spacing w:line="360" w:lineRule="auto"/>
        <w:ind w:right="420"/>
        <w:rPr>
          <w:rFonts w:ascii="仿宋" w:hAnsi="仿宋" w:eastAsia="仿宋" w:cs="仿宋"/>
          <w:color w:val="auto"/>
          <w:szCs w:val="21"/>
          <w:highlight w:val="none"/>
        </w:rPr>
      </w:pPr>
      <w:r>
        <w:rPr>
          <w:rFonts w:hint="eastAsia" w:ascii="仿宋" w:hAnsi="仿宋" w:eastAsia="仿宋" w:cs="仿宋"/>
          <w:color w:val="auto"/>
          <w:szCs w:val="21"/>
          <w:highlight w:val="none"/>
        </w:rPr>
        <w:t>说明：仅限法定代表人（单位负责人）参加投标时提供</w:t>
      </w:r>
    </w:p>
    <w:p>
      <w:pPr>
        <w:jc w:val="center"/>
        <w:rPr>
          <w:rFonts w:ascii="仿宋" w:hAnsi="仿宋" w:eastAsia="仿宋" w:cs="仿宋"/>
          <w:b/>
          <w:color w:val="auto"/>
          <w:sz w:val="36"/>
          <w:szCs w:val="36"/>
          <w:highlight w:val="none"/>
        </w:rPr>
        <w:sectPr>
          <w:pgSz w:w="11907" w:h="16840"/>
          <w:pgMar w:top="1440" w:right="1474" w:bottom="1440" w:left="1474" w:header="851" w:footer="992" w:gutter="0"/>
          <w:pgNumType w:fmt="decimal"/>
          <w:cols w:space="720" w:num="1"/>
          <w:titlePg/>
        </w:sectPr>
      </w:pPr>
    </w:p>
    <w:p>
      <w:pPr>
        <w:jc w:val="center"/>
        <w:rPr>
          <w:rFonts w:ascii="黑体" w:hAnsi="华文中宋" w:eastAsia="黑体"/>
          <w:b/>
          <w:color w:val="auto"/>
          <w:sz w:val="28"/>
          <w:szCs w:val="28"/>
          <w:highlight w:val="none"/>
        </w:rPr>
      </w:pPr>
      <w:r>
        <w:rPr>
          <w:rFonts w:hint="eastAsia" w:ascii="宋体" w:hAnsi="宋体"/>
          <w:b/>
          <w:color w:val="auto"/>
          <w:sz w:val="36"/>
          <w:szCs w:val="36"/>
          <w:highlight w:val="none"/>
        </w:rPr>
        <w:t>3.授权委托书</w:t>
      </w:r>
    </w:p>
    <w:p>
      <w:pPr>
        <w:spacing w:line="400" w:lineRule="exact"/>
        <w:ind w:firstLine="560" w:firstLineChars="200"/>
        <w:rPr>
          <w:rFonts w:ascii="仿宋_GB2312" w:hAnsi="宋体" w:eastAsia="仿宋_GB2312"/>
          <w:color w:val="auto"/>
          <w:sz w:val="28"/>
          <w:szCs w:val="28"/>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zh-CN"/>
        </w:rPr>
        <w:t>本人</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（姓名）系</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（投标人名称）的法定代表人（单位负责人），现委托</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（被委托人姓名）为我方代理人。代理人根据授权，以我方的名义签署、澄清确认、递交、撤回、修改</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（采购项目）</w:t>
      </w:r>
      <w:r>
        <w:rPr>
          <w:rFonts w:hint="eastAsia" w:ascii="宋体" w:hAnsi="宋体"/>
          <w:color w:val="auto"/>
          <w:szCs w:val="21"/>
          <w:highlight w:val="none"/>
          <w:lang w:eastAsia="zh-CN"/>
        </w:rPr>
        <w:t>服务标段</w:t>
      </w:r>
      <w:r>
        <w:rPr>
          <w:rFonts w:hint="eastAsia" w:ascii="宋体" w:hAnsi="宋体"/>
          <w:color w:val="auto"/>
          <w:szCs w:val="21"/>
          <w:highlight w:val="none"/>
          <w:lang w:val="zh-CN"/>
        </w:rPr>
        <w:t>投标文件、签订合同和全权处理一切与之有关的事宜，</w:t>
      </w:r>
      <w:r>
        <w:rPr>
          <w:rFonts w:hint="eastAsia" w:ascii="宋体" w:hAnsi="宋体" w:cs="宋体"/>
          <w:color w:val="auto"/>
          <w:kern w:val="0"/>
          <w:szCs w:val="21"/>
          <w:highlight w:val="none"/>
        </w:rPr>
        <w:t>其法律后果由我方承担。</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lang w:val="zh-CN"/>
        </w:rPr>
        <w:t>委托期限</w:t>
      </w:r>
      <w:r>
        <w:rPr>
          <w:rFonts w:hint="eastAsia" w:ascii="宋体" w:hAnsi="宋体"/>
          <w:color w:val="auto"/>
          <w:szCs w:val="21"/>
          <w:highlight w:val="none"/>
        </w:rPr>
        <w:t>：</w:t>
      </w:r>
      <w:r>
        <w:rPr>
          <w:rFonts w:hint="eastAsia" w:ascii="宋体" w:hAnsi="宋体"/>
          <w:color w:val="auto"/>
          <w:szCs w:val="21"/>
          <w:highlight w:val="none"/>
          <w:lang w:val="zh-CN"/>
        </w:rPr>
        <w:t>本授权委托书有效期自开标之日起90日历天。</w:t>
      </w:r>
    </w:p>
    <w:p>
      <w:pPr>
        <w:spacing w:line="480" w:lineRule="auto"/>
        <w:ind w:firstLine="420" w:firstLineChars="200"/>
        <w:rPr>
          <w:rFonts w:ascii="宋体" w:hAnsi="宋体"/>
          <w:b/>
          <w:bCs/>
          <w:color w:val="auto"/>
          <w:szCs w:val="21"/>
          <w:highlight w:val="none"/>
        </w:rPr>
      </w:pPr>
      <w:r>
        <w:rPr>
          <w:rFonts w:hint="eastAsia" w:ascii="宋体" w:hAnsi="宋体"/>
          <w:color w:val="auto"/>
          <w:szCs w:val="21"/>
          <w:highlight w:val="none"/>
        </w:rPr>
        <w:t>代理人无转委托权。</w:t>
      </w:r>
    </w:p>
    <w:p>
      <w:pPr>
        <w:spacing w:line="360" w:lineRule="auto"/>
        <w:ind w:firstLine="420" w:firstLineChars="200"/>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lang w:val="zh-CN"/>
        </w:rPr>
        <w:t>附：法定代表人（单位负责人）身份证复印件</w:t>
      </w:r>
      <w:r>
        <w:rPr>
          <w:rFonts w:hint="eastAsia" w:ascii="宋体" w:hAnsi="宋体"/>
          <w:color w:val="auto"/>
          <w:szCs w:val="21"/>
          <w:highlight w:val="none"/>
        </w:rPr>
        <w:t>、</w:t>
      </w:r>
      <w:r>
        <w:rPr>
          <w:rFonts w:hint="eastAsia" w:ascii="宋体" w:hAnsi="宋体"/>
          <w:color w:val="auto"/>
          <w:szCs w:val="21"/>
          <w:highlight w:val="none"/>
          <w:lang w:val="zh-CN"/>
        </w:rPr>
        <w:t>委托代理人身份证复印件（正反面）</w:t>
      </w:r>
    </w:p>
    <w:tbl>
      <w:tblPr>
        <w:tblStyle w:val="29"/>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259"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lang w:val="zh-CN"/>
              </w:rPr>
              <w:t>法定代表人（单位负责人）身份证复印件（正反面）</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lang w:val="zh-CN"/>
              </w:rPr>
              <w:t>委托代理人身份证复印件（正反面）</w:t>
            </w:r>
          </w:p>
        </w:tc>
      </w:tr>
    </w:tbl>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2835" w:firstLineChars="1350"/>
        <w:rPr>
          <w:rFonts w:ascii="宋体" w:hAns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ind w:firstLine="420" w:firstLineChars="200"/>
        <w:rPr>
          <w:rFonts w:ascii="宋体" w:hAnsi="宋体"/>
          <w:color w:val="auto"/>
          <w:szCs w:val="21"/>
          <w:highlight w:val="none"/>
        </w:rPr>
      </w:pPr>
    </w:p>
    <w:p>
      <w:pPr>
        <w:ind w:firstLine="2835" w:firstLineChars="1350"/>
        <w:rPr>
          <w:rFonts w:ascii="宋体" w:hAnsi="宋体"/>
          <w:color w:val="auto"/>
          <w:szCs w:val="21"/>
          <w:highlight w:val="none"/>
        </w:rPr>
      </w:pPr>
      <w:r>
        <w:rPr>
          <w:rFonts w:hint="eastAsia" w:ascii="宋体" w:hAnsi="宋体"/>
          <w:color w:val="auto"/>
          <w:szCs w:val="21"/>
          <w:highlight w:val="none"/>
        </w:rPr>
        <w:t>法定代表人（单位负责人）：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（签字或盖章）</w:t>
      </w:r>
    </w:p>
    <w:p>
      <w:pPr>
        <w:ind w:firstLine="3465" w:firstLineChars="1650"/>
        <w:rPr>
          <w:rFonts w:ascii="宋体" w:hAnsi="宋体"/>
          <w:color w:val="auto"/>
          <w:szCs w:val="21"/>
          <w:highlight w:val="none"/>
        </w:rPr>
      </w:pPr>
    </w:p>
    <w:p>
      <w:pPr>
        <w:ind w:firstLine="2835" w:firstLineChars="1350"/>
        <w:jc w:val="left"/>
        <w:rPr>
          <w:rFonts w:ascii="宋体" w:hAnsi="宋体"/>
          <w:color w:val="auto"/>
          <w:szCs w:val="21"/>
          <w:highlight w:val="none"/>
          <w:u w:val="single"/>
        </w:rPr>
      </w:pPr>
      <w:r>
        <w:rPr>
          <w:rFonts w:hint="eastAsia" w:ascii="宋体" w:hAnsi="宋体"/>
          <w:color w:val="auto"/>
          <w:szCs w:val="21"/>
          <w:highlight w:val="none"/>
        </w:rPr>
        <w:t>身 份 证 号：</w:t>
      </w:r>
      <w:r>
        <w:rPr>
          <w:rFonts w:hint="eastAsia" w:ascii="宋体" w:hAnsi="宋体"/>
          <w:color w:val="auto"/>
          <w:szCs w:val="21"/>
          <w:highlight w:val="none"/>
          <w:u w:val="single"/>
        </w:rPr>
        <w:t xml:space="preserve">                        </w:t>
      </w:r>
    </w:p>
    <w:p>
      <w:pPr>
        <w:ind w:firstLine="3465" w:firstLineChars="1650"/>
        <w:rPr>
          <w:rFonts w:ascii="宋体" w:hAnsi="宋体"/>
          <w:color w:val="auto"/>
          <w:szCs w:val="21"/>
          <w:highlight w:val="none"/>
        </w:rPr>
      </w:pPr>
    </w:p>
    <w:p>
      <w:pPr>
        <w:ind w:firstLine="2835" w:firstLineChars="135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w:t>
      </w:r>
      <w:r>
        <w:rPr>
          <w:rFonts w:hint="eastAsia" w:ascii="宋体" w:hAnsi="宋体"/>
          <w:color w:val="auto"/>
          <w:szCs w:val="21"/>
          <w:highlight w:val="none"/>
          <w:lang w:val="en-US" w:eastAsia="zh-CN"/>
        </w:rPr>
        <w:t>/盖章</w:t>
      </w:r>
      <w:r>
        <w:rPr>
          <w:rFonts w:hint="eastAsia" w:ascii="宋体" w:hAnsi="宋体"/>
          <w:color w:val="auto"/>
          <w:szCs w:val="21"/>
          <w:highlight w:val="none"/>
        </w:rPr>
        <w:t>）</w:t>
      </w:r>
    </w:p>
    <w:p>
      <w:pPr>
        <w:ind w:firstLine="2835" w:firstLineChars="1350"/>
        <w:jc w:val="left"/>
        <w:rPr>
          <w:rFonts w:ascii="宋体" w:hAnsi="宋体"/>
          <w:color w:val="auto"/>
          <w:szCs w:val="21"/>
          <w:highlight w:val="none"/>
        </w:rPr>
      </w:pPr>
    </w:p>
    <w:p>
      <w:pPr>
        <w:ind w:firstLine="2835" w:firstLineChars="1350"/>
        <w:jc w:val="left"/>
        <w:rPr>
          <w:rFonts w:ascii="宋体" w:hAnsi="宋体"/>
          <w:color w:val="auto"/>
          <w:szCs w:val="21"/>
          <w:highlight w:val="none"/>
          <w:u w:val="single"/>
        </w:rPr>
      </w:pPr>
      <w:r>
        <w:rPr>
          <w:rFonts w:hint="eastAsia" w:ascii="宋体" w:hAnsi="宋体"/>
          <w:color w:val="auto"/>
          <w:szCs w:val="21"/>
          <w:highlight w:val="none"/>
        </w:rPr>
        <w:t>身 份 证 号：</w:t>
      </w:r>
      <w:r>
        <w:rPr>
          <w:rFonts w:hint="eastAsia" w:ascii="宋体" w:hAnsi="宋体"/>
          <w:color w:val="auto"/>
          <w:szCs w:val="21"/>
          <w:highlight w:val="none"/>
          <w:u w:val="single"/>
        </w:rPr>
        <w:t xml:space="preserve">                         </w:t>
      </w:r>
    </w:p>
    <w:p>
      <w:pPr>
        <w:ind w:firstLine="420" w:firstLineChars="200"/>
        <w:rPr>
          <w:rFonts w:ascii="宋体" w:hAnsi="宋体"/>
          <w:color w:val="auto"/>
          <w:szCs w:val="21"/>
          <w:highlight w:val="none"/>
        </w:rPr>
      </w:pPr>
    </w:p>
    <w:p>
      <w:pPr>
        <w:ind w:firstLine="2730" w:firstLineChars="1300"/>
        <w:rPr>
          <w:rFonts w:ascii="仿宋_GB2312" w:eastAsia="仿宋_GB2312"/>
          <w:color w:val="auto"/>
          <w:szCs w:val="21"/>
          <w:highlight w:val="none"/>
          <w:lang w:val="zh-CN"/>
        </w:rPr>
      </w:pPr>
      <w:r>
        <w:rPr>
          <w:rFonts w:hint="eastAsia" w:ascii="宋体" w:hAnsi="宋体"/>
          <w:color w:val="auto"/>
          <w:szCs w:val="21"/>
          <w:highlight w:val="none"/>
        </w:rPr>
        <w:t xml:space="preserve"> 授权委托日期：  20     年   月   日</w:t>
      </w:r>
    </w:p>
    <w:p>
      <w:pPr>
        <w:ind w:firstLine="420" w:firstLineChars="200"/>
        <w:rPr>
          <w:rFonts w:ascii="仿宋_GB2312" w:eastAsia="仿宋_GB2312"/>
          <w:color w:val="auto"/>
          <w:highlight w:val="none"/>
          <w:lang w:val="zh-CN"/>
        </w:rPr>
      </w:pPr>
    </w:p>
    <w:p>
      <w:pPr>
        <w:ind w:firstLine="420" w:firstLineChars="200"/>
        <w:rPr>
          <w:rFonts w:ascii="仿宋_GB2312" w:eastAsia="仿宋_GB2312"/>
          <w:color w:val="auto"/>
          <w:highlight w:val="none"/>
          <w:lang w:val="zh-CN"/>
        </w:rPr>
      </w:pPr>
    </w:p>
    <w:p>
      <w:pPr>
        <w:ind w:firstLine="420" w:firstLineChars="200"/>
        <w:rPr>
          <w:rFonts w:ascii="仿宋_GB2312" w:eastAsia="仿宋_GB2312"/>
          <w:color w:val="auto"/>
          <w:highlight w:val="none"/>
          <w:lang w:val="zh-CN"/>
        </w:rPr>
      </w:pPr>
    </w:p>
    <w:p>
      <w:pPr>
        <w:rPr>
          <w:rFonts w:ascii="仿宋" w:hAnsi="仿宋" w:eastAsia="仿宋" w:cs="仿宋"/>
          <w:color w:val="auto"/>
          <w:highlight w:val="none"/>
          <w:lang w:val="zh-CN"/>
        </w:rPr>
      </w:pPr>
      <w:r>
        <w:rPr>
          <w:rFonts w:hint="eastAsia" w:ascii="仿宋" w:hAnsi="仿宋" w:eastAsia="仿宋" w:cs="仿宋"/>
          <w:color w:val="auto"/>
          <w:highlight w:val="none"/>
          <w:lang w:val="zh-CN"/>
        </w:rPr>
        <w:t>说明：仅限委托代理人参加投标时提供。</w:t>
      </w:r>
    </w:p>
    <w:p>
      <w:pPr>
        <w:jc w:val="center"/>
        <w:rPr>
          <w:rFonts w:ascii="仿宋" w:hAnsi="仿宋" w:eastAsia="仿宋" w:cs="仿宋"/>
          <w:b/>
          <w:color w:val="auto"/>
          <w:sz w:val="36"/>
          <w:szCs w:val="36"/>
          <w:highlight w:val="none"/>
        </w:rPr>
        <w:sectPr>
          <w:pgSz w:w="11907" w:h="16840"/>
          <w:pgMar w:top="1440" w:right="1474" w:bottom="1440" w:left="1474" w:header="851" w:footer="992" w:gutter="0"/>
          <w:pgNumType w:fmt="decimal"/>
          <w:cols w:space="720" w:num="1"/>
          <w:titlePg/>
        </w:sectPr>
      </w:pPr>
    </w:p>
    <w:p>
      <w:pPr>
        <w:spacing w:line="400" w:lineRule="exact"/>
        <w:jc w:val="center"/>
        <w:outlineLvl w:val="1"/>
        <w:rPr>
          <w:rFonts w:ascii="宋体" w:hAnsi="宋体"/>
          <w:b/>
          <w:bCs/>
          <w:color w:val="auto"/>
          <w:sz w:val="36"/>
          <w:szCs w:val="36"/>
          <w:highlight w:val="none"/>
        </w:rPr>
      </w:pPr>
      <w:r>
        <w:rPr>
          <w:rFonts w:hint="eastAsia" w:ascii="宋体" w:hAnsi="宋体"/>
          <w:b/>
          <w:bCs/>
          <w:color w:val="auto"/>
          <w:sz w:val="36"/>
          <w:szCs w:val="36"/>
          <w:highlight w:val="none"/>
        </w:rPr>
        <w:t>4.其他资格证明文件</w:t>
      </w:r>
    </w:p>
    <w:p>
      <w:pPr>
        <w:spacing w:line="400" w:lineRule="exact"/>
        <w:outlineLvl w:val="9"/>
        <w:rPr>
          <w:rFonts w:ascii="宋体" w:hAnsi="宋体"/>
          <w:b/>
          <w:bCs/>
          <w:color w:val="auto"/>
          <w:sz w:val="36"/>
          <w:szCs w:val="36"/>
          <w:highlight w:val="none"/>
        </w:rPr>
      </w:pPr>
    </w:p>
    <w:p>
      <w:pPr>
        <w:pStyle w:val="7"/>
        <w:spacing w:beforeLines="50"/>
        <w:ind w:firstLine="0"/>
        <w:rPr>
          <w:rFonts w:ascii="宋体" w:hAnsi="宋体"/>
          <w:b/>
          <w:color w:val="auto"/>
          <w:sz w:val="36"/>
          <w:szCs w:val="36"/>
          <w:highlight w:val="none"/>
        </w:rPr>
      </w:pPr>
    </w:p>
    <w:p>
      <w:pPr>
        <w:pStyle w:val="7"/>
        <w:spacing w:beforeLines="50" w:line="480" w:lineRule="auto"/>
        <w:jc w:val="left"/>
        <w:rPr>
          <w:rFonts w:hint="eastAsia" w:ascii="宋体" w:hAnsi="宋体"/>
          <w:color w:val="auto"/>
          <w:kern w:val="0"/>
          <w:szCs w:val="21"/>
          <w:highlight w:val="none"/>
        </w:rPr>
        <w:sectPr>
          <w:pgSz w:w="11907" w:h="16840"/>
          <w:pgMar w:top="1440" w:right="1474" w:bottom="1440" w:left="1474" w:header="851" w:footer="992" w:gutter="0"/>
          <w:pgNumType w:fmt="decimal"/>
          <w:cols w:space="720" w:num="1"/>
          <w:titlePg/>
        </w:sectPr>
      </w:pPr>
      <w:r>
        <w:rPr>
          <w:rFonts w:hint="eastAsia" w:ascii="宋体" w:hAnsi="宋体"/>
          <w:color w:val="auto"/>
          <w:kern w:val="0"/>
          <w:szCs w:val="21"/>
          <w:highlight w:val="none"/>
        </w:rPr>
        <w:t>注：包含但不限于资格审查表要求的资料</w:t>
      </w:r>
    </w:p>
    <w:p>
      <w:pPr>
        <w:outlineLvl w:val="9"/>
        <w:rPr>
          <w:rFonts w:hint="eastAsia" w:ascii="宋体" w:hAnsi="宋体" w:eastAsia="宋体"/>
          <w:color w:val="auto"/>
          <w:highlight w:val="none"/>
        </w:rPr>
      </w:pPr>
      <w:bookmarkStart w:id="118" w:name="_Toc2331447"/>
      <w:r>
        <w:rPr>
          <w:rFonts w:hint="eastAsia" w:ascii="宋体" w:hAnsi="宋体" w:eastAsia="宋体"/>
          <w:color w:val="auto"/>
          <w:highlight w:val="none"/>
        </w:rPr>
        <w:t>附件</w:t>
      </w:r>
      <w:r>
        <w:rPr>
          <w:rFonts w:ascii="宋体" w:hAnsi="宋体" w:eastAsia="宋体"/>
          <w:color w:val="auto"/>
          <w:highlight w:val="none"/>
        </w:rPr>
        <w:t>一</w:t>
      </w:r>
      <w:r>
        <w:rPr>
          <w:rFonts w:hint="eastAsia" w:ascii="宋体" w:hAnsi="宋体" w:eastAsia="宋体"/>
          <w:color w:val="auto"/>
          <w:highlight w:val="none"/>
        </w:rPr>
        <w:t>：</w:t>
      </w:r>
      <w:bookmarkEnd w:id="118"/>
    </w:p>
    <w:p>
      <w:pPr>
        <w:rPr>
          <w:rFonts w:ascii="宋体" w:hAnsi="宋体"/>
          <w:color w:val="auto"/>
          <w:highlight w:val="none"/>
        </w:rPr>
      </w:pPr>
    </w:p>
    <w:p>
      <w:pPr>
        <w:spacing w:line="360" w:lineRule="auto"/>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具备履行合同所必需的设备和专业技术能力的说明及</w:t>
      </w:r>
      <w:r>
        <w:rPr>
          <w:rFonts w:hint="eastAsia" w:ascii="宋体" w:hAnsi="宋体"/>
          <w:b/>
          <w:color w:val="auto"/>
          <w:sz w:val="28"/>
          <w:szCs w:val="28"/>
          <w:highlight w:val="none"/>
          <w:lang w:eastAsia="zh-CN"/>
        </w:rPr>
        <w:t>声明</w:t>
      </w:r>
    </w:p>
    <w:p>
      <w:pPr>
        <w:spacing w:line="360" w:lineRule="auto"/>
        <w:rPr>
          <w:rFonts w:hint="eastAsia" w:ascii="宋体" w:hAnsi="宋体"/>
          <w:color w:val="auto"/>
          <w:spacing w:val="4"/>
          <w:sz w:val="32"/>
          <w:szCs w:val="32"/>
          <w:highlight w:val="none"/>
          <w:u w:val="single"/>
        </w:rPr>
      </w:pPr>
    </w:p>
    <w:p>
      <w:pPr>
        <w:spacing w:line="360" w:lineRule="auto"/>
        <w:rPr>
          <w:rFonts w:hint="eastAsia" w:ascii="宋体" w:hAnsi="宋体"/>
          <w:color w:val="auto"/>
          <w:spacing w:val="4"/>
          <w:sz w:val="24"/>
          <w:szCs w:val="24"/>
          <w:highlight w:val="none"/>
          <w:u w:val="single"/>
        </w:rPr>
      </w:pPr>
      <w:r>
        <w:rPr>
          <w:rFonts w:hint="eastAsia" w:ascii="宋体" w:hAnsi="宋体"/>
          <w:color w:val="auto"/>
          <w:spacing w:val="4"/>
          <w:sz w:val="24"/>
          <w:szCs w:val="24"/>
          <w:highlight w:val="none"/>
          <w:u w:val="single"/>
        </w:rPr>
        <w:t>致：     （采购人名称）    ：</w:t>
      </w:r>
    </w:p>
    <w:p>
      <w:pPr>
        <w:spacing w:before="240" w:beforeLines="100" w:after="120" w:afterLines="50" w:line="360" w:lineRule="auto"/>
        <w:ind w:firstLine="170"/>
        <w:rPr>
          <w:rFonts w:hint="eastAsia" w:ascii="宋体" w:hAnsi="宋体"/>
          <w:color w:val="auto"/>
          <w:spacing w:val="4"/>
          <w:sz w:val="24"/>
          <w:szCs w:val="24"/>
          <w:highlight w:val="none"/>
        </w:rPr>
      </w:pPr>
      <w:r>
        <w:rPr>
          <w:rFonts w:hint="eastAsia" w:ascii="宋体" w:hAnsi="宋体"/>
          <w:color w:val="auto"/>
          <w:spacing w:val="4"/>
          <w:sz w:val="24"/>
          <w:szCs w:val="24"/>
          <w:highlight w:val="none"/>
        </w:rPr>
        <w:t xml:space="preserve">   </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u w:val="single"/>
          <w:lang w:eastAsia="zh-CN"/>
        </w:rPr>
        <w:t>投标人</w:t>
      </w:r>
      <w:r>
        <w:rPr>
          <w:rFonts w:hint="eastAsia" w:ascii="宋体" w:hAnsi="宋体"/>
          <w:color w:val="auto"/>
          <w:spacing w:val="4"/>
          <w:sz w:val="24"/>
          <w:szCs w:val="24"/>
          <w:highlight w:val="none"/>
          <w:u w:val="single"/>
        </w:rPr>
        <w:t xml:space="preserve">名称）    </w:t>
      </w:r>
      <w:r>
        <w:rPr>
          <w:rFonts w:hint="eastAsia" w:ascii="宋体" w:hAnsi="宋体"/>
          <w:color w:val="auto"/>
          <w:spacing w:val="4"/>
          <w:sz w:val="24"/>
          <w:szCs w:val="24"/>
          <w:highlight w:val="none"/>
        </w:rPr>
        <w:t xml:space="preserve"> 于</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年</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月</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日在中华人民共和国境内</w:t>
      </w:r>
      <w:r>
        <w:rPr>
          <w:rFonts w:hint="eastAsia" w:ascii="宋体" w:hAnsi="宋体"/>
          <w:color w:val="auto"/>
          <w:spacing w:val="4"/>
          <w:sz w:val="24"/>
          <w:szCs w:val="24"/>
          <w:highlight w:val="none"/>
          <w:u w:val="single"/>
        </w:rPr>
        <w:t xml:space="preserve">               （详细注册地址）     </w:t>
      </w:r>
      <w:r>
        <w:rPr>
          <w:rFonts w:hint="eastAsia" w:ascii="宋体" w:hAnsi="宋体"/>
          <w:color w:val="auto"/>
          <w:spacing w:val="4"/>
          <w:sz w:val="24"/>
          <w:szCs w:val="24"/>
          <w:highlight w:val="none"/>
        </w:rPr>
        <w:t>合法注册并经营，公司主营业务为</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，营业（生产经营）面积为</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 xml:space="preserve"> ，现有员工数量为</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，其中与履行本合同相关的专业技术人员有（</w:t>
      </w:r>
      <w:r>
        <w:rPr>
          <w:rFonts w:hint="eastAsia" w:ascii="宋体" w:hAnsi="宋体"/>
          <w:color w:val="auto"/>
          <w:spacing w:val="4"/>
          <w:sz w:val="24"/>
          <w:szCs w:val="24"/>
          <w:highlight w:val="none"/>
          <w:u w:val="single"/>
        </w:rPr>
        <w:t xml:space="preserve">       专业能力、数量        </w:t>
      </w:r>
      <w:r>
        <w:rPr>
          <w:rFonts w:hint="eastAsia" w:ascii="宋体" w:hAnsi="宋体"/>
          <w:color w:val="auto"/>
          <w:spacing w:val="4"/>
          <w:sz w:val="24"/>
          <w:szCs w:val="24"/>
          <w:highlight w:val="none"/>
        </w:rPr>
        <w:t>），本公司郑重承诺，具有履行本合同所必需的设备和专业技术能力。</w:t>
      </w:r>
    </w:p>
    <w:p>
      <w:pPr>
        <w:spacing w:before="240" w:beforeLines="100" w:after="120" w:afterLines="50" w:line="360" w:lineRule="auto"/>
        <w:ind w:firstLine="170"/>
        <w:rPr>
          <w:rFonts w:hint="eastAsia" w:ascii="宋体" w:hAnsi="宋体"/>
          <w:color w:val="auto"/>
          <w:spacing w:val="4"/>
          <w:sz w:val="24"/>
          <w:szCs w:val="24"/>
          <w:highlight w:val="none"/>
        </w:rPr>
      </w:pPr>
    </w:p>
    <w:p>
      <w:pPr>
        <w:spacing w:before="240" w:beforeLines="100" w:after="120" w:afterLines="50" w:line="360" w:lineRule="auto"/>
        <w:ind w:firstLine="170"/>
        <w:rPr>
          <w:rFonts w:hint="eastAsia" w:ascii="宋体" w:hAnsi="宋体"/>
          <w:color w:val="auto"/>
          <w:spacing w:val="4"/>
          <w:sz w:val="28"/>
          <w:szCs w:val="28"/>
          <w:highlight w:val="none"/>
        </w:rPr>
      </w:pPr>
    </w:p>
    <w:p>
      <w:pPr>
        <w:spacing w:before="240" w:beforeLines="100" w:after="120" w:afterLines="50" w:line="360" w:lineRule="auto"/>
        <w:ind w:firstLine="170"/>
        <w:rPr>
          <w:rFonts w:hint="eastAsia" w:ascii="宋体" w:hAnsi="宋体"/>
          <w:color w:val="auto"/>
          <w:spacing w:val="4"/>
          <w:sz w:val="28"/>
          <w:szCs w:val="28"/>
          <w:highlight w:val="none"/>
        </w:rPr>
      </w:pPr>
    </w:p>
    <w:p>
      <w:pPr>
        <w:spacing w:line="480" w:lineRule="auto"/>
        <w:ind w:firstLine="1920" w:firstLineChars="800"/>
        <w:rPr>
          <w:rFonts w:hint="eastAsia" w:ascii="宋体" w:hAnsi="宋体"/>
          <w:color w:val="auto"/>
          <w:sz w:val="24"/>
          <w:szCs w:val="24"/>
          <w:highlight w:val="none"/>
        </w:rPr>
      </w:pP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（公章）：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spacing w:line="480" w:lineRule="auto"/>
        <w:ind w:firstLine="1920" w:firstLineChars="800"/>
        <w:rPr>
          <w:rFonts w:hint="eastAsia" w:ascii="宋体" w:hAnsi="宋体"/>
          <w:color w:val="auto"/>
          <w:sz w:val="24"/>
          <w:szCs w:val="24"/>
          <w:highlight w:val="none"/>
          <w:u w:val="singl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r>
        <w:rPr>
          <w:rFonts w:hint="eastAsia" w:ascii="宋体" w:hAnsi="宋体"/>
          <w:color w:val="auto"/>
          <w:sz w:val="24"/>
          <w:highlight w:val="none"/>
          <w:lang w:val="en-US" w:eastAsia="zh-CN"/>
        </w:rPr>
        <w:t>/盖章</w:t>
      </w:r>
      <w:r>
        <w:rPr>
          <w:rFonts w:hint="eastAsia" w:ascii="宋体" w:hAnsi="宋体"/>
          <w:color w:val="auto"/>
          <w:sz w:val="24"/>
          <w:highlight w:val="none"/>
        </w:rPr>
        <w:t>）</w:t>
      </w:r>
    </w:p>
    <w:p>
      <w:pPr>
        <w:spacing w:line="480" w:lineRule="auto"/>
        <w:ind w:firstLine="1920" w:firstLineChars="800"/>
        <w:rPr>
          <w:rFonts w:hint="eastAsia" w:ascii="宋体" w:hAnsi="宋体"/>
          <w:color w:val="auto"/>
          <w:sz w:val="24"/>
          <w:szCs w:val="24"/>
          <w:highlight w:val="none"/>
          <w:u w:val="singl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outlineLvl w:val="9"/>
        <w:rPr>
          <w:rFonts w:hint="eastAsia" w:ascii="宋体" w:hAnsi="宋体" w:eastAsia="宋体"/>
          <w:b/>
          <w:color w:val="auto"/>
          <w:sz w:val="44"/>
          <w:szCs w:val="44"/>
          <w:highlight w:val="none"/>
        </w:rPr>
      </w:pPr>
      <w:r>
        <w:rPr>
          <w:rFonts w:ascii="宋体" w:hAnsi="宋体" w:eastAsia="宋体"/>
          <w:b/>
          <w:color w:val="auto"/>
          <w:sz w:val="44"/>
          <w:szCs w:val="44"/>
          <w:highlight w:val="none"/>
        </w:rPr>
        <w:br w:type="page"/>
      </w:r>
      <w:bookmarkStart w:id="119" w:name="_Toc2331448"/>
      <w:r>
        <w:rPr>
          <w:rFonts w:hint="eastAsia" w:ascii="宋体" w:hAnsi="宋体" w:eastAsia="宋体"/>
          <w:color w:val="auto"/>
          <w:highlight w:val="none"/>
        </w:rPr>
        <w:t>附件二：</w:t>
      </w:r>
      <w:bookmarkEnd w:id="119"/>
    </w:p>
    <w:p>
      <w:pPr>
        <w:autoSpaceDE w:val="0"/>
        <w:autoSpaceDN w:val="0"/>
        <w:adjustRightInd w:val="0"/>
        <w:spacing w:line="360" w:lineRule="auto"/>
        <w:jc w:val="center"/>
        <w:rPr>
          <w:rFonts w:hint="eastAsia" w:ascii="宋体" w:hAnsi="宋体"/>
          <w:b/>
          <w:color w:val="auto"/>
          <w:sz w:val="32"/>
          <w:szCs w:val="32"/>
          <w:highlight w:val="none"/>
        </w:rPr>
      </w:pPr>
    </w:p>
    <w:p>
      <w:pPr>
        <w:autoSpaceDE w:val="0"/>
        <w:autoSpaceDN w:val="0"/>
        <w:adjustRightInd w:val="0"/>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参加本次投标前3年内，在经营活动中没有重大违法记录的书面声明</w:t>
      </w:r>
    </w:p>
    <w:p>
      <w:pPr>
        <w:autoSpaceDE w:val="0"/>
        <w:autoSpaceDN w:val="0"/>
        <w:adjustRightInd w:val="0"/>
        <w:spacing w:line="360" w:lineRule="auto"/>
        <w:jc w:val="center"/>
        <w:rPr>
          <w:rFonts w:hint="eastAsia" w:ascii="宋体" w:hAnsi="宋体"/>
          <w:b/>
          <w:color w:val="auto"/>
          <w:sz w:val="32"/>
          <w:szCs w:val="32"/>
          <w:highlight w:val="none"/>
        </w:rPr>
      </w:pPr>
    </w:p>
    <w:p>
      <w:pPr>
        <w:autoSpaceDE w:val="0"/>
        <w:autoSpaceDN w:val="0"/>
        <w:adjustRightInd w:val="0"/>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（采购人名称）</w:t>
      </w:r>
      <w:r>
        <w:rPr>
          <w:rFonts w:ascii="宋体" w:hAnsi="宋体"/>
          <w:color w:val="auto"/>
          <w:sz w:val="24"/>
          <w:szCs w:val="24"/>
          <w:highlight w:val="none"/>
        </w:rPr>
        <w:t>：</w:t>
      </w:r>
      <w:r>
        <w:rPr>
          <w:rFonts w:ascii="宋体" w:hAnsi="宋体"/>
          <w:color w:val="auto"/>
          <w:sz w:val="24"/>
          <w:szCs w:val="24"/>
          <w:highlight w:val="none"/>
        </w:rPr>
        <w:br w:type="textWrapping"/>
      </w:r>
      <w:r>
        <w:rPr>
          <w:rFonts w:hint="eastAsia" w:ascii="宋体" w:hAnsi="宋体"/>
          <w:color w:val="auto"/>
          <w:sz w:val="24"/>
          <w:szCs w:val="24"/>
          <w:highlight w:val="none"/>
        </w:rPr>
        <w:t xml:space="preserve">    我方</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名称）郑重声明在参加本次政府采购活动前3年内的经营活动没有重大违法记录。如有不实，我方将无条件地退出本项目的采购活动，并遵照《政府采购法》有关"提供虚假材料的规定"接受处罚。</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特此声明。</w:t>
      </w:r>
    </w:p>
    <w:p>
      <w:pPr>
        <w:autoSpaceDE w:val="0"/>
        <w:autoSpaceDN w:val="0"/>
        <w:adjustRightInd w:val="0"/>
        <w:spacing w:line="360" w:lineRule="auto"/>
        <w:ind w:firstLine="480" w:firstLineChars="200"/>
        <w:rPr>
          <w:rFonts w:hint="eastAsia" w:ascii="宋体" w:hAnsi="宋体"/>
          <w:color w:val="auto"/>
          <w:sz w:val="24"/>
          <w:szCs w:val="24"/>
          <w:highlight w:val="none"/>
        </w:rPr>
      </w:pPr>
    </w:p>
    <w:p>
      <w:pPr>
        <w:autoSpaceDE w:val="0"/>
        <w:autoSpaceDN w:val="0"/>
        <w:adjustRightInd w:val="0"/>
        <w:spacing w:line="360" w:lineRule="auto"/>
        <w:rPr>
          <w:rFonts w:hint="eastAsia" w:ascii="宋体" w:hAnsi="宋体"/>
          <w:color w:val="auto"/>
          <w:sz w:val="24"/>
          <w:szCs w:val="24"/>
          <w:highlight w:val="none"/>
        </w:rPr>
      </w:pPr>
    </w:p>
    <w:p>
      <w:pPr>
        <w:spacing w:line="480" w:lineRule="auto"/>
        <w:ind w:firstLine="1920" w:firstLineChars="800"/>
        <w:rPr>
          <w:rFonts w:hint="eastAsia" w:ascii="宋体" w:hAnsi="宋体"/>
          <w:color w:val="auto"/>
          <w:sz w:val="24"/>
          <w:szCs w:val="24"/>
          <w:highlight w:val="none"/>
        </w:rPr>
      </w:pP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（公章）：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autoSpaceDE w:val="0"/>
        <w:autoSpaceDN w:val="0"/>
        <w:adjustRightInd w:val="0"/>
        <w:spacing w:line="480" w:lineRule="auto"/>
        <w:ind w:firstLine="1920" w:firstLineChars="800"/>
        <w:rPr>
          <w:rFonts w:hint="eastAsia"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r>
        <w:rPr>
          <w:rFonts w:hint="eastAsia" w:ascii="宋体" w:hAnsi="宋体"/>
          <w:color w:val="auto"/>
          <w:sz w:val="24"/>
          <w:highlight w:val="none"/>
          <w:lang w:val="en-US" w:eastAsia="zh-CN"/>
        </w:rPr>
        <w:t>/盖章</w:t>
      </w:r>
      <w:r>
        <w:rPr>
          <w:rFonts w:hint="eastAsia" w:ascii="宋体" w:hAnsi="宋体"/>
          <w:color w:val="auto"/>
          <w:sz w:val="24"/>
          <w:highlight w:val="none"/>
        </w:rPr>
        <w:t>）</w:t>
      </w:r>
    </w:p>
    <w:p>
      <w:pPr>
        <w:autoSpaceDE w:val="0"/>
        <w:autoSpaceDN w:val="0"/>
        <w:adjustRightInd w:val="0"/>
        <w:spacing w:line="480" w:lineRule="auto"/>
        <w:ind w:firstLine="1920" w:firstLineChars="800"/>
        <w:rPr>
          <w:rFonts w:hint="eastAsia" w:ascii="宋体" w:hAnsi="宋体"/>
          <w:color w:val="auto"/>
          <w:sz w:val="24"/>
          <w:szCs w:val="24"/>
          <w:highlight w:val="none"/>
          <w:u w:val="singl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spacing w:line="360" w:lineRule="auto"/>
        <w:ind w:firstLine="1680" w:firstLineChars="800"/>
        <w:rPr>
          <w:rFonts w:ascii="宋体" w:hAnsi="宋体"/>
          <w:color w:val="auto"/>
          <w:highlight w:val="none"/>
        </w:rPr>
      </w:pPr>
    </w:p>
    <w:p>
      <w:pPr>
        <w:spacing w:line="440" w:lineRule="exact"/>
        <w:ind w:firstLine="420" w:firstLineChars="200"/>
        <w:rPr>
          <w:rFonts w:ascii="宋体" w:hAnsi="宋体"/>
          <w:color w:val="auto"/>
          <w:sz w:val="24"/>
          <w:highlight w:val="none"/>
        </w:rPr>
      </w:pPr>
      <w:r>
        <w:rPr>
          <w:rFonts w:ascii="宋体" w:hAnsi="宋体" w:eastAsia="宋体"/>
          <w:color w:val="auto"/>
          <w:highlight w:val="none"/>
        </w:rPr>
        <w:br w:type="page"/>
      </w:r>
    </w:p>
    <w:p>
      <w:pPr>
        <w:spacing w:beforeLines="50" w:afterLines="100" w:line="440" w:lineRule="exact"/>
        <w:jc w:val="center"/>
        <w:rPr>
          <w:rFonts w:ascii="宋体" w:hAnsi="宋体"/>
          <w:color w:val="auto"/>
          <w:sz w:val="24"/>
          <w:highlight w:val="none"/>
        </w:rPr>
        <w:sectPr>
          <w:pgSz w:w="11906" w:h="16838"/>
          <w:pgMar w:top="1304" w:right="1304" w:bottom="1304" w:left="1304" w:header="964" w:footer="1020" w:gutter="0"/>
          <w:pgNumType w:fmt="decimal"/>
          <w:cols w:space="720" w:num="1"/>
          <w:docGrid w:linePitch="312" w:charSpace="0"/>
        </w:sectPr>
      </w:pPr>
    </w:p>
    <w:p>
      <w:pPr>
        <w:pStyle w:val="7"/>
        <w:spacing w:beforeLines="50" w:afterLines="50"/>
        <w:ind w:firstLine="0"/>
        <w:jc w:val="center"/>
        <w:rPr>
          <w:b/>
          <w:color w:val="auto"/>
          <w:sz w:val="44"/>
          <w:szCs w:val="44"/>
          <w:highlight w:val="none"/>
        </w:rPr>
      </w:pPr>
      <w:r>
        <w:rPr>
          <w:rFonts w:hint="eastAsia"/>
          <w:b/>
          <w:color w:val="auto"/>
          <w:sz w:val="44"/>
          <w:szCs w:val="44"/>
          <w:highlight w:val="none"/>
        </w:rPr>
        <w:t>六、技术文件</w:t>
      </w:r>
    </w:p>
    <w:p>
      <w:pPr>
        <w:spacing w:line="360" w:lineRule="auto"/>
        <w:ind w:firstLine="480" w:firstLineChars="200"/>
        <w:rPr>
          <w:rFonts w:ascii="宋体" w:hAnsi="宋体"/>
          <w:bCs/>
          <w:color w:val="auto"/>
          <w:sz w:val="24"/>
          <w:highlight w:val="none"/>
        </w:rPr>
      </w:pPr>
    </w:p>
    <w:p>
      <w:pPr>
        <w:spacing w:line="360" w:lineRule="auto"/>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说明：</w:t>
      </w:r>
    </w:p>
    <w:p>
      <w:pPr>
        <w:spacing w:line="360" w:lineRule="auto"/>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格式自定。应当包括（但不限于）采购要求及评审办法中的事项。</w:t>
      </w:r>
    </w:p>
    <w:p>
      <w:pPr>
        <w:spacing w:line="360" w:lineRule="auto"/>
        <w:ind w:firstLine="480" w:firstLineChars="200"/>
        <w:rPr>
          <w:color w:val="auto"/>
          <w:sz w:val="24"/>
          <w:highlight w:val="none"/>
        </w:rPr>
      </w:pPr>
    </w:p>
    <w:p>
      <w:pPr>
        <w:adjustRightInd w:val="0"/>
        <w:spacing w:line="400" w:lineRule="exact"/>
        <w:jc w:val="left"/>
        <w:rPr>
          <w:b/>
          <w:color w:val="auto"/>
          <w:sz w:val="36"/>
          <w:szCs w:val="36"/>
          <w:highlight w:val="none"/>
        </w:rPr>
      </w:pPr>
    </w:p>
    <w:p>
      <w:pPr>
        <w:adjustRightInd w:val="0"/>
        <w:spacing w:line="400" w:lineRule="exact"/>
        <w:jc w:val="left"/>
        <w:rPr>
          <w:rFonts w:ascii="宋体" w:hAnsi="宋体"/>
          <w:b/>
          <w:bCs/>
          <w:color w:val="auto"/>
          <w:sz w:val="36"/>
          <w:szCs w:val="36"/>
          <w:highlight w:val="none"/>
        </w:rPr>
      </w:pPr>
      <w:r>
        <w:rPr>
          <w:rFonts w:hint="eastAsia"/>
          <w:b/>
          <w:color w:val="auto"/>
          <w:sz w:val="36"/>
          <w:szCs w:val="36"/>
          <w:highlight w:val="none"/>
        </w:rPr>
        <w:br w:type="page"/>
      </w:r>
    </w:p>
    <w:p>
      <w:pPr>
        <w:pStyle w:val="7"/>
        <w:spacing w:beforeLines="50" w:afterLines="50"/>
        <w:ind w:firstLine="0"/>
        <w:jc w:val="center"/>
        <w:rPr>
          <w:b/>
          <w:color w:val="auto"/>
          <w:sz w:val="44"/>
          <w:szCs w:val="44"/>
          <w:highlight w:val="none"/>
        </w:rPr>
      </w:pPr>
      <w:r>
        <w:rPr>
          <w:rFonts w:hint="eastAsia"/>
          <w:b/>
          <w:color w:val="auto"/>
          <w:sz w:val="44"/>
          <w:szCs w:val="44"/>
          <w:highlight w:val="none"/>
        </w:rPr>
        <w:t>七、其他证明材料</w:t>
      </w:r>
    </w:p>
    <w:p>
      <w:p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说明：</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1.提供投标人享受政府采购优惠政策的证明材料；</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2.提供投标人近3年完成的类似业绩证明材料；</w:t>
      </w:r>
    </w:p>
    <w:p>
      <w:pPr>
        <w:spacing w:line="360" w:lineRule="auto"/>
        <w:ind w:firstLine="420" w:firstLineChars="200"/>
        <w:rPr>
          <w:rFonts w:ascii="仿宋" w:hAnsi="仿宋" w:eastAsia="仿宋" w:cs="仿宋"/>
          <w:color w:val="auto"/>
          <w:szCs w:val="21"/>
          <w:highlight w:val="none"/>
          <w:lang w:val="zh-CN"/>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val="zh-CN"/>
        </w:rPr>
        <w:t>具备履行合同所必需的设备和专业技术能力的证明</w:t>
      </w:r>
    </w:p>
    <w:p>
      <w:pPr>
        <w:spacing w:line="360" w:lineRule="auto"/>
        <w:ind w:firstLine="420" w:firstLineChars="200"/>
        <w:rPr>
          <w:rFonts w:ascii="仿宋" w:hAnsi="仿宋" w:eastAsia="仿宋" w:cs="仿宋"/>
          <w:b/>
          <w:bCs/>
          <w:color w:val="auto"/>
          <w:szCs w:val="21"/>
          <w:highlight w:val="none"/>
        </w:rPr>
      </w:pPr>
      <w:r>
        <w:rPr>
          <w:rFonts w:hint="eastAsia" w:ascii="仿宋" w:hAnsi="仿宋" w:eastAsia="仿宋" w:cs="仿宋"/>
          <w:color w:val="auto"/>
          <w:szCs w:val="21"/>
          <w:highlight w:val="none"/>
        </w:rPr>
        <w:t>4.</w:t>
      </w:r>
      <w:r>
        <w:rPr>
          <w:rFonts w:hint="eastAsia" w:ascii="仿宋" w:hAnsi="仿宋" w:eastAsia="仿宋" w:cs="仿宋"/>
          <w:bCs/>
          <w:color w:val="auto"/>
          <w:spacing w:val="6"/>
          <w:kern w:val="0"/>
          <w:szCs w:val="21"/>
          <w:highlight w:val="none"/>
        </w:rPr>
        <w:t>其他条件证明材料，非投标人必备证明材料，仅作为评审的因素。</w:t>
      </w: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tabs>
          <w:tab w:val="left" w:pos="3600"/>
        </w:tabs>
        <w:adjustRightInd w:val="0"/>
        <w:snapToGrid w:val="0"/>
        <w:jc w:val="center"/>
        <w:rPr>
          <w:color w:val="auto"/>
          <w:kern w:val="0"/>
          <w:sz w:val="36"/>
          <w:szCs w:val="36"/>
          <w:highlight w:val="none"/>
        </w:rPr>
      </w:pPr>
    </w:p>
    <w:p>
      <w:pPr>
        <w:tabs>
          <w:tab w:val="left" w:pos="3600"/>
        </w:tabs>
        <w:adjustRightInd w:val="0"/>
        <w:snapToGrid w:val="0"/>
        <w:jc w:val="center"/>
        <w:rPr>
          <w:color w:val="auto"/>
          <w:kern w:val="0"/>
          <w:sz w:val="36"/>
          <w:szCs w:val="36"/>
          <w:highlight w:val="none"/>
        </w:rPr>
        <w:sectPr>
          <w:headerReference r:id="rId15" w:type="default"/>
          <w:pgSz w:w="11907" w:h="16840"/>
          <w:pgMar w:top="1440" w:right="1474" w:bottom="1440" w:left="1474" w:header="851" w:footer="992" w:gutter="0"/>
          <w:pgNumType w:fmt="decimal"/>
          <w:cols w:space="720" w:num="1"/>
          <w:docGrid w:linePitch="312" w:charSpace="0"/>
        </w:sectPr>
      </w:pPr>
    </w:p>
    <w:p>
      <w:pPr>
        <w:tabs>
          <w:tab w:val="left" w:pos="3600"/>
        </w:tabs>
        <w:adjustRightInd w:val="0"/>
        <w:snapToGrid w:val="0"/>
        <w:jc w:val="center"/>
        <w:rPr>
          <w:color w:val="auto"/>
          <w:sz w:val="32"/>
          <w:szCs w:val="32"/>
          <w:highlight w:val="none"/>
        </w:rPr>
      </w:pPr>
      <w:r>
        <w:rPr>
          <w:rFonts w:hint="eastAsia"/>
          <w:color w:val="auto"/>
          <w:kern w:val="0"/>
          <w:sz w:val="32"/>
          <w:szCs w:val="32"/>
          <w:highlight w:val="none"/>
        </w:rPr>
        <w:t>1</w:t>
      </w:r>
      <w:r>
        <w:rPr>
          <w:rFonts w:hint="eastAsia" w:ascii="宋体" w:hAnsi="宋体"/>
          <w:color w:val="auto"/>
          <w:kern w:val="0"/>
          <w:sz w:val="32"/>
          <w:szCs w:val="32"/>
          <w:highlight w:val="none"/>
        </w:rPr>
        <w:t>.</w:t>
      </w:r>
      <w:r>
        <w:rPr>
          <w:rFonts w:hint="eastAsia" w:ascii="黑体" w:hAnsi="宋体" w:eastAsia="黑体"/>
          <w:b/>
          <w:color w:val="auto"/>
          <w:sz w:val="32"/>
          <w:szCs w:val="32"/>
          <w:highlight w:val="none"/>
        </w:rPr>
        <w:t>提供投标人享受政府采购优惠政策的证明材料</w:t>
      </w:r>
    </w:p>
    <w:p>
      <w:pPr>
        <w:adjustRightInd w:val="0"/>
        <w:snapToGrid w:val="0"/>
        <w:spacing w:line="360" w:lineRule="auto"/>
        <w:rPr>
          <w:rFonts w:ascii="仿宋_GB2312" w:hAnsi="宋体" w:eastAsia="仿宋_GB2312"/>
          <w:bCs/>
          <w:color w:val="auto"/>
          <w:szCs w:val="21"/>
          <w:highlight w:val="none"/>
        </w:rPr>
      </w:pP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说明：</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（1）中小企业声明函格式见附件1；</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（2）残疾人福利性单位声明函格式见附件2；</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（3）监狱企业证明文件见附件3；</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（4）“节能产品”、“环境标志产品”证明材料格式见附件4。</w:t>
      </w:r>
    </w:p>
    <w:p>
      <w:pPr>
        <w:pStyle w:val="16"/>
        <w:adjustRightInd w:val="0"/>
        <w:snapToGrid w:val="0"/>
        <w:spacing w:beforeLines="50" w:line="360" w:lineRule="auto"/>
        <w:rPr>
          <w:rFonts w:hAnsi="宋体"/>
          <w:color w:val="auto"/>
          <w:sz w:val="24"/>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16"/>
        <w:adjustRightInd w:val="0"/>
        <w:snapToGrid w:val="0"/>
        <w:spacing w:beforeLines="50" w:line="360" w:lineRule="auto"/>
        <w:ind w:firstLine="735" w:firstLineChars="350"/>
        <w:rPr>
          <w:rFonts w:ascii="仿宋_GB2312" w:hAnsi="宋体" w:eastAsia="仿宋_GB2312"/>
          <w:color w:val="auto"/>
          <w:highlight w:val="none"/>
        </w:rPr>
      </w:pPr>
    </w:p>
    <w:p>
      <w:pPr>
        <w:pStyle w:val="60"/>
        <w:spacing w:line="400" w:lineRule="exact"/>
        <w:rPr>
          <w:rFonts w:ascii="宋体" w:hAnsi="宋体"/>
          <w:b/>
          <w:color w:val="auto"/>
          <w:sz w:val="28"/>
          <w:szCs w:val="28"/>
          <w:highlight w:val="none"/>
        </w:rPr>
      </w:pPr>
    </w:p>
    <w:p>
      <w:pPr>
        <w:pStyle w:val="60"/>
        <w:spacing w:line="400" w:lineRule="exact"/>
        <w:rPr>
          <w:rFonts w:ascii="黑体" w:hAnsi="宋体" w:eastAsia="黑体"/>
          <w:color w:val="auto"/>
          <w:sz w:val="28"/>
          <w:szCs w:val="28"/>
          <w:highlight w:val="none"/>
        </w:rPr>
        <w:sectPr>
          <w:pgSz w:w="11907" w:h="16840"/>
          <w:pgMar w:top="1440" w:right="1474" w:bottom="1440" w:left="1474" w:header="851" w:footer="992" w:gutter="0"/>
          <w:pgNumType w:fmt="decimal"/>
          <w:cols w:space="720" w:num="1"/>
          <w:docGrid w:linePitch="312" w:charSpace="0"/>
        </w:sectPr>
      </w:pPr>
    </w:p>
    <w:p>
      <w:pPr>
        <w:pStyle w:val="60"/>
        <w:spacing w:line="40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附件1：</w:t>
      </w:r>
    </w:p>
    <w:p>
      <w:pPr>
        <w:spacing w:before="38"/>
        <w:ind w:left="1744" w:firstLine="723" w:firstLineChars="200"/>
        <w:jc w:val="left"/>
        <w:rPr>
          <w:rFonts w:ascii="宋体"/>
          <w:b/>
          <w:color w:val="auto"/>
          <w:sz w:val="36"/>
          <w:highlight w:val="none"/>
        </w:rPr>
      </w:pPr>
      <w:r>
        <w:rPr>
          <w:rFonts w:hint="eastAsia" w:ascii="宋体"/>
          <w:b/>
          <w:color w:val="auto"/>
          <w:sz w:val="36"/>
          <w:highlight w:val="none"/>
        </w:rPr>
        <w:t>中小企业声明函（服务）</w:t>
      </w:r>
    </w:p>
    <w:p>
      <w:pPr>
        <w:pStyle w:val="14"/>
        <w:spacing w:before="5"/>
        <w:rPr>
          <w:rFonts w:ascii="宋体"/>
          <w:b/>
          <w:color w:val="auto"/>
          <w:sz w:val="48"/>
          <w:highlight w:val="none"/>
        </w:rPr>
      </w:pPr>
    </w:p>
    <w:p>
      <w:pPr>
        <w:pStyle w:val="14"/>
        <w:spacing w:line="302" w:lineRule="auto"/>
        <w:ind w:right="295" w:firstLine="640"/>
        <w:rPr>
          <w:rFonts w:ascii="宋体" w:hAnsi="宋体" w:cs="宋体"/>
          <w:color w:val="auto"/>
          <w:sz w:val="22"/>
          <w:szCs w:val="22"/>
          <w:highlight w:val="none"/>
        </w:rPr>
      </w:pPr>
      <w:r>
        <w:rPr>
          <w:rFonts w:hint="eastAsia" w:ascii="宋体" w:hAnsi="宋体" w:cs="宋体"/>
          <w:color w:val="auto"/>
          <w:sz w:val="22"/>
          <w:szCs w:val="22"/>
          <w:highlight w:val="none"/>
        </w:rPr>
        <w:t>本公司郑重声明，根据《政府采购促进中小企业发展管理办法》（财库﹝2020﹞46 号）的规定，本公司参加</w:t>
      </w:r>
      <w:r>
        <w:rPr>
          <w:rFonts w:hint="eastAsia" w:ascii="宋体" w:hAnsi="宋体" w:cs="宋体"/>
          <w:color w:val="auto"/>
          <w:sz w:val="22"/>
          <w:szCs w:val="22"/>
          <w:highlight w:val="none"/>
          <w:u w:val="single"/>
        </w:rPr>
        <w:t>（单位名称）</w:t>
      </w:r>
      <w:r>
        <w:rPr>
          <w:rFonts w:hint="eastAsia" w:ascii="宋体" w:hAnsi="宋体" w:cs="宋体"/>
          <w:color w:val="auto"/>
          <w:sz w:val="22"/>
          <w:szCs w:val="22"/>
          <w:highlight w:val="none"/>
        </w:rPr>
        <w:t>的</w:t>
      </w:r>
      <w:r>
        <w:rPr>
          <w:rFonts w:hint="eastAsia" w:ascii="宋体" w:hAnsi="宋体" w:cs="宋体"/>
          <w:color w:val="auto"/>
          <w:sz w:val="22"/>
          <w:szCs w:val="22"/>
          <w:highlight w:val="none"/>
          <w:u w:val="single"/>
        </w:rPr>
        <w:t>（项目名称）</w:t>
      </w:r>
      <w:r>
        <w:rPr>
          <w:rFonts w:hint="eastAsia" w:ascii="宋体" w:hAnsi="宋体" w:cs="宋体"/>
          <w:color w:val="auto"/>
          <w:sz w:val="22"/>
          <w:szCs w:val="22"/>
          <w:highlight w:val="none"/>
        </w:rPr>
        <w:t>采购活动，服务全部由符合政策要求的中小企业承接。相关企业的具体情况如下：</w:t>
      </w:r>
    </w:p>
    <w:p>
      <w:pPr>
        <w:pStyle w:val="55"/>
        <w:tabs>
          <w:tab w:val="left" w:pos="1143"/>
        </w:tabs>
        <w:spacing w:line="402" w:lineRule="exact"/>
        <w:ind w:firstLine="440"/>
        <w:jc w:val="left"/>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u w:val="single"/>
        </w:rPr>
        <w:t>（标的名称）</w:t>
      </w:r>
      <w:r>
        <w:rPr>
          <w:rFonts w:hint="eastAsia" w:ascii="宋体" w:hAnsi="宋体" w:cs="宋体"/>
          <w:color w:val="auto"/>
          <w:sz w:val="22"/>
          <w:szCs w:val="22"/>
          <w:highlight w:val="none"/>
        </w:rPr>
        <w:t>，属于（</w:t>
      </w:r>
      <w:r>
        <w:rPr>
          <w:rFonts w:hint="eastAsia" w:ascii="宋体" w:hAnsi="宋体" w:cs="宋体"/>
          <w:color w:val="auto"/>
          <w:sz w:val="22"/>
          <w:szCs w:val="22"/>
          <w:highlight w:val="none"/>
          <w:u w:val="single"/>
        </w:rPr>
        <w:t>采购文件中明确的所属行业）</w:t>
      </w:r>
      <w:r>
        <w:rPr>
          <w:rFonts w:hint="eastAsia" w:ascii="宋体" w:hAnsi="宋体" w:cs="宋体"/>
          <w:color w:val="auto"/>
          <w:sz w:val="22"/>
          <w:szCs w:val="22"/>
          <w:highlight w:val="none"/>
        </w:rPr>
        <w:t>；承接企业为</w:t>
      </w:r>
      <w:r>
        <w:rPr>
          <w:rFonts w:hint="eastAsia" w:ascii="宋体" w:hAnsi="宋体" w:cs="宋体"/>
          <w:color w:val="auto"/>
          <w:sz w:val="22"/>
          <w:szCs w:val="22"/>
          <w:highlight w:val="none"/>
          <w:u w:val="single"/>
        </w:rPr>
        <w:t>（企业名称）</w:t>
      </w:r>
      <w:r>
        <w:rPr>
          <w:rFonts w:hint="eastAsia" w:ascii="宋体" w:hAnsi="宋体" w:cs="宋体"/>
          <w:color w:val="auto"/>
          <w:sz w:val="22"/>
          <w:szCs w:val="22"/>
          <w:highlight w:val="none"/>
        </w:rPr>
        <w:t>，从业人员</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rPr>
        <w:tab/>
      </w:r>
      <w:r>
        <w:rPr>
          <w:rFonts w:hint="eastAsia" w:ascii="宋体" w:hAnsi="宋体" w:cs="宋体"/>
          <w:color w:val="auto"/>
          <w:sz w:val="22"/>
          <w:szCs w:val="22"/>
          <w:highlight w:val="none"/>
        </w:rPr>
        <w:t>人，营业收入为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rPr>
        <w:tab/>
      </w:r>
      <w:r>
        <w:rPr>
          <w:rFonts w:hint="eastAsia" w:ascii="宋体" w:hAnsi="宋体" w:cs="宋体"/>
          <w:color w:val="auto"/>
          <w:sz w:val="22"/>
          <w:szCs w:val="22"/>
          <w:highlight w:val="none"/>
        </w:rPr>
        <w:t>万元，资产总额为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rPr>
        <w:tab/>
      </w:r>
      <w:r>
        <w:rPr>
          <w:rFonts w:hint="eastAsia" w:ascii="宋体" w:hAnsi="宋体" w:cs="宋体"/>
          <w:color w:val="auto"/>
          <w:sz w:val="22"/>
          <w:szCs w:val="22"/>
          <w:highlight w:val="none"/>
        </w:rPr>
        <w:t>万元，属于</w:t>
      </w:r>
      <w:r>
        <w:rPr>
          <w:rFonts w:hint="eastAsia" w:ascii="宋体" w:hAnsi="宋体" w:cs="宋体"/>
          <w:color w:val="auto"/>
          <w:sz w:val="22"/>
          <w:szCs w:val="22"/>
          <w:highlight w:val="none"/>
          <w:u w:val="single"/>
        </w:rPr>
        <w:t>（中型企业、小型企业、微型企业）</w:t>
      </w:r>
      <w:r>
        <w:rPr>
          <w:rFonts w:hint="eastAsia" w:ascii="宋体" w:hAnsi="宋体" w:cs="宋体"/>
          <w:color w:val="auto"/>
          <w:sz w:val="22"/>
          <w:szCs w:val="22"/>
          <w:highlight w:val="none"/>
        </w:rPr>
        <w:t>；</w:t>
      </w:r>
    </w:p>
    <w:p>
      <w:pPr>
        <w:pStyle w:val="55"/>
        <w:tabs>
          <w:tab w:val="left" w:pos="1143"/>
        </w:tabs>
        <w:spacing w:line="402" w:lineRule="exact"/>
        <w:ind w:firstLine="440"/>
        <w:jc w:val="left"/>
        <w:rPr>
          <w:rFonts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color w:val="auto"/>
          <w:sz w:val="22"/>
          <w:szCs w:val="22"/>
          <w:highlight w:val="none"/>
          <w:u w:val="single"/>
        </w:rPr>
        <w:t>（标的名称）</w:t>
      </w:r>
      <w:r>
        <w:rPr>
          <w:rFonts w:hint="eastAsia" w:ascii="宋体" w:hAnsi="宋体" w:cs="宋体"/>
          <w:color w:val="auto"/>
          <w:sz w:val="22"/>
          <w:szCs w:val="22"/>
          <w:highlight w:val="none"/>
        </w:rPr>
        <w:t>，属于（</w:t>
      </w:r>
      <w:r>
        <w:rPr>
          <w:rFonts w:hint="eastAsia" w:ascii="宋体" w:hAnsi="宋体" w:cs="宋体"/>
          <w:color w:val="auto"/>
          <w:sz w:val="22"/>
          <w:szCs w:val="22"/>
          <w:highlight w:val="none"/>
          <w:u w:val="single"/>
        </w:rPr>
        <w:t>采购文件中明确的所属行业）</w:t>
      </w:r>
      <w:r>
        <w:rPr>
          <w:rFonts w:hint="eastAsia" w:ascii="宋体" w:hAnsi="宋体" w:cs="宋体"/>
          <w:color w:val="auto"/>
          <w:sz w:val="22"/>
          <w:szCs w:val="22"/>
          <w:highlight w:val="none"/>
        </w:rPr>
        <w:t>；承接企业为</w:t>
      </w:r>
      <w:r>
        <w:rPr>
          <w:rFonts w:hint="eastAsia" w:ascii="宋体" w:hAnsi="宋体" w:cs="宋体"/>
          <w:color w:val="auto"/>
          <w:sz w:val="22"/>
          <w:szCs w:val="22"/>
          <w:highlight w:val="none"/>
          <w:u w:val="single"/>
        </w:rPr>
        <w:t>（企业名称）</w:t>
      </w:r>
      <w:r>
        <w:rPr>
          <w:rFonts w:hint="eastAsia" w:ascii="宋体" w:hAnsi="宋体" w:cs="宋体"/>
          <w:color w:val="auto"/>
          <w:sz w:val="22"/>
          <w:szCs w:val="22"/>
          <w:highlight w:val="none"/>
        </w:rPr>
        <w:t>，从业人员</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rPr>
        <w:tab/>
      </w:r>
      <w:r>
        <w:rPr>
          <w:rFonts w:hint="eastAsia" w:ascii="宋体" w:hAnsi="宋体" w:cs="宋体"/>
          <w:color w:val="auto"/>
          <w:sz w:val="22"/>
          <w:szCs w:val="22"/>
          <w:highlight w:val="none"/>
        </w:rPr>
        <w:t>人，营业收入为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rPr>
        <w:tab/>
      </w:r>
      <w:r>
        <w:rPr>
          <w:rFonts w:hint="eastAsia" w:ascii="宋体" w:hAnsi="宋体" w:cs="宋体"/>
          <w:color w:val="auto"/>
          <w:sz w:val="22"/>
          <w:szCs w:val="22"/>
          <w:highlight w:val="none"/>
        </w:rPr>
        <w:t>万元，资产总额为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rPr>
        <w:tab/>
      </w:r>
      <w:r>
        <w:rPr>
          <w:rFonts w:hint="eastAsia" w:ascii="宋体" w:hAnsi="宋体" w:cs="宋体"/>
          <w:color w:val="auto"/>
          <w:sz w:val="22"/>
          <w:szCs w:val="22"/>
          <w:highlight w:val="none"/>
        </w:rPr>
        <w:t>万元，属于</w:t>
      </w:r>
      <w:r>
        <w:rPr>
          <w:rFonts w:hint="eastAsia" w:ascii="宋体" w:hAnsi="宋体" w:cs="宋体"/>
          <w:color w:val="auto"/>
          <w:sz w:val="22"/>
          <w:szCs w:val="22"/>
          <w:highlight w:val="none"/>
          <w:u w:val="single"/>
        </w:rPr>
        <w:t>（中型企业、小型企业、微型企业）</w:t>
      </w:r>
      <w:r>
        <w:rPr>
          <w:rFonts w:hint="eastAsia" w:ascii="宋体" w:hAnsi="宋体" w:cs="宋体"/>
          <w:color w:val="auto"/>
          <w:sz w:val="22"/>
          <w:szCs w:val="22"/>
          <w:highlight w:val="none"/>
        </w:rPr>
        <w:t>；</w:t>
      </w:r>
    </w:p>
    <w:p>
      <w:pPr>
        <w:pStyle w:val="55"/>
        <w:tabs>
          <w:tab w:val="left" w:pos="1143"/>
          <w:tab w:val="left" w:pos="1706"/>
          <w:tab w:val="left" w:pos="4905"/>
          <w:tab w:val="left" w:pos="7113"/>
        </w:tabs>
        <w:spacing w:line="295" w:lineRule="auto"/>
        <w:ind w:right="138" w:firstLine="440"/>
        <w:jc w:val="left"/>
        <w:rPr>
          <w:rFonts w:ascii="宋体" w:hAnsi="宋体" w:cs="宋体"/>
          <w:color w:val="auto"/>
          <w:sz w:val="22"/>
          <w:szCs w:val="22"/>
          <w:highlight w:val="none"/>
        </w:rPr>
      </w:pPr>
    </w:p>
    <w:p>
      <w:pPr>
        <w:pStyle w:val="14"/>
        <w:spacing w:before="11"/>
        <w:ind w:left="760"/>
        <w:rPr>
          <w:rFonts w:ascii="宋体" w:hAnsi="宋体" w:cs="宋体"/>
          <w:color w:val="auto"/>
          <w:sz w:val="22"/>
          <w:szCs w:val="22"/>
          <w:highlight w:val="none"/>
        </w:rPr>
      </w:pPr>
      <w:r>
        <w:rPr>
          <w:rFonts w:hint="eastAsia" w:ascii="宋体" w:hAnsi="宋体" w:cs="宋体"/>
          <w:color w:val="auto"/>
          <w:sz w:val="22"/>
          <w:szCs w:val="22"/>
          <w:highlight w:val="none"/>
        </w:rPr>
        <w:t>……</w:t>
      </w:r>
    </w:p>
    <w:p>
      <w:pPr>
        <w:pStyle w:val="14"/>
        <w:spacing w:before="108" w:line="304" w:lineRule="auto"/>
        <w:ind w:right="297" w:firstLine="645"/>
        <w:rPr>
          <w:rFonts w:ascii="宋体" w:hAnsi="宋体" w:cs="宋体"/>
          <w:color w:val="auto"/>
          <w:sz w:val="22"/>
          <w:szCs w:val="22"/>
          <w:highlight w:val="none"/>
        </w:rPr>
      </w:pPr>
      <w:r>
        <w:rPr>
          <w:rFonts w:hint="eastAsia" w:ascii="宋体" w:hAnsi="宋体" w:cs="宋体"/>
          <w:color w:val="auto"/>
          <w:sz w:val="22"/>
          <w:szCs w:val="22"/>
          <w:highlight w:val="none"/>
        </w:rPr>
        <w:t>以上企业，不属于大企业的分支机构，不存在控股股东为大企业的情形，也不存在与大企业的负责人为同一人的情形。</w:t>
      </w:r>
    </w:p>
    <w:p>
      <w:pPr>
        <w:pStyle w:val="14"/>
        <w:spacing w:line="304" w:lineRule="auto"/>
        <w:ind w:right="255" w:firstLine="640"/>
        <w:rPr>
          <w:rFonts w:ascii="宋体" w:hAnsi="宋体" w:cs="宋体"/>
          <w:color w:val="auto"/>
          <w:sz w:val="22"/>
          <w:szCs w:val="22"/>
          <w:highlight w:val="none"/>
        </w:rPr>
      </w:pPr>
      <w:r>
        <w:rPr>
          <w:rFonts w:hint="eastAsia" w:ascii="宋体" w:hAnsi="宋体" w:cs="宋体"/>
          <w:color w:val="auto"/>
          <w:sz w:val="22"/>
          <w:szCs w:val="22"/>
          <w:highlight w:val="none"/>
        </w:rPr>
        <w:t>本企业对上述声明内容的真实性负责。如有虚假，将依法承担相应责任。</w:t>
      </w:r>
    </w:p>
    <w:p>
      <w:pPr>
        <w:pStyle w:val="14"/>
        <w:spacing w:before="29" w:line="316" w:lineRule="auto"/>
        <w:ind w:left="3960" w:right="2046"/>
        <w:rPr>
          <w:rFonts w:ascii="宋体" w:hAnsi="宋体" w:cs="宋体"/>
          <w:color w:val="auto"/>
          <w:szCs w:val="21"/>
          <w:highlight w:val="none"/>
        </w:rPr>
      </w:pPr>
    </w:p>
    <w:p>
      <w:pPr>
        <w:pStyle w:val="14"/>
        <w:spacing w:before="29" w:line="316" w:lineRule="auto"/>
        <w:ind w:left="3960" w:right="2046"/>
        <w:rPr>
          <w:rFonts w:ascii="宋体" w:hAnsi="宋体" w:cs="宋体"/>
          <w:color w:val="auto"/>
          <w:szCs w:val="21"/>
          <w:highlight w:val="none"/>
        </w:rPr>
      </w:pPr>
    </w:p>
    <w:p>
      <w:pPr>
        <w:pStyle w:val="14"/>
        <w:spacing w:before="29" w:line="316" w:lineRule="auto"/>
        <w:ind w:left="3960" w:right="2046"/>
        <w:rPr>
          <w:rFonts w:ascii="宋体" w:hAnsi="宋体" w:cs="宋体"/>
          <w:color w:val="auto"/>
          <w:szCs w:val="21"/>
          <w:highlight w:val="none"/>
          <w:u w:val="single"/>
        </w:rPr>
      </w:pPr>
      <w:r>
        <w:rPr>
          <w:rFonts w:hint="eastAsia" w:ascii="宋体" w:hAnsi="宋体" w:cs="宋体"/>
          <w:color w:val="auto"/>
          <w:szCs w:val="21"/>
          <w:highlight w:val="none"/>
        </w:rPr>
        <w:t>企业名称（盖章）：</w:t>
      </w:r>
      <w:r>
        <w:rPr>
          <w:rFonts w:hint="eastAsia" w:ascii="宋体" w:hAnsi="宋体" w:cs="宋体"/>
          <w:color w:val="auto"/>
          <w:szCs w:val="21"/>
          <w:highlight w:val="none"/>
          <w:u w:val="single"/>
        </w:rPr>
        <w:t xml:space="preserve">              </w:t>
      </w:r>
    </w:p>
    <w:p>
      <w:pPr>
        <w:pStyle w:val="14"/>
        <w:spacing w:before="29" w:line="316" w:lineRule="auto"/>
        <w:ind w:left="3960" w:right="2046"/>
        <w:rPr>
          <w:rFonts w:ascii="宋体" w:hAnsi="宋体" w:cs="宋体"/>
          <w:color w:val="auto"/>
          <w:szCs w:val="21"/>
          <w:highlight w:val="none"/>
        </w:rPr>
      </w:pPr>
    </w:p>
    <w:p>
      <w:pPr>
        <w:pStyle w:val="14"/>
        <w:spacing w:before="29" w:line="316" w:lineRule="auto"/>
        <w:ind w:left="3960" w:right="2046"/>
        <w:rPr>
          <w:rFonts w:ascii="宋体" w:hAnsi="宋体" w:cs="宋体"/>
          <w:color w:val="auto"/>
          <w:szCs w:val="21"/>
          <w:highlight w:val="none"/>
          <w:u w:val="singl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p>
    <w:p>
      <w:pPr>
        <w:widowControl/>
        <w:spacing w:line="360" w:lineRule="auto"/>
        <w:ind w:firstLine="420" w:firstLineChars="200"/>
        <w:jc w:val="left"/>
        <w:rPr>
          <w:rFonts w:ascii="宋体" w:hAnsi="宋体" w:cs="宋体"/>
          <w:color w:val="auto"/>
          <w:kern w:val="0"/>
          <w:szCs w:val="21"/>
          <w:highlight w:val="none"/>
        </w:rPr>
      </w:pPr>
    </w:p>
    <w:p>
      <w:pPr>
        <w:adjustRightInd w:val="0"/>
        <w:snapToGrid w:val="0"/>
        <w:spacing w:line="360" w:lineRule="auto"/>
        <w:rPr>
          <w:rFonts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420" w:firstLineChars="200"/>
        <w:rPr>
          <w:rFonts w:ascii="楷体" w:hAnsi="楷体" w:eastAsia="楷体"/>
          <w:color w:val="auto"/>
          <w:szCs w:val="21"/>
          <w:highlight w:val="none"/>
        </w:rPr>
      </w:pPr>
      <w:r>
        <w:rPr>
          <w:rFonts w:hint="eastAsia" w:ascii="楷体" w:hAnsi="楷体" w:eastAsia="楷体"/>
          <w:color w:val="auto"/>
          <w:szCs w:val="21"/>
          <w:highlight w:val="none"/>
        </w:rPr>
        <w:t>1.填写前请认真阅读《工业和信息化部、国家统计局、国家发展和改革委员会、财政部关于印发中小企业划型标准规定的通知》（工信部联企业[2011]300号）和《政府采购促进中小企业发展管理办法》（财库﹝2020﹞46 号）相关规定。</w:t>
      </w:r>
    </w:p>
    <w:p>
      <w:pPr>
        <w:adjustRightInd w:val="0"/>
        <w:snapToGrid w:val="0"/>
        <w:spacing w:line="360" w:lineRule="auto"/>
        <w:ind w:firstLine="420" w:firstLineChars="200"/>
        <w:rPr>
          <w:rFonts w:ascii="楷体" w:hAnsi="楷体" w:eastAsia="楷体"/>
          <w:color w:val="auto"/>
          <w:szCs w:val="21"/>
          <w:highlight w:val="none"/>
        </w:rPr>
      </w:pPr>
      <w:r>
        <w:rPr>
          <w:rFonts w:hint="eastAsia" w:ascii="楷体" w:hAnsi="楷体" w:eastAsia="楷体"/>
          <w:color w:val="auto"/>
          <w:szCs w:val="21"/>
          <w:highlight w:val="none"/>
        </w:rPr>
        <w:t>2.中小企业部分提供其他小、微企业制造货物的应另附说明，并与《初次报价明细表》保持一致。</w:t>
      </w:r>
      <w:r>
        <w:rPr>
          <w:rFonts w:hint="eastAsia" w:ascii="楷体" w:hAnsi="楷体" w:eastAsia="楷体"/>
          <w:b/>
          <w:bCs/>
          <w:color w:val="auto"/>
          <w:szCs w:val="21"/>
          <w:highlight w:val="none"/>
        </w:rPr>
        <w:t>从业人员、营业收入、资产总额填报上一年度数据，无上一年度数据的新成立企业可不填报。</w:t>
      </w:r>
    </w:p>
    <w:p>
      <w:pPr>
        <w:adjustRightInd w:val="0"/>
        <w:snapToGrid w:val="0"/>
        <w:spacing w:line="360" w:lineRule="auto"/>
        <w:ind w:firstLine="420" w:firstLineChars="200"/>
        <w:rPr>
          <w:rFonts w:ascii="楷体" w:hAnsi="楷体" w:eastAsia="楷体"/>
          <w:color w:val="auto"/>
          <w:szCs w:val="21"/>
          <w:highlight w:val="none"/>
        </w:rPr>
      </w:pPr>
      <w:r>
        <w:rPr>
          <w:rFonts w:hint="eastAsia" w:ascii="楷体" w:hAnsi="楷体" w:eastAsia="楷体"/>
          <w:color w:val="auto"/>
          <w:szCs w:val="21"/>
          <w:highlight w:val="none"/>
        </w:rPr>
        <w:t>3.投标人未按上述要求提供、填写的，评审时不予价格折扣。</w:t>
      </w:r>
    </w:p>
    <w:p>
      <w:pPr>
        <w:widowControl/>
        <w:ind w:firstLine="422" w:firstLineChars="200"/>
        <w:jc w:val="left"/>
        <w:rPr>
          <w:rFonts w:ascii="楷体" w:hAnsi="楷体" w:eastAsia="楷体"/>
          <w:b/>
          <w:bCs/>
          <w:color w:val="auto"/>
          <w:szCs w:val="21"/>
          <w:highlight w:val="none"/>
        </w:rPr>
      </w:pPr>
      <w:r>
        <w:rPr>
          <w:rFonts w:hint="eastAsia" w:ascii="楷体" w:hAnsi="楷体" w:eastAsia="楷体"/>
          <w:b/>
          <w:bCs/>
          <w:color w:val="auto"/>
          <w:szCs w:val="21"/>
          <w:highlight w:val="none"/>
        </w:rPr>
        <w:t>4.如实填写本表，不符合条件的投标人无需填写。如果出现虚假应标，由此产生的后果由投标人自行负责。</w:t>
      </w:r>
    </w:p>
    <w:p>
      <w:pPr>
        <w:adjustRightInd w:val="0"/>
        <w:snapToGrid w:val="0"/>
        <w:spacing w:line="360" w:lineRule="auto"/>
        <w:rPr>
          <w:rFonts w:ascii="仿宋" w:hAnsi="仿宋" w:eastAsia="仿宋" w:cs="仿宋"/>
          <w:color w:val="auto"/>
          <w:sz w:val="28"/>
          <w:szCs w:val="28"/>
          <w:highlight w:val="none"/>
        </w:rPr>
        <w:sectPr>
          <w:pgSz w:w="11907" w:h="16840"/>
          <w:pgMar w:top="1440" w:right="1474" w:bottom="1440" w:left="1474" w:header="851" w:footer="992" w:gutter="0"/>
          <w:pgNumType w:fmt="decimal"/>
          <w:cols w:space="720" w:num="1"/>
          <w:docGrid w:linePitch="312" w:charSpace="0"/>
        </w:sectPr>
      </w:pPr>
    </w:p>
    <w:p>
      <w:pPr>
        <w:pStyle w:val="60"/>
        <w:spacing w:line="40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附件2：</w:t>
      </w:r>
    </w:p>
    <w:p>
      <w:pPr>
        <w:spacing w:line="588" w:lineRule="exact"/>
        <w:jc w:val="center"/>
        <w:rPr>
          <w:rFonts w:ascii="宋体" w:hAnsi="宋体"/>
          <w:b/>
          <w:color w:val="auto"/>
          <w:spacing w:val="6"/>
          <w:sz w:val="36"/>
          <w:szCs w:val="36"/>
          <w:highlight w:val="none"/>
        </w:rPr>
      </w:pPr>
      <w:bookmarkStart w:id="120" w:name="OLE_LINK13"/>
      <w:bookmarkStart w:id="121" w:name="OLE_LINK14"/>
    </w:p>
    <w:p>
      <w:pPr>
        <w:spacing w:line="588" w:lineRule="exact"/>
        <w:jc w:val="center"/>
        <w:rPr>
          <w:rFonts w:ascii="宋体" w:hAnsi="宋体"/>
          <w:b/>
          <w:color w:val="auto"/>
          <w:spacing w:val="6"/>
          <w:sz w:val="30"/>
          <w:szCs w:val="30"/>
          <w:highlight w:val="none"/>
        </w:rPr>
      </w:pPr>
      <w:r>
        <w:rPr>
          <w:rFonts w:hint="eastAsia" w:ascii="宋体" w:hAnsi="宋体"/>
          <w:b/>
          <w:color w:val="auto"/>
          <w:spacing w:val="6"/>
          <w:sz w:val="30"/>
          <w:szCs w:val="30"/>
          <w:highlight w:val="none"/>
        </w:rPr>
        <w:t>残疾人福利性单位声明函</w:t>
      </w:r>
    </w:p>
    <w:bookmarkEnd w:id="120"/>
    <w:bookmarkEnd w:id="121"/>
    <w:p>
      <w:pPr>
        <w:spacing w:line="588" w:lineRule="exact"/>
        <w:rPr>
          <w:rFonts w:ascii="仿宋_GB2312" w:eastAsia="仿宋_GB2312"/>
          <w:b/>
          <w:color w:val="auto"/>
          <w:spacing w:val="6"/>
          <w:sz w:val="30"/>
          <w:szCs w:val="30"/>
          <w:highlight w:val="none"/>
        </w:rPr>
      </w:pP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w:t>
      </w:r>
      <w:r>
        <w:rPr>
          <w:rFonts w:ascii="宋体" w:hAnsi="宋体"/>
          <w:color w:val="auto"/>
          <w:spacing w:val="6"/>
          <w:szCs w:val="21"/>
          <w:highlight w:val="none"/>
        </w:rPr>
        <w:t xml:space="preserve"> </w:t>
      </w:r>
      <w:r>
        <w:rPr>
          <w:rFonts w:hint="eastAsia" w:ascii="宋体" w:hAnsi="宋体"/>
          <w:color w:val="auto"/>
          <w:spacing w:val="6"/>
          <w:szCs w:val="21"/>
          <w:highlight w:val="none"/>
        </w:rPr>
        <w:t>民政部</w:t>
      </w:r>
      <w:r>
        <w:rPr>
          <w:rFonts w:ascii="宋体" w:hAnsi="宋体"/>
          <w:color w:val="auto"/>
          <w:spacing w:val="6"/>
          <w:szCs w:val="21"/>
          <w:highlight w:val="none"/>
        </w:rPr>
        <w:t xml:space="preserve"> </w:t>
      </w:r>
      <w:r>
        <w:rPr>
          <w:rFonts w:hint="eastAsia" w:ascii="宋体" w:hAnsi="宋体"/>
          <w:color w:val="auto"/>
          <w:spacing w:val="6"/>
          <w:szCs w:val="21"/>
          <w:highlight w:val="none"/>
        </w:rPr>
        <w:t>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 xml:space="preserve"> 141</w:t>
      </w:r>
      <w:r>
        <w:rPr>
          <w:rFonts w:hint="eastAsia" w:ascii="宋体" w:hAnsi="宋体"/>
          <w:color w:val="auto"/>
          <w:spacing w:val="6"/>
          <w:szCs w:val="21"/>
          <w:highlight w:val="none"/>
        </w:rPr>
        <w:t>号）的规定，本单位为符合条件的残疾人福利性单位，且本单位参加</w:t>
      </w:r>
      <w:r>
        <w:rPr>
          <w:rFonts w:ascii="宋体" w:hAnsi="宋体"/>
          <w:color w:val="auto"/>
          <w:spacing w:val="6"/>
          <w:szCs w:val="21"/>
          <w:highlight w:val="none"/>
        </w:rPr>
        <w:t>______</w:t>
      </w:r>
      <w:r>
        <w:rPr>
          <w:rFonts w:hint="eastAsia" w:ascii="宋体" w:hAnsi="宋体"/>
          <w:color w:val="auto"/>
          <w:spacing w:val="6"/>
          <w:szCs w:val="21"/>
          <w:highlight w:val="none"/>
        </w:rPr>
        <w:t>单位的</w:t>
      </w:r>
      <w:r>
        <w:rPr>
          <w:rFonts w:ascii="宋体" w:hAnsi="宋体"/>
          <w:color w:val="auto"/>
          <w:spacing w:val="6"/>
          <w:szCs w:val="21"/>
          <w:highlight w:val="none"/>
        </w:rPr>
        <w:t>______</w:t>
      </w:r>
      <w:r>
        <w:rPr>
          <w:rFonts w:hint="eastAsia" w:ascii="宋体" w:hAnsi="宋体"/>
          <w:color w:val="auto"/>
          <w:spacing w:val="6"/>
          <w:szCs w:val="21"/>
          <w:highlight w:val="none"/>
        </w:rPr>
        <w:t>项目采购活动提供本单位制造的货物（由本单位承担工程</w:t>
      </w:r>
      <w:r>
        <w:rPr>
          <w:rFonts w:ascii="宋体" w:hAnsi="宋体"/>
          <w:color w:val="auto"/>
          <w:spacing w:val="6"/>
          <w:szCs w:val="21"/>
          <w:highlight w:val="none"/>
        </w:rPr>
        <w:t>/</w:t>
      </w:r>
      <w:r>
        <w:rPr>
          <w:rFonts w:hint="eastAsia" w:ascii="宋体" w:hAnsi="宋体"/>
          <w:color w:val="auto"/>
          <w:spacing w:val="6"/>
          <w:szCs w:val="21"/>
          <w:highlight w:val="none"/>
        </w:rPr>
        <w:t>提供服务），或者提供其他残疾人福利性单位制造的货物（不包括使用非残疾人福利性单位注册商标的货物）。</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pacing w:line="360" w:lineRule="auto"/>
        <w:ind w:firstLine="444" w:firstLineChars="200"/>
        <w:rPr>
          <w:rFonts w:ascii="宋体" w:hAnsi="宋体"/>
          <w:color w:val="auto"/>
          <w:spacing w:val="6"/>
          <w:szCs w:val="21"/>
          <w:highlight w:val="none"/>
        </w:rPr>
      </w:pPr>
    </w:p>
    <w:p>
      <w:pPr>
        <w:spacing w:line="360" w:lineRule="auto"/>
        <w:ind w:firstLine="444" w:firstLineChars="200"/>
        <w:rPr>
          <w:rFonts w:ascii="宋体" w:hAnsi="宋体"/>
          <w:color w:val="auto"/>
          <w:spacing w:val="6"/>
          <w:szCs w:val="21"/>
          <w:highlight w:val="none"/>
        </w:rPr>
      </w:pPr>
    </w:p>
    <w:p>
      <w:pPr>
        <w:tabs>
          <w:tab w:val="left" w:pos="4860"/>
        </w:tabs>
        <w:spacing w:line="360" w:lineRule="auto"/>
        <w:ind w:right="1560" w:firstLine="444" w:firstLineChars="200"/>
        <w:jc w:val="left"/>
        <w:rPr>
          <w:rFonts w:ascii="宋体" w:hAnsi="宋体"/>
          <w:color w:val="auto"/>
          <w:spacing w:val="6"/>
          <w:szCs w:val="21"/>
          <w:highlight w:val="none"/>
        </w:rPr>
      </w:pPr>
      <w:r>
        <w:rPr>
          <w:rFonts w:ascii="宋体" w:hAnsi="宋体"/>
          <w:color w:val="auto"/>
          <w:spacing w:val="6"/>
          <w:szCs w:val="21"/>
          <w:highlight w:val="none"/>
        </w:rPr>
        <w:t xml:space="preserve">               </w:t>
      </w:r>
      <w:r>
        <w:rPr>
          <w:rFonts w:hint="eastAsia" w:ascii="宋体" w:hAnsi="宋体"/>
          <w:color w:val="auto"/>
          <w:spacing w:val="6"/>
          <w:szCs w:val="21"/>
          <w:highlight w:val="none"/>
        </w:rPr>
        <w:t xml:space="preserve">            投标人： </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（盖单位章）</w:t>
      </w:r>
    </w:p>
    <w:p>
      <w:pPr>
        <w:tabs>
          <w:tab w:val="left" w:pos="4860"/>
        </w:tabs>
        <w:spacing w:line="360" w:lineRule="auto"/>
        <w:ind w:right="1560" w:firstLine="444" w:firstLineChars="200"/>
        <w:jc w:val="left"/>
        <w:rPr>
          <w:rFonts w:ascii="宋体" w:hAnsi="宋体"/>
          <w:color w:val="auto"/>
          <w:spacing w:val="6"/>
          <w:szCs w:val="21"/>
          <w:highlight w:val="none"/>
        </w:rPr>
      </w:pPr>
      <w:r>
        <w:rPr>
          <w:rFonts w:ascii="宋体" w:hAnsi="宋体"/>
          <w:color w:val="auto"/>
          <w:spacing w:val="6"/>
          <w:szCs w:val="21"/>
          <w:highlight w:val="none"/>
        </w:rPr>
        <w:t xml:space="preserve">  </w:t>
      </w:r>
    </w:p>
    <w:p>
      <w:pPr>
        <w:tabs>
          <w:tab w:val="left" w:pos="4860"/>
        </w:tabs>
        <w:spacing w:line="360" w:lineRule="auto"/>
        <w:ind w:right="1560" w:firstLine="444" w:firstLineChars="200"/>
        <w:jc w:val="left"/>
        <w:rPr>
          <w:rFonts w:ascii="宋体" w:hAnsi="宋体"/>
          <w:color w:val="auto"/>
          <w:szCs w:val="21"/>
          <w:highlight w:val="none"/>
        </w:rPr>
      </w:pPr>
      <w:r>
        <w:rPr>
          <w:rFonts w:hint="eastAsia" w:ascii="宋体" w:hAnsi="宋体"/>
          <w:color w:val="auto"/>
          <w:spacing w:val="6"/>
          <w:szCs w:val="21"/>
          <w:highlight w:val="none"/>
        </w:rPr>
        <w:t xml:space="preserve">                           日</w:t>
      </w:r>
      <w:r>
        <w:rPr>
          <w:rFonts w:ascii="宋体" w:hAnsi="宋体"/>
          <w:color w:val="auto"/>
          <w:spacing w:val="6"/>
          <w:szCs w:val="21"/>
          <w:highlight w:val="none"/>
        </w:rPr>
        <w:t xml:space="preserve">  </w:t>
      </w:r>
      <w:r>
        <w:rPr>
          <w:rFonts w:hint="eastAsia" w:ascii="宋体" w:hAnsi="宋体"/>
          <w:color w:val="auto"/>
          <w:spacing w:val="6"/>
          <w:szCs w:val="21"/>
          <w:highlight w:val="none"/>
        </w:rPr>
        <w:t>期：20   年   月   日</w:t>
      </w:r>
    </w:p>
    <w:p>
      <w:pPr>
        <w:adjustRightInd w:val="0"/>
        <w:snapToGrid w:val="0"/>
        <w:spacing w:line="360" w:lineRule="auto"/>
        <w:rPr>
          <w:rFonts w:ascii="宋体" w:hAnsi="宋体"/>
          <w:b/>
          <w:color w:val="auto"/>
          <w:sz w:val="24"/>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line="360" w:lineRule="exact"/>
        <w:ind w:firstLine="525" w:firstLineChars="250"/>
        <w:rPr>
          <w:rFonts w:ascii="仿宋" w:hAnsi="仿宋" w:eastAsia="仿宋" w:cs="仿宋"/>
          <w:bCs/>
          <w:color w:val="auto"/>
          <w:szCs w:val="21"/>
          <w:highlight w:val="none"/>
        </w:rPr>
      </w:pPr>
      <w:r>
        <w:rPr>
          <w:rFonts w:hint="eastAsia" w:ascii="仿宋" w:hAnsi="仿宋" w:eastAsia="仿宋" w:cs="仿宋"/>
          <w:color w:val="auto"/>
          <w:szCs w:val="21"/>
          <w:highlight w:val="none"/>
        </w:rPr>
        <w:t>注：投标人应仔细阅读《财政部 民政部 中国残疾人联合会关于促进残疾人就业政府采购政策的通知》，并如实填写本表，符合条件的投标人未按上述要求提供、填写的，评审时不予以考虑。</w:t>
      </w:r>
      <w:r>
        <w:rPr>
          <w:rFonts w:hint="eastAsia" w:ascii="仿宋" w:hAnsi="仿宋" w:eastAsia="仿宋" w:cs="仿宋"/>
          <w:b/>
          <w:bCs/>
          <w:color w:val="auto"/>
          <w:szCs w:val="21"/>
          <w:highlight w:val="none"/>
        </w:rPr>
        <w:t>不符合条件的投标人无需填写，如果出现虚假应标，由此产生的后果由供应商自行负责。</w:t>
      </w:r>
    </w:p>
    <w:p>
      <w:pPr>
        <w:adjustRightInd w:val="0"/>
        <w:snapToGrid w:val="0"/>
        <w:spacing w:line="360" w:lineRule="auto"/>
        <w:rPr>
          <w:rFonts w:ascii="仿宋" w:hAnsi="仿宋" w:eastAsia="仿宋" w:cs="仿宋"/>
          <w:color w:val="auto"/>
          <w:sz w:val="28"/>
          <w:szCs w:val="28"/>
          <w:highlight w:val="none"/>
        </w:rPr>
        <w:sectPr>
          <w:pgSz w:w="11907" w:h="16840"/>
          <w:pgMar w:top="1440" w:right="1474" w:bottom="1440" w:left="1474" w:header="851" w:footer="992" w:gutter="0"/>
          <w:pgNumType w:fmt="decimal"/>
          <w:cols w:space="720" w:num="1"/>
          <w:docGrid w:linePitch="312" w:charSpace="0"/>
        </w:sectPr>
      </w:pPr>
    </w:p>
    <w:p>
      <w:pPr>
        <w:pStyle w:val="60"/>
        <w:spacing w:line="40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附件3：</w:t>
      </w:r>
    </w:p>
    <w:p>
      <w:pPr>
        <w:adjustRightInd w:val="0"/>
        <w:snapToGrid w:val="0"/>
        <w:spacing w:before="50" w:line="360" w:lineRule="auto"/>
        <w:jc w:val="center"/>
        <w:rPr>
          <w:rFonts w:ascii="宋体" w:hAnsi="宋体"/>
          <w:b/>
          <w:color w:val="auto"/>
          <w:sz w:val="30"/>
          <w:szCs w:val="30"/>
          <w:highlight w:val="none"/>
        </w:rPr>
      </w:pPr>
      <w:r>
        <w:rPr>
          <w:rFonts w:hint="eastAsia" w:ascii="宋体" w:hAnsi="宋体"/>
          <w:b/>
          <w:color w:val="auto"/>
          <w:sz w:val="30"/>
          <w:szCs w:val="30"/>
          <w:highlight w:val="none"/>
        </w:rPr>
        <w:t>监狱企业证明文件</w:t>
      </w: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before="50" w:line="360" w:lineRule="auto"/>
        <w:jc w:val="center"/>
        <w:rPr>
          <w:rFonts w:ascii="宋体" w:hAnsi="宋体"/>
          <w:b/>
          <w:color w:val="auto"/>
          <w:sz w:val="36"/>
          <w:szCs w:val="36"/>
          <w:highlight w:val="none"/>
        </w:rPr>
      </w:pPr>
    </w:p>
    <w:p>
      <w:pPr>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说明：</w:t>
      </w:r>
    </w:p>
    <w:p>
      <w:pPr>
        <w:adjustRightInd w:val="0"/>
        <w:snapToGrid w:val="0"/>
        <w:spacing w:line="360" w:lineRule="auto"/>
        <w:ind w:firstLine="525"/>
        <w:rPr>
          <w:rFonts w:ascii="仿宋" w:hAnsi="仿宋" w:eastAsia="仿宋" w:cs="仿宋"/>
          <w:bCs/>
          <w:color w:val="auto"/>
          <w:szCs w:val="21"/>
          <w:highlight w:val="none"/>
        </w:rPr>
      </w:pPr>
      <w:r>
        <w:rPr>
          <w:rFonts w:hint="eastAsia" w:ascii="仿宋" w:hAnsi="仿宋" w:eastAsia="仿宋" w:cs="仿宋"/>
          <w:bCs/>
          <w:color w:val="auto"/>
          <w:szCs w:val="21"/>
          <w:highlight w:val="none"/>
        </w:rPr>
        <w:t>1.无格式要求，由出具监狱企业证明的单位自行拟定；</w:t>
      </w:r>
    </w:p>
    <w:p>
      <w:pPr>
        <w:adjustRightInd w:val="0"/>
        <w:snapToGrid w:val="0"/>
        <w:spacing w:line="360" w:lineRule="auto"/>
        <w:ind w:firstLine="525"/>
        <w:rPr>
          <w:rFonts w:ascii="仿宋" w:hAnsi="仿宋" w:eastAsia="仿宋" w:cs="仿宋"/>
          <w:color w:val="auto"/>
          <w:szCs w:val="21"/>
          <w:highlight w:val="none"/>
        </w:rPr>
      </w:pPr>
      <w:r>
        <w:rPr>
          <w:rFonts w:hint="eastAsia" w:ascii="仿宋" w:hAnsi="仿宋" w:eastAsia="仿宋" w:cs="仿宋"/>
          <w:color w:val="auto"/>
          <w:szCs w:val="21"/>
          <w:highlight w:val="none"/>
        </w:rPr>
        <w:t>2.投标人未提供的，评审时不视为中小企业。</w:t>
      </w:r>
    </w:p>
    <w:p>
      <w:pPr>
        <w:adjustRightInd w:val="0"/>
        <w:snapToGrid w:val="0"/>
        <w:spacing w:line="360" w:lineRule="auto"/>
        <w:ind w:firstLine="525"/>
        <w:rPr>
          <w:rFonts w:ascii="仿宋" w:hAnsi="仿宋" w:eastAsia="仿宋" w:cs="仿宋"/>
          <w:color w:val="auto"/>
          <w:sz w:val="28"/>
          <w:szCs w:val="28"/>
          <w:highlight w:val="none"/>
        </w:rPr>
      </w:pPr>
      <w:r>
        <w:rPr>
          <w:rFonts w:hint="eastAsia" w:ascii="仿宋" w:hAnsi="仿宋" w:eastAsia="仿宋" w:cs="仿宋"/>
          <w:color w:val="auto"/>
          <w:szCs w:val="21"/>
          <w:highlight w:val="none"/>
        </w:rPr>
        <w:t>3.</w:t>
      </w:r>
      <w:r>
        <w:rPr>
          <w:rFonts w:hint="eastAsia" w:ascii="仿宋" w:hAnsi="仿宋" w:eastAsia="仿宋" w:cs="仿宋"/>
          <w:b/>
          <w:bCs/>
          <w:color w:val="auto"/>
          <w:szCs w:val="21"/>
          <w:highlight w:val="none"/>
        </w:rPr>
        <w:t>如实填写，不符合条件的投标人无需填写。如果出现虚假应标，由此产生的后果由供应商自行负责。</w:t>
      </w:r>
    </w:p>
    <w:p>
      <w:pPr>
        <w:adjustRightInd w:val="0"/>
        <w:snapToGrid w:val="0"/>
        <w:spacing w:line="360" w:lineRule="exact"/>
        <w:rPr>
          <w:rFonts w:ascii="仿宋" w:hAnsi="仿宋" w:eastAsia="仿宋" w:cs="仿宋"/>
          <w:color w:val="auto"/>
          <w:sz w:val="28"/>
          <w:szCs w:val="28"/>
          <w:highlight w:val="none"/>
        </w:rPr>
        <w:sectPr>
          <w:pgSz w:w="11907" w:h="16840"/>
          <w:pgMar w:top="1440" w:right="1474" w:bottom="1440" w:left="1474" w:header="851" w:footer="992" w:gutter="0"/>
          <w:pgNumType w:fmt="decimal"/>
          <w:cols w:space="720" w:num="1"/>
          <w:docGrid w:linePitch="312" w:charSpace="0"/>
        </w:sectPr>
      </w:pPr>
    </w:p>
    <w:p>
      <w:pPr>
        <w:pStyle w:val="60"/>
        <w:spacing w:line="40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附件4：</w:t>
      </w:r>
    </w:p>
    <w:p>
      <w:pPr>
        <w:adjustRightInd w:val="0"/>
        <w:snapToGrid w:val="0"/>
        <w:spacing w:before="50" w:line="360" w:lineRule="auto"/>
        <w:jc w:val="center"/>
        <w:rPr>
          <w:rFonts w:ascii="宋体" w:hAnsi="宋体"/>
          <w:b/>
          <w:bCs/>
          <w:color w:val="auto"/>
          <w:sz w:val="30"/>
          <w:szCs w:val="30"/>
          <w:highlight w:val="none"/>
        </w:rPr>
      </w:pPr>
      <w:r>
        <w:rPr>
          <w:rFonts w:hint="eastAsia" w:ascii="宋体" w:hAnsi="宋体"/>
          <w:b/>
          <w:color w:val="auto"/>
          <w:sz w:val="30"/>
          <w:szCs w:val="30"/>
          <w:highlight w:val="none"/>
        </w:rPr>
        <w:t>“节能</w:t>
      </w:r>
      <w:r>
        <w:rPr>
          <w:rFonts w:hint="eastAsia" w:ascii="宋体" w:hAnsi="宋体"/>
          <w:b/>
          <w:bCs/>
          <w:color w:val="auto"/>
          <w:sz w:val="30"/>
          <w:szCs w:val="30"/>
          <w:highlight w:val="none"/>
        </w:rPr>
        <w:t>产品</w:t>
      </w:r>
      <w:r>
        <w:rPr>
          <w:rFonts w:hint="eastAsia" w:ascii="宋体" w:hAnsi="宋体"/>
          <w:b/>
          <w:color w:val="auto"/>
          <w:sz w:val="30"/>
          <w:szCs w:val="30"/>
          <w:highlight w:val="none"/>
        </w:rPr>
        <w:t>”、“环境标志</w:t>
      </w:r>
      <w:r>
        <w:rPr>
          <w:rFonts w:hint="eastAsia" w:ascii="宋体" w:hAnsi="宋体"/>
          <w:b/>
          <w:bCs/>
          <w:color w:val="auto"/>
          <w:sz w:val="30"/>
          <w:szCs w:val="30"/>
          <w:highlight w:val="none"/>
        </w:rPr>
        <w:t>产品</w:t>
      </w:r>
      <w:r>
        <w:rPr>
          <w:rFonts w:hint="eastAsia" w:ascii="宋体" w:hAnsi="宋体"/>
          <w:b/>
          <w:color w:val="auto"/>
          <w:sz w:val="30"/>
          <w:szCs w:val="30"/>
          <w:highlight w:val="none"/>
        </w:rPr>
        <w:t>”证明材料</w:t>
      </w:r>
    </w:p>
    <w:p>
      <w:pPr>
        <w:spacing w:line="360" w:lineRule="auto"/>
        <w:rPr>
          <w:rFonts w:ascii="仿宋" w:hAnsi="仿宋" w:eastAsia="仿宋" w:cs="仿宋"/>
          <w:color w:val="auto"/>
          <w:sz w:val="24"/>
          <w:highlight w:val="none"/>
        </w:rPr>
      </w:pPr>
    </w:p>
    <w:p>
      <w:pPr>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说明：</w:t>
      </w:r>
    </w:p>
    <w:p>
      <w:pPr>
        <w:adjustRightInd w:val="0"/>
        <w:snapToGrid w:val="0"/>
        <w:spacing w:line="360" w:lineRule="auto"/>
        <w:ind w:firstLine="525" w:firstLineChars="250"/>
        <w:rPr>
          <w:rFonts w:ascii="仿宋" w:hAnsi="仿宋" w:eastAsia="仿宋" w:cs="仿宋"/>
          <w:bCs/>
          <w:color w:val="auto"/>
          <w:szCs w:val="21"/>
          <w:highlight w:val="none"/>
        </w:rPr>
      </w:pPr>
      <w:r>
        <w:rPr>
          <w:rFonts w:hint="eastAsia" w:ascii="仿宋" w:hAnsi="仿宋" w:eastAsia="仿宋" w:cs="仿宋"/>
          <w:bCs/>
          <w:color w:val="auto"/>
          <w:szCs w:val="21"/>
          <w:highlight w:val="none"/>
        </w:rPr>
        <w:t>1.</w:t>
      </w:r>
      <w:r>
        <w:rPr>
          <w:rFonts w:hint="eastAsia" w:ascii="仿宋" w:hAnsi="仿宋" w:eastAsia="仿宋" w:cs="仿宋"/>
          <w:color w:val="auto"/>
          <w:szCs w:val="21"/>
          <w:highlight w:val="none"/>
        </w:rPr>
        <w:t>投标人提供的产品</w:t>
      </w:r>
      <w:r>
        <w:rPr>
          <w:rFonts w:hint="eastAsia" w:ascii="仿宋" w:hAnsi="仿宋" w:eastAsia="仿宋" w:cs="仿宋"/>
          <w:bCs/>
          <w:color w:val="auto"/>
          <w:szCs w:val="21"/>
          <w:highlight w:val="none"/>
        </w:rPr>
        <w:t>属于节能产品或环境标志产品的</w:t>
      </w:r>
      <w:r>
        <w:rPr>
          <w:rFonts w:hint="eastAsia" w:ascii="仿宋" w:hAnsi="仿宋" w:eastAsia="仿宋" w:cs="仿宋"/>
          <w:color w:val="auto"/>
          <w:szCs w:val="21"/>
          <w:highlight w:val="none"/>
        </w:rPr>
        <w:t>，应按投标人须知第3.4.1项规定提供相关证明材料，并在《货物（产品）分项报价表》中填写相应的证书编号；</w:t>
      </w:r>
    </w:p>
    <w:p>
      <w:pPr>
        <w:adjustRightInd w:val="0"/>
        <w:snapToGrid w:val="0"/>
        <w:spacing w:line="360" w:lineRule="auto"/>
        <w:ind w:firstLine="525" w:firstLineChars="250"/>
        <w:rPr>
          <w:rFonts w:ascii="仿宋" w:hAnsi="仿宋" w:eastAsia="仿宋" w:cs="仿宋"/>
          <w:bCs/>
          <w:color w:val="auto"/>
          <w:szCs w:val="21"/>
          <w:highlight w:val="none"/>
        </w:rPr>
      </w:pPr>
      <w:r>
        <w:rPr>
          <w:rFonts w:hint="eastAsia" w:ascii="仿宋" w:hAnsi="仿宋" w:eastAsia="仿宋" w:cs="仿宋"/>
          <w:bCs/>
          <w:color w:val="auto"/>
          <w:szCs w:val="21"/>
          <w:highlight w:val="none"/>
        </w:rPr>
        <w:t>2.未按上述要求提供、</w:t>
      </w:r>
      <w:r>
        <w:rPr>
          <w:rFonts w:hint="eastAsia" w:ascii="仿宋" w:hAnsi="仿宋" w:eastAsia="仿宋" w:cs="仿宋"/>
          <w:color w:val="auto"/>
          <w:szCs w:val="21"/>
          <w:highlight w:val="none"/>
        </w:rPr>
        <w:t>填写</w:t>
      </w:r>
      <w:r>
        <w:rPr>
          <w:rFonts w:hint="eastAsia" w:ascii="仿宋" w:hAnsi="仿宋" w:eastAsia="仿宋" w:cs="仿宋"/>
          <w:bCs/>
          <w:color w:val="auto"/>
          <w:szCs w:val="21"/>
          <w:highlight w:val="none"/>
        </w:rPr>
        <w:t>的，评标时不予加分。</w:t>
      </w: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afterLines="50" w:line="360" w:lineRule="auto"/>
        <w:jc w:val="center"/>
        <w:rPr>
          <w:rFonts w:ascii="宋体" w:hAnsi="宋体"/>
          <w:b/>
          <w:bCs/>
          <w:color w:val="auto"/>
          <w:sz w:val="36"/>
          <w:szCs w:val="36"/>
          <w:highlight w:val="none"/>
        </w:rPr>
        <w:sectPr>
          <w:pgSz w:w="11907" w:h="16840"/>
          <w:pgMar w:top="1440" w:right="1474" w:bottom="1440" w:left="1474" w:header="851" w:footer="992" w:gutter="0"/>
          <w:pgNumType w:fmt="decimal"/>
          <w:cols w:space="720" w:num="1"/>
          <w:docGrid w:linePitch="312" w:charSpace="0"/>
        </w:sectPr>
      </w:pPr>
    </w:p>
    <w:p>
      <w:pPr>
        <w:tabs>
          <w:tab w:val="left" w:pos="3600"/>
        </w:tabs>
        <w:adjustRightInd w:val="0"/>
        <w:snapToGrid w:val="0"/>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2.投标人近3年完成的类似业绩证明材料</w:t>
      </w:r>
    </w:p>
    <w:p>
      <w:pPr>
        <w:spacing w:beforeLines="100" w:line="400" w:lineRule="exact"/>
        <w:jc w:val="center"/>
        <w:rPr>
          <w:rFonts w:ascii="黑体" w:hAnsi="黑体" w:eastAsia="黑体" w:cs="黑体"/>
          <w:bCs/>
          <w:color w:val="auto"/>
          <w:sz w:val="36"/>
          <w:szCs w:val="36"/>
          <w:highlight w:val="none"/>
        </w:rPr>
      </w:pPr>
      <w:r>
        <w:rPr>
          <w:rFonts w:hint="eastAsia" w:ascii="黑体" w:hAnsi="黑体" w:eastAsia="黑体" w:cs="黑体"/>
          <w:bCs/>
          <w:color w:val="auto"/>
          <w:sz w:val="36"/>
          <w:szCs w:val="36"/>
          <w:highlight w:val="none"/>
        </w:rPr>
        <w:t>近3年类似项目业绩一览表</w:t>
      </w:r>
    </w:p>
    <w:p>
      <w:pPr>
        <w:spacing w:after="120" w:line="400" w:lineRule="exact"/>
        <w:ind w:firstLine="210" w:firstLineChars="100"/>
        <w:rPr>
          <w:rFonts w:ascii="仿宋" w:hAnsi="仿宋" w:eastAsia="仿宋" w:cs="仿宋"/>
          <w:bCs/>
          <w:color w:val="auto"/>
          <w:szCs w:val="21"/>
          <w:highlight w:val="none"/>
        </w:rPr>
      </w:pPr>
      <w:r>
        <w:rPr>
          <w:rFonts w:hint="eastAsia" w:ascii="仿宋" w:hAnsi="仿宋" w:eastAsia="仿宋" w:cs="仿宋"/>
          <w:bCs/>
          <w:color w:val="auto"/>
          <w:szCs w:val="21"/>
          <w:highlight w:val="none"/>
        </w:rPr>
        <w:t>投标人名称：                                                单位： 元</w:t>
      </w:r>
    </w:p>
    <w:tbl>
      <w:tblPr>
        <w:tblStyle w:val="29"/>
        <w:tblW w:w="926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596"/>
        <w:gridCol w:w="1288"/>
        <w:gridCol w:w="1436"/>
        <w:gridCol w:w="1440"/>
        <w:gridCol w:w="9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年份</w:t>
            </w:r>
          </w:p>
        </w:tc>
        <w:tc>
          <w:tcPr>
            <w:tcW w:w="1620"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用户名称</w:t>
            </w:r>
          </w:p>
        </w:tc>
        <w:tc>
          <w:tcPr>
            <w:tcW w:w="1596"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项目名称</w:t>
            </w:r>
          </w:p>
        </w:tc>
        <w:tc>
          <w:tcPr>
            <w:tcW w:w="1288"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合同金额</w:t>
            </w:r>
          </w:p>
        </w:tc>
        <w:tc>
          <w:tcPr>
            <w:tcW w:w="1436"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完成时间</w:t>
            </w:r>
          </w:p>
        </w:tc>
        <w:tc>
          <w:tcPr>
            <w:tcW w:w="1440"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完成质量</w:t>
            </w:r>
          </w:p>
        </w:tc>
        <w:tc>
          <w:tcPr>
            <w:tcW w:w="988" w:type="dxa"/>
            <w:vAlign w:val="center"/>
          </w:tcPr>
          <w:p>
            <w:pPr>
              <w:pStyle w:val="7"/>
              <w:ind w:firstLine="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tcPr>
          <w:p>
            <w:pPr>
              <w:pStyle w:val="7"/>
              <w:ind w:firstLine="0"/>
              <w:rPr>
                <w:rFonts w:ascii="仿宋" w:hAnsi="仿宋" w:eastAsia="仿宋" w:cs="仿宋"/>
                <w:color w:val="auto"/>
                <w:sz w:val="24"/>
                <w:szCs w:val="24"/>
                <w:highlight w:val="none"/>
              </w:rPr>
            </w:pPr>
          </w:p>
        </w:tc>
        <w:tc>
          <w:tcPr>
            <w:tcW w:w="1620" w:type="dxa"/>
          </w:tcPr>
          <w:p>
            <w:pPr>
              <w:pStyle w:val="7"/>
              <w:ind w:firstLine="0"/>
              <w:rPr>
                <w:rFonts w:ascii="仿宋" w:hAnsi="仿宋" w:eastAsia="仿宋" w:cs="仿宋"/>
                <w:color w:val="auto"/>
                <w:sz w:val="24"/>
                <w:szCs w:val="24"/>
                <w:highlight w:val="none"/>
              </w:rPr>
            </w:pPr>
          </w:p>
        </w:tc>
        <w:tc>
          <w:tcPr>
            <w:tcW w:w="1596" w:type="dxa"/>
          </w:tcPr>
          <w:p>
            <w:pPr>
              <w:pStyle w:val="7"/>
              <w:ind w:firstLine="0"/>
              <w:rPr>
                <w:rFonts w:ascii="仿宋" w:hAnsi="仿宋" w:eastAsia="仿宋" w:cs="仿宋"/>
                <w:color w:val="auto"/>
                <w:sz w:val="24"/>
                <w:szCs w:val="24"/>
                <w:highlight w:val="none"/>
              </w:rPr>
            </w:pPr>
          </w:p>
        </w:tc>
        <w:tc>
          <w:tcPr>
            <w:tcW w:w="1288" w:type="dxa"/>
          </w:tcPr>
          <w:p>
            <w:pPr>
              <w:pStyle w:val="7"/>
              <w:ind w:firstLine="0"/>
              <w:rPr>
                <w:rFonts w:ascii="仿宋" w:hAnsi="仿宋" w:eastAsia="仿宋" w:cs="仿宋"/>
                <w:color w:val="auto"/>
                <w:sz w:val="24"/>
                <w:szCs w:val="24"/>
                <w:highlight w:val="none"/>
              </w:rPr>
            </w:pPr>
          </w:p>
        </w:tc>
        <w:tc>
          <w:tcPr>
            <w:tcW w:w="1436" w:type="dxa"/>
          </w:tcPr>
          <w:p>
            <w:pPr>
              <w:pStyle w:val="7"/>
              <w:ind w:firstLine="0"/>
              <w:rPr>
                <w:rFonts w:ascii="仿宋" w:hAnsi="仿宋" w:eastAsia="仿宋" w:cs="仿宋"/>
                <w:color w:val="auto"/>
                <w:sz w:val="24"/>
                <w:szCs w:val="24"/>
                <w:highlight w:val="none"/>
              </w:rPr>
            </w:pPr>
          </w:p>
        </w:tc>
        <w:tc>
          <w:tcPr>
            <w:tcW w:w="1440" w:type="dxa"/>
          </w:tcPr>
          <w:p>
            <w:pPr>
              <w:pStyle w:val="7"/>
              <w:ind w:firstLine="0"/>
              <w:rPr>
                <w:rFonts w:ascii="仿宋" w:hAnsi="仿宋" w:eastAsia="仿宋" w:cs="仿宋"/>
                <w:color w:val="auto"/>
                <w:sz w:val="24"/>
                <w:szCs w:val="24"/>
                <w:highlight w:val="none"/>
              </w:rPr>
            </w:pPr>
          </w:p>
        </w:tc>
        <w:tc>
          <w:tcPr>
            <w:tcW w:w="988" w:type="dxa"/>
          </w:tcPr>
          <w:p>
            <w:pPr>
              <w:pStyle w:val="7"/>
              <w:ind w:firstLine="0"/>
              <w:rPr>
                <w:rFonts w:ascii="仿宋" w:hAnsi="仿宋" w:eastAsia="仿宋" w:cs="仿宋"/>
                <w:color w:val="auto"/>
                <w:sz w:val="24"/>
                <w:szCs w:val="24"/>
                <w:highlight w:val="none"/>
              </w:rPr>
            </w:pPr>
          </w:p>
        </w:tc>
      </w:tr>
    </w:tbl>
    <w:p>
      <w:pPr>
        <w:pStyle w:val="7"/>
        <w:rPr>
          <w:color w:val="auto"/>
          <w:highlight w:val="none"/>
        </w:rPr>
      </w:pPr>
    </w:p>
    <w:p>
      <w:pPr>
        <w:autoSpaceDE w:val="0"/>
        <w:autoSpaceDN w:val="0"/>
        <w:spacing w:line="360" w:lineRule="auto"/>
        <w:rPr>
          <w:rFonts w:ascii="仿宋" w:hAnsi="仿宋" w:eastAsia="仿宋" w:cs="仿宋"/>
          <w:color w:val="auto"/>
          <w:kern w:val="0"/>
          <w:highlight w:val="none"/>
          <w:lang w:val="zh-CN"/>
        </w:rPr>
      </w:pPr>
      <w:r>
        <w:rPr>
          <w:rFonts w:hint="eastAsia" w:ascii="仿宋" w:hAnsi="仿宋" w:eastAsia="仿宋" w:cs="仿宋"/>
          <w:color w:val="auto"/>
          <w:szCs w:val="21"/>
          <w:highlight w:val="none"/>
        </w:rPr>
        <w:t>说明：1.</w:t>
      </w:r>
      <w:r>
        <w:rPr>
          <w:rFonts w:hint="eastAsia" w:ascii="仿宋" w:hAnsi="仿宋" w:eastAsia="仿宋" w:cs="仿宋"/>
          <w:color w:val="auto"/>
          <w:kern w:val="0"/>
          <w:highlight w:val="none"/>
          <w:lang w:val="zh-CN"/>
        </w:rPr>
        <w:t>提供自</w:t>
      </w:r>
      <w:r>
        <w:rPr>
          <w:rFonts w:hint="eastAsia" w:ascii="仿宋" w:hAnsi="仿宋" w:eastAsia="仿宋" w:cs="仿宋"/>
          <w:color w:val="auto"/>
          <w:kern w:val="0"/>
          <w:highlight w:val="none"/>
          <w:u w:val="single"/>
          <w:lang w:val="zh-CN"/>
        </w:rPr>
        <w:t>20</w:t>
      </w:r>
      <w:r>
        <w:rPr>
          <w:rFonts w:hint="eastAsia" w:ascii="仿宋" w:hAnsi="仿宋" w:eastAsia="仿宋" w:cs="仿宋"/>
          <w:color w:val="auto"/>
          <w:kern w:val="0"/>
          <w:highlight w:val="none"/>
          <w:u w:val="single"/>
          <w:lang w:val="en-US" w:eastAsia="zh-CN"/>
        </w:rPr>
        <w:t>20</w:t>
      </w:r>
      <w:r>
        <w:rPr>
          <w:rFonts w:hint="eastAsia" w:ascii="仿宋" w:hAnsi="仿宋" w:eastAsia="仿宋" w:cs="仿宋"/>
          <w:color w:val="auto"/>
          <w:kern w:val="0"/>
          <w:highlight w:val="none"/>
          <w:lang w:val="zh-CN"/>
        </w:rPr>
        <w:t>年</w:t>
      </w:r>
      <w:r>
        <w:rPr>
          <w:rFonts w:hint="eastAsia" w:ascii="仿宋" w:hAnsi="仿宋" w:eastAsia="仿宋" w:cs="仿宋"/>
          <w:color w:val="auto"/>
          <w:kern w:val="0"/>
          <w:highlight w:val="none"/>
          <w:lang w:val="en-US" w:eastAsia="zh-CN"/>
        </w:rPr>
        <w:t>7月</w:t>
      </w:r>
      <w:r>
        <w:rPr>
          <w:rFonts w:hint="eastAsia" w:ascii="仿宋" w:hAnsi="仿宋" w:eastAsia="仿宋" w:cs="仿宋"/>
          <w:color w:val="auto"/>
          <w:kern w:val="0"/>
          <w:highlight w:val="none"/>
          <w:lang w:val="zh-CN"/>
        </w:rPr>
        <w:t>以来的类似业绩证明材料。</w:t>
      </w:r>
    </w:p>
    <w:p>
      <w:pPr>
        <w:autoSpaceDE w:val="0"/>
        <w:autoSpaceDN w:val="0"/>
        <w:spacing w:line="360" w:lineRule="auto"/>
        <w:ind w:firstLine="630" w:firstLineChars="300"/>
        <w:rPr>
          <w:rFonts w:ascii="仿宋" w:hAnsi="仿宋" w:eastAsia="仿宋" w:cs="仿宋"/>
          <w:color w:val="auto"/>
          <w:szCs w:val="21"/>
          <w:highlight w:val="none"/>
        </w:rPr>
      </w:pPr>
      <w:r>
        <w:rPr>
          <w:rFonts w:hint="eastAsia" w:ascii="仿宋" w:hAnsi="仿宋" w:eastAsia="仿宋" w:cs="仿宋"/>
          <w:color w:val="auto"/>
          <w:kern w:val="0"/>
          <w:highlight w:val="none"/>
          <w:lang w:val="zh-CN"/>
        </w:rPr>
        <w:t>2.以</w:t>
      </w:r>
      <w:r>
        <w:rPr>
          <w:rFonts w:hint="eastAsia" w:ascii="仿宋" w:hAnsi="仿宋" w:eastAsia="仿宋" w:cs="仿宋"/>
          <w:color w:val="auto"/>
          <w:kern w:val="0"/>
          <w:highlight w:val="none"/>
          <w:lang w:val="zh-CN" w:eastAsia="zh-CN"/>
        </w:rPr>
        <w:t>加盖公章的</w:t>
      </w:r>
      <w:r>
        <w:rPr>
          <w:rFonts w:hint="eastAsia" w:ascii="仿宋" w:hAnsi="仿宋" w:eastAsia="仿宋" w:cs="仿宋"/>
          <w:color w:val="auto"/>
          <w:kern w:val="0"/>
          <w:highlight w:val="none"/>
          <w:lang w:val="zh-CN"/>
        </w:rPr>
        <w:t>中标通知书或合同复印件</w:t>
      </w:r>
      <w:r>
        <w:rPr>
          <w:rFonts w:hint="eastAsia" w:ascii="仿宋" w:hAnsi="仿宋" w:eastAsia="仿宋" w:cs="仿宋"/>
          <w:color w:val="auto"/>
          <w:kern w:val="0"/>
          <w:highlight w:val="none"/>
          <w:lang w:val="zh-CN" w:eastAsia="zh-CN"/>
        </w:rPr>
        <w:t>为准，日期以签发日期为准</w:t>
      </w:r>
      <w:r>
        <w:rPr>
          <w:rFonts w:hint="eastAsia" w:ascii="仿宋" w:hAnsi="仿宋" w:eastAsia="仿宋" w:cs="仿宋"/>
          <w:color w:val="auto"/>
          <w:szCs w:val="21"/>
          <w:highlight w:val="none"/>
        </w:rPr>
        <w:t>。</w:t>
      </w:r>
    </w:p>
    <w:p>
      <w:pPr>
        <w:autoSpaceDE w:val="0"/>
        <w:autoSpaceDN w:val="0"/>
        <w:spacing w:line="360" w:lineRule="auto"/>
        <w:ind w:firstLine="630" w:firstLineChars="300"/>
        <w:rPr>
          <w:rFonts w:ascii="楷体" w:hAnsi="楷体" w:eastAsia="楷体"/>
          <w:bCs/>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bCs/>
          <w:color w:val="auto"/>
          <w:szCs w:val="21"/>
          <w:highlight w:val="none"/>
        </w:rPr>
        <w:t>未按上述要求提供、</w:t>
      </w:r>
      <w:r>
        <w:rPr>
          <w:rFonts w:hint="eastAsia" w:ascii="仿宋" w:hAnsi="仿宋" w:eastAsia="仿宋" w:cs="仿宋"/>
          <w:color w:val="auto"/>
          <w:szCs w:val="21"/>
          <w:highlight w:val="none"/>
        </w:rPr>
        <w:t>填写</w:t>
      </w:r>
      <w:r>
        <w:rPr>
          <w:rFonts w:hint="eastAsia" w:ascii="仿宋" w:hAnsi="仿宋" w:eastAsia="仿宋" w:cs="仿宋"/>
          <w:bCs/>
          <w:color w:val="auto"/>
          <w:szCs w:val="21"/>
          <w:highlight w:val="none"/>
        </w:rPr>
        <w:t>的，评标时不予加分。</w:t>
      </w:r>
    </w:p>
    <w:p>
      <w:pPr>
        <w:adjustRightInd w:val="0"/>
        <w:spacing w:beforeLines="150" w:line="240" w:lineRule="exact"/>
        <w:jc w:val="left"/>
        <w:rPr>
          <w:rFonts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（单位盖章）</w:t>
      </w:r>
    </w:p>
    <w:p>
      <w:pPr>
        <w:pStyle w:val="60"/>
        <w:spacing w:beforeLines="150" w:line="240" w:lineRule="exact"/>
        <w:rPr>
          <w:rFonts w:ascii="宋体" w:hAnsi="宋体"/>
          <w:color w:val="auto"/>
          <w:highlight w:val="none"/>
        </w:rPr>
      </w:pPr>
      <w:r>
        <w:rPr>
          <w:rFonts w:hint="eastAsia" w:ascii="宋体" w:hAnsi="宋体"/>
          <w:color w:val="auto"/>
          <w:highlight w:val="none"/>
        </w:rPr>
        <w:t>法定代表人或委托代理人</w:t>
      </w:r>
      <w:r>
        <w:rPr>
          <w:rFonts w:hint="eastAsia" w:ascii="宋体" w:hAnsi="宋体"/>
          <w:color w:val="auto"/>
          <w:highlight w:val="none"/>
          <w:u w:val="single"/>
        </w:rPr>
        <w:t xml:space="preserve">                </w:t>
      </w:r>
      <w:r>
        <w:rPr>
          <w:rFonts w:hint="eastAsia" w:ascii="宋体" w:hAnsi="宋体"/>
          <w:color w:val="auto"/>
          <w:highlight w:val="none"/>
        </w:rPr>
        <w:t>（签字</w:t>
      </w:r>
      <w:r>
        <w:rPr>
          <w:rFonts w:hint="eastAsia" w:ascii="宋体" w:hAnsi="宋体"/>
          <w:color w:val="auto"/>
          <w:highlight w:val="none"/>
          <w:lang w:val="en-US" w:eastAsia="zh-CN"/>
        </w:rPr>
        <w:t>或盖章</w:t>
      </w:r>
      <w:r>
        <w:rPr>
          <w:rFonts w:hint="eastAsia" w:ascii="宋体" w:hAnsi="宋体"/>
          <w:color w:val="auto"/>
          <w:highlight w:val="none"/>
        </w:rPr>
        <w:t>）</w:t>
      </w:r>
    </w:p>
    <w:p>
      <w:pPr>
        <w:pStyle w:val="60"/>
        <w:spacing w:beforeLines="150" w:line="240" w:lineRule="exact"/>
        <w:rPr>
          <w:rFonts w:ascii="宋体" w:hAnsi="宋体"/>
          <w:color w:val="auto"/>
          <w:highlight w:val="none"/>
        </w:rPr>
      </w:pPr>
      <w:r>
        <w:rPr>
          <w:rFonts w:hint="eastAsia" w:ascii="宋体" w:hAnsi="宋体"/>
          <w:bCs/>
          <w:color w:val="auto"/>
          <w:highlight w:val="none"/>
        </w:rPr>
        <w:t xml:space="preserve">日    期:  20   年   月   日   </w:t>
      </w:r>
    </w:p>
    <w:p>
      <w:pPr>
        <w:adjustRightInd w:val="0"/>
        <w:spacing w:line="400" w:lineRule="exact"/>
        <w:jc w:val="center"/>
        <w:rPr>
          <w:rFonts w:ascii="宋体" w:hAnsi="宋体"/>
          <w:b/>
          <w:bCs/>
          <w:color w:val="auto"/>
          <w:sz w:val="36"/>
          <w:szCs w:val="36"/>
          <w:highlight w:val="none"/>
        </w:rPr>
        <w:sectPr>
          <w:pgSz w:w="11907" w:h="16840"/>
          <w:pgMar w:top="1440" w:right="1474" w:bottom="1440" w:left="1474" w:header="851" w:footer="992" w:gutter="0"/>
          <w:pgNumType w:fmt="decimal"/>
          <w:cols w:space="720" w:num="1"/>
          <w:docGrid w:linePitch="312" w:charSpace="0"/>
        </w:sectPr>
      </w:pPr>
    </w:p>
    <w:p>
      <w:pPr>
        <w:pStyle w:val="7"/>
        <w:spacing w:beforeLines="50" w:afterLines="50"/>
        <w:ind w:firstLine="0"/>
        <w:jc w:val="center"/>
        <w:rPr>
          <w:b/>
          <w:color w:val="auto"/>
          <w:sz w:val="44"/>
          <w:szCs w:val="44"/>
          <w:highlight w:val="none"/>
        </w:rPr>
      </w:pPr>
      <w:bookmarkStart w:id="122" w:name="_Toc2331451"/>
      <w:bookmarkStart w:id="123" w:name="_Toc475451805"/>
      <w:bookmarkStart w:id="124" w:name="_Toc475451558"/>
      <w:r>
        <w:rPr>
          <w:rFonts w:hint="eastAsia"/>
          <w:b/>
          <w:color w:val="auto"/>
          <w:sz w:val="44"/>
          <w:szCs w:val="44"/>
          <w:highlight w:val="none"/>
        </w:rPr>
        <w:t>八、投标人承诺书</w:t>
      </w:r>
      <w:bookmarkEnd w:id="122"/>
      <w:bookmarkEnd w:id="123"/>
      <w:bookmarkEnd w:id="124"/>
    </w:p>
    <w:p>
      <w:pPr>
        <w:autoSpaceDE w:val="0"/>
        <w:autoSpaceDN w:val="0"/>
        <w:adjustRightInd w:val="0"/>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华智建造价咨询有限公司</w:t>
      </w:r>
      <w:r>
        <w:rPr>
          <w:rFonts w:hint="eastAsia" w:asciiTheme="minorEastAsia" w:hAnsiTheme="minorEastAsia" w:eastAsiaTheme="minorEastAsia" w:cstheme="minorEastAsia"/>
          <w:color w:val="auto"/>
          <w:sz w:val="24"/>
          <w:highlight w:val="none"/>
        </w:rPr>
        <w:t>：</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（投标人名称），就参加 </w:t>
      </w:r>
      <w:r>
        <w:rPr>
          <w:rFonts w:hint="eastAsia" w:asciiTheme="minorEastAsia" w:hAnsiTheme="minorEastAsia" w:eastAsiaTheme="minorEastAsia" w:cstheme="minorEastAsia"/>
          <w:color w:val="auto"/>
          <w:sz w:val="24"/>
          <w:highlight w:val="none"/>
          <w:u w:val="single"/>
          <w:lang w:eastAsia="zh-CN"/>
        </w:rPr>
        <w:t>白水县2021年-2022年高标准农田改造提升项目</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lang w:eastAsia="zh-CN"/>
        </w:rPr>
        <w:t>标段</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（采购项目编号：</w:t>
      </w:r>
      <w:r>
        <w:rPr>
          <w:rFonts w:hint="eastAsia" w:asciiTheme="minorEastAsia" w:hAnsiTheme="minorEastAsia" w:eastAsiaTheme="minorEastAsia" w:cstheme="minorEastAsia"/>
          <w:color w:val="auto"/>
          <w:sz w:val="24"/>
          <w:highlight w:val="none"/>
          <w:lang w:eastAsia="zh-CN"/>
        </w:rPr>
        <w:t>HZJZS2023-0092-3</w:t>
      </w:r>
      <w:r>
        <w:rPr>
          <w:rFonts w:hint="eastAsia" w:asciiTheme="minorEastAsia" w:hAnsiTheme="minorEastAsia" w:eastAsiaTheme="minorEastAsia" w:cstheme="minorEastAsia"/>
          <w:color w:val="auto"/>
          <w:sz w:val="24"/>
          <w:highlight w:val="none"/>
        </w:rPr>
        <w:t xml:space="preserve"> ）投标事宜，在此郑重声明：</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1.我方所提交的投标文件全部真实有效；</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2.我方近3年来无因安全事故、质量事故、投标违规等不良记录被政府有关部门处罚或仍在处罚期限内的情形存在；</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3.我方近3年来无违规违法经营受到责令停产(或停止经营)、吊销生产许可证（或经营许可证）、较大数额罚款（举行听证会）等行政处罚的情形存在；</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4.我方无企业财产被查封、冻结或处于破产状态或严重亏损状态等情形存在；</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5.我方承诺在投标过程中，保证不予其他单位围标、串标，不出让投标资格，不采取不正当手段诋毁、排挤其他投标人，不向采购人、采购代理机构、评标委员会成员行贿；</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6.我方参加政府采购活动近3年内，在经营活动中没有重大违法记录；</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7.我方在投标时未列入政府采购严重违法失信行为记录名单。</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以上声明若有违反，一经查实，我方愿意接受政府有关部门的相应处罚，并愿意承担由此带来的法律后果。</w:t>
      </w:r>
    </w:p>
    <w:p>
      <w:pPr>
        <w:autoSpaceDE w:val="0"/>
        <w:autoSpaceDN w:val="0"/>
        <w:adjustRightInd w:val="0"/>
        <w:spacing w:line="360" w:lineRule="auto"/>
        <w:ind w:firstLine="480" w:firstLineChars="200"/>
        <w:rPr>
          <w:rFonts w:asciiTheme="minorEastAsia" w:hAnsiTheme="minorEastAsia" w:eastAsiaTheme="minorEastAsia" w:cstheme="minorEastAsia"/>
          <w:color w:val="auto"/>
          <w:sz w:val="24"/>
          <w:highlight w:val="none"/>
        </w:rPr>
      </w:pP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特此声明！</w:t>
      </w:r>
    </w:p>
    <w:p>
      <w:pPr>
        <w:autoSpaceDE w:val="0"/>
        <w:autoSpaceDN w:val="0"/>
        <w:adjustRightInd w:val="0"/>
        <w:spacing w:line="480" w:lineRule="auto"/>
        <w:ind w:firstLine="420" w:firstLineChars="200"/>
        <w:rPr>
          <w:rFonts w:ascii="仿宋" w:hAnsi="仿宋" w:eastAsia="仿宋" w:cs="仿宋"/>
          <w:color w:val="auto"/>
          <w:szCs w:val="21"/>
          <w:highlight w:val="none"/>
        </w:rPr>
      </w:pP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声  明  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(供应商名称、盖单位章)</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（签字或盖章）</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      期：</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autoSpaceDE w:val="0"/>
        <w:autoSpaceDN w:val="0"/>
        <w:adjustRightInd w:val="0"/>
        <w:spacing w:line="360" w:lineRule="auto"/>
        <w:ind w:firstLine="560" w:firstLineChars="200"/>
        <w:rPr>
          <w:rFonts w:asciiTheme="minorEastAsia" w:hAnsiTheme="minorEastAsia" w:eastAsiaTheme="minorEastAsia" w:cstheme="minorEastAsia"/>
          <w:color w:val="auto"/>
          <w:sz w:val="28"/>
          <w:szCs w:val="28"/>
          <w:highlight w:val="none"/>
        </w:rPr>
      </w:pPr>
    </w:p>
    <w:p>
      <w:pPr>
        <w:autoSpaceDE w:val="0"/>
        <w:autoSpaceDN w:val="0"/>
        <w:adjustRightInd w:val="0"/>
        <w:spacing w:line="360" w:lineRule="auto"/>
        <w:ind w:firstLine="560" w:firstLineChars="200"/>
        <w:rPr>
          <w:rFonts w:ascii="仿宋" w:hAnsi="仿宋" w:eastAsia="仿宋"/>
          <w:color w:val="auto"/>
          <w:sz w:val="28"/>
          <w:szCs w:val="28"/>
          <w:highlight w:val="none"/>
        </w:rPr>
      </w:pPr>
    </w:p>
    <w:p>
      <w:pPr>
        <w:autoSpaceDE w:val="0"/>
        <w:autoSpaceDN w:val="0"/>
        <w:adjustRightInd w:val="0"/>
        <w:spacing w:line="360" w:lineRule="auto"/>
        <w:ind w:firstLine="560" w:firstLineChars="200"/>
        <w:rPr>
          <w:rFonts w:ascii="仿宋" w:hAnsi="仿宋" w:eastAsia="仿宋"/>
          <w:color w:val="auto"/>
          <w:sz w:val="28"/>
          <w:szCs w:val="28"/>
          <w:highlight w:val="none"/>
        </w:rPr>
      </w:pPr>
    </w:p>
    <w:p>
      <w:pPr>
        <w:autoSpaceDE w:val="0"/>
        <w:autoSpaceDN w:val="0"/>
        <w:adjustRightInd w:val="0"/>
        <w:snapToGrid w:val="0"/>
        <w:spacing w:line="360" w:lineRule="auto"/>
        <w:jc w:val="center"/>
        <w:outlineLvl w:val="1"/>
        <w:rPr>
          <w:b/>
          <w:color w:val="auto"/>
          <w:sz w:val="44"/>
          <w:szCs w:val="44"/>
          <w:highlight w:val="none"/>
        </w:rPr>
      </w:pPr>
      <w:r>
        <w:rPr>
          <w:rFonts w:ascii="仿宋" w:hAnsi="仿宋" w:eastAsia="仿宋"/>
          <w:bCs/>
          <w:color w:val="auto"/>
          <w:sz w:val="32"/>
          <w:szCs w:val="32"/>
          <w:highlight w:val="none"/>
        </w:rPr>
        <w:br w:type="page"/>
      </w:r>
      <w:bookmarkStart w:id="125" w:name="_Toc2331452"/>
      <w:r>
        <w:rPr>
          <w:rFonts w:hint="eastAsia"/>
          <w:b/>
          <w:color w:val="auto"/>
          <w:sz w:val="44"/>
          <w:szCs w:val="44"/>
          <w:highlight w:val="none"/>
        </w:rPr>
        <w:t>九、供应商企业关系关联承诺书</w:t>
      </w:r>
      <w:bookmarkEnd w:id="125"/>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一、供应商股东组成(附国家企业信用信息公示系统截图)。</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二、供应商在本项目投标中，不存在与其它供应商负责人为同一人，有控股、管理等关联关系承诺。</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1.管理关系说明：</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我单位管理的具有独立法人的下属单位：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(没有填无)。</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我单位的上级管理单位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(没有填无)。</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2.股权关系说明：</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我单位控股的单位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(没有填无) 。</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(没有填无)被</w:t>
      </w:r>
      <w:r>
        <w:rPr>
          <w:rFonts w:hint="eastAsia" w:asciiTheme="minorEastAsia" w:hAnsiTheme="minorEastAsia" w:eastAsiaTheme="minorEastAsia" w:cstheme="minorEastAsia"/>
          <w:color w:val="auto"/>
          <w:szCs w:val="21"/>
          <w:highlight w:val="none"/>
          <w:u w:val="single"/>
        </w:rPr>
        <w:t xml:space="preserve">   （控股单位全称）  </w:t>
      </w:r>
      <w:r>
        <w:rPr>
          <w:rFonts w:hint="eastAsia" w:asciiTheme="minorEastAsia" w:hAnsiTheme="minorEastAsia" w:eastAsiaTheme="minorEastAsia" w:cstheme="minorEastAsia"/>
          <w:color w:val="auto"/>
          <w:szCs w:val="21"/>
          <w:highlight w:val="none"/>
        </w:rPr>
        <w:t>单位控股。</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3.单位负责人：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(没有填无)。</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三、我单位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（是或否）为本采购项目提供过整体设计、规范编制或者项目管理、监理、检测等服务的供应商。</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四、其他与本项目有关的利害关系说明。</w:t>
      </w:r>
    </w:p>
    <w:p>
      <w:pPr>
        <w:autoSpaceDE w:val="0"/>
        <w:autoSpaceDN w:val="0"/>
        <w:adjustRightInd w:val="0"/>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我单位承诺以上说明真实有效，无虚假内容或隐瞒。</w:t>
      </w:r>
    </w:p>
    <w:p>
      <w:pPr>
        <w:autoSpaceDE w:val="0"/>
        <w:autoSpaceDN w:val="0"/>
        <w:adjustRightInd w:val="0"/>
        <w:spacing w:line="480" w:lineRule="auto"/>
        <w:rPr>
          <w:rFonts w:asciiTheme="minorEastAsia" w:hAnsiTheme="minorEastAsia" w:eastAsiaTheme="minorEastAsia" w:cstheme="minorEastAsia"/>
          <w:color w:val="auto"/>
          <w:szCs w:val="21"/>
          <w:highlight w:val="none"/>
        </w:rPr>
      </w:pPr>
    </w:p>
    <w:p>
      <w:pPr>
        <w:autoSpaceDE w:val="0"/>
        <w:autoSpaceDN w:val="0"/>
        <w:adjustRightInd w:val="0"/>
        <w:spacing w:line="480" w:lineRule="auto"/>
        <w:jc w:val="center"/>
        <w:rPr>
          <w:rFonts w:asciiTheme="minorEastAsia" w:hAnsiTheme="minorEastAsia" w:eastAsiaTheme="minorEastAsia" w:cstheme="minorEastAsia"/>
          <w:b/>
          <w:color w:val="auto"/>
          <w:szCs w:val="21"/>
          <w:highlight w:val="none"/>
        </w:rPr>
      </w:pPr>
    </w:p>
    <w:p>
      <w:pPr>
        <w:spacing w:line="480" w:lineRule="auto"/>
        <w:ind w:firstLine="1680" w:firstLineChars="8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供应商（公章）：</w:t>
      </w:r>
      <w:r>
        <w:rPr>
          <w:rFonts w:hint="eastAsia" w:asciiTheme="minorEastAsia" w:hAnsiTheme="minorEastAsia" w:eastAsiaTheme="minorEastAsia" w:cstheme="minorEastAsia"/>
          <w:color w:val="auto"/>
          <w:szCs w:val="21"/>
          <w:highlight w:val="none"/>
          <w:u w:val="single"/>
        </w:rPr>
        <w:t xml:space="preserve">                             </w:t>
      </w:r>
    </w:p>
    <w:p>
      <w:pPr>
        <w:spacing w:line="480" w:lineRule="auto"/>
        <w:ind w:firstLine="1680" w:firstLineChars="8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法定代表人/授权代表（签字或盖章）：</w:t>
      </w:r>
      <w:r>
        <w:rPr>
          <w:rFonts w:hint="eastAsia" w:asciiTheme="minorEastAsia" w:hAnsiTheme="minorEastAsia" w:eastAsiaTheme="minorEastAsia" w:cstheme="minorEastAsia"/>
          <w:color w:val="auto"/>
          <w:szCs w:val="21"/>
          <w:highlight w:val="none"/>
          <w:u w:val="single"/>
        </w:rPr>
        <w:t xml:space="preserve">          </w:t>
      </w:r>
    </w:p>
    <w:p>
      <w:pPr>
        <w:spacing w:line="480" w:lineRule="auto"/>
        <w:ind w:firstLine="1680" w:firstLineChars="800"/>
        <w:rPr>
          <w:rFonts w:ascii="仿宋" w:hAnsi="仿宋" w:eastAsia="仿宋"/>
          <w:color w:val="auto"/>
          <w:szCs w:val="21"/>
          <w:highlight w:val="none"/>
          <w:u w:val="single"/>
        </w:rPr>
      </w:pPr>
      <w:r>
        <w:rPr>
          <w:rFonts w:hint="eastAsia" w:asciiTheme="minorEastAsia" w:hAnsiTheme="minorEastAsia" w:eastAsiaTheme="minorEastAsia" w:cstheme="minorEastAsia"/>
          <w:color w:val="auto"/>
          <w:szCs w:val="21"/>
          <w:highlight w:val="none"/>
        </w:rPr>
        <w:t>日    期：</w:t>
      </w:r>
      <w:r>
        <w:rPr>
          <w:rFonts w:hint="eastAsia" w:asciiTheme="minorEastAsia" w:hAnsiTheme="minorEastAsia" w:eastAsiaTheme="minorEastAsia" w:cstheme="minorEastAsia"/>
          <w:color w:val="auto"/>
          <w:szCs w:val="21"/>
          <w:highlight w:val="none"/>
          <w:u w:val="single"/>
        </w:rPr>
        <w:t xml:space="preserve">                                 </w:t>
      </w:r>
      <w:r>
        <w:rPr>
          <w:rFonts w:hint="eastAsia" w:ascii="仿宋" w:hAnsi="仿宋" w:eastAsia="仿宋"/>
          <w:color w:val="auto"/>
          <w:szCs w:val="21"/>
          <w:highlight w:val="none"/>
          <w:u w:val="single"/>
        </w:rPr>
        <w:t xml:space="preserve"> </w:t>
      </w:r>
    </w:p>
    <w:p>
      <w:pPr>
        <w:adjustRightInd w:val="0"/>
        <w:snapToGrid w:val="0"/>
        <w:spacing w:line="360" w:lineRule="auto"/>
        <w:jc w:val="center"/>
        <w:outlineLvl w:val="1"/>
        <w:rPr>
          <w:b/>
          <w:color w:val="auto"/>
          <w:sz w:val="44"/>
          <w:szCs w:val="44"/>
          <w:highlight w:val="none"/>
        </w:rPr>
      </w:pPr>
      <w:r>
        <w:rPr>
          <w:rFonts w:ascii="仿宋" w:hAnsi="仿宋" w:eastAsia="仿宋"/>
          <w:color w:val="auto"/>
          <w:sz w:val="32"/>
          <w:highlight w:val="none"/>
          <w:u w:val="single"/>
        </w:rPr>
        <w:br w:type="page"/>
      </w:r>
      <w:bookmarkStart w:id="126" w:name="_Toc2331453"/>
      <w:r>
        <w:rPr>
          <w:rFonts w:hint="eastAsia"/>
          <w:b/>
          <w:color w:val="auto"/>
          <w:sz w:val="44"/>
          <w:szCs w:val="44"/>
          <w:highlight w:val="none"/>
        </w:rPr>
        <w:t>十、拒绝政府采购领域商业贿赂承诺书</w:t>
      </w:r>
      <w:bookmarkEnd w:id="126"/>
    </w:p>
    <w:p>
      <w:pPr>
        <w:autoSpaceDE w:val="0"/>
        <w:autoSpaceDN w:val="0"/>
        <w:adjustRightInd w:val="0"/>
        <w:spacing w:line="56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为响应党中央、国务院关于治理政府采购领域商业贿赂行为的号召，我公司在此庄严承诺：</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一、在参与政府采购活动中遵纪守法、诚信经营、公平竞标。</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二、不向政府采购人、采购代理机构和政府采购评审专家进行任何形式的商业贿赂以谋取交易机会。</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三、不向政府采购代理机构和采购人提供虚假资质证明文件或采用虚假应标方式参与政府采购市场竞争并谋取中标、成交。</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四、不采取“围标、陪标”等商业欺诈手段获得政府采购订单。</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五、不采取不正当手段诋毁、排挤其他供应商。</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六、不在提供货物和服务时“偷梁换柱、以次充好”损害采购人的合法权益。</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七、不与采购人、采购代理机构、政府采购评审专家或其它供应商恶意串通，进行质疑和投诉，维护政府采购市场秩序。</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八、尊重和接受政府采购监督管理部门的监督和政府采购代理机构招标采购要求，承担因违约行为给采购人造成的损失。</w:t>
      </w: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 xml:space="preserve">    九、不发生其他有悖于政府采购公开、公平、公正和诚信原则的行为。                                    </w:t>
      </w:r>
    </w:p>
    <w:p>
      <w:pPr>
        <w:autoSpaceDE w:val="0"/>
        <w:autoSpaceDN w:val="0"/>
        <w:adjustRightInd w:val="0"/>
        <w:spacing w:line="560" w:lineRule="exact"/>
        <w:ind w:firstLine="420" w:firstLineChars="200"/>
        <w:rPr>
          <w:rFonts w:asciiTheme="minorEastAsia" w:hAnsiTheme="minorEastAsia" w:eastAsiaTheme="minorEastAsia" w:cstheme="minorEastAsia"/>
          <w:color w:val="auto"/>
          <w:szCs w:val="21"/>
          <w:highlight w:val="none"/>
          <w:lang w:val="zh-CN"/>
        </w:rPr>
      </w:pPr>
    </w:p>
    <w:p>
      <w:pPr>
        <w:spacing w:line="360" w:lineRule="auto"/>
        <w:ind w:firstLine="1680" w:firstLineChars="8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供应商（公章）：</w:t>
      </w:r>
      <w:r>
        <w:rPr>
          <w:rFonts w:hint="eastAsia" w:asciiTheme="minorEastAsia" w:hAnsiTheme="minorEastAsia" w:eastAsiaTheme="minorEastAsia" w:cstheme="minorEastAsia"/>
          <w:color w:val="auto"/>
          <w:szCs w:val="21"/>
          <w:highlight w:val="none"/>
          <w:u w:val="single"/>
        </w:rPr>
        <w:t xml:space="preserve">                        </w:t>
      </w:r>
    </w:p>
    <w:p>
      <w:pPr>
        <w:spacing w:line="360" w:lineRule="auto"/>
        <w:ind w:firstLine="1680" w:firstLineChars="8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法定代表人（签字或盖章）：</w:t>
      </w:r>
      <w:r>
        <w:rPr>
          <w:rFonts w:hint="eastAsia" w:asciiTheme="minorEastAsia" w:hAnsiTheme="minorEastAsia" w:eastAsiaTheme="minorEastAsia" w:cstheme="minorEastAsia"/>
          <w:color w:val="auto"/>
          <w:szCs w:val="21"/>
          <w:highlight w:val="none"/>
          <w:u w:val="single"/>
        </w:rPr>
        <w:t xml:space="preserve">              </w:t>
      </w:r>
    </w:p>
    <w:p>
      <w:pPr>
        <w:spacing w:line="360" w:lineRule="auto"/>
        <w:ind w:firstLine="1680" w:firstLineChars="8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日    期：</w:t>
      </w:r>
      <w:r>
        <w:rPr>
          <w:rFonts w:hint="eastAsia" w:asciiTheme="minorEastAsia" w:hAnsiTheme="minorEastAsia" w:eastAsiaTheme="minorEastAsia" w:cstheme="minorEastAsia"/>
          <w:color w:val="auto"/>
          <w:szCs w:val="21"/>
          <w:highlight w:val="none"/>
          <w:u w:val="single"/>
        </w:rPr>
        <w:t xml:space="preserve">                             </w:t>
      </w: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pStyle w:val="60"/>
        <w:spacing w:line="400" w:lineRule="exact"/>
        <w:jc w:val="center"/>
        <w:outlineLvl w:val="9"/>
        <w:rPr>
          <w:rFonts w:ascii="宋体" w:hAnsi="宋体"/>
          <w:b/>
          <w:color w:val="auto"/>
          <w:sz w:val="36"/>
          <w:szCs w:val="36"/>
          <w:highlight w:val="none"/>
        </w:rPr>
      </w:pPr>
    </w:p>
    <w:p>
      <w:pPr>
        <w:adjustRightInd w:val="0"/>
        <w:snapToGrid w:val="0"/>
        <w:spacing w:line="360" w:lineRule="auto"/>
        <w:jc w:val="center"/>
        <w:outlineLvl w:val="1"/>
        <w:rPr>
          <w:b/>
          <w:color w:val="auto"/>
          <w:sz w:val="44"/>
          <w:szCs w:val="44"/>
          <w:highlight w:val="none"/>
        </w:rPr>
      </w:pPr>
      <w:r>
        <w:rPr>
          <w:rFonts w:hint="eastAsia"/>
          <w:b/>
          <w:color w:val="auto"/>
          <w:sz w:val="44"/>
          <w:szCs w:val="44"/>
          <w:highlight w:val="none"/>
        </w:rPr>
        <w:t>十一、投标人认为有必要补充说明的事项</w:t>
      </w:r>
    </w:p>
    <w:p>
      <w:pPr>
        <w:pStyle w:val="60"/>
        <w:spacing w:line="400" w:lineRule="exact"/>
        <w:rPr>
          <w:rFonts w:ascii="仿宋_GB2312" w:eastAsia="仿宋_GB2312"/>
          <w:b/>
          <w:color w:val="auto"/>
          <w:sz w:val="28"/>
          <w:szCs w:val="28"/>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sz w:val="24"/>
          <w:szCs w:val="24"/>
          <w:highlight w:val="none"/>
        </w:rPr>
      </w:pPr>
    </w:p>
    <w:p>
      <w:pPr>
        <w:pStyle w:val="60"/>
        <w:spacing w:line="400" w:lineRule="exact"/>
        <w:rPr>
          <w:color w:val="auto"/>
          <w:highlight w:val="none"/>
        </w:rPr>
      </w:pPr>
      <w:r>
        <w:rPr>
          <w:color w:val="auto"/>
          <w:highlight w:val="none"/>
        </w:rPr>
        <w:t xml:space="preserve"> </w:t>
      </w:r>
    </w:p>
    <w:sectPr>
      <w:headerReference r:id="rId16" w:type="default"/>
      <w:pgSz w:w="11907" w:h="16840"/>
      <w:pgMar w:top="1440" w:right="1474" w:bottom="1440"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3822FC7-A422-498B-92AA-E825EE4FCCA4}"/>
  </w:font>
  <w:font w:name="Arial">
    <w:panose1 w:val="020B0604020202020204"/>
    <w:charset w:val="01"/>
    <w:family w:val="swiss"/>
    <w:pitch w:val="default"/>
    <w:sig w:usb0="E0002AFF" w:usb1="C0007843" w:usb2="00000009" w:usb3="00000000" w:csb0="400001FF" w:csb1="FFFF0000"/>
    <w:embedRegular r:id="rId2" w:fontKey="{A9A8C503-3F0A-4C31-A2B7-2C2A249AFDE1}"/>
  </w:font>
  <w:font w:name="黑体">
    <w:panose1 w:val="02010609060101010101"/>
    <w:charset w:val="86"/>
    <w:family w:val="auto"/>
    <w:pitch w:val="default"/>
    <w:sig w:usb0="800002BF" w:usb1="38CF7CFA" w:usb2="00000016" w:usb3="00000000" w:csb0="00040001" w:csb1="00000000"/>
    <w:embedRegular r:id="rId3" w:fontKey="{88A16862-606D-4F17-98C5-E2B3BA85D1E2}"/>
  </w:font>
  <w:font w:name="Courier New">
    <w:panose1 w:val="02070309020205020404"/>
    <w:charset w:val="01"/>
    <w:family w:val="modern"/>
    <w:pitch w:val="default"/>
    <w:sig w:usb0="E0002AFF" w:usb1="C0007843" w:usb2="00000009" w:usb3="00000000" w:csb0="400001FF" w:csb1="FFFF0000"/>
    <w:embedRegular r:id="rId4" w:fontKey="{323FF82E-29FB-42FD-BC48-ABB2A9B21C7A}"/>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5" w:fontKey="{9890969A-1089-4158-BF3B-A622C5561B64}"/>
  </w:font>
  <w:font w:name="仿宋_GB2312">
    <w:altName w:val="仿宋"/>
    <w:panose1 w:val="02010609030101010101"/>
    <w:charset w:val="86"/>
    <w:family w:val="modern"/>
    <w:pitch w:val="default"/>
    <w:sig w:usb0="00000000" w:usb1="00000000" w:usb2="00000000" w:usb3="00000000" w:csb0="00040000" w:csb1="00000000"/>
    <w:embedRegular r:id="rId6" w:fontKey="{0835F069-7AD8-44CC-97B8-0D72A6857AB6}"/>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embedRegular r:id="rId7" w:fontKey="{EE1C962D-BDAA-4800-BCAC-D45DDD099754}"/>
  </w:font>
  <w:font w:name="方正小标宋简体">
    <w:altName w:val="黑体"/>
    <w:panose1 w:val="03000509000000000000"/>
    <w:charset w:val="86"/>
    <w:family w:val="auto"/>
    <w:pitch w:val="default"/>
    <w:sig w:usb0="00000000" w:usb1="00000000" w:usb2="00000000" w:usb3="00000000" w:csb0="00040000" w:csb1="00000000"/>
    <w:embedRegular r:id="rId8" w:fontKey="{02C0D69D-FDEB-4175-8E07-CAE1076FBC21}"/>
  </w:font>
  <w:font w:name="Wingdings 2">
    <w:altName w:val="Wingdings"/>
    <w:panose1 w:val="05020102010507070707"/>
    <w:charset w:val="00"/>
    <w:family w:val="auto"/>
    <w:pitch w:val="default"/>
    <w:sig w:usb0="00000000" w:usb1="00000000" w:usb2="00000000" w:usb3="00000000" w:csb0="80000000" w:csb1="00000000"/>
    <w:embedRegular r:id="rId9" w:fontKey="{72193BFA-0D53-4A52-861C-70CCAA713845}"/>
  </w:font>
  <w:font w:name="TimesNewRomanPSMT">
    <w:altName w:val="Times New Roman"/>
    <w:panose1 w:val="00000000000000000000"/>
    <w:charset w:val="86"/>
    <w:family w:val="auto"/>
    <w:pitch w:val="default"/>
    <w:sig w:usb0="00000000" w:usb1="00000000" w:usb2="00000010" w:usb3="00000000" w:csb0="00040000" w:csb1="00000000"/>
    <w:embedRegular r:id="rId10" w:fontKey="{DC9477FA-9171-4679-88EE-7927A58D09A4}"/>
  </w:font>
  <w:font w:name="方正仿宋_GBK">
    <w:panose1 w:val="02000000000000000000"/>
    <w:charset w:val="86"/>
    <w:family w:val="script"/>
    <w:pitch w:val="default"/>
    <w:sig w:usb0="A00002BF" w:usb1="38CF7CFA" w:usb2="00082016" w:usb3="00000000" w:csb0="00040001" w:csb1="00000000"/>
    <w:embedRegular r:id="rId11" w:fontKey="{EBA8ADC5-0BC3-4DBF-88E2-CE10218087C3}"/>
  </w:font>
  <w:font w:name="楷体">
    <w:panose1 w:val="02010609060101010101"/>
    <w:charset w:val="86"/>
    <w:family w:val="modern"/>
    <w:pitch w:val="default"/>
    <w:sig w:usb0="800002BF" w:usb1="38CF7CFA" w:usb2="00000016" w:usb3="00000000" w:csb0="00040001" w:csb1="00000000"/>
    <w:embedRegular r:id="rId12" w:fontKey="{343F03FE-D4EB-4DEA-8F05-FAECCC882956}"/>
  </w:font>
  <w:font w:name="华文中宋">
    <w:panose1 w:val="02010600040101010101"/>
    <w:charset w:val="86"/>
    <w:family w:val="auto"/>
    <w:pitch w:val="default"/>
    <w:sig w:usb0="00000287" w:usb1="080F0000" w:usb2="00000000" w:usb3="00000000" w:csb0="0004009F" w:csb1="DFD70000"/>
    <w:embedRegular r:id="rId13" w:fontKey="{B9922F8A-BC2E-4575-AA44-D1A07F4CC713}"/>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960" w:firstLineChars="2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- 4 -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宋体" w:hAnsi="宋体" w:cs="宋体"/>
        <w:bCs/>
        <w:iCs/>
        <w:lang w:eastAsia="zh-CN"/>
      </w:rPr>
      <w:t>白水县2021年-2022年高标准农田改造提升项目</w:t>
    </w:r>
    <w:r>
      <w:rPr>
        <w:rFonts w:hint="eastAsia" w:ascii="宋体" w:hAnsi="宋体" w:cs="宋体"/>
        <w:bCs/>
        <w:iCs/>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宋体"/>
        <w:lang w:eastAsia="zh-CN"/>
      </w:rPr>
      <w:t>白水县2021年-2022年高标准农田改造提升项目</w:t>
    </w:r>
    <w:r>
      <w:rPr>
        <w:rFonts w:hint="eastAsia"/>
      </w:rPr>
      <w:t xml:space="preserve">      </w:t>
    </w:r>
    <w:r>
      <w:rPr>
        <w:rFonts w:hint="eastAsia"/>
        <w:lang w:val="en-US" w:eastAsia="zh-CN"/>
      </w:rPr>
      <w:t xml:space="preserve">                              </w:t>
    </w:r>
    <w:r>
      <w:rPr>
        <w:rFonts w:hint="eastAsia"/>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宋体"/>
        <w:lang w:eastAsia="zh-CN"/>
      </w:rPr>
      <w:t>白水县2021年-2022年高标准农田改造提升项目</w:t>
    </w:r>
    <w:r>
      <w:rPr>
        <w:rFonts w:hint="eastAsia"/>
      </w:rPr>
      <w:t xml:space="preserve">            </w:t>
    </w:r>
    <w:r>
      <w:rPr>
        <w:rFonts w:hint="eastAsia"/>
        <w:lang w:val="en-US" w:eastAsia="zh-CN"/>
      </w:rPr>
      <w:t xml:space="preserve">                                   </w:t>
    </w:r>
    <w:r>
      <w:rPr>
        <w:rFonts w:hint="eastAsia"/>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宋体"/>
        <w:lang w:eastAsia="zh-CN"/>
      </w:rPr>
      <w:t>白水县2021年-2022年高标准农田改造提升项目</w:t>
    </w:r>
    <w:r>
      <w:rPr>
        <w:rFonts w:hint="eastAsia"/>
      </w:rPr>
      <w:t xml:space="preserve">       </w:t>
    </w:r>
    <w:r>
      <w:rPr>
        <w:rFonts w:hint="eastAsia"/>
        <w:lang w:val="en-US" w:eastAsia="zh-CN"/>
      </w:rPr>
      <w:t xml:space="preserve">                                    </w:t>
    </w:r>
    <w:r>
      <w:rPr>
        <w:rFonts w:hint="eastAsia"/>
      </w:rPr>
      <w:t xml:space="preserve">       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宋体"/>
        <w:lang w:eastAsia="zh-CN"/>
      </w:rPr>
      <w:t>白水县2021年-2022年高标准农田改造提升项目</w:t>
    </w:r>
    <w:r>
      <w:rPr>
        <w:rFonts w:hint="eastAsia" w:cs="宋体"/>
      </w:rPr>
      <w:t xml:space="preserve">      </w:t>
    </w:r>
    <w:r>
      <w:rPr>
        <w:rFonts w:hint="eastAsia"/>
      </w:rPr>
      <w:t xml:space="preserve">     </w:t>
    </w:r>
    <w:r>
      <w:rPr>
        <w:rFonts w:hint="eastAsia"/>
        <w:lang w:val="en-US" w:eastAsia="zh-CN"/>
      </w:rPr>
      <w:t xml:space="preserve">                                 </w:t>
    </w:r>
    <w:r>
      <w:rPr>
        <w:rFonts w:hint="eastAsia"/>
      </w:rPr>
      <w:t xml:space="preserve">    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宋体"/>
        <w:lang w:eastAsia="zh-CN"/>
      </w:rPr>
      <w:t>白水县2021年-2022年高标准农田改造提升项目</w:t>
    </w:r>
    <w:r>
      <w:rPr>
        <w:rFonts w:hint="eastAsia"/>
      </w:rPr>
      <w:t xml:space="preserve">          </w:t>
    </w:r>
    <w:r>
      <w:rPr>
        <w:rFonts w:hint="eastAsia"/>
        <w:lang w:val="en-US" w:eastAsia="zh-CN"/>
      </w:rPr>
      <w:t xml:space="preserve">                                  </w:t>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32485"/>
    <w:multiLevelType w:val="singleLevel"/>
    <w:tmpl w:val="D9332485"/>
    <w:lvl w:ilvl="0" w:tentative="0">
      <w:start w:val="1"/>
      <w:numFmt w:val="decimal"/>
      <w:suff w:val="nothing"/>
      <w:lvlText w:val="%1、"/>
      <w:lvlJc w:val="left"/>
    </w:lvl>
  </w:abstractNum>
  <w:abstractNum w:abstractNumId="1">
    <w:nsid w:val="F49A191E"/>
    <w:multiLevelType w:val="singleLevel"/>
    <w:tmpl w:val="F49A191E"/>
    <w:lvl w:ilvl="0" w:tentative="0">
      <w:start w:val="1"/>
      <w:numFmt w:val="decimal"/>
      <w:suff w:val="nothing"/>
      <w:lvlText w:val="（%1）"/>
      <w:lvlJc w:val="left"/>
    </w:lvl>
  </w:abstractNum>
  <w:abstractNum w:abstractNumId="2">
    <w:nsid w:val="2A9310E2"/>
    <w:multiLevelType w:val="multilevel"/>
    <w:tmpl w:val="2A9310E2"/>
    <w:lvl w:ilvl="0" w:tentative="0">
      <w:start w:val="1"/>
      <w:numFmt w:val="bullet"/>
      <w:lvlText w:val=""/>
      <w:lvlJc w:val="left"/>
      <w:pPr>
        <w:tabs>
          <w:tab w:val="left" w:pos="570"/>
        </w:tabs>
        <w:ind w:left="570" w:hanging="360"/>
      </w:pPr>
      <w:rPr>
        <w:rFonts w:hint="default" w:ascii="Wingdings" w:hAnsi="Wingdings"/>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3">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4">
    <w:nsid w:val="567E5701"/>
    <w:multiLevelType w:val="multilevel"/>
    <w:tmpl w:val="567E5701"/>
    <w:lvl w:ilvl="0" w:tentative="0">
      <w:start w:val="0"/>
      <w:numFmt w:val="bullet"/>
      <w:lvlText w:val="□"/>
      <w:lvlJc w:val="left"/>
      <w:pPr>
        <w:tabs>
          <w:tab w:val="left" w:pos="570"/>
        </w:tabs>
        <w:ind w:left="570" w:hanging="360"/>
      </w:pPr>
      <w:rPr>
        <w:rFonts w:hint="eastAsia" w:ascii="宋体" w:hAnsi="宋体" w:eastAsia="宋体" w:cs="Times New Roman"/>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5">
    <w:nsid w:val="5B243795"/>
    <w:multiLevelType w:val="singleLevel"/>
    <w:tmpl w:val="5B243795"/>
    <w:lvl w:ilvl="0" w:tentative="0">
      <w:start w:val="1"/>
      <w:numFmt w:val="decimal"/>
      <w:lvlText w:val="%1、"/>
      <w:lvlJc w:val="left"/>
      <w:pPr>
        <w:tabs>
          <w:tab w:val="left" w:pos="1125"/>
        </w:tabs>
        <w:ind w:left="1125" w:hanging="480"/>
      </w:pPr>
      <w:rPr>
        <w:rFonts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ZjUyMjliMTgwMDczZGY1MmM2Y2FkYjk3NTU2ZTQifQ=="/>
  </w:docVars>
  <w:rsids>
    <w:rsidRoot w:val="00E07E8D"/>
    <w:rsid w:val="0000016D"/>
    <w:rsid w:val="000022B9"/>
    <w:rsid w:val="0000261C"/>
    <w:rsid w:val="00002731"/>
    <w:rsid w:val="00002F7A"/>
    <w:rsid w:val="00002F9F"/>
    <w:rsid w:val="000037C9"/>
    <w:rsid w:val="00003C7F"/>
    <w:rsid w:val="00005385"/>
    <w:rsid w:val="00007214"/>
    <w:rsid w:val="00007D47"/>
    <w:rsid w:val="00010863"/>
    <w:rsid w:val="00010C6B"/>
    <w:rsid w:val="00010F17"/>
    <w:rsid w:val="000112F4"/>
    <w:rsid w:val="00011C96"/>
    <w:rsid w:val="0001236F"/>
    <w:rsid w:val="00016B35"/>
    <w:rsid w:val="00016CC4"/>
    <w:rsid w:val="00016DF8"/>
    <w:rsid w:val="00016FEF"/>
    <w:rsid w:val="00017278"/>
    <w:rsid w:val="00017B77"/>
    <w:rsid w:val="00017E03"/>
    <w:rsid w:val="00017F51"/>
    <w:rsid w:val="000200BB"/>
    <w:rsid w:val="00020477"/>
    <w:rsid w:val="00022627"/>
    <w:rsid w:val="000229F5"/>
    <w:rsid w:val="0002333B"/>
    <w:rsid w:val="0002418E"/>
    <w:rsid w:val="000261A3"/>
    <w:rsid w:val="00026B21"/>
    <w:rsid w:val="000273A1"/>
    <w:rsid w:val="0003048D"/>
    <w:rsid w:val="0003054C"/>
    <w:rsid w:val="0003181B"/>
    <w:rsid w:val="00031D3B"/>
    <w:rsid w:val="000329AA"/>
    <w:rsid w:val="00033240"/>
    <w:rsid w:val="00033A43"/>
    <w:rsid w:val="00033D8C"/>
    <w:rsid w:val="000342F8"/>
    <w:rsid w:val="000349A2"/>
    <w:rsid w:val="0003546A"/>
    <w:rsid w:val="00036BD5"/>
    <w:rsid w:val="00037195"/>
    <w:rsid w:val="00040272"/>
    <w:rsid w:val="00040ED8"/>
    <w:rsid w:val="00040F1A"/>
    <w:rsid w:val="0004115D"/>
    <w:rsid w:val="00041C0E"/>
    <w:rsid w:val="00041EB5"/>
    <w:rsid w:val="000420AB"/>
    <w:rsid w:val="0004281A"/>
    <w:rsid w:val="000430C3"/>
    <w:rsid w:val="00043311"/>
    <w:rsid w:val="000433B9"/>
    <w:rsid w:val="0004390A"/>
    <w:rsid w:val="00043B25"/>
    <w:rsid w:val="000443F3"/>
    <w:rsid w:val="000448F4"/>
    <w:rsid w:val="0004577D"/>
    <w:rsid w:val="00046130"/>
    <w:rsid w:val="00046582"/>
    <w:rsid w:val="00047CE0"/>
    <w:rsid w:val="00047F96"/>
    <w:rsid w:val="000500AF"/>
    <w:rsid w:val="000501D5"/>
    <w:rsid w:val="00052F51"/>
    <w:rsid w:val="00053172"/>
    <w:rsid w:val="00053FEA"/>
    <w:rsid w:val="000544AB"/>
    <w:rsid w:val="00054888"/>
    <w:rsid w:val="00055A5E"/>
    <w:rsid w:val="000561CD"/>
    <w:rsid w:val="000569F5"/>
    <w:rsid w:val="00056EC0"/>
    <w:rsid w:val="000578D3"/>
    <w:rsid w:val="00060B4C"/>
    <w:rsid w:val="00061AE0"/>
    <w:rsid w:val="0006207C"/>
    <w:rsid w:val="00063CD5"/>
    <w:rsid w:val="00063D7C"/>
    <w:rsid w:val="00064ED4"/>
    <w:rsid w:val="0006604A"/>
    <w:rsid w:val="00066445"/>
    <w:rsid w:val="000668A3"/>
    <w:rsid w:val="0006703E"/>
    <w:rsid w:val="00067BB8"/>
    <w:rsid w:val="0007012B"/>
    <w:rsid w:val="00070648"/>
    <w:rsid w:val="0007142D"/>
    <w:rsid w:val="0007190E"/>
    <w:rsid w:val="00072537"/>
    <w:rsid w:val="00072590"/>
    <w:rsid w:val="000727D1"/>
    <w:rsid w:val="00072FDD"/>
    <w:rsid w:val="000731E2"/>
    <w:rsid w:val="000735A2"/>
    <w:rsid w:val="00073752"/>
    <w:rsid w:val="00075104"/>
    <w:rsid w:val="00075E0B"/>
    <w:rsid w:val="00076076"/>
    <w:rsid w:val="00076569"/>
    <w:rsid w:val="00076ACA"/>
    <w:rsid w:val="00076FE6"/>
    <w:rsid w:val="000772FC"/>
    <w:rsid w:val="0007760B"/>
    <w:rsid w:val="0007770E"/>
    <w:rsid w:val="00077933"/>
    <w:rsid w:val="000779F1"/>
    <w:rsid w:val="00080440"/>
    <w:rsid w:val="00080D77"/>
    <w:rsid w:val="00081035"/>
    <w:rsid w:val="000817DF"/>
    <w:rsid w:val="000825C8"/>
    <w:rsid w:val="0008287C"/>
    <w:rsid w:val="00082B87"/>
    <w:rsid w:val="00082E20"/>
    <w:rsid w:val="000837F0"/>
    <w:rsid w:val="00083948"/>
    <w:rsid w:val="00086728"/>
    <w:rsid w:val="000868AC"/>
    <w:rsid w:val="00086C7E"/>
    <w:rsid w:val="00086E4A"/>
    <w:rsid w:val="0009005B"/>
    <w:rsid w:val="00090CA3"/>
    <w:rsid w:val="000910D1"/>
    <w:rsid w:val="00093E47"/>
    <w:rsid w:val="00093FAD"/>
    <w:rsid w:val="0009400A"/>
    <w:rsid w:val="0009400F"/>
    <w:rsid w:val="000941EA"/>
    <w:rsid w:val="000945C6"/>
    <w:rsid w:val="00095192"/>
    <w:rsid w:val="00095796"/>
    <w:rsid w:val="00095EC0"/>
    <w:rsid w:val="00096778"/>
    <w:rsid w:val="000967A3"/>
    <w:rsid w:val="00096E8E"/>
    <w:rsid w:val="0009711C"/>
    <w:rsid w:val="00097367"/>
    <w:rsid w:val="00097AD1"/>
    <w:rsid w:val="000A0A10"/>
    <w:rsid w:val="000A1612"/>
    <w:rsid w:val="000A17A5"/>
    <w:rsid w:val="000A20AD"/>
    <w:rsid w:val="000A3CF2"/>
    <w:rsid w:val="000A3D69"/>
    <w:rsid w:val="000A403F"/>
    <w:rsid w:val="000A45DB"/>
    <w:rsid w:val="000A47D9"/>
    <w:rsid w:val="000A6CAA"/>
    <w:rsid w:val="000A79D4"/>
    <w:rsid w:val="000B0B6E"/>
    <w:rsid w:val="000B0E51"/>
    <w:rsid w:val="000B12AF"/>
    <w:rsid w:val="000B2517"/>
    <w:rsid w:val="000B49A1"/>
    <w:rsid w:val="000B50ED"/>
    <w:rsid w:val="000B5412"/>
    <w:rsid w:val="000B5F7E"/>
    <w:rsid w:val="000B6C05"/>
    <w:rsid w:val="000B6C77"/>
    <w:rsid w:val="000C0130"/>
    <w:rsid w:val="000C03BA"/>
    <w:rsid w:val="000C03C2"/>
    <w:rsid w:val="000C0CAD"/>
    <w:rsid w:val="000C127B"/>
    <w:rsid w:val="000C18DA"/>
    <w:rsid w:val="000C18FE"/>
    <w:rsid w:val="000C1A60"/>
    <w:rsid w:val="000C1B33"/>
    <w:rsid w:val="000C1B66"/>
    <w:rsid w:val="000C1D68"/>
    <w:rsid w:val="000C252A"/>
    <w:rsid w:val="000C2797"/>
    <w:rsid w:val="000C31D9"/>
    <w:rsid w:val="000C36DF"/>
    <w:rsid w:val="000C3F54"/>
    <w:rsid w:val="000C45B5"/>
    <w:rsid w:val="000C5B36"/>
    <w:rsid w:val="000C6149"/>
    <w:rsid w:val="000C6174"/>
    <w:rsid w:val="000C6BD2"/>
    <w:rsid w:val="000C6D58"/>
    <w:rsid w:val="000D028A"/>
    <w:rsid w:val="000D09C2"/>
    <w:rsid w:val="000D0AC8"/>
    <w:rsid w:val="000D11D7"/>
    <w:rsid w:val="000D14D4"/>
    <w:rsid w:val="000D211D"/>
    <w:rsid w:val="000D216A"/>
    <w:rsid w:val="000D21F1"/>
    <w:rsid w:val="000D48DB"/>
    <w:rsid w:val="000D4B8F"/>
    <w:rsid w:val="000D4E6D"/>
    <w:rsid w:val="000D571C"/>
    <w:rsid w:val="000D5AFC"/>
    <w:rsid w:val="000D6378"/>
    <w:rsid w:val="000D769C"/>
    <w:rsid w:val="000E000E"/>
    <w:rsid w:val="000E168A"/>
    <w:rsid w:val="000E43DD"/>
    <w:rsid w:val="000E45DD"/>
    <w:rsid w:val="000E4FFE"/>
    <w:rsid w:val="000E62FD"/>
    <w:rsid w:val="000E6451"/>
    <w:rsid w:val="000E65DB"/>
    <w:rsid w:val="000E66A1"/>
    <w:rsid w:val="000E7856"/>
    <w:rsid w:val="000E7DDB"/>
    <w:rsid w:val="000F099F"/>
    <w:rsid w:val="000F1020"/>
    <w:rsid w:val="000F13C1"/>
    <w:rsid w:val="000F1761"/>
    <w:rsid w:val="000F193D"/>
    <w:rsid w:val="000F1B02"/>
    <w:rsid w:val="000F1FD4"/>
    <w:rsid w:val="000F27B0"/>
    <w:rsid w:val="000F2C30"/>
    <w:rsid w:val="000F2FCF"/>
    <w:rsid w:val="000F3AC0"/>
    <w:rsid w:val="000F3AFE"/>
    <w:rsid w:val="000F4328"/>
    <w:rsid w:val="000F4770"/>
    <w:rsid w:val="000F5580"/>
    <w:rsid w:val="000F6F99"/>
    <w:rsid w:val="000F70E0"/>
    <w:rsid w:val="000F733B"/>
    <w:rsid w:val="000F780C"/>
    <w:rsid w:val="000F7EF6"/>
    <w:rsid w:val="001009D9"/>
    <w:rsid w:val="00102BC2"/>
    <w:rsid w:val="00104A32"/>
    <w:rsid w:val="00104D09"/>
    <w:rsid w:val="00104DCA"/>
    <w:rsid w:val="001062B1"/>
    <w:rsid w:val="00107250"/>
    <w:rsid w:val="00107DB4"/>
    <w:rsid w:val="001101E6"/>
    <w:rsid w:val="001102CC"/>
    <w:rsid w:val="001108AF"/>
    <w:rsid w:val="00110D6A"/>
    <w:rsid w:val="00111706"/>
    <w:rsid w:val="0011178F"/>
    <w:rsid w:val="00113423"/>
    <w:rsid w:val="00113BA1"/>
    <w:rsid w:val="00113F51"/>
    <w:rsid w:val="00115001"/>
    <w:rsid w:val="00115838"/>
    <w:rsid w:val="00116557"/>
    <w:rsid w:val="00116653"/>
    <w:rsid w:val="00116992"/>
    <w:rsid w:val="00116CE8"/>
    <w:rsid w:val="001174C6"/>
    <w:rsid w:val="0011788F"/>
    <w:rsid w:val="00117A78"/>
    <w:rsid w:val="00120BA6"/>
    <w:rsid w:val="00120F75"/>
    <w:rsid w:val="001215FD"/>
    <w:rsid w:val="00121B3E"/>
    <w:rsid w:val="0012286F"/>
    <w:rsid w:val="00122E1A"/>
    <w:rsid w:val="00123B12"/>
    <w:rsid w:val="00124381"/>
    <w:rsid w:val="0012561F"/>
    <w:rsid w:val="00126512"/>
    <w:rsid w:val="00126766"/>
    <w:rsid w:val="001267D4"/>
    <w:rsid w:val="0012717F"/>
    <w:rsid w:val="00127C63"/>
    <w:rsid w:val="00130023"/>
    <w:rsid w:val="001306A4"/>
    <w:rsid w:val="00131051"/>
    <w:rsid w:val="00131115"/>
    <w:rsid w:val="001317B6"/>
    <w:rsid w:val="00131AF9"/>
    <w:rsid w:val="00135D48"/>
    <w:rsid w:val="001361C5"/>
    <w:rsid w:val="00136B70"/>
    <w:rsid w:val="00136B8B"/>
    <w:rsid w:val="00136F6F"/>
    <w:rsid w:val="001376FA"/>
    <w:rsid w:val="00137E4B"/>
    <w:rsid w:val="00140600"/>
    <w:rsid w:val="00140D50"/>
    <w:rsid w:val="001419B6"/>
    <w:rsid w:val="00141B50"/>
    <w:rsid w:val="00142FBD"/>
    <w:rsid w:val="0014361E"/>
    <w:rsid w:val="001437ED"/>
    <w:rsid w:val="001441BB"/>
    <w:rsid w:val="0014435D"/>
    <w:rsid w:val="001449BE"/>
    <w:rsid w:val="00145FE4"/>
    <w:rsid w:val="0014751E"/>
    <w:rsid w:val="001475B0"/>
    <w:rsid w:val="00150FD4"/>
    <w:rsid w:val="00151A8A"/>
    <w:rsid w:val="001520A4"/>
    <w:rsid w:val="001521FF"/>
    <w:rsid w:val="001531CC"/>
    <w:rsid w:val="001542EC"/>
    <w:rsid w:val="0015590F"/>
    <w:rsid w:val="001566A1"/>
    <w:rsid w:val="0015744E"/>
    <w:rsid w:val="00160013"/>
    <w:rsid w:val="00160C06"/>
    <w:rsid w:val="001615ED"/>
    <w:rsid w:val="0016161D"/>
    <w:rsid w:val="00161BC5"/>
    <w:rsid w:val="001623AB"/>
    <w:rsid w:val="00162E7B"/>
    <w:rsid w:val="001639F5"/>
    <w:rsid w:val="00163B7B"/>
    <w:rsid w:val="0016427A"/>
    <w:rsid w:val="00164C1D"/>
    <w:rsid w:val="00166C9F"/>
    <w:rsid w:val="0017046B"/>
    <w:rsid w:val="001706FD"/>
    <w:rsid w:val="001707E5"/>
    <w:rsid w:val="00171298"/>
    <w:rsid w:val="0017230B"/>
    <w:rsid w:val="001726D5"/>
    <w:rsid w:val="001728AA"/>
    <w:rsid w:val="00172CDB"/>
    <w:rsid w:val="001730A8"/>
    <w:rsid w:val="00173830"/>
    <w:rsid w:val="0017384A"/>
    <w:rsid w:val="001749C9"/>
    <w:rsid w:val="00174F76"/>
    <w:rsid w:val="0017522E"/>
    <w:rsid w:val="00175C4F"/>
    <w:rsid w:val="00176668"/>
    <w:rsid w:val="00176BEF"/>
    <w:rsid w:val="00176D84"/>
    <w:rsid w:val="001770FF"/>
    <w:rsid w:val="00177A77"/>
    <w:rsid w:val="001805C5"/>
    <w:rsid w:val="00181155"/>
    <w:rsid w:val="001827E1"/>
    <w:rsid w:val="001831B0"/>
    <w:rsid w:val="00183C97"/>
    <w:rsid w:val="00184641"/>
    <w:rsid w:val="00184DB2"/>
    <w:rsid w:val="0018523A"/>
    <w:rsid w:val="00187096"/>
    <w:rsid w:val="0018716C"/>
    <w:rsid w:val="00187946"/>
    <w:rsid w:val="001905BD"/>
    <w:rsid w:val="00190FA0"/>
    <w:rsid w:val="0019113C"/>
    <w:rsid w:val="001919B3"/>
    <w:rsid w:val="001926DC"/>
    <w:rsid w:val="00192BA5"/>
    <w:rsid w:val="00192D0E"/>
    <w:rsid w:val="00193643"/>
    <w:rsid w:val="001941A7"/>
    <w:rsid w:val="001947A6"/>
    <w:rsid w:val="001969A6"/>
    <w:rsid w:val="00197033"/>
    <w:rsid w:val="0019724F"/>
    <w:rsid w:val="00197CA6"/>
    <w:rsid w:val="001A0062"/>
    <w:rsid w:val="001A0594"/>
    <w:rsid w:val="001A0C64"/>
    <w:rsid w:val="001A14AA"/>
    <w:rsid w:val="001A1E76"/>
    <w:rsid w:val="001A25B5"/>
    <w:rsid w:val="001A2859"/>
    <w:rsid w:val="001A31E7"/>
    <w:rsid w:val="001A40B0"/>
    <w:rsid w:val="001A4167"/>
    <w:rsid w:val="001A436D"/>
    <w:rsid w:val="001A48D6"/>
    <w:rsid w:val="001A5341"/>
    <w:rsid w:val="001A53EF"/>
    <w:rsid w:val="001A7948"/>
    <w:rsid w:val="001B054A"/>
    <w:rsid w:val="001B06FF"/>
    <w:rsid w:val="001B0F19"/>
    <w:rsid w:val="001B10A4"/>
    <w:rsid w:val="001B1BCC"/>
    <w:rsid w:val="001B2966"/>
    <w:rsid w:val="001B2A3F"/>
    <w:rsid w:val="001B3139"/>
    <w:rsid w:val="001B4452"/>
    <w:rsid w:val="001B4995"/>
    <w:rsid w:val="001B591F"/>
    <w:rsid w:val="001B62A7"/>
    <w:rsid w:val="001B6719"/>
    <w:rsid w:val="001B7430"/>
    <w:rsid w:val="001B7859"/>
    <w:rsid w:val="001C057A"/>
    <w:rsid w:val="001C1B0E"/>
    <w:rsid w:val="001C20D1"/>
    <w:rsid w:val="001C299E"/>
    <w:rsid w:val="001C34AE"/>
    <w:rsid w:val="001C35C3"/>
    <w:rsid w:val="001C3F13"/>
    <w:rsid w:val="001C4011"/>
    <w:rsid w:val="001C455E"/>
    <w:rsid w:val="001C466D"/>
    <w:rsid w:val="001C4881"/>
    <w:rsid w:val="001C49A4"/>
    <w:rsid w:val="001C5087"/>
    <w:rsid w:val="001C52AA"/>
    <w:rsid w:val="001C6628"/>
    <w:rsid w:val="001C66A1"/>
    <w:rsid w:val="001C66F5"/>
    <w:rsid w:val="001C6C77"/>
    <w:rsid w:val="001C7A24"/>
    <w:rsid w:val="001D0A8F"/>
    <w:rsid w:val="001D0EB8"/>
    <w:rsid w:val="001D191F"/>
    <w:rsid w:val="001D19F9"/>
    <w:rsid w:val="001D336D"/>
    <w:rsid w:val="001D4463"/>
    <w:rsid w:val="001D44A2"/>
    <w:rsid w:val="001D4A63"/>
    <w:rsid w:val="001D5294"/>
    <w:rsid w:val="001D5987"/>
    <w:rsid w:val="001D6CB4"/>
    <w:rsid w:val="001D7177"/>
    <w:rsid w:val="001D73CF"/>
    <w:rsid w:val="001D7DBF"/>
    <w:rsid w:val="001E0BF5"/>
    <w:rsid w:val="001E0E68"/>
    <w:rsid w:val="001E304C"/>
    <w:rsid w:val="001E3C15"/>
    <w:rsid w:val="001E403C"/>
    <w:rsid w:val="001E4CFF"/>
    <w:rsid w:val="001E4E6C"/>
    <w:rsid w:val="001E5476"/>
    <w:rsid w:val="001E6720"/>
    <w:rsid w:val="001E7B6D"/>
    <w:rsid w:val="001F090D"/>
    <w:rsid w:val="001F1433"/>
    <w:rsid w:val="001F1C43"/>
    <w:rsid w:val="001F1E12"/>
    <w:rsid w:val="001F2354"/>
    <w:rsid w:val="001F23D0"/>
    <w:rsid w:val="001F3490"/>
    <w:rsid w:val="001F4EE5"/>
    <w:rsid w:val="001F5579"/>
    <w:rsid w:val="001F58EA"/>
    <w:rsid w:val="001F5CC9"/>
    <w:rsid w:val="001F652E"/>
    <w:rsid w:val="001F6596"/>
    <w:rsid w:val="001F65A6"/>
    <w:rsid w:val="001F6C15"/>
    <w:rsid w:val="001F7045"/>
    <w:rsid w:val="001F7B87"/>
    <w:rsid w:val="001F7CCB"/>
    <w:rsid w:val="001F7D2E"/>
    <w:rsid w:val="00200934"/>
    <w:rsid w:val="00201BA6"/>
    <w:rsid w:val="002021B5"/>
    <w:rsid w:val="00203358"/>
    <w:rsid w:val="00203D56"/>
    <w:rsid w:val="00204DBB"/>
    <w:rsid w:val="002059A6"/>
    <w:rsid w:val="002073EA"/>
    <w:rsid w:val="00207ABF"/>
    <w:rsid w:val="0021048F"/>
    <w:rsid w:val="00210DAA"/>
    <w:rsid w:val="00210FD7"/>
    <w:rsid w:val="0021293B"/>
    <w:rsid w:val="00213954"/>
    <w:rsid w:val="002154A7"/>
    <w:rsid w:val="0021575B"/>
    <w:rsid w:val="00215876"/>
    <w:rsid w:val="00216193"/>
    <w:rsid w:val="00216C5B"/>
    <w:rsid w:val="00217C56"/>
    <w:rsid w:val="00217D62"/>
    <w:rsid w:val="00220101"/>
    <w:rsid w:val="002203C9"/>
    <w:rsid w:val="0022061B"/>
    <w:rsid w:val="002207BF"/>
    <w:rsid w:val="0022111A"/>
    <w:rsid w:val="0022472C"/>
    <w:rsid w:val="00226424"/>
    <w:rsid w:val="00226FD0"/>
    <w:rsid w:val="00227177"/>
    <w:rsid w:val="00227791"/>
    <w:rsid w:val="00227D9A"/>
    <w:rsid w:val="00230843"/>
    <w:rsid w:val="0023127E"/>
    <w:rsid w:val="00233069"/>
    <w:rsid w:val="0023523C"/>
    <w:rsid w:val="00235B94"/>
    <w:rsid w:val="00237472"/>
    <w:rsid w:val="0023791B"/>
    <w:rsid w:val="002400C2"/>
    <w:rsid w:val="002404A5"/>
    <w:rsid w:val="00240926"/>
    <w:rsid w:val="0024177C"/>
    <w:rsid w:val="00241FB7"/>
    <w:rsid w:val="0024224A"/>
    <w:rsid w:val="00243721"/>
    <w:rsid w:val="002439C7"/>
    <w:rsid w:val="00243FB8"/>
    <w:rsid w:val="00244126"/>
    <w:rsid w:val="00244286"/>
    <w:rsid w:val="002450BE"/>
    <w:rsid w:val="00245557"/>
    <w:rsid w:val="002455CE"/>
    <w:rsid w:val="00245AFE"/>
    <w:rsid w:val="0024631A"/>
    <w:rsid w:val="00246A70"/>
    <w:rsid w:val="00250BB4"/>
    <w:rsid w:val="0025136F"/>
    <w:rsid w:val="002516F3"/>
    <w:rsid w:val="00252085"/>
    <w:rsid w:val="002534CC"/>
    <w:rsid w:val="0025374C"/>
    <w:rsid w:val="002537EF"/>
    <w:rsid w:val="00253C49"/>
    <w:rsid w:val="0025480E"/>
    <w:rsid w:val="00255656"/>
    <w:rsid w:val="00255CE9"/>
    <w:rsid w:val="00255E9D"/>
    <w:rsid w:val="002561AA"/>
    <w:rsid w:val="00256A01"/>
    <w:rsid w:val="00256FFE"/>
    <w:rsid w:val="00257688"/>
    <w:rsid w:val="00260054"/>
    <w:rsid w:val="002609B6"/>
    <w:rsid w:val="00260DC4"/>
    <w:rsid w:val="0026319C"/>
    <w:rsid w:val="0026321C"/>
    <w:rsid w:val="00263316"/>
    <w:rsid w:val="00263B9C"/>
    <w:rsid w:val="002645AE"/>
    <w:rsid w:val="00265263"/>
    <w:rsid w:val="002652BE"/>
    <w:rsid w:val="00265869"/>
    <w:rsid w:val="00267067"/>
    <w:rsid w:val="00267232"/>
    <w:rsid w:val="002679A3"/>
    <w:rsid w:val="00267B37"/>
    <w:rsid w:val="002702A3"/>
    <w:rsid w:val="00270756"/>
    <w:rsid w:val="00271B00"/>
    <w:rsid w:val="00271E32"/>
    <w:rsid w:val="002722D6"/>
    <w:rsid w:val="00272B4C"/>
    <w:rsid w:val="00272CB3"/>
    <w:rsid w:val="002731DD"/>
    <w:rsid w:val="002738FA"/>
    <w:rsid w:val="00274E96"/>
    <w:rsid w:val="00275BB1"/>
    <w:rsid w:val="00275EC3"/>
    <w:rsid w:val="0027758B"/>
    <w:rsid w:val="00277EDC"/>
    <w:rsid w:val="002801F8"/>
    <w:rsid w:val="00280B19"/>
    <w:rsid w:val="00281B5F"/>
    <w:rsid w:val="002828E0"/>
    <w:rsid w:val="00283591"/>
    <w:rsid w:val="00284430"/>
    <w:rsid w:val="00285581"/>
    <w:rsid w:val="00285C02"/>
    <w:rsid w:val="00287A5A"/>
    <w:rsid w:val="00292458"/>
    <w:rsid w:val="00293B34"/>
    <w:rsid w:val="002945D4"/>
    <w:rsid w:val="002960C1"/>
    <w:rsid w:val="00296152"/>
    <w:rsid w:val="002967BB"/>
    <w:rsid w:val="00296B0A"/>
    <w:rsid w:val="002A0F8E"/>
    <w:rsid w:val="002A1572"/>
    <w:rsid w:val="002A1D82"/>
    <w:rsid w:val="002A298B"/>
    <w:rsid w:val="002A31EA"/>
    <w:rsid w:val="002A3C56"/>
    <w:rsid w:val="002A4996"/>
    <w:rsid w:val="002A4CE9"/>
    <w:rsid w:val="002A4F1B"/>
    <w:rsid w:val="002A58F0"/>
    <w:rsid w:val="002A59F9"/>
    <w:rsid w:val="002A5EB1"/>
    <w:rsid w:val="002A663E"/>
    <w:rsid w:val="002A6C08"/>
    <w:rsid w:val="002A6D8D"/>
    <w:rsid w:val="002A7679"/>
    <w:rsid w:val="002A7D6D"/>
    <w:rsid w:val="002A7F13"/>
    <w:rsid w:val="002B0071"/>
    <w:rsid w:val="002B09A4"/>
    <w:rsid w:val="002B0B79"/>
    <w:rsid w:val="002B1570"/>
    <w:rsid w:val="002B174E"/>
    <w:rsid w:val="002B2503"/>
    <w:rsid w:val="002B32B4"/>
    <w:rsid w:val="002B4586"/>
    <w:rsid w:val="002B466B"/>
    <w:rsid w:val="002B550E"/>
    <w:rsid w:val="002B5E4E"/>
    <w:rsid w:val="002B6304"/>
    <w:rsid w:val="002B7783"/>
    <w:rsid w:val="002B78CB"/>
    <w:rsid w:val="002B7BA4"/>
    <w:rsid w:val="002C0FA9"/>
    <w:rsid w:val="002C10AB"/>
    <w:rsid w:val="002C116B"/>
    <w:rsid w:val="002C2EAA"/>
    <w:rsid w:val="002C31BD"/>
    <w:rsid w:val="002C40AF"/>
    <w:rsid w:val="002C44EB"/>
    <w:rsid w:val="002C662D"/>
    <w:rsid w:val="002C6C5B"/>
    <w:rsid w:val="002C6CBA"/>
    <w:rsid w:val="002C7BD0"/>
    <w:rsid w:val="002D15A8"/>
    <w:rsid w:val="002D225C"/>
    <w:rsid w:val="002D2922"/>
    <w:rsid w:val="002D3D09"/>
    <w:rsid w:val="002D4DE3"/>
    <w:rsid w:val="002D5000"/>
    <w:rsid w:val="002D59EF"/>
    <w:rsid w:val="002E0128"/>
    <w:rsid w:val="002E0157"/>
    <w:rsid w:val="002E03AA"/>
    <w:rsid w:val="002E141C"/>
    <w:rsid w:val="002E14A0"/>
    <w:rsid w:val="002E23C3"/>
    <w:rsid w:val="002E2AC3"/>
    <w:rsid w:val="002E5CC2"/>
    <w:rsid w:val="002E5DF0"/>
    <w:rsid w:val="002E6576"/>
    <w:rsid w:val="002E7115"/>
    <w:rsid w:val="002E74E9"/>
    <w:rsid w:val="002F19E0"/>
    <w:rsid w:val="002F2202"/>
    <w:rsid w:val="002F2C18"/>
    <w:rsid w:val="002F38AF"/>
    <w:rsid w:val="002F4A75"/>
    <w:rsid w:val="002F4EAA"/>
    <w:rsid w:val="002F5C37"/>
    <w:rsid w:val="002F68B7"/>
    <w:rsid w:val="002F767A"/>
    <w:rsid w:val="002F773B"/>
    <w:rsid w:val="002F7E65"/>
    <w:rsid w:val="00300B25"/>
    <w:rsid w:val="00300C60"/>
    <w:rsid w:val="00300E08"/>
    <w:rsid w:val="0030216B"/>
    <w:rsid w:val="003028C1"/>
    <w:rsid w:val="00302D76"/>
    <w:rsid w:val="00302E62"/>
    <w:rsid w:val="00302EB7"/>
    <w:rsid w:val="00303A3A"/>
    <w:rsid w:val="00304683"/>
    <w:rsid w:val="00304E15"/>
    <w:rsid w:val="00306C8E"/>
    <w:rsid w:val="00306F67"/>
    <w:rsid w:val="00307811"/>
    <w:rsid w:val="003100EA"/>
    <w:rsid w:val="00310ED0"/>
    <w:rsid w:val="00311258"/>
    <w:rsid w:val="00312335"/>
    <w:rsid w:val="00312F5E"/>
    <w:rsid w:val="00313369"/>
    <w:rsid w:val="00314B35"/>
    <w:rsid w:val="003153E0"/>
    <w:rsid w:val="0031584E"/>
    <w:rsid w:val="00316001"/>
    <w:rsid w:val="00316476"/>
    <w:rsid w:val="0031669D"/>
    <w:rsid w:val="003168D8"/>
    <w:rsid w:val="00316903"/>
    <w:rsid w:val="00316BFC"/>
    <w:rsid w:val="00317594"/>
    <w:rsid w:val="00317E54"/>
    <w:rsid w:val="003207E9"/>
    <w:rsid w:val="0032082E"/>
    <w:rsid w:val="0032193A"/>
    <w:rsid w:val="00321DC8"/>
    <w:rsid w:val="00321F4F"/>
    <w:rsid w:val="003224B5"/>
    <w:rsid w:val="0032275F"/>
    <w:rsid w:val="00322B05"/>
    <w:rsid w:val="00323B8D"/>
    <w:rsid w:val="0032421B"/>
    <w:rsid w:val="0032485A"/>
    <w:rsid w:val="0032564D"/>
    <w:rsid w:val="00326524"/>
    <w:rsid w:val="00326B10"/>
    <w:rsid w:val="00327B51"/>
    <w:rsid w:val="0033018B"/>
    <w:rsid w:val="00330458"/>
    <w:rsid w:val="00331588"/>
    <w:rsid w:val="00331884"/>
    <w:rsid w:val="00331FCB"/>
    <w:rsid w:val="003320A7"/>
    <w:rsid w:val="003325B7"/>
    <w:rsid w:val="0033375D"/>
    <w:rsid w:val="003340E9"/>
    <w:rsid w:val="003348CA"/>
    <w:rsid w:val="00334E7E"/>
    <w:rsid w:val="00334EDB"/>
    <w:rsid w:val="00335F4C"/>
    <w:rsid w:val="00336E42"/>
    <w:rsid w:val="003370AA"/>
    <w:rsid w:val="00340130"/>
    <w:rsid w:val="003402D9"/>
    <w:rsid w:val="0034048B"/>
    <w:rsid w:val="0034165E"/>
    <w:rsid w:val="003422DB"/>
    <w:rsid w:val="003429CD"/>
    <w:rsid w:val="00345094"/>
    <w:rsid w:val="0034553C"/>
    <w:rsid w:val="00345683"/>
    <w:rsid w:val="00345692"/>
    <w:rsid w:val="003471A3"/>
    <w:rsid w:val="00350658"/>
    <w:rsid w:val="0035081B"/>
    <w:rsid w:val="00351B00"/>
    <w:rsid w:val="00353597"/>
    <w:rsid w:val="00354CA1"/>
    <w:rsid w:val="00355956"/>
    <w:rsid w:val="00356291"/>
    <w:rsid w:val="003569EB"/>
    <w:rsid w:val="00356B8F"/>
    <w:rsid w:val="00356F5F"/>
    <w:rsid w:val="00360127"/>
    <w:rsid w:val="0036099E"/>
    <w:rsid w:val="00361DFA"/>
    <w:rsid w:val="00361F1B"/>
    <w:rsid w:val="00362AF0"/>
    <w:rsid w:val="00363707"/>
    <w:rsid w:val="00363E11"/>
    <w:rsid w:val="00364144"/>
    <w:rsid w:val="00364A60"/>
    <w:rsid w:val="00364AD2"/>
    <w:rsid w:val="00364F98"/>
    <w:rsid w:val="00366681"/>
    <w:rsid w:val="003669EB"/>
    <w:rsid w:val="00366AA8"/>
    <w:rsid w:val="00366B35"/>
    <w:rsid w:val="003700D6"/>
    <w:rsid w:val="00370727"/>
    <w:rsid w:val="00370B8D"/>
    <w:rsid w:val="00370BD8"/>
    <w:rsid w:val="00372E58"/>
    <w:rsid w:val="003730E3"/>
    <w:rsid w:val="003734F9"/>
    <w:rsid w:val="003737D2"/>
    <w:rsid w:val="003758F9"/>
    <w:rsid w:val="00375A53"/>
    <w:rsid w:val="00375F93"/>
    <w:rsid w:val="00376346"/>
    <w:rsid w:val="003776D6"/>
    <w:rsid w:val="00377D8C"/>
    <w:rsid w:val="00380116"/>
    <w:rsid w:val="003801E0"/>
    <w:rsid w:val="00381776"/>
    <w:rsid w:val="00381B64"/>
    <w:rsid w:val="00381C6B"/>
    <w:rsid w:val="00382597"/>
    <w:rsid w:val="003828AC"/>
    <w:rsid w:val="003828F3"/>
    <w:rsid w:val="00383BAA"/>
    <w:rsid w:val="00384258"/>
    <w:rsid w:val="003848C8"/>
    <w:rsid w:val="00385552"/>
    <w:rsid w:val="00385662"/>
    <w:rsid w:val="00386494"/>
    <w:rsid w:val="00386B30"/>
    <w:rsid w:val="00387EF6"/>
    <w:rsid w:val="00390284"/>
    <w:rsid w:val="00390FBC"/>
    <w:rsid w:val="00391DD1"/>
    <w:rsid w:val="003931D3"/>
    <w:rsid w:val="0039357D"/>
    <w:rsid w:val="003935F3"/>
    <w:rsid w:val="003939EC"/>
    <w:rsid w:val="00393B80"/>
    <w:rsid w:val="00393E2A"/>
    <w:rsid w:val="0039540F"/>
    <w:rsid w:val="00395D86"/>
    <w:rsid w:val="00396215"/>
    <w:rsid w:val="003962D6"/>
    <w:rsid w:val="00396E08"/>
    <w:rsid w:val="00397274"/>
    <w:rsid w:val="00397DC1"/>
    <w:rsid w:val="003A0323"/>
    <w:rsid w:val="003A2E3C"/>
    <w:rsid w:val="003A42CD"/>
    <w:rsid w:val="003A4618"/>
    <w:rsid w:val="003A4A8E"/>
    <w:rsid w:val="003A4E23"/>
    <w:rsid w:val="003A528D"/>
    <w:rsid w:val="003A5A10"/>
    <w:rsid w:val="003A71F2"/>
    <w:rsid w:val="003A77FD"/>
    <w:rsid w:val="003B0C4B"/>
    <w:rsid w:val="003B1145"/>
    <w:rsid w:val="003B18A1"/>
    <w:rsid w:val="003B269B"/>
    <w:rsid w:val="003B2BB8"/>
    <w:rsid w:val="003B3993"/>
    <w:rsid w:val="003B3A06"/>
    <w:rsid w:val="003B3E57"/>
    <w:rsid w:val="003B4A03"/>
    <w:rsid w:val="003B5071"/>
    <w:rsid w:val="003B6131"/>
    <w:rsid w:val="003B657B"/>
    <w:rsid w:val="003B7709"/>
    <w:rsid w:val="003B7CE6"/>
    <w:rsid w:val="003C01C8"/>
    <w:rsid w:val="003C1179"/>
    <w:rsid w:val="003C35EF"/>
    <w:rsid w:val="003C3870"/>
    <w:rsid w:val="003C38CC"/>
    <w:rsid w:val="003C5994"/>
    <w:rsid w:val="003C5BCD"/>
    <w:rsid w:val="003C6D25"/>
    <w:rsid w:val="003C6FCC"/>
    <w:rsid w:val="003C7534"/>
    <w:rsid w:val="003C7EB1"/>
    <w:rsid w:val="003D0F42"/>
    <w:rsid w:val="003D1A2A"/>
    <w:rsid w:val="003D204F"/>
    <w:rsid w:val="003D2439"/>
    <w:rsid w:val="003D3692"/>
    <w:rsid w:val="003D503F"/>
    <w:rsid w:val="003D5B5A"/>
    <w:rsid w:val="003D647A"/>
    <w:rsid w:val="003D6C1A"/>
    <w:rsid w:val="003D71F7"/>
    <w:rsid w:val="003D7AA4"/>
    <w:rsid w:val="003E088B"/>
    <w:rsid w:val="003E1127"/>
    <w:rsid w:val="003E1937"/>
    <w:rsid w:val="003E2C08"/>
    <w:rsid w:val="003E3662"/>
    <w:rsid w:val="003E4D9A"/>
    <w:rsid w:val="003E5191"/>
    <w:rsid w:val="003E6352"/>
    <w:rsid w:val="003E6A8D"/>
    <w:rsid w:val="003E6CA8"/>
    <w:rsid w:val="003E734C"/>
    <w:rsid w:val="003E7F03"/>
    <w:rsid w:val="003F0EF5"/>
    <w:rsid w:val="003F0F03"/>
    <w:rsid w:val="003F1830"/>
    <w:rsid w:val="003F1C35"/>
    <w:rsid w:val="003F1E78"/>
    <w:rsid w:val="003F261D"/>
    <w:rsid w:val="003F2DD7"/>
    <w:rsid w:val="003F3EF7"/>
    <w:rsid w:val="003F432C"/>
    <w:rsid w:val="003F4413"/>
    <w:rsid w:val="003F4D4F"/>
    <w:rsid w:val="003F583B"/>
    <w:rsid w:val="003F5B25"/>
    <w:rsid w:val="003F6893"/>
    <w:rsid w:val="003F6944"/>
    <w:rsid w:val="003F7B28"/>
    <w:rsid w:val="004002F8"/>
    <w:rsid w:val="00400C99"/>
    <w:rsid w:val="0040176E"/>
    <w:rsid w:val="00402433"/>
    <w:rsid w:val="00402456"/>
    <w:rsid w:val="00402F62"/>
    <w:rsid w:val="00403EE1"/>
    <w:rsid w:val="00403FF7"/>
    <w:rsid w:val="004042FA"/>
    <w:rsid w:val="00404385"/>
    <w:rsid w:val="00404D1D"/>
    <w:rsid w:val="004053F8"/>
    <w:rsid w:val="004054C9"/>
    <w:rsid w:val="00405703"/>
    <w:rsid w:val="0040583E"/>
    <w:rsid w:val="00405FA8"/>
    <w:rsid w:val="0040622E"/>
    <w:rsid w:val="0040660C"/>
    <w:rsid w:val="0040784A"/>
    <w:rsid w:val="0041119A"/>
    <w:rsid w:val="0041264E"/>
    <w:rsid w:val="00412BF2"/>
    <w:rsid w:val="00412DF1"/>
    <w:rsid w:val="00413CCA"/>
    <w:rsid w:val="0041416C"/>
    <w:rsid w:val="00414961"/>
    <w:rsid w:val="004152DE"/>
    <w:rsid w:val="00415AF8"/>
    <w:rsid w:val="00416B0F"/>
    <w:rsid w:val="0042069B"/>
    <w:rsid w:val="00420801"/>
    <w:rsid w:val="00420886"/>
    <w:rsid w:val="00420CDB"/>
    <w:rsid w:val="00421C89"/>
    <w:rsid w:val="00422615"/>
    <w:rsid w:val="0042350E"/>
    <w:rsid w:val="00424B74"/>
    <w:rsid w:val="00424D63"/>
    <w:rsid w:val="00424D73"/>
    <w:rsid w:val="004255C3"/>
    <w:rsid w:val="00425A66"/>
    <w:rsid w:val="00425BD4"/>
    <w:rsid w:val="00425C6C"/>
    <w:rsid w:val="004267E6"/>
    <w:rsid w:val="00426A31"/>
    <w:rsid w:val="00426CEC"/>
    <w:rsid w:val="00430484"/>
    <w:rsid w:val="0043058C"/>
    <w:rsid w:val="00430E97"/>
    <w:rsid w:val="0043135E"/>
    <w:rsid w:val="00432A06"/>
    <w:rsid w:val="00432C83"/>
    <w:rsid w:val="004331E2"/>
    <w:rsid w:val="004339C6"/>
    <w:rsid w:val="004360B8"/>
    <w:rsid w:val="00436E8D"/>
    <w:rsid w:val="00436FAC"/>
    <w:rsid w:val="00437CB7"/>
    <w:rsid w:val="00437FF0"/>
    <w:rsid w:val="004401D2"/>
    <w:rsid w:val="00441380"/>
    <w:rsid w:val="004415F7"/>
    <w:rsid w:val="00443714"/>
    <w:rsid w:val="0044391F"/>
    <w:rsid w:val="00444047"/>
    <w:rsid w:val="00444619"/>
    <w:rsid w:val="004447BE"/>
    <w:rsid w:val="00444B30"/>
    <w:rsid w:val="00444D0A"/>
    <w:rsid w:val="00444FC2"/>
    <w:rsid w:val="00445D24"/>
    <w:rsid w:val="004460E6"/>
    <w:rsid w:val="004461C3"/>
    <w:rsid w:val="004465C5"/>
    <w:rsid w:val="004466CE"/>
    <w:rsid w:val="004476EC"/>
    <w:rsid w:val="004477EB"/>
    <w:rsid w:val="00450145"/>
    <w:rsid w:val="00450157"/>
    <w:rsid w:val="0045042F"/>
    <w:rsid w:val="00450FE3"/>
    <w:rsid w:val="00451FA0"/>
    <w:rsid w:val="004539AE"/>
    <w:rsid w:val="00453A33"/>
    <w:rsid w:val="00453B16"/>
    <w:rsid w:val="00454ACA"/>
    <w:rsid w:val="00454CBF"/>
    <w:rsid w:val="004550EE"/>
    <w:rsid w:val="00456115"/>
    <w:rsid w:val="004562A0"/>
    <w:rsid w:val="0045662D"/>
    <w:rsid w:val="00460AA0"/>
    <w:rsid w:val="00460C45"/>
    <w:rsid w:val="00460CA0"/>
    <w:rsid w:val="00460CEF"/>
    <w:rsid w:val="0046109C"/>
    <w:rsid w:val="0046193C"/>
    <w:rsid w:val="00461945"/>
    <w:rsid w:val="00461FEB"/>
    <w:rsid w:val="004622DF"/>
    <w:rsid w:val="00462B50"/>
    <w:rsid w:val="00464643"/>
    <w:rsid w:val="00464C8D"/>
    <w:rsid w:val="00465044"/>
    <w:rsid w:val="00465286"/>
    <w:rsid w:val="00465D98"/>
    <w:rsid w:val="00466CEE"/>
    <w:rsid w:val="0046753F"/>
    <w:rsid w:val="00467947"/>
    <w:rsid w:val="00471865"/>
    <w:rsid w:val="0047215C"/>
    <w:rsid w:val="00472FCB"/>
    <w:rsid w:val="00473494"/>
    <w:rsid w:val="00474115"/>
    <w:rsid w:val="0047515B"/>
    <w:rsid w:val="0047539E"/>
    <w:rsid w:val="0047556D"/>
    <w:rsid w:val="00475901"/>
    <w:rsid w:val="004761BC"/>
    <w:rsid w:val="004762A2"/>
    <w:rsid w:val="004767C6"/>
    <w:rsid w:val="00476D82"/>
    <w:rsid w:val="00476E19"/>
    <w:rsid w:val="00480925"/>
    <w:rsid w:val="00480A36"/>
    <w:rsid w:val="00482C88"/>
    <w:rsid w:val="00482CDE"/>
    <w:rsid w:val="0048408E"/>
    <w:rsid w:val="00484134"/>
    <w:rsid w:val="00484506"/>
    <w:rsid w:val="00485ABC"/>
    <w:rsid w:val="0048608C"/>
    <w:rsid w:val="00486603"/>
    <w:rsid w:val="00486680"/>
    <w:rsid w:val="00486A93"/>
    <w:rsid w:val="00486BF3"/>
    <w:rsid w:val="00486C05"/>
    <w:rsid w:val="004906AA"/>
    <w:rsid w:val="004908BA"/>
    <w:rsid w:val="00490904"/>
    <w:rsid w:val="0049298C"/>
    <w:rsid w:val="0049313A"/>
    <w:rsid w:val="004933C8"/>
    <w:rsid w:val="004940F8"/>
    <w:rsid w:val="004950C6"/>
    <w:rsid w:val="004952CB"/>
    <w:rsid w:val="00495A7B"/>
    <w:rsid w:val="00497878"/>
    <w:rsid w:val="00497D21"/>
    <w:rsid w:val="00497D2C"/>
    <w:rsid w:val="004A0F19"/>
    <w:rsid w:val="004A18B9"/>
    <w:rsid w:val="004A3CFC"/>
    <w:rsid w:val="004A3EA7"/>
    <w:rsid w:val="004A4345"/>
    <w:rsid w:val="004A4D6D"/>
    <w:rsid w:val="004A5792"/>
    <w:rsid w:val="004A57EE"/>
    <w:rsid w:val="004A5EBC"/>
    <w:rsid w:val="004A6033"/>
    <w:rsid w:val="004A6510"/>
    <w:rsid w:val="004A6633"/>
    <w:rsid w:val="004A6D60"/>
    <w:rsid w:val="004A70C2"/>
    <w:rsid w:val="004A7867"/>
    <w:rsid w:val="004A7D41"/>
    <w:rsid w:val="004A7FAA"/>
    <w:rsid w:val="004B0201"/>
    <w:rsid w:val="004B0302"/>
    <w:rsid w:val="004B1BB8"/>
    <w:rsid w:val="004B31E8"/>
    <w:rsid w:val="004B4595"/>
    <w:rsid w:val="004B51E5"/>
    <w:rsid w:val="004B52CF"/>
    <w:rsid w:val="004B54FD"/>
    <w:rsid w:val="004B5ED1"/>
    <w:rsid w:val="004B65CF"/>
    <w:rsid w:val="004B6613"/>
    <w:rsid w:val="004B685F"/>
    <w:rsid w:val="004B6A2A"/>
    <w:rsid w:val="004C0E2B"/>
    <w:rsid w:val="004C11F4"/>
    <w:rsid w:val="004C1AAA"/>
    <w:rsid w:val="004C1CB1"/>
    <w:rsid w:val="004C2C94"/>
    <w:rsid w:val="004C32A8"/>
    <w:rsid w:val="004C3404"/>
    <w:rsid w:val="004C39AE"/>
    <w:rsid w:val="004C3AC1"/>
    <w:rsid w:val="004C402E"/>
    <w:rsid w:val="004C4992"/>
    <w:rsid w:val="004C4F9F"/>
    <w:rsid w:val="004C512E"/>
    <w:rsid w:val="004C55DE"/>
    <w:rsid w:val="004C5B27"/>
    <w:rsid w:val="004C6ACC"/>
    <w:rsid w:val="004C79AE"/>
    <w:rsid w:val="004C7B72"/>
    <w:rsid w:val="004C7D1F"/>
    <w:rsid w:val="004C7E85"/>
    <w:rsid w:val="004D14D1"/>
    <w:rsid w:val="004D1F27"/>
    <w:rsid w:val="004D20A2"/>
    <w:rsid w:val="004D235F"/>
    <w:rsid w:val="004D24D5"/>
    <w:rsid w:val="004D313D"/>
    <w:rsid w:val="004D38F2"/>
    <w:rsid w:val="004D500E"/>
    <w:rsid w:val="004D5572"/>
    <w:rsid w:val="004D7200"/>
    <w:rsid w:val="004D77C4"/>
    <w:rsid w:val="004D7A38"/>
    <w:rsid w:val="004E0263"/>
    <w:rsid w:val="004E07E3"/>
    <w:rsid w:val="004E08ED"/>
    <w:rsid w:val="004E0ECD"/>
    <w:rsid w:val="004E0FC9"/>
    <w:rsid w:val="004E1421"/>
    <w:rsid w:val="004E1B5C"/>
    <w:rsid w:val="004E2ADC"/>
    <w:rsid w:val="004E33C6"/>
    <w:rsid w:val="004E33EA"/>
    <w:rsid w:val="004E34F0"/>
    <w:rsid w:val="004E3B76"/>
    <w:rsid w:val="004E46B3"/>
    <w:rsid w:val="004E4920"/>
    <w:rsid w:val="004E4AB3"/>
    <w:rsid w:val="004E4EED"/>
    <w:rsid w:val="004E5AF9"/>
    <w:rsid w:val="004E6816"/>
    <w:rsid w:val="004E6AFB"/>
    <w:rsid w:val="004E6F08"/>
    <w:rsid w:val="004F090F"/>
    <w:rsid w:val="004F1362"/>
    <w:rsid w:val="004F16D5"/>
    <w:rsid w:val="004F1E27"/>
    <w:rsid w:val="004F2968"/>
    <w:rsid w:val="004F2F26"/>
    <w:rsid w:val="004F3576"/>
    <w:rsid w:val="004F4F72"/>
    <w:rsid w:val="004F625E"/>
    <w:rsid w:val="004F7720"/>
    <w:rsid w:val="004F7B43"/>
    <w:rsid w:val="00500607"/>
    <w:rsid w:val="00501225"/>
    <w:rsid w:val="005025BD"/>
    <w:rsid w:val="005027CB"/>
    <w:rsid w:val="00503387"/>
    <w:rsid w:val="00503B45"/>
    <w:rsid w:val="00503C30"/>
    <w:rsid w:val="00503C4B"/>
    <w:rsid w:val="00503FA9"/>
    <w:rsid w:val="005045EC"/>
    <w:rsid w:val="00504DFC"/>
    <w:rsid w:val="00505502"/>
    <w:rsid w:val="00505802"/>
    <w:rsid w:val="00505AC2"/>
    <w:rsid w:val="00505D90"/>
    <w:rsid w:val="00505E5D"/>
    <w:rsid w:val="00506529"/>
    <w:rsid w:val="00506B5E"/>
    <w:rsid w:val="00506BD8"/>
    <w:rsid w:val="00506FAD"/>
    <w:rsid w:val="005119E6"/>
    <w:rsid w:val="00511AE1"/>
    <w:rsid w:val="00511CCC"/>
    <w:rsid w:val="00513198"/>
    <w:rsid w:val="0051361C"/>
    <w:rsid w:val="00513B63"/>
    <w:rsid w:val="00514198"/>
    <w:rsid w:val="0051494F"/>
    <w:rsid w:val="00514CF6"/>
    <w:rsid w:val="005160AF"/>
    <w:rsid w:val="005169C6"/>
    <w:rsid w:val="00516A69"/>
    <w:rsid w:val="00520163"/>
    <w:rsid w:val="0052152F"/>
    <w:rsid w:val="00523070"/>
    <w:rsid w:val="00523DF3"/>
    <w:rsid w:val="0052428A"/>
    <w:rsid w:val="00524C54"/>
    <w:rsid w:val="0052531E"/>
    <w:rsid w:val="005259C2"/>
    <w:rsid w:val="005259D4"/>
    <w:rsid w:val="005261C8"/>
    <w:rsid w:val="00527506"/>
    <w:rsid w:val="0053002D"/>
    <w:rsid w:val="00530755"/>
    <w:rsid w:val="0053082B"/>
    <w:rsid w:val="00532534"/>
    <w:rsid w:val="00534357"/>
    <w:rsid w:val="00536C50"/>
    <w:rsid w:val="00537088"/>
    <w:rsid w:val="00537490"/>
    <w:rsid w:val="00537764"/>
    <w:rsid w:val="00537D00"/>
    <w:rsid w:val="0054046A"/>
    <w:rsid w:val="00541432"/>
    <w:rsid w:val="00542489"/>
    <w:rsid w:val="00543443"/>
    <w:rsid w:val="00543500"/>
    <w:rsid w:val="0054376B"/>
    <w:rsid w:val="00543AF7"/>
    <w:rsid w:val="00543FAB"/>
    <w:rsid w:val="00544068"/>
    <w:rsid w:val="005440B5"/>
    <w:rsid w:val="00545664"/>
    <w:rsid w:val="00545A3F"/>
    <w:rsid w:val="00545DFA"/>
    <w:rsid w:val="00547F3F"/>
    <w:rsid w:val="0055161E"/>
    <w:rsid w:val="005524D6"/>
    <w:rsid w:val="00552538"/>
    <w:rsid w:val="00552B5E"/>
    <w:rsid w:val="005531F6"/>
    <w:rsid w:val="00553211"/>
    <w:rsid w:val="00553DD3"/>
    <w:rsid w:val="00554F15"/>
    <w:rsid w:val="005562E1"/>
    <w:rsid w:val="00556780"/>
    <w:rsid w:val="00556AB5"/>
    <w:rsid w:val="00557611"/>
    <w:rsid w:val="0056136E"/>
    <w:rsid w:val="0056157B"/>
    <w:rsid w:val="0056190B"/>
    <w:rsid w:val="00562397"/>
    <w:rsid w:val="00562CB9"/>
    <w:rsid w:val="00562F7C"/>
    <w:rsid w:val="00564717"/>
    <w:rsid w:val="00566DB9"/>
    <w:rsid w:val="005679D1"/>
    <w:rsid w:val="00567A3D"/>
    <w:rsid w:val="00570EBF"/>
    <w:rsid w:val="0057163E"/>
    <w:rsid w:val="005727B4"/>
    <w:rsid w:val="005731F8"/>
    <w:rsid w:val="00573EF5"/>
    <w:rsid w:val="005748D4"/>
    <w:rsid w:val="00574AA1"/>
    <w:rsid w:val="00575180"/>
    <w:rsid w:val="005759A5"/>
    <w:rsid w:val="00575AA4"/>
    <w:rsid w:val="00575D28"/>
    <w:rsid w:val="005765EC"/>
    <w:rsid w:val="00576F56"/>
    <w:rsid w:val="005813B3"/>
    <w:rsid w:val="00581D82"/>
    <w:rsid w:val="00583002"/>
    <w:rsid w:val="00583009"/>
    <w:rsid w:val="005839D2"/>
    <w:rsid w:val="00583E0F"/>
    <w:rsid w:val="00584D51"/>
    <w:rsid w:val="0058536B"/>
    <w:rsid w:val="00585C02"/>
    <w:rsid w:val="0058635D"/>
    <w:rsid w:val="005865E7"/>
    <w:rsid w:val="005866A7"/>
    <w:rsid w:val="005871FE"/>
    <w:rsid w:val="005875D4"/>
    <w:rsid w:val="00587646"/>
    <w:rsid w:val="00587695"/>
    <w:rsid w:val="00587756"/>
    <w:rsid w:val="005907B1"/>
    <w:rsid w:val="00591217"/>
    <w:rsid w:val="00591677"/>
    <w:rsid w:val="00592DD8"/>
    <w:rsid w:val="005931A0"/>
    <w:rsid w:val="00593903"/>
    <w:rsid w:val="005947C5"/>
    <w:rsid w:val="005947D4"/>
    <w:rsid w:val="00594CED"/>
    <w:rsid w:val="00595B3F"/>
    <w:rsid w:val="00595E39"/>
    <w:rsid w:val="00596731"/>
    <w:rsid w:val="005978C9"/>
    <w:rsid w:val="00597D47"/>
    <w:rsid w:val="005A099C"/>
    <w:rsid w:val="005A1A48"/>
    <w:rsid w:val="005A21D8"/>
    <w:rsid w:val="005A290C"/>
    <w:rsid w:val="005A2FDC"/>
    <w:rsid w:val="005A3577"/>
    <w:rsid w:val="005A46F9"/>
    <w:rsid w:val="005A4877"/>
    <w:rsid w:val="005A6F64"/>
    <w:rsid w:val="005A7039"/>
    <w:rsid w:val="005B003D"/>
    <w:rsid w:val="005B045F"/>
    <w:rsid w:val="005B1110"/>
    <w:rsid w:val="005B28C0"/>
    <w:rsid w:val="005B2F33"/>
    <w:rsid w:val="005B316F"/>
    <w:rsid w:val="005B395B"/>
    <w:rsid w:val="005B3975"/>
    <w:rsid w:val="005B3C5C"/>
    <w:rsid w:val="005B45A1"/>
    <w:rsid w:val="005B4B95"/>
    <w:rsid w:val="005B5479"/>
    <w:rsid w:val="005B5A57"/>
    <w:rsid w:val="005B5DE4"/>
    <w:rsid w:val="005B5F16"/>
    <w:rsid w:val="005B62ED"/>
    <w:rsid w:val="005B7488"/>
    <w:rsid w:val="005B761C"/>
    <w:rsid w:val="005C0128"/>
    <w:rsid w:val="005C03A5"/>
    <w:rsid w:val="005C0B2F"/>
    <w:rsid w:val="005C0DDA"/>
    <w:rsid w:val="005C11D0"/>
    <w:rsid w:val="005C1371"/>
    <w:rsid w:val="005C1D74"/>
    <w:rsid w:val="005C3D15"/>
    <w:rsid w:val="005C5152"/>
    <w:rsid w:val="005C5884"/>
    <w:rsid w:val="005C60A3"/>
    <w:rsid w:val="005C659C"/>
    <w:rsid w:val="005C680A"/>
    <w:rsid w:val="005C7F33"/>
    <w:rsid w:val="005D0A3C"/>
    <w:rsid w:val="005D4E46"/>
    <w:rsid w:val="005D53A0"/>
    <w:rsid w:val="005D5D7C"/>
    <w:rsid w:val="005D5EC0"/>
    <w:rsid w:val="005D721D"/>
    <w:rsid w:val="005D723A"/>
    <w:rsid w:val="005D74EA"/>
    <w:rsid w:val="005D761E"/>
    <w:rsid w:val="005E03F1"/>
    <w:rsid w:val="005E086E"/>
    <w:rsid w:val="005E0A69"/>
    <w:rsid w:val="005E23EE"/>
    <w:rsid w:val="005E269D"/>
    <w:rsid w:val="005E2F5F"/>
    <w:rsid w:val="005E3F21"/>
    <w:rsid w:val="005E489C"/>
    <w:rsid w:val="005E48EF"/>
    <w:rsid w:val="005E6146"/>
    <w:rsid w:val="005E6B24"/>
    <w:rsid w:val="005E6F02"/>
    <w:rsid w:val="005E7720"/>
    <w:rsid w:val="005E792C"/>
    <w:rsid w:val="005E7DDB"/>
    <w:rsid w:val="005F0357"/>
    <w:rsid w:val="005F0384"/>
    <w:rsid w:val="005F03A8"/>
    <w:rsid w:val="005F11B0"/>
    <w:rsid w:val="005F1A30"/>
    <w:rsid w:val="005F1ABF"/>
    <w:rsid w:val="005F1E19"/>
    <w:rsid w:val="005F2B29"/>
    <w:rsid w:val="005F37D0"/>
    <w:rsid w:val="005F3A84"/>
    <w:rsid w:val="005F450B"/>
    <w:rsid w:val="005F4892"/>
    <w:rsid w:val="005F4903"/>
    <w:rsid w:val="005F4E12"/>
    <w:rsid w:val="005F51DE"/>
    <w:rsid w:val="005F6533"/>
    <w:rsid w:val="005F6CFA"/>
    <w:rsid w:val="005F7298"/>
    <w:rsid w:val="005F74F5"/>
    <w:rsid w:val="005F7608"/>
    <w:rsid w:val="00600014"/>
    <w:rsid w:val="006003B1"/>
    <w:rsid w:val="0060064A"/>
    <w:rsid w:val="00600682"/>
    <w:rsid w:val="006020F5"/>
    <w:rsid w:val="00602100"/>
    <w:rsid w:val="0060323C"/>
    <w:rsid w:val="006061D0"/>
    <w:rsid w:val="00606C65"/>
    <w:rsid w:val="00606ED2"/>
    <w:rsid w:val="0060742D"/>
    <w:rsid w:val="006079F5"/>
    <w:rsid w:val="00607A25"/>
    <w:rsid w:val="00610930"/>
    <w:rsid w:val="00610E59"/>
    <w:rsid w:val="00611740"/>
    <w:rsid w:val="006124E8"/>
    <w:rsid w:val="006124EC"/>
    <w:rsid w:val="00613005"/>
    <w:rsid w:val="006139BE"/>
    <w:rsid w:val="00614CDE"/>
    <w:rsid w:val="00614F32"/>
    <w:rsid w:val="00615077"/>
    <w:rsid w:val="0061542E"/>
    <w:rsid w:val="006156C4"/>
    <w:rsid w:val="00615BB7"/>
    <w:rsid w:val="00615FE0"/>
    <w:rsid w:val="00617260"/>
    <w:rsid w:val="00620CF0"/>
    <w:rsid w:val="00621BDA"/>
    <w:rsid w:val="006235E6"/>
    <w:rsid w:val="006244E4"/>
    <w:rsid w:val="006244F1"/>
    <w:rsid w:val="006250BE"/>
    <w:rsid w:val="006267B9"/>
    <w:rsid w:val="0062683F"/>
    <w:rsid w:val="006277D4"/>
    <w:rsid w:val="006306EA"/>
    <w:rsid w:val="00630A63"/>
    <w:rsid w:val="00630F29"/>
    <w:rsid w:val="00631264"/>
    <w:rsid w:val="0063153A"/>
    <w:rsid w:val="00631769"/>
    <w:rsid w:val="00631C75"/>
    <w:rsid w:val="00632414"/>
    <w:rsid w:val="0063258C"/>
    <w:rsid w:val="00632AE3"/>
    <w:rsid w:val="006346DF"/>
    <w:rsid w:val="00634D97"/>
    <w:rsid w:val="00635F55"/>
    <w:rsid w:val="00636488"/>
    <w:rsid w:val="00636903"/>
    <w:rsid w:val="00637D4A"/>
    <w:rsid w:val="006400D4"/>
    <w:rsid w:val="0064080D"/>
    <w:rsid w:val="0064089D"/>
    <w:rsid w:val="006409D0"/>
    <w:rsid w:val="00640BE0"/>
    <w:rsid w:val="0064174C"/>
    <w:rsid w:val="00642453"/>
    <w:rsid w:val="00642AF6"/>
    <w:rsid w:val="006431F3"/>
    <w:rsid w:val="00643CD5"/>
    <w:rsid w:val="00644DD9"/>
    <w:rsid w:val="006452FD"/>
    <w:rsid w:val="00645AEE"/>
    <w:rsid w:val="006464B6"/>
    <w:rsid w:val="0064652E"/>
    <w:rsid w:val="00647BB6"/>
    <w:rsid w:val="006526C7"/>
    <w:rsid w:val="00652BBD"/>
    <w:rsid w:val="00652C42"/>
    <w:rsid w:val="0065332E"/>
    <w:rsid w:val="00654B37"/>
    <w:rsid w:val="00654DDD"/>
    <w:rsid w:val="00654E8A"/>
    <w:rsid w:val="006551F4"/>
    <w:rsid w:val="00656540"/>
    <w:rsid w:val="006571AB"/>
    <w:rsid w:val="00657EE7"/>
    <w:rsid w:val="0066026A"/>
    <w:rsid w:val="0066067B"/>
    <w:rsid w:val="0066109A"/>
    <w:rsid w:val="00661604"/>
    <w:rsid w:val="00662A44"/>
    <w:rsid w:val="006643D4"/>
    <w:rsid w:val="006657E1"/>
    <w:rsid w:val="006667A9"/>
    <w:rsid w:val="00667133"/>
    <w:rsid w:val="00667B3F"/>
    <w:rsid w:val="00667D84"/>
    <w:rsid w:val="00667DB9"/>
    <w:rsid w:val="006701C1"/>
    <w:rsid w:val="0067025A"/>
    <w:rsid w:val="006702AC"/>
    <w:rsid w:val="00670913"/>
    <w:rsid w:val="0067167D"/>
    <w:rsid w:val="00671A43"/>
    <w:rsid w:val="00672AAC"/>
    <w:rsid w:val="00672BD0"/>
    <w:rsid w:val="00673537"/>
    <w:rsid w:val="00674A4A"/>
    <w:rsid w:val="006754F4"/>
    <w:rsid w:val="00675AC3"/>
    <w:rsid w:val="00676904"/>
    <w:rsid w:val="00676956"/>
    <w:rsid w:val="00677802"/>
    <w:rsid w:val="00677F0B"/>
    <w:rsid w:val="006802D5"/>
    <w:rsid w:val="00680551"/>
    <w:rsid w:val="00680D7E"/>
    <w:rsid w:val="00680D80"/>
    <w:rsid w:val="0068122C"/>
    <w:rsid w:val="0068230E"/>
    <w:rsid w:val="0068258A"/>
    <w:rsid w:val="00683263"/>
    <w:rsid w:val="00685309"/>
    <w:rsid w:val="0068532B"/>
    <w:rsid w:val="00685BF6"/>
    <w:rsid w:val="00685C6C"/>
    <w:rsid w:val="0068755A"/>
    <w:rsid w:val="00687E28"/>
    <w:rsid w:val="00691A43"/>
    <w:rsid w:val="00695754"/>
    <w:rsid w:val="00695991"/>
    <w:rsid w:val="00695A43"/>
    <w:rsid w:val="00695A59"/>
    <w:rsid w:val="0069636D"/>
    <w:rsid w:val="00696A90"/>
    <w:rsid w:val="00697165"/>
    <w:rsid w:val="006A0F19"/>
    <w:rsid w:val="006A1A83"/>
    <w:rsid w:val="006A31A3"/>
    <w:rsid w:val="006A3DA6"/>
    <w:rsid w:val="006A3EEA"/>
    <w:rsid w:val="006A5636"/>
    <w:rsid w:val="006A6829"/>
    <w:rsid w:val="006A6903"/>
    <w:rsid w:val="006A77DF"/>
    <w:rsid w:val="006A7D41"/>
    <w:rsid w:val="006B02E0"/>
    <w:rsid w:val="006B10C6"/>
    <w:rsid w:val="006B141B"/>
    <w:rsid w:val="006B1D66"/>
    <w:rsid w:val="006B2616"/>
    <w:rsid w:val="006B2A5C"/>
    <w:rsid w:val="006B3303"/>
    <w:rsid w:val="006B336B"/>
    <w:rsid w:val="006B363D"/>
    <w:rsid w:val="006B4489"/>
    <w:rsid w:val="006B49BB"/>
    <w:rsid w:val="006B4B26"/>
    <w:rsid w:val="006C0A0E"/>
    <w:rsid w:val="006C24A5"/>
    <w:rsid w:val="006C2DBC"/>
    <w:rsid w:val="006C3433"/>
    <w:rsid w:val="006C525B"/>
    <w:rsid w:val="006C5383"/>
    <w:rsid w:val="006C578D"/>
    <w:rsid w:val="006C7728"/>
    <w:rsid w:val="006C7C9D"/>
    <w:rsid w:val="006D1083"/>
    <w:rsid w:val="006D208A"/>
    <w:rsid w:val="006D346A"/>
    <w:rsid w:val="006D39C1"/>
    <w:rsid w:val="006D3EE3"/>
    <w:rsid w:val="006D420C"/>
    <w:rsid w:val="006D4581"/>
    <w:rsid w:val="006D6B94"/>
    <w:rsid w:val="006D7314"/>
    <w:rsid w:val="006D7736"/>
    <w:rsid w:val="006E06C6"/>
    <w:rsid w:val="006E2109"/>
    <w:rsid w:val="006E27D9"/>
    <w:rsid w:val="006E3113"/>
    <w:rsid w:val="006E3DE4"/>
    <w:rsid w:val="006E4300"/>
    <w:rsid w:val="006E571B"/>
    <w:rsid w:val="006E583F"/>
    <w:rsid w:val="006E5F7D"/>
    <w:rsid w:val="006E616B"/>
    <w:rsid w:val="006E64CA"/>
    <w:rsid w:val="006E6B65"/>
    <w:rsid w:val="006E6C70"/>
    <w:rsid w:val="006E6F2E"/>
    <w:rsid w:val="006E7235"/>
    <w:rsid w:val="006E7399"/>
    <w:rsid w:val="006E73E2"/>
    <w:rsid w:val="006E7421"/>
    <w:rsid w:val="006F0344"/>
    <w:rsid w:val="006F04B9"/>
    <w:rsid w:val="006F054C"/>
    <w:rsid w:val="006F14E6"/>
    <w:rsid w:val="006F2478"/>
    <w:rsid w:val="006F2D28"/>
    <w:rsid w:val="006F2D94"/>
    <w:rsid w:val="006F406F"/>
    <w:rsid w:val="007009DC"/>
    <w:rsid w:val="00701000"/>
    <w:rsid w:val="007015E1"/>
    <w:rsid w:val="00701DAC"/>
    <w:rsid w:val="00701F33"/>
    <w:rsid w:val="00701F39"/>
    <w:rsid w:val="00702A85"/>
    <w:rsid w:val="0070370C"/>
    <w:rsid w:val="007039D0"/>
    <w:rsid w:val="00703C05"/>
    <w:rsid w:val="00703EBB"/>
    <w:rsid w:val="0070482A"/>
    <w:rsid w:val="0070537B"/>
    <w:rsid w:val="007055A1"/>
    <w:rsid w:val="007066F9"/>
    <w:rsid w:val="007072E5"/>
    <w:rsid w:val="0070741E"/>
    <w:rsid w:val="00707C1A"/>
    <w:rsid w:val="00710044"/>
    <w:rsid w:val="00710A35"/>
    <w:rsid w:val="00710C6F"/>
    <w:rsid w:val="0071157D"/>
    <w:rsid w:val="0071222F"/>
    <w:rsid w:val="007125A5"/>
    <w:rsid w:val="00712A89"/>
    <w:rsid w:val="00713714"/>
    <w:rsid w:val="00713BF0"/>
    <w:rsid w:val="00714DEC"/>
    <w:rsid w:val="00714F19"/>
    <w:rsid w:val="00714FB3"/>
    <w:rsid w:val="00715258"/>
    <w:rsid w:val="00715E27"/>
    <w:rsid w:val="00716185"/>
    <w:rsid w:val="00716334"/>
    <w:rsid w:val="007172A8"/>
    <w:rsid w:val="00717780"/>
    <w:rsid w:val="00717B5D"/>
    <w:rsid w:val="00720F17"/>
    <w:rsid w:val="007214E4"/>
    <w:rsid w:val="00721D94"/>
    <w:rsid w:val="007221F4"/>
    <w:rsid w:val="0072254A"/>
    <w:rsid w:val="007225CB"/>
    <w:rsid w:val="00722C87"/>
    <w:rsid w:val="007233B6"/>
    <w:rsid w:val="007259C8"/>
    <w:rsid w:val="00725E0C"/>
    <w:rsid w:val="007262AF"/>
    <w:rsid w:val="007263D1"/>
    <w:rsid w:val="007265B3"/>
    <w:rsid w:val="00726CCB"/>
    <w:rsid w:val="00726FA5"/>
    <w:rsid w:val="00727202"/>
    <w:rsid w:val="0072725E"/>
    <w:rsid w:val="00727C13"/>
    <w:rsid w:val="007302DC"/>
    <w:rsid w:val="007308DB"/>
    <w:rsid w:val="00730C9E"/>
    <w:rsid w:val="00731958"/>
    <w:rsid w:val="007319E3"/>
    <w:rsid w:val="0073323C"/>
    <w:rsid w:val="00733853"/>
    <w:rsid w:val="00733EE3"/>
    <w:rsid w:val="00735409"/>
    <w:rsid w:val="007358C4"/>
    <w:rsid w:val="00735D24"/>
    <w:rsid w:val="00735D41"/>
    <w:rsid w:val="00736341"/>
    <w:rsid w:val="007364DF"/>
    <w:rsid w:val="00740965"/>
    <w:rsid w:val="00741F54"/>
    <w:rsid w:val="0074214A"/>
    <w:rsid w:val="00742645"/>
    <w:rsid w:val="00742D37"/>
    <w:rsid w:val="00743296"/>
    <w:rsid w:val="00744033"/>
    <w:rsid w:val="00745220"/>
    <w:rsid w:val="00745D04"/>
    <w:rsid w:val="007461C0"/>
    <w:rsid w:val="007462C1"/>
    <w:rsid w:val="00746452"/>
    <w:rsid w:val="00746511"/>
    <w:rsid w:val="00746629"/>
    <w:rsid w:val="00747695"/>
    <w:rsid w:val="00747A69"/>
    <w:rsid w:val="00747E6E"/>
    <w:rsid w:val="00747E72"/>
    <w:rsid w:val="00747F44"/>
    <w:rsid w:val="00750CB1"/>
    <w:rsid w:val="00752B74"/>
    <w:rsid w:val="00752CFE"/>
    <w:rsid w:val="00753164"/>
    <w:rsid w:val="00753273"/>
    <w:rsid w:val="00753436"/>
    <w:rsid w:val="00753EED"/>
    <w:rsid w:val="007546C5"/>
    <w:rsid w:val="00755C3E"/>
    <w:rsid w:val="00756498"/>
    <w:rsid w:val="007565F0"/>
    <w:rsid w:val="00756C0A"/>
    <w:rsid w:val="00756FCF"/>
    <w:rsid w:val="00760165"/>
    <w:rsid w:val="00760215"/>
    <w:rsid w:val="00760596"/>
    <w:rsid w:val="007625E6"/>
    <w:rsid w:val="00762772"/>
    <w:rsid w:val="00762BB0"/>
    <w:rsid w:val="007633D5"/>
    <w:rsid w:val="0076379B"/>
    <w:rsid w:val="00764071"/>
    <w:rsid w:val="00764571"/>
    <w:rsid w:val="007646F5"/>
    <w:rsid w:val="00765275"/>
    <w:rsid w:val="00765277"/>
    <w:rsid w:val="007653C0"/>
    <w:rsid w:val="00765E94"/>
    <w:rsid w:val="00766168"/>
    <w:rsid w:val="00766281"/>
    <w:rsid w:val="007665EA"/>
    <w:rsid w:val="00767113"/>
    <w:rsid w:val="007672CA"/>
    <w:rsid w:val="007674FB"/>
    <w:rsid w:val="00770716"/>
    <w:rsid w:val="00770826"/>
    <w:rsid w:val="0077095E"/>
    <w:rsid w:val="00770977"/>
    <w:rsid w:val="00770BBC"/>
    <w:rsid w:val="007712AC"/>
    <w:rsid w:val="007718E8"/>
    <w:rsid w:val="00771A25"/>
    <w:rsid w:val="00771D5D"/>
    <w:rsid w:val="0077242E"/>
    <w:rsid w:val="00772EED"/>
    <w:rsid w:val="00772F33"/>
    <w:rsid w:val="00773F25"/>
    <w:rsid w:val="00775168"/>
    <w:rsid w:val="00775216"/>
    <w:rsid w:val="007753B8"/>
    <w:rsid w:val="00775B8E"/>
    <w:rsid w:val="00775F13"/>
    <w:rsid w:val="007767FF"/>
    <w:rsid w:val="007777C9"/>
    <w:rsid w:val="00777B68"/>
    <w:rsid w:val="00780DE9"/>
    <w:rsid w:val="00782325"/>
    <w:rsid w:val="00782A72"/>
    <w:rsid w:val="007831FE"/>
    <w:rsid w:val="007835D7"/>
    <w:rsid w:val="0078387B"/>
    <w:rsid w:val="00783924"/>
    <w:rsid w:val="007859C9"/>
    <w:rsid w:val="00785BCF"/>
    <w:rsid w:val="007868D3"/>
    <w:rsid w:val="007876DC"/>
    <w:rsid w:val="00787AC4"/>
    <w:rsid w:val="0079062B"/>
    <w:rsid w:val="007907BD"/>
    <w:rsid w:val="00790EE1"/>
    <w:rsid w:val="00790F10"/>
    <w:rsid w:val="007925C4"/>
    <w:rsid w:val="00793761"/>
    <w:rsid w:val="007938D9"/>
    <w:rsid w:val="00793ED3"/>
    <w:rsid w:val="00794224"/>
    <w:rsid w:val="00794608"/>
    <w:rsid w:val="007950E9"/>
    <w:rsid w:val="00795695"/>
    <w:rsid w:val="00795702"/>
    <w:rsid w:val="0079643D"/>
    <w:rsid w:val="007979BE"/>
    <w:rsid w:val="00797BF8"/>
    <w:rsid w:val="007A08DD"/>
    <w:rsid w:val="007A11CD"/>
    <w:rsid w:val="007A140D"/>
    <w:rsid w:val="007A152B"/>
    <w:rsid w:val="007A15D2"/>
    <w:rsid w:val="007A16F6"/>
    <w:rsid w:val="007A2196"/>
    <w:rsid w:val="007A40D4"/>
    <w:rsid w:val="007A42E2"/>
    <w:rsid w:val="007A511E"/>
    <w:rsid w:val="007A5B53"/>
    <w:rsid w:val="007A5C24"/>
    <w:rsid w:val="007A5DE1"/>
    <w:rsid w:val="007A67C1"/>
    <w:rsid w:val="007B01F0"/>
    <w:rsid w:val="007B0FD5"/>
    <w:rsid w:val="007B1EE4"/>
    <w:rsid w:val="007B3489"/>
    <w:rsid w:val="007B3D7B"/>
    <w:rsid w:val="007B5318"/>
    <w:rsid w:val="007B5380"/>
    <w:rsid w:val="007B5609"/>
    <w:rsid w:val="007B5F76"/>
    <w:rsid w:val="007B617E"/>
    <w:rsid w:val="007B6BAD"/>
    <w:rsid w:val="007C0D99"/>
    <w:rsid w:val="007C0E9C"/>
    <w:rsid w:val="007C1DE5"/>
    <w:rsid w:val="007C3344"/>
    <w:rsid w:val="007C3EA7"/>
    <w:rsid w:val="007C4B71"/>
    <w:rsid w:val="007C52CB"/>
    <w:rsid w:val="007C649E"/>
    <w:rsid w:val="007C64EB"/>
    <w:rsid w:val="007C69DB"/>
    <w:rsid w:val="007C755D"/>
    <w:rsid w:val="007C7965"/>
    <w:rsid w:val="007C7FFE"/>
    <w:rsid w:val="007D022D"/>
    <w:rsid w:val="007D0F57"/>
    <w:rsid w:val="007D177D"/>
    <w:rsid w:val="007D1EFE"/>
    <w:rsid w:val="007D25D1"/>
    <w:rsid w:val="007D2A12"/>
    <w:rsid w:val="007D2A82"/>
    <w:rsid w:val="007D3F9C"/>
    <w:rsid w:val="007D45BB"/>
    <w:rsid w:val="007D4CF0"/>
    <w:rsid w:val="007D5264"/>
    <w:rsid w:val="007D58EA"/>
    <w:rsid w:val="007D5B46"/>
    <w:rsid w:val="007D7740"/>
    <w:rsid w:val="007D7907"/>
    <w:rsid w:val="007D7ADD"/>
    <w:rsid w:val="007E072F"/>
    <w:rsid w:val="007E08CA"/>
    <w:rsid w:val="007E0D0F"/>
    <w:rsid w:val="007E10F5"/>
    <w:rsid w:val="007E1347"/>
    <w:rsid w:val="007E1478"/>
    <w:rsid w:val="007E1C98"/>
    <w:rsid w:val="007E2598"/>
    <w:rsid w:val="007E2F46"/>
    <w:rsid w:val="007E447F"/>
    <w:rsid w:val="007E4DF9"/>
    <w:rsid w:val="007E5288"/>
    <w:rsid w:val="007E562F"/>
    <w:rsid w:val="007E589A"/>
    <w:rsid w:val="007E5FFB"/>
    <w:rsid w:val="007E64E8"/>
    <w:rsid w:val="007E672A"/>
    <w:rsid w:val="007E704E"/>
    <w:rsid w:val="007E7067"/>
    <w:rsid w:val="007E7377"/>
    <w:rsid w:val="007F0324"/>
    <w:rsid w:val="007F07C5"/>
    <w:rsid w:val="007F0FB7"/>
    <w:rsid w:val="007F1864"/>
    <w:rsid w:val="007F1872"/>
    <w:rsid w:val="007F2999"/>
    <w:rsid w:val="007F32F2"/>
    <w:rsid w:val="007F4A03"/>
    <w:rsid w:val="007F4AD2"/>
    <w:rsid w:val="007F4B95"/>
    <w:rsid w:val="007F5636"/>
    <w:rsid w:val="007F69AB"/>
    <w:rsid w:val="007F6A94"/>
    <w:rsid w:val="007F6F2D"/>
    <w:rsid w:val="00800145"/>
    <w:rsid w:val="008004C4"/>
    <w:rsid w:val="008017D1"/>
    <w:rsid w:val="00802B13"/>
    <w:rsid w:val="0080392A"/>
    <w:rsid w:val="00803DC8"/>
    <w:rsid w:val="008040D1"/>
    <w:rsid w:val="00804615"/>
    <w:rsid w:val="00804D3F"/>
    <w:rsid w:val="008054E7"/>
    <w:rsid w:val="00805C68"/>
    <w:rsid w:val="00805E67"/>
    <w:rsid w:val="008061E0"/>
    <w:rsid w:val="00806351"/>
    <w:rsid w:val="00807DD1"/>
    <w:rsid w:val="008100AF"/>
    <w:rsid w:val="00810A37"/>
    <w:rsid w:val="008111B2"/>
    <w:rsid w:val="00813F8B"/>
    <w:rsid w:val="00814422"/>
    <w:rsid w:val="0081449F"/>
    <w:rsid w:val="00814AE4"/>
    <w:rsid w:val="00815032"/>
    <w:rsid w:val="00817808"/>
    <w:rsid w:val="00820351"/>
    <w:rsid w:val="008208CE"/>
    <w:rsid w:val="00820A9A"/>
    <w:rsid w:val="00820C0A"/>
    <w:rsid w:val="00820CD0"/>
    <w:rsid w:val="00820E5C"/>
    <w:rsid w:val="0082115C"/>
    <w:rsid w:val="00822504"/>
    <w:rsid w:val="00822706"/>
    <w:rsid w:val="008246AA"/>
    <w:rsid w:val="00825597"/>
    <w:rsid w:val="0082601B"/>
    <w:rsid w:val="00826313"/>
    <w:rsid w:val="00826ABE"/>
    <w:rsid w:val="00827914"/>
    <w:rsid w:val="00827C10"/>
    <w:rsid w:val="00827C7B"/>
    <w:rsid w:val="00830293"/>
    <w:rsid w:val="008313A9"/>
    <w:rsid w:val="008315F2"/>
    <w:rsid w:val="00832874"/>
    <w:rsid w:val="00832ACA"/>
    <w:rsid w:val="00832EC9"/>
    <w:rsid w:val="008335AE"/>
    <w:rsid w:val="0083370B"/>
    <w:rsid w:val="0083384F"/>
    <w:rsid w:val="00833FED"/>
    <w:rsid w:val="00834950"/>
    <w:rsid w:val="00835BEE"/>
    <w:rsid w:val="00835DFD"/>
    <w:rsid w:val="008364D3"/>
    <w:rsid w:val="008369AE"/>
    <w:rsid w:val="00837AF4"/>
    <w:rsid w:val="00837C76"/>
    <w:rsid w:val="0084015C"/>
    <w:rsid w:val="008402F1"/>
    <w:rsid w:val="00840C76"/>
    <w:rsid w:val="008425D4"/>
    <w:rsid w:val="00844158"/>
    <w:rsid w:val="008441F2"/>
    <w:rsid w:val="00844BCE"/>
    <w:rsid w:val="00845FA1"/>
    <w:rsid w:val="00846186"/>
    <w:rsid w:val="00846655"/>
    <w:rsid w:val="00847394"/>
    <w:rsid w:val="00847C9D"/>
    <w:rsid w:val="00850A88"/>
    <w:rsid w:val="00850E8A"/>
    <w:rsid w:val="0085127D"/>
    <w:rsid w:val="008518D0"/>
    <w:rsid w:val="00851AFC"/>
    <w:rsid w:val="00851D87"/>
    <w:rsid w:val="00852A7F"/>
    <w:rsid w:val="008531DE"/>
    <w:rsid w:val="00853E5C"/>
    <w:rsid w:val="00855072"/>
    <w:rsid w:val="008557B8"/>
    <w:rsid w:val="00857B87"/>
    <w:rsid w:val="00857F62"/>
    <w:rsid w:val="00860212"/>
    <w:rsid w:val="008604E9"/>
    <w:rsid w:val="008605E4"/>
    <w:rsid w:val="0086129F"/>
    <w:rsid w:val="0086176F"/>
    <w:rsid w:val="0086204D"/>
    <w:rsid w:val="00862F43"/>
    <w:rsid w:val="00863555"/>
    <w:rsid w:val="008637D6"/>
    <w:rsid w:val="0086455F"/>
    <w:rsid w:val="008657B0"/>
    <w:rsid w:val="00866B7B"/>
    <w:rsid w:val="008672E9"/>
    <w:rsid w:val="00867E38"/>
    <w:rsid w:val="00870112"/>
    <w:rsid w:val="0087044E"/>
    <w:rsid w:val="008709BF"/>
    <w:rsid w:val="00870A48"/>
    <w:rsid w:val="00871AE1"/>
    <w:rsid w:val="00871C8D"/>
    <w:rsid w:val="00871CA4"/>
    <w:rsid w:val="00872F3E"/>
    <w:rsid w:val="00876F92"/>
    <w:rsid w:val="008771FD"/>
    <w:rsid w:val="0087780E"/>
    <w:rsid w:val="00877AA3"/>
    <w:rsid w:val="00877B36"/>
    <w:rsid w:val="00877E9A"/>
    <w:rsid w:val="008800AB"/>
    <w:rsid w:val="0088027E"/>
    <w:rsid w:val="00880ACF"/>
    <w:rsid w:val="008815B3"/>
    <w:rsid w:val="00881EE9"/>
    <w:rsid w:val="0088393C"/>
    <w:rsid w:val="00884B50"/>
    <w:rsid w:val="008863AE"/>
    <w:rsid w:val="008874D7"/>
    <w:rsid w:val="00890D7F"/>
    <w:rsid w:val="00891851"/>
    <w:rsid w:val="00893700"/>
    <w:rsid w:val="00894526"/>
    <w:rsid w:val="00894FAD"/>
    <w:rsid w:val="008A055A"/>
    <w:rsid w:val="008A06AB"/>
    <w:rsid w:val="008A1292"/>
    <w:rsid w:val="008A2846"/>
    <w:rsid w:val="008A2EE9"/>
    <w:rsid w:val="008A2F71"/>
    <w:rsid w:val="008A3181"/>
    <w:rsid w:val="008A41D6"/>
    <w:rsid w:val="008A4FAE"/>
    <w:rsid w:val="008A5303"/>
    <w:rsid w:val="008A5461"/>
    <w:rsid w:val="008A56BD"/>
    <w:rsid w:val="008A6067"/>
    <w:rsid w:val="008A6854"/>
    <w:rsid w:val="008A688B"/>
    <w:rsid w:val="008A6ADF"/>
    <w:rsid w:val="008A7A19"/>
    <w:rsid w:val="008B0541"/>
    <w:rsid w:val="008B0545"/>
    <w:rsid w:val="008B0720"/>
    <w:rsid w:val="008B0738"/>
    <w:rsid w:val="008B1F92"/>
    <w:rsid w:val="008B25B1"/>
    <w:rsid w:val="008B28C2"/>
    <w:rsid w:val="008B2C04"/>
    <w:rsid w:val="008B2D66"/>
    <w:rsid w:val="008B2E3D"/>
    <w:rsid w:val="008B33BD"/>
    <w:rsid w:val="008B3BAC"/>
    <w:rsid w:val="008B4A90"/>
    <w:rsid w:val="008B4DB7"/>
    <w:rsid w:val="008B565B"/>
    <w:rsid w:val="008B59E2"/>
    <w:rsid w:val="008B5AEE"/>
    <w:rsid w:val="008B6AF4"/>
    <w:rsid w:val="008B6EF1"/>
    <w:rsid w:val="008B716C"/>
    <w:rsid w:val="008C01B4"/>
    <w:rsid w:val="008C0456"/>
    <w:rsid w:val="008C0B03"/>
    <w:rsid w:val="008C0B5E"/>
    <w:rsid w:val="008C0DF0"/>
    <w:rsid w:val="008C19E0"/>
    <w:rsid w:val="008C32E1"/>
    <w:rsid w:val="008C54E6"/>
    <w:rsid w:val="008C5FD2"/>
    <w:rsid w:val="008C648E"/>
    <w:rsid w:val="008C6563"/>
    <w:rsid w:val="008C75E4"/>
    <w:rsid w:val="008C7883"/>
    <w:rsid w:val="008D0FD6"/>
    <w:rsid w:val="008D13A1"/>
    <w:rsid w:val="008D197B"/>
    <w:rsid w:val="008D19C0"/>
    <w:rsid w:val="008D1BBF"/>
    <w:rsid w:val="008D25FE"/>
    <w:rsid w:val="008D2C6D"/>
    <w:rsid w:val="008D2E4E"/>
    <w:rsid w:val="008D302A"/>
    <w:rsid w:val="008D32D0"/>
    <w:rsid w:val="008D3BFE"/>
    <w:rsid w:val="008D3CFF"/>
    <w:rsid w:val="008D3D40"/>
    <w:rsid w:val="008D5371"/>
    <w:rsid w:val="008D53A3"/>
    <w:rsid w:val="008E1826"/>
    <w:rsid w:val="008E1AF9"/>
    <w:rsid w:val="008E2306"/>
    <w:rsid w:val="008E2370"/>
    <w:rsid w:val="008E28FA"/>
    <w:rsid w:val="008E2B7A"/>
    <w:rsid w:val="008E3319"/>
    <w:rsid w:val="008E3C0C"/>
    <w:rsid w:val="008E43D3"/>
    <w:rsid w:val="008E44EF"/>
    <w:rsid w:val="008E4A27"/>
    <w:rsid w:val="008E4AFB"/>
    <w:rsid w:val="008E534E"/>
    <w:rsid w:val="008E60AD"/>
    <w:rsid w:val="008E63B8"/>
    <w:rsid w:val="008F07C4"/>
    <w:rsid w:val="008F16ED"/>
    <w:rsid w:val="008F2528"/>
    <w:rsid w:val="008F367C"/>
    <w:rsid w:val="008F3CE7"/>
    <w:rsid w:val="008F3ED0"/>
    <w:rsid w:val="008F484E"/>
    <w:rsid w:val="008F557A"/>
    <w:rsid w:val="008F57CE"/>
    <w:rsid w:val="008F64C2"/>
    <w:rsid w:val="008F7921"/>
    <w:rsid w:val="00900141"/>
    <w:rsid w:val="009002FE"/>
    <w:rsid w:val="009003A3"/>
    <w:rsid w:val="009015F3"/>
    <w:rsid w:val="009019B7"/>
    <w:rsid w:val="00901D57"/>
    <w:rsid w:val="009023C8"/>
    <w:rsid w:val="00902930"/>
    <w:rsid w:val="00903BF3"/>
    <w:rsid w:val="00904C64"/>
    <w:rsid w:val="00905827"/>
    <w:rsid w:val="00905BE0"/>
    <w:rsid w:val="00905C24"/>
    <w:rsid w:val="00906775"/>
    <w:rsid w:val="00907BCF"/>
    <w:rsid w:val="0091161A"/>
    <w:rsid w:val="00912224"/>
    <w:rsid w:val="00912A7B"/>
    <w:rsid w:val="00912EC9"/>
    <w:rsid w:val="0091308B"/>
    <w:rsid w:val="0091365F"/>
    <w:rsid w:val="00914934"/>
    <w:rsid w:val="00914EC6"/>
    <w:rsid w:val="00916049"/>
    <w:rsid w:val="009170A1"/>
    <w:rsid w:val="00917329"/>
    <w:rsid w:val="009178E5"/>
    <w:rsid w:val="009208F3"/>
    <w:rsid w:val="00920F08"/>
    <w:rsid w:val="00922C83"/>
    <w:rsid w:val="009230F0"/>
    <w:rsid w:val="00924B6C"/>
    <w:rsid w:val="0092585F"/>
    <w:rsid w:val="00926094"/>
    <w:rsid w:val="009262FA"/>
    <w:rsid w:val="00927330"/>
    <w:rsid w:val="009273ED"/>
    <w:rsid w:val="009279FF"/>
    <w:rsid w:val="00930213"/>
    <w:rsid w:val="0093038C"/>
    <w:rsid w:val="00930806"/>
    <w:rsid w:val="009322A8"/>
    <w:rsid w:val="00933440"/>
    <w:rsid w:val="009335B2"/>
    <w:rsid w:val="009335E9"/>
    <w:rsid w:val="00934749"/>
    <w:rsid w:val="00934A34"/>
    <w:rsid w:val="00935061"/>
    <w:rsid w:val="0093514D"/>
    <w:rsid w:val="0093543E"/>
    <w:rsid w:val="009366F4"/>
    <w:rsid w:val="009368D5"/>
    <w:rsid w:val="00936B94"/>
    <w:rsid w:val="009375ED"/>
    <w:rsid w:val="00937C70"/>
    <w:rsid w:val="00937FB1"/>
    <w:rsid w:val="00941F07"/>
    <w:rsid w:val="00942570"/>
    <w:rsid w:val="0094272C"/>
    <w:rsid w:val="00942D55"/>
    <w:rsid w:val="00942E5F"/>
    <w:rsid w:val="0094387C"/>
    <w:rsid w:val="00943AB4"/>
    <w:rsid w:val="0094454F"/>
    <w:rsid w:val="0094470E"/>
    <w:rsid w:val="00944AFD"/>
    <w:rsid w:val="009456AF"/>
    <w:rsid w:val="009465A9"/>
    <w:rsid w:val="00950999"/>
    <w:rsid w:val="00950AE8"/>
    <w:rsid w:val="00950D53"/>
    <w:rsid w:val="00951AAA"/>
    <w:rsid w:val="00952070"/>
    <w:rsid w:val="00952E76"/>
    <w:rsid w:val="00954509"/>
    <w:rsid w:val="00954C38"/>
    <w:rsid w:val="00961018"/>
    <w:rsid w:val="009616F8"/>
    <w:rsid w:val="00963E89"/>
    <w:rsid w:val="0096402E"/>
    <w:rsid w:val="00964F80"/>
    <w:rsid w:val="00966274"/>
    <w:rsid w:val="00966F1F"/>
    <w:rsid w:val="00967429"/>
    <w:rsid w:val="00967573"/>
    <w:rsid w:val="00967E5C"/>
    <w:rsid w:val="00970D99"/>
    <w:rsid w:val="00971405"/>
    <w:rsid w:val="009716C8"/>
    <w:rsid w:val="00972064"/>
    <w:rsid w:val="00973E00"/>
    <w:rsid w:val="00974A2E"/>
    <w:rsid w:val="009750DE"/>
    <w:rsid w:val="00975360"/>
    <w:rsid w:val="009761A0"/>
    <w:rsid w:val="009763E1"/>
    <w:rsid w:val="009766CD"/>
    <w:rsid w:val="009773E9"/>
    <w:rsid w:val="009804D0"/>
    <w:rsid w:val="00980914"/>
    <w:rsid w:val="00980F62"/>
    <w:rsid w:val="0098132F"/>
    <w:rsid w:val="00981831"/>
    <w:rsid w:val="00981A9D"/>
    <w:rsid w:val="009821B9"/>
    <w:rsid w:val="00982797"/>
    <w:rsid w:val="00984AAE"/>
    <w:rsid w:val="00984FFE"/>
    <w:rsid w:val="00986262"/>
    <w:rsid w:val="009871CE"/>
    <w:rsid w:val="00987804"/>
    <w:rsid w:val="00990333"/>
    <w:rsid w:val="00991A10"/>
    <w:rsid w:val="00993336"/>
    <w:rsid w:val="009933A5"/>
    <w:rsid w:val="00993887"/>
    <w:rsid w:val="009952FE"/>
    <w:rsid w:val="00995485"/>
    <w:rsid w:val="009955F8"/>
    <w:rsid w:val="009956D0"/>
    <w:rsid w:val="00996508"/>
    <w:rsid w:val="00996D38"/>
    <w:rsid w:val="009970AD"/>
    <w:rsid w:val="009975AA"/>
    <w:rsid w:val="00997730"/>
    <w:rsid w:val="00997755"/>
    <w:rsid w:val="00997895"/>
    <w:rsid w:val="00997D5B"/>
    <w:rsid w:val="009A06A2"/>
    <w:rsid w:val="009A0EC3"/>
    <w:rsid w:val="009A188A"/>
    <w:rsid w:val="009A3B2D"/>
    <w:rsid w:val="009A3D81"/>
    <w:rsid w:val="009A3E31"/>
    <w:rsid w:val="009A46FE"/>
    <w:rsid w:val="009A4DCE"/>
    <w:rsid w:val="009A5C0B"/>
    <w:rsid w:val="009A6426"/>
    <w:rsid w:val="009A6B82"/>
    <w:rsid w:val="009A7393"/>
    <w:rsid w:val="009B05C7"/>
    <w:rsid w:val="009B0E3E"/>
    <w:rsid w:val="009B2667"/>
    <w:rsid w:val="009B2FDB"/>
    <w:rsid w:val="009B36BE"/>
    <w:rsid w:val="009B3D13"/>
    <w:rsid w:val="009B480F"/>
    <w:rsid w:val="009B4A38"/>
    <w:rsid w:val="009B4BC4"/>
    <w:rsid w:val="009B4E70"/>
    <w:rsid w:val="009B60A1"/>
    <w:rsid w:val="009B6B21"/>
    <w:rsid w:val="009B6F36"/>
    <w:rsid w:val="009B7EF4"/>
    <w:rsid w:val="009B7F08"/>
    <w:rsid w:val="009C0212"/>
    <w:rsid w:val="009C059E"/>
    <w:rsid w:val="009C0918"/>
    <w:rsid w:val="009C12B2"/>
    <w:rsid w:val="009C1E6F"/>
    <w:rsid w:val="009C263F"/>
    <w:rsid w:val="009C27DC"/>
    <w:rsid w:val="009C2D3A"/>
    <w:rsid w:val="009C312A"/>
    <w:rsid w:val="009C3521"/>
    <w:rsid w:val="009C4538"/>
    <w:rsid w:val="009C4E82"/>
    <w:rsid w:val="009C550B"/>
    <w:rsid w:val="009C5CE3"/>
    <w:rsid w:val="009C5FD4"/>
    <w:rsid w:val="009C641C"/>
    <w:rsid w:val="009C70D7"/>
    <w:rsid w:val="009C7CD7"/>
    <w:rsid w:val="009C7FD7"/>
    <w:rsid w:val="009D105F"/>
    <w:rsid w:val="009D15E4"/>
    <w:rsid w:val="009D1E74"/>
    <w:rsid w:val="009D3985"/>
    <w:rsid w:val="009D3FBF"/>
    <w:rsid w:val="009D42A7"/>
    <w:rsid w:val="009D478B"/>
    <w:rsid w:val="009D49A1"/>
    <w:rsid w:val="009D5510"/>
    <w:rsid w:val="009D5C75"/>
    <w:rsid w:val="009D648E"/>
    <w:rsid w:val="009E0879"/>
    <w:rsid w:val="009E1794"/>
    <w:rsid w:val="009E1CCF"/>
    <w:rsid w:val="009E1DB5"/>
    <w:rsid w:val="009E273E"/>
    <w:rsid w:val="009E280A"/>
    <w:rsid w:val="009E2BBD"/>
    <w:rsid w:val="009E3661"/>
    <w:rsid w:val="009E3915"/>
    <w:rsid w:val="009E3BE4"/>
    <w:rsid w:val="009E42A6"/>
    <w:rsid w:val="009E4FC6"/>
    <w:rsid w:val="009E5605"/>
    <w:rsid w:val="009E5E1F"/>
    <w:rsid w:val="009E6508"/>
    <w:rsid w:val="009E6AAD"/>
    <w:rsid w:val="009E6AC2"/>
    <w:rsid w:val="009E70A8"/>
    <w:rsid w:val="009E7106"/>
    <w:rsid w:val="009E7236"/>
    <w:rsid w:val="009E7424"/>
    <w:rsid w:val="009E7C61"/>
    <w:rsid w:val="009F15CF"/>
    <w:rsid w:val="009F18BB"/>
    <w:rsid w:val="009F3266"/>
    <w:rsid w:val="009F5213"/>
    <w:rsid w:val="009F5497"/>
    <w:rsid w:val="009F5626"/>
    <w:rsid w:val="009F6189"/>
    <w:rsid w:val="009F75F4"/>
    <w:rsid w:val="00A003A8"/>
    <w:rsid w:val="00A00528"/>
    <w:rsid w:val="00A00926"/>
    <w:rsid w:val="00A00BB9"/>
    <w:rsid w:val="00A01FCE"/>
    <w:rsid w:val="00A02006"/>
    <w:rsid w:val="00A02D16"/>
    <w:rsid w:val="00A041FF"/>
    <w:rsid w:val="00A04A2A"/>
    <w:rsid w:val="00A04F83"/>
    <w:rsid w:val="00A052A3"/>
    <w:rsid w:val="00A06603"/>
    <w:rsid w:val="00A07011"/>
    <w:rsid w:val="00A0757F"/>
    <w:rsid w:val="00A101E5"/>
    <w:rsid w:val="00A10840"/>
    <w:rsid w:val="00A118A0"/>
    <w:rsid w:val="00A11F66"/>
    <w:rsid w:val="00A12258"/>
    <w:rsid w:val="00A12802"/>
    <w:rsid w:val="00A12876"/>
    <w:rsid w:val="00A1315B"/>
    <w:rsid w:val="00A138AF"/>
    <w:rsid w:val="00A13AE1"/>
    <w:rsid w:val="00A13BE9"/>
    <w:rsid w:val="00A14B97"/>
    <w:rsid w:val="00A14BC4"/>
    <w:rsid w:val="00A14D98"/>
    <w:rsid w:val="00A15522"/>
    <w:rsid w:val="00A15A1C"/>
    <w:rsid w:val="00A15B1C"/>
    <w:rsid w:val="00A161A3"/>
    <w:rsid w:val="00A16778"/>
    <w:rsid w:val="00A17BED"/>
    <w:rsid w:val="00A17DF9"/>
    <w:rsid w:val="00A20575"/>
    <w:rsid w:val="00A206DD"/>
    <w:rsid w:val="00A20BB1"/>
    <w:rsid w:val="00A21146"/>
    <w:rsid w:val="00A225FC"/>
    <w:rsid w:val="00A244CC"/>
    <w:rsid w:val="00A24AEE"/>
    <w:rsid w:val="00A24DB6"/>
    <w:rsid w:val="00A2513B"/>
    <w:rsid w:val="00A25B9E"/>
    <w:rsid w:val="00A25EF6"/>
    <w:rsid w:val="00A27C72"/>
    <w:rsid w:val="00A301FC"/>
    <w:rsid w:val="00A30DE4"/>
    <w:rsid w:val="00A3242A"/>
    <w:rsid w:val="00A328F0"/>
    <w:rsid w:val="00A32C2B"/>
    <w:rsid w:val="00A32DD7"/>
    <w:rsid w:val="00A3325E"/>
    <w:rsid w:val="00A353C8"/>
    <w:rsid w:val="00A36AA5"/>
    <w:rsid w:val="00A37148"/>
    <w:rsid w:val="00A374AF"/>
    <w:rsid w:val="00A401D5"/>
    <w:rsid w:val="00A407DD"/>
    <w:rsid w:val="00A41293"/>
    <w:rsid w:val="00A42024"/>
    <w:rsid w:val="00A4325A"/>
    <w:rsid w:val="00A4335C"/>
    <w:rsid w:val="00A4363C"/>
    <w:rsid w:val="00A440C1"/>
    <w:rsid w:val="00A4417E"/>
    <w:rsid w:val="00A446C9"/>
    <w:rsid w:val="00A447C6"/>
    <w:rsid w:val="00A44A9A"/>
    <w:rsid w:val="00A455CE"/>
    <w:rsid w:val="00A45934"/>
    <w:rsid w:val="00A45C7A"/>
    <w:rsid w:val="00A46050"/>
    <w:rsid w:val="00A46C36"/>
    <w:rsid w:val="00A46F0E"/>
    <w:rsid w:val="00A47127"/>
    <w:rsid w:val="00A472B7"/>
    <w:rsid w:val="00A47A8C"/>
    <w:rsid w:val="00A47E71"/>
    <w:rsid w:val="00A505BC"/>
    <w:rsid w:val="00A50B3E"/>
    <w:rsid w:val="00A51DF4"/>
    <w:rsid w:val="00A53297"/>
    <w:rsid w:val="00A537E5"/>
    <w:rsid w:val="00A5417C"/>
    <w:rsid w:val="00A54517"/>
    <w:rsid w:val="00A55BF6"/>
    <w:rsid w:val="00A563D2"/>
    <w:rsid w:val="00A56804"/>
    <w:rsid w:val="00A56A39"/>
    <w:rsid w:val="00A570DB"/>
    <w:rsid w:val="00A57594"/>
    <w:rsid w:val="00A60289"/>
    <w:rsid w:val="00A60A3C"/>
    <w:rsid w:val="00A60A67"/>
    <w:rsid w:val="00A60CAD"/>
    <w:rsid w:val="00A6154F"/>
    <w:rsid w:val="00A6179C"/>
    <w:rsid w:val="00A6202B"/>
    <w:rsid w:val="00A6213A"/>
    <w:rsid w:val="00A62464"/>
    <w:rsid w:val="00A62F68"/>
    <w:rsid w:val="00A6333A"/>
    <w:rsid w:val="00A63BDA"/>
    <w:rsid w:val="00A660B2"/>
    <w:rsid w:val="00A66515"/>
    <w:rsid w:val="00A665C7"/>
    <w:rsid w:val="00A666A6"/>
    <w:rsid w:val="00A702B2"/>
    <w:rsid w:val="00A707C5"/>
    <w:rsid w:val="00A716A5"/>
    <w:rsid w:val="00A71F60"/>
    <w:rsid w:val="00A726F4"/>
    <w:rsid w:val="00A73B52"/>
    <w:rsid w:val="00A74306"/>
    <w:rsid w:val="00A749B3"/>
    <w:rsid w:val="00A75098"/>
    <w:rsid w:val="00A76BD6"/>
    <w:rsid w:val="00A77326"/>
    <w:rsid w:val="00A7777B"/>
    <w:rsid w:val="00A80286"/>
    <w:rsid w:val="00A80876"/>
    <w:rsid w:val="00A80D8E"/>
    <w:rsid w:val="00A8101A"/>
    <w:rsid w:val="00A8180A"/>
    <w:rsid w:val="00A820B9"/>
    <w:rsid w:val="00A8296C"/>
    <w:rsid w:val="00A82B11"/>
    <w:rsid w:val="00A82C9B"/>
    <w:rsid w:val="00A82CE4"/>
    <w:rsid w:val="00A82FCA"/>
    <w:rsid w:val="00A8437B"/>
    <w:rsid w:val="00A84684"/>
    <w:rsid w:val="00A85539"/>
    <w:rsid w:val="00A86306"/>
    <w:rsid w:val="00A86DF9"/>
    <w:rsid w:val="00A87116"/>
    <w:rsid w:val="00A872C3"/>
    <w:rsid w:val="00A874CC"/>
    <w:rsid w:val="00A87A2C"/>
    <w:rsid w:val="00A90D8B"/>
    <w:rsid w:val="00A90F88"/>
    <w:rsid w:val="00A91865"/>
    <w:rsid w:val="00A91967"/>
    <w:rsid w:val="00A91DA1"/>
    <w:rsid w:val="00A93D88"/>
    <w:rsid w:val="00A93FD9"/>
    <w:rsid w:val="00A94220"/>
    <w:rsid w:val="00A94245"/>
    <w:rsid w:val="00A944A1"/>
    <w:rsid w:val="00A94ECD"/>
    <w:rsid w:val="00A95176"/>
    <w:rsid w:val="00A9595F"/>
    <w:rsid w:val="00A96491"/>
    <w:rsid w:val="00A96F86"/>
    <w:rsid w:val="00A9740F"/>
    <w:rsid w:val="00AA15A6"/>
    <w:rsid w:val="00AA3B24"/>
    <w:rsid w:val="00AA4442"/>
    <w:rsid w:val="00AA4561"/>
    <w:rsid w:val="00AA4686"/>
    <w:rsid w:val="00AA5BDB"/>
    <w:rsid w:val="00AA7AD9"/>
    <w:rsid w:val="00AB23AB"/>
    <w:rsid w:val="00AB281A"/>
    <w:rsid w:val="00AB33A8"/>
    <w:rsid w:val="00AB391A"/>
    <w:rsid w:val="00AB3AE1"/>
    <w:rsid w:val="00AB3E04"/>
    <w:rsid w:val="00AB4221"/>
    <w:rsid w:val="00AB4330"/>
    <w:rsid w:val="00AB4709"/>
    <w:rsid w:val="00AB49C0"/>
    <w:rsid w:val="00AB4C1B"/>
    <w:rsid w:val="00AB5119"/>
    <w:rsid w:val="00AB5350"/>
    <w:rsid w:val="00AB53E8"/>
    <w:rsid w:val="00AB6205"/>
    <w:rsid w:val="00AB639A"/>
    <w:rsid w:val="00AB743C"/>
    <w:rsid w:val="00AB7B5D"/>
    <w:rsid w:val="00AB7E1F"/>
    <w:rsid w:val="00AC002B"/>
    <w:rsid w:val="00AC0F07"/>
    <w:rsid w:val="00AC10D1"/>
    <w:rsid w:val="00AC146C"/>
    <w:rsid w:val="00AC17A8"/>
    <w:rsid w:val="00AC2910"/>
    <w:rsid w:val="00AC347E"/>
    <w:rsid w:val="00AC48CB"/>
    <w:rsid w:val="00AC5159"/>
    <w:rsid w:val="00AC556B"/>
    <w:rsid w:val="00AC57BE"/>
    <w:rsid w:val="00AC5896"/>
    <w:rsid w:val="00AC6FF7"/>
    <w:rsid w:val="00AD04FD"/>
    <w:rsid w:val="00AD0A8D"/>
    <w:rsid w:val="00AD0E04"/>
    <w:rsid w:val="00AD121E"/>
    <w:rsid w:val="00AD2195"/>
    <w:rsid w:val="00AD2A71"/>
    <w:rsid w:val="00AD2AD5"/>
    <w:rsid w:val="00AD2B87"/>
    <w:rsid w:val="00AD4375"/>
    <w:rsid w:val="00AD5577"/>
    <w:rsid w:val="00AD598C"/>
    <w:rsid w:val="00AD5EA1"/>
    <w:rsid w:val="00AD5F45"/>
    <w:rsid w:val="00AD6BAB"/>
    <w:rsid w:val="00AD6EC2"/>
    <w:rsid w:val="00AD7028"/>
    <w:rsid w:val="00AD7396"/>
    <w:rsid w:val="00AD7980"/>
    <w:rsid w:val="00AD7A0E"/>
    <w:rsid w:val="00AE186A"/>
    <w:rsid w:val="00AE2490"/>
    <w:rsid w:val="00AE28B0"/>
    <w:rsid w:val="00AE3E1D"/>
    <w:rsid w:val="00AE403E"/>
    <w:rsid w:val="00AE40E2"/>
    <w:rsid w:val="00AE45C0"/>
    <w:rsid w:val="00AE4CE2"/>
    <w:rsid w:val="00AE54B1"/>
    <w:rsid w:val="00AE58C7"/>
    <w:rsid w:val="00AE5C15"/>
    <w:rsid w:val="00AE6092"/>
    <w:rsid w:val="00AE6C23"/>
    <w:rsid w:val="00AE6D97"/>
    <w:rsid w:val="00AE74AD"/>
    <w:rsid w:val="00AF00E7"/>
    <w:rsid w:val="00AF0B5D"/>
    <w:rsid w:val="00AF2B37"/>
    <w:rsid w:val="00AF2C24"/>
    <w:rsid w:val="00AF3838"/>
    <w:rsid w:val="00AF3DC7"/>
    <w:rsid w:val="00AF421B"/>
    <w:rsid w:val="00AF454C"/>
    <w:rsid w:val="00AF525F"/>
    <w:rsid w:val="00AF60EA"/>
    <w:rsid w:val="00AF7647"/>
    <w:rsid w:val="00B00B73"/>
    <w:rsid w:val="00B00E5B"/>
    <w:rsid w:val="00B00EBA"/>
    <w:rsid w:val="00B01285"/>
    <w:rsid w:val="00B01AE4"/>
    <w:rsid w:val="00B028C4"/>
    <w:rsid w:val="00B02AEB"/>
    <w:rsid w:val="00B04048"/>
    <w:rsid w:val="00B04147"/>
    <w:rsid w:val="00B04174"/>
    <w:rsid w:val="00B04A39"/>
    <w:rsid w:val="00B05C07"/>
    <w:rsid w:val="00B06654"/>
    <w:rsid w:val="00B06F77"/>
    <w:rsid w:val="00B07890"/>
    <w:rsid w:val="00B07D7C"/>
    <w:rsid w:val="00B10A88"/>
    <w:rsid w:val="00B10C69"/>
    <w:rsid w:val="00B127B5"/>
    <w:rsid w:val="00B127C7"/>
    <w:rsid w:val="00B13131"/>
    <w:rsid w:val="00B131DE"/>
    <w:rsid w:val="00B15809"/>
    <w:rsid w:val="00B16B74"/>
    <w:rsid w:val="00B1798A"/>
    <w:rsid w:val="00B20D57"/>
    <w:rsid w:val="00B2132C"/>
    <w:rsid w:val="00B21D49"/>
    <w:rsid w:val="00B22B91"/>
    <w:rsid w:val="00B22C6D"/>
    <w:rsid w:val="00B22DD5"/>
    <w:rsid w:val="00B232A6"/>
    <w:rsid w:val="00B233A7"/>
    <w:rsid w:val="00B2477C"/>
    <w:rsid w:val="00B250E2"/>
    <w:rsid w:val="00B25336"/>
    <w:rsid w:val="00B25C3C"/>
    <w:rsid w:val="00B265E3"/>
    <w:rsid w:val="00B269EA"/>
    <w:rsid w:val="00B26CDC"/>
    <w:rsid w:val="00B2707F"/>
    <w:rsid w:val="00B2778C"/>
    <w:rsid w:val="00B27AC2"/>
    <w:rsid w:val="00B27C32"/>
    <w:rsid w:val="00B30468"/>
    <w:rsid w:val="00B31434"/>
    <w:rsid w:val="00B31657"/>
    <w:rsid w:val="00B32219"/>
    <w:rsid w:val="00B32C17"/>
    <w:rsid w:val="00B34578"/>
    <w:rsid w:val="00B3492B"/>
    <w:rsid w:val="00B34E62"/>
    <w:rsid w:val="00B34FC7"/>
    <w:rsid w:val="00B359EB"/>
    <w:rsid w:val="00B36161"/>
    <w:rsid w:val="00B361E3"/>
    <w:rsid w:val="00B37A5E"/>
    <w:rsid w:val="00B37E1B"/>
    <w:rsid w:val="00B40571"/>
    <w:rsid w:val="00B40783"/>
    <w:rsid w:val="00B407B3"/>
    <w:rsid w:val="00B40CDB"/>
    <w:rsid w:val="00B40DEC"/>
    <w:rsid w:val="00B412E2"/>
    <w:rsid w:val="00B4130C"/>
    <w:rsid w:val="00B41313"/>
    <w:rsid w:val="00B4192C"/>
    <w:rsid w:val="00B42D84"/>
    <w:rsid w:val="00B43151"/>
    <w:rsid w:val="00B431B8"/>
    <w:rsid w:val="00B43997"/>
    <w:rsid w:val="00B440DD"/>
    <w:rsid w:val="00B451F7"/>
    <w:rsid w:val="00B454F1"/>
    <w:rsid w:val="00B4577C"/>
    <w:rsid w:val="00B45DDA"/>
    <w:rsid w:val="00B45E3A"/>
    <w:rsid w:val="00B47C83"/>
    <w:rsid w:val="00B5022D"/>
    <w:rsid w:val="00B51ED3"/>
    <w:rsid w:val="00B5455F"/>
    <w:rsid w:val="00B54FBC"/>
    <w:rsid w:val="00B5501F"/>
    <w:rsid w:val="00B56701"/>
    <w:rsid w:val="00B56AFB"/>
    <w:rsid w:val="00B56DCE"/>
    <w:rsid w:val="00B57061"/>
    <w:rsid w:val="00B5706D"/>
    <w:rsid w:val="00B60141"/>
    <w:rsid w:val="00B619C6"/>
    <w:rsid w:val="00B62605"/>
    <w:rsid w:val="00B62A19"/>
    <w:rsid w:val="00B62C62"/>
    <w:rsid w:val="00B6357F"/>
    <w:rsid w:val="00B63614"/>
    <w:rsid w:val="00B63AB7"/>
    <w:rsid w:val="00B63F40"/>
    <w:rsid w:val="00B64248"/>
    <w:rsid w:val="00B642AB"/>
    <w:rsid w:val="00B648D1"/>
    <w:rsid w:val="00B6545F"/>
    <w:rsid w:val="00B65C7C"/>
    <w:rsid w:val="00B66555"/>
    <w:rsid w:val="00B6680B"/>
    <w:rsid w:val="00B677E4"/>
    <w:rsid w:val="00B702AB"/>
    <w:rsid w:val="00B71019"/>
    <w:rsid w:val="00B71AF4"/>
    <w:rsid w:val="00B71C54"/>
    <w:rsid w:val="00B724F1"/>
    <w:rsid w:val="00B7259B"/>
    <w:rsid w:val="00B725A1"/>
    <w:rsid w:val="00B72897"/>
    <w:rsid w:val="00B72E63"/>
    <w:rsid w:val="00B73F60"/>
    <w:rsid w:val="00B744C2"/>
    <w:rsid w:val="00B74998"/>
    <w:rsid w:val="00B76408"/>
    <w:rsid w:val="00B816E0"/>
    <w:rsid w:val="00B81D52"/>
    <w:rsid w:val="00B822BE"/>
    <w:rsid w:val="00B82725"/>
    <w:rsid w:val="00B83349"/>
    <w:rsid w:val="00B83901"/>
    <w:rsid w:val="00B83CB7"/>
    <w:rsid w:val="00B84CD8"/>
    <w:rsid w:val="00B863A6"/>
    <w:rsid w:val="00B86839"/>
    <w:rsid w:val="00B86F1F"/>
    <w:rsid w:val="00B87051"/>
    <w:rsid w:val="00B87244"/>
    <w:rsid w:val="00B90C53"/>
    <w:rsid w:val="00B90EA7"/>
    <w:rsid w:val="00B916BD"/>
    <w:rsid w:val="00B92455"/>
    <w:rsid w:val="00B959ED"/>
    <w:rsid w:val="00B95B8C"/>
    <w:rsid w:val="00B96B82"/>
    <w:rsid w:val="00B96FA5"/>
    <w:rsid w:val="00B970D1"/>
    <w:rsid w:val="00B9749A"/>
    <w:rsid w:val="00B975F3"/>
    <w:rsid w:val="00B97FE9"/>
    <w:rsid w:val="00BA1808"/>
    <w:rsid w:val="00BA217E"/>
    <w:rsid w:val="00BA221A"/>
    <w:rsid w:val="00BA2FC9"/>
    <w:rsid w:val="00BA38C7"/>
    <w:rsid w:val="00BA5269"/>
    <w:rsid w:val="00BA5485"/>
    <w:rsid w:val="00BA5763"/>
    <w:rsid w:val="00BA6269"/>
    <w:rsid w:val="00BA6BE8"/>
    <w:rsid w:val="00BA6F4F"/>
    <w:rsid w:val="00BA70CE"/>
    <w:rsid w:val="00BA778F"/>
    <w:rsid w:val="00BB07FD"/>
    <w:rsid w:val="00BB0DD3"/>
    <w:rsid w:val="00BB1E8E"/>
    <w:rsid w:val="00BB23D4"/>
    <w:rsid w:val="00BB2DD9"/>
    <w:rsid w:val="00BB3351"/>
    <w:rsid w:val="00BB33F2"/>
    <w:rsid w:val="00BB3561"/>
    <w:rsid w:val="00BB38A6"/>
    <w:rsid w:val="00BB3A11"/>
    <w:rsid w:val="00BB3D8C"/>
    <w:rsid w:val="00BB74EC"/>
    <w:rsid w:val="00BB75F2"/>
    <w:rsid w:val="00BB7C6C"/>
    <w:rsid w:val="00BC1AA8"/>
    <w:rsid w:val="00BC27EC"/>
    <w:rsid w:val="00BC3413"/>
    <w:rsid w:val="00BC38D5"/>
    <w:rsid w:val="00BC3D5F"/>
    <w:rsid w:val="00BC59EA"/>
    <w:rsid w:val="00BC628A"/>
    <w:rsid w:val="00BC66B8"/>
    <w:rsid w:val="00BC6AE5"/>
    <w:rsid w:val="00BD0584"/>
    <w:rsid w:val="00BD15B9"/>
    <w:rsid w:val="00BD1BBF"/>
    <w:rsid w:val="00BD3FAC"/>
    <w:rsid w:val="00BD45A8"/>
    <w:rsid w:val="00BD4858"/>
    <w:rsid w:val="00BD58D5"/>
    <w:rsid w:val="00BD5ABC"/>
    <w:rsid w:val="00BD7186"/>
    <w:rsid w:val="00BE044C"/>
    <w:rsid w:val="00BE06EF"/>
    <w:rsid w:val="00BE075D"/>
    <w:rsid w:val="00BE0A92"/>
    <w:rsid w:val="00BE0C57"/>
    <w:rsid w:val="00BE2C19"/>
    <w:rsid w:val="00BE2D89"/>
    <w:rsid w:val="00BE3077"/>
    <w:rsid w:val="00BE3BFA"/>
    <w:rsid w:val="00BE3C79"/>
    <w:rsid w:val="00BE43A5"/>
    <w:rsid w:val="00BE4AE9"/>
    <w:rsid w:val="00BE4D9B"/>
    <w:rsid w:val="00BE53E9"/>
    <w:rsid w:val="00BE5767"/>
    <w:rsid w:val="00BE5795"/>
    <w:rsid w:val="00BE64F6"/>
    <w:rsid w:val="00BE64FB"/>
    <w:rsid w:val="00BE74FA"/>
    <w:rsid w:val="00BE7FAD"/>
    <w:rsid w:val="00BF0B35"/>
    <w:rsid w:val="00BF0C85"/>
    <w:rsid w:val="00BF145A"/>
    <w:rsid w:val="00BF160E"/>
    <w:rsid w:val="00BF188D"/>
    <w:rsid w:val="00BF2AF5"/>
    <w:rsid w:val="00BF3179"/>
    <w:rsid w:val="00BF39A0"/>
    <w:rsid w:val="00BF3C27"/>
    <w:rsid w:val="00BF43D0"/>
    <w:rsid w:val="00BF444A"/>
    <w:rsid w:val="00BF49AF"/>
    <w:rsid w:val="00BF5B4D"/>
    <w:rsid w:val="00BF616F"/>
    <w:rsid w:val="00BF65BE"/>
    <w:rsid w:val="00BF6E7E"/>
    <w:rsid w:val="00BF7D31"/>
    <w:rsid w:val="00C010F7"/>
    <w:rsid w:val="00C01482"/>
    <w:rsid w:val="00C015C7"/>
    <w:rsid w:val="00C01C9A"/>
    <w:rsid w:val="00C02412"/>
    <w:rsid w:val="00C024BE"/>
    <w:rsid w:val="00C028C8"/>
    <w:rsid w:val="00C037B3"/>
    <w:rsid w:val="00C0392C"/>
    <w:rsid w:val="00C03C74"/>
    <w:rsid w:val="00C03CC9"/>
    <w:rsid w:val="00C03CD7"/>
    <w:rsid w:val="00C0421F"/>
    <w:rsid w:val="00C04460"/>
    <w:rsid w:val="00C0489F"/>
    <w:rsid w:val="00C04F4F"/>
    <w:rsid w:val="00C0521B"/>
    <w:rsid w:val="00C06A45"/>
    <w:rsid w:val="00C06FEB"/>
    <w:rsid w:val="00C1050B"/>
    <w:rsid w:val="00C10D86"/>
    <w:rsid w:val="00C11ED2"/>
    <w:rsid w:val="00C11F2B"/>
    <w:rsid w:val="00C125E7"/>
    <w:rsid w:val="00C148E3"/>
    <w:rsid w:val="00C15122"/>
    <w:rsid w:val="00C15308"/>
    <w:rsid w:val="00C158A1"/>
    <w:rsid w:val="00C15C0D"/>
    <w:rsid w:val="00C16AFF"/>
    <w:rsid w:val="00C16D67"/>
    <w:rsid w:val="00C17130"/>
    <w:rsid w:val="00C175C5"/>
    <w:rsid w:val="00C17886"/>
    <w:rsid w:val="00C17AA3"/>
    <w:rsid w:val="00C2040A"/>
    <w:rsid w:val="00C2050D"/>
    <w:rsid w:val="00C2059F"/>
    <w:rsid w:val="00C209EB"/>
    <w:rsid w:val="00C2129B"/>
    <w:rsid w:val="00C2150B"/>
    <w:rsid w:val="00C2165B"/>
    <w:rsid w:val="00C21C12"/>
    <w:rsid w:val="00C22A28"/>
    <w:rsid w:val="00C22AE1"/>
    <w:rsid w:val="00C23DE7"/>
    <w:rsid w:val="00C24A07"/>
    <w:rsid w:val="00C250E5"/>
    <w:rsid w:val="00C252E6"/>
    <w:rsid w:val="00C25346"/>
    <w:rsid w:val="00C25E5B"/>
    <w:rsid w:val="00C25F35"/>
    <w:rsid w:val="00C26521"/>
    <w:rsid w:val="00C26D69"/>
    <w:rsid w:val="00C271A7"/>
    <w:rsid w:val="00C3098B"/>
    <w:rsid w:val="00C30B83"/>
    <w:rsid w:val="00C30EDC"/>
    <w:rsid w:val="00C30F9D"/>
    <w:rsid w:val="00C320A9"/>
    <w:rsid w:val="00C32612"/>
    <w:rsid w:val="00C326B2"/>
    <w:rsid w:val="00C32AE5"/>
    <w:rsid w:val="00C32C3E"/>
    <w:rsid w:val="00C32DC4"/>
    <w:rsid w:val="00C33E5C"/>
    <w:rsid w:val="00C34075"/>
    <w:rsid w:val="00C34252"/>
    <w:rsid w:val="00C342A2"/>
    <w:rsid w:val="00C34689"/>
    <w:rsid w:val="00C34B80"/>
    <w:rsid w:val="00C361A4"/>
    <w:rsid w:val="00C3624F"/>
    <w:rsid w:val="00C36DC9"/>
    <w:rsid w:val="00C36E8F"/>
    <w:rsid w:val="00C376E9"/>
    <w:rsid w:val="00C377AE"/>
    <w:rsid w:val="00C3784A"/>
    <w:rsid w:val="00C37E05"/>
    <w:rsid w:val="00C413B6"/>
    <w:rsid w:val="00C41416"/>
    <w:rsid w:val="00C42418"/>
    <w:rsid w:val="00C42F82"/>
    <w:rsid w:val="00C43605"/>
    <w:rsid w:val="00C43854"/>
    <w:rsid w:val="00C43A18"/>
    <w:rsid w:val="00C43AC0"/>
    <w:rsid w:val="00C43E04"/>
    <w:rsid w:val="00C447BB"/>
    <w:rsid w:val="00C44E15"/>
    <w:rsid w:val="00C45C2B"/>
    <w:rsid w:val="00C46C86"/>
    <w:rsid w:val="00C4719F"/>
    <w:rsid w:val="00C47DB3"/>
    <w:rsid w:val="00C519B0"/>
    <w:rsid w:val="00C51BFC"/>
    <w:rsid w:val="00C5268A"/>
    <w:rsid w:val="00C53A60"/>
    <w:rsid w:val="00C54647"/>
    <w:rsid w:val="00C54EB8"/>
    <w:rsid w:val="00C54F31"/>
    <w:rsid w:val="00C551A2"/>
    <w:rsid w:val="00C551FB"/>
    <w:rsid w:val="00C56359"/>
    <w:rsid w:val="00C60974"/>
    <w:rsid w:val="00C61406"/>
    <w:rsid w:val="00C6209A"/>
    <w:rsid w:val="00C620BA"/>
    <w:rsid w:val="00C62146"/>
    <w:rsid w:val="00C621E3"/>
    <w:rsid w:val="00C63820"/>
    <w:rsid w:val="00C63BB4"/>
    <w:rsid w:val="00C6465C"/>
    <w:rsid w:val="00C65071"/>
    <w:rsid w:val="00C6519B"/>
    <w:rsid w:val="00C6617D"/>
    <w:rsid w:val="00C662FE"/>
    <w:rsid w:val="00C67FDF"/>
    <w:rsid w:val="00C70D06"/>
    <w:rsid w:val="00C70D35"/>
    <w:rsid w:val="00C7172C"/>
    <w:rsid w:val="00C71F8D"/>
    <w:rsid w:val="00C732C2"/>
    <w:rsid w:val="00C73CB9"/>
    <w:rsid w:val="00C7407D"/>
    <w:rsid w:val="00C7462F"/>
    <w:rsid w:val="00C74D73"/>
    <w:rsid w:val="00C75552"/>
    <w:rsid w:val="00C7559D"/>
    <w:rsid w:val="00C7578B"/>
    <w:rsid w:val="00C757C9"/>
    <w:rsid w:val="00C75901"/>
    <w:rsid w:val="00C75B23"/>
    <w:rsid w:val="00C761DF"/>
    <w:rsid w:val="00C76256"/>
    <w:rsid w:val="00C76956"/>
    <w:rsid w:val="00C76C3D"/>
    <w:rsid w:val="00C76FF7"/>
    <w:rsid w:val="00C77195"/>
    <w:rsid w:val="00C7720E"/>
    <w:rsid w:val="00C7745B"/>
    <w:rsid w:val="00C776FE"/>
    <w:rsid w:val="00C77A17"/>
    <w:rsid w:val="00C77AFE"/>
    <w:rsid w:val="00C77ED9"/>
    <w:rsid w:val="00C803ED"/>
    <w:rsid w:val="00C80840"/>
    <w:rsid w:val="00C81B82"/>
    <w:rsid w:val="00C82569"/>
    <w:rsid w:val="00C828B9"/>
    <w:rsid w:val="00C82922"/>
    <w:rsid w:val="00C842F8"/>
    <w:rsid w:val="00C84375"/>
    <w:rsid w:val="00C84584"/>
    <w:rsid w:val="00C85040"/>
    <w:rsid w:val="00C8619C"/>
    <w:rsid w:val="00C862D3"/>
    <w:rsid w:val="00C864F3"/>
    <w:rsid w:val="00C86756"/>
    <w:rsid w:val="00C86E69"/>
    <w:rsid w:val="00C87813"/>
    <w:rsid w:val="00C90346"/>
    <w:rsid w:val="00C90EA9"/>
    <w:rsid w:val="00C918B1"/>
    <w:rsid w:val="00C92AB1"/>
    <w:rsid w:val="00C92E2A"/>
    <w:rsid w:val="00C94116"/>
    <w:rsid w:val="00C94721"/>
    <w:rsid w:val="00C96349"/>
    <w:rsid w:val="00CA01DD"/>
    <w:rsid w:val="00CA0C18"/>
    <w:rsid w:val="00CA156C"/>
    <w:rsid w:val="00CA1EB7"/>
    <w:rsid w:val="00CA2147"/>
    <w:rsid w:val="00CA271F"/>
    <w:rsid w:val="00CA30BE"/>
    <w:rsid w:val="00CA37B6"/>
    <w:rsid w:val="00CA3867"/>
    <w:rsid w:val="00CA4EC4"/>
    <w:rsid w:val="00CA4ECC"/>
    <w:rsid w:val="00CA609B"/>
    <w:rsid w:val="00CA7F3F"/>
    <w:rsid w:val="00CB04E6"/>
    <w:rsid w:val="00CB197D"/>
    <w:rsid w:val="00CB23D1"/>
    <w:rsid w:val="00CB2AE8"/>
    <w:rsid w:val="00CB2E7C"/>
    <w:rsid w:val="00CB2F71"/>
    <w:rsid w:val="00CB3357"/>
    <w:rsid w:val="00CB3D4D"/>
    <w:rsid w:val="00CB407A"/>
    <w:rsid w:val="00CB49B3"/>
    <w:rsid w:val="00CB5612"/>
    <w:rsid w:val="00CB7148"/>
    <w:rsid w:val="00CC0916"/>
    <w:rsid w:val="00CC0BE3"/>
    <w:rsid w:val="00CC146D"/>
    <w:rsid w:val="00CC16BC"/>
    <w:rsid w:val="00CC2256"/>
    <w:rsid w:val="00CC245F"/>
    <w:rsid w:val="00CC32BB"/>
    <w:rsid w:val="00CC3A71"/>
    <w:rsid w:val="00CC3C62"/>
    <w:rsid w:val="00CC4C8D"/>
    <w:rsid w:val="00CC5C5F"/>
    <w:rsid w:val="00CC65B7"/>
    <w:rsid w:val="00CC66A6"/>
    <w:rsid w:val="00CC6CD8"/>
    <w:rsid w:val="00CC6D7B"/>
    <w:rsid w:val="00CC6FED"/>
    <w:rsid w:val="00CC7593"/>
    <w:rsid w:val="00CD04BC"/>
    <w:rsid w:val="00CD0BE8"/>
    <w:rsid w:val="00CD17ED"/>
    <w:rsid w:val="00CD2855"/>
    <w:rsid w:val="00CD3D2B"/>
    <w:rsid w:val="00CD43B2"/>
    <w:rsid w:val="00CD669D"/>
    <w:rsid w:val="00CD71EE"/>
    <w:rsid w:val="00CD76DB"/>
    <w:rsid w:val="00CD7B34"/>
    <w:rsid w:val="00CE08AF"/>
    <w:rsid w:val="00CE1E6E"/>
    <w:rsid w:val="00CE1FAF"/>
    <w:rsid w:val="00CE2BA1"/>
    <w:rsid w:val="00CE4FBD"/>
    <w:rsid w:val="00CE5545"/>
    <w:rsid w:val="00CE5BC9"/>
    <w:rsid w:val="00CE7260"/>
    <w:rsid w:val="00CE7C1C"/>
    <w:rsid w:val="00CE7E6E"/>
    <w:rsid w:val="00CF12BA"/>
    <w:rsid w:val="00CF174B"/>
    <w:rsid w:val="00CF1896"/>
    <w:rsid w:val="00CF37F0"/>
    <w:rsid w:val="00CF44E7"/>
    <w:rsid w:val="00CF5528"/>
    <w:rsid w:val="00CF6567"/>
    <w:rsid w:val="00CF6D31"/>
    <w:rsid w:val="00CF7449"/>
    <w:rsid w:val="00CF798C"/>
    <w:rsid w:val="00D002F8"/>
    <w:rsid w:val="00D00885"/>
    <w:rsid w:val="00D00C76"/>
    <w:rsid w:val="00D0195A"/>
    <w:rsid w:val="00D01B6B"/>
    <w:rsid w:val="00D02C7C"/>
    <w:rsid w:val="00D031B3"/>
    <w:rsid w:val="00D04011"/>
    <w:rsid w:val="00D04ADB"/>
    <w:rsid w:val="00D04FB8"/>
    <w:rsid w:val="00D051D6"/>
    <w:rsid w:val="00D054BA"/>
    <w:rsid w:val="00D055D4"/>
    <w:rsid w:val="00D05C37"/>
    <w:rsid w:val="00D05C72"/>
    <w:rsid w:val="00D0689D"/>
    <w:rsid w:val="00D06C37"/>
    <w:rsid w:val="00D06F8C"/>
    <w:rsid w:val="00D071D2"/>
    <w:rsid w:val="00D0796F"/>
    <w:rsid w:val="00D07B5B"/>
    <w:rsid w:val="00D10CC1"/>
    <w:rsid w:val="00D11A9F"/>
    <w:rsid w:val="00D12131"/>
    <w:rsid w:val="00D125F0"/>
    <w:rsid w:val="00D126DB"/>
    <w:rsid w:val="00D12A44"/>
    <w:rsid w:val="00D130B9"/>
    <w:rsid w:val="00D1488A"/>
    <w:rsid w:val="00D151EA"/>
    <w:rsid w:val="00D155E9"/>
    <w:rsid w:val="00D167D2"/>
    <w:rsid w:val="00D172D1"/>
    <w:rsid w:val="00D17D63"/>
    <w:rsid w:val="00D20215"/>
    <w:rsid w:val="00D2034E"/>
    <w:rsid w:val="00D22DEB"/>
    <w:rsid w:val="00D24E12"/>
    <w:rsid w:val="00D24F63"/>
    <w:rsid w:val="00D25129"/>
    <w:rsid w:val="00D25933"/>
    <w:rsid w:val="00D317BC"/>
    <w:rsid w:val="00D31B7A"/>
    <w:rsid w:val="00D32B30"/>
    <w:rsid w:val="00D33586"/>
    <w:rsid w:val="00D33B10"/>
    <w:rsid w:val="00D345F9"/>
    <w:rsid w:val="00D349B4"/>
    <w:rsid w:val="00D34D6F"/>
    <w:rsid w:val="00D34F00"/>
    <w:rsid w:val="00D351C6"/>
    <w:rsid w:val="00D35805"/>
    <w:rsid w:val="00D35942"/>
    <w:rsid w:val="00D3743F"/>
    <w:rsid w:val="00D37778"/>
    <w:rsid w:val="00D378D2"/>
    <w:rsid w:val="00D406EA"/>
    <w:rsid w:val="00D41F7A"/>
    <w:rsid w:val="00D42909"/>
    <w:rsid w:val="00D42A83"/>
    <w:rsid w:val="00D4300D"/>
    <w:rsid w:val="00D4550A"/>
    <w:rsid w:val="00D45729"/>
    <w:rsid w:val="00D46173"/>
    <w:rsid w:val="00D46CFB"/>
    <w:rsid w:val="00D473DC"/>
    <w:rsid w:val="00D51FBA"/>
    <w:rsid w:val="00D526E3"/>
    <w:rsid w:val="00D52DE4"/>
    <w:rsid w:val="00D534A7"/>
    <w:rsid w:val="00D542B7"/>
    <w:rsid w:val="00D54B76"/>
    <w:rsid w:val="00D54F45"/>
    <w:rsid w:val="00D553DC"/>
    <w:rsid w:val="00D554C8"/>
    <w:rsid w:val="00D56861"/>
    <w:rsid w:val="00D5761C"/>
    <w:rsid w:val="00D5786D"/>
    <w:rsid w:val="00D57F7C"/>
    <w:rsid w:val="00D60973"/>
    <w:rsid w:val="00D61B47"/>
    <w:rsid w:val="00D61CB1"/>
    <w:rsid w:val="00D61D71"/>
    <w:rsid w:val="00D62FF7"/>
    <w:rsid w:val="00D636E5"/>
    <w:rsid w:val="00D638D2"/>
    <w:rsid w:val="00D64BA5"/>
    <w:rsid w:val="00D652D4"/>
    <w:rsid w:val="00D658BB"/>
    <w:rsid w:val="00D65B2D"/>
    <w:rsid w:val="00D65F79"/>
    <w:rsid w:val="00D66CA4"/>
    <w:rsid w:val="00D66F8D"/>
    <w:rsid w:val="00D67B6A"/>
    <w:rsid w:val="00D7050F"/>
    <w:rsid w:val="00D715A4"/>
    <w:rsid w:val="00D71CC0"/>
    <w:rsid w:val="00D71F0E"/>
    <w:rsid w:val="00D72845"/>
    <w:rsid w:val="00D72D8E"/>
    <w:rsid w:val="00D73CFC"/>
    <w:rsid w:val="00D74BF9"/>
    <w:rsid w:val="00D76DF1"/>
    <w:rsid w:val="00D7758E"/>
    <w:rsid w:val="00D805C0"/>
    <w:rsid w:val="00D807BE"/>
    <w:rsid w:val="00D808DB"/>
    <w:rsid w:val="00D80C2B"/>
    <w:rsid w:val="00D81174"/>
    <w:rsid w:val="00D81B45"/>
    <w:rsid w:val="00D82034"/>
    <w:rsid w:val="00D8250B"/>
    <w:rsid w:val="00D82B7D"/>
    <w:rsid w:val="00D82F4C"/>
    <w:rsid w:val="00D83002"/>
    <w:rsid w:val="00D845C9"/>
    <w:rsid w:val="00D84BF3"/>
    <w:rsid w:val="00D84CB2"/>
    <w:rsid w:val="00D855C3"/>
    <w:rsid w:val="00D85A12"/>
    <w:rsid w:val="00D85C4B"/>
    <w:rsid w:val="00D8621A"/>
    <w:rsid w:val="00D86BCE"/>
    <w:rsid w:val="00D87125"/>
    <w:rsid w:val="00D873AB"/>
    <w:rsid w:val="00D876A4"/>
    <w:rsid w:val="00D87A62"/>
    <w:rsid w:val="00D87A83"/>
    <w:rsid w:val="00D902FC"/>
    <w:rsid w:val="00D9041A"/>
    <w:rsid w:val="00D90458"/>
    <w:rsid w:val="00D90BE3"/>
    <w:rsid w:val="00D914AE"/>
    <w:rsid w:val="00D924A7"/>
    <w:rsid w:val="00D93CCF"/>
    <w:rsid w:val="00D93F23"/>
    <w:rsid w:val="00D93F5C"/>
    <w:rsid w:val="00D94AA2"/>
    <w:rsid w:val="00D94B73"/>
    <w:rsid w:val="00D955E3"/>
    <w:rsid w:val="00D959D7"/>
    <w:rsid w:val="00D95A4C"/>
    <w:rsid w:val="00D96260"/>
    <w:rsid w:val="00D96946"/>
    <w:rsid w:val="00D97103"/>
    <w:rsid w:val="00D97979"/>
    <w:rsid w:val="00D97F14"/>
    <w:rsid w:val="00DA0A10"/>
    <w:rsid w:val="00DA0CAE"/>
    <w:rsid w:val="00DA15E3"/>
    <w:rsid w:val="00DA2CA3"/>
    <w:rsid w:val="00DA3532"/>
    <w:rsid w:val="00DA39EE"/>
    <w:rsid w:val="00DA3EBD"/>
    <w:rsid w:val="00DA4B3A"/>
    <w:rsid w:val="00DA50AB"/>
    <w:rsid w:val="00DA5206"/>
    <w:rsid w:val="00DA521A"/>
    <w:rsid w:val="00DA605D"/>
    <w:rsid w:val="00DA6326"/>
    <w:rsid w:val="00DA6872"/>
    <w:rsid w:val="00DA6B91"/>
    <w:rsid w:val="00DA6F75"/>
    <w:rsid w:val="00DA7826"/>
    <w:rsid w:val="00DA7E6A"/>
    <w:rsid w:val="00DB03D2"/>
    <w:rsid w:val="00DB06D1"/>
    <w:rsid w:val="00DB0AF7"/>
    <w:rsid w:val="00DB0EB5"/>
    <w:rsid w:val="00DB1480"/>
    <w:rsid w:val="00DB155F"/>
    <w:rsid w:val="00DB1708"/>
    <w:rsid w:val="00DB1B1C"/>
    <w:rsid w:val="00DB2016"/>
    <w:rsid w:val="00DB2B74"/>
    <w:rsid w:val="00DB2E19"/>
    <w:rsid w:val="00DB2F15"/>
    <w:rsid w:val="00DB3092"/>
    <w:rsid w:val="00DB328C"/>
    <w:rsid w:val="00DB3938"/>
    <w:rsid w:val="00DB3AD2"/>
    <w:rsid w:val="00DB3C70"/>
    <w:rsid w:val="00DB3CBA"/>
    <w:rsid w:val="00DB3E4B"/>
    <w:rsid w:val="00DB56F7"/>
    <w:rsid w:val="00DB6380"/>
    <w:rsid w:val="00DB7199"/>
    <w:rsid w:val="00DB760D"/>
    <w:rsid w:val="00DC030A"/>
    <w:rsid w:val="00DC0981"/>
    <w:rsid w:val="00DC189F"/>
    <w:rsid w:val="00DC1C8F"/>
    <w:rsid w:val="00DC1F9B"/>
    <w:rsid w:val="00DC28AF"/>
    <w:rsid w:val="00DC300A"/>
    <w:rsid w:val="00DC3999"/>
    <w:rsid w:val="00DC424E"/>
    <w:rsid w:val="00DC5730"/>
    <w:rsid w:val="00DC5C2C"/>
    <w:rsid w:val="00DC79A9"/>
    <w:rsid w:val="00DC7A3A"/>
    <w:rsid w:val="00DD054F"/>
    <w:rsid w:val="00DD058B"/>
    <w:rsid w:val="00DD08B5"/>
    <w:rsid w:val="00DD0F66"/>
    <w:rsid w:val="00DD22B5"/>
    <w:rsid w:val="00DD28FD"/>
    <w:rsid w:val="00DD2926"/>
    <w:rsid w:val="00DD2B74"/>
    <w:rsid w:val="00DD4F63"/>
    <w:rsid w:val="00DD54EF"/>
    <w:rsid w:val="00DD670F"/>
    <w:rsid w:val="00DD6BC7"/>
    <w:rsid w:val="00DD720E"/>
    <w:rsid w:val="00DD7897"/>
    <w:rsid w:val="00DD7B37"/>
    <w:rsid w:val="00DD7CA0"/>
    <w:rsid w:val="00DD7CF5"/>
    <w:rsid w:val="00DE173B"/>
    <w:rsid w:val="00DE2E43"/>
    <w:rsid w:val="00DE37B1"/>
    <w:rsid w:val="00DE393D"/>
    <w:rsid w:val="00DE4A2C"/>
    <w:rsid w:val="00DE5E0C"/>
    <w:rsid w:val="00DE5FCB"/>
    <w:rsid w:val="00DE63FE"/>
    <w:rsid w:val="00DE6A41"/>
    <w:rsid w:val="00DE6CB3"/>
    <w:rsid w:val="00DE79B2"/>
    <w:rsid w:val="00DE7DFF"/>
    <w:rsid w:val="00DF067A"/>
    <w:rsid w:val="00DF0CEB"/>
    <w:rsid w:val="00DF0E8D"/>
    <w:rsid w:val="00DF0F03"/>
    <w:rsid w:val="00DF13B1"/>
    <w:rsid w:val="00DF245B"/>
    <w:rsid w:val="00DF2540"/>
    <w:rsid w:val="00DF3E5C"/>
    <w:rsid w:val="00DF4096"/>
    <w:rsid w:val="00DF42FE"/>
    <w:rsid w:val="00DF4D3E"/>
    <w:rsid w:val="00DF6A8B"/>
    <w:rsid w:val="00DF7883"/>
    <w:rsid w:val="00E003BC"/>
    <w:rsid w:val="00E0067B"/>
    <w:rsid w:val="00E00989"/>
    <w:rsid w:val="00E00FE9"/>
    <w:rsid w:val="00E048FC"/>
    <w:rsid w:val="00E04AF3"/>
    <w:rsid w:val="00E04C0A"/>
    <w:rsid w:val="00E05C3E"/>
    <w:rsid w:val="00E060EF"/>
    <w:rsid w:val="00E066BA"/>
    <w:rsid w:val="00E0679B"/>
    <w:rsid w:val="00E07E8D"/>
    <w:rsid w:val="00E10EDC"/>
    <w:rsid w:val="00E1106F"/>
    <w:rsid w:val="00E133FC"/>
    <w:rsid w:val="00E1393E"/>
    <w:rsid w:val="00E15405"/>
    <w:rsid w:val="00E157F9"/>
    <w:rsid w:val="00E162D5"/>
    <w:rsid w:val="00E16BD2"/>
    <w:rsid w:val="00E16F7E"/>
    <w:rsid w:val="00E170CB"/>
    <w:rsid w:val="00E17AB5"/>
    <w:rsid w:val="00E21273"/>
    <w:rsid w:val="00E2146C"/>
    <w:rsid w:val="00E214B9"/>
    <w:rsid w:val="00E21501"/>
    <w:rsid w:val="00E21B74"/>
    <w:rsid w:val="00E22B16"/>
    <w:rsid w:val="00E22EA3"/>
    <w:rsid w:val="00E231B2"/>
    <w:rsid w:val="00E231DF"/>
    <w:rsid w:val="00E24730"/>
    <w:rsid w:val="00E24A71"/>
    <w:rsid w:val="00E2566E"/>
    <w:rsid w:val="00E25A02"/>
    <w:rsid w:val="00E25C2A"/>
    <w:rsid w:val="00E260AE"/>
    <w:rsid w:val="00E265DA"/>
    <w:rsid w:val="00E267D9"/>
    <w:rsid w:val="00E26A15"/>
    <w:rsid w:val="00E26E72"/>
    <w:rsid w:val="00E26FA7"/>
    <w:rsid w:val="00E272A9"/>
    <w:rsid w:val="00E27490"/>
    <w:rsid w:val="00E27FA9"/>
    <w:rsid w:val="00E30332"/>
    <w:rsid w:val="00E30D1E"/>
    <w:rsid w:val="00E3100A"/>
    <w:rsid w:val="00E320B6"/>
    <w:rsid w:val="00E323BB"/>
    <w:rsid w:val="00E3394F"/>
    <w:rsid w:val="00E34A51"/>
    <w:rsid w:val="00E350A2"/>
    <w:rsid w:val="00E354E7"/>
    <w:rsid w:val="00E35963"/>
    <w:rsid w:val="00E36CE6"/>
    <w:rsid w:val="00E4052D"/>
    <w:rsid w:val="00E4184A"/>
    <w:rsid w:val="00E41A31"/>
    <w:rsid w:val="00E425C4"/>
    <w:rsid w:val="00E43A35"/>
    <w:rsid w:val="00E45338"/>
    <w:rsid w:val="00E460B3"/>
    <w:rsid w:val="00E46CE8"/>
    <w:rsid w:val="00E471E9"/>
    <w:rsid w:val="00E4749B"/>
    <w:rsid w:val="00E506B6"/>
    <w:rsid w:val="00E50BB9"/>
    <w:rsid w:val="00E51997"/>
    <w:rsid w:val="00E51A5B"/>
    <w:rsid w:val="00E51B76"/>
    <w:rsid w:val="00E51ED7"/>
    <w:rsid w:val="00E52673"/>
    <w:rsid w:val="00E526B9"/>
    <w:rsid w:val="00E5435D"/>
    <w:rsid w:val="00E5521A"/>
    <w:rsid w:val="00E56153"/>
    <w:rsid w:val="00E56175"/>
    <w:rsid w:val="00E5655D"/>
    <w:rsid w:val="00E575AC"/>
    <w:rsid w:val="00E576AC"/>
    <w:rsid w:val="00E5783A"/>
    <w:rsid w:val="00E603C0"/>
    <w:rsid w:val="00E60844"/>
    <w:rsid w:val="00E60EE0"/>
    <w:rsid w:val="00E60F0D"/>
    <w:rsid w:val="00E61669"/>
    <w:rsid w:val="00E618E0"/>
    <w:rsid w:val="00E620CD"/>
    <w:rsid w:val="00E625BE"/>
    <w:rsid w:val="00E6390B"/>
    <w:rsid w:val="00E63911"/>
    <w:rsid w:val="00E64B88"/>
    <w:rsid w:val="00E65654"/>
    <w:rsid w:val="00E65EE3"/>
    <w:rsid w:val="00E66016"/>
    <w:rsid w:val="00E67672"/>
    <w:rsid w:val="00E705B1"/>
    <w:rsid w:val="00E70C4C"/>
    <w:rsid w:val="00E71510"/>
    <w:rsid w:val="00E71569"/>
    <w:rsid w:val="00E726CA"/>
    <w:rsid w:val="00E72C97"/>
    <w:rsid w:val="00E73532"/>
    <w:rsid w:val="00E75719"/>
    <w:rsid w:val="00E7625F"/>
    <w:rsid w:val="00E774FB"/>
    <w:rsid w:val="00E7788A"/>
    <w:rsid w:val="00E80424"/>
    <w:rsid w:val="00E80555"/>
    <w:rsid w:val="00E81492"/>
    <w:rsid w:val="00E814F4"/>
    <w:rsid w:val="00E81EDC"/>
    <w:rsid w:val="00E82DF1"/>
    <w:rsid w:val="00E82EB9"/>
    <w:rsid w:val="00E83157"/>
    <w:rsid w:val="00E83643"/>
    <w:rsid w:val="00E838B7"/>
    <w:rsid w:val="00E84FF9"/>
    <w:rsid w:val="00E85389"/>
    <w:rsid w:val="00E8604F"/>
    <w:rsid w:val="00E87095"/>
    <w:rsid w:val="00E87598"/>
    <w:rsid w:val="00E87826"/>
    <w:rsid w:val="00E87A61"/>
    <w:rsid w:val="00E916D4"/>
    <w:rsid w:val="00E91983"/>
    <w:rsid w:val="00E9242C"/>
    <w:rsid w:val="00E93A94"/>
    <w:rsid w:val="00E93C06"/>
    <w:rsid w:val="00E94742"/>
    <w:rsid w:val="00E9481C"/>
    <w:rsid w:val="00E950B3"/>
    <w:rsid w:val="00E954E4"/>
    <w:rsid w:val="00E957CB"/>
    <w:rsid w:val="00E95987"/>
    <w:rsid w:val="00E97F29"/>
    <w:rsid w:val="00EA01A9"/>
    <w:rsid w:val="00EA081D"/>
    <w:rsid w:val="00EA0C14"/>
    <w:rsid w:val="00EA1F0B"/>
    <w:rsid w:val="00EA2777"/>
    <w:rsid w:val="00EA463B"/>
    <w:rsid w:val="00EA4FBE"/>
    <w:rsid w:val="00EA60D8"/>
    <w:rsid w:val="00EA6458"/>
    <w:rsid w:val="00EA76BF"/>
    <w:rsid w:val="00EA7727"/>
    <w:rsid w:val="00EA77E7"/>
    <w:rsid w:val="00EA7CB9"/>
    <w:rsid w:val="00EA7D00"/>
    <w:rsid w:val="00EB05E3"/>
    <w:rsid w:val="00EB1304"/>
    <w:rsid w:val="00EB154B"/>
    <w:rsid w:val="00EB173A"/>
    <w:rsid w:val="00EB190A"/>
    <w:rsid w:val="00EB26AD"/>
    <w:rsid w:val="00EB33D6"/>
    <w:rsid w:val="00EB33EA"/>
    <w:rsid w:val="00EB3765"/>
    <w:rsid w:val="00EB397F"/>
    <w:rsid w:val="00EB3D52"/>
    <w:rsid w:val="00EB4AAA"/>
    <w:rsid w:val="00EB4D93"/>
    <w:rsid w:val="00EB4E08"/>
    <w:rsid w:val="00EB5386"/>
    <w:rsid w:val="00EB5862"/>
    <w:rsid w:val="00EB5C24"/>
    <w:rsid w:val="00EB7C31"/>
    <w:rsid w:val="00EB7DCA"/>
    <w:rsid w:val="00EC00BA"/>
    <w:rsid w:val="00EC06C7"/>
    <w:rsid w:val="00EC0797"/>
    <w:rsid w:val="00EC0968"/>
    <w:rsid w:val="00EC1160"/>
    <w:rsid w:val="00EC16B6"/>
    <w:rsid w:val="00EC1EAC"/>
    <w:rsid w:val="00EC1FA6"/>
    <w:rsid w:val="00EC23A0"/>
    <w:rsid w:val="00EC258F"/>
    <w:rsid w:val="00EC29B9"/>
    <w:rsid w:val="00EC2A22"/>
    <w:rsid w:val="00EC2BF9"/>
    <w:rsid w:val="00EC3450"/>
    <w:rsid w:val="00EC4210"/>
    <w:rsid w:val="00EC47FA"/>
    <w:rsid w:val="00EC4A57"/>
    <w:rsid w:val="00EC77A9"/>
    <w:rsid w:val="00EC7B23"/>
    <w:rsid w:val="00ED16F6"/>
    <w:rsid w:val="00ED1D37"/>
    <w:rsid w:val="00ED2C75"/>
    <w:rsid w:val="00ED3062"/>
    <w:rsid w:val="00ED3558"/>
    <w:rsid w:val="00ED3701"/>
    <w:rsid w:val="00ED37C4"/>
    <w:rsid w:val="00ED4AA6"/>
    <w:rsid w:val="00ED53A1"/>
    <w:rsid w:val="00ED6479"/>
    <w:rsid w:val="00ED682E"/>
    <w:rsid w:val="00ED6B9F"/>
    <w:rsid w:val="00ED6E30"/>
    <w:rsid w:val="00ED794E"/>
    <w:rsid w:val="00EE158F"/>
    <w:rsid w:val="00EE1B92"/>
    <w:rsid w:val="00EE20C4"/>
    <w:rsid w:val="00EE39DD"/>
    <w:rsid w:val="00EE5169"/>
    <w:rsid w:val="00EE51A7"/>
    <w:rsid w:val="00EE5EEB"/>
    <w:rsid w:val="00EE5F32"/>
    <w:rsid w:val="00EE6144"/>
    <w:rsid w:val="00EE74C8"/>
    <w:rsid w:val="00EE77BD"/>
    <w:rsid w:val="00EF01F6"/>
    <w:rsid w:val="00EF022A"/>
    <w:rsid w:val="00EF03A0"/>
    <w:rsid w:val="00EF052D"/>
    <w:rsid w:val="00EF0BE0"/>
    <w:rsid w:val="00EF0D4B"/>
    <w:rsid w:val="00EF1880"/>
    <w:rsid w:val="00EF3376"/>
    <w:rsid w:val="00EF3CAA"/>
    <w:rsid w:val="00EF4493"/>
    <w:rsid w:val="00EF4D12"/>
    <w:rsid w:val="00EF5134"/>
    <w:rsid w:val="00EF54E1"/>
    <w:rsid w:val="00EF579B"/>
    <w:rsid w:val="00EF58C2"/>
    <w:rsid w:val="00F0104A"/>
    <w:rsid w:val="00F01065"/>
    <w:rsid w:val="00F01492"/>
    <w:rsid w:val="00F02F4F"/>
    <w:rsid w:val="00F0413B"/>
    <w:rsid w:val="00F05236"/>
    <w:rsid w:val="00F06353"/>
    <w:rsid w:val="00F07715"/>
    <w:rsid w:val="00F0772A"/>
    <w:rsid w:val="00F07E37"/>
    <w:rsid w:val="00F10341"/>
    <w:rsid w:val="00F109D6"/>
    <w:rsid w:val="00F109E9"/>
    <w:rsid w:val="00F11022"/>
    <w:rsid w:val="00F110E9"/>
    <w:rsid w:val="00F11130"/>
    <w:rsid w:val="00F11530"/>
    <w:rsid w:val="00F14060"/>
    <w:rsid w:val="00F14338"/>
    <w:rsid w:val="00F14E13"/>
    <w:rsid w:val="00F17871"/>
    <w:rsid w:val="00F17EF8"/>
    <w:rsid w:val="00F2070C"/>
    <w:rsid w:val="00F22253"/>
    <w:rsid w:val="00F22401"/>
    <w:rsid w:val="00F22F80"/>
    <w:rsid w:val="00F22F9B"/>
    <w:rsid w:val="00F236B5"/>
    <w:rsid w:val="00F2372A"/>
    <w:rsid w:val="00F250C1"/>
    <w:rsid w:val="00F26293"/>
    <w:rsid w:val="00F26C46"/>
    <w:rsid w:val="00F273DA"/>
    <w:rsid w:val="00F27796"/>
    <w:rsid w:val="00F30858"/>
    <w:rsid w:val="00F31049"/>
    <w:rsid w:val="00F31AFF"/>
    <w:rsid w:val="00F31DB6"/>
    <w:rsid w:val="00F32437"/>
    <w:rsid w:val="00F325B4"/>
    <w:rsid w:val="00F32B38"/>
    <w:rsid w:val="00F32D3E"/>
    <w:rsid w:val="00F3393D"/>
    <w:rsid w:val="00F34635"/>
    <w:rsid w:val="00F3479B"/>
    <w:rsid w:val="00F35386"/>
    <w:rsid w:val="00F354D8"/>
    <w:rsid w:val="00F354EC"/>
    <w:rsid w:val="00F4124A"/>
    <w:rsid w:val="00F4175F"/>
    <w:rsid w:val="00F41A91"/>
    <w:rsid w:val="00F421AC"/>
    <w:rsid w:val="00F43B68"/>
    <w:rsid w:val="00F44195"/>
    <w:rsid w:val="00F444E4"/>
    <w:rsid w:val="00F45193"/>
    <w:rsid w:val="00F46BAF"/>
    <w:rsid w:val="00F47AF8"/>
    <w:rsid w:val="00F5015E"/>
    <w:rsid w:val="00F50449"/>
    <w:rsid w:val="00F512D6"/>
    <w:rsid w:val="00F51CAA"/>
    <w:rsid w:val="00F51CFE"/>
    <w:rsid w:val="00F520EA"/>
    <w:rsid w:val="00F529B6"/>
    <w:rsid w:val="00F53523"/>
    <w:rsid w:val="00F53687"/>
    <w:rsid w:val="00F53DAA"/>
    <w:rsid w:val="00F53DCD"/>
    <w:rsid w:val="00F544FE"/>
    <w:rsid w:val="00F54E62"/>
    <w:rsid w:val="00F55694"/>
    <w:rsid w:val="00F56DE6"/>
    <w:rsid w:val="00F56F50"/>
    <w:rsid w:val="00F60B3F"/>
    <w:rsid w:val="00F60C57"/>
    <w:rsid w:val="00F61357"/>
    <w:rsid w:val="00F6153C"/>
    <w:rsid w:val="00F61742"/>
    <w:rsid w:val="00F62005"/>
    <w:rsid w:val="00F62095"/>
    <w:rsid w:val="00F625A9"/>
    <w:rsid w:val="00F62A61"/>
    <w:rsid w:val="00F62C4B"/>
    <w:rsid w:val="00F63324"/>
    <w:rsid w:val="00F63B0C"/>
    <w:rsid w:val="00F64D68"/>
    <w:rsid w:val="00F652DE"/>
    <w:rsid w:val="00F657AE"/>
    <w:rsid w:val="00F65B68"/>
    <w:rsid w:val="00F66073"/>
    <w:rsid w:val="00F66DEF"/>
    <w:rsid w:val="00F66E7B"/>
    <w:rsid w:val="00F67C00"/>
    <w:rsid w:val="00F67CB0"/>
    <w:rsid w:val="00F7045A"/>
    <w:rsid w:val="00F711B4"/>
    <w:rsid w:val="00F711B5"/>
    <w:rsid w:val="00F714EC"/>
    <w:rsid w:val="00F7171F"/>
    <w:rsid w:val="00F71CE9"/>
    <w:rsid w:val="00F72D08"/>
    <w:rsid w:val="00F73825"/>
    <w:rsid w:val="00F7424E"/>
    <w:rsid w:val="00F74545"/>
    <w:rsid w:val="00F74FC2"/>
    <w:rsid w:val="00F755D3"/>
    <w:rsid w:val="00F75837"/>
    <w:rsid w:val="00F76669"/>
    <w:rsid w:val="00F76BA1"/>
    <w:rsid w:val="00F77A49"/>
    <w:rsid w:val="00F77EC2"/>
    <w:rsid w:val="00F80507"/>
    <w:rsid w:val="00F80B19"/>
    <w:rsid w:val="00F80EF1"/>
    <w:rsid w:val="00F81031"/>
    <w:rsid w:val="00F815A6"/>
    <w:rsid w:val="00F8276E"/>
    <w:rsid w:val="00F8295C"/>
    <w:rsid w:val="00F82DE7"/>
    <w:rsid w:val="00F84F2A"/>
    <w:rsid w:val="00F85055"/>
    <w:rsid w:val="00F8736C"/>
    <w:rsid w:val="00F87A9A"/>
    <w:rsid w:val="00F87AB7"/>
    <w:rsid w:val="00F90288"/>
    <w:rsid w:val="00F9029E"/>
    <w:rsid w:val="00F905A0"/>
    <w:rsid w:val="00F90983"/>
    <w:rsid w:val="00F919ED"/>
    <w:rsid w:val="00F93139"/>
    <w:rsid w:val="00F935A6"/>
    <w:rsid w:val="00F94243"/>
    <w:rsid w:val="00F94903"/>
    <w:rsid w:val="00F9617E"/>
    <w:rsid w:val="00F96D9E"/>
    <w:rsid w:val="00F9752A"/>
    <w:rsid w:val="00F97A2B"/>
    <w:rsid w:val="00FA054E"/>
    <w:rsid w:val="00FA158B"/>
    <w:rsid w:val="00FA2093"/>
    <w:rsid w:val="00FA25B3"/>
    <w:rsid w:val="00FA27B9"/>
    <w:rsid w:val="00FA28B0"/>
    <w:rsid w:val="00FA2B69"/>
    <w:rsid w:val="00FA2D89"/>
    <w:rsid w:val="00FA311D"/>
    <w:rsid w:val="00FA3682"/>
    <w:rsid w:val="00FA36DC"/>
    <w:rsid w:val="00FA3E35"/>
    <w:rsid w:val="00FA43E8"/>
    <w:rsid w:val="00FA444B"/>
    <w:rsid w:val="00FA477A"/>
    <w:rsid w:val="00FA5F3B"/>
    <w:rsid w:val="00FA689D"/>
    <w:rsid w:val="00FA72BC"/>
    <w:rsid w:val="00FB02A8"/>
    <w:rsid w:val="00FB0CD4"/>
    <w:rsid w:val="00FB145B"/>
    <w:rsid w:val="00FB1B76"/>
    <w:rsid w:val="00FB1C45"/>
    <w:rsid w:val="00FB1EF0"/>
    <w:rsid w:val="00FB2424"/>
    <w:rsid w:val="00FB297E"/>
    <w:rsid w:val="00FB39A5"/>
    <w:rsid w:val="00FB3B23"/>
    <w:rsid w:val="00FB3C7D"/>
    <w:rsid w:val="00FB473B"/>
    <w:rsid w:val="00FB5736"/>
    <w:rsid w:val="00FB5FF8"/>
    <w:rsid w:val="00FB6D77"/>
    <w:rsid w:val="00FB7308"/>
    <w:rsid w:val="00FB775E"/>
    <w:rsid w:val="00FC079A"/>
    <w:rsid w:val="00FC1108"/>
    <w:rsid w:val="00FC1275"/>
    <w:rsid w:val="00FC1774"/>
    <w:rsid w:val="00FC22A8"/>
    <w:rsid w:val="00FC28EA"/>
    <w:rsid w:val="00FC298B"/>
    <w:rsid w:val="00FC2CB4"/>
    <w:rsid w:val="00FC3760"/>
    <w:rsid w:val="00FC3EAF"/>
    <w:rsid w:val="00FC44F3"/>
    <w:rsid w:val="00FC4EA6"/>
    <w:rsid w:val="00FC5A4F"/>
    <w:rsid w:val="00FC6000"/>
    <w:rsid w:val="00FC6BAD"/>
    <w:rsid w:val="00FD004B"/>
    <w:rsid w:val="00FD037C"/>
    <w:rsid w:val="00FD0560"/>
    <w:rsid w:val="00FD0C36"/>
    <w:rsid w:val="00FD16B2"/>
    <w:rsid w:val="00FD1779"/>
    <w:rsid w:val="00FD19F5"/>
    <w:rsid w:val="00FD21A3"/>
    <w:rsid w:val="00FD237A"/>
    <w:rsid w:val="00FD2580"/>
    <w:rsid w:val="00FD3ADE"/>
    <w:rsid w:val="00FD43CA"/>
    <w:rsid w:val="00FD4FFB"/>
    <w:rsid w:val="00FD5557"/>
    <w:rsid w:val="00FD5EFD"/>
    <w:rsid w:val="00FD5F6B"/>
    <w:rsid w:val="00FD6174"/>
    <w:rsid w:val="00FD6E14"/>
    <w:rsid w:val="00FD7035"/>
    <w:rsid w:val="00FE1201"/>
    <w:rsid w:val="00FE1292"/>
    <w:rsid w:val="00FE4559"/>
    <w:rsid w:val="00FE4A89"/>
    <w:rsid w:val="00FE6887"/>
    <w:rsid w:val="00FE6A1F"/>
    <w:rsid w:val="00FF053C"/>
    <w:rsid w:val="00FF0549"/>
    <w:rsid w:val="00FF0574"/>
    <w:rsid w:val="00FF0815"/>
    <w:rsid w:val="00FF08FE"/>
    <w:rsid w:val="00FF0DE1"/>
    <w:rsid w:val="00FF0E06"/>
    <w:rsid w:val="00FF12AB"/>
    <w:rsid w:val="00FF191C"/>
    <w:rsid w:val="00FF3116"/>
    <w:rsid w:val="00FF3D55"/>
    <w:rsid w:val="00FF4202"/>
    <w:rsid w:val="00FF5792"/>
    <w:rsid w:val="00FF6188"/>
    <w:rsid w:val="00FF6C22"/>
    <w:rsid w:val="011661D4"/>
    <w:rsid w:val="022951F8"/>
    <w:rsid w:val="02344079"/>
    <w:rsid w:val="0250242C"/>
    <w:rsid w:val="02EA5EFD"/>
    <w:rsid w:val="033D275A"/>
    <w:rsid w:val="03862099"/>
    <w:rsid w:val="03A601A0"/>
    <w:rsid w:val="03CC7FB8"/>
    <w:rsid w:val="03D158D0"/>
    <w:rsid w:val="04B855F7"/>
    <w:rsid w:val="04D636CA"/>
    <w:rsid w:val="04FD3A4F"/>
    <w:rsid w:val="05DC4E41"/>
    <w:rsid w:val="068730C0"/>
    <w:rsid w:val="069966C3"/>
    <w:rsid w:val="06D341D2"/>
    <w:rsid w:val="073B52F8"/>
    <w:rsid w:val="074023CC"/>
    <w:rsid w:val="07C12A98"/>
    <w:rsid w:val="08221743"/>
    <w:rsid w:val="083F1B17"/>
    <w:rsid w:val="08473572"/>
    <w:rsid w:val="08817A81"/>
    <w:rsid w:val="08EE2DA1"/>
    <w:rsid w:val="098842C7"/>
    <w:rsid w:val="0A132EB1"/>
    <w:rsid w:val="0A995B67"/>
    <w:rsid w:val="0AA260D4"/>
    <w:rsid w:val="0B213722"/>
    <w:rsid w:val="0B2E72F8"/>
    <w:rsid w:val="0B381A40"/>
    <w:rsid w:val="0B811E9D"/>
    <w:rsid w:val="0BDD0837"/>
    <w:rsid w:val="0C211785"/>
    <w:rsid w:val="0C266ACE"/>
    <w:rsid w:val="0C4E4125"/>
    <w:rsid w:val="0CCF0E62"/>
    <w:rsid w:val="0D0C67FB"/>
    <w:rsid w:val="0D831EAB"/>
    <w:rsid w:val="0DD445F8"/>
    <w:rsid w:val="0DF64638"/>
    <w:rsid w:val="0E6D70C9"/>
    <w:rsid w:val="0E8B4BA6"/>
    <w:rsid w:val="0ECA6903"/>
    <w:rsid w:val="0EEC4D13"/>
    <w:rsid w:val="0FDF488B"/>
    <w:rsid w:val="102A7044"/>
    <w:rsid w:val="10AA4788"/>
    <w:rsid w:val="110261B2"/>
    <w:rsid w:val="11560A0A"/>
    <w:rsid w:val="11AA29F4"/>
    <w:rsid w:val="12064A04"/>
    <w:rsid w:val="127A59AA"/>
    <w:rsid w:val="12BB41D9"/>
    <w:rsid w:val="12DA7DE4"/>
    <w:rsid w:val="132F4544"/>
    <w:rsid w:val="13662310"/>
    <w:rsid w:val="140B7C72"/>
    <w:rsid w:val="14946D06"/>
    <w:rsid w:val="14AE18A8"/>
    <w:rsid w:val="14C97D7F"/>
    <w:rsid w:val="15194274"/>
    <w:rsid w:val="15287D30"/>
    <w:rsid w:val="155B654A"/>
    <w:rsid w:val="161A35A2"/>
    <w:rsid w:val="162F0112"/>
    <w:rsid w:val="16AA7E63"/>
    <w:rsid w:val="171B5870"/>
    <w:rsid w:val="17C11376"/>
    <w:rsid w:val="17D76017"/>
    <w:rsid w:val="17F32115"/>
    <w:rsid w:val="181A5236"/>
    <w:rsid w:val="18256522"/>
    <w:rsid w:val="184A48FD"/>
    <w:rsid w:val="185852A9"/>
    <w:rsid w:val="185B79E7"/>
    <w:rsid w:val="187F61BD"/>
    <w:rsid w:val="18E369E4"/>
    <w:rsid w:val="18F70514"/>
    <w:rsid w:val="19BB2DFA"/>
    <w:rsid w:val="19C73397"/>
    <w:rsid w:val="1A321ECB"/>
    <w:rsid w:val="1A8A58CF"/>
    <w:rsid w:val="1AC53965"/>
    <w:rsid w:val="1AE147F4"/>
    <w:rsid w:val="1AE60424"/>
    <w:rsid w:val="1B023257"/>
    <w:rsid w:val="1B632F2B"/>
    <w:rsid w:val="1BD2145D"/>
    <w:rsid w:val="1C151696"/>
    <w:rsid w:val="1C7800AB"/>
    <w:rsid w:val="1CE314FD"/>
    <w:rsid w:val="1D2E7EFA"/>
    <w:rsid w:val="1D9F03A4"/>
    <w:rsid w:val="1E0A3BB7"/>
    <w:rsid w:val="1E100A30"/>
    <w:rsid w:val="1E503BB6"/>
    <w:rsid w:val="1E54099C"/>
    <w:rsid w:val="1E6B18BD"/>
    <w:rsid w:val="1E894210"/>
    <w:rsid w:val="1F6D75A9"/>
    <w:rsid w:val="1F8D67F6"/>
    <w:rsid w:val="1FEE2920"/>
    <w:rsid w:val="21271F42"/>
    <w:rsid w:val="2138114F"/>
    <w:rsid w:val="21706F13"/>
    <w:rsid w:val="21A33BFB"/>
    <w:rsid w:val="21BA2C5C"/>
    <w:rsid w:val="21D637B8"/>
    <w:rsid w:val="21E12B3F"/>
    <w:rsid w:val="22143DAA"/>
    <w:rsid w:val="23BF5F6D"/>
    <w:rsid w:val="24276DDB"/>
    <w:rsid w:val="24583CFD"/>
    <w:rsid w:val="24821AE0"/>
    <w:rsid w:val="24A37C98"/>
    <w:rsid w:val="252B0410"/>
    <w:rsid w:val="256C0D91"/>
    <w:rsid w:val="25D42491"/>
    <w:rsid w:val="25FA16A4"/>
    <w:rsid w:val="260045F4"/>
    <w:rsid w:val="26312699"/>
    <w:rsid w:val="26E23C12"/>
    <w:rsid w:val="26EE1838"/>
    <w:rsid w:val="26F102CC"/>
    <w:rsid w:val="273A0BF1"/>
    <w:rsid w:val="276A2306"/>
    <w:rsid w:val="28153D91"/>
    <w:rsid w:val="2851430A"/>
    <w:rsid w:val="29055510"/>
    <w:rsid w:val="29397F2C"/>
    <w:rsid w:val="296842D9"/>
    <w:rsid w:val="29A62909"/>
    <w:rsid w:val="29F87EDF"/>
    <w:rsid w:val="2A0B2221"/>
    <w:rsid w:val="2A550B45"/>
    <w:rsid w:val="2A897E01"/>
    <w:rsid w:val="2B13223B"/>
    <w:rsid w:val="2B703AEE"/>
    <w:rsid w:val="2BB06E73"/>
    <w:rsid w:val="2C0357D1"/>
    <w:rsid w:val="2C30566F"/>
    <w:rsid w:val="2C322AAC"/>
    <w:rsid w:val="2C836E6B"/>
    <w:rsid w:val="2D250C5A"/>
    <w:rsid w:val="2DBC38A7"/>
    <w:rsid w:val="2DF67C82"/>
    <w:rsid w:val="2E0D0E5A"/>
    <w:rsid w:val="2E507982"/>
    <w:rsid w:val="2EA55959"/>
    <w:rsid w:val="2EFF1FAC"/>
    <w:rsid w:val="2F8C62DC"/>
    <w:rsid w:val="2FA10F0E"/>
    <w:rsid w:val="2FA310AD"/>
    <w:rsid w:val="30002559"/>
    <w:rsid w:val="30682275"/>
    <w:rsid w:val="30787DC5"/>
    <w:rsid w:val="309F2FF3"/>
    <w:rsid w:val="319369D6"/>
    <w:rsid w:val="31947EE4"/>
    <w:rsid w:val="31BC6857"/>
    <w:rsid w:val="31D85526"/>
    <w:rsid w:val="31E45117"/>
    <w:rsid w:val="3253507D"/>
    <w:rsid w:val="327359A7"/>
    <w:rsid w:val="332762C6"/>
    <w:rsid w:val="33685AA6"/>
    <w:rsid w:val="33E174C4"/>
    <w:rsid w:val="34B207F1"/>
    <w:rsid w:val="34FD328C"/>
    <w:rsid w:val="350376C1"/>
    <w:rsid w:val="354C2E2B"/>
    <w:rsid w:val="35850AFC"/>
    <w:rsid w:val="35C75A35"/>
    <w:rsid w:val="35CB092A"/>
    <w:rsid w:val="35F647FE"/>
    <w:rsid w:val="36922E44"/>
    <w:rsid w:val="36F72566"/>
    <w:rsid w:val="37487799"/>
    <w:rsid w:val="37734520"/>
    <w:rsid w:val="37E1531E"/>
    <w:rsid w:val="37F37805"/>
    <w:rsid w:val="382016F4"/>
    <w:rsid w:val="389A628F"/>
    <w:rsid w:val="38A1517B"/>
    <w:rsid w:val="38B63BB7"/>
    <w:rsid w:val="38BC615E"/>
    <w:rsid w:val="38DB31B5"/>
    <w:rsid w:val="39584854"/>
    <w:rsid w:val="39E51EF7"/>
    <w:rsid w:val="3A517C2A"/>
    <w:rsid w:val="3A8A4604"/>
    <w:rsid w:val="3AAE167C"/>
    <w:rsid w:val="3AB22480"/>
    <w:rsid w:val="3BDE577D"/>
    <w:rsid w:val="3BE5382C"/>
    <w:rsid w:val="3D0B15E1"/>
    <w:rsid w:val="3D3F1637"/>
    <w:rsid w:val="3D786269"/>
    <w:rsid w:val="3DB239A2"/>
    <w:rsid w:val="3E1C1D1B"/>
    <w:rsid w:val="3E3E1B70"/>
    <w:rsid w:val="3E574E72"/>
    <w:rsid w:val="3ED17160"/>
    <w:rsid w:val="3FD028F4"/>
    <w:rsid w:val="40993E5A"/>
    <w:rsid w:val="409C7699"/>
    <w:rsid w:val="41A30EF0"/>
    <w:rsid w:val="41FF43E7"/>
    <w:rsid w:val="42011C91"/>
    <w:rsid w:val="428F48CE"/>
    <w:rsid w:val="42A45BE7"/>
    <w:rsid w:val="42CB4CC5"/>
    <w:rsid w:val="432D61BB"/>
    <w:rsid w:val="435F144B"/>
    <w:rsid w:val="436F0CCE"/>
    <w:rsid w:val="4373273C"/>
    <w:rsid w:val="43AD68A2"/>
    <w:rsid w:val="44097FB2"/>
    <w:rsid w:val="444B5F48"/>
    <w:rsid w:val="44730D15"/>
    <w:rsid w:val="44904EBB"/>
    <w:rsid w:val="44C14100"/>
    <w:rsid w:val="44FF1D1C"/>
    <w:rsid w:val="450B67BF"/>
    <w:rsid w:val="45184E90"/>
    <w:rsid w:val="455F2C6F"/>
    <w:rsid w:val="45881C1E"/>
    <w:rsid w:val="46051A27"/>
    <w:rsid w:val="460A4689"/>
    <w:rsid w:val="473A6994"/>
    <w:rsid w:val="475E3B6E"/>
    <w:rsid w:val="478E7F12"/>
    <w:rsid w:val="47E13CFF"/>
    <w:rsid w:val="487100E5"/>
    <w:rsid w:val="48AC261D"/>
    <w:rsid w:val="48EE0100"/>
    <w:rsid w:val="48F06724"/>
    <w:rsid w:val="492D24DD"/>
    <w:rsid w:val="493021EB"/>
    <w:rsid w:val="49DD248D"/>
    <w:rsid w:val="4A2B3F8F"/>
    <w:rsid w:val="4A5F5D9E"/>
    <w:rsid w:val="4A68159C"/>
    <w:rsid w:val="4A73172E"/>
    <w:rsid w:val="4A9B3E23"/>
    <w:rsid w:val="4AFA194E"/>
    <w:rsid w:val="4AFE5FA0"/>
    <w:rsid w:val="4B2B122D"/>
    <w:rsid w:val="4B9E6607"/>
    <w:rsid w:val="4BB04751"/>
    <w:rsid w:val="4BC76A78"/>
    <w:rsid w:val="4BEA6A0A"/>
    <w:rsid w:val="4BF66658"/>
    <w:rsid w:val="4C4F1628"/>
    <w:rsid w:val="4CB92E34"/>
    <w:rsid w:val="4D046BE2"/>
    <w:rsid w:val="4D423365"/>
    <w:rsid w:val="4D5C70DF"/>
    <w:rsid w:val="4D693FBC"/>
    <w:rsid w:val="4E081515"/>
    <w:rsid w:val="4E9E585D"/>
    <w:rsid w:val="4EE536A5"/>
    <w:rsid w:val="4EEE2265"/>
    <w:rsid w:val="4F2A217C"/>
    <w:rsid w:val="4F5B2B78"/>
    <w:rsid w:val="4F6927D5"/>
    <w:rsid w:val="501305BF"/>
    <w:rsid w:val="50BE71A2"/>
    <w:rsid w:val="50C95154"/>
    <w:rsid w:val="50F71EAD"/>
    <w:rsid w:val="51A03542"/>
    <w:rsid w:val="51AE2BAA"/>
    <w:rsid w:val="521957D8"/>
    <w:rsid w:val="521C60F2"/>
    <w:rsid w:val="524444E4"/>
    <w:rsid w:val="5315153B"/>
    <w:rsid w:val="535D06D1"/>
    <w:rsid w:val="5387121E"/>
    <w:rsid w:val="54961BE4"/>
    <w:rsid w:val="5544227D"/>
    <w:rsid w:val="559D6E4F"/>
    <w:rsid w:val="55A9043F"/>
    <w:rsid w:val="55BA5565"/>
    <w:rsid w:val="56510A16"/>
    <w:rsid w:val="571F6F3A"/>
    <w:rsid w:val="57F0786F"/>
    <w:rsid w:val="58645968"/>
    <w:rsid w:val="5884024D"/>
    <w:rsid w:val="588D7247"/>
    <w:rsid w:val="58B47347"/>
    <w:rsid w:val="59597BEE"/>
    <w:rsid w:val="5A07570E"/>
    <w:rsid w:val="5A9D0AD2"/>
    <w:rsid w:val="5AB728FA"/>
    <w:rsid w:val="5BFF6622"/>
    <w:rsid w:val="5C463628"/>
    <w:rsid w:val="5C6337BF"/>
    <w:rsid w:val="5C856CAA"/>
    <w:rsid w:val="5CFA646A"/>
    <w:rsid w:val="5D253417"/>
    <w:rsid w:val="5D5525B3"/>
    <w:rsid w:val="5D6E76BD"/>
    <w:rsid w:val="5D8976FF"/>
    <w:rsid w:val="5DA3432A"/>
    <w:rsid w:val="5E293362"/>
    <w:rsid w:val="5E7652AA"/>
    <w:rsid w:val="5E9A4A88"/>
    <w:rsid w:val="5ED44A0D"/>
    <w:rsid w:val="5F951606"/>
    <w:rsid w:val="60791453"/>
    <w:rsid w:val="61002981"/>
    <w:rsid w:val="61372CFF"/>
    <w:rsid w:val="61783406"/>
    <w:rsid w:val="620F4D0C"/>
    <w:rsid w:val="625D1AAC"/>
    <w:rsid w:val="628A43AA"/>
    <w:rsid w:val="62ED33AB"/>
    <w:rsid w:val="630E11A2"/>
    <w:rsid w:val="63671F1C"/>
    <w:rsid w:val="644351B2"/>
    <w:rsid w:val="6477737F"/>
    <w:rsid w:val="64B735BA"/>
    <w:rsid w:val="650E5F07"/>
    <w:rsid w:val="65264A22"/>
    <w:rsid w:val="65720749"/>
    <w:rsid w:val="65E9386F"/>
    <w:rsid w:val="66187DF3"/>
    <w:rsid w:val="66BB6825"/>
    <w:rsid w:val="66CA4820"/>
    <w:rsid w:val="670D48D1"/>
    <w:rsid w:val="6717318E"/>
    <w:rsid w:val="6736532A"/>
    <w:rsid w:val="67366B33"/>
    <w:rsid w:val="67503397"/>
    <w:rsid w:val="675124BF"/>
    <w:rsid w:val="67990E7E"/>
    <w:rsid w:val="67BE1599"/>
    <w:rsid w:val="68174787"/>
    <w:rsid w:val="68C63FFE"/>
    <w:rsid w:val="690724DA"/>
    <w:rsid w:val="697E21E4"/>
    <w:rsid w:val="69896C53"/>
    <w:rsid w:val="699E6255"/>
    <w:rsid w:val="69AF4808"/>
    <w:rsid w:val="69D1593B"/>
    <w:rsid w:val="6A7B3AD0"/>
    <w:rsid w:val="6A874562"/>
    <w:rsid w:val="6B770EF6"/>
    <w:rsid w:val="6B82095F"/>
    <w:rsid w:val="6B9267CD"/>
    <w:rsid w:val="6B991F1B"/>
    <w:rsid w:val="6BB861E9"/>
    <w:rsid w:val="6BDA6A70"/>
    <w:rsid w:val="6BFD73BA"/>
    <w:rsid w:val="6C1158E5"/>
    <w:rsid w:val="6C1B0D40"/>
    <w:rsid w:val="6C1D3474"/>
    <w:rsid w:val="6C8F7A6B"/>
    <w:rsid w:val="6CBA4130"/>
    <w:rsid w:val="6CFD62AE"/>
    <w:rsid w:val="6D513C1C"/>
    <w:rsid w:val="6D997D16"/>
    <w:rsid w:val="6DD636A9"/>
    <w:rsid w:val="6DD868FF"/>
    <w:rsid w:val="6DF8455A"/>
    <w:rsid w:val="70192BA2"/>
    <w:rsid w:val="70611194"/>
    <w:rsid w:val="70977506"/>
    <w:rsid w:val="70EB5A21"/>
    <w:rsid w:val="70F24E9E"/>
    <w:rsid w:val="710B448B"/>
    <w:rsid w:val="717A4386"/>
    <w:rsid w:val="718940D9"/>
    <w:rsid w:val="71F35B53"/>
    <w:rsid w:val="721C4044"/>
    <w:rsid w:val="72B04BB4"/>
    <w:rsid w:val="72D368B7"/>
    <w:rsid w:val="72D42934"/>
    <w:rsid w:val="737310AD"/>
    <w:rsid w:val="73B64EFB"/>
    <w:rsid w:val="73EC6866"/>
    <w:rsid w:val="744C6CA6"/>
    <w:rsid w:val="74516E48"/>
    <w:rsid w:val="74852209"/>
    <w:rsid w:val="749A6DFA"/>
    <w:rsid w:val="74BC481A"/>
    <w:rsid w:val="74E90DD1"/>
    <w:rsid w:val="74F95B15"/>
    <w:rsid w:val="750F08DB"/>
    <w:rsid w:val="757D35EB"/>
    <w:rsid w:val="75E72F2B"/>
    <w:rsid w:val="767C02D1"/>
    <w:rsid w:val="768C6CDC"/>
    <w:rsid w:val="768D7EBB"/>
    <w:rsid w:val="76CE0247"/>
    <w:rsid w:val="76D457B4"/>
    <w:rsid w:val="76E67640"/>
    <w:rsid w:val="770859A4"/>
    <w:rsid w:val="77130DCF"/>
    <w:rsid w:val="77300885"/>
    <w:rsid w:val="77472ABF"/>
    <w:rsid w:val="775D1EA5"/>
    <w:rsid w:val="77846014"/>
    <w:rsid w:val="78704185"/>
    <w:rsid w:val="787E4784"/>
    <w:rsid w:val="79151859"/>
    <w:rsid w:val="792C4258"/>
    <w:rsid w:val="7A2D52DA"/>
    <w:rsid w:val="7A316099"/>
    <w:rsid w:val="7A4D75A6"/>
    <w:rsid w:val="7A8B116C"/>
    <w:rsid w:val="7BA01CFB"/>
    <w:rsid w:val="7C1A30EB"/>
    <w:rsid w:val="7C200189"/>
    <w:rsid w:val="7C244412"/>
    <w:rsid w:val="7C46263B"/>
    <w:rsid w:val="7C9474E3"/>
    <w:rsid w:val="7CAA3BD3"/>
    <w:rsid w:val="7D1B09C2"/>
    <w:rsid w:val="7D8718FE"/>
    <w:rsid w:val="7E2D529D"/>
    <w:rsid w:val="7F0C49E3"/>
    <w:rsid w:val="7F883180"/>
    <w:rsid w:val="7F8D2675"/>
    <w:rsid w:val="7F92047A"/>
    <w:rsid w:val="7F9B6716"/>
    <w:rsid w:val="7FA37366"/>
    <w:rsid w:val="7FE55E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32"/>
      <w:szCs w:val="20"/>
    </w:rPr>
  </w:style>
  <w:style w:type="paragraph" w:styleId="3">
    <w:name w:val="heading 2"/>
    <w:basedOn w:val="1"/>
    <w:next w:val="1"/>
    <w:link w:val="52"/>
    <w:qFormat/>
    <w:uiPriority w:val="0"/>
    <w:pPr>
      <w:keepNext/>
      <w:keepLines/>
      <w:spacing w:before="260" w:after="260" w:line="500" w:lineRule="exact"/>
      <w:outlineLvl w:val="1"/>
    </w:pPr>
    <w:rPr>
      <w:rFonts w:ascii="Arial" w:hAnsi="Arial" w:eastAsia="黑体"/>
      <w:b/>
      <w:sz w:val="28"/>
      <w:szCs w:val="20"/>
    </w:rPr>
  </w:style>
  <w:style w:type="paragraph" w:styleId="4">
    <w:name w:val="heading 3"/>
    <w:basedOn w:val="1"/>
    <w:next w:val="1"/>
    <w:qFormat/>
    <w:uiPriority w:val="0"/>
    <w:pPr>
      <w:keepNext/>
      <w:keepLines/>
      <w:spacing w:before="260" w:after="260" w:line="412" w:lineRule="auto"/>
      <w:outlineLvl w:val="2"/>
    </w:pPr>
    <w:rPr>
      <w:b/>
      <w:sz w:val="32"/>
      <w:szCs w:val="20"/>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qFormat/>
    <w:uiPriority w:val="0"/>
    <w:pPr>
      <w:keepNext/>
      <w:keepLines/>
      <w:numPr>
        <w:ilvl w:val="5"/>
        <w:numId w:val="1"/>
      </w:numPr>
      <w:spacing w:before="240" w:after="64" w:line="316"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after="64" w:line="316" w:lineRule="auto"/>
      <w:outlineLvl w:val="6"/>
    </w:pPr>
    <w:rPr>
      <w:b/>
      <w:sz w:val="24"/>
    </w:rPr>
  </w:style>
  <w:style w:type="paragraph" w:styleId="10">
    <w:name w:val="heading 8"/>
    <w:basedOn w:val="1"/>
    <w:next w:val="7"/>
    <w:qFormat/>
    <w:uiPriority w:val="0"/>
    <w:pPr>
      <w:keepNext/>
      <w:keepLines/>
      <w:numPr>
        <w:ilvl w:val="7"/>
        <w:numId w:val="1"/>
      </w:numPr>
      <w:spacing w:before="240" w:after="64" w:line="316"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after="64" w:line="316"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48"/>
    <w:qFormat/>
    <w:uiPriority w:val="0"/>
    <w:pPr>
      <w:ind w:firstLine="420"/>
    </w:pPr>
    <w:rPr>
      <w:szCs w:val="20"/>
    </w:rPr>
  </w:style>
  <w:style w:type="paragraph" w:styleId="12">
    <w:name w:val="Document Map"/>
    <w:basedOn w:val="1"/>
    <w:link w:val="71"/>
    <w:semiHidden/>
    <w:unhideWhenUsed/>
    <w:qFormat/>
    <w:uiPriority w:val="0"/>
    <w:rPr>
      <w:rFonts w:ascii="宋体"/>
      <w:sz w:val="18"/>
      <w:szCs w:val="18"/>
    </w:rPr>
  </w:style>
  <w:style w:type="paragraph" w:styleId="13">
    <w:name w:val="annotation text"/>
    <w:basedOn w:val="1"/>
    <w:link w:val="72"/>
    <w:semiHidden/>
    <w:unhideWhenUsed/>
    <w:qFormat/>
    <w:uiPriority w:val="0"/>
    <w:pPr>
      <w:jc w:val="left"/>
    </w:pPr>
  </w:style>
  <w:style w:type="paragraph" w:styleId="14">
    <w:name w:val="Body Text"/>
    <w:basedOn w:val="1"/>
    <w:next w:val="1"/>
    <w:qFormat/>
    <w:uiPriority w:val="0"/>
    <w:pPr>
      <w:spacing w:after="120"/>
    </w:pPr>
  </w:style>
  <w:style w:type="paragraph" w:styleId="15">
    <w:name w:val="Body Text Indent"/>
    <w:basedOn w:val="1"/>
    <w:link w:val="45"/>
    <w:qFormat/>
    <w:uiPriority w:val="0"/>
    <w:pPr>
      <w:ind w:firstLine="630"/>
    </w:pPr>
    <w:rPr>
      <w:sz w:val="32"/>
      <w:szCs w:val="20"/>
    </w:rPr>
  </w:style>
  <w:style w:type="paragraph" w:styleId="16">
    <w:name w:val="Plain Text"/>
    <w:basedOn w:val="1"/>
    <w:link w:val="53"/>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47"/>
    <w:qFormat/>
    <w:uiPriority w:val="0"/>
    <w:pPr>
      <w:ind w:firstLine="630"/>
    </w:pPr>
    <w:rPr>
      <w:sz w:val="32"/>
      <w:szCs w:val="20"/>
    </w:rPr>
  </w:style>
  <w:style w:type="paragraph" w:styleId="19">
    <w:name w:val="Balloon Text"/>
    <w:basedOn w:val="1"/>
    <w:link w:val="64"/>
    <w:qFormat/>
    <w:uiPriority w:val="0"/>
    <w:rPr>
      <w:sz w:val="18"/>
      <w:szCs w:val="18"/>
    </w:rPr>
  </w:style>
  <w:style w:type="paragraph" w:styleId="20">
    <w:name w:val="footer"/>
    <w:basedOn w:val="1"/>
    <w:link w:val="46"/>
    <w:qFormat/>
    <w:uiPriority w:val="99"/>
    <w:pPr>
      <w:tabs>
        <w:tab w:val="center" w:pos="4153"/>
        <w:tab w:val="right" w:pos="8306"/>
      </w:tabs>
      <w:snapToGrid w:val="0"/>
      <w:jc w:val="left"/>
    </w:pPr>
    <w:rPr>
      <w:sz w:val="18"/>
      <w:szCs w:val="20"/>
    </w:rPr>
  </w:style>
  <w:style w:type="paragraph" w:styleId="21">
    <w:name w:val="header"/>
    <w:basedOn w:val="1"/>
    <w:link w:val="49"/>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semiHidden/>
    <w:unhideWhenUsed/>
    <w:qFormat/>
    <w:uiPriority w:val="0"/>
  </w:style>
  <w:style w:type="paragraph" w:styleId="23">
    <w:name w:val="Body Text Indent 3"/>
    <w:basedOn w:val="1"/>
    <w:link w:val="43"/>
    <w:qFormat/>
    <w:uiPriority w:val="0"/>
    <w:pPr>
      <w:adjustRightInd w:val="0"/>
      <w:snapToGrid w:val="0"/>
      <w:spacing w:line="360" w:lineRule="auto"/>
      <w:ind w:firstLine="600" w:firstLineChars="200"/>
    </w:pPr>
    <w:rPr>
      <w:rFonts w:ascii="黑体" w:eastAsia="黑体"/>
      <w:sz w:val="30"/>
      <w:szCs w:val="28"/>
    </w:rPr>
  </w:style>
  <w:style w:type="paragraph" w:styleId="24">
    <w:name w:val="toc 2"/>
    <w:basedOn w:val="1"/>
    <w:next w:val="1"/>
    <w:semiHidden/>
    <w:unhideWhenUsed/>
    <w:qFormat/>
    <w:uiPriority w:val="0"/>
    <w:pPr>
      <w:ind w:left="420" w:leftChars="200"/>
    </w:pPr>
  </w:style>
  <w:style w:type="paragraph" w:styleId="25">
    <w:name w:val="Normal (Web)"/>
    <w:basedOn w:val="1"/>
    <w:link w:val="68"/>
    <w:qFormat/>
    <w:uiPriority w:val="99"/>
    <w:pPr>
      <w:widowControl/>
      <w:spacing w:before="100" w:beforeAutospacing="1" w:after="100" w:afterAutospacing="1"/>
      <w:jc w:val="left"/>
    </w:pPr>
    <w:rPr>
      <w:rFonts w:ascii="宋体" w:hAnsi="宋体"/>
      <w:kern w:val="0"/>
      <w:sz w:val="18"/>
      <w:szCs w:val="18"/>
    </w:rPr>
  </w:style>
  <w:style w:type="paragraph" w:styleId="26">
    <w:name w:val="annotation subject"/>
    <w:basedOn w:val="13"/>
    <w:next w:val="13"/>
    <w:link w:val="73"/>
    <w:semiHidden/>
    <w:unhideWhenUsed/>
    <w:qFormat/>
    <w:uiPriority w:val="0"/>
    <w:rPr>
      <w:b/>
      <w:bCs/>
    </w:rPr>
  </w:style>
  <w:style w:type="paragraph" w:styleId="27">
    <w:name w:val="Body Text First Indent"/>
    <w:basedOn w:val="14"/>
    <w:qFormat/>
    <w:uiPriority w:val="0"/>
    <w:rPr>
      <w:rFonts w:hAnsi="宋体"/>
      <w:sz w:val="18"/>
      <w:szCs w:val="18"/>
    </w:rPr>
  </w:style>
  <w:style w:type="paragraph" w:styleId="28">
    <w:name w:val="Body Text First Indent 2"/>
    <w:basedOn w:val="15"/>
    <w:next w:val="14"/>
    <w:qFormat/>
    <w:uiPriority w:val="0"/>
    <w:pPr>
      <w:widowControl/>
      <w:ind w:firstLine="420" w:firstLineChars="200"/>
      <w:jc w:val="left"/>
    </w:pPr>
    <w:rPr>
      <w:kern w:val="0"/>
      <w:sz w:val="20"/>
      <w:szCs w:val="2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semiHidden/>
    <w:unhideWhenUsed/>
    <w:qFormat/>
    <w:uiPriority w:val="0"/>
    <w:rPr>
      <w:color w:val="800080"/>
      <w:u w:val="none"/>
    </w:rPr>
  </w:style>
  <w:style w:type="character" w:styleId="35">
    <w:name w:val="Emphasis"/>
    <w:basedOn w:val="31"/>
    <w:qFormat/>
    <w:uiPriority w:val="0"/>
  </w:style>
  <w:style w:type="character" w:styleId="36">
    <w:name w:val="Hyperlink"/>
    <w:basedOn w:val="31"/>
    <w:qFormat/>
    <w:uiPriority w:val="0"/>
    <w:rPr>
      <w:color w:val="136EC2"/>
      <w:u w:val="single"/>
    </w:rPr>
  </w:style>
  <w:style w:type="character" w:styleId="37">
    <w:name w:val="annotation reference"/>
    <w:basedOn w:val="31"/>
    <w:semiHidden/>
    <w:unhideWhenUsed/>
    <w:qFormat/>
    <w:uiPriority w:val="0"/>
    <w:rPr>
      <w:sz w:val="21"/>
      <w:szCs w:val="21"/>
    </w:rPr>
  </w:style>
  <w:style w:type="paragraph" w:customStyle="1" w:styleId="38">
    <w:name w:val="一级条标题"/>
    <w:basedOn w:val="39"/>
    <w:next w:val="40"/>
    <w:qFormat/>
    <w:uiPriority w:val="99"/>
    <w:pPr>
      <w:spacing w:line="240" w:lineRule="auto"/>
      <w:ind w:left="420"/>
      <w:outlineLvl w:val="2"/>
    </w:pPr>
  </w:style>
  <w:style w:type="paragraph" w:customStyle="1" w:styleId="39">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40">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character" w:customStyle="1" w:styleId="41">
    <w:name w:val="普通文字1 Char"/>
    <w:qFormat/>
    <w:uiPriority w:val="0"/>
    <w:rPr>
      <w:rFonts w:ascii="宋体" w:hAnsi="Courier New" w:eastAsia="宋体"/>
      <w:kern w:val="2"/>
      <w:sz w:val="21"/>
      <w:lang w:val="en-US" w:eastAsia="zh-CN" w:bidi="ar-SA"/>
    </w:rPr>
  </w:style>
  <w:style w:type="character" w:customStyle="1" w:styleId="42">
    <w:name w:val="bds_nopic2"/>
    <w:qFormat/>
    <w:uiPriority w:val="0"/>
    <w:rPr>
      <w:rFonts w:ascii="Times New Roman" w:hAnsi="Times New Roman" w:eastAsia="宋体"/>
    </w:rPr>
  </w:style>
  <w:style w:type="character" w:customStyle="1" w:styleId="43">
    <w:name w:val="正文文本缩进 3 Char"/>
    <w:link w:val="23"/>
    <w:qFormat/>
    <w:uiPriority w:val="0"/>
    <w:rPr>
      <w:rFonts w:ascii="黑体" w:eastAsia="黑体"/>
      <w:kern w:val="2"/>
      <w:sz w:val="30"/>
      <w:szCs w:val="28"/>
    </w:rPr>
  </w:style>
  <w:style w:type="character" w:customStyle="1" w:styleId="44">
    <w:name w:val="Char Char14"/>
    <w:qFormat/>
    <w:uiPriority w:val="0"/>
    <w:rPr>
      <w:rFonts w:ascii="Arial" w:hAnsi="Arial" w:eastAsia="黑体"/>
      <w:b/>
      <w:bCs/>
      <w:sz w:val="28"/>
      <w:szCs w:val="28"/>
      <w:lang w:val="en-US" w:eastAsia="zh-CN" w:bidi="ar-SA"/>
    </w:rPr>
  </w:style>
  <w:style w:type="character" w:customStyle="1" w:styleId="45">
    <w:name w:val="正文文本缩进 Char1"/>
    <w:link w:val="15"/>
    <w:qFormat/>
    <w:uiPriority w:val="0"/>
    <w:rPr>
      <w:kern w:val="2"/>
      <w:sz w:val="32"/>
    </w:rPr>
  </w:style>
  <w:style w:type="character" w:customStyle="1" w:styleId="46">
    <w:name w:val="页脚 Char"/>
    <w:link w:val="20"/>
    <w:qFormat/>
    <w:uiPriority w:val="99"/>
    <w:rPr>
      <w:rFonts w:eastAsia="宋体"/>
      <w:kern w:val="2"/>
      <w:sz w:val="18"/>
      <w:lang w:val="en-US" w:eastAsia="zh-CN" w:bidi="ar-SA"/>
    </w:rPr>
  </w:style>
  <w:style w:type="character" w:customStyle="1" w:styleId="47">
    <w:name w:val="正文文本缩进 2 Char"/>
    <w:link w:val="18"/>
    <w:qFormat/>
    <w:uiPriority w:val="0"/>
    <w:rPr>
      <w:kern w:val="2"/>
      <w:sz w:val="32"/>
    </w:rPr>
  </w:style>
  <w:style w:type="character" w:customStyle="1" w:styleId="48">
    <w:name w:val="正文缩进 Char"/>
    <w:link w:val="7"/>
    <w:qFormat/>
    <w:uiPriority w:val="0"/>
    <w:rPr>
      <w:rFonts w:eastAsia="宋体"/>
      <w:kern w:val="2"/>
      <w:sz w:val="21"/>
      <w:lang w:val="en-US" w:eastAsia="zh-CN" w:bidi="ar-SA"/>
    </w:rPr>
  </w:style>
  <w:style w:type="character" w:customStyle="1" w:styleId="49">
    <w:name w:val="页眉 Char"/>
    <w:link w:val="21"/>
    <w:qFormat/>
    <w:uiPriority w:val="0"/>
    <w:rPr>
      <w:rFonts w:eastAsia="宋体"/>
      <w:kern w:val="2"/>
      <w:sz w:val="18"/>
      <w:lang w:val="en-US" w:eastAsia="zh-CN" w:bidi="ar-SA"/>
    </w:rPr>
  </w:style>
  <w:style w:type="character" w:customStyle="1" w:styleId="50">
    <w:name w:val="p0 Char"/>
    <w:link w:val="51"/>
    <w:qFormat/>
    <w:uiPriority w:val="0"/>
    <w:rPr>
      <w:rFonts w:eastAsia="宋体"/>
      <w:sz w:val="21"/>
      <w:szCs w:val="21"/>
      <w:lang w:val="en-US" w:eastAsia="zh-CN" w:bidi="ar-SA"/>
    </w:rPr>
  </w:style>
  <w:style w:type="paragraph" w:customStyle="1" w:styleId="51">
    <w:name w:val="p0"/>
    <w:basedOn w:val="1"/>
    <w:link w:val="50"/>
    <w:qFormat/>
    <w:uiPriority w:val="0"/>
    <w:pPr>
      <w:widowControl/>
    </w:pPr>
    <w:rPr>
      <w:kern w:val="0"/>
      <w:szCs w:val="21"/>
    </w:rPr>
  </w:style>
  <w:style w:type="character" w:customStyle="1" w:styleId="52">
    <w:name w:val="标题 2 Char"/>
    <w:link w:val="3"/>
    <w:qFormat/>
    <w:uiPriority w:val="0"/>
    <w:rPr>
      <w:rFonts w:ascii="Arial" w:hAnsi="Arial" w:eastAsia="黑体"/>
      <w:b/>
      <w:kern w:val="2"/>
      <w:sz w:val="28"/>
    </w:rPr>
  </w:style>
  <w:style w:type="character" w:customStyle="1" w:styleId="53">
    <w:name w:val="纯文本 Char"/>
    <w:link w:val="16"/>
    <w:qFormat/>
    <w:locked/>
    <w:uiPriority w:val="0"/>
    <w:rPr>
      <w:rFonts w:ascii="宋体" w:hAnsi="Courier New" w:eastAsia="宋体" w:cs="Courier New"/>
      <w:kern w:val="2"/>
      <w:sz w:val="21"/>
      <w:szCs w:val="21"/>
      <w:lang w:val="en-US" w:eastAsia="zh-CN" w:bidi="ar-SA"/>
    </w:rPr>
  </w:style>
  <w:style w:type="paragraph" w:customStyle="1" w:styleId="54">
    <w:name w:val="表格"/>
    <w:basedOn w:val="1"/>
    <w:qFormat/>
    <w:uiPriority w:val="0"/>
    <w:pPr>
      <w:spacing w:line="400" w:lineRule="exact"/>
    </w:pPr>
    <w:rPr>
      <w:sz w:val="24"/>
    </w:rPr>
  </w:style>
  <w:style w:type="paragraph" w:styleId="55">
    <w:name w:val="List Paragraph"/>
    <w:basedOn w:val="1"/>
    <w:link w:val="67"/>
    <w:qFormat/>
    <w:uiPriority w:val="0"/>
    <w:pPr>
      <w:ind w:firstLine="420" w:firstLineChars="200"/>
    </w:pPr>
    <w:rPr>
      <w:sz w:val="18"/>
      <w:szCs w:val="18"/>
    </w:rPr>
  </w:style>
  <w:style w:type="paragraph" w:customStyle="1" w:styleId="56">
    <w:name w:val="Char Char Char Char"/>
    <w:basedOn w:val="1"/>
    <w:qFormat/>
    <w:uiPriority w:val="0"/>
    <w:rPr>
      <w:rFonts w:ascii="Tahoma" w:hAnsi="Tahoma"/>
      <w:sz w:val="24"/>
      <w:szCs w:val="20"/>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正文首行缩进两字符"/>
    <w:basedOn w:val="1"/>
    <w:qFormat/>
    <w:uiPriority w:val="0"/>
    <w:pPr>
      <w:spacing w:line="360" w:lineRule="auto"/>
      <w:ind w:firstLine="200" w:firstLineChars="200"/>
    </w:p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customStyle="1" w:styleId="60">
    <w:name w:val="Char1"/>
    <w:basedOn w:val="1"/>
    <w:qFormat/>
    <w:uiPriority w:val="0"/>
    <w:rPr>
      <w:szCs w:val="21"/>
    </w:rPr>
  </w:style>
  <w:style w:type="paragraph" w:customStyle="1" w:styleId="61">
    <w:name w:val="Normal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62">
    <w:name w:val="默认段落字体 Para Char Char Char Char Char Char Char"/>
    <w:basedOn w:val="1"/>
    <w:qFormat/>
    <w:uiPriority w:val="0"/>
    <w:rPr>
      <w:rFonts w:ascii="Tahoma" w:hAnsi="Tahoma"/>
      <w:sz w:val="24"/>
      <w:szCs w:val="20"/>
    </w:rPr>
  </w:style>
  <w:style w:type="character" w:customStyle="1" w:styleId="63">
    <w:name w:val="正文文本缩进 字符1"/>
    <w:semiHidden/>
    <w:qFormat/>
    <w:locked/>
    <w:uiPriority w:val="0"/>
    <w:rPr>
      <w:kern w:val="2"/>
      <w:sz w:val="32"/>
      <w:lang w:val="zh-CN" w:eastAsia="zh-CN"/>
    </w:rPr>
  </w:style>
  <w:style w:type="character" w:customStyle="1" w:styleId="64">
    <w:name w:val="批注框文本 Char"/>
    <w:link w:val="19"/>
    <w:qFormat/>
    <w:uiPriority w:val="0"/>
    <w:rPr>
      <w:kern w:val="2"/>
      <w:sz w:val="18"/>
      <w:szCs w:val="18"/>
    </w:rPr>
  </w:style>
  <w:style w:type="character" w:customStyle="1" w:styleId="65">
    <w:name w:val="正文文本缩进 Char"/>
    <w:qFormat/>
    <w:uiPriority w:val="0"/>
    <w:rPr>
      <w:kern w:val="2"/>
      <w:sz w:val="32"/>
    </w:rPr>
  </w:style>
  <w:style w:type="paragraph" w:customStyle="1" w:styleId="66">
    <w:name w:val="列表段落1"/>
    <w:basedOn w:val="1"/>
    <w:qFormat/>
    <w:uiPriority w:val="34"/>
    <w:pPr>
      <w:ind w:firstLine="420" w:firstLineChars="200"/>
    </w:pPr>
    <w:rPr>
      <w:szCs w:val="20"/>
    </w:rPr>
  </w:style>
  <w:style w:type="character" w:customStyle="1" w:styleId="67">
    <w:name w:val="列出段落 Char"/>
    <w:link w:val="55"/>
    <w:qFormat/>
    <w:locked/>
    <w:uiPriority w:val="0"/>
    <w:rPr>
      <w:kern w:val="2"/>
      <w:sz w:val="18"/>
      <w:szCs w:val="18"/>
    </w:rPr>
  </w:style>
  <w:style w:type="character" w:customStyle="1" w:styleId="68">
    <w:name w:val="普通(网站) Char"/>
    <w:link w:val="25"/>
    <w:qFormat/>
    <w:uiPriority w:val="0"/>
    <w:rPr>
      <w:rFonts w:ascii="宋体" w:hAnsi="宋体"/>
      <w:sz w:val="18"/>
      <w:szCs w:val="18"/>
    </w:rPr>
  </w:style>
  <w:style w:type="paragraph" w:customStyle="1" w:styleId="6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0">
    <w:name w:val="0"/>
    <w:basedOn w:val="1"/>
    <w:qFormat/>
    <w:uiPriority w:val="0"/>
    <w:pPr>
      <w:widowControl/>
      <w:adjustRightInd w:val="0"/>
      <w:snapToGrid w:val="0"/>
      <w:spacing w:after="200"/>
      <w:jc w:val="left"/>
    </w:pPr>
    <w:rPr>
      <w:rFonts w:hint="eastAsia"/>
      <w:kern w:val="0"/>
      <w:sz w:val="22"/>
      <w:szCs w:val="20"/>
    </w:rPr>
  </w:style>
  <w:style w:type="character" w:customStyle="1" w:styleId="71">
    <w:name w:val="文档结构图 Char"/>
    <w:basedOn w:val="31"/>
    <w:link w:val="12"/>
    <w:semiHidden/>
    <w:qFormat/>
    <w:uiPriority w:val="0"/>
    <w:rPr>
      <w:rFonts w:ascii="宋体"/>
      <w:kern w:val="2"/>
      <w:sz w:val="18"/>
      <w:szCs w:val="18"/>
    </w:rPr>
  </w:style>
  <w:style w:type="character" w:customStyle="1" w:styleId="72">
    <w:name w:val="批注文字 Char"/>
    <w:basedOn w:val="31"/>
    <w:link w:val="13"/>
    <w:semiHidden/>
    <w:qFormat/>
    <w:uiPriority w:val="0"/>
    <w:rPr>
      <w:kern w:val="2"/>
      <w:sz w:val="21"/>
      <w:szCs w:val="24"/>
    </w:rPr>
  </w:style>
  <w:style w:type="character" w:customStyle="1" w:styleId="73">
    <w:name w:val="批注主题 Char"/>
    <w:basedOn w:val="72"/>
    <w:link w:val="26"/>
    <w:qFormat/>
    <w:uiPriority w:val="0"/>
    <w:rPr>
      <w:kern w:val="2"/>
      <w:sz w:val="21"/>
      <w:szCs w:val="24"/>
    </w:rPr>
  </w:style>
  <w:style w:type="paragraph" w:styleId="7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title1"/>
    <w:basedOn w:val="1"/>
    <w:qFormat/>
    <w:uiPriority w:val="0"/>
    <w:pPr>
      <w:spacing w:before="150"/>
      <w:jc w:val="left"/>
    </w:pPr>
    <w:rPr>
      <w:b/>
      <w:bCs/>
      <w:kern w:val="0"/>
      <w:sz w:val="22"/>
      <w:szCs w:val="22"/>
    </w:rPr>
  </w:style>
  <w:style w:type="paragraph" w:customStyle="1" w:styleId="76">
    <w:name w:val="title12"/>
    <w:basedOn w:val="1"/>
    <w:qFormat/>
    <w:uiPriority w:val="0"/>
    <w:pPr>
      <w:spacing w:before="150"/>
      <w:jc w:val="left"/>
    </w:pPr>
    <w:rPr>
      <w:b/>
      <w:bCs/>
      <w:kern w:val="0"/>
      <w:sz w:val="22"/>
      <w:szCs w:val="22"/>
    </w:rPr>
  </w:style>
  <w:style w:type="character" w:customStyle="1" w:styleId="77">
    <w:name w:val="stclosebtn"/>
    <w:basedOn w:val="31"/>
    <w:qFormat/>
    <w:uiPriority w:val="0"/>
  </w:style>
  <w:style w:type="character" w:customStyle="1" w:styleId="78">
    <w:name w:val="proollist"/>
    <w:basedOn w:val="31"/>
    <w:qFormat/>
    <w:uiPriority w:val="0"/>
  </w:style>
  <w:style w:type="character" w:customStyle="1" w:styleId="79">
    <w:name w:val="beforeinfotext"/>
    <w:basedOn w:val="31"/>
    <w:qFormat/>
    <w:uiPriority w:val="0"/>
    <w:rPr>
      <w:color w:val="666666"/>
    </w:rPr>
  </w:style>
  <w:style w:type="character" w:customStyle="1" w:styleId="80">
    <w:name w:val="phone"/>
    <w:basedOn w:val="31"/>
    <w:qFormat/>
    <w:uiPriority w:val="0"/>
    <w:rPr>
      <w:color w:val="FF8833"/>
      <w:sz w:val="18"/>
      <w:szCs w:val="18"/>
    </w:rPr>
  </w:style>
  <w:style w:type="character" w:customStyle="1" w:styleId="81">
    <w:name w:val="number"/>
    <w:basedOn w:val="31"/>
    <w:qFormat/>
    <w:uiPriority w:val="0"/>
    <w:rPr>
      <w:color w:val="FF8833"/>
      <w:sz w:val="18"/>
      <w:szCs w:val="18"/>
    </w:rPr>
  </w:style>
  <w:style w:type="paragraph" w:customStyle="1" w:styleId="82">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83">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84">
    <w:name w:val="BodyText1I"/>
    <w:basedOn w:val="85"/>
    <w:qFormat/>
    <w:uiPriority w:val="0"/>
    <w:pPr>
      <w:spacing w:after="120"/>
      <w:jc w:val="both"/>
      <w:textAlignment w:val="baseline"/>
    </w:pPr>
    <w:rPr>
      <w:rFonts w:hAnsi="宋体"/>
      <w:sz w:val="18"/>
      <w:szCs w:val="18"/>
    </w:rPr>
  </w:style>
  <w:style w:type="paragraph" w:customStyle="1" w:styleId="85">
    <w:name w:val="BodyText"/>
    <w:basedOn w:val="1"/>
    <w:next w:val="1"/>
    <w:qFormat/>
    <w:uiPriority w:val="0"/>
    <w:pPr>
      <w:spacing w:after="120"/>
      <w:jc w:val="both"/>
      <w:textAlignment w:val="baseline"/>
    </w:pPr>
  </w:style>
  <w:style w:type="character" w:customStyle="1" w:styleId="86">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C9607-35F0-4654-82DC-9DAFBBB400F1}">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91</Pages>
  <Words>44860</Words>
  <Characters>48031</Characters>
  <Lines>366</Lines>
  <Paragraphs>103</Paragraphs>
  <TotalTime>1</TotalTime>
  <ScaleCrop>false</ScaleCrop>
  <LinksUpToDate>false</LinksUpToDate>
  <CharactersWithSpaces>51156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2021-07-21T08:50:00Z</dcterms:created>
  <dc:creator>GZB</dc:creator>
  <cp:lastModifiedBy>主@feel丶</cp:lastModifiedBy>
  <cp:lastPrinted>2019-08-26T12:01:00Z</cp:lastPrinted>
  <dcterms:modified xsi:type="dcterms:W3CDTF">2023-09-15T08:36:54Z</dcterms:modified>
  <dc:title>招标编号：xxx政采招[20xxx] xxx号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5584ED1774314F5797DADB214AB6E3D6_13</vt:lpwstr>
  </property>
</Properties>
</file>