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auto"/>
        <w:spacing w:before="120" w:beforeLines="50" w:after="0" w:line="360" w:lineRule="auto"/>
        <w:ind w:firstLine="0" w:firstLineChars="0"/>
        <w:jc w:val="center"/>
        <w:outlineLvl w:val="0"/>
        <w:rPr>
          <w:rFonts w:hint="eastAsia"/>
          <w:highlight w:val="none"/>
          <w:lang w:val="en-US" w:eastAsia="zh-CN"/>
        </w:rPr>
      </w:pPr>
      <w:bookmarkStart w:id="0" w:name="_Toc15377"/>
      <w:r>
        <w:rPr>
          <w:rFonts w:hint="eastAsia" w:ascii="宋体" w:hAnsi="宋体" w:eastAsia="宋体" w:cs="宋体"/>
          <w:color w:val="auto"/>
          <w:sz w:val="32"/>
          <w:szCs w:val="32"/>
          <w:highlight w:val="none"/>
        </w:rPr>
        <w:t>第四章 招标内容及要求</w:t>
      </w:r>
      <w:bookmarkEnd w:id="0"/>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32"/>
          <w:szCs w:val="32"/>
          <w:lang w:val="en-US" w:eastAsia="zh-CN"/>
        </w:rPr>
      </w:pPr>
      <w:r>
        <w:rPr>
          <w:rFonts w:hint="eastAsia"/>
          <w:b/>
          <w:bCs/>
          <w:sz w:val="32"/>
          <w:szCs w:val="32"/>
          <w:lang w:val="en-US" w:eastAsia="zh-CN"/>
        </w:rPr>
        <w:t>第一包</w:t>
      </w:r>
    </w:p>
    <w:tbl>
      <w:tblPr>
        <w:tblStyle w:val="8"/>
        <w:tblW w:w="0" w:type="auto"/>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20"/>
        <w:gridCol w:w="6152"/>
        <w:gridCol w:w="694"/>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2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序号</w:t>
            </w:r>
          </w:p>
        </w:tc>
        <w:tc>
          <w:tcPr>
            <w:tcW w:w="82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产品名称</w:t>
            </w:r>
          </w:p>
        </w:tc>
        <w:tc>
          <w:tcPr>
            <w:tcW w:w="615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需求参数</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数量</w:t>
            </w:r>
          </w:p>
        </w:tc>
        <w:tc>
          <w:tcPr>
            <w:tcW w:w="67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w:t>
            </w:r>
          </w:p>
        </w:tc>
        <w:tc>
          <w:tcPr>
            <w:tcW w:w="82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color w:val="auto"/>
                <w:sz w:val="21"/>
                <w:szCs w:val="21"/>
              </w:rPr>
              <w:t>台式</w:t>
            </w:r>
            <w:r>
              <w:rPr>
                <w:rFonts w:hint="eastAsia" w:ascii="宋体" w:hAnsi="宋体" w:cs="宋体"/>
                <w:color w:val="auto"/>
                <w:sz w:val="21"/>
                <w:szCs w:val="21"/>
                <w:lang w:eastAsia="zh-CN"/>
              </w:rPr>
              <w:t>计算机</w:t>
            </w:r>
          </w:p>
        </w:tc>
        <w:tc>
          <w:tcPr>
            <w:tcW w:w="615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基本要求：国产自主品牌。所投型号在《替代工程核心产品名录－1－2021》中，提供原厂承诺函并加盖公章。</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处理器：国产ARM架构处理器，CPU核数≥8核、主频≥2.3GHz</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操作系统：国产操作系统 （专用版） </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安全配置：</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"a、产品配备通过保密局认证的SOC卡；</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b、产品配备可信计算模块TCM芯片；</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c、产品配备通过保密局认证的三合一硬件及配套软件、配套≥16G红盘； "</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内存：≥16GB DDR4内存</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显卡：独立显卡，显存≥1G</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硬盘：≥240G SSD全固态保密系统盘和≥1T 7200转机械硬盘 </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光驱：DVD刻录光驱</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网口：10/100/1000自适应以太网口≥1个</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标准接口：USB3.0接口不少于6个，≥1个专用单导接口，≥2个专用接口；10/100/1000自适应以太网1个；双路显示输出接口，前后音频接口各一组</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机箱：微塔式机箱，体积≤15L</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显示器：与主机同品牌，≥23.8英寸，分辨率≥1920*1080，VGA+HDMI视频接口</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制造厂商生产能力：所投台式机品牌生产企业自身需具备生产能力（生产企业为计算机厂家或计算机厂家全资控股子公司），非代工厂生产，提供工商行政管理局出具的证明文件复印件； </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bCs/>
                <w:color w:val="auto"/>
                <w:kern w:val="0"/>
                <w:sz w:val="21"/>
                <w:szCs w:val="21"/>
              </w:rPr>
            </w:pPr>
            <w:r>
              <w:rPr>
                <w:rFonts w:hint="eastAsia" w:ascii="宋体" w:hAnsi="宋体" w:eastAsia="宋体" w:cs="宋体"/>
                <w:color w:val="auto"/>
                <w:sz w:val="21"/>
                <w:szCs w:val="21"/>
              </w:rPr>
              <w:t>售后服务：整机提供3年免费原厂质保，硬盘免回收。要求出具所投产品原厂商售后服务承诺函。 要求提供所投产品原厂免费技术支持电话；产品法规认证：产品具备国家CCC强制认证证书</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100</w:t>
            </w:r>
          </w:p>
        </w:tc>
        <w:tc>
          <w:tcPr>
            <w:tcW w:w="67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台</w:t>
            </w:r>
          </w:p>
        </w:tc>
      </w:tr>
    </w:tbl>
    <w:p>
      <w:pPr>
        <w:pStyle w:val="2"/>
        <w:shd w:val="clear" w:color="auto" w:fill="auto"/>
        <w:spacing w:before="0" w:after="0" w:line="360" w:lineRule="auto"/>
        <w:ind w:firstLine="482" w:firstLineChars="200"/>
        <w:jc w:val="left"/>
        <w:rPr>
          <w:rFonts w:hint="default" w:ascii="宋体" w:hAnsi="宋体" w:eastAsia="宋体" w:cs="宋体"/>
          <w:b/>
          <w:sz w:val="24"/>
          <w:szCs w:val="24"/>
          <w:highlight w:val="none"/>
          <w:lang w:val="en-US" w:eastAsia="zh-CN"/>
        </w:rPr>
      </w:pPr>
      <w:r>
        <w:rPr>
          <w:rFonts w:hint="eastAsia" w:ascii="宋体" w:hAnsi="宋体" w:cs="宋体"/>
          <w:sz w:val="24"/>
          <w:szCs w:val="24"/>
          <w:highlight w:val="none"/>
          <w:lang w:eastAsia="zh-CN"/>
        </w:rPr>
        <w:t>注：</w:t>
      </w:r>
      <w:r>
        <w:rPr>
          <w:rFonts w:hint="eastAsia" w:ascii="宋体" w:hAnsi="宋体" w:cs="宋体"/>
          <w:sz w:val="24"/>
          <w:szCs w:val="24"/>
          <w:highlight w:val="none"/>
          <w:lang w:val="en-US" w:eastAsia="zh-CN"/>
        </w:rPr>
        <w:t>1.本产品属于</w:t>
      </w:r>
      <w:r>
        <w:rPr>
          <w:rFonts w:hint="eastAsia" w:ascii="宋体" w:hAnsi="宋体" w:eastAsia="宋体" w:cs="宋体"/>
          <w:b/>
          <w:sz w:val="24"/>
          <w:szCs w:val="24"/>
          <w:highlight w:val="none"/>
          <w:lang w:val="en-US" w:eastAsia="zh-CN"/>
        </w:rPr>
        <w:t>《节能产品政府采购品目清单》中强制采购产品目录，供应商须提供《参与实施政府采购节能产品认证机构名录》中国家确定的认证机构出具的、处于有效期之内的节能产品认证证书扫描件。</w:t>
      </w:r>
    </w:p>
    <w:p>
      <w:pPr>
        <w:pStyle w:val="2"/>
        <w:shd w:val="clear" w:color="auto" w:fill="auto"/>
        <w:spacing w:before="0" w:after="0" w:line="360" w:lineRule="auto"/>
        <w:ind w:firstLine="482" w:firstLineChars="200"/>
        <w:jc w:val="left"/>
        <w:rPr>
          <w:rFonts w:hint="default" w:ascii="宋体" w:hAnsi="宋体" w:eastAsia="宋体" w:cs="宋体"/>
          <w:b/>
          <w:sz w:val="28"/>
          <w:szCs w:val="28"/>
          <w:highlight w:val="none"/>
          <w:lang w:val="en-US" w:eastAsia="zh-CN"/>
        </w:rPr>
      </w:pPr>
      <w:r>
        <w:rPr>
          <w:rFonts w:hint="eastAsia" w:ascii="宋体" w:hAnsi="宋体" w:eastAsia="宋体" w:cs="宋体"/>
          <w:b/>
          <w:sz w:val="24"/>
          <w:szCs w:val="24"/>
          <w:highlight w:val="none"/>
          <w:lang w:val="en-US" w:eastAsia="zh-CN"/>
        </w:rPr>
        <w:t>2.负偏离超过5项（含5项）视为重大负偏离，以上技术参数要求提供证明材料，未提供证明材料的视为负偏离。</w:t>
      </w:r>
    </w:p>
    <w:p>
      <w:pPr>
        <w:pStyle w:val="7"/>
        <w:ind w:left="0" w:leftChars="0" w:firstLine="602" w:firstLineChars="200"/>
        <w:jc w:val="center"/>
        <w:rPr>
          <w:rFonts w:hint="eastAsia" w:ascii="Times New Roman" w:hAnsi="Times New Roman" w:eastAsia="宋体" w:cs="Times New Roman"/>
          <w:b/>
          <w:bCs/>
          <w:kern w:val="2"/>
          <w:sz w:val="30"/>
          <w:szCs w:val="30"/>
          <w:lang w:val="en-US" w:eastAsia="zh-CN" w:bidi="ar-SA"/>
        </w:rPr>
      </w:pPr>
      <w:bookmarkStart w:id="1" w:name="_GoBack"/>
      <w:bookmarkEnd w:id="1"/>
      <w:r>
        <w:rPr>
          <w:rFonts w:hint="eastAsia" w:ascii="Times New Roman" w:hAnsi="Times New Roman" w:eastAsia="宋体" w:cs="Times New Roman"/>
          <w:b/>
          <w:bCs/>
          <w:kern w:val="2"/>
          <w:sz w:val="30"/>
          <w:szCs w:val="30"/>
          <w:lang w:val="en-US" w:eastAsia="zh-CN" w:bidi="ar-SA"/>
        </w:rPr>
        <w:br w:type="page"/>
      </w:r>
      <w:r>
        <w:rPr>
          <w:rFonts w:hint="eastAsia" w:ascii="Times New Roman" w:hAnsi="Times New Roman" w:eastAsia="宋体" w:cs="Times New Roman"/>
          <w:b/>
          <w:bCs/>
          <w:kern w:val="2"/>
          <w:sz w:val="30"/>
          <w:szCs w:val="30"/>
          <w:lang w:val="en-US" w:eastAsia="zh-CN" w:bidi="ar-SA"/>
        </w:rPr>
        <w:t>第二包</w:t>
      </w:r>
    </w:p>
    <w:tbl>
      <w:tblPr>
        <w:tblStyle w:val="8"/>
        <w:tblW w:w="4986" w:type="pct"/>
        <w:tblInd w:w="0" w:type="dxa"/>
        <w:tblLayout w:type="fixed"/>
        <w:tblCellMar>
          <w:top w:w="0" w:type="dxa"/>
          <w:left w:w="108" w:type="dxa"/>
          <w:bottom w:w="0" w:type="dxa"/>
          <w:right w:w="108" w:type="dxa"/>
        </w:tblCellMar>
      </w:tblPr>
      <w:tblGrid>
        <w:gridCol w:w="730"/>
        <w:gridCol w:w="928"/>
        <w:gridCol w:w="5604"/>
        <w:gridCol w:w="614"/>
        <w:gridCol w:w="622"/>
      </w:tblGrid>
      <w:tr>
        <w:tblPrEx>
          <w:tblCellMar>
            <w:top w:w="0" w:type="dxa"/>
            <w:left w:w="108" w:type="dxa"/>
            <w:bottom w:w="0" w:type="dxa"/>
            <w:right w:w="108" w:type="dxa"/>
          </w:tblCellMar>
        </w:tblPrEx>
        <w:trPr>
          <w:trHeight w:val="655" w:hRule="atLeast"/>
        </w:trPr>
        <w:tc>
          <w:tcPr>
            <w:tcW w:w="8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rPr>
              <w:t>序号</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rPr>
              <w:t>产品名称</w:t>
            </w:r>
          </w:p>
        </w:tc>
        <w:tc>
          <w:tcPr>
            <w:tcW w:w="6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sz w:val="21"/>
                <w:szCs w:val="21"/>
              </w:rPr>
              <w:t>需求参数</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rPr>
              <w:t>数量</w:t>
            </w:r>
          </w:p>
        </w:tc>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单位</w:t>
            </w:r>
          </w:p>
        </w:tc>
      </w:tr>
      <w:tr>
        <w:tblPrEx>
          <w:tblCellMar>
            <w:top w:w="0" w:type="dxa"/>
            <w:left w:w="108" w:type="dxa"/>
            <w:bottom w:w="0" w:type="dxa"/>
            <w:right w:w="108" w:type="dxa"/>
          </w:tblCellMar>
        </w:tblPrEx>
        <w:trPr>
          <w:trHeight w:val="1530" w:hRule="atLeast"/>
        </w:trPr>
        <w:tc>
          <w:tcPr>
            <w:tcW w:w="8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数控加工实训室设备</w:t>
            </w:r>
          </w:p>
        </w:tc>
        <w:tc>
          <w:tcPr>
            <w:tcW w:w="6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一、加工中心主要规格技术参数</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1、工作台尺寸:≥1000x500mm.</w:t>
            </w:r>
            <w:r>
              <w:rPr>
                <w:rFonts w:hint="eastAsia" w:ascii="宋体" w:hAnsi="宋体" w:eastAsia="宋体" w:cs="宋体"/>
                <w:bCs/>
                <w:color w:val="auto"/>
                <w:kern w:val="0"/>
                <w:sz w:val="21"/>
                <w:szCs w:val="21"/>
                <w:lang w:eastAsia="zh-CN"/>
              </w:rPr>
              <w:br w:type="textWrapping"/>
            </w:r>
            <w:r>
              <w:rPr>
                <w:rFonts w:hint="eastAsia" w:ascii="宋体" w:hAnsi="宋体" w:eastAsia="宋体" w:cs="宋体"/>
                <w:bCs/>
                <w:color w:val="auto"/>
                <w:kern w:val="0"/>
                <w:sz w:val="21"/>
                <w:szCs w:val="21"/>
                <w:lang w:eastAsia="zh-CN"/>
              </w:rPr>
              <w:t>2、X/Y/Z轴行程:≥800/500/500mm.</w:t>
            </w:r>
            <w:r>
              <w:rPr>
                <w:rFonts w:hint="eastAsia" w:ascii="宋体" w:hAnsi="宋体" w:eastAsia="宋体" w:cs="宋体"/>
                <w:bCs/>
                <w:color w:val="auto"/>
                <w:kern w:val="0"/>
                <w:sz w:val="21"/>
                <w:szCs w:val="21"/>
                <w:lang w:eastAsia="zh-CN"/>
              </w:rPr>
              <w:br w:type="textWrapping"/>
            </w:r>
            <w:r>
              <w:rPr>
                <w:rFonts w:hint="eastAsia" w:ascii="宋体" w:hAnsi="宋体" w:eastAsia="宋体" w:cs="宋体"/>
                <w:bCs/>
                <w:color w:val="auto"/>
                <w:kern w:val="0"/>
                <w:sz w:val="21"/>
                <w:szCs w:val="21"/>
                <w:lang w:eastAsia="zh-CN"/>
              </w:rPr>
              <w:t>3、主轴端面至工作台距离:≥120-600mm.</w:t>
            </w:r>
            <w:r>
              <w:rPr>
                <w:rFonts w:hint="eastAsia" w:ascii="宋体" w:hAnsi="宋体" w:eastAsia="宋体" w:cs="宋体"/>
                <w:bCs/>
                <w:color w:val="auto"/>
                <w:kern w:val="0"/>
                <w:sz w:val="21"/>
                <w:szCs w:val="21"/>
                <w:lang w:eastAsia="zh-CN"/>
              </w:rPr>
              <w:br w:type="textWrapping"/>
            </w:r>
            <w:r>
              <w:rPr>
                <w:rFonts w:hint="eastAsia" w:ascii="宋体" w:hAnsi="宋体" w:eastAsia="宋体" w:cs="宋体"/>
                <w:bCs/>
                <w:color w:val="auto"/>
                <w:kern w:val="0"/>
                <w:sz w:val="21"/>
                <w:szCs w:val="21"/>
                <w:lang w:eastAsia="zh-CN"/>
              </w:rPr>
              <w:t>4、主轴中心至立柱距离:≥500mm.</w:t>
            </w:r>
            <w:r>
              <w:rPr>
                <w:rFonts w:hint="eastAsia" w:ascii="宋体" w:hAnsi="宋体" w:eastAsia="宋体" w:cs="宋体"/>
                <w:bCs/>
                <w:color w:val="auto"/>
                <w:kern w:val="0"/>
                <w:sz w:val="21"/>
                <w:szCs w:val="21"/>
                <w:lang w:eastAsia="zh-CN"/>
              </w:rPr>
              <w:br w:type="textWrapping"/>
            </w:r>
            <w:r>
              <w:rPr>
                <w:rFonts w:hint="eastAsia" w:ascii="宋体" w:hAnsi="宋体" w:eastAsia="宋体" w:cs="宋体"/>
                <w:bCs/>
                <w:color w:val="auto"/>
                <w:kern w:val="0"/>
                <w:sz w:val="21"/>
                <w:szCs w:val="21"/>
                <w:lang w:eastAsia="zh-CN"/>
              </w:rPr>
              <w:t>5、工作台负重:≥600Kg.</w:t>
            </w:r>
            <w:r>
              <w:rPr>
                <w:rFonts w:hint="eastAsia" w:ascii="宋体" w:hAnsi="宋体" w:eastAsia="宋体" w:cs="宋体"/>
                <w:bCs/>
                <w:color w:val="auto"/>
                <w:kern w:val="0"/>
                <w:sz w:val="21"/>
                <w:szCs w:val="21"/>
                <w:lang w:eastAsia="zh-CN"/>
              </w:rPr>
              <w:br w:type="textWrapping"/>
            </w:r>
            <w:r>
              <w:rPr>
                <w:rFonts w:hint="eastAsia" w:ascii="宋体" w:hAnsi="宋体" w:eastAsia="宋体" w:cs="宋体"/>
                <w:bCs/>
                <w:color w:val="auto"/>
                <w:kern w:val="0"/>
                <w:sz w:val="21"/>
                <w:szCs w:val="21"/>
                <w:lang w:eastAsia="zh-CN"/>
              </w:rPr>
              <w:t>6、工作台T型槽:≥5-18x90mm.</w:t>
            </w:r>
            <w:r>
              <w:rPr>
                <w:rFonts w:hint="eastAsia" w:ascii="宋体" w:hAnsi="宋体" w:eastAsia="宋体" w:cs="宋体"/>
                <w:bCs/>
                <w:color w:val="auto"/>
                <w:kern w:val="0"/>
                <w:sz w:val="21"/>
                <w:szCs w:val="21"/>
                <w:lang w:eastAsia="zh-CN"/>
              </w:rPr>
              <w:br w:type="textWrapping"/>
            </w:r>
            <w:r>
              <w:rPr>
                <w:rFonts w:hint="eastAsia" w:ascii="宋体" w:hAnsi="宋体" w:eastAsia="宋体" w:cs="宋体"/>
                <w:bCs/>
                <w:color w:val="auto"/>
                <w:kern w:val="0"/>
                <w:sz w:val="21"/>
                <w:szCs w:val="21"/>
                <w:lang w:eastAsia="zh-CN"/>
              </w:rPr>
              <w:t>7、X/Y/Z轴快速进给:≥15/15/10m/min.提供符合GB/T18400.6《加工中心检验条件第6部分：进给率、速度和插补精度检验》加以佐证。</w:t>
            </w:r>
            <w:r>
              <w:rPr>
                <w:rFonts w:hint="eastAsia" w:ascii="宋体" w:hAnsi="宋体" w:eastAsia="宋体" w:cs="宋体"/>
                <w:bCs/>
                <w:color w:val="auto"/>
                <w:kern w:val="0"/>
                <w:sz w:val="21"/>
                <w:szCs w:val="21"/>
                <w:lang w:eastAsia="zh-CN"/>
              </w:rPr>
              <w:br w:type="textWrapping"/>
            </w:r>
            <w:r>
              <w:rPr>
                <w:rFonts w:hint="eastAsia" w:ascii="宋体" w:hAnsi="宋体" w:eastAsia="宋体" w:cs="宋体"/>
                <w:bCs/>
                <w:color w:val="auto"/>
                <w:kern w:val="0"/>
                <w:sz w:val="21"/>
                <w:szCs w:val="21"/>
                <w:lang w:eastAsia="zh-CN"/>
              </w:rPr>
              <w:t>8、X/Y/Z导轨宽度规格:≥RGH35/45/45mm.提供符合GB/T18400.2《加工中心检验条件第2部分：立式或带垂直主回转轴的万能主轴头机床几何精度检验（垂直Z轴）》加以佐证。</w:t>
            </w:r>
            <w:r>
              <w:rPr>
                <w:rFonts w:hint="eastAsia" w:ascii="宋体" w:hAnsi="宋体" w:eastAsia="宋体" w:cs="宋体"/>
                <w:bCs/>
                <w:color w:val="auto"/>
                <w:kern w:val="0"/>
                <w:sz w:val="21"/>
                <w:szCs w:val="21"/>
                <w:lang w:eastAsia="zh-CN"/>
              </w:rPr>
              <w:br w:type="textWrapping"/>
            </w:r>
            <w:r>
              <w:rPr>
                <w:rFonts w:hint="eastAsia" w:ascii="宋体" w:hAnsi="宋体" w:eastAsia="宋体" w:cs="宋体"/>
                <w:bCs/>
                <w:color w:val="auto"/>
                <w:kern w:val="0"/>
                <w:sz w:val="21"/>
                <w:szCs w:val="21"/>
                <w:lang w:eastAsia="zh-CN"/>
              </w:rPr>
              <w:t>9、X/Y/Z丝杆规格:≥φ4016mm.提供符合GB/T18400.2《加工中心检验条件第2部分：立式或带垂直主回转轴的万能主轴头机床几何精度检验（垂直Z轴）》加以佐证。</w:t>
            </w:r>
            <w:r>
              <w:rPr>
                <w:rFonts w:hint="eastAsia" w:ascii="宋体" w:hAnsi="宋体" w:eastAsia="宋体" w:cs="宋体"/>
                <w:bCs/>
                <w:color w:val="auto"/>
                <w:kern w:val="0"/>
                <w:sz w:val="21"/>
                <w:szCs w:val="21"/>
                <w:lang w:eastAsia="zh-CN"/>
              </w:rPr>
              <w:br w:type="textWrapping"/>
            </w:r>
            <w:r>
              <w:rPr>
                <w:rFonts w:hint="eastAsia" w:ascii="宋体" w:hAnsi="宋体" w:eastAsia="宋体" w:cs="宋体"/>
                <w:bCs/>
                <w:color w:val="auto"/>
                <w:kern w:val="0"/>
                <w:sz w:val="21"/>
                <w:szCs w:val="21"/>
                <w:lang w:eastAsia="zh-CN"/>
              </w:rPr>
              <w:t>10、定位精度:≤±0.008mm.</w:t>
            </w:r>
            <w:r>
              <w:rPr>
                <w:rFonts w:hint="eastAsia" w:ascii="宋体" w:hAnsi="宋体" w:eastAsia="宋体" w:cs="宋体"/>
                <w:bCs/>
                <w:color w:val="auto"/>
                <w:kern w:val="0"/>
                <w:sz w:val="21"/>
                <w:szCs w:val="21"/>
                <w:lang w:eastAsia="zh-CN"/>
              </w:rPr>
              <w:br w:type="textWrapping"/>
            </w:r>
            <w:r>
              <w:rPr>
                <w:rFonts w:hint="eastAsia" w:ascii="宋体" w:hAnsi="宋体" w:eastAsia="宋体" w:cs="宋体"/>
                <w:bCs/>
                <w:color w:val="auto"/>
                <w:kern w:val="0"/>
                <w:sz w:val="21"/>
                <w:szCs w:val="21"/>
                <w:lang w:eastAsia="zh-CN"/>
              </w:rPr>
              <w:t>11、重复定位精度:≤±0.005/300mm.提供符合GB/T18400.4《加工中心检验条件第4部分：线性和回转轴线的定位精度和重复定位精度检验》加以佐证。</w:t>
            </w:r>
            <w:r>
              <w:rPr>
                <w:rFonts w:hint="eastAsia" w:ascii="宋体" w:hAnsi="宋体" w:eastAsia="宋体" w:cs="宋体"/>
                <w:bCs/>
                <w:color w:val="auto"/>
                <w:kern w:val="0"/>
                <w:sz w:val="21"/>
                <w:szCs w:val="21"/>
                <w:lang w:eastAsia="zh-CN"/>
              </w:rPr>
              <w:br w:type="textWrapping"/>
            </w:r>
            <w:r>
              <w:rPr>
                <w:rFonts w:hint="eastAsia" w:ascii="宋体" w:hAnsi="宋体" w:eastAsia="宋体" w:cs="宋体"/>
                <w:bCs/>
                <w:color w:val="auto"/>
                <w:kern w:val="0"/>
                <w:sz w:val="21"/>
                <w:szCs w:val="21"/>
                <w:lang w:eastAsia="zh-CN"/>
              </w:rPr>
              <w:t>13、主轴最高转速:≥8000（环装喷水）rpm.</w:t>
            </w:r>
            <w:r>
              <w:rPr>
                <w:rFonts w:hint="eastAsia" w:ascii="宋体" w:hAnsi="宋体" w:eastAsia="宋体" w:cs="宋体"/>
                <w:bCs/>
                <w:color w:val="auto"/>
                <w:kern w:val="0"/>
                <w:sz w:val="21"/>
                <w:szCs w:val="21"/>
                <w:lang w:eastAsia="zh-CN"/>
              </w:rPr>
              <w:br w:type="textWrapping"/>
            </w:r>
            <w:r>
              <w:rPr>
                <w:rFonts w:hint="eastAsia" w:ascii="宋体" w:hAnsi="宋体" w:eastAsia="宋体" w:cs="宋体"/>
                <w:bCs/>
                <w:color w:val="auto"/>
                <w:kern w:val="0"/>
                <w:sz w:val="21"/>
                <w:szCs w:val="21"/>
                <w:lang w:eastAsia="zh-CN"/>
              </w:rPr>
              <w:t>14、主轴端锥度:BT40-150mm.</w:t>
            </w:r>
            <w:r>
              <w:rPr>
                <w:rFonts w:hint="eastAsia" w:ascii="宋体" w:hAnsi="宋体" w:eastAsia="宋体" w:cs="宋体"/>
                <w:bCs/>
                <w:color w:val="auto"/>
                <w:kern w:val="0"/>
                <w:sz w:val="21"/>
                <w:szCs w:val="21"/>
                <w:lang w:eastAsia="zh-CN"/>
              </w:rPr>
              <w:br w:type="textWrapping"/>
            </w:r>
            <w:r>
              <w:rPr>
                <w:rFonts w:hint="eastAsia" w:ascii="宋体" w:hAnsi="宋体" w:eastAsia="宋体" w:cs="宋体"/>
                <w:bCs/>
                <w:color w:val="auto"/>
                <w:kern w:val="0"/>
                <w:sz w:val="21"/>
                <w:szCs w:val="21"/>
                <w:lang w:eastAsia="zh-CN"/>
              </w:rPr>
              <w:t>15、圆盘机械手刀库:≥24Tpcs.</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br w:type="textWrapping"/>
            </w:r>
            <w:r>
              <w:rPr>
                <w:rFonts w:hint="eastAsia" w:ascii="宋体" w:hAnsi="宋体" w:eastAsia="宋体" w:cs="宋体"/>
                <w:bCs/>
                <w:color w:val="auto"/>
                <w:kern w:val="0"/>
                <w:sz w:val="21"/>
                <w:szCs w:val="21"/>
                <w:lang w:val="en-US" w:eastAsia="zh-CN"/>
              </w:rPr>
              <w:t>16</w:t>
            </w:r>
            <w:r>
              <w:rPr>
                <w:rFonts w:hint="eastAsia" w:ascii="宋体" w:hAnsi="宋体" w:eastAsia="宋体" w:cs="宋体"/>
                <w:bCs/>
                <w:color w:val="auto"/>
                <w:kern w:val="0"/>
                <w:sz w:val="21"/>
                <w:szCs w:val="21"/>
                <w:lang w:eastAsia="zh-CN"/>
              </w:rPr>
              <w:t>、控制器系统:（采用CNC控制，系统模块化结构，各个控制板高度集成，具有比较健全的自我保护电路，PMC信号和PMC功能指令丰富，而且增加了编程的灵活性。系统提供串行RS232C接口，以太网接口，能够完成PC和机床之间的数据传输。）</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val="en-US" w:eastAsia="zh-CN"/>
              </w:rPr>
              <w:t>17、</w:t>
            </w:r>
            <w:r>
              <w:rPr>
                <w:rFonts w:hint="eastAsia" w:ascii="宋体" w:hAnsi="宋体" w:eastAsia="宋体" w:cs="宋体"/>
                <w:bCs/>
                <w:color w:val="auto"/>
                <w:kern w:val="0"/>
                <w:sz w:val="21"/>
                <w:szCs w:val="21"/>
                <w:lang w:eastAsia="zh-CN"/>
              </w:rPr>
              <w:t>X/Y/Z轴电机功率:≥15/15/28Nm.</w:t>
            </w:r>
            <w:r>
              <w:rPr>
                <w:rFonts w:hint="eastAsia" w:ascii="宋体" w:hAnsi="宋体" w:eastAsia="宋体" w:cs="宋体"/>
                <w:bCs/>
                <w:color w:val="auto"/>
                <w:kern w:val="0"/>
                <w:sz w:val="21"/>
                <w:szCs w:val="21"/>
                <w:lang w:eastAsia="zh-CN"/>
              </w:rPr>
              <w:br w:type="textWrapping"/>
            </w:r>
            <w:r>
              <w:rPr>
                <w:rFonts w:hint="eastAsia" w:ascii="宋体" w:hAnsi="宋体" w:eastAsia="宋体" w:cs="宋体"/>
                <w:bCs/>
                <w:color w:val="auto"/>
                <w:kern w:val="0"/>
                <w:sz w:val="21"/>
                <w:szCs w:val="21"/>
                <w:lang w:val="en-US" w:eastAsia="zh-CN"/>
              </w:rPr>
              <w:t>1</w:t>
            </w:r>
            <w:r>
              <w:rPr>
                <w:rFonts w:hint="eastAsia" w:ascii="宋体" w:hAnsi="宋体" w:cs="宋体"/>
                <w:bCs/>
                <w:color w:val="auto"/>
                <w:kern w:val="0"/>
                <w:sz w:val="21"/>
                <w:szCs w:val="21"/>
                <w:lang w:val="en-US" w:eastAsia="zh-CN"/>
              </w:rPr>
              <w:t>8</w:t>
            </w:r>
            <w:r>
              <w:rPr>
                <w:rFonts w:hint="eastAsia" w:ascii="宋体" w:hAnsi="宋体" w:eastAsia="宋体" w:cs="宋体"/>
                <w:bCs/>
                <w:color w:val="auto"/>
                <w:kern w:val="0"/>
                <w:sz w:val="21"/>
                <w:szCs w:val="21"/>
                <w:lang w:eastAsia="zh-CN"/>
              </w:rPr>
              <w:t>、主轴电机功率: ≥7.5kw</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二、机床基本配置：包含</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1、切削冷却系统。</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2、自动润滑系统。</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3、切削吹气装置。</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4、主轴及伺服过载系统保护。</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5、三色警报灯。</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6、水平调整螺栓及垫块。</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7、电气箱热交换器。</w:t>
            </w:r>
            <w:r>
              <w:rPr>
                <w:rFonts w:hint="eastAsia" w:ascii="宋体" w:hAnsi="宋体" w:eastAsia="宋体" w:cs="宋体"/>
                <w:bCs/>
                <w:color w:val="auto"/>
                <w:kern w:val="0"/>
                <w:sz w:val="21"/>
                <w:szCs w:val="21"/>
                <w:lang w:eastAsia="zh-CN"/>
              </w:rPr>
              <w:br w:type="textWrapping"/>
            </w:r>
            <w:r>
              <w:rPr>
                <w:rFonts w:hint="eastAsia" w:ascii="宋体" w:hAnsi="宋体" w:eastAsia="宋体" w:cs="宋体"/>
                <w:bCs/>
                <w:color w:val="auto"/>
                <w:kern w:val="0"/>
                <w:sz w:val="21"/>
                <w:szCs w:val="21"/>
                <w:lang w:eastAsia="zh-CN"/>
              </w:rPr>
              <w:t>8、三轴螺杆预拉装置。</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9、程序储存。</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10、主轴环装喷水。</w:t>
            </w:r>
            <w:r>
              <w:rPr>
                <w:rFonts w:hint="eastAsia" w:ascii="宋体" w:hAnsi="宋体" w:eastAsia="宋体" w:cs="宋体"/>
                <w:bCs/>
                <w:color w:val="auto"/>
                <w:kern w:val="0"/>
                <w:sz w:val="21"/>
                <w:szCs w:val="21"/>
                <w:lang w:eastAsia="zh-CN"/>
              </w:rPr>
              <w:br w:type="textWrapping"/>
            </w:r>
            <w:r>
              <w:rPr>
                <w:rFonts w:hint="eastAsia" w:ascii="宋体" w:hAnsi="宋体" w:eastAsia="宋体" w:cs="宋体"/>
                <w:bCs/>
                <w:color w:val="auto"/>
                <w:kern w:val="0"/>
                <w:sz w:val="21"/>
                <w:szCs w:val="21"/>
                <w:lang w:eastAsia="zh-CN"/>
              </w:rPr>
              <w:t>11、预留加装四轴接口。</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12、机床钣金内部工作灯LED防爆。</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13、机台内清洗装置：冲屑气枪。</w:t>
            </w:r>
            <w:r>
              <w:rPr>
                <w:rFonts w:hint="eastAsia" w:ascii="宋体" w:hAnsi="宋体" w:eastAsia="宋体" w:cs="宋体"/>
                <w:bCs/>
                <w:color w:val="auto"/>
                <w:kern w:val="0"/>
                <w:sz w:val="21"/>
                <w:szCs w:val="21"/>
                <w:lang w:eastAsia="zh-CN"/>
              </w:rPr>
              <w:br w:type="textWrapping"/>
            </w:r>
            <w:r>
              <w:rPr>
                <w:rFonts w:hint="eastAsia" w:ascii="宋体" w:hAnsi="宋体" w:eastAsia="宋体" w:cs="宋体"/>
                <w:bCs/>
                <w:color w:val="auto"/>
                <w:kern w:val="0"/>
                <w:sz w:val="21"/>
                <w:szCs w:val="21"/>
                <w:lang w:eastAsia="zh-CN"/>
              </w:rPr>
              <w:t>14、手动脉冲发生器：手轮。</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15、变压器。</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16、三轴伸缩防护罩（全罩式内钣金）。</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17、外防护高级烤漆钣金。</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18、刚性攻牙。</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19、外置网络传输接口。</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三、机床附件：主要随机附件清单：</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1、垫铁：≥8件。</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2、程序保护钥匙：≥1套。</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3、气枪：≥1件。</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4、工具箱：≥1个。</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5、手持遥控单元：≥1件。</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四、技术资料：主要随机附件清单</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1、数控系统资料：1册。</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2、机床使用说明书（机械部分、电气部分、电气图册）：1册。</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3、快速安装指南:1册。</w:t>
            </w:r>
            <w:r>
              <w:rPr>
                <w:rFonts w:hint="eastAsia" w:ascii="宋体" w:hAnsi="宋体" w:eastAsia="宋体" w:cs="宋体"/>
                <w:bCs/>
                <w:color w:val="auto"/>
                <w:kern w:val="0"/>
                <w:sz w:val="21"/>
                <w:szCs w:val="21"/>
                <w:lang w:eastAsia="zh-CN"/>
              </w:rPr>
              <w:br w:type="textWrapping"/>
            </w:r>
            <w:r>
              <w:rPr>
                <w:rFonts w:hint="eastAsia" w:ascii="宋体" w:hAnsi="宋体" w:eastAsia="宋体" w:cs="宋体"/>
                <w:b/>
                <w:bCs w:val="0"/>
                <w:color w:val="auto"/>
                <w:kern w:val="0"/>
                <w:sz w:val="21"/>
                <w:szCs w:val="21"/>
                <w:lang w:eastAsia="zh-CN"/>
              </w:rPr>
              <w:t>以上提供相关证明材料，包含但不限于检测报告、功能截图等资料并加盖公章。</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4</w:t>
            </w:r>
          </w:p>
        </w:tc>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台</w:t>
            </w:r>
          </w:p>
        </w:tc>
      </w:tr>
    </w:tbl>
    <w:p>
      <w:pPr>
        <w:pStyle w:val="2"/>
        <w:shd w:val="clear" w:color="auto" w:fill="auto"/>
        <w:spacing w:before="0" w:after="0" w:line="360" w:lineRule="auto"/>
        <w:ind w:firstLine="562" w:firstLineChars="200"/>
        <w:jc w:val="left"/>
        <w:rPr>
          <w:rFonts w:hint="default" w:ascii="宋体" w:hAnsi="宋体" w:eastAsia="宋体" w:cs="宋体"/>
          <w:b/>
          <w:sz w:val="28"/>
          <w:szCs w:val="28"/>
          <w:highlight w:val="none"/>
          <w:lang w:val="en-US" w:eastAsia="zh-CN"/>
        </w:rPr>
      </w:pPr>
      <w:r>
        <w:rPr>
          <w:rFonts w:hint="eastAsia" w:ascii="宋体" w:hAnsi="宋体" w:cs="宋体"/>
          <w:sz w:val="28"/>
          <w:szCs w:val="28"/>
          <w:highlight w:val="none"/>
          <w:lang w:eastAsia="zh-CN"/>
        </w:rPr>
        <w:t>注：</w:t>
      </w:r>
      <w:r>
        <w:rPr>
          <w:rFonts w:hint="eastAsia" w:ascii="宋体" w:hAnsi="宋体" w:eastAsia="宋体" w:cs="宋体"/>
          <w:b/>
          <w:sz w:val="28"/>
          <w:szCs w:val="28"/>
          <w:highlight w:val="none"/>
          <w:lang w:val="en-US" w:eastAsia="zh-CN"/>
        </w:rPr>
        <w:t>负偏离超过5项（含5项）视为重大负偏离，以上技术参数要求提供证明材料，未提供证明材料的视为负偏离。</w:t>
      </w:r>
    </w:p>
    <w:p>
      <w:pPr>
        <w:pStyle w:val="6"/>
        <w:ind w:firstLine="422" w:firstLineChars="200"/>
        <w:jc w:val="center"/>
        <w:rPr>
          <w:rFonts w:hint="eastAsia" w:ascii="Times New Roman" w:hAnsi="Times New Roman" w:eastAsia="宋体" w:cs="Times New Roman"/>
          <w:b/>
          <w:bCs/>
          <w:kern w:val="2"/>
          <w:sz w:val="30"/>
          <w:szCs w:val="30"/>
          <w:lang w:val="en-US" w:eastAsia="zh-CN" w:bidi="ar-SA"/>
        </w:rPr>
      </w:pPr>
      <w:r>
        <w:rPr>
          <w:rFonts w:hint="eastAsia" w:ascii="Times New Roman" w:hAnsi="Times New Roman" w:eastAsia="宋体" w:cs="Times New Roman"/>
          <w:b/>
          <w:bCs/>
          <w:kern w:val="2"/>
          <w:sz w:val="21"/>
          <w:szCs w:val="24"/>
          <w:lang w:val="en-US" w:eastAsia="zh-CN" w:bidi="ar-SA"/>
        </w:rPr>
        <w:br w:type="page"/>
      </w:r>
      <w:r>
        <w:rPr>
          <w:rFonts w:hint="eastAsia" w:ascii="Times New Roman" w:hAnsi="Times New Roman" w:eastAsia="宋体" w:cs="Times New Roman"/>
          <w:b/>
          <w:bCs/>
          <w:kern w:val="2"/>
          <w:sz w:val="30"/>
          <w:szCs w:val="30"/>
          <w:lang w:val="en-US" w:eastAsia="zh-CN" w:bidi="ar-SA"/>
        </w:rPr>
        <w:t>第三包</w:t>
      </w:r>
    </w:p>
    <w:tbl>
      <w:tblPr>
        <w:tblStyle w:val="8"/>
        <w:tblW w:w="4979" w:type="pct"/>
        <w:tblInd w:w="0" w:type="dxa"/>
        <w:tblLayout w:type="fixed"/>
        <w:tblCellMar>
          <w:top w:w="0" w:type="dxa"/>
          <w:left w:w="108" w:type="dxa"/>
          <w:bottom w:w="0" w:type="dxa"/>
          <w:right w:w="108" w:type="dxa"/>
        </w:tblCellMar>
      </w:tblPr>
      <w:tblGrid>
        <w:gridCol w:w="643"/>
        <w:gridCol w:w="656"/>
        <w:gridCol w:w="5773"/>
        <w:gridCol w:w="664"/>
        <w:gridCol w:w="750"/>
      </w:tblGrid>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520" w:lineRule="exact"/>
              <w:ind w:left="0" w:leftChars="0" w:firstLine="0" w:firstLineChars="0"/>
              <w:jc w:val="both"/>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bidi="ar"/>
              </w:rPr>
              <w:t>序号</w:t>
            </w:r>
          </w:p>
        </w:tc>
        <w:tc>
          <w:tcPr>
            <w:tcW w:w="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520" w:lineRule="exact"/>
              <w:ind w:left="0" w:leftChars="0" w:firstLine="0" w:firstLineChars="0"/>
              <w:jc w:val="both"/>
              <w:textAlignment w:val="center"/>
              <w:rPr>
                <w:rFonts w:hint="eastAsia" w:ascii="宋体" w:hAnsi="宋体" w:cs="宋体"/>
                <w:color w:val="auto"/>
                <w:sz w:val="22"/>
                <w:szCs w:val="22"/>
                <w:lang w:eastAsia="zh-CN" w:bidi="ar"/>
              </w:rPr>
            </w:pPr>
            <w:r>
              <w:rPr>
                <w:rFonts w:hint="eastAsia" w:ascii="宋体" w:hAnsi="宋体" w:cs="宋体"/>
                <w:color w:val="auto"/>
                <w:sz w:val="22"/>
                <w:szCs w:val="22"/>
                <w:lang w:eastAsia="zh-CN" w:bidi="ar"/>
              </w:rPr>
              <w:t>产品</w:t>
            </w:r>
          </w:p>
          <w:p>
            <w:pPr>
              <w:keepNext w:val="0"/>
              <w:keepLines w:val="0"/>
              <w:pageBreakBefore w:val="0"/>
              <w:kinsoku/>
              <w:wordWrap/>
              <w:overflowPunct/>
              <w:topLinePunct w:val="0"/>
              <w:autoSpaceDE/>
              <w:autoSpaceDN/>
              <w:bidi w:val="0"/>
              <w:spacing w:line="520" w:lineRule="exact"/>
              <w:ind w:left="0" w:leftChars="0" w:firstLine="0" w:firstLineChars="0"/>
              <w:jc w:val="both"/>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bidi="ar"/>
              </w:rPr>
              <w:t>名称</w:t>
            </w:r>
          </w:p>
        </w:tc>
        <w:tc>
          <w:tcPr>
            <w:tcW w:w="34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520" w:lineRule="exact"/>
              <w:ind w:left="0" w:firstLine="0" w:firstLineChars="0"/>
              <w:jc w:val="center"/>
              <w:textAlignment w:val="center"/>
              <w:rPr>
                <w:rFonts w:ascii="宋体" w:hAnsi="宋体" w:eastAsia="宋体" w:cs="宋体"/>
                <w:color w:val="auto"/>
                <w:sz w:val="22"/>
                <w:szCs w:val="22"/>
              </w:rPr>
            </w:pPr>
            <w:r>
              <w:rPr>
                <w:rFonts w:hint="eastAsia" w:ascii="宋体" w:hAnsi="宋体" w:cs="宋体"/>
                <w:color w:val="auto"/>
                <w:sz w:val="22"/>
                <w:szCs w:val="22"/>
                <w:lang w:eastAsia="zh-CN" w:bidi="ar"/>
              </w:rPr>
              <w:t>需求</w:t>
            </w:r>
            <w:r>
              <w:rPr>
                <w:rFonts w:hint="eastAsia" w:ascii="宋体" w:hAnsi="宋体" w:eastAsia="宋体" w:cs="宋体"/>
                <w:color w:val="auto"/>
                <w:sz w:val="22"/>
                <w:szCs w:val="22"/>
                <w:lang w:eastAsia="zh-CN" w:bidi="ar"/>
              </w:rPr>
              <w:t>参数</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520" w:lineRule="exact"/>
              <w:ind w:left="0" w:firstLine="0" w:firstLineChars="0"/>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bidi="ar"/>
              </w:rPr>
              <w:t>数量</w:t>
            </w:r>
          </w:p>
        </w:tc>
        <w:tc>
          <w:tcPr>
            <w:tcW w:w="4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520" w:lineRule="exact"/>
              <w:ind w:left="0" w:firstLine="0" w:firstLineChars="0"/>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bidi="ar"/>
              </w:rPr>
              <w:t>单位</w:t>
            </w:r>
          </w:p>
        </w:tc>
      </w:tr>
      <w:tr>
        <w:tblPrEx>
          <w:tblCellMar>
            <w:top w:w="0" w:type="dxa"/>
            <w:left w:w="108" w:type="dxa"/>
            <w:bottom w:w="0" w:type="dxa"/>
            <w:right w:w="108" w:type="dxa"/>
          </w:tblCellMar>
        </w:tblPrEx>
        <w:trPr>
          <w:trHeight w:val="126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520" w:lineRule="exact"/>
              <w:ind w:left="0" w:firstLine="0" w:firstLineChars="0"/>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bidi="ar"/>
              </w:rPr>
              <w:t>1</w:t>
            </w:r>
          </w:p>
        </w:tc>
        <w:tc>
          <w:tcPr>
            <w:tcW w:w="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520" w:lineRule="exact"/>
              <w:ind w:left="0" w:leftChars="0" w:firstLine="0" w:firstLineChars="0"/>
              <w:jc w:val="both"/>
              <w:textAlignment w:val="center"/>
              <w:rPr>
                <w:rFonts w:ascii="宋体" w:hAnsi="宋体" w:eastAsia="宋体" w:cs="宋体"/>
                <w:color w:val="auto"/>
                <w:sz w:val="22"/>
                <w:szCs w:val="22"/>
              </w:rPr>
            </w:pPr>
            <w:r>
              <w:rPr>
                <w:rFonts w:hint="eastAsia" w:ascii="宋体" w:hAnsi="宋体" w:cs="宋体"/>
                <w:color w:val="auto"/>
                <w:sz w:val="22"/>
                <w:szCs w:val="22"/>
                <w:lang w:eastAsia="zh-CN" w:bidi="ar"/>
              </w:rPr>
              <w:t>三维</w:t>
            </w:r>
            <w:r>
              <w:rPr>
                <w:rFonts w:hint="eastAsia" w:ascii="宋体" w:hAnsi="宋体" w:eastAsia="宋体" w:cs="宋体"/>
                <w:color w:val="auto"/>
                <w:sz w:val="22"/>
                <w:szCs w:val="22"/>
                <w:lang w:eastAsia="zh-CN" w:bidi="ar"/>
              </w:rPr>
              <w:t>扫描仪</w:t>
            </w:r>
          </w:p>
        </w:tc>
        <w:tc>
          <w:tcPr>
            <w:tcW w:w="3401" w:type="pct"/>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pageBreakBefore w:val="0"/>
              <w:kinsoku/>
              <w:wordWrap/>
              <w:overflowPunct/>
              <w:topLinePunct w:val="0"/>
              <w:autoSpaceDE/>
              <w:autoSpaceDN/>
              <w:bidi w:val="0"/>
              <w:spacing w:after="0" w:line="520" w:lineRule="exact"/>
              <w:ind w:left="0" w:firstLine="0" w:firstLineChars="0"/>
              <w:textAlignment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bidi="ar"/>
              </w:rPr>
              <w:t>设备运行环境</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1.光照条件：可在日光灯或自然光等室外环境下工作；</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2.适用温湿度：温度-10℃～40℃，湿度10-90%。</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二.设备技术要求</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1. 数据采集方式：蓝色激光线扫描；</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激光光源形式及要求：不少于2</w:t>
            </w:r>
            <w:r>
              <w:rPr>
                <w:rFonts w:ascii="宋体" w:hAnsi="宋体" w:eastAsia="宋体" w:cs="宋体"/>
                <w:color w:val="auto"/>
                <w:sz w:val="22"/>
                <w:szCs w:val="22"/>
                <w:lang w:eastAsia="zh-CN" w:bidi="ar"/>
              </w:rPr>
              <w:t>0</w:t>
            </w:r>
            <w:r>
              <w:rPr>
                <w:rFonts w:hint="eastAsia" w:ascii="宋体" w:hAnsi="宋体" w:eastAsia="宋体" w:cs="宋体"/>
                <w:color w:val="auto"/>
                <w:sz w:val="22"/>
                <w:szCs w:val="22"/>
                <w:lang w:eastAsia="zh-CN" w:bidi="ar"/>
              </w:rPr>
              <w:t>束激光线，全部采用蓝色激光；</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测量激光均为安全等级：Ⅱ级安全激光，裸眼可视，激光器具备Ⅱ级安全激光认证证书。</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2.具备如下工作模式：</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1)多束蓝色激光标准扫描模式；</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2)单束蓝色激光扫描模式，能对型腔、深孔展开扫描；</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3)多束蓝色激光精细扫描模式;</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4)以上模式可以实现手持端的实时切换，且各种工作模式下的数据均在同一坐标系中，无需后期拼接。</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3.符合人体工程学的产品设计；目标点自动定位，不需要额外机械臂，三脚架或其他跟踪设备；</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4.扫描速率：不低于2</w:t>
            </w:r>
            <w:r>
              <w:rPr>
                <w:rFonts w:ascii="宋体" w:hAnsi="宋体" w:eastAsia="宋体" w:cs="宋体"/>
                <w:color w:val="auto"/>
                <w:sz w:val="22"/>
                <w:szCs w:val="22"/>
                <w:lang w:eastAsia="zh-CN" w:bidi="ar"/>
              </w:rPr>
              <w:t>000000</w:t>
            </w:r>
            <w:r>
              <w:rPr>
                <w:rFonts w:hint="eastAsia" w:ascii="宋体" w:hAnsi="宋体" w:eastAsia="宋体" w:cs="宋体"/>
                <w:color w:val="auto"/>
                <w:sz w:val="22"/>
                <w:szCs w:val="22"/>
                <w:lang w:eastAsia="zh-CN" w:bidi="ar"/>
              </w:rPr>
              <w:t>次测量/秒；</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5.分辨率：≤0.02mm；</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6.精度：≤0.01mm</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7.体积精度:</w:t>
            </w:r>
            <w:r>
              <w:rPr>
                <w:rFonts w:ascii="宋体" w:hAnsi="宋体" w:eastAsia="宋体" w:cs="宋体"/>
                <w:color w:val="auto"/>
                <w:sz w:val="22"/>
                <w:szCs w:val="22"/>
                <w:lang w:eastAsia="zh-CN" w:bidi="ar"/>
              </w:rPr>
              <w:t>0.020</w:t>
            </w:r>
            <w:r>
              <w:rPr>
                <w:rFonts w:hint="eastAsia" w:ascii="宋体" w:hAnsi="宋体" w:eastAsia="宋体" w:cs="宋体"/>
                <w:color w:val="auto"/>
                <w:sz w:val="22"/>
                <w:szCs w:val="22"/>
                <w:lang w:eastAsia="zh-CN" w:bidi="ar"/>
              </w:rPr>
              <w:t>+0.035mmm；</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8.传输方式: USB3.0</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9.激光基准距：常规模式基准距≤300mm、精细模式基准距≤150mm；</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10.扫描漏洞：扫描过程软件通过颜色实时显示扫描是否完整，是否存在漏洞。</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11.★扫描色谱偏差：扫描过程中可以实现扫描时以色差图形式实时显示物体表面的偏差信息。</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12.★拥有Rational Dmis直读接口，避免数据与其他设备导入导出时候造成数据丢失。</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13.★具有粗糙度模块，便于表面的细节显示。</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14.快速标定：软件具备用户快速标定校准功能，标定时间不超过30秒；</w:t>
            </w:r>
            <w:r>
              <w:rPr>
                <w:rFonts w:hint="eastAsia" w:ascii="宋体" w:hAnsi="宋体" w:eastAsia="宋体" w:cs="宋体"/>
                <w:strike/>
                <w:color w:val="auto"/>
                <w:sz w:val="22"/>
                <w:szCs w:val="22"/>
                <w:lang w:eastAsia="zh-CN" w:bidi="ar"/>
              </w:rPr>
              <w:br w:type="textWrapping"/>
            </w:r>
            <w:r>
              <w:rPr>
                <w:rFonts w:hint="eastAsia" w:ascii="宋体" w:hAnsi="宋体" w:eastAsia="宋体" w:cs="宋体"/>
                <w:color w:val="auto"/>
                <w:sz w:val="22"/>
                <w:szCs w:val="22"/>
                <w:lang w:val="en-US" w:eastAsia="zh-CN" w:bidi="ar"/>
              </w:rPr>
              <w:t>15</w:t>
            </w:r>
            <w:r>
              <w:rPr>
                <w:rFonts w:hint="eastAsia" w:ascii="宋体" w:hAnsi="宋体" w:eastAsia="宋体" w:cs="宋体"/>
                <w:color w:val="auto"/>
                <w:sz w:val="22"/>
                <w:szCs w:val="22"/>
                <w:lang w:eastAsia="zh-CN" w:bidi="ar"/>
              </w:rPr>
              <w:t>.扫描软件基础功能：</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1）保存工程功能：扫描过程中、扫描完成后均可保存工程，可缩短现场操作等待的时间，工程可以拷贝至另一电脑处理，有效减少现场处理数据的时间，提升效率，同时可打开工程调整分辨率及优化参数，提升数据细节，减少数据量；</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2）扫描软件自带智能引导功能，根据被扫描物体表面特性，一键完成扫描参数设置；</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3）扫描软件具有切平面功能，可以建立多个切平面，限制区域外数据自动过滤，使扫描不受背景及周围干扰物影响，扫描更加方便易用；</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4）保存工程功能：扫描过程中、扫描完成后均可保存工程，可缩短现场操作等待的时间，工程可以拷贝至另一电脑处理，有效减少现场处理数据的时间，提升效率，同时可打开工程调整分辨率及优化参数，提升数据细节，减少数据量；</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5）局部分辨率功能：可在扫描暂停、扫描结束后使用，且支持多种（3种以上）分辨率，即同一个网格数据中同时存在多种分辨率数据，既保证了局部细节效果，又兼顾了整体数据量；</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6）扫描分辨率随时可调：扫描开始前、扫描过程中，或者扫描结束后，随时可以更改整体分辨率进行处理，生成新的分辨率模型。</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7）要求支持64位win10或以上的操作系统。</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8）软件具备新建工程、保存、设置、读取等系列功能，对应的数据格式主要包括工程格式、标记点格式、点云格式和三角网格面格式；</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 xml:space="preserve">9）扫描软件具备检测比对功能: </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10）扫描软件提供终身授权。</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val="en-US" w:eastAsia="zh-CN" w:bidi="ar"/>
              </w:rPr>
              <w:t>16</w:t>
            </w:r>
            <w:r>
              <w:rPr>
                <w:rFonts w:hint="eastAsia" w:ascii="宋体" w:hAnsi="宋体" w:eastAsia="宋体" w:cs="宋体"/>
                <w:color w:val="auto"/>
                <w:sz w:val="22"/>
                <w:szCs w:val="22"/>
                <w:lang w:eastAsia="zh-CN" w:bidi="ar"/>
              </w:rPr>
              <w:t>.扫描软件与手持主机为同一个制造商厂家。</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三.系统配置</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1.三维扫描仪手持端1台</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2.多功能校准板1块</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3.配套组合电缆1套</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4.配套电源适配器1个</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5.Φ6mm反光标记点1000个</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6.Φ3mm反光标记点1000个</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7.防水仪器箱1个</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8.扫描软件1套</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9.加密狗 1个</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10.移动图形工作站1台，不低于如下配置：</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CPU：intel Core i7 10750H或更高性能</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内存：32GB DDR4或更高</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显卡：NVIDIA Quadro T2000或更高性能</w:t>
            </w:r>
            <w:r>
              <w:rPr>
                <w:rFonts w:hint="eastAsia" w:ascii="宋体" w:hAnsi="宋体" w:eastAsia="宋体" w:cs="宋体"/>
                <w:color w:val="auto"/>
                <w:sz w:val="22"/>
                <w:szCs w:val="22"/>
                <w:lang w:eastAsia="zh-CN" w:bidi="ar"/>
              </w:rPr>
              <w:br w:type="textWrapping"/>
            </w:r>
            <w:r>
              <w:rPr>
                <w:rFonts w:hint="eastAsia" w:ascii="宋体" w:hAnsi="宋体" w:eastAsia="宋体" w:cs="宋体"/>
                <w:color w:val="auto"/>
                <w:sz w:val="22"/>
                <w:szCs w:val="22"/>
                <w:lang w:eastAsia="zh-CN" w:bidi="ar"/>
              </w:rPr>
              <w:t>网口接口：千兆网口/USB 3.0接口/Type-c</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520" w:lineRule="exact"/>
              <w:ind w:left="0" w:firstLine="0" w:firstLineChars="0"/>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bidi="ar"/>
              </w:rPr>
              <w:t>1</w:t>
            </w:r>
          </w:p>
        </w:tc>
        <w:tc>
          <w:tcPr>
            <w:tcW w:w="4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520" w:lineRule="exact"/>
              <w:ind w:left="0" w:firstLine="0" w:firstLineChars="0"/>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bidi="ar"/>
              </w:rPr>
              <w:t>套</w:t>
            </w:r>
          </w:p>
        </w:tc>
      </w:tr>
    </w:tbl>
    <w:p>
      <w:pPr>
        <w:rPr>
          <w:rFonts w:hint="default"/>
          <w:lang w:val="en-US" w:eastAsia="zh-CN"/>
        </w:rPr>
      </w:pPr>
    </w:p>
    <w:p>
      <w:pPr>
        <w:pageBreakBefore w:val="0"/>
        <w:kinsoku/>
        <w:wordWrap/>
        <w:overflowPunct/>
        <w:topLinePunct w:val="0"/>
        <w:autoSpaceDE/>
        <w:autoSpaceDN/>
        <w:bidi w:val="0"/>
        <w:spacing w:line="360" w:lineRule="auto"/>
        <w:ind w:firstLine="480"/>
        <w:rPr>
          <w:rFonts w:hint="eastAsia" w:ascii="宋体" w:hAnsi="宋体" w:eastAsia="宋体" w:cs="宋体"/>
          <w:sz w:val="24"/>
          <w:szCs w:val="24"/>
          <w:lang w:val="en-US" w:eastAsia="zh-CN"/>
        </w:rPr>
      </w:pPr>
    </w:p>
    <w:p>
      <w:pPr>
        <w:pStyle w:val="2"/>
        <w:shd w:val="clear" w:color="auto" w:fill="auto"/>
        <w:spacing w:before="0" w:after="0" w:line="360" w:lineRule="auto"/>
        <w:ind w:firstLine="562" w:firstLineChars="200"/>
        <w:jc w:val="left"/>
        <w:rPr>
          <w:rFonts w:hint="default" w:ascii="宋体" w:hAnsi="宋体" w:eastAsia="宋体" w:cs="宋体"/>
          <w:b/>
          <w:sz w:val="28"/>
          <w:szCs w:val="28"/>
          <w:highlight w:val="none"/>
          <w:lang w:val="en-US" w:eastAsia="zh-CN"/>
        </w:rPr>
      </w:pPr>
      <w:r>
        <w:rPr>
          <w:rFonts w:hint="eastAsia" w:ascii="宋体" w:hAnsi="宋体" w:cs="宋体"/>
          <w:sz w:val="28"/>
          <w:szCs w:val="28"/>
          <w:highlight w:val="none"/>
          <w:lang w:eastAsia="zh-CN"/>
        </w:rPr>
        <w:t>注：加</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sz w:val="28"/>
          <w:szCs w:val="28"/>
          <w:highlight w:val="none"/>
          <w:lang w:eastAsia="zh-CN"/>
        </w:rPr>
        <w:t>号的参数负偏离视为重大负偏离；</w:t>
      </w:r>
      <w:r>
        <w:rPr>
          <w:rFonts w:hint="eastAsia" w:ascii="宋体" w:hAnsi="宋体" w:eastAsia="宋体" w:cs="宋体"/>
          <w:b/>
          <w:sz w:val="28"/>
          <w:szCs w:val="28"/>
          <w:highlight w:val="none"/>
          <w:lang w:eastAsia="zh-CN"/>
        </w:rPr>
        <w:t>非加</w:t>
      </w:r>
      <w:r>
        <w:rPr>
          <w:rFonts w:hint="eastAsia" w:ascii="宋体" w:hAnsi="宋体" w:eastAsia="宋体" w:cs="宋体"/>
          <w:b/>
          <w:sz w:val="28"/>
          <w:szCs w:val="28"/>
          <w:highlight w:val="none"/>
          <w:lang w:val="en-US" w:eastAsia="zh-CN"/>
        </w:rPr>
        <w:t>★号参数负偏离10项视为重大负偏离，以上技术参数要求提供证明材料，未提供证明材料的视为负偏离。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NmFkYjhiNjFkM2NkMjViOTAyYzNjYmVjMWZjM2MifQ=="/>
  </w:docVars>
  <w:rsids>
    <w:rsidRoot w:val="00000000"/>
    <w:rsid w:val="067B1301"/>
    <w:rsid w:val="26D131A9"/>
    <w:rsid w:val="7CBD5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32"/>
      <w:szCs w:val="20"/>
    </w:rPr>
  </w:style>
  <w:style w:type="paragraph" w:styleId="3">
    <w:name w:val="heading 2"/>
    <w:basedOn w:val="1"/>
    <w:next w:val="1"/>
    <w:qFormat/>
    <w:uiPriority w:val="0"/>
    <w:pPr>
      <w:keepNext/>
      <w:keepLines/>
      <w:spacing w:before="260" w:after="260" w:line="500" w:lineRule="exact"/>
      <w:outlineLvl w:val="1"/>
    </w:pPr>
    <w:rPr>
      <w:rFonts w:ascii="Arial" w:hAnsi="Arial" w:eastAsia="黑体"/>
      <w:b/>
      <w:sz w:val="28"/>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ody Text Indent"/>
    <w:basedOn w:val="1"/>
    <w:next w:val="1"/>
    <w:qFormat/>
    <w:uiPriority w:val="0"/>
    <w:pPr>
      <w:ind w:firstLine="630"/>
    </w:pPr>
    <w:rPr>
      <w:sz w:val="32"/>
      <w:szCs w:val="20"/>
    </w:rPr>
  </w:style>
  <w:style w:type="paragraph" w:styleId="6">
    <w:name w:val="Body Text First Indent"/>
    <w:basedOn w:val="4"/>
    <w:qFormat/>
    <w:uiPriority w:val="99"/>
    <w:pPr>
      <w:ind w:firstLine="420" w:firstLineChars="100"/>
    </w:pPr>
    <w:rPr>
      <w:rFonts w:ascii="Calibri" w:hAnsi="Calibri" w:cs="Calibri"/>
      <w:kern w:val="0"/>
      <w:sz w:val="18"/>
      <w:szCs w:val="18"/>
    </w:rPr>
  </w:style>
  <w:style w:type="paragraph" w:styleId="7">
    <w:name w:val="Body Text First Indent 2"/>
    <w:basedOn w:val="5"/>
    <w:next w:val="6"/>
    <w:qFormat/>
    <w:uiPriority w:val="0"/>
    <w:pPr>
      <w:widowControl w:val="0"/>
      <w:spacing w:after="120"/>
      <w:ind w:left="420" w:leftChars="200" w:firstLine="420" w:firstLineChars="200"/>
      <w:jc w:val="both"/>
    </w:pPr>
    <w:rPr>
      <w:rFonts w:ascii="Calibri" w:hAnsi="Calibri" w:eastAsia="等线" w:cs="Times New Roman"/>
      <w:kern w:val="2"/>
      <w:sz w:val="21"/>
      <w:szCs w:val="22"/>
      <w:lang w:val="en-US" w:eastAsia="zh-CN" w:bidi="ar-SA"/>
    </w:rPr>
  </w:style>
  <w:style w:type="paragraph" w:styleId="10">
    <w:name w:val="List Paragraph"/>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2023-11-01T02:05:00Z</dcterms:created>
  <dc:creator>Administrator</dc:creator>
  <cp:lastModifiedBy>颜小玩.</cp:lastModifiedBy>
  <dcterms:modified xsi:type="dcterms:W3CDTF">2023-11-13T03:56:26Z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E17F1823B5514510B1541F0D6E181E4D_12</vt:lpwstr>
  </property>
</Properties>
</file>