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6"/>
          <w:szCs w:val="44"/>
          <w:lang w:val="en-US" w:eastAsia="zh-CN"/>
        </w:rPr>
      </w:pPr>
      <w:r>
        <w:rPr>
          <w:rFonts w:hint="eastAsia"/>
          <w:b/>
          <w:bCs/>
          <w:sz w:val="36"/>
          <w:szCs w:val="44"/>
          <w:lang w:val="en-US" w:eastAsia="zh-CN"/>
        </w:rPr>
        <w:t>永寿县集体土地所有权数据更新交汇项目招标公告</w:t>
      </w:r>
    </w:p>
    <w:p>
      <w:pPr>
        <w:bidi w:val="0"/>
        <w:jc w:val="center"/>
        <w:rPr>
          <w:rFonts w:hint="eastAsia"/>
          <w:b/>
          <w:bCs/>
          <w:sz w:val="36"/>
          <w:szCs w:val="44"/>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永寿县集体土地所有权数据更新交汇项目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项目编号：SXDZZ（2023）241号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项目名称：永寿县集体土地所有权数据更新交汇项目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预算金额：2,962,644.00元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合同包1(永寿县集体土地所有权数据更新交汇项目):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合同包预算金额：2,962,644.00元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合同包最高限价：2,962,644.00元</w:t>
      </w:r>
    </w:p>
    <w:tbl>
      <w:tblPr>
        <w:tblW w:w="8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6"/>
        <w:gridCol w:w="1281"/>
        <w:gridCol w:w="2296"/>
        <w:gridCol w:w="712"/>
        <w:gridCol w:w="107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5" w:hRule="atLeast"/>
          <w:tblHeader/>
        </w:trPr>
        <w:tc>
          <w:tcPr>
            <w:tcW w:w="5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数据加工处理服务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对永寿县集体土地所有权数据进行更新交汇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2,962,644.00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2,962,644.00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合同履行期限：自合同签订之日起6个月（具体服务起止日期可随合同签订时间相应顺延）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合同包1(永寿县集体土地所有权数据更新交汇项目)落实政府采购政策需满足的资格要求如下: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合同包1(永寿县集体土地所有权数据更新交汇项目)特定资格要求如下: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企业资质：投标人须具备国家测绘主管部门颁发的乙级及以上测绘资质证书；（4）拟派项目负责人：拟派项目负责人须具中级测绘师证书，且需在本单位注册。（5）书面声明：出具参加本次采购活动前三年内在经营活动中没有重大违法记录的书面声明;（6）、财务状况报告：提供2022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2023年11月13日 至 2023年11月17日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永寿县自然资源局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永寿县西兰大街北段20号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029-37663472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2023年11月10日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11A231DD"/>
    <w:rsid w:val="27F80A4E"/>
    <w:rsid w:val="314D5F0A"/>
    <w:rsid w:val="4CAB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2023-11-08T09:21:00Z</dcterms:created>
  <dc:creator>Administrator</dc:creator>
  <cp:lastModifiedBy>敏敏</cp:lastModifiedBy>
  <dcterms:modified xsi:type="dcterms:W3CDTF">2023-11-10T00:22:22Z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3112E92160B143B190B89A2B816B208A_12</vt:lpwstr>
  </property>
</Properties>
</file>