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bidi w:val="0"/>
        <w:jc w:val="center"/>
        <w:rPr>
          <w:rFonts w:hint="eastAsia" w:hAnsi="宋体" w:cs="宋体"/>
        </w:rPr>
      </w:pPr>
      <w:r>
        <w:rPr>
          <w:rFonts w:hint="eastAsia" w:hAnsi="宋体" w:cs="宋体"/>
        </w:rPr>
        <w:t>招标项目要求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独李镇下辖10个行政村，包括刘官村、仁里村、南仵村、张刘村、赵渠村、王店孙村、黄李村、王马村、北李村、新庄村，共计5881户，约2.2万人。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二、采购内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容</w:t>
      </w:r>
    </w:p>
    <w:tbl>
      <w:tblPr>
        <w:tblStyle w:val="4"/>
        <w:tblpPr w:leftFromText="180" w:rightFromText="180" w:vertAnchor="text" w:horzAnchor="page" w:tblpX="1397" w:tblpY="774"/>
        <w:tblOverlap w:val="never"/>
        <w:tblW w:w="49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56"/>
        <w:gridCol w:w="8305"/>
        <w:gridCol w:w="825"/>
        <w:gridCol w:w="750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二维码门牌号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铝塑板，参考尺寸210mm×297mm，一户一码，UV印刷。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垃圾分类投放指南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420mm*297mm，画面材质超卡板，户外彩墨印刷。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厨余垃圾收集桶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20L，圆形，高38cm,口径30cm,底径27cm,PP塑料，有盖。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其他垃圾收集桶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20L，圆形，高38cm,口径30cm,底径27cm,PP塑料，有盖。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双桶垃圾收集车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整车参考尺寸2700*950*1150，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2、整备质量≥180kg，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3、载重≥300kg，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4、车厢有效容积≥240L*2,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5、续航里程≥50km，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6、电池≥48V32AH铅酸电池，质保期两年，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7、电机≥48V650W高磁钢无刷差速电机，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8、电控≥48V15管无刷控制器。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垃圾分类收集亭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长4.5米*宽0.9米*高2.5米，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2、亭体立柱使用100*100*2.0mm镀锌方管焊接，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3、顶棚框架使用40*60*2.0mm镀锌方管焊接，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4、顶棚封板使用≥1.0mm镀锌板，表面做防锈喷漆处理，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5、根据甲方要求，使用PVC板制作垃圾分类投放指南、管理员公示、海报等宣传版面。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240L垃圾收集桶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240L，钢制垃圾桶，总重量:29kg±0.5kg，防撞筋高度≥3mm，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厚度≥1.0mm，桶盖厚度≥0.5mm，长宽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高参考尺寸：715mm*580mm*1050mm，掀盖。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电子称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全不锈钢表头，金属称体；高清LCD显示，无线范围≥30m,可折叠提手，铅蓄电池，可选称重≥150kg。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厨余垃圾清运车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厢式载货车：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车身长度≥5.5米，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2、轴距≥3.3米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3、总质量≥4.4吨，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4、额定载重≥1.3吨，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5、货箱长度≥4米，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6、电池容量：≥80kWh。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7、质保期：三年或10万公里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可回收物清运车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厢式载货车：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车身长度≥5.5米，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2、轴距≥3.3米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3、总质量≥4.4吨，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4、额定载重≥1.3吨，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5、货箱长度≥4米，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6、电池容量：≥80kWh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7、质保期：三年或10万公里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厨余垃圾就地资源化设备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一、详细参数: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外形参考尺寸5800*4800*3200（带护栏），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日处理能力≥3000㎏/d，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减量率≥85%，，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工作环境温度(℃)：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-10-40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额定电压：380V，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设备总功率≦40kw，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控制系统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PLC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智能控制（手/自动切换）可配置远程控制系统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加热方式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导热油电加热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温度控制范围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30℃-100℃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进/出料方式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间歇式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耗电量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≤0.15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kwh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/h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噪音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≤75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dB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称重精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</w:rPr>
              <w:t>度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highlight w:val="none"/>
              </w:rPr>
              <w:t>±1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</w:rPr>
              <w:t>主体材质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304不锈钢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</w:rPr>
              <w:t>设计使用寿命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≥90000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</w:rPr>
              <w:t>h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喷淋塔参考规格：800*2800mm，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油水分离器参考尺寸：2800*800*800mm。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处理工艺要求: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采用120L或240L的标准垃圾桶，将收集到的厨余垃圾；通过生化处理设备上料机构，将物料提升到预处理设备中，进行撕碎、压榨脱水；液相通过管道排放到集水池中；固相则进入到生化处理环节，配合微生物菌种，进行深度加工，通过微生物分解后的物料，最终转变成有机肥或生物有机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2、液相：集水池中的油水混合物，通过污水泵，泵送到 油水分离系统中进行油水分离，产生的毛油脂，可销售；产生的污水，根据甲方的要求排放到相应的位置或在允许的情况下，通过化粪池排放；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3、废气：在发酵过程中产生的废气，通过废气处理系统后达到《恶臭污染物排放标准》（GB14554-1993）；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4、陈化：将处理好的物料静置一段时间后，可以当肥料使用， 以免使用不当，产生烧根、烧苗的现象。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云数据管理平台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提供用户端微信公众号、收运端企业微信号、展示端大数据平台相对应的垃圾分类后台管理系统：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用户端微信公众号：包括但不限于支持免注册，个人微信直接登录；扫描门牌号二维码进行信息绑定；支持参与流程、回收价格、分类知识等推文顶置呈现；查询个人回收记录；家庭环保金可通过红包的形式提现到个人微信零钱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2、收运端企业微信号：包括但不限于支持对可回收物称重后扫码发放环保金。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展示端大数据平台：包括但不限于支持实时显示区域垃圾分类总体情况（包括但不限于垃圾回收总量、地图GIS信息显示，覆盖单位数量、回收量排名、环保贡献值、四类垃圾占比、资源回收率趋势、垃圾分类达标率趋势、可回收物种类排名）；实时显示各机构垃圾分类情况（包括但不限于总用户数、垃圾总量、资源回收总量、四类垃圾总量和占比、环保金排名TOP5，可回收物排行TOP5，地图GIS信息显示垃圾分类达标率趋势、可回收物回收量统计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4、垃圾分类后台管理系统：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系统管理：支持设置项目组织架构、添加工作人员通讯录信息；支持管理员、回收人员角色管理，设置不同的操作权限；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数据维护：支持对后台操作日志的管理和修改；设置回收种类和回收价格；录入各单位不同垃圾品类的收运信息；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用户管理：支持对项目进行省、市、区县、乡镇、村庄五级信息设置；支持对家庭组信息进行录入和修改，运用二维码身份识别技术，自动生成专属的二维码；支持对微信用户信息进行录入和修改；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文章管理（操作规程）：对微信用户端的信息内容进行修改，包括垃圾分类投放指南、垃圾分类参与流程、最新回收价格、帮助问题；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数据统计：对用户提现记录进行追溯和查询；对工作人员回收记录进行追溯和查询；导出不同时间段、不同机构的垃圾分类数据报表。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软件和信息技术服务业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AEEBB"/>
    <w:multiLevelType w:val="singleLevel"/>
    <w:tmpl w:val="DF8AEE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5E91DE"/>
    <w:multiLevelType w:val="singleLevel"/>
    <w:tmpl w:val="115E91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2F3445"/>
    <w:multiLevelType w:val="singleLevel"/>
    <w:tmpl w:val="272F34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3D86FE4"/>
    <w:multiLevelType w:val="singleLevel"/>
    <w:tmpl w:val="43D86FE4"/>
    <w:lvl w:ilvl="0" w:tentative="0">
      <w:start w:val="7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Y0ZWFhODZkY2Q1MzVmNDg0NjY3MWNiNThmZjkifQ=="/>
  </w:docVars>
  <w:rsids>
    <w:rsidRoot w:val="00000000"/>
    <w:rsid w:val="4B6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宋体" w:hAnsi="宋体" w:eastAsia="黑体" w:cs="Times New Roman"/>
      <w:b/>
      <w:bCs/>
      <w:kern w:val="44"/>
      <w:sz w:val="36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2023-10-20T05:26:06Z</dcterms:created>
  <dc:creator>Administrator</dc:creator>
  <cp:lastModifiedBy>李思航</cp:lastModifiedBy>
  <dcterms:modified xsi:type="dcterms:W3CDTF">2023-10-20T05:26:11Z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ED8EFA498A4F42BDBBB81F3B3E02A7C5_12</vt:lpwstr>
  </property>
</Properties>
</file>