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line="220" w:lineRule="auto"/>
        <w:ind w:left="2893"/>
        <w:outlineLvl w:val="0"/>
        <w:rPr>
          <w:rFonts w:ascii="宋体" w:hAnsi="宋体" w:eastAsia="宋体" w:cs="宋体"/>
          <w:b/>
          <w:bCs/>
          <w:spacing w:val="7"/>
          <w:sz w:val="28"/>
          <w:szCs w:val="28"/>
        </w:rPr>
      </w:pPr>
      <w:r>
        <w:rPr>
          <w:rFonts w:ascii="宋体" w:hAnsi="宋体" w:eastAsia="宋体" w:cs="宋体"/>
          <w:b/>
          <w:bCs/>
          <w:spacing w:val="7"/>
          <w:sz w:val="28"/>
          <w:szCs w:val="28"/>
        </w:rPr>
        <w:t xml:space="preserve"> </w:t>
      </w:r>
      <w:bookmarkStart w:id="9" w:name="_GoBack"/>
      <w:r>
        <w:rPr>
          <w:rFonts w:ascii="宋体" w:hAnsi="宋体" w:eastAsia="宋体" w:cs="宋体"/>
          <w:b/>
          <w:bCs/>
          <w:spacing w:val="7"/>
          <w:sz w:val="28"/>
          <w:szCs w:val="28"/>
        </w:rPr>
        <w:t>拟签订采购合同文本</w:t>
      </w:r>
      <w:bookmarkEnd w:id="9"/>
    </w:p>
    <w:p>
      <w:pPr>
        <w:spacing w:before="62" w:line="220" w:lineRule="auto"/>
        <w:ind w:left="2893"/>
        <w:outlineLvl w:val="0"/>
        <w:rPr>
          <w:rFonts w:ascii="宋体" w:hAnsi="宋体" w:eastAsia="宋体" w:cs="宋体"/>
          <w:b/>
          <w:bCs/>
          <w:sz w:val="28"/>
          <w:szCs w:val="28"/>
        </w:rPr>
      </w:pPr>
    </w:p>
    <w:p>
      <w:pPr>
        <w:spacing w:line="308" w:lineRule="auto"/>
        <w:rPr>
          <w:rFonts w:ascii="Arial"/>
          <w:b/>
          <w:bCs/>
          <w:sz w:val="20"/>
          <w:szCs w:val="20"/>
        </w:rPr>
      </w:pPr>
    </w:p>
    <w:p>
      <w:pPr>
        <w:spacing w:before="296" w:line="225" w:lineRule="auto"/>
        <w:ind w:firstLine="249" w:firstLineChars="100"/>
        <w:outlineLvl w:val="1"/>
        <w:rPr>
          <w:rFonts w:hint="eastAsia" w:ascii="宋体" w:hAnsi="宋体" w:eastAsia="宋体" w:cs="宋体"/>
          <w:b/>
          <w:bCs/>
          <w:spacing w:val="19"/>
          <w:sz w:val="21"/>
          <w:szCs w:val="21"/>
        </w:rPr>
      </w:pPr>
      <w:bookmarkStart w:id="0" w:name="_Toc8141"/>
      <w:r>
        <w:rPr>
          <w:rFonts w:hint="eastAsia" w:ascii="宋体" w:hAnsi="宋体" w:eastAsia="宋体" w:cs="宋体"/>
          <w:b/>
          <w:bCs/>
          <w:spacing w:val="19"/>
          <w:sz w:val="21"/>
          <w:szCs w:val="21"/>
          <w:lang w:val="en-US" w:eastAsia="zh-CN"/>
        </w:rPr>
        <w:t>甲         方  ：</w:t>
      </w:r>
      <w:r>
        <w:rPr>
          <w:rFonts w:hint="eastAsia" w:ascii="宋体" w:hAnsi="宋体" w:eastAsia="宋体" w:cs="宋体"/>
          <w:b/>
          <w:bCs/>
          <w:spacing w:val="19"/>
          <w:sz w:val="21"/>
          <w:szCs w:val="21"/>
        </w:rPr>
        <w:t>西安市长安区城中村和</w:t>
      </w:r>
      <w:r>
        <w:rPr>
          <w:rFonts w:hint="eastAsia" w:ascii="宋体" w:hAnsi="宋体" w:eastAsia="宋体" w:cs="宋体"/>
          <w:b/>
          <w:bCs/>
          <w:spacing w:val="19"/>
          <w:sz w:val="21"/>
          <w:szCs w:val="21"/>
          <w:lang w:val="en-US" w:eastAsia="zh-CN"/>
        </w:rPr>
        <w:t>棚</w:t>
      </w:r>
      <w:r>
        <w:rPr>
          <w:rFonts w:hint="eastAsia" w:ascii="宋体" w:hAnsi="宋体" w:eastAsia="宋体" w:cs="宋体"/>
          <w:b/>
          <w:bCs/>
          <w:spacing w:val="19"/>
          <w:sz w:val="21"/>
          <w:szCs w:val="21"/>
        </w:rPr>
        <w:t>户区改造事务中心</w:t>
      </w:r>
      <w:bookmarkEnd w:id="0"/>
    </w:p>
    <w:p>
      <w:pPr>
        <w:spacing w:before="296" w:line="225" w:lineRule="auto"/>
        <w:ind w:firstLine="249" w:firstLineChars="100"/>
        <w:outlineLvl w:val="1"/>
        <w:rPr>
          <w:rFonts w:hint="eastAsia" w:ascii="宋体" w:hAnsi="宋体" w:eastAsia="宋体" w:cs="宋体"/>
          <w:b/>
          <w:bCs/>
          <w:spacing w:val="19"/>
          <w:sz w:val="21"/>
          <w:szCs w:val="21"/>
          <w:lang w:val="en-US" w:eastAsia="zh-CN"/>
        </w:rPr>
      </w:pPr>
      <w:r>
        <w:rPr>
          <w:rFonts w:hint="eastAsia" w:ascii="宋体" w:hAnsi="宋体" w:eastAsia="宋体" w:cs="宋体"/>
          <w:b/>
          <w:bCs/>
          <w:spacing w:val="19"/>
          <w:sz w:val="21"/>
          <w:szCs w:val="21"/>
          <w:lang w:val="en-US" w:eastAsia="zh-CN"/>
        </w:rPr>
        <w:t>乙         方  ：</w:t>
      </w:r>
    </w:p>
    <w:p>
      <w:pPr>
        <w:spacing w:before="296" w:line="225" w:lineRule="auto"/>
        <w:ind w:firstLine="249" w:firstLineChars="100"/>
        <w:outlineLvl w:val="1"/>
        <w:rPr>
          <w:rFonts w:hint="eastAsia" w:ascii="宋体" w:hAnsi="宋体" w:eastAsia="宋体" w:cs="宋体"/>
          <w:b/>
          <w:bCs/>
          <w:spacing w:val="19"/>
          <w:sz w:val="21"/>
          <w:szCs w:val="21"/>
          <w:lang w:val="en-US" w:eastAsia="zh-CN"/>
        </w:rPr>
      </w:pPr>
      <w:r>
        <w:rPr>
          <w:rFonts w:hint="eastAsia" w:ascii="宋体" w:hAnsi="宋体" w:eastAsia="宋体" w:cs="宋体"/>
          <w:b/>
          <w:bCs/>
          <w:spacing w:val="19"/>
          <w:sz w:val="21"/>
          <w:szCs w:val="21"/>
          <w:lang w:val="en-US" w:eastAsia="zh-CN"/>
        </w:rPr>
        <w:t>丙  方（付款方）：</w:t>
      </w:r>
      <w:r>
        <w:rPr>
          <w:rFonts w:hint="eastAsia" w:ascii="宋体" w:hAnsi="宋体" w:eastAsia="宋体" w:cs="宋体"/>
          <w:b/>
          <w:bCs/>
          <w:spacing w:val="19"/>
          <w:sz w:val="21"/>
          <w:szCs w:val="21"/>
        </w:rPr>
        <w:t>西安市长安城乡建设开发有限公司</w:t>
      </w:r>
      <w:r>
        <w:rPr>
          <w:rFonts w:hint="eastAsia" w:ascii="宋体" w:hAnsi="宋体" w:eastAsia="宋体" w:cs="宋体"/>
          <w:b/>
          <w:bCs/>
          <w:spacing w:val="19"/>
          <w:sz w:val="21"/>
          <w:szCs w:val="21"/>
          <w:lang w:val="en-US" w:eastAsia="zh-CN"/>
        </w:rPr>
        <w:t xml:space="preserve"> </w:t>
      </w:r>
    </w:p>
    <w:p>
      <w:pPr>
        <w:pStyle w:val="3"/>
      </w:pPr>
    </w:p>
    <w:p>
      <w:pPr>
        <w:spacing w:before="68" w:line="360" w:lineRule="auto"/>
        <w:ind w:firstLine="428" w:firstLineChars="200"/>
        <w:outlineLvl w:val="2"/>
        <w:rPr>
          <w:rFonts w:ascii="宋体" w:hAnsi="宋体" w:eastAsia="宋体" w:cs="宋体"/>
          <w:spacing w:val="2"/>
          <w:sz w:val="21"/>
          <w:szCs w:val="21"/>
        </w:rPr>
      </w:pPr>
      <w:r>
        <w:rPr>
          <w:rFonts w:hint="eastAsia" w:ascii="宋体" w:hAnsi="宋体" w:eastAsia="宋体" w:cs="宋体"/>
          <w:spacing w:val="2"/>
          <w:sz w:val="21"/>
          <w:szCs w:val="21"/>
          <w:lang w:val="en-US" w:eastAsia="zh-CN"/>
        </w:rPr>
        <w:t xml:space="preserve">根据《中华人民共和国民法典》等相关法律法规规定，甲乙双方就甲方委托乙方对长安区水磨村城中村改造回迁选房服务项目(长安区水磨村棚户区改造回迁选房服务项目)提供服务事宜，签订本合同，以资共同执行。 </w:t>
      </w:r>
    </w:p>
    <w:p>
      <w:pPr>
        <w:spacing w:before="1" w:line="360" w:lineRule="auto"/>
        <w:outlineLvl w:val="1"/>
        <w:rPr>
          <w:rFonts w:ascii="宋体" w:hAnsi="宋体" w:eastAsia="宋体" w:cs="宋体"/>
          <w:b/>
          <w:bCs/>
          <w:spacing w:val="2"/>
          <w:sz w:val="21"/>
          <w:szCs w:val="21"/>
        </w:rPr>
      </w:pPr>
      <w:bookmarkStart w:id="1" w:name="_Toc13826"/>
      <w:r>
        <w:rPr>
          <w:rFonts w:hint="eastAsia" w:ascii="宋体" w:hAnsi="宋体" w:eastAsia="宋体" w:cs="宋体"/>
          <w:b/>
          <w:bCs/>
          <w:spacing w:val="2"/>
          <w:sz w:val="21"/>
          <w:szCs w:val="21"/>
          <w:lang w:val="en-US" w:eastAsia="zh-CN"/>
        </w:rPr>
        <w:t>一、服务地址及时间</w:t>
      </w:r>
      <w:bookmarkEnd w:id="1"/>
      <w:r>
        <w:rPr>
          <w:rFonts w:hint="eastAsia" w:ascii="宋体" w:hAnsi="宋体" w:eastAsia="宋体" w:cs="宋体"/>
          <w:b/>
          <w:bCs/>
          <w:spacing w:val="2"/>
          <w:sz w:val="21"/>
          <w:szCs w:val="21"/>
          <w:lang w:val="en-US" w:eastAsia="zh-CN"/>
        </w:rPr>
        <w:t xml:space="preserve"> </w:t>
      </w:r>
    </w:p>
    <w:p>
      <w:pPr>
        <w:spacing w:before="1" w:line="360" w:lineRule="auto"/>
        <w:ind w:left="387"/>
        <w:rPr>
          <w:rFonts w:ascii="宋体" w:hAnsi="宋体" w:eastAsia="宋体" w:cs="宋体"/>
          <w:spacing w:val="2"/>
          <w:sz w:val="21"/>
          <w:szCs w:val="21"/>
        </w:rPr>
      </w:pPr>
      <w:r>
        <w:rPr>
          <w:rFonts w:hint="eastAsia" w:ascii="宋体" w:hAnsi="宋体" w:eastAsia="宋体" w:cs="宋体"/>
          <w:spacing w:val="2"/>
          <w:sz w:val="21"/>
          <w:szCs w:val="21"/>
          <w:lang w:val="en-US" w:eastAsia="zh-CN"/>
        </w:rPr>
        <w:t xml:space="preserve">服务地点：甲方指定地点： </w:t>
      </w:r>
    </w:p>
    <w:p>
      <w:pPr>
        <w:spacing w:before="1" w:line="360" w:lineRule="auto"/>
        <w:ind w:left="387"/>
        <w:rPr>
          <w:rFonts w:ascii="宋体" w:hAnsi="宋体" w:eastAsia="宋体" w:cs="宋体"/>
          <w:spacing w:val="2"/>
          <w:sz w:val="21"/>
          <w:szCs w:val="21"/>
        </w:rPr>
      </w:pPr>
      <w:r>
        <w:rPr>
          <w:rFonts w:hint="eastAsia" w:ascii="宋体" w:hAnsi="宋体" w:eastAsia="宋体" w:cs="宋体"/>
          <w:spacing w:val="2"/>
          <w:sz w:val="21"/>
          <w:szCs w:val="21"/>
          <w:lang w:val="en-US" w:eastAsia="zh-CN"/>
        </w:rPr>
        <w:t xml:space="preserve">选房时间:待定(具体选房活动待甲方通知）。 </w:t>
      </w:r>
    </w:p>
    <w:p>
      <w:pPr>
        <w:spacing w:before="1" w:line="360" w:lineRule="auto"/>
        <w:outlineLvl w:val="1"/>
        <w:rPr>
          <w:rFonts w:ascii="宋体" w:hAnsi="宋体" w:eastAsia="宋体" w:cs="宋体"/>
          <w:b/>
          <w:bCs/>
          <w:spacing w:val="2"/>
          <w:sz w:val="21"/>
          <w:szCs w:val="21"/>
        </w:rPr>
      </w:pPr>
      <w:bookmarkStart w:id="2" w:name="_Toc1619"/>
      <w:r>
        <w:rPr>
          <w:rFonts w:hint="eastAsia" w:ascii="宋体" w:hAnsi="宋体" w:eastAsia="宋体" w:cs="宋体"/>
          <w:b/>
          <w:bCs/>
          <w:spacing w:val="2"/>
          <w:sz w:val="21"/>
          <w:szCs w:val="21"/>
          <w:lang w:val="en-US" w:eastAsia="zh-CN"/>
        </w:rPr>
        <w:t>二、合同价款及付款方式</w:t>
      </w:r>
      <w:bookmarkEnd w:id="2"/>
      <w:r>
        <w:rPr>
          <w:rFonts w:hint="eastAsia" w:ascii="宋体" w:hAnsi="宋体" w:eastAsia="宋体" w:cs="宋体"/>
          <w:b/>
          <w:bCs/>
          <w:spacing w:val="2"/>
          <w:sz w:val="21"/>
          <w:szCs w:val="21"/>
          <w:lang w:val="en-US" w:eastAsia="zh-CN"/>
        </w:rPr>
        <w:t xml:space="preserve"> </w:t>
      </w:r>
    </w:p>
    <w:p>
      <w:pPr>
        <w:spacing w:before="1" w:line="360" w:lineRule="auto"/>
        <w:ind w:left="387"/>
        <w:rPr>
          <w:rFonts w:ascii="宋体" w:hAnsi="宋体" w:eastAsia="宋体" w:cs="宋体"/>
          <w:spacing w:val="2"/>
          <w:sz w:val="21"/>
          <w:szCs w:val="21"/>
        </w:rPr>
      </w:pPr>
      <w:r>
        <w:rPr>
          <w:rFonts w:hint="eastAsia" w:ascii="宋体" w:hAnsi="宋体" w:eastAsia="宋体" w:cs="宋体"/>
          <w:spacing w:val="2"/>
          <w:sz w:val="21"/>
          <w:szCs w:val="21"/>
          <w:lang w:val="en-US" w:eastAsia="zh-CN"/>
        </w:rPr>
        <w:t>1、合同价款：暂计（大写）</w:t>
      </w:r>
      <w:r>
        <w:rPr>
          <w:rFonts w:hint="eastAsia" w:ascii="宋体" w:hAnsi="宋体" w:eastAsia="宋体" w:cs="宋体"/>
          <w:spacing w:val="2"/>
          <w:sz w:val="21"/>
          <w:szCs w:val="21"/>
          <w:u w:val="single"/>
          <w:lang w:val="en-US" w:eastAsia="zh-CN"/>
        </w:rPr>
        <w:t xml:space="preserve">           </w:t>
      </w:r>
      <w:r>
        <w:rPr>
          <w:rFonts w:hint="eastAsia" w:ascii="宋体" w:hAnsi="宋体" w:eastAsia="宋体" w:cs="宋体"/>
          <w:spacing w:val="2"/>
          <w:sz w:val="21"/>
          <w:szCs w:val="21"/>
          <w:lang w:val="en-US" w:eastAsia="zh-CN"/>
        </w:rPr>
        <w:t xml:space="preserve">  元，最终结算价格按实际发生户数量据实结算。 </w:t>
      </w:r>
    </w:p>
    <w:p>
      <w:pPr>
        <w:spacing w:before="1" w:line="360" w:lineRule="auto"/>
        <w:ind w:left="387"/>
        <w:rPr>
          <w:rFonts w:ascii="宋体" w:hAnsi="宋体" w:eastAsia="宋体" w:cs="宋体"/>
          <w:spacing w:val="2"/>
          <w:sz w:val="21"/>
          <w:szCs w:val="21"/>
        </w:rPr>
      </w:pPr>
      <w:r>
        <w:rPr>
          <w:rFonts w:hint="eastAsia" w:ascii="宋体" w:hAnsi="宋体" w:eastAsia="宋体" w:cs="宋体"/>
          <w:spacing w:val="2"/>
          <w:sz w:val="21"/>
          <w:szCs w:val="21"/>
          <w:lang w:val="en-US" w:eastAsia="zh-CN"/>
        </w:rPr>
        <w:t>合同价款明细如下：</w:t>
      </w:r>
    </w:p>
    <w:p>
      <w:pPr>
        <w:spacing w:line="243" w:lineRule="auto"/>
        <w:rPr>
          <w:rFonts w:ascii="Arial"/>
          <w:sz w:val="21"/>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6"/>
        <w:gridCol w:w="1716"/>
        <w:gridCol w:w="1911"/>
        <w:gridCol w:w="1911"/>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2106" w:type="dxa"/>
            <mc:AlternateContent>
              <mc:Choice Requires="wpsCustomData">
                <wpsCustomData:diagonals>
                  <wpsCustomData:diagonal from="10000" to="30000">
                    <wpsCustomData:border w:val="single" w:color="auto" w:sz="4" w:space="0"/>
                  </wpsCustomData:diagonal>
                </wpsCustomData:diagonals>
              </mc:Choice>
            </mc:AlternateContent>
          </w:tcPr>
          <w:p>
            <w:pPr>
              <w:widowControl w:val="0"/>
              <w:spacing w:line="243" w:lineRule="auto"/>
              <w:ind w:firstLine="210" w:firstLineChars="100"/>
              <w:rPr>
                <w:rFonts w:hint="eastAsia" w:eastAsia="宋体"/>
                <w:lang w:val="en-US" w:eastAsia="zh-CN"/>
              </w:rPr>
            </w:pPr>
          </w:p>
          <w:p>
            <w:pPr>
              <w:widowControl w:val="0"/>
              <w:spacing w:line="243" w:lineRule="auto"/>
              <w:ind w:firstLine="210" w:firstLineChars="100"/>
              <w:rPr>
                <w:rFonts w:hint="eastAsia" w:eastAsia="宋体"/>
                <w:lang w:val="en-US" w:eastAsia="zh-CN"/>
              </w:rPr>
            </w:pPr>
          </w:p>
          <w:p>
            <w:pPr>
              <w:widowControl w:val="0"/>
              <w:spacing w:line="243" w:lineRule="auto"/>
              <w:ind w:firstLine="210" w:firstLineChars="100"/>
              <w:rPr>
                <w:rFonts w:hint="eastAsia" w:eastAsia="宋体"/>
                <w:lang w:val="en-US" w:eastAsia="zh-CN"/>
              </w:rPr>
            </w:pPr>
          </w:p>
          <w:p>
            <w:pPr>
              <w:widowControl w:val="0"/>
              <w:spacing w:line="243" w:lineRule="auto"/>
              <w:ind w:firstLine="210" w:firstLineChars="100"/>
              <mc:AlternateContent>
                <mc:Choice Requires="wpsCustomData">
                  <wpsCustomData:diagonalParaType/>
                </mc:Choice>
              </mc:AlternateContent>
              <w:rPr>
                <w:rFonts w:hint="eastAsia" w:eastAsia="宋体"/>
                <w:lang w:val="en-US" w:eastAsia="zh-CN"/>
              </w:rPr>
            </w:pPr>
            <w:r>
              <w:rPr>
                <w:rFonts w:hint="eastAsia" w:eastAsia="宋体"/>
                <w:lang w:val="en-US" w:eastAsia="zh-CN"/>
              </w:rPr>
              <w:t>服务内容</w:t>
            </w:r>
          </w:p>
          <w:p>
            <w:pPr>
              <w:widowControl w:val="0"/>
              <w:spacing w:line="243" w:lineRule="auto"/>
              <w:ind w:firstLine="210" w:firstLineChars="100"/>
              <w:rPr>
                <w:rFonts w:hint="eastAsia" w:eastAsia="宋体"/>
                <w:lang w:val="en-US" w:eastAsia="zh-CN"/>
              </w:rPr>
            </w:pPr>
          </w:p>
          <w:p>
            <w:pPr>
              <w:widowControl w:val="0"/>
              <w:spacing w:line="243" w:lineRule="auto"/>
              <w:ind w:firstLine="210" w:firstLineChars="100"/>
              <w:rPr>
                <w:rFonts w:hint="eastAsia" w:eastAsia="宋体"/>
                <w:lang w:val="en-US" w:eastAsia="zh-CN"/>
              </w:rPr>
            </w:pPr>
            <w:r>
              <w:rPr>
                <w:rFonts w:hint="eastAsia" w:eastAsia="宋体"/>
                <w:lang w:val="en-US" w:eastAsia="zh-CN"/>
              </w:rPr>
              <w:t>合同价款</w:t>
            </w:r>
          </w:p>
        </w:tc>
        <w:tc>
          <w:tcPr>
            <w:tcW w:w="1716" w:type="dxa"/>
            <w:vAlign w:val="center"/>
          </w:tcPr>
          <w:p>
            <w:pPr>
              <w:widowControl w:val="0"/>
              <w:spacing w:line="243" w:lineRule="auto"/>
              <w:jc w:val="center"/>
              <w:rPr>
                <w:rFonts w:hint="eastAsia" w:eastAsia="宋体"/>
                <w:sz w:val="21"/>
                <w:vertAlign w:val="baseline"/>
                <w:lang w:val="en-US" w:eastAsia="zh-CN"/>
              </w:rPr>
            </w:pPr>
          </w:p>
          <w:p>
            <w:pPr>
              <w:widowControl w:val="0"/>
              <w:spacing w:line="243" w:lineRule="auto"/>
              <w:ind w:firstLine="210" w:firstLineChars="100"/>
              <w:jc w:val="center"/>
              <w:rPr>
                <w:rFonts w:hint="default" w:ascii="Arial" w:eastAsia="宋体"/>
                <w:sz w:val="21"/>
                <w:vertAlign w:val="baseline"/>
                <w:lang w:val="en-US" w:eastAsia="zh-CN"/>
              </w:rPr>
            </w:pPr>
            <w:r>
              <w:rPr>
                <w:rFonts w:hint="eastAsia" w:eastAsia="宋体"/>
                <w:sz w:val="21"/>
                <w:vertAlign w:val="baseline"/>
                <w:lang w:val="en-US" w:eastAsia="zh-CN"/>
              </w:rPr>
              <w:t>户数（户）</w:t>
            </w:r>
          </w:p>
        </w:tc>
        <w:tc>
          <w:tcPr>
            <w:tcW w:w="1911" w:type="dxa"/>
            <w:vAlign w:val="center"/>
          </w:tcPr>
          <w:p>
            <w:pPr>
              <w:widowControl w:val="0"/>
              <w:spacing w:line="243" w:lineRule="auto"/>
              <w:jc w:val="center"/>
              <w:rPr>
                <w:rFonts w:hint="eastAsia" w:eastAsia="宋体"/>
                <w:sz w:val="21"/>
                <w:vertAlign w:val="baseline"/>
                <w:lang w:val="en-US" w:eastAsia="zh-CN"/>
              </w:rPr>
            </w:pPr>
          </w:p>
          <w:p>
            <w:pPr>
              <w:widowControl w:val="0"/>
              <w:spacing w:line="243" w:lineRule="auto"/>
              <w:ind w:firstLine="420" w:firstLineChars="200"/>
              <w:jc w:val="center"/>
              <w:rPr>
                <w:rFonts w:hint="eastAsia" w:eastAsia="宋体"/>
                <w:sz w:val="21"/>
                <w:vertAlign w:val="baseline"/>
                <w:lang w:val="en-US" w:eastAsia="zh-CN"/>
              </w:rPr>
            </w:pPr>
            <w:r>
              <w:rPr>
                <w:rFonts w:hint="eastAsia" w:eastAsia="宋体"/>
                <w:sz w:val="21"/>
                <w:vertAlign w:val="baseline"/>
                <w:lang w:val="en-US" w:eastAsia="zh-CN"/>
              </w:rPr>
              <w:t>综合单价</w:t>
            </w:r>
          </w:p>
          <w:p>
            <w:pPr>
              <w:widowControl w:val="0"/>
              <w:spacing w:line="243" w:lineRule="auto"/>
              <w:ind w:firstLine="630" w:firstLineChars="300"/>
              <w:jc w:val="center"/>
              <w:rPr>
                <w:rFonts w:hint="eastAsia" w:ascii="Arial" w:eastAsia="宋体"/>
                <w:sz w:val="21"/>
                <w:vertAlign w:val="baseline"/>
                <w:lang w:val="en-US" w:eastAsia="zh-CN"/>
              </w:rPr>
            </w:pPr>
            <w:r>
              <w:rPr>
                <w:rFonts w:hint="eastAsia" w:eastAsia="宋体"/>
                <w:sz w:val="21"/>
                <w:vertAlign w:val="baseline"/>
                <w:lang w:val="en-US" w:eastAsia="zh-CN"/>
              </w:rPr>
              <w:t>（元）</w:t>
            </w:r>
          </w:p>
        </w:tc>
        <w:tc>
          <w:tcPr>
            <w:tcW w:w="1911" w:type="dxa"/>
            <w:vAlign w:val="center"/>
          </w:tcPr>
          <w:p>
            <w:pPr>
              <w:widowControl w:val="0"/>
              <w:spacing w:line="243" w:lineRule="auto"/>
              <w:jc w:val="center"/>
              <w:rPr>
                <w:rFonts w:hint="eastAsia" w:eastAsia="宋体"/>
                <w:sz w:val="21"/>
                <w:vertAlign w:val="baseline"/>
                <w:lang w:val="en-US" w:eastAsia="zh-CN"/>
              </w:rPr>
            </w:pPr>
          </w:p>
          <w:p>
            <w:pPr>
              <w:widowControl w:val="0"/>
              <w:spacing w:line="243" w:lineRule="auto"/>
              <w:ind w:firstLine="210" w:firstLineChars="100"/>
              <w:jc w:val="center"/>
              <w:rPr>
                <w:rFonts w:hint="eastAsia" w:eastAsia="宋体"/>
                <w:sz w:val="21"/>
                <w:vertAlign w:val="baseline"/>
                <w:lang w:val="en-US" w:eastAsia="zh-CN"/>
              </w:rPr>
            </w:pPr>
            <w:r>
              <w:rPr>
                <w:rFonts w:hint="eastAsia" w:eastAsia="宋体"/>
                <w:sz w:val="21"/>
                <w:vertAlign w:val="baseline"/>
                <w:lang w:val="en-US" w:eastAsia="zh-CN"/>
              </w:rPr>
              <w:t>暂定合同总价</w:t>
            </w:r>
          </w:p>
          <w:p>
            <w:pPr>
              <w:widowControl w:val="0"/>
              <w:spacing w:line="243" w:lineRule="auto"/>
              <w:ind w:firstLine="420" w:firstLineChars="200"/>
              <w:jc w:val="center"/>
              <w:rPr>
                <w:rFonts w:hint="default" w:ascii="Arial" w:eastAsia="宋体"/>
                <w:sz w:val="21"/>
                <w:vertAlign w:val="baseline"/>
                <w:lang w:val="en-US" w:eastAsia="zh-CN"/>
              </w:rPr>
            </w:pPr>
            <w:r>
              <w:rPr>
                <w:rFonts w:hint="eastAsia" w:eastAsia="宋体"/>
                <w:sz w:val="21"/>
                <w:vertAlign w:val="baseline"/>
                <w:lang w:val="en-US" w:eastAsia="zh-CN"/>
              </w:rPr>
              <w:t>（元）</w:t>
            </w:r>
          </w:p>
        </w:tc>
        <w:tc>
          <w:tcPr>
            <w:tcW w:w="1912" w:type="dxa"/>
          </w:tcPr>
          <w:p>
            <w:pPr>
              <w:widowControl w:val="0"/>
              <w:spacing w:line="243" w:lineRule="auto"/>
              <w:rPr>
                <w:rFonts w:hint="eastAsia" w:eastAsia="宋体"/>
                <w:sz w:val="21"/>
                <w:vertAlign w:val="baseline"/>
                <w:lang w:val="en-US" w:eastAsia="zh-CN"/>
              </w:rPr>
            </w:pPr>
          </w:p>
          <w:p>
            <w:pPr>
              <w:widowControl w:val="0"/>
              <w:spacing w:line="243" w:lineRule="auto"/>
              <w:rPr>
                <w:rFonts w:hint="eastAsia" w:eastAsia="宋体"/>
                <w:sz w:val="21"/>
                <w:vertAlign w:val="baseline"/>
                <w:lang w:val="en-US" w:eastAsia="zh-CN"/>
              </w:rPr>
            </w:pPr>
          </w:p>
          <w:p>
            <w:pPr>
              <w:widowControl w:val="0"/>
              <w:spacing w:line="243" w:lineRule="auto"/>
              <w:ind w:firstLine="840" w:firstLineChars="400"/>
              <w:rPr>
                <w:rFonts w:hint="eastAsia" w:ascii="Arial" w:eastAsia="宋体"/>
                <w:sz w:val="21"/>
                <w:vertAlign w:val="baseline"/>
                <w:lang w:val="en-US" w:eastAsia="zh-CN"/>
              </w:rPr>
            </w:pPr>
            <w:r>
              <w:rPr>
                <w:rFonts w:hint="eastAsia" w:eastAsia="宋体"/>
                <w:sz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2106" w:type="dxa"/>
          </w:tcPr>
          <w:p>
            <w:pPr>
              <w:widowControl w:val="0"/>
              <w:spacing w:line="243" w:lineRule="auto"/>
              <w:ind w:firstLine="210" w:firstLineChars="100"/>
              <w:jc w:val="center"/>
              <w:rPr>
                <w:rFonts w:ascii="Arial"/>
                <w:sz w:val="21"/>
                <w:vertAlign w:val="baseline"/>
              </w:rPr>
            </w:pPr>
            <w:r>
              <w:rPr>
                <w:rFonts w:hint="eastAsia" w:eastAsia="宋体"/>
                <w:sz w:val="21"/>
                <w:vertAlign w:val="baseline"/>
                <w:lang w:val="en-US" w:eastAsia="zh-CN"/>
              </w:rPr>
              <w:t>长安区水磨村城中村改造回迁选房服务项目(长安区水磨村棚户区改造回迁选房服务项目)</w:t>
            </w:r>
          </w:p>
        </w:tc>
        <w:tc>
          <w:tcPr>
            <w:tcW w:w="1716" w:type="dxa"/>
            <w:vAlign w:val="center"/>
          </w:tcPr>
          <w:p>
            <w:pPr>
              <w:widowControl w:val="0"/>
              <w:spacing w:line="243" w:lineRule="auto"/>
              <w:jc w:val="center"/>
              <w:rPr>
                <w:rFonts w:hint="default" w:ascii="Arial" w:eastAsia="宋体"/>
                <w:sz w:val="21"/>
                <w:vertAlign w:val="baseline"/>
                <w:lang w:val="en-US" w:eastAsia="zh-CN"/>
              </w:rPr>
            </w:pPr>
            <w:r>
              <w:rPr>
                <w:rFonts w:hint="eastAsia" w:eastAsia="宋体"/>
                <w:sz w:val="21"/>
                <w:vertAlign w:val="baseline"/>
                <w:lang w:val="en-US" w:eastAsia="zh-CN"/>
              </w:rPr>
              <w:t>503</w:t>
            </w:r>
          </w:p>
        </w:tc>
        <w:tc>
          <w:tcPr>
            <w:tcW w:w="1911" w:type="dxa"/>
          </w:tcPr>
          <w:p>
            <w:pPr>
              <w:widowControl w:val="0"/>
              <w:spacing w:line="243" w:lineRule="auto"/>
              <w:rPr>
                <w:rFonts w:ascii="Arial"/>
                <w:sz w:val="21"/>
                <w:vertAlign w:val="baseline"/>
              </w:rPr>
            </w:pPr>
          </w:p>
        </w:tc>
        <w:tc>
          <w:tcPr>
            <w:tcW w:w="1911" w:type="dxa"/>
          </w:tcPr>
          <w:p>
            <w:pPr>
              <w:widowControl w:val="0"/>
              <w:spacing w:line="243" w:lineRule="auto"/>
              <w:rPr>
                <w:rFonts w:ascii="Arial"/>
                <w:sz w:val="21"/>
                <w:vertAlign w:val="baseline"/>
              </w:rPr>
            </w:pPr>
          </w:p>
        </w:tc>
        <w:tc>
          <w:tcPr>
            <w:tcW w:w="1912" w:type="dxa"/>
          </w:tcPr>
          <w:p>
            <w:pPr>
              <w:widowControl w:val="0"/>
              <w:spacing w:line="243" w:lineRule="auto"/>
              <w:rPr>
                <w:rFonts w:ascii="Arial"/>
                <w:sz w:val="21"/>
                <w:vertAlign w:val="baseline"/>
              </w:rPr>
            </w:pPr>
          </w:p>
        </w:tc>
      </w:tr>
    </w:tbl>
    <w:p>
      <w:pPr>
        <w:spacing w:line="243" w:lineRule="auto"/>
        <w:rPr>
          <w:rFonts w:ascii="Arial"/>
          <w:sz w:val="21"/>
        </w:rPr>
      </w:pPr>
    </w:p>
    <w:p>
      <w:pPr>
        <w:numPr>
          <w:ilvl w:val="0"/>
          <w:numId w:val="1"/>
        </w:num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付款方式：选房完成后由甲方对选房户数进行确认，根据甲方确认的选房户数，由丙方与乙方据实进行结算并承担付款义务，在结算结果 经甲方确认后60日内，丙方将全部款项一次性支付给乙方，</w:t>
      </w:r>
      <w:r>
        <w:rPr>
          <w:rFonts w:hint="eastAsia" w:ascii="宋体" w:hAnsi="宋体" w:eastAsia="宋体" w:cs="宋体"/>
          <w:b w:val="0"/>
          <w:bCs w:val="0"/>
          <w:spacing w:val="2"/>
          <w:sz w:val="21"/>
          <w:szCs w:val="21"/>
          <w:lang w:val="en-US" w:eastAsia="zh-CN"/>
        </w:rPr>
        <w:t>付款前乙方应向</w:t>
      </w:r>
      <w:r>
        <w:rPr>
          <w:rFonts w:hint="eastAsia" w:ascii="宋体" w:hAnsi="宋体" w:eastAsia="宋体" w:cs="宋体"/>
          <w:spacing w:val="2"/>
          <w:sz w:val="21"/>
          <w:szCs w:val="21"/>
          <w:u w:val="none"/>
          <w:lang w:val="en-US" w:eastAsia="zh-CN"/>
        </w:rPr>
        <w:t>丙方</w:t>
      </w:r>
      <w:r>
        <w:rPr>
          <w:rFonts w:hint="eastAsia" w:ascii="宋体" w:hAnsi="宋体" w:eastAsia="宋体" w:cs="宋体"/>
          <w:b w:val="0"/>
          <w:bCs w:val="0"/>
          <w:spacing w:val="2"/>
          <w:sz w:val="21"/>
          <w:szCs w:val="21"/>
          <w:lang w:val="en-US" w:eastAsia="zh-CN"/>
        </w:rPr>
        <w:t>开具合法有效的全额发票，</w:t>
      </w:r>
      <w:r>
        <w:rPr>
          <w:rFonts w:hint="eastAsia" w:ascii="宋体" w:hAnsi="宋体" w:eastAsia="宋体" w:cs="宋体"/>
          <w:spacing w:val="2"/>
          <w:sz w:val="21"/>
          <w:szCs w:val="21"/>
          <w:lang w:val="en-US" w:eastAsia="zh-CN"/>
        </w:rPr>
        <w:t>乙方未提供发票的，丙方有权拒绝付款，并甲方和丙方不承担任何法律责任。</w:t>
      </w:r>
    </w:p>
    <w:p>
      <w:pPr>
        <w:numPr>
          <w:ilvl w:val="0"/>
          <w:numId w:val="0"/>
        </w:numPr>
        <w:spacing w:before="1" w:line="360" w:lineRule="auto"/>
        <w:ind w:firstLine="428" w:firstLineChars="200"/>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3、选房活动期间，如遇选房人不正当行为或不合理要求或者其它原因（非乙方的原因）造成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选房活动时间延长，乙方不承担任何责任，增加的费用由甲乙双方协商解决</w:t>
      </w:r>
    </w:p>
    <w:p>
      <w:pPr>
        <w:spacing w:before="1" w:line="360" w:lineRule="auto"/>
        <w:outlineLvl w:val="1"/>
        <w:rPr>
          <w:rFonts w:hint="eastAsia" w:ascii="宋体" w:hAnsi="宋体" w:eastAsia="宋体" w:cs="宋体"/>
          <w:b/>
          <w:bCs/>
          <w:spacing w:val="2"/>
          <w:sz w:val="21"/>
          <w:szCs w:val="21"/>
          <w:lang w:val="en-US" w:eastAsia="zh-CN"/>
        </w:rPr>
      </w:pPr>
      <w:bookmarkStart w:id="3" w:name="_Toc24704"/>
      <w:r>
        <w:rPr>
          <w:rFonts w:hint="eastAsia" w:ascii="宋体" w:hAnsi="宋体" w:eastAsia="宋体" w:cs="宋体"/>
          <w:b/>
          <w:bCs/>
          <w:spacing w:val="2"/>
          <w:sz w:val="21"/>
          <w:szCs w:val="21"/>
          <w:lang w:val="en-US" w:eastAsia="zh-CN"/>
        </w:rPr>
        <w:t>三、甲方的权利与义务</w:t>
      </w:r>
      <w:bookmarkEnd w:id="3"/>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1、甲方有权对乙方人员的工作进行监督检查和具体的指导，有权要求乙方调换不适合的人员。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2、有权对乙方的服务管理工作提供指导性建议。 </w:t>
      </w:r>
    </w:p>
    <w:p>
      <w:pPr>
        <w:spacing w:before="1" w:line="360" w:lineRule="auto"/>
        <w:ind w:left="387"/>
        <w:rPr>
          <w:rFonts w:hint="eastAsia" w:ascii="宋体" w:hAnsi="宋体" w:eastAsia="宋体" w:cs="宋体"/>
          <w:spacing w:val="2"/>
          <w:sz w:val="21"/>
          <w:szCs w:val="21"/>
          <w:highlight w:val="none"/>
          <w:lang w:val="en-US" w:eastAsia="zh-CN"/>
        </w:rPr>
      </w:pPr>
      <w:r>
        <w:rPr>
          <w:rFonts w:hint="eastAsia" w:ascii="宋体" w:hAnsi="宋体" w:eastAsia="宋体" w:cs="宋体"/>
          <w:spacing w:val="2"/>
          <w:sz w:val="21"/>
          <w:szCs w:val="21"/>
          <w:highlight w:val="none"/>
          <w:lang w:val="en-US" w:eastAsia="zh-CN"/>
        </w:rPr>
        <w:t xml:space="preserve">3、协调韦曲街办通知选房人按时到达选房现场和选房现场的选房村民的资格审核、负责选完房屋村民的资料确认存档。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4、活动开始 7 日前协调韦曲街办提供活动中选房村民的正确信息、安置楼房源等的相关信息资料。甲方所提供信息资料须加盖公章。乙方将以甲方提供的加盖公章的相关信息资料为准。 </w:t>
      </w:r>
    </w:p>
    <w:p>
      <w:pPr>
        <w:spacing w:before="1" w:line="360" w:lineRule="auto"/>
        <w:outlineLvl w:val="1"/>
        <w:rPr>
          <w:rFonts w:hint="eastAsia" w:ascii="宋体" w:hAnsi="宋体" w:eastAsia="宋体" w:cs="宋体"/>
          <w:b/>
          <w:bCs/>
          <w:spacing w:val="2"/>
          <w:sz w:val="21"/>
          <w:szCs w:val="21"/>
          <w:lang w:val="en-US" w:eastAsia="zh-CN"/>
        </w:rPr>
      </w:pPr>
      <w:bookmarkStart w:id="4" w:name="_Toc9419"/>
      <w:r>
        <w:rPr>
          <w:rFonts w:hint="eastAsia" w:ascii="宋体" w:hAnsi="宋体" w:eastAsia="宋体" w:cs="宋体"/>
          <w:b/>
          <w:bCs/>
          <w:spacing w:val="2"/>
          <w:sz w:val="21"/>
          <w:szCs w:val="21"/>
          <w:lang w:val="en-US" w:eastAsia="zh-CN"/>
        </w:rPr>
        <w:t>四、乙方的权利和义务</w:t>
      </w:r>
      <w:bookmarkEnd w:id="4"/>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1、负责与场地租赁方联系并租赁选房场地，支付场地费用，负责甲乙双方工作人员的后勤保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障和场地安全。</w:t>
      </w:r>
    </w:p>
    <w:p>
      <w:pPr>
        <w:spacing w:before="1" w:line="360" w:lineRule="auto"/>
        <w:ind w:left="387"/>
        <w:rPr>
          <w:rFonts w:ascii="Arial"/>
          <w:sz w:val="21"/>
        </w:rPr>
      </w:pPr>
      <w:r>
        <w:rPr>
          <w:rFonts w:hint="eastAsia" w:ascii="宋体" w:hAnsi="宋体" w:eastAsia="宋体" w:cs="宋体"/>
          <w:spacing w:val="2"/>
          <w:sz w:val="21"/>
          <w:szCs w:val="21"/>
          <w:lang w:val="en-US" w:eastAsia="zh-CN"/>
        </w:rPr>
        <w:t>2、选房现场乙方配备相应数量的安保工作人员，保证活动现场秩序、维护会场治安安全及协</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调工作，并保证工作人员人身安全。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3、由于天气及自然灾害等其它不可抗力因素造成活动未达到预期展示和宣传效果，乙方不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承担责任。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4、选房活动的策划并实施、选房现场的布置，提供活动中所用的办公用品、拍照摄影、展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板等、提供会场后勤保障等。乙方提供每日乙方在选房活动中使用专业的选房软件，根据甲方提供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的相关房源、选房人的相关信息，确保前期数据库信息录入的正确性，并根据选房办法，组织到达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选房现场有选房资格的选房人依据相应的顺序按序选房，确保选房结果的正确性。选房的公证监督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费用由乙方承担。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5、乙方人员应执行甲方的管理制度、履行职责。严格按照乙方工作规定着装，注重仪表仪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容，工作时不准擅离岗位及进行其他与工作无关的事宜。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5、乙方保证其属下业务均在符合法律、法规，符合本协议范围内进行。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6、负责承担在选房服务过程中因管理不善等乙方或乙方工作人员自身原因产生的赔偿责任，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若因此造成甲方损失的，应当赔偿甲方全部损失（包含甲方因追偿产生的诉讼费、律师费、食宿费、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交通费等费用）。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7、本合同中所有费用均为含税价，以人民币结算。甲乙双方应各自承担根据税法规定应当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缴纳的各项税费。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8、乙方负责在活动现场配备几名户型讲解员进行现场户型、楼层、楼位置、朝向等房源户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型的讲解。 </w:t>
      </w:r>
    </w:p>
    <w:p>
      <w:pPr>
        <w:pStyle w:val="2"/>
        <w:rPr>
          <w:rFonts w:hint="eastAsia" w:cs="宋体"/>
          <w:spacing w:val="2"/>
          <w:sz w:val="21"/>
          <w:szCs w:val="21"/>
          <w:lang w:val="en-US" w:eastAsia="zh-CN"/>
        </w:rPr>
      </w:pPr>
      <w:r>
        <w:rPr>
          <w:rFonts w:hint="eastAsia" w:cs="宋体"/>
          <w:spacing w:val="2"/>
          <w:sz w:val="21"/>
          <w:szCs w:val="21"/>
          <w:lang w:val="en-US" w:eastAsia="zh-CN"/>
        </w:rPr>
        <w:t>五、丙方的权力和义务</w:t>
      </w:r>
    </w:p>
    <w:p>
      <w:pPr>
        <w:spacing w:line="360" w:lineRule="auto"/>
        <w:rPr>
          <w:rFonts w:hint="eastAsia" w:ascii="宋体" w:hAnsi="宋体" w:eastAsia="宋体" w:cs="宋体"/>
          <w:spacing w:val="2"/>
          <w:sz w:val="21"/>
          <w:szCs w:val="21"/>
          <w:lang w:val="en-US" w:eastAsia="zh-CN"/>
        </w:rPr>
      </w:pPr>
      <w:r>
        <w:rPr>
          <w:rFonts w:hint="eastAsia"/>
          <w:lang w:val="en-US" w:eastAsia="zh-CN"/>
        </w:rPr>
        <w:t xml:space="preserve">      </w:t>
      </w:r>
      <w:r>
        <w:rPr>
          <w:rFonts w:hint="eastAsia" w:ascii="宋体" w:hAnsi="宋体" w:eastAsia="宋体" w:cs="宋体"/>
          <w:spacing w:val="2"/>
          <w:sz w:val="21"/>
          <w:szCs w:val="21"/>
          <w:lang w:val="en-US" w:eastAsia="zh-CN"/>
        </w:rPr>
        <w:t>1、按合同约定进行结算并承担付款义务。</w:t>
      </w:r>
    </w:p>
    <w:p>
      <w:pPr>
        <w:spacing w:line="360" w:lineRule="auto"/>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   2 、按合同约定收取违约金</w:t>
      </w:r>
    </w:p>
    <w:p>
      <w:pPr>
        <w:spacing w:before="1" w:line="360" w:lineRule="auto"/>
        <w:outlineLvl w:val="1"/>
        <w:rPr>
          <w:rFonts w:hint="eastAsia" w:ascii="宋体" w:hAnsi="宋体" w:eastAsia="宋体" w:cs="宋体"/>
          <w:b/>
          <w:bCs/>
          <w:spacing w:val="2"/>
          <w:sz w:val="21"/>
          <w:szCs w:val="21"/>
          <w:lang w:val="en-US" w:eastAsia="zh-CN"/>
        </w:rPr>
      </w:pPr>
      <w:bookmarkStart w:id="5" w:name="_Toc739"/>
      <w:r>
        <w:rPr>
          <w:rFonts w:hint="eastAsia" w:ascii="宋体" w:hAnsi="宋体" w:eastAsia="宋体" w:cs="宋体"/>
          <w:b/>
          <w:bCs/>
          <w:spacing w:val="2"/>
          <w:sz w:val="21"/>
          <w:szCs w:val="21"/>
          <w:lang w:val="en-US" w:eastAsia="zh-CN"/>
        </w:rPr>
        <w:t>六、违约责任</w:t>
      </w:r>
      <w:bookmarkEnd w:id="5"/>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1、活动未进行前因甲方原因造成活动改期或取消，甲方应该提前七日书面通知乙方,否则由此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造成乙方前期准备工作的损失由甲方、丙方共同承担。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2、因丙方延期付款，则乙方有权解除合同。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3、乙方应按本合同约定内容向甲方提供回迁所有服务工作，因乙方提供工作内容不符合合同约定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内容的，甲方有权要求乙方进行整改，乙方拒绝整改或者 乙方发生不符合约定履行义务情形超过 3 次的，甲方有权解除本合同，且不予支付任何费用，并追究乙方违约责任。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4、因乙方原因导致甲方选房项目未能如期举行或者未能按期完成的，按照合同暂定总金额的千分之五/日支付违约金，丙方有权从未付款中直接扣除。若乙方原因导致选房项目不能举行，导致甲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方合同目的不能实现的，甲方有权解除合同，并且由乙方按照合同暂定总金额的 30%承担违约金。若不能弥补甲方损失的或给选房人造成损失的，乙方应当继续承担赔偿责任。 </w:t>
      </w:r>
    </w:p>
    <w:p>
      <w:pPr>
        <w:spacing w:before="1" w:line="360" w:lineRule="auto"/>
        <w:outlineLvl w:val="1"/>
        <w:rPr>
          <w:rFonts w:hint="eastAsia" w:ascii="宋体" w:hAnsi="宋体" w:eastAsia="宋体" w:cs="宋体"/>
          <w:b/>
          <w:bCs/>
          <w:spacing w:val="2"/>
          <w:sz w:val="21"/>
          <w:szCs w:val="21"/>
          <w:lang w:val="en-US" w:eastAsia="zh-CN"/>
        </w:rPr>
      </w:pPr>
      <w:bookmarkStart w:id="6" w:name="_Toc15710"/>
      <w:r>
        <w:rPr>
          <w:rFonts w:hint="eastAsia" w:ascii="宋体" w:hAnsi="宋体" w:eastAsia="宋体" w:cs="宋体"/>
          <w:b/>
          <w:bCs/>
          <w:spacing w:val="2"/>
          <w:sz w:val="21"/>
          <w:szCs w:val="21"/>
          <w:lang w:val="en-US" w:eastAsia="zh-CN"/>
        </w:rPr>
        <w:t>七、责任免除</w:t>
      </w:r>
      <w:bookmarkEnd w:id="6"/>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1、因不可抗力导致本协议无法履行时，双方互不承担责任。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2、遇不可抗力的意外事件导致本合同无法履行时，意外事件的一方应及时将不可抗力情形和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所造成的不能履行证明通知另一方，经确认不能继续履行的，乙方应立即退还甲方已付款项。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3、不可抗力是指不能预见、不能克服并不能避免，且对一方或双方当事人履约造成重大影响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的客观事件，包括但不限于自然灾害如洪水、地震和风暴等以及社会事件如战争、动乱、政府政策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变化等。 </w:t>
      </w:r>
    </w:p>
    <w:p>
      <w:pPr>
        <w:spacing w:before="1" w:line="360" w:lineRule="auto"/>
        <w:outlineLvl w:val="1"/>
        <w:rPr>
          <w:rFonts w:hint="eastAsia" w:ascii="宋体" w:hAnsi="宋体" w:eastAsia="宋体" w:cs="宋体"/>
          <w:b/>
          <w:bCs/>
          <w:spacing w:val="2"/>
          <w:sz w:val="21"/>
          <w:szCs w:val="21"/>
          <w:lang w:val="en-US" w:eastAsia="zh-CN"/>
        </w:rPr>
      </w:pPr>
      <w:bookmarkStart w:id="7" w:name="_Toc20116"/>
      <w:r>
        <w:rPr>
          <w:rFonts w:hint="eastAsia" w:ascii="宋体" w:hAnsi="宋体" w:eastAsia="宋体" w:cs="宋体"/>
          <w:b/>
          <w:bCs/>
          <w:spacing w:val="2"/>
          <w:sz w:val="21"/>
          <w:szCs w:val="21"/>
          <w:lang w:val="en-US" w:eastAsia="zh-CN"/>
        </w:rPr>
        <w:t>八、解决争议的方法</w:t>
      </w:r>
      <w:bookmarkEnd w:id="7"/>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凡因本合同引起的或与本合同有关的争议，甲、乙丙三方应友好协商解决。协商不成时，向甲方所在地人民法院提起诉讼。 </w:t>
      </w:r>
    </w:p>
    <w:p>
      <w:pPr>
        <w:spacing w:before="1" w:line="360" w:lineRule="auto"/>
        <w:outlineLvl w:val="1"/>
        <w:rPr>
          <w:rFonts w:hint="eastAsia" w:ascii="宋体" w:hAnsi="宋体" w:eastAsia="宋体" w:cs="宋体"/>
          <w:b/>
          <w:bCs/>
          <w:spacing w:val="2"/>
          <w:sz w:val="21"/>
          <w:szCs w:val="21"/>
          <w:lang w:val="en-US" w:eastAsia="zh-CN"/>
        </w:rPr>
      </w:pPr>
      <w:bookmarkStart w:id="8" w:name="_Toc23597"/>
      <w:r>
        <w:rPr>
          <w:rFonts w:hint="eastAsia" w:ascii="宋体" w:hAnsi="宋体" w:eastAsia="宋体" w:cs="宋体"/>
          <w:b/>
          <w:bCs/>
          <w:spacing w:val="2"/>
          <w:sz w:val="21"/>
          <w:szCs w:val="21"/>
          <w:lang w:val="en-US" w:eastAsia="zh-CN"/>
        </w:rPr>
        <w:t>九、合同生效及其它</w:t>
      </w:r>
      <w:bookmarkEnd w:id="8"/>
      <w:r>
        <w:rPr>
          <w:rFonts w:hint="eastAsia" w:ascii="宋体" w:hAnsi="宋体" w:eastAsia="宋体" w:cs="宋体"/>
          <w:b/>
          <w:bCs/>
          <w:spacing w:val="2"/>
          <w:sz w:val="21"/>
          <w:szCs w:val="21"/>
          <w:lang w:val="en-US" w:eastAsia="zh-CN"/>
        </w:rPr>
        <w:t xml:space="preserve">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1、合同未尽事宜、由甲、乙、丙三方协商签订补充协议，与本合同具有同等法律效力。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2、 本合同一式柒份，甲方留存贰份，乙方留存贰份，丙方留存贰份，长安区财政局备案壹份。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3、合同经甲乙丙三方法定代表或授权代表签字并加盖公章后生效。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4、生效时间： 年  月  日 </w:t>
      </w:r>
    </w:p>
    <w:p>
      <w:pPr>
        <w:spacing w:before="1" w:line="360" w:lineRule="auto"/>
        <w:ind w:left="387"/>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甲方名称（盖章) :  西安市长安区城中村和棚户区   乙方名称(盖章) :</w:t>
      </w:r>
    </w:p>
    <w:p>
      <w:pPr>
        <w:spacing w:before="1" w:line="360" w:lineRule="auto"/>
        <w:ind w:firstLine="2354" w:firstLineChars="1100"/>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 xml:space="preserve">改造事务中心  </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地址:                                      地址:</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代表人(签字) :                             代表人《签字) :</w:t>
      </w:r>
    </w:p>
    <w:p>
      <w:pPr>
        <w:spacing w:before="1" w:line="360" w:lineRule="auto"/>
        <w:ind w:left="387"/>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电话:                                      电话:</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开户银行:                                  开户银行:</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帐号:                                      帐号:</w:t>
      </w:r>
    </w:p>
    <w:p>
      <w:pPr>
        <w:spacing w:before="1" w:line="360" w:lineRule="auto"/>
        <w:ind w:left="387"/>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签订日期:                                  签订日期:</w:t>
      </w:r>
    </w:p>
    <w:p>
      <w:pPr>
        <w:pStyle w:val="2"/>
        <w:rPr>
          <w:rFonts w:hint="eastAsia"/>
          <w:lang w:val="en-US" w:eastAsia="zh-CN"/>
        </w:rPr>
      </w:pPr>
    </w:p>
    <w:p>
      <w:pPr>
        <w:spacing w:before="1" w:line="360" w:lineRule="auto"/>
        <w:ind w:firstLine="428" w:firstLineChars="200"/>
        <w:rPr>
          <w:rFonts w:hint="default"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丙方名称（盖章) :</w:t>
      </w:r>
      <w:r>
        <w:rPr>
          <w:rFonts w:hint="eastAsia" w:ascii="宋体" w:hAnsi="宋体" w:eastAsia="宋体" w:cs="宋体"/>
          <w:spacing w:val="2"/>
          <w:sz w:val="21"/>
          <w:szCs w:val="21"/>
          <w:lang w:val="en-US" w:eastAsia="zh-CN"/>
        </w:rPr>
        <w:t xml:space="preserve"> 西安市长安城乡建设开发有限公司</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地址:                                     </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代表人(签字) :                             </w:t>
      </w:r>
    </w:p>
    <w:p>
      <w:pPr>
        <w:spacing w:before="1" w:line="360" w:lineRule="auto"/>
        <w:ind w:left="387"/>
        <w:rPr>
          <w:rFonts w:hint="default"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电话:</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开户银行:                                </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帐号:                                     </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 帐号:</w:t>
      </w:r>
    </w:p>
    <w:p>
      <w:pPr>
        <w:spacing w:before="1" w:line="360" w:lineRule="auto"/>
        <w:ind w:left="387"/>
        <w:rPr>
          <w:rFonts w:hint="eastAsia" w:ascii="宋体" w:hAnsi="宋体" w:eastAsia="宋体" w:cs="宋体"/>
          <w:spacing w:val="2"/>
          <w:sz w:val="21"/>
          <w:szCs w:val="21"/>
          <w:u w:val="none"/>
          <w:lang w:val="en-US" w:eastAsia="zh-CN"/>
        </w:rPr>
      </w:pPr>
      <w:r>
        <w:rPr>
          <w:rFonts w:hint="eastAsia" w:ascii="宋体" w:hAnsi="宋体" w:eastAsia="宋体" w:cs="宋体"/>
          <w:spacing w:val="2"/>
          <w:sz w:val="21"/>
          <w:szCs w:val="21"/>
          <w:u w:val="none"/>
          <w:lang w:val="en-US" w:eastAsia="zh-CN"/>
        </w:rPr>
        <w:t xml:space="preserve">签订日期:                                 </w:t>
      </w: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spacing w:line="243" w:lineRule="auto"/>
        <w:rPr>
          <w:rFonts w:ascii="Arial"/>
          <w:sz w:val="21"/>
        </w:rPr>
      </w:pPr>
    </w:p>
    <w:p/>
    <w:sectPr>
      <w:footerReference r:id="rId5" w:type="default"/>
      <w:pgSz w:w="11900" w:h="16840"/>
      <w:pgMar w:top="1440" w:right="1080" w:bottom="1440" w:left="108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41</w:t>
                    </w:r>
                    <w:r>
                      <w:fldChar w:fldCharType="end"/>
                    </w:r>
                    <w:r>
                      <w:t xml:space="preserve"> 页 共 </w:t>
                    </w:r>
                    <w:r>
                      <w:fldChar w:fldCharType="begin"/>
                    </w:r>
                    <w:r>
                      <w:instrText xml:space="preserve"> NUMPAGES  \* MERGEFORMAT </w:instrText>
                    </w:r>
                    <w:r>
                      <w:fldChar w:fldCharType="separate"/>
                    </w:r>
                    <w:r>
                      <w:t>67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EC7879"/>
    <w:multiLevelType w:val="singleLevel"/>
    <w:tmpl w:val="73EC787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49071F4D"/>
    <w:rsid w:val="49071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widowControl/>
      <w:jc w:val="left"/>
    </w:pPr>
    <w:rPr>
      <w:kern w:val="0"/>
      <w:sz w:val="24"/>
      <w:szCs w:val="20"/>
    </w:rPr>
  </w:style>
  <w:style w:type="paragraph" w:styleId="4">
    <w:name w:val="footer"/>
    <w:basedOn w:val="1"/>
    <w:qFormat/>
    <w:uiPriority w:val="0"/>
    <w:pPr>
      <w:tabs>
        <w:tab w:val="center" w:pos="4153"/>
        <w:tab w:val="right" w:pos="8306"/>
      </w:tabs>
      <w:snapToGrid w:val="0"/>
      <w:jc w:val="left"/>
    </w:pPr>
    <w:rPr>
      <w:rFonts w:ascii="Calibri" w:hAnsi="Calibri"/>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2023-11-13T09:23:00Z</dcterms:created>
  <dc:creator>WPS_404932879</dc:creator>
  <cp:lastModifiedBy>WPS_404932879</cp:lastModifiedBy>
  <dcterms:modified xsi:type="dcterms:W3CDTF">2023-11-13T09:23:53Z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629F1B2E85014AC5BB86583EBA4F83FE_11</vt:lpwstr>
  </property>
</Properties>
</file>