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 w:eastAsia="方正小标宋_GBK"/>
          <w:color w:val="auto"/>
          <w:sz w:val="44"/>
          <w:szCs w:val="44"/>
          <w:highlight w:val="none"/>
        </w:rPr>
      </w:pPr>
    </w:p>
    <w:p>
      <w:pPr>
        <w:jc w:val="center"/>
        <w:rPr>
          <w:rFonts w:ascii="方正小标宋_GBK" w:hAnsi="仿宋" w:eastAsia="方正小标宋_GBK"/>
          <w:color w:val="auto"/>
          <w:sz w:val="44"/>
          <w:szCs w:val="44"/>
          <w:highlight w:val="none"/>
        </w:rPr>
      </w:pPr>
    </w:p>
    <w:p>
      <w:pPr>
        <w:jc w:val="center"/>
        <w:rPr>
          <w:rFonts w:ascii="方正小标宋_GBK" w:hAnsi="仿宋" w:eastAsia="方正小标宋_GBK"/>
          <w:color w:val="auto"/>
          <w:sz w:val="52"/>
          <w:szCs w:val="52"/>
          <w:highlight w:val="none"/>
        </w:rPr>
      </w:pPr>
      <w:r>
        <w:rPr>
          <w:rFonts w:hint="eastAsia" w:ascii="方正小标宋_GBK" w:hAnsi="仿宋" w:eastAsia="方正小标宋_GBK"/>
          <w:color w:val="auto"/>
          <w:sz w:val="52"/>
          <w:szCs w:val="52"/>
          <w:highlight w:val="none"/>
        </w:rPr>
        <w:t>四川国际招标有限责任公司</w:t>
      </w:r>
    </w:p>
    <w:p>
      <w:pPr>
        <w:jc w:val="center"/>
        <w:rPr>
          <w:rFonts w:ascii="方正小标宋_GBK" w:hAnsi="仿宋" w:eastAsia="方正小标宋_GBK"/>
          <w:color w:val="auto"/>
          <w:sz w:val="52"/>
          <w:szCs w:val="52"/>
          <w:highlight w:val="none"/>
        </w:rPr>
      </w:pPr>
      <w:r>
        <w:rPr>
          <w:rFonts w:hint="eastAsia" w:ascii="方正小标宋_GBK" w:hAnsi="仿宋" w:eastAsia="方正小标宋_GBK"/>
          <w:color w:val="auto"/>
          <w:sz w:val="52"/>
          <w:szCs w:val="52"/>
          <w:highlight w:val="none"/>
        </w:rPr>
        <w:t>招标文件</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jc w:val="both"/>
        <w:rPr>
          <w:rFonts w:ascii="黑体" w:hAnsi="黑体" w:eastAsia="黑体"/>
          <w:color w:val="auto"/>
          <w:sz w:val="32"/>
          <w:szCs w:val="32"/>
          <w:highlight w:val="none"/>
        </w:rPr>
      </w:pPr>
      <w:r>
        <w:rPr>
          <w:rFonts w:ascii="黑体" w:hAnsi="黑体" w:eastAsia="黑体"/>
          <w:color w:val="auto"/>
          <w:sz w:val="32"/>
          <w:szCs w:val="32"/>
          <w:highlight w:val="none"/>
        </w:rPr>
        <w:t>项目名称：</w:t>
      </w:r>
      <w:r>
        <w:rPr>
          <w:rFonts w:hint="eastAsia" w:ascii="黑体" w:hAnsi="黑体" w:eastAsia="黑体"/>
          <w:color w:val="auto"/>
          <w:sz w:val="32"/>
          <w:szCs w:val="32"/>
          <w:highlight w:val="none"/>
        </w:rPr>
        <w:t xml:space="preserve">西安市临潼区基层财政服务中心2022-2023年村级公益事业照明项目 </w:t>
      </w:r>
    </w:p>
    <w:p>
      <w:pPr>
        <w:spacing w:line="560" w:lineRule="exact"/>
        <w:jc w:val="both"/>
        <w:rPr>
          <w:rFonts w:ascii="黑体" w:hAnsi="黑体" w:eastAsia="黑体"/>
          <w:color w:val="auto"/>
          <w:sz w:val="32"/>
          <w:szCs w:val="32"/>
          <w:highlight w:val="none"/>
        </w:rPr>
      </w:pPr>
      <w:r>
        <w:rPr>
          <w:rFonts w:ascii="黑体" w:hAnsi="黑体" w:eastAsia="黑体"/>
          <w:color w:val="auto"/>
          <w:sz w:val="32"/>
          <w:szCs w:val="32"/>
          <w:highlight w:val="none"/>
        </w:rPr>
        <w:t>项目编号：SCIT-ZG-SX2023080004</w:t>
      </w:r>
    </w:p>
    <w:p>
      <w:pPr>
        <w:spacing w:line="560" w:lineRule="exact"/>
        <w:ind w:firstLine="640" w:firstLineChars="200"/>
        <w:jc w:val="center"/>
        <w:rPr>
          <w:rFonts w:ascii="黑体" w:hAnsi="黑体" w:eastAsia="黑体"/>
          <w:color w:val="auto"/>
          <w:sz w:val="32"/>
          <w:szCs w:val="32"/>
          <w:highlight w:val="none"/>
        </w:rPr>
      </w:pPr>
    </w:p>
    <w:p>
      <w:pPr>
        <w:spacing w:line="560" w:lineRule="exact"/>
        <w:ind w:firstLine="640" w:firstLineChars="200"/>
        <w:jc w:val="center"/>
        <w:rPr>
          <w:rFonts w:ascii="黑体" w:hAnsi="黑体" w:eastAsia="黑体"/>
          <w:color w:val="auto"/>
          <w:sz w:val="32"/>
          <w:szCs w:val="32"/>
          <w:highlight w:val="none"/>
        </w:rPr>
      </w:pPr>
    </w:p>
    <w:p>
      <w:pPr>
        <w:spacing w:line="560" w:lineRule="exact"/>
        <w:jc w:val="both"/>
        <w:rPr>
          <w:rFonts w:ascii="黑体" w:hAnsi="黑体" w:eastAsia="黑体"/>
          <w:color w:val="auto"/>
          <w:sz w:val="32"/>
          <w:szCs w:val="32"/>
          <w:highlight w:val="none"/>
        </w:rPr>
      </w:pPr>
    </w:p>
    <w:p>
      <w:pPr>
        <w:spacing w:line="560" w:lineRule="exact"/>
        <w:rPr>
          <w:rFonts w:ascii="黑体" w:hAnsi="黑体" w:eastAsia="黑体"/>
          <w:color w:val="auto"/>
          <w:sz w:val="32"/>
          <w:szCs w:val="32"/>
          <w:highlight w:val="none"/>
        </w:rPr>
      </w:pPr>
    </w:p>
    <w:p>
      <w:pPr>
        <w:spacing w:line="560" w:lineRule="exact"/>
        <w:jc w:val="center"/>
        <w:rPr>
          <w:rFonts w:ascii="黑体" w:hAnsi="黑体" w:eastAsia="黑体"/>
          <w:color w:val="auto"/>
          <w:sz w:val="32"/>
          <w:szCs w:val="32"/>
          <w:highlight w:val="none"/>
        </w:rPr>
      </w:pPr>
      <w:r>
        <w:rPr>
          <w:rFonts w:ascii="黑体" w:hAnsi="黑体" w:eastAsia="黑体"/>
          <w:color w:val="auto"/>
          <w:sz w:val="32"/>
          <w:szCs w:val="32"/>
          <w:highlight w:val="none"/>
        </w:rPr>
        <w:fldChar w:fldCharType="begin"/>
      </w:r>
      <w:r>
        <w:rPr>
          <w:rFonts w:ascii="黑体" w:hAnsi="黑体" w:eastAsia="黑体"/>
          <w:color w:val="auto"/>
          <w:sz w:val="32"/>
          <w:szCs w:val="32"/>
          <w:highlight w:val="none"/>
        </w:rPr>
        <w:instrText xml:space="preserve"> TIME \@ "yyyy年M月" </w:instrText>
      </w:r>
      <w:r>
        <w:rPr>
          <w:rFonts w:ascii="黑体" w:hAnsi="黑体" w:eastAsia="黑体"/>
          <w:color w:val="auto"/>
          <w:sz w:val="32"/>
          <w:szCs w:val="32"/>
          <w:highlight w:val="none"/>
        </w:rPr>
        <w:fldChar w:fldCharType="separate"/>
      </w:r>
      <w:r>
        <w:rPr>
          <w:rFonts w:ascii="黑体" w:hAnsi="黑体" w:eastAsia="黑体"/>
          <w:color w:val="auto"/>
          <w:sz w:val="32"/>
          <w:szCs w:val="32"/>
          <w:highlight w:val="none"/>
        </w:rPr>
        <w:t>2023年8月</w:t>
      </w:r>
      <w:r>
        <w:rPr>
          <w:rFonts w:ascii="黑体" w:hAnsi="黑体" w:eastAsia="黑体"/>
          <w:color w:val="auto"/>
          <w:sz w:val="32"/>
          <w:szCs w:val="32"/>
          <w:highlight w:val="none"/>
        </w:rPr>
        <w:fldChar w:fldCharType="end"/>
      </w:r>
      <w:r>
        <w:rPr>
          <w:rFonts w:ascii="黑体" w:hAnsi="黑体" w:eastAsia="黑体"/>
          <w:color w:val="auto"/>
          <w:sz w:val="32"/>
          <w:szCs w:val="32"/>
          <w:highlight w:val="none"/>
        </w:rPr>
        <w:br w:type="page"/>
      </w:r>
    </w:p>
    <w:p>
      <w:pPr>
        <w:pStyle w:val="3"/>
        <w:rPr>
          <w:color w:val="auto"/>
          <w:highlight w:val="none"/>
        </w:rPr>
      </w:pPr>
      <w:bookmarkStart w:id="0" w:name="_Toc100219612"/>
      <w:r>
        <w:rPr>
          <w:rFonts w:hint="eastAsia"/>
          <w:color w:val="auto"/>
          <w:highlight w:val="none"/>
        </w:rPr>
        <w:t xml:space="preserve">第一章 </w:t>
      </w:r>
      <w:r>
        <w:rPr>
          <w:color w:val="auto"/>
          <w:highlight w:val="none"/>
        </w:rPr>
        <w:t xml:space="preserve"> </w:t>
      </w:r>
      <w:r>
        <w:rPr>
          <w:rFonts w:hint="eastAsia"/>
          <w:color w:val="auto"/>
          <w:highlight w:val="none"/>
        </w:rPr>
        <w:t>投标邀请函</w:t>
      </w:r>
      <w:bookmarkEnd w:id="0"/>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四川国际招标有限责任公司受西安市临潼区基层财政服务中心的委托，经政府采购监管部门批准，按照政府采购程序，对西安市临潼区基层财政服务中心2022-2023年村级公益事业照明项目进行公开招标，欢迎符合资格条件的、有能力提供本项目所需货物和服务的供应商参加投标。</w:t>
      </w:r>
    </w:p>
    <w:p>
      <w:pPr>
        <w:pStyle w:val="4"/>
        <w:rPr>
          <w:color w:val="auto"/>
          <w:highlight w:val="none"/>
        </w:rPr>
      </w:pPr>
      <w:r>
        <w:rPr>
          <w:rFonts w:hint="eastAsia"/>
          <w:color w:val="auto"/>
          <w:highlight w:val="none"/>
        </w:rPr>
        <w:t>一、项目基本信息：</w:t>
      </w:r>
    </w:p>
    <w:p>
      <w:pPr>
        <w:spacing w:line="560" w:lineRule="exact"/>
        <w:ind w:left="2238" w:leftChars="266" w:hanging="1600" w:hangingChars="5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项目名称：西安市临潼区基层财政服务中心2022-2023年村级公益事业照明项目</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项目编号：SCIT-ZG-SX2023080004</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预算执行书编号：ZCBN-临潼区-2023-00138</w:t>
      </w:r>
    </w:p>
    <w:p>
      <w:pPr>
        <w:pStyle w:val="4"/>
        <w:rPr>
          <w:color w:val="auto"/>
          <w:highlight w:val="none"/>
        </w:rPr>
      </w:pPr>
      <w:r>
        <w:rPr>
          <w:rFonts w:hint="eastAsia"/>
          <w:color w:val="auto"/>
          <w:highlight w:val="none"/>
        </w:rPr>
        <w:t>二、项目性质：专门面向中小企业的采购</w:t>
      </w:r>
    </w:p>
    <w:p>
      <w:pPr>
        <w:pStyle w:val="4"/>
        <w:rPr>
          <w:color w:val="auto"/>
          <w:highlight w:val="none"/>
        </w:rPr>
      </w:pPr>
      <w:r>
        <w:rPr>
          <w:rFonts w:hint="eastAsia"/>
          <w:color w:val="auto"/>
          <w:highlight w:val="none"/>
        </w:rPr>
        <w:t>三、采购内容和要求：</w:t>
      </w:r>
    </w:p>
    <w:p>
      <w:pPr>
        <w:ind w:firstLine="640" w:firstLineChars="200"/>
        <w:rPr>
          <w:color w:val="auto"/>
          <w:highlight w:val="none"/>
        </w:rPr>
      </w:pPr>
      <w:r>
        <w:rPr>
          <w:rFonts w:hint="eastAsia" w:ascii="仿宋_GB2312" w:hAnsi="仿宋" w:eastAsia="仿宋_GB2312"/>
          <w:color w:val="auto"/>
          <w:sz w:val="32"/>
          <w:szCs w:val="32"/>
          <w:highlight w:val="none"/>
        </w:rPr>
        <w:t>本项目共六个标段，采购路灯共2080盏，用于照明设施提升改造。（详见招标文件第三章〈招标内容及要求〉）</w:t>
      </w:r>
    </w:p>
    <w:p>
      <w:pPr>
        <w:pStyle w:val="4"/>
        <w:numPr>
          <w:ilvl w:val="0"/>
          <w:numId w:val="2"/>
        </w:numPr>
        <w:rPr>
          <w:color w:val="auto"/>
          <w:highlight w:val="none"/>
        </w:rPr>
      </w:pPr>
      <w:r>
        <w:rPr>
          <w:rFonts w:hint="eastAsia"/>
          <w:color w:val="auto"/>
          <w:highlight w:val="none"/>
        </w:rPr>
        <w:t>采购预算：661万元，最高限价（单价）3200元/盏。</w:t>
      </w:r>
    </w:p>
    <w:p>
      <w:pPr>
        <w:spacing w:line="560" w:lineRule="exact"/>
        <w:ind w:firstLine="640" w:firstLineChars="200"/>
        <w:jc w:val="both"/>
        <w:rPr>
          <w:rFonts w:ascii="仿宋_GB2312" w:hAnsi="仿宋"/>
          <w:color w:val="auto"/>
          <w:sz w:val="32"/>
          <w:szCs w:val="32"/>
          <w:highlight w:val="none"/>
        </w:rPr>
      </w:pPr>
      <w:r>
        <w:rPr>
          <w:rFonts w:hint="eastAsia" w:ascii="仿宋_GB2312" w:hAnsi="仿宋" w:eastAsia="仿宋_GB2312"/>
          <w:color w:val="auto"/>
          <w:sz w:val="32"/>
          <w:szCs w:val="32"/>
          <w:highlight w:val="none"/>
        </w:rPr>
        <w:t>第一标段：1180000元，最高限价（单价）：3200元/盏；</w:t>
      </w:r>
    </w:p>
    <w:p>
      <w:pPr>
        <w:spacing w:line="560" w:lineRule="exact"/>
        <w:ind w:firstLine="640" w:firstLineChars="200"/>
        <w:jc w:val="both"/>
        <w:rPr>
          <w:rFonts w:ascii="仿宋_GB2312" w:hAnsi="仿宋"/>
          <w:color w:val="auto"/>
          <w:sz w:val="32"/>
          <w:szCs w:val="32"/>
          <w:highlight w:val="none"/>
        </w:rPr>
      </w:pPr>
      <w:r>
        <w:rPr>
          <w:rFonts w:hint="eastAsia" w:ascii="仿宋_GB2312" w:hAnsi="仿宋" w:eastAsia="仿宋_GB2312"/>
          <w:color w:val="auto"/>
          <w:sz w:val="32"/>
          <w:szCs w:val="32"/>
          <w:highlight w:val="none"/>
        </w:rPr>
        <w:t>第二标段：1210000元，最高限价（单价）：3200元/盏；</w:t>
      </w:r>
    </w:p>
    <w:p>
      <w:pPr>
        <w:spacing w:line="560" w:lineRule="exact"/>
        <w:ind w:firstLine="640" w:firstLineChars="200"/>
        <w:jc w:val="both"/>
        <w:rPr>
          <w:rFonts w:ascii="仿宋_GB2312" w:hAnsi="仿宋"/>
          <w:color w:val="auto"/>
          <w:sz w:val="32"/>
          <w:szCs w:val="32"/>
          <w:highlight w:val="none"/>
        </w:rPr>
      </w:pPr>
      <w:r>
        <w:rPr>
          <w:rFonts w:hint="eastAsia" w:ascii="仿宋_GB2312" w:hAnsi="仿宋" w:eastAsia="仿宋_GB2312"/>
          <w:color w:val="auto"/>
          <w:sz w:val="32"/>
          <w:szCs w:val="32"/>
          <w:highlight w:val="none"/>
        </w:rPr>
        <w:t>第三标段：1110000元，最高限价（单价）：3200元/盏；</w:t>
      </w:r>
    </w:p>
    <w:p>
      <w:pPr>
        <w:spacing w:line="560" w:lineRule="exact"/>
        <w:ind w:firstLine="640" w:firstLineChars="200"/>
        <w:jc w:val="both"/>
        <w:rPr>
          <w:rFonts w:ascii="仿宋_GB2312" w:hAnsi="仿宋" w:eastAsia="仿宋_GB2312"/>
          <w:color w:val="auto"/>
          <w:sz w:val="32"/>
          <w:szCs w:val="32"/>
          <w:highlight w:val="none"/>
        </w:rPr>
      </w:pPr>
    </w:p>
    <w:p>
      <w:pPr>
        <w:spacing w:line="560" w:lineRule="exact"/>
        <w:ind w:firstLine="640" w:firstLineChars="200"/>
        <w:jc w:val="both"/>
        <w:rPr>
          <w:rFonts w:ascii="仿宋_GB2312" w:hAnsi="仿宋"/>
          <w:color w:val="auto"/>
          <w:sz w:val="32"/>
          <w:szCs w:val="32"/>
          <w:highlight w:val="none"/>
        </w:rPr>
      </w:pPr>
      <w:r>
        <w:rPr>
          <w:rFonts w:hint="eastAsia" w:ascii="仿宋_GB2312" w:hAnsi="仿宋" w:eastAsia="仿宋_GB2312"/>
          <w:color w:val="auto"/>
          <w:sz w:val="32"/>
          <w:szCs w:val="32"/>
          <w:highlight w:val="none"/>
        </w:rPr>
        <w:t>第四标段：1210000元，最高限价（单价）：3200元/盏；</w:t>
      </w:r>
    </w:p>
    <w:p>
      <w:pPr>
        <w:spacing w:line="560" w:lineRule="exact"/>
        <w:ind w:firstLine="640" w:firstLineChars="200"/>
        <w:jc w:val="both"/>
        <w:rPr>
          <w:rFonts w:ascii="仿宋_GB2312" w:hAnsi="仿宋"/>
          <w:color w:val="auto"/>
          <w:sz w:val="32"/>
          <w:szCs w:val="32"/>
          <w:highlight w:val="none"/>
        </w:rPr>
      </w:pPr>
      <w:r>
        <w:rPr>
          <w:rFonts w:hint="eastAsia" w:ascii="仿宋_GB2312" w:hAnsi="仿宋" w:eastAsia="仿宋_GB2312"/>
          <w:color w:val="auto"/>
          <w:sz w:val="32"/>
          <w:szCs w:val="32"/>
          <w:highlight w:val="none"/>
        </w:rPr>
        <w:t>第五标段：980000元，最高限价（单价）：3200元/盏；</w:t>
      </w:r>
    </w:p>
    <w:p>
      <w:pPr>
        <w:spacing w:line="560" w:lineRule="exact"/>
        <w:ind w:firstLine="640" w:firstLineChars="200"/>
        <w:jc w:val="both"/>
        <w:rPr>
          <w:rFonts w:ascii="仿宋_GB2312" w:hAnsi="仿宋"/>
          <w:color w:val="auto"/>
          <w:sz w:val="32"/>
          <w:szCs w:val="32"/>
          <w:highlight w:val="none"/>
        </w:rPr>
      </w:pPr>
      <w:r>
        <w:rPr>
          <w:rFonts w:hint="eastAsia" w:ascii="仿宋_GB2312" w:hAnsi="仿宋" w:eastAsia="仿宋_GB2312"/>
          <w:color w:val="auto"/>
          <w:sz w:val="32"/>
          <w:szCs w:val="32"/>
          <w:highlight w:val="none"/>
        </w:rPr>
        <w:t>第六标段：920000元，最高限价（单价）：3200元/盏；</w:t>
      </w:r>
    </w:p>
    <w:p>
      <w:pPr>
        <w:pStyle w:val="4"/>
        <w:rPr>
          <w:color w:val="auto"/>
          <w:highlight w:val="none"/>
        </w:rPr>
      </w:pPr>
      <w:r>
        <w:rPr>
          <w:rFonts w:hint="eastAsia"/>
          <w:color w:val="auto"/>
          <w:highlight w:val="none"/>
        </w:rPr>
        <w:t>五、供应商资格要求：</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1．基本资格条件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满足《中华人民共和国政府釆购</w:t>
      </w:r>
      <w:r>
        <w:rPr>
          <w:rFonts w:hint="eastAsia" w:ascii="仿宋_GB2312" w:hAnsi="仿宋_GB2312" w:eastAsia="仿宋_GB2312" w:cs="仿宋_GB2312"/>
          <w:color w:val="auto"/>
          <w:sz w:val="32"/>
          <w:szCs w:val="32"/>
          <w:highlight w:val="none"/>
        </w:rPr>
        <w:t>法》第二十二条规定。</w:t>
      </w:r>
    </w:p>
    <w:p>
      <w:pPr>
        <w:numPr>
          <w:ilvl w:val="0"/>
          <w:numId w:val="3"/>
        </w:num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特定资格条件</w:t>
      </w:r>
    </w:p>
    <w:p>
      <w:pPr>
        <w:pStyle w:val="23"/>
        <w:numPr>
          <w:ilvl w:val="0"/>
          <w:numId w:val="4"/>
        </w:numPr>
        <w:spacing w:before="0" w:beforeAutospacing="0" w:after="0" w:afterAutospacing="0" w:line="480" w:lineRule="atLeast"/>
        <w:ind w:left="480"/>
        <w:jc w:val="both"/>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法定代表人授权书及被授权人身份证明（法定代表人直接参与只须提交其身份证明）；</w:t>
      </w:r>
    </w:p>
    <w:p>
      <w:pPr>
        <w:pStyle w:val="23"/>
        <w:numPr>
          <w:ilvl w:val="0"/>
          <w:numId w:val="4"/>
        </w:numPr>
        <w:spacing w:before="0" w:beforeAutospacing="0" w:after="0" w:afterAutospacing="0" w:line="480" w:lineRule="atLeast"/>
        <w:ind w:left="480"/>
        <w:jc w:val="both"/>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投标人未被列入失信被执行人、重大税收违法案件当事人名单、政府采购严重违法失信行为记录；</w:t>
      </w:r>
    </w:p>
    <w:p>
      <w:pPr>
        <w:pStyle w:val="23"/>
        <w:numPr>
          <w:ilvl w:val="0"/>
          <w:numId w:val="4"/>
        </w:numPr>
        <w:spacing w:before="0" w:beforeAutospacing="0" w:after="0" w:afterAutospacing="0" w:line="480" w:lineRule="atLeast"/>
        <w:ind w:left="480"/>
        <w:jc w:val="both"/>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投标人须具备建设行政主管部门颁发的市政公用工程施工总承包三级及以上资质或城市及道路照明工程专业承包三级及以上资质，且具有有效的安全生产许可证；</w:t>
      </w:r>
    </w:p>
    <w:p>
      <w:pPr>
        <w:pStyle w:val="23"/>
        <w:numPr>
          <w:ilvl w:val="0"/>
          <w:numId w:val="4"/>
        </w:numPr>
        <w:spacing w:before="0" w:beforeAutospacing="0" w:after="0" w:afterAutospacing="0" w:line="480" w:lineRule="atLeast"/>
        <w:ind w:left="480"/>
        <w:jc w:val="both"/>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项目经理应具有市政公用工程专业或机电工程专业二级或以上注册建造师，具有建造师安全生产考核合格证书(B证)，且在本单位注册；</w:t>
      </w:r>
    </w:p>
    <w:p>
      <w:pPr>
        <w:pStyle w:val="23"/>
        <w:numPr>
          <w:ilvl w:val="0"/>
          <w:numId w:val="4"/>
        </w:numPr>
        <w:spacing w:before="0" w:beforeAutospacing="0" w:after="0" w:afterAutospacing="0" w:line="480" w:lineRule="atLeast"/>
        <w:ind w:left="480"/>
        <w:jc w:val="both"/>
        <w:textAlignment w:val="baseline"/>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本项目不接受联合体。</w:t>
      </w:r>
    </w:p>
    <w:p>
      <w:pPr>
        <w:pStyle w:val="4"/>
        <w:rPr>
          <w:color w:val="auto"/>
          <w:highlight w:val="none"/>
        </w:rPr>
      </w:pPr>
      <w:r>
        <w:rPr>
          <w:rFonts w:hint="eastAsia"/>
          <w:color w:val="auto"/>
          <w:highlight w:val="none"/>
        </w:rPr>
        <w:t>六、执行的其他政府采购政策：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政府采购促进中小企业发展管理办法》（财库〔2020〕46号）、《关于政府采购支持监狱企业发展有关问题的通知》（财库〔2014〕68号）以及《关于促进残疾人就业政府采购政策的通知》（财库〔2017〕141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3．陕西省财政厅关于印发《陕西省中小企业政府采购信用融资办法》（陕财办采〔2018〕23号）。</w:t>
      </w:r>
    </w:p>
    <w:p>
      <w:pPr>
        <w:spacing w:line="560" w:lineRule="exact"/>
        <w:ind w:firstLine="640" w:firstLineChars="200"/>
        <w:jc w:val="both"/>
        <w:rPr>
          <w:rFonts w:ascii="仿宋" w:hAnsi="仿宋" w:eastAsia="仿宋"/>
          <w:color w:val="auto"/>
          <w:sz w:val="32"/>
          <w:szCs w:val="32"/>
          <w:highlight w:val="none"/>
        </w:rPr>
      </w:pPr>
      <w:r>
        <w:rPr>
          <w:rFonts w:hint="eastAsia" w:ascii="仿宋_GB2312" w:hAnsi="仿宋" w:eastAsia="仿宋_GB2312"/>
          <w:color w:val="auto"/>
          <w:sz w:val="32"/>
          <w:szCs w:val="32"/>
          <w:highlight w:val="none"/>
        </w:rPr>
        <w:t>4．详见招标文件第二章相关事项。</w:t>
      </w:r>
    </w:p>
    <w:p>
      <w:pPr>
        <w:pStyle w:val="4"/>
        <w:rPr>
          <w:color w:val="auto"/>
          <w:highlight w:val="none"/>
        </w:rPr>
      </w:pPr>
      <w:r>
        <w:rPr>
          <w:rFonts w:hint="eastAsia"/>
          <w:color w:val="auto"/>
          <w:highlight w:val="none"/>
        </w:rPr>
        <w:t>七、招标文件获取方式及公告期限：</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1．获取方式：打开【全国公共资源交易平台（陕西省·西安市）】网站（简称西安市公共资源交易平台，官网地址：</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http://sxggzyjy.xa.gov.cn/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2．招标文件公告期：自招标公告发布之日起5个工作日</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3．友情提示：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（2）制作电子投标文件（*.SXSTF）需要使用专用制作工具。软件下载及操作说明详见西安市公共资源交易平台〖首页·〉服务指南·〉下载专区〗中的《政府采购项目投 标文件制作软件及操作手册》。</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4"/>
        <w:rPr>
          <w:color w:val="auto"/>
          <w:highlight w:val="none"/>
        </w:rPr>
      </w:pPr>
      <w:r>
        <w:rPr>
          <w:rFonts w:hint="eastAsia"/>
          <w:color w:val="auto"/>
          <w:highlight w:val="none"/>
        </w:rPr>
        <w:t>八、提交投标文件方式、截止时间及开标时间、形式：</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2．提交投标文件截止时间及开标时间：2023年</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rPr>
        <w:t xml:space="preserve">月    </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日09:30，逾期提交的，系统将拒绝接收。</w:t>
      </w:r>
    </w:p>
    <w:p>
      <w:pPr>
        <w:spacing w:line="560" w:lineRule="exact"/>
        <w:ind w:firstLine="640" w:firstLineChars="200"/>
        <w:jc w:val="both"/>
        <w:rPr>
          <w:rFonts w:ascii="仿宋" w:hAnsi="仿宋" w:eastAsia="仿宋"/>
          <w:color w:val="auto"/>
          <w:sz w:val="32"/>
          <w:szCs w:val="32"/>
          <w:highlight w:val="none"/>
        </w:rPr>
      </w:pPr>
      <w:r>
        <w:rPr>
          <w:rFonts w:hint="eastAsia" w:ascii="仿宋_GB2312" w:hAnsi="仿宋" w:eastAsia="仿宋_GB2312"/>
          <w:color w:val="auto"/>
          <w:sz w:val="32"/>
          <w:szCs w:val="32"/>
          <w:highlight w:val="none"/>
        </w:rPr>
        <w:t xml:space="preserve">3．开标形式：本项目将采用“ </w:t>
      </w:r>
      <w:r>
        <w:rPr>
          <w:rFonts w:hint="eastAsia" w:ascii="仿宋_GB2312" w:hAnsi="仿宋" w:eastAsia="仿宋_GB2312"/>
          <w:color w:val="auto"/>
          <w:sz w:val="32"/>
          <w:szCs w:val="32"/>
          <w:highlight w:val="none"/>
        </w:rPr>
        <w:tab/>
      </w:r>
      <w:r>
        <w:rPr>
          <w:rFonts w:hint="eastAsia" w:ascii="仿宋_GB2312" w:hAnsi="仿宋" w:eastAsia="仿宋_GB2312"/>
          <w:color w:val="auto"/>
          <w:sz w:val="32"/>
          <w:szCs w:val="32"/>
          <w:highlight w:val="none"/>
        </w:rPr>
        <w:t>不见面开标”形式。操作说明详见平台〖首页·〉服务指南·〉下载专区〗中的《西安公共资源交易不见面开标大厅供应商操作手册》。</w:t>
      </w:r>
    </w:p>
    <w:p>
      <w:pPr>
        <w:pStyle w:val="4"/>
        <w:rPr>
          <w:color w:val="auto"/>
          <w:highlight w:val="none"/>
        </w:rPr>
      </w:pPr>
      <w:r>
        <w:rPr>
          <w:rFonts w:hint="eastAsia"/>
          <w:color w:val="auto"/>
          <w:highlight w:val="none"/>
        </w:rPr>
        <w:t>九、联系方式</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1．采购人：西安市临潼区基层财政服务中心</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地址：</w:t>
      </w:r>
      <w:r>
        <w:rPr>
          <w:color w:val="auto"/>
          <w:highlight w:val="none"/>
        </w:rPr>
        <w:fldChar w:fldCharType="begin"/>
      </w:r>
      <w:r>
        <w:rPr>
          <w:color w:val="auto"/>
          <w:highlight w:val="none"/>
        </w:rPr>
        <w:instrText xml:space="preserve"> HYPERLINK "http://map.so.com/?k=%E4%B8%B4%E6%BD%BC%E5%8C%BA%E7%A7%A6%E9%99%B5%E5%88%9D%E7%BA%A7%E4%B8%AD%E5%AD%A6&amp;src=lbsdizhi" \t "https://www.so.com/_blank" </w:instrText>
      </w:r>
      <w:r>
        <w:rPr>
          <w:color w:val="auto"/>
          <w:highlight w:val="none"/>
        </w:rPr>
        <w:fldChar w:fldCharType="separate"/>
      </w:r>
      <w:r>
        <w:rPr>
          <w:rFonts w:hint="eastAsia" w:ascii="仿宋_GB2312" w:hAnsi="仿宋" w:eastAsia="仿宋_GB2312"/>
          <w:color w:val="auto"/>
          <w:sz w:val="32"/>
          <w:szCs w:val="32"/>
          <w:highlight w:val="none"/>
        </w:rPr>
        <w:t>西安市临潼区东大街60号</w:t>
      </w:r>
      <w:r>
        <w:rPr>
          <w:rFonts w:hint="eastAsia" w:ascii="仿宋_GB2312" w:hAnsi="仿宋" w:eastAsia="仿宋_GB2312"/>
          <w:color w:val="auto"/>
          <w:sz w:val="32"/>
          <w:szCs w:val="32"/>
          <w:highlight w:val="none"/>
        </w:rPr>
        <w:fldChar w:fldCharType="end"/>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联系人：段老师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联系方式：029-83818570</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2．采购代理机构：四川国际招标有限责任公司</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地址：西安市高新区唐延路35号旺座现代城G座2301室</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总机：029-88854271/88854272</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标书联系人及分机号：连娟029-88854272转8009</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开标联系人及分机号：张祎多029-88854272转8010</w:t>
      </w:r>
    </w:p>
    <w:p>
      <w:pPr>
        <w:spacing w:line="560" w:lineRule="exact"/>
        <w:ind w:firstLine="640" w:firstLineChars="200"/>
        <w:jc w:val="both"/>
        <w:rPr>
          <w:rFonts w:ascii="仿宋" w:hAnsi="仿宋" w:eastAsia="仿宋"/>
          <w:color w:val="auto"/>
          <w:sz w:val="32"/>
          <w:szCs w:val="32"/>
          <w:highlight w:val="none"/>
        </w:rPr>
      </w:pPr>
      <w:bookmarkStart w:id="1" w:name="_Toc100219613"/>
      <w:bookmarkStart w:id="2" w:name="_Toc445407251"/>
      <w:bookmarkStart w:id="3" w:name="_Toc97563329"/>
      <w:bookmarkStart w:id="4" w:name="_Toc533363235"/>
      <w:bookmarkStart w:id="5" w:name="_Toc498349068"/>
      <w:bookmarkStart w:id="6" w:name="_Toc533363262"/>
      <w:bookmarkStart w:id="7" w:name="_Toc534656414"/>
      <w:bookmarkStart w:id="8" w:name="_Toc534656409"/>
      <w:r>
        <w:rPr>
          <w:rFonts w:ascii="仿宋" w:hAnsi="仿宋" w:eastAsia="仿宋"/>
          <w:color w:val="auto"/>
          <w:sz w:val="32"/>
          <w:szCs w:val="32"/>
          <w:highlight w:val="none"/>
        </w:rPr>
        <w:br w:type="page"/>
      </w:r>
    </w:p>
    <w:p>
      <w:pPr>
        <w:pStyle w:val="3"/>
        <w:spacing w:line="24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 xml:space="preserve"> 供应商须知</w:t>
      </w:r>
      <w:bookmarkEnd w:id="1"/>
      <w:bookmarkEnd w:id="2"/>
      <w:bookmarkEnd w:id="3"/>
      <w:bookmarkEnd w:id="4"/>
      <w:bookmarkEnd w:id="5"/>
      <w:bookmarkEnd w:id="6"/>
      <w:bookmarkEnd w:id="7"/>
      <w:bookmarkEnd w:id="8"/>
    </w:p>
    <w:p>
      <w:pPr>
        <w:pStyle w:val="3"/>
        <w:spacing w:line="240" w:lineRule="auto"/>
        <w:jc w:val="left"/>
        <w:rPr>
          <w:color w:val="auto"/>
          <w:highlight w:val="none"/>
        </w:rPr>
      </w:pPr>
      <w:r>
        <w:rPr>
          <w:rFonts w:hint="eastAsia" w:ascii="仿宋" w:eastAsia="仿宋"/>
          <w:color w:val="auto"/>
          <w:sz w:val="32"/>
          <w:szCs w:val="32"/>
          <w:highlight w:val="none"/>
        </w:rPr>
        <w:t>〖前附表〗</w:t>
      </w:r>
    </w:p>
    <w:tbl>
      <w:tblPr>
        <w:tblStyle w:val="29"/>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1864"/>
        <w:gridCol w:w="60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序号</w:t>
            </w:r>
          </w:p>
        </w:tc>
        <w:tc>
          <w:tcPr>
            <w:tcW w:w="1864"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内容</w:t>
            </w:r>
          </w:p>
        </w:tc>
        <w:tc>
          <w:tcPr>
            <w:tcW w:w="6028"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1864" w:type="dxa"/>
            <w:tcBorders>
              <w:top w:val="single" w:color="auto" w:sz="2" w:space="0"/>
            </w:tcBorders>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6028" w:type="dxa"/>
            <w:tcBorders>
              <w:top w:val="single" w:color="auto" w:sz="2" w:space="0"/>
            </w:tcBorders>
            <w:shd w:val="clear" w:color="auto" w:fill="auto"/>
            <w:vAlign w:val="center"/>
          </w:tcPr>
          <w:p>
            <w:pPr>
              <w:jc w:val="center"/>
              <w:rPr>
                <w:rFonts w:ascii="仿宋" w:hAnsi="仿宋" w:eastAsia="仿宋"/>
                <w:color w:val="auto"/>
                <w:sz w:val="28"/>
                <w:szCs w:val="28"/>
                <w:highlight w:val="none"/>
              </w:rPr>
            </w:pPr>
            <w:r>
              <w:rPr>
                <w:rFonts w:hint="eastAsia" w:ascii="仿宋_GB2312" w:hAnsi="仿宋" w:eastAsia="仿宋_GB2312"/>
                <w:color w:val="auto"/>
                <w:sz w:val="32"/>
                <w:szCs w:val="32"/>
                <w:highlight w:val="none"/>
              </w:rPr>
              <w:t>西安市临潼区基层财政服务中心2022-2023年村级公益事业照明项目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6028" w:type="dxa"/>
            <w:shd w:val="clear" w:color="auto" w:fill="auto"/>
            <w:vAlign w:val="center"/>
          </w:tcPr>
          <w:p>
            <w:pPr>
              <w:jc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SCIT-ZG-SX2023080004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3</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预算执行书编号</w:t>
            </w:r>
          </w:p>
        </w:tc>
        <w:tc>
          <w:tcPr>
            <w:tcW w:w="6028" w:type="dxa"/>
            <w:shd w:val="clear" w:color="auto" w:fill="auto"/>
            <w:vAlign w:val="center"/>
          </w:tcPr>
          <w:p>
            <w:pPr>
              <w:jc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ZCBN-临潼区-2023-00138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4</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是否预留份额专门面向中小企业采购</w:t>
            </w:r>
          </w:p>
        </w:tc>
        <w:tc>
          <w:tcPr>
            <w:tcW w:w="6028" w:type="dxa"/>
            <w:shd w:val="clear" w:color="auto" w:fill="auto"/>
            <w:vAlign w:val="center"/>
          </w:tcPr>
          <w:p>
            <w:pPr>
              <w:jc w:val="center"/>
              <w:rPr>
                <w:rFonts w:ascii="仿宋" w:hAnsi="仿宋" w:eastAsia="仿宋"/>
                <w:color w:val="auto"/>
                <w:sz w:val="28"/>
                <w:szCs w:val="28"/>
                <w:highlight w:val="none"/>
              </w:rPr>
            </w:pPr>
            <w:r>
              <w:rPr>
                <w:rFonts w:ascii="MS Gothic" w:hAnsi="MS Gothic" w:eastAsia="仿宋" w:cs="Segoe UI Symbol"/>
                <w:color w:val="auto"/>
                <w:sz w:val="28"/>
                <w:szCs w:val="28"/>
                <w:highlight w:val="none"/>
              </w:rPr>
              <w:t>☑</w:t>
            </w:r>
            <w:sdt>
              <w:sdtPr>
                <w:rPr>
                  <w:rFonts w:hint="eastAsia" w:ascii="仿宋" w:hAnsi="仿宋" w:eastAsia="仿宋"/>
                  <w:color w:val="auto"/>
                  <w:sz w:val="28"/>
                  <w:szCs w:val="28"/>
                  <w:highlight w:val="none"/>
                </w:rPr>
                <w:id w:val="2139916130"/>
              </w:sdtPr>
              <w:sdtEndPr>
                <w:rPr>
                  <w:rFonts w:hint="eastAsia" w:ascii="仿宋" w:hAnsi="仿宋" w:eastAsia="仿宋"/>
                  <w:color w:val="auto"/>
                  <w:sz w:val="28"/>
                  <w:szCs w:val="28"/>
                  <w:highlight w:val="none"/>
                </w:rPr>
              </w:sdtEndPr>
              <w:sdtContent/>
            </w:sdt>
            <w:r>
              <w:rPr>
                <w:rFonts w:hint="eastAsia" w:ascii="仿宋" w:hAnsi="仿宋" w:eastAsia="仿宋"/>
                <w:color w:val="auto"/>
                <w:sz w:val="28"/>
                <w:szCs w:val="28"/>
                <w:highlight w:val="none"/>
              </w:rPr>
              <w:t xml:space="preserve">是  </w:t>
            </w:r>
            <w:sdt>
              <w:sdtPr>
                <w:rPr>
                  <w:rFonts w:hint="eastAsia" w:ascii="仿宋" w:hAnsi="仿宋" w:eastAsia="仿宋"/>
                  <w:color w:val="auto"/>
                  <w:sz w:val="28"/>
                  <w:szCs w:val="28"/>
                  <w:highlight w:val="none"/>
                </w:rPr>
                <w:id w:val="-2072024220"/>
              </w:sdtPr>
              <w:sdtEndPr>
                <w:rPr>
                  <w:rFonts w:hint="eastAsia" w:ascii="仿宋" w:hAnsi="仿宋" w:eastAsia="仿宋"/>
                  <w:color w:val="auto"/>
                  <w:sz w:val="28"/>
                  <w:szCs w:val="28"/>
                  <w:highlight w:val="none"/>
                </w:rPr>
              </w:sdtEndPr>
              <w:sdtContent>
                <w:r>
                  <w:rPr>
                    <w:rFonts w:hint="eastAsia" w:ascii="MS Gothic" w:hAnsi="MS Gothic" w:eastAsia="仿宋" w:cs="Segoe UI Symbol"/>
                    <w:color w:val="auto"/>
                    <w:sz w:val="28"/>
                    <w:szCs w:val="28"/>
                    <w:highlight w:val="none"/>
                  </w:rPr>
                  <w:t>□</w:t>
                </w:r>
              </w:sdtContent>
            </w:sdt>
            <w:r>
              <w:rPr>
                <w:rFonts w:hint="eastAsia" w:ascii="仿宋" w:hAnsi="仿宋" w:eastAsia="仿宋"/>
                <w:color w:val="auto"/>
                <w:sz w:val="28"/>
                <w:szCs w:val="28"/>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0" w:hRule="atLeast"/>
          <w:jc w:val="center"/>
        </w:trPr>
        <w:tc>
          <w:tcPr>
            <w:tcW w:w="978" w:type="dxa"/>
            <w:vMerge w:val="restart"/>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预算金额</w:t>
            </w:r>
          </w:p>
        </w:tc>
        <w:tc>
          <w:tcPr>
            <w:tcW w:w="6028" w:type="dxa"/>
            <w:shd w:val="clear" w:color="auto" w:fill="auto"/>
            <w:vAlign w:val="center"/>
          </w:tcPr>
          <w:p>
            <w:pPr>
              <w:pStyle w:val="4"/>
              <w:rPr>
                <w:color w:val="auto"/>
                <w:highlight w:val="none"/>
              </w:rPr>
            </w:pPr>
            <w:r>
              <w:rPr>
                <w:rFonts w:hint="eastAsia"/>
                <w:color w:val="auto"/>
                <w:highlight w:val="none"/>
              </w:rPr>
              <w:t>采购预算：661万元.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ascii="仿宋" w:hAnsi="仿宋" w:eastAsia="仿宋"/>
                <w:color w:val="auto"/>
                <w:sz w:val="28"/>
                <w:szCs w:val="28"/>
                <w:highlight w:val="none"/>
              </w:rPr>
            </w:pP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最高限价</w:t>
            </w:r>
          </w:p>
        </w:tc>
        <w:tc>
          <w:tcPr>
            <w:tcW w:w="6028" w:type="dxa"/>
            <w:shd w:val="clear" w:color="auto" w:fill="auto"/>
            <w:vAlign w:val="center"/>
          </w:tcPr>
          <w:p>
            <w:pPr>
              <w:pStyle w:val="4"/>
              <w:rPr>
                <w:color w:val="auto"/>
                <w:highlight w:val="none"/>
              </w:rPr>
            </w:pPr>
            <w:r>
              <w:rPr>
                <w:rFonts w:hint="eastAsia"/>
                <w:color w:val="auto"/>
                <w:highlight w:val="none"/>
              </w:rPr>
              <w:t>单价：3200元/盏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是否接受联合体</w:t>
            </w:r>
          </w:p>
        </w:tc>
        <w:tc>
          <w:tcPr>
            <w:tcW w:w="6028" w:type="dxa"/>
            <w:shd w:val="clear" w:color="auto" w:fill="auto"/>
            <w:vAlign w:val="center"/>
          </w:tcPr>
          <w:p>
            <w:pPr>
              <w:jc w:val="center"/>
              <w:rPr>
                <w:rFonts w:ascii="仿宋" w:hAnsi="仿宋" w:eastAsia="仿宋"/>
                <w:color w:val="auto"/>
                <w:sz w:val="28"/>
                <w:szCs w:val="28"/>
                <w:highlight w:val="none"/>
              </w:rPr>
            </w:pPr>
            <w:r>
              <w:rPr>
                <w:rFonts w:ascii="Segoe UI Symbol" w:hAnsi="Segoe UI Symbol" w:eastAsia="仿宋" w:cs="Segoe UI Symbol"/>
                <w:color w:val="auto"/>
                <w:sz w:val="28"/>
                <w:szCs w:val="28"/>
                <w:highlight w:val="none"/>
              </w:rPr>
              <w:t>☐</w:t>
            </w:r>
            <w:r>
              <w:rPr>
                <w:rFonts w:hint="eastAsia" w:ascii="仿宋" w:hAnsi="仿宋" w:eastAsia="仿宋"/>
                <w:color w:val="auto"/>
                <w:sz w:val="28"/>
                <w:szCs w:val="28"/>
                <w:highlight w:val="none"/>
              </w:rPr>
              <w:t xml:space="preserve">是  </w:t>
            </w:r>
            <w:r>
              <w:rPr>
                <w:rFonts w:ascii="MS Gothic" w:hAnsi="MS Gothic" w:eastAsia="仿宋" w:cs="Segoe UI Symbol"/>
                <w:color w:val="auto"/>
                <w:sz w:val="28"/>
                <w:szCs w:val="28"/>
                <w:highlight w:val="none"/>
              </w:rPr>
              <w:t>☑</w:t>
            </w:r>
            <w:r>
              <w:rPr>
                <w:rFonts w:hint="eastAsia" w:ascii="仿宋" w:hAnsi="仿宋" w:eastAsia="仿宋"/>
                <w:color w:val="auto"/>
                <w:sz w:val="28"/>
                <w:szCs w:val="28"/>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是否允许进口产品</w:t>
            </w:r>
          </w:p>
        </w:tc>
        <w:tc>
          <w:tcPr>
            <w:tcW w:w="6028" w:type="dxa"/>
            <w:shd w:val="clear" w:color="auto" w:fill="auto"/>
            <w:vAlign w:val="center"/>
          </w:tcPr>
          <w:p>
            <w:pPr>
              <w:jc w:val="center"/>
              <w:rPr>
                <w:rFonts w:ascii="仿宋" w:hAnsi="仿宋" w:eastAsia="仿宋"/>
                <w:color w:val="auto"/>
                <w:sz w:val="28"/>
                <w:szCs w:val="28"/>
                <w:highlight w:val="none"/>
              </w:rPr>
            </w:pPr>
            <w:sdt>
              <w:sdtPr>
                <w:rPr>
                  <w:rFonts w:hint="eastAsia" w:ascii="仿宋" w:hAnsi="仿宋" w:eastAsia="仿宋"/>
                  <w:color w:val="auto"/>
                  <w:sz w:val="28"/>
                  <w:szCs w:val="28"/>
                  <w:highlight w:val="none"/>
                </w:rPr>
                <w:id w:val="608160193"/>
              </w:sdtPr>
              <w:sdtEndPr>
                <w:rPr>
                  <w:rFonts w:hint="eastAsia" w:ascii="仿宋" w:hAnsi="仿宋" w:eastAsia="仿宋"/>
                  <w:color w:val="auto"/>
                  <w:sz w:val="28"/>
                  <w:szCs w:val="28"/>
                  <w:highlight w:val="none"/>
                </w:rPr>
              </w:sdtEndPr>
              <w:sdtContent>
                <w:r>
                  <w:rPr>
                    <w:rFonts w:ascii="Segoe UI Symbol" w:hAnsi="Segoe UI Symbol" w:eastAsia="仿宋" w:cs="Segoe UI Symbol"/>
                    <w:color w:val="auto"/>
                    <w:sz w:val="28"/>
                    <w:szCs w:val="28"/>
                    <w:highlight w:val="none"/>
                  </w:rPr>
                  <w:t>☐</w:t>
                </w:r>
              </w:sdtContent>
            </w:sdt>
            <w:sdt>
              <w:sdtPr>
                <w:rPr>
                  <w:rFonts w:hint="eastAsia" w:ascii="仿宋" w:hAnsi="仿宋" w:eastAsia="仿宋"/>
                  <w:color w:val="auto"/>
                  <w:sz w:val="28"/>
                  <w:szCs w:val="28"/>
                  <w:highlight w:val="none"/>
                </w:rPr>
                <w:id w:val="148570254"/>
              </w:sdtPr>
              <w:sdtEndPr>
                <w:rPr>
                  <w:rFonts w:hint="eastAsia" w:ascii="仿宋" w:hAnsi="仿宋" w:eastAsia="仿宋"/>
                  <w:color w:val="auto"/>
                  <w:sz w:val="28"/>
                  <w:szCs w:val="28"/>
                  <w:highlight w:val="none"/>
                </w:rPr>
              </w:sdtEndPr>
              <w:sdtContent/>
            </w:sdt>
            <w:r>
              <w:rPr>
                <w:rFonts w:hint="eastAsia" w:ascii="仿宋" w:hAnsi="仿宋" w:eastAsia="仿宋"/>
                <w:color w:val="auto"/>
                <w:sz w:val="28"/>
                <w:szCs w:val="28"/>
                <w:highlight w:val="none"/>
              </w:rPr>
              <w:t xml:space="preserve">是  </w:t>
            </w:r>
            <w:sdt>
              <w:sdtPr>
                <w:rPr>
                  <w:rFonts w:hint="eastAsia" w:ascii="仿宋" w:hAnsi="仿宋" w:eastAsia="仿宋"/>
                  <w:color w:val="auto"/>
                  <w:sz w:val="28"/>
                  <w:szCs w:val="28"/>
                  <w:highlight w:val="none"/>
                </w:rPr>
                <w:id w:val="1317929335"/>
              </w:sdtPr>
              <w:sdtEndPr>
                <w:rPr>
                  <w:rFonts w:hint="eastAsia" w:ascii="仿宋" w:hAnsi="仿宋" w:eastAsia="仿宋"/>
                  <w:color w:val="auto"/>
                  <w:sz w:val="28"/>
                  <w:szCs w:val="28"/>
                  <w:highlight w:val="none"/>
                </w:rPr>
              </w:sdtEndPr>
              <w:sdtContent>
                <w:r>
                  <w:rPr>
                    <w:rFonts w:ascii="MS Gothic" w:hAnsi="MS Gothic" w:eastAsia="仿宋" w:cs="Segoe UI Symbol"/>
                    <w:color w:val="auto"/>
                    <w:sz w:val="28"/>
                    <w:szCs w:val="28"/>
                    <w:highlight w:val="none"/>
                  </w:rPr>
                  <w:t>☑</w:t>
                </w:r>
              </w:sdtContent>
            </w:sdt>
            <w:r>
              <w:rPr>
                <w:rFonts w:hint="eastAsia" w:ascii="仿宋" w:hAnsi="仿宋" w:eastAsia="仿宋"/>
                <w:color w:val="auto"/>
                <w:sz w:val="28"/>
                <w:szCs w:val="28"/>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是否允许大中企业</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向小微企业分包</w:t>
            </w:r>
          </w:p>
        </w:tc>
        <w:tc>
          <w:tcPr>
            <w:tcW w:w="6028" w:type="dxa"/>
            <w:shd w:val="clear" w:color="auto" w:fill="auto"/>
            <w:vAlign w:val="center"/>
          </w:tcPr>
          <w:p>
            <w:pPr>
              <w:jc w:val="center"/>
              <w:rPr>
                <w:rFonts w:ascii="仿宋" w:hAnsi="仿宋" w:eastAsia="仿宋"/>
                <w:color w:val="auto"/>
                <w:sz w:val="28"/>
                <w:szCs w:val="28"/>
                <w:highlight w:val="none"/>
              </w:rPr>
            </w:pPr>
            <w:sdt>
              <w:sdtPr>
                <w:rPr>
                  <w:rFonts w:hint="eastAsia" w:ascii="仿宋" w:hAnsi="仿宋" w:eastAsia="仿宋"/>
                  <w:color w:val="auto"/>
                  <w:sz w:val="28"/>
                  <w:szCs w:val="28"/>
                  <w:highlight w:val="none"/>
                </w:rPr>
                <w:id w:val="365725084"/>
              </w:sdtPr>
              <w:sdtEndPr>
                <w:rPr>
                  <w:rFonts w:hint="eastAsia" w:ascii="仿宋" w:hAnsi="仿宋" w:eastAsia="仿宋"/>
                  <w:color w:val="auto"/>
                  <w:sz w:val="28"/>
                  <w:szCs w:val="28"/>
                  <w:highlight w:val="none"/>
                </w:rPr>
              </w:sdtEndPr>
              <w:sdtContent>
                <w:r>
                  <w:rPr>
                    <w:rFonts w:ascii="Segoe UI Symbol" w:hAnsi="Segoe UI Symbol" w:eastAsia="仿宋" w:cs="Segoe UI Symbol"/>
                    <w:color w:val="auto"/>
                    <w:sz w:val="28"/>
                    <w:szCs w:val="28"/>
                    <w:highlight w:val="none"/>
                  </w:rPr>
                  <w:t>☐</w:t>
                </w:r>
              </w:sdtContent>
            </w:sdt>
            <w:r>
              <w:rPr>
                <w:rFonts w:hint="eastAsia" w:ascii="仿宋" w:hAnsi="仿宋" w:eastAsia="仿宋"/>
                <w:color w:val="auto"/>
                <w:sz w:val="28"/>
                <w:szCs w:val="28"/>
                <w:highlight w:val="none"/>
              </w:rPr>
              <w:t xml:space="preserve">是  </w:t>
            </w:r>
            <w:sdt>
              <w:sdtPr>
                <w:rPr>
                  <w:rFonts w:hint="eastAsia" w:ascii="仿宋" w:hAnsi="仿宋" w:eastAsia="仿宋"/>
                  <w:color w:val="auto"/>
                  <w:sz w:val="28"/>
                  <w:szCs w:val="28"/>
                  <w:highlight w:val="none"/>
                </w:rPr>
                <w:id w:val="-54473539"/>
              </w:sdtPr>
              <w:sdtEndPr>
                <w:rPr>
                  <w:rFonts w:hint="eastAsia" w:ascii="仿宋" w:hAnsi="仿宋" w:eastAsia="仿宋"/>
                  <w:color w:val="auto"/>
                  <w:sz w:val="28"/>
                  <w:szCs w:val="28"/>
                  <w:highlight w:val="none"/>
                </w:rPr>
              </w:sdtEndPr>
              <w:sdtContent>
                <w:r>
                  <w:rPr>
                    <w:rFonts w:ascii="MS Gothic" w:hAnsi="MS Gothic" w:eastAsia="仿宋" w:cs="Segoe UI Symbol"/>
                    <w:color w:val="auto"/>
                    <w:sz w:val="28"/>
                    <w:szCs w:val="28"/>
                    <w:highlight w:val="none"/>
                  </w:rPr>
                  <w:t>☑</w:t>
                </w:r>
              </w:sdtContent>
            </w:sdt>
            <w:r>
              <w:rPr>
                <w:rFonts w:hint="eastAsia" w:ascii="仿宋" w:hAnsi="仿宋" w:eastAsia="仿宋"/>
                <w:color w:val="auto"/>
                <w:sz w:val="28"/>
                <w:szCs w:val="28"/>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投标保证金</w:t>
            </w:r>
          </w:p>
        </w:tc>
        <w:tc>
          <w:tcPr>
            <w:tcW w:w="6028" w:type="dxa"/>
            <w:shd w:val="clear" w:color="auto" w:fill="auto"/>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履约保证金</w:t>
            </w:r>
          </w:p>
        </w:tc>
        <w:tc>
          <w:tcPr>
            <w:tcW w:w="6028" w:type="dxa"/>
            <w:shd w:val="clear" w:color="auto" w:fill="auto"/>
            <w:vAlign w:val="center"/>
          </w:tcPr>
          <w:p>
            <w:pPr>
              <w:ind w:firstLine="640" w:firstLineChars="200"/>
              <w:rPr>
                <w:color w:val="auto"/>
                <w:highlight w:val="none"/>
              </w:rPr>
            </w:pPr>
            <w:r>
              <w:rPr>
                <w:rFonts w:hint="eastAsia" w:ascii="仿宋_GB2312" w:hAnsi="仿宋" w:eastAsia="仿宋_GB2312"/>
                <w:color w:val="auto"/>
                <w:sz w:val="32"/>
                <w:szCs w:val="32"/>
                <w:highlight w:val="none"/>
                <w:lang w:val="zh-CN"/>
              </w:rPr>
              <w:t>第一标段：50000元，第</w:t>
            </w:r>
            <w:r>
              <w:rPr>
                <w:rFonts w:hint="eastAsia" w:ascii="仿宋_GB2312" w:hAnsi="仿宋" w:eastAsia="仿宋_GB2312"/>
                <w:color w:val="auto"/>
                <w:sz w:val="32"/>
                <w:szCs w:val="32"/>
                <w:highlight w:val="none"/>
                <w:lang w:val="zh-CN" w:eastAsia="zh-CN"/>
              </w:rPr>
              <w:t>二</w:t>
            </w:r>
            <w:r>
              <w:rPr>
                <w:rFonts w:hint="eastAsia" w:ascii="仿宋_GB2312" w:hAnsi="仿宋" w:eastAsia="仿宋_GB2312"/>
                <w:color w:val="auto"/>
                <w:sz w:val="32"/>
                <w:szCs w:val="32"/>
                <w:highlight w:val="none"/>
                <w:lang w:val="zh-CN"/>
              </w:rPr>
              <w:t>标段：50000元，第三标段：50000元，第四标段：50000元，第五标段：45000元，第</w:t>
            </w:r>
            <w:r>
              <w:rPr>
                <w:rFonts w:hint="eastAsia" w:ascii="仿宋_GB2312" w:hAnsi="仿宋" w:eastAsia="仿宋_GB2312"/>
                <w:color w:val="auto"/>
                <w:sz w:val="32"/>
                <w:szCs w:val="32"/>
                <w:highlight w:val="none"/>
                <w:lang w:val="zh-CN" w:eastAsia="zh-CN"/>
              </w:rPr>
              <w:t>六</w:t>
            </w:r>
            <w:r>
              <w:rPr>
                <w:rFonts w:hint="eastAsia" w:ascii="仿宋_GB2312" w:hAnsi="仿宋" w:eastAsia="仿宋_GB2312"/>
                <w:color w:val="auto"/>
                <w:sz w:val="32"/>
                <w:szCs w:val="32"/>
                <w:highlight w:val="none"/>
                <w:lang w:val="zh-CN"/>
              </w:rPr>
              <w:t>标段：45000元；</w:t>
            </w:r>
            <w:bookmarkStart w:id="9" w:name="_Toc4053"/>
            <w:bookmarkStart w:id="10" w:name="_Toc241"/>
            <w:bookmarkStart w:id="11" w:name="_Toc31805"/>
            <w:r>
              <w:rPr>
                <w:rFonts w:hint="eastAsia" w:ascii="仿宋_GB2312" w:hAnsi="仿宋" w:eastAsia="仿宋_GB2312"/>
                <w:color w:val="auto"/>
                <w:sz w:val="32"/>
                <w:szCs w:val="32"/>
                <w:highlight w:val="none"/>
                <w:lang w:val="zh-CN"/>
              </w:rPr>
              <w:t>中标人签订合同时，向采购方交付对应金额的履约保证金；质量保证期满，经采购方对中标供应商保修质量验收合格后，一次性退还履约保证金，履约保证金不计利息。</w:t>
            </w:r>
            <w:bookmarkEnd w:id="9"/>
            <w:bookmarkEnd w:id="10"/>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11</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投标文件份数</w:t>
            </w:r>
          </w:p>
        </w:tc>
        <w:tc>
          <w:tcPr>
            <w:tcW w:w="6028" w:type="dxa"/>
            <w:shd w:val="clear" w:color="auto" w:fill="auto"/>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投标供应商无需提供；</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12</w:t>
            </w:r>
          </w:p>
        </w:tc>
        <w:tc>
          <w:tcPr>
            <w:tcW w:w="1864" w:type="dxa"/>
            <w:shd w:val="clear" w:color="auto" w:fill="auto"/>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获取项目图纸</w:t>
            </w:r>
          </w:p>
        </w:tc>
        <w:tc>
          <w:tcPr>
            <w:tcW w:w="602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本项目不适用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13</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现场踏勘和集中答疑</w:t>
            </w:r>
          </w:p>
        </w:tc>
        <w:tc>
          <w:tcPr>
            <w:tcW w:w="602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本项目不适用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14</w:t>
            </w:r>
          </w:p>
        </w:tc>
        <w:tc>
          <w:tcPr>
            <w:tcW w:w="1864" w:type="dxa"/>
            <w:shd w:val="clear" w:color="auto" w:fill="auto"/>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查看定制产品原样</w:t>
            </w:r>
          </w:p>
        </w:tc>
        <w:tc>
          <w:tcPr>
            <w:tcW w:w="602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本项目不适用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15</w:t>
            </w:r>
          </w:p>
        </w:tc>
        <w:tc>
          <w:tcPr>
            <w:tcW w:w="1864" w:type="dxa"/>
            <w:shd w:val="clear" w:color="auto" w:fill="auto"/>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提交投标样品</w:t>
            </w:r>
          </w:p>
        </w:tc>
        <w:tc>
          <w:tcPr>
            <w:tcW w:w="602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本项目不适用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16</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政府采购信息发布媒体</w:t>
            </w:r>
          </w:p>
          <w:p>
            <w:pPr>
              <w:jc w:val="center"/>
              <w:rPr>
                <w:rFonts w:ascii="仿宋" w:hAnsi="仿宋" w:eastAsia="仿宋"/>
                <w:color w:val="auto"/>
                <w:sz w:val="28"/>
                <w:szCs w:val="28"/>
                <w:highlight w:val="none"/>
              </w:rPr>
            </w:pPr>
            <w:r>
              <w:rPr>
                <w:rFonts w:ascii="仿宋" w:hAnsi="仿宋" w:eastAsia="仿宋"/>
                <w:color w:val="auto"/>
                <w:sz w:val="28"/>
                <w:szCs w:val="28"/>
                <w:highlight w:val="none"/>
              </w:rPr>
              <w:t>（采购公告、采购结果公告、变更公告）</w:t>
            </w:r>
          </w:p>
        </w:tc>
        <w:tc>
          <w:tcPr>
            <w:tcW w:w="6028" w:type="dxa"/>
            <w:shd w:val="clear" w:color="auto" w:fill="auto"/>
            <w:vAlign w:val="center"/>
          </w:tcPr>
          <w:p>
            <w:pPr>
              <w:rPr>
                <w:rFonts w:ascii="仿宋" w:hAnsi="仿宋" w:eastAsia="仿宋"/>
                <w:color w:val="auto"/>
                <w:sz w:val="28"/>
                <w:szCs w:val="28"/>
                <w:highlight w:val="none"/>
              </w:rPr>
            </w:pPr>
            <w:r>
              <w:rPr>
                <w:rFonts w:hint="eastAsia" w:ascii="仿宋" w:hAnsi="仿宋" w:eastAsia="仿宋"/>
                <w:color w:val="auto"/>
                <w:sz w:val="28"/>
                <w:szCs w:val="28"/>
                <w:highlight w:val="none"/>
              </w:rPr>
              <w:t>1．陕西省政府采购网：仅提供项目公告，官网地址：http://ccgp-shaanxi.gov.cn/。</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2．全国公共资源交易平台（陕西省</w:t>
            </w:r>
            <w:r>
              <w:rPr>
                <w:rFonts w:ascii="仿宋" w:hAnsi="仿宋" w:eastAsia="仿宋"/>
                <w:color w:val="auto"/>
                <w:sz w:val="28"/>
                <w:szCs w:val="28"/>
                <w:highlight w:val="none"/>
              </w:rPr>
              <w:t>·</w:t>
            </w:r>
            <w:r>
              <w:rPr>
                <w:rFonts w:hint="eastAsia" w:ascii="仿宋" w:hAnsi="仿宋" w:eastAsia="仿宋"/>
                <w:color w:val="auto"/>
                <w:sz w:val="28"/>
                <w:szCs w:val="28"/>
                <w:highlight w:val="none"/>
              </w:rPr>
              <w:t>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17</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询问和质疑</w:t>
            </w:r>
          </w:p>
        </w:tc>
        <w:tc>
          <w:tcPr>
            <w:tcW w:w="6028" w:type="dxa"/>
            <w:shd w:val="clear" w:color="auto" w:fill="auto"/>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18</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投诉受理</w:t>
            </w:r>
          </w:p>
        </w:tc>
        <w:tc>
          <w:tcPr>
            <w:tcW w:w="6028" w:type="dxa"/>
            <w:shd w:val="clear" w:color="auto" w:fill="auto"/>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1．受理单位：西安市临潼区财政局</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2．联系电话：029-83827890</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3．地址：西安市临潼区东大街60号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19</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资格前审</w:t>
            </w:r>
          </w:p>
        </w:tc>
        <w:tc>
          <w:tcPr>
            <w:tcW w:w="6028" w:type="dxa"/>
            <w:shd w:val="clear" w:color="auto" w:fill="auto"/>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本项目不适用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20</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信用信息查询截至时点</w:t>
            </w:r>
          </w:p>
        </w:tc>
        <w:tc>
          <w:tcPr>
            <w:tcW w:w="6028" w:type="dxa"/>
            <w:shd w:val="clear" w:color="auto" w:fill="auto"/>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21</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开标形式</w:t>
            </w:r>
          </w:p>
        </w:tc>
        <w:tc>
          <w:tcPr>
            <w:tcW w:w="6028" w:type="dxa"/>
            <w:shd w:val="clear" w:color="auto" w:fill="auto"/>
            <w:vAlign w:val="center"/>
          </w:tcPr>
          <w:p>
            <w:pPr>
              <w:jc w:val="both"/>
              <w:rPr>
                <w:rFonts w:ascii="仿宋" w:hAnsi="仿宋" w:eastAsia="仿宋"/>
                <w:color w:val="auto"/>
                <w:sz w:val="28"/>
                <w:szCs w:val="28"/>
                <w:highlight w:val="none"/>
              </w:rPr>
            </w:pPr>
            <w:sdt>
              <w:sdtPr>
                <w:rPr>
                  <w:rFonts w:hint="eastAsia" w:ascii="仿宋" w:hAnsi="仿宋" w:eastAsia="仿宋"/>
                  <w:color w:val="auto"/>
                  <w:sz w:val="28"/>
                  <w:szCs w:val="28"/>
                  <w:highlight w:val="none"/>
                </w:rPr>
                <w:id w:val="1077786224"/>
              </w:sdtPr>
              <w:sdtEndPr>
                <w:rPr>
                  <w:rFonts w:hint="eastAsia" w:ascii="仿宋" w:hAnsi="仿宋" w:eastAsia="仿宋"/>
                  <w:color w:val="auto"/>
                  <w:sz w:val="28"/>
                  <w:szCs w:val="28"/>
                  <w:highlight w:val="none"/>
                </w:rPr>
              </w:sdtEndPr>
              <w:sdtContent>
                <w:r>
                  <w:rPr>
                    <w:rFonts w:ascii="MS Gothic" w:hAnsi="MS Gothic" w:eastAsia="仿宋" w:cs="Segoe UI Symbol"/>
                    <w:color w:val="auto"/>
                    <w:sz w:val="28"/>
                    <w:szCs w:val="28"/>
                    <w:highlight w:val="none"/>
                  </w:rPr>
                  <w:t>☑</w:t>
                </w:r>
              </w:sdtContent>
            </w:sdt>
            <w:r>
              <w:rPr>
                <w:rFonts w:hint="eastAsia" w:ascii="仿宋" w:hAnsi="仿宋" w:eastAsia="仿宋"/>
                <w:color w:val="auto"/>
                <w:sz w:val="28"/>
                <w:szCs w:val="28"/>
                <w:highlight w:val="none"/>
              </w:rPr>
              <w:t xml:space="preserve">不见面开标  </w:t>
            </w:r>
            <w:sdt>
              <w:sdtPr>
                <w:rPr>
                  <w:rFonts w:hint="eastAsia" w:ascii="仿宋" w:hAnsi="仿宋" w:eastAsia="仿宋"/>
                  <w:color w:val="auto"/>
                  <w:sz w:val="28"/>
                  <w:szCs w:val="28"/>
                  <w:highlight w:val="none"/>
                </w:rPr>
                <w:id w:val="1553575034"/>
              </w:sdtPr>
              <w:sdtEndPr>
                <w:rPr>
                  <w:rFonts w:hint="eastAsia" w:ascii="仿宋" w:hAnsi="仿宋" w:eastAsia="仿宋"/>
                  <w:color w:val="auto"/>
                  <w:sz w:val="28"/>
                  <w:szCs w:val="28"/>
                  <w:highlight w:val="none"/>
                </w:rPr>
              </w:sdtEndPr>
              <w:sdtContent>
                <w:r>
                  <w:rPr>
                    <w:rFonts w:ascii="Segoe UI Symbol" w:hAnsi="Segoe UI Symbol" w:eastAsia="仿宋" w:cs="Segoe UI Symbol"/>
                    <w:color w:val="auto"/>
                    <w:sz w:val="28"/>
                    <w:szCs w:val="28"/>
                    <w:highlight w:val="none"/>
                  </w:rPr>
                  <w:t>☐</w:t>
                </w:r>
              </w:sdtContent>
            </w:sdt>
            <w:r>
              <w:rPr>
                <w:rFonts w:hint="eastAsia" w:ascii="仿宋" w:hAnsi="仿宋" w:eastAsia="仿宋"/>
                <w:color w:val="auto"/>
                <w:sz w:val="28"/>
                <w:szCs w:val="28"/>
                <w:highlight w:val="none"/>
              </w:rPr>
              <w:t>见面开标</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22</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是否允许递交多个备选投标方案</w:t>
            </w:r>
          </w:p>
        </w:tc>
        <w:tc>
          <w:tcPr>
            <w:tcW w:w="6028" w:type="dxa"/>
            <w:shd w:val="clear" w:color="auto" w:fill="auto"/>
            <w:vAlign w:val="center"/>
          </w:tcPr>
          <w:p>
            <w:pPr>
              <w:jc w:val="both"/>
              <w:rPr>
                <w:rFonts w:ascii="仿宋" w:hAnsi="仿宋" w:eastAsia="仿宋"/>
                <w:color w:val="auto"/>
                <w:sz w:val="28"/>
                <w:szCs w:val="28"/>
                <w:highlight w:val="none"/>
              </w:rPr>
            </w:pPr>
            <w:sdt>
              <w:sdtPr>
                <w:rPr>
                  <w:rFonts w:hint="eastAsia" w:ascii="仿宋" w:hAnsi="仿宋" w:eastAsia="仿宋"/>
                  <w:color w:val="auto"/>
                  <w:sz w:val="28"/>
                  <w:szCs w:val="28"/>
                  <w:highlight w:val="none"/>
                </w:rPr>
                <w:id w:val="1608857843"/>
              </w:sdtPr>
              <w:sdtEndPr>
                <w:rPr>
                  <w:rFonts w:hint="eastAsia" w:ascii="仿宋" w:hAnsi="仿宋" w:eastAsia="仿宋"/>
                  <w:color w:val="auto"/>
                  <w:sz w:val="28"/>
                  <w:szCs w:val="28"/>
                  <w:highlight w:val="none"/>
                </w:rPr>
              </w:sdtEndPr>
              <w:sdtContent>
                <w:r>
                  <w:rPr>
                    <w:rFonts w:ascii="Segoe UI Symbol" w:hAnsi="Segoe UI Symbol" w:eastAsia="仿宋" w:cs="Segoe UI Symbol"/>
                    <w:color w:val="auto"/>
                    <w:sz w:val="28"/>
                    <w:szCs w:val="28"/>
                    <w:highlight w:val="none"/>
                  </w:rPr>
                  <w:t>☐</w:t>
                </w:r>
              </w:sdtContent>
            </w:sdt>
            <w:r>
              <w:rPr>
                <w:rFonts w:hint="eastAsia" w:ascii="仿宋" w:hAnsi="仿宋" w:eastAsia="仿宋"/>
                <w:color w:val="auto"/>
                <w:sz w:val="28"/>
                <w:szCs w:val="28"/>
                <w:highlight w:val="none"/>
              </w:rPr>
              <w:t xml:space="preserve">是  </w:t>
            </w:r>
            <w:sdt>
              <w:sdtPr>
                <w:rPr>
                  <w:rFonts w:hint="eastAsia" w:ascii="仿宋" w:hAnsi="仿宋" w:eastAsia="仿宋"/>
                  <w:color w:val="auto"/>
                  <w:sz w:val="28"/>
                  <w:szCs w:val="28"/>
                  <w:highlight w:val="none"/>
                </w:rPr>
                <w:id w:val="618331253"/>
              </w:sdtPr>
              <w:sdtEndPr>
                <w:rPr>
                  <w:rFonts w:hint="eastAsia" w:ascii="仿宋" w:hAnsi="仿宋" w:eastAsia="仿宋"/>
                  <w:color w:val="auto"/>
                  <w:sz w:val="28"/>
                  <w:szCs w:val="28"/>
                  <w:highlight w:val="none"/>
                </w:rPr>
              </w:sdtEndPr>
              <w:sdtContent>
                <w:r>
                  <w:rPr>
                    <w:rFonts w:ascii="MS Gothic" w:hAnsi="MS Gothic" w:eastAsia="仿宋" w:cs="Segoe UI Symbol"/>
                    <w:color w:val="auto"/>
                    <w:sz w:val="28"/>
                    <w:szCs w:val="28"/>
                    <w:highlight w:val="none"/>
                  </w:rPr>
                  <w:t>☑</w:t>
                </w:r>
              </w:sdtContent>
            </w:sdt>
            <w:r>
              <w:rPr>
                <w:rFonts w:hint="eastAsia" w:ascii="仿宋" w:hAnsi="仿宋" w:eastAsia="仿宋"/>
                <w:color w:val="auto"/>
                <w:sz w:val="28"/>
                <w:szCs w:val="28"/>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23</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中标通知书</w:t>
            </w:r>
          </w:p>
        </w:tc>
        <w:tc>
          <w:tcPr>
            <w:tcW w:w="6028" w:type="dxa"/>
            <w:shd w:val="clear" w:color="auto" w:fill="auto"/>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1．领取地点：西安市高新区唐延路35号旺座现代城G座2301室</w:t>
            </w:r>
          </w:p>
          <w:p>
            <w:pPr>
              <w:jc w:val="both"/>
              <w:rPr>
                <w:rFonts w:ascii="仿宋" w:hAnsi="仿宋" w:eastAsia="仿宋_GB2312"/>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．联系电话：</w:t>
            </w:r>
            <w:r>
              <w:rPr>
                <w:rFonts w:hint="eastAsia" w:ascii="仿宋_GB2312" w:hAnsi="仿宋" w:eastAsia="仿宋_GB2312"/>
                <w:color w:val="auto"/>
                <w:sz w:val="32"/>
                <w:szCs w:val="32"/>
                <w:highlight w:val="none"/>
              </w:rPr>
              <w:t>029-88854272转8001</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3．联系人：刘女士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24</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西安市公共资源交易中心电子化政府采购系统技术支持</w:t>
            </w:r>
            <w:r>
              <w:rPr>
                <w:rFonts w:ascii="仿宋" w:hAnsi="仿宋" w:eastAsia="仿宋"/>
                <w:color w:val="auto"/>
                <w:sz w:val="28"/>
                <w:szCs w:val="28"/>
                <w:highlight w:val="none"/>
              </w:rPr>
              <w:t>（软件开发商）</w:t>
            </w:r>
          </w:p>
        </w:tc>
        <w:tc>
          <w:tcPr>
            <w:tcW w:w="6028" w:type="dxa"/>
            <w:shd w:val="clear" w:color="auto" w:fill="auto"/>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国泰新点软件股份有限公司</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1．技术</w:t>
            </w:r>
            <w:r>
              <w:rPr>
                <w:rFonts w:ascii="仿宋" w:hAnsi="仿宋" w:eastAsia="仿宋"/>
                <w:color w:val="auto"/>
                <w:sz w:val="28"/>
                <w:szCs w:val="28"/>
                <w:highlight w:val="none"/>
              </w:rPr>
              <w:t>支持</w:t>
            </w:r>
            <w:r>
              <w:rPr>
                <w:rFonts w:hint="eastAsia" w:ascii="仿宋" w:hAnsi="仿宋" w:eastAsia="仿宋"/>
                <w:color w:val="auto"/>
                <w:sz w:val="28"/>
                <w:szCs w:val="28"/>
                <w:highlight w:val="none"/>
              </w:rPr>
              <w:t>热线</w:t>
            </w:r>
            <w:r>
              <w:rPr>
                <w:rFonts w:ascii="仿宋" w:hAnsi="仿宋" w:eastAsia="仿宋"/>
                <w:color w:val="auto"/>
                <w:sz w:val="28"/>
                <w:szCs w:val="28"/>
                <w:highlight w:val="none"/>
              </w:rPr>
              <w:t>：</w:t>
            </w:r>
            <w:r>
              <w:rPr>
                <w:rFonts w:hint="eastAsia" w:ascii="仿宋" w:hAnsi="仿宋" w:eastAsia="仿宋"/>
                <w:color w:val="auto"/>
                <w:sz w:val="28"/>
                <w:szCs w:val="28"/>
                <w:highlight w:val="none"/>
              </w:rPr>
              <w:t>400-998-0000/400-928-0095</w:t>
            </w:r>
          </w:p>
          <w:p>
            <w:pPr>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25</w:t>
            </w:r>
          </w:p>
        </w:tc>
        <w:tc>
          <w:tcPr>
            <w:tcW w:w="1864"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CA业务网点</w:t>
            </w:r>
          </w:p>
        </w:tc>
        <w:tc>
          <w:tcPr>
            <w:tcW w:w="6028" w:type="dxa"/>
            <w:shd w:val="clear" w:color="auto" w:fill="auto"/>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陕西省数字证书认证中心股份有限公司</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网点1：西安市高新三路信息港大厦1楼客服中心</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客服电话：4006-369-888</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网点2：西安市长安北路14号省体育公寓B座一楼</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咨询电话：029-88661241</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网点3：西安市文景北路16号白桦林国际B座2楼11#窗口</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26</w:t>
            </w:r>
          </w:p>
        </w:tc>
        <w:tc>
          <w:tcPr>
            <w:tcW w:w="1864" w:type="dxa"/>
            <w:shd w:val="clear" w:color="auto" w:fill="auto"/>
            <w:vAlign w:val="center"/>
          </w:tcPr>
          <w:p>
            <w:pPr>
              <w:pStyle w:val="109"/>
              <w:spacing w:line="276" w:lineRule="auto"/>
              <w:ind w:left="96"/>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zh-CN"/>
              </w:rPr>
              <w:t>本项目特别约定</w:t>
            </w:r>
          </w:p>
        </w:tc>
        <w:tc>
          <w:tcPr>
            <w:tcW w:w="6028" w:type="dxa"/>
            <w:shd w:val="clear" w:color="auto" w:fill="auto"/>
            <w:vAlign w:val="center"/>
          </w:tcPr>
          <w:p>
            <w:pPr>
              <w:ind w:firstLine="640" w:firstLineChars="200"/>
              <w:rPr>
                <w:rFonts w:hint="eastAsia" w:ascii="仿宋_GB2312" w:hAnsi="仿宋" w:eastAsia="仿宋_GB2312"/>
                <w:color w:val="auto"/>
                <w:sz w:val="32"/>
                <w:szCs w:val="32"/>
                <w:highlight w:val="none"/>
                <w:lang w:val="zh-CN"/>
              </w:rPr>
            </w:pPr>
            <w:r>
              <w:rPr>
                <w:rFonts w:hint="eastAsia" w:ascii="仿宋_GB2312" w:hAnsi="仿宋" w:eastAsia="仿宋_GB2312"/>
                <w:color w:val="auto"/>
                <w:sz w:val="32"/>
                <w:szCs w:val="32"/>
                <w:highlight w:val="none"/>
                <w:lang w:val="zh-CN"/>
              </w:rPr>
              <w:t>1.本次招标为保证能按时按质按量安装完工，同一供应商只能成为一个标段的第一中标候选人。投标人同时参加本项目多个</w:t>
            </w:r>
            <w:r>
              <w:rPr>
                <w:rFonts w:hint="eastAsia" w:ascii="仿宋_GB2312" w:hAnsi="仿宋" w:eastAsia="仿宋_GB2312"/>
                <w:color w:val="auto"/>
                <w:sz w:val="32"/>
                <w:szCs w:val="32"/>
                <w:highlight w:val="none"/>
                <w:lang w:val="zh-CN" w:eastAsia="zh-CN"/>
              </w:rPr>
              <w:t>标段</w:t>
            </w:r>
            <w:r>
              <w:rPr>
                <w:rFonts w:hint="eastAsia" w:ascii="仿宋_GB2312" w:hAnsi="仿宋" w:eastAsia="仿宋_GB2312"/>
                <w:color w:val="auto"/>
                <w:sz w:val="32"/>
                <w:szCs w:val="32"/>
                <w:highlight w:val="none"/>
                <w:lang w:val="zh-CN"/>
              </w:rPr>
              <w:t>投标的，只要成为其中任意一个包的第一中标候选人，必须自愿放弃成为其他包第一中标候选人的资格。</w:t>
            </w:r>
          </w:p>
          <w:p>
            <w:pPr>
              <w:ind w:firstLine="640" w:firstLineChars="200"/>
              <w:rPr>
                <w:rFonts w:hint="eastAsia" w:ascii="仿宋_GB2312" w:hAnsi="仿宋" w:eastAsia="仿宋_GB2312"/>
                <w:color w:val="auto"/>
                <w:sz w:val="32"/>
                <w:szCs w:val="32"/>
                <w:highlight w:val="none"/>
                <w:lang w:val="zh-CN"/>
              </w:rPr>
            </w:pPr>
            <w:r>
              <w:rPr>
                <w:rFonts w:hint="eastAsia" w:ascii="仿宋_GB2312" w:hAnsi="仿宋" w:eastAsia="仿宋_GB2312"/>
                <w:color w:val="auto"/>
                <w:sz w:val="32"/>
                <w:szCs w:val="32"/>
                <w:highlight w:val="none"/>
                <w:lang w:val="zh-CN"/>
              </w:rPr>
              <w:t>2.评审顺序按第一标段、第</w:t>
            </w:r>
            <w:r>
              <w:rPr>
                <w:rFonts w:hint="eastAsia" w:ascii="仿宋_GB2312" w:hAnsi="仿宋" w:eastAsia="仿宋_GB2312"/>
                <w:color w:val="auto"/>
                <w:sz w:val="32"/>
                <w:szCs w:val="32"/>
                <w:highlight w:val="none"/>
                <w:lang w:val="zh-CN" w:eastAsia="zh-CN"/>
              </w:rPr>
              <w:t>二</w:t>
            </w:r>
            <w:r>
              <w:rPr>
                <w:rFonts w:hint="eastAsia" w:ascii="仿宋_GB2312" w:hAnsi="仿宋" w:eastAsia="仿宋_GB2312"/>
                <w:color w:val="auto"/>
                <w:sz w:val="32"/>
                <w:szCs w:val="32"/>
                <w:highlight w:val="none"/>
                <w:lang w:val="zh-CN"/>
              </w:rPr>
              <w:t>标段、第三标段、第四标段、第五标段、第</w:t>
            </w:r>
            <w:r>
              <w:rPr>
                <w:rFonts w:hint="eastAsia" w:ascii="仿宋_GB2312" w:hAnsi="仿宋" w:eastAsia="仿宋_GB2312"/>
                <w:color w:val="auto"/>
                <w:sz w:val="32"/>
                <w:szCs w:val="32"/>
                <w:highlight w:val="none"/>
                <w:lang w:val="zh-CN" w:eastAsia="zh-CN"/>
              </w:rPr>
              <w:t>六</w:t>
            </w:r>
            <w:r>
              <w:rPr>
                <w:rFonts w:hint="eastAsia" w:ascii="仿宋_GB2312" w:hAnsi="仿宋" w:eastAsia="仿宋_GB2312"/>
                <w:color w:val="auto"/>
                <w:sz w:val="32"/>
                <w:szCs w:val="32"/>
                <w:highlight w:val="none"/>
                <w:lang w:val="zh-CN"/>
              </w:rPr>
              <w:t>标段的评审顺序进行，放弃第一中标候选的资格顺序也按第一标段-</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zh-CN"/>
              </w:rPr>
              <w:t>第</w:t>
            </w:r>
            <w:r>
              <w:rPr>
                <w:rFonts w:hint="eastAsia" w:ascii="仿宋_GB2312" w:hAnsi="仿宋" w:eastAsia="仿宋_GB2312"/>
                <w:color w:val="auto"/>
                <w:sz w:val="32"/>
                <w:szCs w:val="32"/>
                <w:highlight w:val="none"/>
                <w:lang w:val="zh-CN" w:eastAsia="zh-CN"/>
              </w:rPr>
              <w:t>六</w:t>
            </w:r>
            <w:r>
              <w:rPr>
                <w:rFonts w:hint="eastAsia" w:ascii="仿宋_GB2312" w:hAnsi="仿宋" w:eastAsia="仿宋_GB2312"/>
                <w:color w:val="auto"/>
                <w:sz w:val="32"/>
                <w:szCs w:val="32"/>
                <w:highlight w:val="none"/>
                <w:lang w:val="zh-CN"/>
              </w:rPr>
              <w:t>标段的顺序进行。</w:t>
            </w:r>
          </w:p>
          <w:p>
            <w:pPr>
              <w:jc w:val="both"/>
              <w:rPr>
                <w:rFonts w:ascii="仿宋" w:hAnsi="仿宋" w:eastAsia="仿宋"/>
                <w:color w:val="auto"/>
                <w:sz w:val="28"/>
                <w:szCs w:val="28"/>
                <w:highlight w:val="none"/>
              </w:rPr>
            </w:pPr>
            <w:r>
              <w:rPr>
                <w:rFonts w:hint="eastAsia" w:ascii="仿宋_GB2312" w:hAnsi="仿宋" w:eastAsia="仿宋_GB2312"/>
                <w:color w:val="auto"/>
                <w:sz w:val="32"/>
                <w:szCs w:val="32"/>
                <w:highlight w:val="none"/>
                <w:lang w:val="zh-CN"/>
              </w:rPr>
              <w:t>注:本约定适用于同时购买多包的投标人。</w:t>
            </w:r>
          </w:p>
        </w:tc>
      </w:tr>
    </w:tbl>
    <w:p>
      <w:pPr>
        <w:pStyle w:val="4"/>
        <w:rPr>
          <w:color w:val="auto"/>
          <w:highlight w:val="none"/>
        </w:rPr>
      </w:pPr>
      <w:r>
        <w:rPr>
          <w:color w:val="auto"/>
          <w:highlight w:val="none"/>
        </w:rPr>
        <w:t>一、有关定义</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1．采购人：依法进行政府采购的西安市市级机关、事业单位或团体组织。</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2．供应商：指向采购人提供货物、工程或者服务的法人、其他组织或者自然人。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3．同级政府采购监管部门：西安市临潼区财政局政府采购管理处。</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4．西安市公共资源交易平台：即【全国公共资源交易平台（陕西省·西安市）】的简称，官网地址</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http://sxggzyjy.xa.gov.cn/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5．企业端：指西安市公共资源交易平台〖首页·〉电子交易平台·〉陕西政府采购交易系统·〉企业端〗，快捷登录网址</w:t>
      </w:r>
      <w:r>
        <w:rPr>
          <w:color w:val="auto"/>
          <w:highlight w:val="none"/>
        </w:rPr>
        <w:fldChar w:fldCharType="begin"/>
      </w:r>
      <w:r>
        <w:rPr>
          <w:color w:val="auto"/>
          <w:highlight w:val="none"/>
        </w:rPr>
        <w:instrText xml:space="preserve"> HYPERLINK "http://www.sxggzyjy.cn:9002/TPBidder/memberLogin"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http://www.sxggzyjy.cn:9002/TPBidder/memberLogin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w:t>
      </w:r>
    </w:p>
    <w:p>
      <w:pPr>
        <w:pStyle w:val="4"/>
        <w:rPr>
          <w:color w:val="auto"/>
          <w:highlight w:val="none"/>
        </w:rPr>
      </w:pPr>
      <w:r>
        <w:rPr>
          <w:color w:val="auto"/>
          <w:highlight w:val="none"/>
        </w:rPr>
        <w:t>二、供应商注意事项</w:t>
      </w:r>
    </w:p>
    <w:p>
      <w:pPr>
        <w:pStyle w:val="97"/>
        <w:spacing w:before="210" w:after="210"/>
        <w:rPr>
          <w:color w:val="auto"/>
          <w:highlight w:val="none"/>
        </w:rPr>
      </w:pPr>
      <w:r>
        <w:rPr>
          <w:rFonts w:hint="eastAsia"/>
          <w:color w:val="auto"/>
          <w:highlight w:val="none"/>
        </w:rPr>
        <w:t>（一）供应商投标流程</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使用电子交易系统的采购项目（即线上项目），将同时提供WORD\PDF格式（仅用于预览）和SXSZF格式（用于制作电子投标文件）两个版本，文件内容一致。</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1．预览采购文件：打开西安市公共资源交易平台〖首页·〉交易大厅·〉政府采购〗栏目，下载和阅读本项目采购文件的预览版本（WORD\PDF格式）；</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2．办理注册登记（针对初次使用电子交易系统的用户）：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（1）办理诚信入库注册：在决定参加本项目采购活动后，供应商应先在西安市公共资源交易平台上完成“诚信入库登记”；</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办理须知：</w:t>
      </w:r>
    </w:p>
    <w:p>
      <w:pPr>
        <w:widowControl w:val="0"/>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http://</w:t>
      </w:r>
      <w:r>
        <w:rPr>
          <w:color w:val="auto"/>
          <w:highlight w:val="none"/>
        </w:rPr>
        <w:fldChar w:fldCharType="begin"/>
      </w:r>
      <w:r>
        <w:rPr>
          <w:color w:val="auto"/>
          <w:highlight w:val="none"/>
        </w:rPr>
        <w:instrText xml:space="preserve"> HYPERLINK "http://www.snca.com.cn/channel/show/27.html" </w:instrText>
      </w:r>
      <w:r>
        <w:rPr>
          <w:color w:val="auto"/>
          <w:highlight w:val="none"/>
        </w:rPr>
        <w:fldChar w:fldCharType="separate"/>
      </w:r>
      <w:r>
        <w:rPr>
          <w:rStyle w:val="35"/>
          <w:rFonts w:hint="eastAsia" w:ascii="仿宋_GB2312" w:hAnsi="仿宋" w:eastAsia="仿宋_GB2312"/>
          <w:color w:val="auto"/>
          <w:sz w:val="32"/>
          <w:szCs w:val="32"/>
          <w:highlight w:val="none"/>
          <w:u w:val="none"/>
        </w:rPr>
        <w:t>www.snca.com.cn/channel/show/27.html</w:t>
      </w:r>
      <w:r>
        <w:rPr>
          <w:rStyle w:val="35"/>
          <w:rFonts w:hint="eastAsia" w:ascii="仿宋_GB2312" w:hAnsi="仿宋" w:eastAsia="仿宋_GB2312"/>
          <w:color w:val="auto"/>
          <w:sz w:val="32"/>
          <w:szCs w:val="32"/>
          <w:highlight w:val="none"/>
          <w:u w:val="none"/>
        </w:rPr>
        <w:fldChar w:fldCharType="end"/>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（3）绑定和激活CA：将数字证书与诚信库中的供应商账户进行绑定。</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4．制作电子投标文件：需要使用专用制作软件“新点投 标文件制作软件（陕西公共资源）”进行编制，编制完成后使用CA锁对电子投标文件进行签章、加密。详见本章中的“投标文件”相关内容。</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5．提交电子投标文件：在提交投标文件截止时间前及时提交加密后电子投标文件，逾期提交的，系统将会拒收；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[适用于不见面开标项目]</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7．等待专家评审：评审期间，可能需要对评审专家提出的问题进行澄清或答复。在主持人宣布评审结束前，供应商请勿擅自离席，否则由此造成的不利后果，由供应商自行承担。</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8．中标供应商注册：按照陕西省政府采购监管部门的要求，采购代理机构在发布中标公告前，应由中标供应商在陕西省政府采购网上完成注册。</w:t>
      </w:r>
    </w:p>
    <w:p>
      <w:pPr>
        <w:pStyle w:val="97"/>
        <w:spacing w:before="210" w:after="210"/>
        <w:rPr>
          <w:color w:val="auto"/>
          <w:highlight w:val="none"/>
        </w:rPr>
      </w:pPr>
      <w:r>
        <w:rPr>
          <w:rFonts w:hint="eastAsia"/>
          <w:color w:val="auto"/>
          <w:highlight w:val="none"/>
        </w:rPr>
        <w:t>（二）关于询问、质疑和投诉</w:t>
      </w:r>
    </w:p>
    <w:p>
      <w:pPr>
        <w:pStyle w:val="96"/>
        <w:rPr>
          <w:color w:val="auto"/>
          <w:highlight w:val="none"/>
        </w:rPr>
      </w:pPr>
      <w:r>
        <w:rPr>
          <w:rFonts w:hint="eastAsia"/>
          <w:color w:val="auto"/>
          <w:highlight w:val="none"/>
        </w:rPr>
        <w:t>1．询问</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供应商对政府采购活动事项有疑问的，可以向采购人或采购代理机构提出询问。采购人或采购代理机构将在3个工作日内对供应商依法提出的询问作出答复。</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根据采购人和采购代理机构签订的《政府采购委托代理协议》，针对采购需求（包括采购内容、技术或服务要求、商务要求、合同条款、供应商资格条件、评审要素及分值一览表）的询问请向采购人提出。</w:t>
      </w:r>
    </w:p>
    <w:p>
      <w:pPr>
        <w:pStyle w:val="96"/>
        <w:rPr>
          <w:color w:val="auto"/>
          <w:highlight w:val="none"/>
        </w:rPr>
      </w:pPr>
      <w:r>
        <w:rPr>
          <w:rFonts w:hint="eastAsia"/>
          <w:color w:val="auto"/>
          <w:highlight w:val="none"/>
        </w:rPr>
        <w:t>2．质疑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（1）供应商认为采购文件、采购过程、成交结果使自己的权益受到损害的，可以在知道或应知其权益受到损害之日起7个工作日内以书面形式向采购人、采购代理机构提出。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（2）质疑方式：</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① 在线质疑：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登录西安市公共资源交易平台〖首页·〉电子交易平台·〉企业端〗，在〖我的项目〗中点击“项目流程·〉提出质疑”，填写表单并提交质疑。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② 书面质疑：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书面质疑函应按照财政部国库司制定的《政府采购供应商质疑函范本》（见下方链接）进行填写，签字、盖章后提交至采购人、采购代理机构。</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质疑函范本地址：</w:t>
      </w:r>
      <w:r>
        <w:rPr>
          <w:color w:val="auto"/>
          <w:highlight w:val="none"/>
        </w:rPr>
        <w:fldChar w:fldCharType="begin"/>
      </w:r>
      <w:r>
        <w:rPr>
          <w:color w:val="auto"/>
          <w:highlight w:val="none"/>
        </w:rPr>
        <w:instrText xml:space="preserve"> HYPERLINK "http://download.ccgp.gov.cn/2018/zhiyihanfanben.zip"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http://download.ccgp.gov.cn/2018/zhiyihanfanben.zip</w:t>
      </w:r>
      <w:r>
        <w:rPr>
          <w:rStyle w:val="35"/>
          <w:rFonts w:hint="eastAsia" w:ascii="仿宋_GB2312" w:hAnsi="仿宋" w:eastAsia="仿宋_GB2312"/>
          <w:color w:val="auto"/>
          <w:sz w:val="32"/>
          <w:szCs w:val="32"/>
          <w:highlight w:val="none"/>
          <w:u w:val="none"/>
        </w:rPr>
        <w:fldChar w:fldCharType="end"/>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（4）在法定质疑期内，针对同一采购程序环节的质疑应当一次性提出。采购人、采购代理机构将在收到书面质疑后7个工作日内做出答复，并以书面形式通知质疑人和其他有关供应商。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（5）有下列情形之一的，属于无效质疑：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① 对采购文件提出质疑的质疑人不是依法获取采购文件的潜在供应商；对采购过程、中标结果提出质疑的质疑人不是参与本次政府采购项目的供应商；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② 超过法定期限或未以书面形式提出的；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③ 缺乏必要的证明材料，或捏造事实、提供虚假材料，或以非法手段取得证明材料的；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④ 质疑函没有合法有效的签字、盖章或委托授权书的（代理人提出质疑和投诉，应当提交供应商签署的授权委托书）；</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⑤ 针对同一采购程序环节又提出其他质疑事项的，或质疑答复后就同一事项再次提出质疑的；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⑥ 不符合法律、法规、规章和政府采购监管机构规定的其他条件的。</w:t>
      </w:r>
    </w:p>
    <w:p>
      <w:pPr>
        <w:pStyle w:val="96"/>
        <w:rPr>
          <w:color w:val="auto"/>
          <w:highlight w:val="none"/>
        </w:rPr>
      </w:pPr>
      <w:r>
        <w:rPr>
          <w:rFonts w:hint="eastAsia"/>
          <w:color w:val="auto"/>
          <w:highlight w:val="none"/>
        </w:rPr>
        <w:t>3．投诉</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质疑供应商对采购人、采购代理机构的答复不满意，或者采购人、采购代理机构未在规定的时间内做出答复的，可以在答复期满后15个工作日内按照《政府采购质疑和投诉办法》（财政部94号令）相关规定向西安市临潼区财政局提出投诉。</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（2）供应商投诉的事项不得超出已质疑事项的范围。供应商提出投诉时，应当提交投诉书和必要的证明材料，并按财政部《投诉书范本》给定的格式进行填写。</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投诉书范本地址：</w:t>
      </w:r>
    </w:p>
    <w:p>
      <w:pPr>
        <w:spacing w:line="560" w:lineRule="exact"/>
        <w:ind w:firstLine="480" w:firstLineChars="200"/>
        <w:jc w:val="both"/>
        <w:rPr>
          <w:rFonts w:ascii="仿宋_GB2312" w:hAnsi="仿宋" w:eastAsia="仿宋_GB2312"/>
          <w:color w:val="auto"/>
          <w:sz w:val="32"/>
          <w:szCs w:val="32"/>
          <w:highlight w:val="none"/>
        </w:rPr>
      </w:pPr>
      <w:r>
        <w:rPr>
          <w:color w:val="auto"/>
          <w:highlight w:val="none"/>
        </w:rPr>
        <w:fldChar w:fldCharType="begin"/>
      </w:r>
      <w:r>
        <w:rPr>
          <w:color w:val="auto"/>
          <w:highlight w:val="none"/>
        </w:rPr>
        <w:instrText xml:space="preserve"> HYPERLINK "http://download.ccgp.gov.cn/2018/tousushufanben.zip" </w:instrText>
      </w:r>
      <w:r>
        <w:rPr>
          <w:color w:val="auto"/>
          <w:highlight w:val="none"/>
        </w:rPr>
        <w:fldChar w:fldCharType="separate"/>
      </w:r>
      <w:r>
        <w:rPr>
          <w:rStyle w:val="35"/>
          <w:rFonts w:hint="eastAsia" w:ascii="仿宋_GB2312" w:hAnsi="仿宋" w:eastAsia="仿宋_GB2312"/>
          <w:color w:val="auto"/>
          <w:sz w:val="32"/>
          <w:szCs w:val="32"/>
          <w:highlight w:val="none"/>
        </w:rPr>
        <w:t>http://download.ccgp.gov.cn/2018/tousushufanben.zip</w:t>
      </w:r>
      <w:r>
        <w:rPr>
          <w:rStyle w:val="35"/>
          <w:rFonts w:hint="eastAsia" w:ascii="仿宋_GB2312" w:hAnsi="仿宋" w:eastAsia="仿宋_GB2312"/>
          <w:color w:val="auto"/>
          <w:sz w:val="32"/>
          <w:szCs w:val="32"/>
          <w:highlight w:val="none"/>
        </w:rPr>
        <w:fldChar w:fldCharType="end"/>
      </w:r>
    </w:p>
    <w:p>
      <w:pPr>
        <w:pStyle w:val="96"/>
        <w:rPr>
          <w:color w:val="auto"/>
          <w:highlight w:val="none"/>
        </w:rPr>
      </w:pPr>
      <w:r>
        <w:rPr>
          <w:rFonts w:hint="eastAsia"/>
          <w:color w:val="auto"/>
          <w:highlight w:val="none"/>
        </w:rPr>
        <w:t>4．恶意质疑、投诉的法律后果</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（1）对捏造事实、提供虚假材料进行质疑、投诉的行为予以严肃处理：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（2）对捏造事实诬告陷害他人、诽谤他人的法律适用：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《中华人民共和国刑法》第246条【侮辱罪、诽谤罪】以暴力或者其他方法公然侮辱他人或者捏造事实诽谤他人，情节严重的，处三年以下有期徒刑、拘役、管制或者剥夺政治权利。</w:t>
      </w:r>
    </w:p>
    <w:p>
      <w:pPr>
        <w:pStyle w:val="97"/>
        <w:spacing w:before="210" w:after="210"/>
        <w:rPr>
          <w:color w:val="auto"/>
          <w:highlight w:val="none"/>
        </w:rPr>
      </w:pPr>
      <w:r>
        <w:rPr>
          <w:rFonts w:hint="eastAsia"/>
          <w:color w:val="auto"/>
          <w:highlight w:val="none"/>
        </w:rPr>
        <w:t>（三）关于保证金</w:t>
      </w:r>
    </w:p>
    <w:p>
      <w:pPr>
        <w:pStyle w:val="96"/>
        <w:rPr>
          <w:color w:val="auto"/>
          <w:highlight w:val="none"/>
        </w:rPr>
      </w:pPr>
      <w:r>
        <w:rPr>
          <w:rFonts w:hint="eastAsia"/>
          <w:color w:val="auto"/>
          <w:highlight w:val="none"/>
        </w:rPr>
        <w:t>1．西安市政府采购信用担保及信用融资政策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《实施方案》链接地址：</w:t>
      </w:r>
    </w:p>
    <w:p>
      <w:pPr>
        <w:spacing w:line="560" w:lineRule="exact"/>
        <w:ind w:firstLine="480" w:firstLineChars="200"/>
        <w:jc w:val="both"/>
        <w:rPr>
          <w:rFonts w:ascii="仿宋_GB2312" w:hAnsi="仿宋" w:eastAsia="仿宋_GB2312"/>
          <w:color w:val="auto"/>
          <w:sz w:val="32"/>
          <w:szCs w:val="32"/>
          <w:highlight w:val="none"/>
        </w:rPr>
      </w:pPr>
      <w:r>
        <w:rPr>
          <w:color w:val="auto"/>
          <w:highlight w:val="none"/>
        </w:rPr>
        <w:fldChar w:fldCharType="begin"/>
      </w:r>
      <w:r>
        <w:rPr>
          <w:color w:val="auto"/>
          <w:highlight w:val="none"/>
        </w:rPr>
        <w:instrText xml:space="preserve"> HYPERLINK "http://xaczj.xa.gov.cn/zfcg/cgfg/5db90552fd850863a9e4594d.html"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http://xaczj.xa.gov.cn/zfcg/cgfg/5db90552fd850863a9e4594d.html</w:t>
      </w:r>
      <w:r>
        <w:rPr>
          <w:rStyle w:val="35"/>
          <w:rFonts w:hint="eastAsia" w:ascii="仿宋_GB2312" w:hAnsi="仿宋" w:eastAsia="仿宋_GB2312"/>
          <w:color w:val="auto"/>
          <w:sz w:val="32"/>
          <w:szCs w:val="32"/>
          <w:highlight w:val="none"/>
          <w:u w:val="none"/>
        </w:rPr>
        <w:fldChar w:fldCharType="end"/>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《合作机构名单》链接地址：</w:t>
      </w:r>
    </w:p>
    <w:p>
      <w:pPr>
        <w:spacing w:line="560" w:lineRule="exact"/>
        <w:ind w:firstLine="480" w:firstLineChars="200"/>
        <w:jc w:val="both"/>
        <w:rPr>
          <w:rFonts w:ascii="仿宋_GB2312" w:hAnsi="仿宋" w:eastAsia="仿宋_GB2312"/>
          <w:color w:val="auto"/>
          <w:sz w:val="32"/>
          <w:szCs w:val="32"/>
          <w:highlight w:val="none"/>
        </w:rPr>
      </w:pPr>
      <w:r>
        <w:rPr>
          <w:color w:val="auto"/>
          <w:highlight w:val="none"/>
        </w:rPr>
        <w:fldChar w:fldCharType="begin"/>
      </w:r>
      <w:r>
        <w:rPr>
          <w:color w:val="auto"/>
          <w:highlight w:val="none"/>
        </w:rPr>
        <w:instrText xml:space="preserve"> HYPERLINK "http://xaczj.xa.gov.cn/zfcg/cgfg/5db9054565cbd804f69e97e0.html"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http://xaczj.xa.gov.cn/zfcg/cgfg/5db9054565cbd804f69e97e0.html</w:t>
      </w:r>
      <w:r>
        <w:rPr>
          <w:rStyle w:val="35"/>
          <w:rFonts w:hint="eastAsia" w:ascii="仿宋_GB2312" w:hAnsi="仿宋" w:eastAsia="仿宋_GB2312"/>
          <w:color w:val="auto"/>
          <w:sz w:val="32"/>
          <w:szCs w:val="32"/>
          <w:highlight w:val="none"/>
          <w:u w:val="none"/>
        </w:rPr>
        <w:fldChar w:fldCharType="end"/>
      </w:r>
    </w:p>
    <w:p>
      <w:pPr>
        <w:pStyle w:val="96"/>
        <w:rPr>
          <w:color w:val="auto"/>
          <w:highlight w:val="none"/>
        </w:rPr>
      </w:pPr>
      <w:r>
        <w:rPr>
          <w:rFonts w:hint="eastAsia"/>
          <w:color w:val="auto"/>
          <w:highlight w:val="none"/>
        </w:rPr>
        <w:t>2．投标保证金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按照西安市财政局《关于促进政府采购公平竞争优化营商环境的通知》第三条规定，供应商参与西安市政府采购活动时，免交投标保证金。</w:t>
      </w:r>
    </w:p>
    <w:p>
      <w:pPr>
        <w:pStyle w:val="96"/>
        <w:rPr>
          <w:color w:val="auto"/>
          <w:highlight w:val="none"/>
        </w:rPr>
      </w:pPr>
      <w:r>
        <w:rPr>
          <w:rFonts w:hint="eastAsia"/>
          <w:color w:val="auto"/>
          <w:highlight w:val="none"/>
        </w:rPr>
        <w:t>3．履约保证金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（1）交纳履约保证金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（2）采用履约保函形式时应注意以下事项：</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① 履约保函的受益人为采购人，供应商未能按合同规定履行其义务时，采购人有权从履约保证金中取得补偿。</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③ 担保金额不少于《投标邀请函》中规定的履约保证金交纳金额；</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④ 保函申请人须与供应商名称一致。若供应商为联合体形式，原则上可由联合体任意一方或多方作为保函申请人，然而对于电子保函，目前只能由下载电子招标文件的一方作为保函申请人。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（3）退还履约保证金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pStyle w:val="97"/>
        <w:spacing w:before="210" w:after="210"/>
        <w:rPr>
          <w:color w:val="auto"/>
          <w:highlight w:val="none"/>
        </w:rPr>
      </w:pPr>
      <w:r>
        <w:rPr>
          <w:rFonts w:hint="eastAsia"/>
          <w:color w:val="auto"/>
          <w:highlight w:val="none"/>
        </w:rPr>
        <w:t>（四）关于联合体（本项目不适用）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4．供应商以联合体形式参加政府采购活动时，遵循以下规则：</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③ 采用资格前审的项目，联合体应当在提交资格前审申请文件前组成。资格前审后联合体不得增减、更换成员。</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④ 资格审查阶段，采购人将对所有联合体成员进行信用记录查询，联合体成员存在不良信用记录的，视同联合体存在不良信用记录。</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⑤ 招标文件要求供应商交纳保证金的，可以由联合体中的一方或者多方共同交纳保证金，其交纳的保证金对联合体各方均具有约束力。</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⑥ 招标文件要求供应商提供履约人员和设备情况的，联合体各方均应提供，以说明其作为独立供应商所具有的能有效执行合同的能力和资源。</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⑦ 招标文件要求供应商提供同类或类似项目业绩的，联合体各方符合招标文件要求的同类或类似业绩可以累计，但联合体一方或多方共同参与的同一业绩不重复计算。</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⑨ 对采购项目提出投诉时，应当由组成联合体的所有供应商共同提出。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（5）联合体出现下列情形之一的，联合体投标无效：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① 没有提交有效的联合体协议的；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② 组成联合体的大中型企业和其他自然人、法人或者其他组织，与小型、微型企业之间存在投资关系的；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③ 联合体协议签订后，联合体成员单独参加或者与其他供应商另外组成联合体参加同一合同项下的政府采购活动的；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④ 资格前审后联合体增减、更换成员的；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⑤ 联合体成员因存在不良信用记录，被拒绝其参与政府采购活动的。</w:t>
      </w:r>
    </w:p>
    <w:p>
      <w:pPr>
        <w:pStyle w:val="97"/>
        <w:spacing w:before="210" w:after="210"/>
        <w:rPr>
          <w:color w:val="auto"/>
          <w:highlight w:val="none"/>
        </w:rPr>
      </w:pPr>
      <w:r>
        <w:rPr>
          <w:rFonts w:hint="eastAsia"/>
          <w:color w:val="auto"/>
          <w:highlight w:val="none"/>
        </w:rPr>
        <w:t>（五）关于进口产品</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pPr>
        <w:pStyle w:val="97"/>
        <w:spacing w:before="210" w:after="210"/>
        <w:rPr>
          <w:color w:val="auto"/>
          <w:highlight w:val="none"/>
        </w:rPr>
      </w:pPr>
      <w:r>
        <w:rPr>
          <w:rFonts w:hint="eastAsia"/>
          <w:color w:val="auto"/>
          <w:highlight w:val="none"/>
        </w:rPr>
        <w:t>（六）关于政府采购政策</w:t>
      </w:r>
    </w:p>
    <w:p>
      <w:pPr>
        <w:pStyle w:val="96"/>
        <w:rPr>
          <w:color w:val="auto"/>
          <w:highlight w:val="none"/>
        </w:rPr>
      </w:pPr>
      <w:r>
        <w:rPr>
          <w:rFonts w:hint="eastAsia"/>
          <w:color w:val="auto"/>
          <w:highlight w:val="none"/>
        </w:rPr>
        <w:t>1．对中小企业、监狱企业、残疾人福利性单位的优惠政策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6%~10%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（2）根据财政部、司法部联合下发的《关于政府采购支持监狱企业发展有关问题的通知》（财库〔2014〕68号）的规定，监狱企业视同小型、微型企业。</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96"/>
        <w:rPr>
          <w:color w:val="auto"/>
          <w:highlight w:val="none"/>
        </w:rPr>
      </w:pPr>
      <w:r>
        <w:rPr>
          <w:rFonts w:hint="eastAsia"/>
          <w:color w:val="auto"/>
          <w:highlight w:val="none"/>
        </w:rPr>
        <w:t>2．节能、环保产品采购政策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（3）《节能产品政府采购品目清单》见财政部、发展改革委《关于印发节能产品政府采购品目清单的通知》（财库〔2019〕19号）附件。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（4）《环境标志产品政府采购品目清单》见财政部、生态环境部《关于印发环境标志产品政府采购品目清单的通知》（财库〔2019〕18号）附件。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（5）“国家确定的认证机构”名单见市场监管总局《关于发布参与实施政府采购节能产品、环境标志产品认证机构名录的公告》（2019年第16号）。</w:t>
      </w:r>
    </w:p>
    <w:p>
      <w:pPr>
        <w:pStyle w:val="96"/>
        <w:rPr>
          <w:color w:val="auto"/>
          <w:highlight w:val="none"/>
        </w:rPr>
      </w:pPr>
      <w:r>
        <w:rPr>
          <w:rFonts w:hint="eastAsia"/>
          <w:color w:val="auto"/>
          <w:highlight w:val="none"/>
        </w:rPr>
        <w:t>3．陕西省中小企业政府采购信用融资办法</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链接地址：</w:t>
      </w:r>
      <w:r>
        <w:rPr>
          <w:color w:val="auto"/>
          <w:highlight w:val="none"/>
        </w:rPr>
        <w:fldChar w:fldCharType="begin"/>
      </w:r>
      <w:r>
        <w:rPr>
          <w:color w:val="auto"/>
          <w:highlight w:val="none"/>
        </w:rPr>
        <w:instrText xml:space="preserve"> HYPERLINK "http://www.ccgp-shaanxi.gov.cn/zcdservice/zcd/shanxi/article/zcdt/1390497710741917696"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http://www.ccgp-shaanxi.gov.cn/zcdservice/zcd/shanxi/article/zcdt/1390497710741917696</w:t>
      </w:r>
      <w:r>
        <w:rPr>
          <w:rStyle w:val="35"/>
          <w:rFonts w:hint="eastAsia" w:ascii="仿宋_GB2312" w:hAnsi="仿宋" w:eastAsia="仿宋_GB2312"/>
          <w:color w:val="auto"/>
          <w:sz w:val="32"/>
          <w:szCs w:val="32"/>
          <w:highlight w:val="none"/>
          <w:u w:val="none"/>
        </w:rPr>
        <w:fldChar w:fldCharType="end"/>
      </w:r>
    </w:p>
    <w:p>
      <w:pPr>
        <w:pStyle w:val="97"/>
        <w:spacing w:before="210" w:after="210"/>
        <w:rPr>
          <w:color w:val="auto"/>
          <w:highlight w:val="none"/>
        </w:rPr>
      </w:pPr>
      <w:r>
        <w:rPr>
          <w:rFonts w:hint="eastAsia"/>
          <w:color w:val="auto"/>
          <w:highlight w:val="none"/>
        </w:rPr>
        <w:t>（七）关于现场踏勘和集中答疑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采购人可以根据项目实际情况决定是否组织现场踏勘\标前集中答疑。投标邀请函中明确载明安排上述活动的，各供应商应派出技术、预算等相关人员，在招标文件约定的时间、地点参加现场踏勘\标前集中答疑。</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凡未参加现场踏勘和集中答疑的供应商，由此带来的不利后果由该供应商自行承担。</w:t>
      </w:r>
    </w:p>
    <w:p>
      <w:pPr>
        <w:pStyle w:val="97"/>
        <w:spacing w:before="210" w:after="210"/>
        <w:rPr>
          <w:color w:val="auto"/>
          <w:highlight w:val="none"/>
        </w:rPr>
      </w:pPr>
      <w:r>
        <w:rPr>
          <w:rFonts w:hint="eastAsia"/>
          <w:color w:val="auto"/>
          <w:highlight w:val="none"/>
        </w:rPr>
        <w:t>（八）关于同一品牌产品的处理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97"/>
        <w:spacing w:before="210" w:after="210"/>
        <w:rPr>
          <w:color w:val="auto"/>
          <w:highlight w:val="none"/>
        </w:rPr>
      </w:pPr>
      <w:r>
        <w:rPr>
          <w:rFonts w:hint="eastAsia"/>
          <w:color w:val="auto"/>
          <w:highlight w:val="none"/>
        </w:rPr>
        <w:t>（九）关于知识产权和保密事项</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1．所有涉及知识产权的产品及设计，供应商必须确保委托人、采购人拥有其合法的、不受限制的无偿使用权，并免受任何侵权诉讼或索偿；否则，由此产生的一切经济损失和法律责任由供应商承担。</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97"/>
        <w:spacing w:before="210" w:after="210"/>
        <w:rPr>
          <w:color w:val="auto"/>
          <w:highlight w:val="none"/>
        </w:rPr>
      </w:pPr>
      <w:r>
        <w:rPr>
          <w:rFonts w:hint="eastAsia"/>
          <w:color w:val="auto"/>
          <w:highlight w:val="none"/>
        </w:rPr>
        <w:t>（十）关于信用记录的查询和使用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1．根据财政部《关于在政府采购活动中查询及使用信用记录有关问题的通知》（财库〔2016〕125号）第二条有关要求，采购人将在资格审查阶段通过【信用中国】（</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https://www.creditchina.gov.cn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/）和【中国政府采购网】（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http://www.ccgp.gov.cn/）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对供应商的信用情况进行甄别。</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3．供应商在参加政府采购活动前3年内因违法经营被禁止在一定期限内参加政府采购活动，期限届满的，可以参加政府采购活动的，但供应商应提供相关证明材料。</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4．信用记录查询结果打印后，将与其他采购文件一并保存。</w:t>
      </w:r>
    </w:p>
    <w:p>
      <w:pPr>
        <w:pStyle w:val="97"/>
        <w:spacing w:before="210" w:after="210"/>
        <w:rPr>
          <w:color w:val="auto"/>
          <w:highlight w:val="none"/>
        </w:rPr>
      </w:pPr>
      <w:r>
        <w:rPr>
          <w:rFonts w:hint="eastAsia"/>
          <w:color w:val="auto"/>
          <w:highlight w:val="none"/>
        </w:rPr>
        <w:t>（十一）其他重要事项</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1．招标文件内所附网络链接仅供参考，不保证其长期有效性。</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2．供应商的投标费用自理。</w:t>
      </w:r>
    </w:p>
    <w:p>
      <w:pPr>
        <w:pStyle w:val="4"/>
        <w:rPr>
          <w:color w:val="auto"/>
          <w:highlight w:val="none"/>
        </w:rPr>
      </w:pPr>
      <w:r>
        <w:rPr>
          <w:color w:val="auto"/>
          <w:highlight w:val="none"/>
        </w:rPr>
        <w:t>三、招标文件</w:t>
      </w:r>
    </w:p>
    <w:p>
      <w:pPr>
        <w:pStyle w:val="97"/>
        <w:spacing w:before="210" w:after="210"/>
        <w:rPr>
          <w:color w:val="auto"/>
          <w:highlight w:val="none"/>
        </w:rPr>
      </w:pPr>
      <w:r>
        <w:rPr>
          <w:color w:val="auto"/>
          <w:highlight w:val="none"/>
        </w:rPr>
        <w:t>（一）招标</w:t>
      </w:r>
      <w:r>
        <w:rPr>
          <w:rFonts w:hint="eastAsia"/>
          <w:color w:val="auto"/>
          <w:highlight w:val="none"/>
        </w:rPr>
        <w:t>文件的解释权</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本项目招标文件的解释权归采购代理机构，评标委员会成员应根据政府采购法律法规和招标文件所载明的评审方法、标准进行评审。</w:t>
      </w:r>
    </w:p>
    <w:p>
      <w:pPr>
        <w:pStyle w:val="97"/>
        <w:spacing w:before="210" w:after="210"/>
        <w:rPr>
          <w:color w:val="auto"/>
          <w:highlight w:val="none"/>
        </w:rPr>
      </w:pPr>
      <w:r>
        <w:rPr>
          <w:rFonts w:hint="eastAsia"/>
          <w:color w:val="auto"/>
          <w:highlight w:val="none"/>
        </w:rPr>
        <w:t>（二）招标文件主要内容</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第1章  投标邀请函</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第2章  供应商须知</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第3章  招标内容及要求</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第4章  合同文本</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第5章  投标文件构成及格式</w:t>
      </w:r>
    </w:p>
    <w:p>
      <w:pPr>
        <w:pStyle w:val="97"/>
        <w:spacing w:before="210" w:after="210"/>
        <w:rPr>
          <w:color w:val="auto"/>
          <w:highlight w:val="none"/>
        </w:rPr>
      </w:pPr>
      <w:r>
        <w:rPr>
          <w:rFonts w:hint="eastAsia"/>
          <w:color w:val="auto"/>
          <w:highlight w:val="none"/>
        </w:rPr>
        <w:t>（三）招标文件的检查及阅读</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供应商应认真阅读和充分理解招标文件中所有的事项、格式条款和规范要求，在投标文件中对招标文件做出全面响 应，并按招标文件的要求提交全部资料。</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项目废标后重新组织招标的，采购代理机构将重新编制、发布新版招标文件，供应商应按新版招标文件重新编制投标文件。原招标文件及投标文件失效。</w:t>
      </w:r>
    </w:p>
    <w:p>
      <w:pPr>
        <w:pStyle w:val="97"/>
        <w:spacing w:before="210" w:after="210"/>
        <w:rPr>
          <w:color w:val="auto"/>
          <w:highlight w:val="none"/>
        </w:rPr>
      </w:pPr>
      <w:r>
        <w:rPr>
          <w:rFonts w:hint="eastAsia"/>
          <w:color w:val="auto"/>
          <w:highlight w:val="none"/>
        </w:rPr>
        <w:t>（四）招标文件的修改、澄清</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1．提交投标文件截止之日前，采购人或采购代理机构可能对已发出的招标文件进行澄清或者修改，澄清或者修改的内容为招标文件的组成部分。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4．请各供应商在提交投标文件截止时间之前，务必随时关注“政府采购信息发布媒体”上发布的变更公告，采购代理机构不再另行通知，因供应商未及时关注所造成的一切后果由供应商自行承担：</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陕西省政府采购网</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http://www.ccgp-shaanxi.gov.cn/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）中的〖首页·〉信息公告·〉市级·〉西安市〗；</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color w:val="auto"/>
          <w:highlight w:val="none"/>
        </w:rPr>
        <w:fldChar w:fldCharType="begin"/>
      </w:r>
      <w:r>
        <w:rPr>
          <w:color w:val="auto"/>
          <w:highlight w:val="none"/>
        </w:rPr>
        <w:instrText xml:space="preserve"> HYPERLINK "http://xa.sxggzyjy.cn/" </w:instrText>
      </w:r>
      <w:r>
        <w:rPr>
          <w:color w:val="auto"/>
          <w:highlight w:val="none"/>
        </w:rPr>
        <w:fldChar w:fldCharType="separate"/>
      </w:r>
      <w:r>
        <w:rPr>
          <w:rStyle w:val="35"/>
          <w:rFonts w:hint="eastAsia" w:ascii="仿宋_GB2312" w:hAnsi="仿宋" w:eastAsia="仿宋_GB2312"/>
          <w:color w:val="auto"/>
          <w:sz w:val="32"/>
          <w:szCs w:val="32"/>
          <w:highlight w:val="none"/>
          <w:u w:val="none"/>
        </w:rPr>
        <w:t>全国公共资源交易网（陕西省·西安市）</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w:t>
      </w:r>
      <w:r>
        <w:rPr>
          <w:color w:val="auto"/>
          <w:highlight w:val="none"/>
        </w:rPr>
        <w:fldChar w:fldCharType="begin"/>
      </w:r>
      <w:r>
        <w:rPr>
          <w:color w:val="auto"/>
          <w:highlight w:val="none"/>
        </w:rPr>
        <w:instrText xml:space="preserve"> HYPERLINK "http://sxggzyjy.xa.gov.cn/"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http://sxggzyjy.xa.gov.cn/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）中的〖首页·〉交易大厅·〉政府采购〗。</w:t>
      </w:r>
    </w:p>
    <w:p>
      <w:pPr>
        <w:pStyle w:val="4"/>
        <w:rPr>
          <w:color w:val="auto"/>
          <w:highlight w:val="none"/>
        </w:rPr>
      </w:pPr>
      <w:r>
        <w:rPr>
          <w:color w:val="auto"/>
          <w:highlight w:val="none"/>
        </w:rPr>
        <w:t>四、投标文件</w:t>
      </w:r>
    </w:p>
    <w:p>
      <w:pPr>
        <w:pStyle w:val="97"/>
        <w:spacing w:before="210" w:after="210"/>
        <w:rPr>
          <w:color w:val="auto"/>
          <w:highlight w:val="none"/>
        </w:rPr>
      </w:pPr>
      <w:r>
        <w:rPr>
          <w:rFonts w:hint="eastAsia"/>
          <w:color w:val="auto"/>
          <w:highlight w:val="none"/>
        </w:rPr>
        <w:t>（一）投标文件的式样</w:t>
      </w:r>
    </w:p>
    <w:p>
      <w:pPr>
        <w:pStyle w:val="96"/>
        <w:rPr>
          <w:color w:val="auto"/>
          <w:highlight w:val="none"/>
        </w:rPr>
      </w:pPr>
      <w:r>
        <w:rPr>
          <w:color w:val="auto"/>
          <w:highlight w:val="none"/>
        </w:rPr>
        <w:t>1</w:t>
      </w:r>
      <w:r>
        <w:rPr>
          <w:rFonts w:hint="eastAsia"/>
          <w:color w:val="auto"/>
          <w:highlight w:val="none"/>
        </w:rPr>
        <w:t>．组成</w:t>
      </w:r>
      <w:r>
        <w:rPr>
          <w:color w:val="auto"/>
          <w:highlight w:val="none"/>
        </w:rPr>
        <w:t>及格式</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供应商依照招标文件第五章《投标文件构成及格式》给定形式进行编制投标文件。项目分标段的，应按所投标段分别准备投标文件。</w:t>
      </w:r>
    </w:p>
    <w:p>
      <w:pPr>
        <w:pStyle w:val="96"/>
        <w:rPr>
          <w:color w:val="auto"/>
          <w:highlight w:val="none"/>
        </w:rPr>
      </w:pPr>
      <w:r>
        <w:rPr>
          <w:rFonts w:hint="eastAsia"/>
          <w:color w:val="auto"/>
          <w:highlight w:val="none"/>
        </w:rPr>
        <w:t>2．语言</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招标活动的所有文件、资料、函电文字均使用简体中文，确需提交用其他语言形成的资料，必须翻译成简体中文，如有差异，以简体中文为准。</w:t>
      </w:r>
    </w:p>
    <w:p>
      <w:pPr>
        <w:pStyle w:val="96"/>
        <w:rPr>
          <w:color w:val="auto"/>
          <w:highlight w:val="none"/>
        </w:rPr>
      </w:pPr>
      <w:r>
        <w:rPr>
          <w:rFonts w:hint="eastAsia"/>
          <w:color w:val="auto"/>
          <w:highlight w:val="none"/>
        </w:rPr>
        <w:t>3．</w:t>
      </w:r>
      <w:r>
        <w:rPr>
          <w:color w:val="auto"/>
          <w:highlight w:val="none"/>
        </w:rPr>
        <w:t>计量单位</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投标文件的计量单位应使用中华人民共和国法定计量单位，但招标文件另有规定的除外。</w:t>
      </w:r>
    </w:p>
    <w:p>
      <w:pPr>
        <w:pStyle w:val="97"/>
        <w:spacing w:before="210" w:after="210"/>
        <w:rPr>
          <w:color w:val="auto"/>
          <w:highlight w:val="none"/>
        </w:rPr>
      </w:pPr>
      <w:r>
        <w:rPr>
          <w:rFonts w:hint="eastAsia"/>
          <w:color w:val="auto"/>
          <w:highlight w:val="none"/>
        </w:rPr>
        <w:t>（二）投标文件的有效期</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投标文件有效期为自开标之日起不少于90个日历日。如中标，延长至合同执行完毕时止。</w:t>
      </w:r>
    </w:p>
    <w:p>
      <w:pPr>
        <w:pStyle w:val="97"/>
        <w:spacing w:before="210" w:after="210"/>
        <w:rPr>
          <w:color w:val="auto"/>
          <w:highlight w:val="none"/>
        </w:rPr>
      </w:pPr>
      <w:r>
        <w:rPr>
          <w:rFonts w:hint="eastAsia"/>
          <w:color w:val="auto"/>
          <w:highlight w:val="none"/>
        </w:rPr>
        <w:t>（三）投标报价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投标报价是供应商响应采购项目要求的全部工作内容的价格体现，包括完成采购内容所需的直接费、间接费、利润、税金及其它相关的一切费用。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1．供应商在报价时应充分考虑所有可能发生的费用，招标文件未列明，而供应商认为应当计取的费用均应列入报价中。报价时不论是否计取，采购人均按已计取对待。</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3．投标报价货币：人民币；单位：元。</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4．投标文件报价出现前后不一致的，除招标文件另有规定外，按照下列规则修正：</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（1）投标文件中开标一览表内容与投标文件中其他位置相应内容表述不一致的，以开标一览表为准；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（2）大写金额和小写金额不一致的，以大写金额为准；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（3）单价金额小数点或者百分比有明显错位的，以开标一览表的总价为准，并修改单价；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（4）总价金额与按单价汇总金额不一致的，以单价金额计算结果为准。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同时出现两种以上不一致的，按照前款规定的顺序修正。修正后的报价经供应商确认后产生约束力，供应商不确认的，其投标无效。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5．因供应商对招标文件理解不透、误解、疏漏或对市场行情了解不清造成的后果和风险，均由供应商自己负责。</w:t>
      </w:r>
    </w:p>
    <w:p>
      <w:pPr>
        <w:pStyle w:val="97"/>
        <w:spacing w:before="210" w:after="210"/>
        <w:rPr>
          <w:color w:val="auto"/>
          <w:highlight w:val="none"/>
        </w:rPr>
      </w:pPr>
      <w:r>
        <w:rPr>
          <w:rFonts w:hint="eastAsia"/>
          <w:color w:val="auto"/>
          <w:highlight w:val="none"/>
        </w:rPr>
        <w:t>（四）投标文件的制作和签章</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链接地址：</w:t>
      </w:r>
    </w:p>
    <w:p>
      <w:pPr>
        <w:spacing w:line="560" w:lineRule="exact"/>
        <w:ind w:firstLine="480" w:firstLineChars="200"/>
        <w:jc w:val="both"/>
        <w:rPr>
          <w:rFonts w:ascii="仿宋_GB2312" w:hAnsi="仿宋" w:eastAsia="仿宋_GB2312"/>
          <w:color w:val="auto"/>
          <w:sz w:val="32"/>
          <w:szCs w:val="32"/>
          <w:highlight w:val="none"/>
        </w:rPr>
      </w:pPr>
      <w:r>
        <w:rPr>
          <w:color w:val="auto"/>
          <w:highlight w:val="none"/>
        </w:rPr>
        <w:fldChar w:fldCharType="begin"/>
      </w:r>
      <w:r>
        <w:rPr>
          <w:color w:val="auto"/>
          <w:highlight w:val="none"/>
        </w:rPr>
        <w:instrText xml:space="preserve"> HYPERLINK "http://sxggzyjy.xa.gov.cn/fwzn/004003/20181115/4d59c184-e8f6-4d5a-a416-c2f6b0601e66.html" </w:instrText>
      </w:r>
      <w:r>
        <w:rPr>
          <w:color w:val="auto"/>
          <w:highlight w:val="none"/>
        </w:rPr>
        <w:fldChar w:fldCharType="separate"/>
      </w:r>
      <w:r>
        <w:rPr>
          <w:rStyle w:val="35"/>
          <w:rFonts w:hint="eastAsia" w:ascii="仿宋_GB2312" w:hAnsi="仿宋" w:eastAsia="仿宋_GB2312"/>
          <w:color w:val="auto"/>
          <w:sz w:val="32"/>
          <w:szCs w:val="32"/>
          <w:highlight w:val="none"/>
        </w:rPr>
        <w:t>http://sxggzyjy.xa.gov.cn/fwzn/004003/20181115/4d59c184-e8f6-4d5a-a416-c2f6b0601e66.html</w:t>
      </w:r>
      <w:r>
        <w:rPr>
          <w:rStyle w:val="35"/>
          <w:rFonts w:hint="eastAsia" w:ascii="仿宋_GB2312" w:hAnsi="仿宋" w:eastAsia="仿宋_GB2312"/>
          <w:color w:val="auto"/>
          <w:sz w:val="32"/>
          <w:szCs w:val="32"/>
          <w:highlight w:val="none"/>
        </w:rPr>
        <w:fldChar w:fldCharType="end"/>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3．电子投标文件制作过程中，需要法定代表人签字或盖章的地方，请使用“法人CA锁”进行签章；需要加盖供应商公章的地方，请使用“企业CA锁”进行签章。</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7"/>
        <w:spacing w:before="210" w:after="210"/>
        <w:rPr>
          <w:color w:val="auto"/>
          <w:highlight w:val="none"/>
        </w:rPr>
      </w:pPr>
      <w:r>
        <w:rPr>
          <w:rFonts w:hint="eastAsia"/>
          <w:color w:val="auto"/>
          <w:highlight w:val="none"/>
        </w:rPr>
        <w:t>（五）投标文件的加密和提交</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1．在生成电子投标文件时，需要使用CA锁对投标文件进行加密。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注意：加密投标文件和开标时解密投标文件应当使用同一CA，否则将会导致解密失败。</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3．上传文件有误或需要重新提交的，可先撤销已经上传的文件，然后重新上传新文件。</w:t>
      </w:r>
    </w:p>
    <w:p>
      <w:pPr>
        <w:pStyle w:val="97"/>
        <w:spacing w:before="210" w:after="210"/>
        <w:rPr>
          <w:color w:val="auto"/>
          <w:highlight w:val="none"/>
        </w:rPr>
      </w:pPr>
      <w:r>
        <w:rPr>
          <w:rFonts w:hint="eastAsia"/>
          <w:color w:val="auto"/>
          <w:highlight w:val="none"/>
        </w:rPr>
        <w:t>（六）投标文件的补充、修改和撤回</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2．供应商在提交投标文件截止时间后，撤回投标文件的，投标保证金不予退还。</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97"/>
        <w:spacing w:before="210" w:after="210"/>
        <w:rPr>
          <w:color w:val="auto"/>
          <w:highlight w:val="none"/>
        </w:rPr>
      </w:pPr>
      <w:r>
        <w:rPr>
          <w:rFonts w:hint="eastAsia"/>
          <w:color w:val="auto"/>
          <w:highlight w:val="none"/>
        </w:rPr>
        <w:t>（七）关于投标文件的雷同性分析</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若“文件创建标识码”一致，则表示不同投标供应商使用投标文件制作软件时，使用同一源工程文件，该情形建议由评标委员会结合项目情况综合判定。</w:t>
      </w:r>
    </w:p>
    <w:p>
      <w:pPr>
        <w:pStyle w:val="97"/>
        <w:spacing w:before="210" w:after="210"/>
        <w:rPr>
          <w:color w:val="auto"/>
          <w:highlight w:val="none"/>
        </w:rPr>
      </w:pPr>
      <w:r>
        <w:rPr>
          <w:rFonts w:hint="eastAsia"/>
          <w:color w:val="auto"/>
          <w:highlight w:val="none"/>
        </w:rPr>
        <w:t>（八）投标文件被拒绝接收的情形</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1．误投的或采用旧版电子招标文件制作的；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2．逾期提交电子投标文件的。</w:t>
      </w:r>
    </w:p>
    <w:p>
      <w:pPr>
        <w:pStyle w:val="4"/>
        <w:rPr>
          <w:color w:val="auto"/>
          <w:highlight w:val="none"/>
        </w:rPr>
      </w:pPr>
      <w:r>
        <w:rPr>
          <w:rFonts w:hint="eastAsia"/>
          <w:color w:val="auto"/>
          <w:highlight w:val="none"/>
        </w:rPr>
        <w:t>五</w:t>
      </w:r>
      <w:r>
        <w:rPr>
          <w:color w:val="auto"/>
          <w:highlight w:val="none"/>
        </w:rPr>
        <w:t>、开标</w:t>
      </w:r>
      <w:r>
        <w:rPr>
          <w:rFonts w:hint="eastAsia"/>
          <w:color w:val="auto"/>
          <w:highlight w:val="none"/>
        </w:rPr>
        <w:t>程序</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开标工作由采购代理机构组织实施，整个过程受同级政府采购监管机构的监督、管理。</w:t>
      </w:r>
    </w:p>
    <w:p>
      <w:pPr>
        <w:pStyle w:val="97"/>
        <w:spacing w:before="210" w:after="210"/>
        <w:rPr>
          <w:color w:val="auto"/>
          <w:highlight w:val="none"/>
        </w:rPr>
      </w:pPr>
      <w:r>
        <w:rPr>
          <w:rFonts w:hint="eastAsia"/>
          <w:color w:val="auto"/>
          <w:highlight w:val="none"/>
        </w:rPr>
        <w:t>[适用于不见面开标项目]（一）“不见面开标”基本流程</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“不见面开标”是依托政府采购云平台实现的供应商在线参与开标的一种组织形式。供应商无需抵达开标现场，即可在线实现开标、解密、澄清等操作。</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1．供应商登录：开标前，请各供应商至少提前半小时登录西安市公共资源交易平台〖首页·〉不见面开标〗系统。</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2．主持人宣布开标：提交投标文件截止时间过后，系统将不再接收任何投标文件。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4．唱标：对于公开招标项目，“不见面开标”系统将自动展示供应商名单及其投标报价。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5．开标结束：进入评审环节。供应商请保持在线，评审期间评标委员会可能会要求供应商做相应的澄清。因供应商擅自离席造成的不利后果，由供应商自行承担。</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“不见面开标”系统操作说明：详见西安市公共资源交易平台〖首页·〉服务指南·〉下载专区〗中的《西安公共资源交易不见面开标大厅供应商操作手册》。</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链接地址：</w:t>
      </w:r>
      <w:r>
        <w:rPr>
          <w:color w:val="auto"/>
          <w:highlight w:val="none"/>
        </w:rPr>
        <w:fldChar w:fldCharType="begin"/>
      </w:r>
      <w:r>
        <w:rPr>
          <w:color w:val="auto"/>
          <w:highlight w:val="none"/>
        </w:rPr>
        <w:instrText xml:space="preserve"> HYPERLINK "http://sxggzyjy.xa.gov.cn/fwzn/004003/20200426/bc8b2c1e-abe2-4168-913c-68ff93345faf.html"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http://sxggzyjy.xa.gov.cn/fwzn/004003/20200426/bc8b2c1e-abe2-4168-913c-68ff93345faf.html</w:t>
      </w:r>
      <w:r>
        <w:rPr>
          <w:rStyle w:val="35"/>
          <w:rFonts w:hint="eastAsia" w:ascii="仿宋_GB2312" w:hAnsi="仿宋" w:eastAsia="仿宋_GB2312"/>
          <w:color w:val="auto"/>
          <w:sz w:val="32"/>
          <w:szCs w:val="32"/>
          <w:highlight w:val="none"/>
          <w:u w:val="none"/>
        </w:rPr>
        <w:fldChar w:fldCharType="end"/>
      </w:r>
    </w:p>
    <w:p>
      <w:pPr>
        <w:pStyle w:val="97"/>
        <w:spacing w:before="210" w:after="210"/>
        <w:rPr>
          <w:color w:val="auto"/>
          <w:highlight w:val="none"/>
        </w:rPr>
      </w:pPr>
      <w:r>
        <w:rPr>
          <w:rFonts w:hint="eastAsia"/>
          <w:color w:val="auto"/>
          <w:highlight w:val="none"/>
        </w:rPr>
        <w:t>[适用于见面开标项目]（二）“见面开标”基本流程</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本项目电子投标文件可以在线提交，但开标当日供应商法定代表人或其授权代表仍需到达开标现场。基本流程如下：</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1．供应商签到：采购代理机构将严格按照招标文件规定的时间和地点组织开标，供应商可派法定代表人或被授权人参加，并签名报到。</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2．主持人宣布开标：提交投标文件截止时间过后，系统将不再接收任何投标文件。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4．唱标：对于公开招标项目，系统将自动展示供应商名单及其投标报价。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5．开标结束：进入评审环节。供应商请在开标区等待，评审期间评标委员会可能会要求供应商做相应的澄清。因供应商擅自离席造成的不利后果，由供应商自行承担。</w:t>
      </w:r>
    </w:p>
    <w:p>
      <w:pPr>
        <w:pStyle w:val="97"/>
        <w:spacing w:before="210" w:after="210"/>
        <w:rPr>
          <w:color w:val="auto"/>
          <w:highlight w:val="none"/>
        </w:rPr>
      </w:pPr>
      <w:r>
        <w:rPr>
          <w:rFonts w:hint="eastAsia"/>
          <w:color w:val="auto"/>
          <w:highlight w:val="none"/>
        </w:rPr>
        <w:t>（三）开标环节投标文件视为无效的情形</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1．供应商放弃或拒绝对电子投标文件进行解密的；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2．因供应商自身原因，导致未在规定的解密时限内完整解密的，如忘带CA锁、或携带的CA锁与加密文件的CA锁不同、或使用旧版招标文件编制投标文件等情形；</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3．上传的电子投标文件无法正常打开的；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4．政府采购法律法规规定的其他无效情形。</w:t>
      </w:r>
    </w:p>
    <w:p>
      <w:pPr>
        <w:pStyle w:val="97"/>
        <w:spacing w:before="210" w:after="210"/>
        <w:rPr>
          <w:color w:val="auto"/>
          <w:highlight w:val="none"/>
        </w:rPr>
      </w:pPr>
      <w:r>
        <w:rPr>
          <w:rFonts w:hint="eastAsia"/>
          <w:color w:val="auto"/>
          <w:highlight w:val="none"/>
        </w:rPr>
        <w:t>（四）突发状况的应急处置</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在开评标过程中，如因停电、断网、电子化系统故障等特殊原因导致电子化开、评标工作无法正常进行时，采购代理机构将及时汇报政府采购监管部门，并等待或中止后续活动。      </w:t>
      </w:r>
    </w:p>
    <w:p>
      <w:pPr>
        <w:pStyle w:val="4"/>
        <w:rPr>
          <w:color w:val="auto"/>
          <w:highlight w:val="none"/>
        </w:rPr>
      </w:pPr>
      <w:r>
        <w:rPr>
          <w:color w:val="auto"/>
          <w:highlight w:val="none"/>
        </w:rPr>
        <w:t>六、资格审查</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供应商提供的资格证明文件缺少任何一项或有任何一项不满足，都将被视为无效投标。供应商所提供的资格证明文件应图文清晰、易于辨识，否则由此带来的不利后果由供应商自行承担。</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资格审查结束后，资格审查小组成员应当对审查结果进行签字确认；对未通过资格审查的供应商，资格审查小组应当场告知其未通过的原因。</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合格供应商不足3家的，不得评标。</w:t>
      </w:r>
    </w:p>
    <w:p>
      <w:pPr>
        <w:rPr>
          <w:rFonts w:ascii="仿宋_GB2312" w:hAnsi="仿宋" w:eastAsia="仿宋_GB2312"/>
          <w:color w:val="auto"/>
          <w:sz w:val="32"/>
          <w:szCs w:val="32"/>
          <w:highlight w:val="none"/>
        </w:rPr>
      </w:pPr>
      <w:r>
        <w:rPr>
          <w:rFonts w:ascii="仿宋_GB2312" w:hAnsi="仿宋" w:eastAsia="仿宋_GB2312"/>
          <w:color w:val="auto"/>
          <w:sz w:val="32"/>
          <w:szCs w:val="32"/>
          <w:highlight w:val="none"/>
        </w:rPr>
        <w:br w:type="page"/>
      </w:r>
    </w:p>
    <w:p>
      <w:pPr>
        <w:spacing w:line="56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〖资格</w:t>
      </w:r>
      <w:r>
        <w:rPr>
          <w:rFonts w:ascii="仿宋" w:hAnsi="仿宋" w:eastAsia="仿宋"/>
          <w:color w:val="auto"/>
          <w:sz w:val="32"/>
          <w:szCs w:val="32"/>
          <w:highlight w:val="none"/>
        </w:rPr>
        <w:t>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196"/>
        <w:gridCol w:w="583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序号</w:t>
            </w:r>
          </w:p>
        </w:tc>
        <w:tc>
          <w:tcPr>
            <w:tcW w:w="2196"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资格项</w:t>
            </w:r>
          </w:p>
        </w:tc>
        <w:tc>
          <w:tcPr>
            <w:tcW w:w="5836"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一</w:t>
            </w:r>
          </w:p>
        </w:tc>
        <w:tc>
          <w:tcPr>
            <w:tcW w:w="8032" w:type="dxa"/>
            <w:gridSpan w:val="2"/>
            <w:tcBorders>
              <w:top w:val="single" w:color="auto" w:sz="2" w:space="0"/>
            </w:tcBorders>
            <w:shd w:val="clear" w:color="auto" w:fill="auto"/>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有效的主体资格证明</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在中华人民共和国境内注册，依法取得并有效存续的营业执照（含电子营业执照）\事业单位法人证书\民办非企业单位登记证书\非企业专业服务机构执业许可证等。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财务状况报告</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（任选其一）</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1．2021年度或2022年度经审计的财务会计报告（至少包括审计报告、资产负债表和利润表，成立时间至提交投标文件截止时间不足一年的可提供成立后任意时段的资产负债表）；</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2．提交投标文件截止时间六个月内其基本账户开户银行出具的资信证明（附基本存款账户信息）</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3.政府采购信用担保机构出具的《政府采购投标担保函》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3</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社保资金缴纳</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证明</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提供2023年1月1日至投标文件递交截止时间前已缴存的至少一个月的社会保障资金缴存单据或社保机构开具的社会保险参保缴费情况证明，依法不需要缴纳社会保障资金的单位应提供相关证明材料。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4</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税收缴纳证明</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提交2023年1月1日至投标文件截止时间前一年内至少一个月的纳税证明或完税证明，纳税证明或完税证明上应有代收机构或税务机关的公章或业务专用章，依法免税的投标人应提供相关证明文件。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无重大违法记录声明</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参加本次政府采购活动前3年内在经营活动中没有重大违法记录的书面声明。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法定代表人（主要负责人）委托授权书</w:t>
            </w:r>
            <w:r>
              <w:rPr>
                <w:rFonts w:ascii="仿宋" w:hAnsi="仿宋" w:eastAsia="仿宋"/>
                <w:color w:val="auto"/>
                <w:sz w:val="28"/>
                <w:szCs w:val="28"/>
                <w:highlight w:val="none"/>
              </w:rPr>
              <w:t>\身份证明</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法定代表人（主要负责人）委托代理人参加投标时，应提供法定代表人（主要负责人）委托授权书；法定代表人（主要负责人）亲自参加投标时，应提供法定代表人（主要负责人）身份证明书。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二</w:t>
            </w:r>
          </w:p>
        </w:tc>
        <w:tc>
          <w:tcPr>
            <w:tcW w:w="8032" w:type="dxa"/>
            <w:gridSpan w:val="2"/>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投标人资质</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投标人须具备建设行政主管部门颁发的市政公用工程施工总承包三级及以上资质或城市及道路照明工程专业承包三级及以上资质，且具有有效的安全生产许可证；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项目经理资质</w:t>
            </w:r>
          </w:p>
        </w:tc>
        <w:tc>
          <w:tcPr>
            <w:tcW w:w="5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项目经理应具有市政公用工程专业或机电工程专业二级或以上注册建造师，具有建造师安全生产考核合格证书(B证)，且在本单位注册。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3</w:t>
            </w:r>
          </w:p>
        </w:tc>
        <w:tc>
          <w:tcPr>
            <w:tcW w:w="219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其他</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法律、行政法规规定的其他特定资格要求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三</w:t>
            </w:r>
          </w:p>
        </w:tc>
        <w:tc>
          <w:tcPr>
            <w:tcW w:w="8032" w:type="dxa"/>
            <w:gridSpan w:val="2"/>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219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信用记录审查</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结果</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w:t>
            </w:r>
          </w:p>
        </w:tc>
        <w:tc>
          <w:tcPr>
            <w:tcW w:w="219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中小企业声明函</w:t>
            </w:r>
          </w:p>
        </w:tc>
        <w:tc>
          <w:tcPr>
            <w:tcW w:w="5836"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本项目专门面向中小企业采购，监狱企业、残疾人福利性单位视同小型、微型企业；供应商应按照格式要求提供。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3"/>
            <w:vAlign w:val="center"/>
          </w:tcPr>
          <w:p>
            <w:pPr>
              <w:jc w:val="both"/>
              <w:rPr>
                <w:rFonts w:ascii="仿宋" w:hAnsi="仿宋" w:eastAsia="仿宋"/>
                <w:b/>
                <w:bCs/>
                <w:color w:val="auto"/>
                <w:sz w:val="28"/>
                <w:szCs w:val="28"/>
                <w:highlight w:val="none"/>
              </w:rPr>
            </w:pPr>
            <w:r>
              <w:rPr>
                <w:rFonts w:ascii="仿宋" w:hAnsi="仿宋" w:eastAsia="仿宋"/>
                <w:b/>
                <w:bCs/>
                <w:color w:val="auto"/>
                <w:sz w:val="28"/>
                <w:szCs w:val="28"/>
                <w:highlight w:val="none"/>
              </w:rPr>
              <w:t>注意事项：</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．以联合体形式参与投标时，应提供有效的《联合体协议书》，并遵循招标文件第二章中“关于联合体”的相关规定。</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．《基本存款账户信息》、《无重大违法记录声明》、《法定代表人委托授权书》、《法定代表人身份证明书》、《联合体协议书》应按第五章《投标文件构成及格式》中给定的格式填写，并按要求签字、盖章。</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pStyle w:val="4"/>
        <w:rPr>
          <w:color w:val="auto"/>
          <w:highlight w:val="none"/>
        </w:rPr>
      </w:pPr>
      <w:r>
        <w:rPr>
          <w:color w:val="auto"/>
          <w:highlight w:val="none"/>
        </w:rPr>
        <w:t>七、评审方法和程序</w:t>
      </w:r>
    </w:p>
    <w:p>
      <w:pPr>
        <w:pStyle w:val="97"/>
        <w:spacing w:before="210" w:after="210"/>
        <w:rPr>
          <w:color w:val="auto"/>
          <w:highlight w:val="none"/>
        </w:rPr>
      </w:pPr>
      <w:r>
        <w:rPr>
          <w:rFonts w:hint="eastAsia"/>
          <w:color w:val="auto"/>
          <w:highlight w:val="none"/>
        </w:rPr>
        <w:t>（一）评标方法</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本项目采用综合评分法，即投标文件满足招标文件全部实质性要求，且按照评审因素的量化指标评审得分最高的供应商为中标候选人。</w:t>
      </w:r>
    </w:p>
    <w:p>
      <w:pPr>
        <w:pStyle w:val="97"/>
        <w:spacing w:before="210" w:after="210"/>
        <w:rPr>
          <w:color w:val="auto"/>
          <w:highlight w:val="none"/>
        </w:rPr>
      </w:pPr>
      <w:r>
        <w:rPr>
          <w:rFonts w:hint="eastAsia"/>
          <w:color w:val="auto"/>
          <w:highlight w:val="none"/>
        </w:rPr>
        <w:t>（二）评标程序</w:t>
      </w:r>
    </w:p>
    <w:p>
      <w:pPr>
        <w:pStyle w:val="96"/>
        <w:rPr>
          <w:color w:val="auto"/>
          <w:highlight w:val="none"/>
        </w:rPr>
      </w:pPr>
      <w:r>
        <w:rPr>
          <w:rFonts w:hint="eastAsia"/>
          <w:color w:val="auto"/>
          <w:highlight w:val="none"/>
        </w:rPr>
        <w:t>1．组建评标委员会</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由采购代理机构组织评标委员会推选评标组长，采购人代表不得担任组长。</w:t>
      </w:r>
    </w:p>
    <w:p>
      <w:pPr>
        <w:pStyle w:val="96"/>
        <w:rPr>
          <w:color w:val="auto"/>
          <w:highlight w:val="none"/>
        </w:rPr>
      </w:pPr>
      <w:r>
        <w:rPr>
          <w:rFonts w:hint="eastAsia"/>
          <w:color w:val="auto"/>
          <w:highlight w:val="none"/>
        </w:rPr>
        <w:t>2．投标文件的符合性审查</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供应商资格性审查通过后，评标委员会对符合资格的投标人的投标文件进行符合性审查，以确定其是否满足招标文件的实质性要求。</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对于投标文件中含义不明确、同类问题表述不一致或者有明显文字和计算错误的内容，评标委员会应当以书面形式要求投标人作出必要的澄清、说明或者补正。</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〖符合性审查表〗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w:t>
            </w:r>
          </w:p>
        </w:tc>
        <w:tc>
          <w:tcPr>
            <w:tcW w:w="2392" w:type="dxa"/>
            <w:tcBorders>
              <w:top w:val="single" w:color="auto" w:sz="2" w:space="0"/>
            </w:tcBorders>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与项目的一致性</w:t>
            </w:r>
          </w:p>
        </w:tc>
        <w:tc>
          <w:tcPr>
            <w:tcW w:w="5498" w:type="dxa"/>
            <w:tcBorders>
              <w:top w:val="single" w:color="auto" w:sz="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至少以下三处的项目名称、项目编号、标段（未分标段的除外）与本项目完全一致：</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投标文件封面</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投标函</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法定代表人（主要负责人）委托授权书</w:t>
            </w:r>
            <w:r>
              <w:rPr>
                <w:rFonts w:hint="eastAsia" w:ascii="仿宋" w:hAnsi="仿宋" w:eastAsia="仿宋"/>
                <w:color w:val="auto"/>
                <w:sz w:val="28"/>
                <w:szCs w:val="28"/>
                <w:highlight w:val="none"/>
              </w:rPr>
              <w:t>\身份证明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7"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2</w:t>
            </w:r>
          </w:p>
        </w:tc>
        <w:tc>
          <w:tcPr>
            <w:tcW w:w="2392"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投标文件组成</w:t>
            </w:r>
          </w:p>
        </w:tc>
        <w:tc>
          <w:tcPr>
            <w:tcW w:w="5498"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投标文件应包含以下部分：</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投标函</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（2）开标一览表、分项报价表</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资格证明文件</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4</w:t>
            </w:r>
            <w:r>
              <w:rPr>
                <w:rFonts w:hint="eastAsia" w:ascii="仿宋" w:hAnsi="仿宋" w:eastAsia="仿宋"/>
                <w:color w:val="auto"/>
                <w:sz w:val="28"/>
                <w:szCs w:val="28"/>
                <w:highlight w:val="none"/>
              </w:rPr>
              <w:t>）供应商概况</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w:t>
            </w:r>
            <w:r>
              <w:rPr>
                <w:rFonts w:hint="eastAsia" w:ascii="仿宋" w:hAnsi="仿宋" w:eastAsia="仿宋"/>
                <w:color w:val="auto"/>
                <w:sz w:val="28"/>
                <w:szCs w:val="28"/>
                <w:highlight w:val="none"/>
              </w:rPr>
              <w:t>5</w:t>
            </w:r>
            <w:r>
              <w:rPr>
                <w:rFonts w:ascii="仿宋" w:hAnsi="仿宋" w:eastAsia="仿宋"/>
                <w:color w:val="auto"/>
                <w:sz w:val="28"/>
                <w:szCs w:val="28"/>
                <w:highlight w:val="none"/>
              </w:rPr>
              <w:t>）供应商参加政府采购活动承诺书</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w:t>
            </w:r>
            <w:r>
              <w:rPr>
                <w:rFonts w:hint="eastAsia" w:ascii="仿宋" w:hAnsi="仿宋" w:eastAsia="仿宋"/>
                <w:color w:val="auto"/>
                <w:sz w:val="28"/>
                <w:szCs w:val="28"/>
                <w:highlight w:val="none"/>
              </w:rPr>
              <w:t>6</w:t>
            </w:r>
            <w:r>
              <w:rPr>
                <w:rFonts w:ascii="仿宋" w:hAnsi="仿宋" w:eastAsia="仿宋"/>
                <w:color w:val="auto"/>
                <w:sz w:val="28"/>
                <w:szCs w:val="28"/>
                <w:highlight w:val="none"/>
              </w:rPr>
              <w:t>）投标方案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3</w:t>
            </w:r>
          </w:p>
        </w:tc>
        <w:tc>
          <w:tcPr>
            <w:tcW w:w="2392"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签章</w:t>
            </w:r>
          </w:p>
        </w:tc>
        <w:tc>
          <w:tcPr>
            <w:tcW w:w="5498"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4</w:t>
            </w:r>
          </w:p>
        </w:tc>
        <w:tc>
          <w:tcPr>
            <w:tcW w:w="2392"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语言和计量单位</w:t>
            </w:r>
          </w:p>
        </w:tc>
        <w:tc>
          <w:tcPr>
            <w:tcW w:w="5498"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2392"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投标文件有效期</w:t>
            </w:r>
          </w:p>
        </w:tc>
        <w:tc>
          <w:tcPr>
            <w:tcW w:w="5498"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2392"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投标报价</w:t>
            </w:r>
          </w:p>
        </w:tc>
        <w:tc>
          <w:tcPr>
            <w:tcW w:w="5498"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同时满足以下条款：</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（1）投标报价符合唯一性要求；</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（2）开标一览表填写符合要求；</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（3）报价货币符合招标文件要求；</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（4）未超出采购预算或招标文件规定的最高限价；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2392"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实质性条款响应</w:t>
            </w:r>
          </w:p>
        </w:tc>
        <w:tc>
          <w:tcPr>
            <w:tcW w:w="5498"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完全响应招标文件要求的各项技术（服务）、商务实质性条款。（</w:t>
            </w:r>
            <w:r>
              <w:rPr>
                <w:rFonts w:hint="eastAsia" w:ascii="仿宋" w:hAnsi="仿宋" w:eastAsia="仿宋"/>
                <w:color w:val="auto"/>
                <w:sz w:val="28"/>
                <w:szCs w:val="28"/>
                <w:highlight w:val="none"/>
              </w:rPr>
              <w:t>见</w:t>
            </w:r>
            <w:r>
              <w:rPr>
                <w:rFonts w:ascii="仿宋" w:hAnsi="仿宋" w:eastAsia="仿宋"/>
                <w:color w:val="auto"/>
                <w:sz w:val="28"/>
                <w:szCs w:val="28"/>
                <w:highlight w:val="none"/>
              </w:rPr>
              <w:t>第三章</w:t>
            </w:r>
            <w:r>
              <w:rPr>
                <w:rFonts w:hint="eastAsia" w:ascii="仿宋" w:hAnsi="仿宋" w:eastAsia="仿宋"/>
                <w:color w:val="auto"/>
                <w:sz w:val="28"/>
                <w:szCs w:val="28"/>
                <w:highlight w:val="none"/>
              </w:rPr>
              <w:t>中要求</w:t>
            </w:r>
            <w:r>
              <w:rPr>
                <w:rFonts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2392"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合同条款响应</w:t>
            </w:r>
          </w:p>
        </w:tc>
        <w:tc>
          <w:tcPr>
            <w:tcW w:w="5498"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完全理解并响应招标文件合同条款的要求，且未</w:t>
            </w:r>
            <w:r>
              <w:rPr>
                <w:rFonts w:hint="eastAsia" w:ascii="仿宋" w:hAnsi="仿宋" w:eastAsia="仿宋"/>
                <w:color w:val="auto"/>
                <w:sz w:val="28"/>
                <w:szCs w:val="28"/>
                <w:highlight w:val="none"/>
              </w:rPr>
              <w:t>含有采购人不能接受的附加条件的</w:t>
            </w:r>
            <w:r>
              <w:rPr>
                <w:rFonts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2392"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电子投标文件雷同性分析</w:t>
            </w:r>
          </w:p>
        </w:tc>
        <w:tc>
          <w:tcPr>
            <w:tcW w:w="5498" w:type="dxa"/>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2392"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其他</w:t>
            </w:r>
          </w:p>
        </w:tc>
        <w:tc>
          <w:tcPr>
            <w:tcW w:w="5498"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完全理解并接受法律法规和招标文件对供应商合法经营的各类规约和责任义务要求，没有出现法律法规或招标文件规定的其他</w:t>
            </w:r>
            <w:r>
              <w:rPr>
                <w:rFonts w:hint="eastAsia" w:ascii="仿宋" w:hAnsi="仿宋" w:eastAsia="仿宋"/>
                <w:color w:val="auto"/>
                <w:sz w:val="28"/>
                <w:szCs w:val="28"/>
                <w:highlight w:val="none"/>
              </w:rPr>
              <w:t>无效</w:t>
            </w:r>
            <w:r>
              <w:rPr>
                <w:rFonts w:ascii="仿宋" w:hAnsi="仿宋" w:eastAsia="仿宋"/>
                <w:color w:val="auto"/>
                <w:sz w:val="28"/>
                <w:szCs w:val="28"/>
                <w:highlight w:val="none"/>
              </w:rPr>
              <w:t>情形。</w:t>
            </w:r>
          </w:p>
        </w:tc>
      </w:tr>
    </w:tbl>
    <w:p>
      <w:pPr>
        <w:pStyle w:val="96"/>
        <w:rPr>
          <w:color w:val="auto"/>
          <w:highlight w:val="none"/>
        </w:rPr>
      </w:pPr>
      <w:r>
        <w:rPr>
          <w:color w:val="auto"/>
          <w:highlight w:val="none"/>
        </w:rPr>
        <w:t>3</w:t>
      </w:r>
      <w:r>
        <w:rPr>
          <w:rFonts w:hint="eastAsia"/>
          <w:color w:val="auto"/>
          <w:highlight w:val="none"/>
        </w:rPr>
        <w:t>．</w:t>
      </w:r>
      <w:r>
        <w:rPr>
          <w:color w:val="auto"/>
          <w:highlight w:val="none"/>
        </w:rPr>
        <w:t>综合比较与评价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评标委员会按《评审要素及分值一览表》中规定的评标方法和标准，对通过符合性审查的投标文件进行商务和技术评估，综合比较与评价。</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出现下列情形的，供应商投标无效：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（1）投标文件报价出现本章第五小节“投标报价”所列需要修正情形，但供应商对修正后的报价不予确认的；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560" w:lineRule="exact"/>
        <w:jc w:val="both"/>
        <w:rPr>
          <w:color w:val="auto"/>
          <w:highlight w:val="none"/>
        </w:rPr>
      </w:pPr>
      <w:r>
        <w:rPr>
          <w:rFonts w:ascii="仿宋" w:hAnsi="仿宋" w:eastAsia="仿宋"/>
          <w:color w:val="auto"/>
          <w:sz w:val="32"/>
          <w:szCs w:val="32"/>
          <w:highlight w:val="none"/>
        </w:rPr>
        <w:t>〖评审要素及分值一览表〗</w:t>
      </w:r>
    </w:p>
    <w:tbl>
      <w:tblPr>
        <w:tblStyle w:val="28"/>
        <w:tblW w:w="951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59"/>
        <w:gridCol w:w="720"/>
        <w:gridCol w:w="690"/>
        <w:gridCol w:w="6555"/>
        <w:gridCol w:w="10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vMerge w:val="restart"/>
            <w:tcBorders>
              <w:top w:val="single" w:color="auto" w:sz="12" w:space="0"/>
              <w:bottom w:val="single" w:color="auto" w:sz="2" w:space="0"/>
            </w:tcBorders>
            <w:shd w:val="clear" w:color="auto" w:fill="auto"/>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项别</w:t>
            </w:r>
          </w:p>
        </w:tc>
        <w:tc>
          <w:tcPr>
            <w:tcW w:w="1410" w:type="dxa"/>
            <w:gridSpan w:val="2"/>
            <w:tcBorders>
              <w:top w:val="single" w:color="auto" w:sz="12" w:space="0"/>
              <w:bottom w:val="single" w:color="auto" w:sz="2" w:space="0"/>
            </w:tcBorders>
            <w:shd w:val="clear" w:color="auto" w:fill="auto"/>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总分值</w:t>
            </w:r>
          </w:p>
        </w:tc>
        <w:tc>
          <w:tcPr>
            <w:tcW w:w="6555" w:type="dxa"/>
            <w:vMerge w:val="restart"/>
            <w:tcBorders>
              <w:top w:val="single" w:color="auto" w:sz="12" w:space="0"/>
              <w:bottom w:val="single" w:color="auto" w:sz="2" w:space="0"/>
            </w:tcBorders>
            <w:shd w:val="clear" w:color="auto" w:fill="auto"/>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评审要素</w:t>
            </w:r>
          </w:p>
        </w:tc>
        <w:tc>
          <w:tcPr>
            <w:tcW w:w="1088" w:type="dxa"/>
            <w:vMerge w:val="restart"/>
            <w:tcBorders>
              <w:top w:val="single" w:color="auto" w:sz="12" w:space="0"/>
              <w:bottom w:val="single" w:color="auto" w:sz="2" w:space="0"/>
            </w:tcBorders>
            <w:shd w:val="clear" w:color="auto" w:fill="auto"/>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cs="仿宋"/>
                <w:color w:val="auto"/>
                <w:sz w:val="32"/>
                <w:szCs w:val="32"/>
                <w:highlight w:val="none"/>
              </w:rPr>
            </w:pPr>
          </w:p>
        </w:tc>
        <w:tc>
          <w:tcPr>
            <w:tcW w:w="720" w:type="dxa"/>
            <w:tcBorders>
              <w:top w:val="single" w:color="auto" w:sz="2" w:space="0"/>
              <w:bottom w:val="single" w:color="auto" w:sz="2" w:space="0"/>
            </w:tcBorders>
            <w:shd w:val="clear" w:color="auto" w:fill="auto"/>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100</w:t>
            </w:r>
          </w:p>
        </w:tc>
        <w:tc>
          <w:tcPr>
            <w:tcW w:w="690" w:type="dxa"/>
            <w:tcBorders>
              <w:top w:val="single" w:color="auto" w:sz="2" w:space="0"/>
              <w:bottom w:val="single" w:color="auto" w:sz="2" w:space="0"/>
            </w:tcBorders>
            <w:shd w:val="clear" w:color="auto" w:fill="auto"/>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分项最高分值</w:t>
            </w:r>
          </w:p>
        </w:tc>
        <w:tc>
          <w:tcPr>
            <w:tcW w:w="6555"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cs="仿宋"/>
                <w:color w:val="auto"/>
                <w:sz w:val="32"/>
                <w:szCs w:val="32"/>
                <w:highlight w:val="none"/>
              </w:rPr>
            </w:pPr>
          </w:p>
        </w:tc>
        <w:tc>
          <w:tcPr>
            <w:tcW w:w="1088" w:type="dxa"/>
            <w:vMerge w:val="continue"/>
            <w:tcBorders>
              <w:top w:val="single" w:color="auto" w:sz="2" w:space="0"/>
              <w:bottom w:val="single" w:color="auto" w:sz="2" w:space="0"/>
            </w:tcBorders>
            <w:shd w:val="clear" w:color="auto" w:fill="F1F1F1" w:themeFill="background1" w:themeFillShade="F2"/>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tcBorders>
              <w:top w:val="single" w:color="auto" w:sz="2" w:space="0"/>
            </w:tcBorders>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价格</w:t>
            </w:r>
          </w:p>
        </w:tc>
        <w:tc>
          <w:tcPr>
            <w:tcW w:w="720" w:type="dxa"/>
            <w:tcBorders>
              <w:top w:val="single" w:color="auto" w:sz="2" w:space="0"/>
            </w:tcBorders>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30</w:t>
            </w: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30</w:t>
            </w:r>
          </w:p>
        </w:tc>
        <w:tc>
          <w:tcPr>
            <w:tcW w:w="6555" w:type="dxa"/>
            <w:tcBorders>
              <w:top w:val="single" w:color="auto" w:sz="2" w:space="0"/>
            </w:tcBorders>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有效供应商最低报价作为基准价，各供应商的报价得分按下列公式计算：</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（基准价/投标报价）×30%×100分。</w:t>
            </w:r>
          </w:p>
        </w:tc>
        <w:tc>
          <w:tcPr>
            <w:tcW w:w="1088" w:type="dxa"/>
            <w:tcBorders>
              <w:top w:val="single" w:color="auto" w:sz="2" w:space="0"/>
            </w:tcBorders>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vMerge w:val="restart"/>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技术响应</w:t>
            </w:r>
          </w:p>
        </w:tc>
        <w:tc>
          <w:tcPr>
            <w:tcW w:w="720" w:type="dxa"/>
            <w:vMerge w:val="restart"/>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40</w:t>
            </w: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30</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1.完全符合、满足文件技术要求的，计26分，参数每有一项负偏离扣2分，扣完为止。</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2.加分（4分）：在技术参数无负偏离的前提下，投标产品技术参数在招标文件要求的范围内，经评标委员会一致认为属于技术参数正偏离的，每有一条加1分，最高加4分。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注：1.如技术参数中要求提供相关的技术、功能证明材料（包括但不限于测试报告、官网和功能截图、产品彩页、检测报告、演示等）严格按照要求提供, 如无法提供或提供不吻合则视为负偏离；若提供虚假截图、内容的按虚假应标处理。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2.技术参数正偏离须提供相应的佐证材料，并应在技术响应表中注明佐证材料的页码。</w:t>
            </w:r>
          </w:p>
        </w:tc>
        <w:tc>
          <w:tcPr>
            <w:tcW w:w="1088" w:type="dxa"/>
            <w:vMerge w:val="restart"/>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9" w:type="dxa"/>
            <w:vMerge w:val="continue"/>
            <w:shd w:val="clear" w:color="auto" w:fill="auto"/>
            <w:vAlign w:val="center"/>
          </w:tcPr>
          <w:p>
            <w:pPr>
              <w:jc w:val="center"/>
              <w:rPr>
                <w:rFonts w:ascii="仿宋" w:hAnsi="仿宋" w:eastAsia="仿宋" w:cs="仿宋"/>
                <w:color w:val="auto"/>
                <w:sz w:val="32"/>
                <w:szCs w:val="32"/>
                <w:highlight w:val="none"/>
              </w:rPr>
            </w:pPr>
          </w:p>
        </w:tc>
        <w:tc>
          <w:tcPr>
            <w:tcW w:w="720" w:type="dxa"/>
            <w:vMerge w:val="continue"/>
            <w:shd w:val="clear" w:color="auto" w:fill="auto"/>
            <w:vAlign w:val="center"/>
          </w:tcPr>
          <w:p>
            <w:pPr>
              <w:jc w:val="center"/>
              <w:rPr>
                <w:rFonts w:ascii="仿宋" w:hAnsi="仿宋" w:eastAsia="仿宋" w:cs="仿宋"/>
                <w:color w:val="auto"/>
                <w:sz w:val="32"/>
                <w:szCs w:val="32"/>
                <w:highlight w:val="none"/>
              </w:rPr>
            </w:pP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1、根据供应商提供的本项目详细的供货组织方案、安装调试方案、人员投入等进行综合赋分（5分）。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方案科学、严密、合理，描述详细且具有针对性的计5-3.1分；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方案基本合理、描述一般、具有可操作性计3-2.1分；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方案具有不合理项、描述略欠缺、具有一定的实施难度计2-0.1分；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未提供不计分。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2、根据供应商提供的本项目详细的项目实施方案进度安排等按优劣赋分（5分）。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措施、方案科学、严密、合理，描述详细且具有针对性的计5-3.1分；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措施、方案基本合理、描述一般、具有可操作性计3-2.1分；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措施、方案具有不合理项、描述略欠缺、具有一定的实施难度计2-0.1分；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未提供不计分。</w:t>
            </w:r>
          </w:p>
        </w:tc>
        <w:tc>
          <w:tcPr>
            <w:tcW w:w="1088" w:type="dxa"/>
            <w:vMerge w:val="continue"/>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59"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安全管理体系与措施</w:t>
            </w:r>
          </w:p>
        </w:tc>
        <w:tc>
          <w:tcPr>
            <w:tcW w:w="720"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安全管理体系与措施</w:t>
            </w:r>
          </w:p>
        </w:tc>
        <w:tc>
          <w:tcPr>
            <w:tcW w:w="690"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根据供应商提供的安全管理体系与措施、安全文明施工措施、安全教育及培训计划、安全防护措施等进行综合评审：</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方案科学、严密、合理，描述详细且具有针对性的计5-3.1分；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方案基本合理、描述一般、具有可操作性计3-2.1分；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方案具有不合理项、描述略欠缺、具有一定的实施难度计2-0.1分；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未提供不计分。</w:t>
            </w:r>
          </w:p>
        </w:tc>
        <w:tc>
          <w:tcPr>
            <w:tcW w:w="1088" w:type="dxa"/>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459" w:type="dxa"/>
            <w:vMerge w:val="restart"/>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质量保证</w:t>
            </w:r>
          </w:p>
        </w:tc>
        <w:tc>
          <w:tcPr>
            <w:tcW w:w="720" w:type="dxa"/>
            <w:vMerge w:val="restart"/>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1、产品及备品备件货源渠道正规、产地及制造商明确，技术资料齐全，无产权纠纷，质量和服务有保障，提供来源渠道证明材料合法计5-3.1分；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产品及备品备件货源渠道、产地及制造商、技术资料、无产权纠纷、质量和服务保障，提供来源渠道证明材料简单、较齐全计3-2.1分；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产品及备品备件货源渠道、产地及制造商、技术资料、无产权纠纷、质量和服务保障，来源渠道证明材料不齐全计2-0.1分。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未提供不计分。</w:t>
            </w:r>
          </w:p>
        </w:tc>
        <w:tc>
          <w:tcPr>
            <w:tcW w:w="1088" w:type="dxa"/>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vMerge w:val="continue"/>
            <w:shd w:val="clear" w:color="auto" w:fill="auto"/>
            <w:vAlign w:val="center"/>
          </w:tcPr>
          <w:p>
            <w:pPr>
              <w:jc w:val="center"/>
              <w:rPr>
                <w:rFonts w:ascii="仿宋" w:hAnsi="仿宋" w:eastAsia="仿宋" w:cs="仿宋"/>
                <w:color w:val="auto"/>
                <w:sz w:val="32"/>
                <w:szCs w:val="32"/>
                <w:highlight w:val="none"/>
              </w:rPr>
            </w:pPr>
          </w:p>
        </w:tc>
        <w:tc>
          <w:tcPr>
            <w:tcW w:w="720" w:type="dxa"/>
            <w:vMerge w:val="continue"/>
            <w:shd w:val="clear" w:color="auto" w:fill="auto"/>
            <w:vAlign w:val="center"/>
          </w:tcPr>
          <w:p>
            <w:pPr>
              <w:jc w:val="center"/>
              <w:rPr>
                <w:rFonts w:ascii="仿宋" w:hAnsi="仿宋" w:eastAsia="仿宋" w:cs="仿宋"/>
                <w:color w:val="auto"/>
                <w:sz w:val="32"/>
                <w:szCs w:val="32"/>
                <w:highlight w:val="none"/>
              </w:rPr>
            </w:pP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2、根据供应商提供的本项目质量保障措施(包含但不限于备品备件计划、质量保障范围及时间等)</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质量保障措施严密、合理，描述详细且具有针对性计5-3.1分；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质量保障措施合理、描述一般、具有可操作性计，计3-2.1分；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质量保障措施有不合理项、描述略欠缺、具有一定的实施难度计2-0.1分;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未提供不计分。</w:t>
            </w:r>
          </w:p>
        </w:tc>
        <w:tc>
          <w:tcPr>
            <w:tcW w:w="1088" w:type="dxa"/>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shd w:val="clear" w:color="auto" w:fill="auto"/>
            <w:vAlign w:val="center"/>
          </w:tcPr>
          <w:p>
            <w:pPr>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售后服务</w:t>
            </w:r>
          </w:p>
          <w:p>
            <w:pPr>
              <w:jc w:val="center"/>
              <w:rPr>
                <w:rFonts w:ascii="仿宋" w:hAnsi="仿宋" w:eastAsia="仿宋" w:cs="仿宋"/>
                <w:color w:val="auto"/>
                <w:sz w:val="32"/>
                <w:szCs w:val="32"/>
                <w:highlight w:val="none"/>
              </w:rPr>
            </w:pPr>
          </w:p>
        </w:tc>
        <w:tc>
          <w:tcPr>
            <w:tcW w:w="72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提供详细完整的本地化售后服务方案及承诺。包含但不限于：服务人员配备、响应时间、响应程度等。</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售后服务方案齐全合理、可操作性强，计5-3.1分；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售后服务方案基本满足项目需求，计3-2.1分；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售后服务方案不完整或合理性低，计2-0.1分；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未提供不计分。</w:t>
            </w:r>
          </w:p>
        </w:tc>
        <w:tc>
          <w:tcPr>
            <w:tcW w:w="1088" w:type="dxa"/>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应急预案</w:t>
            </w:r>
          </w:p>
        </w:tc>
        <w:tc>
          <w:tcPr>
            <w:tcW w:w="72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提供详细完整的应急预案。包含但不限于：突发状况的处理，紧急故障处理预案等。</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应急预案齐全合理、可操作性强，计5-3.1分；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应急预案基本满足项目需求，计3-2.1分；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应急预案不完整或合理性低，计2-0.1分；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未提供不计分。</w:t>
            </w:r>
          </w:p>
        </w:tc>
        <w:tc>
          <w:tcPr>
            <w:tcW w:w="1088" w:type="dxa"/>
            <w:shd w:val="clear" w:color="auto" w:fill="auto"/>
            <w:vAlign w:val="center"/>
          </w:tcPr>
          <w:p>
            <w:pPr>
              <w:jc w:val="center"/>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业绩</w:t>
            </w:r>
          </w:p>
          <w:p>
            <w:pPr>
              <w:jc w:val="center"/>
              <w:rPr>
                <w:rFonts w:ascii="仿宋" w:hAnsi="仿宋" w:eastAsia="仿宋" w:cs="仿宋"/>
                <w:b/>
                <w:bCs/>
                <w:color w:val="auto"/>
                <w:sz w:val="32"/>
                <w:szCs w:val="32"/>
                <w:highlight w:val="none"/>
              </w:rPr>
            </w:pPr>
          </w:p>
        </w:tc>
        <w:tc>
          <w:tcPr>
            <w:tcW w:w="72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690"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根据投标人提供的类似项目业绩进行赋分：以2021年01月01日至投标截止日销售合同为准，每提供1份合同得1分，最多得4分（仅限投标人自己实施的）。</w:t>
            </w:r>
          </w:p>
        </w:tc>
        <w:tc>
          <w:tcPr>
            <w:tcW w:w="1088"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（注：证明文件在投标文件中附扫描件并加盖公司公章。）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GB"/>
              </w:rPr>
              <w:t>节能、环境标志、产品</w:t>
            </w: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lang w:val="en-GB"/>
              </w:rPr>
              <w:t>%</w:t>
            </w:r>
          </w:p>
        </w:tc>
        <w:tc>
          <w:tcPr>
            <w:tcW w:w="720"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690"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6555" w:type="dxa"/>
            <w:shd w:val="clear" w:color="auto" w:fill="auto"/>
            <w:vAlign w:val="center"/>
          </w:tcPr>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投标产品中属于政府采购优先采购范围的，则每有一项为节能产品或者环境标志产品或者无线局域网产品的得0.5分，非节能、环境标志产品的、无线局域网产品的不得分。本项最多得1分。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jc w:val="both"/>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 投标产品属于优先采购范围内的节能产品或者环境标志产品的，提供国家确定的认证机构出具的、处于有效期之内的节能产品、环境标志产品认证证书复印件加盖投标人公章（鲜章）。</w:t>
            </w:r>
          </w:p>
        </w:tc>
        <w:tc>
          <w:tcPr>
            <w:tcW w:w="1088" w:type="dxa"/>
            <w:shd w:val="clear" w:color="auto" w:fill="auto"/>
            <w:vAlign w:val="center"/>
          </w:tcPr>
          <w:p>
            <w:pPr>
              <w:jc w:val="both"/>
              <w:rPr>
                <w:rFonts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59" w:type="dxa"/>
            <w:shd w:val="clear" w:color="auto" w:fill="auto"/>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说明</w:t>
            </w:r>
          </w:p>
        </w:tc>
        <w:tc>
          <w:tcPr>
            <w:tcW w:w="9053" w:type="dxa"/>
            <w:gridSpan w:val="4"/>
            <w:shd w:val="clear" w:color="auto" w:fill="auto"/>
            <w:vAlign w:val="center"/>
          </w:tcPr>
          <w:p>
            <w:pPr>
              <w:jc w:val="both"/>
              <w:rPr>
                <w:b/>
                <w:bCs/>
                <w:color w:val="auto"/>
                <w:highlight w:val="none"/>
              </w:rPr>
            </w:pPr>
            <w:r>
              <w:rPr>
                <w:rFonts w:hint="eastAsia"/>
                <w:b/>
                <w:bCs/>
                <w:color w:val="auto"/>
                <w:highlight w:val="none"/>
              </w:rPr>
              <w:t>1．评标委员会成员必须按照本评审要素据实打分，各类数字计算均按“四舍五入”保留小数点后两位；</w:t>
            </w:r>
          </w:p>
          <w:p>
            <w:pPr>
              <w:jc w:val="both"/>
              <w:rPr>
                <w:b/>
                <w:bCs/>
                <w:color w:val="auto"/>
                <w:highlight w:val="none"/>
              </w:rPr>
            </w:pPr>
            <w:r>
              <w:rPr>
                <w:rFonts w:hint="eastAsia"/>
                <w:b/>
                <w:bCs/>
                <w:color w:val="auto"/>
                <w:highlight w:val="none"/>
              </w:rPr>
              <w:t>2．本项目专门面向中小企业采购，故不再进行价格扣除。</w:t>
            </w:r>
          </w:p>
          <w:p>
            <w:pPr>
              <w:pStyle w:val="109"/>
              <w:rPr>
                <w:b/>
                <w:bCs/>
                <w:color w:val="auto"/>
                <w:highlight w:val="none"/>
                <w:lang w:val="zh-CN"/>
              </w:rPr>
            </w:pPr>
            <w:r>
              <w:rPr>
                <w:rFonts w:hint="eastAsia" w:ascii="仿宋" w:hAnsi="仿宋" w:eastAsia="仿宋" w:cs="仿宋"/>
                <w:b/>
                <w:bCs/>
                <w:color w:val="auto"/>
                <w:sz w:val="32"/>
                <w:szCs w:val="32"/>
                <w:highlight w:val="none"/>
              </w:rPr>
              <w:t>3.</w:t>
            </w:r>
            <w:r>
              <w:rPr>
                <w:rFonts w:hint="eastAsia"/>
                <w:b/>
                <w:bCs/>
                <w:color w:val="auto"/>
                <w:highlight w:val="none"/>
                <w:lang w:val="zh-CN"/>
              </w:rPr>
              <w:t>本次招标为保证能按时按质按量安装完工，0</w:t>
            </w:r>
            <w:r>
              <w:rPr>
                <w:rFonts w:hint="eastAsia"/>
                <w:b/>
                <w:bCs/>
                <w:color w:val="auto"/>
                <w:highlight w:val="none"/>
              </w:rPr>
              <w:t>1</w:t>
            </w:r>
            <w:r>
              <w:rPr>
                <w:rFonts w:hint="eastAsia"/>
                <w:b/>
                <w:bCs/>
                <w:color w:val="auto"/>
                <w:highlight w:val="none"/>
                <w:lang w:val="zh-CN"/>
              </w:rPr>
              <w:t>-0</w:t>
            </w:r>
            <w:r>
              <w:rPr>
                <w:rFonts w:hint="eastAsia"/>
                <w:b/>
                <w:bCs/>
                <w:color w:val="auto"/>
                <w:highlight w:val="none"/>
              </w:rPr>
              <w:t>6</w:t>
            </w:r>
            <w:r>
              <w:rPr>
                <w:rFonts w:hint="eastAsia"/>
                <w:b/>
                <w:bCs/>
                <w:color w:val="auto"/>
                <w:highlight w:val="none"/>
                <w:lang w:val="zh-CN"/>
              </w:rPr>
              <w:t>包中，同一供应商只能成为一个包的第一中标候选人。投标人</w:t>
            </w:r>
            <w:r>
              <w:rPr>
                <w:rFonts w:hint="eastAsia"/>
                <w:b/>
                <w:bCs/>
                <w:color w:val="auto"/>
                <w:highlight w:val="none"/>
              </w:rPr>
              <w:t>同时参加本项目多个包投标的，</w:t>
            </w:r>
            <w:r>
              <w:rPr>
                <w:rFonts w:hint="eastAsia"/>
                <w:b/>
                <w:bCs/>
                <w:color w:val="auto"/>
                <w:highlight w:val="none"/>
                <w:lang w:val="zh-CN"/>
              </w:rPr>
              <w:t>只要成为</w:t>
            </w:r>
            <w:r>
              <w:rPr>
                <w:rFonts w:hint="eastAsia"/>
                <w:b/>
                <w:bCs/>
                <w:color w:val="auto"/>
                <w:highlight w:val="none"/>
              </w:rPr>
              <w:t>其中任意一个包</w:t>
            </w:r>
            <w:r>
              <w:rPr>
                <w:rFonts w:hint="eastAsia"/>
                <w:b/>
                <w:bCs/>
                <w:color w:val="auto"/>
                <w:highlight w:val="none"/>
                <w:lang w:val="zh-CN"/>
              </w:rPr>
              <w:t>的第一中标候选人，必须</w:t>
            </w:r>
            <w:r>
              <w:rPr>
                <w:rFonts w:hint="eastAsia"/>
                <w:b/>
                <w:bCs/>
                <w:color w:val="auto"/>
                <w:highlight w:val="none"/>
              </w:rPr>
              <w:t>自愿</w:t>
            </w:r>
            <w:r>
              <w:rPr>
                <w:rFonts w:hint="eastAsia"/>
                <w:b/>
                <w:bCs/>
                <w:color w:val="auto"/>
                <w:highlight w:val="none"/>
                <w:lang w:val="zh-CN"/>
              </w:rPr>
              <w:t>放弃成为</w:t>
            </w:r>
            <w:r>
              <w:rPr>
                <w:rFonts w:hint="eastAsia"/>
                <w:b/>
                <w:bCs/>
                <w:color w:val="auto"/>
                <w:highlight w:val="none"/>
              </w:rPr>
              <w:t>其他</w:t>
            </w:r>
            <w:r>
              <w:rPr>
                <w:rFonts w:hint="eastAsia"/>
                <w:b/>
                <w:bCs/>
                <w:color w:val="auto"/>
                <w:highlight w:val="none"/>
                <w:lang w:val="zh-CN"/>
              </w:rPr>
              <w:t>包第一中标候选人的资格。</w:t>
            </w:r>
          </w:p>
          <w:p>
            <w:pPr>
              <w:pStyle w:val="109"/>
              <w:numPr>
                <w:ilvl w:val="0"/>
                <w:numId w:val="5"/>
              </w:numPr>
              <w:rPr>
                <w:b/>
                <w:bCs/>
                <w:color w:val="auto"/>
                <w:highlight w:val="none"/>
                <w:lang w:val="zh-CN"/>
              </w:rPr>
            </w:pPr>
            <w:r>
              <w:rPr>
                <w:rFonts w:hint="eastAsia"/>
                <w:b/>
                <w:bCs/>
                <w:color w:val="auto"/>
                <w:highlight w:val="none"/>
                <w:lang w:val="zh-CN"/>
              </w:rPr>
              <w:t>评审顺序按0</w:t>
            </w:r>
            <w:r>
              <w:rPr>
                <w:rFonts w:hint="eastAsia"/>
                <w:b/>
                <w:bCs/>
                <w:color w:val="auto"/>
                <w:highlight w:val="none"/>
              </w:rPr>
              <w:t>1</w:t>
            </w:r>
            <w:r>
              <w:rPr>
                <w:rFonts w:hint="eastAsia"/>
                <w:b/>
                <w:bCs/>
                <w:color w:val="auto"/>
                <w:highlight w:val="none"/>
                <w:lang w:val="zh-CN"/>
              </w:rPr>
              <w:t>包、0</w:t>
            </w:r>
            <w:r>
              <w:rPr>
                <w:rFonts w:hint="eastAsia"/>
                <w:b/>
                <w:bCs/>
                <w:color w:val="auto"/>
                <w:highlight w:val="none"/>
              </w:rPr>
              <w:t>2</w:t>
            </w:r>
            <w:r>
              <w:rPr>
                <w:rFonts w:hint="eastAsia"/>
                <w:b/>
                <w:bCs/>
                <w:color w:val="auto"/>
                <w:highlight w:val="none"/>
                <w:lang w:val="zh-CN"/>
              </w:rPr>
              <w:t>包、</w:t>
            </w:r>
            <w:r>
              <w:rPr>
                <w:rFonts w:hint="eastAsia"/>
                <w:b/>
                <w:bCs/>
                <w:color w:val="auto"/>
                <w:highlight w:val="none"/>
              </w:rPr>
              <w:t>03包</w:t>
            </w:r>
            <w:r>
              <w:rPr>
                <w:rFonts w:hint="eastAsia"/>
                <w:b/>
                <w:bCs/>
                <w:color w:val="auto"/>
                <w:highlight w:val="none"/>
                <w:lang w:val="zh-CN"/>
              </w:rPr>
              <w:t>、</w:t>
            </w:r>
            <w:r>
              <w:rPr>
                <w:rFonts w:hint="eastAsia"/>
                <w:b/>
                <w:bCs/>
                <w:color w:val="auto"/>
                <w:highlight w:val="none"/>
              </w:rPr>
              <w:t>04包、05包、06包</w:t>
            </w:r>
            <w:r>
              <w:rPr>
                <w:rFonts w:hint="eastAsia"/>
                <w:b/>
                <w:bCs/>
                <w:color w:val="auto"/>
                <w:highlight w:val="none"/>
                <w:lang w:val="zh-CN"/>
              </w:rPr>
              <w:t>的评审顺序进行，放弃第一中标候选的资格顺序也按</w:t>
            </w:r>
            <w:r>
              <w:rPr>
                <w:rFonts w:hint="eastAsia"/>
                <w:b/>
                <w:bCs/>
                <w:color w:val="auto"/>
                <w:highlight w:val="none"/>
              </w:rPr>
              <w:t>01-065包的</w:t>
            </w:r>
            <w:r>
              <w:rPr>
                <w:rFonts w:hint="eastAsia"/>
                <w:b/>
                <w:bCs/>
                <w:color w:val="auto"/>
                <w:highlight w:val="none"/>
                <w:lang w:val="zh-CN"/>
              </w:rPr>
              <w:t>顺序进行。</w:t>
            </w:r>
          </w:p>
          <w:p>
            <w:pPr>
              <w:pStyle w:val="2"/>
              <w:rPr>
                <w:color w:val="auto"/>
                <w:highlight w:val="none"/>
              </w:rPr>
            </w:pPr>
            <w:r>
              <w:rPr>
                <w:rFonts w:hint="eastAsia"/>
                <w:color w:val="auto"/>
                <w:highlight w:val="none"/>
                <w:lang w:val="zh-CN"/>
              </w:rPr>
              <w:t>注</w:t>
            </w:r>
            <w:r>
              <w:rPr>
                <w:b/>
                <w:color w:val="auto"/>
                <w:highlight w:val="none"/>
                <w:lang w:val="zh-CN"/>
              </w:rPr>
              <w:t>:</w:t>
            </w:r>
            <w:r>
              <w:rPr>
                <w:rFonts w:hint="eastAsia"/>
                <w:b/>
                <w:color w:val="auto"/>
                <w:highlight w:val="none"/>
                <w:lang w:val="zh-CN"/>
              </w:rPr>
              <w:t>本约定适用于同时购买</w:t>
            </w:r>
            <w:r>
              <w:rPr>
                <w:rFonts w:hint="eastAsia"/>
                <w:b/>
                <w:color w:val="auto"/>
                <w:highlight w:val="none"/>
              </w:rPr>
              <w:t>多包</w:t>
            </w:r>
            <w:r>
              <w:rPr>
                <w:rFonts w:hint="eastAsia"/>
                <w:b/>
                <w:color w:val="auto"/>
                <w:highlight w:val="none"/>
                <w:lang w:val="zh-CN"/>
              </w:rPr>
              <w:t>的投标人。</w:t>
            </w:r>
          </w:p>
        </w:tc>
      </w:tr>
    </w:tbl>
    <w:p>
      <w:pPr>
        <w:pStyle w:val="96"/>
        <w:rPr>
          <w:color w:val="auto"/>
          <w:highlight w:val="none"/>
        </w:rPr>
      </w:pPr>
      <w:r>
        <w:rPr>
          <w:color w:val="auto"/>
          <w:highlight w:val="none"/>
        </w:rPr>
        <w:t>4</w:t>
      </w:r>
      <w:r>
        <w:rPr>
          <w:rFonts w:hint="eastAsia"/>
          <w:color w:val="auto"/>
          <w:highlight w:val="none"/>
        </w:rPr>
        <w:t>．</w:t>
      </w:r>
      <w:r>
        <w:rPr>
          <w:color w:val="auto"/>
          <w:highlight w:val="none"/>
        </w:rPr>
        <w:t>推荐中标候选人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（1）采用最低评标价法的，评标结果按投标报价由低到高顺序排列。投标报价相同的并列。投标文件满足招标文件全部实质性要求且投标报价最低的投标人为排名第一的中标候选人。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96"/>
        <w:rPr>
          <w:color w:val="auto"/>
          <w:highlight w:val="none"/>
        </w:rPr>
      </w:pPr>
      <w:r>
        <w:rPr>
          <w:color w:val="auto"/>
          <w:highlight w:val="none"/>
        </w:rPr>
        <w:t>5</w:t>
      </w:r>
      <w:r>
        <w:rPr>
          <w:rFonts w:hint="eastAsia"/>
          <w:color w:val="auto"/>
          <w:highlight w:val="none"/>
        </w:rPr>
        <w:t>．</w:t>
      </w:r>
      <w:r>
        <w:rPr>
          <w:color w:val="auto"/>
          <w:highlight w:val="none"/>
        </w:rPr>
        <w:t>编写评审报告</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评审报告是评标委员会根据全体评标成员签字的原始评标记录和评标结果编写的报告，其主要内容包括：</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（1）招标公告刊登的媒体名称、开标日期和地点；</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（2）投标供应商名单和评标委员会成员名单；</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（3）评标方法；</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（4）开标记录和评标情况及说明，包括投标无效供应商名单及原因；</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（5）评标结果，确定的中标候选人名单或者经采购人委托直接确定的中标供应商；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（6）其他需要说明的情况，包括评标过程中投标供应商根据评标委员会要求进行的澄清、说明或者补正，评标委员会成员的更换等。</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7"/>
        <w:spacing w:before="210" w:after="210"/>
        <w:rPr>
          <w:color w:val="auto"/>
          <w:highlight w:val="none"/>
        </w:rPr>
      </w:pPr>
      <w:r>
        <w:rPr>
          <w:rFonts w:hint="eastAsia"/>
          <w:color w:val="auto"/>
          <w:highlight w:val="none"/>
        </w:rPr>
        <w:t>（三）评标争议处理规则</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7"/>
        <w:spacing w:before="210" w:after="210"/>
        <w:rPr>
          <w:color w:val="auto"/>
          <w:highlight w:val="none"/>
        </w:rPr>
      </w:pPr>
      <w:r>
        <w:rPr>
          <w:rFonts w:hint="eastAsia"/>
          <w:color w:val="auto"/>
          <w:highlight w:val="none"/>
        </w:rPr>
        <w:t>（四）评审现场人员的保密责任</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7"/>
        <w:spacing w:before="210" w:after="210"/>
        <w:rPr>
          <w:color w:val="auto"/>
          <w:highlight w:val="none"/>
        </w:rPr>
      </w:pPr>
      <w:r>
        <w:rPr>
          <w:rFonts w:hint="eastAsia"/>
          <w:color w:val="auto"/>
          <w:highlight w:val="none"/>
        </w:rPr>
        <w:t>（五）视同供应商串通投标的情形，其投标无效：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1．不同供应商的投标文件由同一单位或者个人编制；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2．不同供应商委托同一单位或者个人办理投标事宜；</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3．不同供应商的投标文件载明的项目管理成员或者联系人员为同一人；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4．不同供应商的投标文件异常一致或者投标报价呈规律性差异。</w:t>
      </w:r>
    </w:p>
    <w:p>
      <w:pPr>
        <w:pStyle w:val="4"/>
        <w:rPr>
          <w:color w:val="auto"/>
          <w:highlight w:val="none"/>
        </w:rPr>
      </w:pPr>
      <w:r>
        <w:rPr>
          <w:color w:val="auto"/>
          <w:highlight w:val="none"/>
        </w:rPr>
        <w:t>八、中标</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1．采购代理机构在评标工作结束后1个工作日内将评审报告送采购人。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3．采购代理机构将在中标供应商确定之日起2个工作日内，在【</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陕西省政府采购网</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w:t>
      </w:r>
      <w:r>
        <w:rPr>
          <w:color w:val="auto"/>
          <w:highlight w:val="none"/>
        </w:rPr>
        <w:fldChar w:fldCharType="begin"/>
      </w:r>
      <w:r>
        <w:rPr>
          <w:color w:val="auto"/>
          <w:highlight w:val="none"/>
        </w:rPr>
        <w:instrText xml:space="preserve"> HYPERLINK "http://www.ccgp-shaanxi.gov.cn/" </w:instrText>
      </w:r>
      <w:r>
        <w:rPr>
          <w:color w:val="auto"/>
          <w:highlight w:val="none"/>
        </w:rPr>
        <w:fldChar w:fldCharType="separate"/>
      </w:r>
      <w:r>
        <w:rPr>
          <w:rStyle w:val="35"/>
          <w:rFonts w:hint="eastAsia" w:ascii="仿宋_GB2312" w:hAnsi="仿宋" w:eastAsia="仿宋_GB2312"/>
          <w:color w:val="auto"/>
          <w:sz w:val="32"/>
          <w:szCs w:val="32"/>
          <w:highlight w:val="none"/>
          <w:u w:val="none"/>
        </w:rPr>
        <w:t>http://www.ccgp-shaanxi.gov.cn/</w:t>
      </w:r>
      <w:r>
        <w:rPr>
          <w:rStyle w:val="35"/>
          <w:rFonts w:hint="eastAsia" w:ascii="仿宋_GB2312" w:hAnsi="仿宋" w:eastAsia="仿宋_GB2312"/>
          <w:color w:val="auto"/>
          <w:sz w:val="32"/>
          <w:szCs w:val="32"/>
          <w:highlight w:val="none"/>
          <w:u w:val="none"/>
        </w:rPr>
        <w:fldChar w:fldCharType="end"/>
      </w:r>
      <w:r>
        <w:rPr>
          <w:rFonts w:hint="eastAsia" w:ascii="仿宋_GB2312" w:hAnsi="仿宋" w:eastAsia="仿宋_GB2312"/>
          <w:color w:val="auto"/>
          <w:sz w:val="32"/>
          <w:szCs w:val="32"/>
          <w:highlight w:val="none"/>
        </w:rPr>
        <w:t>）上公布中标结果。中标公告期限为1个工作日。</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4．在公告中标结果的同时，采购代理机构将向中标供应商发出中标通知书，中标供应商在领取中标通知书时提供一正两副纸质投标文件用于备案。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6．采购代理机构按照相关规定将评审报告送监管机构备案。</w:t>
      </w:r>
    </w:p>
    <w:p>
      <w:pPr>
        <w:pStyle w:val="4"/>
        <w:rPr>
          <w:color w:val="auto"/>
          <w:highlight w:val="none"/>
        </w:rPr>
      </w:pPr>
      <w:r>
        <w:rPr>
          <w:color w:val="auto"/>
          <w:highlight w:val="none"/>
        </w:rPr>
        <w:t>九、合同签订、履行及验收</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招标文件、投标文件、澄清、补充合同等为政府采购合同的组成部分，具有同等法律效力。</w:t>
      </w:r>
    </w:p>
    <w:p>
      <w:pPr>
        <w:pStyle w:val="97"/>
        <w:spacing w:before="210" w:after="210"/>
        <w:rPr>
          <w:color w:val="auto"/>
          <w:highlight w:val="none"/>
        </w:rPr>
      </w:pPr>
      <w:r>
        <w:rPr>
          <w:rFonts w:hint="eastAsia"/>
          <w:color w:val="auto"/>
          <w:highlight w:val="none"/>
        </w:rPr>
        <w:t>（一）签订政府采购合同</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1．自中标通知书发出之日起30日内，采购人与中标供应商应按招标文件和中标供应商投标文件的约定，签订书面合同。</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2．中标供应商拒绝与采购人签订合同的，采购人可以按照《政府采购法实施条例》第四十九条规定，确定下一候选人为中标供应商，也可以重新开展政府采购活动。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4．质疑或者投诉事项可能影响中标、成交结果的，采购人应当暂停签订合同，已经签订合同的，应当中止履行合同。</w:t>
      </w:r>
    </w:p>
    <w:p>
      <w:pPr>
        <w:pStyle w:val="97"/>
        <w:spacing w:before="210" w:after="210"/>
        <w:rPr>
          <w:color w:val="auto"/>
          <w:highlight w:val="none"/>
        </w:rPr>
      </w:pPr>
      <w:r>
        <w:rPr>
          <w:rFonts w:hint="eastAsia"/>
          <w:color w:val="auto"/>
          <w:highlight w:val="none"/>
        </w:rPr>
        <w:t>（二）合同公告及备案</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1．采购人应当自政府采购合同签订之日起2个工作日内，在陕西省政府采购网对合同进行公示，但政府采购合同中涉及国家秘密、商业秘密的内容除外。</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2．采购人应自合同签订之日起7个工作日内将政府采购合同报送监管机构备案。</w:t>
      </w:r>
    </w:p>
    <w:p>
      <w:pPr>
        <w:pStyle w:val="97"/>
        <w:spacing w:before="210" w:after="210"/>
        <w:rPr>
          <w:color w:val="auto"/>
          <w:highlight w:val="none"/>
        </w:rPr>
      </w:pPr>
      <w:r>
        <w:rPr>
          <w:rFonts w:hint="eastAsia"/>
          <w:color w:val="auto"/>
          <w:highlight w:val="none"/>
        </w:rPr>
        <w:t>（三）履行合同</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1．合同一经签订，双方应严格履行合同规定的义务。</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2．在合同履行过程中，如发生合同纠纷，合同双方应按照《中华人民共和国民法典》及合同条款的有关规定进行处理。</w:t>
      </w:r>
    </w:p>
    <w:p>
      <w:pPr>
        <w:pStyle w:val="97"/>
        <w:spacing w:before="210" w:after="210"/>
        <w:rPr>
          <w:color w:val="auto"/>
          <w:highlight w:val="none"/>
        </w:rPr>
      </w:pPr>
      <w:r>
        <w:rPr>
          <w:rFonts w:hint="eastAsia"/>
          <w:color w:val="auto"/>
          <w:highlight w:val="none"/>
        </w:rPr>
        <w:t>（四）验收或考核</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1．采购人严格按照国家相关法律法规的要求及招标文件的要求组织验收或考核。</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2．采购人按《关于促进政府采购公平竞争优化营商环境的通知》（财库〔2019〕38号）、《保障中小企业款项支付条例》（国务院令第728号）等规定及采购合同的约定进行支付合同款项。</w:t>
      </w:r>
    </w:p>
    <w:p>
      <w:pPr>
        <w:pStyle w:val="4"/>
        <w:rPr>
          <w:color w:val="auto"/>
          <w:highlight w:val="none"/>
        </w:rPr>
      </w:pPr>
      <w:r>
        <w:rPr>
          <w:color w:val="auto"/>
          <w:highlight w:val="none"/>
        </w:rPr>
        <w:t>十、废标及重新招标</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2．根据《政府采购法》第三十六条规定，在招标采购中，出现下列情形之一的，本项目按废标处理：</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（1）出现影响采购公正的违法、违规行为的；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（2）供应商的报价均超过了采购预算，采购人不能支付的；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（3）因重大变故，采购任务取消的。</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废标后，除采购任务取消外，本项目将重新组织招标。</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640" w:firstLineChars="200"/>
        <w:jc w:val="both"/>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4．招标文件未明确的其他事项，按《政府采购法》及其相关法律法规执行。</w:t>
      </w:r>
    </w:p>
    <w:p>
      <w:pPr>
        <w:rPr>
          <w:rFonts w:ascii="仿宋" w:hAnsi="仿宋" w:eastAsia="仿宋"/>
          <w:color w:val="auto"/>
          <w:sz w:val="32"/>
          <w:szCs w:val="32"/>
          <w:highlight w:val="none"/>
        </w:rPr>
      </w:pPr>
      <w:bookmarkStart w:id="12" w:name="_Toc100219614"/>
      <w:r>
        <w:rPr>
          <w:rFonts w:ascii="仿宋" w:eastAsia="仿宋"/>
          <w:color w:val="auto"/>
          <w:sz w:val="32"/>
          <w:szCs w:val="32"/>
          <w:highlight w:val="none"/>
        </w:rPr>
        <w:br w:type="page"/>
      </w:r>
    </w:p>
    <w:p>
      <w:pPr>
        <w:rPr>
          <w:color w:val="auto"/>
          <w:highlight w:val="none"/>
        </w:rPr>
      </w:pPr>
    </w:p>
    <w:bookmarkEnd w:id="12"/>
    <w:p>
      <w:pPr>
        <w:pStyle w:val="3"/>
        <w:rPr>
          <w:color w:val="auto"/>
          <w:sz w:val="32"/>
          <w:szCs w:val="32"/>
          <w:highlight w:val="none"/>
        </w:rPr>
      </w:pPr>
      <w:r>
        <w:rPr>
          <w:rFonts w:hint="eastAsia"/>
          <w:color w:val="auto"/>
          <w:sz w:val="32"/>
          <w:szCs w:val="32"/>
          <w:highlight w:val="none"/>
        </w:rPr>
        <w:t>第三章  招标内容及要求</w:t>
      </w:r>
    </w:p>
    <w:p>
      <w:pPr>
        <w:pStyle w:val="4"/>
        <w:rPr>
          <w:rFonts w:ascii="仿宋" w:hAnsi="仿宋" w:eastAsia="仿宋" w:cs="仿宋"/>
          <w:color w:val="auto"/>
          <w:highlight w:val="none"/>
        </w:rPr>
      </w:pPr>
      <w:r>
        <w:rPr>
          <w:rFonts w:hint="eastAsia" w:ascii="仿宋" w:hAnsi="仿宋" w:eastAsia="仿宋" w:cs="仿宋"/>
          <w:color w:val="auto"/>
          <w:highlight w:val="none"/>
        </w:rPr>
        <w:t>一、项目概况</w:t>
      </w:r>
    </w:p>
    <w:p>
      <w:pPr>
        <w:pStyle w:val="4"/>
        <w:rPr>
          <w:rFonts w:ascii="仿宋_GB2312" w:hAnsi="仿宋" w:eastAsia="仿宋_GB2312"/>
          <w:color w:val="auto"/>
          <w:highlight w:val="none"/>
        </w:rPr>
      </w:pPr>
      <w:r>
        <w:rPr>
          <w:rFonts w:hint="eastAsia" w:ascii="仿宋_GB2312" w:hAnsi="仿宋" w:eastAsia="仿宋_GB2312"/>
          <w:color w:val="auto"/>
          <w:highlight w:val="none"/>
        </w:rPr>
        <w:t>本项目共六个标段，采购路灯共2080盏，</w:t>
      </w:r>
      <w:r>
        <w:rPr>
          <w:rFonts w:hint="eastAsia" w:ascii="仿宋" w:hAnsi="仿宋" w:eastAsia="仿宋" w:cs="仿宋"/>
          <w:color w:val="auto"/>
          <w:highlight w:val="none"/>
        </w:rPr>
        <w:t>采购预算：661万元。</w:t>
      </w:r>
    </w:p>
    <w:p>
      <w:pPr>
        <w:pStyle w:val="4"/>
        <w:rPr>
          <w:rFonts w:ascii="仿宋" w:hAnsi="仿宋" w:eastAsia="仿宋" w:cs="仿宋"/>
          <w:color w:val="auto"/>
          <w:highlight w:val="none"/>
        </w:rPr>
      </w:pPr>
      <w:r>
        <w:rPr>
          <w:rFonts w:hint="eastAsia" w:ascii="仿宋" w:hAnsi="仿宋" w:eastAsia="仿宋" w:cs="仿宋"/>
          <w:color w:val="auto"/>
          <w:highlight w:val="none"/>
        </w:rPr>
        <w:t>项目用途：公益照明；</w:t>
      </w:r>
    </w:p>
    <w:p>
      <w:pPr>
        <w:pStyle w:val="4"/>
        <w:rPr>
          <w:rFonts w:ascii="仿宋" w:hAnsi="仿宋" w:eastAsia="仿宋" w:cs="仿宋"/>
          <w:color w:val="auto"/>
          <w:highlight w:val="none"/>
        </w:rPr>
      </w:pPr>
      <w:r>
        <w:rPr>
          <w:rFonts w:hint="eastAsia" w:ascii="仿宋" w:hAnsi="仿宋" w:eastAsia="仿宋" w:cs="仿宋"/>
          <w:color w:val="auto"/>
          <w:highlight w:val="none"/>
        </w:rPr>
        <w:t>具体内容如下：</w:t>
      </w:r>
    </w:p>
    <w:tbl>
      <w:tblPr>
        <w:tblStyle w:val="28"/>
        <w:tblW w:w="5613" w:type="pct"/>
        <w:tblInd w:w="-381" w:type="dxa"/>
        <w:tblLayout w:type="fixed"/>
        <w:tblCellMar>
          <w:top w:w="0" w:type="dxa"/>
          <w:left w:w="108" w:type="dxa"/>
          <w:bottom w:w="0" w:type="dxa"/>
          <w:right w:w="108" w:type="dxa"/>
        </w:tblCellMar>
      </w:tblPr>
      <w:tblGrid>
        <w:gridCol w:w="783"/>
        <w:gridCol w:w="1234"/>
        <w:gridCol w:w="1182"/>
        <w:gridCol w:w="1150"/>
        <w:gridCol w:w="1182"/>
        <w:gridCol w:w="1336"/>
        <w:gridCol w:w="1391"/>
        <w:gridCol w:w="1309"/>
      </w:tblGrid>
      <w:tr>
        <w:tblPrEx>
          <w:tblCellMar>
            <w:top w:w="0" w:type="dxa"/>
            <w:left w:w="108" w:type="dxa"/>
            <w:bottom w:w="0" w:type="dxa"/>
            <w:right w:w="108" w:type="dxa"/>
          </w:tblCellMar>
        </w:tblPrEx>
        <w:trPr>
          <w:trHeight w:val="270" w:hRule="atLeast"/>
        </w:trPr>
        <w:tc>
          <w:tcPr>
            <w:tcW w:w="409" w:type="pc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序号</w:t>
            </w:r>
          </w:p>
        </w:tc>
        <w:tc>
          <w:tcPr>
            <w:tcW w:w="644"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标段</w:t>
            </w:r>
          </w:p>
        </w:tc>
        <w:tc>
          <w:tcPr>
            <w:tcW w:w="618" w:type="pct"/>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标的物名称</w:t>
            </w:r>
          </w:p>
        </w:tc>
        <w:tc>
          <w:tcPr>
            <w:tcW w:w="601" w:type="pct"/>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街办名称</w:t>
            </w:r>
          </w:p>
        </w:tc>
        <w:tc>
          <w:tcPr>
            <w:tcW w:w="618" w:type="pct"/>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行政村</w:t>
            </w:r>
          </w:p>
        </w:tc>
        <w:tc>
          <w:tcPr>
            <w:tcW w:w="697"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核定盏数（盏）</w:t>
            </w:r>
          </w:p>
        </w:tc>
        <w:tc>
          <w:tcPr>
            <w:tcW w:w="726"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预算</w:t>
            </w:r>
          </w:p>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（万元）</w:t>
            </w:r>
          </w:p>
        </w:tc>
        <w:tc>
          <w:tcPr>
            <w:tcW w:w="683" w:type="pct"/>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所属行业</w:t>
            </w: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 </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第一标段</w:t>
            </w:r>
          </w:p>
        </w:tc>
        <w:tc>
          <w:tcPr>
            <w:tcW w:w="618" w:type="pct"/>
            <w:vMerge w:val="restart"/>
            <w:tcBorders>
              <w:top w:val="single" w:color="000000" w:sz="4" w:space="0"/>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太阳能路灯</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代王街办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上邢村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100</w:t>
            </w:r>
          </w:p>
        </w:tc>
        <w:tc>
          <w:tcPr>
            <w:tcW w:w="726"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118</w:t>
            </w:r>
          </w:p>
        </w:tc>
        <w:tc>
          <w:tcPr>
            <w:tcW w:w="683" w:type="pct"/>
            <w:vMerge w:val="restart"/>
            <w:tcBorders>
              <w:top w:val="single" w:color="000000" w:sz="4" w:space="0"/>
              <w:left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工业（制造业）</w:t>
            </w: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2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何寨街办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马寨村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150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3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何寨街办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董家村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4 </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第二标段</w:t>
            </w: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马额街办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吴家村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100</w:t>
            </w:r>
          </w:p>
        </w:tc>
        <w:tc>
          <w:tcPr>
            <w:tcW w:w="726"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121</w:t>
            </w:r>
          </w:p>
        </w:tc>
        <w:tc>
          <w:tcPr>
            <w:tcW w:w="683" w:type="pct"/>
            <w:vMerge w:val="continue"/>
            <w:tcBorders>
              <w:left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5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穆寨街办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西岳村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6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油槐街办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耿西村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7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铁炉街办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柳树村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8 </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第三标段</w:t>
            </w: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新丰街办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三育村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150</w:t>
            </w:r>
          </w:p>
        </w:tc>
        <w:tc>
          <w:tcPr>
            <w:tcW w:w="726"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111</w:t>
            </w:r>
          </w:p>
        </w:tc>
        <w:tc>
          <w:tcPr>
            <w:tcW w:w="683" w:type="pct"/>
            <w:vMerge w:val="continue"/>
            <w:tcBorders>
              <w:left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9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新丰街办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皂安村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10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新市街办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马庄村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11 </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第四标段</w:t>
            </w: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雨金街办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照渠村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150</w:t>
            </w:r>
          </w:p>
        </w:tc>
        <w:tc>
          <w:tcPr>
            <w:tcW w:w="726"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121</w:t>
            </w:r>
          </w:p>
        </w:tc>
        <w:tc>
          <w:tcPr>
            <w:tcW w:w="683" w:type="pct"/>
            <w:vMerge w:val="continue"/>
            <w:tcBorders>
              <w:left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12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西泉街办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宣孔村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13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栎阳街办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卷子村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110</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14 </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第五标段</w:t>
            </w: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相桥街办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湾刘村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40 </w:t>
            </w:r>
          </w:p>
        </w:tc>
        <w:tc>
          <w:tcPr>
            <w:tcW w:w="726"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98</w:t>
            </w:r>
          </w:p>
        </w:tc>
        <w:tc>
          <w:tcPr>
            <w:tcW w:w="683" w:type="pct"/>
            <w:vMerge w:val="continue"/>
            <w:tcBorders>
              <w:left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15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油槐街办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白家村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100 </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16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交口街办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新民村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70 </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17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零口街办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孟塬村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100 </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18 </w:t>
            </w:r>
          </w:p>
        </w:tc>
        <w:tc>
          <w:tcPr>
            <w:tcW w:w="6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第六标段</w:t>
            </w: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行者街办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西沟村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110 </w:t>
            </w:r>
          </w:p>
        </w:tc>
        <w:tc>
          <w:tcPr>
            <w:tcW w:w="726" w:type="pct"/>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92</w:t>
            </w:r>
          </w:p>
        </w:tc>
        <w:tc>
          <w:tcPr>
            <w:tcW w:w="683" w:type="pct"/>
            <w:vMerge w:val="continue"/>
            <w:tcBorders>
              <w:left w:val="single" w:color="000000" w:sz="4" w:space="0"/>
              <w:right w:val="single" w:color="000000" w:sz="8" w:space="0"/>
            </w:tcBorders>
            <w:shd w:val="clear" w:color="auto" w:fill="auto"/>
            <w:noWrap/>
            <w:vAlign w:val="center"/>
          </w:tcPr>
          <w:p>
            <w:pPr>
              <w:jc w:val="center"/>
              <w:textAlignment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19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新丰街办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长条村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70 </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20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穆寨街办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三庙村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60 </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r>
        <w:tblPrEx>
          <w:tblCellMar>
            <w:top w:w="0" w:type="dxa"/>
            <w:left w:w="108" w:type="dxa"/>
            <w:bottom w:w="0" w:type="dxa"/>
            <w:right w:w="108" w:type="dxa"/>
          </w:tblCellMar>
        </w:tblPrEx>
        <w:trPr>
          <w:trHeight w:val="540" w:hRule="atLeast"/>
        </w:trPr>
        <w:tc>
          <w:tcPr>
            <w:tcW w:w="409"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21 </w:t>
            </w:r>
          </w:p>
        </w:tc>
        <w:tc>
          <w:tcPr>
            <w:tcW w:w="6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 w:eastAsia="仿宋_GB2312"/>
                <w:color w:val="auto"/>
                <w:sz w:val="32"/>
                <w:szCs w:val="32"/>
                <w:highlight w:val="none"/>
              </w:rPr>
            </w:pPr>
          </w:p>
        </w:tc>
        <w:tc>
          <w:tcPr>
            <w:tcW w:w="618"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穆寨街办</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穆柯寨</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50 </w:t>
            </w:r>
          </w:p>
        </w:tc>
        <w:tc>
          <w:tcPr>
            <w:tcW w:w="726" w:type="pct"/>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c>
          <w:tcPr>
            <w:tcW w:w="683" w:type="pct"/>
            <w:vMerge w:val="continue"/>
            <w:tcBorders>
              <w:left w:val="single" w:color="000000" w:sz="4" w:space="0"/>
              <w:bottom w:val="single" w:color="000000" w:sz="4" w:space="0"/>
              <w:right w:val="single" w:color="000000" w:sz="8" w:space="0"/>
            </w:tcBorders>
            <w:shd w:val="clear" w:color="auto" w:fill="auto"/>
            <w:noWrap/>
            <w:vAlign w:val="center"/>
          </w:tcPr>
          <w:p>
            <w:pPr>
              <w:jc w:val="center"/>
              <w:rPr>
                <w:rFonts w:ascii="仿宋_GB2312" w:hAnsi="仿宋" w:eastAsia="仿宋_GB2312"/>
                <w:color w:val="auto"/>
                <w:sz w:val="32"/>
                <w:szCs w:val="32"/>
                <w:highlight w:val="none"/>
              </w:rPr>
            </w:pPr>
          </w:p>
        </w:tc>
      </w:tr>
    </w:tbl>
    <w:p>
      <w:pPr>
        <w:pStyle w:val="4"/>
        <w:rPr>
          <w:rFonts w:ascii="仿宋" w:hAnsi="仿宋" w:eastAsia="仿宋" w:cs="仿宋"/>
          <w:color w:val="auto"/>
          <w:highlight w:val="none"/>
        </w:rPr>
      </w:pPr>
      <w:r>
        <w:rPr>
          <w:rFonts w:hint="eastAsia" w:ascii="仿宋" w:hAnsi="仿宋" w:eastAsia="仿宋" w:cs="仿宋"/>
          <w:color w:val="auto"/>
          <w:highlight w:val="none"/>
        </w:rPr>
        <w:t>三、技术、服务要求</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1、灯杆高度：总高6米（太阳板至地面高度），采用Q235钢板卷压制造,无环缝焊接，热镀锌，静电喷塑，高温烘烤，防腐处理，产品寿命≥ 15年。</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2、灯杆口径为：上口径≥60mm ，下口径≥1</w:t>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zh-CN"/>
        </w:rPr>
        <w:t xml:space="preserve">0mm  厚度≥ </w:t>
      </w:r>
      <w:r>
        <w:rPr>
          <w:rFonts w:hint="eastAsia" w:ascii="仿宋" w:hAnsi="仿宋" w:eastAsia="仿宋" w:cs="仿宋"/>
          <w:color w:val="auto"/>
          <w:sz w:val="32"/>
          <w:szCs w:val="32"/>
          <w:highlight w:val="none"/>
        </w:rPr>
        <w:t>3.0</w:t>
      </w:r>
      <w:r>
        <w:rPr>
          <w:rFonts w:hint="eastAsia" w:ascii="仿宋" w:hAnsi="仿宋" w:eastAsia="仿宋" w:cs="仿宋"/>
          <w:color w:val="auto"/>
          <w:sz w:val="32"/>
          <w:szCs w:val="32"/>
          <w:highlight w:val="none"/>
          <w:lang w:val="zh-CN"/>
        </w:rPr>
        <w:t>mm 。</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3、光源：≥60W LED，寿命≥五万小时。稳定性能高，采用限流、稳流多方面保护，光效≥140LM/W。热耗低、光衰小：采用铝基PCB板焊接工艺。</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4、电池：</w:t>
      </w:r>
      <w:r>
        <w:rPr>
          <w:rFonts w:hint="eastAsia" w:ascii="仿宋" w:hAnsi="仿宋" w:eastAsia="仿宋" w:cs="仿宋"/>
          <w:color w:val="auto"/>
          <w:sz w:val="32"/>
          <w:szCs w:val="32"/>
          <w:highlight w:val="none"/>
        </w:rPr>
        <w:t>24V</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60AH铅酸铁</w:t>
      </w:r>
      <w:r>
        <w:rPr>
          <w:rFonts w:hint="eastAsia" w:ascii="仿宋" w:hAnsi="仿宋" w:eastAsia="仿宋" w:cs="仿宋"/>
          <w:color w:val="auto"/>
          <w:sz w:val="32"/>
          <w:szCs w:val="32"/>
          <w:highlight w:val="none"/>
          <w:lang w:val="zh-CN"/>
        </w:rPr>
        <w:t>锂电池，非地埋件，微光充电，提高充电效率，对单组电芯均衡充电;智能运算，检测充放电比例，确保阴雨天正常亮灯,智能匹配，提高负载光源效率，实时读取，现场实时智能读取工作状态和写入工作参数,自动激活，可实现过充过放保护功能自动激活。</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5、太阳能电池组件：24V，两块</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40w</w:t>
      </w:r>
      <w:r>
        <w:rPr>
          <w:rFonts w:hint="eastAsia" w:ascii="仿宋" w:hAnsi="仿宋" w:eastAsia="仿宋" w:cs="仿宋"/>
          <w:color w:val="auto"/>
          <w:sz w:val="32"/>
          <w:szCs w:val="32"/>
          <w:highlight w:val="none"/>
          <w:lang w:val="zh-CN"/>
        </w:rPr>
        <w:t>多晶</w:t>
      </w:r>
      <w:r>
        <w:rPr>
          <w:rFonts w:hint="eastAsia" w:ascii="仿宋" w:hAnsi="仿宋" w:eastAsia="仿宋" w:cs="仿宋"/>
          <w:color w:val="auto"/>
          <w:sz w:val="32"/>
          <w:szCs w:val="32"/>
          <w:highlight w:val="none"/>
        </w:rPr>
        <w:t>太阳能板</w:t>
      </w:r>
      <w:r>
        <w:rPr>
          <w:rFonts w:hint="eastAsia" w:ascii="仿宋" w:hAnsi="仿宋" w:eastAsia="仿宋" w:cs="仿宋"/>
          <w:color w:val="auto"/>
          <w:sz w:val="32"/>
          <w:szCs w:val="32"/>
          <w:highlight w:val="none"/>
          <w:lang w:val="zh-CN"/>
        </w:rPr>
        <w:t>,光电转换效率≥18%，使用寿命≥15年。</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6、控制器：时控+光控，防过充电、过放电保护，在-30℃到50℃天气下能正常工作，具有温度补偿功能，实现365天不灭灯。</w:t>
      </w:r>
      <w:r>
        <w:rPr>
          <w:rFonts w:hint="eastAsia" w:ascii="仿宋" w:hAnsi="仿宋" w:eastAsia="仿宋" w:cs="仿宋"/>
          <w:color w:val="auto"/>
          <w:sz w:val="32"/>
          <w:szCs w:val="32"/>
          <w:highlight w:val="none"/>
        </w:rPr>
        <w:t xml:space="preserve"> 亮灯时间</w:t>
      </w:r>
      <w:r>
        <w:rPr>
          <w:rFonts w:hint="eastAsia" w:ascii="仿宋" w:hAnsi="仿宋" w:eastAsia="仿宋" w:cs="仿宋"/>
          <w:color w:val="auto"/>
          <w:sz w:val="32"/>
          <w:szCs w:val="32"/>
          <w:highlight w:val="none"/>
          <w:lang w:val="zh-CN"/>
        </w:rPr>
        <w:t>≥</w:t>
      </w:r>
      <w:r>
        <w:rPr>
          <w:rFonts w:hint="eastAsia" w:ascii="仿宋" w:hAnsi="仿宋" w:eastAsia="仿宋" w:cs="仿宋"/>
          <w:color w:val="auto"/>
          <w:sz w:val="32"/>
          <w:szCs w:val="32"/>
          <w:highlight w:val="none"/>
        </w:rPr>
        <w:t>8小时/天。</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7、每天亮</w:t>
      </w:r>
      <w:r>
        <w:rPr>
          <w:rFonts w:hint="eastAsia" w:ascii="仿宋" w:hAnsi="仿宋" w:eastAsia="仿宋" w:cs="仿宋"/>
          <w:color w:val="auto"/>
          <w:sz w:val="32"/>
          <w:szCs w:val="32"/>
          <w:highlight w:val="none"/>
        </w:rPr>
        <w:t>灯</w:t>
      </w:r>
      <w:r>
        <w:rPr>
          <w:rFonts w:hint="eastAsia" w:ascii="仿宋" w:hAnsi="仿宋" w:eastAsia="仿宋" w:cs="仿宋"/>
          <w:color w:val="auto"/>
          <w:sz w:val="32"/>
          <w:szCs w:val="32"/>
          <w:highlight w:val="none"/>
          <w:lang w:val="zh-CN"/>
        </w:rPr>
        <w:t>时间可调，阴雨天光源可持续亮</w:t>
      </w:r>
      <w:r>
        <w:rPr>
          <w:rFonts w:hint="eastAsia" w:ascii="仿宋" w:hAnsi="仿宋" w:eastAsia="仿宋" w:cs="仿宋"/>
          <w:color w:val="auto"/>
          <w:sz w:val="32"/>
          <w:szCs w:val="32"/>
          <w:highlight w:val="none"/>
        </w:rPr>
        <w:t>灯</w:t>
      </w:r>
      <w:r>
        <w:rPr>
          <w:rFonts w:hint="eastAsia" w:ascii="仿宋" w:hAnsi="仿宋" w:eastAsia="仿宋" w:cs="仿宋"/>
          <w:color w:val="auto"/>
          <w:sz w:val="32"/>
          <w:szCs w:val="32"/>
          <w:highlight w:val="none"/>
          <w:lang w:val="zh-CN"/>
        </w:rPr>
        <w:t>5-7天。</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8、地埋件：280对角（M18*4*64cm）。</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9、灯具防护等级：不小于IP65。</w:t>
      </w:r>
    </w:p>
    <w:p>
      <w:pPr>
        <w:adjustRightInd w:val="0"/>
        <w:snapToGrid w:val="0"/>
        <w:spacing w:line="560" w:lineRule="exact"/>
        <w:ind w:firstLine="44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t>10、外壳防腐性：B类。</w:t>
      </w:r>
    </w:p>
    <w:p>
      <w:pPr>
        <w:adjustRightInd w:val="0"/>
        <w:snapToGrid w:val="0"/>
        <w:spacing w:line="560" w:lineRule="exact"/>
        <w:ind w:firstLine="4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11、灯杆应有防雷接地措施，接地电阻不小于30欧姆。</w:t>
      </w:r>
    </w:p>
    <w:p>
      <w:pPr>
        <w:adjustRightInd w:val="0"/>
        <w:snapToGrid w:val="0"/>
        <w:spacing w:line="560" w:lineRule="exact"/>
        <w:ind w:firstLine="4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12、路灯安装完毕后，路灯地脚螺栓应做防锈处理（打黄油、加保护、封C15混凝土保护层）。</w:t>
      </w:r>
    </w:p>
    <w:p>
      <w:pPr>
        <w:spacing w:line="360" w:lineRule="auto"/>
        <w:ind w:firstLine="480" w:firstLineChars="150"/>
        <w:rPr>
          <w:color w:val="auto"/>
          <w:sz w:val="32"/>
          <w:szCs w:val="32"/>
          <w:highlight w:val="none"/>
          <w:lang w:val="zh-CN"/>
        </w:rPr>
      </w:pPr>
      <w:r>
        <w:rPr>
          <w:rFonts w:hint="eastAsia" w:ascii="仿宋" w:hAnsi="仿宋" w:eastAsia="仿宋" w:cs="仿宋"/>
          <w:color w:val="auto"/>
          <w:sz w:val="32"/>
          <w:szCs w:val="32"/>
          <w:highlight w:val="none"/>
        </w:rPr>
        <w:t>13、灯杆出厂时须喷上宣传标识，标识需完整、清晰、无瑕疵，</w:t>
      </w:r>
      <w:r>
        <w:rPr>
          <w:rFonts w:hint="eastAsia" w:ascii="仿宋" w:hAnsi="仿宋" w:eastAsia="仿宋" w:cs="仿宋"/>
          <w:color w:val="auto"/>
          <w:sz w:val="32"/>
          <w:szCs w:val="32"/>
          <w:highlight w:val="none"/>
          <w:lang w:val="zh-CN"/>
        </w:rPr>
        <w:t>第一标段至第四标段：</w:t>
      </w:r>
      <w:r>
        <w:rPr>
          <w:rFonts w:hint="eastAsia" w:ascii="仿宋" w:hAnsi="仿宋" w:eastAsia="仿宋" w:cs="仿宋"/>
          <w:b/>
          <w:bCs/>
          <w:color w:val="auto"/>
          <w:sz w:val="32"/>
          <w:szCs w:val="32"/>
          <w:highlight w:val="none"/>
        </w:rPr>
        <w:t>标识内容为“村级公益项目 惠及百姓民生  2022年”</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zh-CN"/>
        </w:rPr>
        <w:t>第五标段、第六标段：</w:t>
      </w:r>
      <w:r>
        <w:rPr>
          <w:rFonts w:hint="eastAsia" w:ascii="仿宋" w:hAnsi="仿宋" w:eastAsia="仿宋" w:cs="仿宋"/>
          <w:b/>
          <w:bCs/>
          <w:color w:val="auto"/>
          <w:sz w:val="32"/>
          <w:szCs w:val="32"/>
          <w:highlight w:val="none"/>
        </w:rPr>
        <w:t>标识内容为“村级公益项目 惠及百姓民生  2023年”</w:t>
      </w:r>
      <w:r>
        <w:rPr>
          <w:rFonts w:hint="eastAsia" w:ascii="仿宋" w:hAnsi="仿宋" w:eastAsia="仿宋" w:cs="仿宋"/>
          <w:color w:val="auto"/>
          <w:sz w:val="32"/>
          <w:szCs w:val="32"/>
          <w:highlight w:val="none"/>
        </w:rPr>
        <w:t>。</w:t>
      </w:r>
    </w:p>
    <w:p>
      <w:pPr>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br w:type="page"/>
      </w:r>
    </w:p>
    <w:p>
      <w:pPr>
        <w:pStyle w:val="15"/>
        <w:rPr>
          <w:rFonts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 xml:space="preserve">图纸  </w:t>
      </w:r>
    </w:p>
    <w:p>
      <w:pPr>
        <w:rPr>
          <w:rStyle w:val="36"/>
          <w:color w:val="auto"/>
          <w:sz w:val="32"/>
          <w:szCs w:val="32"/>
          <w:highlight w:val="none"/>
        </w:rPr>
      </w:pPr>
    </w:p>
    <w:p>
      <w:pPr>
        <w:ind w:firstLine="440"/>
        <w:rPr>
          <w:color w:val="auto"/>
          <w:sz w:val="32"/>
          <w:szCs w:val="32"/>
          <w:highlight w:val="none"/>
        </w:rPr>
      </w:pPr>
      <w:r>
        <w:rPr>
          <w:color w:val="auto"/>
          <w:sz w:val="32"/>
          <w:szCs w:val="32"/>
          <w:highlight w:val="none"/>
        </w:rPr>
        <w:drawing>
          <wp:inline distT="0" distB="0" distL="114300" distR="114300">
            <wp:extent cx="5268595" cy="7063740"/>
            <wp:effectExtent l="0" t="0" r="825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stretch>
                      <a:fillRect/>
                    </a:stretch>
                  </pic:blipFill>
                  <pic:spPr>
                    <a:xfrm>
                      <a:off x="0" y="0"/>
                      <a:ext cx="5268595" cy="7063740"/>
                    </a:xfrm>
                    <a:prstGeom prst="rect">
                      <a:avLst/>
                    </a:prstGeom>
                    <a:noFill/>
                    <a:ln>
                      <a:noFill/>
                    </a:ln>
                  </pic:spPr>
                </pic:pic>
              </a:graphicData>
            </a:graphic>
          </wp:inline>
        </w:drawing>
      </w:r>
    </w:p>
    <w:p>
      <w:pPr>
        <w:numPr>
          <w:ilvl w:val="0"/>
          <w:numId w:val="6"/>
        </w:numPr>
        <w:spacing w:line="360" w:lineRule="auto"/>
        <w:rPr>
          <w:color w:val="auto"/>
          <w:sz w:val="32"/>
          <w:szCs w:val="32"/>
          <w:highlight w:val="none"/>
          <w:lang w:val="zh-CN"/>
        </w:rPr>
      </w:pPr>
      <w:r>
        <w:rPr>
          <w:rFonts w:hint="eastAsia"/>
          <w:color w:val="auto"/>
          <w:sz w:val="32"/>
          <w:szCs w:val="32"/>
          <w:highlight w:val="none"/>
          <w:lang w:val="zh-CN"/>
        </w:rPr>
        <w:br w:type="page"/>
      </w:r>
    </w:p>
    <w:p>
      <w:pPr>
        <w:pStyle w:val="4"/>
        <w:ind w:firstLine="643"/>
        <w:rPr>
          <w:rFonts w:ascii="仿宋" w:hAnsi="仿宋" w:eastAsia="仿宋" w:cs="仿宋"/>
          <w:b/>
          <w:bCs/>
          <w:color w:val="auto"/>
          <w:highlight w:val="none"/>
        </w:rPr>
      </w:pPr>
      <w:r>
        <w:rPr>
          <w:rFonts w:hint="eastAsia" w:ascii="仿宋" w:hAnsi="仿宋" w:eastAsia="仿宋" w:cs="仿宋"/>
          <w:b/>
          <w:bCs/>
          <w:color w:val="auto"/>
          <w:highlight w:val="none"/>
        </w:rPr>
        <w:t>四、商务要求（此部分全部为实质性条款，必须明确响应或者优于）</w:t>
      </w:r>
    </w:p>
    <w:p>
      <w:pPr>
        <w:spacing w:line="500" w:lineRule="exact"/>
        <w:ind w:firstLine="640" w:firstLineChars="200"/>
        <w:rPr>
          <w:rFonts w:ascii="仿宋" w:hAnsi="仿宋" w:eastAsia="仿宋" w:cs="仿宋"/>
          <w:b/>
          <w:bCs/>
          <w:color w:val="auto"/>
          <w:sz w:val="32"/>
          <w:szCs w:val="32"/>
          <w:highlight w:val="none"/>
        </w:rPr>
      </w:pPr>
      <w:bookmarkStart w:id="13" w:name="_Toc12940"/>
      <w:r>
        <w:rPr>
          <w:rFonts w:hint="eastAsia" w:ascii="仿宋" w:hAnsi="仿宋" w:eastAsia="仿宋" w:cs="仿宋"/>
          <w:b/>
          <w:bCs/>
          <w:color w:val="auto"/>
          <w:sz w:val="32"/>
          <w:szCs w:val="32"/>
          <w:highlight w:val="none"/>
        </w:rPr>
        <w:t>1.交货时间及地点</w:t>
      </w:r>
      <w:bookmarkEnd w:id="13"/>
    </w:p>
    <w:p>
      <w:pPr>
        <w:spacing w:line="5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1.1履约期限：合同中另行约定。</w:t>
      </w:r>
    </w:p>
    <w:p>
      <w:pPr>
        <w:spacing w:line="5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 履约地点：采购人指定地点。</w:t>
      </w:r>
    </w:p>
    <w:p>
      <w:pPr>
        <w:spacing w:line="500" w:lineRule="exact"/>
        <w:ind w:firstLine="640"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2.付款方式及条件</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2.1合同价包括：</w:t>
      </w:r>
      <w:r>
        <w:rPr>
          <w:rFonts w:hint="eastAsia" w:ascii="仿宋" w:hAnsi="仿宋" w:eastAsia="仿宋" w:cs="仿宋"/>
          <w:color w:val="auto"/>
          <w:sz w:val="32"/>
          <w:szCs w:val="32"/>
          <w:highlight w:val="none"/>
          <w:lang w:eastAsia="zh-CN"/>
        </w:rPr>
        <w:t>货物（设备）</w:t>
      </w:r>
      <w:r>
        <w:rPr>
          <w:rFonts w:hint="eastAsia" w:ascii="仿宋" w:hAnsi="仿宋" w:eastAsia="仿宋" w:cs="仿宋"/>
          <w:color w:val="auto"/>
          <w:sz w:val="32"/>
          <w:szCs w:val="32"/>
          <w:highlight w:val="none"/>
        </w:rPr>
        <w:t>的供应费及所发生的运输费、杂费（含保险）、商检费、搬运费、安装调试费、培训费，税费等，包括从</w:t>
      </w:r>
      <w:r>
        <w:rPr>
          <w:rFonts w:hint="eastAsia" w:ascii="仿宋" w:hAnsi="仿宋" w:eastAsia="仿宋" w:cs="仿宋"/>
          <w:color w:val="auto"/>
          <w:sz w:val="32"/>
          <w:szCs w:val="32"/>
          <w:highlight w:val="none"/>
          <w:lang w:eastAsia="zh-CN"/>
        </w:rPr>
        <w:t>货物（设备）</w:t>
      </w:r>
      <w:r>
        <w:rPr>
          <w:rFonts w:hint="eastAsia" w:ascii="仿宋" w:hAnsi="仿宋" w:eastAsia="仿宋" w:cs="仿宋"/>
          <w:color w:val="auto"/>
          <w:sz w:val="32"/>
          <w:szCs w:val="32"/>
          <w:highlight w:val="none"/>
        </w:rPr>
        <w:t>供应地点到交货地点所包含的一切费用。合同单价不可变更，不受市场价变化的影响，不受实际数量变化的影响。</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2.2合同有效期内，合同单价一次包死，不受国家政策性调价或原材料价格变化及外汇汇率变化的影响，并作为最终结算的唯一依据。</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结算方式：在安装验收合格后，投标人将采购合同（与采购方签订）、安装合同（与项目实施村庄签订）、安装清单、验收单及全额发票等送至所属财政所，采购单位按程序申请资金，一次性支付投标人全部货款。</w:t>
      </w:r>
    </w:p>
    <w:p>
      <w:pPr>
        <w:spacing w:line="500" w:lineRule="exact"/>
        <w:ind w:firstLine="640" w:firstLineChars="200"/>
        <w:rPr>
          <w:rFonts w:ascii="仿宋" w:hAnsi="仿宋" w:eastAsia="仿宋" w:cs="仿宋"/>
          <w:b/>
          <w:bCs/>
          <w:color w:val="auto"/>
          <w:sz w:val="32"/>
          <w:szCs w:val="32"/>
          <w:highlight w:val="none"/>
        </w:rPr>
      </w:pPr>
      <w:bookmarkStart w:id="14" w:name="_Toc7358"/>
      <w:r>
        <w:rPr>
          <w:rFonts w:hint="eastAsia" w:ascii="仿宋" w:hAnsi="仿宋" w:eastAsia="仿宋" w:cs="仿宋"/>
          <w:b/>
          <w:bCs/>
          <w:color w:val="auto"/>
          <w:sz w:val="32"/>
          <w:szCs w:val="32"/>
          <w:highlight w:val="none"/>
        </w:rPr>
        <w:t>3.质量标准</w:t>
      </w:r>
      <w:bookmarkEnd w:id="14"/>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3.1质保期：5年。投标人承诺的质保时间或制造厂家的质保期限超过上述要求的，按其承诺执行。</w:t>
      </w:r>
    </w:p>
    <w:p>
      <w:pPr>
        <w:spacing w:line="360" w:lineRule="auto"/>
        <w:ind w:firstLine="640" w:firstLineChars="20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3.2</w:t>
      </w:r>
      <w:r>
        <w:rPr>
          <w:rFonts w:hint="eastAsia" w:ascii="仿宋" w:hAnsi="仿宋" w:eastAsia="仿宋" w:cs="仿宋"/>
          <w:color w:val="auto"/>
          <w:sz w:val="32"/>
          <w:szCs w:val="32"/>
          <w:highlight w:val="none"/>
          <w:lang w:val="zh-CN"/>
        </w:rPr>
        <w:t>其他主要部件属于国家规定“三包”范围的，其质量保证期不得低于“三包”规定。供应商的质量保证期承诺优于国家“三包”规定的，按投标人实际承诺执行。</w:t>
      </w:r>
    </w:p>
    <w:p>
      <w:pPr>
        <w:spacing w:line="360" w:lineRule="auto"/>
        <w:ind w:firstLine="640" w:firstLineChars="200"/>
        <w:rPr>
          <w:rFonts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rPr>
        <w:t>3.3</w:t>
      </w:r>
      <w:r>
        <w:rPr>
          <w:rFonts w:hint="eastAsia" w:ascii="仿宋" w:hAnsi="仿宋" w:eastAsia="仿宋" w:cs="仿宋"/>
          <w:color w:val="auto"/>
          <w:sz w:val="32"/>
          <w:szCs w:val="32"/>
          <w:highlight w:val="none"/>
          <w:lang w:val="zh-CN"/>
        </w:rPr>
        <w:t>投标人必须保证提供的货物（设备）是通过正常渠道获得的、全新的、未使用过的合格货物（设备）；其有关知识产权、技术、专利、检验、商务等均要符合中华人民共和国的有关法律、法规；投标人必须承担因所供货物（设备）而引起的全部法律责任。</w:t>
      </w:r>
    </w:p>
    <w:p>
      <w:pPr>
        <w:spacing w:line="360" w:lineRule="auto"/>
        <w:ind w:firstLine="640" w:firstLineChars="200"/>
        <w:rPr>
          <w:color w:val="auto"/>
          <w:sz w:val="32"/>
          <w:szCs w:val="32"/>
          <w:highlight w:val="none"/>
        </w:rPr>
      </w:pPr>
      <w:r>
        <w:rPr>
          <w:rFonts w:hint="eastAsia" w:ascii="仿宋" w:hAnsi="仿宋" w:eastAsia="仿宋" w:cs="仿宋"/>
          <w:color w:val="auto"/>
          <w:sz w:val="32"/>
          <w:szCs w:val="32"/>
          <w:highlight w:val="none"/>
        </w:rPr>
        <w:t>3.4</w:t>
      </w:r>
      <w:r>
        <w:rPr>
          <w:rFonts w:hint="eastAsia" w:ascii="仿宋" w:hAnsi="仿宋" w:eastAsia="仿宋" w:cs="仿宋"/>
          <w:color w:val="auto"/>
          <w:sz w:val="32"/>
          <w:szCs w:val="32"/>
          <w:highlight w:val="none"/>
          <w:lang w:val="zh-CN"/>
        </w:rPr>
        <w:t>投标人</w:t>
      </w:r>
      <w:r>
        <w:rPr>
          <w:rFonts w:hint="eastAsia" w:ascii="仿宋" w:hAnsi="仿宋" w:eastAsia="仿宋" w:cs="仿宋"/>
          <w:color w:val="auto"/>
          <w:sz w:val="32"/>
          <w:szCs w:val="32"/>
          <w:highlight w:val="none"/>
        </w:rPr>
        <w:t>保证</w:t>
      </w:r>
      <w:r>
        <w:rPr>
          <w:rFonts w:hint="eastAsia" w:ascii="仿宋" w:hAnsi="仿宋" w:eastAsia="仿宋" w:cs="仿宋"/>
          <w:color w:val="auto"/>
          <w:sz w:val="32"/>
          <w:szCs w:val="32"/>
          <w:highlight w:val="none"/>
          <w:lang w:eastAsia="zh-CN"/>
        </w:rPr>
        <w:t>货物（设备）</w:t>
      </w:r>
      <w:r>
        <w:rPr>
          <w:rFonts w:hint="eastAsia" w:ascii="仿宋" w:hAnsi="仿宋" w:eastAsia="仿宋" w:cs="仿宋"/>
          <w:color w:val="auto"/>
          <w:sz w:val="32"/>
          <w:szCs w:val="32"/>
          <w:highlight w:val="none"/>
        </w:rPr>
        <w:t>完全按招标要求提供，若达不到要求，</w:t>
      </w:r>
      <w:r>
        <w:rPr>
          <w:rFonts w:hint="eastAsia" w:ascii="仿宋" w:hAnsi="仿宋" w:eastAsia="仿宋" w:cs="仿宋"/>
          <w:color w:val="auto"/>
          <w:sz w:val="32"/>
          <w:szCs w:val="32"/>
          <w:highlight w:val="none"/>
          <w:lang w:val="zh-CN"/>
        </w:rPr>
        <w:t>投标人</w:t>
      </w:r>
      <w:r>
        <w:rPr>
          <w:rFonts w:hint="eastAsia" w:ascii="仿宋" w:hAnsi="仿宋" w:eastAsia="仿宋" w:cs="仿宋"/>
          <w:color w:val="auto"/>
          <w:sz w:val="32"/>
          <w:szCs w:val="32"/>
          <w:highlight w:val="none"/>
        </w:rPr>
        <w:t>须及时更换，并按照再次验收合格时间相应延长该</w:t>
      </w:r>
      <w:r>
        <w:rPr>
          <w:rFonts w:hint="eastAsia" w:ascii="仿宋" w:hAnsi="仿宋" w:eastAsia="仿宋" w:cs="仿宋"/>
          <w:color w:val="auto"/>
          <w:sz w:val="32"/>
          <w:szCs w:val="32"/>
          <w:highlight w:val="none"/>
          <w:lang w:eastAsia="zh-CN"/>
        </w:rPr>
        <w:t>货物（设备）</w:t>
      </w:r>
      <w:r>
        <w:rPr>
          <w:rFonts w:hint="eastAsia" w:ascii="仿宋" w:hAnsi="仿宋" w:eastAsia="仿宋" w:cs="仿宋"/>
          <w:color w:val="auto"/>
          <w:sz w:val="32"/>
          <w:szCs w:val="32"/>
          <w:highlight w:val="none"/>
        </w:rPr>
        <w:t>保修期。</w:t>
      </w:r>
    </w:p>
    <w:p>
      <w:pPr>
        <w:spacing w:line="500" w:lineRule="exact"/>
        <w:ind w:firstLine="640" w:firstLineChars="200"/>
        <w:rPr>
          <w:rFonts w:ascii="仿宋" w:hAnsi="仿宋" w:eastAsia="仿宋" w:cs="仿宋"/>
          <w:b/>
          <w:bCs/>
          <w:color w:val="auto"/>
          <w:sz w:val="32"/>
          <w:szCs w:val="32"/>
          <w:highlight w:val="none"/>
        </w:rPr>
      </w:pPr>
      <w:bookmarkStart w:id="15" w:name="_Toc22946"/>
      <w:bookmarkStart w:id="16" w:name="_Toc31215"/>
      <w:bookmarkStart w:id="17" w:name="_Toc27312"/>
      <w:bookmarkStart w:id="18" w:name="_Toc14442"/>
      <w:r>
        <w:rPr>
          <w:rFonts w:hint="eastAsia" w:ascii="仿宋" w:hAnsi="仿宋" w:eastAsia="仿宋" w:cs="仿宋"/>
          <w:b/>
          <w:bCs/>
          <w:color w:val="auto"/>
          <w:sz w:val="32"/>
          <w:szCs w:val="32"/>
          <w:highlight w:val="none"/>
        </w:rPr>
        <w:t>4、包装、运输、安装要求</w:t>
      </w:r>
      <w:bookmarkEnd w:id="15"/>
      <w:bookmarkEnd w:id="16"/>
      <w:bookmarkEnd w:id="17"/>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4.1 包装：应采取防潮、防晒、防腐蚀、防震动及防止其它损坏的必要措施。中标人应承担由于其包装或防护措施不妥而引起的货物锈蚀、损坏和丢失等任何损失造成的责任或费用。</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4.2运输：选择运输风险小、运费低、距离短的运输路线。运杂费一次包死在总价内，包括生产厂到施工现场所需的装卸、运输（含保险费）、现场保管费、二次倒运费、吊装费等费用。</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4.3安装：中标人负责所有路灯的安装工作，所有费用一次包死在总价内。</w:t>
      </w:r>
    </w:p>
    <w:bookmarkEnd w:id="18"/>
    <w:p>
      <w:pPr>
        <w:spacing w:line="500" w:lineRule="exact"/>
        <w:ind w:firstLine="640" w:firstLineChars="200"/>
        <w:rPr>
          <w:rFonts w:ascii="仿宋" w:hAnsi="仿宋" w:eastAsia="仿宋" w:cs="仿宋"/>
          <w:b/>
          <w:bCs/>
          <w:color w:val="auto"/>
          <w:sz w:val="32"/>
          <w:szCs w:val="32"/>
          <w:highlight w:val="none"/>
        </w:rPr>
      </w:pPr>
      <w:bookmarkStart w:id="19" w:name="_Toc22874"/>
      <w:bookmarkStart w:id="20" w:name="_Toc8377"/>
      <w:bookmarkStart w:id="21" w:name="_Toc9826"/>
      <w:r>
        <w:rPr>
          <w:rFonts w:hint="eastAsia" w:ascii="仿宋" w:hAnsi="仿宋" w:eastAsia="仿宋" w:cs="仿宋"/>
          <w:b/>
          <w:bCs/>
          <w:color w:val="auto"/>
          <w:sz w:val="32"/>
          <w:szCs w:val="32"/>
          <w:highlight w:val="none"/>
        </w:rPr>
        <w:t>5、售后服务</w:t>
      </w:r>
      <w:bookmarkEnd w:id="19"/>
      <w:bookmarkEnd w:id="20"/>
      <w:bookmarkEnd w:id="21"/>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5.1 投标人的责任包括从</w:t>
      </w:r>
      <w:r>
        <w:rPr>
          <w:rFonts w:hint="eastAsia" w:ascii="仿宋" w:hAnsi="仿宋" w:eastAsia="仿宋" w:cs="仿宋"/>
          <w:color w:val="auto"/>
          <w:sz w:val="32"/>
          <w:szCs w:val="32"/>
          <w:highlight w:val="none"/>
          <w:lang w:eastAsia="zh-CN"/>
        </w:rPr>
        <w:t>货物（设备）</w:t>
      </w:r>
      <w:r>
        <w:rPr>
          <w:rFonts w:hint="eastAsia" w:ascii="仿宋" w:hAnsi="仿宋" w:eastAsia="仿宋" w:cs="仿宋"/>
          <w:color w:val="auto"/>
          <w:sz w:val="32"/>
          <w:szCs w:val="32"/>
          <w:highlight w:val="none"/>
        </w:rPr>
        <w:t>交付到整个</w:t>
      </w:r>
      <w:r>
        <w:rPr>
          <w:rFonts w:hint="eastAsia" w:ascii="仿宋" w:hAnsi="仿宋" w:eastAsia="仿宋" w:cs="仿宋"/>
          <w:color w:val="auto"/>
          <w:sz w:val="32"/>
          <w:szCs w:val="32"/>
          <w:highlight w:val="none"/>
          <w:lang w:eastAsia="zh-CN"/>
        </w:rPr>
        <w:t>货物（设备）</w:t>
      </w:r>
      <w:r>
        <w:rPr>
          <w:rFonts w:hint="eastAsia" w:ascii="仿宋" w:hAnsi="仿宋" w:eastAsia="仿宋" w:cs="仿宋"/>
          <w:color w:val="auto"/>
          <w:sz w:val="32"/>
          <w:szCs w:val="32"/>
          <w:highlight w:val="none"/>
        </w:rPr>
        <w:t>的交付使用，保证</w:t>
      </w:r>
      <w:r>
        <w:rPr>
          <w:rFonts w:hint="eastAsia" w:ascii="仿宋" w:hAnsi="仿宋" w:eastAsia="仿宋" w:cs="仿宋"/>
          <w:color w:val="auto"/>
          <w:sz w:val="32"/>
          <w:szCs w:val="32"/>
          <w:highlight w:val="none"/>
          <w:lang w:eastAsia="zh-CN"/>
        </w:rPr>
        <w:t>货物（设备）</w:t>
      </w:r>
      <w:r>
        <w:rPr>
          <w:rFonts w:hint="eastAsia" w:ascii="仿宋" w:hAnsi="仿宋" w:eastAsia="仿宋" w:cs="仿宋"/>
          <w:color w:val="auto"/>
          <w:sz w:val="32"/>
          <w:szCs w:val="32"/>
          <w:highlight w:val="none"/>
        </w:rPr>
        <w:t>在进行安装、调试和试运行等过程中损坏的或有缺陷的部件可得到修理和更换；质量保证期内的维护和修理，以及质量保证期后的维护指导和终身维修等；（费用包含在以此报价中）</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5.2投标人应具备在接到用户故障报告后2小时内做出响应，24小时内到达现场并排除故障，投标人应有备品备件库，以保证在接到用户故障报告后能及时维修、更换；（费用包含在以此报价中）</w:t>
      </w:r>
    </w:p>
    <w:p>
      <w:pPr>
        <w:spacing w:line="500" w:lineRule="exact"/>
        <w:ind w:firstLine="640" w:firstLineChars="200"/>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b/>
          <w:bCs/>
          <w:color w:val="auto"/>
          <w:sz w:val="32"/>
          <w:szCs w:val="32"/>
          <w:highlight w:val="none"/>
        </w:rPr>
        <w:t xml:space="preserve">、验收 </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6.1初步验收：货物到达交货地点后，由所属财政所和项目村根据合同对货物（设备）的名称、品牌、规格、型号、产地、数量、灯杆出厂标识“村级公益项目 惠及百姓民生  20XX年”进行检查。初验合格填写初验报告，三方签字盖章。</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6.2终验：所有货物(设备)安装、调试完毕，正常使用30个日历日后，由投标人向采购方提出终验书面申请，采购方确认后，组织进行系统验收，并出具终验报告。验收合格后填写验收单。</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6.3验收依据：</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（1）招标文件、投标文件；</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（2）本合同及附件文本；</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（3）合同签订时国家及行业现行的标准和技术规范。</w:t>
      </w:r>
    </w:p>
    <w:p>
      <w:pPr>
        <w:spacing w:line="5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bookmarkStart w:id="22" w:name="_Toc1852"/>
      <w:bookmarkStart w:id="23" w:name="_Toc11493"/>
      <w:bookmarkStart w:id="24" w:name="_Toc27355"/>
      <w:r>
        <w:rPr>
          <w:rFonts w:hint="eastAsia" w:ascii="仿宋" w:hAnsi="仿宋" w:eastAsia="仿宋" w:cs="仿宋"/>
          <w:color w:val="auto"/>
          <w:sz w:val="32"/>
          <w:szCs w:val="32"/>
          <w:highlight w:val="none"/>
        </w:rPr>
        <w:t>合同实施</w:t>
      </w:r>
      <w:bookmarkEnd w:id="22"/>
      <w:bookmarkEnd w:id="23"/>
      <w:bookmarkEnd w:id="24"/>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7.1中标人应在合同签订后7个工作日内安排人员与使用单位就送货、安装等工作进行安排、部署。</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7.2若因中标单位原因未能在工期内完成合同规定的义务，由此对采购人造成的延误和一切损失，由中标单位人承担和赔偿。</w:t>
      </w:r>
    </w:p>
    <w:p>
      <w:pPr>
        <w:spacing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7.3如中标供应商无法按采购人规定的时间及标准完成安装，采购人有权根据实际情况调整各包中标供应商具体安装数量及区域范围。</w:t>
      </w:r>
    </w:p>
    <w:p>
      <w:pPr>
        <w:spacing w:line="560" w:lineRule="exact"/>
        <w:ind w:firstLine="640"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备注：商务要求不允许负偏离， 否则按无效文件处理。</w:t>
      </w:r>
    </w:p>
    <w:p>
      <w:pPr>
        <w:rPr>
          <w:rFonts w:ascii="方正小标宋_GBK" w:hAnsi="仿宋" w:eastAsia="方正小标宋_GBK"/>
          <w:color w:val="auto"/>
          <w:sz w:val="44"/>
          <w:szCs w:val="44"/>
          <w:highlight w:val="none"/>
        </w:rPr>
      </w:pPr>
      <w:r>
        <w:rPr>
          <w:color w:val="auto"/>
          <w:highlight w:val="none"/>
        </w:rPr>
        <w:br w:type="page"/>
      </w:r>
    </w:p>
    <w:p>
      <w:pPr>
        <w:pStyle w:val="3"/>
        <w:rPr>
          <w:color w:val="auto"/>
          <w:highlight w:val="none"/>
        </w:rPr>
      </w:pPr>
      <w:r>
        <w:rPr>
          <w:rFonts w:hint="eastAsia"/>
          <w:color w:val="auto"/>
          <w:highlight w:val="none"/>
        </w:rPr>
        <w:t>第四章  合同文本</w:t>
      </w:r>
    </w:p>
    <w:p>
      <w:pPr>
        <w:spacing w:line="560" w:lineRule="exact"/>
        <w:ind w:firstLine="640" w:firstLineChars="200"/>
        <w:rPr>
          <w:rFonts w:ascii="仿宋" w:hAnsi="仿宋" w:eastAsia="仿宋"/>
          <w:color w:val="auto"/>
          <w:sz w:val="32"/>
          <w:szCs w:val="32"/>
          <w:highlight w:val="none"/>
        </w:rPr>
      </w:pPr>
    </w:p>
    <w:p>
      <w:pPr>
        <w:spacing w:line="560" w:lineRule="exact"/>
        <w:ind w:left="480" w:leftChars="200"/>
        <w:rPr>
          <w:rFonts w:ascii="仿宋" w:hAnsi="仿宋" w:eastAsia="仿宋"/>
          <w:color w:val="auto"/>
          <w:sz w:val="32"/>
          <w:szCs w:val="32"/>
          <w:highlight w:val="none"/>
        </w:rPr>
      </w:pPr>
      <w:r>
        <w:rPr>
          <w:rFonts w:ascii="仿宋" w:hAnsi="仿宋" w:eastAsia="仿宋"/>
          <w:color w:val="auto"/>
          <w:sz w:val="32"/>
          <w:szCs w:val="32"/>
          <w:highlight w:val="none"/>
        </w:rPr>
        <w:t>甲方（采购人）：</w:t>
      </w:r>
      <w:r>
        <w:rPr>
          <w:rFonts w:hint="eastAsia" w:ascii="仿宋" w:hAnsi="仿宋" w:eastAsia="仿宋"/>
          <w:color w:val="auto"/>
          <w:sz w:val="32"/>
          <w:szCs w:val="32"/>
          <w:highlight w:val="none"/>
        </w:rPr>
        <w:t xml:space="preserve"> </w:t>
      </w:r>
    </w:p>
    <w:p>
      <w:pPr>
        <w:spacing w:line="560" w:lineRule="exact"/>
        <w:ind w:left="480" w:leftChars="200"/>
        <w:rPr>
          <w:rFonts w:ascii="仿宋" w:hAnsi="仿宋" w:eastAsia="仿宋"/>
          <w:color w:val="auto"/>
          <w:sz w:val="32"/>
          <w:szCs w:val="32"/>
          <w:highlight w:val="none"/>
        </w:rPr>
      </w:pPr>
      <w:r>
        <w:rPr>
          <w:rFonts w:hint="eastAsia" w:ascii="仿宋" w:hAnsi="仿宋" w:eastAsia="仿宋"/>
          <w:color w:val="auto"/>
          <w:sz w:val="32"/>
          <w:szCs w:val="32"/>
          <w:highlight w:val="none"/>
        </w:rPr>
        <w:t>_________________________</w:t>
      </w:r>
      <w:r>
        <w:rPr>
          <w:rFonts w:ascii="仿宋" w:hAnsi="仿宋" w:eastAsia="仿宋"/>
          <w:color w:val="auto"/>
          <w:sz w:val="32"/>
          <w:szCs w:val="32"/>
          <w:highlight w:val="none"/>
        </w:rPr>
        <w:t>________</w:t>
      </w:r>
    </w:p>
    <w:p>
      <w:pPr>
        <w:spacing w:line="560" w:lineRule="exact"/>
        <w:ind w:left="480" w:leftChars="200"/>
        <w:rPr>
          <w:rFonts w:ascii="仿宋_GB2312" w:hAnsi="仿宋" w:eastAsia="仿宋_GB2312"/>
          <w:color w:val="auto"/>
          <w:sz w:val="32"/>
          <w:szCs w:val="32"/>
          <w:highlight w:val="none"/>
        </w:rPr>
      </w:pPr>
      <w:r>
        <w:rPr>
          <w:rFonts w:ascii="仿宋" w:hAnsi="仿宋" w:eastAsia="仿宋"/>
          <w:color w:val="auto"/>
          <w:sz w:val="32"/>
          <w:szCs w:val="32"/>
          <w:highlight w:val="none"/>
        </w:rPr>
        <w:t>甲方住所：</w:t>
      </w:r>
      <w:r>
        <w:rPr>
          <w:rFonts w:hint="eastAsia" w:ascii="仿宋_GB2312" w:hAnsi="仿宋" w:eastAsia="仿宋_GB2312"/>
          <w:color w:val="auto"/>
          <w:sz w:val="32"/>
          <w:szCs w:val="32"/>
          <w:highlight w:val="none"/>
        </w:rPr>
        <w:t xml:space="preserve"> </w:t>
      </w:r>
    </w:p>
    <w:p>
      <w:pPr>
        <w:spacing w:line="560" w:lineRule="exact"/>
        <w:ind w:left="480" w:leftChars="200"/>
        <w:rPr>
          <w:rFonts w:ascii="仿宋" w:hAnsi="仿宋" w:eastAsia="仿宋"/>
          <w:color w:val="auto"/>
          <w:sz w:val="32"/>
          <w:szCs w:val="32"/>
          <w:highlight w:val="none"/>
        </w:rPr>
      </w:pPr>
      <w:r>
        <w:rPr>
          <w:rFonts w:hint="eastAsia" w:ascii="仿宋" w:hAnsi="仿宋" w:eastAsia="仿宋"/>
          <w:color w:val="auto"/>
          <w:sz w:val="32"/>
          <w:szCs w:val="32"/>
          <w:highlight w:val="none"/>
        </w:rPr>
        <w:t>_________________________</w:t>
      </w:r>
      <w:r>
        <w:rPr>
          <w:rFonts w:ascii="仿宋" w:hAnsi="仿宋" w:eastAsia="仿宋"/>
          <w:color w:val="auto"/>
          <w:sz w:val="32"/>
          <w:szCs w:val="32"/>
          <w:highlight w:val="none"/>
        </w:rPr>
        <w:t>________</w:t>
      </w:r>
    </w:p>
    <w:p>
      <w:pPr>
        <w:spacing w:line="560" w:lineRule="exact"/>
        <w:ind w:left="480" w:leftChars="200"/>
        <w:rPr>
          <w:rFonts w:ascii="仿宋" w:hAnsi="仿宋" w:eastAsia="仿宋"/>
          <w:color w:val="auto"/>
          <w:sz w:val="32"/>
          <w:szCs w:val="32"/>
          <w:highlight w:val="none"/>
        </w:rPr>
      </w:pPr>
      <w:r>
        <w:rPr>
          <w:rFonts w:ascii="仿宋" w:hAnsi="仿宋" w:eastAsia="仿宋"/>
          <w:color w:val="auto"/>
          <w:sz w:val="32"/>
          <w:szCs w:val="32"/>
          <w:highlight w:val="none"/>
        </w:rPr>
        <w:t>乙方（中标供应商）：</w:t>
      </w:r>
      <w:r>
        <w:rPr>
          <w:rFonts w:hint="eastAsia" w:ascii="仿宋" w:hAnsi="仿宋" w:eastAsia="仿宋"/>
          <w:color w:val="auto"/>
          <w:sz w:val="32"/>
          <w:szCs w:val="32"/>
          <w:highlight w:val="none"/>
        </w:rPr>
        <w:t>_________________________</w:t>
      </w:r>
      <w:r>
        <w:rPr>
          <w:rFonts w:ascii="仿宋" w:hAnsi="仿宋" w:eastAsia="仿宋"/>
          <w:color w:val="auto"/>
          <w:sz w:val="32"/>
          <w:szCs w:val="32"/>
          <w:highlight w:val="none"/>
        </w:rPr>
        <w:t>________</w:t>
      </w:r>
    </w:p>
    <w:p>
      <w:pPr>
        <w:spacing w:line="560" w:lineRule="exact"/>
        <w:ind w:left="480" w:leftChars="200"/>
        <w:rPr>
          <w:rFonts w:ascii="仿宋" w:hAnsi="仿宋" w:eastAsia="仿宋"/>
          <w:color w:val="auto"/>
          <w:sz w:val="32"/>
          <w:szCs w:val="32"/>
          <w:highlight w:val="none"/>
        </w:rPr>
      </w:pPr>
      <w:r>
        <w:rPr>
          <w:rFonts w:ascii="仿宋" w:hAnsi="仿宋" w:eastAsia="仿宋"/>
          <w:color w:val="auto"/>
          <w:sz w:val="32"/>
          <w:szCs w:val="32"/>
          <w:highlight w:val="none"/>
        </w:rPr>
        <w:t>乙方住所：</w:t>
      </w:r>
      <w:r>
        <w:rPr>
          <w:rFonts w:hint="eastAsia" w:ascii="仿宋" w:hAnsi="仿宋" w:eastAsia="仿宋"/>
          <w:color w:val="auto"/>
          <w:sz w:val="32"/>
          <w:szCs w:val="32"/>
          <w:highlight w:val="none"/>
        </w:rPr>
        <w:t>___________________________________</w:t>
      </w:r>
      <w:r>
        <w:rPr>
          <w:rFonts w:ascii="仿宋" w:hAnsi="仿宋" w:eastAsia="仿宋"/>
          <w:color w:val="auto"/>
          <w:sz w:val="32"/>
          <w:szCs w:val="32"/>
          <w:highlight w:val="none"/>
        </w:rPr>
        <w:t>________</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根据《中华人民共和国政府采购法》及实施条例、《中华人民共和国民法典》和</w:t>
      </w:r>
      <w:r>
        <w:rPr>
          <w:rFonts w:ascii="仿宋" w:hAnsi="仿宋" w:eastAsia="仿宋"/>
          <w:color w:val="auto"/>
          <w:sz w:val="32"/>
          <w:szCs w:val="32"/>
          <w:highlight w:val="none"/>
        </w:rPr>
        <w:t>〈项目名称〉（项目编号：〈项目编号〉）</w:t>
      </w:r>
      <w:r>
        <w:rPr>
          <w:rFonts w:hint="eastAsia" w:ascii="仿宋" w:hAnsi="仿宋" w:eastAsia="仿宋"/>
          <w:color w:val="auto"/>
          <w:sz w:val="32"/>
          <w:szCs w:val="32"/>
          <w:highlight w:val="none"/>
        </w:rPr>
        <w:t>的招标文件、投标文件等有关规定，为确保甲方采购项目的顺利实施，甲、乙双方在平等自愿原则下签订本合同，并共同遵守如下条款：</w:t>
      </w:r>
    </w:p>
    <w:p>
      <w:pPr>
        <w:pStyle w:val="4"/>
        <w:rPr>
          <w:color w:val="auto"/>
          <w:highlight w:val="none"/>
        </w:rPr>
      </w:pPr>
      <w:r>
        <w:rPr>
          <w:rFonts w:hint="eastAsia"/>
          <w:color w:val="auto"/>
          <w:highlight w:val="none"/>
        </w:rPr>
        <w:t>第一条  项目基本情况</w:t>
      </w:r>
    </w:p>
    <w:p>
      <w:pPr>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采购标的、规格型号、制造厂商、数量、价款</w:t>
      </w:r>
    </w:p>
    <w:tbl>
      <w:tblPr>
        <w:tblStyle w:val="28"/>
        <w:tblW w:w="943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697"/>
        <w:gridCol w:w="1609"/>
        <w:gridCol w:w="1695"/>
        <w:gridCol w:w="870"/>
        <w:gridCol w:w="795"/>
        <w:gridCol w:w="1526"/>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gridSpan w:val="2"/>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采购标的</w:t>
            </w:r>
          </w:p>
        </w:tc>
        <w:tc>
          <w:tcPr>
            <w:tcW w:w="1609"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规格型号</w:t>
            </w:r>
          </w:p>
        </w:tc>
        <w:tc>
          <w:tcPr>
            <w:tcW w:w="1695"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制造厂商</w:t>
            </w:r>
          </w:p>
        </w:tc>
        <w:tc>
          <w:tcPr>
            <w:tcW w:w="870"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795"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单位</w:t>
            </w:r>
          </w:p>
        </w:tc>
        <w:tc>
          <w:tcPr>
            <w:tcW w:w="1526"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单价(元）</w:t>
            </w:r>
          </w:p>
        </w:tc>
        <w:tc>
          <w:tcPr>
            <w:tcW w:w="1094"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846" w:type="dxa"/>
            <w:gridSpan w:val="2"/>
            <w:vAlign w:val="center"/>
          </w:tcPr>
          <w:p>
            <w:pPr>
              <w:jc w:val="center"/>
              <w:rPr>
                <w:rFonts w:ascii="仿宋" w:hAnsi="仿宋" w:eastAsia="仿宋" w:cs="仿宋"/>
                <w:color w:val="auto"/>
                <w:sz w:val="32"/>
                <w:szCs w:val="32"/>
                <w:highlight w:val="none"/>
              </w:rPr>
            </w:pPr>
          </w:p>
        </w:tc>
        <w:tc>
          <w:tcPr>
            <w:tcW w:w="1609" w:type="dxa"/>
            <w:vAlign w:val="center"/>
          </w:tcPr>
          <w:p>
            <w:pPr>
              <w:jc w:val="center"/>
              <w:rPr>
                <w:rFonts w:ascii="仿宋" w:hAnsi="仿宋" w:eastAsia="仿宋" w:cs="仿宋"/>
                <w:color w:val="auto"/>
                <w:sz w:val="32"/>
                <w:szCs w:val="32"/>
                <w:highlight w:val="none"/>
              </w:rPr>
            </w:pPr>
          </w:p>
        </w:tc>
        <w:tc>
          <w:tcPr>
            <w:tcW w:w="1695" w:type="dxa"/>
            <w:vAlign w:val="center"/>
          </w:tcPr>
          <w:p>
            <w:pPr>
              <w:spacing w:line="360" w:lineRule="auto"/>
              <w:jc w:val="center"/>
              <w:rPr>
                <w:rFonts w:ascii="仿宋" w:hAnsi="仿宋" w:eastAsia="仿宋" w:cs="仿宋"/>
                <w:color w:val="auto"/>
                <w:sz w:val="32"/>
                <w:szCs w:val="32"/>
                <w:highlight w:val="none"/>
              </w:rPr>
            </w:pPr>
          </w:p>
        </w:tc>
        <w:tc>
          <w:tcPr>
            <w:tcW w:w="870" w:type="dxa"/>
            <w:vAlign w:val="center"/>
          </w:tcPr>
          <w:p>
            <w:pPr>
              <w:spacing w:line="360" w:lineRule="auto"/>
              <w:jc w:val="center"/>
              <w:rPr>
                <w:rFonts w:ascii="仿宋" w:hAnsi="仿宋" w:eastAsia="仿宋" w:cs="仿宋"/>
                <w:color w:val="auto"/>
                <w:sz w:val="32"/>
                <w:szCs w:val="32"/>
                <w:highlight w:val="none"/>
              </w:rPr>
            </w:pPr>
          </w:p>
        </w:tc>
        <w:tc>
          <w:tcPr>
            <w:tcW w:w="795" w:type="dxa"/>
            <w:vAlign w:val="center"/>
          </w:tcPr>
          <w:p>
            <w:pPr>
              <w:spacing w:line="360" w:lineRule="auto"/>
              <w:jc w:val="center"/>
              <w:rPr>
                <w:rFonts w:ascii="仿宋" w:hAnsi="仿宋" w:eastAsia="仿宋" w:cs="仿宋"/>
                <w:color w:val="auto"/>
                <w:sz w:val="32"/>
                <w:szCs w:val="32"/>
                <w:highlight w:val="none"/>
              </w:rPr>
            </w:pPr>
          </w:p>
        </w:tc>
        <w:tc>
          <w:tcPr>
            <w:tcW w:w="1526" w:type="dxa"/>
            <w:vAlign w:val="center"/>
          </w:tcPr>
          <w:p>
            <w:pPr>
              <w:spacing w:line="360" w:lineRule="auto"/>
              <w:jc w:val="center"/>
              <w:rPr>
                <w:rFonts w:ascii="仿宋" w:hAnsi="仿宋" w:eastAsia="仿宋" w:cs="仿宋"/>
                <w:color w:val="auto"/>
                <w:sz w:val="32"/>
                <w:szCs w:val="32"/>
                <w:highlight w:val="none"/>
              </w:rPr>
            </w:pPr>
          </w:p>
        </w:tc>
        <w:tc>
          <w:tcPr>
            <w:tcW w:w="1094" w:type="dxa"/>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9" w:type="dxa"/>
            <w:vMerge w:val="restart"/>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总价</w:t>
            </w:r>
          </w:p>
        </w:tc>
        <w:tc>
          <w:tcPr>
            <w:tcW w:w="8286" w:type="dxa"/>
            <w:gridSpan w:val="7"/>
          </w:tcPr>
          <w:p>
            <w:pPr>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9" w:type="dxa"/>
            <w:vMerge w:val="continue"/>
          </w:tcPr>
          <w:p>
            <w:pPr>
              <w:spacing w:line="360" w:lineRule="auto"/>
              <w:rPr>
                <w:rFonts w:ascii="仿宋" w:hAnsi="仿宋" w:eastAsia="仿宋" w:cs="仿宋"/>
                <w:color w:val="auto"/>
                <w:sz w:val="32"/>
                <w:szCs w:val="32"/>
                <w:highlight w:val="none"/>
              </w:rPr>
            </w:pPr>
          </w:p>
        </w:tc>
        <w:tc>
          <w:tcPr>
            <w:tcW w:w="8286" w:type="dxa"/>
            <w:gridSpan w:val="7"/>
          </w:tcPr>
          <w:p>
            <w:pPr>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（大写）</w:t>
            </w:r>
          </w:p>
        </w:tc>
      </w:tr>
    </w:tbl>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说明：1、（本合同价格为最终结算价格，包括安装、调试正常运行、验收合格后的价格（含保修费、零备件和运杂费、保险费、安装费、验收费、人员培训费、关税及进口环节增值税等所有税费及其它一切费用）。   </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2、设备配置：详见设备配置清单、装箱单及产品彩页（含增配件）。</w:t>
      </w:r>
    </w:p>
    <w:p>
      <w:pPr>
        <w:pStyle w:val="4"/>
        <w:rPr>
          <w:color w:val="auto"/>
          <w:highlight w:val="none"/>
        </w:rPr>
      </w:pPr>
      <w:r>
        <w:rPr>
          <w:rFonts w:hint="eastAsia"/>
          <w:color w:val="auto"/>
          <w:highlight w:val="none"/>
        </w:rPr>
        <w:t>第二条  履约期限、地点及方式</w:t>
      </w:r>
    </w:p>
    <w:p>
      <w:pPr>
        <w:spacing w:line="560" w:lineRule="exact"/>
        <w:ind w:firstLine="640" w:firstLineChars="200"/>
        <w:jc w:val="both"/>
        <w:rPr>
          <w:rFonts w:ascii="仿宋" w:hAnsi="仿宋" w:eastAsia="仿宋" w:cs="仿宋"/>
          <w:color w:val="auto"/>
          <w:sz w:val="30"/>
          <w:szCs w:val="30"/>
          <w:highlight w:val="none"/>
        </w:rPr>
      </w:pPr>
      <w:r>
        <w:rPr>
          <w:rFonts w:hint="eastAsia" w:ascii="仿宋" w:hAnsi="仿宋" w:eastAsia="仿宋"/>
          <w:color w:val="auto"/>
          <w:sz w:val="32"/>
          <w:szCs w:val="32"/>
          <w:highlight w:val="none"/>
        </w:rPr>
        <w:t>1．履约期限：</w:t>
      </w:r>
      <w:r>
        <w:rPr>
          <w:rFonts w:hint="eastAsia" w:ascii="仿宋" w:hAnsi="仿宋" w:eastAsia="仿宋" w:cs="仿宋"/>
          <w:color w:val="auto"/>
          <w:sz w:val="30"/>
          <w:szCs w:val="30"/>
          <w:highlight w:val="none"/>
        </w:rPr>
        <w:t xml:space="preserve"> </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2．履约地点：</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3．履约方式：</w:t>
      </w:r>
    </w:p>
    <w:p>
      <w:pPr>
        <w:pStyle w:val="4"/>
        <w:rPr>
          <w:color w:val="auto"/>
          <w:highlight w:val="none"/>
        </w:rPr>
      </w:pPr>
      <w:r>
        <w:rPr>
          <w:rFonts w:hint="eastAsia"/>
          <w:color w:val="auto"/>
          <w:highlight w:val="none"/>
        </w:rPr>
        <w:t>第三条  质量标准</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整个项目应符合国家有关行业规范和标准，包括但不限于：</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w:t>
      </w:r>
    </w:p>
    <w:p>
      <w:pPr>
        <w:pStyle w:val="4"/>
        <w:rPr>
          <w:color w:val="auto"/>
          <w:highlight w:val="none"/>
        </w:rPr>
      </w:pPr>
      <w:r>
        <w:rPr>
          <w:rFonts w:hint="eastAsia"/>
          <w:color w:val="auto"/>
          <w:highlight w:val="none"/>
        </w:rPr>
        <w:t>第四条  合同价款及支付方式</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1．合同价款包括：</w:t>
      </w:r>
    </w:p>
    <w:p>
      <w:pPr>
        <w:spacing w:line="560" w:lineRule="exact"/>
        <w:ind w:firstLine="640" w:firstLineChars="200"/>
        <w:jc w:val="both"/>
        <w:rPr>
          <w:rFonts w:ascii="仿宋" w:hAnsi="仿宋" w:eastAsia="仿宋" w:cs="仿宋"/>
          <w:color w:val="auto"/>
          <w:sz w:val="30"/>
          <w:szCs w:val="30"/>
          <w:highlight w:val="none"/>
        </w:rPr>
      </w:pPr>
      <w:r>
        <w:rPr>
          <w:rFonts w:hint="eastAsia" w:ascii="仿宋" w:hAnsi="仿宋" w:eastAsia="仿宋"/>
          <w:color w:val="auto"/>
          <w:sz w:val="32"/>
          <w:szCs w:val="32"/>
          <w:highlight w:val="none"/>
        </w:rPr>
        <w:t>2．支付方式：</w:t>
      </w:r>
      <w:r>
        <w:rPr>
          <w:rFonts w:hint="eastAsia" w:ascii="仿宋" w:hAnsi="仿宋" w:eastAsia="仿宋" w:cs="仿宋"/>
          <w:color w:val="auto"/>
          <w:sz w:val="30"/>
          <w:szCs w:val="30"/>
          <w:highlight w:val="none"/>
        </w:rPr>
        <w:t xml:space="preserve"> </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3．结算方式： </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4．结算单位：  </w:t>
      </w:r>
    </w:p>
    <w:p>
      <w:pPr>
        <w:pStyle w:val="4"/>
        <w:rPr>
          <w:color w:val="auto"/>
          <w:highlight w:val="none"/>
        </w:rPr>
      </w:pPr>
      <w:r>
        <w:rPr>
          <w:color w:val="auto"/>
          <w:highlight w:val="none"/>
        </w:rPr>
        <w:t>第五条</w:t>
      </w:r>
      <w:r>
        <w:rPr>
          <w:rFonts w:hint="eastAsia"/>
          <w:color w:val="auto"/>
          <w:highlight w:val="none"/>
        </w:rPr>
        <w:t xml:space="preserve">  验收标准及条件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1．初步验收：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2．最终验收：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3．验收依据：</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（1）招标文件、投标文件、澄清表（函）；</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（2）本合同及附件文本；</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（3）合同签订时国家及行业现行的标准和技术规范。</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4．中标供应商应向采购人提交项目实施过程中的所有资料，以便采购人日后管理和维护。</w:t>
      </w:r>
    </w:p>
    <w:p>
      <w:pPr>
        <w:pStyle w:val="4"/>
        <w:rPr>
          <w:color w:val="auto"/>
          <w:highlight w:val="none"/>
        </w:rPr>
      </w:pPr>
      <w:r>
        <w:rPr>
          <w:rFonts w:hint="eastAsia"/>
          <w:color w:val="auto"/>
          <w:highlight w:val="none"/>
        </w:rPr>
        <w:t>第六条  知识产权（若有）</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乙方应保证所提供的服务或其任何一部分均不会侵犯任何第三方的专利权、商标权或著作权。</w:t>
      </w:r>
    </w:p>
    <w:p>
      <w:pPr>
        <w:pStyle w:val="4"/>
        <w:rPr>
          <w:color w:val="auto"/>
          <w:highlight w:val="none"/>
        </w:rPr>
      </w:pPr>
      <w:r>
        <w:rPr>
          <w:rFonts w:hint="eastAsia"/>
          <w:color w:val="auto"/>
          <w:highlight w:val="none"/>
        </w:rPr>
        <w:t>第七条  无产权瑕疵条款（若有）</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乙方保证所提供的服务的所有权完全属于乙方且无任何抵押、查封等产权瑕疵。如有产权瑕疵的，视为乙方违约。乙方应负担由此而产生的一切损失。</w:t>
      </w:r>
    </w:p>
    <w:p>
      <w:pPr>
        <w:pStyle w:val="4"/>
        <w:rPr>
          <w:color w:val="auto"/>
          <w:highlight w:val="none"/>
        </w:rPr>
      </w:pPr>
      <w:r>
        <w:rPr>
          <w:rFonts w:hint="eastAsia"/>
          <w:color w:val="auto"/>
          <w:highlight w:val="none"/>
        </w:rPr>
        <w:t>第八条  双方的权利和义务</w:t>
      </w:r>
    </w:p>
    <w:p>
      <w:pPr>
        <w:pStyle w:val="97"/>
        <w:spacing w:before="210" w:after="210"/>
        <w:rPr>
          <w:color w:val="auto"/>
          <w:highlight w:val="none"/>
        </w:rPr>
      </w:pPr>
      <w:r>
        <w:rPr>
          <w:color w:val="auto"/>
          <w:highlight w:val="none"/>
        </w:rPr>
        <w:t>（一）</w:t>
      </w:r>
      <w:r>
        <w:rPr>
          <w:rFonts w:hint="eastAsia"/>
          <w:color w:val="auto"/>
          <w:highlight w:val="none"/>
        </w:rPr>
        <w:t>甲方的权利和义务</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2．甲方有权依据双方签订的考评办法对乙方提供的服务进行定期考评。</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3．负责检查监督乙方管理工作的实施及制度的执行情况。</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4．根据本合同规定，按时向乙方支付应付服务费用。</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5．验收应在甲方和乙方双方共同参加下进行。甲方组成验收小组按国家有关规定、规范进行验收，验收时将会邀请相关的专业人员或机构参与验收。</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．国家法律、法规所规定由甲方承担的其它责任。</w:t>
      </w:r>
    </w:p>
    <w:p>
      <w:pPr>
        <w:pStyle w:val="97"/>
        <w:spacing w:before="210" w:after="210"/>
        <w:rPr>
          <w:color w:val="auto"/>
          <w:highlight w:val="none"/>
        </w:rPr>
      </w:pPr>
      <w:r>
        <w:rPr>
          <w:rFonts w:hint="eastAsia"/>
          <w:color w:val="auto"/>
          <w:highlight w:val="none"/>
        </w:rPr>
        <w:t>（二）乙方的权利和义务</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1．对本合同规定的委托服务范围内的项目享有管理权及服务义务。</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2．根据本合同的规定向甲方收取相关服务费用，并有权在本项目管理范围内管理及合理使用。</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3．及时向甲方通告本项目服务范围内有关服务的重大事项，及时配合处理投诉。</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4．接受项目行业管理部门及政府有关部门的指导，接受甲方的监督。</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5．国家法律、法规所规定由乙方承担的其它责任。</w:t>
      </w:r>
    </w:p>
    <w:p>
      <w:pPr>
        <w:pStyle w:val="4"/>
        <w:rPr>
          <w:color w:val="auto"/>
          <w:highlight w:val="none"/>
        </w:rPr>
      </w:pPr>
      <w:r>
        <w:rPr>
          <w:rFonts w:hint="eastAsia"/>
          <w:color w:val="auto"/>
          <w:highlight w:val="none"/>
        </w:rPr>
        <w:t>第九条  违约责任</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1．甲乙双方必须遵守本合同并执行合同中的各项规定，保证本合同的正常履行。</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4"/>
        <w:rPr>
          <w:color w:val="auto"/>
          <w:highlight w:val="none"/>
        </w:rPr>
      </w:pPr>
      <w:r>
        <w:rPr>
          <w:rFonts w:hint="eastAsia"/>
          <w:color w:val="auto"/>
          <w:highlight w:val="none"/>
        </w:rPr>
        <w:t>第十条  不可抗力事件处理</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1．在合同有效期内，任何一方因不可抗力事件导致不能履行合同，则合同履行期可延长，其延长期与不可抗力影响期相同。</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2．不可抗力事件发生后，应立即通知对方，并寄送有关权威机构出具的证明。</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3．不可抗力事件延续</w:t>
      </w:r>
      <w:r>
        <w:rPr>
          <w:rFonts w:ascii="仿宋" w:hAnsi="仿宋" w:eastAsia="仿宋"/>
          <w:color w:val="auto"/>
          <w:sz w:val="32"/>
          <w:szCs w:val="32"/>
          <w:highlight w:val="none"/>
        </w:rPr>
        <w:t>15个日历日</w:t>
      </w:r>
      <w:r>
        <w:rPr>
          <w:rFonts w:hint="eastAsia" w:ascii="仿宋" w:hAnsi="仿宋" w:eastAsia="仿宋"/>
          <w:color w:val="auto"/>
          <w:sz w:val="32"/>
          <w:szCs w:val="32"/>
          <w:highlight w:val="none"/>
        </w:rPr>
        <w:t>以上，双方应通过友好协商，确定是否继续履行合同。</w:t>
      </w:r>
    </w:p>
    <w:p>
      <w:pPr>
        <w:pStyle w:val="4"/>
        <w:rPr>
          <w:color w:val="auto"/>
          <w:highlight w:val="none"/>
        </w:rPr>
      </w:pPr>
      <w:r>
        <w:rPr>
          <w:rFonts w:hint="eastAsia"/>
          <w:color w:val="auto"/>
          <w:highlight w:val="none"/>
        </w:rPr>
        <w:t>第十一条  合同的变更和终止</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除《中华人民共和国政府采购法》第49条、第50条第二款规定的情形外，本合同一经签订，甲乙双方不得擅自变更、中止或终止合同。</w:t>
      </w:r>
    </w:p>
    <w:p>
      <w:pPr>
        <w:pStyle w:val="4"/>
        <w:rPr>
          <w:color w:val="auto"/>
          <w:highlight w:val="none"/>
        </w:rPr>
      </w:pPr>
      <w:r>
        <w:rPr>
          <w:rFonts w:hint="eastAsia"/>
          <w:color w:val="auto"/>
          <w:highlight w:val="none"/>
        </w:rPr>
        <w:t>第十二条  解决合同纠纷的方式</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1．在执行本合同中发生的或与本合同有关的争端，双方应通过友好协商解决，经协商在</w:t>
      </w:r>
      <w:r>
        <w:rPr>
          <w:rFonts w:ascii="仿宋" w:hAnsi="仿宋" w:eastAsia="仿宋"/>
          <w:color w:val="auto"/>
          <w:sz w:val="32"/>
          <w:szCs w:val="32"/>
          <w:highlight w:val="none"/>
        </w:rPr>
        <w:t>___</w:t>
      </w:r>
      <w:r>
        <w:rPr>
          <w:rFonts w:hint="eastAsia" w:ascii="仿宋" w:hAnsi="仿宋" w:eastAsia="仿宋"/>
          <w:color w:val="auto"/>
          <w:sz w:val="32"/>
          <w:szCs w:val="32"/>
          <w:highlight w:val="none"/>
        </w:rPr>
        <w:t>天内不能达成协议时，则采取以下第</w:t>
      </w:r>
      <w:r>
        <w:rPr>
          <w:rFonts w:ascii="仿宋" w:hAnsi="仿宋" w:eastAsia="仿宋"/>
          <w:color w:val="auto"/>
          <w:sz w:val="32"/>
          <w:szCs w:val="32"/>
          <w:highlight w:val="none"/>
        </w:rPr>
        <w:t>___</w:t>
      </w:r>
      <w:r>
        <w:rPr>
          <w:rFonts w:hint="eastAsia" w:ascii="仿宋" w:hAnsi="仿宋" w:eastAsia="仿宋"/>
          <w:color w:val="auto"/>
          <w:sz w:val="32"/>
          <w:szCs w:val="32"/>
          <w:highlight w:val="none"/>
        </w:rPr>
        <w:t>种方式解决争议：</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（1）向甲方所在地有管辖权的人民法院提起诉讼；</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（2）向西安仲裁委员会按其仲裁规则申请仲裁。</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2．在仲裁期间，本合同应继续履行。</w:t>
      </w:r>
    </w:p>
    <w:p>
      <w:pPr>
        <w:pStyle w:val="4"/>
        <w:rPr>
          <w:color w:val="auto"/>
          <w:highlight w:val="none"/>
        </w:rPr>
      </w:pPr>
      <w:r>
        <w:rPr>
          <w:rFonts w:hint="eastAsia"/>
          <w:color w:val="auto"/>
          <w:highlight w:val="none"/>
        </w:rPr>
        <w:t>第十三条  合同生效及其他</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1．合同经双方法定代表人（单位负责人）或授权委托代理人签名并加盖单位公章并由采购代理机构盖章后生效。</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2．合同执行中涉及采购资金和采购内容修改或补充的，须经政府采购监管部门审批，并签书面补充协议报政府采购监督管理部门备案，方可作为主合同不可分割的一部分。</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3．本合同一式陆份，自双方签章之日起起效。甲方贰份，乙方贰份，四川国际招标有限责任公司壹份，同级财政部门备案壹份，具有同等法律效力。</w:t>
      </w:r>
    </w:p>
    <w:p>
      <w:pPr>
        <w:pStyle w:val="4"/>
        <w:rPr>
          <w:color w:val="auto"/>
          <w:highlight w:val="none"/>
        </w:rPr>
      </w:pPr>
      <w:r>
        <w:rPr>
          <w:rFonts w:hint="eastAsia"/>
          <w:color w:val="auto"/>
          <w:highlight w:val="none"/>
        </w:rPr>
        <w:t>第十四条  附件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1．项目招标文件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2．项目修改澄清文件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3．项目投标文件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4．成交通知书</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5．其他</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（以下无正文）</w:t>
      </w:r>
    </w:p>
    <w:p>
      <w:pPr>
        <w:spacing w:line="560" w:lineRule="exact"/>
        <w:ind w:firstLine="640" w:firstLineChars="200"/>
        <w:jc w:val="both"/>
        <w:rPr>
          <w:rFonts w:ascii="仿宋" w:hAnsi="仿宋" w:eastAsia="仿宋"/>
          <w:color w:val="auto"/>
          <w:sz w:val="32"/>
          <w:szCs w:val="32"/>
          <w:highlight w:val="none"/>
        </w:rPr>
      </w:pPr>
    </w:p>
    <w:tbl>
      <w:tblPr>
        <w:tblStyle w:val="29"/>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2672"/>
        <w:gridCol w:w="1762"/>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甲方</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（盖章）：</w:t>
            </w:r>
          </w:p>
        </w:tc>
        <w:tc>
          <w:tcPr>
            <w:tcW w:w="2494" w:type="dxa"/>
            <w:vAlign w:val="center"/>
          </w:tcPr>
          <w:p>
            <w:pPr>
              <w:jc w:val="center"/>
              <w:rPr>
                <w:rFonts w:ascii="仿宋" w:hAnsi="仿宋" w:eastAsia="仿宋"/>
                <w:color w:val="auto"/>
                <w:sz w:val="28"/>
                <w:szCs w:val="28"/>
                <w:highlight w:val="none"/>
              </w:rPr>
            </w:pP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乙方</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（盖章）：</w:t>
            </w:r>
          </w:p>
        </w:tc>
        <w:tc>
          <w:tcPr>
            <w:tcW w:w="2494" w:type="dxa"/>
            <w:vAlign w:val="center"/>
          </w:tcPr>
          <w:p>
            <w:pPr>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w:t>
            </w:r>
          </w:p>
        </w:tc>
        <w:tc>
          <w:tcPr>
            <w:tcW w:w="2494" w:type="dxa"/>
            <w:vAlign w:val="center"/>
          </w:tcPr>
          <w:p>
            <w:pPr>
              <w:jc w:val="center"/>
              <w:rPr>
                <w:rFonts w:ascii="仿宋" w:hAnsi="仿宋" w:eastAsia="仿宋"/>
                <w:color w:val="auto"/>
                <w:sz w:val="28"/>
                <w:szCs w:val="28"/>
                <w:highlight w:val="none"/>
              </w:rPr>
            </w:pP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w:t>
            </w:r>
          </w:p>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w:t>
            </w:r>
          </w:p>
        </w:tc>
        <w:tc>
          <w:tcPr>
            <w:tcW w:w="2494" w:type="dxa"/>
            <w:vAlign w:val="center"/>
          </w:tcPr>
          <w:p>
            <w:pPr>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地    址：</w:t>
            </w:r>
          </w:p>
        </w:tc>
        <w:tc>
          <w:tcPr>
            <w:tcW w:w="2494" w:type="dxa"/>
            <w:vAlign w:val="center"/>
          </w:tcPr>
          <w:p>
            <w:pPr>
              <w:jc w:val="center"/>
              <w:rPr>
                <w:rFonts w:ascii="仿宋" w:hAnsi="仿宋" w:eastAsia="仿宋"/>
                <w:color w:val="auto"/>
                <w:sz w:val="28"/>
                <w:szCs w:val="28"/>
                <w:highlight w:val="none"/>
              </w:rPr>
            </w:pP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地    址：</w:t>
            </w:r>
          </w:p>
        </w:tc>
        <w:tc>
          <w:tcPr>
            <w:tcW w:w="2494" w:type="dxa"/>
            <w:vAlign w:val="center"/>
          </w:tcPr>
          <w:p>
            <w:pPr>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开户银行：</w:t>
            </w:r>
          </w:p>
        </w:tc>
        <w:tc>
          <w:tcPr>
            <w:tcW w:w="2494" w:type="dxa"/>
            <w:vAlign w:val="center"/>
          </w:tcPr>
          <w:p>
            <w:pPr>
              <w:jc w:val="center"/>
              <w:rPr>
                <w:rFonts w:ascii="仿宋" w:hAnsi="仿宋" w:eastAsia="仿宋"/>
                <w:color w:val="auto"/>
                <w:sz w:val="28"/>
                <w:szCs w:val="28"/>
                <w:highlight w:val="none"/>
              </w:rPr>
            </w:pP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开户银行：</w:t>
            </w:r>
          </w:p>
        </w:tc>
        <w:tc>
          <w:tcPr>
            <w:tcW w:w="2494" w:type="dxa"/>
            <w:vAlign w:val="center"/>
          </w:tcPr>
          <w:p>
            <w:pPr>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银行帐号：</w:t>
            </w:r>
          </w:p>
        </w:tc>
        <w:tc>
          <w:tcPr>
            <w:tcW w:w="2494" w:type="dxa"/>
            <w:vAlign w:val="center"/>
          </w:tcPr>
          <w:p>
            <w:pPr>
              <w:jc w:val="center"/>
              <w:rPr>
                <w:rFonts w:ascii="仿宋" w:hAnsi="仿宋" w:eastAsia="仿宋"/>
                <w:color w:val="auto"/>
                <w:sz w:val="28"/>
                <w:szCs w:val="28"/>
                <w:highlight w:val="none"/>
              </w:rPr>
            </w:pP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银行帐号：</w:t>
            </w:r>
          </w:p>
        </w:tc>
        <w:tc>
          <w:tcPr>
            <w:tcW w:w="2494" w:type="dxa"/>
            <w:vAlign w:val="center"/>
          </w:tcPr>
          <w:p>
            <w:pPr>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494" w:type="dxa"/>
            <w:vAlign w:val="center"/>
          </w:tcPr>
          <w:p>
            <w:pPr>
              <w:jc w:val="center"/>
              <w:rPr>
                <w:rFonts w:ascii="仿宋" w:hAnsi="仿宋" w:eastAsia="仿宋"/>
                <w:color w:val="auto"/>
                <w:sz w:val="28"/>
                <w:szCs w:val="28"/>
                <w:highlight w:val="none"/>
              </w:rPr>
            </w:pP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494" w:type="dxa"/>
            <w:vAlign w:val="center"/>
          </w:tcPr>
          <w:p>
            <w:pPr>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传    真：</w:t>
            </w:r>
          </w:p>
        </w:tc>
        <w:tc>
          <w:tcPr>
            <w:tcW w:w="2494" w:type="dxa"/>
            <w:vAlign w:val="center"/>
          </w:tcPr>
          <w:p>
            <w:pPr>
              <w:jc w:val="center"/>
              <w:rPr>
                <w:rFonts w:ascii="仿宋" w:hAnsi="仿宋" w:eastAsia="仿宋"/>
                <w:color w:val="auto"/>
                <w:sz w:val="28"/>
                <w:szCs w:val="28"/>
                <w:highlight w:val="none"/>
              </w:rPr>
            </w:pP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传    真：</w:t>
            </w:r>
          </w:p>
        </w:tc>
        <w:tc>
          <w:tcPr>
            <w:tcW w:w="2494" w:type="dxa"/>
            <w:vAlign w:val="center"/>
          </w:tcPr>
          <w:p>
            <w:pPr>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签约日期：</w:t>
            </w:r>
          </w:p>
        </w:tc>
        <w:tc>
          <w:tcPr>
            <w:tcW w:w="249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c>
          <w:tcPr>
            <w:tcW w:w="164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签约日期：</w:t>
            </w:r>
          </w:p>
        </w:tc>
        <w:tc>
          <w:tcPr>
            <w:tcW w:w="2494" w:type="dxa"/>
            <w:vAlign w:val="center"/>
          </w:tcPr>
          <w:p>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bl>
    <w:p>
      <w:pPr>
        <w:rPr>
          <w:color w:val="auto"/>
          <w:highlight w:val="none"/>
        </w:rPr>
      </w:pPr>
      <w:r>
        <w:rPr>
          <w:rFonts w:hint="eastAsia"/>
          <w:color w:val="auto"/>
          <w:highlight w:val="none"/>
        </w:rPr>
        <w:br w:type="page"/>
      </w:r>
      <w:bookmarkStart w:id="26" w:name="_GoBack"/>
      <w:bookmarkEnd w:id="26"/>
    </w:p>
    <w:p>
      <w:pPr>
        <w:spacing w:line="480" w:lineRule="exact"/>
        <w:ind w:firstLine="480" w:firstLineChars="200"/>
        <w:rPr>
          <w:rFonts w:hAnsi="宋体"/>
          <w:b/>
          <w:bCs/>
          <w:color w:val="auto"/>
          <w:sz w:val="52"/>
          <w:szCs w:val="52"/>
          <w:highlight w:val="none"/>
        </w:rPr>
      </w:pPr>
      <w:r>
        <w:rPr>
          <w:rFonts w:hint="eastAsia" w:hAnsi="宋体"/>
          <w:color w:val="auto"/>
          <w:highlight w:val="none"/>
        </w:rPr>
        <w:t xml:space="preserve"> </w:t>
      </w:r>
      <w:r>
        <w:rPr>
          <w:rFonts w:hint="eastAsia" w:hAnsi="宋体"/>
          <w:b/>
          <w:bCs/>
          <w:color w:val="auto"/>
          <w:sz w:val="52"/>
          <w:szCs w:val="52"/>
          <w:highlight w:val="none"/>
        </w:rPr>
        <w:t xml:space="preserve"> </w:t>
      </w:r>
    </w:p>
    <w:p>
      <w:pPr>
        <w:pStyle w:val="3"/>
        <w:rPr>
          <w:color w:val="auto"/>
          <w:highlight w:val="none"/>
        </w:rPr>
      </w:pPr>
      <w:r>
        <w:rPr>
          <w:rFonts w:hint="eastAsia" w:hAnsi="宋体"/>
          <w:b/>
          <w:color w:val="auto"/>
          <w:highlight w:val="none"/>
        </w:rPr>
        <w:t xml:space="preserve">   </w:t>
      </w:r>
      <w:bookmarkStart w:id="25" w:name="_Toc100219616"/>
      <w:r>
        <w:rPr>
          <w:rFonts w:hint="eastAsia"/>
          <w:color w:val="auto"/>
          <w:highlight w:val="none"/>
        </w:rPr>
        <w:t>第五章  投标文件构成及格式</w:t>
      </w:r>
      <w:bookmarkEnd w:id="25"/>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jc w:val="both"/>
        <w:rPr>
          <w:rFonts w:ascii="仿宋" w:hAnsi="仿宋" w:eastAsia="仿宋"/>
          <w:color w:val="auto"/>
          <w:sz w:val="32"/>
          <w:szCs w:val="32"/>
          <w:highlight w:val="none"/>
        </w:rPr>
      </w:pPr>
    </w:p>
    <w:p>
      <w:pPr>
        <w:pStyle w:val="3"/>
        <w:rPr>
          <w:color w:val="auto"/>
          <w:highlight w:val="none"/>
        </w:rPr>
      </w:pPr>
      <w:r>
        <w:rPr>
          <w:color w:val="auto"/>
          <w:highlight w:val="none"/>
        </w:rPr>
        <w:t>〈项目名称〉</w:t>
      </w:r>
    </w:p>
    <w:p>
      <w:pPr>
        <w:pStyle w:val="3"/>
        <w:rPr>
          <w:color w:val="auto"/>
          <w:highlight w:val="none"/>
        </w:rPr>
      </w:pPr>
      <w:r>
        <w:rPr>
          <w:color w:val="auto"/>
          <w:highlight w:val="none"/>
        </w:rPr>
        <w:t>投标文件</w:t>
      </w:r>
    </w:p>
    <w:p>
      <w:pPr>
        <w:rPr>
          <w:color w:val="auto"/>
          <w:highlight w:val="none"/>
        </w:rPr>
      </w:pPr>
    </w:p>
    <w:p>
      <w:pPr>
        <w:rPr>
          <w:color w:val="auto"/>
          <w:highlight w:val="none"/>
        </w:rPr>
      </w:pPr>
    </w:p>
    <w:p>
      <w:pPr>
        <w:rPr>
          <w:color w:val="auto"/>
          <w:highlight w:val="none"/>
        </w:rPr>
      </w:pPr>
    </w:p>
    <w:p>
      <w:pPr>
        <w:rPr>
          <w:color w:val="auto"/>
          <w:highlight w:val="none"/>
        </w:rPr>
      </w:pPr>
    </w:p>
    <w:p>
      <w:pPr>
        <w:pStyle w:val="4"/>
        <w:jc w:val="center"/>
        <w:rPr>
          <w:color w:val="auto"/>
          <w:highlight w:val="none"/>
        </w:rPr>
      </w:pPr>
      <w:r>
        <w:rPr>
          <w:color w:val="auto"/>
          <w:highlight w:val="none"/>
        </w:rPr>
        <w:t>（项目编号：〈项目编号〉）</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供应商：__________________</w:t>
      </w:r>
    </w:p>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标  段：__________________</w:t>
      </w:r>
    </w:p>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时  间：__________________</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880" w:firstLineChars="200"/>
        <w:jc w:val="center"/>
        <w:rPr>
          <w:rFonts w:ascii="方正小标宋_GBK" w:hAnsi="仿宋" w:eastAsia="方正小标宋_GBK"/>
          <w:color w:val="auto"/>
          <w:sz w:val="44"/>
          <w:szCs w:val="44"/>
          <w:highlight w:val="none"/>
        </w:rPr>
      </w:pPr>
    </w:p>
    <w:p>
      <w:pPr>
        <w:spacing w:line="560" w:lineRule="exact"/>
        <w:ind w:firstLine="880" w:firstLineChars="200"/>
        <w:jc w:val="center"/>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rPr>
        <w:t>目    录</w:t>
      </w:r>
    </w:p>
    <w:p>
      <w:pPr>
        <w:spacing w:line="560" w:lineRule="exact"/>
        <w:ind w:firstLine="640" w:firstLineChars="200"/>
        <w:jc w:val="both"/>
        <w:rPr>
          <w:rFonts w:ascii="仿宋" w:hAnsi="仿宋" w:eastAsia="仿宋"/>
          <w:color w:val="auto"/>
          <w:sz w:val="32"/>
          <w:szCs w:val="32"/>
          <w:highlight w:val="none"/>
        </w:rPr>
      </w:pPr>
    </w:p>
    <w:p>
      <w:pPr>
        <w:spacing w:line="480" w:lineRule="auto"/>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第一部</w:t>
      </w:r>
      <w:r>
        <w:rPr>
          <w:rFonts w:hint="eastAsia" w:ascii="仿宋" w:hAnsi="仿宋" w:eastAsia="仿宋"/>
          <w:color w:val="auto"/>
          <w:sz w:val="32"/>
          <w:szCs w:val="32"/>
          <w:highlight w:val="none"/>
        </w:rPr>
        <w:t>分  投</w:t>
      </w:r>
      <w:r>
        <w:rPr>
          <w:rFonts w:ascii="仿宋" w:hAnsi="仿宋" w:eastAsia="仿宋"/>
          <w:color w:val="auto"/>
          <w:sz w:val="32"/>
          <w:szCs w:val="32"/>
          <w:highlight w:val="none"/>
        </w:rPr>
        <w:t>标函</w:t>
      </w:r>
    </w:p>
    <w:p>
      <w:pPr>
        <w:spacing w:line="480" w:lineRule="auto"/>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第二部</w:t>
      </w:r>
      <w:r>
        <w:rPr>
          <w:rFonts w:hint="eastAsia" w:ascii="仿宋" w:hAnsi="仿宋" w:eastAsia="仿宋"/>
          <w:color w:val="auto"/>
          <w:sz w:val="32"/>
          <w:szCs w:val="32"/>
          <w:highlight w:val="none"/>
        </w:rPr>
        <w:t>分  开</w:t>
      </w:r>
      <w:r>
        <w:rPr>
          <w:rFonts w:ascii="仿宋" w:hAnsi="仿宋" w:eastAsia="仿宋"/>
          <w:color w:val="auto"/>
          <w:sz w:val="32"/>
          <w:szCs w:val="32"/>
          <w:highlight w:val="none"/>
        </w:rPr>
        <w:t>标一览表</w:t>
      </w:r>
    </w:p>
    <w:p>
      <w:pPr>
        <w:spacing w:line="480" w:lineRule="auto"/>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第三部</w:t>
      </w:r>
      <w:r>
        <w:rPr>
          <w:rFonts w:hint="eastAsia" w:ascii="仿宋" w:hAnsi="仿宋" w:eastAsia="仿宋"/>
          <w:color w:val="auto"/>
          <w:sz w:val="32"/>
          <w:szCs w:val="32"/>
          <w:highlight w:val="none"/>
        </w:rPr>
        <w:t>分  资</w:t>
      </w:r>
      <w:r>
        <w:rPr>
          <w:rFonts w:ascii="仿宋" w:hAnsi="仿宋" w:eastAsia="仿宋"/>
          <w:color w:val="auto"/>
          <w:sz w:val="32"/>
          <w:szCs w:val="32"/>
          <w:highlight w:val="none"/>
        </w:rPr>
        <w:t>格证明文件</w:t>
      </w:r>
    </w:p>
    <w:p>
      <w:pPr>
        <w:spacing w:line="480" w:lineRule="auto"/>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第四部</w:t>
      </w:r>
      <w:r>
        <w:rPr>
          <w:rFonts w:hint="eastAsia" w:ascii="仿宋" w:hAnsi="仿宋" w:eastAsia="仿宋"/>
          <w:color w:val="auto"/>
          <w:sz w:val="32"/>
          <w:szCs w:val="32"/>
          <w:highlight w:val="none"/>
        </w:rPr>
        <w:t>分  供</w:t>
      </w:r>
      <w:r>
        <w:rPr>
          <w:rFonts w:ascii="仿宋" w:hAnsi="仿宋" w:eastAsia="仿宋"/>
          <w:color w:val="auto"/>
          <w:sz w:val="32"/>
          <w:szCs w:val="32"/>
          <w:highlight w:val="none"/>
        </w:rPr>
        <w:t>应商概况</w:t>
      </w:r>
    </w:p>
    <w:p>
      <w:pPr>
        <w:spacing w:line="480" w:lineRule="auto"/>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第五部</w:t>
      </w:r>
      <w:r>
        <w:rPr>
          <w:rFonts w:hint="eastAsia" w:ascii="仿宋" w:hAnsi="仿宋" w:eastAsia="仿宋"/>
          <w:color w:val="auto"/>
          <w:sz w:val="32"/>
          <w:szCs w:val="32"/>
          <w:highlight w:val="none"/>
        </w:rPr>
        <w:t>分  供</w:t>
      </w:r>
      <w:r>
        <w:rPr>
          <w:rFonts w:ascii="仿宋" w:hAnsi="仿宋" w:eastAsia="仿宋"/>
          <w:color w:val="auto"/>
          <w:sz w:val="32"/>
          <w:szCs w:val="32"/>
          <w:highlight w:val="none"/>
        </w:rPr>
        <w:t>应商参加政府采购活动承诺书</w:t>
      </w:r>
    </w:p>
    <w:p>
      <w:pPr>
        <w:spacing w:line="480" w:lineRule="auto"/>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第六部</w:t>
      </w:r>
      <w:r>
        <w:rPr>
          <w:rFonts w:hint="eastAsia" w:ascii="仿宋" w:hAnsi="仿宋" w:eastAsia="仿宋"/>
          <w:color w:val="auto"/>
          <w:sz w:val="32"/>
          <w:szCs w:val="32"/>
          <w:highlight w:val="none"/>
        </w:rPr>
        <w:t>分  投</w:t>
      </w:r>
      <w:r>
        <w:rPr>
          <w:rFonts w:ascii="仿宋" w:hAnsi="仿宋" w:eastAsia="仿宋"/>
          <w:color w:val="auto"/>
          <w:sz w:val="32"/>
          <w:szCs w:val="32"/>
          <w:highlight w:val="none"/>
        </w:rPr>
        <w:t>标方案</w:t>
      </w:r>
    </w:p>
    <w:p>
      <w:pPr>
        <w:rPr>
          <w:rFonts w:ascii="仿宋" w:hAnsi="仿宋" w:eastAsia="仿宋"/>
          <w:color w:val="auto"/>
          <w:sz w:val="32"/>
          <w:szCs w:val="32"/>
          <w:highlight w:val="none"/>
        </w:rPr>
      </w:pPr>
      <w:r>
        <w:rPr>
          <w:rFonts w:ascii="仿宋" w:hAnsi="仿宋" w:eastAsia="仿宋"/>
          <w:color w:val="auto"/>
          <w:highlight w:val="none"/>
        </w:rPr>
        <w:br w:type="page"/>
      </w:r>
    </w:p>
    <w:p>
      <w:pPr>
        <w:pStyle w:val="4"/>
        <w:rPr>
          <w:color w:val="auto"/>
          <w:highlight w:val="none"/>
        </w:rPr>
      </w:pPr>
      <w:r>
        <w:rPr>
          <w:rFonts w:hint="eastAsia"/>
          <w:color w:val="auto"/>
          <w:highlight w:val="none"/>
        </w:rPr>
        <w:t>第一部分  投标函</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〈四川国际招标有限责任公司〉：</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我方收到贵中心发布的〈项目名称〉（项目编号：〈项目编号〉）</w:t>
      </w:r>
      <w:r>
        <w:rPr>
          <w:rFonts w:hint="eastAsia" w:ascii="仿宋" w:hAnsi="仿宋" w:eastAsia="仿宋"/>
          <w:color w:val="auto"/>
          <w:sz w:val="32"/>
          <w:szCs w:val="32"/>
          <w:highlight w:val="none"/>
        </w:rPr>
        <w:t>招标文件</w:t>
      </w:r>
      <w:r>
        <w:rPr>
          <w:rFonts w:ascii="仿宋" w:hAnsi="仿宋" w:eastAsia="仿宋"/>
          <w:color w:val="auto"/>
          <w:sz w:val="32"/>
          <w:szCs w:val="32"/>
          <w:highlight w:val="none"/>
        </w:rPr>
        <w:t>，经详细研究，我方决定参加该项目第___标段的</w:t>
      </w:r>
      <w:r>
        <w:rPr>
          <w:rFonts w:hint="eastAsia" w:ascii="仿宋" w:hAnsi="仿宋" w:eastAsia="仿宋"/>
          <w:color w:val="auto"/>
          <w:sz w:val="32"/>
          <w:szCs w:val="32"/>
          <w:highlight w:val="none"/>
        </w:rPr>
        <w:t>招标</w:t>
      </w:r>
      <w:r>
        <w:rPr>
          <w:rFonts w:ascii="仿宋" w:hAnsi="仿宋" w:eastAsia="仿宋"/>
          <w:color w:val="auto"/>
          <w:sz w:val="32"/>
          <w:szCs w:val="32"/>
          <w:highlight w:val="none"/>
        </w:rPr>
        <w:t>活动。</w:t>
      </w:r>
      <w:r>
        <w:rPr>
          <w:rFonts w:hint="eastAsia" w:ascii="仿宋" w:hAnsi="仿宋" w:eastAsia="仿宋"/>
          <w:color w:val="auto"/>
          <w:sz w:val="32"/>
          <w:szCs w:val="32"/>
          <w:highlight w:val="none"/>
        </w:rPr>
        <w:t>为此，我方郑重声明以下诸点，并负法律责任。</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1．我方已详细阅读了招标文件，完全理解并同意招标文件的所有事项及内容。</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2．我方已悉知并及时关注了贵中心在陕西省政府采购网、全国公共资源交易平台（陕西省</w:t>
      </w:r>
      <w:r>
        <w:rPr>
          <w:rFonts w:ascii="仿宋" w:hAnsi="仿宋" w:eastAsia="仿宋"/>
          <w:color w:val="auto"/>
          <w:sz w:val="32"/>
          <w:szCs w:val="32"/>
          <w:highlight w:val="none"/>
        </w:rPr>
        <w:t>·</w:t>
      </w:r>
      <w:r>
        <w:rPr>
          <w:rFonts w:hint="eastAsia" w:ascii="仿宋" w:hAnsi="仿宋" w:eastAsia="仿宋"/>
          <w:color w:val="auto"/>
          <w:sz w:val="32"/>
          <w:szCs w:val="32"/>
          <w:highlight w:val="none"/>
        </w:rPr>
        <w:t>西安市）上发布的关于本项目的有关变更公告（包括但不限于对招标文件做出的修改或澄清、答疑纪要，以及项目暂停、重启、延期、终止等）。</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3．我方同意向贵中心提供与本次招标有关的全部证明材料，并保证所提交的证明材料真实、合法、有效。</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4．我方理解最低价不是成交的唯一条件，并尊重评标委员会的评审结果。</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5．我方投标文件在开启之日起___个日历日（应不少于90个日历日）内有效。</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6．若我方成交，我方承诺：（1）将投标文件有效期延长至合同执行完毕；（2）收到成交通知书后提交纸质投标文件一正两副，并按时交纳履约保证金；（3）遵照招标文件中的要求，完成本项目的合同责任和义务。</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7．所有关于此次招标活动的函电，请按下列方式联系：</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法定代表人（主要负责人）或委托代理人：（签字或盖章）</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联系</w:t>
      </w:r>
      <w:r>
        <w:rPr>
          <w:rFonts w:ascii="仿宋" w:hAnsi="仿宋" w:eastAsia="仿宋"/>
          <w:color w:val="auto"/>
          <w:sz w:val="32"/>
          <w:szCs w:val="32"/>
          <w:highlight w:val="none"/>
        </w:rPr>
        <w:t>电话：</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通讯地址：</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邮</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编：</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电子邮箱：</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日</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期：    年  月  日</w:t>
      </w:r>
    </w:p>
    <w:p>
      <w:pPr>
        <w:rPr>
          <w:rFonts w:ascii="仿宋" w:hAnsi="仿宋" w:eastAsia="仿宋"/>
          <w:color w:val="auto"/>
          <w:sz w:val="32"/>
          <w:szCs w:val="32"/>
          <w:highlight w:val="none"/>
        </w:rPr>
      </w:pPr>
      <w:r>
        <w:rPr>
          <w:rFonts w:ascii="仿宋" w:hAnsi="仿宋" w:eastAsia="仿宋"/>
          <w:color w:val="auto"/>
          <w:highlight w:val="none"/>
        </w:rPr>
        <w:br w:type="page"/>
      </w:r>
    </w:p>
    <w:p>
      <w:pPr>
        <w:pStyle w:val="4"/>
        <w:rPr>
          <w:color w:val="auto"/>
          <w:highlight w:val="none"/>
        </w:rPr>
      </w:pPr>
      <w:r>
        <w:rPr>
          <w:color w:val="auto"/>
          <w:highlight w:val="none"/>
        </w:rPr>
        <w:t>第二部分</w:t>
      </w:r>
      <w:r>
        <w:rPr>
          <w:rFonts w:hint="eastAsia"/>
          <w:color w:val="auto"/>
          <w:highlight w:val="none"/>
        </w:rPr>
        <w:t xml:space="preserve">  </w:t>
      </w:r>
      <w:r>
        <w:rPr>
          <w:color w:val="auto"/>
          <w:highlight w:val="none"/>
        </w:rPr>
        <w:t>开标一览表</w:t>
      </w:r>
    </w:p>
    <w:tbl>
      <w:tblPr>
        <w:tblStyle w:val="28"/>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2691"/>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64" w:type="dxa"/>
            <w:vMerge w:val="restart"/>
            <w:tcBorders>
              <w:tl2br w:val="single" w:color="auto" w:sz="4" w:space="0"/>
            </w:tcBorders>
            <w:shd w:val="clear" w:color="auto" w:fill="F1F1F1" w:themeFill="background1" w:themeFillShade="F2"/>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报价内容</w:t>
            </w:r>
          </w:p>
          <w:p>
            <w:pPr>
              <w:spacing w:line="560" w:lineRule="exact"/>
              <w:rPr>
                <w:rFonts w:ascii="仿宋" w:hAnsi="仿宋" w:eastAsia="仿宋"/>
                <w:color w:val="auto"/>
                <w:sz w:val="28"/>
                <w:szCs w:val="28"/>
                <w:highlight w:val="none"/>
              </w:rPr>
            </w:pPr>
          </w:p>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项目名称</w:t>
            </w:r>
          </w:p>
        </w:tc>
        <w:tc>
          <w:tcPr>
            <w:tcW w:w="2691" w:type="dxa"/>
            <w:shd w:val="clear" w:color="auto" w:fill="D0CECE" w:themeFill="background2" w:themeFillShade="E6"/>
            <w:vAlign w:val="center"/>
          </w:tcPr>
          <w:p>
            <w:pPr>
              <w:spacing w:line="560" w:lineRule="exact"/>
              <w:jc w:val="center"/>
              <w:rPr>
                <w:rFonts w:ascii="仿宋" w:hAnsi="仿宋" w:eastAsia="仿宋"/>
                <w:color w:val="auto"/>
                <w:sz w:val="28"/>
                <w:szCs w:val="28"/>
                <w:highlight w:val="none"/>
              </w:rPr>
            </w:pPr>
            <w:r>
              <w:rPr>
                <w:rFonts w:hint="eastAsia" w:ascii="仿宋" w:hAnsi="仿宋" w:eastAsia="仿宋"/>
                <w:color w:val="auto"/>
                <w:sz w:val="32"/>
                <w:szCs w:val="32"/>
                <w:highlight w:val="none"/>
              </w:rPr>
              <w:t>A</w:t>
            </w:r>
          </w:p>
        </w:tc>
        <w:tc>
          <w:tcPr>
            <w:tcW w:w="2891" w:type="dxa"/>
            <w:shd w:val="clear" w:color="auto" w:fill="D0CECE" w:themeFill="background2" w:themeFillShade="E6"/>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32"/>
                <w:szCs w:val="32"/>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64" w:type="dxa"/>
            <w:vMerge w:val="continue"/>
            <w:tcBorders>
              <w:tl2br w:val="single" w:color="auto" w:sz="4" w:space="0"/>
            </w:tcBorders>
            <w:shd w:val="clear" w:color="auto" w:fill="F1F1F1" w:themeFill="background1" w:themeFillShade="F2"/>
            <w:vAlign w:val="center"/>
          </w:tcPr>
          <w:p>
            <w:pPr>
              <w:spacing w:line="560" w:lineRule="exact"/>
              <w:jc w:val="center"/>
              <w:rPr>
                <w:rFonts w:ascii="仿宋" w:hAnsi="仿宋" w:eastAsia="仿宋"/>
                <w:color w:val="auto"/>
                <w:sz w:val="28"/>
                <w:szCs w:val="28"/>
                <w:highlight w:val="none"/>
              </w:rPr>
            </w:pPr>
          </w:p>
        </w:tc>
        <w:tc>
          <w:tcPr>
            <w:tcW w:w="2691" w:type="dxa"/>
            <w:shd w:val="clear" w:color="auto" w:fill="ECECEC" w:themeFill="accent3" w:themeFillTint="33"/>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合计（</w:t>
            </w:r>
            <w:r>
              <w:rPr>
                <w:rFonts w:hint="eastAsia" w:ascii="仿宋" w:hAnsi="仿宋" w:eastAsia="仿宋"/>
                <w:color w:val="auto"/>
                <w:sz w:val="28"/>
                <w:szCs w:val="28"/>
                <w:highlight w:val="none"/>
                <w:lang w:eastAsia="zh-CN"/>
              </w:rPr>
              <w:t>元</w:t>
            </w:r>
            <w:r>
              <w:rPr>
                <w:rFonts w:ascii="仿宋" w:hAnsi="仿宋" w:eastAsia="仿宋"/>
                <w:color w:val="auto"/>
                <w:sz w:val="28"/>
                <w:szCs w:val="28"/>
                <w:highlight w:val="none"/>
              </w:rPr>
              <w:t>）</w:t>
            </w:r>
          </w:p>
        </w:tc>
        <w:tc>
          <w:tcPr>
            <w:tcW w:w="2891" w:type="dxa"/>
            <w:shd w:val="clear" w:color="auto" w:fill="ECECEC" w:themeFill="accent3" w:themeFillTint="33"/>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服务期</w:t>
            </w:r>
            <w:r>
              <w:rPr>
                <w:rFonts w:hint="eastAsia" w:ascii="仿宋" w:hAnsi="仿宋" w:eastAsia="仿宋"/>
                <w:color w:val="auto"/>
                <w:sz w:val="28"/>
                <w:szCs w:val="28"/>
                <w:highlight w:val="none"/>
              </w:rPr>
              <w:t>/交付期/工期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964" w:type="dxa"/>
            <w:shd w:val="clear" w:color="auto" w:fill="F1F1F1" w:themeFill="background1" w:themeFillShade="F2"/>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〈项目名称〉</w:t>
            </w:r>
          </w:p>
        </w:tc>
        <w:tc>
          <w:tcPr>
            <w:tcW w:w="2691" w:type="dxa"/>
            <w:vAlign w:val="center"/>
          </w:tcPr>
          <w:p>
            <w:pPr>
              <w:spacing w:line="560" w:lineRule="exact"/>
              <w:jc w:val="center"/>
              <w:rPr>
                <w:rFonts w:ascii="仿宋" w:hAnsi="仿宋" w:eastAsia="仿宋"/>
                <w:color w:val="auto"/>
                <w:sz w:val="28"/>
                <w:szCs w:val="28"/>
                <w:highlight w:val="none"/>
              </w:rPr>
            </w:pPr>
          </w:p>
        </w:tc>
        <w:tc>
          <w:tcPr>
            <w:tcW w:w="2891" w:type="dxa"/>
            <w:vAlign w:val="center"/>
          </w:tcPr>
          <w:p>
            <w:pPr>
              <w:spacing w:line="560" w:lineRule="exact"/>
              <w:jc w:val="center"/>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964" w:type="dxa"/>
            <w:shd w:val="clear" w:color="auto" w:fill="F1F1F1" w:themeFill="background1" w:themeFillShade="F2"/>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合计（大写）</w:t>
            </w:r>
          </w:p>
        </w:tc>
        <w:tc>
          <w:tcPr>
            <w:tcW w:w="5582" w:type="dxa"/>
            <w:gridSpan w:val="2"/>
            <w:vAlign w:val="center"/>
          </w:tcPr>
          <w:p>
            <w:pPr>
              <w:spacing w:line="560" w:lineRule="exact"/>
              <w:jc w:val="center"/>
              <w:rPr>
                <w:rFonts w:ascii="仿宋" w:hAnsi="仿宋" w:eastAsia="仿宋"/>
                <w:color w:val="auto"/>
                <w:sz w:val="28"/>
                <w:szCs w:val="28"/>
                <w:highlight w:val="none"/>
              </w:rPr>
            </w:pPr>
          </w:p>
        </w:tc>
      </w:tr>
    </w:tbl>
    <w:p>
      <w:pPr>
        <w:spacing w:line="560" w:lineRule="exact"/>
        <w:jc w:val="right"/>
        <w:rPr>
          <w:rFonts w:ascii="仿宋" w:hAnsi="仿宋" w:eastAsia="仿宋"/>
          <w:color w:val="auto"/>
          <w:sz w:val="32"/>
          <w:szCs w:val="32"/>
          <w:highlight w:val="none"/>
        </w:rPr>
      </w:pP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640" w:firstLineChars="200"/>
        <w:jc w:val="both"/>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注：出现下列情形的按无效投标处理</w:t>
      </w:r>
    </w:p>
    <w:p>
      <w:pPr>
        <w:spacing w:line="560" w:lineRule="exact"/>
        <w:ind w:firstLine="640" w:firstLineChars="200"/>
        <w:jc w:val="both"/>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1．A栏未按阿拉伯小写金额样式填写；</w:t>
      </w:r>
      <w:r>
        <w:rPr>
          <w:rFonts w:ascii="仿宋" w:hAnsi="仿宋" w:eastAsia="仿宋"/>
          <w:color w:val="auto"/>
          <w:sz w:val="32"/>
          <w:szCs w:val="32"/>
          <w:highlight w:val="none"/>
        </w:rPr>
        <w:t>B</w:t>
      </w:r>
      <w:r>
        <w:rPr>
          <w:rFonts w:hint="eastAsia" w:ascii="仿宋" w:hAnsi="仿宋" w:eastAsia="仿宋"/>
          <w:color w:val="auto"/>
          <w:sz w:val="32"/>
          <w:szCs w:val="32"/>
          <w:highlight w:val="none"/>
        </w:rPr>
        <w:t>栏未填写</w:t>
      </w:r>
      <w:r>
        <w:rPr>
          <w:rFonts w:hint="eastAsia" w:ascii="仿宋" w:hAnsi="仿宋" w:eastAsia="仿宋"/>
          <w:color w:val="auto"/>
          <w:sz w:val="32"/>
          <w:szCs w:val="32"/>
          <w:highlight w:val="none"/>
          <w:lang w:eastAsia="zh-CN"/>
        </w:rPr>
        <w:t>数量</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C</w:t>
      </w:r>
      <w:r>
        <w:rPr>
          <w:rFonts w:hint="eastAsia" w:ascii="仿宋" w:hAnsi="仿宋" w:eastAsia="仿宋"/>
          <w:color w:val="auto"/>
          <w:sz w:val="32"/>
          <w:szCs w:val="32"/>
          <w:highlight w:val="none"/>
        </w:rPr>
        <w:t>栏未填写服务期/交付期/工期。</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2．“合计（大写）”栏未按银行大写金额样式进行填写。样式参考：壹、贰、叁、肆、伍、陆、柒、捌、玖、拾、佰、仟、万、亿、元（圆）、角、分、零、整（正）。</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3．“合计（大写）”金额与</w:t>
      </w:r>
      <w:r>
        <w:rPr>
          <w:rFonts w:ascii="仿宋" w:hAnsi="仿宋" w:eastAsia="仿宋"/>
          <w:color w:val="auto"/>
          <w:sz w:val="32"/>
          <w:szCs w:val="32"/>
          <w:highlight w:val="none"/>
        </w:rPr>
        <w:t>A</w:t>
      </w:r>
      <w:r>
        <w:rPr>
          <w:rFonts w:hint="eastAsia" w:ascii="仿宋" w:hAnsi="仿宋" w:eastAsia="仿宋"/>
          <w:color w:val="auto"/>
          <w:sz w:val="32"/>
          <w:szCs w:val="32"/>
          <w:highlight w:val="none"/>
        </w:rPr>
        <w:t>栏“合计”不一致的。</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br w:type="page"/>
      </w:r>
    </w:p>
    <w:p>
      <w:pPr>
        <w:pStyle w:val="99"/>
        <w:rPr>
          <w:color w:val="auto"/>
          <w:highlight w:val="none"/>
        </w:rPr>
      </w:pPr>
      <w:r>
        <w:rPr>
          <w:rFonts w:hint="eastAsia"/>
          <w:color w:val="auto"/>
          <w:highlight w:val="none"/>
        </w:rPr>
        <w:t>分项报价表（货物类适用）</w:t>
      </w:r>
    </w:p>
    <w:p>
      <w:pPr>
        <w:spacing w:line="560" w:lineRule="exact"/>
        <w:jc w:val="right"/>
        <w:rPr>
          <w:rFonts w:ascii="仿宋" w:hAnsi="仿宋" w:eastAsia="仿宋"/>
          <w:color w:val="auto"/>
          <w:sz w:val="32"/>
          <w:szCs w:val="32"/>
          <w:highlight w:val="none"/>
        </w:rPr>
      </w:pPr>
      <w:r>
        <w:rPr>
          <w:rFonts w:ascii="仿宋" w:hAnsi="仿宋" w:eastAsia="仿宋"/>
          <w:color w:val="auto"/>
          <w:sz w:val="32"/>
          <w:szCs w:val="32"/>
          <w:highlight w:val="none"/>
        </w:rPr>
        <w:t>单位：元</w:t>
      </w:r>
    </w:p>
    <w:tbl>
      <w:tblPr>
        <w:tblStyle w:val="28"/>
        <w:tblW w:w="84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32"/>
        <w:gridCol w:w="1034"/>
        <w:gridCol w:w="1554"/>
        <w:gridCol w:w="1331"/>
        <w:gridCol w:w="949"/>
        <w:gridCol w:w="11"/>
        <w:gridCol w:w="939"/>
        <w:gridCol w:w="11"/>
        <w:gridCol w:w="1027"/>
        <w:gridCol w:w="11"/>
        <w:gridCol w:w="9"/>
        <w:gridCol w:w="7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一</w:t>
            </w:r>
          </w:p>
        </w:tc>
        <w:tc>
          <w:tcPr>
            <w:tcW w:w="7613" w:type="dxa"/>
            <w:gridSpan w:val="11"/>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产品购置费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shd w:val="clear" w:color="auto" w:fill="auto"/>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034" w:type="dxa"/>
            <w:shd w:val="clear" w:color="auto" w:fill="auto"/>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产品名称</w:t>
            </w:r>
          </w:p>
        </w:tc>
        <w:tc>
          <w:tcPr>
            <w:tcW w:w="1554" w:type="dxa"/>
            <w:shd w:val="clear" w:color="auto" w:fill="auto"/>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品牌及</w:t>
            </w:r>
          </w:p>
          <w:p>
            <w:pPr>
              <w:jc w:val="center"/>
              <w:rPr>
                <w:rFonts w:ascii="仿宋" w:hAnsi="仿宋" w:eastAsia="仿宋"/>
                <w:color w:val="auto"/>
                <w:sz w:val="28"/>
                <w:szCs w:val="28"/>
                <w:highlight w:val="none"/>
              </w:rPr>
            </w:pPr>
            <w:r>
              <w:rPr>
                <w:rFonts w:ascii="仿宋" w:hAnsi="仿宋" w:eastAsia="仿宋"/>
                <w:color w:val="auto"/>
                <w:sz w:val="28"/>
                <w:szCs w:val="28"/>
                <w:highlight w:val="none"/>
              </w:rPr>
              <w:t>规格型号</w:t>
            </w:r>
          </w:p>
        </w:tc>
        <w:tc>
          <w:tcPr>
            <w:tcW w:w="1331" w:type="dxa"/>
            <w:shd w:val="clear" w:color="auto" w:fill="auto"/>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生产厂家</w:t>
            </w:r>
          </w:p>
        </w:tc>
        <w:tc>
          <w:tcPr>
            <w:tcW w:w="949" w:type="dxa"/>
            <w:shd w:val="clear" w:color="auto" w:fill="auto"/>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是否小微企业产品</w:t>
            </w:r>
          </w:p>
        </w:tc>
        <w:tc>
          <w:tcPr>
            <w:tcW w:w="950" w:type="dxa"/>
            <w:gridSpan w:val="2"/>
            <w:shd w:val="clear" w:color="auto" w:fill="auto"/>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数量</w:t>
            </w:r>
          </w:p>
        </w:tc>
        <w:tc>
          <w:tcPr>
            <w:tcW w:w="1038" w:type="dxa"/>
            <w:gridSpan w:val="2"/>
            <w:shd w:val="clear" w:color="auto" w:fill="auto"/>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单价</w:t>
            </w:r>
          </w:p>
        </w:tc>
        <w:tc>
          <w:tcPr>
            <w:tcW w:w="757" w:type="dxa"/>
            <w:gridSpan w:val="3"/>
            <w:shd w:val="clear" w:color="auto" w:fill="auto"/>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55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331"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49"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57" w:type="dxa"/>
            <w:gridSpan w:val="3"/>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55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331"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49"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57" w:type="dxa"/>
            <w:gridSpan w:val="3"/>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55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331"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49"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57" w:type="dxa"/>
            <w:gridSpan w:val="3"/>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55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331"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49"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57" w:type="dxa"/>
            <w:gridSpan w:val="3"/>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55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331"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49"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57" w:type="dxa"/>
            <w:gridSpan w:val="3"/>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55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331"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49"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57" w:type="dxa"/>
            <w:gridSpan w:val="3"/>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二</w:t>
            </w:r>
          </w:p>
        </w:tc>
        <w:tc>
          <w:tcPr>
            <w:tcW w:w="7613" w:type="dxa"/>
            <w:gridSpan w:val="11"/>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其他费用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费用名称</w:t>
            </w:r>
          </w:p>
        </w:tc>
        <w:tc>
          <w:tcPr>
            <w:tcW w:w="3845" w:type="dxa"/>
            <w:gridSpan w:val="4"/>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费用描述</w:t>
            </w: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数量</w:t>
            </w: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单价</w:t>
            </w:r>
          </w:p>
        </w:tc>
        <w:tc>
          <w:tcPr>
            <w:tcW w:w="746" w:type="dxa"/>
            <w:gridSpan w:val="2"/>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3845" w:type="dxa"/>
            <w:gridSpan w:val="4"/>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46" w:type="dxa"/>
            <w:gridSpan w:val="2"/>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3845" w:type="dxa"/>
            <w:gridSpan w:val="4"/>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46" w:type="dxa"/>
            <w:gridSpan w:val="2"/>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3845" w:type="dxa"/>
            <w:gridSpan w:val="4"/>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46" w:type="dxa"/>
            <w:gridSpan w:val="2"/>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jc w:val="center"/>
        </w:trPr>
        <w:tc>
          <w:tcPr>
            <w:tcW w:w="832"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4" w:type="dxa"/>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3845" w:type="dxa"/>
            <w:gridSpan w:val="4"/>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950"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1038" w:type="dxa"/>
            <w:gridSpan w:val="2"/>
            <w:noWrap/>
            <w:tcMar>
              <w:top w:w="20" w:type="dxa"/>
              <w:left w:w="20" w:type="dxa"/>
              <w:bottom w:w="0" w:type="dxa"/>
              <w:right w:w="20" w:type="dxa"/>
            </w:tcMar>
            <w:vAlign w:val="center"/>
          </w:tcPr>
          <w:p>
            <w:pPr>
              <w:jc w:val="center"/>
              <w:rPr>
                <w:rFonts w:ascii="仿宋" w:hAnsi="仿宋" w:eastAsia="仿宋"/>
                <w:color w:val="auto"/>
                <w:sz w:val="28"/>
                <w:szCs w:val="28"/>
                <w:highlight w:val="none"/>
              </w:rPr>
            </w:pPr>
          </w:p>
        </w:tc>
        <w:tc>
          <w:tcPr>
            <w:tcW w:w="746" w:type="dxa"/>
            <w:gridSpan w:val="2"/>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708" w:type="dxa"/>
            <w:gridSpan w:val="11"/>
            <w:noWrap/>
            <w:tcMar>
              <w:top w:w="20" w:type="dxa"/>
              <w:left w:w="20" w:type="dxa"/>
              <w:bottom w:w="0" w:type="dxa"/>
              <w:right w:w="20" w:type="dxa"/>
            </w:tcMar>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总计</w:t>
            </w:r>
          </w:p>
        </w:tc>
        <w:tc>
          <w:tcPr>
            <w:tcW w:w="737" w:type="dxa"/>
            <w:vAlign w:val="center"/>
          </w:tcPr>
          <w:p>
            <w:pPr>
              <w:jc w:val="center"/>
              <w:rPr>
                <w:rFonts w:ascii="仿宋" w:hAnsi="仿宋" w:eastAsia="仿宋"/>
                <w:color w:val="auto"/>
                <w:sz w:val="28"/>
                <w:szCs w:val="28"/>
                <w:highlight w:val="none"/>
              </w:rPr>
            </w:pPr>
          </w:p>
        </w:tc>
      </w:tr>
    </w:tbl>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注：1</w:t>
      </w:r>
      <w:r>
        <w:rPr>
          <w:rFonts w:hint="eastAsia" w:ascii="仿宋" w:hAnsi="仿宋" w:eastAsia="仿宋"/>
          <w:color w:val="auto"/>
          <w:sz w:val="32"/>
          <w:szCs w:val="32"/>
          <w:highlight w:val="none"/>
        </w:rPr>
        <w:t>．</w:t>
      </w:r>
      <w:r>
        <w:rPr>
          <w:rFonts w:ascii="仿宋" w:hAnsi="仿宋" w:eastAsia="仿宋"/>
          <w:color w:val="auto"/>
          <w:sz w:val="32"/>
          <w:szCs w:val="32"/>
          <w:highlight w:val="none"/>
        </w:rPr>
        <w:t>监狱企业、残疾人福利性单位视同小微企业。</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．“是否小微企业产品”</w:t>
      </w:r>
      <w:r>
        <w:rPr>
          <w:rFonts w:ascii="仿宋" w:hAnsi="仿宋" w:eastAsia="仿宋"/>
          <w:color w:val="auto"/>
          <w:sz w:val="32"/>
          <w:szCs w:val="32"/>
          <w:highlight w:val="none"/>
        </w:rPr>
        <w:t>一栏若有漏报，将被视为</w:t>
      </w:r>
      <w:r>
        <w:rPr>
          <w:rFonts w:hint="eastAsia" w:ascii="仿宋" w:hAnsi="仿宋" w:eastAsia="仿宋"/>
          <w:color w:val="auto"/>
          <w:sz w:val="32"/>
          <w:szCs w:val="32"/>
          <w:highlight w:val="none"/>
        </w:rPr>
        <w:t>“非小微企业产品”</w:t>
      </w: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w:t>
      </w:r>
      <w:r>
        <w:rPr>
          <w:rFonts w:ascii="仿宋" w:hAnsi="仿宋" w:eastAsia="仿宋"/>
          <w:color w:val="auto"/>
          <w:sz w:val="32"/>
          <w:szCs w:val="32"/>
          <w:highlight w:val="none"/>
        </w:rPr>
        <w:t>表格空间不足时，可自行扩展。</w:t>
      </w:r>
      <w:r>
        <w:rPr>
          <w:rFonts w:ascii="仿宋" w:hAnsi="仿宋" w:eastAsia="仿宋"/>
          <w:color w:val="auto"/>
          <w:sz w:val="32"/>
          <w:szCs w:val="32"/>
          <w:highlight w:val="none"/>
        </w:rPr>
        <w:br w:type="page"/>
      </w:r>
    </w:p>
    <w:p>
      <w:pPr>
        <w:pStyle w:val="4"/>
        <w:rPr>
          <w:color w:val="auto"/>
          <w:highlight w:val="none"/>
        </w:rPr>
      </w:pPr>
      <w:r>
        <w:rPr>
          <w:color w:val="auto"/>
          <w:highlight w:val="none"/>
        </w:rPr>
        <w:t>第三部分</w:t>
      </w:r>
      <w:r>
        <w:rPr>
          <w:rFonts w:hint="eastAsia"/>
          <w:color w:val="auto"/>
          <w:highlight w:val="none"/>
        </w:rPr>
        <w:t xml:space="preserve">  </w:t>
      </w:r>
      <w:r>
        <w:rPr>
          <w:color w:val="auto"/>
          <w:highlight w:val="none"/>
        </w:rPr>
        <w:t>资格证明文件</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按照招标文件第一章《投标邀请函》所列“供应商资格要求”提供各项资格证明文件，未按要求提供的，其投标文件将被视为无效文件。</w:t>
      </w:r>
    </w:p>
    <w:p>
      <w:pPr>
        <w:pStyle w:val="97"/>
        <w:spacing w:before="210" w:after="210"/>
        <w:rPr>
          <w:color w:val="auto"/>
          <w:highlight w:val="none"/>
        </w:rPr>
      </w:pPr>
      <w:r>
        <w:rPr>
          <w:color w:val="auto"/>
          <w:highlight w:val="none"/>
        </w:rPr>
        <w:t>（一）有效的登记注册证</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pStyle w:val="97"/>
        <w:spacing w:before="210" w:after="210"/>
        <w:rPr>
          <w:color w:val="auto"/>
          <w:highlight w:val="none"/>
        </w:rPr>
      </w:pPr>
      <w:r>
        <w:rPr>
          <w:color w:val="auto"/>
          <w:highlight w:val="none"/>
        </w:rPr>
        <w:t>（二）财务状况报告</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说明：三种形式任选一种，其中采用第二种形式的须按下方给定格式（详见《中国人民银行关于取消企业银行账户许可的通知》银发〔2019〕41号附件1）填写基本存款账户信息。</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基本存款</w:t>
      </w:r>
      <w:r>
        <w:rPr>
          <w:rFonts w:ascii="仿宋" w:hAnsi="仿宋" w:eastAsia="仿宋"/>
          <w:color w:val="auto"/>
          <w:sz w:val="32"/>
          <w:szCs w:val="32"/>
          <w:highlight w:val="none"/>
        </w:rPr>
        <w:t>账户信息</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账户</w:t>
      </w:r>
      <w:r>
        <w:rPr>
          <w:rFonts w:ascii="仿宋" w:hAnsi="仿宋" w:eastAsia="仿宋"/>
          <w:color w:val="auto"/>
          <w:sz w:val="32"/>
          <w:szCs w:val="32"/>
          <w:highlight w:val="none"/>
        </w:rPr>
        <w:t>名称：</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账户</w:t>
      </w:r>
      <w:r>
        <w:rPr>
          <w:rFonts w:ascii="仿宋" w:hAnsi="仿宋" w:eastAsia="仿宋"/>
          <w:color w:val="auto"/>
          <w:sz w:val="32"/>
          <w:szCs w:val="32"/>
          <w:highlight w:val="none"/>
        </w:rPr>
        <w:t>号码：</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开户银行</w:t>
      </w: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法定代表人：（签字或盖章）</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基本</w:t>
      </w:r>
      <w:r>
        <w:rPr>
          <w:rFonts w:ascii="仿宋" w:hAnsi="仿宋" w:eastAsia="仿宋"/>
          <w:color w:val="auto"/>
          <w:sz w:val="32"/>
          <w:szCs w:val="32"/>
          <w:highlight w:val="none"/>
        </w:rPr>
        <w:t>存款账户编号：向开户银行进行询问</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供应商：</w:t>
      </w:r>
      <w:r>
        <w:rPr>
          <w:rFonts w:ascii="仿宋" w:hAnsi="仿宋" w:eastAsia="仿宋"/>
          <w:color w:val="auto"/>
          <w:sz w:val="32"/>
          <w:szCs w:val="32"/>
          <w:highlight w:val="none"/>
        </w:rPr>
        <w:t>（</w:t>
      </w:r>
      <w:r>
        <w:rPr>
          <w:rFonts w:hint="eastAsia" w:ascii="仿宋" w:hAnsi="仿宋" w:eastAsia="仿宋"/>
          <w:color w:val="auto"/>
          <w:sz w:val="32"/>
          <w:szCs w:val="32"/>
          <w:highlight w:val="none"/>
        </w:rPr>
        <w:t>供应商</w:t>
      </w:r>
      <w:r>
        <w:rPr>
          <w:rFonts w:ascii="仿宋" w:hAnsi="仿宋" w:eastAsia="仿宋"/>
          <w:color w:val="auto"/>
          <w:sz w:val="32"/>
          <w:szCs w:val="32"/>
          <w:highlight w:val="none"/>
        </w:rPr>
        <w:t>全称并加盖公章）</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日期：    年  月  日</w:t>
      </w:r>
    </w:p>
    <w:p>
      <w:pPr>
        <w:spacing w:line="560" w:lineRule="exact"/>
        <w:jc w:val="both"/>
        <w:rPr>
          <w:rFonts w:ascii="仿宋" w:hAnsi="仿宋" w:eastAsia="仿宋"/>
          <w:color w:val="auto"/>
          <w:sz w:val="32"/>
          <w:szCs w:val="32"/>
          <w:highlight w:val="none"/>
        </w:rPr>
      </w:pPr>
    </w:p>
    <w:p>
      <w:pPr>
        <w:pStyle w:val="97"/>
        <w:spacing w:before="210" w:after="210"/>
        <w:rPr>
          <w:color w:val="auto"/>
          <w:highlight w:val="none"/>
        </w:rPr>
      </w:pPr>
      <w:r>
        <w:rPr>
          <w:color w:val="auto"/>
          <w:highlight w:val="none"/>
        </w:rPr>
        <w:t>（三）社会保障资金缴纳证明</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pStyle w:val="97"/>
        <w:spacing w:before="210" w:after="210"/>
        <w:rPr>
          <w:color w:val="auto"/>
          <w:highlight w:val="none"/>
        </w:rPr>
      </w:pPr>
      <w:r>
        <w:rPr>
          <w:color w:val="auto"/>
          <w:highlight w:val="none"/>
        </w:rPr>
        <w:t>（四）税收缴纳证明</w:t>
      </w:r>
    </w:p>
    <w:p>
      <w:pPr>
        <w:spacing w:line="560" w:lineRule="exact"/>
        <w:ind w:firstLine="640" w:firstLineChars="200"/>
        <w:jc w:val="both"/>
        <w:rPr>
          <w:rFonts w:ascii="仿宋" w:hAnsi="仿宋" w:eastAsia="仿宋"/>
          <w:color w:val="auto"/>
          <w:sz w:val="32"/>
          <w:szCs w:val="32"/>
          <w:highlight w:val="none"/>
        </w:rPr>
      </w:pPr>
    </w:p>
    <w:p>
      <w:pPr>
        <w:rPr>
          <w:rFonts w:ascii="仿宋_GB2312" w:hAnsi="仿宋" w:eastAsia="仿宋_GB2312"/>
          <w:b/>
          <w:bCs/>
          <w:color w:val="auto"/>
          <w:kern w:val="32"/>
          <w:sz w:val="32"/>
          <w:szCs w:val="32"/>
          <w:highlight w:val="none"/>
        </w:rPr>
      </w:pPr>
    </w:p>
    <w:p>
      <w:pPr>
        <w:rPr>
          <w:color w:val="auto"/>
          <w:highlight w:val="none"/>
        </w:rPr>
      </w:pPr>
      <w:r>
        <w:rPr>
          <w:color w:val="auto"/>
          <w:highlight w:val="none"/>
        </w:rPr>
        <w:br w:type="page"/>
      </w:r>
    </w:p>
    <w:p>
      <w:pPr>
        <w:pStyle w:val="97"/>
        <w:spacing w:before="210" w:after="210"/>
        <w:rPr>
          <w:color w:val="auto"/>
          <w:highlight w:val="none"/>
        </w:rPr>
      </w:pPr>
      <w:r>
        <w:rPr>
          <w:color w:val="auto"/>
          <w:highlight w:val="none"/>
        </w:rPr>
        <w:t>（五）无重大违法记录声明（按下方给定格式进行填写）</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提示</w:t>
      </w:r>
      <w:r>
        <w:rPr>
          <w:rFonts w:ascii="仿宋" w:hAnsi="仿宋" w:eastAsia="仿宋"/>
          <w:color w:val="auto"/>
          <w:sz w:val="32"/>
          <w:szCs w:val="32"/>
          <w:highlight w:val="none"/>
        </w:rPr>
        <w:t>：</w:t>
      </w:r>
    </w:p>
    <w:p>
      <w:pPr>
        <w:spacing w:line="56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．供应商可通过【信用中国</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ascii="仿宋" w:hAnsi="仿宋" w:eastAsia="仿宋"/>
          <w:color w:val="auto"/>
          <w:sz w:val="32"/>
          <w:szCs w:val="32"/>
          <w:highlight w:val="none"/>
        </w:rPr>
        <w:t>www.creditchina.gov.cn）、【中国政府采购网】（www.ccgp.gov.cn）网站</w:t>
      </w:r>
      <w:r>
        <w:rPr>
          <w:rFonts w:hint="eastAsia" w:ascii="仿宋" w:hAnsi="仿宋" w:eastAsia="仿宋"/>
          <w:color w:val="auto"/>
          <w:sz w:val="32"/>
          <w:szCs w:val="32"/>
          <w:highlight w:val="none"/>
        </w:rPr>
        <w:t>对自身信用记录进行自查，并按查询结果填写下述声明。</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供应商在参加政府采购活动前</w:t>
      </w:r>
      <w:r>
        <w:rPr>
          <w:rFonts w:hint="eastAsia" w:ascii="仿宋" w:hAnsi="仿宋" w:eastAsia="仿宋"/>
          <w:color w:val="auto"/>
          <w:sz w:val="32"/>
          <w:szCs w:val="32"/>
          <w:highlight w:val="none"/>
        </w:rPr>
        <w:t>三</w:t>
      </w:r>
      <w:r>
        <w:rPr>
          <w:rFonts w:ascii="仿宋" w:hAnsi="仿宋" w:eastAsia="仿宋"/>
          <w:color w:val="auto"/>
          <w:sz w:val="32"/>
          <w:szCs w:val="32"/>
          <w:highlight w:val="none"/>
        </w:rPr>
        <w:t>年内因违法经营被禁止在一定期限内参加政府采购活动，期限届满的，可以参加政府采购活动，但应提供期限届满的证明材料。</w:t>
      </w:r>
    </w:p>
    <w:p>
      <w:pPr>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无重大违法记录声明</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〈四川国际招标有限责任公司〉</w:t>
      </w: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我方作为〈项目名称〉（项目编号：〈项目编号〉）第</w:t>
      </w:r>
      <w:r>
        <w:rPr>
          <w:rFonts w:hint="eastAsia" w:ascii="仿宋" w:hAnsi="仿宋" w:eastAsia="仿宋"/>
          <w:color w:val="auto"/>
          <w:sz w:val="32"/>
          <w:szCs w:val="32"/>
          <w:highlight w:val="none"/>
        </w:rPr>
        <w:t>___标段</w:t>
      </w:r>
      <w:r>
        <w:rPr>
          <w:rFonts w:ascii="仿宋" w:hAnsi="仿宋" w:eastAsia="仿宋"/>
          <w:color w:val="auto"/>
          <w:sz w:val="32"/>
          <w:szCs w:val="32"/>
          <w:highlight w:val="none"/>
        </w:rPr>
        <w:t>的投标供应商，在此郑重声明：</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w:t>
      </w:r>
      <w:r>
        <w:rPr>
          <w:rFonts w:ascii="仿宋" w:hAnsi="仿宋" w:eastAsia="仿宋"/>
          <w:color w:val="auto"/>
          <w:sz w:val="32"/>
          <w:szCs w:val="32"/>
          <w:highlight w:val="none"/>
        </w:rPr>
        <w:t>在参加本次政府采购活动前3年内的经营活动中___（填“没有”或“有”）重大违法记录。</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w:t>
      </w:r>
      <w:r>
        <w:rPr>
          <w:rFonts w:ascii="仿宋" w:hAnsi="仿宋" w:eastAsia="仿宋"/>
          <w:color w:val="auto"/>
          <w:sz w:val="32"/>
          <w:szCs w:val="32"/>
          <w:highlight w:val="none"/>
        </w:rPr>
        <w:t>我方___（填“未被列入”或“被列入”）失信被执行人名单。</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w:t>
      </w:r>
      <w:r>
        <w:rPr>
          <w:rFonts w:ascii="仿宋" w:hAnsi="仿宋" w:eastAsia="仿宋"/>
          <w:color w:val="auto"/>
          <w:sz w:val="32"/>
          <w:szCs w:val="32"/>
          <w:highlight w:val="none"/>
        </w:rPr>
        <w:t>我方___（填“未被列入”或“被列入”）重大税收违法案件当事人名单。</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w:t>
      </w:r>
      <w:r>
        <w:rPr>
          <w:rFonts w:ascii="仿宋" w:hAnsi="仿宋" w:eastAsia="仿宋"/>
          <w:color w:val="auto"/>
          <w:sz w:val="32"/>
          <w:szCs w:val="32"/>
          <w:highlight w:val="none"/>
        </w:rPr>
        <w:t>我方___（填“未被列入”或“被列入”）政府采购严重违法失信行为记录名单。</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如有不实，我方将无条件地退出本项目的采购活动，并遵照《政府采购法》有关“提供虚假材料的规定”接受处罚。</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特此声明。</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日</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期：    年  月  日</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br w:type="page"/>
      </w:r>
    </w:p>
    <w:p>
      <w:pPr>
        <w:pStyle w:val="97"/>
        <w:spacing w:before="210" w:after="210"/>
        <w:rPr>
          <w:color w:val="auto"/>
          <w:highlight w:val="none"/>
        </w:rPr>
      </w:pPr>
      <w:r>
        <w:rPr>
          <w:rFonts w:hint="eastAsia"/>
          <w:color w:val="auto"/>
          <w:highlight w:val="none"/>
        </w:rPr>
        <w:t>（六）法定代表人（主要负责人）委托授权书\身份证明</w:t>
      </w:r>
      <w:r>
        <w:rPr>
          <w:color w:val="auto"/>
          <w:highlight w:val="none"/>
        </w:rPr>
        <w:t>（按下方给定格式进行填写）</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说明：</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法定代表人（主要负责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w:t>
      </w: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委托授权书\</w:t>
      </w:r>
      <w:r>
        <w:rPr>
          <w:rFonts w:ascii="仿宋" w:hAnsi="仿宋" w:eastAsia="仿宋"/>
          <w:color w:val="auto"/>
          <w:sz w:val="32"/>
          <w:szCs w:val="32"/>
          <w:highlight w:val="none"/>
        </w:rPr>
        <w:t>身份证明</w:t>
      </w:r>
      <w:r>
        <w:rPr>
          <w:rFonts w:hint="eastAsia" w:ascii="仿宋" w:hAnsi="仿宋" w:eastAsia="仿宋"/>
          <w:color w:val="auto"/>
          <w:sz w:val="32"/>
          <w:szCs w:val="32"/>
          <w:highlight w:val="none"/>
        </w:rPr>
        <w:t>（</w:t>
      </w:r>
      <w:r>
        <w:rPr>
          <w:rFonts w:ascii="仿宋" w:hAnsi="仿宋" w:eastAsia="仿宋"/>
          <w:color w:val="auto"/>
          <w:sz w:val="32"/>
          <w:szCs w:val="32"/>
          <w:highlight w:val="none"/>
        </w:rPr>
        <w:t>二选一</w:t>
      </w:r>
      <w:r>
        <w:rPr>
          <w:rFonts w:hint="eastAsia" w:ascii="仿宋" w:hAnsi="仿宋" w:eastAsia="仿宋"/>
          <w:color w:val="auto"/>
          <w:sz w:val="32"/>
          <w:szCs w:val="32"/>
          <w:highlight w:val="none"/>
        </w:rPr>
        <w:t>）</w:t>
      </w:r>
      <w:r>
        <w:rPr>
          <w:rFonts w:ascii="仿宋" w:hAnsi="仿宋" w:eastAsia="仿宋"/>
          <w:color w:val="auto"/>
          <w:sz w:val="32"/>
          <w:szCs w:val="32"/>
          <w:highlight w:val="none"/>
        </w:rPr>
        <w:t>：</w:t>
      </w:r>
      <w:r>
        <w:rPr>
          <w:rFonts w:hint="eastAsia" w:ascii="仿宋" w:hAnsi="仿宋" w:eastAsia="仿宋"/>
          <w:color w:val="auto"/>
          <w:sz w:val="32"/>
          <w:szCs w:val="32"/>
          <w:highlight w:val="none"/>
        </w:rPr>
        <w:t>法定代表人（主要负责人）委托代理人参加投标时，提供法定代表人（主要负责人）委托授权书；法定代表人（主要负责人）亲自参加投标时，提供法定代表人（主要负责人）身份证明。</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法定代表人（主要负责人）</w:t>
      </w:r>
      <w:r>
        <w:rPr>
          <w:rFonts w:hint="eastAsia" w:ascii="仿宋" w:hAnsi="仿宋" w:eastAsia="仿宋"/>
          <w:color w:val="auto"/>
          <w:sz w:val="32"/>
          <w:szCs w:val="32"/>
          <w:highlight w:val="none"/>
        </w:rPr>
        <w:t>身份证明</w:t>
      </w:r>
      <w:r>
        <w:rPr>
          <w:rFonts w:ascii="仿宋" w:hAnsi="仿宋" w:eastAsia="仿宋"/>
          <w:color w:val="auto"/>
          <w:sz w:val="32"/>
          <w:szCs w:val="32"/>
          <w:highlight w:val="none"/>
        </w:rPr>
        <w:t>（格式）</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〈四川国际招标有限责任公司〉</w:t>
      </w: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〈法定代表人（主要负责人）姓名〉系〈供应商全称〉的法定代表人（主要负责人），特此证明。</w:t>
      </w:r>
    </w:p>
    <w:tbl>
      <w:tblPr>
        <w:tblStyle w:val="28"/>
        <w:tblW w:w="90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21" w:hRule="atLeast"/>
          <w:jc w:val="center"/>
        </w:trPr>
        <w:tc>
          <w:tcPr>
            <w:tcW w:w="9060" w:type="dxa"/>
            <w:vAlign w:val="center"/>
          </w:tcPr>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法定代表人（主要负责人）</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身份证正反面（扫描件）</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或护照资料页（扫描件）</w:t>
            </w:r>
          </w:p>
        </w:tc>
      </w:tr>
    </w:tbl>
    <w:p>
      <w:pPr>
        <w:spacing w:line="560" w:lineRule="exact"/>
        <w:ind w:firstLine="3260" w:firstLineChars="1019"/>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3260" w:firstLineChars="1019"/>
        <w:jc w:val="both"/>
        <w:rPr>
          <w:rFonts w:ascii="仿宋" w:hAnsi="仿宋" w:eastAsia="仿宋"/>
          <w:color w:val="auto"/>
          <w:sz w:val="32"/>
          <w:szCs w:val="32"/>
          <w:highlight w:val="none"/>
        </w:rPr>
      </w:pPr>
      <w:r>
        <w:rPr>
          <w:rFonts w:ascii="仿宋" w:hAnsi="仿宋" w:eastAsia="仿宋"/>
          <w:color w:val="auto"/>
          <w:sz w:val="32"/>
          <w:szCs w:val="32"/>
          <w:highlight w:val="none"/>
        </w:rPr>
        <w:t>日期：      年  月  日</w:t>
      </w:r>
      <w:r>
        <w:rPr>
          <w:rFonts w:ascii="仿宋" w:hAnsi="仿宋" w:eastAsia="仿宋"/>
          <w:color w:val="auto"/>
          <w:sz w:val="32"/>
          <w:szCs w:val="32"/>
          <w:highlight w:val="none"/>
        </w:rPr>
        <w:br w:type="page"/>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法定代表人（主要负责人）委托授权书（格式）</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〈四川国际招标有限责任公司〉</w:t>
      </w: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现委派</w:t>
      </w:r>
      <w:r>
        <w:rPr>
          <w:rFonts w:ascii="仿宋" w:hAnsi="仿宋" w:eastAsia="仿宋"/>
          <w:color w:val="auto"/>
          <w:sz w:val="32"/>
          <w:szCs w:val="32"/>
          <w:highlight w:val="none"/>
        </w:rPr>
        <w:t>〈代理人姓名〉</w:t>
      </w:r>
      <w:r>
        <w:rPr>
          <w:rFonts w:hint="eastAsia" w:ascii="仿宋" w:hAnsi="仿宋" w:eastAsia="仿宋"/>
          <w:color w:val="auto"/>
          <w:sz w:val="32"/>
          <w:szCs w:val="32"/>
          <w:highlight w:val="none"/>
        </w:rPr>
        <w:t>代表我方参加贵中心组织的〈项目名称〉（项目编号：</w:t>
      </w:r>
      <w:r>
        <w:rPr>
          <w:rFonts w:ascii="仿宋" w:hAnsi="仿宋" w:eastAsia="仿宋"/>
          <w:color w:val="auto"/>
          <w:sz w:val="32"/>
          <w:szCs w:val="32"/>
          <w:highlight w:val="none"/>
        </w:rPr>
        <w:t>〈项目编号〉</w:t>
      </w:r>
      <w:r>
        <w:rPr>
          <w:rFonts w:hint="eastAsia" w:ascii="仿宋" w:hAnsi="仿宋" w:eastAsia="仿宋"/>
          <w:color w:val="auto"/>
          <w:sz w:val="32"/>
          <w:szCs w:val="32"/>
          <w:highlight w:val="none"/>
        </w:rPr>
        <w:t>）第___标段政府采购活动，以我方名义签署、澄清、确认、递交、撤回、修改投标文件，签订合同和全权处理一切与之有关的事宜，其法律后果由我方承担。</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本授权有效期与投标文件有效期一致。代理人无转委托权。</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代理人姓名：__________</w:t>
      </w:r>
      <w:r>
        <w:rPr>
          <w:rFonts w:ascii="仿宋" w:hAnsi="仿宋" w:eastAsia="仿宋"/>
          <w:color w:val="auto"/>
          <w:sz w:val="32"/>
          <w:szCs w:val="32"/>
          <w:highlight w:val="none"/>
        </w:rPr>
        <w:tab/>
      </w:r>
      <w:r>
        <w:rPr>
          <w:rFonts w:ascii="仿宋" w:hAnsi="仿宋" w:eastAsia="仿宋"/>
          <w:color w:val="auto"/>
          <w:sz w:val="32"/>
          <w:szCs w:val="32"/>
          <w:highlight w:val="none"/>
        </w:rPr>
        <w:t>联系电话：___________</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身份证</w:t>
      </w:r>
      <w:r>
        <w:rPr>
          <w:rFonts w:hint="eastAsia" w:ascii="仿宋" w:hAnsi="仿宋" w:eastAsia="仿宋"/>
          <w:color w:val="auto"/>
          <w:sz w:val="32"/>
          <w:szCs w:val="32"/>
          <w:highlight w:val="none"/>
        </w:rPr>
        <w:t>（护照）</w:t>
      </w:r>
      <w:r>
        <w:rPr>
          <w:rFonts w:ascii="仿宋" w:hAnsi="仿宋" w:eastAsia="仿宋"/>
          <w:color w:val="auto"/>
          <w:sz w:val="32"/>
          <w:szCs w:val="32"/>
          <w:highlight w:val="none"/>
        </w:rPr>
        <w:t>号码：_________</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职务：___________</w:t>
      </w:r>
    </w:p>
    <w:p>
      <w:pPr>
        <w:spacing w:line="56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通讯地址：___________________________________________________</w:t>
      </w: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p>
      <w:pPr>
        <w:spacing w:line="560" w:lineRule="exact"/>
        <w:ind w:firstLine="640" w:firstLineChars="200"/>
        <w:rPr>
          <w:rFonts w:ascii="仿宋" w:hAnsi="仿宋" w:eastAsia="仿宋"/>
          <w:color w:val="auto"/>
          <w:sz w:val="32"/>
          <w:szCs w:val="32"/>
          <w:highlight w:val="none"/>
        </w:rPr>
      </w:pP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法定代表人（主要负责人）</w:t>
            </w:r>
          </w:p>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身份证正反面（扫描件）</w:t>
            </w:r>
          </w:p>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640" w:firstLineChars="200"/>
              <w:jc w:val="center"/>
              <w:rPr>
                <w:rFonts w:ascii="仿宋" w:hAnsi="仿宋" w:eastAsia="仿宋"/>
                <w:color w:val="auto"/>
                <w:sz w:val="32"/>
                <w:szCs w:val="32"/>
                <w:highlight w:val="none"/>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委托代理人</w:t>
            </w:r>
          </w:p>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身份证正反面（扫描件）</w:t>
            </w:r>
          </w:p>
          <w:p>
            <w:pPr>
              <w:spacing w:line="560" w:lineRule="exact"/>
              <w:ind w:firstLine="640" w:firstLineChars="200"/>
              <w:jc w:val="center"/>
              <w:rPr>
                <w:rFonts w:ascii="仿宋" w:hAnsi="仿宋" w:eastAsia="仿宋"/>
                <w:color w:val="auto"/>
                <w:sz w:val="32"/>
                <w:szCs w:val="32"/>
                <w:highlight w:val="none"/>
              </w:rPr>
            </w:pPr>
            <w:r>
              <w:rPr>
                <w:rFonts w:ascii="仿宋" w:hAnsi="仿宋" w:eastAsia="仿宋"/>
                <w:color w:val="auto"/>
                <w:sz w:val="32"/>
                <w:szCs w:val="32"/>
                <w:highlight w:val="none"/>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640" w:firstLineChars="200"/>
              <w:jc w:val="center"/>
              <w:rPr>
                <w:rFonts w:ascii="仿宋" w:hAnsi="仿宋" w:eastAsia="仿宋"/>
                <w:color w:val="auto"/>
                <w:sz w:val="32"/>
                <w:szCs w:val="32"/>
                <w:highlight w:val="none"/>
              </w:rPr>
            </w:pPr>
          </w:p>
        </w:tc>
        <w:tc>
          <w:tcPr>
            <w:tcW w:w="236" w:type="dxa"/>
            <w:tcBorders>
              <w:top w:val="nil"/>
              <w:left w:val="single" w:color="auto" w:sz="12" w:space="0"/>
              <w:bottom w:val="nil"/>
              <w:right w:val="single" w:color="auto" w:sz="12" w:space="0"/>
            </w:tcBorders>
            <w:vAlign w:val="center"/>
          </w:tcPr>
          <w:p>
            <w:pPr>
              <w:spacing w:line="560" w:lineRule="exact"/>
              <w:ind w:firstLine="640" w:firstLineChars="200"/>
              <w:jc w:val="center"/>
              <w:rPr>
                <w:rFonts w:ascii="仿宋" w:hAnsi="仿宋" w:eastAsia="仿宋"/>
                <w:color w:val="auto"/>
                <w:sz w:val="32"/>
                <w:szCs w:val="32"/>
                <w:highlight w:val="none"/>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640" w:firstLineChars="200"/>
              <w:jc w:val="center"/>
              <w:rPr>
                <w:rFonts w:ascii="仿宋" w:hAnsi="仿宋" w:eastAsia="仿宋"/>
                <w:color w:val="auto"/>
                <w:sz w:val="32"/>
                <w:szCs w:val="32"/>
                <w:highlight w:val="none"/>
              </w:rPr>
            </w:pPr>
          </w:p>
        </w:tc>
      </w:tr>
    </w:tbl>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法定代表人（主要负责人）：（签字或盖章）</w:t>
      </w: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授权日期：      年  月  日</w:t>
      </w:r>
    </w:p>
    <w:p>
      <w:pPr>
        <w:spacing w:line="560" w:lineRule="exact"/>
        <w:jc w:val="both"/>
        <w:rPr>
          <w:rFonts w:ascii="仿宋" w:hAnsi="仿宋" w:eastAsia="仿宋"/>
          <w:color w:val="auto"/>
          <w:sz w:val="32"/>
          <w:szCs w:val="32"/>
          <w:highlight w:val="none"/>
        </w:rPr>
      </w:pPr>
    </w:p>
    <w:p>
      <w:pPr>
        <w:rPr>
          <w:color w:val="auto"/>
          <w:highlight w:val="none"/>
        </w:rPr>
      </w:pPr>
      <w:r>
        <w:rPr>
          <w:color w:val="auto"/>
          <w:highlight w:val="none"/>
        </w:rPr>
        <w:br w:type="page"/>
      </w:r>
    </w:p>
    <w:p>
      <w:pPr>
        <w:pStyle w:val="97"/>
        <w:spacing w:before="210" w:after="210"/>
        <w:rPr>
          <w:color w:val="auto"/>
          <w:highlight w:val="none"/>
        </w:rPr>
      </w:pPr>
      <w:r>
        <w:rPr>
          <w:color w:val="auto"/>
          <w:highlight w:val="none"/>
        </w:rPr>
        <w:t>（</w:t>
      </w:r>
      <w:r>
        <w:rPr>
          <w:rFonts w:hint="eastAsia"/>
          <w:color w:val="auto"/>
          <w:highlight w:val="none"/>
        </w:rPr>
        <w:t>七</w:t>
      </w:r>
      <w:r>
        <w:rPr>
          <w:color w:val="auto"/>
          <w:highlight w:val="none"/>
        </w:rPr>
        <w:t>）供应商性质</w:t>
      </w:r>
    </w:p>
    <w:p>
      <w:pPr>
        <w:pStyle w:val="96"/>
        <w:rPr>
          <w:color w:val="auto"/>
          <w:highlight w:val="none"/>
        </w:rPr>
      </w:pPr>
      <w:r>
        <w:rPr>
          <w:rFonts w:hint="eastAsia"/>
          <w:color w:val="auto"/>
          <w:highlight w:val="none"/>
        </w:rPr>
        <w:t>1．中小企业声明函</w:t>
      </w:r>
    </w:p>
    <w:p>
      <w:pPr>
        <w:rPr>
          <w:rFonts w:ascii="仿宋" w:hAnsi="仿宋" w:eastAsia="仿宋"/>
          <w:color w:val="auto"/>
          <w:sz w:val="32"/>
          <w:szCs w:val="32"/>
          <w:highlight w:val="none"/>
        </w:rPr>
      </w:pPr>
      <w:r>
        <w:rPr>
          <w:rFonts w:ascii="仿宋" w:hAnsi="仿宋" w:eastAsia="仿宋"/>
          <w:color w:val="auto"/>
          <w:sz w:val="32"/>
          <w:szCs w:val="32"/>
          <w:highlight w:val="none"/>
        </w:rPr>
        <w:t>说明：当且仅当</w:t>
      </w:r>
      <w:r>
        <w:rPr>
          <w:rFonts w:hint="eastAsia" w:ascii="仿宋" w:hAnsi="仿宋" w:eastAsia="仿宋"/>
          <w:color w:val="auto"/>
          <w:sz w:val="32"/>
          <w:szCs w:val="32"/>
          <w:highlight w:val="none"/>
        </w:rPr>
        <w:t>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w:t>
      </w:r>
      <w:r>
        <w:rPr>
          <w:rFonts w:ascii="仿宋" w:hAnsi="仿宋" w:eastAsia="仿宋"/>
          <w:color w:val="auto"/>
          <w:sz w:val="32"/>
          <w:szCs w:val="32"/>
          <w:highlight w:val="none"/>
        </w:rPr>
        <w:t>20</w:t>
      </w:r>
      <w:r>
        <w:rPr>
          <w:rFonts w:hint="eastAsia" w:ascii="仿宋" w:hAnsi="仿宋" w:eastAsia="仿宋"/>
          <w:color w:val="auto"/>
          <w:sz w:val="32"/>
          <w:szCs w:val="32"/>
          <w:highlight w:val="none"/>
        </w:rPr>
        <w:t>〕</w:t>
      </w:r>
      <w:r>
        <w:rPr>
          <w:rFonts w:ascii="仿宋" w:hAnsi="仿宋" w:eastAsia="仿宋"/>
          <w:color w:val="auto"/>
          <w:sz w:val="32"/>
          <w:szCs w:val="32"/>
          <w:highlight w:val="none"/>
        </w:rPr>
        <w:t>46</w:t>
      </w:r>
      <w:r>
        <w:rPr>
          <w:rFonts w:hint="eastAsia" w:ascii="仿宋" w:hAnsi="仿宋" w:eastAsia="仿宋"/>
          <w:color w:val="auto"/>
          <w:sz w:val="32"/>
          <w:szCs w:val="32"/>
          <w:highlight w:val="none"/>
        </w:rPr>
        <w:t>号）相关规定。</w:t>
      </w:r>
    </w:p>
    <w:p>
      <w:pPr>
        <w:rPr>
          <w:rFonts w:ascii="仿宋" w:hAnsi="仿宋" w:eastAsia="仿宋"/>
          <w:color w:val="auto"/>
          <w:sz w:val="32"/>
          <w:szCs w:val="32"/>
          <w:highlight w:val="none"/>
        </w:rPr>
      </w:pPr>
      <w:r>
        <w:rPr>
          <w:rFonts w:ascii="仿宋" w:hAnsi="仿宋" w:eastAsia="仿宋"/>
          <w:color w:val="auto"/>
          <w:sz w:val="32"/>
          <w:szCs w:val="32"/>
          <w:highlight w:val="none"/>
        </w:rPr>
        <w:br w:type="page"/>
      </w:r>
    </w:p>
    <w:p>
      <w:pPr>
        <w:pStyle w:val="6"/>
        <w:rPr>
          <w:color w:val="auto"/>
          <w:highlight w:val="none"/>
        </w:rPr>
      </w:pPr>
      <w:r>
        <w:rPr>
          <w:color w:val="auto"/>
          <w:highlight w:val="none"/>
        </w:rPr>
        <w:t>中小企业声明函（货物格式）</w:t>
      </w:r>
    </w:p>
    <w:p>
      <w:pPr>
        <w:rPr>
          <w:color w:val="auto"/>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本公司（联合体）郑重声明，根据《政府采购促进中小企业发展管理办法》（财库〔2020〕46号）的规定，本公司（联合体）参加〈项目名称〉（项目编号：〈项目编号〉）第___标段采购活动，提供的货物全部由符合政策要求的中小企业制造。相关企业（含联合体中的中小企业、签订分包意向协议的中小企业）的具体情况如下：</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w:t>
      </w:r>
      <w:r>
        <w:rPr>
          <w:rFonts w:ascii="仿宋" w:hAnsi="仿宋" w:eastAsia="仿宋"/>
          <w:color w:val="auto"/>
          <w:sz w:val="32"/>
          <w:szCs w:val="32"/>
          <w:highlight w:val="none"/>
        </w:rPr>
        <w:t>〈标的名称〉，属于</w:t>
      </w:r>
      <w:r>
        <w:rPr>
          <w:rFonts w:ascii="仿宋" w:hAnsi="仿宋" w:eastAsia="仿宋"/>
          <w:color w:val="auto"/>
          <w:sz w:val="32"/>
          <w:szCs w:val="32"/>
          <w:highlight w:val="none"/>
          <w:u w:val="single"/>
        </w:rPr>
        <w:t>〈采购文件中明确的所属行业〉</w:t>
      </w:r>
      <w:r>
        <w:rPr>
          <w:rFonts w:ascii="仿宋" w:hAnsi="仿宋" w:eastAsia="仿宋"/>
          <w:color w:val="auto"/>
          <w:sz w:val="32"/>
          <w:szCs w:val="32"/>
          <w:highlight w:val="none"/>
        </w:rPr>
        <w:t>；制造商为</w:t>
      </w:r>
      <w:r>
        <w:rPr>
          <w:rFonts w:ascii="仿宋" w:hAnsi="仿宋" w:eastAsia="仿宋"/>
          <w:color w:val="auto"/>
          <w:sz w:val="32"/>
          <w:szCs w:val="32"/>
          <w:highlight w:val="none"/>
          <w:u w:val="single"/>
        </w:rPr>
        <w:t>〈企业名称〉</w:t>
      </w:r>
      <w:r>
        <w:rPr>
          <w:rFonts w:ascii="仿宋" w:hAnsi="仿宋" w:eastAsia="仿宋"/>
          <w:color w:val="auto"/>
          <w:sz w:val="32"/>
          <w:szCs w:val="32"/>
          <w:highlight w:val="none"/>
        </w:rPr>
        <w:t>，从业人员</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人</w:t>
      </w:r>
      <w:r>
        <w:rPr>
          <w:rFonts w:ascii="仿宋" w:hAnsi="仿宋" w:eastAsia="仿宋"/>
          <w:color w:val="auto"/>
          <w:sz w:val="32"/>
          <w:szCs w:val="32"/>
          <w:highlight w:val="none"/>
        </w:rPr>
        <w:t>，营业收入为</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万</w:t>
      </w:r>
      <w:r>
        <w:rPr>
          <w:rFonts w:ascii="仿宋" w:hAnsi="仿宋" w:eastAsia="仿宋"/>
          <w:color w:val="auto"/>
          <w:sz w:val="32"/>
          <w:szCs w:val="32"/>
          <w:highlight w:val="none"/>
        </w:rPr>
        <w:t>元，资产总额为</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万元</w:t>
      </w:r>
      <w:r>
        <w:rPr>
          <w:rFonts w:ascii="仿宋" w:hAnsi="仿宋" w:eastAsia="仿宋"/>
          <w:color w:val="auto"/>
          <w:sz w:val="32"/>
          <w:szCs w:val="32"/>
          <w:highlight w:val="none"/>
        </w:rPr>
        <w:t>，属于</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企业</w:t>
      </w:r>
      <w:r>
        <w:rPr>
          <w:rFonts w:ascii="仿宋" w:hAnsi="仿宋" w:eastAsia="仿宋"/>
          <w:color w:val="auto"/>
          <w:sz w:val="32"/>
          <w:szCs w:val="32"/>
          <w:highlight w:val="none"/>
        </w:rPr>
        <w:t>（选填中型企业、小型企业、微型企业）；</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w:t>
      </w:r>
      <w:r>
        <w:rPr>
          <w:rFonts w:ascii="仿宋" w:hAnsi="仿宋" w:eastAsia="仿宋"/>
          <w:color w:val="auto"/>
          <w:sz w:val="32"/>
          <w:szCs w:val="32"/>
          <w:highlight w:val="none"/>
        </w:rPr>
        <w:t>〈标的名称〉，属于</w:t>
      </w:r>
      <w:r>
        <w:rPr>
          <w:rFonts w:ascii="仿宋" w:hAnsi="仿宋" w:eastAsia="仿宋"/>
          <w:color w:val="auto"/>
          <w:sz w:val="32"/>
          <w:szCs w:val="32"/>
          <w:highlight w:val="none"/>
          <w:u w:val="single"/>
        </w:rPr>
        <w:t>〈采购文件中明确的所属行业〉</w:t>
      </w:r>
      <w:r>
        <w:rPr>
          <w:rFonts w:ascii="仿宋" w:hAnsi="仿宋" w:eastAsia="仿宋"/>
          <w:color w:val="auto"/>
          <w:sz w:val="32"/>
          <w:szCs w:val="32"/>
          <w:highlight w:val="none"/>
        </w:rPr>
        <w:t>；制造商为</w:t>
      </w:r>
      <w:r>
        <w:rPr>
          <w:rFonts w:ascii="仿宋" w:hAnsi="仿宋" w:eastAsia="仿宋"/>
          <w:color w:val="auto"/>
          <w:sz w:val="32"/>
          <w:szCs w:val="32"/>
          <w:highlight w:val="none"/>
          <w:u w:val="single"/>
        </w:rPr>
        <w:t>〈企业名称〉</w:t>
      </w:r>
      <w:r>
        <w:rPr>
          <w:rFonts w:ascii="仿宋" w:hAnsi="仿宋" w:eastAsia="仿宋"/>
          <w:color w:val="auto"/>
          <w:sz w:val="32"/>
          <w:szCs w:val="32"/>
          <w:highlight w:val="none"/>
        </w:rPr>
        <w:t>，从业人员</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人</w:t>
      </w:r>
      <w:r>
        <w:rPr>
          <w:rFonts w:ascii="仿宋" w:hAnsi="仿宋" w:eastAsia="仿宋"/>
          <w:color w:val="auto"/>
          <w:sz w:val="32"/>
          <w:szCs w:val="32"/>
          <w:highlight w:val="none"/>
        </w:rPr>
        <w:t>，营业收入为</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万</w:t>
      </w:r>
      <w:r>
        <w:rPr>
          <w:rFonts w:ascii="仿宋" w:hAnsi="仿宋" w:eastAsia="仿宋"/>
          <w:color w:val="auto"/>
          <w:sz w:val="32"/>
          <w:szCs w:val="32"/>
          <w:highlight w:val="none"/>
        </w:rPr>
        <w:t>元，资产总额为</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万元</w:t>
      </w:r>
      <w:r>
        <w:rPr>
          <w:rFonts w:ascii="仿宋" w:hAnsi="仿宋" w:eastAsia="仿宋"/>
          <w:color w:val="auto"/>
          <w:sz w:val="32"/>
          <w:szCs w:val="32"/>
          <w:highlight w:val="none"/>
        </w:rPr>
        <w:t>，属于</w:t>
      </w:r>
      <w:r>
        <w:rPr>
          <w:rFonts w:ascii="Calibri" w:hAnsi="Calibri" w:eastAsia="仿宋" w:cs="Calibri"/>
          <w:color w:val="auto"/>
          <w:sz w:val="32"/>
          <w:szCs w:val="32"/>
          <w:highlight w:val="none"/>
          <w:u w:val="single"/>
        </w:rPr>
        <w:t>      </w:t>
      </w:r>
      <w:r>
        <w:rPr>
          <w:rFonts w:ascii="仿宋" w:hAnsi="仿宋" w:eastAsia="仿宋"/>
          <w:color w:val="auto"/>
          <w:sz w:val="32"/>
          <w:szCs w:val="32"/>
          <w:highlight w:val="none"/>
          <w:u w:val="single"/>
        </w:rPr>
        <w:t>企业</w:t>
      </w:r>
      <w:r>
        <w:rPr>
          <w:rFonts w:ascii="仿宋" w:hAnsi="仿宋" w:eastAsia="仿宋"/>
          <w:color w:val="auto"/>
          <w:sz w:val="32"/>
          <w:szCs w:val="32"/>
          <w:highlight w:val="none"/>
        </w:rPr>
        <w:t>（选填中型企业、小型企业、微型企业）；</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以上企业，不属于大企业的分支机构，不存在控股股东为大企业的情形，也不存在与大企业的负责人为同一人的情形。</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本企业对上述声明内容的真实性负责。如有虚假，将依法承担相应责任。</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3260" w:firstLineChars="1019"/>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3260" w:firstLineChars="1019"/>
        <w:jc w:val="both"/>
        <w:rPr>
          <w:rFonts w:ascii="仿宋" w:hAnsi="仿宋" w:eastAsia="仿宋"/>
          <w:color w:val="auto"/>
          <w:sz w:val="32"/>
          <w:szCs w:val="32"/>
          <w:highlight w:val="none"/>
        </w:rPr>
      </w:pPr>
      <w:r>
        <w:rPr>
          <w:rFonts w:ascii="仿宋" w:hAnsi="仿宋" w:eastAsia="仿宋"/>
          <w:color w:val="auto"/>
          <w:sz w:val="32"/>
          <w:szCs w:val="32"/>
          <w:highlight w:val="none"/>
        </w:rPr>
        <w:t>日  期：    年  月  日</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2．残疾人福利性单位声明函</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说明：</w:t>
      </w:r>
      <w:r>
        <w:rPr>
          <w:rFonts w:ascii="仿宋" w:hAnsi="仿宋" w:eastAsia="仿宋"/>
          <w:color w:val="auto"/>
          <w:sz w:val="32"/>
          <w:szCs w:val="32"/>
          <w:highlight w:val="none"/>
        </w:rPr>
        <w:t>当且仅当</w:t>
      </w:r>
      <w:r>
        <w:rPr>
          <w:rFonts w:hint="eastAsia" w:ascii="仿宋" w:hAnsi="仿宋" w:eastAsia="仿宋"/>
          <w:color w:val="auto"/>
          <w:sz w:val="32"/>
          <w:szCs w:val="32"/>
          <w:highlight w:val="none"/>
        </w:rPr>
        <w:t>供应商为残疾人福利性单位的，应按下文给定格式填写声明函。</w:t>
      </w:r>
      <w:r>
        <w:rPr>
          <w:rFonts w:ascii="仿宋" w:hAnsi="仿宋" w:eastAsia="仿宋"/>
          <w:color w:val="auto"/>
          <w:sz w:val="32"/>
          <w:szCs w:val="32"/>
          <w:highlight w:val="none"/>
        </w:rPr>
        <w:t>未提供或未按给定格式提供声明函的，</w:t>
      </w:r>
      <w:r>
        <w:rPr>
          <w:rFonts w:hint="eastAsia" w:ascii="仿宋" w:hAnsi="仿宋" w:eastAsia="仿宋"/>
          <w:color w:val="auto"/>
          <w:sz w:val="32"/>
          <w:szCs w:val="32"/>
          <w:highlight w:val="none"/>
        </w:rPr>
        <w:t>将不能享受招标文件规定的价格优惠政策，但不影响投标文件的有效性。</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供应商在填报前请认真阅读《财政部、民政部、中国残疾人联合会关于促进残疾人就业政府采购政策的通知》（财库〔2017〕141号）相关规定。</w:t>
      </w:r>
    </w:p>
    <w:p>
      <w:pPr>
        <w:rPr>
          <w:rFonts w:ascii="仿宋" w:hAnsi="仿宋" w:eastAsia="仿宋"/>
          <w:color w:val="auto"/>
          <w:sz w:val="32"/>
          <w:szCs w:val="32"/>
          <w:highlight w:val="none"/>
        </w:rPr>
      </w:pPr>
      <w:r>
        <w:rPr>
          <w:rFonts w:ascii="仿宋" w:hAnsi="仿宋" w:eastAsia="仿宋"/>
          <w:color w:val="auto"/>
          <w:sz w:val="32"/>
          <w:szCs w:val="32"/>
          <w:highlight w:val="none"/>
        </w:rPr>
        <w:br w:type="page"/>
      </w:r>
    </w:p>
    <w:p>
      <w:pPr>
        <w:pStyle w:val="6"/>
        <w:rPr>
          <w:color w:val="auto"/>
          <w:highlight w:val="none"/>
        </w:rPr>
      </w:pPr>
      <w:r>
        <w:rPr>
          <w:color w:val="auto"/>
          <w:highlight w:val="none"/>
        </w:rPr>
        <w:t>残疾人福利性单位声明函（格式）</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本单位对上述声明的真实性负责。如有虚假，将依法承担相应责任。</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3260" w:firstLineChars="1019"/>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3260" w:firstLineChars="1019"/>
        <w:jc w:val="both"/>
        <w:rPr>
          <w:rFonts w:ascii="仿宋" w:hAnsi="仿宋" w:eastAsia="仿宋"/>
          <w:color w:val="auto"/>
          <w:sz w:val="32"/>
          <w:szCs w:val="32"/>
          <w:highlight w:val="none"/>
        </w:rPr>
      </w:pPr>
      <w:r>
        <w:rPr>
          <w:rFonts w:ascii="仿宋" w:hAnsi="仿宋" w:eastAsia="仿宋"/>
          <w:color w:val="auto"/>
          <w:sz w:val="32"/>
          <w:szCs w:val="32"/>
          <w:highlight w:val="none"/>
        </w:rPr>
        <w:t>日  期：    年  月  日</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．监狱企业证明函</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说明：当且仅当供应商为监狱企业</w:t>
      </w:r>
      <w:r>
        <w:rPr>
          <w:rFonts w:hint="eastAsia" w:ascii="仿宋" w:hAnsi="仿宋" w:eastAsia="仿宋"/>
          <w:color w:val="auto"/>
          <w:sz w:val="32"/>
          <w:szCs w:val="32"/>
          <w:highlight w:val="none"/>
        </w:rPr>
        <w:t>的</w:t>
      </w:r>
      <w:r>
        <w:rPr>
          <w:rFonts w:ascii="仿宋" w:hAnsi="仿宋" w:eastAsia="仿宋"/>
          <w:color w:val="auto"/>
          <w:sz w:val="32"/>
          <w:szCs w:val="32"/>
          <w:highlight w:val="none"/>
        </w:rPr>
        <w:t>，应当提供由省级以上监狱管理局、戒毒管理局（含新疆生产建设兵团）出具的属于监狱企业的证明</w:t>
      </w:r>
      <w:r>
        <w:rPr>
          <w:rFonts w:hint="eastAsia" w:ascii="仿宋" w:hAnsi="仿宋" w:eastAsia="仿宋"/>
          <w:color w:val="auto"/>
          <w:sz w:val="32"/>
          <w:szCs w:val="32"/>
          <w:highlight w:val="none"/>
        </w:rPr>
        <w:t>函</w:t>
      </w:r>
      <w:r>
        <w:rPr>
          <w:rFonts w:ascii="仿宋" w:hAnsi="仿宋" w:eastAsia="仿宋"/>
          <w:color w:val="auto"/>
          <w:sz w:val="32"/>
          <w:szCs w:val="32"/>
          <w:highlight w:val="none"/>
        </w:rPr>
        <w:t>（格式不</w:t>
      </w:r>
      <w:r>
        <w:rPr>
          <w:rFonts w:hint="eastAsia" w:ascii="仿宋" w:hAnsi="仿宋" w:eastAsia="仿宋"/>
          <w:color w:val="auto"/>
          <w:sz w:val="32"/>
          <w:szCs w:val="32"/>
          <w:highlight w:val="none"/>
        </w:rPr>
        <w:t>限</w:t>
      </w:r>
      <w:r>
        <w:rPr>
          <w:rFonts w:ascii="仿宋" w:hAnsi="仿宋" w:eastAsia="仿宋"/>
          <w:color w:val="auto"/>
          <w:sz w:val="32"/>
          <w:szCs w:val="32"/>
          <w:highlight w:val="none"/>
        </w:rPr>
        <w:t>）。未提供证明</w:t>
      </w:r>
      <w:r>
        <w:rPr>
          <w:rFonts w:hint="eastAsia" w:ascii="仿宋" w:hAnsi="仿宋" w:eastAsia="仿宋"/>
          <w:color w:val="auto"/>
          <w:sz w:val="32"/>
          <w:szCs w:val="32"/>
          <w:highlight w:val="none"/>
        </w:rPr>
        <w:t>函</w:t>
      </w:r>
      <w:r>
        <w:rPr>
          <w:rFonts w:ascii="仿宋" w:hAnsi="仿宋" w:eastAsia="仿宋"/>
          <w:color w:val="auto"/>
          <w:sz w:val="32"/>
          <w:szCs w:val="32"/>
          <w:highlight w:val="none"/>
        </w:rPr>
        <w:t>的</w:t>
      </w:r>
      <w:r>
        <w:rPr>
          <w:rFonts w:hint="eastAsia" w:ascii="仿宋" w:hAnsi="仿宋" w:eastAsia="仿宋"/>
          <w:color w:val="auto"/>
          <w:sz w:val="32"/>
          <w:szCs w:val="32"/>
          <w:highlight w:val="none"/>
        </w:rPr>
        <w:t>，</w:t>
      </w:r>
      <w:r>
        <w:rPr>
          <w:rFonts w:ascii="仿宋" w:hAnsi="仿宋" w:eastAsia="仿宋"/>
          <w:color w:val="auto"/>
          <w:sz w:val="32"/>
          <w:szCs w:val="32"/>
          <w:highlight w:val="none"/>
        </w:rPr>
        <w:t>将不能享受</w:t>
      </w:r>
      <w:r>
        <w:rPr>
          <w:rFonts w:hint="eastAsia" w:ascii="仿宋" w:hAnsi="仿宋" w:eastAsia="仿宋"/>
          <w:color w:val="auto"/>
          <w:sz w:val="32"/>
          <w:szCs w:val="32"/>
          <w:highlight w:val="none"/>
        </w:rPr>
        <w:t>招标文件</w:t>
      </w:r>
      <w:r>
        <w:rPr>
          <w:rFonts w:ascii="仿宋" w:hAnsi="仿宋" w:eastAsia="仿宋"/>
          <w:color w:val="auto"/>
          <w:sz w:val="32"/>
          <w:szCs w:val="32"/>
          <w:highlight w:val="none"/>
        </w:rPr>
        <w:t>规定的价格</w:t>
      </w:r>
      <w:r>
        <w:rPr>
          <w:rFonts w:hint="eastAsia" w:ascii="仿宋" w:hAnsi="仿宋" w:eastAsia="仿宋"/>
          <w:color w:val="auto"/>
          <w:sz w:val="32"/>
          <w:szCs w:val="32"/>
          <w:highlight w:val="none"/>
        </w:rPr>
        <w:t>优惠政策</w:t>
      </w:r>
      <w:r>
        <w:rPr>
          <w:rFonts w:ascii="仿宋" w:hAnsi="仿宋" w:eastAsia="仿宋"/>
          <w:color w:val="auto"/>
          <w:sz w:val="32"/>
          <w:szCs w:val="32"/>
          <w:highlight w:val="none"/>
        </w:rPr>
        <w:t>，但不影响</w:t>
      </w:r>
      <w:r>
        <w:rPr>
          <w:rFonts w:hint="eastAsia" w:ascii="仿宋" w:hAnsi="仿宋" w:eastAsia="仿宋"/>
          <w:color w:val="auto"/>
          <w:sz w:val="32"/>
          <w:szCs w:val="32"/>
          <w:highlight w:val="none"/>
        </w:rPr>
        <w:t>投标文件</w:t>
      </w:r>
      <w:r>
        <w:rPr>
          <w:rFonts w:ascii="仿宋" w:hAnsi="仿宋" w:eastAsia="仿宋"/>
          <w:color w:val="auto"/>
          <w:sz w:val="32"/>
          <w:szCs w:val="32"/>
          <w:highlight w:val="none"/>
        </w:rPr>
        <w:t>的有效性。</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监狱企业证明函</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监狱企业参加政府采购活动时，应当提供由省级以上监狱管理局、戒毒管理局（含新疆生产建设兵团）出具的属于监狱企业的证明文件。</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4．联合体协议书</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说明：</w:t>
      </w:r>
      <w:r>
        <w:rPr>
          <w:rFonts w:hint="eastAsia" w:ascii="仿宋" w:hAnsi="仿宋" w:eastAsia="仿宋"/>
          <w:color w:val="auto"/>
          <w:sz w:val="32"/>
          <w:szCs w:val="32"/>
          <w:highlight w:val="none"/>
        </w:rPr>
        <w:t>招标文件接受联合体时，联合体成员应根据各自单位性质分别提供声明函或证明函，否则将不能享受招标文件对联合体的价格优惠政策。</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联合体协议书（格式）</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〈四川国际招标有限责任公司〉</w:t>
      </w: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（所有成员单位名称）______________________自愿组成（联合体名称）_______联合体，共同参加〈项目名称〉（项目编号：〈项目编号〉）第___标段的投标。现就联合体投标事宜订立如下协议。</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w:t>
      </w:r>
      <w:r>
        <w:rPr>
          <w:rFonts w:ascii="仿宋" w:hAnsi="仿宋" w:eastAsia="仿宋"/>
          <w:color w:val="auto"/>
          <w:sz w:val="32"/>
          <w:szCs w:val="32"/>
          <w:highlight w:val="none"/>
        </w:rPr>
        <w:t>________（某成员单位名称）为__________（联合体名称）牵头人。</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w:t>
      </w:r>
      <w:r>
        <w:rPr>
          <w:rFonts w:ascii="仿宋" w:hAnsi="仿宋" w:eastAsia="仿宋"/>
          <w:color w:val="auto"/>
          <w:sz w:val="32"/>
          <w:szCs w:val="32"/>
          <w:highlight w:val="none"/>
        </w:rPr>
        <w:t>联合体牵头人合法代表联合体各成员负责本项目投标文件编制、投标和合同签订，并代表联合体提交和接收相关的资料、信息及指示，并处理与之有关的一切事务，负责合同实施阶段的主办、组织和协调工作。</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w:t>
      </w:r>
      <w:r>
        <w:rPr>
          <w:rFonts w:ascii="仿宋" w:hAnsi="仿宋" w:eastAsia="仿宋"/>
          <w:color w:val="auto"/>
          <w:sz w:val="32"/>
          <w:szCs w:val="32"/>
          <w:highlight w:val="none"/>
        </w:rPr>
        <w:t>联合体将严格按照招标文件的各项要求，递交投标文件，履行合同，并对外承担连带责任。</w:t>
      </w:r>
    </w:p>
    <w:p>
      <w:pPr>
        <w:spacing w:line="560" w:lineRule="exact"/>
        <w:ind w:left="480" w:left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w:t>
      </w:r>
      <w:r>
        <w:rPr>
          <w:rFonts w:ascii="仿宋" w:hAnsi="仿宋" w:eastAsia="仿宋"/>
          <w:color w:val="auto"/>
          <w:sz w:val="32"/>
          <w:szCs w:val="32"/>
          <w:highlight w:val="none"/>
        </w:rPr>
        <w:t>各成员单位的职责分工如下：_____________________________________________；</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w:t>
      </w:r>
      <w:r>
        <w:rPr>
          <w:rFonts w:ascii="仿宋" w:hAnsi="仿宋" w:eastAsia="仿宋"/>
          <w:color w:val="auto"/>
          <w:sz w:val="32"/>
          <w:szCs w:val="32"/>
          <w:highlight w:val="none"/>
        </w:rPr>
        <w:t>各成员单位协议合同金额及占协议合同总金额的比例分别如下：_____________元（保留两位小数），占比___%（保留两位小数）；</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w:t>
      </w:r>
      <w:r>
        <w:rPr>
          <w:rFonts w:ascii="仿宋" w:hAnsi="仿宋" w:eastAsia="仿宋"/>
          <w:color w:val="auto"/>
          <w:sz w:val="32"/>
          <w:szCs w:val="32"/>
          <w:highlight w:val="none"/>
        </w:rPr>
        <w:t>本协议书自签署之日起生效，合同履行完毕后自动失效。</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7</w:t>
      </w:r>
      <w:r>
        <w:rPr>
          <w:rFonts w:hint="eastAsia" w:ascii="仿宋" w:hAnsi="仿宋" w:eastAsia="仿宋"/>
          <w:color w:val="auto"/>
          <w:sz w:val="32"/>
          <w:szCs w:val="32"/>
          <w:highlight w:val="none"/>
        </w:rPr>
        <w:t>．</w:t>
      </w:r>
      <w:r>
        <w:rPr>
          <w:rFonts w:ascii="仿宋" w:hAnsi="仿宋" w:eastAsia="仿宋"/>
          <w:color w:val="auto"/>
          <w:sz w:val="32"/>
          <w:szCs w:val="32"/>
          <w:highlight w:val="none"/>
        </w:rPr>
        <w:t>本协议书一式___份，联合体成员和采购人各执一份。</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8</w:t>
      </w:r>
      <w:r>
        <w:rPr>
          <w:rFonts w:hint="eastAsia" w:ascii="仿宋" w:hAnsi="仿宋" w:eastAsia="仿宋"/>
          <w:color w:val="auto"/>
          <w:sz w:val="32"/>
          <w:szCs w:val="32"/>
          <w:highlight w:val="none"/>
        </w:rPr>
        <w:t>．</w:t>
      </w:r>
      <w:r>
        <w:rPr>
          <w:rFonts w:ascii="仿宋" w:hAnsi="仿宋" w:eastAsia="仿宋"/>
          <w:color w:val="auto"/>
          <w:sz w:val="32"/>
          <w:szCs w:val="32"/>
          <w:highlight w:val="none"/>
        </w:rPr>
        <w:t>联合体各方需要约定的其他事项。</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注：本协议书由委托代理人签字的，应附法定代表人签字的授权委托书。</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牵头人名称：__________________________________（公章）</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法定代表人或其委托代理人：____________________（签字）</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成员一名称：__________________________________（公章）</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法定代表人或其委托代理人：____________________（签字）</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成员二名称：__________________________________（公章）</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法定代表人或其委托代理人：____________________（签字）</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协议签订日期：    年  月  日</w:t>
      </w:r>
    </w:p>
    <w:p>
      <w:pPr>
        <w:pStyle w:val="97"/>
        <w:spacing w:before="210" w:after="210"/>
        <w:rPr>
          <w:color w:val="auto"/>
          <w:highlight w:val="none"/>
        </w:rPr>
      </w:pPr>
      <w:r>
        <w:rPr>
          <w:color w:val="auto"/>
          <w:highlight w:val="none"/>
        </w:rPr>
        <w:t>（</w:t>
      </w:r>
      <w:r>
        <w:rPr>
          <w:rFonts w:hint="eastAsia"/>
          <w:color w:val="auto"/>
          <w:highlight w:val="none"/>
        </w:rPr>
        <w:t>八</w:t>
      </w:r>
      <w:r>
        <w:rPr>
          <w:color w:val="auto"/>
          <w:highlight w:val="none"/>
        </w:rPr>
        <w:t>）投标邀请函中要求的其他资格证明文件</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pStyle w:val="4"/>
        <w:rPr>
          <w:color w:val="auto"/>
          <w:highlight w:val="none"/>
        </w:rPr>
      </w:pPr>
      <w:r>
        <w:rPr>
          <w:color w:val="auto"/>
          <w:highlight w:val="none"/>
        </w:rPr>
        <w:t>第四部分</w:t>
      </w:r>
      <w:r>
        <w:rPr>
          <w:rFonts w:hint="eastAsia"/>
          <w:color w:val="auto"/>
          <w:highlight w:val="none"/>
        </w:rPr>
        <w:t xml:space="preserve">  </w:t>
      </w:r>
      <w:r>
        <w:rPr>
          <w:color w:val="auto"/>
          <w:highlight w:val="none"/>
        </w:rPr>
        <w:t>供应商概况</w:t>
      </w:r>
    </w:p>
    <w:p>
      <w:pPr>
        <w:pStyle w:val="97"/>
        <w:spacing w:before="210" w:after="210"/>
        <w:rPr>
          <w:color w:val="auto"/>
          <w:highlight w:val="none"/>
        </w:rPr>
      </w:pPr>
      <w:r>
        <w:rPr>
          <w:color w:val="auto"/>
          <w:highlight w:val="none"/>
        </w:rPr>
        <w:t>（一）供应商基本信息</w:t>
      </w:r>
    </w:p>
    <w:tbl>
      <w:tblPr>
        <w:tblStyle w:val="89"/>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供应商全称</w:t>
            </w:r>
          </w:p>
        </w:tc>
        <w:tc>
          <w:tcPr>
            <w:tcW w:w="6756" w:type="dxa"/>
            <w:gridSpan w:val="5"/>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注册地址</w:t>
            </w:r>
          </w:p>
        </w:tc>
        <w:tc>
          <w:tcPr>
            <w:tcW w:w="2416" w:type="dxa"/>
            <w:gridSpan w:val="2"/>
          </w:tcPr>
          <w:p>
            <w:pPr>
              <w:ind w:firstLine="0"/>
              <w:jc w:val="both"/>
              <w:rPr>
                <w:rFonts w:ascii="仿宋" w:hAnsi="仿宋" w:eastAsia="仿宋"/>
                <w:color w:val="auto"/>
                <w:kern w:val="2"/>
                <w:sz w:val="28"/>
                <w:szCs w:val="28"/>
                <w:highlight w:val="none"/>
              </w:rPr>
            </w:pPr>
          </w:p>
        </w:tc>
        <w:tc>
          <w:tcPr>
            <w:tcW w:w="1411"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成立时间</w:t>
            </w:r>
          </w:p>
        </w:tc>
        <w:tc>
          <w:tcPr>
            <w:tcW w:w="2929" w:type="dxa"/>
            <w:gridSpan w:val="2"/>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统一社会信用代码</w:t>
            </w:r>
          </w:p>
        </w:tc>
        <w:tc>
          <w:tcPr>
            <w:tcW w:w="2416" w:type="dxa"/>
            <w:gridSpan w:val="2"/>
          </w:tcPr>
          <w:p>
            <w:pPr>
              <w:ind w:firstLine="0"/>
              <w:jc w:val="both"/>
              <w:rPr>
                <w:rFonts w:ascii="仿宋" w:hAnsi="仿宋" w:eastAsia="仿宋"/>
                <w:color w:val="auto"/>
                <w:kern w:val="2"/>
                <w:sz w:val="28"/>
                <w:szCs w:val="28"/>
                <w:highlight w:val="none"/>
              </w:rPr>
            </w:pPr>
          </w:p>
        </w:tc>
        <w:tc>
          <w:tcPr>
            <w:tcW w:w="1411"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单位性质</w:t>
            </w:r>
          </w:p>
        </w:tc>
        <w:tc>
          <w:tcPr>
            <w:tcW w:w="2929" w:type="dxa"/>
            <w:gridSpan w:val="2"/>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法定代表人</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（主要负责人）</w:t>
            </w:r>
          </w:p>
        </w:tc>
        <w:tc>
          <w:tcPr>
            <w:tcW w:w="2416" w:type="dxa"/>
            <w:gridSpan w:val="2"/>
          </w:tcPr>
          <w:p>
            <w:pPr>
              <w:ind w:firstLine="0"/>
              <w:jc w:val="both"/>
              <w:rPr>
                <w:rFonts w:ascii="仿宋" w:hAnsi="仿宋" w:eastAsia="仿宋"/>
                <w:color w:val="auto"/>
                <w:kern w:val="2"/>
                <w:sz w:val="28"/>
                <w:szCs w:val="28"/>
                <w:highlight w:val="none"/>
              </w:rPr>
            </w:pPr>
          </w:p>
        </w:tc>
        <w:tc>
          <w:tcPr>
            <w:tcW w:w="1411"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所属行业</w:t>
            </w:r>
          </w:p>
        </w:tc>
        <w:tc>
          <w:tcPr>
            <w:tcW w:w="2929" w:type="dxa"/>
            <w:gridSpan w:val="2"/>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基本存款账户</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开户银行</w:t>
            </w:r>
          </w:p>
        </w:tc>
        <w:tc>
          <w:tcPr>
            <w:tcW w:w="2416" w:type="dxa"/>
            <w:gridSpan w:val="2"/>
          </w:tcPr>
          <w:p>
            <w:pPr>
              <w:ind w:firstLine="0"/>
              <w:jc w:val="both"/>
              <w:rPr>
                <w:rFonts w:ascii="仿宋" w:hAnsi="仿宋" w:eastAsia="仿宋"/>
                <w:color w:val="auto"/>
                <w:kern w:val="2"/>
                <w:sz w:val="28"/>
                <w:szCs w:val="28"/>
                <w:highlight w:val="none"/>
              </w:rPr>
            </w:pPr>
          </w:p>
        </w:tc>
        <w:tc>
          <w:tcPr>
            <w:tcW w:w="1411"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基本存款</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账户账号</w:t>
            </w:r>
          </w:p>
        </w:tc>
        <w:tc>
          <w:tcPr>
            <w:tcW w:w="2929" w:type="dxa"/>
            <w:gridSpan w:val="2"/>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上年度</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营业收入*</w:t>
            </w:r>
          </w:p>
        </w:tc>
        <w:tc>
          <w:tcPr>
            <w:tcW w:w="2416" w:type="dxa"/>
            <w:gridSpan w:val="2"/>
          </w:tcPr>
          <w:p>
            <w:pPr>
              <w:ind w:firstLine="0"/>
              <w:jc w:val="both"/>
              <w:rPr>
                <w:rFonts w:ascii="仿宋" w:hAnsi="仿宋" w:eastAsia="仿宋"/>
                <w:color w:val="auto"/>
                <w:kern w:val="2"/>
                <w:sz w:val="28"/>
                <w:szCs w:val="28"/>
                <w:highlight w:val="none"/>
              </w:rPr>
            </w:pPr>
          </w:p>
        </w:tc>
        <w:tc>
          <w:tcPr>
            <w:tcW w:w="1411"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资产总额</w:t>
            </w:r>
          </w:p>
        </w:tc>
        <w:tc>
          <w:tcPr>
            <w:tcW w:w="2929" w:type="dxa"/>
            <w:gridSpan w:val="2"/>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经营范围</w:t>
            </w:r>
          </w:p>
        </w:tc>
        <w:tc>
          <w:tcPr>
            <w:tcW w:w="6756" w:type="dxa"/>
            <w:gridSpan w:val="5"/>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资质证书名称</w:t>
            </w:r>
          </w:p>
        </w:tc>
        <w:tc>
          <w:tcPr>
            <w:tcW w:w="2416" w:type="dxa"/>
            <w:gridSpan w:val="2"/>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证书号</w:t>
            </w:r>
          </w:p>
        </w:tc>
        <w:tc>
          <w:tcPr>
            <w:tcW w:w="1411"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等级</w:t>
            </w:r>
          </w:p>
        </w:tc>
        <w:tc>
          <w:tcPr>
            <w:tcW w:w="2929" w:type="dxa"/>
            <w:gridSpan w:val="2"/>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p>
        </w:tc>
        <w:tc>
          <w:tcPr>
            <w:tcW w:w="2416" w:type="dxa"/>
            <w:gridSpan w:val="2"/>
          </w:tcPr>
          <w:p>
            <w:pPr>
              <w:ind w:firstLine="0"/>
              <w:jc w:val="both"/>
              <w:rPr>
                <w:rFonts w:ascii="仿宋" w:hAnsi="仿宋" w:eastAsia="仿宋"/>
                <w:color w:val="auto"/>
                <w:kern w:val="2"/>
                <w:sz w:val="28"/>
                <w:szCs w:val="28"/>
                <w:highlight w:val="none"/>
              </w:rPr>
            </w:pPr>
          </w:p>
        </w:tc>
        <w:tc>
          <w:tcPr>
            <w:tcW w:w="1411" w:type="dxa"/>
          </w:tcPr>
          <w:p>
            <w:pPr>
              <w:ind w:firstLine="0"/>
              <w:jc w:val="both"/>
              <w:rPr>
                <w:rFonts w:ascii="仿宋" w:hAnsi="仿宋" w:eastAsia="仿宋"/>
                <w:color w:val="auto"/>
                <w:kern w:val="2"/>
                <w:sz w:val="28"/>
                <w:szCs w:val="28"/>
                <w:highlight w:val="none"/>
              </w:rPr>
            </w:pPr>
          </w:p>
        </w:tc>
        <w:tc>
          <w:tcPr>
            <w:tcW w:w="2929" w:type="dxa"/>
            <w:gridSpan w:val="2"/>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p>
        </w:tc>
        <w:tc>
          <w:tcPr>
            <w:tcW w:w="2416" w:type="dxa"/>
            <w:gridSpan w:val="2"/>
          </w:tcPr>
          <w:p>
            <w:pPr>
              <w:ind w:firstLine="0"/>
              <w:jc w:val="both"/>
              <w:rPr>
                <w:rFonts w:ascii="仿宋" w:hAnsi="仿宋" w:eastAsia="仿宋"/>
                <w:color w:val="auto"/>
                <w:kern w:val="2"/>
                <w:sz w:val="28"/>
                <w:szCs w:val="28"/>
                <w:highlight w:val="none"/>
              </w:rPr>
            </w:pPr>
          </w:p>
        </w:tc>
        <w:tc>
          <w:tcPr>
            <w:tcW w:w="1411" w:type="dxa"/>
          </w:tcPr>
          <w:p>
            <w:pPr>
              <w:ind w:firstLine="0"/>
              <w:jc w:val="both"/>
              <w:rPr>
                <w:rFonts w:ascii="仿宋" w:hAnsi="仿宋" w:eastAsia="仿宋"/>
                <w:color w:val="auto"/>
                <w:kern w:val="2"/>
                <w:sz w:val="28"/>
                <w:szCs w:val="28"/>
                <w:highlight w:val="none"/>
              </w:rPr>
            </w:pPr>
          </w:p>
        </w:tc>
        <w:tc>
          <w:tcPr>
            <w:tcW w:w="2929" w:type="dxa"/>
            <w:gridSpan w:val="2"/>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从业人员总数</w:t>
            </w:r>
          </w:p>
        </w:tc>
        <w:tc>
          <w:tcPr>
            <w:tcW w:w="992" w:type="dxa"/>
            <w:vMerge w:val="restart"/>
          </w:tcPr>
          <w:p>
            <w:pPr>
              <w:ind w:firstLine="0"/>
              <w:jc w:val="both"/>
              <w:rPr>
                <w:rFonts w:ascii="仿宋" w:hAnsi="仿宋" w:eastAsia="仿宋"/>
                <w:color w:val="auto"/>
                <w:kern w:val="2"/>
                <w:sz w:val="28"/>
                <w:szCs w:val="28"/>
                <w:highlight w:val="none"/>
              </w:rPr>
            </w:pPr>
          </w:p>
        </w:tc>
        <w:tc>
          <w:tcPr>
            <w:tcW w:w="1424"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管理人员</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数量</w:t>
            </w:r>
          </w:p>
        </w:tc>
        <w:tc>
          <w:tcPr>
            <w:tcW w:w="1411" w:type="dxa"/>
          </w:tcPr>
          <w:p>
            <w:pPr>
              <w:ind w:firstLine="0"/>
              <w:jc w:val="both"/>
              <w:rPr>
                <w:rFonts w:ascii="仿宋" w:hAnsi="仿宋" w:eastAsia="仿宋"/>
                <w:color w:val="auto"/>
                <w:kern w:val="2"/>
                <w:sz w:val="28"/>
                <w:szCs w:val="28"/>
                <w:highlight w:val="none"/>
              </w:rPr>
            </w:pPr>
          </w:p>
        </w:tc>
        <w:tc>
          <w:tcPr>
            <w:tcW w:w="1464"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专业技术</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人员数量</w:t>
            </w:r>
          </w:p>
        </w:tc>
        <w:tc>
          <w:tcPr>
            <w:tcW w:w="1465" w:type="dxa"/>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ascii="仿宋" w:hAnsi="仿宋" w:eastAsia="仿宋"/>
                <w:color w:val="auto"/>
                <w:kern w:val="2"/>
                <w:sz w:val="28"/>
                <w:szCs w:val="28"/>
                <w:highlight w:val="none"/>
              </w:rPr>
            </w:pPr>
          </w:p>
        </w:tc>
        <w:tc>
          <w:tcPr>
            <w:tcW w:w="992" w:type="dxa"/>
            <w:vMerge w:val="continue"/>
          </w:tcPr>
          <w:p>
            <w:pPr>
              <w:ind w:firstLine="0"/>
              <w:jc w:val="both"/>
              <w:rPr>
                <w:rFonts w:ascii="仿宋" w:hAnsi="仿宋" w:eastAsia="仿宋"/>
                <w:color w:val="auto"/>
                <w:kern w:val="2"/>
                <w:sz w:val="28"/>
                <w:szCs w:val="28"/>
                <w:highlight w:val="none"/>
              </w:rPr>
            </w:pPr>
          </w:p>
        </w:tc>
        <w:tc>
          <w:tcPr>
            <w:tcW w:w="1424"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残疾人</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数量</w:t>
            </w:r>
          </w:p>
        </w:tc>
        <w:tc>
          <w:tcPr>
            <w:tcW w:w="1411" w:type="dxa"/>
          </w:tcPr>
          <w:p>
            <w:pPr>
              <w:ind w:firstLine="0"/>
              <w:jc w:val="both"/>
              <w:rPr>
                <w:rFonts w:ascii="仿宋" w:hAnsi="仿宋" w:eastAsia="仿宋"/>
                <w:color w:val="auto"/>
                <w:kern w:val="2"/>
                <w:sz w:val="28"/>
                <w:szCs w:val="28"/>
                <w:highlight w:val="none"/>
              </w:rPr>
            </w:pPr>
          </w:p>
        </w:tc>
        <w:tc>
          <w:tcPr>
            <w:tcW w:w="1464"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少数民族</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数量</w:t>
            </w:r>
          </w:p>
        </w:tc>
        <w:tc>
          <w:tcPr>
            <w:tcW w:w="1465" w:type="dxa"/>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关系</w:t>
            </w:r>
          </w:p>
        </w:tc>
        <w:tc>
          <w:tcPr>
            <w:tcW w:w="6756" w:type="dxa"/>
            <w:gridSpan w:val="5"/>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p>
        </w:tc>
        <w:tc>
          <w:tcPr>
            <w:tcW w:w="6756" w:type="dxa"/>
            <w:gridSpan w:val="5"/>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p>
        </w:tc>
        <w:tc>
          <w:tcPr>
            <w:tcW w:w="6756" w:type="dxa"/>
            <w:gridSpan w:val="5"/>
          </w:tcPr>
          <w:p>
            <w:pPr>
              <w:ind w:firstLine="0"/>
              <w:jc w:val="both"/>
              <w:rPr>
                <w:rFonts w:ascii="仿宋" w:hAnsi="仿宋" w:eastAsia="仿宋"/>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说明</w:t>
            </w:r>
          </w:p>
        </w:tc>
        <w:tc>
          <w:tcPr>
            <w:tcW w:w="6756" w:type="dxa"/>
            <w:gridSpan w:val="5"/>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1</w:t>
            </w:r>
            <w:r>
              <w:rPr>
                <w:rFonts w:hint="eastAsia" w:ascii="仿宋" w:hAnsi="仿宋" w:eastAsia="仿宋"/>
                <w:color w:val="auto"/>
                <w:kern w:val="2"/>
                <w:sz w:val="28"/>
                <w:szCs w:val="28"/>
                <w:highlight w:val="none"/>
              </w:rPr>
              <w:t>.</w:t>
            </w:r>
            <w:r>
              <w:rPr>
                <w:rFonts w:ascii="仿宋" w:hAnsi="仿宋" w:eastAsia="仿宋"/>
                <w:color w:val="auto"/>
                <w:kern w:val="2"/>
                <w:sz w:val="28"/>
                <w:szCs w:val="28"/>
                <w:highlight w:val="none"/>
              </w:rPr>
              <w:t>成立时间至提交投标文件截止时间不足一年的可不填写</w:t>
            </w:r>
            <w:r>
              <w:rPr>
                <w:rFonts w:hint="eastAsia" w:ascii="仿宋" w:hAnsi="仿宋" w:eastAsia="仿宋"/>
                <w:color w:val="auto"/>
                <w:kern w:val="2"/>
                <w:sz w:val="28"/>
                <w:szCs w:val="28"/>
                <w:highlight w:val="none"/>
              </w:rPr>
              <w:t>“上年度营业收入”；</w:t>
            </w:r>
          </w:p>
          <w:p>
            <w:pPr>
              <w:ind w:firstLine="0"/>
              <w:jc w:val="both"/>
              <w:rPr>
                <w:rFonts w:ascii="仿宋" w:hAnsi="仿宋" w:eastAsia="仿宋"/>
                <w:color w:val="auto"/>
                <w:kern w:val="2"/>
                <w:sz w:val="28"/>
                <w:szCs w:val="28"/>
                <w:highlight w:val="none"/>
              </w:rPr>
            </w:pPr>
            <w:r>
              <w:rPr>
                <w:rFonts w:hint="eastAsia" w:ascii="仿宋" w:hAnsi="仿宋" w:eastAsia="仿宋"/>
                <w:color w:val="auto"/>
                <w:kern w:val="2"/>
                <w:sz w:val="28"/>
                <w:szCs w:val="28"/>
                <w:highlight w:val="none"/>
              </w:rPr>
              <w:t>2.</w:t>
            </w:r>
            <w:r>
              <w:rPr>
                <w:rFonts w:ascii="仿宋" w:hAnsi="仿宋" w:eastAsia="仿宋"/>
                <w:color w:val="auto"/>
                <w:kern w:val="2"/>
                <w:sz w:val="28"/>
                <w:szCs w:val="28"/>
                <w:highlight w:val="none"/>
              </w:rPr>
              <w:t>招标文件接受联合体的，联合体各方均应提供；</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3.表格空间不足时，请自行扩展。</w:t>
            </w:r>
          </w:p>
        </w:tc>
      </w:tr>
    </w:tbl>
    <w:p>
      <w:pPr>
        <w:rPr>
          <w:rFonts w:ascii="仿宋" w:hAnsi="仿宋" w:eastAsia="仿宋"/>
          <w:color w:val="auto"/>
          <w:sz w:val="32"/>
          <w:szCs w:val="32"/>
          <w:highlight w:val="none"/>
        </w:rPr>
      </w:pPr>
    </w:p>
    <w:p>
      <w:pPr>
        <w:pStyle w:val="4"/>
        <w:rPr>
          <w:color w:val="auto"/>
          <w:highlight w:val="none"/>
        </w:rPr>
      </w:pPr>
      <w:r>
        <w:rPr>
          <w:color w:val="auto"/>
          <w:highlight w:val="none"/>
        </w:rPr>
        <w:t>第五部分</w:t>
      </w:r>
      <w:r>
        <w:rPr>
          <w:rFonts w:hint="eastAsia"/>
          <w:color w:val="auto"/>
          <w:highlight w:val="none"/>
        </w:rPr>
        <w:t xml:space="preserve">  </w:t>
      </w:r>
      <w:r>
        <w:rPr>
          <w:color w:val="auto"/>
          <w:highlight w:val="none"/>
        </w:rPr>
        <w:t>供应商参加政府采购活动承诺书</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未签署下列承诺书的，将被视为无效投标，其责任由供应商自行承担。</w:t>
      </w:r>
    </w:p>
    <w:p>
      <w:pPr>
        <w:pStyle w:val="6"/>
        <w:rPr>
          <w:color w:val="auto"/>
          <w:sz w:val="32"/>
          <w:szCs w:val="32"/>
          <w:highlight w:val="none"/>
        </w:rPr>
      </w:pPr>
      <w:r>
        <w:rPr>
          <w:rFonts w:hint="eastAsia"/>
          <w:color w:val="auto"/>
          <w:sz w:val="32"/>
          <w:szCs w:val="32"/>
          <w:highlight w:val="none"/>
        </w:rPr>
        <w:t>（一）质量安全责任承诺书</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为保证本采购项目顺利进行，作为投标供应商，现郑重承诺：</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w:t>
      </w:r>
      <w:r>
        <w:rPr>
          <w:rFonts w:ascii="仿宋" w:hAnsi="仿宋" w:eastAsia="仿宋"/>
          <w:color w:val="auto"/>
          <w:sz w:val="32"/>
          <w:szCs w:val="32"/>
          <w:highlight w:val="none"/>
        </w:rPr>
        <w:t>我方所投产品的生产（包括设计、制造、安装、改造、维修等）、投入使用的材料等均完全符合国家现行质量、安全、环保标准和要求。</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w:t>
      </w:r>
      <w:r>
        <w:rPr>
          <w:rFonts w:ascii="仿宋" w:hAnsi="仿宋" w:eastAsia="仿宋"/>
          <w:color w:val="auto"/>
          <w:sz w:val="32"/>
          <w:szCs w:val="32"/>
          <w:highlight w:val="none"/>
        </w:rPr>
        <w:t>我方将严格按照国家现行相关储存、运输、安装调试技术标准及规范、服务标准及规范、施工标准及规范，在规定的时限内，保质、保量完成项目全部内容，并向采购人交付合格产品。</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w:t>
      </w:r>
      <w:r>
        <w:rPr>
          <w:rFonts w:ascii="仿宋" w:hAnsi="仿宋" w:eastAsia="仿宋"/>
          <w:color w:val="auto"/>
          <w:sz w:val="32"/>
          <w:szCs w:val="32"/>
          <w:highlight w:val="none"/>
        </w:rPr>
        <w:t>对于因产品生产质量以及储存、运输、安装调试、服务、施工等过程中产生的任何安全事故，我方承担全部责任。</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w:t>
      </w:r>
      <w:r>
        <w:rPr>
          <w:rFonts w:ascii="仿宋" w:hAnsi="仿宋" w:eastAsia="仿宋"/>
          <w:color w:val="auto"/>
          <w:sz w:val="32"/>
          <w:szCs w:val="32"/>
          <w:highlight w:val="none"/>
        </w:rPr>
        <w:t>我方提供的货物、工程、服务等符合现行的国家、行业、地区、企业标准及要求，标准不一致的，以更为严格的为准，我方对提供的货物、工程、服务等的质量、安全、环保等承担全部责任。</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2560" w:firstLineChars="800"/>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3542" w:firstLineChars="1107"/>
        <w:jc w:val="both"/>
        <w:rPr>
          <w:rFonts w:ascii="仿宋" w:hAnsi="仿宋" w:eastAsia="仿宋"/>
          <w:color w:val="auto"/>
          <w:sz w:val="32"/>
          <w:szCs w:val="32"/>
          <w:highlight w:val="none"/>
        </w:rPr>
      </w:pPr>
      <w:r>
        <w:rPr>
          <w:rFonts w:ascii="仿宋" w:hAnsi="仿宋" w:eastAsia="仿宋"/>
          <w:color w:val="auto"/>
          <w:sz w:val="32"/>
          <w:szCs w:val="32"/>
          <w:highlight w:val="none"/>
        </w:rPr>
        <w:t>日</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期：    年  月  日</w:t>
      </w:r>
    </w:p>
    <w:p>
      <w:pPr>
        <w:spacing w:line="560" w:lineRule="exact"/>
        <w:ind w:firstLine="640" w:firstLineChars="200"/>
        <w:jc w:val="both"/>
        <w:rPr>
          <w:rFonts w:ascii="仿宋" w:hAnsi="仿宋" w:eastAsia="仿宋"/>
          <w:color w:val="auto"/>
          <w:sz w:val="32"/>
          <w:szCs w:val="32"/>
          <w:highlight w:val="none"/>
        </w:rPr>
      </w:pPr>
    </w:p>
    <w:p>
      <w:pPr>
        <w:pStyle w:val="6"/>
        <w:rPr>
          <w:color w:val="auto"/>
          <w:highlight w:val="none"/>
        </w:rPr>
      </w:pPr>
      <w:r>
        <w:rPr>
          <w:rFonts w:hint="eastAsia"/>
          <w:color w:val="auto"/>
          <w:highlight w:val="none"/>
        </w:rPr>
        <w:t>（二）参加政府采购活动行为自律承诺书</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作为参加本次政府采购项目的供应商，我方郑重承诺在参与政府采购活动中遵纪守法、公平竞争、诚实守信，如有违反愿承担一切责任及后果：</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w:t>
      </w:r>
      <w:r>
        <w:rPr>
          <w:rFonts w:ascii="仿宋" w:hAnsi="仿宋" w:eastAsia="仿宋"/>
          <w:color w:val="auto"/>
          <w:sz w:val="32"/>
          <w:szCs w:val="32"/>
          <w:highlight w:val="none"/>
        </w:rPr>
        <w:t>不与采购人、采购代理机构、政府采购评审专家恶意串通，不向其行贿或提供其他不正当利益；</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w:t>
      </w:r>
      <w:r>
        <w:rPr>
          <w:rFonts w:ascii="仿宋" w:hAnsi="仿宋" w:eastAsia="仿宋"/>
          <w:color w:val="auto"/>
          <w:sz w:val="32"/>
          <w:szCs w:val="32"/>
          <w:highlight w:val="none"/>
        </w:rPr>
        <w:t>不与其他供应商恶意串通，采取“围标、串标、陪标”等商业欺诈手段谋取中标、成交；</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w:t>
      </w:r>
      <w:r>
        <w:rPr>
          <w:rFonts w:ascii="仿宋" w:hAnsi="仿宋" w:eastAsia="仿宋"/>
          <w:color w:val="auto"/>
          <w:sz w:val="32"/>
          <w:szCs w:val="32"/>
          <w:highlight w:val="none"/>
        </w:rPr>
        <w:t>不提供虚假或无效证明文件（包括但不限于资格证明文件、合同及验收文件、检验检测报告、从业人员资格证书、机构或所投产品的各类认证证书等）或虚假材料谋取中标、成交；</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w:t>
      </w:r>
      <w:r>
        <w:rPr>
          <w:rFonts w:ascii="仿宋" w:hAnsi="仿宋" w:eastAsia="仿宋"/>
          <w:color w:val="auto"/>
          <w:sz w:val="32"/>
          <w:szCs w:val="32"/>
          <w:highlight w:val="none"/>
        </w:rPr>
        <w:t>不采取不正当手段诋毁、排挤其他供应商；</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w:t>
      </w:r>
      <w:r>
        <w:rPr>
          <w:rFonts w:ascii="仿宋" w:hAnsi="仿宋" w:eastAsia="仿宋"/>
          <w:color w:val="auto"/>
          <w:sz w:val="32"/>
          <w:szCs w:val="32"/>
          <w:highlight w:val="none"/>
        </w:rPr>
        <w:t>不以不正当理由拒不与采购人签订政府采购合同，或逾期签订政府采购合同，或不按照采购文件确定的事项签订政府采购合同；</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w:t>
      </w:r>
      <w:r>
        <w:rPr>
          <w:rFonts w:ascii="仿宋" w:hAnsi="仿宋" w:eastAsia="仿宋"/>
          <w:color w:val="auto"/>
          <w:sz w:val="32"/>
          <w:szCs w:val="32"/>
          <w:highlight w:val="none"/>
        </w:rPr>
        <w:t>不以不正当理由拒绝履行合同义务，不会擅自变更、中止或者终止政府采购合同或将政府采购合同转包；</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7</w:t>
      </w:r>
      <w:r>
        <w:rPr>
          <w:rFonts w:hint="eastAsia" w:ascii="仿宋" w:hAnsi="仿宋" w:eastAsia="仿宋"/>
          <w:color w:val="auto"/>
          <w:sz w:val="32"/>
          <w:szCs w:val="32"/>
          <w:highlight w:val="none"/>
        </w:rPr>
        <w:t>．</w:t>
      </w:r>
      <w:r>
        <w:rPr>
          <w:rFonts w:ascii="仿宋" w:hAnsi="仿宋" w:eastAsia="仿宋"/>
          <w:color w:val="auto"/>
          <w:sz w:val="32"/>
          <w:szCs w:val="32"/>
          <w:highlight w:val="none"/>
        </w:rPr>
        <w:t>不在提供商品、服务或工程施工过程中提供假冒伪劣产品，损害采购人的合法权益或公共利益；</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8</w:t>
      </w:r>
      <w:r>
        <w:rPr>
          <w:rFonts w:hint="eastAsia" w:ascii="仿宋" w:hAnsi="仿宋" w:eastAsia="仿宋"/>
          <w:color w:val="auto"/>
          <w:sz w:val="32"/>
          <w:szCs w:val="32"/>
          <w:highlight w:val="none"/>
        </w:rPr>
        <w:t>．</w:t>
      </w:r>
      <w:r>
        <w:rPr>
          <w:rFonts w:ascii="仿宋" w:hAnsi="仿宋" w:eastAsia="仿宋"/>
          <w:color w:val="auto"/>
          <w:sz w:val="32"/>
          <w:szCs w:val="32"/>
          <w:highlight w:val="none"/>
        </w:rPr>
        <w:t>不采取捏造事实、提供虚假材料或者以非法手段取得证明材料进行质疑和投诉；</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9</w:t>
      </w:r>
      <w:r>
        <w:rPr>
          <w:rFonts w:hint="eastAsia" w:ascii="仿宋" w:hAnsi="仿宋" w:eastAsia="仿宋"/>
          <w:color w:val="auto"/>
          <w:sz w:val="32"/>
          <w:szCs w:val="32"/>
          <w:highlight w:val="none"/>
        </w:rPr>
        <w:t>．</w:t>
      </w:r>
      <w:r>
        <w:rPr>
          <w:rFonts w:ascii="仿宋" w:hAnsi="仿宋" w:eastAsia="仿宋"/>
          <w:color w:val="auto"/>
          <w:sz w:val="32"/>
          <w:szCs w:val="32"/>
          <w:highlight w:val="none"/>
        </w:rPr>
        <w:t>不发生其他有悖于政府采购公开、公平、公正和诚信原则的行为。</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10</w:t>
      </w:r>
      <w:r>
        <w:rPr>
          <w:rFonts w:hint="eastAsia" w:ascii="仿宋" w:hAnsi="仿宋" w:eastAsia="仿宋"/>
          <w:color w:val="auto"/>
          <w:sz w:val="32"/>
          <w:szCs w:val="32"/>
          <w:highlight w:val="none"/>
        </w:rPr>
        <w:t>．</w:t>
      </w:r>
      <w:r>
        <w:rPr>
          <w:rFonts w:ascii="仿宋" w:hAnsi="仿宋" w:eastAsia="仿宋"/>
          <w:color w:val="auto"/>
          <w:sz w:val="32"/>
          <w:szCs w:val="32"/>
          <w:highlight w:val="none"/>
        </w:rPr>
        <w:t>尊重和接受政府采购监督管理部门的监督和采购人、采购代理机构的政府采购工作要求，愿意承担因违约行为给采购人造成的损失。</w:t>
      </w:r>
    </w:p>
    <w:p>
      <w:pPr>
        <w:spacing w:line="560" w:lineRule="exact"/>
        <w:ind w:firstLine="640" w:firstLineChars="200"/>
        <w:jc w:val="both"/>
        <w:rPr>
          <w:rFonts w:ascii="仿宋" w:hAnsi="仿宋" w:eastAsia="仿宋"/>
          <w:color w:val="auto"/>
          <w:sz w:val="32"/>
          <w:szCs w:val="32"/>
          <w:highlight w:val="none"/>
        </w:rPr>
      </w:pP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日</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期：    年  月  日</w:t>
      </w:r>
    </w:p>
    <w:p>
      <w:pPr>
        <w:rPr>
          <w:rFonts w:ascii="仿宋" w:hAnsi="仿宋" w:eastAsia="仿宋"/>
          <w:color w:val="auto"/>
          <w:sz w:val="32"/>
          <w:szCs w:val="32"/>
          <w:highlight w:val="none"/>
        </w:rPr>
      </w:pPr>
      <w:r>
        <w:rPr>
          <w:rFonts w:ascii="仿宋" w:hAnsi="仿宋" w:eastAsia="仿宋"/>
          <w:color w:val="auto"/>
          <w:highlight w:val="none"/>
        </w:rPr>
        <w:br w:type="page"/>
      </w:r>
    </w:p>
    <w:p>
      <w:pPr>
        <w:pStyle w:val="4"/>
        <w:rPr>
          <w:color w:val="auto"/>
          <w:highlight w:val="none"/>
        </w:rPr>
      </w:pPr>
      <w:r>
        <w:rPr>
          <w:color w:val="auto"/>
          <w:highlight w:val="none"/>
        </w:rPr>
        <w:t>第六部分</w:t>
      </w:r>
      <w:r>
        <w:rPr>
          <w:rFonts w:hint="eastAsia"/>
          <w:color w:val="auto"/>
          <w:highlight w:val="none"/>
        </w:rPr>
        <w:t xml:space="preserve">  </w:t>
      </w:r>
      <w:r>
        <w:rPr>
          <w:color w:val="auto"/>
          <w:highlight w:val="none"/>
        </w:rPr>
        <w:t>投标方案</w:t>
      </w:r>
    </w:p>
    <w:p>
      <w:pPr>
        <w:rPr>
          <w:color w:val="auto"/>
          <w:highlight w:val="none"/>
        </w:rPr>
      </w:pPr>
    </w:p>
    <w:p>
      <w:pPr>
        <w:pStyle w:val="97"/>
        <w:spacing w:before="210" w:after="210"/>
        <w:rPr>
          <w:color w:val="auto"/>
          <w:highlight w:val="none"/>
        </w:rPr>
      </w:pPr>
      <w:r>
        <w:rPr>
          <w:rFonts w:hint="eastAsia"/>
          <w:color w:val="auto"/>
          <w:highlight w:val="none"/>
        </w:rPr>
        <w:t>（一）技术（服务）要求响应索引表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6"/>
        <w:gridCol w:w="3213"/>
        <w:gridCol w:w="3343"/>
        <w:gridCol w:w="14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序号</w:t>
            </w:r>
          </w:p>
        </w:tc>
        <w:tc>
          <w:tcPr>
            <w:tcW w:w="3381"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招标文件</w:t>
            </w:r>
            <w:r>
              <w:rPr>
                <w:rFonts w:hint="eastAsia" w:ascii="仿宋" w:hAnsi="仿宋" w:eastAsia="仿宋"/>
                <w:b/>
                <w:bCs/>
                <w:color w:val="auto"/>
                <w:sz w:val="28"/>
                <w:szCs w:val="28"/>
                <w:highlight w:val="none"/>
              </w:rPr>
              <w:t>条款</w:t>
            </w:r>
            <w:r>
              <w:rPr>
                <w:rFonts w:ascii="仿宋" w:hAnsi="仿宋" w:eastAsia="仿宋"/>
                <w:b/>
                <w:bCs/>
                <w:color w:val="auto"/>
                <w:sz w:val="28"/>
                <w:szCs w:val="28"/>
                <w:highlight w:val="none"/>
              </w:rPr>
              <w:t>明细</w:t>
            </w:r>
          </w:p>
        </w:tc>
        <w:tc>
          <w:tcPr>
            <w:tcW w:w="3519"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2" w:space="0"/>
            </w:tcBorders>
            <w:vAlign w:val="center"/>
          </w:tcPr>
          <w:p>
            <w:pPr>
              <w:jc w:val="center"/>
              <w:rPr>
                <w:rFonts w:ascii="仿宋" w:hAnsi="仿宋" w:eastAsia="仿宋"/>
                <w:color w:val="auto"/>
                <w:sz w:val="28"/>
                <w:szCs w:val="28"/>
                <w:highlight w:val="none"/>
              </w:rPr>
            </w:pPr>
          </w:p>
        </w:tc>
        <w:tc>
          <w:tcPr>
            <w:tcW w:w="3381" w:type="dxa"/>
            <w:tcBorders>
              <w:top w:val="single" w:color="auto" w:sz="2" w:space="0"/>
            </w:tcBorders>
            <w:vAlign w:val="center"/>
          </w:tcPr>
          <w:p>
            <w:pPr>
              <w:jc w:val="center"/>
              <w:rPr>
                <w:rFonts w:ascii="仿宋" w:hAnsi="仿宋" w:eastAsia="仿宋"/>
                <w:color w:val="auto"/>
                <w:sz w:val="28"/>
                <w:szCs w:val="28"/>
                <w:highlight w:val="none"/>
              </w:rPr>
            </w:pPr>
          </w:p>
        </w:tc>
        <w:tc>
          <w:tcPr>
            <w:tcW w:w="3519" w:type="dxa"/>
            <w:tcBorders>
              <w:top w:val="single" w:color="auto" w:sz="2" w:space="0"/>
            </w:tcBorders>
            <w:vAlign w:val="center"/>
          </w:tcPr>
          <w:p>
            <w:pPr>
              <w:jc w:val="center"/>
              <w:rPr>
                <w:rFonts w:ascii="仿宋" w:hAnsi="仿宋" w:eastAsia="仿宋"/>
                <w:color w:val="auto"/>
                <w:sz w:val="28"/>
                <w:szCs w:val="28"/>
                <w:highlight w:val="none"/>
              </w:rPr>
            </w:pPr>
          </w:p>
        </w:tc>
        <w:tc>
          <w:tcPr>
            <w:tcW w:w="1526" w:type="dxa"/>
            <w:tcBorders>
              <w:top w:val="single" w:color="auto" w:sz="2" w:space="0"/>
            </w:tcBorders>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color w:val="auto"/>
                <w:sz w:val="28"/>
                <w:szCs w:val="28"/>
                <w:highlight w:val="none"/>
              </w:rPr>
            </w:pPr>
          </w:p>
        </w:tc>
        <w:tc>
          <w:tcPr>
            <w:tcW w:w="3381" w:type="dxa"/>
            <w:vAlign w:val="center"/>
          </w:tcPr>
          <w:p>
            <w:pPr>
              <w:jc w:val="center"/>
              <w:rPr>
                <w:rFonts w:ascii="仿宋" w:hAnsi="仿宋" w:eastAsia="仿宋"/>
                <w:color w:val="auto"/>
                <w:sz w:val="28"/>
                <w:szCs w:val="28"/>
                <w:highlight w:val="none"/>
              </w:rPr>
            </w:pPr>
          </w:p>
        </w:tc>
        <w:tc>
          <w:tcPr>
            <w:tcW w:w="3519" w:type="dxa"/>
            <w:vAlign w:val="center"/>
          </w:tcPr>
          <w:p>
            <w:pPr>
              <w:jc w:val="center"/>
              <w:rPr>
                <w:rFonts w:ascii="仿宋" w:hAnsi="仿宋" w:eastAsia="仿宋"/>
                <w:color w:val="auto"/>
                <w:sz w:val="28"/>
                <w:szCs w:val="28"/>
                <w:highlight w:val="none"/>
              </w:rPr>
            </w:pPr>
          </w:p>
        </w:tc>
        <w:tc>
          <w:tcPr>
            <w:tcW w:w="1526"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color w:val="auto"/>
                <w:sz w:val="28"/>
                <w:szCs w:val="28"/>
                <w:highlight w:val="none"/>
              </w:rPr>
            </w:pPr>
          </w:p>
        </w:tc>
        <w:tc>
          <w:tcPr>
            <w:tcW w:w="3381" w:type="dxa"/>
            <w:vAlign w:val="center"/>
          </w:tcPr>
          <w:p>
            <w:pPr>
              <w:jc w:val="center"/>
              <w:rPr>
                <w:rFonts w:ascii="仿宋" w:hAnsi="仿宋" w:eastAsia="仿宋"/>
                <w:color w:val="auto"/>
                <w:sz w:val="28"/>
                <w:szCs w:val="28"/>
                <w:highlight w:val="none"/>
              </w:rPr>
            </w:pPr>
          </w:p>
        </w:tc>
        <w:tc>
          <w:tcPr>
            <w:tcW w:w="3519" w:type="dxa"/>
            <w:vAlign w:val="center"/>
          </w:tcPr>
          <w:p>
            <w:pPr>
              <w:jc w:val="center"/>
              <w:rPr>
                <w:rFonts w:ascii="仿宋" w:hAnsi="仿宋" w:eastAsia="仿宋"/>
                <w:color w:val="auto"/>
                <w:sz w:val="28"/>
                <w:szCs w:val="28"/>
                <w:highlight w:val="none"/>
              </w:rPr>
            </w:pPr>
          </w:p>
        </w:tc>
        <w:tc>
          <w:tcPr>
            <w:tcW w:w="1526"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color w:val="auto"/>
                <w:sz w:val="28"/>
                <w:szCs w:val="28"/>
                <w:highlight w:val="none"/>
              </w:rPr>
            </w:pPr>
          </w:p>
        </w:tc>
        <w:tc>
          <w:tcPr>
            <w:tcW w:w="3381" w:type="dxa"/>
            <w:vAlign w:val="center"/>
          </w:tcPr>
          <w:p>
            <w:pPr>
              <w:jc w:val="center"/>
              <w:rPr>
                <w:rFonts w:ascii="仿宋" w:hAnsi="仿宋" w:eastAsia="仿宋"/>
                <w:color w:val="auto"/>
                <w:sz w:val="28"/>
                <w:szCs w:val="28"/>
                <w:highlight w:val="none"/>
              </w:rPr>
            </w:pPr>
          </w:p>
        </w:tc>
        <w:tc>
          <w:tcPr>
            <w:tcW w:w="3519" w:type="dxa"/>
            <w:vAlign w:val="center"/>
          </w:tcPr>
          <w:p>
            <w:pPr>
              <w:jc w:val="center"/>
              <w:rPr>
                <w:rFonts w:ascii="仿宋" w:hAnsi="仿宋" w:eastAsia="仿宋"/>
                <w:color w:val="auto"/>
                <w:sz w:val="28"/>
                <w:szCs w:val="28"/>
                <w:highlight w:val="none"/>
              </w:rPr>
            </w:pPr>
          </w:p>
        </w:tc>
        <w:tc>
          <w:tcPr>
            <w:tcW w:w="1526"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color w:val="auto"/>
                <w:sz w:val="28"/>
                <w:szCs w:val="28"/>
                <w:highlight w:val="none"/>
              </w:rPr>
            </w:pPr>
          </w:p>
        </w:tc>
        <w:tc>
          <w:tcPr>
            <w:tcW w:w="3381" w:type="dxa"/>
            <w:vAlign w:val="center"/>
          </w:tcPr>
          <w:p>
            <w:pPr>
              <w:jc w:val="center"/>
              <w:rPr>
                <w:rFonts w:ascii="仿宋" w:hAnsi="仿宋" w:eastAsia="仿宋"/>
                <w:color w:val="auto"/>
                <w:sz w:val="28"/>
                <w:szCs w:val="28"/>
                <w:highlight w:val="none"/>
              </w:rPr>
            </w:pPr>
          </w:p>
        </w:tc>
        <w:tc>
          <w:tcPr>
            <w:tcW w:w="3519" w:type="dxa"/>
            <w:vAlign w:val="center"/>
          </w:tcPr>
          <w:p>
            <w:pPr>
              <w:jc w:val="center"/>
              <w:rPr>
                <w:rFonts w:ascii="仿宋" w:hAnsi="仿宋" w:eastAsia="仿宋"/>
                <w:color w:val="auto"/>
                <w:sz w:val="28"/>
                <w:szCs w:val="28"/>
                <w:highlight w:val="none"/>
              </w:rPr>
            </w:pPr>
          </w:p>
        </w:tc>
        <w:tc>
          <w:tcPr>
            <w:tcW w:w="1526"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color w:val="auto"/>
                <w:sz w:val="28"/>
                <w:szCs w:val="28"/>
                <w:highlight w:val="none"/>
              </w:rPr>
            </w:pPr>
          </w:p>
        </w:tc>
        <w:tc>
          <w:tcPr>
            <w:tcW w:w="3381" w:type="dxa"/>
            <w:vAlign w:val="center"/>
          </w:tcPr>
          <w:p>
            <w:pPr>
              <w:jc w:val="center"/>
              <w:rPr>
                <w:rFonts w:ascii="仿宋" w:hAnsi="仿宋" w:eastAsia="仿宋"/>
                <w:color w:val="auto"/>
                <w:sz w:val="28"/>
                <w:szCs w:val="28"/>
                <w:highlight w:val="none"/>
              </w:rPr>
            </w:pPr>
          </w:p>
        </w:tc>
        <w:tc>
          <w:tcPr>
            <w:tcW w:w="3519" w:type="dxa"/>
            <w:vAlign w:val="center"/>
          </w:tcPr>
          <w:p>
            <w:pPr>
              <w:jc w:val="center"/>
              <w:rPr>
                <w:rFonts w:ascii="仿宋" w:hAnsi="仿宋" w:eastAsia="仿宋"/>
                <w:color w:val="auto"/>
                <w:sz w:val="28"/>
                <w:szCs w:val="28"/>
                <w:highlight w:val="none"/>
              </w:rPr>
            </w:pPr>
          </w:p>
        </w:tc>
        <w:tc>
          <w:tcPr>
            <w:tcW w:w="1526"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备注</w:t>
            </w:r>
          </w:p>
        </w:tc>
        <w:tc>
          <w:tcPr>
            <w:tcW w:w="8426" w:type="dxa"/>
            <w:gridSpan w:val="3"/>
            <w:vAlign w:val="center"/>
          </w:tcPr>
          <w:p>
            <w:pPr>
              <w:numPr>
                <w:ilvl w:val="0"/>
                <w:numId w:val="7"/>
              </w:numPr>
              <w:jc w:val="both"/>
              <w:rPr>
                <w:rFonts w:ascii="仿宋" w:hAnsi="仿宋" w:eastAsia="仿宋"/>
                <w:color w:val="auto"/>
                <w:sz w:val="28"/>
                <w:szCs w:val="28"/>
                <w:highlight w:val="none"/>
              </w:rPr>
            </w:pPr>
            <w:r>
              <w:rPr>
                <w:rFonts w:ascii="仿宋" w:hAnsi="仿宋" w:eastAsia="仿宋"/>
                <w:color w:val="auto"/>
                <w:sz w:val="28"/>
                <w:szCs w:val="28"/>
                <w:highlight w:val="none"/>
              </w:rPr>
              <w:t>对第三章中的技术（服务）要求做出响应。</w:t>
            </w:r>
          </w:p>
          <w:p>
            <w:pPr>
              <w:numPr>
                <w:ilvl w:val="0"/>
                <w:numId w:val="7"/>
              </w:numPr>
              <w:jc w:val="both"/>
              <w:rPr>
                <w:rFonts w:ascii="仿宋" w:hAnsi="仿宋" w:eastAsia="仿宋"/>
                <w:color w:val="auto"/>
                <w:sz w:val="28"/>
                <w:szCs w:val="28"/>
                <w:highlight w:val="none"/>
              </w:rPr>
            </w:pPr>
            <w:r>
              <w:rPr>
                <w:rFonts w:ascii="仿宋" w:hAnsi="仿宋" w:eastAsia="仿宋"/>
                <w:color w:val="auto"/>
                <w:sz w:val="28"/>
                <w:szCs w:val="28"/>
                <w:highlight w:val="none"/>
              </w:rPr>
              <w:t>响应说明按实际响应情况填写“优于”、“</w:t>
            </w:r>
            <w:r>
              <w:rPr>
                <w:rFonts w:hint="eastAsia" w:ascii="仿宋" w:hAnsi="仿宋" w:eastAsia="仿宋"/>
                <w:color w:val="auto"/>
                <w:sz w:val="28"/>
                <w:szCs w:val="28"/>
                <w:highlight w:val="none"/>
              </w:rPr>
              <w:t>响应</w:t>
            </w:r>
            <w:r>
              <w:rPr>
                <w:rFonts w:ascii="仿宋" w:hAnsi="仿宋" w:eastAsia="仿宋"/>
                <w:color w:val="auto"/>
                <w:sz w:val="28"/>
                <w:szCs w:val="28"/>
                <w:highlight w:val="none"/>
              </w:rPr>
              <w:t>”、“</w:t>
            </w:r>
            <w:r>
              <w:rPr>
                <w:rFonts w:hint="eastAsia" w:ascii="仿宋" w:hAnsi="仿宋" w:eastAsia="仿宋"/>
                <w:color w:val="auto"/>
                <w:sz w:val="28"/>
                <w:szCs w:val="28"/>
                <w:highlight w:val="none"/>
              </w:rPr>
              <w:t>不响应</w:t>
            </w:r>
            <w:r>
              <w:rPr>
                <w:rFonts w:ascii="仿宋" w:hAnsi="仿宋" w:eastAsia="仿宋"/>
                <w:color w:val="auto"/>
                <w:sz w:val="28"/>
                <w:szCs w:val="28"/>
                <w:highlight w:val="none"/>
              </w:rPr>
              <w:t>”。</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．“响应索引”单元格中注明引用位置，如“见技术（服务）响应方案4</w:t>
            </w:r>
            <w:r>
              <w:rPr>
                <w:rFonts w:ascii="仿宋" w:hAnsi="仿宋" w:eastAsia="仿宋"/>
                <w:color w:val="auto"/>
                <w:sz w:val="28"/>
                <w:szCs w:val="28"/>
                <w:highlight w:val="none"/>
              </w:rPr>
              <w:t>.1.1</w:t>
            </w:r>
            <w:r>
              <w:rPr>
                <w:rFonts w:hint="eastAsia" w:ascii="仿宋" w:hAnsi="仿宋" w:eastAsia="仿宋"/>
                <w:color w:val="auto"/>
                <w:sz w:val="28"/>
                <w:szCs w:val="28"/>
                <w:highlight w:val="none"/>
              </w:rPr>
              <w:t>”。</w:t>
            </w:r>
          </w:p>
        </w:tc>
      </w:tr>
    </w:tbl>
    <w:p>
      <w:pPr>
        <w:spacing w:line="560" w:lineRule="exact"/>
        <w:jc w:val="both"/>
        <w:rPr>
          <w:rFonts w:ascii="仿宋" w:hAnsi="仿宋" w:eastAsia="仿宋"/>
          <w:color w:val="auto"/>
          <w:sz w:val="32"/>
          <w:szCs w:val="32"/>
          <w:highlight w:val="none"/>
        </w:rPr>
      </w:pP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附：技术（服务）响应方案</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br w:type="page"/>
      </w:r>
    </w:p>
    <w:p>
      <w:pPr>
        <w:pStyle w:val="97"/>
        <w:spacing w:before="210" w:after="210"/>
        <w:rPr>
          <w:color w:val="auto"/>
          <w:highlight w:val="none"/>
        </w:rPr>
      </w:pPr>
      <w:r>
        <w:rPr>
          <w:rFonts w:hint="eastAsia"/>
          <w:color w:val="auto"/>
          <w:highlight w:val="none"/>
        </w:rPr>
        <w:t>（二）商务要求响应索引表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6"/>
        <w:gridCol w:w="3213"/>
        <w:gridCol w:w="3343"/>
        <w:gridCol w:w="14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序号</w:t>
            </w:r>
          </w:p>
        </w:tc>
        <w:tc>
          <w:tcPr>
            <w:tcW w:w="3381"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招标文件</w:t>
            </w:r>
            <w:r>
              <w:rPr>
                <w:rFonts w:hint="eastAsia" w:ascii="仿宋" w:hAnsi="仿宋" w:eastAsia="仿宋"/>
                <w:b/>
                <w:bCs/>
                <w:color w:val="auto"/>
                <w:sz w:val="28"/>
                <w:szCs w:val="28"/>
                <w:highlight w:val="none"/>
              </w:rPr>
              <w:t>条款</w:t>
            </w:r>
            <w:r>
              <w:rPr>
                <w:rFonts w:ascii="仿宋" w:hAnsi="仿宋" w:eastAsia="仿宋"/>
                <w:b/>
                <w:bCs/>
                <w:color w:val="auto"/>
                <w:sz w:val="28"/>
                <w:szCs w:val="28"/>
                <w:highlight w:val="none"/>
              </w:rPr>
              <w:t>明细</w:t>
            </w:r>
          </w:p>
        </w:tc>
        <w:tc>
          <w:tcPr>
            <w:tcW w:w="3519"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vAlign w:val="center"/>
          </w:tcPr>
          <w:p>
            <w:pPr>
              <w:spacing w:line="560" w:lineRule="exact"/>
              <w:jc w:val="center"/>
              <w:rPr>
                <w:rFonts w:ascii="仿宋" w:hAnsi="仿宋" w:eastAsia="仿宋"/>
                <w:color w:val="auto"/>
                <w:sz w:val="28"/>
                <w:szCs w:val="28"/>
                <w:highlight w:val="none"/>
              </w:rPr>
            </w:pPr>
          </w:p>
        </w:tc>
        <w:tc>
          <w:tcPr>
            <w:tcW w:w="3381" w:type="dxa"/>
            <w:tcBorders>
              <w:top w:val="single" w:color="auto" w:sz="2" w:space="0"/>
            </w:tcBorders>
            <w:vAlign w:val="center"/>
          </w:tcPr>
          <w:p>
            <w:pPr>
              <w:spacing w:line="560" w:lineRule="exact"/>
              <w:jc w:val="center"/>
              <w:rPr>
                <w:rFonts w:ascii="仿宋" w:hAnsi="仿宋" w:eastAsia="仿宋"/>
                <w:color w:val="auto"/>
                <w:sz w:val="28"/>
                <w:szCs w:val="28"/>
                <w:highlight w:val="none"/>
              </w:rPr>
            </w:pPr>
          </w:p>
        </w:tc>
        <w:tc>
          <w:tcPr>
            <w:tcW w:w="3519" w:type="dxa"/>
            <w:tcBorders>
              <w:top w:val="single" w:color="auto" w:sz="2" w:space="0"/>
            </w:tcBorders>
            <w:vAlign w:val="center"/>
          </w:tcPr>
          <w:p>
            <w:pPr>
              <w:spacing w:line="560" w:lineRule="exact"/>
              <w:jc w:val="center"/>
              <w:rPr>
                <w:rFonts w:ascii="仿宋" w:hAnsi="仿宋" w:eastAsia="仿宋"/>
                <w:color w:val="auto"/>
                <w:sz w:val="28"/>
                <w:szCs w:val="28"/>
                <w:highlight w:val="none"/>
              </w:rPr>
            </w:pPr>
          </w:p>
        </w:tc>
        <w:tc>
          <w:tcPr>
            <w:tcW w:w="1526" w:type="dxa"/>
            <w:tcBorders>
              <w:top w:val="single" w:color="auto" w:sz="2" w:space="0"/>
            </w:tcBorders>
            <w:vAlign w:val="center"/>
          </w:tcPr>
          <w:p>
            <w:pPr>
              <w:spacing w:line="560" w:lineRule="exact"/>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color w:val="auto"/>
                <w:sz w:val="28"/>
                <w:szCs w:val="28"/>
                <w:highlight w:val="none"/>
              </w:rPr>
            </w:pPr>
          </w:p>
        </w:tc>
        <w:tc>
          <w:tcPr>
            <w:tcW w:w="3381" w:type="dxa"/>
            <w:vAlign w:val="center"/>
          </w:tcPr>
          <w:p>
            <w:pPr>
              <w:spacing w:line="560" w:lineRule="exact"/>
              <w:jc w:val="center"/>
              <w:rPr>
                <w:rFonts w:ascii="仿宋" w:hAnsi="仿宋" w:eastAsia="仿宋"/>
                <w:color w:val="auto"/>
                <w:sz w:val="28"/>
                <w:szCs w:val="28"/>
                <w:highlight w:val="none"/>
              </w:rPr>
            </w:pPr>
          </w:p>
        </w:tc>
        <w:tc>
          <w:tcPr>
            <w:tcW w:w="3519" w:type="dxa"/>
            <w:vAlign w:val="center"/>
          </w:tcPr>
          <w:p>
            <w:pPr>
              <w:spacing w:line="560" w:lineRule="exact"/>
              <w:jc w:val="center"/>
              <w:rPr>
                <w:rFonts w:ascii="仿宋" w:hAnsi="仿宋" w:eastAsia="仿宋"/>
                <w:color w:val="auto"/>
                <w:sz w:val="28"/>
                <w:szCs w:val="28"/>
                <w:highlight w:val="none"/>
              </w:rPr>
            </w:pPr>
          </w:p>
        </w:tc>
        <w:tc>
          <w:tcPr>
            <w:tcW w:w="1526" w:type="dxa"/>
            <w:vAlign w:val="center"/>
          </w:tcPr>
          <w:p>
            <w:pPr>
              <w:spacing w:line="560" w:lineRule="exact"/>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color w:val="auto"/>
                <w:sz w:val="28"/>
                <w:szCs w:val="28"/>
                <w:highlight w:val="none"/>
              </w:rPr>
            </w:pPr>
          </w:p>
        </w:tc>
        <w:tc>
          <w:tcPr>
            <w:tcW w:w="3381" w:type="dxa"/>
            <w:vAlign w:val="center"/>
          </w:tcPr>
          <w:p>
            <w:pPr>
              <w:spacing w:line="560" w:lineRule="exact"/>
              <w:jc w:val="center"/>
              <w:rPr>
                <w:rFonts w:ascii="仿宋" w:hAnsi="仿宋" w:eastAsia="仿宋"/>
                <w:color w:val="auto"/>
                <w:sz w:val="28"/>
                <w:szCs w:val="28"/>
                <w:highlight w:val="none"/>
              </w:rPr>
            </w:pPr>
          </w:p>
        </w:tc>
        <w:tc>
          <w:tcPr>
            <w:tcW w:w="3519" w:type="dxa"/>
            <w:vAlign w:val="center"/>
          </w:tcPr>
          <w:p>
            <w:pPr>
              <w:spacing w:line="560" w:lineRule="exact"/>
              <w:jc w:val="center"/>
              <w:rPr>
                <w:rFonts w:ascii="仿宋" w:hAnsi="仿宋" w:eastAsia="仿宋"/>
                <w:color w:val="auto"/>
                <w:sz w:val="28"/>
                <w:szCs w:val="28"/>
                <w:highlight w:val="none"/>
              </w:rPr>
            </w:pPr>
          </w:p>
        </w:tc>
        <w:tc>
          <w:tcPr>
            <w:tcW w:w="1526" w:type="dxa"/>
            <w:vAlign w:val="center"/>
          </w:tcPr>
          <w:p>
            <w:pPr>
              <w:spacing w:line="560" w:lineRule="exact"/>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color w:val="auto"/>
                <w:sz w:val="28"/>
                <w:szCs w:val="28"/>
                <w:highlight w:val="none"/>
              </w:rPr>
            </w:pPr>
          </w:p>
        </w:tc>
        <w:tc>
          <w:tcPr>
            <w:tcW w:w="3381" w:type="dxa"/>
            <w:vAlign w:val="center"/>
          </w:tcPr>
          <w:p>
            <w:pPr>
              <w:spacing w:line="560" w:lineRule="exact"/>
              <w:jc w:val="center"/>
              <w:rPr>
                <w:rFonts w:ascii="仿宋" w:hAnsi="仿宋" w:eastAsia="仿宋"/>
                <w:color w:val="auto"/>
                <w:sz w:val="28"/>
                <w:szCs w:val="28"/>
                <w:highlight w:val="none"/>
              </w:rPr>
            </w:pPr>
          </w:p>
        </w:tc>
        <w:tc>
          <w:tcPr>
            <w:tcW w:w="3519" w:type="dxa"/>
            <w:vAlign w:val="center"/>
          </w:tcPr>
          <w:p>
            <w:pPr>
              <w:spacing w:line="560" w:lineRule="exact"/>
              <w:jc w:val="center"/>
              <w:rPr>
                <w:rFonts w:ascii="仿宋" w:hAnsi="仿宋" w:eastAsia="仿宋"/>
                <w:color w:val="auto"/>
                <w:sz w:val="28"/>
                <w:szCs w:val="28"/>
                <w:highlight w:val="none"/>
              </w:rPr>
            </w:pPr>
          </w:p>
        </w:tc>
        <w:tc>
          <w:tcPr>
            <w:tcW w:w="1526" w:type="dxa"/>
            <w:vAlign w:val="center"/>
          </w:tcPr>
          <w:p>
            <w:pPr>
              <w:spacing w:line="560" w:lineRule="exact"/>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color w:val="auto"/>
                <w:sz w:val="28"/>
                <w:szCs w:val="28"/>
                <w:highlight w:val="none"/>
              </w:rPr>
            </w:pPr>
          </w:p>
        </w:tc>
        <w:tc>
          <w:tcPr>
            <w:tcW w:w="3381" w:type="dxa"/>
            <w:vAlign w:val="center"/>
          </w:tcPr>
          <w:p>
            <w:pPr>
              <w:spacing w:line="560" w:lineRule="exact"/>
              <w:jc w:val="center"/>
              <w:rPr>
                <w:rFonts w:ascii="仿宋" w:hAnsi="仿宋" w:eastAsia="仿宋"/>
                <w:color w:val="auto"/>
                <w:sz w:val="28"/>
                <w:szCs w:val="28"/>
                <w:highlight w:val="none"/>
              </w:rPr>
            </w:pPr>
          </w:p>
        </w:tc>
        <w:tc>
          <w:tcPr>
            <w:tcW w:w="3519" w:type="dxa"/>
            <w:vAlign w:val="center"/>
          </w:tcPr>
          <w:p>
            <w:pPr>
              <w:spacing w:line="560" w:lineRule="exact"/>
              <w:jc w:val="center"/>
              <w:rPr>
                <w:rFonts w:ascii="仿宋" w:hAnsi="仿宋" w:eastAsia="仿宋"/>
                <w:color w:val="auto"/>
                <w:sz w:val="28"/>
                <w:szCs w:val="28"/>
                <w:highlight w:val="none"/>
              </w:rPr>
            </w:pPr>
          </w:p>
        </w:tc>
        <w:tc>
          <w:tcPr>
            <w:tcW w:w="1526" w:type="dxa"/>
            <w:vAlign w:val="center"/>
          </w:tcPr>
          <w:p>
            <w:pPr>
              <w:spacing w:line="560" w:lineRule="exact"/>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color w:val="auto"/>
                <w:sz w:val="28"/>
                <w:szCs w:val="28"/>
                <w:highlight w:val="none"/>
              </w:rPr>
            </w:pPr>
          </w:p>
        </w:tc>
        <w:tc>
          <w:tcPr>
            <w:tcW w:w="3381" w:type="dxa"/>
            <w:vAlign w:val="center"/>
          </w:tcPr>
          <w:p>
            <w:pPr>
              <w:spacing w:line="560" w:lineRule="exact"/>
              <w:jc w:val="center"/>
              <w:rPr>
                <w:rFonts w:ascii="仿宋" w:hAnsi="仿宋" w:eastAsia="仿宋"/>
                <w:color w:val="auto"/>
                <w:sz w:val="28"/>
                <w:szCs w:val="28"/>
                <w:highlight w:val="none"/>
              </w:rPr>
            </w:pPr>
          </w:p>
        </w:tc>
        <w:tc>
          <w:tcPr>
            <w:tcW w:w="3519" w:type="dxa"/>
            <w:vAlign w:val="center"/>
          </w:tcPr>
          <w:p>
            <w:pPr>
              <w:spacing w:line="560" w:lineRule="exact"/>
              <w:jc w:val="center"/>
              <w:rPr>
                <w:rFonts w:ascii="仿宋" w:hAnsi="仿宋" w:eastAsia="仿宋"/>
                <w:color w:val="auto"/>
                <w:sz w:val="28"/>
                <w:szCs w:val="28"/>
                <w:highlight w:val="none"/>
              </w:rPr>
            </w:pPr>
          </w:p>
        </w:tc>
        <w:tc>
          <w:tcPr>
            <w:tcW w:w="1526" w:type="dxa"/>
            <w:vAlign w:val="center"/>
          </w:tcPr>
          <w:p>
            <w:pPr>
              <w:spacing w:line="560" w:lineRule="exact"/>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备注</w:t>
            </w:r>
          </w:p>
        </w:tc>
        <w:tc>
          <w:tcPr>
            <w:tcW w:w="8426" w:type="dxa"/>
            <w:gridSpan w:val="3"/>
            <w:vAlign w:val="center"/>
          </w:tcPr>
          <w:p>
            <w:pPr>
              <w:spacing w:line="560" w:lineRule="exact"/>
              <w:jc w:val="both"/>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r>
              <w:rPr>
                <w:rFonts w:ascii="仿宋" w:hAnsi="仿宋" w:eastAsia="仿宋"/>
                <w:color w:val="auto"/>
                <w:sz w:val="28"/>
                <w:szCs w:val="28"/>
                <w:highlight w:val="none"/>
              </w:rPr>
              <w:t>对第三章中的商务要求做出响应。</w:t>
            </w:r>
          </w:p>
          <w:p>
            <w:pPr>
              <w:spacing w:line="560" w:lineRule="exact"/>
              <w:jc w:val="both"/>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响应说明按实际响应情况填写“优于”、“</w:t>
            </w:r>
            <w:r>
              <w:rPr>
                <w:rFonts w:hint="eastAsia" w:ascii="仿宋" w:hAnsi="仿宋" w:eastAsia="仿宋"/>
                <w:color w:val="auto"/>
                <w:sz w:val="28"/>
                <w:szCs w:val="28"/>
                <w:highlight w:val="none"/>
              </w:rPr>
              <w:t>响应</w:t>
            </w:r>
            <w:r>
              <w:rPr>
                <w:rFonts w:ascii="仿宋" w:hAnsi="仿宋" w:eastAsia="仿宋"/>
                <w:color w:val="auto"/>
                <w:sz w:val="28"/>
                <w:szCs w:val="28"/>
                <w:highlight w:val="none"/>
              </w:rPr>
              <w:t>”、“</w:t>
            </w:r>
            <w:r>
              <w:rPr>
                <w:rFonts w:hint="eastAsia" w:ascii="仿宋" w:hAnsi="仿宋" w:eastAsia="仿宋"/>
                <w:color w:val="auto"/>
                <w:sz w:val="28"/>
                <w:szCs w:val="28"/>
                <w:highlight w:val="none"/>
              </w:rPr>
              <w:t>不响应</w:t>
            </w:r>
            <w:r>
              <w:rPr>
                <w:rFonts w:ascii="仿宋" w:hAnsi="仿宋" w:eastAsia="仿宋"/>
                <w:color w:val="auto"/>
                <w:sz w:val="28"/>
                <w:szCs w:val="28"/>
                <w:highlight w:val="none"/>
              </w:rPr>
              <w:t>”。</w:t>
            </w:r>
          </w:p>
          <w:p>
            <w:pPr>
              <w:spacing w:line="560" w:lineRule="exact"/>
              <w:jc w:val="both"/>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．“响应索引”单元格中注明引用位置，如“见商务响应方案4</w:t>
            </w:r>
            <w:r>
              <w:rPr>
                <w:rFonts w:ascii="仿宋" w:hAnsi="仿宋" w:eastAsia="仿宋"/>
                <w:color w:val="auto"/>
                <w:sz w:val="28"/>
                <w:szCs w:val="28"/>
                <w:highlight w:val="none"/>
              </w:rPr>
              <w:t>.1.1</w:t>
            </w:r>
            <w:r>
              <w:rPr>
                <w:rFonts w:hint="eastAsia" w:ascii="仿宋" w:hAnsi="仿宋" w:eastAsia="仿宋"/>
                <w:color w:val="auto"/>
                <w:sz w:val="28"/>
                <w:szCs w:val="28"/>
                <w:highlight w:val="none"/>
              </w:rPr>
              <w:t>”。</w:t>
            </w:r>
          </w:p>
        </w:tc>
      </w:tr>
    </w:tbl>
    <w:p>
      <w:pPr>
        <w:spacing w:line="560" w:lineRule="exact"/>
        <w:jc w:val="both"/>
        <w:rPr>
          <w:rFonts w:ascii="仿宋" w:hAnsi="仿宋" w:eastAsia="仿宋"/>
          <w:color w:val="auto"/>
          <w:sz w:val="32"/>
          <w:szCs w:val="32"/>
          <w:highlight w:val="none"/>
        </w:rPr>
      </w:pPr>
    </w:p>
    <w:p>
      <w:pPr>
        <w:spacing w:line="560" w:lineRule="exact"/>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附：商务响应方案</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br w:type="page"/>
      </w:r>
    </w:p>
    <w:p>
      <w:pPr>
        <w:pStyle w:val="97"/>
        <w:spacing w:before="210" w:after="210"/>
        <w:rPr>
          <w:color w:val="auto"/>
          <w:highlight w:val="none"/>
        </w:rPr>
      </w:pPr>
      <w:r>
        <w:rPr>
          <w:color w:val="auto"/>
          <w:highlight w:val="none"/>
        </w:rPr>
        <w:t>（三）合同条款响应</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ascii="仿宋" w:hAnsi="仿宋" w:eastAsia="仿宋"/>
                <w:color w:val="auto"/>
                <w:sz w:val="28"/>
                <w:szCs w:val="28"/>
                <w:highlight w:val="none"/>
              </w:rPr>
            </w:pPr>
          </w:p>
        </w:tc>
        <w:tc>
          <w:tcPr>
            <w:tcW w:w="1549" w:type="dxa"/>
            <w:tcBorders>
              <w:top w:val="single" w:color="auto" w:sz="2" w:space="0"/>
            </w:tcBorders>
            <w:vAlign w:val="center"/>
          </w:tcPr>
          <w:p>
            <w:pPr>
              <w:jc w:val="center"/>
              <w:rPr>
                <w:rFonts w:ascii="仿宋" w:hAnsi="仿宋" w:eastAsia="仿宋"/>
                <w:color w:val="auto"/>
                <w:sz w:val="28"/>
                <w:szCs w:val="28"/>
                <w:highlight w:val="none"/>
              </w:rPr>
            </w:pPr>
          </w:p>
        </w:tc>
        <w:tc>
          <w:tcPr>
            <w:tcW w:w="2518" w:type="dxa"/>
            <w:tcBorders>
              <w:top w:val="single" w:color="auto" w:sz="2" w:space="0"/>
            </w:tcBorders>
            <w:vAlign w:val="center"/>
          </w:tcPr>
          <w:p>
            <w:pPr>
              <w:jc w:val="center"/>
              <w:rPr>
                <w:rFonts w:ascii="仿宋" w:hAnsi="仿宋" w:eastAsia="仿宋"/>
                <w:color w:val="auto"/>
                <w:sz w:val="28"/>
                <w:szCs w:val="28"/>
                <w:highlight w:val="none"/>
              </w:rPr>
            </w:pPr>
          </w:p>
        </w:tc>
        <w:tc>
          <w:tcPr>
            <w:tcW w:w="2533" w:type="dxa"/>
            <w:tcBorders>
              <w:top w:val="single" w:color="auto" w:sz="2" w:space="0"/>
            </w:tcBorders>
            <w:vAlign w:val="center"/>
          </w:tcPr>
          <w:p>
            <w:pPr>
              <w:jc w:val="center"/>
              <w:rPr>
                <w:rFonts w:ascii="仿宋" w:hAnsi="仿宋" w:eastAsia="仿宋"/>
                <w:color w:val="auto"/>
                <w:sz w:val="28"/>
                <w:szCs w:val="28"/>
                <w:highlight w:val="none"/>
              </w:rPr>
            </w:pPr>
          </w:p>
        </w:tc>
        <w:tc>
          <w:tcPr>
            <w:tcW w:w="1282" w:type="dxa"/>
            <w:tcBorders>
              <w:top w:val="single" w:color="auto" w:sz="2" w:space="0"/>
            </w:tcBorders>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color w:val="auto"/>
                <w:sz w:val="28"/>
                <w:szCs w:val="28"/>
                <w:highlight w:val="none"/>
              </w:rPr>
            </w:pPr>
          </w:p>
        </w:tc>
        <w:tc>
          <w:tcPr>
            <w:tcW w:w="1549" w:type="dxa"/>
            <w:vAlign w:val="center"/>
          </w:tcPr>
          <w:p>
            <w:pPr>
              <w:jc w:val="center"/>
              <w:rPr>
                <w:rFonts w:ascii="仿宋" w:hAnsi="仿宋" w:eastAsia="仿宋"/>
                <w:color w:val="auto"/>
                <w:sz w:val="28"/>
                <w:szCs w:val="28"/>
                <w:highlight w:val="none"/>
              </w:rPr>
            </w:pPr>
          </w:p>
        </w:tc>
        <w:tc>
          <w:tcPr>
            <w:tcW w:w="2518" w:type="dxa"/>
            <w:vAlign w:val="center"/>
          </w:tcPr>
          <w:p>
            <w:pPr>
              <w:jc w:val="center"/>
              <w:rPr>
                <w:rFonts w:ascii="仿宋" w:hAnsi="仿宋" w:eastAsia="仿宋"/>
                <w:color w:val="auto"/>
                <w:sz w:val="28"/>
                <w:szCs w:val="28"/>
                <w:highlight w:val="none"/>
              </w:rPr>
            </w:pPr>
          </w:p>
        </w:tc>
        <w:tc>
          <w:tcPr>
            <w:tcW w:w="2533" w:type="dxa"/>
            <w:vAlign w:val="center"/>
          </w:tcPr>
          <w:p>
            <w:pPr>
              <w:jc w:val="center"/>
              <w:rPr>
                <w:rFonts w:ascii="仿宋" w:hAnsi="仿宋" w:eastAsia="仿宋"/>
                <w:color w:val="auto"/>
                <w:sz w:val="28"/>
                <w:szCs w:val="28"/>
                <w:highlight w:val="none"/>
              </w:rPr>
            </w:pPr>
          </w:p>
        </w:tc>
        <w:tc>
          <w:tcPr>
            <w:tcW w:w="1282"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color w:val="auto"/>
                <w:sz w:val="28"/>
                <w:szCs w:val="28"/>
                <w:highlight w:val="none"/>
              </w:rPr>
            </w:pPr>
          </w:p>
        </w:tc>
        <w:tc>
          <w:tcPr>
            <w:tcW w:w="1549" w:type="dxa"/>
            <w:vAlign w:val="center"/>
          </w:tcPr>
          <w:p>
            <w:pPr>
              <w:jc w:val="center"/>
              <w:rPr>
                <w:rFonts w:ascii="仿宋" w:hAnsi="仿宋" w:eastAsia="仿宋"/>
                <w:color w:val="auto"/>
                <w:sz w:val="28"/>
                <w:szCs w:val="28"/>
                <w:highlight w:val="none"/>
              </w:rPr>
            </w:pPr>
          </w:p>
        </w:tc>
        <w:tc>
          <w:tcPr>
            <w:tcW w:w="2518" w:type="dxa"/>
            <w:vAlign w:val="center"/>
          </w:tcPr>
          <w:p>
            <w:pPr>
              <w:jc w:val="center"/>
              <w:rPr>
                <w:rFonts w:ascii="仿宋" w:hAnsi="仿宋" w:eastAsia="仿宋"/>
                <w:color w:val="auto"/>
                <w:sz w:val="28"/>
                <w:szCs w:val="28"/>
                <w:highlight w:val="none"/>
              </w:rPr>
            </w:pPr>
          </w:p>
        </w:tc>
        <w:tc>
          <w:tcPr>
            <w:tcW w:w="2533" w:type="dxa"/>
            <w:vAlign w:val="center"/>
          </w:tcPr>
          <w:p>
            <w:pPr>
              <w:jc w:val="center"/>
              <w:rPr>
                <w:rFonts w:ascii="仿宋" w:hAnsi="仿宋" w:eastAsia="仿宋"/>
                <w:color w:val="auto"/>
                <w:sz w:val="28"/>
                <w:szCs w:val="28"/>
                <w:highlight w:val="none"/>
              </w:rPr>
            </w:pPr>
          </w:p>
        </w:tc>
        <w:tc>
          <w:tcPr>
            <w:tcW w:w="1282"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color w:val="auto"/>
                <w:sz w:val="28"/>
                <w:szCs w:val="28"/>
                <w:highlight w:val="none"/>
              </w:rPr>
            </w:pPr>
          </w:p>
        </w:tc>
        <w:tc>
          <w:tcPr>
            <w:tcW w:w="1549" w:type="dxa"/>
            <w:vAlign w:val="center"/>
          </w:tcPr>
          <w:p>
            <w:pPr>
              <w:jc w:val="center"/>
              <w:rPr>
                <w:rFonts w:ascii="仿宋" w:hAnsi="仿宋" w:eastAsia="仿宋"/>
                <w:color w:val="auto"/>
                <w:sz w:val="28"/>
                <w:szCs w:val="28"/>
                <w:highlight w:val="none"/>
              </w:rPr>
            </w:pPr>
          </w:p>
        </w:tc>
        <w:tc>
          <w:tcPr>
            <w:tcW w:w="2518" w:type="dxa"/>
            <w:vAlign w:val="center"/>
          </w:tcPr>
          <w:p>
            <w:pPr>
              <w:jc w:val="center"/>
              <w:rPr>
                <w:rFonts w:ascii="仿宋" w:hAnsi="仿宋" w:eastAsia="仿宋"/>
                <w:color w:val="auto"/>
                <w:sz w:val="28"/>
                <w:szCs w:val="28"/>
                <w:highlight w:val="none"/>
              </w:rPr>
            </w:pPr>
          </w:p>
        </w:tc>
        <w:tc>
          <w:tcPr>
            <w:tcW w:w="2533" w:type="dxa"/>
            <w:vAlign w:val="center"/>
          </w:tcPr>
          <w:p>
            <w:pPr>
              <w:jc w:val="center"/>
              <w:rPr>
                <w:rFonts w:ascii="仿宋" w:hAnsi="仿宋" w:eastAsia="仿宋"/>
                <w:color w:val="auto"/>
                <w:sz w:val="28"/>
                <w:szCs w:val="28"/>
                <w:highlight w:val="none"/>
              </w:rPr>
            </w:pPr>
          </w:p>
        </w:tc>
        <w:tc>
          <w:tcPr>
            <w:tcW w:w="1282"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color w:val="auto"/>
                <w:sz w:val="28"/>
                <w:szCs w:val="28"/>
                <w:highlight w:val="none"/>
              </w:rPr>
            </w:pPr>
          </w:p>
        </w:tc>
        <w:tc>
          <w:tcPr>
            <w:tcW w:w="1549" w:type="dxa"/>
            <w:vAlign w:val="center"/>
          </w:tcPr>
          <w:p>
            <w:pPr>
              <w:jc w:val="center"/>
              <w:rPr>
                <w:rFonts w:ascii="仿宋" w:hAnsi="仿宋" w:eastAsia="仿宋"/>
                <w:color w:val="auto"/>
                <w:sz w:val="28"/>
                <w:szCs w:val="28"/>
                <w:highlight w:val="none"/>
              </w:rPr>
            </w:pPr>
          </w:p>
        </w:tc>
        <w:tc>
          <w:tcPr>
            <w:tcW w:w="2518" w:type="dxa"/>
            <w:vAlign w:val="center"/>
          </w:tcPr>
          <w:p>
            <w:pPr>
              <w:jc w:val="center"/>
              <w:rPr>
                <w:rFonts w:ascii="仿宋" w:hAnsi="仿宋" w:eastAsia="仿宋"/>
                <w:color w:val="auto"/>
                <w:sz w:val="28"/>
                <w:szCs w:val="28"/>
                <w:highlight w:val="none"/>
              </w:rPr>
            </w:pPr>
          </w:p>
        </w:tc>
        <w:tc>
          <w:tcPr>
            <w:tcW w:w="2533" w:type="dxa"/>
            <w:vAlign w:val="center"/>
          </w:tcPr>
          <w:p>
            <w:pPr>
              <w:jc w:val="center"/>
              <w:rPr>
                <w:rFonts w:ascii="仿宋" w:hAnsi="仿宋" w:eastAsia="仿宋"/>
                <w:color w:val="auto"/>
                <w:sz w:val="28"/>
                <w:szCs w:val="28"/>
                <w:highlight w:val="none"/>
              </w:rPr>
            </w:pPr>
          </w:p>
        </w:tc>
        <w:tc>
          <w:tcPr>
            <w:tcW w:w="1282"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color w:val="auto"/>
                <w:sz w:val="28"/>
                <w:szCs w:val="28"/>
                <w:highlight w:val="none"/>
              </w:rPr>
            </w:pPr>
          </w:p>
        </w:tc>
        <w:tc>
          <w:tcPr>
            <w:tcW w:w="1549" w:type="dxa"/>
            <w:vAlign w:val="center"/>
          </w:tcPr>
          <w:p>
            <w:pPr>
              <w:jc w:val="center"/>
              <w:rPr>
                <w:rFonts w:ascii="仿宋" w:hAnsi="仿宋" w:eastAsia="仿宋"/>
                <w:color w:val="auto"/>
                <w:sz w:val="28"/>
                <w:szCs w:val="28"/>
                <w:highlight w:val="none"/>
              </w:rPr>
            </w:pPr>
          </w:p>
        </w:tc>
        <w:tc>
          <w:tcPr>
            <w:tcW w:w="2518" w:type="dxa"/>
            <w:vAlign w:val="center"/>
          </w:tcPr>
          <w:p>
            <w:pPr>
              <w:jc w:val="center"/>
              <w:rPr>
                <w:rFonts w:ascii="仿宋" w:hAnsi="仿宋" w:eastAsia="仿宋"/>
                <w:color w:val="auto"/>
                <w:sz w:val="28"/>
                <w:szCs w:val="28"/>
                <w:highlight w:val="none"/>
              </w:rPr>
            </w:pPr>
          </w:p>
        </w:tc>
        <w:tc>
          <w:tcPr>
            <w:tcW w:w="2533" w:type="dxa"/>
            <w:vAlign w:val="center"/>
          </w:tcPr>
          <w:p>
            <w:pPr>
              <w:jc w:val="center"/>
              <w:rPr>
                <w:rFonts w:ascii="仿宋" w:hAnsi="仿宋" w:eastAsia="仿宋"/>
                <w:color w:val="auto"/>
                <w:sz w:val="28"/>
                <w:szCs w:val="28"/>
                <w:highlight w:val="none"/>
              </w:rPr>
            </w:pPr>
          </w:p>
        </w:tc>
        <w:tc>
          <w:tcPr>
            <w:tcW w:w="1282"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color w:val="auto"/>
                <w:sz w:val="28"/>
                <w:szCs w:val="28"/>
                <w:highlight w:val="none"/>
              </w:rPr>
            </w:pPr>
          </w:p>
        </w:tc>
        <w:tc>
          <w:tcPr>
            <w:tcW w:w="1549" w:type="dxa"/>
            <w:vAlign w:val="center"/>
          </w:tcPr>
          <w:p>
            <w:pPr>
              <w:jc w:val="center"/>
              <w:rPr>
                <w:rFonts w:ascii="仿宋" w:hAnsi="仿宋" w:eastAsia="仿宋"/>
                <w:color w:val="auto"/>
                <w:sz w:val="28"/>
                <w:szCs w:val="28"/>
                <w:highlight w:val="none"/>
              </w:rPr>
            </w:pPr>
          </w:p>
        </w:tc>
        <w:tc>
          <w:tcPr>
            <w:tcW w:w="2518" w:type="dxa"/>
            <w:vAlign w:val="center"/>
          </w:tcPr>
          <w:p>
            <w:pPr>
              <w:jc w:val="center"/>
              <w:rPr>
                <w:rFonts w:ascii="仿宋" w:hAnsi="仿宋" w:eastAsia="仿宋"/>
                <w:color w:val="auto"/>
                <w:sz w:val="28"/>
                <w:szCs w:val="28"/>
                <w:highlight w:val="none"/>
              </w:rPr>
            </w:pPr>
          </w:p>
        </w:tc>
        <w:tc>
          <w:tcPr>
            <w:tcW w:w="2533" w:type="dxa"/>
            <w:vAlign w:val="center"/>
          </w:tcPr>
          <w:p>
            <w:pPr>
              <w:jc w:val="center"/>
              <w:rPr>
                <w:rFonts w:ascii="仿宋" w:hAnsi="仿宋" w:eastAsia="仿宋"/>
                <w:color w:val="auto"/>
                <w:sz w:val="28"/>
                <w:szCs w:val="28"/>
                <w:highlight w:val="none"/>
              </w:rPr>
            </w:pPr>
          </w:p>
        </w:tc>
        <w:tc>
          <w:tcPr>
            <w:tcW w:w="1282" w:type="dxa"/>
            <w:vAlign w:val="center"/>
          </w:tcPr>
          <w:p>
            <w:pPr>
              <w:jc w:val="center"/>
              <w:rPr>
                <w:rFonts w:ascii="仿宋" w:hAnsi="仿宋" w:eastAsia="仿宋"/>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仿宋" w:hAnsi="仿宋" w:eastAsia="仿宋"/>
                <w:color w:val="auto"/>
                <w:sz w:val="28"/>
                <w:szCs w:val="28"/>
                <w:highlight w:val="none"/>
              </w:rPr>
            </w:pPr>
            <w:r>
              <w:rPr>
                <w:rFonts w:ascii="仿宋" w:hAnsi="仿宋" w:eastAsia="仿宋"/>
                <w:color w:val="auto"/>
                <w:sz w:val="28"/>
                <w:szCs w:val="28"/>
                <w:highlight w:val="none"/>
              </w:rPr>
              <w:t>备注</w:t>
            </w:r>
          </w:p>
        </w:tc>
        <w:tc>
          <w:tcPr>
            <w:tcW w:w="7882" w:type="dxa"/>
            <w:gridSpan w:val="4"/>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完全接受”的条款无需在本表中列出，按表下方所做“声明”执行；对于需要供应商填报的内容，以及“不能接受”或“有条件接受”的条款，则应写明该条款名称及条款明细、以及供应商所能接受的条件。</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2．根据《政府采购货物和服务招标投标管理办法》（财政部87号令）第六十三条，若投标文件含有采购人不能接受的附加条件的，投标无效。</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．因表格空间因有限，不足以容纳响应内容时，允许在表后进行响应，但须在表中注明引用位置，如“见本表下方3</w:t>
            </w:r>
            <w:r>
              <w:rPr>
                <w:rFonts w:ascii="仿宋" w:hAnsi="仿宋" w:eastAsia="仿宋"/>
                <w:color w:val="auto"/>
                <w:sz w:val="28"/>
                <w:szCs w:val="28"/>
                <w:highlight w:val="none"/>
              </w:rPr>
              <w:t>.1.1</w:t>
            </w:r>
            <w:r>
              <w:rPr>
                <w:rFonts w:hint="eastAsia" w:ascii="仿宋" w:hAnsi="仿宋" w:eastAsia="仿宋"/>
                <w:color w:val="auto"/>
                <w:sz w:val="28"/>
                <w:szCs w:val="28"/>
                <w:highlight w:val="none"/>
              </w:rPr>
              <w:t>”。</w:t>
            </w:r>
          </w:p>
        </w:tc>
      </w:tr>
    </w:tbl>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声明：除上表所列的合同条款外，招标文件中的其他合同条款我方均完全接受。</w:t>
      </w:r>
    </w:p>
    <w:p>
      <w:pPr>
        <w:spacing w:line="560" w:lineRule="exact"/>
        <w:ind w:firstLine="640" w:firstLineChars="200"/>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r>
        <w:rPr>
          <w:rFonts w:ascii="仿宋" w:hAnsi="仿宋" w:eastAsia="仿宋"/>
          <w:color w:val="auto"/>
          <w:sz w:val="32"/>
          <w:szCs w:val="32"/>
          <w:highlight w:val="none"/>
        </w:rPr>
        <w:br w:type="page"/>
      </w:r>
    </w:p>
    <w:p>
      <w:pPr>
        <w:pStyle w:val="97"/>
        <w:spacing w:before="210" w:after="210"/>
        <w:rPr>
          <w:color w:val="auto"/>
          <w:highlight w:val="none"/>
        </w:rPr>
      </w:pPr>
      <w:r>
        <w:rPr>
          <w:rFonts w:hint="eastAsia"/>
          <w:color w:val="auto"/>
          <w:highlight w:val="none"/>
        </w:rPr>
        <w:t>（四）其他需要供应商提供的材料</w:t>
      </w: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项目实施人员情况表</w:t>
      </w:r>
    </w:p>
    <w:tbl>
      <w:tblPr>
        <w:tblStyle w:val="2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38"/>
        <w:gridCol w:w="1217"/>
        <w:gridCol w:w="23"/>
        <w:gridCol w:w="1315"/>
        <w:gridCol w:w="17"/>
        <w:gridCol w:w="6"/>
        <w:gridCol w:w="1524"/>
        <w:gridCol w:w="1677"/>
        <w:gridCol w:w="4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姓名</w:t>
            </w:r>
          </w:p>
        </w:tc>
        <w:tc>
          <w:tcPr>
            <w:tcW w:w="969" w:type="dxa"/>
            <w:tcBorders>
              <w:lef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年龄</w:t>
            </w:r>
          </w:p>
        </w:tc>
        <w:tc>
          <w:tcPr>
            <w:tcW w:w="1260"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资格</w:t>
            </w:r>
          </w:p>
        </w:tc>
        <w:tc>
          <w:tcPr>
            <w:tcW w:w="1387" w:type="dxa"/>
            <w:gridSpan w:val="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职称</w:t>
            </w:r>
          </w:p>
        </w:tc>
        <w:tc>
          <w:tcPr>
            <w:tcW w:w="1604" w:type="dxa"/>
            <w:gridSpan w:val="3"/>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在本行业从业工作年限</w:t>
            </w:r>
          </w:p>
        </w:tc>
        <w:tc>
          <w:tcPr>
            <w:tcW w:w="1740" w:type="dxa"/>
            <w:tcBorders>
              <w:right w:val="single" w:color="auto" w:sz="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主要工作</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业绩和经历</w:t>
            </w:r>
          </w:p>
        </w:tc>
        <w:tc>
          <w:tcPr>
            <w:tcW w:w="1091" w:type="dxa"/>
            <w:gridSpan w:val="2"/>
            <w:tcBorders>
              <w:left w:val="single" w:color="auto" w:sz="2" w:space="0"/>
              <w:right w:val="single" w:color="auto" w:sz="1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拟派</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60" w:type="dxa"/>
            <w:vAlign w:val="center"/>
          </w:tcPr>
          <w:p>
            <w:pPr>
              <w:jc w:val="both"/>
              <w:rPr>
                <w:rFonts w:ascii="仿宋" w:hAnsi="仿宋" w:eastAsia="仿宋"/>
                <w:color w:val="auto"/>
                <w:sz w:val="28"/>
                <w:szCs w:val="28"/>
                <w:highlight w:val="none"/>
              </w:rPr>
            </w:pPr>
          </w:p>
        </w:tc>
        <w:tc>
          <w:tcPr>
            <w:tcW w:w="1387" w:type="dxa"/>
            <w:gridSpan w:val="2"/>
            <w:vAlign w:val="center"/>
          </w:tcPr>
          <w:p>
            <w:pPr>
              <w:jc w:val="both"/>
              <w:rPr>
                <w:rFonts w:ascii="仿宋" w:hAnsi="仿宋" w:eastAsia="仿宋"/>
                <w:color w:val="auto"/>
                <w:sz w:val="28"/>
                <w:szCs w:val="28"/>
                <w:highlight w:val="none"/>
              </w:rPr>
            </w:pPr>
          </w:p>
        </w:tc>
        <w:tc>
          <w:tcPr>
            <w:tcW w:w="1604" w:type="dxa"/>
            <w:gridSpan w:val="3"/>
            <w:vAlign w:val="center"/>
          </w:tcPr>
          <w:p>
            <w:pPr>
              <w:jc w:val="both"/>
              <w:rPr>
                <w:rFonts w:ascii="仿宋" w:hAnsi="仿宋" w:eastAsia="仿宋"/>
                <w:color w:val="auto"/>
                <w:sz w:val="28"/>
                <w:szCs w:val="28"/>
                <w:highlight w:val="none"/>
              </w:rPr>
            </w:pPr>
          </w:p>
        </w:tc>
        <w:tc>
          <w:tcPr>
            <w:tcW w:w="1740" w:type="dxa"/>
            <w:tcBorders>
              <w:right w:val="single" w:color="auto" w:sz="2" w:space="0"/>
            </w:tcBorders>
            <w:vAlign w:val="center"/>
          </w:tcPr>
          <w:p>
            <w:pPr>
              <w:jc w:val="both"/>
              <w:rPr>
                <w:rFonts w:ascii="仿宋" w:hAnsi="仿宋" w:eastAsia="仿宋"/>
                <w:color w:val="auto"/>
                <w:sz w:val="28"/>
                <w:szCs w:val="28"/>
                <w:highlight w:val="none"/>
              </w:rPr>
            </w:pPr>
          </w:p>
        </w:tc>
        <w:tc>
          <w:tcPr>
            <w:tcW w:w="1091" w:type="dxa"/>
            <w:gridSpan w:val="2"/>
            <w:tcBorders>
              <w:left w:val="single" w:color="auto" w:sz="2" w:space="0"/>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60" w:type="dxa"/>
            <w:vAlign w:val="center"/>
          </w:tcPr>
          <w:p>
            <w:pPr>
              <w:jc w:val="both"/>
              <w:rPr>
                <w:rFonts w:ascii="仿宋" w:hAnsi="仿宋" w:eastAsia="仿宋"/>
                <w:color w:val="auto"/>
                <w:sz w:val="28"/>
                <w:szCs w:val="28"/>
                <w:highlight w:val="none"/>
              </w:rPr>
            </w:pPr>
          </w:p>
        </w:tc>
        <w:tc>
          <w:tcPr>
            <w:tcW w:w="1387" w:type="dxa"/>
            <w:gridSpan w:val="2"/>
            <w:vAlign w:val="center"/>
          </w:tcPr>
          <w:p>
            <w:pPr>
              <w:jc w:val="both"/>
              <w:rPr>
                <w:rFonts w:ascii="仿宋" w:hAnsi="仿宋" w:eastAsia="仿宋"/>
                <w:color w:val="auto"/>
                <w:sz w:val="28"/>
                <w:szCs w:val="28"/>
                <w:highlight w:val="none"/>
              </w:rPr>
            </w:pPr>
          </w:p>
        </w:tc>
        <w:tc>
          <w:tcPr>
            <w:tcW w:w="1604" w:type="dxa"/>
            <w:gridSpan w:val="3"/>
            <w:vAlign w:val="center"/>
          </w:tcPr>
          <w:p>
            <w:pPr>
              <w:jc w:val="both"/>
              <w:rPr>
                <w:rFonts w:ascii="仿宋" w:hAnsi="仿宋" w:eastAsia="仿宋"/>
                <w:color w:val="auto"/>
                <w:sz w:val="28"/>
                <w:szCs w:val="28"/>
                <w:highlight w:val="none"/>
              </w:rPr>
            </w:pPr>
          </w:p>
        </w:tc>
        <w:tc>
          <w:tcPr>
            <w:tcW w:w="1740" w:type="dxa"/>
            <w:tcBorders>
              <w:right w:val="single" w:color="auto" w:sz="2" w:space="0"/>
            </w:tcBorders>
            <w:vAlign w:val="center"/>
          </w:tcPr>
          <w:p>
            <w:pPr>
              <w:jc w:val="both"/>
              <w:rPr>
                <w:rFonts w:ascii="仿宋" w:hAnsi="仿宋" w:eastAsia="仿宋"/>
                <w:color w:val="auto"/>
                <w:sz w:val="28"/>
                <w:szCs w:val="28"/>
                <w:highlight w:val="none"/>
              </w:rPr>
            </w:pPr>
          </w:p>
        </w:tc>
        <w:tc>
          <w:tcPr>
            <w:tcW w:w="1091" w:type="dxa"/>
            <w:gridSpan w:val="2"/>
            <w:tcBorders>
              <w:left w:val="single" w:color="auto" w:sz="2" w:space="0"/>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姓名</w:t>
            </w:r>
          </w:p>
        </w:tc>
        <w:tc>
          <w:tcPr>
            <w:tcW w:w="969" w:type="dxa"/>
            <w:tcBorders>
              <w:lef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年龄</w:t>
            </w:r>
          </w:p>
        </w:tc>
        <w:tc>
          <w:tcPr>
            <w:tcW w:w="1260"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资格</w:t>
            </w:r>
          </w:p>
        </w:tc>
        <w:tc>
          <w:tcPr>
            <w:tcW w:w="1404" w:type="dxa"/>
            <w:gridSpan w:val="3"/>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职称</w:t>
            </w:r>
          </w:p>
        </w:tc>
        <w:tc>
          <w:tcPr>
            <w:tcW w:w="1587" w:type="dxa"/>
            <w:gridSpan w:val="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在本行业从业工作年限</w:t>
            </w:r>
          </w:p>
        </w:tc>
        <w:tc>
          <w:tcPr>
            <w:tcW w:w="1782" w:type="dxa"/>
            <w:gridSpan w:val="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主要工作</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业绩和经历</w:t>
            </w:r>
          </w:p>
        </w:tc>
        <w:tc>
          <w:tcPr>
            <w:tcW w:w="1049" w:type="dxa"/>
            <w:tcBorders>
              <w:right w:val="single" w:color="auto" w:sz="1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拟派</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60" w:type="dxa"/>
            <w:vAlign w:val="center"/>
          </w:tcPr>
          <w:p>
            <w:pPr>
              <w:jc w:val="both"/>
              <w:rPr>
                <w:rFonts w:ascii="仿宋" w:hAnsi="仿宋" w:eastAsia="仿宋"/>
                <w:color w:val="auto"/>
                <w:sz w:val="28"/>
                <w:szCs w:val="28"/>
                <w:highlight w:val="none"/>
              </w:rPr>
            </w:pPr>
          </w:p>
        </w:tc>
        <w:tc>
          <w:tcPr>
            <w:tcW w:w="1404" w:type="dxa"/>
            <w:gridSpan w:val="3"/>
            <w:vAlign w:val="center"/>
          </w:tcPr>
          <w:p>
            <w:pPr>
              <w:jc w:val="both"/>
              <w:rPr>
                <w:rFonts w:ascii="仿宋" w:hAnsi="仿宋" w:eastAsia="仿宋"/>
                <w:color w:val="auto"/>
                <w:sz w:val="28"/>
                <w:szCs w:val="28"/>
                <w:highlight w:val="none"/>
              </w:rPr>
            </w:pPr>
          </w:p>
        </w:tc>
        <w:tc>
          <w:tcPr>
            <w:tcW w:w="1587" w:type="dxa"/>
            <w:gridSpan w:val="2"/>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60" w:type="dxa"/>
            <w:vAlign w:val="center"/>
          </w:tcPr>
          <w:p>
            <w:pPr>
              <w:jc w:val="both"/>
              <w:rPr>
                <w:rFonts w:ascii="仿宋" w:hAnsi="仿宋" w:eastAsia="仿宋"/>
                <w:color w:val="auto"/>
                <w:sz w:val="28"/>
                <w:szCs w:val="28"/>
                <w:highlight w:val="none"/>
              </w:rPr>
            </w:pPr>
          </w:p>
        </w:tc>
        <w:tc>
          <w:tcPr>
            <w:tcW w:w="1404" w:type="dxa"/>
            <w:gridSpan w:val="3"/>
            <w:vAlign w:val="center"/>
          </w:tcPr>
          <w:p>
            <w:pPr>
              <w:jc w:val="both"/>
              <w:rPr>
                <w:rFonts w:ascii="仿宋" w:hAnsi="仿宋" w:eastAsia="仿宋"/>
                <w:color w:val="auto"/>
                <w:sz w:val="28"/>
                <w:szCs w:val="28"/>
                <w:highlight w:val="none"/>
              </w:rPr>
            </w:pPr>
          </w:p>
        </w:tc>
        <w:tc>
          <w:tcPr>
            <w:tcW w:w="1587" w:type="dxa"/>
            <w:gridSpan w:val="2"/>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60" w:type="dxa"/>
            <w:vAlign w:val="center"/>
          </w:tcPr>
          <w:p>
            <w:pPr>
              <w:jc w:val="both"/>
              <w:rPr>
                <w:rFonts w:ascii="仿宋" w:hAnsi="仿宋" w:eastAsia="仿宋"/>
                <w:color w:val="auto"/>
                <w:sz w:val="28"/>
                <w:szCs w:val="28"/>
                <w:highlight w:val="none"/>
              </w:rPr>
            </w:pPr>
          </w:p>
        </w:tc>
        <w:tc>
          <w:tcPr>
            <w:tcW w:w="1404" w:type="dxa"/>
            <w:gridSpan w:val="3"/>
            <w:vAlign w:val="center"/>
          </w:tcPr>
          <w:p>
            <w:pPr>
              <w:jc w:val="both"/>
              <w:rPr>
                <w:rFonts w:ascii="仿宋" w:hAnsi="仿宋" w:eastAsia="仿宋"/>
                <w:color w:val="auto"/>
                <w:sz w:val="28"/>
                <w:szCs w:val="28"/>
                <w:highlight w:val="none"/>
              </w:rPr>
            </w:pPr>
          </w:p>
        </w:tc>
        <w:tc>
          <w:tcPr>
            <w:tcW w:w="1587" w:type="dxa"/>
            <w:gridSpan w:val="2"/>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技术人员</w:t>
            </w:r>
            <w:r>
              <w:rPr>
                <w:rFonts w:hint="eastAsia" w:ascii="仿宋" w:hAnsi="仿宋" w:eastAsia="仿宋"/>
                <w:color w:val="auto"/>
                <w:sz w:val="28"/>
                <w:szCs w:val="28"/>
                <w:highlight w:val="none"/>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姓名</w:t>
            </w:r>
          </w:p>
        </w:tc>
        <w:tc>
          <w:tcPr>
            <w:tcW w:w="969" w:type="dxa"/>
            <w:tcBorders>
              <w:lef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年龄</w:t>
            </w:r>
          </w:p>
        </w:tc>
        <w:tc>
          <w:tcPr>
            <w:tcW w:w="1284" w:type="dxa"/>
            <w:gridSpan w:val="2"/>
            <w:tcBorders>
              <w:right w:val="single" w:color="auto" w:sz="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学历</w:t>
            </w:r>
          </w:p>
        </w:tc>
        <w:tc>
          <w:tcPr>
            <w:tcW w:w="1386" w:type="dxa"/>
            <w:gridSpan w:val="3"/>
            <w:tcBorders>
              <w:left w:val="single" w:color="auto" w:sz="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职称</w:t>
            </w:r>
          </w:p>
        </w:tc>
        <w:tc>
          <w:tcPr>
            <w:tcW w:w="1581"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从事类似项目工作年限</w:t>
            </w:r>
          </w:p>
        </w:tc>
        <w:tc>
          <w:tcPr>
            <w:tcW w:w="1782" w:type="dxa"/>
            <w:gridSpan w:val="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主要工作</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业绩和经历</w:t>
            </w:r>
          </w:p>
        </w:tc>
        <w:tc>
          <w:tcPr>
            <w:tcW w:w="1049" w:type="dxa"/>
            <w:tcBorders>
              <w:right w:val="single" w:color="auto" w:sz="1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拟派</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84" w:type="dxa"/>
            <w:gridSpan w:val="2"/>
            <w:tcBorders>
              <w:right w:val="single" w:color="auto" w:sz="2" w:space="0"/>
            </w:tcBorders>
            <w:vAlign w:val="center"/>
          </w:tcPr>
          <w:p>
            <w:pPr>
              <w:jc w:val="both"/>
              <w:rPr>
                <w:rFonts w:ascii="仿宋" w:hAnsi="仿宋" w:eastAsia="仿宋"/>
                <w:color w:val="auto"/>
                <w:sz w:val="28"/>
                <w:szCs w:val="28"/>
                <w:highlight w:val="none"/>
              </w:rPr>
            </w:pPr>
          </w:p>
        </w:tc>
        <w:tc>
          <w:tcPr>
            <w:tcW w:w="1386" w:type="dxa"/>
            <w:gridSpan w:val="3"/>
            <w:tcBorders>
              <w:left w:val="single" w:color="auto" w:sz="2" w:space="0"/>
            </w:tcBorders>
            <w:vAlign w:val="center"/>
          </w:tcPr>
          <w:p>
            <w:pPr>
              <w:jc w:val="both"/>
              <w:rPr>
                <w:rFonts w:ascii="仿宋" w:hAnsi="仿宋" w:eastAsia="仿宋"/>
                <w:color w:val="auto"/>
                <w:sz w:val="28"/>
                <w:szCs w:val="28"/>
                <w:highlight w:val="none"/>
              </w:rPr>
            </w:pPr>
          </w:p>
        </w:tc>
        <w:tc>
          <w:tcPr>
            <w:tcW w:w="1581" w:type="dxa"/>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84" w:type="dxa"/>
            <w:gridSpan w:val="2"/>
            <w:tcBorders>
              <w:right w:val="single" w:color="auto" w:sz="2" w:space="0"/>
            </w:tcBorders>
            <w:vAlign w:val="center"/>
          </w:tcPr>
          <w:p>
            <w:pPr>
              <w:jc w:val="both"/>
              <w:rPr>
                <w:rFonts w:ascii="仿宋" w:hAnsi="仿宋" w:eastAsia="仿宋"/>
                <w:color w:val="auto"/>
                <w:sz w:val="28"/>
                <w:szCs w:val="28"/>
                <w:highlight w:val="none"/>
              </w:rPr>
            </w:pPr>
          </w:p>
        </w:tc>
        <w:tc>
          <w:tcPr>
            <w:tcW w:w="1386" w:type="dxa"/>
            <w:gridSpan w:val="3"/>
            <w:tcBorders>
              <w:left w:val="single" w:color="auto" w:sz="2" w:space="0"/>
            </w:tcBorders>
            <w:vAlign w:val="center"/>
          </w:tcPr>
          <w:p>
            <w:pPr>
              <w:jc w:val="both"/>
              <w:rPr>
                <w:rFonts w:ascii="仿宋" w:hAnsi="仿宋" w:eastAsia="仿宋"/>
                <w:color w:val="auto"/>
                <w:sz w:val="28"/>
                <w:szCs w:val="28"/>
                <w:highlight w:val="none"/>
              </w:rPr>
            </w:pPr>
          </w:p>
        </w:tc>
        <w:tc>
          <w:tcPr>
            <w:tcW w:w="1581" w:type="dxa"/>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84" w:type="dxa"/>
            <w:gridSpan w:val="2"/>
            <w:tcBorders>
              <w:right w:val="single" w:color="auto" w:sz="2" w:space="0"/>
            </w:tcBorders>
            <w:vAlign w:val="center"/>
          </w:tcPr>
          <w:p>
            <w:pPr>
              <w:jc w:val="both"/>
              <w:rPr>
                <w:rFonts w:ascii="仿宋" w:hAnsi="仿宋" w:eastAsia="仿宋"/>
                <w:color w:val="auto"/>
                <w:sz w:val="28"/>
                <w:szCs w:val="28"/>
                <w:highlight w:val="none"/>
              </w:rPr>
            </w:pPr>
          </w:p>
        </w:tc>
        <w:tc>
          <w:tcPr>
            <w:tcW w:w="1386" w:type="dxa"/>
            <w:gridSpan w:val="3"/>
            <w:tcBorders>
              <w:left w:val="single" w:color="auto" w:sz="2" w:space="0"/>
            </w:tcBorders>
            <w:vAlign w:val="center"/>
          </w:tcPr>
          <w:p>
            <w:pPr>
              <w:jc w:val="both"/>
              <w:rPr>
                <w:rFonts w:ascii="仿宋" w:hAnsi="仿宋" w:eastAsia="仿宋"/>
                <w:color w:val="auto"/>
                <w:sz w:val="28"/>
                <w:szCs w:val="28"/>
                <w:highlight w:val="none"/>
              </w:rPr>
            </w:pPr>
          </w:p>
        </w:tc>
        <w:tc>
          <w:tcPr>
            <w:tcW w:w="1581" w:type="dxa"/>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姓名</w:t>
            </w:r>
          </w:p>
        </w:tc>
        <w:tc>
          <w:tcPr>
            <w:tcW w:w="969" w:type="dxa"/>
            <w:tcBorders>
              <w:lef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年龄</w:t>
            </w:r>
          </w:p>
        </w:tc>
        <w:tc>
          <w:tcPr>
            <w:tcW w:w="1284" w:type="dxa"/>
            <w:gridSpan w:val="2"/>
            <w:tcBorders>
              <w:right w:val="single" w:color="auto" w:sz="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学历</w:t>
            </w:r>
          </w:p>
        </w:tc>
        <w:tc>
          <w:tcPr>
            <w:tcW w:w="1386" w:type="dxa"/>
            <w:gridSpan w:val="3"/>
            <w:tcBorders>
              <w:left w:val="single" w:color="auto" w:sz="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职称</w:t>
            </w:r>
          </w:p>
        </w:tc>
        <w:tc>
          <w:tcPr>
            <w:tcW w:w="1581" w:type="dxa"/>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从事类似项目工作年限</w:t>
            </w:r>
          </w:p>
        </w:tc>
        <w:tc>
          <w:tcPr>
            <w:tcW w:w="1782" w:type="dxa"/>
            <w:gridSpan w:val="2"/>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主要工作</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业绩和经历</w:t>
            </w:r>
          </w:p>
        </w:tc>
        <w:tc>
          <w:tcPr>
            <w:tcW w:w="1049" w:type="dxa"/>
            <w:tcBorders>
              <w:right w:val="single" w:color="auto" w:sz="12"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拟派</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84" w:type="dxa"/>
            <w:gridSpan w:val="2"/>
            <w:tcBorders>
              <w:right w:val="single" w:color="auto" w:sz="2" w:space="0"/>
            </w:tcBorders>
            <w:vAlign w:val="center"/>
          </w:tcPr>
          <w:p>
            <w:pPr>
              <w:jc w:val="both"/>
              <w:rPr>
                <w:rFonts w:ascii="仿宋" w:hAnsi="仿宋" w:eastAsia="仿宋"/>
                <w:color w:val="auto"/>
                <w:sz w:val="28"/>
                <w:szCs w:val="28"/>
                <w:highlight w:val="none"/>
              </w:rPr>
            </w:pPr>
          </w:p>
        </w:tc>
        <w:tc>
          <w:tcPr>
            <w:tcW w:w="1386" w:type="dxa"/>
            <w:gridSpan w:val="3"/>
            <w:tcBorders>
              <w:left w:val="single" w:color="auto" w:sz="2" w:space="0"/>
            </w:tcBorders>
            <w:vAlign w:val="center"/>
          </w:tcPr>
          <w:p>
            <w:pPr>
              <w:jc w:val="both"/>
              <w:rPr>
                <w:rFonts w:ascii="仿宋" w:hAnsi="仿宋" w:eastAsia="仿宋"/>
                <w:color w:val="auto"/>
                <w:sz w:val="28"/>
                <w:szCs w:val="28"/>
                <w:highlight w:val="none"/>
              </w:rPr>
            </w:pPr>
          </w:p>
        </w:tc>
        <w:tc>
          <w:tcPr>
            <w:tcW w:w="1581" w:type="dxa"/>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both"/>
              <w:rPr>
                <w:rFonts w:ascii="仿宋" w:hAnsi="仿宋" w:eastAsia="仿宋"/>
                <w:color w:val="auto"/>
                <w:sz w:val="28"/>
                <w:szCs w:val="28"/>
                <w:highlight w:val="none"/>
              </w:rPr>
            </w:pPr>
          </w:p>
        </w:tc>
        <w:tc>
          <w:tcPr>
            <w:tcW w:w="969" w:type="dxa"/>
            <w:tcBorders>
              <w:left w:val="single" w:color="auto" w:sz="6" w:space="0"/>
            </w:tcBorders>
            <w:vAlign w:val="center"/>
          </w:tcPr>
          <w:p>
            <w:pPr>
              <w:jc w:val="both"/>
              <w:rPr>
                <w:rFonts w:ascii="仿宋" w:hAnsi="仿宋" w:eastAsia="仿宋"/>
                <w:color w:val="auto"/>
                <w:sz w:val="28"/>
                <w:szCs w:val="28"/>
                <w:highlight w:val="none"/>
              </w:rPr>
            </w:pPr>
          </w:p>
        </w:tc>
        <w:tc>
          <w:tcPr>
            <w:tcW w:w="1284" w:type="dxa"/>
            <w:gridSpan w:val="2"/>
            <w:tcBorders>
              <w:right w:val="single" w:color="auto" w:sz="2" w:space="0"/>
            </w:tcBorders>
            <w:vAlign w:val="center"/>
          </w:tcPr>
          <w:p>
            <w:pPr>
              <w:jc w:val="both"/>
              <w:rPr>
                <w:rFonts w:ascii="仿宋" w:hAnsi="仿宋" w:eastAsia="仿宋"/>
                <w:color w:val="auto"/>
                <w:sz w:val="28"/>
                <w:szCs w:val="28"/>
                <w:highlight w:val="none"/>
              </w:rPr>
            </w:pPr>
          </w:p>
        </w:tc>
        <w:tc>
          <w:tcPr>
            <w:tcW w:w="1386" w:type="dxa"/>
            <w:gridSpan w:val="3"/>
            <w:tcBorders>
              <w:left w:val="single" w:color="auto" w:sz="2" w:space="0"/>
            </w:tcBorders>
            <w:vAlign w:val="center"/>
          </w:tcPr>
          <w:p>
            <w:pPr>
              <w:jc w:val="both"/>
              <w:rPr>
                <w:rFonts w:ascii="仿宋" w:hAnsi="仿宋" w:eastAsia="仿宋"/>
                <w:color w:val="auto"/>
                <w:sz w:val="28"/>
                <w:szCs w:val="28"/>
                <w:highlight w:val="none"/>
              </w:rPr>
            </w:pPr>
          </w:p>
        </w:tc>
        <w:tc>
          <w:tcPr>
            <w:tcW w:w="1581" w:type="dxa"/>
            <w:vAlign w:val="center"/>
          </w:tcPr>
          <w:p>
            <w:pPr>
              <w:jc w:val="both"/>
              <w:rPr>
                <w:rFonts w:ascii="仿宋" w:hAnsi="仿宋" w:eastAsia="仿宋"/>
                <w:color w:val="auto"/>
                <w:sz w:val="28"/>
                <w:szCs w:val="28"/>
                <w:highlight w:val="none"/>
              </w:rPr>
            </w:pPr>
          </w:p>
        </w:tc>
        <w:tc>
          <w:tcPr>
            <w:tcW w:w="1782" w:type="dxa"/>
            <w:gridSpan w:val="2"/>
            <w:vAlign w:val="center"/>
          </w:tcPr>
          <w:p>
            <w:pPr>
              <w:jc w:val="both"/>
              <w:rPr>
                <w:rFonts w:ascii="仿宋" w:hAnsi="仿宋" w:eastAsia="仿宋"/>
                <w:color w:val="auto"/>
                <w:sz w:val="28"/>
                <w:szCs w:val="28"/>
                <w:highlight w:val="none"/>
              </w:rPr>
            </w:pPr>
          </w:p>
        </w:tc>
        <w:tc>
          <w:tcPr>
            <w:tcW w:w="1049" w:type="dxa"/>
            <w:tcBorders>
              <w:right w:val="single" w:color="auto" w:sz="12" w:space="0"/>
            </w:tcBorders>
            <w:vAlign w:val="center"/>
          </w:tcPr>
          <w:p>
            <w:pPr>
              <w:jc w:val="both"/>
              <w:rPr>
                <w:rFonts w:ascii="仿宋" w:hAns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jc w:val="both"/>
              <w:rPr>
                <w:rFonts w:ascii="仿宋" w:hAnsi="仿宋" w:eastAsia="仿宋"/>
                <w:color w:val="auto"/>
                <w:sz w:val="28"/>
                <w:szCs w:val="28"/>
                <w:highlight w:val="none"/>
              </w:rPr>
            </w:pPr>
            <w:r>
              <w:rPr>
                <w:rFonts w:ascii="仿宋" w:hAnsi="仿宋" w:eastAsia="仿宋"/>
                <w:color w:val="auto"/>
                <w:sz w:val="28"/>
                <w:szCs w:val="28"/>
                <w:highlight w:val="none"/>
              </w:rPr>
              <w:t>备注</w:t>
            </w:r>
          </w:p>
        </w:tc>
        <w:tc>
          <w:tcPr>
            <w:tcW w:w="8051" w:type="dxa"/>
            <w:gridSpan w:val="10"/>
            <w:tcBorders>
              <w:left w:val="single" w:color="auto" w:sz="6" w:space="0"/>
              <w:bottom w:val="single" w:color="auto" w:sz="12" w:space="0"/>
              <w:right w:val="single" w:color="auto" w:sz="12" w:space="0"/>
            </w:tcBorders>
            <w:vAlign w:val="center"/>
          </w:tcPr>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表格行数不足时请自行扩展。</w:t>
            </w:r>
          </w:p>
          <w:p>
            <w:pPr>
              <w:jc w:val="both"/>
              <w:rPr>
                <w:rFonts w:ascii="仿宋" w:hAnsi="仿宋" w:eastAsia="仿宋"/>
                <w:color w:val="auto"/>
                <w:sz w:val="28"/>
                <w:szCs w:val="28"/>
                <w:highlight w:val="none"/>
              </w:rPr>
            </w:pPr>
            <w:r>
              <w:rPr>
                <w:rFonts w:hint="eastAsia" w:ascii="仿宋" w:hAnsi="仿宋" w:eastAsia="仿宋"/>
                <w:color w:val="auto"/>
                <w:sz w:val="28"/>
                <w:szCs w:val="28"/>
                <w:highlight w:val="none"/>
              </w:rPr>
              <w:t>2．表中所列“项目负责人、管理人员、技术人员/服务人员、辅助人员”仅为示例，供应商可根据招标文件要求自行安排人员类别。</w:t>
            </w:r>
          </w:p>
          <w:p>
            <w:pPr>
              <w:jc w:val="both"/>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．招标文件对人员“资格\学历\职称”提出要求的，应在本表下方附相应的“资格证\学历证\职称证”等证明文件。</w:t>
            </w:r>
          </w:p>
        </w:tc>
      </w:tr>
    </w:tbl>
    <w:p>
      <w:pPr>
        <w:spacing w:line="560" w:lineRule="exact"/>
        <w:ind w:firstLine="3683" w:firstLineChars="1151"/>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2．拟投入项目的专业设备情况表</w:t>
      </w:r>
    </w:p>
    <w:tbl>
      <w:tblPr>
        <w:tblStyle w:val="89"/>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52"/>
        <w:gridCol w:w="1361"/>
        <w:gridCol w:w="1474"/>
        <w:gridCol w:w="851"/>
        <w:gridCol w:w="1559"/>
        <w:gridCol w:w="1418"/>
        <w:gridCol w:w="16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序号</w:t>
            </w:r>
          </w:p>
        </w:tc>
        <w:tc>
          <w:tcPr>
            <w:tcW w:w="1361"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设备名称</w:t>
            </w:r>
          </w:p>
        </w:tc>
        <w:tc>
          <w:tcPr>
            <w:tcW w:w="1474"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计量单位</w:t>
            </w:r>
          </w:p>
        </w:tc>
        <w:tc>
          <w:tcPr>
            <w:tcW w:w="851"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数量</w:t>
            </w:r>
          </w:p>
        </w:tc>
        <w:tc>
          <w:tcPr>
            <w:tcW w:w="1559"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生产企业</w:t>
            </w:r>
          </w:p>
        </w:tc>
        <w:tc>
          <w:tcPr>
            <w:tcW w:w="1418"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使用年限</w:t>
            </w:r>
          </w:p>
        </w:tc>
        <w:tc>
          <w:tcPr>
            <w:tcW w:w="1653" w:type="dxa"/>
            <w:tcBorders>
              <w:top w:val="single" w:color="auto" w:sz="12" w:space="0"/>
              <w:bottom w:val="single" w:color="auto" w:sz="2" w:space="0"/>
            </w:tcBorders>
            <w:shd w:val="clear" w:color="auto" w:fill="F1F1F1" w:themeFill="background1" w:themeFillShade="F2"/>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自购</w:t>
            </w:r>
            <w:r>
              <w:rPr>
                <w:rFonts w:hint="eastAsia" w:ascii="仿宋" w:hAnsi="仿宋" w:eastAsia="仿宋"/>
                <w:color w:val="auto"/>
                <w:kern w:val="2"/>
                <w:sz w:val="28"/>
                <w:szCs w:val="28"/>
                <w:highlight w:val="none"/>
              </w:rPr>
              <w:t>/外协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2" w:space="0"/>
            </w:tcBorders>
            <w:shd w:val="clear" w:color="auto" w:fill="auto"/>
            <w:vAlign w:val="center"/>
          </w:tcPr>
          <w:p>
            <w:pPr>
              <w:ind w:firstLine="0"/>
              <w:jc w:val="both"/>
              <w:rPr>
                <w:rFonts w:ascii="仿宋" w:hAnsi="仿宋" w:eastAsia="仿宋"/>
                <w:color w:val="auto"/>
                <w:kern w:val="2"/>
                <w:sz w:val="28"/>
                <w:szCs w:val="28"/>
                <w:highlight w:val="none"/>
              </w:rPr>
            </w:pPr>
          </w:p>
        </w:tc>
        <w:tc>
          <w:tcPr>
            <w:tcW w:w="1361" w:type="dxa"/>
            <w:tcBorders>
              <w:top w:val="single" w:color="auto" w:sz="2" w:space="0"/>
            </w:tcBorders>
            <w:shd w:val="clear" w:color="auto" w:fill="auto"/>
            <w:vAlign w:val="center"/>
          </w:tcPr>
          <w:p>
            <w:pPr>
              <w:ind w:firstLine="0"/>
              <w:jc w:val="both"/>
              <w:rPr>
                <w:rFonts w:ascii="仿宋" w:hAnsi="仿宋" w:eastAsia="仿宋"/>
                <w:color w:val="auto"/>
                <w:kern w:val="2"/>
                <w:sz w:val="28"/>
                <w:szCs w:val="28"/>
                <w:highlight w:val="none"/>
              </w:rPr>
            </w:pPr>
          </w:p>
        </w:tc>
        <w:tc>
          <w:tcPr>
            <w:tcW w:w="1474" w:type="dxa"/>
            <w:tcBorders>
              <w:top w:val="single" w:color="auto" w:sz="2" w:space="0"/>
            </w:tcBorders>
            <w:shd w:val="clear" w:color="auto" w:fill="auto"/>
            <w:vAlign w:val="center"/>
          </w:tcPr>
          <w:p>
            <w:pPr>
              <w:ind w:firstLine="0"/>
              <w:jc w:val="both"/>
              <w:rPr>
                <w:rFonts w:ascii="仿宋" w:hAnsi="仿宋" w:eastAsia="仿宋"/>
                <w:color w:val="auto"/>
                <w:kern w:val="2"/>
                <w:sz w:val="28"/>
                <w:szCs w:val="28"/>
                <w:highlight w:val="none"/>
              </w:rPr>
            </w:pPr>
          </w:p>
        </w:tc>
        <w:tc>
          <w:tcPr>
            <w:tcW w:w="851" w:type="dxa"/>
            <w:tcBorders>
              <w:top w:val="single" w:color="auto" w:sz="2" w:space="0"/>
            </w:tcBorders>
            <w:shd w:val="clear" w:color="auto" w:fill="auto"/>
            <w:vAlign w:val="center"/>
          </w:tcPr>
          <w:p>
            <w:pPr>
              <w:ind w:firstLine="0"/>
              <w:jc w:val="both"/>
              <w:rPr>
                <w:rFonts w:ascii="仿宋" w:hAnsi="仿宋" w:eastAsia="仿宋"/>
                <w:color w:val="auto"/>
                <w:kern w:val="2"/>
                <w:sz w:val="28"/>
                <w:szCs w:val="28"/>
                <w:highlight w:val="none"/>
              </w:rPr>
            </w:pPr>
          </w:p>
        </w:tc>
        <w:tc>
          <w:tcPr>
            <w:tcW w:w="1559" w:type="dxa"/>
            <w:tcBorders>
              <w:top w:val="single" w:color="auto" w:sz="2" w:space="0"/>
            </w:tcBorders>
            <w:shd w:val="clear" w:color="auto" w:fill="auto"/>
            <w:vAlign w:val="center"/>
          </w:tcPr>
          <w:p>
            <w:pPr>
              <w:ind w:firstLine="0"/>
              <w:jc w:val="both"/>
              <w:rPr>
                <w:rFonts w:ascii="仿宋" w:hAnsi="仿宋" w:eastAsia="仿宋"/>
                <w:color w:val="auto"/>
                <w:kern w:val="2"/>
                <w:sz w:val="28"/>
                <w:szCs w:val="28"/>
                <w:highlight w:val="none"/>
              </w:rPr>
            </w:pPr>
          </w:p>
        </w:tc>
        <w:tc>
          <w:tcPr>
            <w:tcW w:w="1418" w:type="dxa"/>
            <w:tcBorders>
              <w:top w:val="single" w:color="auto" w:sz="2" w:space="0"/>
            </w:tcBorders>
            <w:shd w:val="clear" w:color="auto" w:fill="auto"/>
            <w:vAlign w:val="center"/>
          </w:tcPr>
          <w:p>
            <w:pPr>
              <w:ind w:firstLine="0"/>
              <w:jc w:val="both"/>
              <w:rPr>
                <w:rFonts w:ascii="仿宋" w:hAnsi="仿宋" w:eastAsia="仿宋"/>
                <w:color w:val="auto"/>
                <w:kern w:val="2"/>
                <w:sz w:val="28"/>
                <w:szCs w:val="28"/>
                <w:highlight w:val="none"/>
              </w:rPr>
            </w:pPr>
          </w:p>
        </w:tc>
        <w:tc>
          <w:tcPr>
            <w:tcW w:w="1653" w:type="dxa"/>
            <w:tcBorders>
              <w:top w:val="single" w:color="auto" w:sz="2" w:space="0"/>
            </w:tcBorders>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p>
        </w:tc>
        <w:tc>
          <w:tcPr>
            <w:tcW w:w="1361" w:type="dxa"/>
            <w:shd w:val="clear" w:color="auto" w:fill="auto"/>
            <w:vAlign w:val="center"/>
          </w:tcPr>
          <w:p>
            <w:pPr>
              <w:ind w:firstLine="0"/>
              <w:jc w:val="both"/>
              <w:rPr>
                <w:rFonts w:ascii="仿宋" w:hAnsi="仿宋" w:eastAsia="仿宋"/>
                <w:color w:val="auto"/>
                <w:kern w:val="2"/>
                <w:sz w:val="28"/>
                <w:szCs w:val="28"/>
                <w:highlight w:val="none"/>
              </w:rPr>
            </w:pPr>
          </w:p>
        </w:tc>
        <w:tc>
          <w:tcPr>
            <w:tcW w:w="1474" w:type="dxa"/>
            <w:shd w:val="clear" w:color="auto" w:fill="auto"/>
            <w:vAlign w:val="center"/>
          </w:tcPr>
          <w:p>
            <w:pPr>
              <w:ind w:firstLine="0"/>
              <w:jc w:val="both"/>
              <w:rPr>
                <w:rFonts w:ascii="仿宋" w:hAnsi="仿宋" w:eastAsia="仿宋"/>
                <w:color w:val="auto"/>
                <w:kern w:val="2"/>
                <w:sz w:val="28"/>
                <w:szCs w:val="28"/>
                <w:highlight w:val="none"/>
              </w:rPr>
            </w:pPr>
          </w:p>
        </w:tc>
        <w:tc>
          <w:tcPr>
            <w:tcW w:w="851" w:type="dxa"/>
            <w:shd w:val="clear" w:color="auto" w:fill="auto"/>
            <w:vAlign w:val="center"/>
          </w:tcPr>
          <w:p>
            <w:pPr>
              <w:ind w:firstLine="0"/>
              <w:jc w:val="both"/>
              <w:rPr>
                <w:rFonts w:ascii="仿宋" w:hAnsi="仿宋" w:eastAsia="仿宋"/>
                <w:color w:val="auto"/>
                <w:kern w:val="2"/>
                <w:sz w:val="28"/>
                <w:szCs w:val="28"/>
                <w:highlight w:val="none"/>
              </w:rPr>
            </w:pPr>
          </w:p>
        </w:tc>
        <w:tc>
          <w:tcPr>
            <w:tcW w:w="1559" w:type="dxa"/>
            <w:shd w:val="clear" w:color="auto" w:fill="auto"/>
            <w:vAlign w:val="center"/>
          </w:tcPr>
          <w:p>
            <w:pPr>
              <w:ind w:firstLine="0"/>
              <w:jc w:val="both"/>
              <w:rPr>
                <w:rFonts w:ascii="仿宋" w:hAnsi="仿宋" w:eastAsia="仿宋"/>
                <w:color w:val="auto"/>
                <w:kern w:val="2"/>
                <w:sz w:val="28"/>
                <w:szCs w:val="28"/>
                <w:highlight w:val="none"/>
              </w:rPr>
            </w:pPr>
          </w:p>
        </w:tc>
        <w:tc>
          <w:tcPr>
            <w:tcW w:w="1418" w:type="dxa"/>
            <w:shd w:val="clear" w:color="auto" w:fill="auto"/>
            <w:vAlign w:val="center"/>
          </w:tcPr>
          <w:p>
            <w:pPr>
              <w:ind w:firstLine="0"/>
              <w:jc w:val="both"/>
              <w:rPr>
                <w:rFonts w:ascii="仿宋" w:hAnsi="仿宋" w:eastAsia="仿宋"/>
                <w:color w:val="auto"/>
                <w:kern w:val="2"/>
                <w:sz w:val="28"/>
                <w:szCs w:val="28"/>
                <w:highlight w:val="none"/>
              </w:rPr>
            </w:pPr>
          </w:p>
        </w:tc>
        <w:tc>
          <w:tcPr>
            <w:tcW w:w="1653" w:type="dxa"/>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p>
        </w:tc>
        <w:tc>
          <w:tcPr>
            <w:tcW w:w="1361" w:type="dxa"/>
            <w:shd w:val="clear" w:color="auto" w:fill="auto"/>
            <w:vAlign w:val="center"/>
          </w:tcPr>
          <w:p>
            <w:pPr>
              <w:ind w:firstLine="0"/>
              <w:jc w:val="both"/>
              <w:rPr>
                <w:rFonts w:ascii="仿宋" w:hAnsi="仿宋" w:eastAsia="仿宋"/>
                <w:color w:val="auto"/>
                <w:kern w:val="2"/>
                <w:sz w:val="28"/>
                <w:szCs w:val="28"/>
                <w:highlight w:val="none"/>
              </w:rPr>
            </w:pPr>
          </w:p>
        </w:tc>
        <w:tc>
          <w:tcPr>
            <w:tcW w:w="1474" w:type="dxa"/>
            <w:shd w:val="clear" w:color="auto" w:fill="auto"/>
            <w:vAlign w:val="center"/>
          </w:tcPr>
          <w:p>
            <w:pPr>
              <w:ind w:firstLine="0"/>
              <w:jc w:val="both"/>
              <w:rPr>
                <w:rFonts w:ascii="仿宋" w:hAnsi="仿宋" w:eastAsia="仿宋"/>
                <w:color w:val="auto"/>
                <w:kern w:val="2"/>
                <w:sz w:val="28"/>
                <w:szCs w:val="28"/>
                <w:highlight w:val="none"/>
              </w:rPr>
            </w:pPr>
          </w:p>
        </w:tc>
        <w:tc>
          <w:tcPr>
            <w:tcW w:w="851" w:type="dxa"/>
            <w:shd w:val="clear" w:color="auto" w:fill="auto"/>
            <w:vAlign w:val="center"/>
          </w:tcPr>
          <w:p>
            <w:pPr>
              <w:ind w:firstLine="0"/>
              <w:jc w:val="both"/>
              <w:rPr>
                <w:rFonts w:ascii="仿宋" w:hAnsi="仿宋" w:eastAsia="仿宋"/>
                <w:color w:val="auto"/>
                <w:kern w:val="2"/>
                <w:sz w:val="28"/>
                <w:szCs w:val="28"/>
                <w:highlight w:val="none"/>
              </w:rPr>
            </w:pPr>
          </w:p>
        </w:tc>
        <w:tc>
          <w:tcPr>
            <w:tcW w:w="1559" w:type="dxa"/>
            <w:shd w:val="clear" w:color="auto" w:fill="auto"/>
            <w:vAlign w:val="center"/>
          </w:tcPr>
          <w:p>
            <w:pPr>
              <w:ind w:firstLine="0"/>
              <w:jc w:val="both"/>
              <w:rPr>
                <w:rFonts w:ascii="仿宋" w:hAnsi="仿宋" w:eastAsia="仿宋"/>
                <w:color w:val="auto"/>
                <w:kern w:val="2"/>
                <w:sz w:val="28"/>
                <w:szCs w:val="28"/>
                <w:highlight w:val="none"/>
              </w:rPr>
            </w:pPr>
          </w:p>
        </w:tc>
        <w:tc>
          <w:tcPr>
            <w:tcW w:w="1418" w:type="dxa"/>
            <w:shd w:val="clear" w:color="auto" w:fill="auto"/>
            <w:vAlign w:val="center"/>
          </w:tcPr>
          <w:p>
            <w:pPr>
              <w:ind w:firstLine="0"/>
              <w:jc w:val="both"/>
              <w:rPr>
                <w:rFonts w:ascii="仿宋" w:hAnsi="仿宋" w:eastAsia="仿宋"/>
                <w:color w:val="auto"/>
                <w:kern w:val="2"/>
                <w:sz w:val="28"/>
                <w:szCs w:val="28"/>
                <w:highlight w:val="none"/>
              </w:rPr>
            </w:pPr>
          </w:p>
        </w:tc>
        <w:tc>
          <w:tcPr>
            <w:tcW w:w="1653" w:type="dxa"/>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p>
        </w:tc>
        <w:tc>
          <w:tcPr>
            <w:tcW w:w="1361" w:type="dxa"/>
            <w:shd w:val="clear" w:color="auto" w:fill="auto"/>
            <w:vAlign w:val="center"/>
          </w:tcPr>
          <w:p>
            <w:pPr>
              <w:ind w:firstLine="0"/>
              <w:jc w:val="both"/>
              <w:rPr>
                <w:rFonts w:ascii="仿宋" w:hAnsi="仿宋" w:eastAsia="仿宋"/>
                <w:color w:val="auto"/>
                <w:kern w:val="2"/>
                <w:sz w:val="28"/>
                <w:szCs w:val="28"/>
                <w:highlight w:val="none"/>
              </w:rPr>
            </w:pPr>
          </w:p>
        </w:tc>
        <w:tc>
          <w:tcPr>
            <w:tcW w:w="1474" w:type="dxa"/>
            <w:shd w:val="clear" w:color="auto" w:fill="auto"/>
            <w:vAlign w:val="center"/>
          </w:tcPr>
          <w:p>
            <w:pPr>
              <w:ind w:firstLine="0"/>
              <w:jc w:val="both"/>
              <w:rPr>
                <w:rFonts w:ascii="仿宋" w:hAnsi="仿宋" w:eastAsia="仿宋"/>
                <w:color w:val="auto"/>
                <w:kern w:val="2"/>
                <w:sz w:val="28"/>
                <w:szCs w:val="28"/>
                <w:highlight w:val="none"/>
              </w:rPr>
            </w:pPr>
          </w:p>
        </w:tc>
        <w:tc>
          <w:tcPr>
            <w:tcW w:w="851" w:type="dxa"/>
            <w:shd w:val="clear" w:color="auto" w:fill="auto"/>
            <w:vAlign w:val="center"/>
          </w:tcPr>
          <w:p>
            <w:pPr>
              <w:ind w:firstLine="0"/>
              <w:jc w:val="both"/>
              <w:rPr>
                <w:rFonts w:ascii="仿宋" w:hAnsi="仿宋" w:eastAsia="仿宋"/>
                <w:color w:val="auto"/>
                <w:kern w:val="2"/>
                <w:sz w:val="28"/>
                <w:szCs w:val="28"/>
                <w:highlight w:val="none"/>
              </w:rPr>
            </w:pPr>
          </w:p>
        </w:tc>
        <w:tc>
          <w:tcPr>
            <w:tcW w:w="1559" w:type="dxa"/>
            <w:shd w:val="clear" w:color="auto" w:fill="auto"/>
            <w:vAlign w:val="center"/>
          </w:tcPr>
          <w:p>
            <w:pPr>
              <w:ind w:firstLine="0"/>
              <w:jc w:val="both"/>
              <w:rPr>
                <w:rFonts w:ascii="仿宋" w:hAnsi="仿宋" w:eastAsia="仿宋"/>
                <w:color w:val="auto"/>
                <w:kern w:val="2"/>
                <w:sz w:val="28"/>
                <w:szCs w:val="28"/>
                <w:highlight w:val="none"/>
              </w:rPr>
            </w:pPr>
          </w:p>
        </w:tc>
        <w:tc>
          <w:tcPr>
            <w:tcW w:w="1418" w:type="dxa"/>
            <w:shd w:val="clear" w:color="auto" w:fill="auto"/>
            <w:vAlign w:val="center"/>
          </w:tcPr>
          <w:p>
            <w:pPr>
              <w:ind w:firstLine="0"/>
              <w:jc w:val="both"/>
              <w:rPr>
                <w:rFonts w:ascii="仿宋" w:hAnsi="仿宋" w:eastAsia="仿宋"/>
                <w:color w:val="auto"/>
                <w:kern w:val="2"/>
                <w:sz w:val="28"/>
                <w:szCs w:val="28"/>
                <w:highlight w:val="none"/>
              </w:rPr>
            </w:pPr>
          </w:p>
        </w:tc>
        <w:tc>
          <w:tcPr>
            <w:tcW w:w="1653" w:type="dxa"/>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p>
        </w:tc>
        <w:tc>
          <w:tcPr>
            <w:tcW w:w="1361" w:type="dxa"/>
            <w:shd w:val="clear" w:color="auto" w:fill="auto"/>
            <w:vAlign w:val="center"/>
          </w:tcPr>
          <w:p>
            <w:pPr>
              <w:ind w:firstLine="0"/>
              <w:jc w:val="both"/>
              <w:rPr>
                <w:rFonts w:ascii="仿宋" w:hAnsi="仿宋" w:eastAsia="仿宋"/>
                <w:color w:val="auto"/>
                <w:kern w:val="2"/>
                <w:sz w:val="28"/>
                <w:szCs w:val="28"/>
                <w:highlight w:val="none"/>
              </w:rPr>
            </w:pPr>
          </w:p>
        </w:tc>
        <w:tc>
          <w:tcPr>
            <w:tcW w:w="1474" w:type="dxa"/>
            <w:shd w:val="clear" w:color="auto" w:fill="auto"/>
            <w:vAlign w:val="center"/>
          </w:tcPr>
          <w:p>
            <w:pPr>
              <w:ind w:firstLine="0"/>
              <w:jc w:val="both"/>
              <w:rPr>
                <w:rFonts w:ascii="仿宋" w:hAnsi="仿宋" w:eastAsia="仿宋"/>
                <w:color w:val="auto"/>
                <w:kern w:val="2"/>
                <w:sz w:val="28"/>
                <w:szCs w:val="28"/>
                <w:highlight w:val="none"/>
              </w:rPr>
            </w:pPr>
          </w:p>
        </w:tc>
        <w:tc>
          <w:tcPr>
            <w:tcW w:w="851" w:type="dxa"/>
            <w:shd w:val="clear" w:color="auto" w:fill="auto"/>
            <w:vAlign w:val="center"/>
          </w:tcPr>
          <w:p>
            <w:pPr>
              <w:ind w:firstLine="0"/>
              <w:jc w:val="both"/>
              <w:rPr>
                <w:rFonts w:ascii="仿宋" w:hAnsi="仿宋" w:eastAsia="仿宋"/>
                <w:color w:val="auto"/>
                <w:kern w:val="2"/>
                <w:sz w:val="28"/>
                <w:szCs w:val="28"/>
                <w:highlight w:val="none"/>
              </w:rPr>
            </w:pPr>
          </w:p>
        </w:tc>
        <w:tc>
          <w:tcPr>
            <w:tcW w:w="1559" w:type="dxa"/>
            <w:shd w:val="clear" w:color="auto" w:fill="auto"/>
            <w:vAlign w:val="center"/>
          </w:tcPr>
          <w:p>
            <w:pPr>
              <w:ind w:firstLine="0"/>
              <w:jc w:val="both"/>
              <w:rPr>
                <w:rFonts w:ascii="仿宋" w:hAnsi="仿宋" w:eastAsia="仿宋"/>
                <w:color w:val="auto"/>
                <w:kern w:val="2"/>
                <w:sz w:val="28"/>
                <w:szCs w:val="28"/>
                <w:highlight w:val="none"/>
              </w:rPr>
            </w:pPr>
          </w:p>
        </w:tc>
        <w:tc>
          <w:tcPr>
            <w:tcW w:w="1418" w:type="dxa"/>
            <w:shd w:val="clear" w:color="auto" w:fill="auto"/>
            <w:vAlign w:val="center"/>
          </w:tcPr>
          <w:p>
            <w:pPr>
              <w:ind w:firstLine="0"/>
              <w:jc w:val="both"/>
              <w:rPr>
                <w:rFonts w:ascii="仿宋" w:hAnsi="仿宋" w:eastAsia="仿宋"/>
                <w:color w:val="auto"/>
                <w:kern w:val="2"/>
                <w:sz w:val="28"/>
                <w:szCs w:val="28"/>
                <w:highlight w:val="none"/>
              </w:rPr>
            </w:pPr>
          </w:p>
        </w:tc>
        <w:tc>
          <w:tcPr>
            <w:tcW w:w="1653" w:type="dxa"/>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p>
        </w:tc>
        <w:tc>
          <w:tcPr>
            <w:tcW w:w="1361" w:type="dxa"/>
            <w:shd w:val="clear" w:color="auto" w:fill="auto"/>
            <w:vAlign w:val="center"/>
          </w:tcPr>
          <w:p>
            <w:pPr>
              <w:ind w:firstLine="0"/>
              <w:jc w:val="both"/>
              <w:rPr>
                <w:rFonts w:ascii="仿宋" w:hAnsi="仿宋" w:eastAsia="仿宋"/>
                <w:color w:val="auto"/>
                <w:kern w:val="2"/>
                <w:sz w:val="28"/>
                <w:szCs w:val="28"/>
                <w:highlight w:val="none"/>
              </w:rPr>
            </w:pPr>
          </w:p>
        </w:tc>
        <w:tc>
          <w:tcPr>
            <w:tcW w:w="1474" w:type="dxa"/>
            <w:shd w:val="clear" w:color="auto" w:fill="auto"/>
            <w:vAlign w:val="center"/>
          </w:tcPr>
          <w:p>
            <w:pPr>
              <w:ind w:firstLine="0"/>
              <w:jc w:val="both"/>
              <w:rPr>
                <w:rFonts w:ascii="仿宋" w:hAnsi="仿宋" w:eastAsia="仿宋"/>
                <w:color w:val="auto"/>
                <w:kern w:val="2"/>
                <w:sz w:val="28"/>
                <w:szCs w:val="28"/>
                <w:highlight w:val="none"/>
              </w:rPr>
            </w:pPr>
          </w:p>
        </w:tc>
        <w:tc>
          <w:tcPr>
            <w:tcW w:w="851" w:type="dxa"/>
            <w:shd w:val="clear" w:color="auto" w:fill="auto"/>
            <w:vAlign w:val="center"/>
          </w:tcPr>
          <w:p>
            <w:pPr>
              <w:ind w:firstLine="0"/>
              <w:jc w:val="both"/>
              <w:rPr>
                <w:rFonts w:ascii="仿宋" w:hAnsi="仿宋" w:eastAsia="仿宋"/>
                <w:color w:val="auto"/>
                <w:kern w:val="2"/>
                <w:sz w:val="28"/>
                <w:szCs w:val="28"/>
                <w:highlight w:val="none"/>
              </w:rPr>
            </w:pPr>
          </w:p>
        </w:tc>
        <w:tc>
          <w:tcPr>
            <w:tcW w:w="1559" w:type="dxa"/>
            <w:shd w:val="clear" w:color="auto" w:fill="auto"/>
            <w:vAlign w:val="center"/>
          </w:tcPr>
          <w:p>
            <w:pPr>
              <w:ind w:firstLine="0"/>
              <w:jc w:val="both"/>
              <w:rPr>
                <w:rFonts w:ascii="仿宋" w:hAnsi="仿宋" w:eastAsia="仿宋"/>
                <w:color w:val="auto"/>
                <w:kern w:val="2"/>
                <w:sz w:val="28"/>
                <w:szCs w:val="28"/>
                <w:highlight w:val="none"/>
              </w:rPr>
            </w:pPr>
          </w:p>
        </w:tc>
        <w:tc>
          <w:tcPr>
            <w:tcW w:w="1418" w:type="dxa"/>
            <w:shd w:val="clear" w:color="auto" w:fill="auto"/>
            <w:vAlign w:val="center"/>
          </w:tcPr>
          <w:p>
            <w:pPr>
              <w:ind w:firstLine="0"/>
              <w:jc w:val="both"/>
              <w:rPr>
                <w:rFonts w:ascii="仿宋" w:hAnsi="仿宋" w:eastAsia="仿宋"/>
                <w:color w:val="auto"/>
                <w:kern w:val="2"/>
                <w:sz w:val="28"/>
                <w:szCs w:val="28"/>
                <w:highlight w:val="none"/>
              </w:rPr>
            </w:pPr>
          </w:p>
        </w:tc>
        <w:tc>
          <w:tcPr>
            <w:tcW w:w="1653" w:type="dxa"/>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p>
        </w:tc>
        <w:tc>
          <w:tcPr>
            <w:tcW w:w="1361" w:type="dxa"/>
            <w:shd w:val="clear" w:color="auto" w:fill="auto"/>
            <w:vAlign w:val="center"/>
          </w:tcPr>
          <w:p>
            <w:pPr>
              <w:ind w:firstLine="0"/>
              <w:jc w:val="both"/>
              <w:rPr>
                <w:rFonts w:ascii="仿宋" w:hAnsi="仿宋" w:eastAsia="仿宋"/>
                <w:color w:val="auto"/>
                <w:kern w:val="2"/>
                <w:sz w:val="28"/>
                <w:szCs w:val="28"/>
                <w:highlight w:val="none"/>
              </w:rPr>
            </w:pPr>
          </w:p>
        </w:tc>
        <w:tc>
          <w:tcPr>
            <w:tcW w:w="1474" w:type="dxa"/>
            <w:shd w:val="clear" w:color="auto" w:fill="auto"/>
            <w:vAlign w:val="center"/>
          </w:tcPr>
          <w:p>
            <w:pPr>
              <w:ind w:firstLine="0"/>
              <w:jc w:val="both"/>
              <w:rPr>
                <w:rFonts w:ascii="仿宋" w:hAnsi="仿宋" w:eastAsia="仿宋"/>
                <w:color w:val="auto"/>
                <w:kern w:val="2"/>
                <w:sz w:val="28"/>
                <w:szCs w:val="28"/>
                <w:highlight w:val="none"/>
              </w:rPr>
            </w:pPr>
          </w:p>
        </w:tc>
        <w:tc>
          <w:tcPr>
            <w:tcW w:w="851" w:type="dxa"/>
            <w:shd w:val="clear" w:color="auto" w:fill="auto"/>
            <w:vAlign w:val="center"/>
          </w:tcPr>
          <w:p>
            <w:pPr>
              <w:ind w:firstLine="0"/>
              <w:jc w:val="both"/>
              <w:rPr>
                <w:rFonts w:ascii="仿宋" w:hAnsi="仿宋" w:eastAsia="仿宋"/>
                <w:color w:val="auto"/>
                <w:kern w:val="2"/>
                <w:sz w:val="28"/>
                <w:szCs w:val="28"/>
                <w:highlight w:val="none"/>
              </w:rPr>
            </w:pPr>
          </w:p>
        </w:tc>
        <w:tc>
          <w:tcPr>
            <w:tcW w:w="1559" w:type="dxa"/>
            <w:shd w:val="clear" w:color="auto" w:fill="auto"/>
            <w:vAlign w:val="center"/>
          </w:tcPr>
          <w:p>
            <w:pPr>
              <w:ind w:firstLine="0"/>
              <w:jc w:val="both"/>
              <w:rPr>
                <w:rFonts w:ascii="仿宋" w:hAnsi="仿宋" w:eastAsia="仿宋"/>
                <w:color w:val="auto"/>
                <w:kern w:val="2"/>
                <w:sz w:val="28"/>
                <w:szCs w:val="28"/>
                <w:highlight w:val="none"/>
              </w:rPr>
            </w:pPr>
          </w:p>
        </w:tc>
        <w:tc>
          <w:tcPr>
            <w:tcW w:w="1418" w:type="dxa"/>
            <w:shd w:val="clear" w:color="auto" w:fill="auto"/>
            <w:vAlign w:val="center"/>
          </w:tcPr>
          <w:p>
            <w:pPr>
              <w:ind w:firstLine="0"/>
              <w:jc w:val="both"/>
              <w:rPr>
                <w:rFonts w:ascii="仿宋" w:hAnsi="仿宋" w:eastAsia="仿宋"/>
                <w:color w:val="auto"/>
                <w:kern w:val="2"/>
                <w:sz w:val="28"/>
                <w:szCs w:val="28"/>
                <w:highlight w:val="none"/>
              </w:rPr>
            </w:pPr>
          </w:p>
        </w:tc>
        <w:tc>
          <w:tcPr>
            <w:tcW w:w="1653" w:type="dxa"/>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p>
        </w:tc>
        <w:tc>
          <w:tcPr>
            <w:tcW w:w="1361" w:type="dxa"/>
            <w:shd w:val="clear" w:color="auto" w:fill="auto"/>
            <w:vAlign w:val="center"/>
          </w:tcPr>
          <w:p>
            <w:pPr>
              <w:ind w:firstLine="0"/>
              <w:jc w:val="both"/>
              <w:rPr>
                <w:rFonts w:ascii="仿宋" w:hAnsi="仿宋" w:eastAsia="仿宋"/>
                <w:color w:val="auto"/>
                <w:kern w:val="2"/>
                <w:sz w:val="28"/>
                <w:szCs w:val="28"/>
                <w:highlight w:val="none"/>
              </w:rPr>
            </w:pPr>
          </w:p>
        </w:tc>
        <w:tc>
          <w:tcPr>
            <w:tcW w:w="1474" w:type="dxa"/>
            <w:shd w:val="clear" w:color="auto" w:fill="auto"/>
            <w:vAlign w:val="center"/>
          </w:tcPr>
          <w:p>
            <w:pPr>
              <w:ind w:firstLine="0"/>
              <w:jc w:val="both"/>
              <w:rPr>
                <w:rFonts w:ascii="仿宋" w:hAnsi="仿宋" w:eastAsia="仿宋"/>
                <w:color w:val="auto"/>
                <w:kern w:val="2"/>
                <w:sz w:val="28"/>
                <w:szCs w:val="28"/>
                <w:highlight w:val="none"/>
              </w:rPr>
            </w:pPr>
          </w:p>
        </w:tc>
        <w:tc>
          <w:tcPr>
            <w:tcW w:w="851" w:type="dxa"/>
            <w:shd w:val="clear" w:color="auto" w:fill="auto"/>
            <w:vAlign w:val="center"/>
          </w:tcPr>
          <w:p>
            <w:pPr>
              <w:ind w:firstLine="0"/>
              <w:jc w:val="both"/>
              <w:rPr>
                <w:rFonts w:ascii="仿宋" w:hAnsi="仿宋" w:eastAsia="仿宋"/>
                <w:color w:val="auto"/>
                <w:kern w:val="2"/>
                <w:sz w:val="28"/>
                <w:szCs w:val="28"/>
                <w:highlight w:val="none"/>
              </w:rPr>
            </w:pPr>
          </w:p>
        </w:tc>
        <w:tc>
          <w:tcPr>
            <w:tcW w:w="1559" w:type="dxa"/>
            <w:shd w:val="clear" w:color="auto" w:fill="auto"/>
            <w:vAlign w:val="center"/>
          </w:tcPr>
          <w:p>
            <w:pPr>
              <w:ind w:firstLine="0"/>
              <w:jc w:val="both"/>
              <w:rPr>
                <w:rFonts w:ascii="仿宋" w:hAnsi="仿宋" w:eastAsia="仿宋"/>
                <w:color w:val="auto"/>
                <w:kern w:val="2"/>
                <w:sz w:val="28"/>
                <w:szCs w:val="28"/>
                <w:highlight w:val="none"/>
              </w:rPr>
            </w:pPr>
          </w:p>
        </w:tc>
        <w:tc>
          <w:tcPr>
            <w:tcW w:w="1418" w:type="dxa"/>
            <w:shd w:val="clear" w:color="auto" w:fill="auto"/>
            <w:vAlign w:val="center"/>
          </w:tcPr>
          <w:p>
            <w:pPr>
              <w:ind w:firstLine="0"/>
              <w:jc w:val="both"/>
              <w:rPr>
                <w:rFonts w:ascii="仿宋" w:hAnsi="仿宋" w:eastAsia="仿宋"/>
                <w:color w:val="auto"/>
                <w:kern w:val="2"/>
                <w:sz w:val="28"/>
                <w:szCs w:val="28"/>
                <w:highlight w:val="none"/>
              </w:rPr>
            </w:pPr>
          </w:p>
        </w:tc>
        <w:tc>
          <w:tcPr>
            <w:tcW w:w="1653" w:type="dxa"/>
            <w:shd w:val="clear" w:color="auto" w:fill="auto"/>
            <w:vAlign w:val="center"/>
          </w:tcPr>
          <w:p>
            <w:pPr>
              <w:ind w:firstLine="0"/>
              <w:jc w:val="both"/>
              <w:rPr>
                <w:rFonts w:ascii="仿宋" w:hAnsi="仿宋" w:eastAsia="仿宋"/>
                <w:color w:val="auto"/>
                <w:kern w:val="2"/>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备注</w:t>
            </w:r>
          </w:p>
        </w:tc>
        <w:tc>
          <w:tcPr>
            <w:tcW w:w="8316" w:type="dxa"/>
            <w:gridSpan w:val="6"/>
            <w:shd w:val="clear" w:color="auto" w:fill="auto"/>
            <w:vAlign w:val="center"/>
          </w:tcPr>
          <w:p>
            <w:pPr>
              <w:ind w:firstLine="0"/>
              <w:jc w:val="both"/>
              <w:rPr>
                <w:rFonts w:ascii="仿宋" w:hAnsi="仿宋" w:eastAsia="仿宋"/>
                <w:color w:val="auto"/>
                <w:kern w:val="2"/>
                <w:sz w:val="28"/>
                <w:szCs w:val="28"/>
                <w:highlight w:val="none"/>
              </w:rPr>
            </w:pPr>
            <w:r>
              <w:rPr>
                <w:rFonts w:hint="eastAsia" w:ascii="仿宋" w:hAnsi="仿宋" w:eastAsia="仿宋"/>
                <w:color w:val="auto"/>
                <w:kern w:val="2"/>
                <w:sz w:val="28"/>
                <w:szCs w:val="28"/>
                <w:highlight w:val="none"/>
              </w:rPr>
              <w:t>1．</w:t>
            </w:r>
            <w:r>
              <w:rPr>
                <w:rFonts w:ascii="仿宋" w:hAnsi="仿宋" w:eastAsia="仿宋"/>
                <w:color w:val="auto"/>
                <w:kern w:val="2"/>
                <w:sz w:val="28"/>
                <w:szCs w:val="28"/>
                <w:highlight w:val="none"/>
              </w:rPr>
              <w:t>表格行数不足时请自行扩展。</w:t>
            </w:r>
          </w:p>
          <w:p>
            <w:pPr>
              <w:ind w:firstLine="0"/>
              <w:jc w:val="both"/>
              <w:rPr>
                <w:rFonts w:ascii="仿宋" w:hAnsi="仿宋" w:eastAsia="仿宋"/>
                <w:color w:val="auto"/>
                <w:kern w:val="2"/>
                <w:sz w:val="28"/>
                <w:szCs w:val="28"/>
                <w:highlight w:val="none"/>
              </w:rPr>
            </w:pPr>
            <w:r>
              <w:rPr>
                <w:rFonts w:ascii="仿宋" w:hAnsi="仿宋" w:eastAsia="仿宋"/>
                <w:color w:val="auto"/>
                <w:kern w:val="2"/>
                <w:sz w:val="28"/>
                <w:szCs w:val="28"/>
                <w:highlight w:val="none"/>
              </w:rPr>
              <w:t>2</w:t>
            </w:r>
            <w:r>
              <w:rPr>
                <w:rFonts w:hint="eastAsia" w:ascii="仿宋" w:hAnsi="仿宋" w:eastAsia="仿宋"/>
                <w:color w:val="auto"/>
                <w:kern w:val="2"/>
                <w:sz w:val="28"/>
                <w:szCs w:val="28"/>
                <w:highlight w:val="none"/>
              </w:rPr>
              <w:t>．设备可以填写单台设备，也可以填写成套设备。</w:t>
            </w:r>
          </w:p>
        </w:tc>
      </w:tr>
    </w:tbl>
    <w:p>
      <w:pPr>
        <w:spacing w:line="560" w:lineRule="exact"/>
        <w:ind w:firstLine="3683" w:firstLineChars="1151"/>
        <w:jc w:val="both"/>
        <w:rPr>
          <w:rFonts w:ascii="仿宋" w:hAnsi="仿宋" w:eastAsia="仿宋"/>
          <w:color w:val="auto"/>
          <w:sz w:val="32"/>
          <w:szCs w:val="32"/>
          <w:highlight w:val="none"/>
        </w:rPr>
      </w:pPr>
      <w:r>
        <w:rPr>
          <w:rFonts w:ascii="仿宋" w:hAnsi="仿宋" w:eastAsia="仿宋"/>
          <w:color w:val="auto"/>
          <w:sz w:val="32"/>
          <w:szCs w:val="32"/>
          <w:highlight w:val="none"/>
        </w:rPr>
        <w:t>供应商：（供应商全称并加盖公章）</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3．业绩</w:t>
      </w: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p>
    <w:p>
      <w:pPr>
        <w:spacing w:line="56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4.其他（根据招标文件要求自行补充）</w:t>
      </w:r>
    </w:p>
    <w:p>
      <w:pPr>
        <w:rPr>
          <w:color w:val="auto"/>
          <w:highlight w:val="none"/>
        </w:rPr>
      </w:pPr>
    </w:p>
    <w:sectPr>
      <w:headerReference r:id="rId3" w:type="default"/>
      <w:footerReference r:id="rId4" w:type="default"/>
      <w:pgSz w:w="11906" w:h="16838"/>
      <w:pgMar w:top="1440" w:right="1800" w:bottom="1440" w:left="180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hakuyoxingshu7000"/>
    <w:panose1 w:val="00000000000000000000"/>
    <w:charset w:val="86"/>
    <w:family w:val="auto"/>
    <w:pitch w:val="default"/>
    <w:sig w:usb0="00000000" w:usb1="00000000" w:usb2="00000000" w:usb3="00000000" w:csb0="0004009F" w:csb1="DFD70000"/>
  </w:font>
  <w:font w:name="华文中宋">
    <w:altName w:val="hakuyoxingshu7000"/>
    <w:panose1 w:val="00000000000000000000"/>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6W/D9EAAAADAQAADwAAAAAAAAABACAAAAAiAAAA&#10;ZHJzL2Rvd25yZXYueG1sUEsBAhQAFAAAAAgAh07iQA4hPXgOAgAAEAQAAA4AAAAAAAAAAQAgAAAA&#10;IAEAAGRycy9lMm9Eb2MueG1sUEsFBgAAAAAGAAYAWQEAAKAFAAAAAA==&#10;">
          <v:path/>
          <v:fill on="f" focussize="0,0"/>
          <v:stroke on="f" joinstyle="miter"/>
          <v:imagedata o:title=""/>
          <o:lock v:ext="edit"/>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C39E7"/>
    <w:multiLevelType w:val="singleLevel"/>
    <w:tmpl w:val="A9AC39E7"/>
    <w:lvl w:ilvl="0" w:tentative="0">
      <w:start w:val="4"/>
      <w:numFmt w:val="chineseCounting"/>
      <w:suff w:val="nothing"/>
      <w:lvlText w:val="%1、"/>
      <w:lvlJc w:val="left"/>
      <w:rPr>
        <w:rFonts w:hint="eastAsia"/>
      </w:rPr>
    </w:lvl>
  </w:abstractNum>
  <w:abstractNum w:abstractNumId="1">
    <w:nsid w:val="C28BD766"/>
    <w:multiLevelType w:val="singleLevel"/>
    <w:tmpl w:val="C28BD766"/>
    <w:lvl w:ilvl="0" w:tentative="0">
      <w:start w:val="1"/>
      <w:numFmt w:val="decimal"/>
      <w:suff w:val="nothing"/>
      <w:lvlText w:val="%1．"/>
      <w:lvlJc w:val="left"/>
      <w:pPr>
        <w:ind w:left="0" w:firstLine="400"/>
      </w:pPr>
      <w:rPr>
        <w:rFonts w:hint="default"/>
      </w:rPr>
    </w:lvl>
  </w:abstractNum>
  <w:abstractNum w:abstractNumId="2">
    <w:nsid w:val="CD10040E"/>
    <w:multiLevelType w:val="singleLevel"/>
    <w:tmpl w:val="CD10040E"/>
    <w:lvl w:ilvl="0" w:tentative="0">
      <w:start w:val="1"/>
      <w:numFmt w:val="decimal"/>
      <w:suff w:val="nothing"/>
      <w:lvlText w:val="%1．"/>
      <w:lvlJc w:val="left"/>
    </w:lvl>
  </w:abstractNum>
  <w:abstractNum w:abstractNumId="3">
    <w:nsid w:val="283AE903"/>
    <w:multiLevelType w:val="singleLevel"/>
    <w:tmpl w:val="283AE903"/>
    <w:lvl w:ilvl="0" w:tentative="0">
      <w:start w:val="1"/>
      <w:numFmt w:val="decimal"/>
      <w:suff w:val="nothing"/>
      <w:lvlText w:val="（%1）"/>
      <w:lvlJc w:val="left"/>
    </w:lvl>
  </w:abstractNum>
  <w:abstractNum w:abstractNumId="4">
    <w:nsid w:val="3CF31326"/>
    <w:multiLevelType w:val="singleLevel"/>
    <w:tmpl w:val="3CF31326"/>
    <w:lvl w:ilvl="0" w:tentative="0">
      <w:start w:val="2"/>
      <w:numFmt w:val="decimal"/>
      <w:suff w:val="nothing"/>
      <w:lvlText w:val="%1．"/>
      <w:lvlJc w:val="left"/>
    </w:lvl>
  </w:abstractNum>
  <w:abstractNum w:abstractNumId="5">
    <w:nsid w:val="568DFB79"/>
    <w:multiLevelType w:val="singleLevel"/>
    <w:tmpl w:val="568DFB79"/>
    <w:lvl w:ilvl="0" w:tentative="0">
      <w:start w:val="1"/>
      <w:numFmt w:val="decimal"/>
      <w:suff w:val="nothing"/>
      <w:lvlText w:val="%1．"/>
      <w:lvlJc w:val="left"/>
      <w:pPr>
        <w:ind w:left="0" w:firstLine="400"/>
      </w:pPr>
      <w:rPr>
        <w:rFonts w:hint="default"/>
      </w:rPr>
    </w:lvl>
  </w:abstractNum>
  <w:abstractNum w:abstractNumId="6">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lY2ZmNjE2ZDIyOTBlZGVkMmVjNWE0NTY2YjFiZTA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004D"/>
    <w:rsid w:val="00061A13"/>
    <w:rsid w:val="00062D84"/>
    <w:rsid w:val="00063EEF"/>
    <w:rsid w:val="00064071"/>
    <w:rsid w:val="00064386"/>
    <w:rsid w:val="00066082"/>
    <w:rsid w:val="00067A39"/>
    <w:rsid w:val="00067D44"/>
    <w:rsid w:val="0007053B"/>
    <w:rsid w:val="00070AA6"/>
    <w:rsid w:val="0007534F"/>
    <w:rsid w:val="000770B7"/>
    <w:rsid w:val="00077B80"/>
    <w:rsid w:val="000857F2"/>
    <w:rsid w:val="000868AE"/>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3CE"/>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59DA"/>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19B3"/>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725"/>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09D"/>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218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87BD1"/>
    <w:rsid w:val="00390290"/>
    <w:rsid w:val="0039216D"/>
    <w:rsid w:val="00392EBD"/>
    <w:rsid w:val="00393459"/>
    <w:rsid w:val="003943D1"/>
    <w:rsid w:val="0039449C"/>
    <w:rsid w:val="00395695"/>
    <w:rsid w:val="003A0002"/>
    <w:rsid w:val="003A0295"/>
    <w:rsid w:val="003A0D83"/>
    <w:rsid w:val="003A192D"/>
    <w:rsid w:val="003A2A14"/>
    <w:rsid w:val="003A4CF3"/>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17728"/>
    <w:rsid w:val="00420875"/>
    <w:rsid w:val="0042388D"/>
    <w:rsid w:val="00425038"/>
    <w:rsid w:val="0042688F"/>
    <w:rsid w:val="00427196"/>
    <w:rsid w:val="00427ABD"/>
    <w:rsid w:val="00427C83"/>
    <w:rsid w:val="004317AB"/>
    <w:rsid w:val="00431DBF"/>
    <w:rsid w:val="00433512"/>
    <w:rsid w:val="0043432D"/>
    <w:rsid w:val="00441423"/>
    <w:rsid w:val="00441D7B"/>
    <w:rsid w:val="00443336"/>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3CCF"/>
    <w:rsid w:val="004C5B48"/>
    <w:rsid w:val="004C6493"/>
    <w:rsid w:val="004C7371"/>
    <w:rsid w:val="004D1F05"/>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3C5"/>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0CB"/>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6B45"/>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1B91"/>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474B"/>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52C0"/>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C7A8E"/>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4CC5"/>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297"/>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184"/>
    <w:rsid w:val="009F22FE"/>
    <w:rsid w:val="009F750B"/>
    <w:rsid w:val="00A00435"/>
    <w:rsid w:val="00A01FCD"/>
    <w:rsid w:val="00A025E8"/>
    <w:rsid w:val="00A03071"/>
    <w:rsid w:val="00A044F0"/>
    <w:rsid w:val="00A05113"/>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2CF7"/>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0DE"/>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4BE"/>
    <w:rsid w:val="00BF150A"/>
    <w:rsid w:val="00BF27C6"/>
    <w:rsid w:val="00BF30A5"/>
    <w:rsid w:val="00BF3210"/>
    <w:rsid w:val="00BF3B09"/>
    <w:rsid w:val="00BF4A06"/>
    <w:rsid w:val="00BF5351"/>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3CD9"/>
    <w:rsid w:val="00C8510F"/>
    <w:rsid w:val="00C856C4"/>
    <w:rsid w:val="00C8634C"/>
    <w:rsid w:val="00C86F92"/>
    <w:rsid w:val="00C90072"/>
    <w:rsid w:val="00C9533B"/>
    <w:rsid w:val="00CA14A2"/>
    <w:rsid w:val="00CA408B"/>
    <w:rsid w:val="00CA597B"/>
    <w:rsid w:val="00CA5F1F"/>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036D"/>
    <w:rsid w:val="00D01058"/>
    <w:rsid w:val="00D01136"/>
    <w:rsid w:val="00D02550"/>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6D86"/>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B79EE"/>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177E5"/>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0302"/>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57B21"/>
    <w:rsid w:val="00F61702"/>
    <w:rsid w:val="00F62E71"/>
    <w:rsid w:val="00F6306C"/>
    <w:rsid w:val="00F630C8"/>
    <w:rsid w:val="00F64C12"/>
    <w:rsid w:val="00F6552D"/>
    <w:rsid w:val="00F667F5"/>
    <w:rsid w:val="00F67278"/>
    <w:rsid w:val="00F710E9"/>
    <w:rsid w:val="00F733F0"/>
    <w:rsid w:val="00F76A72"/>
    <w:rsid w:val="00F77340"/>
    <w:rsid w:val="00F8042D"/>
    <w:rsid w:val="00F8079B"/>
    <w:rsid w:val="00F8355F"/>
    <w:rsid w:val="00F85256"/>
    <w:rsid w:val="00F87572"/>
    <w:rsid w:val="00F87CA2"/>
    <w:rsid w:val="00F91976"/>
    <w:rsid w:val="00F92C8D"/>
    <w:rsid w:val="00F931AD"/>
    <w:rsid w:val="00F95FE5"/>
    <w:rsid w:val="00F9741A"/>
    <w:rsid w:val="00FA0FD0"/>
    <w:rsid w:val="00FA18B4"/>
    <w:rsid w:val="00FA1F53"/>
    <w:rsid w:val="00FA2095"/>
    <w:rsid w:val="00FA244D"/>
    <w:rsid w:val="00FA7224"/>
    <w:rsid w:val="00FB01BB"/>
    <w:rsid w:val="00FB0E42"/>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634"/>
    <w:rsid w:val="00FD6F4D"/>
    <w:rsid w:val="00FE0559"/>
    <w:rsid w:val="00FE05A0"/>
    <w:rsid w:val="00FE3884"/>
    <w:rsid w:val="00FE3FCF"/>
    <w:rsid w:val="00FF2E19"/>
    <w:rsid w:val="00FF756F"/>
    <w:rsid w:val="01C12C6A"/>
    <w:rsid w:val="01CD70F2"/>
    <w:rsid w:val="020138B9"/>
    <w:rsid w:val="02D212D8"/>
    <w:rsid w:val="037F1DBA"/>
    <w:rsid w:val="051F2403"/>
    <w:rsid w:val="05AD1B88"/>
    <w:rsid w:val="05E337FC"/>
    <w:rsid w:val="05EF3F4F"/>
    <w:rsid w:val="06314567"/>
    <w:rsid w:val="066E1317"/>
    <w:rsid w:val="07027CB2"/>
    <w:rsid w:val="07153E89"/>
    <w:rsid w:val="071F0864"/>
    <w:rsid w:val="07C35B29"/>
    <w:rsid w:val="07CB34CF"/>
    <w:rsid w:val="08013DBF"/>
    <w:rsid w:val="082223BA"/>
    <w:rsid w:val="09441D9B"/>
    <w:rsid w:val="09756E61"/>
    <w:rsid w:val="098C36F7"/>
    <w:rsid w:val="0AE7065C"/>
    <w:rsid w:val="0B310B66"/>
    <w:rsid w:val="0BEB6F66"/>
    <w:rsid w:val="0C7D22B4"/>
    <w:rsid w:val="0CA84E57"/>
    <w:rsid w:val="0CC55A09"/>
    <w:rsid w:val="0D58687D"/>
    <w:rsid w:val="0E5A03D3"/>
    <w:rsid w:val="0F032819"/>
    <w:rsid w:val="0F2433D5"/>
    <w:rsid w:val="0F4903E0"/>
    <w:rsid w:val="0F906BA6"/>
    <w:rsid w:val="0FC34BC5"/>
    <w:rsid w:val="11A26319"/>
    <w:rsid w:val="11BB73DB"/>
    <w:rsid w:val="11D80D88"/>
    <w:rsid w:val="11D87F8D"/>
    <w:rsid w:val="11DB2E96"/>
    <w:rsid w:val="11FB320C"/>
    <w:rsid w:val="122B630F"/>
    <w:rsid w:val="122D2087"/>
    <w:rsid w:val="12597320"/>
    <w:rsid w:val="13394A5B"/>
    <w:rsid w:val="13531FC1"/>
    <w:rsid w:val="13E62E35"/>
    <w:rsid w:val="14ED3D4F"/>
    <w:rsid w:val="15A20FDE"/>
    <w:rsid w:val="16565924"/>
    <w:rsid w:val="17533CF2"/>
    <w:rsid w:val="194C201E"/>
    <w:rsid w:val="1A4408B5"/>
    <w:rsid w:val="1B7A20B5"/>
    <w:rsid w:val="1BBB0703"/>
    <w:rsid w:val="1CFD2F9D"/>
    <w:rsid w:val="1DBF0CFB"/>
    <w:rsid w:val="1E545F56"/>
    <w:rsid w:val="1E592455"/>
    <w:rsid w:val="1FB5190D"/>
    <w:rsid w:val="1FF02946"/>
    <w:rsid w:val="202060FE"/>
    <w:rsid w:val="205B0707"/>
    <w:rsid w:val="217D6643"/>
    <w:rsid w:val="219571ED"/>
    <w:rsid w:val="22C75BE0"/>
    <w:rsid w:val="22D447A0"/>
    <w:rsid w:val="230010F2"/>
    <w:rsid w:val="2387430E"/>
    <w:rsid w:val="240A34F9"/>
    <w:rsid w:val="24262DDA"/>
    <w:rsid w:val="26127ABA"/>
    <w:rsid w:val="26502AD4"/>
    <w:rsid w:val="265360FA"/>
    <w:rsid w:val="26AD77E2"/>
    <w:rsid w:val="275825AE"/>
    <w:rsid w:val="27736FAC"/>
    <w:rsid w:val="27AC6B1A"/>
    <w:rsid w:val="27CA6751"/>
    <w:rsid w:val="284E0B51"/>
    <w:rsid w:val="28F2130B"/>
    <w:rsid w:val="291B586A"/>
    <w:rsid w:val="295D54F0"/>
    <w:rsid w:val="2A0E2346"/>
    <w:rsid w:val="2A88659C"/>
    <w:rsid w:val="2AAE2951"/>
    <w:rsid w:val="2B1A4D1A"/>
    <w:rsid w:val="2C136339"/>
    <w:rsid w:val="2C432009"/>
    <w:rsid w:val="2CA90A4C"/>
    <w:rsid w:val="2CAE609C"/>
    <w:rsid w:val="2D9C5EBB"/>
    <w:rsid w:val="2DC53663"/>
    <w:rsid w:val="2DCA2A28"/>
    <w:rsid w:val="2E344345"/>
    <w:rsid w:val="2E4427DA"/>
    <w:rsid w:val="2E975000"/>
    <w:rsid w:val="2F0E4B96"/>
    <w:rsid w:val="300D5767"/>
    <w:rsid w:val="31F2254D"/>
    <w:rsid w:val="329F5F4D"/>
    <w:rsid w:val="32B55A55"/>
    <w:rsid w:val="32BB6DE3"/>
    <w:rsid w:val="330E767D"/>
    <w:rsid w:val="33C90654"/>
    <w:rsid w:val="35727C2D"/>
    <w:rsid w:val="369D517D"/>
    <w:rsid w:val="36F17277"/>
    <w:rsid w:val="389C3213"/>
    <w:rsid w:val="39290F4A"/>
    <w:rsid w:val="3A9E62B0"/>
    <w:rsid w:val="3CB02325"/>
    <w:rsid w:val="3CCB40C7"/>
    <w:rsid w:val="3D8A6C1E"/>
    <w:rsid w:val="3DA6700D"/>
    <w:rsid w:val="3DE96EFA"/>
    <w:rsid w:val="3E907559"/>
    <w:rsid w:val="3FBB3CE7"/>
    <w:rsid w:val="3FE21E53"/>
    <w:rsid w:val="40860A30"/>
    <w:rsid w:val="415D3E87"/>
    <w:rsid w:val="41A5138A"/>
    <w:rsid w:val="425C55D5"/>
    <w:rsid w:val="437A6F11"/>
    <w:rsid w:val="443A5592"/>
    <w:rsid w:val="45336CAD"/>
    <w:rsid w:val="458C1D8B"/>
    <w:rsid w:val="46537E09"/>
    <w:rsid w:val="46A14816"/>
    <w:rsid w:val="48873598"/>
    <w:rsid w:val="4ADB5E1D"/>
    <w:rsid w:val="4AE567C4"/>
    <w:rsid w:val="4BBB3C41"/>
    <w:rsid w:val="4BC468B1"/>
    <w:rsid w:val="4C0575F5"/>
    <w:rsid w:val="4C196BFC"/>
    <w:rsid w:val="4CCF375F"/>
    <w:rsid w:val="4D8C7B80"/>
    <w:rsid w:val="4DCB2A58"/>
    <w:rsid w:val="4E8F31A6"/>
    <w:rsid w:val="4F014335"/>
    <w:rsid w:val="4F165675"/>
    <w:rsid w:val="4FD27A41"/>
    <w:rsid w:val="509E5922"/>
    <w:rsid w:val="510E0CFA"/>
    <w:rsid w:val="51AE428B"/>
    <w:rsid w:val="51D55C3C"/>
    <w:rsid w:val="52B94C95"/>
    <w:rsid w:val="531620E8"/>
    <w:rsid w:val="53656BCB"/>
    <w:rsid w:val="540B32CF"/>
    <w:rsid w:val="544669FD"/>
    <w:rsid w:val="55202DAA"/>
    <w:rsid w:val="55C933A5"/>
    <w:rsid w:val="55E02539"/>
    <w:rsid w:val="55E22755"/>
    <w:rsid w:val="56270168"/>
    <w:rsid w:val="563F54B2"/>
    <w:rsid w:val="5656694B"/>
    <w:rsid w:val="5809221B"/>
    <w:rsid w:val="5814296E"/>
    <w:rsid w:val="59205A6E"/>
    <w:rsid w:val="5A6E2809"/>
    <w:rsid w:val="5AD741F5"/>
    <w:rsid w:val="5B7315EC"/>
    <w:rsid w:val="5CDA4186"/>
    <w:rsid w:val="5E987E55"/>
    <w:rsid w:val="5F864151"/>
    <w:rsid w:val="60457B68"/>
    <w:rsid w:val="61C55405"/>
    <w:rsid w:val="6463005F"/>
    <w:rsid w:val="65C2639F"/>
    <w:rsid w:val="66CB4B3F"/>
    <w:rsid w:val="674C7A2E"/>
    <w:rsid w:val="678B49FB"/>
    <w:rsid w:val="67C029D2"/>
    <w:rsid w:val="68AB4C28"/>
    <w:rsid w:val="69DF2DDC"/>
    <w:rsid w:val="6A815C41"/>
    <w:rsid w:val="6A9811DC"/>
    <w:rsid w:val="6B1B0ECA"/>
    <w:rsid w:val="6B74410E"/>
    <w:rsid w:val="6BD81C8A"/>
    <w:rsid w:val="6CF16554"/>
    <w:rsid w:val="6E4C2A0A"/>
    <w:rsid w:val="6E865F1C"/>
    <w:rsid w:val="6ECC76A7"/>
    <w:rsid w:val="6F235519"/>
    <w:rsid w:val="6FFB46E7"/>
    <w:rsid w:val="70D80585"/>
    <w:rsid w:val="71BC3A02"/>
    <w:rsid w:val="72896F1B"/>
    <w:rsid w:val="73A429A0"/>
    <w:rsid w:val="756578D8"/>
    <w:rsid w:val="768F2E9D"/>
    <w:rsid w:val="76C36FCF"/>
    <w:rsid w:val="77617526"/>
    <w:rsid w:val="78510D99"/>
    <w:rsid w:val="789775BC"/>
    <w:rsid w:val="792C5912"/>
    <w:rsid w:val="793547C6"/>
    <w:rsid w:val="797D7F1B"/>
    <w:rsid w:val="79FE105C"/>
    <w:rsid w:val="7A2C2E3F"/>
    <w:rsid w:val="7BA619AB"/>
    <w:rsid w:val="7D3D00ED"/>
    <w:rsid w:val="7DEC38C1"/>
    <w:rsid w:val="7E1A5F7D"/>
    <w:rsid w:val="7E7062A0"/>
    <w:rsid w:val="7EC34622"/>
    <w:rsid w:val="7F114707"/>
    <w:rsid w:val="7F155B94"/>
    <w:rsid w:val="7F192C6A"/>
    <w:rsid w:val="7F596D35"/>
    <w:rsid w:val="7F5B485B"/>
    <w:rsid w:val="7F6A7194"/>
    <w:rsid w:val="7FD5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1"/>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5"/>
    <w:link w:val="62"/>
    <w:unhideWhenUsed/>
    <w:qFormat/>
    <w:uiPriority w:val="9"/>
    <w:pPr>
      <w:spacing w:line="560" w:lineRule="exact"/>
      <w:ind w:firstLine="640" w:firstLineChars="200"/>
      <w:jc w:val="both"/>
      <w:outlineLvl w:val="1"/>
    </w:pPr>
    <w:rPr>
      <w:rFonts w:ascii="楷体" w:hAnsi="楷体" w:eastAsia="黑体"/>
      <w:sz w:val="32"/>
      <w:szCs w:val="32"/>
    </w:rPr>
  </w:style>
  <w:style w:type="paragraph" w:styleId="6">
    <w:name w:val="heading 3"/>
    <w:basedOn w:val="1"/>
    <w:next w:val="1"/>
    <w:link w:val="63"/>
    <w:unhideWhenUsed/>
    <w:qFormat/>
    <w:uiPriority w:val="9"/>
    <w:pPr>
      <w:spacing w:line="560" w:lineRule="exact"/>
      <w:jc w:val="center"/>
      <w:outlineLvl w:val="2"/>
    </w:pPr>
    <w:rPr>
      <w:rFonts w:ascii="方正小标宋_GBK" w:hAnsi="仿宋" w:eastAsia="方正小标宋_GBK"/>
      <w:sz w:val="36"/>
      <w:szCs w:val="36"/>
    </w:rPr>
  </w:style>
  <w:style w:type="paragraph" w:styleId="7">
    <w:name w:val="heading 4"/>
    <w:basedOn w:val="1"/>
    <w:next w:val="1"/>
    <w:link w:val="64"/>
    <w:semiHidden/>
    <w:unhideWhenUsed/>
    <w:qFormat/>
    <w:uiPriority w:val="9"/>
    <w:pPr>
      <w:keepNext/>
      <w:numPr>
        <w:ilvl w:val="3"/>
        <w:numId w:val="1"/>
      </w:numPr>
      <w:spacing w:before="240" w:after="60"/>
      <w:outlineLvl w:val="3"/>
    </w:pPr>
    <w:rPr>
      <w:rFonts w:cstheme="majorBidi"/>
      <w:b/>
      <w:bCs/>
      <w:sz w:val="28"/>
      <w:szCs w:val="28"/>
    </w:rPr>
  </w:style>
  <w:style w:type="paragraph" w:styleId="8">
    <w:name w:val="heading 5"/>
    <w:basedOn w:val="1"/>
    <w:next w:val="1"/>
    <w:link w:val="65"/>
    <w:semiHidden/>
    <w:unhideWhenUsed/>
    <w:qFormat/>
    <w:uiPriority w:val="9"/>
    <w:pPr>
      <w:numPr>
        <w:ilvl w:val="4"/>
        <w:numId w:val="1"/>
      </w:numPr>
      <w:spacing w:before="240" w:after="60"/>
      <w:outlineLvl w:val="4"/>
    </w:pPr>
    <w:rPr>
      <w:b/>
      <w:bCs/>
      <w:i/>
      <w:iCs/>
      <w:sz w:val="26"/>
      <w:szCs w:val="26"/>
    </w:rPr>
  </w:style>
  <w:style w:type="paragraph" w:styleId="9">
    <w:name w:val="heading 6"/>
    <w:basedOn w:val="1"/>
    <w:next w:val="1"/>
    <w:link w:val="66"/>
    <w:semiHidden/>
    <w:unhideWhenUsed/>
    <w:qFormat/>
    <w:uiPriority w:val="9"/>
    <w:pPr>
      <w:numPr>
        <w:ilvl w:val="5"/>
        <w:numId w:val="1"/>
      </w:numPr>
      <w:spacing w:before="240" w:after="60"/>
      <w:outlineLvl w:val="5"/>
    </w:pPr>
    <w:rPr>
      <w:rFonts w:cstheme="majorBidi"/>
      <w:b/>
      <w:bCs/>
      <w:sz w:val="22"/>
      <w:szCs w:val="22"/>
    </w:rPr>
  </w:style>
  <w:style w:type="paragraph" w:styleId="10">
    <w:name w:val="heading 7"/>
    <w:basedOn w:val="1"/>
    <w:next w:val="1"/>
    <w:link w:val="67"/>
    <w:semiHidden/>
    <w:unhideWhenUsed/>
    <w:qFormat/>
    <w:uiPriority w:val="9"/>
    <w:pPr>
      <w:numPr>
        <w:ilvl w:val="6"/>
        <w:numId w:val="1"/>
      </w:numPr>
      <w:spacing w:before="240" w:after="60"/>
      <w:outlineLvl w:val="6"/>
    </w:pPr>
  </w:style>
  <w:style w:type="paragraph" w:styleId="11">
    <w:name w:val="heading 8"/>
    <w:basedOn w:val="1"/>
    <w:next w:val="1"/>
    <w:link w:val="68"/>
    <w:semiHidden/>
    <w:unhideWhenUsed/>
    <w:qFormat/>
    <w:uiPriority w:val="9"/>
    <w:pPr>
      <w:numPr>
        <w:ilvl w:val="7"/>
        <w:numId w:val="1"/>
      </w:numPr>
      <w:spacing w:before="240" w:after="60"/>
      <w:outlineLvl w:val="7"/>
    </w:pPr>
    <w:rPr>
      <w:rFonts w:cstheme="majorBidi"/>
      <w:i/>
      <w:iCs/>
    </w:rPr>
  </w:style>
  <w:style w:type="paragraph" w:styleId="12">
    <w:name w:val="heading 9"/>
    <w:basedOn w:val="1"/>
    <w:next w:val="1"/>
    <w:link w:val="69"/>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hAnsi="Calibri"/>
      <w:sz w:val="34"/>
    </w:rPr>
  </w:style>
  <w:style w:type="paragraph" w:styleId="5">
    <w:name w:val="Normal Indent"/>
    <w:basedOn w:val="1"/>
    <w:unhideWhenUsed/>
    <w:qFormat/>
    <w:uiPriority w:val="0"/>
    <w:pPr>
      <w:ind w:firstLine="420"/>
    </w:p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93"/>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5"/>
    <w:unhideWhenUsed/>
    <w:qFormat/>
    <w:uiPriority w:val="99"/>
    <w:pPr>
      <w:spacing w:line="400" w:lineRule="exact"/>
    </w:pPr>
    <w:rPr>
      <w:rFonts w:ascii="Calibri Light" w:hAnsi="Calibri Light" w:eastAsia="华文仿宋" w:cs="Calibri Light"/>
      <w:kern w:val="2"/>
      <w:sz w:val="28"/>
      <w:szCs w:val="28"/>
    </w:rPr>
  </w:style>
  <w:style w:type="paragraph" w:styleId="16">
    <w:name w:val="Date"/>
    <w:basedOn w:val="1"/>
    <w:next w:val="1"/>
    <w:link w:val="58"/>
    <w:semiHidden/>
    <w:unhideWhenUsed/>
    <w:qFormat/>
    <w:uiPriority w:val="99"/>
    <w:pPr>
      <w:ind w:left="100" w:leftChars="2500"/>
    </w:pPr>
  </w:style>
  <w:style w:type="paragraph" w:styleId="17">
    <w:name w:val="Balloon Text"/>
    <w:basedOn w:val="1"/>
    <w:link w:val="84"/>
    <w:semiHidden/>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5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spacing w:beforeLines="100" w:afterLines="100"/>
    </w:pPr>
    <w:rPr>
      <w:rFonts w:ascii="Calibri" w:hAnsi="Calibri" w:eastAsia="宋体"/>
      <w:kern w:val="32"/>
      <w:sz w:val="32"/>
    </w:rPr>
  </w:style>
  <w:style w:type="paragraph" w:styleId="21">
    <w:name w:val="Subtitle"/>
    <w:basedOn w:val="1"/>
    <w:next w:val="1"/>
    <w:link w:val="71"/>
    <w:qFormat/>
    <w:uiPriority w:val="11"/>
    <w:pPr>
      <w:keepNext/>
      <w:spacing w:beforeLines="50" w:afterLines="50"/>
      <w:jc w:val="center"/>
      <w:outlineLvl w:val="1"/>
    </w:pPr>
    <w:rPr>
      <w:rFonts w:ascii="Calibri" w:hAnsi="Calibri" w:eastAsia="黑体" w:cstheme="majorBidi"/>
      <w:sz w:val="32"/>
    </w:rPr>
  </w:style>
  <w:style w:type="paragraph" w:styleId="22">
    <w:name w:val="footnote text"/>
    <w:basedOn w:val="1"/>
    <w:link w:val="103"/>
    <w:semiHidden/>
    <w:unhideWhenUsed/>
    <w:qFormat/>
    <w:uiPriority w:val="99"/>
    <w:pPr>
      <w:snapToGrid w:val="0"/>
    </w:pPr>
    <w:rPr>
      <w:sz w:val="18"/>
      <w:szCs w:val="18"/>
    </w:rPr>
  </w:style>
  <w:style w:type="paragraph" w:styleId="23">
    <w:name w:val="Normal (Web)"/>
    <w:basedOn w:val="1"/>
    <w:qFormat/>
    <w:uiPriority w:val="0"/>
    <w:pPr>
      <w:spacing w:before="100" w:beforeAutospacing="1" w:after="100" w:afterAutospacing="1"/>
    </w:pPr>
    <w:rPr>
      <w:rFonts w:hAnsi="宋体"/>
      <w:sz w:val="18"/>
      <w:szCs w:val="18"/>
    </w:rPr>
  </w:style>
  <w:style w:type="paragraph" w:styleId="24">
    <w:name w:val="Title"/>
    <w:basedOn w:val="1"/>
    <w:next w:val="1"/>
    <w:link w:val="70"/>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5"/>
    <w:next w:val="15"/>
    <w:link w:val="92"/>
    <w:semiHidden/>
    <w:unhideWhenUsed/>
    <w:qFormat/>
    <w:uiPriority w:val="99"/>
    <w:rPr>
      <w:b/>
      <w:bCs/>
    </w:rPr>
  </w:style>
  <w:style w:type="paragraph" w:styleId="26">
    <w:name w:val="Body Text First Indent"/>
    <w:basedOn w:val="2"/>
    <w:next w:val="27"/>
    <w:semiHidden/>
    <w:unhideWhenUsed/>
    <w:qFormat/>
    <w:uiPriority w:val="99"/>
    <w:pPr>
      <w:ind w:firstLine="420" w:firstLineChars="100"/>
    </w:pPr>
  </w:style>
  <w:style w:type="paragraph" w:customStyle="1" w:styleId="27">
    <w:name w:val="段落正文"/>
    <w:basedOn w:val="1"/>
    <w:qFormat/>
    <w:uiPriority w:val="0"/>
    <w:pPr>
      <w:spacing w:beforeLines="50" w:line="360" w:lineRule="auto"/>
      <w:ind w:firstLine="200" w:firstLineChars="200"/>
    </w:pPr>
    <w:rPr>
      <w:spacing w:val="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qFormat/>
    <w:uiPriority w:val="0"/>
    <w:rPr>
      <w:rFonts w:ascii="Times New Roman" w:hAnsi="Times New Roman" w:eastAsia="宋体" w:cs="Times New Roman"/>
    </w:rPr>
  </w:style>
  <w:style w:type="character" w:styleId="33">
    <w:name w:val="FollowedHyperlink"/>
    <w:basedOn w:val="30"/>
    <w:semiHidden/>
    <w:unhideWhenUsed/>
    <w:qFormat/>
    <w:uiPriority w:val="99"/>
    <w:rPr>
      <w:color w:val="954F72" w:themeColor="followedHyperlink"/>
      <w:u w:val="single"/>
    </w:rPr>
  </w:style>
  <w:style w:type="character" w:styleId="34">
    <w:name w:val="Emphasis"/>
    <w:basedOn w:val="30"/>
    <w:qFormat/>
    <w:uiPriority w:val="20"/>
    <w:rPr>
      <w:rFonts w:asciiTheme="minorHAnsi" w:hAnsiTheme="minorHAnsi"/>
      <w:b/>
      <w:i/>
      <w:iCs/>
    </w:rPr>
  </w:style>
  <w:style w:type="character" w:styleId="35">
    <w:name w:val="Hyperlink"/>
    <w:basedOn w:val="30"/>
    <w:unhideWhenUsed/>
    <w:qFormat/>
    <w:uiPriority w:val="99"/>
    <w:rPr>
      <w:color w:val="0563C1" w:themeColor="hyperlink"/>
      <w:u w:val="single"/>
    </w:rPr>
  </w:style>
  <w:style w:type="character" w:styleId="36">
    <w:name w:val="annotation reference"/>
    <w:basedOn w:val="30"/>
    <w:semiHidden/>
    <w:unhideWhenUsed/>
    <w:qFormat/>
    <w:uiPriority w:val="99"/>
    <w:rPr>
      <w:sz w:val="21"/>
      <w:szCs w:val="21"/>
    </w:rPr>
  </w:style>
  <w:style w:type="character" w:styleId="37">
    <w:name w:val="footnote reference"/>
    <w:basedOn w:val="30"/>
    <w:semiHidden/>
    <w:unhideWhenUsed/>
    <w:qFormat/>
    <w:uiPriority w:val="99"/>
    <w:rPr>
      <w:vertAlign w:val="superscript"/>
    </w:rPr>
  </w:style>
  <w:style w:type="paragraph" w:customStyle="1" w:styleId="38">
    <w:name w:val="※封面大标题"/>
    <w:basedOn w:val="1"/>
    <w:next w:val="1"/>
    <w:qFormat/>
    <w:uiPriority w:val="0"/>
    <w:pPr>
      <w:jc w:val="center"/>
    </w:pPr>
    <w:rPr>
      <w:rFonts w:ascii="华文中宋" w:hAnsi="华文中宋" w:eastAsia="华文中宋"/>
      <w:sz w:val="96"/>
      <w:szCs w:val="96"/>
    </w:rPr>
  </w:style>
  <w:style w:type="paragraph" w:customStyle="1" w:styleId="39">
    <w:name w:val="※封面题颌"/>
    <w:basedOn w:val="1"/>
    <w:next w:val="1"/>
    <w:qFormat/>
    <w:uiPriority w:val="0"/>
    <w:pPr>
      <w:jc w:val="center"/>
    </w:pPr>
    <w:rPr>
      <w:rFonts w:ascii="Calibri Light" w:hAnsi="Calibri Light" w:eastAsia="华文仿宋"/>
      <w:sz w:val="36"/>
      <w:szCs w:val="36"/>
    </w:rPr>
  </w:style>
  <w:style w:type="paragraph" w:customStyle="1" w:styleId="40">
    <w:name w:val="※封面题眉"/>
    <w:basedOn w:val="1"/>
    <w:next w:val="38"/>
    <w:qFormat/>
    <w:uiPriority w:val="0"/>
    <w:pPr>
      <w:jc w:val="center"/>
    </w:pPr>
    <w:rPr>
      <w:rFonts w:ascii="华文仿宋" w:hAnsi="华文仿宋" w:eastAsia="华文仿宋"/>
      <w:sz w:val="52"/>
      <w:szCs w:val="28"/>
    </w:rPr>
  </w:style>
  <w:style w:type="paragraph" w:customStyle="1" w:styleId="41">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2">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3">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4">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5">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6">
    <w:name w:val="※小标题 一"/>
    <w:basedOn w:val="45"/>
    <w:next w:val="45"/>
    <w:qFormat/>
    <w:uiPriority w:val="0"/>
    <w:pPr>
      <w:spacing w:before="120" w:line="240" w:lineRule="auto"/>
      <w:outlineLvl w:val="2"/>
    </w:pPr>
    <w:rPr>
      <w:b/>
      <w:color w:val="1F3864" w:themeColor="accent5" w:themeShade="80"/>
      <w:sz w:val="32"/>
    </w:rPr>
  </w:style>
  <w:style w:type="paragraph" w:customStyle="1" w:styleId="47">
    <w:name w:val="※小标题（1）"/>
    <w:basedOn w:val="1"/>
    <w:next w:val="45"/>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8">
    <w:name w:val="※小标题（一）"/>
    <w:basedOn w:val="1"/>
    <w:next w:val="45"/>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9">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0">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1">
    <w:name w:val="※页眉"/>
    <w:basedOn w:val="45"/>
    <w:qFormat/>
    <w:uiPriority w:val="0"/>
    <w:pPr>
      <w:pBdr>
        <w:bottom w:val="single" w:color="auto" w:sz="4" w:space="1"/>
      </w:pBdr>
      <w:spacing w:line="240" w:lineRule="atLeast"/>
      <w:jc w:val="right"/>
    </w:pPr>
    <w:rPr>
      <w:rFonts w:ascii="宋体" w:hAnsi="宋体" w:eastAsia="宋体"/>
      <w:sz w:val="18"/>
    </w:rPr>
  </w:style>
  <w:style w:type="paragraph" w:customStyle="1" w:styleId="52">
    <w:name w:val="※章节标题（第X章）"/>
    <w:basedOn w:val="1"/>
    <w:qFormat/>
    <w:uiPriority w:val="0"/>
    <w:pPr>
      <w:jc w:val="center"/>
      <w:outlineLvl w:val="0"/>
    </w:pPr>
    <w:rPr>
      <w:rFonts w:ascii="Calibri Light" w:hAnsi="Calibri Light" w:eastAsia="黑体"/>
      <w:sz w:val="36"/>
      <w:szCs w:val="28"/>
    </w:rPr>
  </w:style>
  <w:style w:type="paragraph" w:customStyle="1" w:styleId="53">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4">
    <w:name w:val="※章节标题（第Z部分分项）"/>
    <w:basedOn w:val="53"/>
    <w:qFormat/>
    <w:uiPriority w:val="0"/>
    <w:pPr>
      <w:outlineLvl w:val="2"/>
    </w:pPr>
  </w:style>
  <w:style w:type="paragraph" w:customStyle="1" w:styleId="55">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6">
    <w:name w:val="※正文（缩进2）"/>
    <w:basedOn w:val="45"/>
    <w:qFormat/>
    <w:uiPriority w:val="0"/>
    <w:pPr>
      <w:ind w:firstLine="200" w:firstLineChars="200"/>
    </w:pPr>
  </w:style>
  <w:style w:type="paragraph" w:customStyle="1" w:styleId="57">
    <w:name w:val="※正文（缩进4）"/>
    <w:basedOn w:val="45"/>
    <w:qFormat/>
    <w:uiPriority w:val="0"/>
    <w:pPr>
      <w:ind w:firstLine="400" w:firstLineChars="400"/>
    </w:pPr>
  </w:style>
  <w:style w:type="character" w:customStyle="1" w:styleId="58">
    <w:name w:val="日期 Char"/>
    <w:basedOn w:val="30"/>
    <w:link w:val="16"/>
    <w:semiHidden/>
    <w:qFormat/>
    <w:uiPriority w:val="99"/>
    <w:rPr>
      <w:rFonts w:ascii="华文仿宋" w:hAnsi="华文仿宋" w:eastAsia="华文仿宋"/>
      <w:sz w:val="28"/>
      <w:szCs w:val="28"/>
    </w:rPr>
  </w:style>
  <w:style w:type="character" w:customStyle="1" w:styleId="59">
    <w:name w:val="页眉 Char"/>
    <w:basedOn w:val="30"/>
    <w:link w:val="19"/>
    <w:qFormat/>
    <w:uiPriority w:val="0"/>
    <w:rPr>
      <w:rFonts w:ascii="华文仿宋" w:hAnsi="华文仿宋" w:eastAsia="华文仿宋"/>
      <w:sz w:val="18"/>
      <w:szCs w:val="18"/>
    </w:rPr>
  </w:style>
  <w:style w:type="character" w:customStyle="1" w:styleId="60">
    <w:name w:val="页脚 Char"/>
    <w:basedOn w:val="30"/>
    <w:link w:val="18"/>
    <w:qFormat/>
    <w:uiPriority w:val="99"/>
    <w:rPr>
      <w:rFonts w:ascii="华文仿宋" w:hAnsi="华文仿宋" w:eastAsia="华文仿宋"/>
      <w:sz w:val="18"/>
      <w:szCs w:val="18"/>
    </w:rPr>
  </w:style>
  <w:style w:type="character" w:customStyle="1" w:styleId="61">
    <w:name w:val="标题 1 Char"/>
    <w:basedOn w:val="30"/>
    <w:link w:val="3"/>
    <w:qFormat/>
    <w:uiPriority w:val="9"/>
    <w:rPr>
      <w:rFonts w:ascii="方正小标宋_GBK" w:hAnsi="仿宋" w:eastAsia="方正小标宋_GBK"/>
      <w:sz w:val="44"/>
      <w:szCs w:val="44"/>
    </w:rPr>
  </w:style>
  <w:style w:type="character" w:customStyle="1" w:styleId="62">
    <w:name w:val="标题 2 Char"/>
    <w:basedOn w:val="30"/>
    <w:link w:val="4"/>
    <w:qFormat/>
    <w:uiPriority w:val="9"/>
    <w:rPr>
      <w:rFonts w:ascii="楷体" w:hAnsi="楷体" w:eastAsia="黑体"/>
      <w:sz w:val="32"/>
      <w:szCs w:val="32"/>
    </w:rPr>
  </w:style>
  <w:style w:type="character" w:customStyle="1" w:styleId="63">
    <w:name w:val="标题 3 Char"/>
    <w:basedOn w:val="30"/>
    <w:link w:val="6"/>
    <w:qFormat/>
    <w:uiPriority w:val="9"/>
    <w:rPr>
      <w:rFonts w:ascii="方正小标宋_GBK" w:hAnsi="仿宋" w:eastAsia="方正小标宋_GBK"/>
      <w:sz w:val="36"/>
      <w:szCs w:val="36"/>
    </w:rPr>
  </w:style>
  <w:style w:type="character" w:customStyle="1" w:styleId="64">
    <w:name w:val="标题 4 Char"/>
    <w:basedOn w:val="30"/>
    <w:link w:val="7"/>
    <w:semiHidden/>
    <w:qFormat/>
    <w:uiPriority w:val="9"/>
    <w:rPr>
      <w:rFonts w:cstheme="majorBidi"/>
      <w:b/>
      <w:bCs/>
      <w:sz w:val="28"/>
      <w:szCs w:val="28"/>
    </w:rPr>
  </w:style>
  <w:style w:type="character" w:customStyle="1" w:styleId="65">
    <w:name w:val="标题 5 Char"/>
    <w:basedOn w:val="30"/>
    <w:link w:val="8"/>
    <w:semiHidden/>
    <w:qFormat/>
    <w:uiPriority w:val="9"/>
    <w:rPr>
      <w:b/>
      <w:bCs/>
      <w:i/>
      <w:iCs/>
      <w:sz w:val="26"/>
      <w:szCs w:val="26"/>
    </w:rPr>
  </w:style>
  <w:style w:type="character" w:customStyle="1" w:styleId="66">
    <w:name w:val="标题 6 Char"/>
    <w:basedOn w:val="30"/>
    <w:link w:val="9"/>
    <w:semiHidden/>
    <w:qFormat/>
    <w:uiPriority w:val="9"/>
    <w:rPr>
      <w:rFonts w:cstheme="majorBidi"/>
      <w:b/>
      <w:bCs/>
    </w:rPr>
  </w:style>
  <w:style w:type="character" w:customStyle="1" w:styleId="67">
    <w:name w:val="标题 7 Char"/>
    <w:basedOn w:val="30"/>
    <w:link w:val="10"/>
    <w:semiHidden/>
    <w:qFormat/>
    <w:uiPriority w:val="9"/>
    <w:rPr>
      <w:sz w:val="24"/>
      <w:szCs w:val="24"/>
    </w:rPr>
  </w:style>
  <w:style w:type="character" w:customStyle="1" w:styleId="68">
    <w:name w:val="标题 8 Char"/>
    <w:basedOn w:val="30"/>
    <w:link w:val="11"/>
    <w:semiHidden/>
    <w:qFormat/>
    <w:uiPriority w:val="9"/>
    <w:rPr>
      <w:rFonts w:cstheme="majorBidi"/>
      <w:i/>
      <w:iCs/>
      <w:sz w:val="24"/>
      <w:szCs w:val="24"/>
    </w:rPr>
  </w:style>
  <w:style w:type="character" w:customStyle="1" w:styleId="69">
    <w:name w:val="标题 9 Char"/>
    <w:basedOn w:val="30"/>
    <w:link w:val="12"/>
    <w:semiHidden/>
    <w:qFormat/>
    <w:uiPriority w:val="9"/>
    <w:rPr>
      <w:rFonts w:asciiTheme="majorHAnsi" w:hAnsiTheme="majorHAnsi" w:eastAsiaTheme="majorEastAsia" w:cstheme="majorBidi"/>
    </w:rPr>
  </w:style>
  <w:style w:type="character" w:customStyle="1" w:styleId="70">
    <w:name w:val="标题 Char"/>
    <w:basedOn w:val="30"/>
    <w:link w:val="24"/>
    <w:qFormat/>
    <w:uiPriority w:val="10"/>
    <w:rPr>
      <w:rFonts w:asciiTheme="majorHAnsi" w:hAnsiTheme="majorHAnsi" w:eastAsiaTheme="majorEastAsia" w:cstheme="majorBidi"/>
      <w:b/>
      <w:bCs/>
      <w:kern w:val="28"/>
      <w:sz w:val="32"/>
      <w:szCs w:val="32"/>
    </w:rPr>
  </w:style>
  <w:style w:type="character" w:customStyle="1" w:styleId="71">
    <w:name w:val="副标题 Char"/>
    <w:basedOn w:val="30"/>
    <w:link w:val="21"/>
    <w:qFormat/>
    <w:uiPriority w:val="11"/>
    <w:rPr>
      <w:rFonts w:ascii="Calibri" w:hAnsi="Calibri" w:eastAsia="黑体" w:cstheme="majorBidi"/>
      <w:sz w:val="32"/>
      <w:szCs w:val="24"/>
    </w:rPr>
  </w:style>
  <w:style w:type="paragraph" w:styleId="72">
    <w:name w:val="No Spacing"/>
    <w:basedOn w:val="1"/>
    <w:qFormat/>
    <w:uiPriority w:val="1"/>
    <w:rPr>
      <w:szCs w:val="32"/>
    </w:rPr>
  </w:style>
  <w:style w:type="paragraph" w:styleId="73">
    <w:name w:val="List Paragraph"/>
    <w:basedOn w:val="1"/>
    <w:qFormat/>
    <w:uiPriority w:val="0"/>
    <w:pPr>
      <w:ind w:left="720"/>
      <w:contextualSpacing/>
    </w:pPr>
  </w:style>
  <w:style w:type="paragraph" w:styleId="74">
    <w:name w:val="Quote"/>
    <w:basedOn w:val="1"/>
    <w:next w:val="1"/>
    <w:link w:val="75"/>
    <w:qFormat/>
    <w:uiPriority w:val="29"/>
    <w:rPr>
      <w:i/>
    </w:rPr>
  </w:style>
  <w:style w:type="character" w:customStyle="1" w:styleId="75">
    <w:name w:val="引用 Char"/>
    <w:basedOn w:val="30"/>
    <w:link w:val="74"/>
    <w:qFormat/>
    <w:uiPriority w:val="29"/>
    <w:rPr>
      <w:i/>
      <w:sz w:val="24"/>
      <w:szCs w:val="24"/>
    </w:rPr>
  </w:style>
  <w:style w:type="paragraph" w:styleId="76">
    <w:name w:val="Intense Quote"/>
    <w:basedOn w:val="1"/>
    <w:next w:val="1"/>
    <w:link w:val="77"/>
    <w:qFormat/>
    <w:uiPriority w:val="30"/>
    <w:pPr>
      <w:ind w:left="720" w:right="720"/>
    </w:pPr>
    <w:rPr>
      <w:b/>
      <w:i/>
      <w:szCs w:val="22"/>
    </w:rPr>
  </w:style>
  <w:style w:type="character" w:customStyle="1" w:styleId="77">
    <w:name w:val="明显引用 Char"/>
    <w:basedOn w:val="30"/>
    <w:link w:val="76"/>
    <w:qFormat/>
    <w:uiPriority w:val="30"/>
    <w:rPr>
      <w:b/>
      <w:i/>
      <w:sz w:val="24"/>
    </w:rPr>
  </w:style>
  <w:style w:type="character" w:customStyle="1" w:styleId="78">
    <w:name w:val="不明显强调1"/>
    <w:qFormat/>
    <w:uiPriority w:val="19"/>
    <w:rPr>
      <w:i/>
      <w:color w:val="585858" w:themeColor="text1" w:themeTint="A6"/>
    </w:rPr>
  </w:style>
  <w:style w:type="character" w:customStyle="1" w:styleId="79">
    <w:name w:val="明显强调1"/>
    <w:basedOn w:val="30"/>
    <w:qFormat/>
    <w:uiPriority w:val="21"/>
    <w:rPr>
      <w:b/>
      <w:i/>
      <w:sz w:val="24"/>
      <w:szCs w:val="24"/>
      <w:u w:val="single"/>
    </w:rPr>
  </w:style>
  <w:style w:type="character" w:customStyle="1" w:styleId="80">
    <w:name w:val="不明显参考1"/>
    <w:basedOn w:val="30"/>
    <w:qFormat/>
    <w:uiPriority w:val="31"/>
    <w:rPr>
      <w:sz w:val="24"/>
      <w:szCs w:val="24"/>
      <w:u w:val="single"/>
    </w:rPr>
  </w:style>
  <w:style w:type="character" w:customStyle="1" w:styleId="81">
    <w:name w:val="明显参考1"/>
    <w:basedOn w:val="30"/>
    <w:qFormat/>
    <w:uiPriority w:val="32"/>
    <w:rPr>
      <w:b/>
      <w:sz w:val="24"/>
      <w:u w:val="single"/>
    </w:rPr>
  </w:style>
  <w:style w:type="character" w:customStyle="1" w:styleId="82">
    <w:name w:val="书籍标题1"/>
    <w:basedOn w:val="30"/>
    <w:qFormat/>
    <w:uiPriority w:val="33"/>
    <w:rPr>
      <w:rFonts w:asciiTheme="majorHAnsi" w:hAnsiTheme="majorHAnsi" w:eastAsiaTheme="majorEastAsia"/>
      <w:b/>
      <w:i/>
      <w:sz w:val="24"/>
      <w:szCs w:val="24"/>
    </w:rPr>
  </w:style>
  <w:style w:type="paragraph" w:customStyle="1" w:styleId="83">
    <w:name w:val="TOC 标题1"/>
    <w:basedOn w:val="3"/>
    <w:next w:val="1"/>
    <w:semiHidden/>
    <w:unhideWhenUsed/>
    <w:qFormat/>
    <w:uiPriority w:val="39"/>
    <w:pPr>
      <w:outlineLvl w:val="9"/>
    </w:pPr>
  </w:style>
  <w:style w:type="character" w:customStyle="1" w:styleId="84">
    <w:name w:val="批注框文本 Char"/>
    <w:basedOn w:val="30"/>
    <w:link w:val="17"/>
    <w:semiHidden/>
    <w:qFormat/>
    <w:uiPriority w:val="99"/>
    <w:rPr>
      <w:sz w:val="18"/>
      <w:szCs w:val="18"/>
    </w:rPr>
  </w:style>
  <w:style w:type="character" w:customStyle="1" w:styleId="85">
    <w:name w:val="批注文字 Char"/>
    <w:basedOn w:val="30"/>
    <w:link w:val="15"/>
    <w:qFormat/>
    <w:uiPriority w:val="99"/>
    <w:rPr>
      <w:rFonts w:ascii="Calibri Light" w:hAnsi="Calibri Light" w:eastAsia="华文仿宋" w:cs="Calibri Light"/>
      <w:kern w:val="2"/>
      <w:sz w:val="28"/>
      <w:szCs w:val="28"/>
    </w:rPr>
  </w:style>
  <w:style w:type="paragraph" w:customStyle="1" w:styleId="86">
    <w:name w:val="@正文"/>
    <w:basedOn w:val="45"/>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7">
    <w:name w:val="@一级小标题"/>
    <w:basedOn w:val="1"/>
    <w:next w:val="86"/>
    <w:qFormat/>
    <w:uiPriority w:val="0"/>
    <w:pPr>
      <w:keepNext/>
      <w:spacing w:before="120" w:after="60"/>
      <w:outlineLvl w:val="2"/>
    </w:pPr>
    <w:rPr>
      <w:rFonts w:ascii="Calibri" w:hAnsi="Calibri" w:eastAsia="黑体"/>
      <w:kern w:val="28"/>
      <w:sz w:val="28"/>
    </w:rPr>
  </w:style>
  <w:style w:type="paragraph" w:customStyle="1" w:styleId="88">
    <w:name w:val="@标题"/>
    <w:basedOn w:val="1"/>
    <w:next w:val="86"/>
    <w:qFormat/>
    <w:uiPriority w:val="0"/>
    <w:pPr>
      <w:keepNext/>
      <w:spacing w:beforeLines="50" w:afterLines="50"/>
      <w:jc w:val="center"/>
      <w:outlineLvl w:val="1"/>
    </w:pPr>
    <w:rPr>
      <w:rFonts w:ascii="Calibri" w:hAnsi="Calibri" w:eastAsia="黑体"/>
      <w:kern w:val="32"/>
      <w:sz w:val="32"/>
    </w:rPr>
  </w:style>
  <w:style w:type="table" w:customStyle="1" w:styleId="89">
    <w:name w:val="网格型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
    <w:name w:val="页眉 Char1"/>
    <w:basedOn w:val="30"/>
    <w:semiHidden/>
    <w:qFormat/>
    <w:uiPriority w:val="99"/>
    <w:rPr>
      <w:rFonts w:cs="Calibri Light"/>
      <w:sz w:val="18"/>
      <w:szCs w:val="18"/>
    </w:rPr>
  </w:style>
  <w:style w:type="character" w:customStyle="1" w:styleId="91">
    <w:name w:val="页脚 Char1"/>
    <w:basedOn w:val="30"/>
    <w:semiHidden/>
    <w:qFormat/>
    <w:uiPriority w:val="99"/>
    <w:rPr>
      <w:rFonts w:cs="Calibri Light"/>
      <w:sz w:val="18"/>
      <w:szCs w:val="18"/>
    </w:rPr>
  </w:style>
  <w:style w:type="character" w:customStyle="1" w:styleId="92">
    <w:name w:val="批注主题 Char"/>
    <w:basedOn w:val="85"/>
    <w:link w:val="25"/>
    <w:semiHidden/>
    <w:qFormat/>
    <w:uiPriority w:val="99"/>
    <w:rPr>
      <w:rFonts w:ascii="Calibri Light" w:hAnsi="Calibri Light" w:eastAsia="华文仿宋" w:cs="Calibri Light"/>
      <w:b/>
      <w:bCs/>
      <w:kern w:val="2"/>
      <w:sz w:val="28"/>
      <w:szCs w:val="28"/>
    </w:rPr>
  </w:style>
  <w:style w:type="character" w:customStyle="1" w:styleId="93">
    <w:name w:val="文档结构图 Char"/>
    <w:basedOn w:val="30"/>
    <w:link w:val="14"/>
    <w:semiHidden/>
    <w:qFormat/>
    <w:uiPriority w:val="99"/>
    <w:rPr>
      <w:rFonts w:ascii="宋体" w:hAnsi="Calibri Light" w:eastAsia="宋体" w:cs="Calibri Light"/>
      <w:kern w:val="2"/>
      <w:sz w:val="18"/>
      <w:szCs w:val="18"/>
    </w:rPr>
  </w:style>
  <w:style w:type="character" w:styleId="94">
    <w:name w:val="Placeholder Text"/>
    <w:basedOn w:val="30"/>
    <w:semiHidden/>
    <w:qFormat/>
    <w:uiPriority w:val="99"/>
    <w:rPr>
      <w:color w:val="808080"/>
    </w:rPr>
  </w:style>
  <w:style w:type="character" w:customStyle="1" w:styleId="95">
    <w:name w:val="Unresolved Mention"/>
    <w:basedOn w:val="30"/>
    <w:semiHidden/>
    <w:unhideWhenUsed/>
    <w:qFormat/>
    <w:uiPriority w:val="99"/>
    <w:rPr>
      <w:color w:val="605E5C"/>
      <w:shd w:val="clear" w:color="auto" w:fill="E1DFDD"/>
    </w:rPr>
  </w:style>
  <w:style w:type="paragraph" w:customStyle="1" w:styleId="96">
    <w:name w:val="样式1"/>
    <w:basedOn w:val="6"/>
    <w:link w:val="98"/>
    <w:qFormat/>
    <w:uiPriority w:val="0"/>
    <w:pPr>
      <w:jc w:val="left"/>
    </w:pPr>
    <w:rPr>
      <w:rFonts w:eastAsia="楷体"/>
      <w:sz w:val="32"/>
    </w:rPr>
  </w:style>
  <w:style w:type="paragraph" w:customStyle="1" w:styleId="97">
    <w:name w:val="样式2"/>
    <w:basedOn w:val="88"/>
    <w:link w:val="100"/>
    <w:qFormat/>
    <w:uiPriority w:val="0"/>
    <w:pPr>
      <w:spacing w:line="560" w:lineRule="exact"/>
      <w:ind w:firstLine="643" w:firstLineChars="200"/>
      <w:jc w:val="both"/>
    </w:pPr>
    <w:rPr>
      <w:rFonts w:ascii="仿宋_GB2312" w:hAnsi="仿宋" w:eastAsia="仿宋_GB2312"/>
      <w:b/>
      <w:bCs/>
      <w:szCs w:val="32"/>
    </w:rPr>
  </w:style>
  <w:style w:type="character" w:customStyle="1" w:styleId="98">
    <w:name w:val="样式1 字符"/>
    <w:basedOn w:val="62"/>
    <w:link w:val="96"/>
    <w:qFormat/>
    <w:uiPriority w:val="0"/>
    <w:rPr>
      <w:rFonts w:ascii="方正小标宋_GBK" w:hAnsi="仿宋" w:eastAsia="楷体"/>
      <w:sz w:val="32"/>
      <w:szCs w:val="36"/>
    </w:rPr>
  </w:style>
  <w:style w:type="paragraph" w:customStyle="1" w:styleId="99">
    <w:name w:val="样式3"/>
    <w:basedOn w:val="1"/>
    <w:link w:val="101"/>
    <w:qFormat/>
    <w:uiPriority w:val="0"/>
    <w:pPr>
      <w:spacing w:line="560" w:lineRule="exact"/>
      <w:jc w:val="center"/>
    </w:pPr>
    <w:rPr>
      <w:rFonts w:ascii="方正小标宋_GBK" w:hAnsi="仿宋" w:eastAsia="方正小标宋_GBK"/>
      <w:sz w:val="36"/>
      <w:szCs w:val="36"/>
    </w:rPr>
  </w:style>
  <w:style w:type="character" w:customStyle="1" w:styleId="100">
    <w:name w:val="样式2 字符"/>
    <w:basedOn w:val="30"/>
    <w:link w:val="97"/>
    <w:qFormat/>
    <w:uiPriority w:val="0"/>
    <w:rPr>
      <w:rFonts w:ascii="仿宋_GB2312" w:hAnsi="仿宋" w:eastAsia="仿宋_GB2312"/>
      <w:b/>
      <w:bCs/>
      <w:kern w:val="32"/>
      <w:sz w:val="32"/>
      <w:szCs w:val="32"/>
    </w:rPr>
  </w:style>
  <w:style w:type="character" w:customStyle="1" w:styleId="101">
    <w:name w:val="样式3 字符"/>
    <w:basedOn w:val="30"/>
    <w:link w:val="99"/>
    <w:qFormat/>
    <w:uiPriority w:val="0"/>
    <w:rPr>
      <w:rFonts w:ascii="方正小标宋_GBK" w:hAnsi="仿宋" w:eastAsia="方正小标宋_GBK"/>
      <w:sz w:val="36"/>
      <w:szCs w:val="36"/>
    </w:rPr>
  </w:style>
  <w:style w:type="paragraph" w:customStyle="1" w:styleId="102">
    <w:name w:val="正文首行缩进两字符"/>
    <w:basedOn w:val="1"/>
    <w:qFormat/>
    <w:uiPriority w:val="0"/>
    <w:pPr>
      <w:widowControl w:val="0"/>
      <w:spacing w:line="360" w:lineRule="auto"/>
      <w:ind w:firstLine="200" w:firstLineChars="200"/>
    </w:pPr>
  </w:style>
  <w:style w:type="character" w:customStyle="1" w:styleId="103">
    <w:name w:val="脚注文本 Char"/>
    <w:basedOn w:val="30"/>
    <w:link w:val="22"/>
    <w:semiHidden/>
    <w:qFormat/>
    <w:uiPriority w:val="99"/>
    <w:rPr>
      <w:rFonts w:asciiTheme="minorHAnsi" w:hAnsiTheme="minorHAnsi" w:eastAsiaTheme="minorEastAsia"/>
      <w:sz w:val="18"/>
      <w:szCs w:val="18"/>
    </w:rPr>
  </w:style>
  <w:style w:type="character" w:customStyle="1" w:styleId="104">
    <w:name w:val="font31"/>
    <w:basedOn w:val="30"/>
    <w:qFormat/>
    <w:uiPriority w:val="0"/>
    <w:rPr>
      <w:rFonts w:hint="eastAsia" w:ascii="宋体" w:hAnsi="宋体" w:eastAsia="宋体" w:cs="宋体"/>
      <w:color w:val="000000"/>
      <w:sz w:val="18"/>
      <w:szCs w:val="18"/>
      <w:u w:val="none"/>
    </w:rPr>
  </w:style>
  <w:style w:type="character" w:customStyle="1" w:styleId="105">
    <w:name w:val="font91"/>
    <w:basedOn w:val="30"/>
    <w:qFormat/>
    <w:uiPriority w:val="0"/>
    <w:rPr>
      <w:rFonts w:ascii="Calibri" w:hAnsi="Calibri" w:cs="Calibri"/>
      <w:color w:val="000000"/>
      <w:sz w:val="18"/>
      <w:szCs w:val="18"/>
      <w:u w:val="none"/>
    </w:rPr>
  </w:style>
  <w:style w:type="character" w:customStyle="1" w:styleId="106">
    <w:name w:val="font51"/>
    <w:basedOn w:val="30"/>
    <w:qFormat/>
    <w:uiPriority w:val="0"/>
    <w:rPr>
      <w:rFonts w:hint="eastAsia" w:ascii="宋体" w:hAnsi="宋体" w:eastAsia="宋体" w:cs="宋体"/>
      <w:color w:val="000000"/>
      <w:sz w:val="15"/>
      <w:szCs w:val="15"/>
      <w:u w:val="none"/>
    </w:rPr>
  </w:style>
  <w:style w:type="character" w:customStyle="1" w:styleId="107">
    <w:name w:val="font71"/>
    <w:basedOn w:val="30"/>
    <w:qFormat/>
    <w:uiPriority w:val="0"/>
    <w:rPr>
      <w:rFonts w:ascii="Calibri" w:hAnsi="Calibri" w:cs="Calibri"/>
      <w:color w:val="000000"/>
      <w:sz w:val="18"/>
      <w:szCs w:val="18"/>
      <w:u w:val="none"/>
    </w:rPr>
  </w:style>
  <w:style w:type="paragraph" w:customStyle="1" w:styleId="108">
    <w:name w:val="样式 首行缩进:  2 字符"/>
    <w:basedOn w:val="1"/>
    <w:qFormat/>
    <w:uiPriority w:val="99"/>
    <w:pPr>
      <w:spacing w:line="400" w:lineRule="exact"/>
      <w:ind w:firstLine="200" w:firstLineChars="200"/>
    </w:pPr>
    <w:rPr>
      <w:rFonts w:cs="宋体"/>
    </w:rPr>
  </w:style>
  <w:style w:type="paragraph" w:customStyle="1" w:styleId="109">
    <w:name w:val="样式"/>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CF7C0-877D-4356-A8A9-B816C46078B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97</Pages>
  <Words>34351</Words>
  <Characters>36838</Characters>
  <Lines>287</Lines>
  <Paragraphs>81</Paragraphs>
  <TotalTime>1</TotalTime>
  <ScaleCrop>false</ScaleCrop>
  <LinksUpToDate>false</LinksUpToDate>
  <CharactersWithSpaces>37240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川招连娟</cp:lastModifiedBy>
  <cp:lastPrinted>2023-08-07T06:37:00Z</cp:lastPrinted>
  <dcterms:modified xsi:type="dcterms:W3CDTF">2023-08-11T06:44:37Z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25E819AF97724AA6A3F0FA6C8DE40BAE_13</vt:lpwstr>
  </property>
</Properties>
</file>