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napToGrid w:val="0"/>
        <w:spacing w:before="0" w:after="0" w:line="360" w:lineRule="auto"/>
        <w:jc w:val="center"/>
        <w:rPr>
          <w:rFonts w:hint="eastAsia" w:ascii="仿宋_GB2312" w:hAnsi="仿宋_GB2312" w:eastAsia="仿宋_GB2312" w:cs="仿宋_GB2312"/>
          <w:sz w:val="32"/>
          <w:szCs w:val="32"/>
        </w:rPr>
      </w:pPr>
      <w:bookmarkStart w:id="10" w:name="_GoBack"/>
      <w:bookmarkEnd w:id="10"/>
      <w:bookmarkStart w:id="0" w:name="_Toc17094"/>
      <w:bookmarkStart w:id="1" w:name="_Toc25753"/>
      <w:bookmarkStart w:id="2" w:name="_Toc93800308"/>
      <w:bookmarkStart w:id="3" w:name="_Toc497712133"/>
      <w:bookmarkStart w:id="4" w:name="_Toc497711585"/>
      <w:bookmarkStart w:id="5" w:name="_Toc497551820"/>
      <w:bookmarkStart w:id="6" w:name="_Toc497546918"/>
      <w:bookmarkStart w:id="7" w:name="_Toc358725573"/>
      <w:bookmarkStart w:id="8" w:name="_Toc492955459"/>
      <w:bookmarkStart w:id="9" w:name="_Toc246928931"/>
      <w:r>
        <w:rPr>
          <w:rFonts w:hint="eastAsia" w:ascii="仿宋_GB2312" w:hAnsi="仿宋_GB2312" w:eastAsia="仿宋_GB2312" w:cs="仿宋_GB2312"/>
          <w:sz w:val="32"/>
          <w:szCs w:val="32"/>
        </w:rPr>
        <w:t>合同主要条款</w:t>
      </w:r>
      <w:bookmarkEnd w:id="0"/>
      <w:bookmarkEnd w:id="1"/>
      <w:bookmarkEnd w:id="2"/>
      <w:bookmarkEnd w:id="3"/>
      <w:bookmarkEnd w:id="4"/>
      <w:bookmarkEnd w:id="5"/>
      <w:bookmarkEnd w:id="6"/>
      <w:bookmarkEnd w:id="7"/>
      <w:bookmarkEnd w:id="8"/>
      <w:bookmarkEnd w:id="9"/>
    </w:p>
    <w:p>
      <w:pPr>
        <w:jc w:val="center"/>
        <w:rPr>
          <w:rFonts w:hint="eastAsia" w:ascii="仿宋_GB2312" w:hAnsi="仿宋_GB2312" w:eastAsia="仿宋_GB2312" w:cs="仿宋_GB2312"/>
          <w:b/>
          <w:sz w:val="28"/>
          <w:szCs w:val="28"/>
        </w:rPr>
      </w:pPr>
      <w:r>
        <w:rPr>
          <w:rFonts w:hint="eastAsia" w:ascii="仿宋_GB2312" w:hAnsi="仿宋_GB2312" w:eastAsia="仿宋_GB2312" w:cs="仿宋_GB2312"/>
          <w:b/>
          <w:sz w:val="28"/>
          <w:szCs w:val="28"/>
        </w:rPr>
        <w:t>（参考格式）</w:t>
      </w:r>
    </w:p>
    <w:p>
      <w:pPr>
        <w:tabs>
          <w:tab w:val="left" w:pos="3195"/>
        </w:tabs>
        <w:spacing w:before="120" w:beforeLines="50" w:after="120" w:afterLines="50"/>
        <w:jc w:val="center"/>
        <w:rPr>
          <w:rFonts w:hint="eastAsia" w:ascii="仿宋_GB2312" w:hAnsi="仿宋_GB2312" w:eastAsia="仿宋_GB2312" w:cs="仿宋_GB2312"/>
          <w:b/>
          <w:sz w:val="24"/>
          <w:szCs w:val="24"/>
        </w:rPr>
      </w:pPr>
    </w:p>
    <w:p>
      <w:pPr>
        <w:shd w:val="clear" w:color="auto" w:fill="FFFFFF"/>
        <w:snapToGrid w:val="0"/>
        <w:spacing w:line="480" w:lineRule="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甲方：</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bCs/>
          <w:sz w:val="24"/>
          <w:szCs w:val="24"/>
          <w:u w:val="single"/>
        </w:rPr>
        <w:t xml:space="preserve">                          </w:t>
      </w:r>
      <w:r>
        <w:rPr>
          <w:rFonts w:hint="eastAsia" w:ascii="仿宋_GB2312" w:hAnsi="仿宋_GB2312" w:eastAsia="仿宋_GB2312" w:cs="仿宋_GB2312"/>
          <w:sz w:val="24"/>
          <w:szCs w:val="24"/>
          <w:u w:val="single"/>
        </w:rPr>
        <w:t xml:space="preserve">       </w:t>
      </w:r>
    </w:p>
    <w:p>
      <w:pPr>
        <w:shd w:val="clear" w:color="auto" w:fill="FFFFFF"/>
        <w:snapToGrid w:val="0"/>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b/>
          <w:bCs/>
          <w:sz w:val="24"/>
          <w:szCs w:val="24"/>
        </w:rPr>
        <w:t>乙方：</w:t>
      </w:r>
      <w:r>
        <w:rPr>
          <w:rFonts w:hint="eastAsia" w:ascii="仿宋_GB2312" w:hAnsi="仿宋_GB2312" w:eastAsia="仿宋_GB2312" w:cs="仿宋_GB2312"/>
          <w:sz w:val="24"/>
          <w:szCs w:val="24"/>
          <w:u w:val="single"/>
        </w:rPr>
        <w:t xml:space="preserve">                                    </w:t>
      </w:r>
    </w:p>
    <w:p>
      <w:pPr>
        <w:shd w:val="clear" w:color="auto" w:fill="FFFFFF"/>
        <w:snapToGrid w:val="0"/>
        <w:spacing w:line="360" w:lineRule="auto"/>
        <w:ind w:firstLine="600" w:firstLineChars="250"/>
        <w:jc w:val="left"/>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依据《中华人民共和国</w:t>
      </w:r>
      <w:r>
        <w:rPr>
          <w:rFonts w:hint="eastAsia" w:ascii="仿宋_GB2312" w:hAnsi="仿宋_GB2312" w:eastAsia="仿宋_GB2312" w:cs="仿宋_GB2312"/>
          <w:sz w:val="24"/>
          <w:szCs w:val="24"/>
          <w:lang w:val="en-US" w:eastAsia="zh-CN"/>
        </w:rPr>
        <w:t>民法典</w:t>
      </w:r>
      <w:r>
        <w:rPr>
          <w:rFonts w:hint="eastAsia" w:ascii="仿宋_GB2312" w:hAnsi="仿宋_GB2312" w:eastAsia="仿宋_GB2312" w:cs="仿宋_GB2312"/>
          <w:sz w:val="24"/>
          <w:szCs w:val="24"/>
        </w:rPr>
        <w:t>》及其他有关法律法规，遵循平等、自愿、公平和诚实信用的原则，甲、乙双方就</w:t>
      </w:r>
      <w:r>
        <w:rPr>
          <w:rFonts w:hint="eastAsia" w:ascii="仿宋_GB2312" w:hAnsi="仿宋_GB2312" w:eastAsia="仿宋_GB2312" w:cs="仿宋_GB2312"/>
          <w:sz w:val="24"/>
          <w:szCs w:val="24"/>
          <w:u w:val="single"/>
        </w:rPr>
        <w:t xml:space="preserve"> </w:t>
      </w:r>
      <w:r>
        <w:rPr>
          <w:rFonts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相关事项达成一致意见，订立本合同。</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一、项目范围</w:t>
      </w:r>
    </w:p>
    <w:p>
      <w:pPr>
        <w:shd w:val="clear" w:color="auto" w:fill="FFFFFF"/>
        <w:snapToGrid w:val="0"/>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采购内容                 </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二、项目交货安装期</w:t>
      </w:r>
    </w:p>
    <w:p>
      <w:pPr>
        <w:shd w:val="clear" w:color="auto" w:fill="FFFFFF"/>
        <w:snapToGrid w:val="0"/>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交货安装期为</w:t>
      </w:r>
      <w:r>
        <w:rPr>
          <w:rFonts w:hint="eastAsia" w:ascii="仿宋_GB2312" w:hAnsi="仿宋_GB2312" w:eastAsia="仿宋_GB2312" w:cs="仿宋_GB2312"/>
          <w:sz w:val="24"/>
          <w:szCs w:val="24"/>
          <w:u w:val="single"/>
        </w:rPr>
        <w:t xml:space="preserve">            </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三、合同文件及解释</w:t>
      </w:r>
    </w:p>
    <w:p>
      <w:pPr>
        <w:shd w:val="clear" w:color="auto" w:fill="FFFFFF"/>
        <w:snapToGrid w:val="0"/>
        <w:spacing w:line="360" w:lineRule="auto"/>
        <w:rPr>
          <w:rFonts w:hint="eastAsia" w:ascii="仿宋_GB2312" w:hAnsi="仿宋_GB2312" w:eastAsia="仿宋_GB2312" w:cs="仿宋_GB2312"/>
          <w:color w:val="000000"/>
          <w:kern w:val="28"/>
          <w:sz w:val="24"/>
          <w:szCs w:val="24"/>
        </w:rPr>
      </w:pPr>
      <w:r>
        <w:rPr>
          <w:rFonts w:hint="eastAsia" w:ascii="仿宋_GB2312" w:hAnsi="仿宋_GB2312" w:eastAsia="仿宋_GB2312" w:cs="仿宋_GB2312"/>
          <w:color w:val="000000"/>
          <w:kern w:val="28"/>
          <w:sz w:val="24"/>
          <w:szCs w:val="24"/>
        </w:rPr>
        <w:t>合同协议书</w:t>
      </w:r>
    </w:p>
    <w:p>
      <w:pPr>
        <w:shd w:val="clear" w:color="auto" w:fill="FFFFFF"/>
        <w:snapToGrid w:val="0"/>
        <w:spacing w:line="360" w:lineRule="auto"/>
        <w:rPr>
          <w:rFonts w:hint="eastAsia" w:ascii="仿宋_GB2312" w:hAnsi="仿宋_GB2312" w:eastAsia="仿宋_GB2312" w:cs="仿宋_GB2312"/>
          <w:color w:val="000000"/>
          <w:kern w:val="28"/>
          <w:sz w:val="24"/>
          <w:szCs w:val="24"/>
        </w:rPr>
      </w:pPr>
      <w:r>
        <w:rPr>
          <w:rFonts w:hint="eastAsia" w:ascii="仿宋_GB2312" w:hAnsi="仿宋_GB2312" w:cs="仿宋_GB2312"/>
          <w:color w:val="000000"/>
          <w:kern w:val="28"/>
          <w:sz w:val="24"/>
          <w:szCs w:val="24"/>
          <w:lang w:val="en-US" w:eastAsia="zh-CN"/>
        </w:rPr>
        <w:t>成交</w:t>
      </w:r>
      <w:r>
        <w:rPr>
          <w:rFonts w:hint="eastAsia" w:ascii="仿宋_GB2312" w:hAnsi="仿宋_GB2312" w:eastAsia="仿宋_GB2312" w:cs="仿宋_GB2312"/>
          <w:color w:val="000000"/>
          <w:kern w:val="28"/>
          <w:sz w:val="24"/>
          <w:szCs w:val="24"/>
        </w:rPr>
        <w:t>通知书</w:t>
      </w:r>
    </w:p>
    <w:p>
      <w:pPr>
        <w:shd w:val="clear" w:color="auto" w:fill="FFFFFF"/>
        <w:snapToGrid w:val="0"/>
        <w:spacing w:line="360" w:lineRule="auto"/>
        <w:rPr>
          <w:rFonts w:hint="eastAsia" w:ascii="仿宋_GB2312" w:hAnsi="仿宋_GB2312" w:eastAsia="仿宋_GB2312" w:cs="仿宋_GB2312"/>
          <w:color w:val="000000"/>
          <w:kern w:val="28"/>
          <w:sz w:val="24"/>
          <w:szCs w:val="24"/>
        </w:rPr>
      </w:pPr>
      <w:r>
        <w:rPr>
          <w:rFonts w:hint="eastAsia" w:ascii="仿宋_GB2312" w:hAnsi="仿宋_GB2312" w:cs="仿宋_GB2312"/>
          <w:color w:val="000000"/>
          <w:kern w:val="28"/>
          <w:sz w:val="24"/>
          <w:szCs w:val="24"/>
          <w:lang w:val="en-US" w:eastAsia="zh-CN"/>
        </w:rPr>
        <w:t>谈判</w:t>
      </w:r>
      <w:r>
        <w:rPr>
          <w:rFonts w:hint="eastAsia" w:ascii="仿宋_GB2312" w:hAnsi="仿宋_GB2312" w:eastAsia="仿宋_GB2312" w:cs="仿宋_GB2312"/>
          <w:color w:val="000000"/>
          <w:kern w:val="28"/>
          <w:sz w:val="24"/>
          <w:szCs w:val="24"/>
        </w:rPr>
        <w:t>文件及招标补遗文件</w:t>
      </w:r>
    </w:p>
    <w:p>
      <w:pPr>
        <w:shd w:val="clear" w:color="auto" w:fill="FFFFFF"/>
        <w:snapToGrid w:val="0"/>
        <w:spacing w:line="360" w:lineRule="auto"/>
        <w:rPr>
          <w:rFonts w:hint="eastAsia" w:ascii="仿宋_GB2312" w:hAnsi="仿宋_GB2312" w:eastAsia="仿宋_GB2312" w:cs="仿宋_GB2312"/>
          <w:color w:val="000000"/>
          <w:kern w:val="28"/>
          <w:sz w:val="24"/>
          <w:szCs w:val="24"/>
        </w:rPr>
      </w:pPr>
      <w:r>
        <w:rPr>
          <w:rFonts w:hint="eastAsia" w:ascii="仿宋_GB2312" w:hAnsi="仿宋_GB2312" w:cs="仿宋_GB2312"/>
          <w:color w:val="000000"/>
          <w:kern w:val="28"/>
          <w:sz w:val="24"/>
          <w:szCs w:val="24"/>
          <w:lang w:val="en-US" w:eastAsia="zh-CN"/>
        </w:rPr>
        <w:t>谈判</w:t>
      </w:r>
      <w:r>
        <w:rPr>
          <w:rFonts w:hint="eastAsia" w:ascii="仿宋_GB2312" w:hAnsi="仿宋_GB2312" w:eastAsia="仿宋_GB2312" w:cs="仿宋_GB2312"/>
          <w:color w:val="000000"/>
          <w:kern w:val="28"/>
          <w:sz w:val="24"/>
          <w:szCs w:val="24"/>
        </w:rPr>
        <w:t>函</w:t>
      </w:r>
    </w:p>
    <w:p>
      <w:pPr>
        <w:shd w:val="clear" w:color="auto" w:fill="FFFFFF"/>
        <w:snapToGrid w:val="0"/>
        <w:spacing w:line="360" w:lineRule="auto"/>
        <w:rPr>
          <w:rFonts w:hint="eastAsia" w:ascii="仿宋_GB2312" w:hAnsi="仿宋_GB2312" w:eastAsia="仿宋_GB2312" w:cs="仿宋_GB2312"/>
          <w:color w:val="000000"/>
          <w:kern w:val="28"/>
          <w:sz w:val="24"/>
          <w:szCs w:val="24"/>
        </w:rPr>
      </w:pPr>
      <w:r>
        <w:rPr>
          <w:rFonts w:hint="eastAsia" w:ascii="仿宋_GB2312" w:hAnsi="仿宋_GB2312" w:eastAsia="仿宋_GB2312" w:cs="仿宋_GB2312"/>
          <w:color w:val="000000"/>
          <w:kern w:val="28"/>
          <w:sz w:val="24"/>
          <w:szCs w:val="24"/>
        </w:rPr>
        <w:t>技术标准、规范</w:t>
      </w:r>
    </w:p>
    <w:p>
      <w:pPr>
        <w:shd w:val="clear" w:color="auto" w:fill="FFFFFF"/>
        <w:snapToGrid w:val="0"/>
        <w:spacing w:line="360" w:lineRule="auto"/>
        <w:rPr>
          <w:rFonts w:hint="eastAsia" w:ascii="仿宋_GB2312" w:hAnsi="仿宋_GB2312" w:eastAsia="仿宋_GB2312" w:cs="仿宋_GB2312"/>
          <w:color w:val="000000"/>
          <w:kern w:val="28"/>
          <w:sz w:val="24"/>
          <w:szCs w:val="24"/>
        </w:rPr>
      </w:pPr>
      <w:r>
        <w:rPr>
          <w:rFonts w:hint="eastAsia" w:ascii="仿宋_GB2312" w:hAnsi="仿宋_GB2312" w:eastAsia="仿宋_GB2312" w:cs="仿宋_GB2312"/>
          <w:color w:val="000000"/>
          <w:kern w:val="28"/>
          <w:sz w:val="24"/>
          <w:szCs w:val="24"/>
        </w:rPr>
        <w:t>其他合同文件</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四、合同价款、结算与支付</w:t>
      </w:r>
    </w:p>
    <w:p>
      <w:pPr>
        <w:shd w:val="clear" w:color="auto" w:fill="FFFFFF"/>
        <w:snapToGrid w:val="0"/>
        <w:spacing w:line="360" w:lineRule="auto"/>
        <w:rPr>
          <w:rFonts w:hint="eastAsia" w:ascii="仿宋_GB2312" w:hAnsi="仿宋_GB2312" w:eastAsia="仿宋_GB2312" w:cs="仿宋_GB2312"/>
          <w:color w:val="000000"/>
          <w:kern w:val="28"/>
          <w:sz w:val="24"/>
          <w:szCs w:val="24"/>
        </w:rPr>
      </w:pPr>
      <w:r>
        <w:rPr>
          <w:rFonts w:hint="eastAsia" w:ascii="仿宋_GB2312" w:hAnsi="仿宋_GB2312" w:eastAsia="仿宋_GB2312" w:cs="仿宋_GB2312"/>
          <w:color w:val="000000"/>
          <w:kern w:val="28"/>
          <w:sz w:val="24"/>
          <w:szCs w:val="24"/>
        </w:rPr>
        <w:t>1、本合同总价款</w:t>
      </w:r>
    </w:p>
    <w:p>
      <w:pPr>
        <w:spacing w:line="360" w:lineRule="auto"/>
        <w:ind w:left="1" w:firstLine="480" w:firstLineChars="200"/>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kern w:val="28"/>
          <w:sz w:val="24"/>
          <w:szCs w:val="24"/>
        </w:rPr>
        <w:t>本合同总价款为</w:t>
      </w:r>
      <w:r>
        <w:rPr>
          <w:rFonts w:hint="eastAsia" w:ascii="仿宋_GB2312" w:hAnsi="仿宋_GB2312" w:eastAsia="仿宋_GB2312" w:cs="仿宋_GB2312"/>
          <w:b/>
          <w:color w:val="000000"/>
          <w:kern w:val="28"/>
          <w:sz w:val="24"/>
          <w:szCs w:val="24"/>
          <w:u w:val="single"/>
        </w:rPr>
        <w:t>RMB            （人民币大写：         )</w:t>
      </w:r>
      <w:r>
        <w:rPr>
          <w:rFonts w:hint="eastAsia" w:ascii="仿宋_GB2312" w:hAnsi="仿宋_GB2312" w:eastAsia="仿宋_GB2312" w:cs="仿宋_GB2312"/>
          <w:color w:val="000000"/>
          <w:kern w:val="28"/>
          <w:sz w:val="24"/>
          <w:szCs w:val="24"/>
        </w:rPr>
        <w:t>，该合同总价包括包括材料费、包装、运输、仓储、保管、保险、装卸（卸货至甲方指定地点）、安装、调试、培训、售后维护服务、利润、相关税费及市场价格风险在内等一切费用</w:t>
      </w:r>
      <w:r>
        <w:rPr>
          <w:rFonts w:hint="eastAsia" w:ascii="仿宋_GB2312" w:hAnsi="仿宋_GB2312" w:eastAsia="仿宋_GB2312" w:cs="仿宋_GB2312"/>
          <w:color w:val="000000"/>
          <w:sz w:val="24"/>
          <w:szCs w:val="24"/>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1261"/>
        <w:gridCol w:w="1209"/>
        <w:gridCol w:w="947"/>
        <w:gridCol w:w="724"/>
        <w:gridCol w:w="988"/>
        <w:gridCol w:w="1161"/>
        <w:gridCol w:w="1234"/>
        <w:gridCol w:w="8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pacing w:line="44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序号</w:t>
            </w:r>
          </w:p>
        </w:tc>
        <w:tc>
          <w:tcPr>
            <w:tcW w:w="1261" w:type="dxa"/>
            <w:noWrap w:val="0"/>
            <w:vAlign w:val="center"/>
          </w:tcPr>
          <w:p>
            <w:pPr>
              <w:spacing w:line="44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货物</w:t>
            </w:r>
            <w:r>
              <w:rPr>
                <w:rFonts w:hint="eastAsia" w:ascii="仿宋_GB2312" w:hAnsi="仿宋_GB2312" w:eastAsia="仿宋_GB2312" w:cs="仿宋_GB2312"/>
                <w:bCs/>
                <w:sz w:val="24"/>
                <w:szCs w:val="24"/>
                <w:lang w:val="en-US" w:eastAsia="zh-CN"/>
              </w:rPr>
              <w:t>/系统</w:t>
            </w:r>
            <w:r>
              <w:rPr>
                <w:rFonts w:hint="eastAsia" w:ascii="仿宋_GB2312" w:hAnsi="仿宋_GB2312" w:eastAsia="仿宋_GB2312" w:cs="仿宋_GB2312"/>
                <w:bCs/>
                <w:sz w:val="24"/>
                <w:szCs w:val="24"/>
              </w:rPr>
              <w:t>名称</w:t>
            </w:r>
          </w:p>
        </w:tc>
        <w:tc>
          <w:tcPr>
            <w:tcW w:w="1209" w:type="dxa"/>
            <w:noWrap w:val="0"/>
            <w:vAlign w:val="center"/>
          </w:tcPr>
          <w:p>
            <w:pPr>
              <w:spacing w:line="44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规格型号</w:t>
            </w:r>
          </w:p>
        </w:tc>
        <w:tc>
          <w:tcPr>
            <w:tcW w:w="947" w:type="dxa"/>
            <w:noWrap w:val="0"/>
            <w:vAlign w:val="center"/>
          </w:tcPr>
          <w:p>
            <w:pPr>
              <w:spacing w:line="44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品牌、原产地</w:t>
            </w:r>
          </w:p>
        </w:tc>
        <w:tc>
          <w:tcPr>
            <w:tcW w:w="724" w:type="dxa"/>
            <w:noWrap w:val="0"/>
            <w:vAlign w:val="center"/>
          </w:tcPr>
          <w:p>
            <w:pPr>
              <w:spacing w:line="44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单位</w:t>
            </w:r>
          </w:p>
        </w:tc>
        <w:tc>
          <w:tcPr>
            <w:tcW w:w="988" w:type="dxa"/>
            <w:noWrap w:val="0"/>
            <w:vAlign w:val="center"/>
          </w:tcPr>
          <w:p>
            <w:pPr>
              <w:spacing w:line="44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数量</w:t>
            </w:r>
          </w:p>
        </w:tc>
        <w:tc>
          <w:tcPr>
            <w:tcW w:w="1161" w:type="dxa"/>
            <w:noWrap w:val="0"/>
            <w:vAlign w:val="center"/>
          </w:tcPr>
          <w:p>
            <w:pPr>
              <w:spacing w:line="44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单价（元）</w:t>
            </w:r>
          </w:p>
        </w:tc>
        <w:tc>
          <w:tcPr>
            <w:tcW w:w="1234" w:type="dxa"/>
            <w:noWrap w:val="0"/>
            <w:vAlign w:val="center"/>
          </w:tcPr>
          <w:p>
            <w:pPr>
              <w:spacing w:line="44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合价（元）</w:t>
            </w:r>
          </w:p>
        </w:tc>
        <w:tc>
          <w:tcPr>
            <w:tcW w:w="855" w:type="dxa"/>
            <w:noWrap w:val="0"/>
            <w:vAlign w:val="center"/>
          </w:tcPr>
          <w:p>
            <w:pPr>
              <w:spacing w:line="44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pacing w:line="44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w:t>
            </w:r>
          </w:p>
        </w:tc>
        <w:tc>
          <w:tcPr>
            <w:tcW w:w="1261" w:type="dxa"/>
            <w:noWrap w:val="0"/>
            <w:vAlign w:val="center"/>
          </w:tcPr>
          <w:p>
            <w:pPr>
              <w:spacing w:line="440" w:lineRule="exact"/>
              <w:jc w:val="center"/>
              <w:rPr>
                <w:rFonts w:hint="eastAsia" w:ascii="仿宋_GB2312" w:hAnsi="仿宋_GB2312" w:eastAsia="仿宋_GB2312" w:cs="仿宋_GB2312"/>
                <w:bCs/>
                <w:sz w:val="24"/>
                <w:szCs w:val="24"/>
              </w:rPr>
            </w:pPr>
          </w:p>
        </w:tc>
        <w:tc>
          <w:tcPr>
            <w:tcW w:w="1209" w:type="dxa"/>
            <w:noWrap w:val="0"/>
            <w:vAlign w:val="center"/>
          </w:tcPr>
          <w:p>
            <w:pPr>
              <w:spacing w:line="440" w:lineRule="exact"/>
              <w:jc w:val="center"/>
              <w:rPr>
                <w:rFonts w:hint="eastAsia" w:ascii="仿宋_GB2312" w:hAnsi="仿宋_GB2312" w:eastAsia="仿宋_GB2312" w:cs="仿宋_GB2312"/>
                <w:bCs/>
                <w:sz w:val="24"/>
                <w:szCs w:val="24"/>
              </w:rPr>
            </w:pPr>
          </w:p>
        </w:tc>
        <w:tc>
          <w:tcPr>
            <w:tcW w:w="947" w:type="dxa"/>
            <w:noWrap w:val="0"/>
            <w:vAlign w:val="center"/>
          </w:tcPr>
          <w:p>
            <w:pPr>
              <w:spacing w:line="440" w:lineRule="exact"/>
              <w:jc w:val="center"/>
              <w:rPr>
                <w:rFonts w:hint="eastAsia" w:ascii="仿宋_GB2312" w:hAnsi="仿宋_GB2312" w:eastAsia="仿宋_GB2312" w:cs="仿宋_GB2312"/>
                <w:bCs/>
                <w:sz w:val="24"/>
                <w:szCs w:val="24"/>
              </w:rPr>
            </w:pPr>
          </w:p>
        </w:tc>
        <w:tc>
          <w:tcPr>
            <w:tcW w:w="724" w:type="dxa"/>
            <w:noWrap w:val="0"/>
            <w:vAlign w:val="center"/>
          </w:tcPr>
          <w:p>
            <w:pPr>
              <w:spacing w:line="440" w:lineRule="exact"/>
              <w:jc w:val="center"/>
              <w:rPr>
                <w:rFonts w:hint="eastAsia" w:ascii="仿宋_GB2312" w:hAnsi="仿宋_GB2312" w:eastAsia="仿宋_GB2312" w:cs="仿宋_GB2312"/>
                <w:bCs/>
                <w:sz w:val="24"/>
                <w:szCs w:val="24"/>
              </w:rPr>
            </w:pPr>
          </w:p>
        </w:tc>
        <w:tc>
          <w:tcPr>
            <w:tcW w:w="988" w:type="dxa"/>
            <w:noWrap w:val="0"/>
            <w:vAlign w:val="center"/>
          </w:tcPr>
          <w:p>
            <w:pPr>
              <w:spacing w:line="440" w:lineRule="exact"/>
              <w:jc w:val="center"/>
              <w:rPr>
                <w:rFonts w:hint="eastAsia" w:ascii="仿宋_GB2312" w:hAnsi="仿宋_GB2312" w:eastAsia="仿宋_GB2312" w:cs="仿宋_GB2312"/>
                <w:bCs/>
                <w:sz w:val="24"/>
                <w:szCs w:val="24"/>
              </w:rPr>
            </w:pPr>
          </w:p>
        </w:tc>
        <w:tc>
          <w:tcPr>
            <w:tcW w:w="1161" w:type="dxa"/>
            <w:noWrap w:val="0"/>
            <w:vAlign w:val="center"/>
          </w:tcPr>
          <w:p>
            <w:pPr>
              <w:spacing w:line="440" w:lineRule="exact"/>
              <w:jc w:val="center"/>
              <w:rPr>
                <w:rFonts w:hint="eastAsia" w:ascii="仿宋_GB2312" w:hAnsi="仿宋_GB2312" w:eastAsia="仿宋_GB2312" w:cs="仿宋_GB2312"/>
                <w:bCs/>
                <w:sz w:val="24"/>
                <w:szCs w:val="24"/>
              </w:rPr>
            </w:pPr>
          </w:p>
        </w:tc>
        <w:tc>
          <w:tcPr>
            <w:tcW w:w="1234" w:type="dxa"/>
            <w:noWrap w:val="0"/>
            <w:vAlign w:val="center"/>
          </w:tcPr>
          <w:p>
            <w:pPr>
              <w:spacing w:line="440" w:lineRule="exact"/>
              <w:jc w:val="center"/>
              <w:rPr>
                <w:rFonts w:hint="eastAsia" w:ascii="仿宋_GB2312" w:hAnsi="仿宋_GB2312" w:eastAsia="仿宋_GB2312" w:cs="仿宋_GB2312"/>
                <w:bCs/>
                <w:sz w:val="24"/>
                <w:szCs w:val="24"/>
              </w:rPr>
            </w:pPr>
          </w:p>
        </w:tc>
        <w:tc>
          <w:tcPr>
            <w:tcW w:w="855" w:type="dxa"/>
            <w:noWrap w:val="0"/>
            <w:vAlign w:val="center"/>
          </w:tcPr>
          <w:p>
            <w:pPr>
              <w:spacing w:line="440" w:lineRule="exact"/>
              <w:jc w:val="center"/>
              <w:rPr>
                <w:rFonts w:hint="eastAsia"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pacing w:line="44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2</w:t>
            </w:r>
          </w:p>
        </w:tc>
        <w:tc>
          <w:tcPr>
            <w:tcW w:w="1261" w:type="dxa"/>
            <w:noWrap w:val="0"/>
            <w:vAlign w:val="center"/>
          </w:tcPr>
          <w:p>
            <w:pPr>
              <w:spacing w:line="440" w:lineRule="exact"/>
              <w:jc w:val="center"/>
              <w:rPr>
                <w:rFonts w:hint="eastAsia" w:ascii="仿宋_GB2312" w:hAnsi="仿宋_GB2312" w:eastAsia="仿宋_GB2312" w:cs="仿宋_GB2312"/>
                <w:bCs/>
                <w:sz w:val="24"/>
                <w:szCs w:val="24"/>
              </w:rPr>
            </w:pPr>
          </w:p>
        </w:tc>
        <w:tc>
          <w:tcPr>
            <w:tcW w:w="1209" w:type="dxa"/>
            <w:noWrap w:val="0"/>
            <w:vAlign w:val="center"/>
          </w:tcPr>
          <w:p>
            <w:pPr>
              <w:spacing w:line="440" w:lineRule="exact"/>
              <w:jc w:val="center"/>
              <w:rPr>
                <w:rFonts w:hint="eastAsia" w:ascii="仿宋_GB2312" w:hAnsi="仿宋_GB2312" w:eastAsia="仿宋_GB2312" w:cs="仿宋_GB2312"/>
                <w:bCs/>
                <w:sz w:val="24"/>
                <w:szCs w:val="24"/>
              </w:rPr>
            </w:pPr>
          </w:p>
        </w:tc>
        <w:tc>
          <w:tcPr>
            <w:tcW w:w="947" w:type="dxa"/>
            <w:noWrap w:val="0"/>
            <w:vAlign w:val="center"/>
          </w:tcPr>
          <w:p>
            <w:pPr>
              <w:spacing w:line="440" w:lineRule="exact"/>
              <w:jc w:val="center"/>
              <w:rPr>
                <w:rFonts w:hint="eastAsia" w:ascii="仿宋_GB2312" w:hAnsi="仿宋_GB2312" w:eastAsia="仿宋_GB2312" w:cs="仿宋_GB2312"/>
                <w:bCs/>
                <w:sz w:val="24"/>
                <w:szCs w:val="24"/>
              </w:rPr>
            </w:pPr>
          </w:p>
        </w:tc>
        <w:tc>
          <w:tcPr>
            <w:tcW w:w="724" w:type="dxa"/>
            <w:noWrap w:val="0"/>
            <w:vAlign w:val="center"/>
          </w:tcPr>
          <w:p>
            <w:pPr>
              <w:spacing w:line="440" w:lineRule="exact"/>
              <w:jc w:val="center"/>
              <w:rPr>
                <w:rFonts w:hint="eastAsia" w:ascii="仿宋_GB2312" w:hAnsi="仿宋_GB2312" w:eastAsia="仿宋_GB2312" w:cs="仿宋_GB2312"/>
                <w:bCs/>
                <w:sz w:val="24"/>
                <w:szCs w:val="24"/>
              </w:rPr>
            </w:pPr>
          </w:p>
        </w:tc>
        <w:tc>
          <w:tcPr>
            <w:tcW w:w="988" w:type="dxa"/>
            <w:noWrap w:val="0"/>
            <w:vAlign w:val="center"/>
          </w:tcPr>
          <w:p>
            <w:pPr>
              <w:spacing w:line="440" w:lineRule="exact"/>
              <w:jc w:val="center"/>
              <w:rPr>
                <w:rFonts w:hint="eastAsia" w:ascii="仿宋_GB2312" w:hAnsi="仿宋_GB2312" w:eastAsia="仿宋_GB2312" w:cs="仿宋_GB2312"/>
                <w:bCs/>
                <w:sz w:val="24"/>
                <w:szCs w:val="24"/>
              </w:rPr>
            </w:pPr>
          </w:p>
        </w:tc>
        <w:tc>
          <w:tcPr>
            <w:tcW w:w="1161" w:type="dxa"/>
            <w:noWrap w:val="0"/>
            <w:vAlign w:val="center"/>
          </w:tcPr>
          <w:p>
            <w:pPr>
              <w:spacing w:line="440" w:lineRule="exact"/>
              <w:jc w:val="center"/>
              <w:rPr>
                <w:rFonts w:hint="eastAsia" w:ascii="仿宋_GB2312" w:hAnsi="仿宋_GB2312" w:eastAsia="仿宋_GB2312" w:cs="仿宋_GB2312"/>
                <w:bCs/>
                <w:sz w:val="24"/>
                <w:szCs w:val="24"/>
              </w:rPr>
            </w:pPr>
          </w:p>
        </w:tc>
        <w:tc>
          <w:tcPr>
            <w:tcW w:w="1234" w:type="dxa"/>
            <w:noWrap w:val="0"/>
            <w:vAlign w:val="center"/>
          </w:tcPr>
          <w:p>
            <w:pPr>
              <w:spacing w:line="440" w:lineRule="exact"/>
              <w:jc w:val="center"/>
              <w:rPr>
                <w:rFonts w:hint="eastAsia" w:ascii="仿宋_GB2312" w:hAnsi="仿宋_GB2312" w:eastAsia="仿宋_GB2312" w:cs="仿宋_GB2312"/>
                <w:bCs/>
                <w:sz w:val="24"/>
                <w:szCs w:val="24"/>
              </w:rPr>
            </w:pPr>
          </w:p>
        </w:tc>
        <w:tc>
          <w:tcPr>
            <w:tcW w:w="855" w:type="dxa"/>
            <w:noWrap w:val="0"/>
            <w:vAlign w:val="center"/>
          </w:tcPr>
          <w:p>
            <w:pPr>
              <w:spacing w:line="440" w:lineRule="exact"/>
              <w:jc w:val="center"/>
              <w:rPr>
                <w:rFonts w:hint="eastAsia"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7" w:type="dxa"/>
            <w:noWrap w:val="0"/>
            <w:vAlign w:val="center"/>
          </w:tcPr>
          <w:p>
            <w:pPr>
              <w:spacing w:line="440" w:lineRule="exact"/>
              <w:jc w:val="center"/>
              <w:rPr>
                <w:rFonts w:hint="eastAsia" w:ascii="仿宋_GB2312" w:hAnsi="仿宋_GB2312" w:eastAsia="仿宋_GB2312" w:cs="仿宋_GB2312"/>
                <w:bCs/>
                <w:sz w:val="24"/>
                <w:szCs w:val="24"/>
              </w:rPr>
            </w:pPr>
            <w:r>
              <w:rPr>
                <w:rFonts w:ascii="仿宋_GB2312" w:hAnsi="仿宋_GB2312" w:eastAsia="仿宋_GB2312" w:cs="仿宋_GB2312"/>
                <w:bCs/>
                <w:sz w:val="24"/>
                <w:szCs w:val="24"/>
              </w:rPr>
              <w:t>…</w:t>
            </w:r>
          </w:p>
        </w:tc>
        <w:tc>
          <w:tcPr>
            <w:tcW w:w="1261" w:type="dxa"/>
            <w:noWrap w:val="0"/>
            <w:vAlign w:val="center"/>
          </w:tcPr>
          <w:p>
            <w:pPr>
              <w:spacing w:line="440" w:lineRule="exact"/>
              <w:jc w:val="center"/>
              <w:rPr>
                <w:rFonts w:hint="eastAsia" w:ascii="仿宋_GB2312" w:hAnsi="仿宋_GB2312" w:eastAsia="仿宋_GB2312" w:cs="仿宋_GB2312"/>
                <w:bCs/>
                <w:sz w:val="24"/>
                <w:szCs w:val="24"/>
              </w:rPr>
            </w:pPr>
          </w:p>
        </w:tc>
        <w:tc>
          <w:tcPr>
            <w:tcW w:w="1209" w:type="dxa"/>
            <w:noWrap w:val="0"/>
            <w:vAlign w:val="center"/>
          </w:tcPr>
          <w:p>
            <w:pPr>
              <w:spacing w:line="440" w:lineRule="exact"/>
              <w:jc w:val="center"/>
              <w:rPr>
                <w:rFonts w:hint="eastAsia" w:ascii="仿宋_GB2312" w:hAnsi="仿宋_GB2312" w:eastAsia="仿宋_GB2312" w:cs="仿宋_GB2312"/>
                <w:bCs/>
                <w:sz w:val="24"/>
                <w:szCs w:val="24"/>
              </w:rPr>
            </w:pPr>
          </w:p>
        </w:tc>
        <w:tc>
          <w:tcPr>
            <w:tcW w:w="947" w:type="dxa"/>
            <w:noWrap w:val="0"/>
            <w:vAlign w:val="center"/>
          </w:tcPr>
          <w:p>
            <w:pPr>
              <w:spacing w:line="440" w:lineRule="exact"/>
              <w:jc w:val="center"/>
              <w:rPr>
                <w:rFonts w:hint="eastAsia" w:ascii="仿宋_GB2312" w:hAnsi="仿宋_GB2312" w:eastAsia="仿宋_GB2312" w:cs="仿宋_GB2312"/>
                <w:bCs/>
                <w:sz w:val="24"/>
                <w:szCs w:val="24"/>
              </w:rPr>
            </w:pPr>
          </w:p>
        </w:tc>
        <w:tc>
          <w:tcPr>
            <w:tcW w:w="724" w:type="dxa"/>
            <w:noWrap w:val="0"/>
            <w:vAlign w:val="center"/>
          </w:tcPr>
          <w:p>
            <w:pPr>
              <w:spacing w:line="440" w:lineRule="exact"/>
              <w:jc w:val="center"/>
              <w:rPr>
                <w:rFonts w:hint="eastAsia" w:ascii="仿宋_GB2312" w:hAnsi="仿宋_GB2312" w:eastAsia="仿宋_GB2312" w:cs="仿宋_GB2312"/>
                <w:bCs/>
                <w:sz w:val="24"/>
                <w:szCs w:val="24"/>
              </w:rPr>
            </w:pPr>
          </w:p>
        </w:tc>
        <w:tc>
          <w:tcPr>
            <w:tcW w:w="988" w:type="dxa"/>
            <w:noWrap w:val="0"/>
            <w:vAlign w:val="center"/>
          </w:tcPr>
          <w:p>
            <w:pPr>
              <w:spacing w:line="440" w:lineRule="exact"/>
              <w:jc w:val="center"/>
              <w:rPr>
                <w:rFonts w:hint="eastAsia" w:ascii="仿宋_GB2312" w:hAnsi="仿宋_GB2312" w:eastAsia="仿宋_GB2312" w:cs="仿宋_GB2312"/>
                <w:bCs/>
                <w:sz w:val="24"/>
                <w:szCs w:val="24"/>
              </w:rPr>
            </w:pPr>
          </w:p>
        </w:tc>
        <w:tc>
          <w:tcPr>
            <w:tcW w:w="1161" w:type="dxa"/>
            <w:noWrap w:val="0"/>
            <w:vAlign w:val="center"/>
          </w:tcPr>
          <w:p>
            <w:pPr>
              <w:spacing w:line="440" w:lineRule="exact"/>
              <w:jc w:val="center"/>
              <w:rPr>
                <w:rFonts w:hint="eastAsia" w:ascii="仿宋_GB2312" w:hAnsi="仿宋_GB2312" w:eastAsia="仿宋_GB2312" w:cs="仿宋_GB2312"/>
                <w:bCs/>
                <w:sz w:val="24"/>
                <w:szCs w:val="24"/>
              </w:rPr>
            </w:pPr>
          </w:p>
        </w:tc>
        <w:tc>
          <w:tcPr>
            <w:tcW w:w="1234" w:type="dxa"/>
            <w:noWrap w:val="0"/>
            <w:vAlign w:val="center"/>
          </w:tcPr>
          <w:p>
            <w:pPr>
              <w:spacing w:line="440" w:lineRule="exact"/>
              <w:jc w:val="center"/>
              <w:rPr>
                <w:rFonts w:hint="eastAsia" w:ascii="仿宋_GB2312" w:hAnsi="仿宋_GB2312" w:eastAsia="仿宋_GB2312" w:cs="仿宋_GB2312"/>
                <w:bCs/>
                <w:sz w:val="24"/>
                <w:szCs w:val="24"/>
              </w:rPr>
            </w:pPr>
          </w:p>
        </w:tc>
        <w:tc>
          <w:tcPr>
            <w:tcW w:w="855" w:type="dxa"/>
            <w:noWrap w:val="0"/>
            <w:vAlign w:val="center"/>
          </w:tcPr>
          <w:p>
            <w:pPr>
              <w:spacing w:line="440" w:lineRule="exact"/>
              <w:jc w:val="center"/>
              <w:rPr>
                <w:rFonts w:hint="eastAsia"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8" w:type="dxa"/>
            <w:gridSpan w:val="2"/>
            <w:noWrap w:val="0"/>
            <w:vAlign w:val="center"/>
          </w:tcPr>
          <w:p>
            <w:pPr>
              <w:spacing w:line="440" w:lineRule="exact"/>
              <w:jc w:val="center"/>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合计金额（元）</w:t>
            </w:r>
          </w:p>
        </w:tc>
        <w:tc>
          <w:tcPr>
            <w:tcW w:w="1209" w:type="dxa"/>
            <w:noWrap w:val="0"/>
            <w:vAlign w:val="center"/>
          </w:tcPr>
          <w:p>
            <w:pPr>
              <w:spacing w:line="44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大写</w:t>
            </w:r>
          </w:p>
        </w:tc>
        <w:tc>
          <w:tcPr>
            <w:tcW w:w="2659" w:type="dxa"/>
            <w:gridSpan w:val="3"/>
            <w:noWrap w:val="0"/>
            <w:vAlign w:val="center"/>
          </w:tcPr>
          <w:p>
            <w:pPr>
              <w:spacing w:line="440" w:lineRule="exact"/>
              <w:jc w:val="center"/>
              <w:rPr>
                <w:rFonts w:hint="eastAsia" w:ascii="仿宋_GB2312" w:hAnsi="仿宋_GB2312" w:eastAsia="仿宋_GB2312" w:cs="仿宋_GB2312"/>
                <w:bCs/>
                <w:sz w:val="24"/>
                <w:szCs w:val="24"/>
              </w:rPr>
            </w:pPr>
          </w:p>
        </w:tc>
        <w:tc>
          <w:tcPr>
            <w:tcW w:w="1161" w:type="dxa"/>
            <w:noWrap w:val="0"/>
            <w:vAlign w:val="center"/>
          </w:tcPr>
          <w:p>
            <w:pPr>
              <w:spacing w:line="44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小写</w:t>
            </w:r>
          </w:p>
        </w:tc>
        <w:tc>
          <w:tcPr>
            <w:tcW w:w="2089" w:type="dxa"/>
            <w:gridSpan w:val="2"/>
            <w:noWrap w:val="0"/>
            <w:vAlign w:val="center"/>
          </w:tcPr>
          <w:p>
            <w:pPr>
              <w:spacing w:line="440" w:lineRule="exact"/>
              <w:jc w:val="center"/>
              <w:rPr>
                <w:rFonts w:hint="eastAsia" w:ascii="仿宋_GB2312" w:hAnsi="仿宋_GB2312" w:eastAsia="仿宋_GB2312" w:cs="仿宋_GB2312"/>
                <w:bCs/>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trPr>
        <w:tc>
          <w:tcPr>
            <w:tcW w:w="2078" w:type="dxa"/>
            <w:gridSpan w:val="2"/>
            <w:noWrap w:val="0"/>
            <w:vAlign w:val="center"/>
          </w:tcPr>
          <w:p>
            <w:pPr>
              <w:spacing w:line="440" w:lineRule="exact"/>
              <w:jc w:val="center"/>
              <w:rPr>
                <w:rFonts w:hint="eastAsia" w:ascii="仿宋_GB2312" w:hAnsi="仿宋_GB2312" w:eastAsia="仿宋_GB2312" w:cs="仿宋_GB2312"/>
                <w:bCs/>
                <w:sz w:val="24"/>
                <w:szCs w:val="24"/>
                <w:highlight w:val="yellow"/>
              </w:rPr>
            </w:pPr>
            <w:r>
              <w:rPr>
                <w:rFonts w:hint="eastAsia" w:ascii="仿宋_GB2312" w:hAnsi="仿宋_GB2312" w:eastAsia="仿宋_GB2312" w:cs="仿宋_GB2312"/>
                <w:bCs/>
                <w:sz w:val="24"/>
                <w:szCs w:val="24"/>
              </w:rPr>
              <w:t>交货安装期</w:t>
            </w:r>
          </w:p>
        </w:tc>
        <w:tc>
          <w:tcPr>
            <w:tcW w:w="7118" w:type="dxa"/>
            <w:gridSpan w:val="7"/>
            <w:noWrap w:val="0"/>
            <w:vAlign w:val="center"/>
          </w:tcPr>
          <w:p>
            <w:pPr>
              <w:spacing w:line="440" w:lineRule="exact"/>
              <w:jc w:val="center"/>
              <w:rPr>
                <w:rFonts w:hint="eastAsia" w:ascii="仿宋_GB2312" w:hAnsi="仿宋_GB2312" w:eastAsia="仿宋_GB2312" w:cs="仿宋_GB2312"/>
                <w:bCs/>
                <w:sz w:val="24"/>
                <w:szCs w:val="24"/>
                <w:highlight w:val="yellow"/>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78" w:type="dxa"/>
            <w:gridSpan w:val="2"/>
            <w:noWrap w:val="0"/>
            <w:vAlign w:val="center"/>
          </w:tcPr>
          <w:p>
            <w:pPr>
              <w:spacing w:line="440" w:lineRule="exact"/>
              <w:jc w:val="center"/>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其它</w:t>
            </w:r>
          </w:p>
        </w:tc>
        <w:tc>
          <w:tcPr>
            <w:tcW w:w="7118" w:type="dxa"/>
            <w:gridSpan w:val="7"/>
            <w:noWrap w:val="0"/>
            <w:vAlign w:val="center"/>
          </w:tcPr>
          <w:p>
            <w:pPr>
              <w:spacing w:line="440" w:lineRule="exact"/>
              <w:jc w:val="center"/>
              <w:rPr>
                <w:rFonts w:hint="eastAsia" w:ascii="仿宋_GB2312" w:hAnsi="仿宋_GB2312" w:eastAsia="仿宋_GB2312" w:cs="仿宋_GB2312"/>
                <w:bCs/>
                <w:sz w:val="24"/>
                <w:szCs w:val="24"/>
              </w:rPr>
            </w:pPr>
          </w:p>
        </w:tc>
      </w:tr>
    </w:tbl>
    <w:p>
      <w:pPr>
        <w:shd w:val="clear" w:color="auto" w:fill="FFFFFF"/>
        <w:snapToGrid w:val="0"/>
        <w:spacing w:line="360" w:lineRule="auto"/>
        <w:rPr>
          <w:rFonts w:hint="eastAsia" w:ascii="仿宋_GB2312" w:hAnsi="仿宋_GB2312" w:eastAsia="仿宋_GB2312" w:cs="仿宋_GB2312"/>
          <w:color w:val="000000"/>
          <w:kern w:val="28"/>
          <w:sz w:val="24"/>
          <w:szCs w:val="24"/>
        </w:rPr>
      </w:pPr>
      <w:r>
        <w:rPr>
          <w:rFonts w:hint="eastAsia" w:ascii="仿宋_GB2312" w:hAnsi="仿宋_GB2312" w:eastAsia="仿宋_GB2312" w:cs="仿宋_GB2312"/>
          <w:color w:val="000000"/>
          <w:kern w:val="28"/>
          <w:sz w:val="24"/>
          <w:szCs w:val="24"/>
        </w:rPr>
        <w:t>2、支付方式</w:t>
      </w:r>
    </w:p>
    <w:p>
      <w:pPr>
        <w:shd w:val="clear" w:color="auto" w:fill="FFFFFF"/>
        <w:snapToGrid w:val="0"/>
        <w:spacing w:line="360" w:lineRule="auto"/>
        <w:rPr>
          <w:rFonts w:hint="eastAsia" w:ascii="仿宋_GB2312" w:hAnsi="仿宋_GB2312" w:eastAsia="仿宋_GB2312" w:cs="仿宋_GB2312"/>
          <w:color w:val="000000"/>
          <w:kern w:val="28"/>
          <w:sz w:val="24"/>
          <w:szCs w:val="24"/>
          <w:highlight w:val="none"/>
          <w:u w:val="single"/>
        </w:rPr>
      </w:pPr>
      <w:r>
        <w:rPr>
          <w:rFonts w:hint="eastAsia" w:ascii="仿宋_GB2312" w:hAnsi="仿宋_GB2312" w:eastAsia="仿宋_GB2312" w:cs="仿宋_GB2312"/>
          <w:color w:val="000000"/>
          <w:kern w:val="28"/>
          <w:sz w:val="24"/>
          <w:szCs w:val="24"/>
        </w:rPr>
        <w:t>2.1</w:t>
      </w:r>
      <w:r>
        <w:rPr>
          <w:rFonts w:hint="eastAsia" w:ascii="仿宋_GB2312" w:hAnsi="仿宋_GB2312" w:eastAsia="仿宋_GB2312" w:cs="仿宋_GB2312"/>
          <w:color w:val="000000"/>
          <w:kern w:val="28"/>
          <w:sz w:val="24"/>
          <w:szCs w:val="24"/>
          <w:highlight w:val="none"/>
        </w:rPr>
        <w:t>付款方式：</w:t>
      </w:r>
    </w:p>
    <w:p>
      <w:pPr>
        <w:spacing w:line="360" w:lineRule="auto"/>
        <w:rPr>
          <w:rFonts w:hint="eastAsia" w:ascii="仿宋_GB2312" w:hAnsi="仿宋_GB2312" w:eastAsia="仿宋_GB2312" w:cs="仿宋_GB2312"/>
          <w:color w:val="000000"/>
          <w:kern w:val="28"/>
          <w:sz w:val="24"/>
          <w:szCs w:val="24"/>
        </w:rPr>
      </w:pPr>
      <w:r>
        <w:rPr>
          <w:rFonts w:hint="eastAsia" w:ascii="仿宋_GB2312" w:hAnsi="仿宋_GB2312" w:eastAsia="仿宋_GB2312" w:cs="仿宋_GB2312"/>
          <w:color w:val="000000"/>
          <w:kern w:val="28"/>
          <w:sz w:val="24"/>
          <w:szCs w:val="24"/>
        </w:rPr>
        <w:t>3、结算方式</w:t>
      </w:r>
    </w:p>
    <w:p>
      <w:pPr>
        <w:spacing w:line="360" w:lineRule="auto"/>
        <w:ind w:left="1"/>
        <w:rPr>
          <w:rFonts w:hint="eastAsia" w:ascii="仿宋_GB2312" w:hAnsi="仿宋_GB2312" w:eastAsia="仿宋_GB2312" w:cs="仿宋_GB2312"/>
          <w:color w:val="000000"/>
          <w:sz w:val="24"/>
          <w:szCs w:val="24"/>
        </w:rPr>
      </w:pPr>
      <w:r>
        <w:rPr>
          <w:rFonts w:hint="eastAsia" w:ascii="仿宋_GB2312" w:hAnsi="仿宋_GB2312" w:eastAsia="仿宋_GB2312" w:cs="仿宋_GB2312"/>
          <w:color w:val="000000"/>
          <w:sz w:val="24"/>
          <w:szCs w:val="24"/>
        </w:rPr>
        <w:t>3.1、凡因乙方投标漏项、误报等导致的费用差异均由乙方自行承担，且必须按合同约定继续履行此部分合同内容，结算时不予调整。</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五、权利与义务</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（一）甲方的权利与义务</w:t>
      </w:r>
    </w:p>
    <w:p>
      <w:pPr>
        <w:shd w:val="clear" w:color="auto" w:fill="FFFFFF"/>
        <w:snapToGrid w:val="0"/>
        <w:spacing w:line="360" w:lineRule="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1、甲方有权要求乙方供货的项目内容符合国家相关规范，符合国家验收标准，能够通过国家验收。</w:t>
      </w:r>
    </w:p>
    <w:p>
      <w:pPr>
        <w:shd w:val="clear" w:color="auto" w:fill="FFFFFF"/>
        <w:snapToGrid w:val="0"/>
        <w:spacing w:line="360" w:lineRule="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2、甲方有权要求乙方配合甲方完成所采购项目内容的预验收工作以及正式验收工作。</w:t>
      </w:r>
    </w:p>
    <w:p>
      <w:pPr>
        <w:shd w:val="clear" w:color="auto" w:fill="FFFFFF"/>
        <w:snapToGrid w:val="0"/>
        <w:spacing w:line="360" w:lineRule="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3、甲方有权要求乙方提供的产品所涉及的第三方权利进行免责。</w:t>
      </w:r>
    </w:p>
    <w:p>
      <w:pPr>
        <w:shd w:val="clear" w:color="auto" w:fill="FFFFFF"/>
        <w:snapToGrid w:val="0"/>
        <w:spacing w:line="360" w:lineRule="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4、甲方有义务保证按合同所规定的内容及时间支付乙方相关费用。</w:t>
      </w:r>
    </w:p>
    <w:p>
      <w:pPr>
        <w:shd w:val="clear" w:color="auto" w:fill="FFFFFF"/>
        <w:snapToGrid w:val="0"/>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kern w:val="28"/>
          <w:sz w:val="24"/>
          <w:szCs w:val="24"/>
        </w:rPr>
        <w:t>5、甲方</w:t>
      </w:r>
      <w:r>
        <w:rPr>
          <w:rFonts w:hint="eastAsia" w:ascii="仿宋_GB2312" w:hAnsi="仿宋_GB2312" w:eastAsia="仿宋_GB2312" w:cs="仿宋_GB2312"/>
          <w:sz w:val="24"/>
          <w:szCs w:val="24"/>
        </w:rPr>
        <w:t>项目负责人为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w:t>
      </w:r>
    </w:p>
    <w:p>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 xml:space="preserve">6、协调乙方供货时与其他施工单位的关系； </w:t>
      </w:r>
    </w:p>
    <w:p>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7、乙方不能按甲方要求及时供货，甲方有单方解除合同的权利。解除合同的同时，甲方有权利与评标报告中排名第二的供应商签订新的供货合同。</w:t>
      </w:r>
    </w:p>
    <w:p>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8、因乙方原因供货延误，给甲方造成损失或被第三方要求索赔的，乙方应全额承担。</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（二）乙方的权利与义务</w:t>
      </w:r>
    </w:p>
    <w:p>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kern w:val="28"/>
          <w:sz w:val="24"/>
          <w:szCs w:val="24"/>
        </w:rPr>
        <w:t>1、乙方应</w:t>
      </w:r>
      <w:r>
        <w:rPr>
          <w:rFonts w:hint="eastAsia" w:ascii="仿宋_GB2312" w:hAnsi="仿宋_GB2312" w:eastAsia="仿宋_GB2312" w:cs="仿宋_GB2312"/>
          <w:sz w:val="24"/>
          <w:szCs w:val="24"/>
        </w:rPr>
        <w:t>按本合同的规定供货，并保证产品质量。</w:t>
      </w:r>
    </w:p>
    <w:p>
      <w:pPr>
        <w:shd w:val="clear" w:color="auto" w:fill="FFFFFF"/>
        <w:snapToGrid w:val="0"/>
        <w:spacing w:line="360" w:lineRule="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2、乙方有义务配合甲方参与项目的预验收、正式竣工验收工作，并确保所供货物符合本项目国家现行标准。</w:t>
      </w:r>
    </w:p>
    <w:p>
      <w:pPr>
        <w:shd w:val="clear" w:color="auto" w:fill="FFFFFF"/>
        <w:snapToGrid w:val="0"/>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kern w:val="28"/>
          <w:sz w:val="24"/>
          <w:szCs w:val="24"/>
        </w:rPr>
        <w:t>4、乙方</w:t>
      </w:r>
      <w:r>
        <w:rPr>
          <w:rFonts w:hint="eastAsia" w:ascii="仿宋_GB2312" w:hAnsi="仿宋_GB2312" w:eastAsia="仿宋_GB2312" w:cs="仿宋_GB2312"/>
          <w:sz w:val="24"/>
          <w:szCs w:val="24"/>
        </w:rPr>
        <w:t>项目负责人为</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w:t>
      </w:r>
    </w:p>
    <w:p>
      <w:pPr>
        <w:autoSpaceDN w:val="0"/>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5、乙方产品进场时应充分了解甲方的现场各项管理标准文件，并在进场后全面服从甲方的管理制度、管理细则等。</w:t>
      </w:r>
    </w:p>
    <w:p>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6、遵守货物安装施工的有关规定，做好施工现场安全管理；协助甲方做好施工现场的安全保卫、防火防盗工作，确保施工顺利进行；接受甲方现场管理人员的监督和检查，保证施工质量和安全文明施工；</w:t>
      </w:r>
    </w:p>
    <w:p>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7、按甲方指定地点将货物码放整齐，及时清运过程中产生的垃圾，保持现场整洁；</w:t>
      </w:r>
    </w:p>
    <w:p>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8、遵守国家对施工现场交通、市容和施工噪音的管理规定；</w:t>
      </w:r>
    </w:p>
    <w:p>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9、在货物验收时，向买方提供《货物合格证》、《货物使用说明书》等技术文件；</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六、质量要求、技术标准</w:t>
      </w:r>
    </w:p>
    <w:p>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1、质量要求：设备在设计、制造、包装、运输过程中，严格执行国家及行业标准规范。</w:t>
      </w:r>
    </w:p>
    <w:p>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2、详见产品执行的技术标准：</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七、交货安装期要求</w:t>
      </w:r>
    </w:p>
    <w:p>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1、交货安装期：</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 xml:space="preserve"> 。</w:t>
      </w:r>
    </w:p>
    <w:p>
      <w:pPr>
        <w:spacing w:line="360" w:lineRule="auto"/>
        <w:ind w:left="-8"/>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八、实施地点</w:t>
      </w:r>
    </w:p>
    <w:p>
      <w:pPr>
        <w:shd w:val="clear" w:color="auto" w:fill="FFFFFF"/>
        <w:tabs>
          <w:tab w:val="left" w:pos="425"/>
        </w:tabs>
        <w:snapToGrid w:val="0"/>
        <w:spacing w:line="360" w:lineRule="auto"/>
        <w:textAlignment w:val="baseline"/>
        <w:rPr>
          <w:rFonts w:hint="eastAsia" w:ascii="仿宋_GB2312" w:hAnsi="仿宋_GB2312" w:eastAsia="仿宋_GB2312" w:cs="仿宋_GB2312"/>
          <w:bCs/>
          <w:sz w:val="24"/>
          <w:szCs w:val="24"/>
        </w:rPr>
      </w:pPr>
      <w:r>
        <w:rPr>
          <w:rFonts w:hint="eastAsia" w:ascii="仿宋_GB2312" w:hAnsi="仿宋_GB2312" w:eastAsia="仿宋_GB2312" w:cs="仿宋_GB2312"/>
          <w:bCs/>
          <w:sz w:val="24"/>
          <w:szCs w:val="24"/>
        </w:rPr>
        <w:t>1、交货</w:t>
      </w:r>
      <w:r>
        <w:rPr>
          <w:rFonts w:hint="eastAsia" w:ascii="仿宋_GB2312" w:hAnsi="仿宋_GB2312" w:eastAsia="仿宋_GB2312" w:cs="仿宋_GB2312"/>
          <w:bCs/>
          <w:sz w:val="24"/>
          <w:szCs w:val="24"/>
          <w:lang w:val="en-US" w:eastAsia="zh-CN"/>
        </w:rPr>
        <w:t>安装</w:t>
      </w:r>
      <w:r>
        <w:rPr>
          <w:rFonts w:hint="eastAsia" w:ascii="仿宋_GB2312" w:hAnsi="仿宋_GB2312" w:eastAsia="仿宋_GB2312" w:cs="仿宋_GB2312"/>
          <w:bCs/>
          <w:sz w:val="24"/>
          <w:szCs w:val="24"/>
        </w:rPr>
        <w:t>地点：</w:t>
      </w:r>
      <w:r>
        <w:rPr>
          <w:rFonts w:hint="eastAsia" w:ascii="仿宋_GB2312" w:hAnsi="仿宋_GB2312" w:eastAsia="仿宋_GB2312" w:cs="仿宋_GB2312"/>
          <w:bCs/>
          <w:sz w:val="24"/>
          <w:szCs w:val="24"/>
          <w:u w:val="single"/>
          <w:lang w:val="en-US" w:eastAsia="zh-CN"/>
        </w:rPr>
        <w:t xml:space="preserve">                    </w:t>
      </w:r>
      <w:r>
        <w:rPr>
          <w:rFonts w:hint="eastAsia" w:ascii="仿宋_GB2312" w:hAnsi="仿宋_GB2312" w:eastAsia="仿宋_GB2312" w:cs="仿宋_GB2312"/>
          <w:bCs/>
          <w:sz w:val="24"/>
          <w:szCs w:val="24"/>
        </w:rPr>
        <w:t>。</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九、货物验收</w:t>
      </w:r>
    </w:p>
    <w:p>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1、在发货前，乙方应对货物的质量、规格、数量等进行准确而全面的检验，并出具产品生产产地证明材料 (加盖公章)。</w:t>
      </w:r>
    </w:p>
    <w:p>
      <w:pPr>
        <w:spacing w:line="360" w:lineRule="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2、甲方将在施工单位施工现场组织验收，如果货物达不到国家的质量及企业标准，甲方有权拒绝接收。</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十、保密条款</w:t>
      </w:r>
    </w:p>
    <w:p>
      <w:pPr>
        <w:shd w:val="clear" w:color="auto" w:fill="FFFFFF"/>
        <w:snapToGrid w:val="0"/>
        <w:spacing w:line="360" w:lineRule="auto"/>
        <w:ind w:firstLine="480" w:firstLineChars="200"/>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双方承诺，除非法律另有规定或双方一致同意，任何一方不得将本协议的内容向第三方透露，否则，应向对方承担相应的违约责任。</w:t>
      </w:r>
    </w:p>
    <w:p>
      <w:pPr>
        <w:shd w:val="clear" w:color="auto" w:fill="FFFFFF"/>
        <w:snapToGrid w:val="0"/>
        <w:spacing w:line="360" w:lineRule="auto"/>
        <w:ind w:firstLine="480" w:firstLineChars="200"/>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pPr>
        <w:shd w:val="clear" w:color="auto" w:fill="FFFFFF"/>
        <w:snapToGrid w:val="0"/>
        <w:spacing w:line="360" w:lineRule="auto"/>
        <w:ind w:firstLine="480" w:firstLineChars="200"/>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十一、违约责任</w:t>
      </w:r>
    </w:p>
    <w:p>
      <w:pPr>
        <w:autoSpaceDE w:val="0"/>
        <w:autoSpaceDN w:val="0"/>
        <w:adjustRightInd w:val="0"/>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1、乙方逾期供货，每延迟1日，应向甲方支付违约金，因不可抗力或经甲方同意除外，</w:t>
      </w:r>
      <w:r>
        <w:rPr>
          <w:rFonts w:hint="eastAsia" w:ascii="仿宋_GB2312" w:hAnsi="仿宋_GB2312" w:eastAsia="仿宋_GB2312" w:cs="仿宋_GB2312"/>
          <w:color w:val="auto"/>
          <w:kern w:val="0"/>
          <w:sz w:val="24"/>
          <w:szCs w:val="24"/>
        </w:rPr>
        <w:t>但违约金总额不超过合同总价的10％。如5％以上的货物迟达10日的，甲方</w:t>
      </w:r>
      <w:r>
        <w:rPr>
          <w:rFonts w:hint="eastAsia" w:ascii="仿宋_GB2312" w:hAnsi="仿宋_GB2312" w:cs="仿宋_GB2312"/>
          <w:color w:val="auto"/>
          <w:kern w:val="0"/>
          <w:sz w:val="24"/>
          <w:szCs w:val="24"/>
          <w:lang w:val="en-US" w:eastAsia="zh-CN"/>
        </w:rPr>
        <w:t>有</w:t>
      </w:r>
      <w:r>
        <w:rPr>
          <w:rFonts w:hint="eastAsia" w:ascii="仿宋_GB2312" w:hAnsi="仿宋_GB2312" w:eastAsia="仿宋_GB2312" w:cs="仿宋_GB2312"/>
          <w:color w:val="auto"/>
          <w:kern w:val="0"/>
          <w:sz w:val="24"/>
          <w:szCs w:val="24"/>
        </w:rPr>
        <w:t>权解除本合同。</w:t>
      </w:r>
    </w:p>
    <w:p>
      <w:pPr>
        <w:autoSpaceDE w:val="0"/>
        <w:autoSpaceDN w:val="0"/>
        <w:adjustRightInd w:val="0"/>
        <w:spacing w:line="360" w:lineRule="auto"/>
        <w:ind w:firstLine="538"/>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2、如乙方产品质量不符合国家标准或未达到本企业内控标准，甲方有权退货，并且乙方应承担</w:t>
      </w:r>
      <w:r>
        <w:rPr>
          <w:rFonts w:hint="eastAsia" w:ascii="仿宋_GB2312" w:hAnsi="仿宋_GB2312" w:cs="仿宋_GB2312"/>
          <w:color w:val="auto"/>
          <w:sz w:val="24"/>
          <w:szCs w:val="24"/>
          <w:lang w:val="en-US" w:eastAsia="zh-CN"/>
        </w:rPr>
        <w:t>响应的</w:t>
      </w:r>
      <w:r>
        <w:rPr>
          <w:rFonts w:hint="eastAsia" w:ascii="仿宋_GB2312" w:hAnsi="仿宋_GB2312" w:eastAsia="仿宋_GB2312" w:cs="仿宋_GB2312"/>
          <w:color w:val="auto"/>
          <w:sz w:val="24"/>
          <w:szCs w:val="24"/>
        </w:rPr>
        <w:t>违约金并赔偿其他损失。</w:t>
      </w:r>
    </w:p>
    <w:p>
      <w:pPr>
        <w:autoSpaceDE w:val="0"/>
        <w:autoSpaceDN w:val="0"/>
        <w:adjustRightInd w:val="0"/>
        <w:spacing w:line="360" w:lineRule="auto"/>
        <w:ind w:firstLine="480" w:firstLineChars="200"/>
        <w:rPr>
          <w:rFonts w:hint="eastAsia" w:ascii="仿宋_GB2312" w:hAnsi="仿宋_GB2312" w:eastAsia="仿宋_GB2312" w:cs="仿宋_GB2312"/>
          <w:color w:val="auto"/>
          <w:sz w:val="24"/>
          <w:szCs w:val="24"/>
        </w:rPr>
      </w:pPr>
      <w:r>
        <w:rPr>
          <w:rFonts w:hint="eastAsia" w:ascii="仿宋_GB2312" w:hAnsi="仿宋_GB2312" w:cs="仿宋_GB2312"/>
          <w:color w:val="auto"/>
          <w:sz w:val="24"/>
          <w:szCs w:val="24"/>
          <w:lang w:val="en-US" w:eastAsia="zh-CN"/>
        </w:rPr>
        <w:t>3</w:t>
      </w:r>
      <w:r>
        <w:rPr>
          <w:rFonts w:hint="eastAsia" w:ascii="仿宋_GB2312" w:hAnsi="仿宋_GB2312" w:eastAsia="仿宋_GB2312" w:cs="仿宋_GB2312"/>
          <w:color w:val="auto"/>
          <w:sz w:val="24"/>
          <w:szCs w:val="24"/>
        </w:rPr>
        <w:t>、保修期内因产品质量问题，乙方未按合同规定及时进行维修、更换，甲方可自行组织人员进行维修、更换，因此造成的相关责任、费用由乙方承担。</w:t>
      </w:r>
    </w:p>
    <w:p>
      <w:pPr>
        <w:spacing w:line="360" w:lineRule="auto"/>
        <w:ind w:firstLine="480" w:firstLineChars="200"/>
        <w:rPr>
          <w:rFonts w:hint="eastAsia" w:ascii="仿宋_GB2312" w:hAnsi="仿宋_GB2312" w:eastAsia="仿宋_GB2312" w:cs="仿宋_GB2312"/>
          <w:color w:val="auto"/>
          <w:kern w:val="0"/>
          <w:sz w:val="24"/>
          <w:szCs w:val="24"/>
        </w:rPr>
      </w:pPr>
      <w:r>
        <w:rPr>
          <w:rFonts w:hint="eastAsia" w:ascii="仿宋_GB2312" w:hAnsi="仿宋_GB2312" w:cs="仿宋_GB2312"/>
          <w:color w:val="auto"/>
          <w:sz w:val="24"/>
          <w:szCs w:val="24"/>
          <w:lang w:val="en-US" w:eastAsia="zh-CN"/>
        </w:rPr>
        <w:t>4</w:t>
      </w:r>
      <w:r>
        <w:rPr>
          <w:rFonts w:hint="eastAsia" w:ascii="仿宋_GB2312" w:hAnsi="仿宋_GB2312" w:eastAsia="仿宋_GB2312" w:cs="仿宋_GB2312"/>
          <w:color w:val="auto"/>
          <w:sz w:val="24"/>
          <w:szCs w:val="24"/>
        </w:rPr>
        <w:t>、乙方</w:t>
      </w:r>
      <w:r>
        <w:rPr>
          <w:rFonts w:hint="eastAsia" w:ascii="仿宋_GB2312" w:hAnsi="仿宋_GB2312" w:eastAsia="仿宋_GB2312" w:cs="仿宋_GB2312"/>
          <w:color w:val="auto"/>
          <w:kern w:val="0"/>
          <w:sz w:val="24"/>
          <w:szCs w:val="24"/>
        </w:rPr>
        <w:t>对</w:t>
      </w:r>
      <w:r>
        <w:rPr>
          <w:rFonts w:hint="eastAsia" w:ascii="仿宋_GB2312" w:hAnsi="仿宋_GB2312" w:cs="仿宋_GB2312"/>
          <w:color w:val="auto"/>
          <w:kern w:val="0"/>
          <w:sz w:val="24"/>
          <w:szCs w:val="24"/>
          <w:lang w:val="en-US" w:eastAsia="zh-CN"/>
        </w:rPr>
        <w:t>货物</w:t>
      </w:r>
      <w:r>
        <w:rPr>
          <w:rFonts w:hint="eastAsia" w:ascii="仿宋_GB2312" w:hAnsi="仿宋_GB2312" w:eastAsia="仿宋_GB2312" w:cs="仿宋_GB2312"/>
          <w:color w:val="auto"/>
          <w:kern w:val="0"/>
          <w:sz w:val="24"/>
          <w:szCs w:val="24"/>
        </w:rPr>
        <w:t>不按</w:t>
      </w:r>
      <w:r>
        <w:rPr>
          <w:rFonts w:hint="eastAsia" w:ascii="仿宋_GB2312" w:hAnsi="仿宋_GB2312" w:cs="仿宋_GB2312"/>
          <w:color w:val="auto"/>
          <w:kern w:val="0"/>
          <w:sz w:val="24"/>
          <w:szCs w:val="24"/>
          <w:lang w:val="en-US" w:eastAsia="zh-CN"/>
        </w:rPr>
        <w:t>谈判</w:t>
      </w:r>
      <w:r>
        <w:rPr>
          <w:rFonts w:hint="eastAsia" w:ascii="仿宋_GB2312" w:hAnsi="仿宋_GB2312" w:eastAsia="仿宋_GB2312" w:cs="仿宋_GB2312"/>
          <w:color w:val="auto"/>
          <w:kern w:val="0"/>
          <w:sz w:val="24"/>
          <w:szCs w:val="24"/>
        </w:rPr>
        <w:t>文件要求，擅自更换，除恢复原招标产品外，应承担更换部分</w:t>
      </w:r>
      <w:r>
        <w:rPr>
          <w:rFonts w:hint="eastAsia" w:ascii="仿宋_GB2312" w:hAnsi="仿宋_GB2312" w:cs="仿宋_GB2312"/>
          <w:color w:val="auto"/>
          <w:kern w:val="0"/>
          <w:sz w:val="24"/>
          <w:szCs w:val="24"/>
          <w:lang w:val="en-US" w:eastAsia="zh-CN"/>
        </w:rPr>
        <w:t>相应金额的</w:t>
      </w:r>
      <w:r>
        <w:rPr>
          <w:rFonts w:hint="eastAsia" w:ascii="仿宋_GB2312" w:hAnsi="仿宋_GB2312" w:eastAsia="仿宋_GB2312" w:cs="仿宋_GB2312"/>
          <w:color w:val="auto"/>
          <w:kern w:val="0"/>
          <w:sz w:val="24"/>
          <w:szCs w:val="24"/>
        </w:rPr>
        <w:t>违约金。</w:t>
      </w:r>
    </w:p>
    <w:p>
      <w:pPr>
        <w:spacing w:line="360" w:lineRule="auto"/>
        <w:ind w:firstLine="480" w:firstLineChars="200"/>
        <w:rPr>
          <w:rFonts w:hint="eastAsia" w:ascii="仿宋_GB2312" w:hAnsi="仿宋_GB2312" w:eastAsia="仿宋_GB2312" w:cs="仿宋_GB2312"/>
          <w:color w:val="auto"/>
          <w:kern w:val="0"/>
          <w:sz w:val="24"/>
          <w:szCs w:val="24"/>
        </w:rPr>
      </w:pPr>
      <w:r>
        <w:rPr>
          <w:rFonts w:hint="eastAsia" w:ascii="仿宋_GB2312" w:hAnsi="仿宋_GB2312" w:cs="仿宋_GB2312"/>
          <w:color w:val="auto"/>
          <w:kern w:val="0"/>
          <w:sz w:val="24"/>
          <w:szCs w:val="24"/>
          <w:lang w:val="en-US" w:eastAsia="zh-CN"/>
        </w:rPr>
        <w:t>5</w:t>
      </w:r>
      <w:r>
        <w:rPr>
          <w:rFonts w:hint="eastAsia" w:ascii="仿宋_GB2312" w:hAnsi="仿宋_GB2312" w:eastAsia="仿宋_GB2312" w:cs="仿宋_GB2312"/>
          <w:color w:val="auto"/>
          <w:kern w:val="0"/>
          <w:sz w:val="24"/>
          <w:szCs w:val="24"/>
        </w:rPr>
        <w:t>、</w:t>
      </w:r>
      <w:r>
        <w:rPr>
          <w:rFonts w:hint="eastAsia" w:ascii="仿宋_GB2312" w:hAnsi="仿宋_GB2312" w:eastAsia="仿宋_GB2312" w:cs="仿宋_GB2312"/>
          <w:color w:val="auto"/>
          <w:sz w:val="24"/>
          <w:szCs w:val="24"/>
        </w:rPr>
        <w:t>乙方</w:t>
      </w:r>
      <w:r>
        <w:rPr>
          <w:rFonts w:hint="eastAsia" w:ascii="仿宋_GB2312" w:hAnsi="仿宋_GB2312" w:eastAsia="仿宋_GB2312" w:cs="仿宋_GB2312"/>
          <w:color w:val="auto"/>
          <w:kern w:val="0"/>
          <w:sz w:val="24"/>
          <w:szCs w:val="24"/>
        </w:rPr>
        <w:t>如对材料以次充好，除全部按要求恢复外，应承担此部分</w:t>
      </w:r>
      <w:r>
        <w:rPr>
          <w:rFonts w:hint="eastAsia" w:ascii="仿宋_GB2312" w:hAnsi="仿宋_GB2312" w:cs="仿宋_GB2312"/>
          <w:color w:val="auto"/>
          <w:kern w:val="0"/>
          <w:sz w:val="24"/>
          <w:szCs w:val="24"/>
          <w:lang w:val="en-US" w:eastAsia="zh-CN"/>
        </w:rPr>
        <w:t>相应金额</w:t>
      </w:r>
      <w:r>
        <w:rPr>
          <w:rFonts w:hint="eastAsia" w:ascii="仿宋_GB2312" w:hAnsi="仿宋_GB2312" w:eastAsia="仿宋_GB2312" w:cs="仿宋_GB2312"/>
          <w:color w:val="auto"/>
          <w:kern w:val="0"/>
          <w:sz w:val="24"/>
          <w:szCs w:val="24"/>
        </w:rPr>
        <w:t>的违约金。</w:t>
      </w:r>
    </w:p>
    <w:p>
      <w:pPr>
        <w:spacing w:line="360" w:lineRule="auto"/>
        <w:ind w:firstLine="480" w:firstLineChars="200"/>
        <w:rPr>
          <w:rFonts w:hint="eastAsia" w:ascii="仿宋_GB2312" w:hAnsi="仿宋_GB2312" w:eastAsia="仿宋_GB2312" w:cs="仿宋_GB2312"/>
          <w:color w:val="auto"/>
          <w:kern w:val="0"/>
          <w:sz w:val="24"/>
          <w:szCs w:val="24"/>
        </w:rPr>
      </w:pPr>
      <w:r>
        <w:rPr>
          <w:rFonts w:hint="eastAsia" w:ascii="仿宋_GB2312" w:hAnsi="仿宋_GB2312" w:cs="仿宋_GB2312"/>
          <w:color w:val="auto"/>
          <w:kern w:val="0"/>
          <w:sz w:val="24"/>
          <w:szCs w:val="24"/>
          <w:lang w:val="en-US" w:eastAsia="zh-CN"/>
        </w:rPr>
        <w:t>6</w:t>
      </w:r>
      <w:r>
        <w:rPr>
          <w:rFonts w:hint="eastAsia" w:ascii="仿宋_GB2312" w:hAnsi="仿宋_GB2312" w:eastAsia="仿宋_GB2312" w:cs="仿宋_GB2312"/>
          <w:color w:val="auto"/>
          <w:kern w:val="0"/>
          <w:sz w:val="24"/>
          <w:szCs w:val="24"/>
        </w:rPr>
        <w:t>、如由于产品质量原因，不能通过验收，</w:t>
      </w:r>
      <w:r>
        <w:rPr>
          <w:rFonts w:hint="eastAsia" w:ascii="仿宋_GB2312" w:hAnsi="仿宋_GB2312" w:eastAsia="仿宋_GB2312" w:cs="仿宋_GB2312"/>
          <w:color w:val="auto"/>
          <w:sz w:val="24"/>
          <w:szCs w:val="24"/>
        </w:rPr>
        <w:t>乙方</w:t>
      </w:r>
      <w:r>
        <w:rPr>
          <w:rFonts w:hint="eastAsia" w:ascii="仿宋_GB2312" w:hAnsi="仿宋_GB2312" w:eastAsia="仿宋_GB2312" w:cs="仿宋_GB2312"/>
          <w:color w:val="auto"/>
          <w:kern w:val="0"/>
          <w:sz w:val="24"/>
          <w:szCs w:val="24"/>
        </w:rPr>
        <w:t>除按规定无偿更换外，应承担所涉及产品总价款的</w:t>
      </w:r>
      <w:r>
        <w:rPr>
          <w:rFonts w:hint="eastAsia" w:ascii="仿宋_GB2312" w:hAnsi="仿宋_GB2312" w:cs="仿宋_GB2312"/>
          <w:color w:val="auto"/>
          <w:kern w:val="0"/>
          <w:sz w:val="24"/>
          <w:szCs w:val="24"/>
          <w:lang w:val="en-US" w:eastAsia="zh-CN"/>
        </w:rPr>
        <w:t>相应金额的</w:t>
      </w:r>
      <w:r>
        <w:rPr>
          <w:rFonts w:hint="eastAsia" w:ascii="仿宋_GB2312" w:hAnsi="仿宋_GB2312" w:eastAsia="仿宋_GB2312" w:cs="仿宋_GB2312"/>
          <w:color w:val="auto"/>
          <w:kern w:val="0"/>
          <w:sz w:val="24"/>
          <w:szCs w:val="24"/>
        </w:rPr>
        <w:t>违约金。</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十二、争议解决</w:t>
      </w:r>
    </w:p>
    <w:p>
      <w:pPr>
        <w:shd w:val="clear" w:color="auto" w:fill="FFFFFF"/>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kern w:val="28"/>
          <w:sz w:val="24"/>
          <w:szCs w:val="24"/>
        </w:rPr>
        <w:t>合同各方应本着诚信的态度及共同合作的精神，通过协商及谈判来努力解决由本合同而产生的或与本合同有关（包括本合同项下某一特定货物买卖合同）的任何争议及不同意见。协商、谈判不能解决的，如任何一方通过诉讼解决由</w:t>
      </w:r>
      <w:r>
        <w:rPr>
          <w:rFonts w:hint="eastAsia" w:ascii="仿宋_GB2312" w:hAnsi="仿宋_GB2312" w:eastAsia="仿宋_GB2312" w:cs="仿宋_GB2312"/>
          <w:sz w:val="24"/>
          <w:szCs w:val="24"/>
        </w:rPr>
        <w:t>甲方所在地人民法院管辖。</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十三、协议期限</w:t>
      </w:r>
    </w:p>
    <w:p>
      <w:pPr>
        <w:spacing w:line="360" w:lineRule="auto"/>
        <w:ind w:firstLine="600" w:firstLineChars="25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1、</w:t>
      </w:r>
      <w:r>
        <w:rPr>
          <w:rFonts w:hint="eastAsia" w:ascii="仿宋_GB2312" w:hAnsi="仿宋_GB2312" w:eastAsia="仿宋_GB2312" w:cs="仿宋_GB2312"/>
          <w:spacing w:val="10"/>
          <w:kern w:val="0"/>
          <w:sz w:val="24"/>
          <w:szCs w:val="24"/>
        </w:rPr>
        <w:t>合同经</w:t>
      </w:r>
      <w:r>
        <w:rPr>
          <w:rFonts w:hint="eastAsia" w:ascii="仿宋_GB2312" w:hAnsi="仿宋_GB2312" w:eastAsia="仿宋_GB2312" w:cs="仿宋_GB2312"/>
          <w:kern w:val="0"/>
          <w:sz w:val="24"/>
          <w:szCs w:val="24"/>
        </w:rPr>
        <w:t>发包</w:t>
      </w:r>
      <w:r>
        <w:rPr>
          <w:rFonts w:hint="eastAsia" w:ascii="仿宋_GB2312" w:hAnsi="仿宋_GB2312" w:eastAsia="仿宋_GB2312" w:cs="仿宋_GB2312"/>
          <w:spacing w:val="10"/>
          <w:kern w:val="0"/>
          <w:sz w:val="24"/>
          <w:szCs w:val="24"/>
        </w:rPr>
        <w:t>方和</w:t>
      </w:r>
      <w:r>
        <w:rPr>
          <w:rFonts w:hint="eastAsia" w:ascii="仿宋_GB2312" w:hAnsi="仿宋_GB2312" w:eastAsia="仿宋_GB2312" w:cs="仿宋_GB2312"/>
          <w:kern w:val="0"/>
          <w:sz w:val="24"/>
          <w:szCs w:val="24"/>
        </w:rPr>
        <w:t>承包</w:t>
      </w:r>
      <w:r>
        <w:rPr>
          <w:rFonts w:hint="eastAsia" w:ascii="仿宋_GB2312" w:hAnsi="仿宋_GB2312" w:eastAsia="仿宋_GB2312" w:cs="仿宋_GB2312"/>
          <w:spacing w:val="10"/>
          <w:kern w:val="0"/>
          <w:sz w:val="24"/>
          <w:szCs w:val="24"/>
        </w:rPr>
        <w:t>方双方法定代表人或者代表人签字并加盖公章(或合同章)即行生效。</w:t>
      </w:r>
    </w:p>
    <w:p>
      <w:pPr>
        <w:spacing w:line="360" w:lineRule="auto"/>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 xml:space="preserve">     2、合同签订后双方即直接产生权利与义务的关系，合同执行过程中出现的问题应按照合同法等有关规定办理。</w:t>
      </w:r>
    </w:p>
    <w:p>
      <w:pPr>
        <w:numPr>
          <w:ilvl w:val="0"/>
          <w:numId w:val="1"/>
        </w:numPr>
        <w:spacing w:line="360" w:lineRule="auto"/>
        <w:ind w:firstLine="600" w:firstLineChars="250"/>
        <w:rPr>
          <w:rFonts w:hint="eastAsia"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合同在执行过程中出现的未尽事宜，双方在不违背本合同和招标文件的原则下协商解决，协商结果以“纪要”形式盖章记录在案，作为本合同的附件，与本合同具有同等效力。</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十四、不可抗力</w:t>
      </w:r>
    </w:p>
    <w:p>
      <w:pPr>
        <w:shd w:val="clear" w:color="auto" w:fill="FFFFFF"/>
        <w:snapToGrid w:val="0"/>
        <w:spacing w:line="360" w:lineRule="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1、本合同项下的“不可抗力”是指不能预见，不能避免且不能克服的客观情况，使得本合同一方当事人无法履行合同义务，如战争、严重火灾、水灾、风灾和地震属于不可抗力的事故。</w:t>
      </w:r>
    </w:p>
    <w:p>
      <w:pPr>
        <w:shd w:val="clear" w:color="auto" w:fill="FFFFFF"/>
        <w:snapToGrid w:val="0"/>
        <w:spacing w:line="360" w:lineRule="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pPr>
        <w:shd w:val="clear" w:color="auto" w:fill="FFFFFF"/>
        <w:snapToGrid w:val="0"/>
        <w:spacing w:line="360" w:lineRule="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3、如不可抗力时间延续120天以上的，各方通过协商达成在合理的时间内继续履行合同，或部分履行合同，或终止合同的履行。</w:t>
      </w:r>
    </w:p>
    <w:p>
      <w:pPr>
        <w:shd w:val="clear" w:color="auto" w:fill="FFFFFF"/>
        <w:snapToGrid w:val="0"/>
        <w:spacing w:line="360" w:lineRule="auto"/>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4、一方迟延履行后发生不可抗力的，不能免除责任。</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十五、通知和合同修改</w:t>
      </w:r>
    </w:p>
    <w:p>
      <w:pPr>
        <w:shd w:val="clear" w:color="auto" w:fill="FFFFFF"/>
        <w:snapToGrid w:val="0"/>
        <w:spacing w:line="360" w:lineRule="auto"/>
        <w:ind w:firstLine="480" w:firstLineChars="200"/>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本合同一方给另一方的通知，都应以书面的形式（信函、传真）发送至对方，对本合同条款进行任何改动，均须由甲乙双方签署书面合同修改签证，方为有效。</w:t>
      </w:r>
    </w:p>
    <w:p>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szCs w:val="24"/>
        </w:rPr>
      </w:pPr>
      <w:r>
        <w:rPr>
          <w:rFonts w:hint="eastAsia" w:ascii="仿宋_GB2312" w:hAnsi="仿宋_GB2312" w:eastAsia="仿宋_GB2312" w:cs="仿宋_GB2312"/>
          <w:b/>
          <w:bCs/>
          <w:sz w:val="24"/>
          <w:szCs w:val="24"/>
        </w:rPr>
        <w:t>十六、其他规定</w:t>
      </w:r>
    </w:p>
    <w:p>
      <w:pPr>
        <w:shd w:val="clear" w:color="auto" w:fill="FFFFFF"/>
        <w:snapToGrid w:val="0"/>
        <w:spacing w:line="360" w:lineRule="auto"/>
        <w:ind w:firstLine="480" w:firstLineChars="200"/>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本协议的附件为本协议不可分割的部分，与本协议正文具有同等的法律效力。协议附件与本协议约定不一致的，以本协议的约定为准，除非双方一致同意并以书面形式表示以协议附件为准。</w:t>
      </w:r>
    </w:p>
    <w:p>
      <w:pPr>
        <w:shd w:val="clear" w:color="auto" w:fill="FFFFFF"/>
        <w:snapToGrid w:val="0"/>
        <w:spacing w:line="360" w:lineRule="auto"/>
        <w:ind w:firstLine="480" w:firstLineChars="200"/>
        <w:rPr>
          <w:rFonts w:hint="eastAsia" w:ascii="仿宋_GB2312" w:hAnsi="仿宋_GB2312" w:eastAsia="仿宋_GB2312" w:cs="仿宋_GB2312"/>
          <w:kern w:val="28"/>
          <w:sz w:val="24"/>
          <w:szCs w:val="24"/>
        </w:rPr>
      </w:pPr>
    </w:p>
    <w:p>
      <w:pPr>
        <w:shd w:val="clear" w:color="auto" w:fill="FFFFFF"/>
        <w:snapToGrid w:val="0"/>
        <w:spacing w:line="360" w:lineRule="auto"/>
        <w:ind w:firstLine="480" w:firstLineChars="200"/>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本合同甲、乙双方均同意以上条款内容。</w:t>
      </w:r>
    </w:p>
    <w:p>
      <w:pPr>
        <w:shd w:val="clear" w:color="auto" w:fill="FFFFFF"/>
        <w:snapToGrid w:val="0"/>
        <w:spacing w:line="360" w:lineRule="auto"/>
        <w:ind w:firstLine="480" w:firstLineChars="200"/>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本合同正本贰份，副本</w:t>
      </w:r>
      <w:r>
        <w:rPr>
          <w:rFonts w:hint="eastAsia" w:ascii="仿宋_GB2312" w:hAnsi="仿宋_GB2312" w:cs="仿宋_GB2312"/>
          <w:kern w:val="28"/>
          <w:sz w:val="24"/>
          <w:szCs w:val="24"/>
          <w:lang w:val="en-US" w:eastAsia="zh-CN"/>
        </w:rPr>
        <w:t>贰</w:t>
      </w:r>
      <w:r>
        <w:rPr>
          <w:rFonts w:hint="eastAsia" w:ascii="仿宋_GB2312" w:hAnsi="仿宋_GB2312" w:eastAsia="仿宋_GB2312" w:cs="仿宋_GB2312"/>
          <w:kern w:val="28"/>
          <w:sz w:val="24"/>
          <w:szCs w:val="24"/>
        </w:rPr>
        <w:t>份，具有同等效力。自双方法定代表人或授权代表人签字、并加盖单位公章之日起生效。</w:t>
      </w:r>
    </w:p>
    <w:p>
      <w:pPr>
        <w:shd w:val="clear" w:color="auto" w:fill="FFFFFF"/>
        <w:snapToGrid w:val="0"/>
        <w:spacing w:line="360" w:lineRule="auto"/>
        <w:ind w:firstLine="480" w:firstLineChars="200"/>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本合同的订立、履行、变更、终止、解释等均适用中华人民共和国法律。</w:t>
      </w:r>
    </w:p>
    <w:p>
      <w:pPr>
        <w:shd w:val="clear" w:color="auto" w:fill="FFFFFF"/>
        <w:snapToGrid w:val="0"/>
        <w:spacing w:line="360" w:lineRule="auto"/>
        <w:ind w:firstLine="480" w:firstLineChars="200"/>
        <w:rPr>
          <w:rFonts w:hint="eastAsia" w:ascii="仿宋_GB2312" w:hAnsi="仿宋_GB2312" w:eastAsia="仿宋_GB2312" w:cs="仿宋_GB2312"/>
          <w:kern w:val="28"/>
          <w:sz w:val="24"/>
          <w:szCs w:val="24"/>
        </w:rPr>
      </w:pPr>
      <w:r>
        <w:rPr>
          <w:rFonts w:hint="eastAsia" w:ascii="仿宋_GB2312" w:hAnsi="仿宋_GB2312" w:eastAsia="仿宋_GB2312" w:cs="仿宋_GB2312"/>
          <w:kern w:val="28"/>
          <w:sz w:val="24"/>
          <w:szCs w:val="24"/>
        </w:rPr>
        <w:t>本合同未尽事宜由双方共同协商，另行订立补充协议，补充协议与本协议具有同样的法律效力。如果本合同之附件与本合同规定不符, 以本合同规定为准。</w:t>
      </w:r>
    </w:p>
    <w:p>
      <w:pPr>
        <w:shd w:val="clear" w:color="auto" w:fill="FFFFFF"/>
        <w:snapToGrid w:val="0"/>
        <w:spacing w:line="360" w:lineRule="auto"/>
        <w:ind w:firstLine="480" w:firstLineChars="200"/>
        <w:rPr>
          <w:rFonts w:ascii="仿宋_GB2312" w:hAnsi="仿宋_GB2312" w:eastAsia="仿宋_GB2312" w:cs="仿宋_GB2312"/>
          <w:sz w:val="24"/>
          <w:szCs w:val="24"/>
        </w:rPr>
      </w:pPr>
      <w:r>
        <w:rPr>
          <w:rFonts w:hint="eastAsia" w:ascii="仿宋_GB2312" w:hAnsi="仿宋_GB2312" w:eastAsia="仿宋_GB2312" w:cs="仿宋_GB2312"/>
          <w:sz w:val="24"/>
          <w:szCs w:val="24"/>
        </w:rPr>
        <w:br w:type="page"/>
      </w:r>
      <w:r>
        <w:rPr>
          <w:rFonts w:hint="eastAsia" w:ascii="仿宋_GB2312" w:hAnsi="仿宋_GB2312" w:eastAsia="仿宋_GB2312" w:cs="仿宋_GB2312"/>
          <w:sz w:val="24"/>
          <w:szCs w:val="24"/>
        </w:rPr>
        <w:t>（以下无正文）</w:t>
      </w:r>
    </w:p>
    <w:p>
      <w:pPr>
        <w:pStyle w:val="2"/>
        <w:rPr>
          <w:rFonts w:hint="eastAsia"/>
        </w:rPr>
      </w:pPr>
    </w:p>
    <w:p>
      <w:pPr>
        <w:shd w:val="clear" w:color="auto" w:fill="FFFFFF"/>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甲方：                                  乙方：</w:t>
      </w:r>
    </w:p>
    <w:p>
      <w:pPr>
        <w:shd w:val="clear" w:color="auto" w:fill="FFFFFF"/>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法人代表或授权代表：                    法人代表或授权代表：</w:t>
      </w:r>
    </w:p>
    <w:p>
      <w:pPr>
        <w:shd w:val="clear" w:color="auto" w:fill="FFFFFF"/>
        <w:snapToGrid w:val="0"/>
        <w:spacing w:line="360" w:lineRule="auto"/>
        <w:ind w:firstLine="480" w:firstLineChars="200"/>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签署日期：20  年  月  日                签署日期：20  年   月  日</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0134D7"/>
    <w:multiLevelType w:val="singleLevel"/>
    <w:tmpl w:val="550134D7"/>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NDQyOTMxMWMwNDc3N2Y4ZmQxOTFkMTIzYmNlNTIifQ=="/>
  </w:docVars>
  <w:rsids>
    <w:rsidRoot w:val="7A9A4D4E"/>
    <w:rsid w:val="7A9A4D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Calibri" w:hAnsi="Calibri" w:eastAsia="仿宋_GB2312" w:cs="Times New Roman"/>
      <w:kern w:val="2"/>
      <w:sz w:val="24"/>
      <w:szCs w:val="24"/>
      <w:lang w:val="en-US" w:eastAsia="zh-CN" w:bidi="ar-SA"/>
    </w:rPr>
  </w:style>
  <w:style w:type="paragraph" w:styleId="3">
    <w:name w:val="heading 1"/>
    <w:basedOn w:val="1"/>
    <w:next w:val="1"/>
    <w:qFormat/>
    <w:uiPriority w:val="0"/>
    <w:pPr>
      <w:keepNext/>
      <w:keepLines/>
      <w:spacing w:before="340" w:beforeLines="0" w:after="330" w:afterLines="0" w:line="578" w:lineRule="auto"/>
      <w:outlineLvl w:val="0"/>
    </w:pPr>
    <w:rPr>
      <w:rFonts w:ascii="Times New Roman" w:hAnsi="Times New Roman" w:eastAsia="宋体"/>
      <w:b/>
      <w:bCs/>
      <w:kern w:val="44"/>
      <w:sz w:val="44"/>
      <w:szCs w:val="44"/>
    </w:rPr>
  </w:style>
  <w:style w:type="character" w:default="1" w:styleId="7">
    <w:name w:val="Default Paragraph Font"/>
    <w:semiHidden/>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rPr>
  </w:style>
  <w:style w:type="paragraph" w:styleId="4">
    <w:name w:val="footer"/>
    <w:basedOn w:val="1"/>
    <w:uiPriority w:val="0"/>
    <w:pPr>
      <w:tabs>
        <w:tab w:val="center" w:pos="4153"/>
        <w:tab w:val="right" w:pos="8306"/>
      </w:tabs>
      <w:snapToGrid w:val="0"/>
      <w:jc w:val="left"/>
    </w:pPr>
    <w:rPr>
      <w:rFonts w:ascii="Times New Roman" w:hAnsi="Times New Roman" w:eastAsia="宋体"/>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rFonts w:ascii="Times New Roman" w:hAnsi="Times New Roman" w:eastAsia="宋体"/>
      <w:sz w:val="18"/>
      <w:szCs w:val="18"/>
    </w:rPr>
  </w:style>
  <w:style w:type="character" w:styleId="8">
    <w:name w:val="page number"/>
    <w:basedOn w:val="7"/>
    <w:qFormat/>
    <w:uiPriority w:val="0"/>
  </w:style>
  <w:style w:type="character" w:styleId="9">
    <w:name w:val="Hyperlink"/>
    <w:basedOn w:val="7"/>
    <w:qFormat/>
    <w:uiPriority w:val="99"/>
    <w:rPr>
      <w:color w:val="2D64B3"/>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2023-10-10T05:01:00Z</dcterms:created>
  <dc:creator>Zhe</dc:creator>
  <cp:lastModifiedBy>Zhe</cp:lastModifiedBy>
  <dcterms:modified xsi:type="dcterms:W3CDTF">2023-10-10T05:02:07Z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CA850BCA98E842B6810622073602CA73_11</vt:lpwstr>
  </property>
</Properties>
</file>