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adjustRightInd w:val="0"/>
        <w:snapToGrid w:val="0"/>
        <w:spacing w:before="0" w:after="0" w:line="360" w:lineRule="auto"/>
        <w:jc w:val="both"/>
        <w:rPr>
          <w:rFonts w:hint="eastAsia" w:ascii="仿宋" w:hAnsi="仿宋" w:eastAsia="仿宋" w:cs="仿宋"/>
          <w:sz w:val="36"/>
          <w:szCs w:val="36"/>
          <w:lang w:eastAsia="zh-CN"/>
        </w:rPr>
      </w:pPr>
      <w:bookmarkStart w:id="0" w:name="_Toc26341"/>
      <w:r>
        <w:rPr>
          <w:rFonts w:hint="eastAsia" w:ascii="仿宋" w:hAnsi="仿宋" w:eastAsia="仿宋" w:cs="仿宋"/>
          <w:sz w:val="36"/>
          <w:szCs w:val="36"/>
        </w:rPr>
        <w:t>采购</w:t>
      </w:r>
      <w:bookmarkEnd w:id="0"/>
      <w:r>
        <w:rPr>
          <w:rFonts w:hint="eastAsia" w:ascii="仿宋" w:hAnsi="仿宋" w:eastAsia="仿宋" w:cs="仿宋"/>
          <w:sz w:val="36"/>
          <w:szCs w:val="36"/>
          <w:lang w:eastAsia="zh-CN"/>
        </w:rPr>
        <w:t>需求</w:t>
      </w:r>
      <w:bookmarkStart w:id="1" w:name="_GoBack"/>
      <w:bookmarkEnd w:id="1"/>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核心产品：UPS主机</w:t>
      </w:r>
    </w:p>
    <w:tbl>
      <w:tblPr>
        <w:tblStyle w:val="6"/>
        <w:tblW w:w="5089"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0"/>
        <w:gridCol w:w="1180"/>
        <w:gridCol w:w="729"/>
        <w:gridCol w:w="6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58" w:type="pct"/>
            <w:noWrap w:val="0"/>
            <w:vAlign w:val="center"/>
          </w:tcPr>
          <w:p>
            <w:pPr>
              <w:jc w:val="center"/>
              <w:rPr>
                <w:rFonts w:ascii="仿宋" w:hAnsi="仿宋" w:eastAsia="仿宋" w:cs="仿宋"/>
                <w:b/>
                <w:sz w:val="24"/>
              </w:rPr>
            </w:pPr>
            <w:r>
              <w:rPr>
                <w:rFonts w:hint="eastAsia" w:ascii="仿宋" w:hAnsi="仿宋" w:eastAsia="仿宋" w:cs="仿宋"/>
                <w:b/>
                <w:sz w:val="24"/>
              </w:rPr>
              <w:t>序号</w:t>
            </w:r>
          </w:p>
        </w:tc>
        <w:tc>
          <w:tcPr>
            <w:tcW w:w="680" w:type="pct"/>
            <w:noWrap w:val="0"/>
            <w:vAlign w:val="center"/>
          </w:tcPr>
          <w:p>
            <w:pPr>
              <w:jc w:val="center"/>
              <w:rPr>
                <w:rFonts w:ascii="仿宋" w:hAnsi="仿宋" w:eastAsia="仿宋" w:cs="仿宋"/>
                <w:b/>
                <w:sz w:val="24"/>
              </w:rPr>
            </w:pPr>
            <w:r>
              <w:rPr>
                <w:rFonts w:hint="eastAsia" w:ascii="仿宋" w:hAnsi="仿宋" w:eastAsia="仿宋" w:cs="仿宋"/>
                <w:b/>
                <w:sz w:val="24"/>
              </w:rPr>
              <w:t>货物名称</w:t>
            </w:r>
          </w:p>
        </w:tc>
        <w:tc>
          <w:tcPr>
            <w:tcW w:w="420" w:type="pct"/>
            <w:noWrap w:val="0"/>
            <w:vAlign w:val="center"/>
          </w:tcPr>
          <w:p>
            <w:pPr>
              <w:jc w:val="center"/>
              <w:rPr>
                <w:rFonts w:ascii="仿宋" w:hAnsi="仿宋" w:eastAsia="仿宋" w:cs="仿宋"/>
                <w:b/>
                <w:sz w:val="24"/>
              </w:rPr>
            </w:pPr>
            <w:r>
              <w:rPr>
                <w:rFonts w:hint="eastAsia" w:ascii="仿宋" w:hAnsi="仿宋" w:eastAsia="仿宋" w:cs="仿宋"/>
                <w:b/>
                <w:sz w:val="24"/>
              </w:rPr>
              <w:t>数量</w:t>
            </w:r>
          </w:p>
        </w:tc>
        <w:tc>
          <w:tcPr>
            <w:tcW w:w="3542" w:type="pct"/>
            <w:noWrap w:val="0"/>
            <w:vAlign w:val="center"/>
          </w:tcPr>
          <w:p>
            <w:pPr>
              <w:jc w:val="center"/>
              <w:rPr>
                <w:rFonts w:ascii="仿宋" w:hAnsi="仿宋" w:eastAsia="仿宋" w:cs="仿宋"/>
                <w:b/>
                <w:sz w:val="24"/>
              </w:rPr>
            </w:pPr>
            <w:r>
              <w:rPr>
                <w:rFonts w:hint="eastAsia" w:ascii="仿宋" w:hAnsi="仿宋" w:eastAsia="仿宋" w:cs="仿宋"/>
                <w:b/>
                <w:bCs/>
                <w:sz w:val="24"/>
              </w:rPr>
              <w:t>技术参数及要求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58" w:type="pct"/>
            <w:noWrap w:val="0"/>
            <w:vAlign w:val="center"/>
          </w:tcPr>
          <w:p>
            <w:pPr>
              <w:jc w:val="center"/>
              <w:rPr>
                <w:rFonts w:ascii="仿宋" w:hAnsi="仿宋" w:eastAsia="仿宋" w:cs="仿宋"/>
                <w:sz w:val="24"/>
              </w:rPr>
            </w:pPr>
            <w:r>
              <w:rPr>
                <w:rFonts w:hint="eastAsia" w:ascii="仿宋" w:hAnsi="仿宋" w:eastAsia="仿宋" w:cs="仿宋"/>
                <w:sz w:val="24"/>
              </w:rPr>
              <w:t>1</w:t>
            </w:r>
          </w:p>
        </w:tc>
        <w:tc>
          <w:tcPr>
            <w:tcW w:w="680" w:type="pct"/>
            <w:noWrap w:val="0"/>
            <w:vAlign w:val="center"/>
          </w:tcPr>
          <w:p>
            <w:pPr>
              <w:jc w:val="left"/>
              <w:rPr>
                <w:rFonts w:ascii="仿宋" w:hAnsi="仿宋" w:eastAsia="仿宋" w:cs="仿宋"/>
                <w:sz w:val="24"/>
              </w:rPr>
            </w:pPr>
            <w:r>
              <w:rPr>
                <w:rFonts w:hint="eastAsia" w:ascii="仿宋" w:hAnsi="仿宋" w:eastAsia="仿宋" w:cs="仿宋"/>
                <w:sz w:val="24"/>
              </w:rPr>
              <w:t>UPS主机</w:t>
            </w:r>
          </w:p>
        </w:tc>
        <w:tc>
          <w:tcPr>
            <w:tcW w:w="420" w:type="pct"/>
            <w:noWrap w:val="0"/>
            <w:vAlign w:val="center"/>
          </w:tcPr>
          <w:p>
            <w:pPr>
              <w:jc w:val="center"/>
              <w:rPr>
                <w:rFonts w:ascii="仿宋" w:hAnsi="仿宋" w:eastAsia="仿宋" w:cs="仿宋"/>
                <w:sz w:val="24"/>
              </w:rPr>
            </w:pPr>
            <w:r>
              <w:rPr>
                <w:rFonts w:hint="eastAsia" w:ascii="仿宋" w:hAnsi="仿宋" w:eastAsia="仿宋" w:cs="仿宋"/>
                <w:sz w:val="24"/>
              </w:rPr>
              <w:t>1台</w:t>
            </w:r>
          </w:p>
        </w:tc>
        <w:tc>
          <w:tcPr>
            <w:tcW w:w="3542" w:type="pct"/>
            <w:noWrap w:val="0"/>
            <w:vAlign w:val="top"/>
          </w:tcPr>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本项目要求采用在线式双变换工频型UPS，三进三出，容量不低于300kVA/270kW；UPS主机输出端须配置隔离变压器，拒绝采用外置隔离变压器方案。</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输出为额定阻性负载时，输入电压范围应不小于：305~450VAC。</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输入电压与频率为额定值时，输出为100%额定非线性负载时，输入功率因数应＞0.99。</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输出为空载和额定阻性负载，调节输入电压为UPS上、下限值时，其稳压精度应≤0.1%。</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输出额定电压应380V/400V/415VAC可变。</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额定输出功率因数应≥0.9。</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100%不平衡负载：输入电压与频率为额定值，输出任意一相为额定阻性负载，其余相空载，输出电压不平衡度应≤0.9%。</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输入电压为额定值，输出为100%阻性负载时，系统效率应≥96%。</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过载能力：输入电压为额定值，输出为阻性负载，输出功率为额定值的125%，正常工作时间应≥10min。</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外接电池组电压可调：若未来遭遇个别电池故障，需要维护、更换时，可现场灵活调节电池组的只数，在配置12V电池的情况下，可根据现场电池节数从30/31/32/33/34节调整，无须整组更换；投标时须提供满足上述要求的产品彩页截图</w:t>
            </w:r>
            <w:r>
              <w:rPr>
                <w:rFonts w:hint="eastAsia" w:ascii="仿宋" w:hAnsi="仿宋" w:eastAsia="仿宋" w:cs="仿宋"/>
                <w:sz w:val="24"/>
                <w:szCs w:val="24"/>
                <w:lang w:val="en-US" w:eastAsia="zh-CN"/>
              </w:rPr>
              <w:t>。</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★具备无电池开机功能：UPS主机在没有接入电池组或者电池组故障时，可直接通过市电直接开机。</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UPS主机内部应配置手动维修旁路。</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应具备并机功能，支持不少于6台并机运行。</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★UPS主机人机界面应配置不小于7寸彩色触摸屏，同时应配置LED故障、状态显示灯，方便现场运维。</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标配RS232端口，提供通讯协议及监控软件，软件应支持常用操作系统。可支持本地监控，或多台UPS主机集中监控。</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要求UPS主机中的功率板采用涂敷三防漆工艺，具有防潮、防尘、防漏电、防腐蚀、防锈、防盐雾、防震、防老化、绝缘、耐电晕等性能。</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应具备输出短路保护、输出过载保护、电池低电压保护、输出过欠压保护、风扇故障告警等功能。</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UPS主机须满足YD/T1095-2018《通信用交流不间断电源（UPS）》标准要求，提供本项目UPS主机同系列（送样UPS规格应不小于300kVA，不大于400kVA）的泰尔认证证书及泰尔检验报告复印件。</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★UPS主机应支持无主从自适应并机。</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★UPS主机配置自动测试系统软件，投标时提供生产厂家出具的证明文件佐证。</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★UPS主机采用智能控制与管理软件，投标时应提供生产厂家出具针对三进三出工频型的证明文件。</w:t>
            </w:r>
          </w:p>
          <w:p>
            <w:pPr>
              <w:pStyle w:val="8"/>
              <w:numPr>
                <w:ilvl w:val="0"/>
                <w:numId w:val="1"/>
              </w:numPr>
              <w:ind w:left="0" w:firstLine="0" w:firstLineChars="0"/>
              <w:rPr>
                <w:rFonts w:ascii="仿宋" w:hAnsi="仿宋" w:eastAsia="仿宋" w:cs="仿宋"/>
                <w:bCs/>
                <w:iCs/>
                <w:sz w:val="24"/>
                <w:szCs w:val="24"/>
                <w:lang w:val="en-US" w:eastAsia="zh-CN"/>
              </w:rPr>
            </w:pPr>
            <w:r>
              <w:rPr>
                <w:rFonts w:hint="eastAsia" w:ascii="仿宋" w:hAnsi="仿宋" w:eastAsia="仿宋" w:cs="仿宋"/>
                <w:bCs/>
                <w:iCs/>
                <w:sz w:val="24"/>
                <w:szCs w:val="24"/>
                <w:lang w:val="en-US" w:eastAsia="zh-CN"/>
              </w:rPr>
              <w:t>★多台UPS主机并机时，配置UPS并机系统控制与管理软件，投标时提供生产厂家出具的证明文件佐证。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358" w:type="pct"/>
            <w:noWrap w:val="0"/>
            <w:vAlign w:val="center"/>
          </w:tcPr>
          <w:p>
            <w:pPr>
              <w:jc w:val="center"/>
              <w:rPr>
                <w:rFonts w:ascii="仿宋" w:hAnsi="仿宋" w:eastAsia="仿宋" w:cs="仿宋"/>
                <w:sz w:val="24"/>
              </w:rPr>
            </w:pPr>
            <w:r>
              <w:rPr>
                <w:rFonts w:hint="eastAsia" w:ascii="仿宋" w:hAnsi="仿宋" w:eastAsia="仿宋" w:cs="仿宋"/>
                <w:sz w:val="24"/>
              </w:rPr>
              <w:t>2</w:t>
            </w:r>
          </w:p>
        </w:tc>
        <w:tc>
          <w:tcPr>
            <w:tcW w:w="680" w:type="pct"/>
            <w:noWrap w:val="0"/>
            <w:vAlign w:val="center"/>
          </w:tcPr>
          <w:p>
            <w:pPr>
              <w:jc w:val="center"/>
              <w:rPr>
                <w:rFonts w:ascii="仿宋" w:hAnsi="仿宋" w:eastAsia="仿宋" w:cs="仿宋"/>
                <w:sz w:val="24"/>
              </w:rPr>
            </w:pPr>
            <w:r>
              <w:rPr>
                <w:rFonts w:hint="eastAsia" w:ascii="仿宋" w:hAnsi="仿宋" w:eastAsia="仿宋" w:cs="仿宋"/>
                <w:kern w:val="0"/>
                <w:sz w:val="24"/>
              </w:rPr>
              <w:t>蓄电池</w:t>
            </w:r>
          </w:p>
        </w:tc>
        <w:tc>
          <w:tcPr>
            <w:tcW w:w="420" w:type="pct"/>
            <w:noWrap w:val="0"/>
            <w:vAlign w:val="center"/>
          </w:tcPr>
          <w:p>
            <w:pPr>
              <w:jc w:val="center"/>
              <w:rPr>
                <w:rFonts w:ascii="仿宋" w:hAnsi="仿宋" w:eastAsia="仿宋" w:cs="仿宋"/>
                <w:sz w:val="24"/>
              </w:rPr>
            </w:pPr>
            <w:r>
              <w:rPr>
                <w:rFonts w:hint="eastAsia" w:ascii="仿宋" w:hAnsi="仿宋" w:eastAsia="仿宋" w:cs="仿宋"/>
                <w:sz w:val="24"/>
              </w:rPr>
              <w:t>64节</w:t>
            </w:r>
          </w:p>
        </w:tc>
        <w:tc>
          <w:tcPr>
            <w:tcW w:w="3542" w:type="pct"/>
            <w:noWrap w:val="0"/>
            <w:vAlign w:val="center"/>
          </w:tcPr>
          <w:p>
            <w:pPr>
              <w:pStyle w:val="8"/>
              <w:widowControl/>
              <w:numPr>
                <w:ilvl w:val="0"/>
                <w:numId w:val="2"/>
              </w:numPr>
              <w:ind w:left="0" w:firstLine="0" w:firstLineChars="0"/>
              <w:jc w:val="left"/>
              <w:textAlignment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本项目应采用阀控式密封铅酸蓄电池，单节蓄电池标称电压12V，单节蓄电池容量：≥250Ah。</w:t>
            </w:r>
          </w:p>
          <w:p>
            <w:pPr>
              <w:pStyle w:val="8"/>
              <w:widowControl/>
              <w:numPr>
                <w:ilvl w:val="0"/>
                <w:numId w:val="2"/>
              </w:numPr>
              <w:ind w:left="0" w:firstLine="0" w:firstLineChars="0"/>
              <w:jc w:val="left"/>
              <w:textAlignment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蓄电池正常浮充状态下，其浮充设计寿命可达10年及以上，投标时应提供与本项目同型号、同规格产品彩页佐证，并加盖厂家公章。</w:t>
            </w:r>
          </w:p>
          <w:p>
            <w:pPr>
              <w:pStyle w:val="8"/>
              <w:widowControl/>
              <w:numPr>
                <w:ilvl w:val="0"/>
                <w:numId w:val="2"/>
              </w:numPr>
              <w:ind w:left="0" w:firstLine="0" w:firstLineChars="0"/>
              <w:jc w:val="left"/>
              <w:textAlignment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蓄电池阻燃性能应符合YD/T799-2010中第6.4条的要求。</w:t>
            </w:r>
          </w:p>
          <w:p>
            <w:pPr>
              <w:pStyle w:val="8"/>
              <w:widowControl/>
              <w:numPr>
                <w:ilvl w:val="0"/>
                <w:numId w:val="2"/>
              </w:numPr>
              <w:ind w:left="0" w:firstLine="0" w:firstLineChars="0"/>
              <w:jc w:val="left"/>
              <w:textAlignment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蓄电池以30I10（A）放电3min，极柱不应熔断，内部汇流排不应熔断，其外观不得出现异常。</w:t>
            </w:r>
          </w:p>
          <w:p>
            <w:pPr>
              <w:pStyle w:val="8"/>
              <w:widowControl/>
              <w:numPr>
                <w:ilvl w:val="0"/>
                <w:numId w:val="2"/>
              </w:numPr>
              <w:ind w:left="0" w:firstLine="0" w:firstLineChars="0"/>
              <w:jc w:val="left"/>
              <w:textAlignment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★蓄电池静置28天后容量保存率应≥96%。</w:t>
            </w:r>
          </w:p>
          <w:p>
            <w:pPr>
              <w:pStyle w:val="8"/>
              <w:widowControl/>
              <w:numPr>
                <w:ilvl w:val="0"/>
                <w:numId w:val="2"/>
              </w:numPr>
              <w:ind w:left="0" w:firstLine="0" w:firstLineChars="0"/>
              <w:jc w:val="left"/>
              <w:textAlignment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蓄电池密封反应效率应≥95%。</w:t>
            </w:r>
          </w:p>
          <w:p>
            <w:pPr>
              <w:pStyle w:val="8"/>
              <w:widowControl/>
              <w:numPr>
                <w:ilvl w:val="0"/>
                <w:numId w:val="2"/>
              </w:numPr>
              <w:ind w:left="0" w:firstLine="0" w:firstLineChars="0"/>
              <w:jc w:val="left"/>
              <w:textAlignment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蓄电池安全阀开阀压力应在10~35kPa范围内，闭阀压力应在3~30kPa范围内。</w:t>
            </w:r>
          </w:p>
          <w:p>
            <w:pPr>
              <w:pStyle w:val="8"/>
              <w:widowControl/>
              <w:numPr>
                <w:ilvl w:val="0"/>
                <w:numId w:val="2"/>
              </w:numPr>
              <w:ind w:left="0" w:firstLine="0" w:firstLineChars="0"/>
              <w:jc w:val="left"/>
              <w:textAlignment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完全充电后的蓄电池以0.3I10A连续充电160h，无变形、无漏液。</w:t>
            </w:r>
          </w:p>
          <w:p>
            <w:pPr>
              <w:pStyle w:val="8"/>
              <w:widowControl/>
              <w:numPr>
                <w:ilvl w:val="0"/>
                <w:numId w:val="2"/>
              </w:numPr>
              <w:ind w:left="0" w:firstLine="0" w:firstLineChars="0"/>
              <w:jc w:val="left"/>
              <w:textAlignment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蓄电池间连接电压降应≤6.5mV</w:t>
            </w:r>
          </w:p>
          <w:p>
            <w:pPr>
              <w:pStyle w:val="8"/>
              <w:widowControl/>
              <w:numPr>
                <w:ilvl w:val="0"/>
                <w:numId w:val="2"/>
              </w:numPr>
              <w:ind w:left="0" w:firstLine="0" w:firstLineChars="0"/>
              <w:jc w:val="left"/>
              <w:textAlignment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防爆性能：蓄电池充电过程中遇明火，内部应不引燃、不引爆。</w:t>
            </w:r>
          </w:p>
          <w:p>
            <w:pPr>
              <w:pStyle w:val="8"/>
              <w:widowControl/>
              <w:numPr>
                <w:ilvl w:val="0"/>
                <w:numId w:val="2"/>
              </w:numPr>
              <w:ind w:left="0" w:firstLine="0" w:firstLineChars="0"/>
              <w:jc w:val="left"/>
              <w:textAlignment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环境温度-30℃~+65℃之间，封口剂应无裂纹与溢流现象。</w:t>
            </w:r>
          </w:p>
          <w:p>
            <w:pPr>
              <w:pStyle w:val="8"/>
              <w:widowControl/>
              <w:numPr>
                <w:ilvl w:val="0"/>
                <w:numId w:val="2"/>
              </w:numPr>
              <w:ind w:left="0" w:firstLine="0" w:firstLineChars="0"/>
              <w:jc w:val="left"/>
              <w:textAlignment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蓄电池内阻应≤2.8mΩ，同组蓄电池内阻偏差应≤8.2%。</w:t>
            </w:r>
          </w:p>
          <w:p>
            <w:pPr>
              <w:pStyle w:val="8"/>
              <w:widowControl/>
              <w:numPr>
                <w:ilvl w:val="0"/>
                <w:numId w:val="2"/>
              </w:numPr>
              <w:ind w:left="0" w:firstLine="0" w:firstLineChars="0"/>
              <w:jc w:val="left"/>
              <w:textAlignment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低温敏感性：蓄电池10h率容量应≥0.95C10，外观应无破裂，过度膨胀及槽、盖分离现象。</w:t>
            </w:r>
          </w:p>
          <w:p>
            <w:pPr>
              <w:pStyle w:val="8"/>
              <w:widowControl/>
              <w:numPr>
                <w:ilvl w:val="0"/>
                <w:numId w:val="2"/>
              </w:numPr>
              <w:ind w:left="0" w:firstLine="0" w:firstLineChars="0"/>
              <w:jc w:val="left"/>
              <w:textAlignment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同组蓄电池10h率容量试验时，最大实际容量与最小实际容量差值应≤0.8%</w:t>
            </w:r>
          </w:p>
          <w:p>
            <w:pPr>
              <w:pStyle w:val="8"/>
              <w:widowControl/>
              <w:numPr>
                <w:ilvl w:val="0"/>
                <w:numId w:val="2"/>
              </w:numPr>
              <w:ind w:left="0" w:firstLine="0" w:firstLineChars="0"/>
              <w:jc w:val="left"/>
              <w:textAlignment w:val="center"/>
              <w:rPr>
                <w:rFonts w:ascii="仿宋" w:hAnsi="仿宋" w:eastAsia="仿宋" w:cs="仿宋"/>
                <w:sz w:val="24"/>
                <w:szCs w:val="24"/>
                <w:lang w:val="en-US" w:eastAsia="zh-CN"/>
              </w:rPr>
            </w:pPr>
            <w:r>
              <w:rPr>
                <w:rFonts w:hint="eastAsia" w:ascii="仿宋" w:hAnsi="仿宋" w:eastAsia="仿宋" w:cs="仿宋"/>
                <w:bCs/>
                <w:iCs/>
                <w:sz w:val="24"/>
                <w:szCs w:val="24"/>
                <w:lang w:val="en-US" w:eastAsia="zh-CN"/>
              </w:rPr>
              <w:t>★</w:t>
            </w:r>
            <w:r>
              <w:rPr>
                <w:rFonts w:hint="eastAsia" w:ascii="仿宋" w:hAnsi="仿宋" w:eastAsia="仿宋" w:cs="仿宋"/>
                <w:sz w:val="24"/>
                <w:szCs w:val="24"/>
                <w:lang w:val="en-US" w:eastAsia="zh-CN"/>
              </w:rPr>
              <w:t>蓄电池符合YD/T 799-2010《通信用阀控式密封蓄电池》的要求，投标时提供12V系列蓄电池泰尔认证证书复印件，及同型号、同规格蓄电池的检验报告复印件。</w:t>
            </w:r>
          </w:p>
          <w:p>
            <w:pPr>
              <w:pStyle w:val="8"/>
              <w:widowControl/>
              <w:numPr>
                <w:ilvl w:val="0"/>
                <w:numId w:val="2"/>
              </w:numPr>
              <w:ind w:left="0" w:firstLine="0" w:firstLineChars="0"/>
              <w:jc w:val="left"/>
              <w:textAlignment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蓄电池符合YD 5083-2005《电信设备抗地震性能检测规范》及YD/T 5096-2016《通信用电源设备抗地震性能检测规范》的要求。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358" w:type="pct"/>
            <w:noWrap w:val="0"/>
            <w:vAlign w:val="center"/>
          </w:tcPr>
          <w:p>
            <w:pPr>
              <w:jc w:val="center"/>
              <w:rPr>
                <w:rFonts w:ascii="仿宋" w:hAnsi="仿宋" w:eastAsia="仿宋" w:cs="仿宋"/>
                <w:sz w:val="24"/>
              </w:rPr>
            </w:pPr>
            <w:r>
              <w:rPr>
                <w:rFonts w:hint="eastAsia" w:ascii="仿宋" w:hAnsi="仿宋" w:eastAsia="仿宋" w:cs="仿宋"/>
                <w:sz w:val="24"/>
              </w:rPr>
              <w:t>3</w:t>
            </w:r>
          </w:p>
        </w:tc>
        <w:tc>
          <w:tcPr>
            <w:tcW w:w="680" w:type="pct"/>
            <w:noWrap w:val="0"/>
            <w:vAlign w:val="center"/>
          </w:tcPr>
          <w:p>
            <w:pPr>
              <w:jc w:val="left"/>
              <w:rPr>
                <w:rFonts w:ascii="仿宋" w:hAnsi="仿宋" w:eastAsia="仿宋" w:cs="仿宋"/>
                <w:kern w:val="0"/>
                <w:sz w:val="24"/>
              </w:rPr>
            </w:pPr>
            <w:r>
              <w:rPr>
                <w:rFonts w:hint="eastAsia" w:ascii="仿宋" w:hAnsi="仿宋" w:eastAsia="仿宋" w:cs="仿宋"/>
                <w:kern w:val="0"/>
                <w:sz w:val="24"/>
              </w:rPr>
              <w:t>电池柜（架）</w:t>
            </w:r>
          </w:p>
        </w:tc>
        <w:tc>
          <w:tcPr>
            <w:tcW w:w="420" w:type="pct"/>
            <w:noWrap w:val="0"/>
            <w:vAlign w:val="center"/>
          </w:tcPr>
          <w:p>
            <w:pPr>
              <w:jc w:val="center"/>
              <w:rPr>
                <w:rFonts w:ascii="仿宋" w:hAnsi="仿宋" w:eastAsia="仿宋" w:cs="仿宋"/>
                <w:sz w:val="24"/>
              </w:rPr>
            </w:pPr>
            <w:r>
              <w:rPr>
                <w:rFonts w:hint="eastAsia" w:ascii="仿宋" w:hAnsi="仿宋" w:eastAsia="仿宋" w:cs="仿宋"/>
                <w:sz w:val="24"/>
              </w:rPr>
              <w:t>1批</w:t>
            </w:r>
          </w:p>
        </w:tc>
        <w:tc>
          <w:tcPr>
            <w:tcW w:w="3542" w:type="pct"/>
            <w:noWrap w:val="0"/>
            <w:vAlign w:val="center"/>
          </w:tcPr>
          <w:p>
            <w:pPr>
              <w:pStyle w:val="9"/>
              <w:numPr>
                <w:ilvl w:val="0"/>
                <w:numId w:val="3"/>
              </w:numPr>
              <w:ind w:left="0" w:firstLine="0" w:firstLineChars="0"/>
              <w:jc w:val="left"/>
              <w:rPr>
                <w:rFonts w:ascii="仿宋" w:hAnsi="仿宋" w:eastAsia="仿宋" w:cs="仿宋"/>
                <w:sz w:val="24"/>
                <w:szCs w:val="24"/>
                <w:lang w:val="en-US" w:eastAsia="zh-CN"/>
              </w:rPr>
            </w:pPr>
            <w:r>
              <w:rPr>
                <w:rFonts w:hint="eastAsia" w:ascii="仿宋" w:hAnsi="仿宋" w:eastAsia="仿宋" w:cs="仿宋"/>
                <w:sz w:val="24"/>
                <w:szCs w:val="24"/>
                <w:lang w:val="en-US" w:eastAsia="zh-CN"/>
              </w:rPr>
              <w:t>本项目每台电池柜（架）可安装1组蓄电池，每组蓄电池应配套独立的蓄电池开关。</w:t>
            </w:r>
          </w:p>
          <w:p>
            <w:pPr>
              <w:pStyle w:val="9"/>
              <w:numPr>
                <w:ilvl w:val="0"/>
                <w:numId w:val="3"/>
              </w:numPr>
              <w:ind w:left="0" w:firstLine="0" w:firstLineChars="0"/>
              <w:jc w:val="left"/>
              <w:rPr>
                <w:rFonts w:ascii="仿宋" w:hAnsi="仿宋" w:eastAsia="仿宋" w:cs="仿宋"/>
                <w:sz w:val="24"/>
                <w:szCs w:val="24"/>
                <w:lang w:val="en-US" w:eastAsia="zh-CN"/>
              </w:rPr>
            </w:pPr>
            <w:r>
              <w:rPr>
                <w:rFonts w:hint="eastAsia" w:ascii="仿宋" w:hAnsi="仿宋" w:eastAsia="仿宋" w:cs="仿宋"/>
                <w:sz w:val="24"/>
                <w:szCs w:val="24"/>
                <w:lang w:val="en-US" w:eastAsia="zh-CN"/>
              </w:rPr>
              <w:t>本项目报价应包含蓄电池间的连接线缆（铜牌），及电池组到UPS主机的连接线缆。</w:t>
            </w:r>
          </w:p>
        </w:tc>
      </w:tr>
    </w:tbl>
    <w:p>
      <w:pPr>
        <w:pStyle w:val="5"/>
        <w:ind w:left="0" w:leftChars="0" w:firstLine="0" w:firstLineChars="0"/>
        <w:rPr>
          <w:rFonts w:hint="eastAsia" w:ascii="仿宋" w:hAnsi="仿宋" w:eastAsia="仿宋" w:cs="仿宋"/>
          <w:b/>
          <w:bCs/>
          <w:color w:val="000000"/>
          <w:sz w:val="24"/>
        </w:rPr>
      </w:pPr>
      <w:r>
        <w:rPr>
          <w:rFonts w:hint="eastAsia" w:ascii="仿宋" w:hAnsi="仿宋" w:eastAsia="仿宋" w:cs="仿宋"/>
          <w:b/>
          <w:bCs/>
          <w:color w:val="000000"/>
          <w:sz w:val="24"/>
        </w:rPr>
        <w:t>三、采购项目技术要求</w:t>
      </w:r>
    </w:p>
    <w:p>
      <w:pPr>
        <w:pStyle w:val="5"/>
        <w:spacing w:line="360" w:lineRule="auto"/>
        <w:ind w:left="0" w:leftChars="0" w:firstLine="0" w:firstLineChars="0"/>
        <w:rPr>
          <w:rFonts w:hint="eastAsia" w:ascii="仿宋" w:hAnsi="仿宋" w:eastAsia="仿宋" w:cs="仿宋"/>
          <w:color w:val="000000"/>
          <w:sz w:val="24"/>
        </w:rPr>
      </w:pPr>
      <w:r>
        <w:rPr>
          <w:rFonts w:hint="eastAsia" w:ascii="仿宋" w:hAnsi="仿宋" w:eastAsia="仿宋" w:cs="仿宋"/>
          <w:color w:val="000000"/>
          <w:sz w:val="24"/>
        </w:rPr>
        <w:t>1.质量要求：投标供应商提供的产品必须满足招投标文件及合同约定的技术参数要求。投标供应商保证货物应是全新、未曾使用过的、优质工艺及材料制造的产品，并保证所供设备的完整性（包括满足设备完整运行的附件、备件、配套件、技术手册、中文操作手册、出厂说明、合格证明等）。</w:t>
      </w:r>
    </w:p>
    <w:p>
      <w:pPr>
        <w:pStyle w:val="5"/>
        <w:spacing w:line="360" w:lineRule="auto"/>
        <w:ind w:left="0" w:leftChars="0" w:firstLine="0" w:firstLineChars="0"/>
        <w:rPr>
          <w:rFonts w:hint="eastAsia" w:ascii="仿宋" w:hAnsi="仿宋" w:eastAsia="仿宋" w:cs="仿宋"/>
          <w:color w:val="000000"/>
          <w:sz w:val="24"/>
        </w:rPr>
      </w:pPr>
      <w:r>
        <w:rPr>
          <w:rFonts w:hint="eastAsia" w:ascii="仿宋" w:hAnsi="仿宋" w:eastAsia="仿宋" w:cs="仿宋"/>
          <w:color w:val="000000"/>
          <w:sz w:val="24"/>
        </w:rPr>
        <w:t>投标供应商乙方保证所提供的设备质量可靠、进货渠道正规、配置合理、技术性能完全符合投标文件。</w:t>
      </w:r>
    </w:p>
    <w:p>
      <w:pPr>
        <w:pStyle w:val="5"/>
        <w:spacing w:line="360" w:lineRule="auto"/>
        <w:ind w:left="0" w:leftChars="0" w:firstLine="0" w:firstLineChars="0"/>
        <w:rPr>
          <w:rFonts w:hint="eastAsia" w:ascii="仿宋" w:hAnsi="仿宋" w:eastAsia="仿宋" w:cs="仿宋"/>
          <w:color w:val="000000"/>
          <w:sz w:val="24"/>
        </w:rPr>
      </w:pPr>
      <w:r>
        <w:rPr>
          <w:rFonts w:hint="eastAsia" w:ascii="仿宋" w:hAnsi="仿宋" w:eastAsia="仿宋" w:cs="仿宋"/>
          <w:color w:val="000000"/>
          <w:sz w:val="24"/>
        </w:rPr>
        <w:t>2.零配件及耗材要求：投标供应商的投标文件中必须附有详细配置清单。若有耗材则必须对所投设备各种规格的耗材及易损件进行单独报价。</w:t>
      </w:r>
    </w:p>
    <w:p>
      <w:pPr>
        <w:pStyle w:val="5"/>
        <w:spacing w:line="360" w:lineRule="auto"/>
        <w:ind w:left="0" w:leftChars="0" w:firstLine="0" w:firstLineChars="0"/>
        <w:rPr>
          <w:rFonts w:hint="eastAsia" w:ascii="仿宋" w:hAnsi="仿宋" w:eastAsia="仿宋" w:cs="仿宋"/>
          <w:color w:val="000000"/>
          <w:sz w:val="24"/>
        </w:rPr>
      </w:pPr>
      <w:r>
        <w:rPr>
          <w:rFonts w:hint="eastAsia" w:ascii="仿宋" w:hAnsi="仿宋" w:eastAsia="仿宋" w:cs="仿宋"/>
          <w:color w:val="000000"/>
          <w:sz w:val="24"/>
        </w:rPr>
        <w:t>3.安装环境与场地要求：符合设备安装要求。</w:t>
      </w:r>
    </w:p>
    <w:p>
      <w:pPr>
        <w:pStyle w:val="5"/>
        <w:spacing w:line="360" w:lineRule="auto"/>
        <w:ind w:left="0" w:leftChars="0" w:firstLine="0" w:firstLineChars="0"/>
        <w:rPr>
          <w:rFonts w:hint="eastAsia" w:ascii="仿宋" w:hAnsi="仿宋" w:eastAsia="仿宋" w:cs="仿宋"/>
          <w:color w:val="000000"/>
          <w:sz w:val="24"/>
        </w:rPr>
      </w:pPr>
      <w:r>
        <w:rPr>
          <w:rFonts w:hint="eastAsia" w:ascii="仿宋" w:hAnsi="仿宋" w:eastAsia="仿宋" w:cs="仿宋"/>
          <w:color w:val="000000"/>
          <w:sz w:val="24"/>
        </w:rPr>
        <w:t>4.验收标准；提供完整的操作手册，提供制造厂家的检验测试报告或设备出厂检测报告。采购方根据合同要求对设备进行验收、确认设备的产地、规格、型号和数量。验收合格后，填写设备验收单，并向甲方提交设备所包含的所有资料，以便使用单位日后管理和维护。</w:t>
      </w:r>
    </w:p>
    <w:p>
      <w:pPr>
        <w:pStyle w:val="5"/>
        <w:spacing w:line="360" w:lineRule="auto"/>
        <w:ind w:left="0" w:leftChars="0" w:firstLine="0" w:firstLineChars="0"/>
        <w:rPr>
          <w:rFonts w:hint="eastAsia" w:ascii="仿宋" w:hAnsi="仿宋" w:eastAsia="仿宋" w:cs="仿宋"/>
          <w:b/>
          <w:bCs/>
          <w:color w:val="000000"/>
          <w:sz w:val="24"/>
        </w:rPr>
      </w:pPr>
      <w:r>
        <w:rPr>
          <w:rFonts w:hint="eastAsia" w:ascii="仿宋" w:hAnsi="仿宋" w:eastAsia="仿宋" w:cs="仿宋"/>
          <w:b/>
          <w:bCs/>
          <w:color w:val="000000"/>
          <w:sz w:val="24"/>
        </w:rPr>
        <w:t>四、采购项目商务需求</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1.具备厂家直属售后服务机构，非代理商及第三方售后。</w:t>
      </w:r>
    </w:p>
    <w:p>
      <w:pPr>
        <w:pStyle w:val="5"/>
        <w:spacing w:line="360" w:lineRule="auto"/>
        <w:ind w:left="0" w:leftChars="0" w:firstLine="0" w:firstLineChars="0"/>
        <w:rPr>
          <w:rFonts w:hint="eastAsia" w:ascii="仿宋" w:hAnsi="仿宋" w:eastAsia="仿宋" w:cs="仿宋"/>
          <w:color w:val="000000"/>
          <w:sz w:val="24"/>
        </w:rPr>
      </w:pPr>
      <w:r>
        <w:rPr>
          <w:rFonts w:hint="eastAsia" w:ascii="仿宋" w:hAnsi="仿宋" w:eastAsia="仿宋" w:cs="仿宋"/>
          <w:color w:val="000000"/>
          <w:sz w:val="24"/>
        </w:rPr>
        <w:t>2.售后服务及培训要求：设备整机质保三年。发生质量问题，投标供应商自接到采购方通知后，应于 24 小时内派出专业的维修人员到现场进行检测维修，发生的全部费用由投标供应商承担，若需送回生产厂，投标供应商方承担往返费用,若投标供应商方在接到通知后未在 24 小时内派人到场进行维修，则采购方有权自主进行维修，由此产生的费用由投标供应商承担并赔偿采购方因此造成的损失；定期派技术人员到现场走访，给予检查维护；保修期内，每年对设备提供一次保养服务。</w:t>
      </w:r>
    </w:p>
    <w:p>
      <w:r>
        <w:rPr>
          <w:rFonts w:hint="eastAsia" w:ascii="仿宋" w:hAnsi="仿宋" w:eastAsia="仿宋" w:cs="仿宋"/>
          <w:color w:val="000000"/>
          <w:sz w:val="24"/>
        </w:rPr>
        <w:t>院内机器安装后，投标供应商现场对采购方人员进行培训，保证操作人员能够正常使用。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07D5F"/>
    <w:multiLevelType w:val="multilevel"/>
    <w:tmpl w:val="08607D5F"/>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AF1BFA"/>
    <w:multiLevelType w:val="multilevel"/>
    <w:tmpl w:val="50AF1BFA"/>
    <w:lvl w:ilvl="0" w:tentative="0">
      <w:start w:val="1"/>
      <w:numFmt w:val="decimal"/>
      <w:suff w:val="space"/>
      <w:lvlText w:val="%1."/>
      <w:lvlJc w:val="left"/>
      <w:pPr>
        <w:ind w:left="2829"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042A74"/>
    <w:multiLevelType w:val="multilevel"/>
    <w:tmpl w:val="68042A74"/>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zQ3ZjljNjM0YjY1ZDk5ZmEyMDJiN2FmYWVjMWUifQ=="/>
  </w:docVars>
  <w:rsids>
    <w:rsidRoot w:val="485F10F9"/>
    <w:rsid w:val="485F1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pPr>
    <w:rPr>
      <w:sz w:val="24"/>
    </w:rPr>
  </w:style>
  <w:style w:type="paragraph" w:styleId="4">
    <w:name w:val="Body Text Indent"/>
    <w:basedOn w:val="1"/>
    <w:qFormat/>
    <w:uiPriority w:val="0"/>
    <w:pPr>
      <w:spacing w:after="120" w:afterLines="0"/>
      <w:ind w:left="420" w:leftChars="200"/>
    </w:pPr>
  </w:style>
  <w:style w:type="paragraph" w:styleId="5">
    <w:name w:val="Body Text First Indent 2"/>
    <w:basedOn w:val="4"/>
    <w:next w:val="1"/>
    <w:qFormat/>
    <w:uiPriority w:val="0"/>
    <w:pPr>
      <w:ind w:firstLine="420" w:firstLineChars="200"/>
    </w:pPr>
  </w:style>
  <w:style w:type="paragraph" w:customStyle="1" w:styleId="8">
    <w:name w:val="列出段落1"/>
    <w:basedOn w:val="1"/>
    <w:qFormat/>
    <w:uiPriority w:val="0"/>
    <w:pPr>
      <w:ind w:firstLine="420" w:firstLineChars="200"/>
    </w:pPr>
    <w:rPr>
      <w:rFonts w:ascii="Calibri" w:hAnsi="Calibri"/>
      <w:kern w:val="0"/>
      <w:sz w:val="20"/>
      <w:szCs w:val="20"/>
    </w:rPr>
  </w:style>
  <w:style w:type="paragraph" w:styleId="9">
    <w:name w:val="List Paragraph"/>
    <w:basedOn w:val="1"/>
    <w:qFormat/>
    <w:uiPriority w:val="0"/>
    <w:pPr>
      <w:ind w:firstLine="420" w:firstLineChars="200"/>
    </w:pPr>
    <w:rPr>
      <w:rFonts w:ascii="Calibri" w:hAnsi="Calibri"/>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2023-09-19T02:52:00Z</dcterms:created>
  <dc:creator>独活</dc:creator>
  <cp:lastModifiedBy>独活</cp:lastModifiedBy>
  <dcterms:modified xsi:type="dcterms:W3CDTF">2023-09-19T02:53:26Z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16D8548C00FD4ECFBC69F93872F7A6B1_11</vt:lpwstr>
  </property>
</Properties>
</file>