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rFonts w:hint="eastAsia" w:ascii="仿宋" w:hAnsi="仿宋" w:eastAsia="仿宋" w:cs="仿宋"/>
          <w:color w:val="auto"/>
          <w:highlight w:val="none"/>
        </w:rPr>
      </w:pPr>
      <w:r>
        <w:rPr>
          <w:rFonts w:hint="eastAsia" w:ascii="仿宋" w:hAnsi="仿宋" w:eastAsia="仿宋" w:cs="仿宋"/>
          <w:b/>
          <w:bCs/>
          <w:color w:val="auto"/>
          <w:sz w:val="30"/>
          <w:szCs w:val="30"/>
          <w:highlight w:val="none"/>
          <w:lang w:val="zh-CN"/>
        </w:rPr>
        <w:t>政府采购项目</w:t>
      </w:r>
    </w:p>
    <w:p>
      <w:pPr>
        <w:autoSpaceDE w:val="0"/>
        <w:autoSpaceDN w:val="0"/>
        <w:adjustRightInd w:val="0"/>
        <w:snapToGrid w:val="0"/>
        <w:spacing w:line="360" w:lineRule="auto"/>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采购项目编号：SCZB2023-ZB-1616-001</w:t>
      </w:r>
    </w:p>
    <w:p>
      <w:pPr>
        <w:tabs>
          <w:tab w:val="left" w:pos="567"/>
        </w:tabs>
        <w:spacing w:line="360" w:lineRule="auto"/>
        <w:rPr>
          <w:rFonts w:hint="eastAsia" w:ascii="仿宋" w:hAnsi="仿宋" w:eastAsia="仿宋" w:cs="仿宋"/>
          <w:b/>
          <w:color w:val="auto"/>
          <w:sz w:val="52"/>
          <w:highlight w:val="none"/>
        </w:rPr>
      </w:pPr>
      <w:bookmarkStart w:id="0" w:name="_Hlk110012655"/>
    </w:p>
    <w:p>
      <w:pPr>
        <w:tabs>
          <w:tab w:val="left" w:pos="567"/>
        </w:tabs>
        <w:spacing w:line="360" w:lineRule="auto"/>
        <w:rPr>
          <w:rFonts w:hint="eastAsia" w:ascii="仿宋" w:hAnsi="仿宋" w:eastAsia="仿宋" w:cs="仿宋"/>
          <w:b/>
          <w:color w:val="auto"/>
          <w:sz w:val="52"/>
          <w:highlight w:val="none"/>
        </w:rPr>
      </w:pPr>
    </w:p>
    <w:p>
      <w:pPr>
        <w:tabs>
          <w:tab w:val="left" w:pos="567"/>
        </w:tabs>
        <w:spacing w:line="360" w:lineRule="auto"/>
        <w:rPr>
          <w:rFonts w:hint="eastAsia" w:ascii="仿宋" w:hAnsi="仿宋" w:eastAsia="仿宋" w:cs="仿宋"/>
          <w:b/>
          <w:color w:val="auto"/>
          <w:sz w:val="52"/>
          <w:highlight w:val="none"/>
        </w:rPr>
      </w:pPr>
    </w:p>
    <w:p>
      <w:pPr>
        <w:autoSpaceDE w:val="0"/>
        <w:autoSpaceDN w:val="0"/>
        <w:adjustRightInd w:val="0"/>
        <w:snapToGrid w:val="0"/>
        <w:spacing w:line="360" w:lineRule="auto"/>
        <w:jc w:val="center"/>
        <w:rPr>
          <w:rFonts w:hint="eastAsia" w:ascii="仿宋" w:hAnsi="仿宋" w:eastAsia="仿宋" w:cs="仿宋"/>
          <w:b/>
          <w:bCs/>
          <w:color w:val="auto"/>
          <w:sz w:val="52"/>
          <w:szCs w:val="52"/>
          <w:highlight w:val="none"/>
          <w:lang w:eastAsia="zh-CN"/>
        </w:rPr>
      </w:pPr>
      <w:r>
        <w:rPr>
          <w:rFonts w:hint="eastAsia" w:ascii="仿宋" w:hAnsi="仿宋" w:eastAsia="仿宋" w:cs="仿宋"/>
          <w:b/>
          <w:bCs/>
          <w:color w:val="auto"/>
          <w:sz w:val="52"/>
          <w:szCs w:val="52"/>
          <w:highlight w:val="none"/>
          <w:lang w:eastAsia="zh-CN"/>
        </w:rPr>
        <w:t xml:space="preserve">2023年西安市灞河右岸滨水景观带全民健身场地设施提升改造项目 </w:t>
      </w:r>
    </w:p>
    <w:bookmarkEnd w:id="0"/>
    <w:p>
      <w:pPr>
        <w:tabs>
          <w:tab w:val="left" w:pos="567"/>
        </w:tabs>
        <w:spacing w:line="360" w:lineRule="auto"/>
        <w:rPr>
          <w:rFonts w:hint="eastAsia" w:ascii="仿宋" w:hAnsi="仿宋" w:eastAsia="仿宋" w:cs="仿宋"/>
          <w:b/>
          <w:color w:val="auto"/>
          <w:sz w:val="52"/>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56"/>
          <w:szCs w:val="56"/>
          <w:highlight w:val="none"/>
          <w:lang w:val="zh-CN"/>
        </w:rPr>
      </w:pPr>
      <w:r>
        <w:rPr>
          <w:rFonts w:hint="eastAsia" w:ascii="仿宋" w:hAnsi="仿宋" w:eastAsia="仿宋" w:cs="仿宋"/>
          <w:b/>
          <w:bCs/>
          <w:color w:val="auto"/>
          <w:sz w:val="56"/>
          <w:szCs w:val="56"/>
          <w:highlight w:val="none"/>
          <w:lang w:val="zh-CN"/>
        </w:rPr>
        <w:t>招 标 文 件</w:t>
      </w:r>
      <w:bookmarkStart w:id="1" w:name="_Hlk126247783"/>
    </w:p>
    <w:p>
      <w:pPr>
        <w:spacing w:line="360" w:lineRule="auto"/>
        <w:rPr>
          <w:rFonts w:hint="eastAsia" w:ascii="仿宋" w:hAnsi="仿宋" w:eastAsia="仿宋" w:cs="仿宋"/>
          <w:b/>
          <w:color w:val="auto"/>
          <w:sz w:val="52"/>
          <w:highlight w:val="none"/>
        </w:rPr>
      </w:pPr>
    </w:p>
    <w:p>
      <w:pPr>
        <w:pStyle w:val="3"/>
        <w:rPr>
          <w:rFonts w:hint="eastAsia" w:ascii="仿宋" w:hAnsi="仿宋" w:eastAsia="仿宋" w:cs="仿宋"/>
          <w:color w:val="auto"/>
          <w:highlight w:val="none"/>
        </w:rPr>
      </w:pPr>
    </w:p>
    <w:bookmarkEnd w:id="1"/>
    <w:p>
      <w:pPr>
        <w:tabs>
          <w:tab w:val="left" w:pos="5670"/>
        </w:tabs>
        <w:autoSpaceDE w:val="0"/>
        <w:autoSpaceDN w:val="0"/>
        <w:adjustRightInd w:val="0"/>
        <w:snapToGrid w:val="0"/>
        <w:spacing w:line="480" w:lineRule="auto"/>
        <w:ind w:firstLine="904" w:firstLineChars="300"/>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 xml:space="preserve">采购人：西安市体育局 </w:t>
      </w:r>
    </w:p>
    <w:p>
      <w:pPr>
        <w:pStyle w:val="3"/>
        <w:rPr>
          <w:rFonts w:hint="eastAsia" w:ascii="仿宋" w:hAnsi="仿宋" w:eastAsia="仿宋" w:cs="仿宋"/>
          <w:color w:val="auto"/>
          <w:highlight w:val="none"/>
          <w:lang w:val="zh-CN"/>
        </w:rPr>
      </w:pPr>
    </w:p>
    <w:p>
      <w:pPr>
        <w:tabs>
          <w:tab w:val="left" w:pos="5670"/>
        </w:tabs>
        <w:autoSpaceDE w:val="0"/>
        <w:autoSpaceDN w:val="0"/>
        <w:adjustRightInd w:val="0"/>
        <w:snapToGrid w:val="0"/>
        <w:spacing w:line="480" w:lineRule="auto"/>
        <w:ind w:firstLine="904" w:firstLineChars="300"/>
        <w:rPr>
          <w:rFonts w:hint="eastAsia" w:ascii="仿宋" w:hAnsi="仿宋" w:eastAsia="仿宋" w:cs="仿宋"/>
          <w:color w:val="auto"/>
          <w:highlight w:val="none"/>
        </w:rPr>
      </w:pPr>
      <w:r>
        <w:rPr>
          <w:rFonts w:hint="eastAsia" w:ascii="仿宋" w:hAnsi="仿宋" w:eastAsia="仿宋" w:cs="仿宋"/>
          <w:b/>
          <w:bCs/>
          <w:color w:val="auto"/>
          <w:sz w:val="30"/>
          <w:szCs w:val="30"/>
          <w:highlight w:val="none"/>
          <w:lang w:val="zh-CN"/>
        </w:rPr>
        <w:t>采购代理机构：陕西省采购招标有限责任公司</w:t>
      </w:r>
    </w:p>
    <w:p>
      <w:pPr>
        <w:tabs>
          <w:tab w:val="left" w:pos="5460"/>
        </w:tabs>
        <w:autoSpaceDE w:val="0"/>
        <w:autoSpaceDN w:val="0"/>
        <w:adjustRightInd w:val="0"/>
        <w:snapToGrid w:val="0"/>
        <w:spacing w:line="480" w:lineRule="auto"/>
        <w:jc w:val="center"/>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2023年</w:t>
      </w:r>
      <w:r>
        <w:rPr>
          <w:rFonts w:hint="eastAsia" w:ascii="仿宋" w:hAnsi="仿宋" w:eastAsia="仿宋" w:cs="仿宋"/>
          <w:b/>
          <w:bCs/>
          <w:color w:val="auto"/>
          <w:sz w:val="30"/>
          <w:szCs w:val="30"/>
          <w:highlight w:val="none"/>
          <w:lang w:val="en-US" w:eastAsia="zh-CN"/>
        </w:rPr>
        <w:t>08</w:t>
      </w:r>
      <w:r>
        <w:rPr>
          <w:rFonts w:hint="eastAsia" w:ascii="仿宋" w:hAnsi="仿宋" w:eastAsia="仿宋" w:cs="仿宋"/>
          <w:b/>
          <w:bCs/>
          <w:color w:val="auto"/>
          <w:sz w:val="30"/>
          <w:szCs w:val="30"/>
          <w:highlight w:val="none"/>
          <w:lang w:val="zh-CN"/>
        </w:rPr>
        <w:t>月</w:t>
      </w:r>
      <w:r>
        <w:rPr>
          <w:rFonts w:hint="eastAsia" w:ascii="仿宋" w:hAnsi="仿宋" w:eastAsia="仿宋" w:cs="仿宋"/>
          <w:color w:val="auto"/>
          <w:highlight w:val="none"/>
          <w:lang w:val="zh-CN"/>
        </w:rPr>
        <w:br w:type="page"/>
      </w:r>
    </w:p>
    <w:p>
      <w:pPr>
        <w:tabs>
          <w:tab w:val="left" w:pos="5460"/>
        </w:tabs>
        <w:autoSpaceDE w:val="0"/>
        <w:autoSpaceDN w:val="0"/>
        <w:adjustRightInd w:val="0"/>
        <w:snapToGrid w:val="0"/>
        <w:spacing w:line="360" w:lineRule="auto"/>
        <w:jc w:val="center"/>
        <w:rPr>
          <w:rFonts w:hint="eastAsia" w:ascii="仿宋" w:hAnsi="仿宋" w:eastAsia="仿宋" w:cs="仿宋"/>
          <w:b/>
          <w:color w:val="auto"/>
          <w:sz w:val="40"/>
          <w:szCs w:val="36"/>
          <w:highlight w:val="none"/>
        </w:rPr>
      </w:pPr>
    </w:p>
    <w:p>
      <w:pPr>
        <w:tabs>
          <w:tab w:val="left" w:pos="5460"/>
        </w:tabs>
        <w:autoSpaceDE w:val="0"/>
        <w:autoSpaceDN w:val="0"/>
        <w:adjustRightInd w:val="0"/>
        <w:snapToGrid w:val="0"/>
        <w:spacing w:line="360" w:lineRule="auto"/>
        <w:jc w:val="center"/>
        <w:rPr>
          <w:rFonts w:hint="eastAsia" w:ascii="仿宋" w:hAnsi="仿宋" w:eastAsia="仿宋" w:cs="仿宋"/>
          <w:b/>
          <w:color w:val="auto"/>
          <w:sz w:val="40"/>
          <w:szCs w:val="36"/>
          <w:highlight w:val="none"/>
        </w:rPr>
      </w:pPr>
      <w:r>
        <w:rPr>
          <w:rFonts w:hint="eastAsia" w:ascii="仿宋" w:hAnsi="仿宋" w:eastAsia="仿宋" w:cs="仿宋"/>
          <w:b/>
          <w:color w:val="auto"/>
          <w:sz w:val="40"/>
          <w:szCs w:val="36"/>
          <w:highlight w:val="none"/>
        </w:rPr>
        <w:t>目  录</w:t>
      </w:r>
    </w:p>
    <w:p>
      <w:pPr>
        <w:pStyle w:val="2"/>
        <w:rPr>
          <w:rFonts w:hint="eastAsia"/>
          <w:b/>
          <w:bCs/>
          <w:color w:val="auto"/>
          <w:highlight w:val="none"/>
        </w:rPr>
      </w:pPr>
    </w:p>
    <w:p>
      <w:pPr>
        <w:pStyle w:val="25"/>
        <w:keepNext w:val="0"/>
        <w:keepLines w:val="0"/>
        <w:pageBreakBefore w:val="0"/>
        <w:widowControl w:val="0"/>
        <w:tabs>
          <w:tab w:val="right" w:leader="dot" w:pos="8023"/>
        </w:tabs>
        <w:kinsoku/>
        <w:wordWrap/>
        <w:overflowPunct/>
        <w:topLinePunct w:val="0"/>
        <w:autoSpaceDE/>
        <w:autoSpaceDN/>
        <w:bidi w:val="0"/>
        <w:adjustRightInd/>
        <w:snapToGrid/>
        <w:spacing w:line="700" w:lineRule="exact"/>
        <w:textAlignment w:val="auto"/>
        <w:rPr>
          <w:b/>
          <w:bCs/>
          <w:color w:val="auto"/>
          <w:sz w:val="28"/>
          <w:szCs w:val="36"/>
          <w:highlight w:val="none"/>
        </w:rPr>
      </w:pPr>
      <w:bookmarkStart w:id="2" w:name="_Toc17230"/>
      <w:bookmarkStart w:id="3" w:name="_Toc216582804"/>
      <w:bookmarkStart w:id="4" w:name="_Toc22782"/>
      <w:r>
        <w:rPr>
          <w:rFonts w:hint="eastAsia" w:ascii="仿宋" w:hAnsi="仿宋" w:eastAsia="仿宋" w:cs="仿宋"/>
          <w:b/>
          <w:bCs/>
          <w:color w:val="auto"/>
          <w:kern w:val="0"/>
          <w:sz w:val="36"/>
          <w:szCs w:val="36"/>
          <w:highlight w:val="none"/>
        </w:rPr>
        <w:fldChar w:fldCharType="begin"/>
      </w:r>
      <w:r>
        <w:rPr>
          <w:rFonts w:hint="eastAsia" w:ascii="仿宋" w:hAnsi="仿宋" w:eastAsia="仿宋" w:cs="仿宋"/>
          <w:b/>
          <w:bCs/>
          <w:color w:val="auto"/>
          <w:kern w:val="0"/>
          <w:sz w:val="36"/>
          <w:szCs w:val="36"/>
          <w:highlight w:val="none"/>
        </w:rPr>
        <w:instrText xml:space="preserve"> TOC \o "1-3" \h \z \u </w:instrText>
      </w:r>
      <w:r>
        <w:rPr>
          <w:rFonts w:hint="eastAsia" w:ascii="仿宋" w:hAnsi="仿宋" w:eastAsia="仿宋" w:cs="仿宋"/>
          <w:b/>
          <w:bCs/>
          <w:color w:val="auto"/>
          <w:kern w:val="0"/>
          <w:sz w:val="36"/>
          <w:szCs w:val="36"/>
          <w:highlight w:val="none"/>
        </w:rPr>
        <w:fldChar w:fldCharType="separate"/>
      </w:r>
      <w:r>
        <w:rPr>
          <w:rFonts w:hint="eastAsia" w:ascii="仿宋" w:hAnsi="仿宋" w:eastAsia="仿宋" w:cs="仿宋"/>
          <w:b/>
          <w:bCs/>
          <w:color w:val="auto"/>
          <w:kern w:val="0"/>
          <w:sz w:val="28"/>
          <w:szCs w:val="36"/>
          <w:highlight w:val="none"/>
        </w:rPr>
        <w:fldChar w:fldCharType="begin"/>
      </w:r>
      <w:r>
        <w:rPr>
          <w:rFonts w:hint="eastAsia" w:ascii="仿宋" w:hAnsi="仿宋" w:eastAsia="仿宋" w:cs="仿宋"/>
          <w:b/>
          <w:bCs/>
          <w:color w:val="auto"/>
          <w:kern w:val="0"/>
          <w:sz w:val="28"/>
          <w:szCs w:val="36"/>
          <w:highlight w:val="none"/>
        </w:rPr>
        <w:instrText xml:space="preserve"> HYPERLINK \l _Toc4686 </w:instrText>
      </w:r>
      <w:r>
        <w:rPr>
          <w:rFonts w:hint="eastAsia" w:ascii="仿宋" w:hAnsi="仿宋" w:eastAsia="仿宋" w:cs="仿宋"/>
          <w:b/>
          <w:bCs/>
          <w:color w:val="auto"/>
          <w:kern w:val="0"/>
          <w:sz w:val="28"/>
          <w:szCs w:val="36"/>
          <w:highlight w:val="none"/>
        </w:rPr>
        <w:fldChar w:fldCharType="separate"/>
      </w:r>
      <w:r>
        <w:rPr>
          <w:rFonts w:hint="eastAsia" w:ascii="仿宋" w:hAnsi="仿宋" w:eastAsia="仿宋" w:cs="仿宋"/>
          <w:b/>
          <w:bCs/>
          <w:color w:val="auto"/>
          <w:sz w:val="28"/>
          <w:szCs w:val="36"/>
          <w:highlight w:val="none"/>
        </w:rPr>
        <w:t>第一章  招标公告</w:t>
      </w:r>
      <w:r>
        <w:rPr>
          <w:b/>
          <w:bCs/>
          <w:color w:val="auto"/>
          <w:sz w:val="28"/>
          <w:szCs w:val="36"/>
          <w:highlight w:val="none"/>
        </w:rPr>
        <w:tab/>
      </w:r>
      <w:r>
        <w:rPr>
          <w:b/>
          <w:bCs/>
          <w:color w:val="auto"/>
          <w:sz w:val="28"/>
          <w:szCs w:val="36"/>
          <w:highlight w:val="none"/>
        </w:rPr>
        <w:fldChar w:fldCharType="begin"/>
      </w:r>
      <w:r>
        <w:rPr>
          <w:b/>
          <w:bCs/>
          <w:color w:val="auto"/>
          <w:sz w:val="28"/>
          <w:szCs w:val="36"/>
          <w:highlight w:val="none"/>
        </w:rPr>
        <w:instrText xml:space="preserve"> PAGEREF _Toc4686 \h </w:instrText>
      </w:r>
      <w:r>
        <w:rPr>
          <w:b/>
          <w:bCs/>
          <w:color w:val="auto"/>
          <w:sz w:val="28"/>
          <w:szCs w:val="36"/>
          <w:highlight w:val="none"/>
        </w:rPr>
        <w:fldChar w:fldCharType="separate"/>
      </w:r>
      <w:r>
        <w:rPr>
          <w:b/>
          <w:bCs/>
          <w:color w:val="auto"/>
          <w:sz w:val="28"/>
          <w:szCs w:val="36"/>
          <w:highlight w:val="none"/>
        </w:rPr>
        <w:t>1</w:t>
      </w:r>
      <w:r>
        <w:rPr>
          <w:b/>
          <w:bCs/>
          <w:color w:val="auto"/>
          <w:sz w:val="28"/>
          <w:szCs w:val="36"/>
          <w:highlight w:val="none"/>
        </w:rPr>
        <w:fldChar w:fldCharType="end"/>
      </w:r>
      <w:r>
        <w:rPr>
          <w:rFonts w:hint="eastAsia" w:ascii="仿宋" w:hAnsi="仿宋" w:eastAsia="仿宋" w:cs="仿宋"/>
          <w:b/>
          <w:bCs/>
          <w:color w:val="auto"/>
          <w:kern w:val="0"/>
          <w:sz w:val="28"/>
          <w:szCs w:val="36"/>
          <w:highlight w:val="none"/>
        </w:rPr>
        <w:fldChar w:fldCharType="end"/>
      </w:r>
    </w:p>
    <w:p>
      <w:pPr>
        <w:pStyle w:val="25"/>
        <w:keepNext w:val="0"/>
        <w:keepLines w:val="0"/>
        <w:pageBreakBefore w:val="0"/>
        <w:widowControl w:val="0"/>
        <w:tabs>
          <w:tab w:val="right" w:leader="dot" w:pos="8023"/>
        </w:tabs>
        <w:kinsoku/>
        <w:wordWrap/>
        <w:overflowPunct/>
        <w:topLinePunct w:val="0"/>
        <w:autoSpaceDE/>
        <w:autoSpaceDN/>
        <w:bidi w:val="0"/>
        <w:adjustRightInd/>
        <w:snapToGrid/>
        <w:spacing w:line="700" w:lineRule="exact"/>
        <w:textAlignment w:val="auto"/>
        <w:rPr>
          <w:b/>
          <w:bCs/>
          <w:color w:val="auto"/>
          <w:sz w:val="28"/>
          <w:szCs w:val="36"/>
          <w:highlight w:val="none"/>
        </w:rPr>
      </w:pPr>
      <w:r>
        <w:rPr>
          <w:rFonts w:hint="eastAsia" w:ascii="仿宋" w:hAnsi="仿宋" w:eastAsia="仿宋" w:cs="仿宋"/>
          <w:b/>
          <w:bCs/>
          <w:color w:val="auto"/>
          <w:kern w:val="0"/>
          <w:sz w:val="28"/>
          <w:szCs w:val="36"/>
          <w:highlight w:val="none"/>
        </w:rPr>
        <w:fldChar w:fldCharType="begin"/>
      </w:r>
      <w:r>
        <w:rPr>
          <w:rFonts w:hint="eastAsia" w:ascii="仿宋" w:hAnsi="仿宋" w:eastAsia="仿宋" w:cs="仿宋"/>
          <w:b/>
          <w:bCs/>
          <w:color w:val="auto"/>
          <w:kern w:val="0"/>
          <w:sz w:val="28"/>
          <w:szCs w:val="36"/>
          <w:highlight w:val="none"/>
        </w:rPr>
        <w:instrText xml:space="preserve"> HYPERLINK \l _Toc2299 </w:instrText>
      </w:r>
      <w:r>
        <w:rPr>
          <w:rFonts w:hint="eastAsia" w:ascii="仿宋" w:hAnsi="仿宋" w:eastAsia="仿宋" w:cs="仿宋"/>
          <w:b/>
          <w:bCs/>
          <w:color w:val="auto"/>
          <w:kern w:val="0"/>
          <w:sz w:val="28"/>
          <w:szCs w:val="36"/>
          <w:highlight w:val="none"/>
        </w:rPr>
        <w:fldChar w:fldCharType="separate"/>
      </w:r>
      <w:r>
        <w:rPr>
          <w:rFonts w:hint="eastAsia" w:ascii="仿宋" w:hAnsi="仿宋" w:eastAsia="仿宋" w:cs="仿宋"/>
          <w:b/>
          <w:bCs/>
          <w:color w:val="auto"/>
          <w:sz w:val="28"/>
          <w:szCs w:val="36"/>
          <w:highlight w:val="none"/>
        </w:rPr>
        <w:t>第二章  投标人须知</w:t>
      </w:r>
      <w:r>
        <w:rPr>
          <w:b/>
          <w:bCs/>
          <w:color w:val="auto"/>
          <w:sz w:val="28"/>
          <w:szCs w:val="36"/>
          <w:highlight w:val="none"/>
        </w:rPr>
        <w:tab/>
      </w:r>
      <w:r>
        <w:rPr>
          <w:b/>
          <w:bCs/>
          <w:color w:val="auto"/>
          <w:sz w:val="28"/>
          <w:szCs w:val="36"/>
          <w:highlight w:val="none"/>
        </w:rPr>
        <w:fldChar w:fldCharType="begin"/>
      </w:r>
      <w:r>
        <w:rPr>
          <w:b/>
          <w:bCs/>
          <w:color w:val="auto"/>
          <w:sz w:val="28"/>
          <w:szCs w:val="36"/>
          <w:highlight w:val="none"/>
        </w:rPr>
        <w:instrText xml:space="preserve"> PAGEREF _Toc2299 \h </w:instrText>
      </w:r>
      <w:r>
        <w:rPr>
          <w:b/>
          <w:bCs/>
          <w:color w:val="auto"/>
          <w:sz w:val="28"/>
          <w:szCs w:val="36"/>
          <w:highlight w:val="none"/>
        </w:rPr>
        <w:fldChar w:fldCharType="separate"/>
      </w:r>
      <w:r>
        <w:rPr>
          <w:b/>
          <w:bCs/>
          <w:color w:val="auto"/>
          <w:sz w:val="28"/>
          <w:szCs w:val="36"/>
          <w:highlight w:val="none"/>
        </w:rPr>
        <w:t>6</w:t>
      </w:r>
      <w:r>
        <w:rPr>
          <w:b/>
          <w:bCs/>
          <w:color w:val="auto"/>
          <w:sz w:val="28"/>
          <w:szCs w:val="36"/>
          <w:highlight w:val="none"/>
        </w:rPr>
        <w:fldChar w:fldCharType="end"/>
      </w:r>
      <w:r>
        <w:rPr>
          <w:rFonts w:hint="eastAsia" w:ascii="仿宋" w:hAnsi="仿宋" w:eastAsia="仿宋" w:cs="仿宋"/>
          <w:b/>
          <w:bCs/>
          <w:color w:val="auto"/>
          <w:kern w:val="0"/>
          <w:sz w:val="28"/>
          <w:szCs w:val="36"/>
          <w:highlight w:val="none"/>
        </w:rPr>
        <w:fldChar w:fldCharType="end"/>
      </w:r>
    </w:p>
    <w:p>
      <w:pPr>
        <w:pStyle w:val="25"/>
        <w:keepNext w:val="0"/>
        <w:keepLines w:val="0"/>
        <w:pageBreakBefore w:val="0"/>
        <w:widowControl w:val="0"/>
        <w:tabs>
          <w:tab w:val="right" w:leader="dot" w:pos="8023"/>
        </w:tabs>
        <w:kinsoku/>
        <w:wordWrap/>
        <w:overflowPunct/>
        <w:topLinePunct w:val="0"/>
        <w:autoSpaceDE/>
        <w:autoSpaceDN/>
        <w:bidi w:val="0"/>
        <w:adjustRightInd/>
        <w:snapToGrid/>
        <w:spacing w:line="700" w:lineRule="exact"/>
        <w:textAlignment w:val="auto"/>
        <w:rPr>
          <w:b/>
          <w:bCs/>
          <w:color w:val="auto"/>
          <w:sz w:val="28"/>
          <w:szCs w:val="36"/>
          <w:highlight w:val="none"/>
        </w:rPr>
      </w:pPr>
      <w:r>
        <w:rPr>
          <w:rFonts w:hint="eastAsia" w:ascii="仿宋" w:hAnsi="仿宋" w:eastAsia="仿宋" w:cs="仿宋"/>
          <w:b/>
          <w:bCs/>
          <w:color w:val="auto"/>
          <w:kern w:val="0"/>
          <w:sz w:val="28"/>
          <w:szCs w:val="36"/>
          <w:highlight w:val="none"/>
        </w:rPr>
        <w:fldChar w:fldCharType="begin"/>
      </w:r>
      <w:r>
        <w:rPr>
          <w:rFonts w:hint="eastAsia" w:ascii="仿宋" w:hAnsi="仿宋" w:eastAsia="仿宋" w:cs="仿宋"/>
          <w:b/>
          <w:bCs/>
          <w:color w:val="auto"/>
          <w:kern w:val="0"/>
          <w:sz w:val="28"/>
          <w:szCs w:val="36"/>
          <w:highlight w:val="none"/>
        </w:rPr>
        <w:instrText xml:space="preserve"> HYPERLINK \l _Toc26762 </w:instrText>
      </w:r>
      <w:r>
        <w:rPr>
          <w:rFonts w:hint="eastAsia" w:ascii="仿宋" w:hAnsi="仿宋" w:eastAsia="仿宋" w:cs="仿宋"/>
          <w:b/>
          <w:bCs/>
          <w:color w:val="auto"/>
          <w:kern w:val="0"/>
          <w:sz w:val="28"/>
          <w:szCs w:val="36"/>
          <w:highlight w:val="none"/>
        </w:rPr>
        <w:fldChar w:fldCharType="separate"/>
      </w:r>
      <w:r>
        <w:rPr>
          <w:rFonts w:hint="eastAsia" w:ascii="仿宋" w:hAnsi="仿宋" w:eastAsia="仿宋" w:cs="仿宋"/>
          <w:b/>
          <w:bCs/>
          <w:color w:val="auto"/>
          <w:sz w:val="28"/>
          <w:szCs w:val="36"/>
          <w:highlight w:val="none"/>
        </w:rPr>
        <w:t>第三章  评标方法和标准</w:t>
      </w:r>
      <w:r>
        <w:rPr>
          <w:b/>
          <w:bCs/>
          <w:color w:val="auto"/>
          <w:sz w:val="28"/>
          <w:szCs w:val="36"/>
          <w:highlight w:val="none"/>
        </w:rPr>
        <w:tab/>
      </w:r>
      <w:r>
        <w:rPr>
          <w:b/>
          <w:bCs/>
          <w:color w:val="auto"/>
          <w:sz w:val="28"/>
          <w:szCs w:val="36"/>
          <w:highlight w:val="none"/>
        </w:rPr>
        <w:fldChar w:fldCharType="begin"/>
      </w:r>
      <w:r>
        <w:rPr>
          <w:b/>
          <w:bCs/>
          <w:color w:val="auto"/>
          <w:sz w:val="28"/>
          <w:szCs w:val="36"/>
          <w:highlight w:val="none"/>
        </w:rPr>
        <w:instrText xml:space="preserve"> PAGEREF _Toc26762 \h </w:instrText>
      </w:r>
      <w:r>
        <w:rPr>
          <w:b/>
          <w:bCs/>
          <w:color w:val="auto"/>
          <w:sz w:val="28"/>
          <w:szCs w:val="36"/>
          <w:highlight w:val="none"/>
        </w:rPr>
        <w:fldChar w:fldCharType="separate"/>
      </w:r>
      <w:r>
        <w:rPr>
          <w:b/>
          <w:bCs/>
          <w:color w:val="auto"/>
          <w:sz w:val="28"/>
          <w:szCs w:val="36"/>
          <w:highlight w:val="none"/>
        </w:rPr>
        <w:t>31</w:t>
      </w:r>
      <w:r>
        <w:rPr>
          <w:b/>
          <w:bCs/>
          <w:color w:val="auto"/>
          <w:sz w:val="28"/>
          <w:szCs w:val="36"/>
          <w:highlight w:val="none"/>
        </w:rPr>
        <w:fldChar w:fldCharType="end"/>
      </w:r>
      <w:r>
        <w:rPr>
          <w:rFonts w:hint="eastAsia" w:ascii="仿宋" w:hAnsi="仿宋" w:eastAsia="仿宋" w:cs="仿宋"/>
          <w:b/>
          <w:bCs/>
          <w:color w:val="auto"/>
          <w:kern w:val="0"/>
          <w:sz w:val="28"/>
          <w:szCs w:val="36"/>
          <w:highlight w:val="none"/>
        </w:rPr>
        <w:fldChar w:fldCharType="end"/>
      </w:r>
    </w:p>
    <w:p>
      <w:pPr>
        <w:pStyle w:val="25"/>
        <w:keepNext w:val="0"/>
        <w:keepLines w:val="0"/>
        <w:pageBreakBefore w:val="0"/>
        <w:widowControl w:val="0"/>
        <w:tabs>
          <w:tab w:val="right" w:leader="dot" w:pos="8023"/>
        </w:tabs>
        <w:kinsoku/>
        <w:wordWrap/>
        <w:overflowPunct/>
        <w:topLinePunct w:val="0"/>
        <w:autoSpaceDE/>
        <w:autoSpaceDN/>
        <w:bidi w:val="0"/>
        <w:adjustRightInd/>
        <w:snapToGrid/>
        <w:spacing w:line="700" w:lineRule="exact"/>
        <w:textAlignment w:val="auto"/>
        <w:rPr>
          <w:b/>
          <w:bCs/>
          <w:color w:val="auto"/>
          <w:sz w:val="28"/>
          <w:szCs w:val="36"/>
          <w:highlight w:val="none"/>
        </w:rPr>
      </w:pPr>
      <w:r>
        <w:rPr>
          <w:rFonts w:hint="eastAsia" w:ascii="仿宋" w:hAnsi="仿宋" w:eastAsia="仿宋" w:cs="仿宋"/>
          <w:b/>
          <w:bCs/>
          <w:color w:val="auto"/>
          <w:kern w:val="0"/>
          <w:sz w:val="28"/>
          <w:szCs w:val="36"/>
          <w:highlight w:val="none"/>
        </w:rPr>
        <w:fldChar w:fldCharType="begin"/>
      </w:r>
      <w:r>
        <w:rPr>
          <w:rFonts w:hint="eastAsia" w:ascii="仿宋" w:hAnsi="仿宋" w:eastAsia="仿宋" w:cs="仿宋"/>
          <w:b/>
          <w:bCs/>
          <w:color w:val="auto"/>
          <w:kern w:val="0"/>
          <w:sz w:val="28"/>
          <w:szCs w:val="36"/>
          <w:highlight w:val="none"/>
        </w:rPr>
        <w:instrText xml:space="preserve"> HYPERLINK \l _Toc10325 </w:instrText>
      </w:r>
      <w:r>
        <w:rPr>
          <w:rFonts w:hint="eastAsia" w:ascii="仿宋" w:hAnsi="仿宋" w:eastAsia="仿宋" w:cs="仿宋"/>
          <w:b/>
          <w:bCs/>
          <w:color w:val="auto"/>
          <w:kern w:val="0"/>
          <w:sz w:val="28"/>
          <w:szCs w:val="36"/>
          <w:highlight w:val="none"/>
        </w:rPr>
        <w:fldChar w:fldCharType="separate"/>
      </w:r>
      <w:r>
        <w:rPr>
          <w:rFonts w:hint="eastAsia" w:ascii="仿宋" w:hAnsi="仿宋" w:eastAsia="仿宋" w:cs="仿宋"/>
          <w:b/>
          <w:bCs/>
          <w:color w:val="auto"/>
          <w:sz w:val="28"/>
          <w:szCs w:val="36"/>
          <w:highlight w:val="none"/>
        </w:rPr>
        <w:t>第四章  拟签订的合同文本</w:t>
      </w:r>
      <w:r>
        <w:rPr>
          <w:b/>
          <w:bCs/>
          <w:color w:val="auto"/>
          <w:sz w:val="28"/>
          <w:szCs w:val="36"/>
          <w:highlight w:val="none"/>
        </w:rPr>
        <w:tab/>
      </w:r>
      <w:r>
        <w:rPr>
          <w:b/>
          <w:bCs/>
          <w:color w:val="auto"/>
          <w:sz w:val="28"/>
          <w:szCs w:val="36"/>
          <w:highlight w:val="none"/>
        </w:rPr>
        <w:fldChar w:fldCharType="begin"/>
      </w:r>
      <w:r>
        <w:rPr>
          <w:b/>
          <w:bCs/>
          <w:color w:val="auto"/>
          <w:sz w:val="28"/>
          <w:szCs w:val="36"/>
          <w:highlight w:val="none"/>
        </w:rPr>
        <w:instrText xml:space="preserve"> PAGEREF _Toc10325 \h </w:instrText>
      </w:r>
      <w:r>
        <w:rPr>
          <w:b/>
          <w:bCs/>
          <w:color w:val="auto"/>
          <w:sz w:val="28"/>
          <w:szCs w:val="36"/>
          <w:highlight w:val="none"/>
        </w:rPr>
        <w:fldChar w:fldCharType="separate"/>
      </w:r>
      <w:r>
        <w:rPr>
          <w:b/>
          <w:bCs/>
          <w:color w:val="auto"/>
          <w:sz w:val="28"/>
          <w:szCs w:val="36"/>
          <w:highlight w:val="none"/>
        </w:rPr>
        <w:t>37</w:t>
      </w:r>
      <w:r>
        <w:rPr>
          <w:b/>
          <w:bCs/>
          <w:color w:val="auto"/>
          <w:sz w:val="28"/>
          <w:szCs w:val="36"/>
          <w:highlight w:val="none"/>
        </w:rPr>
        <w:fldChar w:fldCharType="end"/>
      </w:r>
      <w:r>
        <w:rPr>
          <w:rFonts w:hint="eastAsia" w:ascii="仿宋" w:hAnsi="仿宋" w:eastAsia="仿宋" w:cs="仿宋"/>
          <w:b/>
          <w:bCs/>
          <w:color w:val="auto"/>
          <w:kern w:val="0"/>
          <w:sz w:val="28"/>
          <w:szCs w:val="36"/>
          <w:highlight w:val="none"/>
        </w:rPr>
        <w:fldChar w:fldCharType="end"/>
      </w:r>
    </w:p>
    <w:p>
      <w:pPr>
        <w:pStyle w:val="25"/>
        <w:keepNext w:val="0"/>
        <w:keepLines w:val="0"/>
        <w:pageBreakBefore w:val="0"/>
        <w:widowControl w:val="0"/>
        <w:tabs>
          <w:tab w:val="right" w:leader="dot" w:pos="8023"/>
        </w:tabs>
        <w:kinsoku/>
        <w:wordWrap/>
        <w:overflowPunct/>
        <w:topLinePunct w:val="0"/>
        <w:autoSpaceDE/>
        <w:autoSpaceDN/>
        <w:bidi w:val="0"/>
        <w:adjustRightInd/>
        <w:snapToGrid/>
        <w:spacing w:line="700" w:lineRule="exact"/>
        <w:textAlignment w:val="auto"/>
        <w:rPr>
          <w:b/>
          <w:bCs/>
          <w:color w:val="auto"/>
          <w:sz w:val="28"/>
          <w:szCs w:val="36"/>
          <w:highlight w:val="none"/>
        </w:rPr>
      </w:pPr>
      <w:r>
        <w:rPr>
          <w:rFonts w:hint="eastAsia" w:ascii="仿宋" w:hAnsi="仿宋" w:eastAsia="仿宋" w:cs="仿宋"/>
          <w:b/>
          <w:bCs/>
          <w:color w:val="auto"/>
          <w:kern w:val="0"/>
          <w:sz w:val="28"/>
          <w:szCs w:val="36"/>
          <w:highlight w:val="none"/>
        </w:rPr>
        <w:fldChar w:fldCharType="begin"/>
      </w:r>
      <w:r>
        <w:rPr>
          <w:rFonts w:hint="eastAsia" w:ascii="仿宋" w:hAnsi="仿宋" w:eastAsia="仿宋" w:cs="仿宋"/>
          <w:b/>
          <w:bCs/>
          <w:color w:val="auto"/>
          <w:kern w:val="0"/>
          <w:sz w:val="28"/>
          <w:szCs w:val="36"/>
          <w:highlight w:val="none"/>
        </w:rPr>
        <w:instrText xml:space="preserve"> HYPERLINK \l _Toc24958 </w:instrText>
      </w:r>
      <w:r>
        <w:rPr>
          <w:rFonts w:hint="eastAsia" w:ascii="仿宋" w:hAnsi="仿宋" w:eastAsia="仿宋" w:cs="仿宋"/>
          <w:b/>
          <w:bCs/>
          <w:color w:val="auto"/>
          <w:kern w:val="0"/>
          <w:sz w:val="28"/>
          <w:szCs w:val="36"/>
          <w:highlight w:val="none"/>
        </w:rPr>
        <w:fldChar w:fldCharType="separate"/>
      </w:r>
      <w:r>
        <w:rPr>
          <w:rFonts w:hint="eastAsia" w:ascii="仿宋" w:hAnsi="仿宋" w:eastAsia="仿宋" w:cs="仿宋"/>
          <w:b/>
          <w:bCs/>
          <w:color w:val="auto"/>
          <w:sz w:val="28"/>
          <w:szCs w:val="36"/>
          <w:highlight w:val="none"/>
        </w:rPr>
        <w:t>第五章  采购需求及要求</w:t>
      </w:r>
      <w:r>
        <w:rPr>
          <w:b/>
          <w:bCs/>
          <w:color w:val="auto"/>
          <w:sz w:val="28"/>
          <w:szCs w:val="36"/>
          <w:highlight w:val="none"/>
        </w:rPr>
        <w:tab/>
      </w:r>
      <w:r>
        <w:rPr>
          <w:b/>
          <w:bCs/>
          <w:color w:val="auto"/>
          <w:sz w:val="28"/>
          <w:szCs w:val="36"/>
          <w:highlight w:val="none"/>
        </w:rPr>
        <w:fldChar w:fldCharType="begin"/>
      </w:r>
      <w:r>
        <w:rPr>
          <w:b/>
          <w:bCs/>
          <w:color w:val="auto"/>
          <w:sz w:val="28"/>
          <w:szCs w:val="36"/>
          <w:highlight w:val="none"/>
        </w:rPr>
        <w:instrText xml:space="preserve"> PAGEREF _Toc24958 \h </w:instrText>
      </w:r>
      <w:r>
        <w:rPr>
          <w:b/>
          <w:bCs/>
          <w:color w:val="auto"/>
          <w:sz w:val="28"/>
          <w:szCs w:val="36"/>
          <w:highlight w:val="none"/>
        </w:rPr>
        <w:fldChar w:fldCharType="separate"/>
      </w:r>
      <w:r>
        <w:rPr>
          <w:b/>
          <w:bCs/>
          <w:color w:val="auto"/>
          <w:sz w:val="28"/>
          <w:szCs w:val="36"/>
          <w:highlight w:val="none"/>
        </w:rPr>
        <w:t>41</w:t>
      </w:r>
      <w:r>
        <w:rPr>
          <w:b/>
          <w:bCs/>
          <w:color w:val="auto"/>
          <w:sz w:val="28"/>
          <w:szCs w:val="36"/>
          <w:highlight w:val="none"/>
        </w:rPr>
        <w:fldChar w:fldCharType="end"/>
      </w:r>
      <w:r>
        <w:rPr>
          <w:rFonts w:hint="eastAsia" w:ascii="仿宋" w:hAnsi="仿宋" w:eastAsia="仿宋" w:cs="仿宋"/>
          <w:b/>
          <w:bCs/>
          <w:color w:val="auto"/>
          <w:kern w:val="0"/>
          <w:sz w:val="28"/>
          <w:szCs w:val="36"/>
          <w:highlight w:val="none"/>
        </w:rPr>
        <w:fldChar w:fldCharType="end"/>
      </w:r>
    </w:p>
    <w:p>
      <w:pPr>
        <w:pStyle w:val="25"/>
        <w:keepNext w:val="0"/>
        <w:keepLines w:val="0"/>
        <w:pageBreakBefore w:val="0"/>
        <w:widowControl w:val="0"/>
        <w:tabs>
          <w:tab w:val="right" w:leader="dot" w:pos="8023"/>
        </w:tabs>
        <w:kinsoku/>
        <w:wordWrap/>
        <w:overflowPunct/>
        <w:topLinePunct w:val="0"/>
        <w:autoSpaceDE/>
        <w:autoSpaceDN/>
        <w:bidi w:val="0"/>
        <w:adjustRightInd/>
        <w:snapToGrid/>
        <w:spacing w:line="700" w:lineRule="exact"/>
        <w:textAlignment w:val="auto"/>
        <w:rPr>
          <w:b/>
          <w:bCs/>
          <w:color w:val="auto"/>
          <w:sz w:val="28"/>
          <w:szCs w:val="36"/>
          <w:highlight w:val="none"/>
        </w:rPr>
      </w:pPr>
      <w:r>
        <w:rPr>
          <w:rFonts w:hint="eastAsia" w:ascii="仿宋" w:hAnsi="仿宋" w:eastAsia="仿宋" w:cs="仿宋"/>
          <w:b/>
          <w:bCs/>
          <w:color w:val="auto"/>
          <w:kern w:val="0"/>
          <w:sz w:val="28"/>
          <w:szCs w:val="36"/>
          <w:highlight w:val="none"/>
        </w:rPr>
        <w:fldChar w:fldCharType="begin"/>
      </w:r>
      <w:r>
        <w:rPr>
          <w:rFonts w:hint="eastAsia" w:ascii="仿宋" w:hAnsi="仿宋" w:eastAsia="仿宋" w:cs="仿宋"/>
          <w:b/>
          <w:bCs/>
          <w:color w:val="auto"/>
          <w:kern w:val="0"/>
          <w:sz w:val="28"/>
          <w:szCs w:val="36"/>
          <w:highlight w:val="none"/>
        </w:rPr>
        <w:instrText xml:space="preserve"> HYPERLINK \l _Toc26557 </w:instrText>
      </w:r>
      <w:r>
        <w:rPr>
          <w:rFonts w:hint="eastAsia" w:ascii="仿宋" w:hAnsi="仿宋" w:eastAsia="仿宋" w:cs="仿宋"/>
          <w:b/>
          <w:bCs/>
          <w:color w:val="auto"/>
          <w:kern w:val="0"/>
          <w:sz w:val="28"/>
          <w:szCs w:val="36"/>
          <w:highlight w:val="none"/>
        </w:rPr>
        <w:fldChar w:fldCharType="separate"/>
      </w:r>
      <w:r>
        <w:rPr>
          <w:rFonts w:hint="eastAsia" w:ascii="仿宋" w:hAnsi="仿宋" w:eastAsia="仿宋" w:cs="仿宋"/>
          <w:b/>
          <w:bCs/>
          <w:color w:val="auto"/>
          <w:sz w:val="28"/>
          <w:szCs w:val="36"/>
          <w:highlight w:val="none"/>
        </w:rPr>
        <w:t>第六章  投标文件格式</w:t>
      </w:r>
      <w:r>
        <w:rPr>
          <w:b/>
          <w:bCs/>
          <w:color w:val="auto"/>
          <w:sz w:val="28"/>
          <w:szCs w:val="36"/>
          <w:highlight w:val="none"/>
        </w:rPr>
        <w:tab/>
      </w:r>
      <w:r>
        <w:rPr>
          <w:b/>
          <w:bCs/>
          <w:color w:val="auto"/>
          <w:sz w:val="28"/>
          <w:szCs w:val="36"/>
          <w:highlight w:val="none"/>
        </w:rPr>
        <w:fldChar w:fldCharType="begin"/>
      </w:r>
      <w:r>
        <w:rPr>
          <w:b/>
          <w:bCs/>
          <w:color w:val="auto"/>
          <w:sz w:val="28"/>
          <w:szCs w:val="36"/>
          <w:highlight w:val="none"/>
        </w:rPr>
        <w:instrText xml:space="preserve"> PAGEREF _Toc26557 \h </w:instrText>
      </w:r>
      <w:r>
        <w:rPr>
          <w:b/>
          <w:bCs/>
          <w:color w:val="auto"/>
          <w:sz w:val="28"/>
          <w:szCs w:val="36"/>
          <w:highlight w:val="none"/>
        </w:rPr>
        <w:fldChar w:fldCharType="separate"/>
      </w:r>
      <w:r>
        <w:rPr>
          <w:b/>
          <w:bCs/>
          <w:color w:val="auto"/>
          <w:sz w:val="28"/>
          <w:szCs w:val="36"/>
          <w:highlight w:val="none"/>
        </w:rPr>
        <w:t>44</w:t>
      </w:r>
      <w:r>
        <w:rPr>
          <w:b/>
          <w:bCs/>
          <w:color w:val="auto"/>
          <w:sz w:val="28"/>
          <w:szCs w:val="36"/>
          <w:highlight w:val="none"/>
        </w:rPr>
        <w:fldChar w:fldCharType="end"/>
      </w:r>
      <w:r>
        <w:rPr>
          <w:rFonts w:hint="eastAsia" w:ascii="仿宋" w:hAnsi="仿宋" w:eastAsia="仿宋" w:cs="仿宋"/>
          <w:b/>
          <w:bCs/>
          <w:color w:val="auto"/>
          <w:kern w:val="0"/>
          <w:sz w:val="28"/>
          <w:szCs w:val="36"/>
          <w:highlight w:val="none"/>
        </w:rPr>
        <w:fldChar w:fldCharType="end"/>
      </w:r>
    </w:p>
    <w:p>
      <w:pPr>
        <w:pStyle w:val="33"/>
        <w:keepNext w:val="0"/>
        <w:keepLines w:val="0"/>
        <w:pageBreakBefore w:val="0"/>
        <w:widowControl w:val="0"/>
        <w:kinsoku/>
        <w:wordWrap/>
        <w:overflowPunct/>
        <w:topLinePunct w:val="0"/>
        <w:autoSpaceDE/>
        <w:autoSpaceDN/>
        <w:bidi w:val="0"/>
        <w:adjustRightInd/>
        <w:snapToGrid/>
        <w:spacing w:before="0" w:after="0" w:line="700" w:lineRule="exact"/>
        <w:jc w:val="both"/>
        <w:textAlignment w:val="auto"/>
        <w:outlineLvl w:val="9"/>
        <w:rPr>
          <w:rFonts w:hint="eastAsia" w:ascii="仿宋" w:hAnsi="仿宋" w:eastAsia="仿宋" w:cs="仿宋"/>
          <w:color w:val="auto"/>
          <w:kern w:val="0"/>
          <w:sz w:val="24"/>
          <w:szCs w:val="24"/>
          <w:highlight w:val="none"/>
        </w:rPr>
        <w:sectPr>
          <w:pgSz w:w="11907" w:h="16840"/>
          <w:pgMar w:top="1440" w:right="1800" w:bottom="1440" w:left="1800" w:header="851" w:footer="851" w:gutter="284"/>
          <w:cols w:space="720" w:num="1"/>
          <w:docGrid w:linePitch="462" w:charSpace="0"/>
        </w:sectPr>
      </w:pPr>
      <w:r>
        <w:rPr>
          <w:rFonts w:hint="eastAsia" w:ascii="仿宋" w:hAnsi="仿宋" w:eastAsia="仿宋" w:cs="仿宋"/>
          <w:b/>
          <w:bCs/>
          <w:color w:val="auto"/>
          <w:kern w:val="0"/>
          <w:sz w:val="44"/>
          <w:szCs w:val="36"/>
          <w:highlight w:val="none"/>
        </w:rPr>
        <w:fldChar w:fldCharType="end"/>
      </w:r>
    </w:p>
    <w:p>
      <w:pPr>
        <w:pStyle w:val="33"/>
        <w:spacing w:before="0" w:after="0" w:line="360" w:lineRule="auto"/>
        <w:rPr>
          <w:rFonts w:hint="eastAsia" w:ascii="仿宋" w:hAnsi="仿宋" w:eastAsia="仿宋" w:cs="仿宋"/>
          <w:color w:val="auto"/>
          <w:highlight w:val="none"/>
        </w:rPr>
      </w:pPr>
      <w:bookmarkStart w:id="5" w:name="_Toc4686"/>
      <w:r>
        <w:rPr>
          <w:rFonts w:hint="eastAsia" w:ascii="仿宋" w:hAnsi="仿宋" w:eastAsia="仿宋" w:cs="仿宋"/>
          <w:color w:val="auto"/>
          <w:highlight w:val="none"/>
        </w:rPr>
        <w:t>第一章  招标公告</w:t>
      </w:r>
      <w:bookmarkEnd w:id="5"/>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项目概况</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lang w:eastAsia="zh-CN"/>
        </w:rPr>
        <w:t xml:space="preserve">2023年西安市灞河右岸滨水景观带全民健身场地设施提升改造项目 </w:t>
      </w:r>
      <w:r>
        <w:rPr>
          <w:rFonts w:hint="eastAsia" w:ascii="仿宋" w:hAnsi="仿宋" w:eastAsia="仿宋" w:cs="仿宋"/>
          <w:color w:val="auto"/>
          <w:highlight w:val="none"/>
        </w:rPr>
        <w:t>招标项目的潜在投标人应在全国公共资源交易平台（陕西省·西安市）网站〖首页〉电子交易平台〉陕西政府采购交易系统〉企业端〗（https://sxggzyjy.xa.gov.cn/）获取招标文件，并于</w:t>
      </w:r>
      <w:r>
        <w:rPr>
          <w:rFonts w:hint="eastAsia" w:ascii="仿宋" w:hAnsi="仿宋" w:eastAsia="仿宋" w:cs="仿宋"/>
          <w:b/>
          <w:bCs/>
          <w:color w:val="auto"/>
          <w:highlight w:val="none"/>
        </w:rPr>
        <w:t>2023年</w:t>
      </w:r>
      <w:r>
        <w:rPr>
          <w:rFonts w:hint="eastAsia" w:ascii="仿宋" w:hAnsi="仿宋" w:eastAsia="仿宋" w:cs="仿宋"/>
          <w:b/>
          <w:bCs/>
          <w:color w:val="auto"/>
          <w:highlight w:val="none"/>
          <w:lang w:val="en-US" w:eastAsia="zh-CN"/>
        </w:rPr>
        <w:t>09</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06</w:t>
      </w:r>
      <w:r>
        <w:rPr>
          <w:rFonts w:hint="eastAsia" w:ascii="仿宋" w:hAnsi="仿宋" w:eastAsia="仿宋" w:cs="仿宋"/>
          <w:b/>
          <w:bCs/>
          <w:color w:val="auto"/>
          <w:highlight w:val="none"/>
        </w:rPr>
        <w:t>日09时30分</w:t>
      </w:r>
      <w:r>
        <w:rPr>
          <w:rFonts w:hint="eastAsia" w:ascii="仿宋" w:hAnsi="仿宋" w:eastAsia="仿宋" w:cs="仿宋"/>
          <w:color w:val="auto"/>
          <w:highlight w:val="none"/>
        </w:rPr>
        <w:t>（北京时间）前递交投标文件。</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一、项目基本情况</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eastAsia="zh-CN"/>
        </w:rPr>
      </w:pPr>
      <w:r>
        <w:rPr>
          <w:rFonts w:hint="eastAsia" w:ascii="仿宋" w:hAnsi="仿宋" w:eastAsia="仿宋" w:cs="仿宋"/>
          <w:color w:val="auto"/>
          <w:highlight w:val="none"/>
        </w:rPr>
        <w:t>项目编号：</w:t>
      </w:r>
      <w:r>
        <w:rPr>
          <w:rFonts w:hint="eastAsia" w:ascii="仿宋" w:hAnsi="仿宋" w:eastAsia="仿宋" w:cs="仿宋"/>
          <w:color w:val="auto"/>
          <w:highlight w:val="none"/>
          <w:lang w:eastAsia="zh-CN"/>
        </w:rPr>
        <w:t>SCZB2023-ZB-1616-001</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eastAsia="zh-CN"/>
        </w:rPr>
      </w:pPr>
      <w:r>
        <w:rPr>
          <w:rFonts w:hint="eastAsia" w:ascii="仿宋" w:hAnsi="仿宋" w:eastAsia="仿宋" w:cs="仿宋"/>
          <w:color w:val="auto"/>
          <w:highlight w:val="none"/>
        </w:rPr>
        <w:t>项目名称：</w:t>
      </w:r>
      <w:r>
        <w:rPr>
          <w:rFonts w:hint="eastAsia" w:ascii="仿宋" w:hAnsi="仿宋" w:eastAsia="仿宋" w:cs="仿宋"/>
          <w:color w:val="auto"/>
          <w:highlight w:val="none"/>
          <w:lang w:eastAsia="zh-CN"/>
        </w:rPr>
        <w:t xml:space="preserve">2023年西安市灞河右岸滨水景观带全民健身场地设施提升改造项目 </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采购方式：公开招标</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预算金额：</w:t>
      </w:r>
      <w:r>
        <w:rPr>
          <w:rFonts w:hint="eastAsia" w:ascii="仿宋" w:hAnsi="仿宋" w:eastAsia="仿宋" w:cs="仿宋"/>
          <w:color w:val="auto"/>
          <w:highlight w:val="none"/>
          <w:lang w:eastAsia="zh-CN"/>
        </w:rPr>
        <w:t>2,000,000.00</w:t>
      </w:r>
      <w:r>
        <w:rPr>
          <w:rFonts w:hint="eastAsia" w:ascii="仿宋" w:hAnsi="仿宋" w:eastAsia="仿宋" w:cs="仿宋"/>
          <w:color w:val="auto"/>
          <w:highlight w:val="none"/>
        </w:rPr>
        <w:t>元</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采购需求：</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合同包1(</w:t>
      </w:r>
      <w:r>
        <w:rPr>
          <w:rFonts w:hint="eastAsia" w:ascii="仿宋" w:hAnsi="仿宋" w:eastAsia="仿宋" w:cs="仿宋"/>
          <w:color w:val="auto"/>
          <w:highlight w:val="none"/>
          <w:lang w:eastAsia="zh-CN"/>
        </w:rPr>
        <w:t>2023年西安市灞河右岸滨水景观带全民健身场地设施提升改造项目</w:t>
      </w:r>
      <w:r>
        <w:rPr>
          <w:rFonts w:hint="eastAsia" w:ascii="仿宋" w:hAnsi="仿宋" w:eastAsia="仿宋" w:cs="仿宋"/>
          <w:color w:val="auto"/>
          <w:highlight w:val="none"/>
        </w:rPr>
        <w:t>):</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合同包预算金额：</w:t>
      </w:r>
      <w:r>
        <w:rPr>
          <w:rFonts w:hint="eastAsia" w:ascii="仿宋" w:hAnsi="仿宋" w:eastAsia="仿宋" w:cs="仿宋"/>
          <w:color w:val="auto"/>
          <w:highlight w:val="none"/>
          <w:lang w:eastAsia="zh-CN"/>
        </w:rPr>
        <w:t>2,000,000.00</w:t>
      </w:r>
      <w:r>
        <w:rPr>
          <w:rFonts w:hint="eastAsia" w:ascii="仿宋" w:hAnsi="仿宋" w:eastAsia="仿宋" w:cs="仿宋"/>
          <w:color w:val="auto"/>
          <w:highlight w:val="none"/>
        </w:rPr>
        <w:t>元</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合同包最高限价：</w:t>
      </w:r>
      <w:r>
        <w:rPr>
          <w:rFonts w:hint="eastAsia" w:ascii="仿宋" w:hAnsi="仿宋" w:eastAsia="仿宋" w:cs="仿宋"/>
          <w:color w:val="auto"/>
          <w:highlight w:val="none"/>
          <w:lang w:eastAsia="zh-CN"/>
        </w:rPr>
        <w:t>2,000,000.00</w:t>
      </w:r>
      <w:r>
        <w:rPr>
          <w:rFonts w:hint="eastAsia" w:ascii="仿宋" w:hAnsi="仿宋" w:eastAsia="仿宋" w:cs="仿宋"/>
          <w:color w:val="auto"/>
          <w:highlight w:val="none"/>
        </w:rPr>
        <w:t>元</w:t>
      </w:r>
    </w:p>
    <w:tbl>
      <w:tblPr>
        <w:tblStyle w:val="36"/>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7"/>
        <w:gridCol w:w="1346"/>
        <w:gridCol w:w="1382"/>
        <w:gridCol w:w="871"/>
        <w:gridCol w:w="1056"/>
        <w:gridCol w:w="1500"/>
        <w:gridCol w:w="15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7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品目号</w:t>
            </w:r>
          </w:p>
        </w:tc>
        <w:tc>
          <w:tcPr>
            <w:tcW w:w="82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品目名称</w:t>
            </w:r>
          </w:p>
        </w:tc>
        <w:tc>
          <w:tcPr>
            <w:tcW w:w="84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采购标的</w:t>
            </w:r>
          </w:p>
        </w:tc>
        <w:tc>
          <w:tcPr>
            <w:tcW w:w="53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数量（单位）</w:t>
            </w:r>
          </w:p>
        </w:tc>
        <w:tc>
          <w:tcPr>
            <w:tcW w:w="64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技术规格、参数及要求</w:t>
            </w:r>
          </w:p>
        </w:tc>
        <w:tc>
          <w:tcPr>
            <w:tcW w:w="88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品目预算(元)</w:t>
            </w:r>
          </w:p>
        </w:tc>
        <w:tc>
          <w:tcPr>
            <w:tcW w:w="88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37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82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健身设备</w:t>
            </w:r>
          </w:p>
        </w:tc>
        <w:tc>
          <w:tcPr>
            <w:tcW w:w="84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健身步道</w:t>
            </w:r>
          </w:p>
          <w:p>
            <w:pPr>
              <w:wordWrap w:val="0"/>
              <w:spacing w:line="360" w:lineRule="atLeast"/>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 xml:space="preserve"> 笼式场地</w:t>
            </w:r>
            <w:r>
              <w:rPr>
                <w:rFonts w:hint="eastAsia" w:ascii="仿宋" w:hAnsi="仿宋" w:eastAsia="仿宋" w:cs="仿宋"/>
                <w:color w:val="auto"/>
                <w:szCs w:val="21"/>
                <w:highlight w:val="none"/>
                <w:lang w:eastAsia="zh-CN"/>
              </w:rPr>
              <w:t xml:space="preserve"> </w:t>
            </w:r>
          </w:p>
        </w:tc>
        <w:tc>
          <w:tcPr>
            <w:tcW w:w="53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批</w:t>
            </w:r>
            <w:r>
              <w:rPr>
                <w:rFonts w:hint="eastAsia" w:ascii="仿宋" w:hAnsi="仿宋" w:eastAsia="仿宋" w:cs="仿宋"/>
                <w:color w:val="auto"/>
                <w:szCs w:val="21"/>
                <w:highlight w:val="none"/>
              </w:rPr>
              <w:t>)</w:t>
            </w:r>
          </w:p>
        </w:tc>
        <w:tc>
          <w:tcPr>
            <w:tcW w:w="64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ordWrap w:val="0"/>
              <w:spacing w:line="3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详见采购文件</w:t>
            </w:r>
          </w:p>
        </w:tc>
        <w:tc>
          <w:tcPr>
            <w:tcW w:w="88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tLeast"/>
              <w:jc w:val="righ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2,000,000.00</w:t>
            </w:r>
          </w:p>
        </w:tc>
        <w:tc>
          <w:tcPr>
            <w:tcW w:w="88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tLeast"/>
              <w:jc w:val="right"/>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2,000,000.00</w:t>
            </w:r>
          </w:p>
        </w:tc>
      </w:tr>
    </w:tbl>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本合同包不接受联合体投标</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合同履行期限：自合同签订之日起</w:t>
      </w:r>
      <w:r>
        <w:rPr>
          <w:rFonts w:hint="eastAsia" w:ascii="仿宋" w:hAnsi="仿宋" w:eastAsia="仿宋" w:cs="仿宋"/>
          <w:b/>
          <w:bCs/>
          <w:color w:val="auto"/>
          <w:highlight w:val="none"/>
          <w:lang w:val="en-US" w:eastAsia="zh-CN"/>
        </w:rPr>
        <w:t>60</w:t>
      </w:r>
      <w:r>
        <w:rPr>
          <w:rFonts w:hint="eastAsia" w:ascii="仿宋" w:hAnsi="仿宋" w:eastAsia="仿宋" w:cs="仿宋"/>
          <w:b/>
          <w:bCs/>
          <w:color w:val="auto"/>
          <w:highlight w:val="none"/>
          <w:lang w:eastAsia="zh-CN"/>
        </w:rPr>
        <w:t>日历天</w:t>
      </w:r>
      <w:r>
        <w:rPr>
          <w:rFonts w:hint="eastAsia" w:ascii="仿宋" w:hAnsi="仿宋" w:eastAsia="仿宋" w:cs="仿宋"/>
          <w:b/>
          <w:bCs/>
          <w:color w:val="auto"/>
          <w:highlight w:val="none"/>
          <w:lang w:val="en-US" w:eastAsia="zh-CN"/>
        </w:rPr>
        <w:t>内</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二、申请人的资格要求：</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1.满足《中华人民共和国政府采购法》第二十二条规定；</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2.落实政府采购政策需满足的资格要求：</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合同包1(</w:t>
      </w:r>
      <w:r>
        <w:rPr>
          <w:rFonts w:hint="eastAsia" w:ascii="仿宋" w:hAnsi="仿宋" w:eastAsia="仿宋" w:cs="仿宋"/>
          <w:color w:val="auto"/>
          <w:highlight w:val="none"/>
          <w:lang w:eastAsia="zh-CN"/>
        </w:rPr>
        <w:t xml:space="preserve">2023年西安市灞河右岸滨水景观带全民健身场地设施提升改造项目 </w:t>
      </w:r>
      <w:r>
        <w:rPr>
          <w:rFonts w:hint="eastAsia" w:ascii="仿宋" w:hAnsi="仿宋" w:eastAsia="仿宋" w:cs="仿宋"/>
          <w:color w:val="auto"/>
          <w:highlight w:val="none"/>
        </w:rPr>
        <w:t>)落实政府采购政策需满足的资格要求如下：</w:t>
      </w:r>
      <w:r>
        <w:rPr>
          <w:rFonts w:hint="eastAsia" w:ascii="仿宋" w:hAnsi="仿宋" w:eastAsia="仿宋" w:cs="仿宋"/>
          <w:b/>
          <w:bCs/>
          <w:color w:val="auto"/>
          <w:highlight w:val="none"/>
        </w:rPr>
        <w:t>本项目为专门面向中小企业的项目，供应商应为中小微企业、监狱企业或残疾人福利性单位。</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3.本项目的特定资格要求：</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合同包1(</w:t>
      </w:r>
      <w:r>
        <w:rPr>
          <w:rFonts w:hint="eastAsia" w:ascii="仿宋" w:hAnsi="仿宋" w:eastAsia="仿宋" w:cs="仿宋"/>
          <w:color w:val="auto"/>
          <w:highlight w:val="none"/>
          <w:lang w:eastAsia="zh-CN"/>
        </w:rPr>
        <w:t xml:space="preserve">2023年西安市灞河右岸滨水景观带全民健身场地设施提升改造项目 </w:t>
      </w:r>
      <w:r>
        <w:rPr>
          <w:rFonts w:hint="eastAsia" w:ascii="仿宋" w:hAnsi="仿宋" w:eastAsia="仿宋" w:cs="仿宋"/>
          <w:color w:val="auto"/>
          <w:highlight w:val="none"/>
        </w:rPr>
        <w:t>)特定资格要求如下:</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3.1投标人在递交投标文件截止时间前被“信用中国”网站（www.creditchina.gov.cn）和中国政府采购网（www.ccgp.gov.cn）上被列入失信被执行人、重大税收违法失信主体、政府采购严重违法失信行为记录名单的，不得参加投标；</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3.2投标人不得存在下列情形之一：</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（1）单位负责人为同一人或者存在直接控股、管理关系的不同供应商，不得参加本次采购活动；</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（2）为本项目提供整体设计、规范编制或者项目管理、监理、检测等服务的供应商，不得再参加该采购项目的其他采购活动。</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三、获取招标文件</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时间：</w:t>
      </w:r>
      <w:r>
        <w:rPr>
          <w:rFonts w:hint="eastAsia" w:ascii="仿宋" w:hAnsi="仿宋" w:eastAsia="仿宋" w:cs="仿宋"/>
          <w:b/>
          <w:bCs/>
          <w:color w:val="auto"/>
          <w:highlight w:val="none"/>
        </w:rPr>
        <w:t>2023年</w:t>
      </w:r>
      <w:r>
        <w:rPr>
          <w:rFonts w:hint="eastAsia" w:ascii="仿宋" w:hAnsi="仿宋" w:eastAsia="仿宋" w:cs="仿宋"/>
          <w:b/>
          <w:bCs/>
          <w:color w:val="auto"/>
          <w:highlight w:val="none"/>
          <w:lang w:val="en-US" w:eastAsia="zh-CN"/>
        </w:rPr>
        <w:t>08</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16</w:t>
      </w:r>
      <w:r>
        <w:rPr>
          <w:rFonts w:hint="eastAsia" w:ascii="仿宋" w:hAnsi="仿宋" w:eastAsia="仿宋" w:cs="仿宋"/>
          <w:b/>
          <w:bCs/>
          <w:color w:val="auto"/>
          <w:highlight w:val="none"/>
        </w:rPr>
        <w:t>日至2023年</w:t>
      </w:r>
      <w:r>
        <w:rPr>
          <w:rFonts w:hint="eastAsia" w:ascii="仿宋" w:hAnsi="仿宋" w:eastAsia="仿宋" w:cs="仿宋"/>
          <w:b/>
          <w:bCs/>
          <w:color w:val="auto"/>
          <w:highlight w:val="none"/>
          <w:lang w:val="en-US" w:eastAsia="zh-CN"/>
        </w:rPr>
        <w:t>08</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22</w:t>
      </w:r>
      <w:r>
        <w:rPr>
          <w:rFonts w:hint="eastAsia" w:ascii="仿宋" w:hAnsi="仿宋" w:eastAsia="仿宋" w:cs="仿宋"/>
          <w:b/>
          <w:bCs/>
          <w:color w:val="auto"/>
          <w:highlight w:val="none"/>
        </w:rPr>
        <w:t>日</w:t>
      </w:r>
      <w:r>
        <w:rPr>
          <w:rFonts w:hint="eastAsia" w:ascii="仿宋" w:hAnsi="仿宋" w:eastAsia="仿宋" w:cs="仿宋"/>
          <w:color w:val="auto"/>
          <w:highlight w:val="none"/>
        </w:rPr>
        <w:t>，每天上午00:00:00至12:00:00，下午12:00:00至23:59:59（北京时间）</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途径：全国公共资源交易平台（陕西省·西安市）网站〖首页〉电子交易平台〉陕西政府采购交易系统〉企业端〗（https://sxggzyjy.xa.gov.cn/）</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方式：在线获取</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售价：0元</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四、提交投标文件截止时间、开标时间和地点</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时间：</w:t>
      </w:r>
      <w:r>
        <w:rPr>
          <w:rFonts w:hint="eastAsia" w:ascii="仿宋" w:hAnsi="仿宋" w:eastAsia="仿宋" w:cs="仿宋"/>
          <w:b/>
          <w:bCs/>
          <w:color w:val="auto"/>
          <w:highlight w:val="none"/>
        </w:rPr>
        <w:t>2023年</w:t>
      </w:r>
      <w:r>
        <w:rPr>
          <w:rFonts w:hint="eastAsia" w:ascii="仿宋" w:hAnsi="仿宋" w:eastAsia="仿宋" w:cs="仿宋"/>
          <w:b/>
          <w:bCs/>
          <w:color w:val="auto"/>
          <w:highlight w:val="none"/>
          <w:lang w:val="en-US" w:eastAsia="zh-CN"/>
        </w:rPr>
        <w:t>09</w:t>
      </w:r>
      <w:r>
        <w:rPr>
          <w:rFonts w:hint="eastAsia" w:ascii="仿宋" w:hAnsi="仿宋" w:eastAsia="仿宋" w:cs="仿宋"/>
          <w:b/>
          <w:bCs/>
          <w:color w:val="auto"/>
          <w:highlight w:val="none"/>
        </w:rPr>
        <w:t>月</w:t>
      </w:r>
      <w:r>
        <w:rPr>
          <w:rFonts w:hint="eastAsia" w:ascii="仿宋" w:hAnsi="仿宋" w:eastAsia="仿宋" w:cs="仿宋"/>
          <w:b/>
          <w:bCs/>
          <w:color w:val="auto"/>
          <w:highlight w:val="none"/>
          <w:lang w:val="en-US" w:eastAsia="zh-CN"/>
        </w:rPr>
        <w:t>06</w:t>
      </w:r>
      <w:r>
        <w:rPr>
          <w:rFonts w:hint="eastAsia" w:ascii="仿宋" w:hAnsi="仿宋" w:eastAsia="仿宋" w:cs="仿宋"/>
          <w:b/>
          <w:bCs/>
          <w:color w:val="auto"/>
          <w:highlight w:val="none"/>
        </w:rPr>
        <w:t>日09时30分00秒</w:t>
      </w:r>
      <w:r>
        <w:rPr>
          <w:rFonts w:hint="eastAsia" w:ascii="仿宋" w:hAnsi="仿宋" w:eastAsia="仿宋" w:cs="仿宋"/>
          <w:color w:val="auto"/>
          <w:highlight w:val="none"/>
        </w:rPr>
        <w:t>（北京时间）</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提交投标文件地点：全国公共资源交易平台（陕西省·西安市）网站〖首页〉电子交易平台〉陕西政府采购交易系统〉企业端〗</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开标地点：全国公共资源交易平台（陕西省·西安市）西安市公共资源交易中心网-不见面开标系统</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五、公告期限</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自本公告发布之日起5个工作日。</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六、其他补充事宜</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1、落实政府采购政策：</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1.1《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1.3《财政部 农业农村部 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1.4《财政部 国家发展改革委 信息产业部 关于印发无线局域网产品政府采购实施意见的通知》（财库〔2005〕366号）、《财政部 工业和信息化部 质检总局 认监委关于信息安全产品实施政府采购的通知》（财库〔2010〕48号）。</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1.5《陕西省财政厅关于加快推进我省中小企业政府采购信用融资工作的通知》（陕财办采〔2020〕15 号）、陕西省财政厅关于印发《陕西省中小企业政府采购信用融资办法》（陕财办采〔2018〕23号）。</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若享受以上政策优惠的企业，提供相应声明函或品目清单范围内产品的有效认证证书。</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2、注意事项</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2.1投标人初次使用电子交易平台时,请先阅读【全国公共资源交易平台(陕西省·西安市)】(http://sxggzyjy.xa.gov.cn/)网站〖首页〉服务指南〉下载专区〗中的《西安市市级单位电子化政府采购项目投标指南》,并按要求完成诚信入库登记、CA认证及企业信息绑定。</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2.2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2.3请投标人务必及时下载项目招标文件并做好备份,否则会影响投标文件编制及后续投标活动。</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2.4获取招标文件方式：打开【全国公共资源交易平台（陕西省·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2.5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2.6提交投标文件的方式：从全国公共资源交易平台（陕西省·西安市）〖首页·〉电子交易平台·〉陕西政府采购交易系统·〉企业端〗登录，登录后切换到〖我的项目〗模块，依次点选〖项目流程·〉项目管理·〉上传响应文件〗上传加密后的电子投标文件（*.SXSTF），逾期提交的，系统将拒绝接收。</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2.7本项目采用“不见面开标”形式,投标人可登录全国公共资源交易平台(陕西省·西安市)网站〖首页〉不见面开标〗系统,在线参加开标过程。操作手册详见〖首页〉服务指南〉下载专区〗中的《西安公共资源交易不见面开标大厅供应商操作手册》。</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2.8按照陕西省财政厅《关于政府采购供应商注册登记有关事项的通知》中的要求,投标人应通过陕西省政府采购网(http://www.ccgp-shaanxi.gov.cn/)注册登记,加入陕西省政府采购供应商库。</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2.9其他事项见本项目招标文件。</w:t>
      </w:r>
    </w:p>
    <w:p>
      <w:pPr>
        <w:pStyle w:val="31"/>
        <w:shd w:val="clear" w:color="auto" w:fill="FFFFFF"/>
        <w:wordWrap w:val="0"/>
        <w:adjustRightInd w:val="0"/>
        <w:snapToGrid w:val="0"/>
        <w:spacing w:before="0" w:beforeAutospacing="0" w:after="0" w:afterAutospacing="0" w:line="360" w:lineRule="auto"/>
        <w:jc w:val="both"/>
        <w:rPr>
          <w:rFonts w:hint="eastAsia" w:ascii="仿宋" w:hAnsi="仿宋" w:eastAsia="仿宋" w:cs="仿宋"/>
          <w:color w:val="auto"/>
          <w:highlight w:val="none"/>
        </w:rPr>
      </w:pPr>
      <w:r>
        <w:rPr>
          <w:rFonts w:hint="eastAsia" w:ascii="仿宋" w:hAnsi="仿宋" w:eastAsia="仿宋" w:cs="仿宋"/>
          <w:color w:val="auto"/>
          <w:highlight w:val="none"/>
        </w:rPr>
        <w:t>七、对本次招标提出询问，请按以下方式联系。</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1.采购人信息</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eastAsia="zh-CN"/>
        </w:rPr>
      </w:pPr>
      <w:r>
        <w:rPr>
          <w:rFonts w:hint="eastAsia" w:ascii="仿宋" w:hAnsi="仿宋" w:eastAsia="仿宋" w:cs="仿宋"/>
          <w:color w:val="auto"/>
          <w:highlight w:val="none"/>
        </w:rPr>
        <w:t>名称：</w:t>
      </w:r>
      <w:r>
        <w:rPr>
          <w:rFonts w:hint="eastAsia" w:ascii="仿宋" w:hAnsi="仿宋" w:eastAsia="仿宋" w:cs="仿宋"/>
          <w:color w:val="auto"/>
          <w:highlight w:val="none"/>
          <w:lang w:eastAsia="zh-CN"/>
        </w:rPr>
        <w:t xml:space="preserve">西安市体育局 </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eastAsia="zh-CN"/>
        </w:rPr>
      </w:pPr>
      <w:r>
        <w:rPr>
          <w:rFonts w:hint="eastAsia" w:ascii="仿宋" w:hAnsi="仿宋" w:eastAsia="仿宋" w:cs="仿宋"/>
          <w:color w:val="auto"/>
          <w:highlight w:val="none"/>
        </w:rPr>
        <w:t>地址：</w:t>
      </w:r>
      <w:r>
        <w:rPr>
          <w:rFonts w:hint="eastAsia" w:ascii="仿宋" w:hAnsi="仿宋" w:eastAsia="仿宋" w:cs="仿宋"/>
          <w:color w:val="auto"/>
          <w:highlight w:val="none"/>
          <w:lang w:eastAsia="zh-CN"/>
        </w:rPr>
        <w:t>西安市未央区汉城街道凤城八路109号市行政中心2号楼</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eastAsia="zh-CN"/>
        </w:rPr>
      </w:pPr>
      <w:r>
        <w:rPr>
          <w:rFonts w:hint="eastAsia" w:ascii="仿宋" w:hAnsi="仿宋" w:eastAsia="仿宋" w:cs="仿宋"/>
          <w:color w:val="auto"/>
          <w:highlight w:val="none"/>
        </w:rPr>
        <w:t>联系方式：</w:t>
      </w:r>
      <w:r>
        <w:rPr>
          <w:rFonts w:hint="eastAsia" w:ascii="仿宋" w:hAnsi="仿宋" w:eastAsia="仿宋" w:cs="仿宋"/>
          <w:color w:val="auto"/>
          <w:highlight w:val="none"/>
          <w:lang w:eastAsia="zh-CN"/>
        </w:rPr>
        <w:t>029-86787989</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2.采购代理机构信息</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名称：陕西省采购招标有限责任公司</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地址：西安市高新二路山西证券大厦八层</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联系方式：</w:t>
      </w:r>
      <w:r>
        <w:rPr>
          <w:rFonts w:hint="eastAsia" w:ascii="仿宋" w:hAnsi="仿宋" w:eastAsia="仿宋" w:cs="仿宋"/>
          <w:color w:val="auto"/>
          <w:sz w:val="24"/>
          <w:highlight w:val="none"/>
        </w:rPr>
        <w:t>029-884</w:t>
      </w:r>
      <w:r>
        <w:rPr>
          <w:rFonts w:hint="eastAsia" w:ascii="仿宋" w:hAnsi="仿宋" w:eastAsia="仿宋" w:cs="仿宋"/>
          <w:color w:val="auto"/>
          <w:sz w:val="24"/>
          <w:highlight w:val="none"/>
          <w:lang w:val="en-US" w:eastAsia="zh-CN"/>
        </w:rPr>
        <w:t>81271</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rPr>
      </w:pPr>
      <w:r>
        <w:rPr>
          <w:rFonts w:hint="eastAsia" w:ascii="仿宋" w:hAnsi="仿宋" w:eastAsia="仿宋" w:cs="仿宋"/>
          <w:color w:val="auto"/>
          <w:highlight w:val="none"/>
        </w:rPr>
        <w:t>3.项目联系方式</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highlight w:val="none"/>
          <w:lang w:eastAsia="zh-CN"/>
        </w:rPr>
      </w:pPr>
      <w:r>
        <w:rPr>
          <w:rFonts w:hint="eastAsia" w:ascii="仿宋" w:hAnsi="仿宋" w:eastAsia="仿宋" w:cs="仿宋"/>
          <w:color w:val="auto"/>
          <w:highlight w:val="none"/>
        </w:rPr>
        <w:t>项目联系人：</w:t>
      </w:r>
      <w:r>
        <w:rPr>
          <w:rFonts w:hint="eastAsia" w:ascii="仿宋" w:hAnsi="仿宋" w:eastAsia="仿宋" w:cs="仿宋"/>
          <w:color w:val="auto"/>
          <w:highlight w:val="none"/>
          <w:lang w:eastAsia="zh-CN"/>
        </w:rPr>
        <w:t>薛珊、刘艳</w:t>
      </w:r>
    </w:p>
    <w:p>
      <w:pPr>
        <w:pStyle w:val="31"/>
        <w:shd w:val="clear" w:color="auto" w:fill="FFFFFF"/>
        <w:wordWrap w:val="0"/>
        <w:adjustRightInd w:val="0"/>
        <w:snapToGrid w:val="0"/>
        <w:spacing w:before="0" w:beforeAutospacing="0" w:after="0" w:afterAutospacing="0" w:line="360" w:lineRule="auto"/>
        <w:ind w:firstLine="480" w:firstLineChars="200"/>
        <w:jc w:val="both"/>
        <w:rPr>
          <w:rFonts w:hint="default" w:ascii="仿宋" w:hAnsi="仿宋" w:eastAsia="仿宋" w:cs="仿宋"/>
          <w:color w:val="auto"/>
          <w:highlight w:val="none"/>
          <w:lang w:val="en-US" w:eastAsia="zh-CN"/>
        </w:rPr>
      </w:pPr>
      <w:r>
        <w:rPr>
          <w:rFonts w:hint="eastAsia" w:ascii="仿宋" w:hAnsi="仿宋" w:eastAsia="仿宋" w:cs="仿宋"/>
          <w:color w:val="auto"/>
          <w:highlight w:val="none"/>
        </w:rPr>
        <w:t>电话：029-884</w:t>
      </w:r>
      <w:r>
        <w:rPr>
          <w:rFonts w:hint="eastAsia" w:ascii="仿宋" w:hAnsi="仿宋" w:eastAsia="仿宋" w:cs="仿宋"/>
          <w:color w:val="auto"/>
          <w:highlight w:val="none"/>
          <w:lang w:val="en-US" w:eastAsia="zh-CN"/>
        </w:rPr>
        <w:t>81271</w:t>
      </w:r>
    </w:p>
    <w:p>
      <w:pPr>
        <w:widowControl/>
        <w:shd w:val="clear" w:color="auto" w:fill="FFFFFF"/>
        <w:wordWrap w:val="0"/>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highlight w:val="none"/>
        </w:rPr>
        <w:br w:type="page"/>
      </w:r>
    </w:p>
    <w:p>
      <w:pPr>
        <w:pStyle w:val="33"/>
        <w:spacing w:before="0" w:after="0" w:line="360" w:lineRule="auto"/>
        <w:rPr>
          <w:rFonts w:hint="eastAsia" w:ascii="仿宋" w:hAnsi="仿宋" w:eastAsia="仿宋" w:cs="仿宋"/>
          <w:color w:val="auto"/>
          <w:highlight w:val="none"/>
        </w:rPr>
      </w:pPr>
      <w:bookmarkStart w:id="6" w:name="_Toc2299"/>
      <w:r>
        <w:rPr>
          <w:rFonts w:hint="eastAsia" w:ascii="仿宋" w:hAnsi="仿宋" w:eastAsia="仿宋" w:cs="仿宋"/>
          <w:color w:val="auto"/>
          <w:highlight w:val="none"/>
        </w:rPr>
        <w:t xml:space="preserve">第二章  </w:t>
      </w:r>
      <w:bookmarkStart w:id="7" w:name="_Toc532473448"/>
      <w:bookmarkStart w:id="8" w:name="_Toc515647756"/>
      <w:r>
        <w:rPr>
          <w:rFonts w:hint="eastAsia" w:ascii="仿宋" w:hAnsi="仿宋" w:eastAsia="仿宋" w:cs="仿宋"/>
          <w:color w:val="auto"/>
          <w:highlight w:val="none"/>
        </w:rPr>
        <w:t>投标人须知</w:t>
      </w:r>
      <w:bookmarkEnd w:id="2"/>
      <w:bookmarkEnd w:id="3"/>
      <w:bookmarkEnd w:id="4"/>
      <w:bookmarkEnd w:id="6"/>
      <w:bookmarkEnd w:id="7"/>
      <w:bookmarkEnd w:id="8"/>
    </w:p>
    <w:p>
      <w:pPr>
        <w:pStyle w:val="5"/>
        <w:spacing w:before="0" w:line="360" w:lineRule="auto"/>
        <w:rPr>
          <w:rFonts w:hint="eastAsia" w:ascii="仿宋" w:hAnsi="仿宋" w:eastAsia="仿宋" w:cs="仿宋"/>
          <w:color w:val="auto"/>
          <w:sz w:val="28"/>
          <w:szCs w:val="18"/>
          <w:highlight w:val="none"/>
        </w:rPr>
      </w:pPr>
      <w:bookmarkStart w:id="9" w:name="_Toc138175437"/>
      <w:bookmarkStart w:id="10" w:name="_Toc30888"/>
      <w:r>
        <w:rPr>
          <w:rFonts w:hint="eastAsia" w:ascii="仿宋" w:hAnsi="仿宋" w:eastAsia="仿宋" w:cs="仿宋"/>
          <w:color w:val="auto"/>
          <w:sz w:val="28"/>
          <w:szCs w:val="18"/>
          <w:highlight w:val="none"/>
        </w:rPr>
        <w:t>（一）投标人须知前附表</w:t>
      </w:r>
      <w:bookmarkEnd w:id="9"/>
      <w:bookmarkEnd w:id="10"/>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本表是对投标人须知的具体补充和修改，如有矛盾，应以本资料表为准。</w:t>
      </w:r>
    </w:p>
    <w:tbl>
      <w:tblPr>
        <w:tblStyle w:val="36"/>
        <w:tblW w:w="5508" w:type="pct"/>
        <w:tblInd w:w="-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4"/>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条款号</w:t>
            </w:r>
          </w:p>
        </w:tc>
        <w:tc>
          <w:tcPr>
            <w:tcW w:w="4469" w:type="pct"/>
            <w:vAlign w:val="center"/>
          </w:tcPr>
          <w:p>
            <w:pPr>
              <w:adjustRightInd w:val="0"/>
              <w:snapToGrid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4469" w:type="pct"/>
            <w:vAlign w:val="center"/>
          </w:tcPr>
          <w:p>
            <w:pPr>
              <w:adjustRightInd w:val="0"/>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 xml:space="preserve">西安市体育局 </w:t>
            </w:r>
          </w:p>
          <w:p>
            <w:pPr>
              <w:adjustRightInd w:val="0"/>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eastAsia="zh-CN"/>
              </w:rPr>
              <w:t>西安市未央区汉城街道凤城八路109号市行政中心2号楼</w:t>
            </w:r>
          </w:p>
          <w:p>
            <w:pPr>
              <w:adjustRightInd w:val="0"/>
              <w:snapToGrid w:val="0"/>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电话：</w:t>
            </w:r>
            <w:r>
              <w:rPr>
                <w:rFonts w:hint="eastAsia" w:ascii="仿宋" w:hAnsi="仿宋" w:eastAsia="仿宋" w:cs="仿宋"/>
                <w:color w:val="auto"/>
                <w:kern w:val="0"/>
                <w:sz w:val="24"/>
                <w:highlight w:val="none"/>
                <w:lang w:eastAsia="zh-CN"/>
              </w:rPr>
              <w:t>029-86787989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4469" w:type="pct"/>
            <w:vAlign w:val="center"/>
          </w:tcPr>
          <w:p>
            <w:pPr>
              <w:adjustRightInd w:val="0"/>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采购代理机构：陕西省采购招标有限责任公司</w:t>
            </w:r>
          </w:p>
          <w:p>
            <w:pPr>
              <w:adjustRightInd w:val="0"/>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地址：西安市高新二路山西证券大厦八层</w:t>
            </w:r>
          </w:p>
          <w:p>
            <w:pPr>
              <w:adjustRightInd w:val="0"/>
              <w:snapToGrid w:val="0"/>
              <w:spacing w:line="360" w:lineRule="auto"/>
              <w:rPr>
                <w:rFonts w:hint="eastAsia" w:ascii="仿宋" w:hAnsi="仿宋" w:eastAsia="仿宋" w:cs="仿宋"/>
                <w:color w:val="auto"/>
                <w:sz w:val="24"/>
                <w:highlight w:val="none"/>
                <w:u w:val="single" w:color="FFFFFF"/>
                <w:lang w:eastAsia="zh-CN"/>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薛珊、刘艳</w:t>
            </w:r>
          </w:p>
          <w:p>
            <w:pPr>
              <w:adjustRightInd w:val="0"/>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电话：029-884</w:t>
            </w:r>
            <w:r>
              <w:rPr>
                <w:rFonts w:hint="eastAsia" w:ascii="仿宋" w:hAnsi="仿宋" w:eastAsia="仿宋" w:cs="仿宋"/>
                <w:color w:val="auto"/>
                <w:sz w:val="24"/>
                <w:highlight w:val="none"/>
                <w:lang w:val="en-US" w:eastAsia="zh-CN"/>
              </w:rPr>
              <w:t>81271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1.3.3</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合格投标人的特定资格条件：</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在递交投标文件截止时间前被“信用中国”网站（www.creditchina.gov.cn）和中国政府采购网（www.ccgp.gov.cn）上被列入失信被执行人、重大税收违法失信主体、政府采购严重违法失信行为记录名单的，不得参加投标；</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2、投标人不得存在下列情形之一：</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（1）单位负责人为同一人或者存在直接控股、管理关系的不同供应商，不得参加本次采购活动；</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（2）为本项目提供整体设计、规范编制或者项目管理、监理、检测等服务的供应商，不得再参加该采购项目的其他采购活动。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1.3.4</w:t>
            </w:r>
          </w:p>
        </w:tc>
        <w:tc>
          <w:tcPr>
            <w:tcW w:w="4469" w:type="pct"/>
            <w:vAlign w:val="center"/>
          </w:tcPr>
          <w:p>
            <w:pPr>
              <w:adjustRightInd w:val="0"/>
              <w:snapToGrid w:val="0"/>
              <w:spacing w:line="360" w:lineRule="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是否为专门面向中小企业采购：</w:t>
            </w:r>
            <w:r>
              <w:rPr>
                <w:rFonts w:hint="eastAsia" w:ascii="仿宋" w:hAnsi="仿宋" w:eastAsia="仿宋" w:cs="仿宋"/>
                <w:b/>
                <w:bCs/>
                <w:color w:val="auto"/>
                <w:sz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是否允许联合体投标：否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1.4.7</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shd w:val="clear" w:color="auto" w:fill="auto"/>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4469" w:type="pct"/>
            <w:shd w:val="clear" w:color="auto" w:fill="auto"/>
            <w:vAlign w:val="center"/>
          </w:tcPr>
          <w:p>
            <w:pPr>
              <w:adjustRightInd w:val="0"/>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项目所属行业：</w:t>
            </w:r>
            <w:r>
              <w:rPr>
                <w:rFonts w:hint="eastAsia" w:ascii="仿宋" w:hAnsi="仿宋" w:eastAsia="仿宋" w:cs="仿宋"/>
                <w:b/>
                <w:bCs/>
                <w:color w:val="auto"/>
                <w:sz w:val="24"/>
                <w:highlight w:val="none"/>
                <w:lang w:val="en-US" w:eastAsia="zh-CN"/>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2.2</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项目预算金额：</w:t>
            </w:r>
            <w:r>
              <w:rPr>
                <w:rFonts w:hint="eastAsia" w:ascii="仿宋" w:hAnsi="仿宋" w:eastAsia="仿宋" w:cs="仿宋"/>
                <w:color w:val="auto"/>
                <w:sz w:val="24"/>
                <w:highlight w:val="none"/>
                <w:lang w:eastAsia="zh-CN"/>
              </w:rPr>
              <w:t>2000000.00</w:t>
            </w:r>
            <w:r>
              <w:rPr>
                <w:rFonts w:hint="eastAsia" w:ascii="仿宋" w:hAnsi="仿宋" w:eastAsia="仿宋" w:cs="仿宋"/>
                <w:color w:val="auto"/>
                <w:sz w:val="24"/>
                <w:highlight w:val="none"/>
              </w:rPr>
              <w:t>元;最高限价：</w:t>
            </w:r>
            <w:r>
              <w:rPr>
                <w:rFonts w:hint="eastAsia" w:ascii="仿宋" w:hAnsi="仿宋" w:eastAsia="仿宋" w:cs="仿宋"/>
                <w:color w:val="auto"/>
                <w:sz w:val="24"/>
                <w:highlight w:val="none"/>
                <w:lang w:eastAsia="zh-CN"/>
              </w:rPr>
              <w:t>2000000.00</w:t>
            </w:r>
            <w:r>
              <w:rPr>
                <w:rFonts w:hint="eastAsia" w:ascii="仿宋" w:hAnsi="仿宋" w:eastAsia="仿宋" w:cs="仿宋"/>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5.4</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是否组织现场考察或者召开答疑会：否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如投标人对多个包进行投标，可以中标</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12.1</w:t>
            </w:r>
          </w:p>
        </w:tc>
        <w:tc>
          <w:tcPr>
            <w:tcW w:w="4469" w:type="pct"/>
            <w:vAlign w:val="center"/>
          </w:tcPr>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投标人无须递交投标保证金。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本项目为平台电子投标，无需纸质版投标文件。但投标人在中标后需将上传的电子投标文件装订三套（需加盖鲜章）送至至西安市高新二路山西证券大厦八层</w:t>
            </w:r>
            <w:r>
              <w:rPr>
                <w:rFonts w:hint="eastAsia" w:ascii="仿宋" w:hAnsi="仿宋" w:eastAsia="仿宋" w:cs="仿宋"/>
                <w:color w:val="auto"/>
                <w:sz w:val="24"/>
                <w:highlight w:val="none"/>
                <w:lang w:eastAsia="zh-CN"/>
              </w:rPr>
              <w:t>招标二部</w:t>
            </w:r>
            <w:r>
              <w:rPr>
                <w:rFonts w:hint="eastAsia" w:ascii="仿宋" w:hAnsi="仿宋" w:eastAsia="仿宋" w:cs="仿宋"/>
                <w:color w:val="auto"/>
                <w:sz w:val="24"/>
                <w:highlight w:val="none"/>
              </w:rPr>
              <w:t>。</w:t>
            </w:r>
          </w:p>
          <w:p>
            <w:pPr>
              <w:adjustRightInd w:val="0"/>
              <w:snapToGrid w:val="0"/>
              <w:spacing w:line="360" w:lineRule="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注：平台电子投标文件制作注意事项</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链接地址：</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http://sxggzyjy.xa.gov.cn/fwzn/004003/20181115/4d59c184-e8f6-4d5a-a416-c2f6b0601e66.html</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再次提醒：提交投标文件截止时间前，投标人应随时留意“政府采购信息发布媒体”上可能发布的变更公告。若变更公告中明确注明本项目伴有变更文件的，投标人应登录企业端后，从〖项目流程·〉项目管理·〉答疑文件下载〗获取更新后的电子招标文件（*.SXSCF），使用旧版电子招标文件制作的电子投标文件（*.SXSTF），系统将拒绝接收。</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3．电子投标文件制作过程中，需要法定代表人签字或盖章的地方，请使用“法人CA锁”进行签章；需要加盖投标人公章的地方，请使用“企业CA锁”进行签章。</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若导出的PDF文件里看不到签章，请尝试使用专用制作软件中的“查看投标文件工具”打开未加密的电子投标文件重新导出。在制作过程中，如有其他技术性问题，请先翻阅操作手册，或致电软件开发商。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16.1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投标截止时间：</w:t>
            </w:r>
            <w:r>
              <w:rPr>
                <w:rFonts w:hint="eastAsia" w:ascii="仿宋" w:hAnsi="仿宋" w:eastAsia="仿宋" w:cs="仿宋"/>
                <w:b/>
                <w:bCs/>
                <w:color w:val="auto"/>
                <w:sz w:val="24"/>
                <w:highlight w:val="none"/>
              </w:rPr>
              <w:t>2023年</w:t>
            </w:r>
            <w:r>
              <w:rPr>
                <w:rFonts w:hint="eastAsia" w:ascii="仿宋" w:hAnsi="仿宋" w:eastAsia="仿宋" w:cs="仿宋"/>
                <w:b/>
                <w:bCs/>
                <w:color w:val="auto"/>
                <w:sz w:val="24"/>
                <w:highlight w:val="none"/>
                <w:lang w:val="en-US" w:eastAsia="zh-CN"/>
              </w:rPr>
              <w:t>09</w:t>
            </w:r>
            <w:r>
              <w:rPr>
                <w:rFonts w:hint="eastAsia" w:ascii="仿宋" w:hAnsi="仿宋" w:eastAsia="仿宋" w:cs="仿宋"/>
                <w:b/>
                <w:bCs/>
                <w:color w:val="auto"/>
                <w:sz w:val="24"/>
                <w:highlight w:val="none"/>
              </w:rPr>
              <w:t>月</w:t>
            </w:r>
            <w:r>
              <w:rPr>
                <w:rFonts w:hint="eastAsia" w:ascii="仿宋" w:hAnsi="仿宋" w:eastAsia="仿宋" w:cs="仿宋"/>
                <w:b/>
                <w:bCs/>
                <w:color w:val="auto"/>
                <w:sz w:val="24"/>
                <w:highlight w:val="none"/>
                <w:lang w:val="en-US" w:eastAsia="zh-CN"/>
              </w:rPr>
              <w:t>06</w:t>
            </w:r>
            <w:r>
              <w:rPr>
                <w:rFonts w:hint="eastAsia" w:ascii="仿宋" w:hAnsi="仿宋" w:eastAsia="仿宋" w:cs="仿宋"/>
                <w:b/>
                <w:bCs/>
                <w:color w:val="auto"/>
                <w:sz w:val="24"/>
                <w:highlight w:val="none"/>
              </w:rPr>
              <w:t>日09时30分00秒</w:t>
            </w:r>
          </w:p>
          <w:p>
            <w:pPr>
              <w:adjustRightInd w:val="0"/>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在提交投标文件截止时间前及时提交加密后电子投标文件，逾期提交的，系统将会拒收。</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1．在生成电子投标文件时，需要使用CA锁对投标文件进行加密。</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注意：加密投标文件和开标时解密投标文件应当使用同一CA，否则将会导致解密失败。</w:t>
            </w:r>
            <w:bookmarkStart w:id="11" w:name="_Hlk127177670"/>
            <w:r>
              <w:rPr>
                <w:rFonts w:hint="eastAsia" w:ascii="仿宋" w:hAnsi="仿宋" w:eastAsia="仿宋" w:cs="仿宋"/>
                <w:color w:val="auto"/>
                <w:sz w:val="24"/>
                <w:highlight w:val="none"/>
                <w:lang w:val="zh-CN"/>
              </w:rPr>
              <w:t>因投标人原因造成其投标文件无法解密或无法打开的，按无效投标处理。</w:t>
            </w:r>
            <w:bookmarkEnd w:id="11"/>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adjustRightInd w:val="0"/>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zh-CN"/>
              </w:rPr>
              <w:t>3．上传文件有误或需要重新提交的，可先撤销已经上传的文件，然后重新上传新文件。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p>
        </w:tc>
        <w:tc>
          <w:tcPr>
            <w:tcW w:w="4469" w:type="pct"/>
            <w:vAlign w:val="center"/>
          </w:tcPr>
          <w:p>
            <w:pPr>
              <w:adjustRightInd w:val="0"/>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开标时间：</w:t>
            </w:r>
            <w:r>
              <w:rPr>
                <w:rFonts w:hint="eastAsia" w:ascii="仿宋" w:hAnsi="仿宋" w:eastAsia="仿宋" w:cs="仿宋"/>
                <w:b/>
                <w:bCs/>
                <w:color w:val="auto"/>
                <w:sz w:val="24"/>
                <w:highlight w:val="none"/>
              </w:rPr>
              <w:t>2023年</w:t>
            </w:r>
            <w:r>
              <w:rPr>
                <w:rFonts w:hint="eastAsia" w:ascii="仿宋" w:hAnsi="仿宋" w:eastAsia="仿宋" w:cs="仿宋"/>
                <w:b/>
                <w:bCs/>
                <w:color w:val="auto"/>
                <w:sz w:val="24"/>
                <w:highlight w:val="none"/>
                <w:lang w:val="en-US" w:eastAsia="zh-CN"/>
              </w:rPr>
              <w:t>09</w:t>
            </w:r>
            <w:r>
              <w:rPr>
                <w:rFonts w:hint="eastAsia" w:ascii="仿宋" w:hAnsi="仿宋" w:eastAsia="仿宋" w:cs="仿宋"/>
                <w:b/>
                <w:bCs/>
                <w:color w:val="auto"/>
                <w:sz w:val="24"/>
                <w:highlight w:val="none"/>
              </w:rPr>
              <w:t>月</w:t>
            </w:r>
            <w:r>
              <w:rPr>
                <w:rFonts w:hint="eastAsia" w:ascii="仿宋" w:hAnsi="仿宋" w:eastAsia="仿宋" w:cs="仿宋"/>
                <w:b/>
                <w:bCs/>
                <w:color w:val="auto"/>
                <w:sz w:val="24"/>
                <w:highlight w:val="none"/>
                <w:lang w:val="en-US" w:eastAsia="zh-CN"/>
              </w:rPr>
              <w:t>06</w:t>
            </w:r>
            <w:r>
              <w:rPr>
                <w:rFonts w:hint="eastAsia" w:ascii="仿宋" w:hAnsi="仿宋" w:eastAsia="仿宋" w:cs="仿宋"/>
                <w:b/>
                <w:bCs/>
                <w:color w:val="auto"/>
                <w:sz w:val="24"/>
                <w:highlight w:val="none"/>
              </w:rPr>
              <w:t>日09时30分00秒</w:t>
            </w:r>
          </w:p>
          <w:p>
            <w:pPr>
              <w:adjustRightInd w:val="0"/>
              <w:snapToGrid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开标地点：</w:t>
            </w:r>
            <w:r>
              <w:rPr>
                <w:rFonts w:hint="eastAsia" w:ascii="仿宋" w:hAnsi="仿宋" w:eastAsia="仿宋" w:cs="仿宋"/>
                <w:color w:val="auto"/>
                <w:sz w:val="24"/>
                <w:highlight w:val="none"/>
                <w:lang w:val="zh-CN"/>
              </w:rPr>
              <w:t>项目采用“不见面开标”。不见面开标大厅登录方式为：全国公共资源交易平台（陕西省·西安市）西安市公共资源交易中心网-不见面开标系统。</w:t>
            </w:r>
          </w:p>
          <w:p>
            <w:pPr>
              <w:adjustRightInd w:val="0"/>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zh-CN"/>
              </w:rPr>
              <w:t>建议投标人在投标截止时间（开标时间）前1小时内登录不见面开标大厅，并及时签到，否则将无法参与不见面开标活动。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19.2</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信用查询时间:为招标文件发售时间至资格审查工作结束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20.5</w:t>
            </w:r>
          </w:p>
        </w:tc>
        <w:tc>
          <w:tcPr>
            <w:tcW w:w="4469" w:type="pct"/>
            <w:vAlign w:val="center"/>
          </w:tcPr>
          <w:p>
            <w:pPr>
              <w:adjustRightInd w:val="0"/>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核心产品：移动篮球架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评标方法：适用</w:t>
            </w:r>
            <w:r>
              <w:rPr>
                <w:rFonts w:hint="eastAsia" w:ascii="仿宋" w:hAnsi="仿宋" w:eastAsia="仿宋" w:cs="仿宋"/>
                <w:color w:val="auto"/>
                <w:sz w:val="24"/>
                <w:highlight w:val="none"/>
                <w:u w:val="single"/>
              </w:rPr>
              <w:t xml:space="preserve"> 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27.1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推荐中标候选人的数量：</w:t>
            </w:r>
            <w:r>
              <w:rPr>
                <w:rFonts w:hint="eastAsia" w:ascii="仿宋" w:hAnsi="仿宋" w:eastAsia="仿宋" w:cs="仿宋"/>
                <w:color w:val="auto"/>
                <w:sz w:val="24"/>
                <w:highlight w:val="none"/>
                <w:u w:val="single"/>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27.2</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招标人是否委托评标委员会直接确定中标人：否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31.1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是否提交履约保证金：否</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履约保证金金额：合同总价的</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（不得超过政府采购合同金额的5%）</w:t>
            </w:r>
          </w:p>
          <w:p>
            <w:pPr>
              <w:adjustRightInd w:val="0"/>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提交履约保证金的时间：签订合同后</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32.1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预付款比例为：若中标人为中小微企业时预付款比例不低于40%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32.3</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情形如下：</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□采购资金在履约完成之后才能到位</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□政府采购合同履约期限小于20日</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□政府采购预算资金小于50万元</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□其他采购人不能在政府采购合同履约完成前支付采购资金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33</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中标单位在领取中标通知书前，须向采购代理机构支付招标代理服务费，招标代理服务费由采购人与采购代理机构约定：</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参照原国家计委计价格【2002】1980号文和国家发改委发改办价格【2003】857号文的计算方法（按标段）收取</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不足6000元按照6000元收取</w:t>
            </w:r>
            <w:r>
              <w:rPr>
                <w:rFonts w:hint="eastAsia" w:ascii="仿宋" w:hAnsi="仿宋" w:eastAsia="仿宋" w:cs="仿宋"/>
                <w:color w:val="auto"/>
                <w:sz w:val="24"/>
                <w:highlight w:val="none"/>
              </w:rPr>
              <w:t>。</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中标单位的招标代理服务费交纳信息</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银行户名：陕西省采购招标有限责任公司</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开户银行：中国光大银行西安友谊路支行</w:t>
            </w:r>
          </w:p>
          <w:p>
            <w:pPr>
              <w:autoSpaceDE w:val="0"/>
              <w:autoSpaceDN w:val="0"/>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账    号：78560188000095264</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 系 人：张婕</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联系电话：029-85263975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37.2</w:t>
            </w:r>
          </w:p>
        </w:tc>
        <w:tc>
          <w:tcPr>
            <w:tcW w:w="4469" w:type="pct"/>
            <w:vAlign w:val="center"/>
          </w:tcPr>
          <w:p>
            <w:pPr>
              <w:adjustRightInd w:val="0"/>
              <w:snapToGrid w:val="0"/>
              <w:spacing w:line="360" w:lineRule="auto"/>
              <w:ind w:left="706" w:leftChars="-1" w:hanging="708" w:hangingChars="295"/>
              <w:rPr>
                <w:rFonts w:hint="eastAsia" w:ascii="仿宋" w:hAnsi="仿宋" w:eastAsia="仿宋" w:cs="仿宋"/>
                <w:color w:val="auto"/>
                <w:sz w:val="24"/>
                <w:highlight w:val="none"/>
              </w:rPr>
            </w:pPr>
            <w:r>
              <w:rPr>
                <w:rFonts w:hint="eastAsia" w:ascii="仿宋" w:hAnsi="仿宋" w:eastAsia="仿宋" w:cs="仿宋"/>
                <w:color w:val="auto"/>
                <w:sz w:val="24"/>
                <w:highlight w:val="none"/>
              </w:rPr>
              <w:t>针对同一采购程序环节的质疑次数：一次性提出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37.4</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联系单位：陕西省采购招标有限责任公司</w:t>
            </w:r>
          </w:p>
          <w:p>
            <w:pPr>
              <w:adjustRightInd w:val="0"/>
              <w:snapToGrid w:val="0"/>
              <w:spacing w:line="360" w:lineRule="auto"/>
              <w:ind w:left="710" w:leftChars="-23" w:hanging="758" w:hangingChars="316"/>
              <w:rPr>
                <w:rFonts w:hint="eastAsia" w:ascii="仿宋" w:hAnsi="仿宋" w:eastAsia="仿宋" w:cs="仿宋"/>
                <w:color w:val="auto"/>
                <w:sz w:val="24"/>
                <w:highlight w:val="none"/>
              </w:rPr>
            </w:pPr>
            <w:r>
              <w:rPr>
                <w:rFonts w:hint="eastAsia" w:ascii="仿宋" w:hAnsi="仿宋" w:eastAsia="仿宋" w:cs="仿宋"/>
                <w:color w:val="auto"/>
                <w:sz w:val="24"/>
                <w:highlight w:val="none"/>
              </w:rPr>
              <w:t>联 系 人：综合办公室</w:t>
            </w:r>
          </w:p>
          <w:p>
            <w:pPr>
              <w:adjustRightInd w:val="0"/>
              <w:snapToGrid w:val="0"/>
              <w:spacing w:line="360" w:lineRule="auto"/>
              <w:ind w:left="710" w:leftChars="-23" w:hanging="758" w:hangingChars="316"/>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联系电话：029-85235014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000" w:type="pct"/>
            <w:gridSpan w:val="2"/>
            <w:vAlign w:val="center"/>
          </w:tcPr>
          <w:p>
            <w:pPr>
              <w:adjustRightInd w:val="0"/>
              <w:snapToGrid w:val="0"/>
              <w:spacing w:line="360" w:lineRule="auto"/>
              <w:ind w:left="1417" w:leftChars="203" w:hanging="991"/>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适用于本投标人须知的额外增加的变动：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根据本项目特点，投标人应提交的其他资格证明文件（特定资格条件）为：</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在递交投标文件截止时间前被“信用中国”网站（www.creditchina.gov.cn）和中国政府采购网（www.ccgp.gov.cn）上被列入失信被执行人、重大税收违法失信主体、政府采购严重违法失信行为记录名单的，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30" w:type="pct"/>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469" w:type="pct"/>
            <w:vAlign w:val="center"/>
          </w:tcPr>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投标人应提交的其他文件：/</w:t>
            </w:r>
          </w:p>
        </w:tc>
      </w:tr>
    </w:tbl>
    <w:p>
      <w:pPr>
        <w:pStyle w:val="5"/>
        <w:spacing w:before="0" w:line="360" w:lineRule="auto"/>
        <w:rPr>
          <w:rFonts w:hint="eastAsia" w:ascii="仿宋" w:hAnsi="仿宋" w:eastAsia="仿宋" w:cs="仿宋"/>
          <w:color w:val="auto"/>
          <w:sz w:val="28"/>
          <w:szCs w:val="18"/>
          <w:highlight w:val="none"/>
        </w:rPr>
      </w:pPr>
      <w:r>
        <w:rPr>
          <w:rFonts w:hint="eastAsia" w:ascii="仿宋" w:hAnsi="仿宋" w:eastAsia="仿宋" w:cs="仿宋"/>
          <w:color w:val="auto"/>
          <w:highlight w:val="none"/>
        </w:rPr>
        <w:br w:type="page"/>
      </w:r>
      <w:bookmarkStart w:id="12" w:name="_Toc138175438"/>
      <w:bookmarkStart w:id="13" w:name="_Toc18357"/>
      <w:bookmarkStart w:id="14" w:name="_Toc518923099"/>
      <w:bookmarkStart w:id="15" w:name="_Toc2583660"/>
      <w:bookmarkStart w:id="16" w:name="_Toc515647794"/>
      <w:bookmarkStart w:id="17" w:name="_Toc532473486"/>
      <w:bookmarkStart w:id="18" w:name="_Toc29408"/>
      <w:bookmarkStart w:id="19" w:name="_Toc2582300"/>
      <w:bookmarkStart w:id="20" w:name="_Toc3090"/>
      <w:r>
        <w:rPr>
          <w:rFonts w:hint="eastAsia" w:ascii="仿宋" w:hAnsi="仿宋" w:eastAsia="仿宋" w:cs="仿宋"/>
          <w:color w:val="auto"/>
          <w:sz w:val="28"/>
          <w:szCs w:val="18"/>
          <w:highlight w:val="none"/>
        </w:rPr>
        <w:t>（二）投标人须知</w:t>
      </w:r>
      <w:bookmarkEnd w:id="12"/>
      <w:bookmarkEnd w:id="13"/>
    </w:p>
    <w:p>
      <w:pPr>
        <w:spacing w:line="360" w:lineRule="auto"/>
        <w:jc w:val="center"/>
        <w:outlineLvl w:val="2"/>
        <w:rPr>
          <w:rFonts w:hint="eastAsia" w:ascii="仿宋" w:hAnsi="仿宋" w:eastAsia="仿宋" w:cs="仿宋"/>
          <w:b/>
          <w:color w:val="auto"/>
          <w:sz w:val="28"/>
          <w:szCs w:val="28"/>
          <w:highlight w:val="none"/>
        </w:rPr>
      </w:pPr>
      <w:bookmarkStart w:id="21" w:name="_Toc216582805"/>
      <w:bookmarkStart w:id="22" w:name="_Toc515647757"/>
      <w:bookmarkStart w:id="23" w:name="_Toc520356143"/>
      <w:bookmarkStart w:id="24" w:name="_Toc29893"/>
      <w:bookmarkStart w:id="25" w:name="_Toc21215"/>
      <w:bookmarkStart w:id="26" w:name="_Toc138175439"/>
      <w:bookmarkStart w:id="27" w:name="_Toc21015"/>
      <w:bookmarkStart w:id="28" w:name="_Toc532473449"/>
      <w:r>
        <w:rPr>
          <w:rFonts w:hint="eastAsia" w:ascii="仿宋" w:hAnsi="仿宋" w:eastAsia="仿宋" w:cs="仿宋"/>
          <w:b/>
          <w:color w:val="auto"/>
          <w:sz w:val="28"/>
          <w:szCs w:val="28"/>
          <w:highlight w:val="none"/>
        </w:rPr>
        <w:t>一、</w:t>
      </w:r>
      <w:bookmarkEnd w:id="21"/>
      <w:bookmarkEnd w:id="22"/>
      <w:bookmarkEnd w:id="23"/>
      <w:r>
        <w:rPr>
          <w:rFonts w:hint="eastAsia" w:ascii="仿宋" w:hAnsi="仿宋" w:eastAsia="仿宋" w:cs="仿宋"/>
          <w:b/>
          <w:color w:val="auto"/>
          <w:sz w:val="28"/>
          <w:szCs w:val="28"/>
          <w:highlight w:val="none"/>
        </w:rPr>
        <w:t>总则</w:t>
      </w:r>
      <w:bookmarkEnd w:id="24"/>
      <w:bookmarkEnd w:id="25"/>
      <w:bookmarkEnd w:id="26"/>
      <w:bookmarkEnd w:id="27"/>
      <w:bookmarkEnd w:id="28"/>
    </w:p>
    <w:p>
      <w:pPr>
        <w:tabs>
          <w:tab w:val="left" w:pos="0"/>
        </w:tabs>
        <w:spacing w:line="360" w:lineRule="auto"/>
        <w:rPr>
          <w:rFonts w:hint="eastAsia" w:ascii="仿宋" w:hAnsi="仿宋" w:eastAsia="仿宋" w:cs="仿宋"/>
          <w:b/>
          <w:color w:val="auto"/>
          <w:sz w:val="24"/>
          <w:highlight w:val="none"/>
        </w:rPr>
      </w:pPr>
      <w:bookmarkStart w:id="29" w:name="_Toc520356144"/>
      <w:bookmarkStart w:id="30" w:name="_Toc515647758"/>
      <w:bookmarkStart w:id="31" w:name="_Toc532473450"/>
      <w:bookmarkStart w:id="32" w:name="_Toc32623"/>
      <w:bookmarkStart w:id="33" w:name="_Toc32189"/>
      <w:r>
        <w:rPr>
          <w:rFonts w:hint="eastAsia" w:ascii="仿宋" w:hAnsi="仿宋" w:eastAsia="仿宋" w:cs="仿宋"/>
          <w:b/>
          <w:color w:val="auto"/>
          <w:sz w:val="24"/>
          <w:highlight w:val="none"/>
        </w:rPr>
        <w:t>1.     采购人、采购代理机构及</w:t>
      </w:r>
      <w:bookmarkEnd w:id="29"/>
      <w:r>
        <w:rPr>
          <w:rFonts w:hint="eastAsia" w:ascii="仿宋" w:hAnsi="仿宋" w:eastAsia="仿宋" w:cs="仿宋"/>
          <w:b/>
          <w:color w:val="auto"/>
          <w:sz w:val="24"/>
          <w:highlight w:val="none"/>
        </w:rPr>
        <w:t>投标人</w:t>
      </w:r>
      <w:bookmarkEnd w:id="30"/>
      <w:bookmarkEnd w:id="31"/>
      <w:bookmarkEnd w:id="32"/>
      <w:bookmarkEnd w:id="33"/>
    </w:p>
    <w:p>
      <w:pPr>
        <w:tabs>
          <w:tab w:val="left" w:pos="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    采购人：是指依法进行政府采购的国家机关、事业单位、团体组织。</w:t>
      </w:r>
    </w:p>
    <w:p>
      <w:pPr>
        <w:tabs>
          <w:tab w:val="left" w:pos="0"/>
        </w:tabs>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本项目的采购人见</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w:t>
      </w:r>
    </w:p>
    <w:p>
      <w:pPr>
        <w:tabs>
          <w:tab w:val="left" w:pos="142"/>
        </w:tabs>
        <w:spacing w:line="360" w:lineRule="auto"/>
        <w:ind w:left="828" w:hanging="828" w:hangingChars="345"/>
        <w:rPr>
          <w:rFonts w:hint="eastAsia" w:ascii="仿宋" w:hAnsi="仿宋" w:eastAsia="仿宋" w:cs="仿宋"/>
          <w:color w:val="auto"/>
          <w:sz w:val="24"/>
          <w:highlight w:val="none"/>
        </w:rPr>
      </w:pPr>
      <w:r>
        <w:rPr>
          <w:rFonts w:hint="eastAsia" w:ascii="仿宋" w:hAnsi="仿宋" w:eastAsia="仿宋" w:cs="仿宋"/>
          <w:color w:val="auto"/>
          <w:sz w:val="24"/>
          <w:highlight w:val="none"/>
        </w:rPr>
        <w:t>1.2    采购代理机构：本项目的采购代理机构为陕西省采购招标有限责任公司，见</w:t>
      </w:r>
      <w:r>
        <w:rPr>
          <w:rFonts w:hint="eastAsia" w:ascii="仿宋" w:hAnsi="仿宋" w:eastAsia="仿宋" w:cs="仿宋"/>
          <w:color w:val="auto"/>
          <w:sz w:val="24"/>
          <w:highlight w:val="none"/>
          <w:u w:val="single"/>
        </w:rPr>
        <w:t>投标人须知前附表。</w:t>
      </w:r>
    </w:p>
    <w:p>
      <w:pPr>
        <w:tabs>
          <w:tab w:val="left" w:pos="142"/>
        </w:tabs>
        <w:spacing w:line="360" w:lineRule="auto"/>
        <w:ind w:left="828" w:hanging="828" w:hangingChars="345"/>
        <w:rPr>
          <w:rFonts w:hint="eastAsia" w:ascii="仿宋" w:hAnsi="仿宋" w:eastAsia="仿宋" w:cs="仿宋"/>
          <w:color w:val="auto"/>
          <w:sz w:val="24"/>
          <w:highlight w:val="none"/>
        </w:rPr>
      </w:pPr>
      <w:r>
        <w:rPr>
          <w:rFonts w:hint="eastAsia" w:ascii="仿宋" w:hAnsi="仿宋" w:eastAsia="仿宋" w:cs="仿宋"/>
          <w:color w:val="auto"/>
          <w:sz w:val="24"/>
          <w:highlight w:val="none"/>
        </w:rPr>
        <w:t>1.3    投标人：是指响应招标、参加投标竞争的法人、其他组织或者自然人。潜在投标人：以招标文件规定的方式获取本项目招标文件的法人、其他组织或者自然人。</w:t>
      </w:r>
    </w:p>
    <w:p>
      <w:pPr>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本项目的投标人须满足以下条件：</w:t>
      </w:r>
    </w:p>
    <w:p>
      <w:pPr>
        <w:spacing w:line="360" w:lineRule="auto"/>
        <w:ind w:left="838" w:hanging="837" w:hangingChars="349"/>
        <w:rPr>
          <w:rFonts w:hint="eastAsia" w:ascii="仿宋" w:hAnsi="仿宋" w:eastAsia="仿宋" w:cs="仿宋"/>
          <w:color w:val="auto"/>
          <w:sz w:val="24"/>
          <w:highlight w:val="none"/>
        </w:rPr>
      </w:pPr>
      <w:r>
        <w:rPr>
          <w:rFonts w:hint="eastAsia" w:ascii="仿宋" w:hAnsi="仿宋" w:eastAsia="仿宋" w:cs="仿宋"/>
          <w:color w:val="auto"/>
          <w:sz w:val="24"/>
          <w:highlight w:val="none"/>
        </w:rPr>
        <w:t>1.3.1  具备《中华人民共和国政府采购法》第二十二条关于投标人条件的规定，遵守本项目采购人和财政部门政府采购的有关规定。</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1.3.2  以招标文件规定的方式获得了本项目的招标文件。</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1.3.3  符合</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中规定的合格投标人的其他资格要求。</w:t>
      </w:r>
    </w:p>
    <w:p>
      <w:pPr>
        <w:spacing w:line="360" w:lineRule="auto"/>
        <w:ind w:left="838" w:hanging="837" w:hangingChars="349"/>
        <w:rPr>
          <w:rFonts w:hint="eastAsia" w:ascii="仿宋" w:hAnsi="仿宋" w:eastAsia="仿宋" w:cs="仿宋"/>
          <w:color w:val="auto"/>
          <w:sz w:val="24"/>
          <w:highlight w:val="none"/>
        </w:rPr>
      </w:pPr>
      <w:r>
        <w:rPr>
          <w:rFonts w:hint="eastAsia" w:ascii="仿宋" w:hAnsi="仿宋" w:eastAsia="仿宋" w:cs="仿宋"/>
          <w:color w:val="auto"/>
          <w:sz w:val="24"/>
          <w:highlight w:val="none"/>
        </w:rPr>
        <w:t>1.3.4  若</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中写明专门面向中小企业采购的，如投标人未出具《中小企业声明函》，其投标将被认定为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spacing w:line="360" w:lineRule="auto"/>
        <w:ind w:left="838" w:hanging="837" w:hangingChars="349"/>
        <w:rPr>
          <w:rFonts w:hint="eastAsia" w:ascii="仿宋" w:hAnsi="仿宋" w:eastAsia="仿宋" w:cs="仿宋"/>
          <w:color w:val="auto"/>
          <w:sz w:val="24"/>
          <w:highlight w:val="none"/>
        </w:rPr>
      </w:pPr>
      <w:r>
        <w:rPr>
          <w:rFonts w:hint="eastAsia" w:ascii="仿宋" w:hAnsi="仿宋" w:eastAsia="仿宋" w:cs="仿宋"/>
          <w:color w:val="auto"/>
          <w:sz w:val="24"/>
          <w:highlight w:val="none"/>
        </w:rPr>
        <w:t>1.3.5  若投标人须知前附表中写明允许采购进口产品，投标人应保证所投产品可履行合法报通关手续进入中国关境内。</w:t>
      </w:r>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若投标人须知前附表中不允许采购进口产品，如投标人所投产品为进口产品，其投标将被认定为投标无效。</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    如</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中允许联合体投标，对联合体规定如下：</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1.4.1  两个及以上投标人可以组成一个投标联合体，以一个投标人的身份投标。</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1.4.2  联合体各方均应符合本须知规定。</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1.4.3  采购人根据采购项目对投标人的特殊要求，联合体中至少应当有一方符合相关规定。</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1.4.4  联合体各方应签订共同投标协议，明确约定联合体各方承担的工作和相应的责任，并将共同投标协议作为投标文件资格证明文件的内容提交。</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1.4.5  大中型企业、其他自然人、法人或者其他组织与小型、微型企业组成联合体共同参加投标，共同投标协议中应写明小型、微型企业的协议合同金额占到共同投标协议投标总金额的比例。</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1.4.6  以联合体形式参加政府采购活动的，联合体各方不得再单独参加或者与其他投标人另外组成联合体参加本项目同一合同项下的投标，否则相关投标将被认定为</w:t>
      </w:r>
      <w:r>
        <w:rPr>
          <w:rFonts w:hint="eastAsia" w:ascii="仿宋" w:hAnsi="仿宋" w:eastAsia="仿宋" w:cs="仿宋"/>
          <w:b/>
          <w:color w:val="auto"/>
          <w:sz w:val="24"/>
          <w:highlight w:val="none"/>
        </w:rPr>
        <w:t>投标无效。</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1.4.7  对联合体投标的其他资格要求见</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1.5    单位负责人为同一人或者存在直接控股、管理关系的不同供应商参与本项目同一合同项下的投标的，其相关投标将被认定为</w:t>
      </w:r>
      <w:r>
        <w:rPr>
          <w:rFonts w:hint="eastAsia" w:ascii="仿宋" w:hAnsi="仿宋" w:eastAsia="仿宋" w:cs="仿宋"/>
          <w:b/>
          <w:color w:val="auto"/>
          <w:sz w:val="24"/>
          <w:highlight w:val="none"/>
        </w:rPr>
        <w:t>投标无效</w:t>
      </w:r>
      <w:r>
        <w:rPr>
          <w:rFonts w:hint="eastAsia" w:ascii="仿宋" w:hAnsi="仿宋" w:eastAsia="仿宋" w:cs="仿宋"/>
          <w:color w:val="auto"/>
          <w:sz w:val="24"/>
          <w:highlight w:val="none"/>
        </w:rPr>
        <w:t>。</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1.6    为本项目提供过整体设计、规范编制或者项目管理、监理、检测等服务的供应商，不得再参加本项目上述服务以外的其他采购活动。否则其投标将被认定为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1.7    本项目所属行业见</w:t>
      </w:r>
      <w:r>
        <w:rPr>
          <w:rFonts w:hint="eastAsia" w:ascii="仿宋" w:hAnsi="仿宋" w:eastAsia="仿宋" w:cs="仿宋"/>
          <w:color w:val="auto"/>
          <w:highlight w:val="none"/>
          <w:u w:val="single"/>
        </w:rPr>
        <w:t>投标人须知前附表</w:t>
      </w:r>
      <w:r>
        <w:rPr>
          <w:rFonts w:hint="eastAsia" w:ascii="仿宋" w:hAnsi="仿宋" w:eastAsia="仿宋" w:cs="仿宋"/>
          <w:color w:val="auto"/>
          <w:highlight w:val="none"/>
        </w:rPr>
        <w:t>。</w:t>
      </w:r>
    </w:p>
    <w:p>
      <w:pPr>
        <w:tabs>
          <w:tab w:val="left" w:pos="0"/>
        </w:tabs>
        <w:spacing w:line="360" w:lineRule="auto"/>
        <w:rPr>
          <w:rFonts w:hint="eastAsia" w:ascii="仿宋" w:hAnsi="仿宋" w:eastAsia="仿宋" w:cs="仿宋"/>
          <w:b/>
          <w:color w:val="auto"/>
          <w:sz w:val="24"/>
          <w:highlight w:val="none"/>
        </w:rPr>
      </w:pPr>
      <w:bookmarkStart w:id="34" w:name="_Toc532473451"/>
      <w:bookmarkStart w:id="35" w:name="_Toc12139"/>
      <w:bookmarkStart w:id="36" w:name="_Toc515647759"/>
      <w:bookmarkStart w:id="37" w:name="_Toc5286"/>
      <w:r>
        <w:rPr>
          <w:rFonts w:hint="eastAsia" w:ascii="仿宋" w:hAnsi="仿宋" w:eastAsia="仿宋" w:cs="仿宋"/>
          <w:b/>
          <w:color w:val="auto"/>
          <w:sz w:val="24"/>
          <w:highlight w:val="none"/>
        </w:rPr>
        <w:t>2.     资金来源</w:t>
      </w:r>
      <w:bookmarkEnd w:id="34"/>
      <w:bookmarkEnd w:id="35"/>
      <w:bookmarkEnd w:id="36"/>
      <w:bookmarkEnd w:id="37"/>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2.1    本项目的采购资金已列入政府采购项目预算，具有开展政府采购活动的条件。</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2.2    项目预算金额和最高限价（如有）见</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w:t>
      </w:r>
    </w:p>
    <w:p>
      <w:pPr>
        <w:spacing w:line="360" w:lineRule="auto"/>
        <w:ind w:left="835" w:hanging="835" w:hangingChars="348"/>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投标人报价超过招标文件规定的预算金额或者预算额度内最高限价的，其投标将被认定为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tabs>
          <w:tab w:val="left" w:pos="0"/>
        </w:tabs>
        <w:spacing w:line="360" w:lineRule="auto"/>
        <w:rPr>
          <w:rFonts w:hint="eastAsia" w:ascii="仿宋" w:hAnsi="仿宋" w:eastAsia="仿宋" w:cs="仿宋"/>
          <w:b/>
          <w:color w:val="auto"/>
          <w:sz w:val="24"/>
          <w:highlight w:val="none"/>
        </w:rPr>
      </w:pPr>
      <w:bookmarkStart w:id="38" w:name="_Toc515647760"/>
      <w:bookmarkStart w:id="39" w:name="_Toc520356145"/>
      <w:bookmarkStart w:id="40" w:name="_Toc532473452"/>
      <w:bookmarkStart w:id="41" w:name="_Toc15936"/>
      <w:bookmarkStart w:id="42" w:name="_Toc20526"/>
      <w:r>
        <w:rPr>
          <w:rFonts w:hint="eastAsia" w:ascii="仿宋" w:hAnsi="仿宋" w:eastAsia="仿宋" w:cs="仿宋"/>
          <w:b/>
          <w:color w:val="auto"/>
          <w:sz w:val="24"/>
          <w:highlight w:val="none"/>
        </w:rPr>
        <w:t>3.     投标费用</w:t>
      </w:r>
      <w:bookmarkEnd w:id="38"/>
      <w:bookmarkEnd w:id="39"/>
      <w:bookmarkEnd w:id="40"/>
      <w:bookmarkEnd w:id="41"/>
      <w:bookmarkEnd w:id="42"/>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不论投标的结果如何，投标人应承担所有与投标有关的费用。</w:t>
      </w:r>
    </w:p>
    <w:p>
      <w:pPr>
        <w:tabs>
          <w:tab w:val="left" w:pos="0"/>
        </w:tabs>
        <w:spacing w:line="360" w:lineRule="auto"/>
        <w:rPr>
          <w:rFonts w:hint="eastAsia" w:ascii="仿宋" w:hAnsi="仿宋" w:eastAsia="仿宋" w:cs="仿宋"/>
          <w:b/>
          <w:color w:val="auto"/>
          <w:sz w:val="24"/>
          <w:highlight w:val="none"/>
        </w:rPr>
      </w:pPr>
      <w:bookmarkStart w:id="43" w:name="_Toc515647761"/>
      <w:bookmarkStart w:id="44" w:name="_Toc4463"/>
      <w:bookmarkStart w:id="45" w:name="_Toc532473453"/>
      <w:bookmarkStart w:id="46" w:name="_Toc6116"/>
      <w:r>
        <w:rPr>
          <w:rFonts w:hint="eastAsia" w:ascii="仿宋" w:hAnsi="仿宋" w:eastAsia="仿宋" w:cs="仿宋"/>
          <w:b/>
          <w:color w:val="auto"/>
          <w:sz w:val="24"/>
          <w:highlight w:val="none"/>
        </w:rPr>
        <w:t>4.     适用法律</w:t>
      </w:r>
      <w:bookmarkEnd w:id="43"/>
      <w:bookmarkEnd w:id="44"/>
      <w:bookmarkEnd w:id="45"/>
      <w:bookmarkEnd w:id="46"/>
    </w:p>
    <w:p>
      <w:pPr>
        <w:spacing w:line="360" w:lineRule="auto"/>
        <w:ind w:left="834" w:leftChars="397" w:firstLine="3"/>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本项目采购人、采购代理机构、投标人、评标委员会的相关行为均受《中华人民共和国政府采购法》、《中华人民共和国政府采购法实施条例》及本项目本级和上级财政部门政府采购有关规定的约束和保护。</w:t>
      </w:r>
    </w:p>
    <w:p>
      <w:pPr>
        <w:spacing w:line="360" w:lineRule="auto"/>
        <w:jc w:val="center"/>
        <w:outlineLvl w:val="2"/>
        <w:rPr>
          <w:rFonts w:hint="eastAsia" w:ascii="仿宋" w:hAnsi="仿宋" w:eastAsia="仿宋" w:cs="仿宋"/>
          <w:b/>
          <w:color w:val="auto"/>
          <w:sz w:val="28"/>
          <w:szCs w:val="28"/>
          <w:highlight w:val="none"/>
        </w:rPr>
      </w:pPr>
      <w:bookmarkStart w:id="47" w:name="_Toc520356146"/>
      <w:bookmarkStart w:id="48" w:name="_Toc21566"/>
      <w:bookmarkStart w:id="49" w:name="_Toc4365"/>
      <w:bookmarkStart w:id="50" w:name="_Toc532473454"/>
      <w:bookmarkStart w:id="51" w:name="_Toc515647762"/>
      <w:bookmarkStart w:id="52" w:name="_Toc409"/>
      <w:bookmarkStart w:id="53" w:name="_Toc216582806"/>
      <w:bookmarkStart w:id="54" w:name="_Toc138175440"/>
      <w:r>
        <w:rPr>
          <w:rFonts w:hint="eastAsia" w:ascii="仿宋" w:hAnsi="仿宋" w:eastAsia="仿宋" w:cs="仿宋"/>
          <w:b/>
          <w:color w:val="auto"/>
          <w:sz w:val="28"/>
          <w:szCs w:val="28"/>
          <w:highlight w:val="none"/>
        </w:rPr>
        <w:t>二、招标文件</w:t>
      </w:r>
      <w:bookmarkEnd w:id="47"/>
      <w:bookmarkEnd w:id="48"/>
      <w:bookmarkEnd w:id="49"/>
      <w:bookmarkEnd w:id="50"/>
      <w:bookmarkEnd w:id="51"/>
      <w:bookmarkEnd w:id="52"/>
      <w:bookmarkEnd w:id="53"/>
      <w:bookmarkEnd w:id="54"/>
    </w:p>
    <w:p>
      <w:pPr>
        <w:tabs>
          <w:tab w:val="left" w:pos="0"/>
        </w:tabs>
        <w:spacing w:line="360" w:lineRule="auto"/>
        <w:rPr>
          <w:rFonts w:hint="eastAsia" w:ascii="仿宋" w:hAnsi="仿宋" w:eastAsia="仿宋" w:cs="仿宋"/>
          <w:b/>
          <w:color w:val="auto"/>
          <w:sz w:val="24"/>
          <w:highlight w:val="none"/>
        </w:rPr>
      </w:pPr>
      <w:bookmarkStart w:id="55" w:name="_Toc520356147"/>
      <w:bookmarkStart w:id="56" w:name="_Toc532473455"/>
      <w:bookmarkStart w:id="57" w:name="_Toc515647763"/>
      <w:bookmarkStart w:id="58" w:name="_Toc25743"/>
      <w:bookmarkStart w:id="59" w:name="_Toc14084"/>
      <w:r>
        <w:rPr>
          <w:rFonts w:hint="eastAsia" w:ascii="仿宋" w:hAnsi="仿宋" w:eastAsia="仿宋" w:cs="仿宋"/>
          <w:b/>
          <w:color w:val="auto"/>
          <w:sz w:val="24"/>
          <w:highlight w:val="none"/>
        </w:rPr>
        <w:t>5.     招标文件构成</w:t>
      </w:r>
      <w:bookmarkEnd w:id="55"/>
      <w:bookmarkEnd w:id="56"/>
      <w:bookmarkEnd w:id="57"/>
      <w:bookmarkEnd w:id="58"/>
      <w:bookmarkEnd w:id="59"/>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5.1    招标文件共六章，构成如下：</w:t>
      </w:r>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第一章  招标公告</w:t>
      </w:r>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第二章  投标人须知</w:t>
      </w:r>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第三章  评标方法和标准</w:t>
      </w:r>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第四章  拟签订的合同文本</w:t>
      </w:r>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第五章  采购需求及要求</w:t>
      </w:r>
    </w:p>
    <w:p>
      <w:pPr>
        <w:spacing w:line="360" w:lineRule="auto"/>
        <w:ind w:firstLine="840" w:firstLine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第六章  投标文件格式</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5.2    招标文件中如有不一致的，有澄清的部分以最终的澄清更正内容为准；未澄清的，以投标人须知前附表为准；投标人须知前附表不涉及的内容，以编排在后的最后描述为准。</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5.3    投标人应认真阅读招标文件所有的事项、格式、条款和技术规范等。如投标人没有按照招标文件要求提交全部资料，或者投标文件没有对招标文件的实质性要求做出响应，其投标将被认定为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5.4    现场考察或者答疑会及相关事项见</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w:t>
      </w:r>
    </w:p>
    <w:p>
      <w:pPr>
        <w:tabs>
          <w:tab w:val="left" w:pos="0"/>
        </w:tabs>
        <w:spacing w:line="360" w:lineRule="auto"/>
        <w:rPr>
          <w:rFonts w:hint="eastAsia" w:ascii="仿宋" w:hAnsi="仿宋" w:eastAsia="仿宋" w:cs="仿宋"/>
          <w:b/>
          <w:color w:val="auto"/>
          <w:sz w:val="24"/>
          <w:highlight w:val="none"/>
        </w:rPr>
      </w:pPr>
      <w:bookmarkStart w:id="60" w:name="_Toc515904805"/>
      <w:bookmarkStart w:id="61" w:name="_Toc520356148"/>
      <w:bookmarkStart w:id="62" w:name="_Toc532473456"/>
      <w:bookmarkStart w:id="63" w:name="_Toc9232"/>
      <w:bookmarkStart w:id="64" w:name="_Toc26044"/>
      <w:r>
        <w:rPr>
          <w:rFonts w:hint="eastAsia" w:ascii="仿宋" w:hAnsi="仿宋" w:eastAsia="仿宋" w:cs="仿宋"/>
          <w:b/>
          <w:color w:val="auto"/>
          <w:sz w:val="24"/>
          <w:highlight w:val="none"/>
        </w:rPr>
        <w:t>6.     招标文件的澄清</w:t>
      </w:r>
      <w:bookmarkEnd w:id="60"/>
      <w:bookmarkEnd w:id="61"/>
      <w:r>
        <w:rPr>
          <w:rFonts w:hint="eastAsia" w:ascii="仿宋" w:hAnsi="仿宋" w:eastAsia="仿宋" w:cs="仿宋"/>
          <w:b/>
          <w:color w:val="auto"/>
          <w:sz w:val="24"/>
          <w:highlight w:val="none"/>
        </w:rPr>
        <w:t>与修改</w:t>
      </w:r>
      <w:bookmarkEnd w:id="62"/>
      <w:bookmarkEnd w:id="63"/>
      <w:bookmarkEnd w:id="64"/>
    </w:p>
    <w:p>
      <w:pPr>
        <w:pStyle w:val="6"/>
        <w:spacing w:line="360" w:lineRule="auto"/>
        <w:ind w:left="840" w:hanging="840" w:hangingChars="350"/>
        <w:jc w:val="both"/>
        <w:rPr>
          <w:rFonts w:hint="eastAsia" w:ascii="仿宋" w:hAnsi="仿宋" w:eastAsia="仿宋" w:cs="仿宋"/>
          <w:color w:val="auto"/>
          <w:szCs w:val="24"/>
          <w:highlight w:val="none"/>
        </w:rPr>
      </w:pPr>
      <w:bookmarkStart w:id="65" w:name="_Ref467378678"/>
      <w:bookmarkStart w:id="66" w:name="_Toc515904806"/>
      <w:bookmarkStart w:id="67" w:name="_Toc520356149"/>
      <w:r>
        <w:rPr>
          <w:rFonts w:hint="eastAsia" w:ascii="仿宋" w:hAnsi="仿宋" w:eastAsia="仿宋" w:cs="仿宋"/>
          <w:color w:val="auto"/>
          <w:szCs w:val="24"/>
          <w:highlight w:val="none"/>
        </w:rPr>
        <w:t>6.1    采购人可主动地或在解答投标人提出的澄清问题时对招标文件进行澄清或修改。采购代理机构将以发布澄清（更正）公告的方式，澄清或修改招标文件，澄清或修改内容作为招标文件的组成部分。</w:t>
      </w:r>
    </w:p>
    <w:p>
      <w:pPr>
        <w:pStyle w:val="6"/>
        <w:spacing w:line="360" w:lineRule="auto"/>
        <w:ind w:left="840" w:hanging="840" w:hangingChars="350"/>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pPr>
        <w:pStyle w:val="6"/>
        <w:spacing w:line="360" w:lineRule="auto"/>
        <w:ind w:left="840" w:leftChars="400" w:firstLine="0"/>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因潜在投标人原因或通讯线路故障导致通知逾期送达或无法送达，采购代理机构不因此承担任何责任，有关的招标采购活动可以继续有效进行。</w:t>
      </w:r>
    </w:p>
    <w:bookmarkEnd w:id="65"/>
    <w:bookmarkEnd w:id="66"/>
    <w:bookmarkEnd w:id="67"/>
    <w:p>
      <w:pPr>
        <w:tabs>
          <w:tab w:val="left" w:pos="0"/>
        </w:tabs>
        <w:spacing w:line="360" w:lineRule="auto"/>
        <w:rPr>
          <w:rFonts w:hint="eastAsia" w:ascii="仿宋" w:hAnsi="仿宋" w:eastAsia="仿宋" w:cs="仿宋"/>
          <w:b/>
          <w:color w:val="auto"/>
          <w:sz w:val="24"/>
          <w:highlight w:val="none"/>
        </w:rPr>
      </w:pPr>
      <w:bookmarkStart w:id="68" w:name="_Toc532473457"/>
      <w:bookmarkStart w:id="69" w:name="_Toc25635"/>
      <w:bookmarkStart w:id="70" w:name="_Toc14569"/>
      <w:r>
        <w:rPr>
          <w:rFonts w:hint="eastAsia" w:ascii="仿宋" w:hAnsi="仿宋" w:eastAsia="仿宋" w:cs="仿宋"/>
          <w:b/>
          <w:color w:val="auto"/>
          <w:sz w:val="24"/>
          <w:highlight w:val="none"/>
        </w:rPr>
        <w:t>7.     投标截止时间的顺延</w:t>
      </w:r>
      <w:bookmarkEnd w:id="68"/>
      <w:bookmarkEnd w:id="69"/>
      <w:bookmarkEnd w:id="70"/>
    </w:p>
    <w:p>
      <w:pPr>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为使投标人有足够的时间对招标文件的澄清或者修改部分进行研究而准备投标或因其他原因，采购人将依法决定是否顺延投标截止时间。</w:t>
      </w:r>
    </w:p>
    <w:p>
      <w:pPr>
        <w:spacing w:line="360" w:lineRule="auto"/>
        <w:jc w:val="center"/>
        <w:outlineLvl w:val="2"/>
        <w:rPr>
          <w:rFonts w:hint="eastAsia" w:ascii="仿宋" w:hAnsi="仿宋" w:eastAsia="仿宋" w:cs="仿宋"/>
          <w:b/>
          <w:color w:val="auto"/>
          <w:sz w:val="28"/>
          <w:szCs w:val="28"/>
          <w:highlight w:val="none"/>
        </w:rPr>
      </w:pPr>
      <w:bookmarkStart w:id="71" w:name="_Toc516367020"/>
      <w:bookmarkStart w:id="72" w:name="_Toc532473458"/>
      <w:bookmarkStart w:id="73" w:name="_Toc216582807"/>
      <w:bookmarkStart w:id="74" w:name="_Toc138175441"/>
      <w:bookmarkStart w:id="75" w:name="_Toc515647766"/>
      <w:bookmarkStart w:id="76" w:name="_Toc7636"/>
      <w:bookmarkStart w:id="77" w:name="_Toc520356150"/>
      <w:bookmarkStart w:id="78" w:name="_Toc14078"/>
      <w:bookmarkStart w:id="79" w:name="_Toc30808"/>
      <w:r>
        <w:rPr>
          <w:rFonts w:hint="eastAsia" w:ascii="仿宋" w:hAnsi="仿宋" w:eastAsia="仿宋" w:cs="仿宋"/>
          <w:b/>
          <w:color w:val="auto"/>
          <w:sz w:val="28"/>
          <w:szCs w:val="28"/>
          <w:highlight w:val="none"/>
        </w:rPr>
        <w:t>三、投标文件</w:t>
      </w:r>
      <w:bookmarkEnd w:id="71"/>
      <w:r>
        <w:rPr>
          <w:rFonts w:hint="eastAsia" w:ascii="仿宋" w:hAnsi="仿宋" w:eastAsia="仿宋" w:cs="仿宋"/>
          <w:b/>
          <w:color w:val="auto"/>
          <w:sz w:val="28"/>
          <w:szCs w:val="28"/>
          <w:highlight w:val="none"/>
        </w:rPr>
        <w:t>的编制</w:t>
      </w:r>
      <w:bookmarkEnd w:id="72"/>
      <w:bookmarkEnd w:id="73"/>
      <w:bookmarkEnd w:id="74"/>
      <w:bookmarkEnd w:id="75"/>
      <w:bookmarkEnd w:id="76"/>
      <w:bookmarkEnd w:id="77"/>
      <w:bookmarkEnd w:id="78"/>
      <w:bookmarkEnd w:id="79"/>
    </w:p>
    <w:p>
      <w:pPr>
        <w:tabs>
          <w:tab w:val="left" w:pos="0"/>
        </w:tabs>
        <w:spacing w:line="360" w:lineRule="auto"/>
        <w:rPr>
          <w:rFonts w:hint="eastAsia" w:ascii="仿宋" w:hAnsi="仿宋" w:eastAsia="仿宋" w:cs="仿宋"/>
          <w:b/>
          <w:color w:val="auto"/>
          <w:sz w:val="24"/>
          <w:highlight w:val="none"/>
        </w:rPr>
      </w:pPr>
      <w:bookmarkStart w:id="80" w:name="_Toc7786"/>
      <w:bookmarkStart w:id="81" w:name="_Toc515647767"/>
      <w:bookmarkStart w:id="82" w:name="_Toc3553"/>
      <w:bookmarkStart w:id="83" w:name="_Toc516367021"/>
      <w:bookmarkStart w:id="84" w:name="_Toc520356151"/>
      <w:bookmarkStart w:id="85" w:name="_Toc532473459"/>
      <w:r>
        <w:rPr>
          <w:rFonts w:hint="eastAsia" w:ascii="仿宋" w:hAnsi="仿宋" w:eastAsia="仿宋" w:cs="仿宋"/>
          <w:b/>
          <w:color w:val="auto"/>
          <w:sz w:val="24"/>
          <w:highlight w:val="none"/>
        </w:rPr>
        <w:t>8.     投标范围及投标文件中标准和计量单位的使用</w:t>
      </w:r>
      <w:bookmarkEnd w:id="80"/>
      <w:bookmarkEnd w:id="81"/>
      <w:bookmarkEnd w:id="82"/>
      <w:bookmarkEnd w:id="83"/>
      <w:bookmarkEnd w:id="84"/>
      <w:bookmarkEnd w:id="85"/>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8.1    投标人可对招标文件中一个或多个标段进行投标或者中标，除非在</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中另有规定。</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8.2    投标人应当对所投标段招标文件中“采购需求及要求”所列的所有内容进行投标，如仅响应部分内容，其该标段投标将被认定为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8.3    无论招标文件中是否要求，投标人所投货物及伴随的服务和工程均应符合国家强制性标准。</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8.4    除招标文件中有特殊要求外，投标文件中所使用的计量单位，应采用中华人民共和国法定计量单位。</w:t>
      </w:r>
    </w:p>
    <w:p>
      <w:pPr>
        <w:tabs>
          <w:tab w:val="left" w:pos="0"/>
        </w:tabs>
        <w:spacing w:line="360" w:lineRule="auto"/>
        <w:rPr>
          <w:rFonts w:hint="eastAsia" w:ascii="仿宋" w:hAnsi="仿宋" w:eastAsia="仿宋" w:cs="仿宋"/>
          <w:b/>
          <w:color w:val="auto"/>
          <w:sz w:val="24"/>
          <w:highlight w:val="none"/>
        </w:rPr>
      </w:pPr>
      <w:bookmarkStart w:id="86" w:name="_Toc516367022"/>
      <w:bookmarkStart w:id="87" w:name="_Ref467306676"/>
      <w:bookmarkStart w:id="88" w:name="_Ref467306195"/>
      <w:bookmarkStart w:id="89" w:name="_Toc532473460"/>
      <w:bookmarkStart w:id="90" w:name="_Toc28307"/>
      <w:bookmarkStart w:id="91" w:name="_Toc10364"/>
      <w:bookmarkStart w:id="92" w:name="_Toc520356152"/>
      <w:bookmarkStart w:id="93" w:name="_Toc515647768"/>
      <w:r>
        <w:rPr>
          <w:rFonts w:hint="eastAsia" w:ascii="仿宋" w:hAnsi="仿宋" w:eastAsia="仿宋" w:cs="仿宋"/>
          <w:b/>
          <w:color w:val="auto"/>
          <w:sz w:val="24"/>
          <w:highlight w:val="none"/>
        </w:rPr>
        <w:t>9.     投标文件</w:t>
      </w:r>
      <w:bookmarkEnd w:id="86"/>
      <w:bookmarkEnd w:id="87"/>
      <w:bookmarkEnd w:id="88"/>
      <w:r>
        <w:rPr>
          <w:rFonts w:hint="eastAsia" w:ascii="仿宋" w:hAnsi="仿宋" w:eastAsia="仿宋" w:cs="仿宋"/>
          <w:b/>
          <w:color w:val="auto"/>
          <w:sz w:val="24"/>
          <w:highlight w:val="none"/>
        </w:rPr>
        <w:t>组成</w:t>
      </w:r>
      <w:bookmarkEnd w:id="89"/>
      <w:bookmarkEnd w:id="90"/>
      <w:bookmarkEnd w:id="91"/>
      <w:bookmarkEnd w:id="92"/>
      <w:bookmarkEnd w:id="93"/>
    </w:p>
    <w:p>
      <w:pPr>
        <w:tabs>
          <w:tab w:val="left" w:pos="900"/>
          <w:tab w:val="left" w:pos="5580"/>
        </w:tabs>
        <w:spacing w:line="360" w:lineRule="auto"/>
        <w:ind w:left="840" w:hanging="840" w:hangingChars="350"/>
        <w:rPr>
          <w:rFonts w:hint="eastAsia" w:ascii="仿宋" w:hAnsi="仿宋" w:eastAsia="仿宋" w:cs="仿宋"/>
          <w:color w:val="auto"/>
          <w:sz w:val="24"/>
          <w:highlight w:val="none"/>
        </w:rPr>
      </w:pPr>
      <w:bookmarkStart w:id="94" w:name="_Ref467052588"/>
      <w:r>
        <w:rPr>
          <w:rFonts w:hint="eastAsia" w:ascii="仿宋" w:hAnsi="仿宋" w:eastAsia="仿宋" w:cs="仿宋"/>
          <w:color w:val="auto"/>
          <w:sz w:val="24"/>
          <w:highlight w:val="none"/>
        </w:rPr>
        <w:t>9.1    投标文件由“资格证明文件”和“商务及技术文件”组成。投标人应完整地按照招标文件提供的投标文件格式及要求编写投标文件。投标文件中资格审查和符合性审查涉及的事项不满足招标文件要求的，其投标将被认定为</w:t>
      </w:r>
      <w:r>
        <w:rPr>
          <w:rFonts w:hint="eastAsia" w:ascii="仿宋" w:hAnsi="仿宋" w:eastAsia="仿宋" w:cs="仿宋"/>
          <w:b/>
          <w:color w:val="auto"/>
          <w:sz w:val="24"/>
          <w:highlight w:val="none"/>
        </w:rPr>
        <w:t>投标无效</w:t>
      </w:r>
      <w:r>
        <w:rPr>
          <w:rFonts w:hint="eastAsia" w:ascii="仿宋" w:hAnsi="仿宋" w:eastAsia="仿宋" w:cs="仿宋"/>
          <w:color w:val="auto"/>
          <w:sz w:val="24"/>
          <w:highlight w:val="none"/>
        </w:rPr>
        <w:t>。</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9.2    上述文件应按照招标文件的规定签署</w:t>
      </w:r>
      <w:bookmarkStart w:id="95" w:name="_Hlk1734277"/>
      <w:r>
        <w:rPr>
          <w:rFonts w:hint="eastAsia" w:ascii="仿宋" w:hAnsi="仿宋" w:eastAsia="仿宋" w:cs="仿宋"/>
          <w:color w:val="auto"/>
          <w:sz w:val="24"/>
          <w:highlight w:val="none"/>
        </w:rPr>
        <w:t>和盖公章或经公章授权的其他单位章（以下统称公章）</w:t>
      </w:r>
      <w:bookmarkEnd w:id="95"/>
      <w:r>
        <w:rPr>
          <w:rFonts w:hint="eastAsia" w:ascii="仿宋" w:hAnsi="仿宋" w:eastAsia="仿宋" w:cs="仿宋"/>
          <w:color w:val="auto"/>
          <w:sz w:val="24"/>
          <w:highlight w:val="none"/>
        </w:rPr>
        <w:t>。采用公章授权方式的，应当在投标文件资格证明文件附公章授权书（格式自定）。</w:t>
      </w:r>
    </w:p>
    <w:bookmarkEnd w:id="94"/>
    <w:p>
      <w:pPr>
        <w:tabs>
          <w:tab w:val="left" w:pos="0"/>
        </w:tabs>
        <w:spacing w:line="360" w:lineRule="auto"/>
        <w:rPr>
          <w:rFonts w:hint="eastAsia" w:ascii="仿宋" w:hAnsi="仿宋" w:eastAsia="仿宋" w:cs="仿宋"/>
          <w:b/>
          <w:color w:val="auto"/>
          <w:sz w:val="24"/>
          <w:highlight w:val="none"/>
        </w:rPr>
      </w:pPr>
      <w:bookmarkStart w:id="96" w:name="_Toc516367023"/>
      <w:bookmarkStart w:id="97" w:name="_Toc520356153"/>
      <w:bookmarkStart w:id="98" w:name="_Toc515647769"/>
      <w:bookmarkStart w:id="99" w:name="_Toc532473461"/>
      <w:bookmarkStart w:id="100" w:name="_Toc4601"/>
      <w:bookmarkStart w:id="101" w:name="_Toc10379"/>
      <w:r>
        <w:rPr>
          <w:rFonts w:hint="eastAsia" w:ascii="仿宋" w:hAnsi="仿宋" w:eastAsia="仿宋" w:cs="仿宋"/>
          <w:b/>
          <w:color w:val="auto"/>
          <w:sz w:val="24"/>
          <w:highlight w:val="none"/>
        </w:rPr>
        <w:t>10.    证明投标标的的合格性和符合招标文件规定的技术文件</w:t>
      </w:r>
      <w:bookmarkEnd w:id="96"/>
      <w:bookmarkEnd w:id="97"/>
      <w:bookmarkEnd w:id="98"/>
      <w:bookmarkEnd w:id="99"/>
      <w:bookmarkEnd w:id="100"/>
      <w:bookmarkEnd w:id="101"/>
    </w:p>
    <w:p>
      <w:pPr>
        <w:spacing w:line="360" w:lineRule="auto"/>
        <w:ind w:left="878" w:hanging="878" w:hangingChars="366"/>
        <w:rPr>
          <w:rFonts w:hint="eastAsia" w:ascii="仿宋" w:hAnsi="仿宋" w:eastAsia="仿宋" w:cs="仿宋"/>
          <w:color w:val="auto"/>
          <w:sz w:val="24"/>
          <w:highlight w:val="none"/>
        </w:rPr>
      </w:pPr>
      <w:r>
        <w:rPr>
          <w:rFonts w:hint="eastAsia" w:ascii="仿宋" w:hAnsi="仿宋" w:eastAsia="仿宋" w:cs="仿宋"/>
          <w:color w:val="auto"/>
          <w:sz w:val="24"/>
          <w:highlight w:val="none"/>
        </w:rPr>
        <w:t>10.1   投标人应提交证明文件，证明其投标标的符合招标文件规定。该证明文件是投标文件的技术文件。</w:t>
      </w:r>
    </w:p>
    <w:p>
      <w:pPr>
        <w:spacing w:line="360" w:lineRule="auto"/>
        <w:ind w:left="900" w:hanging="900" w:hangingChars="375"/>
        <w:rPr>
          <w:rFonts w:hint="eastAsia" w:ascii="仿宋" w:hAnsi="仿宋" w:eastAsia="仿宋" w:cs="仿宋"/>
          <w:color w:val="auto"/>
          <w:sz w:val="24"/>
          <w:highlight w:val="none"/>
        </w:rPr>
      </w:pPr>
      <w:bookmarkStart w:id="102" w:name="_Ref467306244"/>
      <w:r>
        <w:rPr>
          <w:rFonts w:hint="eastAsia" w:ascii="仿宋" w:hAnsi="仿宋" w:eastAsia="仿宋" w:cs="仿宋"/>
          <w:color w:val="auto"/>
          <w:sz w:val="24"/>
          <w:highlight w:val="none"/>
        </w:rPr>
        <w:t>10.2   上款所述的证明文件，可以是文字资料、图纸和数据</w:t>
      </w:r>
      <w:bookmarkEnd w:id="102"/>
      <w:r>
        <w:rPr>
          <w:rFonts w:hint="eastAsia" w:ascii="仿宋" w:hAnsi="仿宋" w:eastAsia="仿宋" w:cs="仿宋"/>
          <w:color w:val="auto"/>
          <w:sz w:val="24"/>
          <w:highlight w:val="none"/>
        </w:rPr>
        <w:t>。</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10.3   本条所指证明文件不包括对招标文件相关部分的文字、图标的复制。</w:t>
      </w:r>
    </w:p>
    <w:p>
      <w:pPr>
        <w:tabs>
          <w:tab w:val="left" w:pos="0"/>
        </w:tabs>
        <w:spacing w:line="360" w:lineRule="auto"/>
        <w:rPr>
          <w:rFonts w:hint="eastAsia" w:ascii="仿宋" w:hAnsi="仿宋" w:eastAsia="仿宋" w:cs="仿宋"/>
          <w:b/>
          <w:color w:val="auto"/>
          <w:sz w:val="24"/>
          <w:highlight w:val="none"/>
        </w:rPr>
      </w:pPr>
      <w:bookmarkStart w:id="103" w:name="_Toc23231"/>
      <w:bookmarkStart w:id="104" w:name="_Toc2248"/>
      <w:bookmarkStart w:id="105" w:name="_Toc515647770"/>
      <w:bookmarkStart w:id="106" w:name="_Toc520356155"/>
      <w:bookmarkStart w:id="107" w:name="_Toc532473462"/>
      <w:r>
        <w:rPr>
          <w:rFonts w:hint="eastAsia" w:ascii="仿宋" w:hAnsi="仿宋" w:eastAsia="仿宋" w:cs="仿宋"/>
          <w:b/>
          <w:color w:val="auto"/>
          <w:sz w:val="24"/>
          <w:highlight w:val="none"/>
        </w:rPr>
        <w:t>11.    投标报价</w:t>
      </w:r>
      <w:bookmarkEnd w:id="103"/>
      <w:bookmarkEnd w:id="104"/>
      <w:bookmarkEnd w:id="105"/>
      <w:bookmarkEnd w:id="106"/>
      <w:bookmarkEnd w:id="107"/>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11.1   投标人的报价应当包括满足本次招标全部采购需求所应提供的服务，以及伴随的货物和工程。所有投标均应以人民币报价。投标人的投标报价应遵守《中华人民共和国价格法》。</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11.2   投标人应在投标分项报价表上标明分项服务、伴随的货物和工程的价格（如适用）和总价，并由法定代表人或其授权代表签署。</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11.3   采购人不接受具有附加条件的报价或多个方案的报价。</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11.4   投标人所报的投标报价在合同履行过程中是固定不变的，不得以任何理由予以变更。任何包含价格调整要求的投标，将被认定为</w:t>
      </w:r>
      <w:r>
        <w:rPr>
          <w:rFonts w:hint="eastAsia" w:ascii="仿宋" w:hAnsi="仿宋" w:eastAsia="仿宋" w:cs="仿宋"/>
          <w:b/>
          <w:color w:val="auto"/>
          <w:sz w:val="24"/>
          <w:highlight w:val="none"/>
        </w:rPr>
        <w:t>投标无效</w:t>
      </w:r>
      <w:r>
        <w:rPr>
          <w:rFonts w:hint="eastAsia" w:ascii="仿宋" w:hAnsi="仿宋" w:eastAsia="仿宋" w:cs="仿宋"/>
          <w:color w:val="auto"/>
          <w:sz w:val="24"/>
          <w:highlight w:val="none"/>
        </w:rPr>
        <w:t>。</w:t>
      </w:r>
    </w:p>
    <w:p>
      <w:pPr>
        <w:tabs>
          <w:tab w:val="left" w:pos="0"/>
        </w:tabs>
        <w:spacing w:line="360" w:lineRule="auto"/>
        <w:rPr>
          <w:rFonts w:hint="eastAsia" w:ascii="仿宋" w:hAnsi="仿宋" w:eastAsia="仿宋" w:cs="仿宋"/>
          <w:b/>
          <w:color w:val="auto"/>
          <w:sz w:val="24"/>
          <w:highlight w:val="none"/>
        </w:rPr>
      </w:pPr>
      <w:bookmarkStart w:id="108" w:name="_Toc532473463"/>
      <w:bookmarkStart w:id="109" w:name="_Ref467306513"/>
      <w:bookmarkStart w:id="110" w:name="_Toc515647771"/>
      <w:bookmarkStart w:id="111" w:name="_Toc11514"/>
      <w:bookmarkStart w:id="112" w:name="_Toc17788"/>
      <w:bookmarkStart w:id="113" w:name="_Toc520356156"/>
      <w:r>
        <w:rPr>
          <w:rFonts w:hint="eastAsia" w:ascii="仿宋" w:hAnsi="仿宋" w:eastAsia="仿宋" w:cs="仿宋"/>
          <w:b/>
          <w:color w:val="auto"/>
          <w:sz w:val="24"/>
          <w:highlight w:val="none"/>
        </w:rPr>
        <w:t>12.    投标保证金</w:t>
      </w:r>
      <w:bookmarkEnd w:id="108"/>
      <w:bookmarkEnd w:id="109"/>
      <w:bookmarkEnd w:id="110"/>
      <w:bookmarkEnd w:id="111"/>
      <w:bookmarkEnd w:id="112"/>
      <w:bookmarkEnd w:id="113"/>
    </w:p>
    <w:p>
      <w:pPr>
        <w:spacing w:line="360" w:lineRule="auto"/>
        <w:ind w:left="900" w:hanging="900" w:hangingChars="375"/>
        <w:rPr>
          <w:rFonts w:hint="eastAsia" w:ascii="仿宋" w:hAnsi="仿宋" w:eastAsia="仿宋" w:cs="仿宋"/>
          <w:color w:val="auto"/>
          <w:sz w:val="24"/>
          <w:highlight w:val="none"/>
          <w:lang w:val="zh-CN"/>
        </w:rPr>
      </w:pPr>
      <w:bookmarkStart w:id="114" w:name="_Ref467306302"/>
      <w:r>
        <w:rPr>
          <w:rFonts w:hint="eastAsia" w:ascii="仿宋" w:hAnsi="仿宋" w:eastAsia="仿宋" w:cs="仿宋"/>
          <w:color w:val="auto"/>
          <w:sz w:val="24"/>
          <w:highlight w:val="none"/>
        </w:rPr>
        <w:t>12.1</w:t>
      </w:r>
      <w:bookmarkEnd w:id="114"/>
      <w:r>
        <w:rPr>
          <w:rFonts w:hint="eastAsia" w:ascii="仿宋" w:hAnsi="仿宋" w:eastAsia="仿宋" w:cs="仿宋"/>
          <w:color w:val="auto"/>
          <w:sz w:val="24"/>
          <w:highlight w:val="none"/>
        </w:rPr>
        <w:t xml:space="preserve">   投标人应按照</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规定递交</w:t>
      </w:r>
      <w:r>
        <w:rPr>
          <w:rFonts w:hint="eastAsia" w:ascii="仿宋" w:hAnsi="仿宋" w:eastAsia="仿宋" w:cs="仿宋"/>
          <w:color w:val="auto"/>
          <w:sz w:val="24"/>
          <w:highlight w:val="none"/>
          <w:lang w:val="zh-CN"/>
        </w:rPr>
        <w:t>投标保证金（</w:t>
      </w:r>
      <w:r>
        <w:rPr>
          <w:rFonts w:hint="eastAsia" w:ascii="仿宋" w:hAnsi="仿宋" w:eastAsia="仿宋" w:cs="仿宋"/>
          <w:color w:val="auto"/>
          <w:sz w:val="24"/>
          <w:highlight w:val="none"/>
          <w:u w:val="single"/>
          <w:lang w:val="zh-CN"/>
        </w:rPr>
        <w:t>若分标段，应按标段交纳投标保证金</w:t>
      </w:r>
      <w:r>
        <w:rPr>
          <w:rFonts w:hint="eastAsia" w:ascii="仿宋" w:hAnsi="仿宋" w:eastAsia="仿宋" w:cs="仿宋"/>
          <w:color w:val="auto"/>
          <w:sz w:val="24"/>
          <w:highlight w:val="none"/>
          <w:lang w:val="zh-CN"/>
        </w:rPr>
        <w:t>），投标保证金须在投标截止时间前</w:t>
      </w:r>
      <w:r>
        <w:rPr>
          <w:rFonts w:hint="eastAsia" w:ascii="仿宋" w:hAnsi="仿宋" w:eastAsia="仿宋" w:cs="仿宋"/>
          <w:color w:val="auto"/>
          <w:sz w:val="24"/>
          <w:highlight w:val="none"/>
        </w:rPr>
        <w:t>到账</w:t>
      </w:r>
      <w:r>
        <w:rPr>
          <w:rFonts w:hint="eastAsia" w:ascii="仿宋" w:hAnsi="仿宋" w:eastAsia="仿宋" w:cs="仿宋"/>
          <w:color w:val="auto"/>
          <w:sz w:val="24"/>
          <w:highlight w:val="none"/>
          <w:lang w:val="zh-CN"/>
        </w:rPr>
        <w:t>。</w:t>
      </w:r>
    </w:p>
    <w:p>
      <w:pPr>
        <w:autoSpaceDE w:val="0"/>
        <w:autoSpaceDN w:val="0"/>
        <w:adjustRightInd w:val="0"/>
        <w:snapToGrid w:val="0"/>
        <w:spacing w:line="360" w:lineRule="auto"/>
        <w:ind w:left="840" w:hanging="840" w:hangingChars="3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12.2   </w:t>
      </w:r>
      <w:r>
        <w:rPr>
          <w:rFonts w:hint="eastAsia" w:ascii="仿宋" w:hAnsi="仿宋" w:eastAsia="仿宋" w:cs="仿宋"/>
          <w:color w:val="auto"/>
          <w:sz w:val="24"/>
          <w:highlight w:val="none"/>
          <w:lang w:val="zh-CN"/>
        </w:rPr>
        <w:t>投标保证金应用人民币，采用支票，汇票、本票、保函的任何一种非现金形式支付。</w:t>
      </w:r>
    </w:p>
    <w:p>
      <w:pPr>
        <w:autoSpaceDE w:val="0"/>
        <w:autoSpaceDN w:val="0"/>
        <w:adjustRightInd w:val="0"/>
        <w:snapToGrid w:val="0"/>
        <w:spacing w:line="360" w:lineRule="auto"/>
        <w:ind w:left="840" w:hanging="840" w:hangingChars="3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12.3   如投标保证金以保函形式交纳，投标人须按本章附件1格式和内容开具保函，并将保函原件附在投标文件中或随投标文件同时递交，否则视为无效投标。投标人违约，开具保函单位承担连带责任。</w:t>
      </w:r>
    </w:p>
    <w:p>
      <w:pPr>
        <w:autoSpaceDE w:val="0"/>
        <w:autoSpaceDN w:val="0"/>
        <w:adjustRightInd w:val="0"/>
        <w:snapToGrid w:val="0"/>
        <w:spacing w:line="360" w:lineRule="auto"/>
        <w:ind w:left="840" w:hanging="840" w:hangingChars="3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12.4   </w:t>
      </w:r>
      <w:r>
        <w:rPr>
          <w:rFonts w:hint="eastAsia" w:ascii="仿宋" w:hAnsi="仿宋" w:eastAsia="仿宋" w:cs="仿宋"/>
          <w:color w:val="auto"/>
          <w:sz w:val="24"/>
          <w:highlight w:val="none"/>
          <w:lang w:val="zh-CN"/>
        </w:rPr>
        <w:t>联合体投标的，可以由联合体中的一方或者共同提交投标保证金，以一方提交投标保证金的，对联合体各方均具有约束力。</w:t>
      </w:r>
    </w:p>
    <w:p>
      <w:pPr>
        <w:tabs>
          <w:tab w:val="left" w:pos="0"/>
        </w:tabs>
        <w:snapToGrid w:val="0"/>
        <w:spacing w:line="360" w:lineRule="auto"/>
        <w:ind w:left="840" w:hanging="840" w:hangingChars="3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12.5   </w:t>
      </w:r>
      <w:r>
        <w:rPr>
          <w:rFonts w:hint="eastAsia" w:ascii="仿宋" w:hAnsi="仿宋" w:eastAsia="仿宋" w:cs="仿宋"/>
          <w:color w:val="auto"/>
          <w:sz w:val="24"/>
          <w:highlight w:val="none"/>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pPr>
        <w:snapToGrid w:val="0"/>
        <w:spacing w:line="360" w:lineRule="auto"/>
        <w:ind w:left="835" w:leftChars="342" w:hanging="117" w:hangingChars="4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zh-CN"/>
        </w:rPr>
        <w:t>投标人在投标截止时间后撤销投标文件的；</w:t>
      </w:r>
    </w:p>
    <w:p>
      <w:pPr>
        <w:snapToGrid w:val="0"/>
        <w:spacing w:line="360" w:lineRule="auto"/>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投标人在投标文件中提供虚假材料的；</w:t>
      </w:r>
    </w:p>
    <w:p>
      <w:pPr>
        <w:snapToGrid w:val="0"/>
        <w:spacing w:line="360" w:lineRule="auto"/>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zh-CN"/>
        </w:rPr>
        <w:t>除因不可抗力或招标文件认可的情形以外，中标人不与采购人签订合同的；</w:t>
      </w:r>
    </w:p>
    <w:p>
      <w:pPr>
        <w:snapToGrid w:val="0"/>
        <w:spacing w:line="360" w:lineRule="auto"/>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zh-CN"/>
        </w:rPr>
        <w:t>投标人与采购人、其他投标人或者采购代理机构恶意串通的；</w:t>
      </w:r>
    </w:p>
    <w:p>
      <w:pPr>
        <w:snapToGrid w:val="0"/>
        <w:spacing w:line="360" w:lineRule="auto"/>
        <w:ind w:left="837" w:leftChars="370" w:hanging="60" w:hangingChars="25"/>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中标人将中标项目转让给他人，或者在投标文件中未说明，且未经采购人同意，将中标项目分包给他人的；</w:t>
      </w:r>
    </w:p>
    <w:p>
      <w:pPr>
        <w:snapToGrid w:val="0"/>
        <w:spacing w:line="360" w:lineRule="auto"/>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中标人拒绝履行合同义务的。</w:t>
      </w:r>
    </w:p>
    <w:p>
      <w:pPr>
        <w:autoSpaceDE w:val="0"/>
        <w:autoSpaceDN w:val="0"/>
        <w:adjustRightInd w:val="0"/>
        <w:snapToGrid w:val="0"/>
        <w:spacing w:line="360" w:lineRule="auto"/>
        <w:ind w:left="835" w:hanging="835" w:hangingChars="348"/>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12.6   </w:t>
      </w:r>
      <w:r>
        <w:rPr>
          <w:rFonts w:hint="eastAsia" w:ascii="仿宋" w:hAnsi="仿宋" w:eastAsia="仿宋" w:cs="仿宋"/>
          <w:color w:val="auto"/>
          <w:sz w:val="24"/>
          <w:highlight w:val="none"/>
          <w:lang w:val="zh-CN"/>
        </w:rPr>
        <w:t>自中标通知书发出之日起五个工作日内退还未中标人的投标保证金，自采购合同签订之日起五个工作日内退还中标人的投标保证金或者转为中标人的履约保证金。</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12.7   中标人需在合同签订后3日内持合同原件至采购代理机构办理投标保证金退还手续。</w:t>
      </w:r>
    </w:p>
    <w:p>
      <w:pPr>
        <w:tabs>
          <w:tab w:val="left" w:pos="0"/>
        </w:tabs>
        <w:spacing w:line="360" w:lineRule="auto"/>
        <w:rPr>
          <w:rFonts w:hint="eastAsia" w:ascii="仿宋" w:hAnsi="仿宋" w:eastAsia="仿宋" w:cs="仿宋"/>
          <w:b/>
          <w:color w:val="auto"/>
          <w:sz w:val="24"/>
          <w:highlight w:val="none"/>
        </w:rPr>
      </w:pPr>
      <w:bookmarkStart w:id="115" w:name="_Toc32569"/>
      <w:bookmarkStart w:id="116" w:name="_Toc520356157"/>
      <w:bookmarkStart w:id="117" w:name="_Toc515647772"/>
      <w:bookmarkStart w:id="118" w:name="_Toc23590"/>
      <w:bookmarkStart w:id="119" w:name="_Toc532473464"/>
      <w:r>
        <w:rPr>
          <w:rFonts w:hint="eastAsia" w:ascii="仿宋" w:hAnsi="仿宋" w:eastAsia="仿宋" w:cs="仿宋"/>
          <w:b/>
          <w:color w:val="auto"/>
          <w:sz w:val="24"/>
          <w:highlight w:val="none"/>
        </w:rPr>
        <w:t>13.    投标有效期</w:t>
      </w:r>
      <w:bookmarkEnd w:id="115"/>
      <w:bookmarkEnd w:id="116"/>
      <w:bookmarkEnd w:id="117"/>
      <w:bookmarkEnd w:id="118"/>
      <w:bookmarkEnd w:id="119"/>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13.1   投标有效期为提交投标文件截止之日起90个日历日，投标应在投标有效期内保持有效。投标有效期不满足要求的投标，其投标将被认定为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13.2   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tabs>
          <w:tab w:val="left" w:pos="0"/>
        </w:tabs>
        <w:spacing w:line="360" w:lineRule="auto"/>
        <w:rPr>
          <w:rFonts w:hint="eastAsia" w:ascii="仿宋" w:hAnsi="仿宋" w:eastAsia="仿宋" w:cs="仿宋"/>
          <w:b/>
          <w:color w:val="auto"/>
          <w:sz w:val="24"/>
          <w:highlight w:val="none"/>
        </w:rPr>
      </w:pPr>
      <w:bookmarkStart w:id="120" w:name="_Toc532473465"/>
      <w:bookmarkStart w:id="121" w:name="_Toc520356158"/>
      <w:bookmarkStart w:id="122" w:name="_Toc515647773"/>
      <w:bookmarkStart w:id="123" w:name="_Toc493"/>
      <w:bookmarkStart w:id="124" w:name="_Toc17074"/>
      <w:r>
        <w:rPr>
          <w:rFonts w:hint="eastAsia" w:ascii="仿宋" w:hAnsi="仿宋" w:eastAsia="仿宋" w:cs="仿宋"/>
          <w:b/>
          <w:color w:val="auto"/>
          <w:sz w:val="24"/>
          <w:highlight w:val="none"/>
        </w:rPr>
        <w:t>14.    投标文件的</w:t>
      </w:r>
      <w:bookmarkEnd w:id="120"/>
      <w:bookmarkEnd w:id="121"/>
      <w:bookmarkEnd w:id="122"/>
      <w:bookmarkEnd w:id="123"/>
      <w:bookmarkEnd w:id="124"/>
      <w:r>
        <w:rPr>
          <w:rFonts w:hint="eastAsia" w:ascii="仿宋" w:hAnsi="仿宋" w:eastAsia="仿宋" w:cs="仿宋"/>
          <w:b/>
          <w:color w:val="auto"/>
          <w:sz w:val="24"/>
          <w:highlight w:val="none"/>
        </w:rPr>
        <w:t>制作：详见投标人须知前附表</w:t>
      </w:r>
    </w:p>
    <w:p>
      <w:pPr>
        <w:spacing w:line="360" w:lineRule="auto"/>
        <w:jc w:val="center"/>
        <w:outlineLvl w:val="2"/>
        <w:rPr>
          <w:rFonts w:hint="eastAsia" w:ascii="仿宋" w:hAnsi="仿宋" w:eastAsia="仿宋" w:cs="仿宋"/>
          <w:b/>
          <w:color w:val="auto"/>
          <w:sz w:val="28"/>
          <w:szCs w:val="28"/>
          <w:highlight w:val="none"/>
        </w:rPr>
      </w:pPr>
      <w:bookmarkStart w:id="125" w:name="_Toc138175442"/>
      <w:bookmarkStart w:id="126" w:name="_Toc11179"/>
      <w:bookmarkStart w:id="127" w:name="_Toc31584"/>
      <w:bookmarkStart w:id="128" w:name="_Toc520356159"/>
      <w:bookmarkStart w:id="129" w:name="_Toc515647774"/>
      <w:bookmarkStart w:id="130" w:name="_Toc216582808"/>
      <w:bookmarkStart w:id="131" w:name="_Toc532473466"/>
      <w:bookmarkStart w:id="132" w:name="_Toc16865"/>
      <w:r>
        <w:rPr>
          <w:rFonts w:hint="eastAsia" w:ascii="仿宋" w:hAnsi="仿宋" w:eastAsia="仿宋" w:cs="仿宋"/>
          <w:b/>
          <w:color w:val="auto"/>
          <w:sz w:val="28"/>
          <w:szCs w:val="28"/>
          <w:highlight w:val="none"/>
        </w:rPr>
        <w:t>四、投标文件的递交</w:t>
      </w:r>
      <w:bookmarkEnd w:id="125"/>
      <w:bookmarkEnd w:id="126"/>
      <w:bookmarkEnd w:id="127"/>
      <w:bookmarkEnd w:id="128"/>
      <w:bookmarkEnd w:id="129"/>
      <w:bookmarkEnd w:id="130"/>
      <w:bookmarkEnd w:id="131"/>
      <w:bookmarkEnd w:id="132"/>
    </w:p>
    <w:p>
      <w:pPr>
        <w:tabs>
          <w:tab w:val="left" w:pos="0"/>
        </w:tabs>
        <w:spacing w:line="360" w:lineRule="auto"/>
        <w:rPr>
          <w:rFonts w:hint="eastAsia" w:ascii="仿宋" w:hAnsi="仿宋" w:eastAsia="仿宋" w:cs="仿宋"/>
          <w:b/>
          <w:color w:val="auto"/>
          <w:sz w:val="24"/>
          <w:highlight w:val="none"/>
        </w:rPr>
      </w:pPr>
      <w:bookmarkStart w:id="133" w:name="_Toc515647775"/>
      <w:bookmarkStart w:id="134" w:name="_Toc532473467"/>
      <w:bookmarkStart w:id="135" w:name="_Toc520356160"/>
      <w:bookmarkStart w:id="136" w:name="_Toc21645"/>
      <w:bookmarkStart w:id="137" w:name="_Toc32337"/>
      <w:r>
        <w:rPr>
          <w:rFonts w:hint="eastAsia" w:ascii="仿宋" w:hAnsi="仿宋" w:eastAsia="仿宋" w:cs="仿宋"/>
          <w:b/>
          <w:color w:val="auto"/>
          <w:sz w:val="24"/>
          <w:highlight w:val="none"/>
        </w:rPr>
        <w:t>15.    投标文件的密封和标记</w:t>
      </w:r>
      <w:bookmarkEnd w:id="133"/>
      <w:bookmarkEnd w:id="134"/>
      <w:bookmarkEnd w:id="135"/>
      <w:bookmarkEnd w:id="136"/>
      <w:bookmarkEnd w:id="137"/>
      <w:r>
        <w:rPr>
          <w:rFonts w:hint="eastAsia" w:ascii="仿宋" w:hAnsi="仿宋" w:eastAsia="仿宋" w:cs="仿宋"/>
          <w:b/>
          <w:color w:val="auto"/>
          <w:sz w:val="24"/>
          <w:highlight w:val="none"/>
        </w:rPr>
        <w:t>：详见投标人须知前附表</w:t>
      </w:r>
    </w:p>
    <w:p>
      <w:pPr>
        <w:tabs>
          <w:tab w:val="left" w:pos="0"/>
        </w:tabs>
        <w:spacing w:line="360" w:lineRule="auto"/>
        <w:rPr>
          <w:rFonts w:hint="eastAsia" w:ascii="仿宋" w:hAnsi="仿宋" w:eastAsia="仿宋" w:cs="仿宋"/>
          <w:b/>
          <w:color w:val="auto"/>
          <w:sz w:val="24"/>
          <w:highlight w:val="none"/>
        </w:rPr>
      </w:pPr>
      <w:bookmarkStart w:id="138" w:name="_Toc515647776"/>
      <w:bookmarkStart w:id="139" w:name="_Toc532473468"/>
      <w:bookmarkStart w:id="140" w:name="_Toc9840"/>
      <w:bookmarkStart w:id="141" w:name="_Toc12751"/>
      <w:bookmarkStart w:id="142" w:name="_Toc520356161"/>
      <w:r>
        <w:rPr>
          <w:rFonts w:hint="eastAsia" w:ascii="仿宋" w:hAnsi="仿宋" w:eastAsia="仿宋" w:cs="仿宋"/>
          <w:b/>
          <w:color w:val="auto"/>
          <w:sz w:val="24"/>
          <w:highlight w:val="none"/>
        </w:rPr>
        <w:t>16.    投标截止</w:t>
      </w:r>
      <w:bookmarkEnd w:id="138"/>
      <w:bookmarkEnd w:id="139"/>
      <w:bookmarkEnd w:id="140"/>
      <w:bookmarkEnd w:id="141"/>
      <w:bookmarkEnd w:id="142"/>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16.1   投标人应在</w:t>
      </w:r>
      <w:r>
        <w:rPr>
          <w:rFonts w:hint="eastAsia" w:ascii="仿宋" w:hAnsi="仿宋" w:eastAsia="仿宋" w:cs="仿宋"/>
          <w:color w:val="auto"/>
          <w:sz w:val="24"/>
          <w:highlight w:val="none"/>
          <w:u w:val="single"/>
        </w:rPr>
        <w:t>投标人须知前附表中</w:t>
      </w:r>
      <w:r>
        <w:rPr>
          <w:rFonts w:hint="eastAsia" w:ascii="仿宋" w:hAnsi="仿宋" w:eastAsia="仿宋" w:cs="仿宋"/>
          <w:color w:val="auto"/>
          <w:sz w:val="24"/>
          <w:highlight w:val="none"/>
        </w:rPr>
        <w:t>规定的截止时间前，从全国公共资源交易平台（陕西省·西安市）〖首页·〉电子交易平台·〉陕西政府采购交易系统·〉企业端〗登录，登录后切换到〖我的项目〗模块，依次点选〖项目流程·〉项目管理·〉上传响应文件〗上传加密后的电子投标文件（*.SXSTF），逾期提交的，系统将拒绝接收。</w:t>
      </w:r>
    </w:p>
    <w:p>
      <w:pPr>
        <w:tabs>
          <w:tab w:val="left" w:pos="0"/>
        </w:tabs>
        <w:spacing w:line="360" w:lineRule="auto"/>
        <w:rPr>
          <w:rFonts w:hint="eastAsia" w:ascii="仿宋" w:hAnsi="仿宋" w:eastAsia="仿宋" w:cs="仿宋"/>
          <w:b/>
          <w:color w:val="auto"/>
          <w:sz w:val="24"/>
          <w:highlight w:val="none"/>
        </w:rPr>
      </w:pPr>
      <w:bookmarkStart w:id="143" w:name="_Toc24275"/>
      <w:bookmarkStart w:id="144" w:name="_Toc520356162"/>
      <w:bookmarkStart w:id="145" w:name="_Toc18537"/>
      <w:bookmarkStart w:id="146" w:name="_Toc532473469"/>
      <w:bookmarkStart w:id="147" w:name="_Toc515647777"/>
      <w:r>
        <w:rPr>
          <w:rFonts w:hint="eastAsia" w:ascii="仿宋" w:hAnsi="仿宋" w:eastAsia="仿宋" w:cs="仿宋"/>
          <w:b/>
          <w:color w:val="auto"/>
          <w:sz w:val="24"/>
          <w:highlight w:val="none"/>
        </w:rPr>
        <w:t>17.    投标文件的接收、修改与撤回</w:t>
      </w:r>
      <w:bookmarkEnd w:id="143"/>
      <w:bookmarkEnd w:id="144"/>
      <w:bookmarkEnd w:id="145"/>
      <w:bookmarkEnd w:id="146"/>
      <w:bookmarkEnd w:id="147"/>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17.1   电子投标文件可于</w:t>
      </w:r>
      <w:bookmarkStart w:id="148" w:name="_Hlk127177301"/>
      <w:r>
        <w:rPr>
          <w:rFonts w:hint="eastAsia" w:ascii="仿宋" w:hAnsi="仿宋" w:eastAsia="仿宋" w:cs="仿宋"/>
          <w:color w:val="auto"/>
          <w:sz w:val="24"/>
          <w:highlight w:val="none"/>
        </w:rPr>
        <w:t>提交投标文件截止时间前</w:t>
      </w:r>
      <w:bookmarkEnd w:id="148"/>
      <w:r>
        <w:rPr>
          <w:rFonts w:hint="eastAsia" w:ascii="仿宋" w:hAnsi="仿宋" w:eastAsia="仿宋" w:cs="仿宋"/>
          <w:color w:val="auto"/>
          <w:sz w:val="24"/>
          <w:highlight w:val="none"/>
        </w:rPr>
        <w:t>任意时段，登录西安市公共资源交易平台〖首页·〉电子交易平台·〉企业端〗，登录后切换到〖我的项目〗模块下，依次点选〖项目流程·〉项目管理·〉上传投标文件〗，上传加密后的电子投标文件（*.SXSTF）。上传成功后，西安市公共资源交易平台政府采购系统将予以记录。</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17.2   上传文件有误或需要重新提交的，可先撤销已经上传的文件，然后在提交投标文件截止时间前重新上传新文件。</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17.4   在投标截止时间之后，投标人不得对其投标文件做任何修改。</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17.5   在投标截止时间之后，投标人不足3家时，各投标人的投标文件，将不再解密。</w:t>
      </w:r>
    </w:p>
    <w:p>
      <w:pPr>
        <w:spacing w:line="360" w:lineRule="auto"/>
        <w:jc w:val="center"/>
        <w:outlineLvl w:val="2"/>
        <w:rPr>
          <w:rFonts w:hint="eastAsia" w:ascii="仿宋" w:hAnsi="仿宋" w:eastAsia="仿宋" w:cs="仿宋"/>
          <w:b/>
          <w:color w:val="auto"/>
          <w:sz w:val="28"/>
          <w:szCs w:val="28"/>
          <w:highlight w:val="none"/>
        </w:rPr>
      </w:pPr>
      <w:bookmarkStart w:id="149" w:name="_Toc138175443"/>
      <w:bookmarkStart w:id="150" w:name="_Toc12436"/>
      <w:bookmarkStart w:id="151" w:name="_Toc22524"/>
      <w:bookmarkStart w:id="152" w:name="_Toc515647778"/>
      <w:bookmarkStart w:id="153" w:name="_Toc216582809"/>
      <w:bookmarkStart w:id="154" w:name="_Toc28398"/>
      <w:bookmarkStart w:id="155" w:name="_Toc520356163"/>
      <w:bookmarkStart w:id="156" w:name="_Toc532473470"/>
      <w:r>
        <w:rPr>
          <w:rFonts w:hint="eastAsia" w:ascii="仿宋" w:hAnsi="仿宋" w:eastAsia="仿宋" w:cs="仿宋"/>
          <w:b/>
          <w:color w:val="auto"/>
          <w:sz w:val="28"/>
          <w:szCs w:val="28"/>
          <w:highlight w:val="none"/>
        </w:rPr>
        <w:t>五、开标及评标</w:t>
      </w:r>
      <w:bookmarkEnd w:id="149"/>
      <w:bookmarkEnd w:id="150"/>
      <w:bookmarkEnd w:id="151"/>
      <w:bookmarkEnd w:id="152"/>
      <w:bookmarkEnd w:id="153"/>
      <w:bookmarkEnd w:id="154"/>
      <w:bookmarkEnd w:id="155"/>
      <w:bookmarkEnd w:id="156"/>
    </w:p>
    <w:p>
      <w:pPr>
        <w:tabs>
          <w:tab w:val="left" w:pos="0"/>
        </w:tabs>
        <w:spacing w:line="360" w:lineRule="auto"/>
        <w:rPr>
          <w:rFonts w:hint="eastAsia" w:ascii="仿宋" w:hAnsi="仿宋" w:eastAsia="仿宋" w:cs="仿宋"/>
          <w:b/>
          <w:color w:val="auto"/>
          <w:sz w:val="24"/>
          <w:highlight w:val="none"/>
        </w:rPr>
      </w:pPr>
      <w:bookmarkStart w:id="157" w:name="_Toc520356164"/>
      <w:bookmarkStart w:id="158" w:name="_Toc25345"/>
      <w:bookmarkStart w:id="159" w:name="_Toc532473471"/>
      <w:bookmarkStart w:id="160" w:name="_Toc515647779"/>
      <w:bookmarkStart w:id="161" w:name="_Toc7186"/>
      <w:r>
        <w:rPr>
          <w:rFonts w:hint="eastAsia" w:ascii="仿宋" w:hAnsi="仿宋" w:eastAsia="仿宋" w:cs="仿宋"/>
          <w:b/>
          <w:color w:val="auto"/>
          <w:sz w:val="24"/>
          <w:highlight w:val="none"/>
        </w:rPr>
        <w:t>18.    开标</w:t>
      </w:r>
      <w:bookmarkEnd w:id="157"/>
      <w:bookmarkEnd w:id="158"/>
      <w:bookmarkEnd w:id="159"/>
      <w:bookmarkEnd w:id="160"/>
      <w:bookmarkEnd w:id="161"/>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18.1   采购人和采购代理机构将按</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中规定的开标时间和地点组织开标，并邀请所有投标人代表参加。</w:t>
      </w:r>
    </w:p>
    <w:p>
      <w:pPr>
        <w:spacing w:line="360" w:lineRule="auto"/>
        <w:ind w:left="834" w:leftChars="397" w:firstLine="19" w:firstLineChars="8"/>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投标人不足3家的，不予开标。</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18.2   开标时，由采购人和代理机构组织各投标人线上解密，并在线上公示开标记录。</w:t>
      </w:r>
    </w:p>
    <w:p>
      <w:pPr>
        <w:spacing w:line="360" w:lineRule="auto"/>
        <w:ind w:left="899" w:leftChars="428"/>
        <w:rPr>
          <w:rFonts w:hint="eastAsia" w:ascii="仿宋" w:hAnsi="仿宋" w:eastAsia="仿宋" w:cs="仿宋"/>
          <w:color w:val="auto"/>
          <w:sz w:val="24"/>
          <w:highlight w:val="none"/>
        </w:rPr>
      </w:pPr>
      <w:bookmarkStart w:id="162" w:name="_Toc520356165"/>
      <w:r>
        <w:rPr>
          <w:rFonts w:hint="eastAsia" w:ascii="仿宋" w:hAnsi="仿宋" w:eastAsia="仿宋" w:cs="仿宋"/>
          <w:color w:val="auto"/>
          <w:sz w:val="24"/>
          <w:highlight w:val="none"/>
        </w:rPr>
        <w:t>若投标人在系统规定时间内未完成解密，或因投标人原因造成其投标文件无法解密（或无法打开的），按无效投标处理。</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18.3   投标人代表对开标过程和开标记录有疑义，以及认为开标现场采购人、采购代理机构相关工作人员有需要回避的情形的，应在开标大厅当场提出询问或者回避申请，若投标人在开标会议结束前，未提出疑义，视其对开标过程和开标记录无疑义。</w:t>
      </w:r>
    </w:p>
    <w:p>
      <w:pPr>
        <w:tabs>
          <w:tab w:val="left" w:pos="0"/>
        </w:tabs>
        <w:spacing w:line="360" w:lineRule="auto"/>
        <w:rPr>
          <w:rFonts w:hint="eastAsia" w:ascii="仿宋" w:hAnsi="仿宋" w:eastAsia="仿宋" w:cs="仿宋"/>
          <w:b/>
          <w:color w:val="auto"/>
          <w:sz w:val="24"/>
          <w:highlight w:val="none"/>
        </w:rPr>
      </w:pPr>
      <w:bookmarkStart w:id="163" w:name="_Toc19296"/>
      <w:bookmarkStart w:id="164" w:name="_Toc21372"/>
      <w:bookmarkStart w:id="165" w:name="_Toc515647780"/>
      <w:bookmarkStart w:id="166" w:name="_Toc532473472"/>
      <w:r>
        <w:rPr>
          <w:rFonts w:hint="eastAsia" w:ascii="仿宋" w:hAnsi="仿宋" w:eastAsia="仿宋" w:cs="仿宋"/>
          <w:b/>
          <w:color w:val="auto"/>
          <w:sz w:val="24"/>
          <w:highlight w:val="none"/>
        </w:rPr>
        <w:t>19.</w:t>
      </w:r>
      <w:bookmarkEnd w:id="162"/>
      <w:r>
        <w:rPr>
          <w:rFonts w:hint="eastAsia" w:ascii="仿宋" w:hAnsi="仿宋" w:eastAsia="仿宋" w:cs="仿宋"/>
          <w:b/>
          <w:color w:val="auto"/>
          <w:sz w:val="24"/>
          <w:highlight w:val="none"/>
        </w:rPr>
        <w:t xml:space="preserve">    资格审查及组建评标委员会</w:t>
      </w:r>
      <w:bookmarkEnd w:id="163"/>
      <w:bookmarkEnd w:id="164"/>
      <w:bookmarkEnd w:id="165"/>
      <w:bookmarkEnd w:id="166"/>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19.1   采购人或采购代理机构依据法律法规和招标文件中规定的内容，对投标人及其投标标的物的资格进行审查，未通过资格审查的投标人不进入评标；将被认定为未通过资格审查。</w:t>
      </w:r>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通过资格审查的投标人不足三家的，不得评标。</w:t>
      </w:r>
    </w:p>
    <w:p>
      <w:pPr>
        <w:spacing w:line="360" w:lineRule="auto"/>
        <w:ind w:left="857" w:leftChars="2" w:hanging="853"/>
        <w:rPr>
          <w:rFonts w:hint="eastAsia" w:ascii="仿宋" w:hAnsi="仿宋" w:eastAsia="仿宋" w:cs="仿宋"/>
          <w:color w:val="auto"/>
          <w:sz w:val="24"/>
          <w:highlight w:val="none"/>
        </w:rPr>
      </w:pPr>
      <w:r>
        <w:rPr>
          <w:rFonts w:hint="eastAsia" w:ascii="仿宋" w:hAnsi="仿宋" w:eastAsia="仿宋" w:cs="仿宋"/>
          <w:color w:val="auto"/>
          <w:sz w:val="24"/>
          <w:highlight w:val="none"/>
        </w:rPr>
        <w:t>19.2   采购人或采购代理机构将按投标人须知前附表中规定的时间查询投标人的信用记录。</w:t>
      </w:r>
    </w:p>
    <w:p>
      <w:pPr>
        <w:spacing w:line="360" w:lineRule="auto"/>
        <w:ind w:left="824" w:hanging="824"/>
        <w:rPr>
          <w:rFonts w:hint="eastAsia" w:ascii="仿宋" w:hAnsi="仿宋" w:eastAsia="仿宋" w:cs="仿宋"/>
          <w:color w:val="auto"/>
          <w:sz w:val="24"/>
          <w:highlight w:val="none"/>
        </w:rPr>
      </w:pPr>
      <w:r>
        <w:rPr>
          <w:rFonts w:hint="eastAsia" w:ascii="仿宋" w:hAnsi="仿宋" w:eastAsia="仿宋" w:cs="仿宋"/>
          <w:color w:val="auto"/>
          <w:sz w:val="24"/>
          <w:highlight w:val="none"/>
        </w:rPr>
        <w:t>19.2.1 投标人在中国政府采购网（www.ccgp.gov.cn）被列入政府采购严重违法失信行为记录名单，或在“信用中国”网站（www.creditchina.gov.cn）被列入失信被执行人、重大税收违法失信主体，以及存在《中华人民共和国政府采购法实施条例》第十九条规定的行政处罚记录，投标将被认定为</w:t>
      </w:r>
      <w:r>
        <w:rPr>
          <w:rFonts w:hint="eastAsia" w:ascii="仿宋" w:hAnsi="仿宋" w:eastAsia="仿宋" w:cs="仿宋"/>
          <w:b/>
          <w:color w:val="auto"/>
          <w:sz w:val="24"/>
          <w:highlight w:val="none"/>
        </w:rPr>
        <w:t>投标无效</w:t>
      </w:r>
      <w:r>
        <w:rPr>
          <w:rFonts w:hint="eastAsia" w:ascii="仿宋" w:hAnsi="仿宋" w:eastAsia="仿宋" w:cs="仿宋"/>
          <w:color w:val="auto"/>
          <w:sz w:val="24"/>
          <w:highlight w:val="none"/>
        </w:rPr>
        <w:t>。</w:t>
      </w:r>
    </w:p>
    <w:p>
      <w:pPr>
        <w:spacing w:line="360" w:lineRule="auto"/>
        <w:ind w:left="849" w:leftChars="401" w:hanging="7" w:hangingChars="3"/>
        <w:rPr>
          <w:rFonts w:hint="eastAsia" w:ascii="仿宋" w:hAnsi="仿宋" w:eastAsia="仿宋" w:cs="仿宋"/>
          <w:color w:val="auto"/>
          <w:sz w:val="24"/>
          <w:highlight w:val="none"/>
        </w:rPr>
      </w:pPr>
      <w:r>
        <w:rPr>
          <w:rFonts w:hint="eastAsia" w:ascii="仿宋" w:hAnsi="仿宋" w:eastAsia="仿宋" w:cs="仿宋"/>
          <w:color w:val="auto"/>
          <w:sz w:val="24"/>
          <w:highlight w:val="none"/>
        </w:rPr>
        <w:t>以联合体形式参加投标的，联合体任何成员存在以上不良信用记录的，联合体投标将被认定为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pStyle w:val="6"/>
        <w:spacing w:line="360" w:lineRule="auto"/>
        <w:ind w:left="850" w:hanging="849" w:hangingChars="354"/>
        <w:jc w:val="both"/>
        <w:rPr>
          <w:rFonts w:hint="eastAsia" w:ascii="仿宋" w:hAnsi="仿宋" w:eastAsia="仿宋" w:cs="仿宋"/>
          <w:color w:val="auto"/>
          <w:highlight w:val="none"/>
        </w:rPr>
      </w:pPr>
      <w:r>
        <w:rPr>
          <w:rFonts w:hint="eastAsia" w:ascii="仿宋" w:hAnsi="仿宋" w:eastAsia="仿宋" w:cs="仿宋"/>
          <w:color w:val="auto"/>
          <w:highlight w:val="none"/>
        </w:rPr>
        <w:t>19.2.2 采购人或采购代理机构经办人将查询网页打印并存档备查。投标人不良信用记录以采购人或采购代理机构查询结果为准。投标人自行提供的与网站信息不一致的其他证明材料亦不作为资格审查依据。</w:t>
      </w:r>
    </w:p>
    <w:p>
      <w:pPr>
        <w:pStyle w:val="6"/>
        <w:spacing w:line="360" w:lineRule="auto"/>
        <w:ind w:left="850" w:leftChars="405" w:firstLine="0"/>
        <w:jc w:val="both"/>
        <w:rPr>
          <w:rFonts w:hint="eastAsia" w:ascii="仿宋" w:hAnsi="仿宋" w:eastAsia="仿宋" w:cs="仿宋"/>
          <w:color w:val="auto"/>
          <w:highlight w:val="none"/>
        </w:rPr>
      </w:pPr>
      <w:r>
        <w:rPr>
          <w:rFonts w:hint="eastAsia" w:ascii="仿宋" w:hAnsi="仿宋" w:eastAsia="仿宋" w:cs="仿宋"/>
          <w:color w:val="auto"/>
          <w:highlight w:val="none"/>
        </w:rPr>
        <w:t>在本招标文件规定的查询时间之外，网站信息发生的任何变更均不作为资格审查依据。</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19.3   按照《中华人民共和国政府采购法》、《中华人民共和国政府采购法实施条例》及本项目本级和上级财政部门的有关规定依法组建的评标委员会，负责评标工作。</w:t>
      </w:r>
      <w:bookmarkStart w:id="167" w:name="_Toc520356166"/>
    </w:p>
    <w:p>
      <w:pPr>
        <w:tabs>
          <w:tab w:val="left" w:pos="0"/>
        </w:tabs>
        <w:spacing w:line="360" w:lineRule="auto"/>
        <w:rPr>
          <w:rFonts w:hint="eastAsia" w:ascii="仿宋" w:hAnsi="仿宋" w:eastAsia="仿宋" w:cs="仿宋"/>
          <w:b/>
          <w:color w:val="auto"/>
          <w:sz w:val="24"/>
          <w:highlight w:val="none"/>
        </w:rPr>
      </w:pPr>
      <w:bookmarkStart w:id="168" w:name="_Toc515647781"/>
      <w:bookmarkStart w:id="169" w:name="_Toc28479"/>
      <w:bookmarkStart w:id="170" w:name="_Toc532473473"/>
      <w:bookmarkStart w:id="171" w:name="_Toc19949"/>
      <w:r>
        <w:rPr>
          <w:rFonts w:hint="eastAsia" w:ascii="仿宋" w:hAnsi="仿宋" w:eastAsia="仿宋" w:cs="仿宋"/>
          <w:b/>
          <w:color w:val="auto"/>
          <w:sz w:val="24"/>
          <w:highlight w:val="none"/>
        </w:rPr>
        <w:t>20.    投标文件</w:t>
      </w:r>
      <w:bookmarkEnd w:id="167"/>
      <w:r>
        <w:rPr>
          <w:rFonts w:hint="eastAsia" w:ascii="仿宋" w:hAnsi="仿宋" w:eastAsia="仿宋" w:cs="仿宋"/>
          <w:b/>
          <w:color w:val="auto"/>
          <w:sz w:val="24"/>
          <w:highlight w:val="none"/>
        </w:rPr>
        <w:t>符合性审查与澄清</w:t>
      </w:r>
      <w:bookmarkEnd w:id="168"/>
      <w:bookmarkEnd w:id="169"/>
      <w:bookmarkEnd w:id="170"/>
      <w:bookmarkEnd w:id="171"/>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20.1   </w:t>
      </w:r>
      <w:bookmarkStart w:id="172" w:name="_Hlt522424701"/>
      <w:bookmarkEnd w:id="172"/>
      <w:bookmarkStart w:id="173" w:name="_Toc520356167"/>
      <w:r>
        <w:rPr>
          <w:rFonts w:hint="eastAsia" w:ascii="仿宋" w:hAnsi="仿宋" w:eastAsia="仿宋" w:cs="仿宋"/>
          <w:color w:val="auto"/>
          <w:sz w:val="24"/>
          <w:highlight w:val="none"/>
        </w:rPr>
        <w:t>符合性审查是指依据招标文件的规定，从商务和技术角度对投标文件的有效性和完整性进行审查，以确定是否对招标文件的实质性要求做出响应。</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20.2   投标文件的澄清</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20.2.1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20.2.2 投标人的澄清、说明或补正将作为投标文件的一部分。</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20.3   投标文件报价出现前后不一致的，按照下列规定修正：</w:t>
      </w:r>
    </w:p>
    <w:p>
      <w:pPr>
        <w:numPr>
          <w:ilvl w:val="0"/>
          <w:numId w:val="1"/>
        </w:numPr>
        <w:spacing w:line="360" w:lineRule="auto"/>
        <w:ind w:left="840" w:leftChars="40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投标文件中开标一览表（报价表）内容与投标文件中相应内容不一致的，以开标一览表（报价表）为准；</w:t>
      </w:r>
    </w:p>
    <w:p>
      <w:pPr>
        <w:numPr>
          <w:ilvl w:val="0"/>
          <w:numId w:val="1"/>
        </w:numPr>
        <w:spacing w:line="360" w:lineRule="auto"/>
        <w:ind w:left="840" w:leftChars="40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大写金额和小写金额不一致的，以大写金额为准；</w:t>
      </w:r>
    </w:p>
    <w:p>
      <w:pPr>
        <w:numPr>
          <w:ilvl w:val="0"/>
          <w:numId w:val="1"/>
        </w:numPr>
        <w:spacing w:line="360" w:lineRule="auto"/>
        <w:ind w:left="840" w:leftChars="40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单价金额小数点或者百分比有明显错位的，以开标一览表的总价为准，并修改单价；</w:t>
      </w:r>
    </w:p>
    <w:p>
      <w:pPr>
        <w:numPr>
          <w:ilvl w:val="0"/>
          <w:numId w:val="1"/>
        </w:numPr>
        <w:spacing w:line="360" w:lineRule="auto"/>
        <w:ind w:left="840" w:leftChars="40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总价金额与按单价汇总金额不一致的，以单价金额计算结果为准。</w:t>
      </w:r>
    </w:p>
    <w:p>
      <w:pPr>
        <w:numPr>
          <w:ilvl w:val="0"/>
          <w:numId w:val="1"/>
        </w:numPr>
        <w:spacing w:line="360" w:lineRule="auto"/>
        <w:ind w:left="840" w:leftChars="40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同时出现两种以上不一致的，按照前款规定的顺序修正。修正后的报价按照第20.2条的规定经投标人确认后产生约束力，投标人不确认的，其投标将被认定为投标无效。</w:t>
      </w:r>
    </w:p>
    <w:p>
      <w:pPr>
        <w:numPr>
          <w:ilvl w:val="0"/>
          <w:numId w:val="1"/>
        </w:numPr>
        <w:spacing w:line="360" w:lineRule="auto"/>
        <w:ind w:left="840" w:leftChars="40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对不同文字文本投标文件的解释发生异议的，以中文文本为准。</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20.4   投标人为提供服务所伴随的货物如被列入财政部与国家主管部门颁发的节能产品或环境标志产品的，应提供处于有效期之内认证证书等相关证明，在评标时予以优先采购，具体优先采购办法见第三章评标方法和标准。</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如投标人为提供服务所伴随的货物为政府强制采购的产品，投标人所投产品应属于品目清单的强制采购部分。投标人应提供有效期内的认证证书，否则其投标将被认定为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如投标人为提供服务所伴随的货物属于信息安全产品的，投标人所投产品应为经国家认证的信息安全产品，并提供由中国信息安全认证中心按国家标准认证颁发的有效认证证书，否则其投标将被认定为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20.5   非单一产品采购项目核心产品见投标人须知前附表。</w:t>
      </w:r>
    </w:p>
    <w:p>
      <w:pPr>
        <w:tabs>
          <w:tab w:val="left" w:pos="0"/>
        </w:tabs>
        <w:spacing w:line="360" w:lineRule="auto"/>
        <w:rPr>
          <w:rFonts w:hint="eastAsia" w:ascii="仿宋" w:hAnsi="仿宋" w:eastAsia="仿宋" w:cs="仿宋"/>
          <w:b/>
          <w:color w:val="auto"/>
          <w:sz w:val="24"/>
          <w:highlight w:val="none"/>
        </w:rPr>
      </w:pPr>
      <w:bookmarkStart w:id="174" w:name="_Toc532473474"/>
      <w:bookmarkStart w:id="175" w:name="_Toc6364"/>
      <w:bookmarkStart w:id="176" w:name="_Toc515647782"/>
      <w:bookmarkStart w:id="177" w:name="_Toc9469"/>
      <w:r>
        <w:rPr>
          <w:rFonts w:hint="eastAsia" w:ascii="仿宋" w:hAnsi="仿宋" w:eastAsia="仿宋" w:cs="仿宋"/>
          <w:b/>
          <w:color w:val="auto"/>
          <w:sz w:val="24"/>
          <w:highlight w:val="none"/>
        </w:rPr>
        <w:t>21.    投标偏离</w:t>
      </w:r>
      <w:bookmarkEnd w:id="174"/>
      <w:bookmarkEnd w:id="175"/>
      <w:bookmarkEnd w:id="176"/>
      <w:bookmarkEnd w:id="177"/>
    </w:p>
    <w:p>
      <w:pPr>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投标文件中存在对招标文件的实质性负偏离，其投标将被认定为</w:t>
      </w:r>
      <w:r>
        <w:rPr>
          <w:rFonts w:hint="eastAsia" w:ascii="仿宋" w:hAnsi="仿宋" w:eastAsia="仿宋" w:cs="仿宋"/>
          <w:b/>
          <w:color w:val="auto"/>
          <w:sz w:val="24"/>
          <w:highlight w:val="none"/>
        </w:rPr>
        <w:t>投标无效</w:t>
      </w:r>
      <w:r>
        <w:rPr>
          <w:rFonts w:hint="eastAsia" w:ascii="仿宋" w:hAnsi="仿宋" w:eastAsia="仿宋" w:cs="仿宋"/>
          <w:color w:val="auto"/>
          <w:sz w:val="24"/>
          <w:highlight w:val="none"/>
        </w:rPr>
        <w:t>。</w:t>
      </w:r>
    </w:p>
    <w:p>
      <w:pPr>
        <w:tabs>
          <w:tab w:val="left" w:pos="0"/>
        </w:tabs>
        <w:spacing w:line="360" w:lineRule="auto"/>
        <w:rPr>
          <w:rFonts w:hint="eastAsia" w:ascii="仿宋" w:hAnsi="仿宋" w:eastAsia="仿宋" w:cs="仿宋"/>
          <w:b/>
          <w:color w:val="auto"/>
          <w:sz w:val="24"/>
          <w:highlight w:val="none"/>
        </w:rPr>
      </w:pPr>
      <w:bookmarkStart w:id="178" w:name="_Toc515647783"/>
      <w:bookmarkStart w:id="179" w:name="_Toc532473475"/>
      <w:bookmarkStart w:id="180" w:name="_Toc4950"/>
      <w:bookmarkStart w:id="181" w:name="_Toc6092"/>
      <w:r>
        <w:rPr>
          <w:rFonts w:hint="eastAsia" w:ascii="仿宋" w:hAnsi="仿宋" w:eastAsia="仿宋" w:cs="仿宋"/>
          <w:b/>
          <w:color w:val="auto"/>
          <w:sz w:val="24"/>
          <w:highlight w:val="none"/>
        </w:rPr>
        <w:t>22.    投标</w:t>
      </w:r>
      <w:bookmarkEnd w:id="178"/>
      <w:r>
        <w:rPr>
          <w:rFonts w:hint="eastAsia" w:ascii="仿宋" w:hAnsi="仿宋" w:eastAsia="仿宋" w:cs="仿宋"/>
          <w:b/>
          <w:color w:val="auto"/>
          <w:sz w:val="24"/>
          <w:highlight w:val="none"/>
        </w:rPr>
        <w:t>无效</w:t>
      </w:r>
      <w:bookmarkEnd w:id="179"/>
      <w:bookmarkEnd w:id="180"/>
      <w:bookmarkEnd w:id="181"/>
    </w:p>
    <w:p>
      <w:pPr>
        <w:spacing w:line="360" w:lineRule="auto"/>
        <w:ind w:left="852" w:leftChars="-23"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22.1   在比较与评价之前，根据招标文件的规定，评标委员会要审查每份投标文件是否响应了招标文件的要求。投标人不得通过修正或撤销不符合要求的偏离，从而使其投标成为实质上响应的投标。</w:t>
      </w:r>
    </w:p>
    <w:p>
      <w:pPr>
        <w:spacing w:line="360" w:lineRule="auto"/>
        <w:ind w:left="792" w:leftChars="377"/>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评标委员会决定投标的响应性只根据招标文件要求和投标文件内容。</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22.2   如发现下列情况之一的，其投标将被认定为</w:t>
      </w:r>
      <w:r>
        <w:rPr>
          <w:rFonts w:hint="eastAsia" w:ascii="仿宋" w:hAnsi="仿宋" w:eastAsia="仿宋" w:cs="仿宋"/>
          <w:b/>
          <w:bCs/>
          <w:color w:val="auto"/>
          <w:sz w:val="24"/>
          <w:highlight w:val="none"/>
        </w:rPr>
        <w:t>投标无效</w:t>
      </w:r>
      <w:r>
        <w:rPr>
          <w:rFonts w:hint="eastAsia" w:ascii="仿宋" w:hAnsi="仿宋" w:eastAsia="仿宋" w:cs="仿宋"/>
          <w:color w:val="auto"/>
          <w:sz w:val="24"/>
          <w:highlight w:val="none"/>
        </w:rPr>
        <w:t>：</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（1）未按照招标文件规定要求签署、盖章的；</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（2）未满足招标文件中商务和技术条款的实质性要求；</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（3）属于串通投标，或者依法被视为串通投标；</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（4）评标委员会认为投标人的报价明显低于其他通过符合性审查投标人的报价，有可能影响履约的，且投标人未按照规定证明其报价合理性的；</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（5）投标文件含有采购人不能接受的附加条件的；</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（6）属于招标文件规定的其他投标无效情形；</w:t>
      </w:r>
    </w:p>
    <w:p>
      <w:pPr>
        <w:spacing w:line="360" w:lineRule="auto"/>
        <w:ind w:left="850" w:leftChars="405" w:firstLine="2" w:firstLineChars="1"/>
        <w:rPr>
          <w:rFonts w:hint="eastAsia" w:ascii="仿宋" w:hAnsi="仿宋" w:eastAsia="仿宋" w:cs="仿宋"/>
          <w:color w:val="auto"/>
          <w:sz w:val="24"/>
          <w:highlight w:val="none"/>
        </w:rPr>
      </w:pPr>
      <w:r>
        <w:rPr>
          <w:rFonts w:hint="eastAsia" w:ascii="仿宋" w:hAnsi="仿宋" w:eastAsia="仿宋" w:cs="仿宋"/>
          <w:color w:val="auto"/>
          <w:sz w:val="24"/>
          <w:highlight w:val="none"/>
        </w:rPr>
        <w:t>（7）不符合法规和招标文件中规定的其他实质性要求的。</w:t>
      </w:r>
    </w:p>
    <w:bookmarkEnd w:id="173"/>
    <w:p>
      <w:pPr>
        <w:tabs>
          <w:tab w:val="left" w:pos="0"/>
        </w:tabs>
        <w:spacing w:line="360" w:lineRule="auto"/>
        <w:rPr>
          <w:rFonts w:hint="eastAsia" w:ascii="仿宋" w:hAnsi="仿宋" w:eastAsia="仿宋" w:cs="仿宋"/>
          <w:b/>
          <w:color w:val="auto"/>
          <w:sz w:val="24"/>
          <w:highlight w:val="none"/>
        </w:rPr>
      </w:pPr>
      <w:bookmarkStart w:id="182" w:name="_Toc22941"/>
      <w:bookmarkStart w:id="183" w:name="_Toc13652"/>
      <w:bookmarkStart w:id="184" w:name="_Toc515647784"/>
      <w:bookmarkStart w:id="185" w:name="_Toc532473476"/>
      <w:r>
        <w:rPr>
          <w:rFonts w:hint="eastAsia" w:ascii="仿宋" w:hAnsi="仿宋" w:eastAsia="仿宋" w:cs="仿宋"/>
          <w:b/>
          <w:color w:val="auto"/>
          <w:sz w:val="24"/>
          <w:highlight w:val="none"/>
        </w:rPr>
        <w:t>23.    比较与评价</w:t>
      </w:r>
      <w:bookmarkEnd w:id="182"/>
      <w:bookmarkEnd w:id="183"/>
      <w:bookmarkEnd w:id="184"/>
      <w:bookmarkEnd w:id="185"/>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23.1   经符合性审查合格的投标文件，评标委员会将根据招标文件确定的评标方法和标准，对其技术部分和商务部分作进一步的比较和评价。</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23.2   评标严格按照招标文件的要求和条件进行。根据实际情况，在</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中规定采用下列一种评标方法，详细评标标准见招标文件第三章：</w:t>
      </w:r>
    </w:p>
    <w:p>
      <w:pPr>
        <w:pStyle w:val="18"/>
        <w:spacing w:line="360" w:lineRule="auto"/>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（1）最低评标价法，是指投标文件满足招标文件全部要求，且投标报价最低的投标人为中标候选人的评标方法。</w:t>
      </w:r>
    </w:p>
    <w:p>
      <w:pPr>
        <w:pStyle w:val="18"/>
        <w:spacing w:line="360" w:lineRule="auto"/>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（2）综合评分法，是指投标文件满足招标文件全部要求，且按照评审因素的量化指标评审得分最高的投标人为中标候选人的评标方法。</w:t>
      </w:r>
    </w:p>
    <w:p>
      <w:pPr>
        <w:pStyle w:val="18"/>
        <w:spacing w:line="360" w:lineRule="auto"/>
        <w:ind w:left="900" w:hanging="900" w:hangingChars="3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根据《关于进一步加大政府采购支持中小企业力度的通知》（财库〔2022〕19号）、《政府采购促进中小企业发展办法》（财库〔2020〕46号）、《财政部司法部关于政府采购支持监狱企业发展有关问题的通知》（财库〔2014〕68号）和《三部门联合发布关于促进残疾人就业政府采购政策的通知》（</w:t>
      </w:r>
      <w:bookmarkStart w:id="186" w:name="sendNo"/>
      <w:r>
        <w:rPr>
          <w:rFonts w:hint="eastAsia" w:ascii="仿宋" w:hAnsi="仿宋" w:eastAsia="仿宋" w:cs="仿宋"/>
          <w:bCs/>
          <w:color w:val="auto"/>
          <w:sz w:val="24"/>
          <w:szCs w:val="24"/>
          <w:highlight w:val="none"/>
        </w:rPr>
        <w:t>财库〔</w:t>
      </w:r>
      <w:bookmarkEnd w:id="186"/>
      <w:r>
        <w:rPr>
          <w:rFonts w:hint="eastAsia" w:ascii="仿宋" w:hAnsi="仿宋" w:eastAsia="仿宋" w:cs="仿宋"/>
          <w:bCs/>
          <w:color w:val="auto"/>
          <w:sz w:val="24"/>
          <w:szCs w:val="24"/>
          <w:highlight w:val="none"/>
        </w:rPr>
        <w:t>2017〕141号</w:t>
      </w:r>
      <w:r>
        <w:rPr>
          <w:rFonts w:hint="eastAsia" w:ascii="仿宋" w:hAnsi="仿宋" w:eastAsia="仿宋" w:cs="仿宋"/>
          <w:color w:val="auto"/>
          <w:sz w:val="24"/>
          <w:szCs w:val="24"/>
          <w:highlight w:val="none"/>
        </w:rPr>
        <w:t>）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ascii="仿宋" w:hAnsi="仿宋" w:eastAsia="仿宋" w:cs="仿宋"/>
          <w:color w:val="auto"/>
          <w:sz w:val="24"/>
          <w:highlight w:val="none"/>
        </w:rPr>
        <w:t>其投标报价按规定扣除后参与评审</w:t>
      </w:r>
      <w:r>
        <w:rPr>
          <w:rFonts w:hint="eastAsia" w:ascii="仿宋" w:hAnsi="仿宋" w:eastAsia="仿宋" w:cs="仿宋"/>
          <w:color w:val="auto"/>
          <w:sz w:val="24"/>
          <w:szCs w:val="24"/>
          <w:highlight w:val="none"/>
        </w:rPr>
        <w:t>。具体办法详见招标文件第三章。</w:t>
      </w:r>
    </w:p>
    <w:p>
      <w:pPr>
        <w:pStyle w:val="18"/>
        <w:spacing w:line="360" w:lineRule="auto"/>
        <w:ind w:left="900" w:hanging="900" w:hangingChars="3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   落实其他政府采购政策条款。具体办法详见招标文件第三章。</w:t>
      </w:r>
    </w:p>
    <w:p>
      <w:pPr>
        <w:tabs>
          <w:tab w:val="left" w:pos="0"/>
        </w:tabs>
        <w:spacing w:line="360" w:lineRule="auto"/>
        <w:rPr>
          <w:rFonts w:hint="eastAsia" w:ascii="仿宋" w:hAnsi="仿宋" w:eastAsia="仿宋" w:cs="仿宋"/>
          <w:b/>
          <w:color w:val="auto"/>
          <w:sz w:val="24"/>
          <w:highlight w:val="none"/>
        </w:rPr>
      </w:pPr>
      <w:bookmarkStart w:id="187" w:name="_Toc520356168"/>
      <w:bookmarkStart w:id="188" w:name="_Toc9378"/>
      <w:bookmarkStart w:id="189" w:name="_Toc20227"/>
      <w:bookmarkStart w:id="190" w:name="_Toc532473477"/>
      <w:bookmarkStart w:id="191" w:name="_Toc515647785"/>
      <w:r>
        <w:rPr>
          <w:rFonts w:hint="eastAsia" w:ascii="仿宋" w:hAnsi="仿宋" w:eastAsia="仿宋" w:cs="仿宋"/>
          <w:b/>
          <w:color w:val="auto"/>
          <w:sz w:val="24"/>
          <w:highlight w:val="none"/>
        </w:rPr>
        <w:t>24</w:t>
      </w:r>
      <w:bookmarkEnd w:id="187"/>
      <w:r>
        <w:rPr>
          <w:rFonts w:hint="eastAsia" w:ascii="仿宋" w:hAnsi="仿宋" w:eastAsia="仿宋" w:cs="仿宋"/>
          <w:b/>
          <w:color w:val="auto"/>
          <w:sz w:val="24"/>
          <w:highlight w:val="none"/>
        </w:rPr>
        <w:t>.    废标</w:t>
      </w:r>
      <w:bookmarkEnd w:id="188"/>
      <w:bookmarkEnd w:id="189"/>
      <w:bookmarkEnd w:id="190"/>
      <w:bookmarkEnd w:id="191"/>
    </w:p>
    <w:p>
      <w:pPr>
        <w:spacing w:line="360" w:lineRule="auto"/>
        <w:ind w:left="898" w:leftChars="399" w:hanging="60" w:hangingChars="25"/>
        <w:rPr>
          <w:rFonts w:hint="eastAsia" w:ascii="仿宋" w:hAnsi="仿宋" w:eastAsia="仿宋" w:cs="仿宋"/>
          <w:color w:val="auto"/>
          <w:sz w:val="24"/>
          <w:highlight w:val="none"/>
        </w:rPr>
      </w:pPr>
      <w:r>
        <w:rPr>
          <w:rFonts w:hint="eastAsia" w:ascii="仿宋" w:hAnsi="仿宋" w:eastAsia="仿宋" w:cs="仿宋"/>
          <w:color w:val="auto"/>
          <w:sz w:val="24"/>
          <w:highlight w:val="none"/>
        </w:rPr>
        <w:t>出现下列情形之一，将导致项目废标：</w:t>
      </w:r>
    </w:p>
    <w:p>
      <w:pPr>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（1）符合专业条件的投标人或者对招标文件做实质性响应的投标人不足三家；</w:t>
      </w:r>
    </w:p>
    <w:p>
      <w:pPr>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（2）出现影响采购公正的违法、违规行为的；</w:t>
      </w:r>
    </w:p>
    <w:p>
      <w:pPr>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（3）投标人的报价均超过了采购预算，采购人不能支付的；</w:t>
      </w:r>
    </w:p>
    <w:p>
      <w:pPr>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（4）因重大变故，采购任务取消的。</w:t>
      </w:r>
    </w:p>
    <w:p>
      <w:pPr>
        <w:tabs>
          <w:tab w:val="left" w:pos="0"/>
        </w:tabs>
        <w:spacing w:line="360" w:lineRule="auto"/>
        <w:rPr>
          <w:rFonts w:hint="eastAsia" w:ascii="仿宋" w:hAnsi="仿宋" w:eastAsia="仿宋" w:cs="仿宋"/>
          <w:b/>
          <w:color w:val="auto"/>
          <w:sz w:val="24"/>
          <w:highlight w:val="none"/>
        </w:rPr>
      </w:pPr>
      <w:bookmarkStart w:id="192" w:name="_Toc31289"/>
      <w:bookmarkStart w:id="193" w:name="_Toc515647786"/>
      <w:bookmarkStart w:id="194" w:name="_Toc24972"/>
      <w:bookmarkStart w:id="195" w:name="_Toc532473478"/>
      <w:bookmarkStart w:id="196" w:name="_Toc520356169"/>
      <w:r>
        <w:rPr>
          <w:rFonts w:hint="eastAsia" w:ascii="仿宋" w:hAnsi="仿宋" w:eastAsia="仿宋" w:cs="仿宋"/>
          <w:b/>
          <w:color w:val="auto"/>
          <w:sz w:val="24"/>
          <w:highlight w:val="none"/>
        </w:rPr>
        <w:t>25.    保密</w:t>
      </w:r>
      <w:bookmarkEnd w:id="192"/>
      <w:bookmarkEnd w:id="193"/>
      <w:bookmarkEnd w:id="194"/>
      <w:r>
        <w:rPr>
          <w:rFonts w:hint="eastAsia" w:ascii="仿宋" w:hAnsi="仿宋" w:eastAsia="仿宋" w:cs="仿宋"/>
          <w:b/>
          <w:color w:val="auto"/>
          <w:sz w:val="24"/>
          <w:highlight w:val="none"/>
        </w:rPr>
        <w:t>要求</w:t>
      </w:r>
      <w:bookmarkEnd w:id="195"/>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25.1   评标将在严格保密的情况下进行。</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25.2   有关人员应当遵守评标工作纪律，不得泄露评标文件、评标情况和评标中获悉的国家秘密、商业秘密。</w:t>
      </w:r>
    </w:p>
    <w:p>
      <w:pPr>
        <w:spacing w:line="360" w:lineRule="auto"/>
        <w:jc w:val="center"/>
        <w:outlineLvl w:val="2"/>
        <w:rPr>
          <w:rFonts w:hint="eastAsia" w:ascii="仿宋" w:hAnsi="仿宋" w:eastAsia="仿宋" w:cs="仿宋"/>
          <w:b/>
          <w:color w:val="auto"/>
          <w:sz w:val="28"/>
          <w:szCs w:val="28"/>
          <w:highlight w:val="none"/>
        </w:rPr>
      </w:pPr>
      <w:bookmarkStart w:id="197" w:name="_Toc532473479"/>
      <w:bookmarkStart w:id="198" w:name="_Toc515647787"/>
      <w:bookmarkStart w:id="199" w:name="_Toc216582810"/>
      <w:bookmarkStart w:id="200" w:name="_Toc32401"/>
      <w:bookmarkStart w:id="201" w:name="_Toc23904"/>
      <w:bookmarkStart w:id="202" w:name="_Toc138175444"/>
      <w:bookmarkStart w:id="203" w:name="_Toc12143"/>
      <w:r>
        <w:rPr>
          <w:rFonts w:hint="eastAsia" w:ascii="仿宋" w:hAnsi="仿宋" w:eastAsia="仿宋" w:cs="仿宋"/>
          <w:b/>
          <w:color w:val="auto"/>
          <w:sz w:val="28"/>
          <w:szCs w:val="28"/>
          <w:highlight w:val="none"/>
        </w:rPr>
        <w:t>六</w:t>
      </w:r>
      <w:bookmarkEnd w:id="196"/>
      <w:r>
        <w:rPr>
          <w:rFonts w:hint="eastAsia" w:ascii="仿宋" w:hAnsi="仿宋" w:eastAsia="仿宋" w:cs="仿宋"/>
          <w:b/>
          <w:color w:val="auto"/>
          <w:sz w:val="28"/>
          <w:szCs w:val="28"/>
          <w:highlight w:val="none"/>
        </w:rPr>
        <w:t>、确定中标</w:t>
      </w:r>
      <w:bookmarkEnd w:id="197"/>
      <w:bookmarkEnd w:id="198"/>
      <w:bookmarkEnd w:id="199"/>
      <w:bookmarkEnd w:id="200"/>
      <w:bookmarkEnd w:id="201"/>
      <w:bookmarkEnd w:id="202"/>
      <w:bookmarkEnd w:id="203"/>
    </w:p>
    <w:p>
      <w:pPr>
        <w:tabs>
          <w:tab w:val="left" w:pos="0"/>
        </w:tabs>
        <w:spacing w:line="360" w:lineRule="auto"/>
        <w:rPr>
          <w:rFonts w:hint="eastAsia" w:ascii="仿宋" w:hAnsi="仿宋" w:eastAsia="仿宋" w:cs="仿宋"/>
          <w:b/>
          <w:color w:val="auto"/>
          <w:sz w:val="24"/>
          <w:highlight w:val="none"/>
        </w:rPr>
      </w:pPr>
      <w:bookmarkStart w:id="204" w:name="_Toc515647788"/>
      <w:bookmarkStart w:id="205" w:name="_Toc23617"/>
      <w:bookmarkStart w:id="206" w:name="_Ref467307010"/>
      <w:bookmarkStart w:id="207" w:name="_Toc520356170"/>
      <w:bookmarkStart w:id="208" w:name="_Toc532473480"/>
      <w:bookmarkStart w:id="209" w:name="_Toc23762"/>
      <w:r>
        <w:rPr>
          <w:rFonts w:hint="eastAsia" w:ascii="仿宋" w:hAnsi="仿宋" w:eastAsia="仿宋" w:cs="仿宋"/>
          <w:b/>
          <w:color w:val="auto"/>
          <w:sz w:val="24"/>
          <w:highlight w:val="none"/>
        </w:rPr>
        <w:t>26.    中标候选人的确定原则及标准</w:t>
      </w:r>
      <w:bookmarkEnd w:id="204"/>
      <w:bookmarkEnd w:id="205"/>
      <w:bookmarkEnd w:id="206"/>
      <w:bookmarkEnd w:id="207"/>
      <w:bookmarkEnd w:id="208"/>
      <w:bookmarkEnd w:id="209"/>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除评标委员会受采购人委托直接确定中标人的情形外，对实质上响应招标文件的投标人按下列方法进行排序，确定中标候选人：</w:t>
      </w:r>
    </w:p>
    <w:p>
      <w:pPr>
        <w:spacing w:line="360" w:lineRule="auto"/>
        <w:ind w:left="840" w:leftChars="400"/>
        <w:rPr>
          <w:rFonts w:hint="eastAsia" w:ascii="仿宋" w:hAnsi="仿宋" w:eastAsia="仿宋" w:cs="仿宋"/>
          <w:color w:val="auto"/>
          <w:sz w:val="24"/>
          <w:highlight w:val="none"/>
        </w:rPr>
      </w:pPr>
      <w:bookmarkStart w:id="210" w:name="_Toc520356171"/>
      <w:bookmarkStart w:id="211" w:name="_Toc515647789"/>
      <w:r>
        <w:rPr>
          <w:rFonts w:hint="eastAsia" w:ascii="仿宋" w:hAnsi="仿宋" w:eastAsia="仿宋" w:cs="仿宋"/>
          <w:color w:val="auto"/>
          <w:sz w:val="24"/>
          <w:highlight w:val="none"/>
        </w:rPr>
        <w:t>（1）采用最低评标价法的，除了算术修正和落实政府采购政策需进行的价格扣除外，不对投标人的投标价格进行任何调整。评标结果按修正和扣除后的投标报价由低到高顺序排列。报价相同的处理方式详见招标文件第三章。</w:t>
      </w:r>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（2）采用综合评分法的，评标结果按评审后得分由高到低顺序排列。得分相同的，按修正和扣除后的投标报价由低到高顺序排列。得分与投标报价均相同的处理方式详见招标文件第三章。</w:t>
      </w:r>
    </w:p>
    <w:p>
      <w:pPr>
        <w:tabs>
          <w:tab w:val="left" w:pos="0"/>
        </w:tabs>
        <w:spacing w:line="360" w:lineRule="auto"/>
        <w:rPr>
          <w:rFonts w:hint="eastAsia" w:ascii="仿宋" w:hAnsi="仿宋" w:eastAsia="仿宋" w:cs="仿宋"/>
          <w:b/>
          <w:color w:val="auto"/>
          <w:sz w:val="24"/>
          <w:highlight w:val="none"/>
        </w:rPr>
      </w:pPr>
      <w:bookmarkStart w:id="212" w:name="_Toc9653"/>
      <w:bookmarkStart w:id="213" w:name="_Toc23951"/>
      <w:bookmarkStart w:id="214" w:name="_Toc532473481"/>
      <w:r>
        <w:rPr>
          <w:rFonts w:hint="eastAsia" w:ascii="仿宋" w:hAnsi="仿宋" w:eastAsia="仿宋" w:cs="仿宋"/>
          <w:b/>
          <w:color w:val="auto"/>
          <w:sz w:val="24"/>
          <w:highlight w:val="none"/>
        </w:rPr>
        <w:t>27</w:t>
      </w:r>
      <w:bookmarkEnd w:id="210"/>
      <w:r>
        <w:rPr>
          <w:rFonts w:hint="eastAsia" w:ascii="仿宋" w:hAnsi="仿宋" w:eastAsia="仿宋" w:cs="仿宋"/>
          <w:b/>
          <w:color w:val="auto"/>
          <w:sz w:val="24"/>
          <w:highlight w:val="none"/>
        </w:rPr>
        <w:t>.</w:t>
      </w:r>
      <w:bookmarkEnd w:id="211"/>
      <w:bookmarkEnd w:id="212"/>
      <w:bookmarkEnd w:id="213"/>
      <w:bookmarkEnd w:id="214"/>
      <w:r>
        <w:rPr>
          <w:rFonts w:hint="eastAsia" w:ascii="仿宋" w:hAnsi="仿宋" w:eastAsia="仿宋" w:cs="仿宋"/>
          <w:b/>
          <w:color w:val="auto"/>
          <w:sz w:val="24"/>
          <w:highlight w:val="none"/>
        </w:rPr>
        <w:t xml:space="preserve">    确定中标候选人和中标人</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27.1   评标委员会将根据评标标准，按</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中规定数量推荐中标候选人。</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27.2   按</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中规定，由评标委员会直接确定中标人。</w:t>
      </w:r>
    </w:p>
    <w:p>
      <w:pPr>
        <w:tabs>
          <w:tab w:val="left" w:pos="0"/>
        </w:tabs>
        <w:spacing w:line="360" w:lineRule="auto"/>
        <w:rPr>
          <w:rFonts w:hint="eastAsia" w:ascii="仿宋" w:hAnsi="仿宋" w:eastAsia="仿宋" w:cs="仿宋"/>
          <w:b/>
          <w:color w:val="auto"/>
          <w:sz w:val="24"/>
          <w:highlight w:val="none"/>
        </w:rPr>
      </w:pPr>
      <w:bookmarkStart w:id="215" w:name="_Toc30170"/>
      <w:bookmarkStart w:id="216" w:name="_Toc520356174"/>
      <w:bookmarkStart w:id="217" w:name="_Toc515647791"/>
      <w:bookmarkStart w:id="218" w:name="_Toc31099"/>
      <w:bookmarkStart w:id="219" w:name="_Toc532473483"/>
      <w:r>
        <w:rPr>
          <w:rFonts w:hint="eastAsia" w:ascii="仿宋" w:hAnsi="仿宋" w:eastAsia="仿宋" w:cs="仿宋"/>
          <w:b/>
          <w:color w:val="auto"/>
          <w:sz w:val="24"/>
          <w:highlight w:val="none"/>
        </w:rPr>
        <w:t>28.    发出中标通知书</w:t>
      </w:r>
    </w:p>
    <w:p>
      <w:pPr>
        <w:spacing w:line="360" w:lineRule="auto"/>
        <w:ind w:left="832" w:leftChars="396" w:firstLine="7"/>
        <w:rPr>
          <w:rFonts w:hint="eastAsia" w:ascii="仿宋" w:hAnsi="仿宋" w:eastAsia="仿宋" w:cs="仿宋"/>
          <w:color w:val="auto"/>
          <w:sz w:val="24"/>
          <w:highlight w:val="none"/>
        </w:rPr>
      </w:pPr>
      <w:r>
        <w:rPr>
          <w:rFonts w:hint="eastAsia" w:ascii="仿宋" w:hAnsi="仿宋" w:eastAsia="仿宋" w:cs="仿宋"/>
          <w:color w:val="auto"/>
          <w:sz w:val="24"/>
          <w:highlight w:val="none"/>
        </w:rPr>
        <w:t>在投标有效期内，中标人确定后，采购人或者采购代理机构发布中标公告。在公告中标结果的同时，向中标人发出中标通知书，中标通知书是合同的组成部分。</w:t>
      </w:r>
    </w:p>
    <w:p>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29.    告知招标结果</w:t>
      </w:r>
    </w:p>
    <w:p>
      <w:pPr>
        <w:pStyle w:val="18"/>
        <w:spacing w:line="360" w:lineRule="auto"/>
        <w:ind w:left="854" w:leftChars="400" w:hanging="14" w:hangingChars="6"/>
        <w:rPr>
          <w:rFonts w:hint="eastAsia" w:ascii="仿宋" w:hAnsi="仿宋" w:eastAsia="仿宋" w:cs="仿宋"/>
          <w:color w:val="auto"/>
          <w:sz w:val="24"/>
          <w:highlight w:val="none"/>
        </w:rPr>
      </w:pPr>
      <w:r>
        <w:rPr>
          <w:rFonts w:hint="eastAsia" w:ascii="仿宋" w:hAnsi="仿宋" w:eastAsia="仿宋" w:cs="仿宋"/>
          <w:color w:val="auto"/>
          <w:sz w:val="24"/>
          <w:highlight w:val="none"/>
        </w:rPr>
        <w:t>在公告中标结果的同时，告知未通过资格审查投标人未通过的原因；采用综合评分法评审的，还将告知未中标人本人的评审得分和排序。</w:t>
      </w:r>
      <w:bookmarkEnd w:id="215"/>
      <w:bookmarkEnd w:id="216"/>
      <w:bookmarkEnd w:id="217"/>
      <w:bookmarkEnd w:id="218"/>
      <w:bookmarkEnd w:id="219"/>
    </w:p>
    <w:p>
      <w:pPr>
        <w:tabs>
          <w:tab w:val="left" w:pos="0"/>
        </w:tabs>
        <w:spacing w:line="360" w:lineRule="auto"/>
        <w:rPr>
          <w:rFonts w:hint="eastAsia" w:ascii="仿宋" w:hAnsi="仿宋" w:eastAsia="仿宋" w:cs="仿宋"/>
          <w:b/>
          <w:color w:val="auto"/>
          <w:sz w:val="24"/>
          <w:highlight w:val="none"/>
        </w:rPr>
      </w:pPr>
      <w:bookmarkStart w:id="220" w:name="_Toc515647792"/>
      <w:bookmarkStart w:id="221" w:name="_Toc790"/>
      <w:bookmarkStart w:id="222" w:name="_Toc520356175"/>
      <w:bookmarkStart w:id="223" w:name="_Toc532473484"/>
      <w:bookmarkStart w:id="224" w:name="_Ref467306978"/>
      <w:bookmarkStart w:id="225" w:name="_Ref467307204"/>
      <w:bookmarkStart w:id="226" w:name="_Toc7779"/>
      <w:bookmarkStart w:id="227" w:name="_Ref467306377"/>
      <w:bookmarkStart w:id="228" w:name="_Ref467307062"/>
      <w:r>
        <w:rPr>
          <w:rFonts w:hint="eastAsia" w:ascii="仿宋" w:hAnsi="仿宋" w:eastAsia="仿宋" w:cs="仿宋"/>
          <w:b/>
          <w:color w:val="auto"/>
          <w:sz w:val="24"/>
          <w:highlight w:val="none"/>
        </w:rPr>
        <w:t>30.    签订合同</w:t>
      </w:r>
      <w:bookmarkEnd w:id="220"/>
      <w:bookmarkEnd w:id="221"/>
      <w:bookmarkEnd w:id="222"/>
      <w:bookmarkEnd w:id="223"/>
      <w:bookmarkEnd w:id="224"/>
      <w:bookmarkEnd w:id="225"/>
      <w:bookmarkEnd w:id="226"/>
      <w:bookmarkEnd w:id="227"/>
      <w:bookmarkEnd w:id="228"/>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30.1   中标人应当自发出中标通知书之日起30日内，与采购人签订合同。</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30</w:t>
      </w:r>
      <w:bookmarkStart w:id="229" w:name="_Ref467306425"/>
      <w:bookmarkStart w:id="230" w:name="_Ref467307090"/>
      <w:bookmarkStart w:id="231" w:name="_Toc520356176"/>
      <w:r>
        <w:rPr>
          <w:rFonts w:hint="eastAsia" w:ascii="仿宋" w:hAnsi="仿宋" w:eastAsia="仿宋" w:cs="仿宋"/>
          <w:color w:val="auto"/>
          <w:sz w:val="24"/>
          <w:highlight w:val="none"/>
        </w:rPr>
        <w:t>.2   招标文件、中标人的投标文件及其澄清文件等，均为签订合同的依据。</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30.3   如中标人拒绝与采购人签订合同的，采购人或者采购代理机构可以不退还其投标保证金，并上报行政监督管理部门记入不良行为记录；采购人可以按照评标报告推荐的中标候选人排序，确定下一中标候选人为中标人，也可以重新开展采购活动。</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30.4   当出现法规规定的中标无效或中标结果无效情形时，采购人可与排名下一位的中标候选人另行签订合同，或依法重新开展采购活动。</w:t>
      </w:r>
    </w:p>
    <w:p>
      <w:pPr>
        <w:tabs>
          <w:tab w:val="left" w:pos="0"/>
        </w:tabs>
        <w:spacing w:line="360" w:lineRule="auto"/>
        <w:rPr>
          <w:rFonts w:hint="eastAsia" w:ascii="仿宋" w:hAnsi="仿宋" w:eastAsia="仿宋" w:cs="仿宋"/>
          <w:b/>
          <w:color w:val="auto"/>
          <w:sz w:val="24"/>
          <w:highlight w:val="none"/>
        </w:rPr>
      </w:pPr>
      <w:bookmarkStart w:id="232" w:name="_Toc532473485"/>
      <w:bookmarkStart w:id="233" w:name="_Toc22555"/>
      <w:bookmarkStart w:id="234" w:name="_Toc515647793"/>
      <w:bookmarkStart w:id="235" w:name="_Toc14080"/>
      <w:r>
        <w:rPr>
          <w:rFonts w:hint="eastAsia" w:ascii="仿宋" w:hAnsi="仿宋" w:eastAsia="仿宋" w:cs="仿宋"/>
          <w:b/>
          <w:color w:val="auto"/>
          <w:sz w:val="24"/>
          <w:highlight w:val="none"/>
        </w:rPr>
        <w:t>31.    履约保证金</w:t>
      </w:r>
      <w:bookmarkEnd w:id="229"/>
      <w:bookmarkEnd w:id="230"/>
      <w:bookmarkEnd w:id="231"/>
      <w:bookmarkEnd w:id="232"/>
      <w:bookmarkEnd w:id="233"/>
      <w:bookmarkEnd w:id="234"/>
      <w:bookmarkEnd w:id="235"/>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31.1   如果需要履约保证金，中标人应按照</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规定向采购人提交履约保证金保函（如格式见本章附件2）。经采购人同意，中标人也可以自愿采用其他履约保证金的提供方式。</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31.2   政府采购利用担保试点范围内的项目，除31.1规定的情形外，中标人也可以按照财政部门的规定，向采购人提供合格的履约担保函。</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31.3   如果中标人没有按照上述履约保证金的规定执行，将被视为放弃中标资格，采购人或者采购代理机构可以不退还其投标保证金，并上报行政监督管理部门记入不良行为记录。在此情况下，采购人可确定下一候选人为中标人，也可以重新开展采购活动。</w:t>
      </w:r>
    </w:p>
    <w:p>
      <w:pPr>
        <w:tabs>
          <w:tab w:val="left" w:pos="0"/>
        </w:tabs>
        <w:spacing w:line="360" w:lineRule="auto"/>
        <w:rPr>
          <w:rFonts w:hint="eastAsia" w:ascii="仿宋" w:hAnsi="仿宋" w:eastAsia="仿宋" w:cs="仿宋"/>
          <w:b/>
          <w:color w:val="auto"/>
          <w:sz w:val="24"/>
          <w:highlight w:val="none"/>
        </w:rPr>
      </w:pPr>
      <w:bookmarkStart w:id="236" w:name="_Toc518923098"/>
      <w:bookmarkStart w:id="237" w:name="_Toc2583659"/>
      <w:r>
        <w:rPr>
          <w:rFonts w:hint="eastAsia" w:ascii="仿宋" w:hAnsi="仿宋" w:eastAsia="仿宋" w:cs="仿宋"/>
          <w:b/>
          <w:color w:val="auto"/>
          <w:sz w:val="24"/>
          <w:highlight w:val="none"/>
        </w:rPr>
        <w:t>32.</w:t>
      </w:r>
      <w:bookmarkEnd w:id="236"/>
      <w:r>
        <w:rPr>
          <w:rFonts w:hint="eastAsia" w:ascii="仿宋" w:hAnsi="仿宋" w:eastAsia="仿宋" w:cs="仿宋"/>
          <w:b/>
          <w:color w:val="auto"/>
          <w:sz w:val="24"/>
          <w:highlight w:val="none"/>
        </w:rPr>
        <w:t xml:space="preserve">    预付款</w:t>
      </w:r>
    </w:p>
    <w:p>
      <w:pPr>
        <w:spacing w:line="360" w:lineRule="auto"/>
        <w:ind w:left="847" w:hanging="847" w:hangingChars="353"/>
        <w:rPr>
          <w:rFonts w:hint="eastAsia" w:ascii="仿宋" w:hAnsi="仿宋" w:eastAsia="仿宋" w:cs="仿宋"/>
          <w:color w:val="auto"/>
          <w:sz w:val="24"/>
          <w:highlight w:val="none"/>
        </w:rPr>
      </w:pPr>
      <w:r>
        <w:rPr>
          <w:rFonts w:hint="eastAsia" w:ascii="仿宋" w:hAnsi="仿宋" w:eastAsia="仿宋" w:cs="仿宋"/>
          <w:color w:val="auto"/>
          <w:sz w:val="24"/>
          <w:highlight w:val="none"/>
        </w:rPr>
        <w:t>32.1   预付款是在指政府采购合同签订后、履行前，采购人向中标人预先支付部分合同款项，预付款比例按照投标人须知前附表规定执行。</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32.2   如采购人要求，中标人在收到预付款前，需向采购人提供预付款保函。预付款保函是指中标人向银行或者有资质的专业的担保机构申请，由其向采购人出具的确保预付款直接或者间接用于政府采购合同履约或者保障政府采购履约质量的银行保函或者担保保函等。</w:t>
      </w:r>
    </w:p>
    <w:p>
      <w:pPr>
        <w:spacing w:line="360" w:lineRule="auto"/>
        <w:ind w:left="850" w:hanging="849" w:hangingChars="354"/>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32.3   本项目采购人不需要支付预付款的情形，见</w:t>
      </w:r>
      <w:r>
        <w:rPr>
          <w:rFonts w:hint="eastAsia" w:ascii="仿宋" w:hAnsi="仿宋" w:eastAsia="仿宋" w:cs="仿宋"/>
          <w:color w:val="auto"/>
          <w:sz w:val="24"/>
          <w:highlight w:val="none"/>
          <w:u w:val="single"/>
        </w:rPr>
        <w:t>投标人须知前附表。</w:t>
      </w:r>
    </w:p>
    <w:p>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33.    招标代理服务费</w:t>
      </w:r>
      <w:bookmarkEnd w:id="237"/>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本项目向采购代理机构支付招标代理服务费，按照</w:t>
      </w:r>
      <w:r>
        <w:rPr>
          <w:rFonts w:hint="eastAsia" w:ascii="仿宋" w:hAnsi="仿宋" w:eastAsia="仿宋" w:cs="仿宋"/>
          <w:color w:val="auto"/>
          <w:sz w:val="24"/>
          <w:highlight w:val="none"/>
          <w:u w:val="single"/>
        </w:rPr>
        <w:t>投标人须知前附表</w:t>
      </w:r>
      <w:r>
        <w:rPr>
          <w:rFonts w:hint="eastAsia" w:ascii="仿宋" w:hAnsi="仿宋" w:eastAsia="仿宋" w:cs="仿宋"/>
          <w:color w:val="auto"/>
          <w:sz w:val="24"/>
          <w:highlight w:val="none"/>
        </w:rPr>
        <w:t>规定执行。</w:t>
      </w:r>
    </w:p>
    <w:p>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34.    政府采购信用担保</w:t>
      </w:r>
      <w:bookmarkEnd w:id="14"/>
      <w:bookmarkEnd w:id="15"/>
      <w:r>
        <w:rPr>
          <w:rFonts w:hint="eastAsia" w:ascii="仿宋" w:hAnsi="仿宋" w:eastAsia="仿宋" w:cs="仿宋"/>
          <w:b/>
          <w:color w:val="auto"/>
          <w:sz w:val="24"/>
          <w:highlight w:val="none"/>
        </w:rPr>
        <w:t>及融资</w:t>
      </w:r>
    </w:p>
    <w:p>
      <w:pPr>
        <w:spacing w:line="360" w:lineRule="auto"/>
        <w:ind w:left="900" w:hanging="900" w:hangingChars="375"/>
        <w:rPr>
          <w:rFonts w:hint="eastAsia" w:ascii="仿宋" w:hAnsi="仿宋" w:eastAsia="仿宋" w:cs="仿宋"/>
          <w:color w:val="auto"/>
          <w:sz w:val="24"/>
          <w:highlight w:val="none"/>
        </w:rPr>
      </w:pPr>
      <w:r>
        <w:rPr>
          <w:rFonts w:hint="eastAsia" w:ascii="仿宋" w:hAnsi="仿宋" w:eastAsia="仿宋" w:cs="仿宋"/>
          <w:color w:val="auto"/>
          <w:sz w:val="24"/>
          <w:highlight w:val="none"/>
        </w:rPr>
        <w:t>34.1   投标人递交的履约担保函应符合本招标文件的规定。</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34.2   为缓解中小企业融资困难，陕西省财政厅出台了《陕西省中小企业政府采购信用融资办法》（陕财办采﹝2018﹞23号），中标投标人如有融资需求，可登录“陕西省政府采购网-陕西省政府采购信用融资平台（http://www.ccgp-shaanxi.gov.cn/zcdservice/zcd/shanxi/）”了解详情。</w:t>
      </w:r>
    </w:p>
    <w:p>
      <w:pPr>
        <w:pStyle w:val="2"/>
        <w:spacing w:before="0" w:line="360" w:lineRule="auto"/>
        <w:ind w:left="840" w:leftChars="400"/>
        <w:rPr>
          <w:rFonts w:hint="eastAsia" w:ascii="仿宋" w:hAnsi="仿宋" w:eastAsia="仿宋" w:cs="仿宋"/>
          <w:color w:val="auto"/>
          <w:highlight w:val="none"/>
        </w:rPr>
      </w:pPr>
      <w:r>
        <w:rPr>
          <w:rFonts w:hint="eastAsia" w:ascii="仿宋" w:hAnsi="仿宋" w:eastAsia="仿宋" w:cs="仿宋"/>
          <w:color w:val="auto"/>
          <w:highlight w:val="none"/>
        </w:rPr>
        <w:t>政府采购信用融资，是指银行业金融机构（以下简称银行）以政府采购诚信考核和信用审查为基础，凭借政府采购合同，按优于一般中小企业的贷款利率直接向申请贷款的投标人发放贷款的一种融资方式。</w:t>
      </w:r>
    </w:p>
    <w:p>
      <w:pPr>
        <w:pStyle w:val="2"/>
        <w:spacing w:before="0" w:line="360" w:lineRule="auto"/>
        <w:ind w:left="840" w:leftChars="400"/>
        <w:rPr>
          <w:rFonts w:hint="eastAsia" w:ascii="仿宋" w:hAnsi="仿宋" w:eastAsia="仿宋" w:cs="仿宋"/>
          <w:color w:val="auto"/>
          <w:highlight w:val="none"/>
        </w:rPr>
      </w:pPr>
      <w:r>
        <w:rPr>
          <w:rFonts w:hint="eastAsia" w:ascii="仿宋" w:hAnsi="仿宋" w:eastAsia="仿宋" w:cs="仿宋"/>
          <w:color w:val="auto"/>
          <w:highlight w:val="none"/>
        </w:rPr>
        <w:t>政府采购投标人申请信用融资时，如融资金额未超过政府采购合同金额的，银行原则上不得要求投标人提供财产抵押或第三方担保，或附加其他任何形式的担保条件，切实做到以政府采购信用为基础，简化手续，提高效率，降低投标人融资成本。</w:t>
      </w:r>
    </w:p>
    <w:p>
      <w:pPr>
        <w:pStyle w:val="2"/>
        <w:spacing w:before="0" w:line="360" w:lineRule="auto"/>
        <w:ind w:left="840" w:leftChars="400"/>
        <w:rPr>
          <w:rFonts w:hint="eastAsia" w:ascii="仿宋" w:hAnsi="仿宋" w:eastAsia="仿宋" w:cs="仿宋"/>
          <w:color w:val="auto"/>
          <w:highlight w:val="none"/>
        </w:rPr>
      </w:pPr>
      <w:r>
        <w:rPr>
          <w:rFonts w:hint="eastAsia" w:ascii="仿宋" w:hAnsi="仿宋" w:eastAsia="仿宋" w:cs="仿宋"/>
          <w:color w:val="auto"/>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spacing w:before="0" w:line="360" w:lineRule="auto"/>
        <w:ind w:left="840" w:leftChars="400"/>
        <w:rPr>
          <w:rFonts w:hint="eastAsia" w:ascii="仿宋" w:hAnsi="仿宋" w:eastAsia="仿宋" w:cs="仿宋"/>
          <w:color w:val="auto"/>
          <w:highlight w:val="none"/>
        </w:rPr>
      </w:pPr>
      <w:r>
        <w:rPr>
          <w:rFonts w:hint="eastAsia" w:ascii="仿宋" w:hAnsi="仿宋" w:eastAsia="仿宋" w:cs="仿宋"/>
          <w:color w:val="auto"/>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spacing w:before="0" w:line="360" w:lineRule="auto"/>
        <w:ind w:left="840" w:leftChars="400"/>
        <w:rPr>
          <w:rFonts w:hint="eastAsia" w:ascii="仿宋" w:hAnsi="仿宋" w:eastAsia="仿宋" w:cs="仿宋"/>
          <w:color w:val="auto"/>
          <w:highlight w:val="none"/>
        </w:rPr>
      </w:pPr>
      <w:r>
        <w:rPr>
          <w:rFonts w:hint="eastAsia" w:ascii="仿宋" w:hAnsi="仿宋" w:eastAsia="仿宋" w:cs="仿宋"/>
          <w:color w:val="auto"/>
          <w:highlight w:val="none"/>
        </w:rPr>
        <w:t>对拟用于信用融资的政府采购合同，投标人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spacing w:before="0" w:line="360" w:lineRule="auto"/>
        <w:ind w:left="840" w:leftChars="400"/>
        <w:rPr>
          <w:rFonts w:hint="eastAsia" w:ascii="仿宋" w:hAnsi="仿宋" w:eastAsia="仿宋" w:cs="仿宋"/>
          <w:color w:val="auto"/>
          <w:highlight w:val="none"/>
        </w:rPr>
      </w:pPr>
      <w:r>
        <w:rPr>
          <w:rFonts w:hint="eastAsia" w:ascii="仿宋" w:hAnsi="仿宋" w:eastAsia="仿宋" w:cs="仿宋"/>
          <w:color w:val="auto"/>
          <w:highlight w:val="none"/>
        </w:rPr>
        <w:t>业务流程简图如下：</w:t>
      </w:r>
    </w:p>
    <w:p>
      <w:pPr>
        <w:pStyle w:val="2"/>
        <w:spacing w:before="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drawing>
          <wp:inline distT="0" distB="0" distL="0" distR="0">
            <wp:extent cx="4848225" cy="2837180"/>
            <wp:effectExtent l="0" t="0" r="0" b="127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a:extLst>
                        <a:ext uri="{28A0092B-C50C-407E-A947-70E740481C1C}">
                          <a14:useLocalDpi xmlns:a14="http://schemas.microsoft.com/office/drawing/2010/main" val="0"/>
                        </a:ext>
                      </a:extLst>
                    </a:blip>
                    <a:srcRect l="3313" t="3685" r="3809" b="1936"/>
                    <a:stretch>
                      <a:fillRect/>
                    </a:stretch>
                  </pic:blipFill>
                  <pic:spPr>
                    <a:xfrm>
                      <a:off x="0" y="0"/>
                      <a:ext cx="4863246" cy="2846352"/>
                    </a:xfrm>
                    <a:prstGeom prst="rect">
                      <a:avLst/>
                    </a:prstGeom>
                    <a:noFill/>
                    <a:ln>
                      <a:noFill/>
                    </a:ln>
                  </pic:spPr>
                </pic:pic>
              </a:graphicData>
            </a:graphic>
          </wp:inline>
        </w:drawing>
      </w:r>
    </w:p>
    <w:p>
      <w:pPr>
        <w:pStyle w:val="2"/>
        <w:spacing w:before="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drawing>
          <wp:inline distT="0" distB="0" distL="0" distR="0">
            <wp:extent cx="5020310" cy="2857500"/>
            <wp:effectExtent l="0" t="0" r="889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6">
                      <a:extLst>
                        <a:ext uri="{28A0092B-C50C-407E-A947-70E740481C1C}">
                          <a14:useLocalDpi xmlns:a14="http://schemas.microsoft.com/office/drawing/2010/main" val="0"/>
                        </a:ext>
                      </a:extLst>
                    </a:blip>
                    <a:srcRect l="3471" t="3532" r="3305" b="2058"/>
                    <a:stretch>
                      <a:fillRect/>
                    </a:stretch>
                  </pic:blipFill>
                  <pic:spPr>
                    <a:xfrm>
                      <a:off x="0" y="0"/>
                      <a:ext cx="5026534" cy="2860702"/>
                    </a:xfrm>
                    <a:prstGeom prst="rect">
                      <a:avLst/>
                    </a:prstGeom>
                    <a:noFill/>
                    <a:ln>
                      <a:noFill/>
                    </a:ln>
                  </pic:spPr>
                </pic:pic>
              </a:graphicData>
            </a:graphic>
          </wp:inline>
        </w:drawing>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省级政府采购项目贷款银行信息：</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一、陕西建行（E政通）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陕西省分行营业部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西安市南广济街38号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白玉皓</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13201603166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西安莲湖路支行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西安市莲湖路35号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刘冲</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17702902131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西安曲江支行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西安市雁塔南路2216号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樊理君</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18691568151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西安高新区支行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西安市高新路42号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卞斯超</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15191075651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西安经开区支行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西安市未央路125号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惠媛</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17792256100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西安南大街支行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西安市南大街15号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乔鉴</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18089136919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西安和平路支行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西安市和平路101号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陈歆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18691816821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西安兴庆路支行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西安市兴庆路61号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李妍</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13892880386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西安新城支行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西安市南新街29号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朱子君</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18629286269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西安长安区支行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西安市长安区青年街2号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王淑芸</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13572289603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咸阳分行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咸阳市西兰路4号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邰洋</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13299079906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宝鸡分行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宝鸡市红旗路36号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李倩</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18629019817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铜川分行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铜川市新区正阳路与长虹路十字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张小波</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18691932636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榆林分行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榆林市高新技术产业园区创业大厦</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张君君</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15991929275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延安分行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延安市宝塔区中心街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陈进佃</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15609110557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汉中分行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汉中市石灰巷21号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王晨旭</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15319375850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安康分行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安康市育才路102号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张少帅</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13165762680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商洛分行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商洛市名人街广电大楼下</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郭杨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17809267188</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二、北京银行（政府订单贷）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西安分行营业部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刘晓伟</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总经理助理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029-61828763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18066630518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西安高新开发区支行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梁凡</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行长助理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029-61828531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18681945597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西安曲江文创支行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蒋超</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室经理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029-65667366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15891737329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西安经济技术开发区支行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孟庆龙</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行长助理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029-61828272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13991990373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西安长缨路支行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范凯</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副行长</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029-68717760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13991315609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长安区西长安街支行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陈明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行长助理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029-85724301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18149209660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泾渭工业园支行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杨奕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室经理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029-68213773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15934802021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北客站科技支行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周洁</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副行长</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029-61828129</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18629518636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解放路支行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行长助理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029-61828185</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15802966196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延安分行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奥宝森</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室经理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0911-8076038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15592925222</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三、工商银行（政采贷）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榆林分行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张岭</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0912-6183827</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15353386777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宝鸡分行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郭进</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0917-3238282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18991749262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安康分行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郑婕</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0915-3236275</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15667856663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铜川分行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彭东东</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0919-2151878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17392898832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延安分行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党莹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经理助理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0911-2380826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15291142933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汉中分行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杨薇薇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部门副经理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0916-2606773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18591607453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渭南分行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张欢</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09132095066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15229730006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咸阳分行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袁霖</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029-33259370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18591006506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商洛分行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张铮</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经理助理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0914-2310908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18691410305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商洛分行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余勇博</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0914-2310908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18092802280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巩越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029-87609419</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18629450680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四、中信银行（政采e贷）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西安市朱雀大街中段1号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曹晓聪</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13759957407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咸阳分行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秦皇中路绿苑大厦</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杭群</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13992016859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宝鸡分行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宝鸡市高新大道50号财富大厦B座</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王尧</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13636762976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渭南分行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渭南市朝阳大街中段信达广场世纪明珠大厦</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杨阳18191815559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榆林分行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榆林市高新区长兴路248号中信银行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刘洪巍</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13636885556</w:t>
      </w:r>
    </w:p>
    <w:p>
      <w:pPr>
        <w:spacing w:line="360" w:lineRule="auto"/>
        <w:ind w:left="1860" w:leftChars="200" w:hanging="1440" w:hanging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汉中分行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汉中市汉台区西二环路与劳动西路东南汉中滨江•公园壹号（产业孵化区）3B号楼</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陈真</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18509165068</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五、中国光大银行（阳光政采贷）</w:t>
      </w:r>
      <w:r>
        <w:rPr>
          <w:rFonts w:hint="eastAsia" w:ascii="仿宋" w:hAnsi="仿宋" w:eastAsia="仿宋" w:cs="仿宋"/>
          <w:b/>
          <w:color w:val="auto"/>
          <w:sz w:val="24"/>
          <w:highlight w:val="none"/>
        </w:rPr>
        <w:tab/>
      </w:r>
      <w:r>
        <w:rPr>
          <w:rFonts w:hint="eastAsia" w:ascii="仿宋" w:hAnsi="仿宋" w:eastAsia="仿宋" w:cs="仿宋"/>
          <w:b/>
          <w:color w:val="auto"/>
          <w:sz w:val="24"/>
          <w:highlight w:val="none"/>
        </w:rPr>
        <w:tab/>
      </w:r>
      <w:r>
        <w:rPr>
          <w:rFonts w:hint="eastAsia" w:ascii="仿宋" w:hAnsi="仿宋" w:eastAsia="仿宋" w:cs="仿宋"/>
          <w:b/>
          <w:color w:val="auto"/>
          <w:sz w:val="24"/>
          <w:highlight w:val="none"/>
        </w:rPr>
        <w:tab/>
      </w:r>
      <w:r>
        <w:rPr>
          <w:rFonts w:hint="eastAsia" w:ascii="仿宋" w:hAnsi="仿宋" w:eastAsia="仿宋" w:cs="仿宋"/>
          <w:b/>
          <w:color w:val="auto"/>
          <w:sz w:val="24"/>
          <w:highlight w:val="none"/>
        </w:rPr>
        <w:tab/>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宝鸡分行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杨欢</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0917-3451055</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18329677163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榆林分行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尚云鹏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0912-3548019</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18690473126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延安分行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汪昊田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0911-8011831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13509115500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咸阳分行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侯佳</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32100021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15229500088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营销一部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李敏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87236311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13772031109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营销二部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朱翰辰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87236201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17791788078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营业部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张翔琮</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87236306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18829235568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电子城支行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张曼玉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88247071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18009298787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明德门支行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85350770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13991249430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东大街支行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刘林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87438914</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15029673754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经济开发区支行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陆家俊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86525176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18629303397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凤城九路支行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宋宜</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89155022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18966911622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兴庆路支行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司洋</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83290033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18629251819</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长乐西路支行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张超</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82566208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15877390201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友谊路支行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贠程敏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88422067</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18792795210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边家村支行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85251673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15309223048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北关支行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菅新培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86248203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18092169361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南郊支行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程拓</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85265234</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13772491661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西关正街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马瑜</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89548109</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13772337373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丈八东路支行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杨筱凡</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81026910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15129044185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雁塔路支行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闫梓闶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82222501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18691561524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唐延路支行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尉二宝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88329478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13991930150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枫林绿洲支行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杨嘉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87302120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13609199490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南关正街支行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郭敏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85230722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18066610983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南二环支行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刘超</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88362861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18192080396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曲江支行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田鹏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81205890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13991937977</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太白路支行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马振林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68912880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15353736656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明光路支行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刘二渭</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81623506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13201793405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凤城二路支行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张洋</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86680267</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13720423343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昆明路支行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张洁</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84592506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13991821278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丈八北路支行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郭浩</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81875192</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15667087662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新城支行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余振东</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87251680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18066617238</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六、浦发银行（政采e贷）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吴晨雨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029-63603803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15991724645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陈福全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029-63603441</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17782511994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韩瑾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029-63603443</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18202909790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李瑞雪</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客户经理</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029-63603445</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18220862398</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榆林分行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陈晓晓</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公司业务部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0912-2216068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15691269965</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榆林分行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郭小东</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公司业务部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0912-2216008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15291820586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宝鸡分行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张一岚</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公司业务部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0917-8662919</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18690008816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宝鸡分行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朱强</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公司业务部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0917-8662926</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13909176381</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渭南分行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王晓峰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公司业务部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0913-3357080</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13992363166</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咸阳分行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薛晗</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公司业务部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029-32083788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15109226216</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七、兴业银行（政采贷）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朱靖</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总监</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029-87482998</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13363979983</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八、中国民生银行（政采贷）</w:t>
      </w:r>
    </w:p>
    <w:p>
      <w:pPr>
        <w:spacing w:line="360" w:lineRule="auto"/>
        <w:ind w:left="2580" w:leftChars="200" w:hanging="2160" w:hangingChars="900"/>
        <w:rPr>
          <w:rFonts w:hint="eastAsia" w:ascii="仿宋" w:hAnsi="仿宋" w:eastAsia="仿宋" w:cs="仿宋"/>
          <w:color w:val="auto"/>
          <w:sz w:val="24"/>
          <w:highlight w:val="none"/>
        </w:rPr>
      </w:pPr>
      <w:r>
        <w:rPr>
          <w:rFonts w:hint="eastAsia" w:ascii="仿宋" w:hAnsi="仿宋" w:eastAsia="仿宋" w:cs="仿宋"/>
          <w:color w:val="auto"/>
          <w:sz w:val="24"/>
          <w:highlight w:val="none"/>
        </w:rPr>
        <w:t>民生银行西安分行 联系人：陈经理联系电话：61815275 /1882166919</w:t>
      </w:r>
    </w:p>
    <w:p>
      <w:pPr>
        <w:spacing w:line="360" w:lineRule="auto"/>
        <w:ind w:left="2455" w:leftChars="116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联系人：王经理联系电话：61815280 /18591953690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九、浙商银行（政采贷）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西安分行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西安市雁塔区科技路259号</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曹金辉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18710993980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十、招商银行（政采贷）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招商银行西安分行联系人：任瑾；85438988</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十一、长安银行（小微贷）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长安银行西安曲江新区支行地址：西安市曲江新区雁南一路3号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联系人：陈瑶 13629266833</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十二、网商银行（合同贷）</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十三、中国邮政储蓄银行陕西省分行（政采贷）</w:t>
      </w:r>
    </w:p>
    <w:p>
      <w:pPr>
        <w:tabs>
          <w:tab w:val="left" w:pos="0"/>
        </w:tabs>
        <w:spacing w:line="360" w:lineRule="auto"/>
        <w:rPr>
          <w:rFonts w:hint="eastAsia" w:ascii="仿宋" w:hAnsi="仿宋" w:eastAsia="仿宋" w:cs="仿宋"/>
          <w:b/>
          <w:color w:val="auto"/>
          <w:sz w:val="24"/>
          <w:highlight w:val="none"/>
        </w:rPr>
      </w:pPr>
      <w:bookmarkStart w:id="238" w:name="_Toc518923100"/>
      <w:bookmarkStart w:id="239" w:name="_Toc2583661"/>
      <w:r>
        <w:rPr>
          <w:rFonts w:hint="eastAsia" w:ascii="仿宋" w:hAnsi="仿宋" w:eastAsia="仿宋" w:cs="仿宋"/>
          <w:b/>
          <w:color w:val="auto"/>
          <w:sz w:val="24"/>
          <w:highlight w:val="none"/>
        </w:rPr>
        <w:t>35.    廉洁自律规定</w:t>
      </w:r>
      <w:bookmarkEnd w:id="238"/>
      <w:bookmarkEnd w:id="239"/>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35.1   采购代理机构工作人员不得以不正当手段获取政府采购代理业务，不得与采购人、投标人恶意串通。</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35.2   采购代理机构工作人员不得接受采购人或者投标人组织的宴请、旅游、娱乐，不得收受礼品、现金、有价证券等，不得向采购人或者投标人报销应当由个人承担的费用。</w:t>
      </w:r>
    </w:p>
    <w:p>
      <w:pPr>
        <w:tabs>
          <w:tab w:val="left" w:pos="0"/>
        </w:tabs>
        <w:spacing w:line="360" w:lineRule="auto"/>
        <w:rPr>
          <w:rFonts w:hint="eastAsia" w:ascii="仿宋" w:hAnsi="仿宋" w:eastAsia="仿宋" w:cs="仿宋"/>
          <w:b/>
          <w:color w:val="auto"/>
          <w:sz w:val="24"/>
          <w:highlight w:val="none"/>
        </w:rPr>
      </w:pPr>
      <w:bookmarkStart w:id="240" w:name="_Toc518923101"/>
      <w:bookmarkStart w:id="241" w:name="_Toc2583662"/>
      <w:r>
        <w:rPr>
          <w:rFonts w:hint="eastAsia" w:ascii="仿宋" w:hAnsi="仿宋" w:eastAsia="仿宋" w:cs="仿宋"/>
          <w:b/>
          <w:color w:val="auto"/>
          <w:sz w:val="24"/>
          <w:highlight w:val="none"/>
        </w:rPr>
        <w:t>36.    人员回避</w:t>
      </w:r>
      <w:bookmarkEnd w:id="240"/>
      <w:bookmarkEnd w:id="241"/>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潜在投标人认为招标文件使自己的权益受到损害的，投标人认为采购人员及其相关人员有法律法规所列与其他投标人有利害关系的，均可以向采购人或采购代理机构书面提出回避申请，并说明理由。</w:t>
      </w:r>
    </w:p>
    <w:p>
      <w:pPr>
        <w:tabs>
          <w:tab w:val="left" w:pos="0"/>
        </w:tabs>
        <w:spacing w:line="360" w:lineRule="auto"/>
        <w:rPr>
          <w:rFonts w:hint="eastAsia" w:ascii="仿宋" w:hAnsi="仿宋" w:eastAsia="仿宋" w:cs="仿宋"/>
          <w:b/>
          <w:color w:val="auto"/>
          <w:sz w:val="24"/>
          <w:highlight w:val="none"/>
        </w:rPr>
      </w:pPr>
      <w:bookmarkStart w:id="242" w:name="_Toc2583663"/>
      <w:bookmarkStart w:id="243" w:name="_Toc518923102"/>
      <w:r>
        <w:rPr>
          <w:rFonts w:hint="eastAsia" w:ascii="仿宋" w:hAnsi="仿宋" w:eastAsia="仿宋" w:cs="仿宋"/>
          <w:b/>
          <w:color w:val="auto"/>
          <w:sz w:val="24"/>
          <w:highlight w:val="none"/>
        </w:rPr>
        <w:t>37.    质疑的提出与接收</w:t>
      </w:r>
      <w:bookmarkEnd w:id="242"/>
      <w:bookmarkEnd w:id="243"/>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37.1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37.2   质疑投标人应按照财政部制定的《政府采购质疑函范本》格式（可从财政部官方网站下载）和《政府采购质疑和投诉办法》的要求，在法定质疑期内以书面形式提出质疑，针对同一采购程序环节的质疑应一次性提出。</w:t>
      </w:r>
    </w:p>
    <w:p>
      <w:pPr>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超出法定质疑期提交的质疑将被拒绝。</w:t>
      </w:r>
    </w:p>
    <w:p>
      <w:pPr>
        <w:spacing w:line="360" w:lineRule="auto"/>
        <w:ind w:left="851" w:leftChars="405" w:hanging="1"/>
        <w:rPr>
          <w:rFonts w:hint="eastAsia" w:ascii="仿宋" w:hAnsi="仿宋" w:eastAsia="仿宋" w:cs="仿宋"/>
          <w:color w:val="auto"/>
          <w:sz w:val="24"/>
          <w:highlight w:val="none"/>
        </w:rPr>
      </w:pPr>
      <w:r>
        <w:rPr>
          <w:rFonts w:hint="eastAsia" w:ascii="仿宋" w:hAnsi="仿宋" w:eastAsia="仿宋" w:cs="仿宋"/>
          <w:color w:val="auto"/>
          <w:sz w:val="24"/>
          <w:highlight w:val="none"/>
        </w:rPr>
        <w:t>重复或分次提出的、内容或形式不符合《政府采购质疑和投诉办法》的，质疑投标人将依法承担不利后果。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37.3   投标人提交质疑函的要求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37.3.1 投标人提出质疑时，应提交质疑函和必要的证明材料。</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37.3.2 质疑投标人若委托代理人进行质疑的，质疑函应按要求列明“授权代表”的有关内容，并在附件中提交由质疑投标人签署的授权委托书。授权委托书应载明代理人的姓名、代理事项、具体权限、期限和相关事项。</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37.3.3 质疑投标人若对项目的某一分包进行质疑，质疑函中应列明具体分包号。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37.3.4 质疑函的质疑请求应与质疑事项相关。</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37.3.5 质疑函的质疑事项应具体、明确，并有必要的事实依据。</w:t>
      </w:r>
    </w:p>
    <w:p>
      <w:pPr>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37.3.6 质疑投标人为自然人的，质疑函应由本人签字，质疑投标人为法人或其他组织的，质疑函应由法定代表人、主要负责人，或者其授权代表签字或盖章，并加盖公章。授权代表签字的需提供相应的授权书。</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37.4   质疑函接收部门、联系电话和通讯地址,见</w:t>
      </w:r>
      <w:r>
        <w:rPr>
          <w:rFonts w:hint="eastAsia" w:ascii="仿宋" w:hAnsi="仿宋" w:eastAsia="仿宋" w:cs="仿宋"/>
          <w:color w:val="auto"/>
          <w:sz w:val="24"/>
          <w:highlight w:val="none"/>
          <w:u w:val="single"/>
        </w:rPr>
        <w:t>投标人须知前附表</w:t>
      </w:r>
      <w:bookmarkEnd w:id="16"/>
      <w:bookmarkEnd w:id="17"/>
      <w:bookmarkEnd w:id="18"/>
      <w:bookmarkEnd w:id="19"/>
      <w:bookmarkEnd w:id="20"/>
      <w:bookmarkStart w:id="244" w:name="_Toc532473756"/>
      <w:bookmarkStart w:id="245" w:name="_Toc507399907"/>
      <w:bookmarkStart w:id="246" w:name="_Toc7971"/>
      <w:bookmarkStart w:id="247" w:name="_Toc515647832"/>
      <w:bookmarkStart w:id="248" w:name="_Toc532044540"/>
      <w:bookmarkStart w:id="249" w:name="_Toc32647"/>
      <w:bookmarkStart w:id="250" w:name="_Toc702"/>
      <w:bookmarkStart w:id="251" w:name="_Toc515647802"/>
      <w:bookmarkStart w:id="252" w:name="_Toc728"/>
      <w:bookmarkStart w:id="253" w:name="_Toc216582812"/>
      <w:bookmarkStart w:id="254" w:name="_Toc532473493"/>
    </w:p>
    <w:p>
      <w:pPr>
        <w:pStyle w:val="14"/>
        <w:ind w:left="0" w:leftChars="0" w:right="1470"/>
        <w:rPr>
          <w:rFonts w:hint="eastAsia" w:ascii="仿宋" w:hAnsi="仿宋" w:eastAsia="仿宋" w:cs="仿宋"/>
          <w:color w:val="auto"/>
          <w:highlight w:val="none"/>
        </w:rPr>
      </w:pPr>
      <w:r>
        <w:rPr>
          <w:rFonts w:hint="eastAsia" w:ascii="仿宋" w:hAnsi="仿宋" w:eastAsia="仿宋" w:cs="仿宋"/>
          <w:color w:val="auto"/>
          <w:highlight w:val="none"/>
        </w:rPr>
        <w:br w:type="page"/>
      </w:r>
    </w:p>
    <w:p>
      <w:pPr>
        <w:spacing w:line="360" w:lineRule="auto"/>
        <w:rPr>
          <w:rFonts w:hint="eastAsia" w:ascii="仿宋" w:hAnsi="仿宋" w:eastAsia="仿宋" w:cs="仿宋"/>
          <w:color w:val="auto"/>
          <w:sz w:val="28"/>
          <w:szCs w:val="36"/>
          <w:highlight w:val="none"/>
        </w:rPr>
      </w:pPr>
      <w:r>
        <w:rPr>
          <w:rFonts w:hint="eastAsia" w:ascii="仿宋" w:hAnsi="仿宋" w:eastAsia="仿宋" w:cs="仿宋"/>
          <w:color w:val="auto"/>
          <w:sz w:val="28"/>
          <w:szCs w:val="36"/>
          <w:highlight w:val="none"/>
        </w:rPr>
        <w:t>附件1：投标担保函</w:t>
      </w:r>
    </w:p>
    <w:p>
      <w:pPr>
        <w:pStyle w:val="6"/>
        <w:snapToGrid w:val="0"/>
        <w:spacing w:line="288" w:lineRule="auto"/>
        <w:ind w:firstLine="0"/>
        <w:jc w:val="center"/>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（适用于投标保证金保函）</w:t>
      </w:r>
    </w:p>
    <w:p>
      <w:pPr>
        <w:snapToGrid w:val="0"/>
        <w:spacing w:line="288" w:lineRule="auto"/>
        <w:ind w:right="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保函编号:</w:t>
      </w:r>
    </w:p>
    <w:p>
      <w:pPr>
        <w:snapToGrid w:val="0"/>
        <w:spacing w:line="288" w:lineRule="auto"/>
        <w:jc w:val="left"/>
        <w:rPr>
          <w:rFonts w:hint="eastAsia" w:ascii="仿宋" w:hAnsi="仿宋" w:eastAsia="仿宋" w:cs="仿宋"/>
          <w:color w:val="auto"/>
          <w:sz w:val="24"/>
          <w:highlight w:val="none"/>
          <w:u w:val="single"/>
        </w:rPr>
      </w:pP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陕西省采购招标有限责任公司</w:t>
      </w:r>
      <w:r>
        <w:rPr>
          <w:rFonts w:hint="eastAsia" w:ascii="仿宋" w:hAnsi="仿宋" w:eastAsia="仿宋" w:cs="仿宋"/>
          <w:color w:val="auto"/>
          <w:sz w:val="24"/>
          <w:highlight w:val="none"/>
        </w:rPr>
        <w:t>（下称受益人）:</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鉴于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（下称被保证人）将于</w:t>
      </w:r>
      <w:r>
        <w:rPr>
          <w:rFonts w:hint="eastAsia" w:ascii="仿宋" w:hAnsi="仿宋" w:eastAsia="仿宋" w:cs="仿宋"/>
          <w:color w:val="auto"/>
          <w:sz w:val="24"/>
          <w:highlight w:val="none"/>
          <w:u w:val="single"/>
        </w:rPr>
        <w:t xml:space="preserve">    年  月  日</w:t>
      </w:r>
      <w:r>
        <w:rPr>
          <w:rFonts w:hint="eastAsia" w:ascii="仿宋" w:hAnsi="仿宋" w:eastAsia="仿宋" w:cs="仿宋"/>
          <w:color w:val="auto"/>
          <w:sz w:val="24"/>
          <w:highlight w:val="none"/>
        </w:rPr>
        <w:t>参加贵方招标编号为</w:t>
      </w:r>
      <w:r>
        <w:rPr>
          <w:rFonts w:hint="eastAsia" w:ascii="仿宋" w:hAnsi="仿宋" w:eastAsia="仿宋" w:cs="仿宋"/>
          <w:color w:val="auto"/>
          <w:sz w:val="24"/>
          <w:highlight w:val="none"/>
          <w:u w:val="single"/>
        </w:rPr>
        <w:t xml:space="preserve"> （采购项目编号）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的投标，我方接受被保证人的委托，在此向受益人提供不可撤销的投标保证：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一、本保证担保的担保金额为</w:t>
      </w:r>
      <w:r>
        <w:rPr>
          <w:rFonts w:hint="eastAsia" w:ascii="仿宋" w:hAnsi="仿宋" w:eastAsia="仿宋" w:cs="仿宋"/>
          <w:color w:val="auto"/>
          <w:sz w:val="24"/>
          <w:highlight w:val="none"/>
          <w:u w:val="single"/>
        </w:rPr>
        <w:t>人民币</w:t>
      </w:r>
      <w:r>
        <w:rPr>
          <w:rFonts w:hint="eastAsia" w:ascii="仿宋" w:hAnsi="仿宋" w:eastAsia="仿宋" w:cs="仿宋"/>
          <w:color w:val="auto"/>
          <w:sz w:val="24"/>
          <w:highlight w:val="none"/>
        </w:rPr>
        <w:t>（币种）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元（小写）</w:t>
      </w:r>
      <w:r>
        <w:rPr>
          <w:rFonts w:hint="eastAsia" w:ascii="仿宋" w:hAnsi="仿宋" w:eastAsia="仿宋" w:cs="仿宋"/>
          <w:color w:val="auto"/>
          <w:sz w:val="24"/>
          <w:highlight w:val="none"/>
          <w:u w:val="single"/>
        </w:rPr>
        <w:t xml:space="preserve">   元整</w:t>
      </w:r>
      <w:r>
        <w:rPr>
          <w:rFonts w:hint="eastAsia" w:ascii="仿宋" w:hAnsi="仿宋" w:eastAsia="仿宋" w:cs="仿宋"/>
          <w:color w:val="auto"/>
          <w:sz w:val="24"/>
          <w:highlight w:val="none"/>
        </w:rPr>
        <w:t>（大写）。</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二、本保证担保的保证期间为该项目的投标有效期（或延长的投标有效期）后28日（含28日），延长投标有效期无须通知我方。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三、在本保证担保的保证期间内，如果被保证人出现下列情形之一，受益人可以向我方提起索赔：</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1.被保证人在招标文件规定的投标有效期内撤回其投标；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2.被保证人在投标有效期内收到受益人发出的中标通知书后，不能或拒绝按招标文件的要求签署合同；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3.被保证人在投标有效期内收到受益人发出的中标通知书后，不能或拒绝按招标文件的规定提交履约担保；</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4.被保证人中标后未按照招标文件规定交纳招标代理服务费。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五、受益人的索赔通知应当说明索赔理由，并必须在本保证担保的保证期间内送达我方。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六、本保证担保项下的权利不得转让。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七、本保证担保的保证期间届满，或我方已向受益人支付本保证担保的担保金额，我方的保证责任免除。</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八、本保证担保适用中华人民共和国法律。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九、本保证担保以中文文本为准，涂改无效。</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保证人（盖章）：</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法定代表人或其授权委托代理人（签字）：</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单位地址：</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电话：</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年  月  日</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3"/>
        <w:spacing w:before="0" w:after="0" w:line="360" w:lineRule="auto"/>
        <w:rPr>
          <w:rFonts w:hint="eastAsia" w:ascii="仿宋" w:hAnsi="仿宋" w:eastAsia="仿宋" w:cs="仿宋"/>
          <w:color w:val="auto"/>
          <w:highlight w:val="none"/>
        </w:rPr>
      </w:pPr>
      <w:bookmarkStart w:id="255" w:name="_Toc26762"/>
      <w:r>
        <w:rPr>
          <w:rFonts w:hint="eastAsia" w:ascii="仿宋" w:hAnsi="仿宋" w:eastAsia="仿宋" w:cs="仿宋"/>
          <w:color w:val="auto"/>
          <w:highlight w:val="none"/>
        </w:rPr>
        <w:t>第三章  评标方法和标准</w:t>
      </w:r>
      <w:bookmarkEnd w:id="244"/>
      <w:bookmarkEnd w:id="245"/>
      <w:bookmarkEnd w:id="246"/>
      <w:bookmarkEnd w:id="247"/>
      <w:bookmarkEnd w:id="248"/>
      <w:bookmarkEnd w:id="249"/>
      <w:bookmarkEnd w:id="255"/>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采购人委托采购代理机构负责组织本项目的评标工作。资格审查由采购人或者采购代理机构负责，评标工作由评标委员会负责。工作程序如下：</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一、由采购人或者采购代理机构负责资格审查工作。</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投标文件中的资格证明文件出现下列情况者（但不限于），按无效投标处理：</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1、投标人资格证明文件的完整性、有效性或符合性不符合要求的。</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2、投标人法定代表人授权书的完整性、有效性、符合性不符合要求的。</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3、信用查询不符合要求的。</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二、由评标委员会负责的审查评审工作。</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1、符合性审查是指评标委员会依据招标文件的规定，从商务和技术角度对投标文件的有效性和完整性进行审查，以确定是否对招标文件的实质性要求做出响应。出现下列情况者（但不限于），按无效投标处理。</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1.1投标人投标报价超出采购预算或最高限价的。</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投标人的报价明显低于其他通过符合性审查投标人的报价，有可能影响产品质量或者不能诚信履约的，且投标人不能证明其报价合理性的。</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投标内容出现漏项或数量与要求不符或投标内容的技术指标达不到招标文件要求，造成采购档次降低或影响采购性能、功能。</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2、如有必要，要求投标人对投标文件有关事项作出书面澄清或者说明。</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3、对投标文件进行比较和评价。评审要素和标准见本章附表三。</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3.1如本项目评标方法为最低评标价法，评标委员会在审查投标文件满足招标文件全部实质性要求后，按投标报价从低到高顺序确定中标候选人。</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除了算术修正和落实政府采购政策需进行的价格扣除外，不得对投标人的投标价格进行任何调整。</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3.2如本项目评标方法为综合评分法，评标委员会对满足招标文件全部实质性要求的投标文件，按照招标文件规定的评审因素的量化指标进行评审打分，以评审得分从高到低顺序确定中标候选人。</w:t>
      </w:r>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4、推荐中标候选人名单，或者根据采购人委托直接确定中标人。</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5、采购代理机构核对评标结果。</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三、评审标准中应考虑下列因素：</w:t>
      </w:r>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w:t>
      </w:r>
      <w:r>
        <w:rPr>
          <w:rFonts w:hint="eastAsia" w:ascii="仿宋" w:hAnsi="仿宋" w:eastAsia="仿宋" w:cs="仿宋"/>
          <w:color w:val="auto"/>
          <w:highlight w:val="none"/>
          <w:lang w:val="en-US" w:eastAsia="zh-CN"/>
        </w:rPr>
        <w:t>中小企业</w:t>
      </w:r>
      <w:r>
        <w:rPr>
          <w:rFonts w:hint="eastAsia" w:ascii="仿宋" w:hAnsi="仿宋" w:eastAsia="仿宋" w:cs="仿宋"/>
          <w:color w:val="auto"/>
          <w:highlight w:val="none"/>
        </w:rPr>
        <w:t>声明函》、《残疾人福利性单位声明函》或省级以上监狱管理局、戒毒管理局（含新疆生产建设兵团）出具的属于监狱企业的证明文件的投标人，其投标报价扣除</w:t>
      </w:r>
      <w:r>
        <w:rPr>
          <w:rFonts w:hint="eastAsia" w:ascii="仿宋" w:hAnsi="仿宋" w:eastAsia="仿宋" w:cs="仿宋"/>
          <w:color w:val="auto"/>
          <w:highlight w:val="none"/>
          <w:u w:val="single"/>
        </w:rPr>
        <w:t xml:space="preserve"> 货物服务10%（通用）</w:t>
      </w:r>
      <w:r>
        <w:rPr>
          <w:rFonts w:hint="eastAsia" w:ascii="仿宋" w:hAnsi="仿宋" w:eastAsia="仿宋" w:cs="仿宋"/>
          <w:color w:val="auto"/>
          <w:highlight w:val="none"/>
        </w:rPr>
        <w:t>后参与评审。对于同时属于小微企业、监狱企业或残疾人福利性单位的，不重复进行投标报价扣除。</w:t>
      </w:r>
    </w:p>
    <w:p>
      <w:pPr>
        <w:pStyle w:val="2"/>
        <w:tabs>
          <w:tab w:val="clear" w:pos="567"/>
        </w:tabs>
        <w:spacing w:before="0" w:line="360" w:lineRule="auto"/>
        <w:ind w:firstLine="542" w:firstLineChars="225"/>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如项目专门面向中小企业采购，则不再进行价格扣除。</w:t>
      </w:r>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2、联合协议或分包意向协议（如有）中约定，小型、微型企业的合同金额占到合同总金额30%以上的，可给予联合体</w:t>
      </w:r>
      <w:r>
        <w:rPr>
          <w:rFonts w:hint="eastAsia" w:ascii="仿宋" w:hAnsi="仿宋" w:eastAsia="仿宋" w:cs="仿宋"/>
          <w:color w:val="auto"/>
          <w:highlight w:val="none"/>
          <w:u w:val="single"/>
        </w:rPr>
        <w:t>4%</w:t>
      </w:r>
      <w:r>
        <w:rPr>
          <w:rFonts w:hint="eastAsia" w:ascii="仿宋" w:hAnsi="仿宋" w:eastAsia="仿宋" w:cs="仿宋"/>
          <w:color w:val="auto"/>
          <w:highlight w:val="none"/>
        </w:rPr>
        <w:t>的价格扣除。</w:t>
      </w:r>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联合体各方均为小型、微型企业和监狱企业的，联合体视同为小型、微型企业和监狱企业。</w:t>
      </w:r>
    </w:p>
    <w:p>
      <w:pPr>
        <w:pStyle w:val="2"/>
        <w:tabs>
          <w:tab w:val="clear" w:pos="567"/>
        </w:tabs>
        <w:spacing w:before="0" w:line="360" w:lineRule="auto"/>
        <w:ind w:firstLine="542" w:firstLineChars="225"/>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如项目专门面向中小企业采购，则不再进行价格扣除。</w:t>
      </w:r>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3、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pPr>
        <w:pStyle w:val="2"/>
        <w:tabs>
          <w:tab w:val="clear" w:pos="567"/>
        </w:tabs>
        <w:spacing w:before="0"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4、如投标人为提供服务所伴随的货物为政府强制采购的节能产品，投标人所投产品的品牌及型号必须为清单中有效期内产品并提供证明文件，否则其投标将作为无效投标被拒绝。</w:t>
      </w:r>
    </w:p>
    <w:p>
      <w:pPr>
        <w:pStyle w:val="2"/>
        <w:spacing w:line="360" w:lineRule="auto"/>
        <w:ind w:firstLine="540" w:firstLineChars="225"/>
        <w:rPr>
          <w:rFonts w:hint="eastAsia" w:ascii="仿宋" w:hAnsi="仿宋" w:eastAsia="仿宋" w:cs="仿宋"/>
          <w:color w:val="auto"/>
          <w:highlight w:val="none"/>
        </w:rPr>
      </w:pPr>
      <w:r>
        <w:rPr>
          <w:rFonts w:hint="eastAsia" w:ascii="仿宋" w:hAnsi="仿宋" w:eastAsia="仿宋" w:cs="仿宋"/>
          <w:color w:val="auto"/>
          <w:highlight w:val="none"/>
        </w:rPr>
        <w:t>5、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
        <w:tabs>
          <w:tab w:val="clear" w:pos="567"/>
        </w:tabs>
        <w:spacing w:before="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
        <w:tabs>
          <w:tab w:val="clear" w:pos="567"/>
        </w:tabs>
        <w:spacing w:before="0" w:line="360" w:lineRule="auto"/>
        <w:ind w:left="-181" w:leftChars="-86" w:firstLine="660" w:firstLineChars="275"/>
        <w:rPr>
          <w:rFonts w:hint="eastAsia" w:ascii="仿宋" w:hAnsi="仿宋" w:eastAsia="仿宋" w:cs="仿宋"/>
          <w:color w:val="auto"/>
          <w:highlight w:val="none"/>
        </w:rPr>
      </w:pPr>
      <w:r>
        <w:rPr>
          <w:rFonts w:hint="eastAsia" w:ascii="仿宋" w:hAnsi="仿宋" w:eastAsia="仿宋" w:cs="仿宋"/>
          <w:color w:val="auto"/>
          <w:highlight w:val="none"/>
        </w:rPr>
        <w:t>6、中标候选人并列时的处理方式：</w:t>
      </w:r>
    </w:p>
    <w:p>
      <w:pPr>
        <w:autoSpaceDE w:val="0"/>
        <w:autoSpaceDN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如采用最低评标办法，则：在全部满足以上实质性要求前提下，依据统一的价格要素评定最低报价，以提出最低报价的投标人作为排名第一的中标候选人。投标报价相同的，按照技术指标优劣排序。</w:t>
      </w:r>
    </w:p>
    <w:p>
      <w:pPr>
        <w:pStyle w:val="2"/>
        <w:tabs>
          <w:tab w:val="clear" w:pos="567"/>
        </w:tabs>
        <w:spacing w:before="0" w:line="360" w:lineRule="auto"/>
        <w:ind w:left="-181" w:leftChars="-86" w:firstLine="660" w:firstLineChars="275"/>
        <w:rPr>
          <w:rFonts w:hint="eastAsia" w:ascii="仿宋" w:hAnsi="仿宋" w:eastAsia="仿宋" w:cs="仿宋"/>
          <w:color w:val="auto"/>
          <w:highlight w:val="none"/>
        </w:rPr>
      </w:pPr>
      <w:r>
        <w:rPr>
          <w:rFonts w:hint="eastAsia" w:ascii="仿宋" w:hAnsi="仿宋" w:eastAsia="仿宋" w:cs="仿宋"/>
          <w:color w:val="auto"/>
          <w:highlight w:val="none"/>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
        <w:spacing w:before="0" w:line="360" w:lineRule="auto"/>
        <w:rPr>
          <w:rFonts w:hint="eastAsia" w:ascii="仿宋" w:hAnsi="仿宋" w:eastAsia="仿宋" w:cs="仿宋"/>
          <w:color w:val="auto"/>
          <w:sz w:val="28"/>
          <w:szCs w:val="18"/>
          <w:highlight w:val="none"/>
        </w:rPr>
      </w:pPr>
      <w:r>
        <w:rPr>
          <w:rFonts w:hint="eastAsia" w:ascii="仿宋" w:hAnsi="仿宋" w:eastAsia="仿宋" w:cs="仿宋"/>
          <w:color w:val="auto"/>
          <w:highlight w:val="none"/>
        </w:rPr>
        <w:br w:type="page"/>
      </w:r>
      <w:bookmarkStart w:id="256" w:name="_Toc6311"/>
      <w:bookmarkStart w:id="257" w:name="_Toc138175446"/>
      <w:r>
        <w:rPr>
          <w:rFonts w:hint="eastAsia" w:ascii="仿宋" w:hAnsi="仿宋" w:eastAsia="仿宋" w:cs="仿宋"/>
          <w:color w:val="auto"/>
          <w:sz w:val="28"/>
          <w:szCs w:val="18"/>
          <w:highlight w:val="none"/>
        </w:rPr>
        <w:t>附表一 资格审查表</w:t>
      </w:r>
      <w:bookmarkEnd w:id="256"/>
      <w:bookmarkEnd w:id="257"/>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546"/>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8" w:type="pct"/>
            <w:vAlign w:val="center"/>
          </w:tcPr>
          <w:p>
            <w:pPr>
              <w:snapToGrid w:val="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938" w:type="pct"/>
            <w:vAlign w:val="center"/>
          </w:tcPr>
          <w:p>
            <w:pPr>
              <w:snapToGrid w:val="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评审内容</w:t>
            </w:r>
          </w:p>
        </w:tc>
        <w:tc>
          <w:tcPr>
            <w:tcW w:w="3674" w:type="pct"/>
            <w:vAlign w:val="center"/>
          </w:tcPr>
          <w:p>
            <w:pPr>
              <w:snapToGrid w:val="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评审合格标准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9" w:hRule="atLeast"/>
          <w:jc w:val="center"/>
        </w:trPr>
        <w:tc>
          <w:tcPr>
            <w:tcW w:w="388" w:type="pct"/>
            <w:vAlign w:val="center"/>
          </w:tcPr>
          <w:p>
            <w:pPr>
              <w:snapToGrid w:val="0"/>
              <w:jc w:val="center"/>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1</w:t>
            </w:r>
          </w:p>
        </w:tc>
        <w:tc>
          <w:tcPr>
            <w:tcW w:w="938" w:type="pct"/>
            <w:vAlign w:val="center"/>
          </w:tcPr>
          <w:p>
            <w:pPr>
              <w:snapToGrid w:val="0"/>
              <w:jc w:val="left"/>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满足《中华人民共和国政府采购法》第二十二条规定</w:t>
            </w:r>
          </w:p>
        </w:tc>
        <w:tc>
          <w:tcPr>
            <w:tcW w:w="3674" w:type="pct"/>
            <w:vAlign w:val="center"/>
          </w:tcPr>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1、投标人合法注册的法人或其他组织的营业执照等证明文件，自然人的身份证明；</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2、供应商上一年度经审计的</w:t>
            </w:r>
            <w:r>
              <w:rPr>
                <w:rFonts w:hint="eastAsia" w:ascii="仿宋" w:hAnsi="仿宋" w:eastAsia="仿宋" w:cs="仿宋"/>
                <w:color w:val="auto"/>
                <w:szCs w:val="21"/>
                <w:highlight w:val="none"/>
                <w:lang w:eastAsia="zh-CN"/>
              </w:rPr>
              <w:t>财务报告</w:t>
            </w:r>
            <w:r>
              <w:rPr>
                <w:rFonts w:hint="eastAsia" w:ascii="仿宋" w:hAnsi="仿宋" w:eastAsia="仿宋" w:cs="仿宋"/>
                <w:color w:val="auto"/>
                <w:szCs w:val="21"/>
                <w:highlight w:val="none"/>
              </w:rPr>
              <w:t>复印件，或本年度银行出具的资信证明；</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3、依法缴纳税收和社会保障资金的证明材料复印件；</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4、具备履行合同所必需的设备和专业技术能力的承诺原件；</w:t>
            </w:r>
          </w:p>
          <w:p>
            <w:pPr>
              <w:snapToGrid w:val="0"/>
              <w:spacing w:line="360" w:lineRule="auto"/>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5、供应商参加政府采购活动前3年内在经营活动中没有重大违法记录的书面声明原件；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8" w:hRule="atLeast"/>
          <w:jc w:val="center"/>
        </w:trPr>
        <w:tc>
          <w:tcPr>
            <w:tcW w:w="388" w:type="pct"/>
            <w:vAlign w:val="center"/>
          </w:tcPr>
          <w:p>
            <w:pPr>
              <w:snapToGrid w:val="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938" w:type="pct"/>
            <w:vAlign w:val="center"/>
          </w:tcPr>
          <w:p>
            <w:pPr>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资格条件</w:t>
            </w:r>
          </w:p>
        </w:tc>
        <w:tc>
          <w:tcPr>
            <w:tcW w:w="3674" w:type="pct"/>
            <w:vAlign w:val="center"/>
          </w:tcPr>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人在递交投标文件截止时间前被“信用中国”网站（www.creditchina.gov.cn）和中国政府采购网（www.ccgp.gov.cn）上被列入失信被执行人、重大税收违法失信主体、政府采购严重违法失信行为记录名单的，不得参加投标；</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2、投标人不得存在下列情形之一：</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（1）单位负责人为同一人或者存在直接控股、管理关系的不同供应商，不得参加本次采购活动；</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（2）为本项目提供整体设计、规范编制或者项目管理、监理、检测等服务的投标人，不得再参加该采购项目的其他采购活动。</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3、需按招标公告约定的方式获取招标文件，未按招标公告约定方式获取招标文件的供应商均无资格参加投标。</w:t>
            </w:r>
          </w:p>
        </w:tc>
      </w:tr>
    </w:tbl>
    <w:p>
      <w:pPr>
        <w:pStyle w:val="5"/>
        <w:spacing w:before="0" w:line="360" w:lineRule="auto"/>
        <w:rPr>
          <w:rFonts w:hint="eastAsia" w:ascii="仿宋" w:hAnsi="仿宋" w:eastAsia="仿宋" w:cs="仿宋"/>
          <w:color w:val="auto"/>
          <w:sz w:val="28"/>
          <w:szCs w:val="18"/>
          <w:highlight w:val="none"/>
        </w:rPr>
      </w:pPr>
      <w:r>
        <w:rPr>
          <w:rFonts w:hint="eastAsia" w:ascii="仿宋" w:hAnsi="仿宋" w:eastAsia="仿宋" w:cs="仿宋"/>
          <w:color w:val="auto"/>
          <w:szCs w:val="21"/>
          <w:highlight w:val="none"/>
        </w:rPr>
        <w:br w:type="page"/>
      </w:r>
      <w:bookmarkStart w:id="258" w:name="_Toc26791"/>
      <w:bookmarkStart w:id="259" w:name="_Toc138175447"/>
      <w:r>
        <w:rPr>
          <w:rFonts w:hint="eastAsia" w:ascii="仿宋" w:hAnsi="仿宋" w:eastAsia="仿宋" w:cs="仿宋"/>
          <w:color w:val="auto"/>
          <w:sz w:val="28"/>
          <w:szCs w:val="18"/>
          <w:highlight w:val="none"/>
        </w:rPr>
        <w:t>附表二 符合性审查表</w:t>
      </w:r>
      <w:bookmarkEnd w:id="258"/>
      <w:bookmarkEnd w:id="259"/>
    </w:p>
    <w:tbl>
      <w:tblPr>
        <w:tblStyle w:val="3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63"/>
        <w:gridCol w:w="1567"/>
        <w:gridCol w:w="5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463" w:type="pct"/>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highlight w:val="none"/>
              </w:rPr>
            </w:pPr>
            <w:r>
              <w:rPr>
                <w:rFonts w:hint="eastAsia" w:ascii="仿宋" w:hAnsi="仿宋" w:eastAsia="仿宋" w:cs="仿宋"/>
                <w:b/>
                <w:caps/>
                <w:color w:val="auto"/>
                <w:szCs w:val="21"/>
                <w:highlight w:val="none"/>
              </w:rPr>
              <w:t>序号</w:t>
            </w:r>
          </w:p>
        </w:tc>
        <w:tc>
          <w:tcPr>
            <w:tcW w:w="950" w:type="pct"/>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highlight w:val="none"/>
              </w:rPr>
            </w:pPr>
            <w:r>
              <w:rPr>
                <w:rFonts w:hint="eastAsia" w:ascii="仿宋" w:hAnsi="仿宋" w:eastAsia="仿宋" w:cs="仿宋"/>
                <w:b/>
                <w:caps/>
                <w:color w:val="auto"/>
                <w:szCs w:val="21"/>
                <w:highlight w:val="none"/>
              </w:rPr>
              <w:t>评审项目</w:t>
            </w:r>
          </w:p>
        </w:tc>
        <w:tc>
          <w:tcPr>
            <w:tcW w:w="3585" w:type="pct"/>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highlight w:val="none"/>
              </w:rPr>
            </w:pPr>
            <w:r>
              <w:rPr>
                <w:rFonts w:hint="eastAsia" w:ascii="仿宋" w:hAnsi="仿宋" w:eastAsia="仿宋" w:cs="仿宋"/>
                <w:b/>
                <w:caps/>
                <w:color w:val="auto"/>
                <w:szCs w:val="21"/>
                <w:highlight w:val="none"/>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463" w:type="pct"/>
            <w:vAlign w:val="center"/>
          </w:tcPr>
          <w:p>
            <w:pPr>
              <w:tabs>
                <w:tab w:val="left" w:pos="1260"/>
                <w:tab w:val="left" w:pos="1620"/>
              </w:tabs>
              <w:adjustRightInd w:val="0"/>
              <w:snapToGrid w:val="0"/>
              <w:jc w:val="center"/>
              <w:textAlignment w:val="baseline"/>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950" w:type="pct"/>
            <w:vAlign w:val="center"/>
          </w:tcPr>
          <w:p>
            <w:pPr>
              <w:snapToGrid w:val="0"/>
              <w:spacing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投标报价</w:t>
            </w:r>
          </w:p>
        </w:tc>
        <w:tc>
          <w:tcPr>
            <w:tcW w:w="3585" w:type="pct"/>
            <w:vAlign w:val="center"/>
          </w:tcPr>
          <w:p>
            <w:pPr>
              <w:snapToGrid w:val="0"/>
              <w:spacing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投标人投标报价不得超出采购预算或最高限价的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463" w:type="pct"/>
            <w:vAlign w:val="center"/>
          </w:tcPr>
          <w:p>
            <w:pPr>
              <w:tabs>
                <w:tab w:val="left" w:pos="1260"/>
                <w:tab w:val="left" w:pos="1620"/>
              </w:tabs>
              <w:adjustRightInd w:val="0"/>
              <w:snapToGrid w:val="0"/>
              <w:jc w:val="center"/>
              <w:textAlignment w:val="baseline"/>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950" w:type="pct"/>
            <w:vAlign w:val="center"/>
          </w:tcPr>
          <w:p>
            <w:pPr>
              <w:snapToGrid w:val="0"/>
              <w:spacing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报价合理性</w:t>
            </w:r>
          </w:p>
        </w:tc>
        <w:tc>
          <w:tcPr>
            <w:tcW w:w="3585" w:type="pct"/>
            <w:vAlign w:val="center"/>
          </w:tcPr>
          <w:p>
            <w:pPr>
              <w:snapToGrid w:val="0"/>
              <w:spacing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投标人的报价明显低于其他通过符合性审查投标人的报价，有可能影响产品质量或者不能诚信履约的，且投标人不能证明其报价合理性的，按无效标处理。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463" w:type="pct"/>
            <w:vAlign w:val="center"/>
          </w:tcPr>
          <w:p>
            <w:pPr>
              <w:tabs>
                <w:tab w:val="left" w:pos="1260"/>
                <w:tab w:val="left" w:pos="1620"/>
              </w:tabs>
              <w:adjustRightInd w:val="0"/>
              <w:snapToGrid w:val="0"/>
              <w:jc w:val="center"/>
              <w:textAlignment w:val="baseline"/>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950" w:type="pct"/>
            <w:vAlign w:val="center"/>
          </w:tcPr>
          <w:p>
            <w:pPr>
              <w:snapToGrid w:val="0"/>
              <w:spacing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投标内容</w:t>
            </w:r>
          </w:p>
        </w:tc>
        <w:tc>
          <w:tcPr>
            <w:tcW w:w="3585" w:type="pct"/>
            <w:vAlign w:val="center"/>
          </w:tcPr>
          <w:p>
            <w:pPr>
              <w:snapToGrid w:val="0"/>
              <w:spacing w:line="36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投标内容出现漏项或数量与要求不符或投标内容的技术指标达不到招标文件要求，造成采购档次降低或影响采购性能、功能，按无效标处理。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1414" w:type="pct"/>
            <w:gridSpan w:val="2"/>
            <w:vAlign w:val="center"/>
          </w:tcPr>
          <w:p>
            <w:pPr>
              <w:tabs>
                <w:tab w:val="left" w:pos="1260"/>
                <w:tab w:val="left" w:pos="1620"/>
              </w:tabs>
              <w:adjustRightInd w:val="0"/>
              <w:snapToGrid w:val="0"/>
              <w:textAlignment w:val="baseline"/>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结论（通过或未通过）</w:t>
            </w:r>
          </w:p>
        </w:tc>
        <w:tc>
          <w:tcPr>
            <w:tcW w:w="3585" w:type="pct"/>
            <w:vAlign w:val="center"/>
          </w:tcPr>
          <w:p>
            <w:pPr>
              <w:tabs>
                <w:tab w:val="left" w:pos="1260"/>
                <w:tab w:val="left" w:pos="1620"/>
              </w:tabs>
              <w:adjustRightInd w:val="0"/>
              <w:snapToGrid w:val="0"/>
              <w:textAlignment w:val="baseline"/>
              <w:rPr>
                <w:rFonts w:hint="eastAsia" w:ascii="仿宋" w:hAnsi="仿宋" w:eastAsia="仿宋" w:cs="仿宋"/>
                <w:color w:val="auto"/>
                <w:szCs w:val="21"/>
                <w:highlight w:val="none"/>
              </w:rPr>
            </w:pPr>
          </w:p>
        </w:tc>
      </w:tr>
    </w:tbl>
    <w:p>
      <w:pPr>
        <w:tabs>
          <w:tab w:val="left" w:pos="1260"/>
          <w:tab w:val="left" w:pos="1620"/>
        </w:tabs>
        <w:adjustRightInd w:val="0"/>
        <w:spacing w:line="360" w:lineRule="auto"/>
        <w:jc w:val="left"/>
        <w:textAlignment w:val="baseline"/>
        <w:rPr>
          <w:rFonts w:hint="eastAsia" w:ascii="仿宋" w:hAnsi="仿宋" w:eastAsia="仿宋" w:cs="仿宋"/>
          <w:b/>
          <w:color w:val="auto"/>
          <w:szCs w:val="21"/>
          <w:highlight w:val="none"/>
        </w:rPr>
      </w:pPr>
      <w:r>
        <w:rPr>
          <w:rFonts w:hint="eastAsia" w:ascii="仿宋" w:hAnsi="仿宋" w:eastAsia="仿宋" w:cs="仿宋"/>
          <w:color w:val="auto"/>
          <w:highlight w:val="none"/>
        </w:rPr>
        <w:br w:type="page"/>
      </w:r>
    </w:p>
    <w:p>
      <w:pPr>
        <w:pStyle w:val="5"/>
        <w:spacing w:before="0" w:line="360" w:lineRule="auto"/>
        <w:rPr>
          <w:rFonts w:hint="eastAsia" w:ascii="仿宋" w:hAnsi="仿宋" w:eastAsia="仿宋" w:cs="仿宋"/>
          <w:color w:val="auto"/>
          <w:sz w:val="28"/>
          <w:szCs w:val="18"/>
          <w:highlight w:val="none"/>
        </w:rPr>
      </w:pPr>
      <w:bookmarkStart w:id="260" w:name="_Toc6222"/>
      <w:bookmarkStart w:id="261" w:name="_Toc138175448"/>
      <w:r>
        <w:rPr>
          <w:rFonts w:hint="eastAsia" w:ascii="仿宋" w:hAnsi="仿宋" w:eastAsia="仿宋" w:cs="仿宋"/>
          <w:color w:val="auto"/>
          <w:sz w:val="28"/>
          <w:szCs w:val="18"/>
          <w:highlight w:val="none"/>
        </w:rPr>
        <w:t>附表三 评审因素和指标</w:t>
      </w:r>
      <w:bookmarkEnd w:id="260"/>
      <w:bookmarkEnd w:id="261"/>
    </w:p>
    <w:tbl>
      <w:tblPr>
        <w:tblStyle w:val="36"/>
        <w:tblW w:w="5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808"/>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评标因素</w:t>
            </w:r>
          </w:p>
        </w:tc>
        <w:tc>
          <w:tcPr>
            <w:tcW w:w="42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权值%</w:t>
            </w:r>
          </w:p>
        </w:tc>
        <w:tc>
          <w:tcPr>
            <w:tcW w:w="371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5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投标报价</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30</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满足招标文件要求且投标价格最低的投标报价为评标基准价，其价格分为满分。其他投标人的价格分统一按照下列公式计算：投标报价得分=（评标基准价/投标报价）×价格权值</w:t>
            </w:r>
          </w:p>
          <w:p>
            <w:pPr>
              <w:spacing w:line="312" w:lineRule="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注：本项目已专门面向</w:t>
            </w:r>
            <w:r>
              <w:rPr>
                <w:rFonts w:hint="eastAsia" w:ascii="仿宋" w:hAnsi="仿宋" w:eastAsia="仿宋" w:cs="仿宋"/>
                <w:b/>
                <w:bCs/>
                <w:color w:val="auto"/>
                <w:sz w:val="21"/>
                <w:szCs w:val="21"/>
                <w:highlight w:val="none"/>
                <w:lang w:eastAsia="zh-CN"/>
              </w:rPr>
              <w:t>中</w:t>
            </w:r>
            <w:r>
              <w:rPr>
                <w:rFonts w:hint="eastAsia" w:ascii="仿宋" w:hAnsi="仿宋" w:eastAsia="仿宋" w:cs="仿宋"/>
                <w:b/>
                <w:bCs/>
                <w:color w:val="auto"/>
                <w:sz w:val="21"/>
                <w:szCs w:val="21"/>
                <w:highlight w:val="none"/>
              </w:rPr>
              <w:t>小微企业，对小微企业磋商报价不再进行扣除，供应商需如实填写《中小企业声明函》。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技术参数及货物选型</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10</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所投产品</w:t>
            </w:r>
            <w:r>
              <w:rPr>
                <w:rFonts w:hint="eastAsia" w:ascii="仿宋" w:hAnsi="仿宋" w:eastAsia="仿宋" w:cs="仿宋"/>
                <w:color w:val="auto"/>
                <w:sz w:val="21"/>
                <w:szCs w:val="21"/>
                <w:highlight w:val="none"/>
                <w:lang w:eastAsia="zh-CN"/>
              </w:rPr>
              <w:t>规格及</w:t>
            </w:r>
            <w:r>
              <w:rPr>
                <w:rFonts w:hint="eastAsia" w:ascii="仿宋" w:hAnsi="仿宋" w:eastAsia="仿宋" w:cs="仿宋"/>
                <w:color w:val="auto"/>
                <w:sz w:val="21"/>
                <w:szCs w:val="21"/>
                <w:highlight w:val="none"/>
              </w:rPr>
              <w:t>技术性能满足</w:t>
            </w:r>
            <w:r>
              <w:rPr>
                <w:rFonts w:hint="eastAsia" w:ascii="仿宋" w:hAnsi="仿宋" w:eastAsia="仿宋" w:cs="仿宋"/>
                <w:color w:val="auto"/>
                <w:sz w:val="21"/>
                <w:szCs w:val="21"/>
                <w:highlight w:val="none"/>
                <w:lang w:val="en-US" w:eastAsia="zh-CN"/>
              </w:rPr>
              <w:t>招标</w:t>
            </w:r>
            <w:r>
              <w:rPr>
                <w:rFonts w:hint="eastAsia" w:ascii="仿宋" w:hAnsi="仿宋" w:eastAsia="仿宋" w:cs="仿宋"/>
                <w:color w:val="auto"/>
                <w:sz w:val="21"/>
                <w:szCs w:val="21"/>
                <w:highlight w:val="none"/>
              </w:rPr>
              <w:t>文件要求，得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分，每有一项负偏离的减1分，扣完为止</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zh-CN" w:eastAsia="zh-CN"/>
              </w:rPr>
              <w:t>供货渠道</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5</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标的物供货渠道合法，无假货、水货、翻新货且无产权纠纷，提供来源渠道合法证明文件（</w:t>
            </w:r>
            <w:r>
              <w:rPr>
                <w:rFonts w:hint="eastAsia" w:ascii="仿宋" w:hAnsi="仿宋" w:eastAsia="仿宋" w:cs="仿宋"/>
                <w:color w:val="auto"/>
                <w:sz w:val="21"/>
                <w:szCs w:val="21"/>
                <w:highlight w:val="none"/>
                <w:lang w:val="en-US" w:eastAsia="zh-CN"/>
              </w:rPr>
              <w:t>不限于原厂授权、销售协议、代理协议等资料</w:t>
            </w:r>
            <w:r>
              <w:rPr>
                <w:rFonts w:hint="eastAsia" w:ascii="仿宋" w:hAnsi="仿宋" w:eastAsia="仿宋" w:cs="仿宋"/>
                <w:color w:val="auto"/>
                <w:sz w:val="21"/>
                <w:szCs w:val="21"/>
                <w:highlight w:val="none"/>
                <w:lang w:val="zh-CN" w:eastAsia="zh-CN"/>
              </w:rPr>
              <w:t>），</w:t>
            </w:r>
            <w:r>
              <w:rPr>
                <w:rFonts w:hint="eastAsia" w:ascii="仿宋" w:hAnsi="仿宋" w:eastAsia="仿宋" w:cs="仿宋"/>
                <w:color w:val="auto"/>
                <w:sz w:val="21"/>
                <w:szCs w:val="21"/>
                <w:highlight w:val="none"/>
                <w:lang w:val="en-US" w:eastAsia="zh-CN"/>
              </w:rPr>
              <w:t>按其完整、齐全程度计0-5分。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eastAsia="zh-CN"/>
              </w:rPr>
              <w:t>技术资料配置</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5</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eastAsia="zh-CN"/>
              </w:rPr>
              <w:t>产品技术资料（包括但不限于</w:t>
            </w:r>
            <w:r>
              <w:rPr>
                <w:rFonts w:hint="eastAsia" w:ascii="仿宋" w:hAnsi="仿宋" w:eastAsia="仿宋" w:cs="仿宋"/>
                <w:color w:val="auto"/>
                <w:sz w:val="21"/>
                <w:szCs w:val="21"/>
                <w:highlight w:val="none"/>
                <w:lang w:val="en-US" w:eastAsia="zh-CN"/>
              </w:rPr>
              <w:t>检测报告、</w:t>
            </w:r>
            <w:r>
              <w:rPr>
                <w:rFonts w:hint="eastAsia" w:ascii="仿宋" w:hAnsi="仿宋" w:eastAsia="仿宋" w:cs="仿宋"/>
                <w:color w:val="auto"/>
                <w:sz w:val="21"/>
                <w:szCs w:val="21"/>
                <w:highlight w:val="none"/>
                <w:lang w:val="zh-CN" w:eastAsia="zh-CN"/>
              </w:rPr>
              <w:t>产品彩页、官网截图、厂家证明等材料）配置齐全，真实、</w:t>
            </w:r>
            <w:r>
              <w:rPr>
                <w:rFonts w:hint="eastAsia" w:ascii="仿宋" w:hAnsi="仿宋" w:eastAsia="仿宋" w:cs="仿宋"/>
                <w:color w:val="auto"/>
                <w:sz w:val="21"/>
                <w:szCs w:val="21"/>
                <w:highlight w:val="none"/>
                <w:lang w:val="en-US" w:eastAsia="zh-CN"/>
              </w:rPr>
              <w:t>与偏离表</w:t>
            </w:r>
            <w:r>
              <w:rPr>
                <w:rFonts w:hint="eastAsia" w:ascii="仿宋" w:hAnsi="仿宋" w:eastAsia="仿宋" w:cs="仿宋"/>
                <w:color w:val="auto"/>
                <w:sz w:val="21"/>
                <w:szCs w:val="21"/>
                <w:highlight w:val="none"/>
                <w:lang w:val="zh-CN" w:eastAsia="zh-CN"/>
              </w:rPr>
              <w:t>表述一致，</w:t>
            </w:r>
            <w:r>
              <w:rPr>
                <w:rFonts w:hint="eastAsia" w:ascii="仿宋" w:hAnsi="仿宋" w:eastAsia="仿宋" w:cs="仿宋"/>
                <w:color w:val="auto"/>
                <w:sz w:val="21"/>
                <w:szCs w:val="21"/>
                <w:highlight w:val="none"/>
                <w:lang w:val="en-US" w:eastAsia="zh-CN"/>
              </w:rPr>
              <w:t>按其完整、齐全程度计0-5分。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rPr>
              <w:t>供货方案</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10</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供货实施计划、组织计划、进度计划、人员投入方案完整</w:t>
            </w:r>
            <w:r>
              <w:rPr>
                <w:rFonts w:hint="eastAsia" w:ascii="仿宋" w:hAnsi="仿宋" w:eastAsia="仿宋" w:cs="仿宋"/>
                <w:color w:val="auto"/>
                <w:sz w:val="21"/>
                <w:szCs w:val="21"/>
                <w:highlight w:val="none"/>
                <w:lang w:eastAsia="zh-CN"/>
              </w:rPr>
              <w:t>、科学合理、</w:t>
            </w:r>
            <w:r>
              <w:rPr>
                <w:rFonts w:hint="eastAsia" w:ascii="仿宋" w:hAnsi="仿宋" w:eastAsia="仿宋" w:cs="仿宋"/>
                <w:color w:val="auto"/>
                <w:sz w:val="21"/>
                <w:szCs w:val="21"/>
                <w:highlight w:val="none"/>
              </w:rPr>
              <w:t>切实可行，得5-10分；</w:t>
            </w:r>
          </w:p>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供货实施计划、组织计划、进度计划、人员投入方案可以</w:t>
            </w:r>
            <w:r>
              <w:rPr>
                <w:rFonts w:hint="eastAsia" w:ascii="仿宋" w:hAnsi="仿宋" w:eastAsia="仿宋" w:cs="仿宋"/>
                <w:color w:val="auto"/>
                <w:sz w:val="21"/>
                <w:szCs w:val="21"/>
                <w:highlight w:val="none"/>
                <w:lang w:eastAsia="zh-CN"/>
              </w:rPr>
              <w:t>基本</w:t>
            </w:r>
            <w:r>
              <w:rPr>
                <w:rFonts w:hint="eastAsia" w:ascii="仿宋" w:hAnsi="仿宋" w:eastAsia="仿宋" w:cs="仿宋"/>
                <w:color w:val="auto"/>
                <w:sz w:val="21"/>
                <w:szCs w:val="21"/>
                <w:highlight w:val="none"/>
              </w:rPr>
              <w:t>完成本项目所需工作内容，得0-5分。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eastAsia="zh-CN"/>
              </w:rPr>
              <w:t>保障</w:t>
            </w:r>
            <w:r>
              <w:rPr>
                <w:rFonts w:hint="eastAsia" w:ascii="仿宋" w:hAnsi="仿宋" w:eastAsia="仿宋" w:cs="仿宋"/>
                <w:b/>
                <w:bCs/>
                <w:color w:val="auto"/>
                <w:sz w:val="21"/>
                <w:szCs w:val="21"/>
                <w:highlight w:val="none"/>
              </w:rPr>
              <w:t>措施</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10</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为完成项目的各项保障措施齐全，保障内容全面，包括了人员组织保障措施、项目进度保障措施、产品安装保障措施等内容，得</w:t>
            </w:r>
            <w:r>
              <w:rPr>
                <w:rFonts w:hint="eastAsia" w:ascii="仿宋" w:hAnsi="仿宋" w:eastAsia="仿宋" w:cs="仿宋"/>
                <w:color w:val="auto"/>
                <w:sz w:val="21"/>
                <w:szCs w:val="21"/>
                <w:highlight w:val="none"/>
                <w:lang w:val="en-US" w:eastAsia="zh-CN"/>
              </w:rPr>
              <w:t>5-10分；</w:t>
            </w:r>
          </w:p>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各项保障措施能够基本保证项目整体运行，完整度有所欠缺，得0-5分。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安装、验收方案</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10</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据供应商针对本项目提供具体可行的安装、验收方案及保证按期供货</w:t>
            </w:r>
            <w:r>
              <w:rPr>
                <w:rFonts w:hint="eastAsia" w:ascii="仿宋" w:hAnsi="仿宋" w:eastAsia="仿宋" w:cs="仿宋"/>
                <w:color w:val="auto"/>
                <w:sz w:val="21"/>
                <w:szCs w:val="21"/>
                <w:highlight w:val="none"/>
                <w:lang w:eastAsia="zh-CN"/>
              </w:rPr>
              <w:t>的保障措施</w:t>
            </w:r>
            <w:r>
              <w:rPr>
                <w:rFonts w:hint="eastAsia" w:ascii="仿宋" w:hAnsi="仿宋" w:eastAsia="仿宋" w:cs="仿宋"/>
                <w:color w:val="auto"/>
                <w:sz w:val="21"/>
                <w:szCs w:val="21"/>
                <w:highlight w:val="none"/>
              </w:rPr>
              <w:t>，方案详细，</w:t>
            </w:r>
            <w:r>
              <w:rPr>
                <w:rFonts w:hint="eastAsia" w:ascii="仿宋" w:hAnsi="仿宋" w:eastAsia="仿宋" w:cs="仿宋"/>
                <w:color w:val="auto"/>
                <w:sz w:val="21"/>
                <w:szCs w:val="21"/>
                <w:highlight w:val="none"/>
                <w:lang w:eastAsia="zh-CN"/>
              </w:rPr>
              <w:t>具备</w:t>
            </w:r>
            <w:r>
              <w:rPr>
                <w:rFonts w:hint="eastAsia" w:ascii="仿宋" w:hAnsi="仿宋" w:eastAsia="仿宋" w:cs="仿宋"/>
                <w:color w:val="auto"/>
                <w:sz w:val="21"/>
                <w:szCs w:val="21"/>
                <w:highlight w:val="none"/>
              </w:rPr>
              <w:t>可行性、针对性强及保证按期供货</w:t>
            </w:r>
            <w:r>
              <w:rPr>
                <w:rFonts w:hint="eastAsia" w:ascii="仿宋" w:hAnsi="仿宋" w:eastAsia="仿宋" w:cs="仿宋"/>
                <w:color w:val="auto"/>
                <w:sz w:val="21"/>
                <w:szCs w:val="21"/>
                <w:highlight w:val="none"/>
                <w:lang w:eastAsia="zh-CN"/>
              </w:rPr>
              <w:t>措施完整</w:t>
            </w:r>
            <w:r>
              <w:rPr>
                <w:rFonts w:hint="eastAsia" w:ascii="仿宋" w:hAnsi="仿宋" w:eastAsia="仿宋" w:cs="仿宋"/>
                <w:color w:val="auto"/>
                <w:sz w:val="21"/>
                <w:szCs w:val="21"/>
                <w:highlight w:val="none"/>
              </w:rPr>
              <w:t>，按其响应程度计0～</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售后服务</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10</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售后服务制度健全、有专人负责维修并定期进行维护，能够满足货物正常使用的得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售后服务制度基本健全、无专人负责维修、无定期维护与保养计划，基本满足货物正常使用的得0-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售后服务响应</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4</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承诺在货物使用过程中出现问题</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小时内响应，12 小时以内解决问题恢复使用，得</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分；</w:t>
            </w:r>
          </w:p>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承诺在货物使用过程中出现问题</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小时内响应，</w:t>
            </w:r>
            <w:r>
              <w:rPr>
                <w:rFonts w:hint="eastAsia" w:ascii="仿宋" w:hAnsi="仿宋" w:eastAsia="仿宋" w:cs="仿宋"/>
                <w:color w:val="auto"/>
                <w:sz w:val="21"/>
                <w:szCs w:val="21"/>
                <w:highlight w:val="none"/>
                <w:lang w:val="en-US" w:eastAsia="zh-CN"/>
              </w:rPr>
              <w:t>24</w:t>
            </w:r>
            <w:r>
              <w:rPr>
                <w:rFonts w:hint="eastAsia" w:ascii="仿宋" w:hAnsi="仿宋" w:eastAsia="仿宋" w:cs="仿宋"/>
                <w:color w:val="auto"/>
                <w:sz w:val="21"/>
                <w:szCs w:val="21"/>
                <w:highlight w:val="none"/>
              </w:rPr>
              <w:t>小时以内解决问题恢复使用，得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w:t>
            </w:r>
          </w:p>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没有上述内容或内容不全的得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6" w:type="pct"/>
            <w:tcBorders>
              <w:top w:val="single" w:color="auto" w:sz="4" w:space="0"/>
              <w:left w:val="single" w:color="auto" w:sz="4" w:space="0"/>
              <w:right w:val="single" w:color="auto" w:sz="4" w:space="0"/>
            </w:tcBorders>
            <w:vAlign w:val="center"/>
          </w:tcPr>
          <w:p>
            <w:pPr>
              <w:tabs>
                <w:tab w:val="left" w:pos="1260"/>
                <w:tab w:val="left" w:pos="1620"/>
              </w:tabs>
              <w:spacing w:line="312" w:lineRule="auto"/>
              <w:jc w:val="center"/>
              <w:textAlignment w:val="baseline"/>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企业业绩</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spacing w:line="312" w:lineRule="auto"/>
              <w:jc w:val="center"/>
              <w:textAlignment w:val="baseline"/>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6</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供应商提供2020年1月1日起至今的类似项目业绩，每提供一份得2分，满分6分。（业绩以合同为准，时间以合同签订日期为准。）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83" w:type="pct"/>
            <w:gridSpan w:val="2"/>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总分</w:t>
            </w:r>
          </w:p>
        </w:tc>
        <w:tc>
          <w:tcPr>
            <w:tcW w:w="3716" w:type="pct"/>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100</w:t>
            </w:r>
          </w:p>
        </w:tc>
      </w:tr>
    </w:tbl>
    <w:p>
      <w:pPr>
        <w:pStyle w:val="33"/>
        <w:spacing w:before="0" w:after="0" w:line="360"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262" w:name="_Toc4796"/>
      <w:bookmarkStart w:id="263" w:name="_Toc6865"/>
      <w:bookmarkStart w:id="264" w:name="_Toc515647833"/>
      <w:bookmarkStart w:id="265" w:name="_Toc532473757"/>
      <w:bookmarkStart w:id="266" w:name="_Toc532044541"/>
      <w:bookmarkStart w:id="267" w:name="_Toc10325"/>
      <w:r>
        <w:rPr>
          <w:rFonts w:hint="eastAsia" w:ascii="仿宋" w:hAnsi="仿宋" w:eastAsia="仿宋" w:cs="仿宋"/>
          <w:color w:val="auto"/>
          <w:highlight w:val="none"/>
        </w:rPr>
        <w:t>第四章  拟签订的合同</w:t>
      </w:r>
      <w:bookmarkEnd w:id="262"/>
      <w:bookmarkEnd w:id="263"/>
      <w:bookmarkEnd w:id="264"/>
      <w:bookmarkEnd w:id="265"/>
      <w:bookmarkEnd w:id="266"/>
      <w:bookmarkStart w:id="268" w:name="_Hlt487972895"/>
      <w:bookmarkEnd w:id="268"/>
      <w:bookmarkStart w:id="269" w:name="_Toc216513788"/>
      <w:bookmarkStart w:id="270" w:name="_Toc487900382"/>
      <w:r>
        <w:rPr>
          <w:rFonts w:hint="eastAsia" w:ascii="仿宋" w:hAnsi="仿宋" w:eastAsia="仿宋" w:cs="仿宋"/>
          <w:color w:val="auto"/>
          <w:highlight w:val="none"/>
        </w:rPr>
        <w:t>文本</w:t>
      </w:r>
      <w:bookmarkEnd w:id="267"/>
      <w:bookmarkEnd w:id="269"/>
      <w:bookmarkEnd w:id="270"/>
    </w:p>
    <w:p>
      <w:pPr>
        <w:tabs>
          <w:tab w:val="left" w:pos="735"/>
        </w:tabs>
        <w:autoSpaceDE w:val="0"/>
        <w:autoSpaceDN w:val="0"/>
        <w:adjustRightInd w:val="0"/>
        <w:snapToGrid w:val="0"/>
        <w:spacing w:before="312" w:beforeLines="100" w:line="360" w:lineRule="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采购人：</w:t>
      </w:r>
      <w:r>
        <w:rPr>
          <w:rFonts w:hint="eastAsia" w:ascii="仿宋" w:hAnsi="仿宋" w:eastAsia="仿宋" w:cs="仿宋"/>
          <w:bCs/>
          <w:color w:val="auto"/>
          <w:sz w:val="24"/>
          <w:highlight w:val="none"/>
          <w:lang w:val="zh-CN"/>
        </w:rPr>
        <w:t>（前款所称采购人）</w:t>
      </w:r>
    </w:p>
    <w:p>
      <w:pPr>
        <w:tabs>
          <w:tab w:val="left" w:pos="735"/>
        </w:tabs>
        <w:autoSpaceDE w:val="0"/>
        <w:autoSpaceDN w:val="0"/>
        <w:adjustRightInd w:val="0"/>
        <w:snapToGrid w:val="0"/>
        <w:spacing w:line="360" w:lineRule="auto"/>
        <w:rPr>
          <w:rFonts w:hint="eastAsia" w:ascii="仿宋" w:hAnsi="仿宋" w:eastAsia="仿宋" w:cs="仿宋"/>
          <w:bCs/>
          <w:color w:val="auto"/>
          <w:sz w:val="24"/>
          <w:highlight w:val="none"/>
          <w:lang w:val="zh-CN"/>
        </w:rPr>
      </w:pPr>
      <w:r>
        <w:rPr>
          <w:rFonts w:hint="eastAsia" w:ascii="仿宋" w:hAnsi="仿宋" w:eastAsia="仿宋" w:cs="仿宋"/>
          <w:b/>
          <w:bCs/>
          <w:color w:val="auto"/>
          <w:sz w:val="24"/>
          <w:highlight w:val="none"/>
          <w:lang w:val="zh-CN"/>
        </w:rPr>
        <w:t>供应商：</w:t>
      </w:r>
      <w:r>
        <w:rPr>
          <w:rFonts w:hint="eastAsia" w:ascii="仿宋" w:hAnsi="仿宋" w:eastAsia="仿宋" w:cs="仿宋"/>
          <w:bCs/>
          <w:color w:val="auto"/>
          <w:sz w:val="24"/>
          <w:highlight w:val="none"/>
          <w:lang w:val="zh-CN"/>
        </w:rPr>
        <w:t>（前款所称</w:t>
      </w:r>
      <w:r>
        <w:rPr>
          <w:rFonts w:hint="eastAsia" w:ascii="仿宋" w:hAnsi="仿宋" w:eastAsia="仿宋" w:cs="仿宋"/>
          <w:bCs/>
          <w:color w:val="auto"/>
          <w:sz w:val="24"/>
          <w:highlight w:val="none"/>
          <w:lang w:eastAsia="zh-CN"/>
        </w:rPr>
        <w:t>中标</w:t>
      </w:r>
      <w:r>
        <w:rPr>
          <w:rFonts w:hint="eastAsia" w:ascii="仿宋" w:hAnsi="仿宋" w:eastAsia="仿宋" w:cs="仿宋"/>
          <w:bCs/>
          <w:color w:val="auto"/>
          <w:sz w:val="24"/>
          <w:highlight w:val="none"/>
        </w:rPr>
        <w:t>供应商</w:t>
      </w:r>
      <w:r>
        <w:rPr>
          <w:rFonts w:hint="eastAsia" w:ascii="仿宋" w:hAnsi="仿宋" w:eastAsia="仿宋" w:cs="仿宋"/>
          <w:bCs/>
          <w:color w:val="auto"/>
          <w:sz w:val="24"/>
          <w:highlight w:val="none"/>
          <w:lang w:val="zh-CN"/>
        </w:rPr>
        <w:t>）</w:t>
      </w:r>
    </w:p>
    <w:p>
      <w:pPr>
        <w:tabs>
          <w:tab w:val="left" w:pos="735"/>
        </w:tabs>
        <w:autoSpaceDE w:val="0"/>
        <w:autoSpaceDN w:val="0"/>
        <w:adjustRightInd w:val="0"/>
        <w:snapToGrid w:val="0"/>
        <w:spacing w:line="360" w:lineRule="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见  证  方：</w:t>
      </w:r>
      <w:r>
        <w:rPr>
          <w:rFonts w:hint="eastAsia" w:ascii="仿宋" w:hAnsi="仿宋" w:eastAsia="仿宋" w:cs="仿宋"/>
          <w:bCs/>
          <w:color w:val="auto"/>
          <w:sz w:val="24"/>
          <w:highlight w:val="none"/>
          <w:lang w:val="zh-CN"/>
        </w:rPr>
        <w:t>（陕西省采购招标有限责任公司）</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1" w:name="_Toc19515384"/>
      <w:r>
        <w:rPr>
          <w:rFonts w:hint="eastAsia" w:ascii="仿宋" w:hAnsi="仿宋" w:eastAsia="仿宋" w:cs="仿宋"/>
          <w:color w:val="auto"/>
          <w:sz w:val="24"/>
          <w:highlight w:val="none"/>
        </w:rPr>
        <w:t>一、合同内容（标的、数量、质量等）</w:t>
      </w:r>
      <w:bookmarkEnd w:id="271"/>
      <w:r>
        <w:rPr>
          <w:rFonts w:hint="eastAsia" w:ascii="仿宋" w:hAnsi="仿宋" w:eastAsia="仿宋" w:cs="仿宋"/>
          <w:color w:val="auto"/>
          <w:sz w:val="24"/>
          <w:highlight w:val="none"/>
        </w:rPr>
        <w:t>：</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2" w:name="_Toc19515385"/>
      <w:r>
        <w:rPr>
          <w:rFonts w:hint="eastAsia" w:ascii="仿宋" w:hAnsi="仿宋" w:eastAsia="仿宋" w:cs="仿宋"/>
          <w:color w:val="auto"/>
          <w:sz w:val="24"/>
          <w:highlight w:val="none"/>
        </w:rPr>
        <w:t>二、合同价款</w:t>
      </w:r>
      <w:bookmarkEnd w:id="272"/>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1、合同总价：</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2、合同总价包括：产品供货、安装调试、验收、培训售后服务、以及增值税等税费、运杂保险费等。</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3、合同为固定总价合同，不受市场价变化的影响。</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3" w:name="_Toc19515386"/>
      <w:r>
        <w:rPr>
          <w:rFonts w:hint="eastAsia" w:ascii="仿宋" w:hAnsi="仿宋" w:eastAsia="仿宋" w:cs="仿宋"/>
          <w:color w:val="auto"/>
          <w:sz w:val="24"/>
          <w:highlight w:val="none"/>
        </w:rPr>
        <w:t>三、合同结算</w:t>
      </w:r>
      <w:bookmarkEnd w:id="273"/>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1、付款比例：</w:t>
      </w:r>
      <w:r>
        <w:rPr>
          <w:rFonts w:hint="eastAsia" w:ascii="仿宋" w:hAnsi="仿宋" w:eastAsia="仿宋" w:cs="仿宋"/>
          <w:color w:val="auto"/>
          <w:sz w:val="24"/>
          <w:highlight w:val="none"/>
          <w:lang w:eastAsia="zh-CN"/>
        </w:rPr>
        <w:t>采购人、供应商双方签订合同后，采购人支付总价款的</w:t>
      </w:r>
      <w:r>
        <w:rPr>
          <w:rFonts w:hint="eastAsia" w:ascii="仿宋" w:hAnsi="仿宋" w:eastAsia="仿宋" w:cs="仿宋"/>
          <w:color w:val="auto"/>
          <w:sz w:val="24"/>
          <w:highlight w:val="none"/>
          <w:lang w:val="en-US" w:eastAsia="zh-CN"/>
        </w:rPr>
        <w:t>60</w:t>
      </w:r>
      <w:r>
        <w:rPr>
          <w:rFonts w:hint="eastAsia" w:ascii="仿宋" w:hAnsi="仿宋" w:eastAsia="仿宋" w:cs="仿宋"/>
          <w:color w:val="auto"/>
          <w:sz w:val="24"/>
          <w:highlight w:val="none"/>
          <w:lang w:eastAsia="zh-CN"/>
        </w:rPr>
        <w:t>%作为预付款，货到现场安装调试完成及验收合格后，采购人支付剩下</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lang w:eastAsia="zh-CN"/>
        </w:rPr>
        <w:t>%剩余款项。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2、结算方式：银行转账。</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3、结算单位：由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采购人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负责结算，</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开具合同总价数的全额发票交采购人。</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4" w:name="_Toc19515387"/>
      <w:r>
        <w:rPr>
          <w:rFonts w:hint="eastAsia" w:ascii="仿宋" w:hAnsi="仿宋" w:eastAsia="仿宋" w:cs="仿宋"/>
          <w:color w:val="auto"/>
          <w:sz w:val="24"/>
          <w:highlight w:val="none"/>
        </w:rPr>
        <w:t>四、交货期、地点及方式</w:t>
      </w:r>
      <w:bookmarkEnd w:id="274"/>
      <w:r>
        <w:rPr>
          <w:rFonts w:hint="eastAsia" w:ascii="仿宋" w:hAnsi="仿宋" w:eastAsia="仿宋" w:cs="仿宋"/>
          <w:color w:val="auto"/>
          <w:sz w:val="24"/>
          <w:highlight w:val="none"/>
        </w:rPr>
        <w:t>：</w:t>
      </w:r>
    </w:p>
    <w:p>
      <w:pPr>
        <w:tabs>
          <w:tab w:val="left" w:pos="253"/>
        </w:tabs>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1、交货期：</w:t>
      </w:r>
      <w:r>
        <w:rPr>
          <w:rFonts w:hint="eastAsia" w:ascii="仿宋" w:hAnsi="仿宋" w:eastAsia="仿宋" w:cs="仿宋"/>
          <w:color w:val="auto"/>
          <w:sz w:val="24"/>
          <w:highlight w:val="none"/>
          <w:lang w:eastAsia="zh-CN"/>
        </w:rPr>
        <w:t>自合同签订之日起60日历天内</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2、地点：</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指定地点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3、方式：货到现场，</w:t>
      </w:r>
      <w:r>
        <w:rPr>
          <w:rFonts w:hint="eastAsia" w:ascii="仿宋" w:hAnsi="仿宋" w:eastAsia="仿宋" w:cs="仿宋"/>
          <w:color w:val="auto"/>
          <w:sz w:val="24"/>
          <w:highlight w:val="none"/>
          <w:lang w:val="en-US" w:eastAsia="zh-CN"/>
        </w:rPr>
        <w:t>并</w:t>
      </w:r>
      <w:r>
        <w:rPr>
          <w:rFonts w:hint="eastAsia" w:ascii="仿宋" w:hAnsi="仿宋" w:eastAsia="仿宋" w:cs="仿宋"/>
          <w:color w:val="auto"/>
          <w:sz w:val="24"/>
          <w:highlight w:val="none"/>
        </w:rPr>
        <w:t>达到使用要求</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5" w:name="_Toc19515390"/>
      <w:r>
        <w:rPr>
          <w:rFonts w:hint="eastAsia" w:ascii="仿宋" w:hAnsi="仿宋" w:eastAsia="仿宋" w:cs="仿宋"/>
          <w:color w:val="auto"/>
          <w:sz w:val="24"/>
          <w:highlight w:val="none"/>
        </w:rPr>
        <w:t>五、技术服务</w:t>
      </w:r>
      <w:bookmarkEnd w:id="275"/>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1、对技术服务的要求：</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2、技术资料：</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3、技术培训：</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3-1、培训内容：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3-2、培训地点：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3-3、培训时间：</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3-4、培训人数：</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3-5、培训费用：受训人员的食宿费、资料费、培训场地费、耗材（包括水电费等）费等已包含在合同总价中，</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不再另行支付。</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4、售后服务</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在接到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电话通知后在</w:t>
      </w:r>
      <w:r>
        <w:rPr>
          <w:rFonts w:hint="eastAsia" w:ascii="仿宋" w:hAnsi="仿宋" w:eastAsia="仿宋" w:cs="仿宋"/>
          <w:color w:val="auto"/>
          <w:sz w:val="24"/>
          <w:highlight w:val="none"/>
          <w:u w:val="single"/>
        </w:rPr>
        <w:t>24</w:t>
      </w:r>
      <w:r>
        <w:rPr>
          <w:rFonts w:hint="eastAsia" w:ascii="仿宋" w:hAnsi="仿宋" w:eastAsia="仿宋" w:cs="仿宋"/>
          <w:color w:val="auto"/>
          <w:sz w:val="24"/>
          <w:highlight w:val="none"/>
        </w:rPr>
        <w:t>小时内派出合格的服务人员到达现场进行服务，承担相应费用。</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4-2、如果</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在收到通知后两天内没有弥补缺陷，</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可采取必要的补救措施，但其风险和费用将由</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承担，</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根据合同规定对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行使的其它权力不受影响。</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6" w:name="_Toc19515391"/>
      <w:r>
        <w:rPr>
          <w:rFonts w:hint="eastAsia" w:ascii="仿宋" w:hAnsi="仿宋" w:eastAsia="仿宋" w:cs="仿宋"/>
          <w:color w:val="auto"/>
          <w:sz w:val="24"/>
          <w:highlight w:val="none"/>
        </w:rPr>
        <w:t>六、验收</w:t>
      </w:r>
      <w:bookmarkEnd w:id="276"/>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1、验收：</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完成服务内容后，向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提出验收申请，</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接到</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验收申请后组织验收（必要时可聘请相应专家或委托相应部门验收），验收合格后，出具使用验收合格证明。</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2、最终验收：最终验收结果作为付款依据，</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填写验收单，并向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提交实施过程中的所有资料，以便</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日后管理和维护。</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3、质保期为验收合格后</w:t>
      </w:r>
      <w:r>
        <w:rPr>
          <w:rFonts w:hint="eastAsia" w:ascii="仿宋" w:hAnsi="仿宋" w:eastAsia="仿宋" w:cs="仿宋"/>
          <w:b/>
          <w:bCs/>
          <w:color w:val="auto"/>
          <w:sz w:val="24"/>
          <w:highlight w:val="none"/>
          <w:u w:val="single"/>
          <w:lang w:val="en-US" w:eastAsia="zh-CN"/>
        </w:rPr>
        <w:t>捌</w:t>
      </w:r>
      <w:r>
        <w:rPr>
          <w:rFonts w:hint="eastAsia" w:ascii="仿宋" w:hAnsi="仿宋" w:eastAsia="仿宋" w:cs="仿宋"/>
          <w:b/>
          <w:bCs/>
          <w:color w:val="auto"/>
          <w:sz w:val="24"/>
          <w:highlight w:val="none"/>
          <w:u w:val="single"/>
        </w:rPr>
        <w:t>年</w:t>
      </w:r>
      <w:r>
        <w:rPr>
          <w:rFonts w:hint="eastAsia" w:ascii="仿宋" w:hAnsi="仿宋" w:eastAsia="仿宋" w:cs="仿宋"/>
          <w:color w:val="auto"/>
          <w:sz w:val="24"/>
          <w:highlight w:val="none"/>
        </w:rPr>
        <w:t>。质保期满后，由</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出具质保期运行质量报告，若存在质量问题，应按相应规定协商处理。</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4、验收依据：</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4-1、合同文本、合同附件、</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文件、</w:t>
      </w:r>
      <w:r>
        <w:rPr>
          <w:rFonts w:hint="eastAsia" w:ascii="仿宋" w:hAnsi="仿宋" w:eastAsia="仿宋" w:cs="仿宋"/>
          <w:color w:val="auto"/>
          <w:sz w:val="24"/>
          <w:highlight w:val="none"/>
          <w:lang w:eastAsia="zh-CN"/>
        </w:rPr>
        <w:t>中标</w:t>
      </w:r>
      <w:r>
        <w:rPr>
          <w:rFonts w:hint="eastAsia" w:ascii="仿宋" w:hAnsi="仿宋" w:eastAsia="仿宋" w:cs="仿宋"/>
          <w:color w:val="auto"/>
          <w:sz w:val="24"/>
          <w:highlight w:val="none"/>
        </w:rPr>
        <w:t>供应商的</w:t>
      </w:r>
      <w:r>
        <w:rPr>
          <w:rFonts w:hint="eastAsia" w:ascii="仿宋" w:hAnsi="仿宋" w:eastAsia="仿宋" w:cs="仿宋"/>
          <w:color w:val="auto"/>
          <w:sz w:val="24"/>
          <w:highlight w:val="none"/>
          <w:lang w:val="en-US" w:eastAsia="zh-CN"/>
        </w:rPr>
        <w:t>投标</w:t>
      </w:r>
      <w:r>
        <w:rPr>
          <w:rFonts w:hint="eastAsia" w:ascii="仿宋" w:hAnsi="仿宋" w:eastAsia="仿宋" w:cs="仿宋"/>
          <w:color w:val="auto"/>
          <w:sz w:val="24"/>
          <w:highlight w:val="none"/>
        </w:rPr>
        <w:t>文件。</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4-2、国内相应的标准、规范。</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7" w:name="_Toc19515392"/>
      <w:r>
        <w:rPr>
          <w:rFonts w:hint="eastAsia" w:ascii="仿宋" w:hAnsi="仿宋" w:eastAsia="仿宋" w:cs="仿宋"/>
          <w:color w:val="auto"/>
          <w:sz w:val="24"/>
          <w:highlight w:val="none"/>
        </w:rPr>
        <w:t>七、违约责任</w:t>
      </w:r>
      <w:bookmarkEnd w:id="277"/>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1、按《中华人民共和国民法典》中的相关条款执行。</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履约延误</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2-1、如</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事先未征得</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同意并得到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的谅解而单方面延迟执行合同，将按违约终止合同。</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2-2、在履行合同过程中，如果</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遇到可能妨碍按时提供服务的情况，应及时以书面形式将拖延的事实，可能拖延的期限和理由通知</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在收到</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通知后，应尽快对情况进行评价，并确定是否通过修改合同，酌情延长交货时间或对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加收误期赔偿金。每延误一周的赔偿费按合同金额的百分之零点五（0.5%）计收，直至提供服务为止。误期赔偿费的最高限额为合同价格的百分之五（5%）。一旦达到误期赔偿费的最高限额，</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可终止合同。</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3、违约终止合同：未按合同要求提供服务或不能满足技术要求，</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会同监督机构有权终止合同，对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违约行为进行追究，同时按政府采购法的有关规定进行相应的处罚。</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8" w:name="_Toc19515393"/>
      <w:r>
        <w:rPr>
          <w:rFonts w:hint="eastAsia" w:ascii="仿宋" w:hAnsi="仿宋" w:eastAsia="仿宋" w:cs="仿宋"/>
          <w:color w:val="auto"/>
          <w:sz w:val="24"/>
          <w:highlight w:val="none"/>
        </w:rPr>
        <w:t>八、合同组成</w:t>
      </w:r>
      <w:bookmarkEnd w:id="278"/>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中标</w:t>
      </w:r>
      <w:r>
        <w:rPr>
          <w:rFonts w:hint="eastAsia" w:ascii="仿宋" w:hAnsi="仿宋" w:eastAsia="仿宋" w:cs="仿宋"/>
          <w:color w:val="auto"/>
          <w:sz w:val="24"/>
          <w:highlight w:val="none"/>
        </w:rPr>
        <w:t>通知书</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2、合同文件</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3、国家相关规范及标准</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招标</w:t>
      </w:r>
      <w:r>
        <w:rPr>
          <w:rFonts w:hint="eastAsia" w:ascii="仿宋" w:hAnsi="仿宋" w:eastAsia="仿宋" w:cs="仿宋"/>
          <w:color w:val="auto"/>
          <w:sz w:val="24"/>
          <w:highlight w:val="none"/>
        </w:rPr>
        <w:t>文件</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中标</w:t>
      </w:r>
      <w:r>
        <w:rPr>
          <w:rFonts w:hint="eastAsia" w:ascii="仿宋" w:hAnsi="仿宋" w:eastAsia="仿宋" w:cs="仿宋"/>
          <w:color w:val="auto"/>
          <w:sz w:val="24"/>
          <w:highlight w:val="none"/>
        </w:rPr>
        <w:t>供应商的</w:t>
      </w:r>
      <w:r>
        <w:rPr>
          <w:rFonts w:hint="eastAsia" w:ascii="仿宋" w:hAnsi="仿宋" w:eastAsia="仿宋" w:cs="仿宋"/>
          <w:color w:val="auto"/>
          <w:sz w:val="24"/>
          <w:highlight w:val="none"/>
          <w:lang w:val="en-US" w:eastAsia="zh-CN"/>
        </w:rPr>
        <w:t>投标</w:t>
      </w:r>
      <w:r>
        <w:rPr>
          <w:rFonts w:hint="eastAsia" w:ascii="仿宋" w:hAnsi="仿宋" w:eastAsia="仿宋" w:cs="仿宋"/>
          <w:color w:val="auto"/>
          <w:sz w:val="24"/>
          <w:highlight w:val="none"/>
        </w:rPr>
        <w:t>文件</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79" w:name="_Toc19515394"/>
      <w:r>
        <w:rPr>
          <w:rFonts w:hint="eastAsia" w:ascii="仿宋" w:hAnsi="仿宋" w:eastAsia="仿宋" w:cs="仿宋"/>
          <w:color w:val="auto"/>
          <w:sz w:val="24"/>
          <w:highlight w:val="none"/>
        </w:rPr>
        <w:t>九、解决争议的方法</w:t>
      </w:r>
      <w:bookmarkEnd w:id="279"/>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凡因本合同引起的或与本合同有关的争议，双方应友好协商解决。协商不成时，双方均同意采用以下第（ </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 xml:space="preserve"> ）种争议解决方式：</w:t>
      </w:r>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1、甲、乙双方均同意向（</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所在地人民法院）提起诉讼。</w:t>
      </w:r>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2、甲、乙双方均同意向（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"http://www.baidu.com/s?wd=%E4%BB%B2%E8%A3%81%E5%A7%94%E5%91%98%E4%BC%9A&amp;tn=SE_PcZhidaonwhc_ngpagmjz&amp;rsv_dl=gh_pc_zhidao" \t "_blank"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仲裁委员会</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）提起仲裁。</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280" w:name="_Toc19515395"/>
      <w:r>
        <w:rPr>
          <w:rFonts w:hint="eastAsia" w:ascii="仿宋" w:hAnsi="仿宋" w:eastAsia="仿宋" w:cs="仿宋"/>
          <w:color w:val="auto"/>
          <w:sz w:val="24"/>
          <w:highlight w:val="none"/>
        </w:rPr>
        <w:t>十、合同生效及其它</w:t>
      </w:r>
      <w:bookmarkEnd w:id="280"/>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 本合同正本一式</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双方分别执</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备案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3、合同经甲乙双方盖章、签字后生效，合同签订地点为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4、生效时间：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widowControl/>
        <w:tabs>
          <w:tab w:val="left" w:pos="8391"/>
        </w:tabs>
        <w:autoSpaceDE w:val="0"/>
        <w:autoSpaceDN w:val="0"/>
        <w:snapToGrid w:val="0"/>
        <w:spacing w:line="360" w:lineRule="auto"/>
        <w:ind w:right="-69" w:firstLine="840" w:firstLineChars="350"/>
        <w:textAlignment w:val="bottom"/>
        <w:rPr>
          <w:rFonts w:hint="eastAsia" w:ascii="仿宋" w:hAnsi="仿宋" w:eastAsia="仿宋" w:cs="仿宋"/>
          <w:color w:val="auto"/>
          <w:kern w:val="0"/>
          <w:sz w:val="24"/>
          <w:highlight w:val="none"/>
        </w:rPr>
      </w:pPr>
    </w:p>
    <w:tbl>
      <w:tblPr>
        <w:tblStyle w:val="36"/>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名称</w:t>
            </w:r>
            <w:r>
              <w:rPr>
                <w:rFonts w:hint="eastAsia" w:ascii="仿宋" w:hAnsi="仿宋" w:eastAsia="仿宋" w:cs="仿宋"/>
                <w:color w:val="auto"/>
                <w:spacing w:val="-20"/>
                <w:kern w:val="0"/>
                <w:sz w:val="24"/>
                <w:highlight w:val="none"/>
              </w:rPr>
              <w:t>（盖章）</w:t>
            </w:r>
            <w:r>
              <w:rPr>
                <w:rFonts w:hint="eastAsia" w:ascii="仿宋" w:hAnsi="仿宋" w:eastAsia="仿宋" w:cs="仿宋"/>
                <w:color w:val="auto"/>
                <w:kern w:val="0"/>
                <w:sz w:val="24"/>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名称</w:t>
            </w:r>
            <w:r>
              <w:rPr>
                <w:rFonts w:hint="eastAsia" w:ascii="仿宋" w:hAnsi="仿宋" w:eastAsia="仿宋" w:cs="仿宋"/>
                <w:color w:val="auto"/>
                <w:spacing w:val="-20"/>
                <w:kern w:val="0"/>
                <w:sz w:val="24"/>
                <w:highlight w:val="none"/>
              </w:rPr>
              <w:t>（盖章）</w:t>
            </w:r>
            <w:r>
              <w:rPr>
                <w:rFonts w:hint="eastAsia" w:ascii="仿宋" w:hAnsi="仿宋" w:eastAsia="仿宋" w:cs="仿宋"/>
                <w:color w:val="auto"/>
                <w:kern w:val="0"/>
                <w:sz w:val="24"/>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账号：</w:t>
            </w:r>
          </w:p>
        </w:tc>
      </w:tr>
    </w:tbl>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rPr>
      </w:pPr>
    </w:p>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见证方（盖章）：</w:t>
      </w:r>
    </w:p>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见证方代表（签字）</w:t>
      </w:r>
      <w:r>
        <w:rPr>
          <w:rFonts w:hint="eastAsia" w:ascii="仿宋" w:hAnsi="仿宋" w:eastAsia="仿宋" w:cs="仿宋"/>
          <w:color w:val="auto"/>
          <w:kern w:val="0"/>
          <w:sz w:val="24"/>
          <w:highlight w:val="none"/>
          <w:lang w:eastAsia="zh-CN"/>
        </w:rPr>
        <w:t>：</w:t>
      </w:r>
    </w:p>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w:t>
      </w:r>
    </w:p>
    <w:p>
      <w:pPr>
        <w:autoSpaceDE w:val="0"/>
        <w:autoSpaceDN w:val="0"/>
        <w:adjustRightInd w:val="0"/>
        <w:jc w:val="left"/>
        <w:rPr>
          <w:rFonts w:hint="eastAsia" w:ascii="仿宋" w:hAnsi="仿宋" w:eastAsia="仿宋" w:cs="仿宋"/>
          <w:b/>
          <w:bCs/>
          <w:color w:val="auto"/>
          <w:sz w:val="32"/>
          <w:szCs w:val="32"/>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合同附件</w:t>
      </w:r>
    </w:p>
    <w:tbl>
      <w:tblPr>
        <w:tblStyle w:val="36"/>
        <w:tblW w:w="5000" w:type="pct"/>
        <w:tblInd w:w="0" w:type="dxa"/>
        <w:tblLayout w:type="autofit"/>
        <w:tblCellMar>
          <w:top w:w="0" w:type="dxa"/>
          <w:left w:w="108" w:type="dxa"/>
          <w:bottom w:w="0" w:type="dxa"/>
          <w:right w:w="108" w:type="dxa"/>
        </w:tblCellMar>
      </w:tblPr>
      <w:tblGrid>
        <w:gridCol w:w="1519"/>
        <w:gridCol w:w="2223"/>
        <w:gridCol w:w="2440"/>
        <w:gridCol w:w="2057"/>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政府采购项目货物验收入库报告单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4"/>
                <w:highlight w:val="none"/>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4"/>
                <w:highlight w:val="none"/>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使用单位验收意见：（盖章）</w:t>
            </w:r>
          </w:p>
          <w:p>
            <w:pP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color w:val="auto"/>
                <w:kern w:val="0"/>
                <w:sz w:val="24"/>
                <w:highlight w:val="none"/>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采购内容请列明品目、规格、型号、数量、单价、总价</w:t>
            </w:r>
          </w:p>
        </w:tc>
      </w:tr>
    </w:tbl>
    <w:p>
      <w:pPr>
        <w:pStyle w:val="2"/>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3"/>
        <w:spacing w:before="0" w:after="0" w:line="360" w:lineRule="auto"/>
        <w:rPr>
          <w:rFonts w:hint="eastAsia" w:ascii="仿宋" w:hAnsi="仿宋" w:eastAsia="仿宋" w:cs="仿宋"/>
          <w:color w:val="auto"/>
          <w:highlight w:val="none"/>
        </w:rPr>
      </w:pPr>
      <w:bookmarkStart w:id="281" w:name="_Toc24958"/>
      <w:r>
        <w:rPr>
          <w:rFonts w:hint="eastAsia" w:ascii="仿宋" w:hAnsi="仿宋" w:eastAsia="仿宋" w:cs="仿宋"/>
          <w:color w:val="auto"/>
          <w:highlight w:val="none"/>
        </w:rPr>
        <w:t xml:space="preserve">第五章  </w:t>
      </w:r>
      <w:bookmarkStart w:id="282" w:name="_Hlk138580105"/>
      <w:r>
        <w:rPr>
          <w:rFonts w:hint="eastAsia" w:ascii="仿宋" w:hAnsi="仿宋" w:eastAsia="仿宋" w:cs="仿宋"/>
          <w:color w:val="auto"/>
          <w:highlight w:val="none"/>
        </w:rPr>
        <w:t>采购需求</w:t>
      </w:r>
      <w:bookmarkEnd w:id="282"/>
      <w:r>
        <w:rPr>
          <w:rFonts w:hint="eastAsia" w:ascii="仿宋" w:hAnsi="仿宋" w:eastAsia="仿宋" w:cs="仿宋"/>
          <w:color w:val="auto"/>
          <w:highlight w:val="none"/>
        </w:rPr>
        <w:t>及要求</w:t>
      </w:r>
      <w:bookmarkEnd w:id="281"/>
    </w:p>
    <w:p>
      <w:pPr>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一、健身步道</w:t>
      </w:r>
    </w:p>
    <w:tbl>
      <w:tblPr>
        <w:tblStyle w:val="36"/>
        <w:tblpPr w:leftFromText="180" w:rightFromText="180" w:vertAnchor="text" w:horzAnchor="page" w:tblpX="1780" w:tblpY="116"/>
        <w:tblOverlap w:val="never"/>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29"/>
        <w:gridCol w:w="993"/>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0"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129"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器材名称</w:t>
            </w:r>
          </w:p>
        </w:tc>
        <w:tc>
          <w:tcPr>
            <w:tcW w:w="993"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6031"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680"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1</w:t>
            </w:r>
          </w:p>
        </w:tc>
        <w:tc>
          <w:tcPr>
            <w:tcW w:w="1129" w:type="dxa"/>
            <w:noWrap w:val="0"/>
            <w:vAlign w:val="center"/>
          </w:tcPr>
          <w:p>
            <w:pPr>
              <w:widowControl/>
              <w:jc w:val="center"/>
              <w:textAlignment w:val="center"/>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塑胶健身步道</w:t>
            </w:r>
          </w:p>
        </w:tc>
        <w:tc>
          <w:tcPr>
            <w:tcW w:w="993"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3700㎡</w:t>
            </w:r>
          </w:p>
        </w:tc>
        <w:tc>
          <w:tcPr>
            <w:tcW w:w="6031" w:type="dxa"/>
            <w:noWrap w:val="0"/>
            <w:vAlign w:val="center"/>
          </w:tcPr>
          <w:p>
            <w:pPr>
              <w:spacing w:line="240" w:lineRule="exact"/>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厚度不小于10毫米，红色。</w:t>
            </w:r>
          </w:p>
          <w:p>
            <w:pPr>
              <w:spacing w:line="2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步道原材料有害物质限量须满足GB 36246-2018《中小学合成材料面层运动场地》标准要求：</w:t>
            </w:r>
          </w:p>
          <w:p>
            <w:pPr>
              <w:spacing w:line="2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步道材料通过I型HJ457-2009中国环境标志产品认证证书；步道材料面层不应对周边环境造成有害物质迁移影响，要求成品中可溶解有机碳DOC≦50mg/l，可萃取有机卤化物EOX≦100mg/kg，提供测试合格的测试报告；</w:t>
            </w:r>
          </w:p>
          <w:p>
            <w:pPr>
              <w:spacing w:line="2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步道材料耐紫外线色变，在经过模拟人工气候紫外线曝露1000h或以上后，色差在老化前后的评级达到4级或以上（5级为最高），出具的依据GB/T23987-2009测试报告；</w:t>
            </w:r>
          </w:p>
          <w:p>
            <w:pPr>
              <w:spacing w:line="240" w:lineRule="exact"/>
              <w:rPr>
                <w:rFonts w:hint="eastAsia" w:ascii="仿宋" w:hAnsi="仿宋" w:eastAsia="仿宋" w:cs="仿宋"/>
                <w:color w:val="auto"/>
                <w:kern w:val="24"/>
                <w:szCs w:val="21"/>
                <w:highlight w:val="none"/>
              </w:rPr>
            </w:pPr>
            <w:r>
              <w:rPr>
                <w:rFonts w:hint="eastAsia" w:ascii="仿宋" w:hAnsi="仿宋" w:eastAsia="仿宋" w:cs="仿宋"/>
                <w:color w:val="auto"/>
                <w:szCs w:val="21"/>
                <w:highlight w:val="none"/>
              </w:rPr>
              <w:t>步道面层成品中，要求邻苯二甲酸酯中BBP、DBP、DCHP、DEHP、DHEXP/DnHP、DIBP、DINP、DPENP/DnPP少于0.1%且要求成品中乙酰柠檬酸三丁酯（ATBC)含量不得高于15%，提供测试报告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80"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2</w:t>
            </w:r>
          </w:p>
        </w:tc>
        <w:tc>
          <w:tcPr>
            <w:tcW w:w="1129" w:type="dxa"/>
            <w:noWrap w:val="0"/>
            <w:vAlign w:val="center"/>
          </w:tcPr>
          <w:p>
            <w:pPr>
              <w:widowControl/>
              <w:jc w:val="center"/>
              <w:textAlignment w:val="center"/>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健身指导标识牌</w:t>
            </w:r>
          </w:p>
        </w:tc>
        <w:tc>
          <w:tcPr>
            <w:tcW w:w="993"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6个</w:t>
            </w:r>
          </w:p>
        </w:tc>
        <w:tc>
          <w:tcPr>
            <w:tcW w:w="6031" w:type="dxa"/>
            <w:noWrap w:val="0"/>
            <w:vAlign w:val="center"/>
          </w:tcPr>
          <w:p>
            <w:pPr>
              <w:spacing w:line="240" w:lineRule="exact"/>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健身指导牌外观尺寸不小于1800*1110*120mm；</w:t>
            </w:r>
          </w:p>
          <w:p>
            <w:pPr>
              <w:spacing w:line="240" w:lineRule="exact"/>
              <w:jc w:val="left"/>
              <w:rPr>
                <w:rFonts w:hint="eastAsia" w:ascii="仿宋" w:hAnsi="仿宋" w:eastAsia="仿宋" w:cs="仿宋"/>
                <w:color w:val="auto"/>
                <w:kern w:val="24"/>
                <w:szCs w:val="21"/>
                <w:highlight w:val="none"/>
              </w:rPr>
            </w:pPr>
            <w:r>
              <w:rPr>
                <w:rFonts w:hint="eastAsia" w:ascii="仿宋" w:hAnsi="仿宋" w:eastAsia="仿宋" w:cs="仿宋"/>
                <w:color w:val="auto"/>
                <w:szCs w:val="21"/>
                <w:highlight w:val="none"/>
              </w:rPr>
              <w:t>采用双层单体设计；主体采用镀锌板材质内部采用框架结构，保证整体的应力强度，双面上彩，正面呈现文字、图像内容；标有步道名称、长度、方向、线路、里程、宣传标语、健身口号、注意事项等基本信息；预埋安装要求基础地埋深度不小于50CM；指示牌文字须采用丝网印刷，双面对称上彩。</w:t>
            </w:r>
          </w:p>
        </w:tc>
      </w:tr>
    </w:tbl>
    <w:p>
      <w:pPr>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二、笼式场地</w:t>
      </w:r>
    </w:p>
    <w:tbl>
      <w:tblPr>
        <w:tblStyle w:val="36"/>
        <w:tblpPr w:leftFromText="180" w:rightFromText="180" w:vertAnchor="text" w:horzAnchor="page" w:tblpX="1780" w:tblpY="116"/>
        <w:tblOverlap w:val="never"/>
        <w:tblW w:w="8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29"/>
        <w:gridCol w:w="993"/>
        <w:gridCol w:w="6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0"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129"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器材名称</w:t>
            </w:r>
          </w:p>
        </w:tc>
        <w:tc>
          <w:tcPr>
            <w:tcW w:w="993"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6082"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1</w:t>
            </w:r>
          </w:p>
        </w:tc>
        <w:tc>
          <w:tcPr>
            <w:tcW w:w="1129"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围网</w:t>
            </w:r>
          </w:p>
        </w:tc>
        <w:tc>
          <w:tcPr>
            <w:tcW w:w="993"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670</w:t>
            </w:r>
            <w:r>
              <w:rPr>
                <w:rFonts w:hint="eastAsia" w:ascii="仿宋" w:hAnsi="仿宋" w:eastAsia="仿宋" w:cs="仿宋"/>
                <w:color w:val="auto"/>
                <w:kern w:val="24"/>
                <w:szCs w:val="21"/>
                <w:highlight w:val="none"/>
              </w:rPr>
              <w:t>㎡</w:t>
            </w:r>
          </w:p>
        </w:tc>
        <w:tc>
          <w:tcPr>
            <w:tcW w:w="6082" w:type="dxa"/>
            <w:noWrap w:val="0"/>
            <w:vAlign w:val="center"/>
          </w:tcPr>
          <w:p>
            <w:pPr>
              <w:spacing w:line="240" w:lineRule="exact"/>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围网颜色为绿色，高度不小于 4.5 米，</w:t>
            </w:r>
            <w:r>
              <w:rPr>
                <w:rFonts w:hint="eastAsia" w:ascii="仿宋" w:hAnsi="仿宋" w:eastAsia="仿宋" w:cs="仿宋"/>
                <w:color w:val="auto"/>
                <w:szCs w:val="21"/>
                <w:highlight w:val="none"/>
              </w:rPr>
              <w:t>立柱釆用规格不低于φ76mm*2.5mm优质管材，立柱间距不大于3m；横梁釆用规格不低于φ60mm*2.0mm优质管材；管材表面处理采用固态静电环保喷涂工艺。管材需使用优质热镀锌钢材，表面处理采用固态静电环保喷涂工艺。依据GB/T9276-1996涂层自然气候曝露试验方法试验（试验周期不低于18个月）后管材变色等级不高于1级，剥落等级不高于1级，开裂等级不高于1级，起泡等级不高于1级,生锈等级不高于1级，保护性漆膜综合老化性能等级不高于1级。须提供具有CMA和CNAS标识的检测报告或测试报告扫描件。PE包塑网丝，包塑后Φ3.8mm（±0.2mm），网孔50*50mm（±0.2mm）采用Φ2.5mm（±0.1mm）高强度钢丝。PE包塑围网钢丝抗拉强度≥1300MPa ，须提供具有CMA和CNAS标识的检测报告或测试报告扫描件。依据GB/T3681-2011标准大气环境暴露试验（测试周期不低于24个月）：灰卡等级不低于4级，须提供具有CMA和CNAS标识的检测报告或测试报告扫描件。PE包塑围网及管材依据 GB/T20853-2007试验（测试周期不低于12周）后，外观无明显变化、无腐蚀、无气泡评级不低于9级，须提供具有CMA和CNAS标识的检测报告或测试报告扫描件。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680"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2</w:t>
            </w:r>
          </w:p>
        </w:tc>
        <w:tc>
          <w:tcPr>
            <w:tcW w:w="1129"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人造草坪</w:t>
            </w:r>
          </w:p>
        </w:tc>
        <w:tc>
          <w:tcPr>
            <w:tcW w:w="993"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600</w:t>
            </w:r>
            <w:r>
              <w:rPr>
                <w:rFonts w:hint="eastAsia" w:ascii="仿宋" w:hAnsi="仿宋" w:eastAsia="仿宋" w:cs="仿宋"/>
                <w:color w:val="auto"/>
                <w:kern w:val="24"/>
                <w:szCs w:val="21"/>
                <w:highlight w:val="none"/>
              </w:rPr>
              <w:t>㎡</w:t>
            </w:r>
          </w:p>
        </w:tc>
        <w:tc>
          <w:tcPr>
            <w:tcW w:w="6082" w:type="dxa"/>
            <w:noWrap w:val="0"/>
            <w:vAlign w:val="center"/>
          </w:tcPr>
          <w:p>
            <w:pPr>
              <w:spacing w:line="240" w:lineRule="exac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球场地面铺设田园绿和橄榄绿双色人造草皮，草高 50mm±5%mm,密度 不小于 10500 针/平方米。透水性、抗紫外线性能、色牢度、阻燃性等需满足 GB/T20394-2013 标准。人造草坪面层内需填充石英砂（20-40 目，每平方不少于 40KG）、 环保橡胶颗粒（粒径 3mm-4mm，每平方不少于 8KG）</w:t>
            </w:r>
          </w:p>
          <w:p>
            <w:pPr>
              <w:spacing w:line="240" w:lineRule="exact"/>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场地划线：采用白色人造草勾勒而成，不得用油漆等涂料喷画。采用白色人造草勾勒而 成，不得用油漆等涂料喷画。界线一律为 8 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80" w:type="dxa"/>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3</w:t>
            </w:r>
          </w:p>
        </w:tc>
        <w:tc>
          <w:tcPr>
            <w:tcW w:w="1129"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灯光</w:t>
            </w:r>
          </w:p>
        </w:tc>
        <w:tc>
          <w:tcPr>
            <w:tcW w:w="993"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10组</w:t>
            </w:r>
          </w:p>
        </w:tc>
        <w:tc>
          <w:tcPr>
            <w:tcW w:w="6082" w:type="dxa"/>
            <w:noWrap w:val="0"/>
            <w:vAlign w:val="center"/>
          </w:tcPr>
          <w:p>
            <w:pPr>
              <w:spacing w:line="360" w:lineRule="auto"/>
              <w:jc w:val="left"/>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灯杆高度不低于 6 米，场地照度不低于 150 勒克斯。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680" w:type="dxa"/>
            <w:tcBorders>
              <w:bottom w:val="single" w:color="auto" w:sz="4" w:space="0"/>
            </w:tcBorders>
            <w:noWrap w:val="0"/>
            <w:vAlign w:val="center"/>
          </w:tcPr>
          <w:p>
            <w:pPr>
              <w:widowControl/>
              <w:spacing w:line="360" w:lineRule="auto"/>
              <w:jc w:val="center"/>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4</w:t>
            </w:r>
          </w:p>
        </w:tc>
        <w:tc>
          <w:tcPr>
            <w:tcW w:w="1129" w:type="dxa"/>
            <w:tcBorders>
              <w:bottom w:val="single" w:color="auto" w:sz="4" w:space="0"/>
            </w:tcBorders>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足球门（含球网）</w:t>
            </w:r>
          </w:p>
        </w:tc>
        <w:tc>
          <w:tcPr>
            <w:tcW w:w="993" w:type="dxa"/>
            <w:tcBorders>
              <w:bottom w:val="single" w:color="auto" w:sz="4" w:space="0"/>
            </w:tcBorders>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2个</w:t>
            </w:r>
          </w:p>
        </w:tc>
        <w:tc>
          <w:tcPr>
            <w:tcW w:w="6082" w:type="dxa"/>
            <w:tcBorders>
              <w:bottom w:val="single" w:color="auto" w:sz="4" w:space="0"/>
            </w:tcBorders>
            <w:noWrap w:val="0"/>
            <w:vAlign w:val="center"/>
          </w:tcPr>
          <w:p>
            <w:pPr>
              <w:spacing w:line="240" w:lineRule="exact"/>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采用 5 人制足球比赛专用、可移动矩形足球门（3 号足球门），球门内口 规格按宽×高×底深表示为：3000mm×2000mm×1500mm；球门立杆和横梁采用直径不小于 76mm×3mm 或等强度管材，球门横梁能承受 2700N 的静负荷；球门组装完成后，立杆 与地面、横梁夹角均为 90 度，连接件周边处理圆滑，无棱角，表面静电喷涂；配置球网1套.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0" w:type="dxa"/>
            <w:tcBorders>
              <w:bottom w:val="single" w:color="auto" w:sz="4" w:space="0"/>
            </w:tcBorders>
            <w:noWrap w:val="0"/>
            <w:vAlign w:val="center"/>
          </w:tcPr>
          <w:p>
            <w:pPr>
              <w:spacing w:line="240" w:lineRule="exact"/>
              <w:jc w:val="center"/>
              <w:textAlignment w:val="center"/>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5</w:t>
            </w:r>
          </w:p>
        </w:tc>
        <w:tc>
          <w:tcPr>
            <w:tcW w:w="1129" w:type="dxa"/>
            <w:tcBorders>
              <w:bottom w:val="single" w:color="auto" w:sz="4" w:space="0"/>
            </w:tcBorders>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笼式场地标识牌</w:t>
            </w:r>
          </w:p>
        </w:tc>
        <w:tc>
          <w:tcPr>
            <w:tcW w:w="993" w:type="dxa"/>
            <w:tcBorders>
              <w:bottom w:val="single" w:color="auto" w:sz="4" w:space="0"/>
            </w:tcBorders>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2个</w:t>
            </w:r>
          </w:p>
        </w:tc>
        <w:tc>
          <w:tcPr>
            <w:tcW w:w="6082" w:type="dxa"/>
            <w:tcBorders>
              <w:bottom w:val="single" w:color="auto" w:sz="4" w:space="0"/>
            </w:tcBorders>
            <w:noWrap w:val="0"/>
            <w:vAlign w:val="center"/>
          </w:tcPr>
          <w:p>
            <w:pPr>
              <w:widowControl/>
              <w:spacing w:line="360" w:lineRule="auto"/>
              <w:jc w:val="left"/>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不锈钢材质，尺寸为80cm×60cm。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0" w:hRule="atLeast"/>
        </w:trPr>
        <w:tc>
          <w:tcPr>
            <w:tcW w:w="680" w:type="dxa"/>
            <w:noWrap w:val="0"/>
            <w:vAlign w:val="center"/>
          </w:tcPr>
          <w:p>
            <w:pPr>
              <w:spacing w:line="240" w:lineRule="exact"/>
              <w:jc w:val="center"/>
              <w:textAlignment w:val="center"/>
              <w:rPr>
                <w:rFonts w:hint="eastAsia" w:ascii="仿宋" w:hAnsi="仿宋" w:eastAsia="仿宋" w:cs="仿宋"/>
                <w:color w:val="auto"/>
                <w:kern w:val="24"/>
                <w:szCs w:val="21"/>
                <w:highlight w:val="none"/>
              </w:rPr>
            </w:pPr>
            <w:r>
              <w:rPr>
                <w:rFonts w:hint="eastAsia" w:ascii="仿宋" w:hAnsi="仿宋" w:eastAsia="仿宋" w:cs="仿宋"/>
                <w:color w:val="auto"/>
                <w:kern w:val="0"/>
                <w:szCs w:val="21"/>
                <w:highlight w:val="none"/>
                <w:lang w:bidi="ar"/>
              </w:rPr>
              <w:t>6</w:t>
            </w:r>
          </w:p>
        </w:tc>
        <w:tc>
          <w:tcPr>
            <w:tcW w:w="1129"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悬浮地板</w:t>
            </w:r>
          </w:p>
        </w:tc>
        <w:tc>
          <w:tcPr>
            <w:tcW w:w="993"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361</w:t>
            </w:r>
            <w:r>
              <w:rPr>
                <w:rFonts w:hint="eastAsia" w:ascii="仿宋" w:hAnsi="仿宋" w:eastAsia="仿宋" w:cs="仿宋"/>
                <w:color w:val="auto"/>
                <w:kern w:val="24"/>
                <w:szCs w:val="21"/>
                <w:highlight w:val="none"/>
              </w:rPr>
              <w:t>㎡</w:t>
            </w:r>
          </w:p>
        </w:tc>
        <w:tc>
          <w:tcPr>
            <w:tcW w:w="6082" w:type="dxa"/>
            <w:noWrap w:val="0"/>
            <w:vAlign w:val="center"/>
          </w:tcPr>
          <w:p>
            <w:pPr>
              <w:spacing w:line="240" w:lineRule="exact"/>
              <w:jc w:val="left"/>
              <w:rPr>
                <w:rFonts w:hint="eastAsia" w:ascii="仿宋" w:hAnsi="仿宋" w:eastAsia="仿宋" w:cs="仿宋"/>
                <w:color w:val="auto"/>
                <w:kern w:val="24"/>
                <w:szCs w:val="21"/>
                <w:highlight w:val="none"/>
              </w:rPr>
            </w:pPr>
            <w:r>
              <w:rPr>
                <w:rFonts w:hint="eastAsia" w:ascii="仿宋" w:hAnsi="仿宋" w:eastAsia="仿宋" w:cs="仿宋"/>
                <w:color w:val="auto"/>
                <w:szCs w:val="21"/>
                <w:highlight w:val="none"/>
              </w:rPr>
              <w:t>产品尺寸≥34*34cm，厚度≥1.58cm；球类反弹率：≥90%；抗滑值（干测）：80-110；弯曲强度≥25MPa；灰分含量≤1%；色牢度≥8级；为保证产品环保性，依据GB/T18204.2-2014标准；苯24h释放量：≤0.001 mg/m³；甲苯24h释放量：≤0.001 mg/m³；为保证产品运动性能稳定性，提供依据GB/T16422.2-2014标准测试耐人工气候老化≥4000h，老化前后球反弹率均≥90%且摩擦系数≥0.45；为防止产品在潮湿环境滋生霉菌，需提供依据GB/T24128-2018标准防霉分析检测(黑曲霉、球毛壳霉等10种以上霉菌)，防霉等级达到0级；为保证产品环保性能，需提供甲醛、乙醛等不少于50种有害物质14天后释放量≤100</w:t>
            </w:r>
            <w:r>
              <w:rPr>
                <w:rFonts w:hint="eastAsia" w:ascii="仿宋" w:hAnsi="仿宋" w:eastAsia="仿宋" w:cs="仿宋"/>
                <w:color w:val="auto"/>
                <w:szCs w:val="21"/>
                <w:highlight w:val="none"/>
                <w:shd w:val="clear" w:color="auto" w:fill="FFFFFF"/>
              </w:rPr>
              <w:t>μg/m³；</w:t>
            </w:r>
            <w:r>
              <w:rPr>
                <w:rFonts w:hint="eastAsia" w:ascii="仿宋" w:hAnsi="仿宋" w:eastAsia="仿宋" w:cs="仿宋"/>
                <w:color w:val="auto"/>
                <w:szCs w:val="21"/>
                <w:highlight w:val="none"/>
              </w:rPr>
              <w:t>为保证产品颜色稳定性和防滑稳定性，需提供依据GB/T16422.3-2022紫外线老化≥3000h，外观无龟裂，无粉化，灰卡≥3级，摩擦系数平均值≥0.45；</w:t>
            </w:r>
            <w:r>
              <w:rPr>
                <w:rFonts w:hint="eastAsia" w:ascii="仿宋" w:hAnsi="仿宋" w:eastAsia="仿宋" w:cs="仿宋"/>
                <w:bCs/>
                <w:color w:val="auto"/>
                <w:szCs w:val="21"/>
                <w:highlight w:val="none"/>
              </w:rPr>
              <w:t>为保证产品在雨季发生变形，需提供</w:t>
            </w:r>
            <w:r>
              <w:rPr>
                <w:rFonts w:hint="eastAsia" w:ascii="仿宋" w:hAnsi="仿宋" w:eastAsia="仿宋" w:cs="仿宋"/>
                <w:color w:val="auto"/>
                <w:szCs w:val="21"/>
                <w:highlight w:val="none"/>
              </w:rPr>
              <w:t>雨水浸泡≥2000h，垂直变形≥0.5mm，吸水率≤0.5%；为保证产品在四季环境变化条件下理化性能稳定，需完成环境适应性试验,包括（高温、低温、湿热、盐雾）循环测试总时间≥2000h，灰卡4-5级，依据GB36246-2018标准：抗滑值80-110，甲醛≤0.4m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80" w:type="dxa"/>
            <w:noWrap w:val="0"/>
            <w:vAlign w:val="center"/>
          </w:tcPr>
          <w:p>
            <w:pPr>
              <w:spacing w:line="240" w:lineRule="exact"/>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7</w:t>
            </w:r>
          </w:p>
        </w:tc>
        <w:tc>
          <w:tcPr>
            <w:tcW w:w="1129"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移动篮球架</w:t>
            </w:r>
          </w:p>
        </w:tc>
        <w:tc>
          <w:tcPr>
            <w:tcW w:w="993" w:type="dxa"/>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1副</w:t>
            </w:r>
          </w:p>
        </w:tc>
        <w:tc>
          <w:tcPr>
            <w:tcW w:w="6082" w:type="dxa"/>
            <w:noWrap w:val="0"/>
            <w:vAlign w:val="center"/>
          </w:tcPr>
          <w:p>
            <w:pPr>
              <w:spacing w:line="240" w:lineRule="exact"/>
              <w:jc w:val="left"/>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器材符合GB19272-2011&lt;&lt;室外健身器材的安全通用要求&gt;&gt;及GB/T23176-2008《篮球架》标准；通过NSCC认证。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80" w:type="dxa"/>
            <w:tcBorders>
              <w:bottom w:val="single" w:color="auto" w:sz="4" w:space="0"/>
            </w:tcBorders>
            <w:noWrap w:val="0"/>
            <w:vAlign w:val="center"/>
          </w:tcPr>
          <w:p>
            <w:pPr>
              <w:spacing w:line="240" w:lineRule="exact"/>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8</w:t>
            </w:r>
          </w:p>
        </w:tc>
        <w:tc>
          <w:tcPr>
            <w:tcW w:w="1129" w:type="dxa"/>
            <w:tcBorders>
              <w:bottom w:val="single" w:color="auto" w:sz="4" w:space="0"/>
            </w:tcBorders>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休闲平凳</w:t>
            </w:r>
          </w:p>
        </w:tc>
        <w:tc>
          <w:tcPr>
            <w:tcW w:w="993" w:type="dxa"/>
            <w:tcBorders>
              <w:bottom w:val="single" w:color="auto" w:sz="4" w:space="0"/>
            </w:tcBorders>
            <w:noWrap w:val="0"/>
            <w:vAlign w:val="center"/>
          </w:tcPr>
          <w:p>
            <w:pPr>
              <w:widowControl/>
              <w:jc w:val="center"/>
              <w:textAlignment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10个</w:t>
            </w:r>
          </w:p>
        </w:tc>
        <w:tc>
          <w:tcPr>
            <w:tcW w:w="6082" w:type="dxa"/>
            <w:tcBorders>
              <w:bottom w:val="single" w:color="auto" w:sz="4" w:space="0"/>
            </w:tcBorders>
            <w:noWrap w:val="0"/>
            <w:vAlign w:val="center"/>
          </w:tcPr>
          <w:p>
            <w:pPr>
              <w:spacing w:line="240" w:lineRule="exact"/>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立柱规格为□40mm*80mm*2.75mm，其他管材壁厚为2.5mm；座板采用不小于22mm的塑木座板。</w:t>
            </w:r>
          </w:p>
          <w:p>
            <w:pPr>
              <w:spacing w:line="240" w:lineRule="exact"/>
              <w:textAlignment w:val="center"/>
              <w:rPr>
                <w:rFonts w:hint="eastAsia" w:ascii="仿宋" w:hAnsi="仿宋" w:eastAsia="仿宋" w:cs="仿宋"/>
                <w:color w:val="auto"/>
                <w:kern w:val="0"/>
                <w:szCs w:val="21"/>
                <w:highlight w:val="none"/>
                <w:lang w:bidi="ar"/>
              </w:rPr>
            </w:pPr>
          </w:p>
        </w:tc>
      </w:tr>
    </w:tbl>
    <w:p>
      <w:pPr>
        <w:rPr>
          <w:rFonts w:hint="eastAsia" w:ascii="仿宋" w:hAnsi="仿宋" w:eastAsia="仿宋" w:cs="仿宋"/>
          <w:b/>
          <w:color w:val="auto"/>
          <w:sz w:val="24"/>
          <w:highlight w:val="none"/>
        </w:rPr>
      </w:pPr>
    </w:p>
    <w:p>
      <w:pPr>
        <w:pStyle w:val="3"/>
        <w:numPr>
          <w:ilvl w:val="0"/>
          <w:numId w:val="0"/>
        </w:numPr>
        <w:ind w:left="425" w:hanging="425"/>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三、室外健身器材</w:t>
      </w:r>
    </w:p>
    <w:tbl>
      <w:tblPr>
        <w:tblStyle w:val="36"/>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076"/>
        <w:gridCol w:w="850"/>
        <w:gridCol w:w="884"/>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3076"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器材名称</w:t>
            </w:r>
          </w:p>
        </w:tc>
        <w:tc>
          <w:tcPr>
            <w:tcW w:w="850"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884"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材质</w:t>
            </w:r>
          </w:p>
        </w:tc>
        <w:tc>
          <w:tcPr>
            <w:tcW w:w="3133"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智能双位可调阻力划船训练器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restart"/>
            <w:noWrap w:val="0"/>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产品符合GB19272-2011《室外健身器材的安全通用要求》并持有NSCC认证证书。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智能双位扭腰训练器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智能四人两组式跷跷板</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智能双位推揉器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智能双位太空漫步机</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智能双位蹬力器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智能双位健身车</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智能双位背部训练器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智能双位可调阻力深蹲训练器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智能双位可调阻力推举训练器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智能双位腹部训练器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智能椭圆机</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智能双位钟摆训练器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14</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蹬腿训练器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腰腹屈伸训练器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16</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推举训练器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17</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高拉训练器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18</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划船训练器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19</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背肌训练器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20</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扭腰器</w:t>
            </w:r>
          </w:p>
        </w:tc>
        <w:tc>
          <w:tcPr>
            <w:tcW w:w="850"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21</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腰背伸展训练器</w:t>
            </w:r>
          </w:p>
        </w:tc>
        <w:tc>
          <w:tcPr>
            <w:tcW w:w="850" w:type="dxa"/>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22</w:t>
            </w:r>
          </w:p>
        </w:tc>
        <w:tc>
          <w:tcPr>
            <w:tcW w:w="307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腰背按摩器</w:t>
            </w:r>
          </w:p>
        </w:tc>
        <w:tc>
          <w:tcPr>
            <w:tcW w:w="850" w:type="dxa"/>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23</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多功能推揉器</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24</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磁控象棋桌</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3</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25</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告示牌</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2</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26</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手掌按摩器</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27</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单杠</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28</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双杠</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29</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肋木</w:t>
            </w:r>
          </w:p>
        </w:tc>
        <w:tc>
          <w:tcPr>
            <w:tcW w:w="850" w:type="dxa"/>
            <w:tcBorders>
              <w:bottom w:val="single" w:color="auto" w:sz="4" w:space="0"/>
            </w:tcBorders>
            <w:noWrap w:val="0"/>
            <w:vAlign w:val="center"/>
          </w:tcPr>
          <w:p>
            <w:pPr>
              <w:jc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1</w:t>
            </w:r>
            <w:r>
              <w:rPr>
                <w:rFonts w:hint="eastAsia" w:ascii="仿宋" w:hAnsi="仿宋" w:eastAsia="仿宋" w:cs="仿宋"/>
                <w:color w:val="auto"/>
                <w:szCs w:val="21"/>
                <w:highlight w:val="none"/>
              </w:rPr>
              <w:t>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塑木</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30</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智能室外太阳能驿站</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lang w:bidi="ar"/>
              </w:rPr>
              <w:t>产品符合GB19272-2011《室外健身器材的安全通用要求》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31</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智能磁阻健身车</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32</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智能磁阻上肢训练器</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33</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智能磁阻腿部训练器</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34</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智能磁阻深蹲训练器</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35</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智能磁阻上肢屈伸训练器</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36</w:t>
            </w:r>
          </w:p>
        </w:tc>
        <w:tc>
          <w:tcPr>
            <w:tcW w:w="3076"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智能磁阻高位推举训练器</w:t>
            </w:r>
          </w:p>
        </w:tc>
        <w:tc>
          <w:tcPr>
            <w:tcW w:w="850" w:type="dxa"/>
            <w:tcBorders>
              <w:bottom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1件</w:t>
            </w:r>
          </w:p>
        </w:tc>
        <w:tc>
          <w:tcPr>
            <w:tcW w:w="884" w:type="dxa"/>
            <w:tcBorders>
              <w:bottom w:val="single" w:color="auto" w:sz="4" w:space="0"/>
            </w:tcBorders>
            <w:noWrap w:val="0"/>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钢管</w:t>
            </w:r>
          </w:p>
        </w:tc>
        <w:tc>
          <w:tcPr>
            <w:tcW w:w="3133" w:type="dxa"/>
            <w:vMerge w:val="continue"/>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752" w:type="dxa"/>
            <w:gridSpan w:val="2"/>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    计</w:t>
            </w:r>
          </w:p>
        </w:tc>
        <w:tc>
          <w:tcPr>
            <w:tcW w:w="850" w:type="dxa"/>
            <w:shd w:val="pct10" w:color="auto" w:fill="auto"/>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47件</w:t>
            </w:r>
          </w:p>
        </w:tc>
        <w:tc>
          <w:tcPr>
            <w:tcW w:w="4017" w:type="dxa"/>
            <w:gridSpan w:val="2"/>
            <w:shd w:val="pct10" w:color="auto" w:fill="auto"/>
            <w:noWrap w:val="0"/>
            <w:vAlign w:val="center"/>
          </w:tcPr>
          <w:p>
            <w:pPr>
              <w:jc w:val="center"/>
              <w:rPr>
                <w:rFonts w:hint="eastAsia" w:ascii="仿宋" w:hAnsi="仿宋" w:eastAsia="仿宋" w:cs="仿宋"/>
                <w:color w:val="auto"/>
                <w:szCs w:val="21"/>
                <w:highlight w:val="none"/>
              </w:rPr>
            </w:pPr>
          </w:p>
        </w:tc>
      </w:tr>
    </w:tbl>
    <w:p>
      <w:pPr>
        <w:spacing w:line="600" w:lineRule="exact"/>
        <w:rPr>
          <w:rFonts w:hint="eastAsia" w:ascii="仿宋" w:hAnsi="仿宋" w:eastAsia="仿宋" w:cs="仿宋"/>
          <w:color w:val="auto"/>
          <w:sz w:val="32"/>
          <w:szCs w:val="32"/>
          <w:highlight w:val="none"/>
        </w:rPr>
      </w:pPr>
    </w:p>
    <w:p>
      <w:pPr>
        <w:widowControl/>
        <w:jc w:val="left"/>
        <w:rPr>
          <w:rFonts w:hint="eastAsia" w:ascii="仿宋" w:hAnsi="仿宋" w:eastAsia="仿宋" w:cs="仿宋"/>
          <w:b/>
          <w:bCs/>
          <w:color w:val="auto"/>
          <w:sz w:val="32"/>
          <w:szCs w:val="32"/>
          <w:highlight w:val="none"/>
        </w:rPr>
      </w:pPr>
    </w:p>
    <w:p>
      <w:pPr>
        <w:pStyle w:val="33"/>
        <w:spacing w:before="0" w:after="0" w:line="360" w:lineRule="auto"/>
        <w:rPr>
          <w:rFonts w:hint="eastAsia" w:ascii="仿宋" w:hAnsi="仿宋" w:eastAsia="仿宋" w:cs="仿宋"/>
          <w:color w:val="auto"/>
          <w:highlight w:val="none"/>
        </w:rPr>
      </w:pPr>
      <w:bookmarkStart w:id="283" w:name="_Toc26557"/>
      <w:r>
        <w:rPr>
          <w:rFonts w:hint="eastAsia" w:ascii="仿宋" w:hAnsi="仿宋" w:eastAsia="仿宋" w:cs="仿宋"/>
          <w:color w:val="auto"/>
          <w:highlight w:val="none"/>
        </w:rPr>
        <w:t>第六章  投标文件格式</w:t>
      </w:r>
      <w:bookmarkEnd w:id="250"/>
      <w:bookmarkEnd w:id="251"/>
      <w:bookmarkEnd w:id="252"/>
      <w:bookmarkEnd w:id="253"/>
      <w:bookmarkEnd w:id="254"/>
      <w:bookmarkEnd w:id="283"/>
    </w:p>
    <w:p>
      <w:pPr>
        <w:jc w:val="right"/>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正本/副本</w:t>
      </w:r>
    </w:p>
    <w:p>
      <w:pPr>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政府采购项目</w:t>
      </w:r>
    </w:p>
    <w:p>
      <w:pPr>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采购项目编号：SCZB2023-ZB-1616-001</w:t>
      </w:r>
    </w:p>
    <w:p>
      <w:pPr>
        <w:spacing w:line="240" w:lineRule="atLeast"/>
        <w:rPr>
          <w:rFonts w:hint="eastAsia" w:ascii="仿宋" w:hAnsi="仿宋" w:eastAsia="仿宋" w:cs="仿宋"/>
          <w:b/>
          <w:color w:val="auto"/>
          <w:sz w:val="52"/>
          <w:szCs w:val="52"/>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 xml:space="preserve">2023年西安市灞河右岸滨水景观带全民健身场地设施提升改造项目 </w:t>
      </w:r>
    </w:p>
    <w:p>
      <w:pPr>
        <w:pStyle w:val="14"/>
        <w:ind w:left="0" w:leftChars="0" w:right="1470"/>
        <w:rPr>
          <w:rFonts w:hint="eastAsia" w:ascii="仿宋" w:hAnsi="仿宋" w:eastAsia="仿宋" w:cs="仿宋"/>
          <w:color w:val="auto"/>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投标文件</w:t>
      </w:r>
    </w:p>
    <w:p>
      <w:pPr>
        <w:spacing w:line="240" w:lineRule="atLeast"/>
        <w:rPr>
          <w:rFonts w:hint="eastAsia" w:ascii="仿宋" w:hAnsi="仿宋" w:eastAsia="仿宋" w:cs="仿宋"/>
          <w:color w:val="auto"/>
          <w:sz w:val="32"/>
          <w:szCs w:val="40"/>
          <w:highlight w:val="none"/>
        </w:rPr>
      </w:pPr>
    </w:p>
    <w:p>
      <w:pPr>
        <w:pStyle w:val="14"/>
        <w:ind w:left="0" w:leftChars="0" w:right="1470"/>
        <w:rPr>
          <w:rFonts w:hint="eastAsia" w:ascii="仿宋" w:hAnsi="仿宋" w:eastAsia="仿宋" w:cs="仿宋"/>
          <w:color w:val="auto"/>
          <w:highlight w:val="none"/>
        </w:rPr>
      </w:pPr>
    </w:p>
    <w:p>
      <w:pPr>
        <w:pStyle w:val="14"/>
        <w:ind w:left="0" w:leftChars="0" w:right="1470"/>
        <w:rPr>
          <w:rFonts w:hint="eastAsia" w:ascii="仿宋" w:hAnsi="仿宋" w:eastAsia="仿宋" w:cs="仿宋"/>
          <w:color w:val="auto"/>
          <w:highlight w:val="none"/>
        </w:rPr>
      </w:pPr>
    </w:p>
    <w:p>
      <w:pPr>
        <w:pStyle w:val="14"/>
        <w:ind w:left="0" w:leftChars="0" w:right="1470"/>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autoSpaceDE w:val="0"/>
        <w:autoSpaceDN w:val="0"/>
        <w:adjustRightInd w:val="0"/>
        <w:snapToGrid w:val="0"/>
        <w:spacing w:line="360" w:lineRule="auto"/>
        <w:rPr>
          <w:rFonts w:hint="eastAsia" w:ascii="仿宋" w:hAnsi="仿宋" w:eastAsia="仿宋" w:cs="仿宋"/>
          <w:color w:val="auto"/>
          <w:sz w:val="30"/>
          <w:szCs w:val="30"/>
          <w:highlight w:val="none"/>
        </w:rPr>
      </w:pPr>
    </w:p>
    <w:p>
      <w:pPr>
        <w:autoSpaceDE w:val="0"/>
        <w:autoSpaceDN w:val="0"/>
        <w:adjustRightInd w:val="0"/>
        <w:snapToGrid w:val="0"/>
        <w:spacing w:line="360" w:lineRule="auto"/>
        <w:ind w:firstLine="2570" w:firstLineChars="800"/>
        <w:rPr>
          <w:rFonts w:hint="eastAsia" w:ascii="仿宋" w:hAnsi="仿宋" w:eastAsia="仿宋" w:cs="仿宋"/>
          <w:b/>
          <w:bCs/>
          <w:color w:val="auto"/>
          <w:sz w:val="32"/>
          <w:szCs w:val="32"/>
          <w:highlight w:val="none"/>
          <w:u w:val="single"/>
          <w:lang w:val="en-US" w:eastAsia="zh-CN"/>
        </w:rPr>
      </w:pPr>
      <w:r>
        <w:rPr>
          <w:rFonts w:hint="eastAsia" w:ascii="仿宋" w:hAnsi="仿宋" w:eastAsia="仿宋" w:cs="仿宋"/>
          <w:b/>
          <w:bCs/>
          <w:color w:val="auto"/>
          <w:sz w:val="32"/>
          <w:szCs w:val="32"/>
          <w:highlight w:val="none"/>
          <w:lang w:val="zh-CN"/>
        </w:rPr>
        <w:t>标段：</w:t>
      </w:r>
      <w:r>
        <w:rPr>
          <w:rFonts w:hint="eastAsia" w:ascii="仿宋" w:hAnsi="仿宋" w:eastAsia="仿宋" w:cs="仿宋"/>
          <w:b/>
          <w:bCs/>
          <w:color w:val="auto"/>
          <w:sz w:val="32"/>
          <w:szCs w:val="32"/>
          <w:highlight w:val="none"/>
          <w:lang w:val="en-US" w:eastAsia="zh-CN"/>
        </w:rPr>
        <w:t>/</w:t>
      </w:r>
    </w:p>
    <w:p>
      <w:pPr>
        <w:autoSpaceDE w:val="0"/>
        <w:autoSpaceDN w:val="0"/>
        <w:adjustRightInd w:val="0"/>
        <w:snapToGrid w:val="0"/>
        <w:spacing w:line="360" w:lineRule="auto"/>
        <w:ind w:firstLine="2570" w:firstLineChars="80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投标人：</w:t>
      </w:r>
    </w:p>
    <w:p>
      <w:pPr>
        <w:autoSpaceDE w:val="0"/>
        <w:autoSpaceDN w:val="0"/>
        <w:adjustRightInd w:val="0"/>
        <w:snapToGrid w:val="0"/>
        <w:spacing w:line="360" w:lineRule="auto"/>
        <w:ind w:firstLine="2570" w:firstLineChars="80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时间：</w:t>
      </w:r>
      <w:bookmarkStart w:id="284" w:name="_Toc18694"/>
      <w:bookmarkStart w:id="285" w:name="_Toc18974"/>
      <w:bookmarkStart w:id="286" w:name="_Toc60929126"/>
      <w:bookmarkStart w:id="287" w:name="_Toc532473494"/>
      <w:bookmarkStart w:id="288" w:name="_Toc515647803"/>
    </w:p>
    <w:p>
      <w:pPr>
        <w:widowControl/>
        <w:jc w:val="left"/>
        <w:rPr>
          <w:rFonts w:hint="eastAsia" w:ascii="仿宋" w:hAnsi="仿宋" w:eastAsia="仿宋" w:cs="仿宋"/>
          <w:color w:val="auto"/>
          <w:szCs w:val="20"/>
          <w:highlight w:val="none"/>
          <w:lang w:val="zh-CN"/>
        </w:rPr>
      </w:pPr>
      <w:r>
        <w:rPr>
          <w:rFonts w:hint="eastAsia" w:ascii="仿宋" w:hAnsi="仿宋" w:eastAsia="仿宋" w:cs="仿宋"/>
          <w:color w:val="auto"/>
          <w:highlight w:val="none"/>
          <w:lang w:val="zh-CN"/>
        </w:rPr>
        <w:br w:type="page"/>
      </w:r>
    </w:p>
    <w:p>
      <w:pPr>
        <w:spacing w:line="360" w:lineRule="auto"/>
        <w:jc w:val="center"/>
        <w:rPr>
          <w:rFonts w:hint="eastAsia" w:ascii="仿宋" w:hAnsi="仿宋" w:eastAsia="仿宋" w:cs="仿宋"/>
          <w:b/>
          <w:bCs/>
          <w:color w:val="auto"/>
          <w:sz w:val="40"/>
          <w:szCs w:val="48"/>
          <w:highlight w:val="none"/>
        </w:rPr>
      </w:pPr>
      <w:bookmarkStart w:id="289" w:name="_Toc108721143"/>
      <w:bookmarkStart w:id="290" w:name="_Toc110013789"/>
      <w:r>
        <w:rPr>
          <w:rFonts w:hint="eastAsia" w:ascii="仿宋" w:hAnsi="仿宋" w:eastAsia="仿宋" w:cs="仿宋"/>
          <w:b/>
          <w:bCs/>
          <w:color w:val="auto"/>
          <w:sz w:val="40"/>
          <w:szCs w:val="48"/>
          <w:highlight w:val="none"/>
        </w:rPr>
        <w:t>目  录</w:t>
      </w:r>
      <w:bookmarkEnd w:id="289"/>
      <w:bookmarkEnd w:id="290"/>
    </w:p>
    <w:p>
      <w:pPr>
        <w:pStyle w:val="2"/>
        <w:spacing w:before="0" w:line="360" w:lineRule="auto"/>
        <w:rPr>
          <w:rFonts w:hint="eastAsia" w:ascii="仿宋" w:hAnsi="仿宋" w:eastAsia="仿宋" w:cs="仿宋"/>
          <w:b/>
          <w:bCs/>
          <w:color w:val="auto"/>
          <w:highlight w:val="none"/>
        </w:rPr>
      </w:pPr>
      <w:r>
        <w:rPr>
          <w:rFonts w:hint="eastAsia" w:ascii="仿宋" w:hAnsi="仿宋" w:eastAsia="仿宋" w:cs="仿宋"/>
          <w:b/>
          <w:bCs/>
          <w:color w:val="auto"/>
          <w:highlight w:val="none"/>
        </w:rPr>
        <w:t>第一部分  资格证明文件</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1、法定代表人（或单位负责人）授权书</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2、法定代表人（或单位负责人）身份证明</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3、授权代表本单位证明</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4、符合《政府采购法》第二十二条的规定投标人条件，并提供以下证明材料</w:t>
      </w:r>
    </w:p>
    <w:p>
      <w:pPr>
        <w:pStyle w:val="2"/>
        <w:spacing w:before="0" w:line="360" w:lineRule="auto"/>
        <w:rPr>
          <w:rFonts w:hint="eastAsia" w:ascii="仿宋" w:hAnsi="仿宋" w:eastAsia="仿宋" w:cs="仿宋"/>
          <w:b/>
          <w:bCs/>
          <w:color w:val="auto"/>
          <w:highlight w:val="none"/>
        </w:rPr>
      </w:pPr>
      <w:r>
        <w:rPr>
          <w:rFonts w:hint="eastAsia" w:ascii="仿宋" w:hAnsi="仿宋" w:eastAsia="仿宋" w:cs="仿宋"/>
          <w:b/>
          <w:bCs/>
          <w:color w:val="auto"/>
          <w:highlight w:val="none"/>
        </w:rPr>
        <w:t>第二部分  商务及技术文件</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1、投标函（见投标文件格式一）</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2、开标一览表（见投标文件格式二）</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3、投标分项报价表（见投标文件格式三）</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4、技术偏离表（见投标文件格式四）</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5、商务条款偏离表（见投标文件格式五）</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6、符合《政府采购促进中小企业发展管理办法》、《关于政府采购支持监狱企业发展有关问题的通知》和《三部门联合发布关于促进残疾人就业政府采购政策的通知》价格扣减条件的投标人须提交：</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6-1《中小企业声明函》（见投标文件格式六）</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6-2《投标人监狱企业声明函》（见投标文件格式七）</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6-3《残疾人福利性单位声明函》（见投标文件格式八）</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7、符合评分标准要求的商务文件</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8、投标人须知第10条要求的所有技术文件</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9、投标方案或技术方案</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10、业绩一览表</w:t>
      </w: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11、投标人须知前附表要求的其他文件</w:t>
      </w:r>
    </w:p>
    <w:p>
      <w:pPr>
        <w:widowControl/>
        <w:jc w:val="left"/>
        <w:rPr>
          <w:rStyle w:val="55"/>
          <w:rFonts w:hint="eastAsia" w:ascii="仿宋" w:hAnsi="仿宋" w:eastAsia="仿宋" w:cs="仿宋"/>
          <w:color w:val="auto"/>
          <w:sz w:val="32"/>
          <w:szCs w:val="32"/>
          <w:highlight w:val="none"/>
        </w:rPr>
      </w:pPr>
      <w:r>
        <w:rPr>
          <w:rStyle w:val="55"/>
          <w:rFonts w:hint="eastAsia" w:ascii="仿宋" w:hAnsi="仿宋" w:eastAsia="仿宋" w:cs="仿宋"/>
          <w:color w:val="auto"/>
          <w:sz w:val="32"/>
          <w:szCs w:val="32"/>
          <w:highlight w:val="none"/>
        </w:rPr>
        <w:br w:type="page"/>
      </w:r>
    </w:p>
    <w:bookmarkEnd w:id="284"/>
    <w:bookmarkEnd w:id="285"/>
    <w:bookmarkEnd w:id="286"/>
    <w:bookmarkEnd w:id="287"/>
    <w:bookmarkEnd w:id="288"/>
    <w:p>
      <w:pPr>
        <w:pStyle w:val="5"/>
        <w:spacing w:before="0" w:line="360" w:lineRule="auto"/>
        <w:rPr>
          <w:rFonts w:hint="eastAsia" w:ascii="仿宋" w:hAnsi="仿宋" w:eastAsia="仿宋" w:cs="仿宋"/>
          <w:b/>
          <w:bCs/>
          <w:color w:val="auto"/>
          <w:highlight w:val="none"/>
          <w:lang w:val="zh-CN"/>
        </w:rPr>
      </w:pPr>
      <w:bookmarkStart w:id="291" w:name="_Toc138175452"/>
      <w:bookmarkStart w:id="292" w:name="_Toc14208"/>
      <w:r>
        <w:rPr>
          <w:rFonts w:hint="eastAsia" w:ascii="仿宋" w:hAnsi="仿宋" w:eastAsia="仿宋" w:cs="仿宋"/>
          <w:b/>
          <w:bCs/>
          <w:color w:val="auto"/>
          <w:highlight w:val="none"/>
          <w:lang w:val="zh-CN"/>
        </w:rPr>
        <w:t>第一部分  资格证明文件</w:t>
      </w:r>
      <w:bookmarkEnd w:id="291"/>
      <w:bookmarkEnd w:id="292"/>
    </w:p>
    <w:p>
      <w:pPr>
        <w:spacing w:line="360" w:lineRule="auto"/>
        <w:jc w:val="center"/>
        <w:rPr>
          <w:rFonts w:hint="eastAsia" w:ascii="仿宋" w:hAnsi="仿宋" w:eastAsia="仿宋" w:cs="仿宋"/>
          <w:b/>
          <w:color w:val="auto"/>
          <w:sz w:val="28"/>
          <w:szCs w:val="28"/>
          <w:highlight w:val="none"/>
        </w:rPr>
      </w:pPr>
      <w:bookmarkStart w:id="293" w:name="_Toc60929127"/>
      <w:r>
        <w:rPr>
          <w:rFonts w:hint="eastAsia" w:ascii="仿宋" w:hAnsi="仿宋" w:eastAsia="仿宋" w:cs="仿宋"/>
          <w:b/>
          <w:color w:val="auto"/>
          <w:sz w:val="28"/>
          <w:szCs w:val="28"/>
          <w:highlight w:val="none"/>
        </w:rPr>
        <w:t>1、法定代表人（或单位负责人）授权书</w:t>
      </w:r>
      <w:bookmarkEnd w:id="293"/>
    </w:p>
    <w:p>
      <w:pPr>
        <w:pStyle w:val="18"/>
        <w:tabs>
          <w:tab w:val="left" w:pos="55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本授权书声明：注册于</w:t>
      </w:r>
      <w:r>
        <w:rPr>
          <w:rFonts w:hint="eastAsia" w:ascii="仿宋" w:hAnsi="仿宋" w:eastAsia="仿宋" w:cs="仿宋"/>
          <w:color w:val="auto"/>
          <w:sz w:val="24"/>
          <w:highlight w:val="none"/>
          <w:u w:val="single"/>
        </w:rPr>
        <w:t>（国家或地区的名称）</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投标人</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法人代表姓名、职务</w:t>
      </w:r>
      <w:r>
        <w:rPr>
          <w:rFonts w:hint="eastAsia" w:ascii="仿宋" w:hAnsi="仿宋" w:eastAsia="仿宋" w:cs="仿宋"/>
          <w:color w:val="auto"/>
          <w:sz w:val="24"/>
          <w:highlight w:val="none"/>
        </w:rPr>
        <w:t>）为我单位法定代表人，代表我单位授权（</w:t>
      </w:r>
      <w:r>
        <w:rPr>
          <w:rFonts w:hint="eastAsia" w:ascii="仿宋" w:hAnsi="仿宋" w:eastAsia="仿宋" w:cs="仿宋"/>
          <w:color w:val="auto"/>
          <w:sz w:val="24"/>
          <w:highlight w:val="none"/>
          <w:u w:val="single"/>
        </w:rPr>
        <w:t>被授权人的姓名</w:t>
      </w:r>
      <w:r>
        <w:rPr>
          <w:rFonts w:hint="eastAsia" w:ascii="仿宋" w:hAnsi="仿宋" w:eastAsia="仿宋" w:cs="仿宋"/>
          <w:color w:val="auto"/>
          <w:sz w:val="24"/>
          <w:highlight w:val="none"/>
        </w:rPr>
        <w:t>）为我单位的合法代理人，就（</w:t>
      </w:r>
      <w:r>
        <w:rPr>
          <w:rFonts w:hint="eastAsia" w:ascii="仿宋" w:hAnsi="仿宋" w:eastAsia="仿宋" w:cs="仿宋"/>
          <w:color w:val="auto"/>
          <w:sz w:val="24"/>
          <w:highlight w:val="none"/>
          <w:u w:val="single"/>
          <w:lang w:eastAsia="zh-CN"/>
        </w:rPr>
        <w:t xml:space="preserve">2023年西安市灞河右岸滨水景观带全民健身场地设施提升改造项目 </w:t>
      </w:r>
      <w:r>
        <w:rPr>
          <w:rFonts w:hint="eastAsia" w:ascii="仿宋" w:hAnsi="仿宋" w:eastAsia="仿宋" w:cs="仿宋"/>
          <w:color w:val="auto"/>
          <w:sz w:val="24"/>
          <w:highlight w:val="none"/>
          <w:u w:val="single"/>
        </w:rPr>
        <w:t>，项目编号：</w:t>
      </w:r>
      <w:r>
        <w:rPr>
          <w:rFonts w:hint="eastAsia" w:ascii="仿宋" w:hAnsi="仿宋" w:eastAsia="仿宋" w:cs="仿宋"/>
          <w:color w:val="auto"/>
          <w:sz w:val="24"/>
          <w:highlight w:val="none"/>
          <w:u w:val="single"/>
          <w:lang w:eastAsia="zh-CN"/>
        </w:rPr>
        <w:t>SCZB2023-ZB-1616-001</w:t>
      </w:r>
      <w:r>
        <w:rPr>
          <w:rFonts w:hint="eastAsia" w:ascii="仿宋" w:hAnsi="仿宋" w:eastAsia="仿宋" w:cs="仿宋"/>
          <w:color w:val="auto"/>
          <w:sz w:val="24"/>
          <w:highlight w:val="none"/>
        </w:rPr>
        <w:t>）投标，以我单位名义处理一切与之有关的事务。</w:t>
      </w:r>
    </w:p>
    <w:p>
      <w:pPr>
        <w:pStyle w:val="18"/>
        <w:tabs>
          <w:tab w:val="left" w:pos="55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本授权书于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日签字生效，特此声明。（提示：此日期应不晚于投标函签署日期）</w:t>
      </w:r>
      <w:r>
        <w:rPr>
          <w:rFonts w:hint="eastAsia" w:ascii="仿宋" w:hAnsi="仿宋" w:eastAsia="仿宋" w:cs="仿宋"/>
          <w:color w:val="auto"/>
          <w:sz w:val="24"/>
          <w:highlight w:val="none"/>
        </w:rPr>
        <w:cr/>
      </w:r>
    </w:p>
    <w:p>
      <w:pPr>
        <w:pStyle w:val="18"/>
        <w:tabs>
          <w:tab w:val="left" w:pos="558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附：授权代表姓名：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性别：</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年龄：</w:t>
      </w:r>
      <w:r>
        <w:rPr>
          <w:rFonts w:hint="eastAsia" w:ascii="仿宋" w:hAnsi="仿宋" w:eastAsia="仿宋" w:cs="仿宋"/>
          <w:color w:val="auto"/>
          <w:sz w:val="24"/>
          <w:highlight w:val="none"/>
          <w:u w:val="single"/>
        </w:rPr>
        <w:t xml:space="preserve">        </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职</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身份证号码：</w:t>
      </w:r>
      <w:r>
        <w:rPr>
          <w:rFonts w:hint="eastAsia" w:ascii="仿宋" w:hAnsi="仿宋" w:eastAsia="仿宋" w:cs="仿宋"/>
          <w:color w:val="auto"/>
          <w:sz w:val="24"/>
          <w:highlight w:val="none"/>
          <w:u w:val="single"/>
        </w:rPr>
        <w:t xml:space="preserve">             </w:t>
      </w:r>
    </w:p>
    <w:p>
      <w:pPr>
        <w:autoSpaceDE w:val="0"/>
        <w:autoSpaceDN w:val="0"/>
        <w:adjustRightInd w:val="0"/>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通讯地址：</w:t>
      </w:r>
      <w:r>
        <w:rPr>
          <w:rFonts w:hint="eastAsia" w:ascii="仿宋" w:hAnsi="仿宋" w:eastAsia="仿宋" w:cs="仿宋"/>
          <w:color w:val="auto"/>
          <w:sz w:val="24"/>
          <w:highlight w:val="none"/>
          <w:u w:val="single"/>
        </w:rPr>
        <w:t xml:space="preserve">                                      </w:t>
      </w:r>
    </w:p>
    <w:p>
      <w:pPr>
        <w:autoSpaceDE w:val="0"/>
        <w:autoSpaceDN w:val="0"/>
        <w:adjustRightInd w:val="0"/>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邮政编码：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电</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autoSpaceDE w:val="0"/>
        <w:autoSpaceDN w:val="0"/>
        <w:adjustRightInd w:val="0"/>
        <w:spacing w:line="360" w:lineRule="auto"/>
        <w:rPr>
          <w:rFonts w:hint="eastAsia" w:ascii="仿宋" w:hAnsi="仿宋" w:eastAsia="仿宋" w:cs="仿宋"/>
          <w:color w:val="auto"/>
          <w:sz w:val="24"/>
          <w:highlight w:val="none"/>
        </w:rPr>
      </w:pP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及</w:t>
      </w:r>
      <w:r>
        <w:rPr>
          <w:rFonts w:hint="eastAsia" w:ascii="仿宋" w:hAnsi="仿宋" w:eastAsia="仿宋" w:cs="仿宋"/>
          <w:color w:val="auto"/>
          <w:sz w:val="24"/>
          <w:highlight w:val="none"/>
          <w:lang w:val="zh-CN"/>
        </w:rPr>
        <w:t>授权代表身份证复印件</w:t>
      </w:r>
    </w:p>
    <w:tbl>
      <w:tblPr>
        <w:tblStyle w:val="36"/>
        <w:tblW w:w="5000" w:type="pct"/>
        <w:tblInd w:w="0" w:type="dxa"/>
        <w:tblLayout w:type="autofit"/>
        <w:tblCellMar>
          <w:top w:w="0" w:type="dxa"/>
          <w:left w:w="108" w:type="dxa"/>
          <w:bottom w:w="0" w:type="dxa"/>
          <w:right w:w="108" w:type="dxa"/>
        </w:tblCellMar>
      </w:tblPr>
      <w:tblGrid>
        <w:gridCol w:w="4205"/>
        <w:gridCol w:w="4034"/>
      </w:tblGrid>
      <w:tr>
        <w:tblPrEx>
          <w:tblCellMar>
            <w:top w:w="0" w:type="dxa"/>
            <w:left w:w="108" w:type="dxa"/>
            <w:bottom w:w="0" w:type="dxa"/>
            <w:right w:w="108" w:type="dxa"/>
          </w:tblCellMar>
        </w:tblPrEx>
        <w:trPr>
          <w:trHeight w:val="2770" w:hRule="atLeast"/>
        </w:trPr>
        <w:tc>
          <w:tcPr>
            <w:tcW w:w="255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法定代表人身份证复印件</w:t>
            </w:r>
          </w:p>
          <w:p>
            <w:pPr>
              <w:autoSpaceDE w:val="0"/>
              <w:autoSpaceDN w:val="0"/>
              <w:adjustRightInd w:val="0"/>
              <w:spacing w:line="312"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（国徽、人像面）</w:t>
            </w:r>
          </w:p>
        </w:tc>
        <w:tc>
          <w:tcPr>
            <w:tcW w:w="244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授权代表身份证复印件</w:t>
            </w:r>
          </w:p>
          <w:p>
            <w:pPr>
              <w:autoSpaceDE w:val="0"/>
              <w:autoSpaceDN w:val="0"/>
              <w:adjustRightInd w:val="0"/>
              <w:spacing w:line="312"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（国徽、人像面）</w:t>
            </w:r>
          </w:p>
        </w:tc>
      </w:tr>
    </w:tbl>
    <w:p>
      <w:pPr>
        <w:adjustRightInd w:val="0"/>
        <w:snapToGrid w:val="0"/>
        <w:spacing w:line="360" w:lineRule="auto"/>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投标人（盖章） ：                </w:t>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法定代表人（或单位负责人）（签字或盖章）：</w:t>
      </w:r>
    </w:p>
    <w:p>
      <w:pPr>
        <w:pStyle w:val="18"/>
        <w:tabs>
          <w:tab w:val="left" w:pos="5580"/>
        </w:tabs>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注：自然人投标的或法定代表人投标的无需提供</w:t>
      </w:r>
    </w:p>
    <w:p>
      <w:pPr>
        <w:rPr>
          <w:rFonts w:hint="eastAsia" w:ascii="仿宋" w:hAnsi="仿宋" w:eastAsia="仿宋" w:cs="仿宋"/>
          <w:b/>
          <w:color w:val="auto"/>
          <w:sz w:val="28"/>
          <w:szCs w:val="28"/>
          <w:highlight w:val="none"/>
        </w:rPr>
      </w:pPr>
      <w:bookmarkStart w:id="294" w:name="_Toc60929128"/>
    </w:p>
    <w:p>
      <w:pPr>
        <w:numPr>
          <w:ilvl w:val="0"/>
          <w:numId w:val="2"/>
        </w:num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28"/>
          <w:szCs w:val="28"/>
          <w:highlight w:val="none"/>
        </w:rPr>
        <w:t>法定代表人（或单位负责人）身份证明</w:t>
      </w:r>
      <w:bookmarkEnd w:id="294"/>
    </w:p>
    <w:p>
      <w:pPr>
        <w:pStyle w:val="2"/>
        <w:numPr>
          <w:ilvl w:val="0"/>
          <w:numId w:val="0"/>
        </w:numPr>
        <w:rPr>
          <w:rFonts w:hint="eastAsia" w:ascii="仿宋" w:hAnsi="仿宋" w:eastAsia="仿宋" w:cs="仿宋"/>
          <w:color w:val="auto"/>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（采购代理机构名称）</w:t>
      </w:r>
      <w:r>
        <w:rPr>
          <w:rFonts w:hint="eastAsia" w:ascii="仿宋" w:hAnsi="仿宋" w:eastAsia="仿宋" w:cs="仿宋"/>
          <w:color w:val="auto"/>
          <w:sz w:val="24"/>
          <w:highlight w:val="none"/>
        </w:rPr>
        <w:t>：</w:t>
      </w:r>
    </w:p>
    <w:p>
      <w:pPr>
        <w:pStyle w:val="2"/>
        <w:rPr>
          <w:rFonts w:hint="eastAsia" w:ascii="仿宋" w:hAnsi="仿宋" w:eastAsia="仿宋" w:cs="仿宋"/>
          <w:color w:val="auto"/>
          <w:highlight w:val="none"/>
        </w:rPr>
      </w:pP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（姓名、性别、年龄、身份证号码）在我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"https://baike.baidu.com/item/%E5%8D%95%E4%BD%8D/32292"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单位</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（董事长、总经理等）职务，是我单位的法定代表人。</w:t>
      </w:r>
    </w:p>
    <w:p>
      <w:pPr>
        <w:spacing w:line="360" w:lineRule="auto"/>
        <w:ind w:firstLine="480"/>
        <w:rPr>
          <w:rFonts w:hint="eastAsia" w:ascii="仿宋" w:hAnsi="仿宋" w:eastAsia="仿宋" w:cs="仿宋"/>
          <w:color w:val="auto"/>
          <w:sz w:val="24"/>
          <w:highlight w:val="none"/>
        </w:rPr>
      </w:pPr>
    </w:p>
    <w:p>
      <w:pPr>
        <w:spacing w:line="360" w:lineRule="auto"/>
        <w:ind w:firstLine="480"/>
        <w:rPr>
          <w:rFonts w:hint="eastAsia" w:ascii="仿宋" w:hAnsi="仿宋" w:eastAsia="仿宋" w:cs="仿宋"/>
          <w:color w:val="auto"/>
          <w:sz w:val="24"/>
          <w:highlight w:val="none"/>
        </w:rPr>
      </w:pP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360" w:lineRule="auto"/>
        <w:ind w:firstLine="480"/>
        <w:rPr>
          <w:rFonts w:hint="eastAsia" w:ascii="仿宋" w:hAnsi="仿宋" w:eastAsia="仿宋" w:cs="仿宋"/>
          <w:color w:val="auto"/>
          <w:sz w:val="24"/>
          <w:highlight w:val="none"/>
        </w:rPr>
      </w:pPr>
    </w:p>
    <w:p>
      <w:pPr>
        <w:spacing w:line="360" w:lineRule="auto"/>
        <w:ind w:firstLine="480"/>
        <w:rPr>
          <w:rFonts w:hint="eastAsia" w:ascii="仿宋" w:hAnsi="仿宋" w:eastAsia="仿宋" w:cs="仿宋"/>
          <w:color w:val="auto"/>
          <w:sz w:val="24"/>
          <w:highlight w:val="none"/>
        </w:rPr>
      </w:pPr>
    </w:p>
    <w:p>
      <w:pPr>
        <w:spacing w:line="360" w:lineRule="auto"/>
        <w:ind w:firstLine="480"/>
        <w:rPr>
          <w:rFonts w:hint="eastAsia" w:ascii="仿宋" w:hAnsi="仿宋" w:eastAsia="仿宋" w:cs="仿宋"/>
          <w:color w:val="auto"/>
          <w:sz w:val="24"/>
          <w:highlight w:val="none"/>
        </w:rPr>
      </w:pPr>
    </w:p>
    <w:p>
      <w:pPr>
        <w:pStyle w:val="18"/>
        <w:tabs>
          <w:tab w:val="left" w:pos="55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投标人（盖章）：</w:t>
      </w:r>
    </w:p>
    <w:p>
      <w:pPr>
        <w:pStyle w:val="18"/>
        <w:tabs>
          <w:tab w:val="left" w:pos="55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详细通讯地址：</w:t>
      </w:r>
    </w:p>
    <w:p>
      <w:pPr>
        <w:pStyle w:val="18"/>
        <w:tabs>
          <w:tab w:val="left" w:pos="55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邮政编码：</w:t>
      </w:r>
    </w:p>
    <w:p>
      <w:pPr>
        <w:pStyle w:val="18"/>
        <w:tabs>
          <w:tab w:val="left" w:pos="55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w:t>
      </w:r>
    </w:p>
    <w:p>
      <w:pPr>
        <w:spacing w:line="360" w:lineRule="auto"/>
        <w:ind w:firstLine="480"/>
        <w:rPr>
          <w:rFonts w:hint="eastAsia" w:ascii="仿宋" w:hAnsi="仿宋" w:eastAsia="仿宋" w:cs="仿宋"/>
          <w:color w:val="auto"/>
          <w:sz w:val="24"/>
          <w:highlight w:val="none"/>
        </w:rPr>
      </w:pP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注：自然人投标的仅需提供身份证</w:t>
      </w:r>
    </w:p>
    <w:p>
      <w:pPr>
        <w:spacing w:line="360" w:lineRule="auto"/>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color w:val="auto"/>
          <w:sz w:val="24"/>
          <w:highlight w:val="none"/>
        </w:rPr>
        <w:br w:type="page"/>
      </w:r>
      <w:bookmarkStart w:id="295" w:name="_Toc60929129"/>
      <w:r>
        <w:rPr>
          <w:rFonts w:hint="eastAsia" w:ascii="仿宋" w:hAnsi="仿宋" w:eastAsia="仿宋" w:cs="仿宋"/>
          <w:b/>
          <w:color w:val="auto"/>
          <w:sz w:val="28"/>
          <w:szCs w:val="28"/>
          <w:highlight w:val="none"/>
        </w:rPr>
        <w:t>3、授权代表本单位证明</w:t>
      </w:r>
      <w:bookmarkEnd w:id="295"/>
    </w:p>
    <w:p>
      <w:pPr>
        <w:autoSpaceDE w:val="0"/>
        <w:autoSpaceDN w:val="0"/>
        <w:adjustRightInd w:val="0"/>
        <w:spacing w:line="360" w:lineRule="auto"/>
        <w:jc w:val="center"/>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养老保险缴纳证明或劳动合同复印件</w:t>
      </w:r>
      <w:r>
        <w:rPr>
          <w:rFonts w:hint="eastAsia" w:ascii="仿宋" w:hAnsi="仿宋" w:eastAsia="仿宋" w:cs="仿宋"/>
          <w:color w:val="auto"/>
          <w:sz w:val="28"/>
          <w:szCs w:val="28"/>
          <w:highlight w:val="none"/>
          <w:lang w:val="zh-CN"/>
        </w:rPr>
        <w:t>）</w:t>
      </w:r>
    </w:p>
    <w:p>
      <w:pPr>
        <w:spacing w:line="360" w:lineRule="auto"/>
        <w:rPr>
          <w:rFonts w:hint="eastAsia" w:ascii="仿宋" w:hAnsi="仿宋" w:eastAsia="仿宋" w:cs="仿宋"/>
          <w:b/>
          <w:color w:val="auto"/>
          <w:sz w:val="32"/>
          <w:szCs w:val="32"/>
          <w:highlight w:val="none"/>
        </w:rPr>
      </w:pPr>
    </w:p>
    <w:p>
      <w:pPr>
        <w:widowControl/>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28"/>
          <w:szCs w:val="28"/>
          <w:highlight w:val="none"/>
        </w:rPr>
        <w:t>4、符合《政府采购法》第二十二条的规定投标人条件，并提供以下证明材料；</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（1）投标人合法注册的法人或其他组织的营业执照等证明文件，自然人的身份证明（格式要求见附件4-1）；</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（2）投标人上一年度经审计的</w:t>
      </w:r>
      <w:r>
        <w:rPr>
          <w:rFonts w:hint="eastAsia" w:ascii="仿宋" w:hAnsi="仿宋" w:eastAsia="仿宋" w:cs="仿宋"/>
          <w:color w:val="auto"/>
          <w:sz w:val="24"/>
          <w:highlight w:val="none"/>
          <w:lang w:eastAsia="zh-CN"/>
        </w:rPr>
        <w:t>财务报告</w:t>
      </w:r>
      <w:r>
        <w:rPr>
          <w:rFonts w:hint="eastAsia" w:ascii="仿宋" w:hAnsi="仿宋" w:eastAsia="仿宋" w:cs="仿宋"/>
          <w:color w:val="auto"/>
          <w:sz w:val="24"/>
          <w:highlight w:val="none"/>
        </w:rPr>
        <w:t>复印件（包括资产负债表、现金流量表、利润表），或本年度基本开户银行出具的资信证明（格式要求见附件4-2）；</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（3）依法缴纳税收和社会保障资金的证明材料复印件（格式见附件4-3、4-4）</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）具备履行合同所必需的设备和专业技术能力的承诺原件（格式见附件4-5）</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）投标人参加政府采购活动前3年内在经营活动中没有重大违法记录的书面声明原件（格式见附件4-6）</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）投标人控股股东名称、控股公司的名称和存在管理、被管理关系的单位名称说明（格式见附件4-7）</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）投标人是否属于为本项目提供整体设计、规范编制或者项目管理、监理、检测等服务的投标人声明原件（格式见附件4-8）</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）证明投标人符合特定资格条件的证明材料；（格式见附件4-9）</w:t>
      </w:r>
    </w:p>
    <w:p>
      <w:pPr>
        <w:pStyle w:val="2"/>
        <w:rPr>
          <w:rFonts w:hint="eastAsia" w:ascii="仿宋" w:hAnsi="仿宋" w:eastAsia="仿宋" w:cs="仿宋"/>
          <w:color w:val="auto"/>
          <w:highlight w:val="none"/>
        </w:rPr>
      </w:pPr>
    </w:p>
    <w:p>
      <w:pPr>
        <w:pStyle w:val="18"/>
        <w:tabs>
          <w:tab w:val="left" w:pos="5580"/>
        </w:tabs>
        <w:spacing w:line="360" w:lineRule="auto"/>
        <w:ind w:left="539" w:hanging="539"/>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注</w:t>
      </w:r>
      <w:r>
        <w:rPr>
          <w:rFonts w:hint="eastAsia" w:ascii="仿宋" w:hAnsi="仿宋" w:eastAsia="仿宋" w:cs="仿宋"/>
          <w:b/>
          <w:color w:val="auto"/>
          <w:sz w:val="24"/>
          <w:highlight w:val="none"/>
        </w:rPr>
        <w:t>：以上资格证明文件须提供加盖投标人红色公章的复印件</w:t>
      </w:r>
    </w:p>
    <w:p>
      <w:pPr>
        <w:pStyle w:val="18"/>
        <w:tabs>
          <w:tab w:val="left" w:pos="5580"/>
        </w:tabs>
        <w:spacing w:line="360" w:lineRule="auto"/>
        <w:ind w:left="539" w:hanging="53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pStyle w:val="18"/>
        <w:tabs>
          <w:tab w:val="left" w:pos="5580"/>
        </w:tabs>
        <w:spacing w:line="360" w:lineRule="auto"/>
        <w:ind w:left="1077" w:leftChars="513"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spacing w:line="360" w:lineRule="auto"/>
        <w:ind w:firstLine="482" w:firstLineChars="200"/>
        <w:rPr>
          <w:rFonts w:hint="eastAsia" w:ascii="仿宋" w:hAnsi="仿宋" w:eastAsia="仿宋" w:cs="仿宋"/>
          <w:b/>
          <w:color w:val="auto"/>
          <w:sz w:val="24"/>
          <w:highlight w:val="none"/>
        </w:rPr>
      </w:pPr>
      <w:bookmarkStart w:id="296" w:name="_Toc7005120"/>
      <w:r>
        <w:rPr>
          <w:rFonts w:hint="eastAsia" w:ascii="仿宋" w:hAnsi="仿宋" w:eastAsia="仿宋" w:cs="仿宋"/>
          <w:b/>
          <w:color w:val="auto"/>
          <w:sz w:val="24"/>
          <w:highlight w:val="none"/>
        </w:rPr>
        <w:t>4-1  投标人的企业法人营业执照副本复印件（加盖公章）</w:t>
      </w:r>
      <w:bookmarkEnd w:id="296"/>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（注：根据项目实际情况，本项内容可能要求提供“事业单位法人证书”、执业许可证、自然人身份证明等证明材料）</w:t>
      </w:r>
    </w:p>
    <w:p>
      <w:pPr>
        <w:adjustRightInd w:val="0"/>
        <w:spacing w:line="360" w:lineRule="auto"/>
        <w:ind w:firstLine="482" w:firstLineChars="200"/>
        <w:textAlignment w:val="baseline"/>
        <w:rPr>
          <w:rFonts w:hint="eastAsia" w:ascii="仿宋" w:hAnsi="仿宋" w:eastAsia="仿宋" w:cs="仿宋"/>
          <w:b/>
          <w:color w:val="auto"/>
          <w:sz w:val="24"/>
          <w:highlight w:val="none"/>
        </w:rPr>
      </w:pPr>
    </w:p>
    <w:p>
      <w:pPr>
        <w:adjustRightInd w:val="0"/>
        <w:spacing w:line="360" w:lineRule="auto"/>
        <w:ind w:firstLine="482" w:firstLineChars="200"/>
        <w:textAlignment w:val="baseline"/>
        <w:rPr>
          <w:rFonts w:hint="eastAsia" w:ascii="仿宋" w:hAnsi="仿宋" w:eastAsia="仿宋" w:cs="仿宋"/>
          <w:b/>
          <w:color w:val="auto"/>
          <w:sz w:val="24"/>
          <w:highlight w:val="none"/>
        </w:rPr>
      </w:pPr>
    </w:p>
    <w:p>
      <w:pPr>
        <w:spacing w:line="360" w:lineRule="auto"/>
        <w:ind w:firstLine="482" w:firstLineChars="200"/>
        <w:rPr>
          <w:rFonts w:hint="eastAsia" w:ascii="仿宋" w:hAnsi="仿宋" w:eastAsia="仿宋" w:cs="仿宋"/>
          <w:b/>
          <w:color w:val="auto"/>
          <w:sz w:val="24"/>
          <w:highlight w:val="none"/>
          <w:lang w:eastAsia="zh-CN"/>
        </w:rPr>
      </w:pPr>
      <w:bookmarkStart w:id="297" w:name="_Toc7005121"/>
      <w:bookmarkStart w:id="298" w:name="_Ref527015333"/>
      <w:r>
        <w:rPr>
          <w:rFonts w:hint="eastAsia" w:ascii="仿宋" w:hAnsi="仿宋" w:eastAsia="仿宋" w:cs="仿宋"/>
          <w:b/>
          <w:color w:val="auto"/>
          <w:sz w:val="24"/>
          <w:highlight w:val="none"/>
        </w:rPr>
        <w:t>4-2  上一年度经审计的</w:t>
      </w:r>
      <w:bookmarkEnd w:id="297"/>
      <w:bookmarkEnd w:id="298"/>
      <w:r>
        <w:rPr>
          <w:rFonts w:hint="eastAsia" w:ascii="仿宋" w:hAnsi="仿宋" w:eastAsia="仿宋" w:cs="仿宋"/>
          <w:b/>
          <w:color w:val="auto"/>
          <w:sz w:val="24"/>
          <w:highlight w:val="none"/>
          <w:lang w:eastAsia="zh-CN"/>
        </w:rPr>
        <w:t>财务报告</w:t>
      </w:r>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提供投标人上一年度经审计的</w:t>
      </w:r>
      <w:r>
        <w:rPr>
          <w:rFonts w:hint="eastAsia" w:ascii="仿宋" w:hAnsi="仿宋" w:eastAsia="仿宋" w:cs="仿宋"/>
          <w:color w:val="auto"/>
          <w:sz w:val="24"/>
          <w:highlight w:val="none"/>
          <w:lang w:eastAsia="zh-CN"/>
        </w:rPr>
        <w:t>财务报告</w:t>
      </w:r>
      <w:r>
        <w:rPr>
          <w:rFonts w:hint="eastAsia" w:ascii="仿宋" w:hAnsi="仿宋" w:eastAsia="仿宋" w:cs="仿宋"/>
          <w:color w:val="auto"/>
          <w:sz w:val="24"/>
          <w:highlight w:val="none"/>
        </w:rPr>
        <w:t>（包括资产负债表、现金流量表、利润表）复印件或扫描件、所有复印件或扫描件需加盖单位公章。</w:t>
      </w:r>
    </w:p>
    <w:p>
      <w:pPr>
        <w:spacing w:line="360" w:lineRule="auto"/>
        <w:ind w:firstLine="482" w:firstLineChars="200"/>
        <w:rPr>
          <w:rFonts w:hint="eastAsia" w:ascii="仿宋" w:hAnsi="仿宋" w:eastAsia="仿宋" w:cs="仿宋"/>
          <w:b/>
          <w:color w:val="auto"/>
          <w:sz w:val="24"/>
          <w:highlight w:val="none"/>
        </w:rPr>
      </w:pPr>
      <w:bookmarkStart w:id="299" w:name="_Toc7005122"/>
      <w:r>
        <w:rPr>
          <w:rFonts w:hint="eastAsia" w:ascii="仿宋" w:hAnsi="仿宋" w:eastAsia="仿宋" w:cs="仿宋"/>
          <w:b/>
          <w:color w:val="auto"/>
          <w:sz w:val="24"/>
          <w:highlight w:val="none"/>
        </w:rPr>
        <w:t>或4-2  本年度基本开户银行出具的资信证明</w:t>
      </w:r>
      <w:bookmarkEnd w:id="299"/>
    </w:p>
    <w:p>
      <w:pPr>
        <w:spacing w:line="360" w:lineRule="auto"/>
        <w:ind w:firstLine="480" w:firstLineChars="200"/>
        <w:rPr>
          <w:rFonts w:hint="eastAsia" w:ascii="仿宋" w:hAnsi="仿宋" w:eastAsia="仿宋" w:cs="仿宋"/>
          <w:color w:val="auto"/>
          <w:sz w:val="24"/>
          <w:highlight w:val="none"/>
        </w:rPr>
      </w:pPr>
    </w:p>
    <w:p>
      <w:pPr>
        <w:tabs>
          <w:tab w:val="left" w:pos="5580"/>
        </w:tabs>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b/>
          <w:color w:val="auto"/>
          <w:sz w:val="24"/>
          <w:highlight w:val="none"/>
        </w:rPr>
      </w:pPr>
      <w:bookmarkStart w:id="300" w:name="_Toc7005123"/>
      <w:r>
        <w:rPr>
          <w:rFonts w:hint="eastAsia" w:ascii="仿宋" w:hAnsi="仿宋" w:eastAsia="仿宋" w:cs="仿宋"/>
          <w:b/>
          <w:color w:val="auto"/>
          <w:sz w:val="24"/>
          <w:highlight w:val="none"/>
        </w:rPr>
        <w:t>4-3  依法缴纳税收的证明</w:t>
      </w:r>
      <w:bookmarkEnd w:id="300"/>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1、供应商应提供自磋商响应文件递交截止时间前近六个月中任何一个月依法缴纳税收的凭证，时间以税款所属时期为准（银行出具的缴税凭证或税务机关出具的证明的复印件，并加盖本单位公章）。</w:t>
      </w:r>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2、依法免税的供应商，应提供相应文件证明其依法免税。</w:t>
      </w:r>
    </w:p>
    <w:p>
      <w:pPr>
        <w:spacing w:line="360" w:lineRule="auto"/>
        <w:ind w:firstLine="482" w:firstLineChars="200"/>
        <w:rPr>
          <w:rFonts w:hint="eastAsia" w:ascii="仿宋" w:hAnsi="仿宋" w:eastAsia="仿宋" w:cs="仿宋"/>
          <w:b/>
          <w:color w:val="auto"/>
          <w:sz w:val="24"/>
          <w:highlight w:val="none"/>
        </w:rPr>
      </w:pPr>
    </w:p>
    <w:p>
      <w:pPr>
        <w:pStyle w:val="2"/>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color w:val="auto"/>
          <w:sz w:val="24"/>
          <w:highlight w:val="none"/>
        </w:rPr>
      </w:pPr>
      <w:bookmarkStart w:id="301" w:name="_Toc7005124"/>
      <w:r>
        <w:rPr>
          <w:rFonts w:hint="eastAsia" w:ascii="仿宋" w:hAnsi="仿宋" w:eastAsia="仿宋" w:cs="仿宋"/>
          <w:b/>
          <w:color w:val="auto"/>
          <w:sz w:val="24"/>
          <w:highlight w:val="none"/>
        </w:rPr>
        <w:t>4-4  社会保障资金缴纳记录</w:t>
      </w:r>
      <w:bookmarkEnd w:id="301"/>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1、投标人应提供近六个月中至少一个月的社会缴纳社会保险的凭据（专用收据或社会保险缴纳清单），并加盖本单位公章。</w:t>
      </w:r>
    </w:p>
    <w:p>
      <w:pPr>
        <w:tabs>
          <w:tab w:val="left" w:pos="993"/>
          <w:tab w:val="left" w:pos="1030"/>
          <w:tab w:val="left" w:pos="8364"/>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2、不需要缴纳社会保障资金的投标人，应提供相应文件证明其不需要缴纳社会保障资金。</w:t>
      </w:r>
    </w:p>
    <w:p>
      <w:pPr>
        <w:tabs>
          <w:tab w:val="left" w:pos="5580"/>
        </w:tabs>
        <w:spacing w:line="360" w:lineRule="auto"/>
        <w:ind w:firstLine="480" w:firstLineChars="200"/>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tabs>
          <w:tab w:val="left" w:pos="5580"/>
        </w:tabs>
        <w:spacing w:line="360" w:lineRule="auto"/>
        <w:ind w:firstLine="480" w:firstLineChars="200"/>
        <w:rPr>
          <w:rFonts w:hint="eastAsia" w:ascii="仿宋" w:hAnsi="仿宋" w:eastAsia="仿宋" w:cs="仿宋"/>
          <w:color w:val="auto"/>
          <w:sz w:val="24"/>
          <w:highlight w:val="none"/>
        </w:rPr>
      </w:pPr>
    </w:p>
    <w:p>
      <w:pPr>
        <w:pStyle w:val="2"/>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color w:val="auto"/>
          <w:sz w:val="24"/>
          <w:highlight w:val="none"/>
        </w:rPr>
      </w:pPr>
      <w:bookmarkStart w:id="302" w:name="_Toc7005125"/>
      <w:r>
        <w:rPr>
          <w:rFonts w:hint="eastAsia" w:ascii="仿宋" w:hAnsi="仿宋" w:eastAsia="仿宋" w:cs="仿宋"/>
          <w:b/>
          <w:color w:val="auto"/>
          <w:sz w:val="24"/>
          <w:highlight w:val="none"/>
        </w:rPr>
        <w:t>4-5  具备履行合同所必需的设备和专业技术能力承诺书</w:t>
      </w:r>
      <w:bookmarkEnd w:id="302"/>
    </w:p>
    <w:p>
      <w:pPr>
        <w:spacing w:line="360" w:lineRule="auto"/>
        <w:rPr>
          <w:rFonts w:hint="eastAsia" w:ascii="仿宋" w:hAnsi="仿宋" w:eastAsia="仿宋" w:cs="仿宋"/>
          <w:color w:val="auto"/>
          <w:kern w:val="0"/>
          <w:sz w:val="24"/>
          <w:highlight w:val="none"/>
        </w:rPr>
      </w:pP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陕西省采购招标有限责任公司：</w:t>
      </w:r>
    </w:p>
    <w:p>
      <w:pPr>
        <w:spacing w:line="360" w:lineRule="auto"/>
        <w:ind w:firstLine="480" w:firstLineChars="200"/>
        <w:rPr>
          <w:rFonts w:hint="eastAsia" w:ascii="仿宋" w:hAnsi="仿宋" w:eastAsia="仿宋" w:cs="仿宋"/>
          <w:color w:val="auto"/>
          <w:kern w:val="0"/>
          <w:sz w:val="24"/>
          <w:highlight w:val="none"/>
        </w:rPr>
      </w:pP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我公司承诺</w:t>
      </w:r>
      <w:r>
        <w:rPr>
          <w:rFonts w:hint="eastAsia" w:ascii="仿宋" w:hAnsi="仿宋" w:eastAsia="仿宋" w:cs="仿宋"/>
          <w:color w:val="auto"/>
          <w:sz w:val="24"/>
          <w:highlight w:val="none"/>
        </w:rPr>
        <w:t>具备履行合同所必需的设备和专业技术能力</w:t>
      </w:r>
      <w:r>
        <w:rPr>
          <w:rFonts w:hint="eastAsia" w:ascii="仿宋" w:hAnsi="仿宋" w:eastAsia="仿宋" w:cs="仿宋"/>
          <w:color w:val="auto"/>
          <w:kern w:val="0"/>
          <w:sz w:val="24"/>
          <w:highlight w:val="none"/>
        </w:rPr>
        <w:t>。</w:t>
      </w:r>
    </w:p>
    <w:p>
      <w:pPr>
        <w:spacing w:line="360" w:lineRule="auto"/>
        <w:ind w:firstLine="482" w:firstLineChars="200"/>
        <w:rPr>
          <w:rFonts w:hint="eastAsia" w:ascii="仿宋" w:hAnsi="仿宋" w:eastAsia="仿宋" w:cs="仿宋"/>
          <w:b/>
          <w:color w:val="auto"/>
          <w:sz w:val="24"/>
          <w:highlight w:val="none"/>
        </w:rPr>
      </w:pPr>
    </w:p>
    <w:p>
      <w:pPr>
        <w:spacing w:line="360" w:lineRule="auto"/>
        <w:ind w:firstLine="482" w:firstLineChars="200"/>
        <w:rPr>
          <w:rFonts w:hint="eastAsia" w:ascii="仿宋" w:hAnsi="仿宋" w:eastAsia="仿宋" w:cs="仿宋"/>
          <w:b/>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投标人名称（盖章）：</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法定代表人或其授权代表（签字或加盖人名章）：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tabs>
          <w:tab w:val="left" w:pos="5580"/>
        </w:tabs>
        <w:spacing w:line="360" w:lineRule="auto"/>
        <w:ind w:firstLine="480" w:firstLineChars="200"/>
        <w:rPr>
          <w:rFonts w:hint="eastAsia" w:ascii="仿宋" w:hAnsi="仿宋" w:eastAsia="仿宋" w:cs="仿宋"/>
          <w:color w:val="auto"/>
          <w:sz w:val="24"/>
          <w:highlight w:val="none"/>
        </w:rPr>
      </w:pPr>
    </w:p>
    <w:p>
      <w:pPr>
        <w:widowControl/>
        <w:spacing w:line="360" w:lineRule="auto"/>
        <w:ind w:firstLine="482" w:firstLineChars="200"/>
        <w:rPr>
          <w:rFonts w:hint="eastAsia" w:ascii="仿宋" w:hAnsi="仿宋" w:eastAsia="仿宋" w:cs="仿宋"/>
          <w:b/>
          <w:color w:val="auto"/>
          <w:sz w:val="24"/>
          <w:highlight w:val="none"/>
        </w:rPr>
      </w:pPr>
    </w:p>
    <w:p>
      <w:pPr>
        <w:spacing w:line="360" w:lineRule="auto"/>
        <w:ind w:firstLine="482" w:firstLineChars="200"/>
        <w:rPr>
          <w:rFonts w:hint="eastAsia" w:ascii="仿宋" w:hAnsi="仿宋" w:eastAsia="仿宋" w:cs="仿宋"/>
          <w:b/>
          <w:color w:val="auto"/>
          <w:sz w:val="24"/>
          <w:highlight w:val="none"/>
        </w:rPr>
      </w:pPr>
      <w:bookmarkStart w:id="303" w:name="_Toc60929131"/>
      <w:bookmarkStart w:id="304" w:name="_Toc60928899"/>
      <w:bookmarkStart w:id="305" w:name="_Toc7005126"/>
      <w:bookmarkStart w:id="306" w:name="_Toc60928818"/>
      <w:r>
        <w:rPr>
          <w:rFonts w:hint="eastAsia" w:ascii="仿宋" w:hAnsi="仿宋" w:eastAsia="仿宋" w:cs="仿宋"/>
          <w:b/>
          <w:color w:val="auto"/>
          <w:sz w:val="24"/>
          <w:highlight w:val="none"/>
        </w:rPr>
        <w:t>4-6  投标人参加政府采购活动前3年内在经营活动中没有重大违法记录的书面声明</w:t>
      </w:r>
      <w:bookmarkEnd w:id="303"/>
      <w:bookmarkEnd w:id="304"/>
      <w:bookmarkEnd w:id="305"/>
      <w:bookmarkEnd w:id="306"/>
    </w:p>
    <w:p>
      <w:pPr>
        <w:tabs>
          <w:tab w:val="left" w:pos="5580"/>
        </w:tabs>
        <w:spacing w:line="360" w:lineRule="auto"/>
        <w:rPr>
          <w:rFonts w:hint="eastAsia" w:ascii="仿宋" w:hAnsi="仿宋" w:eastAsia="仿宋" w:cs="仿宋"/>
          <w:color w:val="auto"/>
          <w:sz w:val="24"/>
          <w:highlight w:val="none"/>
        </w:rPr>
      </w:pPr>
    </w:p>
    <w:p>
      <w:pPr>
        <w:tabs>
          <w:tab w:val="left" w:pos="558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pStyle w:val="2"/>
        <w:rPr>
          <w:rFonts w:hint="eastAsia" w:ascii="仿宋" w:hAnsi="仿宋" w:eastAsia="仿宋" w:cs="仿宋"/>
          <w:color w:val="auto"/>
          <w:highlight w:val="none"/>
        </w:rPr>
      </w:pPr>
    </w:p>
    <w:p>
      <w:pPr>
        <w:tabs>
          <w:tab w:val="left" w:pos="5580"/>
        </w:tabs>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tabs>
          <w:tab w:val="left" w:pos="5580"/>
        </w:tabs>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投标人名称（盖章）：</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法定代表人或其授权代表（签字或加盖人名章）：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360" w:lineRule="auto"/>
        <w:ind w:firstLine="482" w:firstLineChars="200"/>
        <w:rPr>
          <w:rFonts w:hint="eastAsia" w:ascii="仿宋" w:hAnsi="仿宋" w:eastAsia="仿宋" w:cs="仿宋"/>
          <w:b/>
          <w:color w:val="auto"/>
          <w:sz w:val="24"/>
          <w:highlight w:val="none"/>
        </w:rPr>
      </w:pPr>
      <w:bookmarkStart w:id="307" w:name="_Toc60929132"/>
      <w:bookmarkStart w:id="308" w:name="_Toc60928819"/>
      <w:bookmarkStart w:id="309" w:name="_Toc60928900"/>
      <w:bookmarkStart w:id="310" w:name="_Toc7005127"/>
    </w:p>
    <w:p>
      <w:pPr>
        <w:pStyle w:val="2"/>
        <w:rPr>
          <w:rFonts w:hint="eastAsia" w:ascii="仿宋" w:hAnsi="仿宋" w:eastAsia="仿宋" w:cs="仿宋"/>
          <w:b/>
          <w:color w:val="auto"/>
          <w:sz w:val="24"/>
          <w:highlight w:val="none"/>
        </w:rPr>
      </w:pPr>
    </w:p>
    <w:p>
      <w:pPr>
        <w:pStyle w:val="3"/>
        <w:rPr>
          <w:rFonts w:hint="eastAsia" w:ascii="仿宋" w:hAnsi="仿宋" w:eastAsia="仿宋" w:cs="仿宋"/>
          <w:b/>
          <w:color w:val="auto"/>
          <w:sz w:val="24"/>
          <w:highlight w:val="none"/>
        </w:rPr>
      </w:pPr>
    </w:p>
    <w:p>
      <w:pPr>
        <w:rPr>
          <w:rFonts w:hint="eastAsia"/>
        </w:rPr>
      </w:pPr>
      <w:bookmarkStart w:id="393" w:name="_GoBack"/>
      <w:bookmarkEnd w:id="393"/>
    </w:p>
    <w:p>
      <w:pPr>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color w:val="auto"/>
          <w:sz w:val="24"/>
          <w:highlight w:val="none"/>
        </w:rPr>
      </w:pP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4-7  投标人控股股东名称、控股公司的名称和存在管理、被管理关系的单位名称说明</w:t>
      </w:r>
      <w:bookmarkEnd w:id="307"/>
      <w:bookmarkEnd w:id="308"/>
      <w:bookmarkEnd w:id="309"/>
      <w:bookmarkEnd w:id="310"/>
    </w:p>
    <w:p>
      <w:pPr>
        <w:pStyle w:val="2"/>
        <w:rPr>
          <w:rFonts w:hint="eastAsia" w:ascii="仿宋" w:hAnsi="仿宋" w:eastAsia="仿宋" w:cs="仿宋"/>
          <w:color w:val="auto"/>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pStyle w:val="2"/>
        <w:spacing w:before="0" w:line="360" w:lineRule="auto"/>
        <w:ind w:firstLine="480" w:firstLineChars="200"/>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与我方的法定代表人（单位负责人）为同一人的企业如下：</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我方的控股股东如下：</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我方直接控股的企业如下：</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与我方存在管理、被管理关系的单位名称如下：</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投标人名称（盖章）：</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法定代表人或其授权代表（签字或加盖人名章）：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b/>
          <w:color w:val="auto"/>
          <w:sz w:val="24"/>
          <w:highlight w:val="none"/>
        </w:rPr>
      </w:pPr>
    </w:p>
    <w:p>
      <w:pPr>
        <w:spacing w:line="360" w:lineRule="auto"/>
        <w:ind w:firstLine="482" w:firstLineChars="200"/>
        <w:rPr>
          <w:rFonts w:hint="eastAsia" w:ascii="仿宋" w:hAnsi="仿宋" w:eastAsia="仿宋" w:cs="仿宋"/>
          <w:b/>
          <w:color w:val="auto"/>
          <w:sz w:val="24"/>
          <w:highlight w:val="none"/>
        </w:rPr>
      </w:pPr>
      <w:bookmarkStart w:id="311" w:name="_Toc7005128"/>
      <w:bookmarkStart w:id="312" w:name="_Toc60928820"/>
      <w:bookmarkStart w:id="313" w:name="_Toc60929133"/>
      <w:bookmarkStart w:id="314" w:name="_Toc60928901"/>
      <w:r>
        <w:rPr>
          <w:rFonts w:hint="eastAsia" w:ascii="仿宋" w:hAnsi="仿宋" w:eastAsia="仿宋" w:cs="仿宋"/>
          <w:b/>
          <w:color w:val="auto"/>
          <w:sz w:val="24"/>
          <w:highlight w:val="none"/>
        </w:rPr>
        <w:t>4-8  投标人是否属于为本项目提供整体设计、规范编制或者项目管理、监理、检测等服务的投标人声明</w:t>
      </w:r>
      <w:bookmarkEnd w:id="311"/>
      <w:bookmarkEnd w:id="312"/>
      <w:bookmarkEnd w:id="313"/>
      <w:bookmarkEnd w:id="314"/>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w:t>
      </w:r>
      <w:r>
        <w:rPr>
          <w:rFonts w:hint="eastAsia" w:ascii="仿宋" w:hAnsi="仿宋" w:eastAsia="仿宋" w:cs="仿宋"/>
          <w:color w:val="auto"/>
          <w:sz w:val="24"/>
          <w:highlight w:val="none"/>
          <w:u w:val="single"/>
        </w:rPr>
        <w:t>不属于</w:t>
      </w:r>
      <w:r>
        <w:rPr>
          <w:rFonts w:hint="eastAsia" w:ascii="仿宋" w:hAnsi="仿宋" w:eastAsia="仿宋" w:cs="仿宋"/>
          <w:color w:val="auto"/>
          <w:sz w:val="24"/>
          <w:highlight w:val="none"/>
        </w:rPr>
        <w:t>为本项目提供整体设计、规范编制或者项目管理、监理、检测等服务的投标人。</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投标人名称（盖章）：</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法定代表人或其授权代表（签字或加盖人名章）：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360" w:lineRule="auto"/>
        <w:ind w:firstLine="482" w:firstLineChars="200"/>
        <w:rPr>
          <w:rFonts w:hint="eastAsia" w:ascii="仿宋" w:hAnsi="仿宋" w:eastAsia="仿宋" w:cs="仿宋"/>
          <w:b/>
          <w:color w:val="auto"/>
          <w:sz w:val="24"/>
          <w:highlight w:val="none"/>
        </w:rPr>
      </w:pPr>
      <w:bookmarkStart w:id="315" w:name="_Toc7005129"/>
      <w:bookmarkStart w:id="316" w:name="_Toc60928821"/>
      <w:bookmarkStart w:id="317" w:name="_Toc60928902"/>
      <w:bookmarkStart w:id="318" w:name="_Toc60929134"/>
    </w:p>
    <w:p>
      <w:pPr>
        <w:pStyle w:val="2"/>
        <w:rPr>
          <w:rFonts w:hint="eastAsia"/>
          <w:color w:val="auto"/>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4-9  证明投标人符合特定资格条件的证明材料</w:t>
      </w:r>
      <w:bookmarkEnd w:id="315"/>
      <w:r>
        <w:rPr>
          <w:rFonts w:hint="eastAsia" w:ascii="仿宋" w:hAnsi="仿宋" w:eastAsia="仿宋" w:cs="仿宋"/>
          <w:b/>
          <w:color w:val="auto"/>
          <w:sz w:val="24"/>
          <w:highlight w:val="none"/>
        </w:rPr>
        <w:t>：</w:t>
      </w:r>
      <w:bookmarkEnd w:id="316"/>
      <w:bookmarkEnd w:id="317"/>
      <w:bookmarkEnd w:id="318"/>
      <w:bookmarkStart w:id="319" w:name="_Toc1083"/>
      <w:bookmarkStart w:id="320" w:name="_Toc515647807"/>
      <w:bookmarkStart w:id="321" w:name="_Toc22472"/>
      <w:bookmarkStart w:id="322" w:name="_Toc532473497"/>
      <w:bookmarkStart w:id="323" w:name="_Toc520356217"/>
      <w:bookmarkStart w:id="324" w:name="_Toc480942349"/>
      <w:bookmarkStart w:id="325" w:name="_Ref467988698"/>
      <w:bookmarkStart w:id="326" w:name="_Toc216582813"/>
    </w:p>
    <w:p>
      <w:pPr>
        <w:pStyle w:val="14"/>
        <w:ind w:left="0" w:leftChars="0" w:right="1470"/>
        <w:rPr>
          <w:rFonts w:hint="eastAsia" w:ascii="仿宋" w:hAnsi="仿宋" w:eastAsia="仿宋" w:cs="仿宋"/>
          <w:color w:val="auto"/>
          <w:highlight w:val="none"/>
        </w:rPr>
      </w:pPr>
    </w:p>
    <w:bookmarkEnd w:id="319"/>
    <w:bookmarkEnd w:id="320"/>
    <w:bookmarkEnd w:id="321"/>
    <w:bookmarkEnd w:id="322"/>
    <w:p>
      <w:pPr>
        <w:pStyle w:val="5"/>
        <w:numPr>
          <w:ilvl w:val="0"/>
          <w:numId w:val="3"/>
        </w:numPr>
        <w:spacing w:before="0" w:line="360" w:lineRule="auto"/>
        <w:rPr>
          <w:rFonts w:hint="eastAsia" w:ascii="仿宋" w:hAnsi="仿宋" w:eastAsia="仿宋" w:cs="仿宋"/>
          <w:b/>
          <w:bCs/>
          <w:color w:val="auto"/>
          <w:highlight w:val="none"/>
          <w:lang w:val="zh-CN"/>
        </w:rPr>
      </w:pPr>
      <w:r>
        <w:rPr>
          <w:rFonts w:hint="eastAsia" w:ascii="仿宋" w:hAnsi="仿宋" w:eastAsia="仿宋" w:cs="仿宋"/>
          <w:color w:val="auto"/>
          <w:sz w:val="24"/>
          <w:szCs w:val="24"/>
          <w:highlight w:val="none"/>
          <w:lang w:val="zh-CN"/>
        </w:rPr>
        <w:br w:type="page"/>
      </w:r>
      <w:bookmarkStart w:id="327" w:name="_Toc138175453"/>
      <w:r>
        <w:rPr>
          <w:rFonts w:hint="eastAsia" w:ascii="仿宋" w:hAnsi="仿宋" w:eastAsia="仿宋" w:cs="仿宋"/>
          <w:b/>
          <w:bCs/>
          <w:color w:val="auto"/>
          <w:highlight w:val="none"/>
          <w:lang w:val="zh-CN"/>
        </w:rPr>
        <w:t xml:space="preserve"> </w:t>
      </w:r>
      <w:bookmarkStart w:id="328" w:name="_Toc31138"/>
      <w:r>
        <w:rPr>
          <w:rFonts w:hint="eastAsia" w:ascii="仿宋" w:hAnsi="仿宋" w:eastAsia="仿宋" w:cs="仿宋"/>
          <w:b/>
          <w:bCs/>
          <w:color w:val="auto"/>
          <w:highlight w:val="none"/>
          <w:lang w:val="zh-CN"/>
        </w:rPr>
        <w:t>商务及技术文件</w:t>
      </w:r>
      <w:bookmarkEnd w:id="327"/>
      <w:bookmarkEnd w:id="328"/>
    </w:p>
    <w:p>
      <w:pPr>
        <w:pStyle w:val="6"/>
        <w:numPr>
          <w:ilvl w:val="0"/>
          <w:numId w:val="0"/>
        </w:numPr>
        <w:rPr>
          <w:rFonts w:hint="eastAsia"/>
          <w:color w:val="auto"/>
          <w:highlight w:val="none"/>
          <w:lang w:val="zh-CN"/>
        </w:rPr>
      </w:pPr>
    </w:p>
    <w:p>
      <w:pPr>
        <w:pStyle w:val="18"/>
        <w:tabs>
          <w:tab w:val="left" w:pos="5580"/>
        </w:tabs>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（投标文件格式一）</w:t>
      </w:r>
    </w:p>
    <w:bookmarkEnd w:id="323"/>
    <w:bookmarkEnd w:id="324"/>
    <w:bookmarkEnd w:id="325"/>
    <w:p>
      <w:pPr>
        <w:pStyle w:val="18"/>
        <w:spacing w:line="360" w:lineRule="auto"/>
        <w:jc w:val="center"/>
        <w:rPr>
          <w:rFonts w:hint="eastAsia" w:ascii="仿宋" w:hAnsi="仿宋" w:eastAsia="仿宋" w:cs="仿宋"/>
          <w:b/>
          <w:color w:val="auto"/>
          <w:sz w:val="32"/>
          <w:highlight w:val="none"/>
        </w:rPr>
      </w:pPr>
      <w:bookmarkStart w:id="329" w:name="_Hlt520355504"/>
      <w:bookmarkEnd w:id="329"/>
      <w:bookmarkStart w:id="330" w:name="_Toc14915"/>
      <w:bookmarkStart w:id="331" w:name="_Toc2041"/>
      <w:bookmarkStart w:id="332" w:name="_Toc532473505"/>
      <w:bookmarkStart w:id="333" w:name="_Toc60928904"/>
      <w:bookmarkStart w:id="334" w:name="_Toc60929136"/>
      <w:bookmarkStart w:id="335" w:name="_Toc515647817"/>
      <w:r>
        <w:rPr>
          <w:rFonts w:hint="eastAsia" w:ascii="仿宋" w:hAnsi="仿宋" w:eastAsia="仿宋" w:cs="仿宋"/>
          <w:b/>
          <w:color w:val="auto"/>
          <w:sz w:val="32"/>
          <w:highlight w:val="none"/>
        </w:rPr>
        <w:t>投标函</w:t>
      </w:r>
      <w:bookmarkEnd w:id="326"/>
      <w:bookmarkEnd w:id="330"/>
      <w:bookmarkEnd w:id="331"/>
      <w:bookmarkEnd w:id="332"/>
      <w:bookmarkEnd w:id="333"/>
      <w:bookmarkEnd w:id="334"/>
      <w:bookmarkEnd w:id="335"/>
    </w:p>
    <w:p>
      <w:pPr>
        <w:tabs>
          <w:tab w:val="left" w:pos="5580"/>
        </w:tabs>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（采购人或采购代理机构名称）</w:t>
      </w:r>
    </w:p>
    <w:p>
      <w:pPr>
        <w:pStyle w:val="18"/>
        <w:tabs>
          <w:tab w:val="left" w:pos="558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根据贵方(</w:t>
      </w:r>
      <w:r>
        <w:rPr>
          <w:rFonts w:hint="eastAsia" w:ascii="仿宋" w:hAnsi="仿宋" w:eastAsia="仿宋" w:cs="仿宋"/>
          <w:color w:val="auto"/>
          <w:sz w:val="24"/>
          <w:highlight w:val="none"/>
          <w:u w:val="single"/>
          <w:lang w:eastAsia="zh-CN"/>
        </w:rPr>
        <w:t xml:space="preserve">2023年西安市灞河右岸滨水景观带全民健身场地设施提升改造项目 </w:t>
      </w:r>
      <w:r>
        <w:rPr>
          <w:rFonts w:hint="eastAsia" w:ascii="仿宋" w:hAnsi="仿宋" w:eastAsia="仿宋" w:cs="仿宋"/>
          <w:color w:val="auto"/>
          <w:sz w:val="24"/>
          <w:highlight w:val="none"/>
          <w:u w:val="single"/>
        </w:rPr>
        <w:t>，项目编号：</w:t>
      </w:r>
      <w:r>
        <w:rPr>
          <w:rFonts w:hint="eastAsia" w:ascii="仿宋" w:hAnsi="仿宋" w:eastAsia="仿宋" w:cs="仿宋"/>
          <w:color w:val="auto"/>
          <w:sz w:val="24"/>
          <w:highlight w:val="none"/>
          <w:u w:val="single"/>
          <w:lang w:eastAsia="zh-CN"/>
        </w:rPr>
        <w:t>SCZB2023-ZB-1616-001</w:t>
      </w:r>
      <w:r>
        <w:rPr>
          <w:rFonts w:hint="eastAsia" w:ascii="仿宋" w:hAnsi="仿宋" w:eastAsia="仿宋" w:cs="仿宋"/>
          <w:color w:val="auto"/>
          <w:sz w:val="24"/>
          <w:highlight w:val="none"/>
        </w:rPr>
        <w:t>)项目的招标文件</w:t>
      </w:r>
      <w:r>
        <w:rPr>
          <w:rFonts w:hint="eastAsia" w:ascii="仿宋" w:hAnsi="仿宋" w:eastAsia="仿宋" w:cs="仿宋"/>
          <w:color w:val="auto"/>
          <w:sz w:val="24"/>
          <w:szCs w:val="24"/>
          <w:highlight w:val="none"/>
          <w:lang w:val="zh-CN"/>
        </w:rPr>
        <w:t>，我方郑重声明以下诸点，并负法律责任。</w:t>
      </w:r>
    </w:p>
    <w:p>
      <w:pPr>
        <w:pStyle w:val="18"/>
        <w:tabs>
          <w:tab w:val="left" w:pos="720"/>
          <w:tab w:val="left" w:pos="900"/>
        </w:tabs>
        <w:snapToGrid w:val="0"/>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（1）按照招标文件的规定，我公司投标总价为：</w:t>
      </w:r>
      <w:r>
        <w:rPr>
          <w:rFonts w:hint="eastAsia" w:ascii="仿宋" w:hAnsi="仿宋" w:eastAsia="仿宋" w:cs="仿宋"/>
          <w:color w:val="auto"/>
          <w:sz w:val="24"/>
          <w:highlight w:val="none"/>
          <w:u w:val="single"/>
        </w:rPr>
        <w:t>人民币（大写）    元（¥：   元）</w:t>
      </w:r>
      <w:r>
        <w:rPr>
          <w:rFonts w:hint="eastAsia" w:ascii="仿宋" w:hAnsi="仿宋" w:eastAsia="仿宋" w:cs="仿宋"/>
          <w:color w:val="auto"/>
          <w:sz w:val="24"/>
          <w:highlight w:val="none"/>
        </w:rPr>
        <w:t>，其中联合协议或分包意向协议（如有）约定由小型和微型企业制造产品的价格为</w:t>
      </w:r>
      <w:r>
        <w:rPr>
          <w:rFonts w:hint="eastAsia" w:ascii="仿宋" w:hAnsi="仿宋" w:eastAsia="仿宋" w:cs="仿宋"/>
          <w:color w:val="auto"/>
          <w:sz w:val="24"/>
          <w:highlight w:val="none"/>
          <w:u w:val="single"/>
        </w:rPr>
        <w:t>人民币（大写）    元（¥：   元），占投标总价的   %</w:t>
      </w:r>
      <w:r>
        <w:rPr>
          <w:rFonts w:hint="eastAsia" w:ascii="仿宋" w:hAnsi="仿宋" w:eastAsia="仿宋" w:cs="仿宋"/>
          <w:color w:val="auto"/>
          <w:sz w:val="24"/>
          <w:highlight w:val="none"/>
        </w:rPr>
        <w:t>。</w:t>
      </w:r>
    </w:p>
    <w:p>
      <w:pPr>
        <w:pStyle w:val="18"/>
        <w:tabs>
          <w:tab w:val="left" w:pos="558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（2）本投标有效期为自</w:t>
      </w:r>
      <w:r>
        <w:rPr>
          <w:rFonts w:hint="eastAsia" w:ascii="仿宋" w:hAnsi="仿宋" w:eastAsia="仿宋" w:cs="仿宋"/>
          <w:color w:val="auto"/>
          <w:sz w:val="24"/>
          <w:szCs w:val="24"/>
          <w:highlight w:val="none"/>
        </w:rPr>
        <w:t>投标截止之日起</w:t>
      </w:r>
      <w:r>
        <w:rPr>
          <w:rFonts w:hint="eastAsia" w:ascii="仿宋" w:hAnsi="仿宋" w:eastAsia="仿宋" w:cs="仿宋"/>
          <w:color w:val="auto"/>
          <w:sz w:val="24"/>
          <w:szCs w:val="24"/>
          <w:highlight w:val="none"/>
          <w:u w:val="single"/>
        </w:rPr>
        <w:t>90</w:t>
      </w:r>
      <w:r>
        <w:rPr>
          <w:rFonts w:hint="eastAsia" w:ascii="仿宋" w:hAnsi="仿宋" w:eastAsia="仿宋" w:cs="仿宋"/>
          <w:color w:val="auto"/>
          <w:sz w:val="24"/>
          <w:szCs w:val="24"/>
          <w:highlight w:val="none"/>
        </w:rPr>
        <w:t>个日历日</w:t>
      </w:r>
      <w:r>
        <w:rPr>
          <w:rFonts w:hint="eastAsia" w:ascii="仿宋" w:hAnsi="仿宋" w:eastAsia="仿宋" w:cs="仿宋"/>
          <w:color w:val="auto"/>
          <w:sz w:val="24"/>
          <w:szCs w:val="24"/>
          <w:highlight w:val="none"/>
          <w:lang w:val="zh-CN"/>
        </w:rPr>
        <w:t>，若我方中标，投标文件有效期自动延长至合同执行完毕。</w:t>
      </w:r>
    </w:p>
    <w:p>
      <w:pPr>
        <w:pStyle w:val="18"/>
        <w:tabs>
          <w:tab w:val="left" w:pos="558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（3）已详细审查全部招标文件，包括所有补充通知，完全理解并同意放弃对这方面有不明、误解的权利。</w:t>
      </w:r>
    </w:p>
    <w:p>
      <w:pPr>
        <w:pStyle w:val="18"/>
        <w:tabs>
          <w:tab w:val="left" w:pos="558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（4）按照招标文件的规定，在中标后向贵方一次性支付招标代理费。</w:t>
      </w:r>
    </w:p>
    <w:p>
      <w:pPr>
        <w:pStyle w:val="18"/>
        <w:tabs>
          <w:tab w:val="left" w:pos="558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（5）按照贵方可能的要求，提供与投标有关的一切数据或资料，我们完全理解最低投标报价不作为中标的唯一条件，且尊重评标结论和定标结果。</w:t>
      </w:r>
    </w:p>
    <w:p>
      <w:pPr>
        <w:pStyle w:val="18"/>
        <w:tabs>
          <w:tab w:val="left" w:pos="558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（6）完全理解并无条件承担中标后不依法与采购人签订合同的法律后果。</w:t>
      </w:r>
    </w:p>
    <w:p>
      <w:pPr>
        <w:pStyle w:val="18"/>
        <w:tabs>
          <w:tab w:val="left" w:pos="5580"/>
        </w:tabs>
        <w:snapToGrid w:val="0"/>
        <w:spacing w:line="360" w:lineRule="auto"/>
        <w:ind w:left="96" w:hanging="96" w:hangingChars="40"/>
        <w:rPr>
          <w:rFonts w:hint="eastAsia" w:ascii="仿宋" w:hAnsi="仿宋" w:eastAsia="仿宋" w:cs="仿宋"/>
          <w:color w:val="auto"/>
          <w:sz w:val="24"/>
          <w:highlight w:val="none"/>
        </w:rPr>
      </w:pPr>
    </w:p>
    <w:p>
      <w:pPr>
        <w:autoSpaceDE w:val="0"/>
        <w:autoSpaceDN w:val="0"/>
        <w:adjustRightInd w:val="0"/>
        <w:snapToGrid w:val="0"/>
        <w:spacing w:line="360" w:lineRule="auto"/>
        <w:rPr>
          <w:rFonts w:hint="eastAsia" w:ascii="仿宋" w:hAnsi="仿宋" w:eastAsia="仿宋" w:cs="仿宋"/>
          <w:color w:val="auto"/>
          <w:sz w:val="24"/>
          <w:highlight w:val="none"/>
        </w:rPr>
      </w:pPr>
      <w:bookmarkStart w:id="336" w:name="_Toc1266"/>
      <w:bookmarkStart w:id="337" w:name="_Toc23473"/>
      <w:bookmarkStart w:id="338" w:name="_Toc532473506"/>
      <w:r>
        <w:rPr>
          <w:rFonts w:hint="eastAsia" w:ascii="仿宋" w:hAnsi="仿宋" w:eastAsia="仿宋" w:cs="仿宋"/>
          <w:color w:val="auto"/>
          <w:sz w:val="24"/>
          <w:highlight w:val="none"/>
          <w:lang w:val="zh-CN"/>
        </w:rPr>
        <w:t>投标人全称（</w:t>
      </w:r>
      <w:r>
        <w:rPr>
          <w:rFonts w:hint="eastAsia" w:ascii="仿宋" w:hAnsi="仿宋" w:eastAsia="仿宋" w:cs="仿宋"/>
          <w:color w:val="auto"/>
          <w:sz w:val="24"/>
          <w:highlight w:val="none"/>
        </w:rPr>
        <w:t>盖章</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地址：</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开户银行：</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账号：</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电话：</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60"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或</w:t>
      </w:r>
      <w:r>
        <w:rPr>
          <w:rFonts w:hint="eastAsia" w:ascii="仿宋" w:hAnsi="仿宋" w:eastAsia="仿宋" w:cs="仿宋"/>
          <w:color w:val="auto"/>
          <w:sz w:val="24"/>
          <w:highlight w:val="none"/>
          <w:lang w:val="zh-CN"/>
        </w:rPr>
        <w:t>授权代表（签字或盖章）：</w:t>
      </w:r>
      <w:r>
        <w:rPr>
          <w:rFonts w:hint="eastAsia" w:ascii="仿宋" w:hAnsi="仿宋" w:eastAsia="仿宋" w:cs="仿宋"/>
          <w:color w:val="auto"/>
          <w:sz w:val="24"/>
          <w:highlight w:val="none"/>
        </w:rPr>
        <w:t>_____________</w:t>
      </w:r>
    </w:p>
    <w:p>
      <w:pPr>
        <w:snapToGrid w:val="0"/>
        <w:spacing w:line="360" w:lineRule="auto"/>
        <w:ind w:firstLine="5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_____</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rPr>
        <w:t>_____</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_____</w:t>
      </w:r>
      <w:r>
        <w:rPr>
          <w:rFonts w:hint="eastAsia" w:ascii="仿宋" w:hAnsi="仿宋" w:eastAsia="仿宋" w:cs="仿宋"/>
          <w:color w:val="auto"/>
          <w:sz w:val="24"/>
          <w:highlight w:val="none"/>
          <w:lang w:val="zh-CN"/>
        </w:rPr>
        <w:t>日</w:t>
      </w:r>
      <w:bookmarkEnd w:id="336"/>
      <w:bookmarkEnd w:id="337"/>
      <w:bookmarkEnd w:id="338"/>
      <w:bookmarkStart w:id="339" w:name="_Hlt520355938"/>
      <w:bookmarkEnd w:id="339"/>
      <w:bookmarkStart w:id="340" w:name="_Hlt520356243"/>
      <w:bookmarkEnd w:id="340"/>
    </w:p>
    <w:p>
      <w:pPr>
        <w:tabs>
          <w:tab w:val="left" w:pos="1800"/>
          <w:tab w:val="left" w:pos="558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（投标文件格式二）</w:t>
      </w:r>
    </w:p>
    <w:p>
      <w:pPr>
        <w:pStyle w:val="18"/>
        <w:spacing w:line="360" w:lineRule="auto"/>
        <w:jc w:val="center"/>
        <w:rPr>
          <w:rFonts w:hint="eastAsia" w:ascii="仿宋" w:hAnsi="仿宋" w:eastAsia="仿宋" w:cs="仿宋"/>
          <w:b/>
          <w:color w:val="auto"/>
          <w:sz w:val="32"/>
          <w:highlight w:val="none"/>
        </w:rPr>
      </w:pPr>
      <w:bookmarkStart w:id="341" w:name="_Toc515647804"/>
      <w:bookmarkStart w:id="342" w:name="_Toc60929137"/>
      <w:bookmarkStart w:id="343" w:name="_Toc60928905"/>
      <w:bookmarkStart w:id="344" w:name="_Toc16568"/>
      <w:bookmarkStart w:id="345" w:name="_Toc30524"/>
      <w:bookmarkStart w:id="346" w:name="_Toc532473495"/>
      <w:r>
        <w:rPr>
          <w:rFonts w:hint="eastAsia" w:ascii="仿宋" w:hAnsi="仿宋" w:eastAsia="仿宋" w:cs="仿宋"/>
          <w:b/>
          <w:color w:val="auto"/>
          <w:sz w:val="32"/>
          <w:highlight w:val="none"/>
        </w:rPr>
        <w:t>开标一览表</w:t>
      </w:r>
      <w:bookmarkEnd w:id="341"/>
      <w:bookmarkEnd w:id="342"/>
      <w:bookmarkEnd w:id="343"/>
      <w:bookmarkEnd w:id="344"/>
      <w:bookmarkEnd w:id="345"/>
      <w:bookmarkEnd w:id="346"/>
    </w:p>
    <w:p>
      <w:pPr>
        <w:pStyle w:val="6"/>
        <w:tabs>
          <w:tab w:val="left" w:pos="5580"/>
        </w:tabs>
        <w:spacing w:line="360" w:lineRule="auto"/>
        <w:ind w:firstLine="0"/>
        <w:rPr>
          <w:rFonts w:hint="eastAsia" w:ascii="仿宋" w:hAnsi="仿宋" w:eastAsia="仿宋" w:cs="仿宋"/>
          <w:color w:val="auto"/>
          <w:highlight w:val="none"/>
        </w:rPr>
      </w:pPr>
      <w:bookmarkStart w:id="347" w:name="_Hlt520356241"/>
      <w:bookmarkEnd w:id="347"/>
    </w:p>
    <w:p>
      <w:pPr>
        <w:pStyle w:val="2"/>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p>
      <w:pPr>
        <w:tabs>
          <w:tab w:val="left" w:pos="1800"/>
          <w:tab w:val="left" w:pos="5580"/>
        </w:tabs>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p>
    <w:tbl>
      <w:tblPr>
        <w:tblStyle w:val="36"/>
        <w:tblW w:w="5000" w:type="pct"/>
        <w:jc w:val="center"/>
        <w:tblLayout w:type="autofit"/>
        <w:tblCellMar>
          <w:top w:w="0" w:type="dxa"/>
          <w:left w:w="0" w:type="dxa"/>
          <w:bottom w:w="0" w:type="dxa"/>
          <w:right w:w="0" w:type="dxa"/>
        </w:tblCellMar>
      </w:tblPr>
      <w:tblGrid>
        <w:gridCol w:w="1706"/>
        <w:gridCol w:w="2329"/>
        <w:gridCol w:w="1439"/>
        <w:gridCol w:w="1511"/>
        <w:gridCol w:w="1053"/>
      </w:tblGrid>
      <w:tr>
        <w:tblPrEx>
          <w:tblCellMar>
            <w:top w:w="0" w:type="dxa"/>
            <w:left w:w="0" w:type="dxa"/>
            <w:bottom w:w="0" w:type="dxa"/>
            <w:right w:w="0" w:type="dxa"/>
          </w:tblCellMar>
        </w:tblPrEx>
        <w:trPr>
          <w:trHeight w:val="662" w:hRule="atLeast"/>
          <w:jc w:val="center"/>
        </w:trPr>
        <w:tc>
          <w:tcPr>
            <w:tcW w:w="1061" w:type="pct"/>
            <w:tcBorders>
              <w:top w:val="single" w:color="auto" w:sz="4" w:space="0"/>
              <w:left w:val="single" w:color="auto" w:sz="4" w:space="0"/>
              <w:bottom w:val="single" w:color="auto" w:sz="8" w:space="0"/>
              <w:right w:val="single" w:color="auto" w:sz="4" w:space="0"/>
            </w:tcBorders>
            <w:vAlign w:val="center"/>
          </w:tcPr>
          <w:p>
            <w:pPr>
              <w:tabs>
                <w:tab w:val="left" w:pos="5580"/>
              </w:tabs>
              <w:ind w:right="-199"/>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标段（若有）</w:t>
            </w:r>
          </w:p>
        </w:tc>
        <w:tc>
          <w:tcPr>
            <w:tcW w:w="1449" w:type="pct"/>
            <w:tcBorders>
              <w:top w:val="single" w:color="auto" w:sz="4" w:space="0"/>
              <w:left w:val="single" w:color="auto" w:sz="8" w:space="0"/>
              <w:bottom w:val="single" w:color="auto" w:sz="8" w:space="0"/>
              <w:right w:val="single" w:color="auto" w:sz="4" w:space="0"/>
            </w:tcBorders>
            <w:vAlign w:val="center"/>
          </w:tcPr>
          <w:p>
            <w:pPr>
              <w:tabs>
                <w:tab w:val="left" w:pos="5580"/>
              </w:tabs>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投标总价（单位：元）</w:t>
            </w:r>
          </w:p>
        </w:tc>
        <w:tc>
          <w:tcPr>
            <w:tcW w:w="895" w:type="pct"/>
            <w:tcBorders>
              <w:top w:val="single" w:color="auto" w:sz="8" w:space="0"/>
              <w:left w:val="nil"/>
              <w:bottom w:val="single" w:color="auto" w:sz="8" w:space="0"/>
              <w:right w:val="single" w:color="auto" w:sz="4" w:space="0"/>
            </w:tcBorders>
            <w:vAlign w:val="center"/>
          </w:tcPr>
          <w:p>
            <w:pPr>
              <w:tabs>
                <w:tab w:val="left" w:pos="5580"/>
              </w:tabs>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交货</w:t>
            </w:r>
            <w:r>
              <w:rPr>
                <w:rFonts w:hint="eastAsia" w:ascii="仿宋" w:hAnsi="仿宋" w:eastAsia="仿宋" w:cs="仿宋"/>
                <w:color w:val="auto"/>
                <w:sz w:val="24"/>
                <w:highlight w:val="none"/>
              </w:rPr>
              <w:t>期</w:t>
            </w:r>
          </w:p>
        </w:tc>
        <w:tc>
          <w:tcPr>
            <w:tcW w:w="940" w:type="pct"/>
            <w:tcBorders>
              <w:top w:val="single" w:color="auto" w:sz="8" w:space="0"/>
              <w:left w:val="nil"/>
              <w:bottom w:val="single" w:color="auto" w:sz="8" w:space="0"/>
              <w:right w:val="single" w:color="auto" w:sz="4" w:space="0"/>
            </w:tcBorders>
            <w:vAlign w:val="center"/>
          </w:tcPr>
          <w:p>
            <w:pPr>
              <w:tabs>
                <w:tab w:val="left" w:pos="5580"/>
              </w:tabs>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交货</w:t>
            </w:r>
            <w:r>
              <w:rPr>
                <w:rFonts w:hint="eastAsia" w:ascii="仿宋" w:hAnsi="仿宋" w:eastAsia="仿宋" w:cs="仿宋"/>
                <w:color w:val="auto"/>
                <w:sz w:val="24"/>
                <w:highlight w:val="none"/>
              </w:rPr>
              <w:t>地点</w:t>
            </w:r>
          </w:p>
        </w:tc>
        <w:tc>
          <w:tcPr>
            <w:tcW w:w="656" w:type="pct"/>
            <w:tcBorders>
              <w:top w:val="single" w:color="auto" w:sz="8" w:space="0"/>
              <w:left w:val="single" w:color="auto" w:sz="4" w:space="0"/>
              <w:bottom w:val="single" w:color="auto" w:sz="8" w:space="0"/>
              <w:right w:val="single" w:color="auto" w:sz="8" w:space="0"/>
            </w:tcBorders>
            <w:vAlign w:val="center"/>
          </w:tcPr>
          <w:p>
            <w:pPr>
              <w:tabs>
                <w:tab w:val="left" w:pos="5580"/>
              </w:tabs>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CellMar>
            <w:top w:w="0" w:type="dxa"/>
            <w:left w:w="0" w:type="dxa"/>
            <w:bottom w:w="0" w:type="dxa"/>
            <w:right w:w="0" w:type="dxa"/>
          </w:tblCellMar>
        </w:tblPrEx>
        <w:trPr>
          <w:cantSplit/>
          <w:trHeight w:val="1640" w:hRule="atLeast"/>
          <w:jc w:val="center"/>
        </w:trPr>
        <w:tc>
          <w:tcPr>
            <w:tcW w:w="1061" w:type="pct"/>
            <w:tcBorders>
              <w:top w:val="single" w:color="auto" w:sz="8" w:space="0"/>
              <w:left w:val="single" w:color="auto" w:sz="4" w:space="0"/>
              <w:bottom w:val="single" w:color="auto" w:sz="4" w:space="0"/>
              <w:right w:val="single" w:color="auto" w:sz="4" w:space="0"/>
            </w:tcBorders>
            <w:vAlign w:val="center"/>
          </w:tcPr>
          <w:p>
            <w:pPr>
              <w:tabs>
                <w:tab w:val="left" w:pos="5580"/>
              </w:tabs>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449" w:type="pct"/>
            <w:tcBorders>
              <w:top w:val="single" w:color="auto" w:sz="8" w:space="0"/>
              <w:left w:val="single" w:color="auto" w:sz="8" w:space="0"/>
              <w:bottom w:val="single" w:color="auto" w:sz="4" w:space="0"/>
              <w:right w:val="single" w:color="auto" w:sz="4" w:space="0"/>
            </w:tcBorders>
            <w:vAlign w:val="center"/>
          </w:tcPr>
          <w:p>
            <w:pPr>
              <w:tabs>
                <w:tab w:val="left" w:pos="558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大写：</w:t>
            </w:r>
          </w:p>
          <w:p>
            <w:pPr>
              <w:tabs>
                <w:tab w:val="left" w:pos="558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小写：</w:t>
            </w:r>
          </w:p>
        </w:tc>
        <w:tc>
          <w:tcPr>
            <w:tcW w:w="895" w:type="pct"/>
            <w:tcBorders>
              <w:top w:val="single" w:color="auto" w:sz="8" w:space="0"/>
              <w:left w:val="nil"/>
              <w:bottom w:val="single" w:color="auto" w:sz="4" w:space="0"/>
              <w:right w:val="single" w:color="auto" w:sz="4" w:space="0"/>
            </w:tcBorders>
            <w:vAlign w:val="center"/>
          </w:tcPr>
          <w:p>
            <w:pPr>
              <w:tabs>
                <w:tab w:val="left" w:pos="5580"/>
              </w:tabs>
              <w:jc w:val="center"/>
              <w:rPr>
                <w:rFonts w:hint="eastAsia" w:ascii="仿宋" w:hAnsi="仿宋" w:eastAsia="仿宋" w:cs="仿宋"/>
                <w:color w:val="auto"/>
                <w:sz w:val="24"/>
                <w:highlight w:val="none"/>
              </w:rPr>
            </w:pPr>
          </w:p>
        </w:tc>
        <w:tc>
          <w:tcPr>
            <w:tcW w:w="940" w:type="pct"/>
            <w:tcBorders>
              <w:top w:val="single" w:color="auto" w:sz="8" w:space="0"/>
              <w:left w:val="nil"/>
              <w:bottom w:val="single" w:color="auto" w:sz="4" w:space="0"/>
              <w:right w:val="single" w:color="auto" w:sz="4" w:space="0"/>
            </w:tcBorders>
            <w:vAlign w:val="center"/>
          </w:tcPr>
          <w:p>
            <w:pPr>
              <w:tabs>
                <w:tab w:val="left" w:pos="5580"/>
              </w:tabs>
              <w:jc w:val="center"/>
              <w:rPr>
                <w:rFonts w:hint="eastAsia" w:ascii="仿宋" w:hAnsi="仿宋" w:eastAsia="仿宋" w:cs="仿宋"/>
                <w:color w:val="auto"/>
                <w:sz w:val="24"/>
                <w:highlight w:val="none"/>
              </w:rPr>
            </w:pPr>
          </w:p>
        </w:tc>
        <w:tc>
          <w:tcPr>
            <w:tcW w:w="656" w:type="pct"/>
            <w:tcBorders>
              <w:top w:val="single" w:color="auto" w:sz="8" w:space="0"/>
              <w:left w:val="single" w:color="auto" w:sz="4" w:space="0"/>
              <w:bottom w:val="single" w:color="auto" w:sz="4" w:space="0"/>
              <w:right w:val="single" w:color="auto" w:sz="8" w:space="0"/>
            </w:tcBorders>
            <w:vAlign w:val="center"/>
          </w:tcPr>
          <w:p>
            <w:pPr>
              <w:tabs>
                <w:tab w:val="left" w:pos="5580"/>
              </w:tabs>
              <w:spacing w:line="360" w:lineRule="auto"/>
              <w:jc w:val="center"/>
              <w:rPr>
                <w:rFonts w:hint="eastAsia" w:ascii="仿宋" w:hAnsi="仿宋" w:eastAsia="仿宋" w:cs="仿宋"/>
                <w:color w:val="auto"/>
                <w:sz w:val="24"/>
                <w:highlight w:val="none"/>
              </w:rPr>
            </w:pPr>
          </w:p>
        </w:tc>
      </w:tr>
    </w:tbl>
    <w:p>
      <w:pPr>
        <w:pStyle w:val="18"/>
        <w:tabs>
          <w:tab w:val="left" w:pos="5580"/>
        </w:tabs>
        <w:spacing w:line="360" w:lineRule="auto"/>
        <w:rPr>
          <w:rFonts w:hint="eastAsia" w:ascii="仿宋" w:hAnsi="仿宋" w:eastAsia="仿宋" w:cs="仿宋"/>
          <w:color w:val="auto"/>
          <w:sz w:val="24"/>
          <w:highlight w:val="none"/>
          <w:u w:val="single"/>
        </w:rPr>
      </w:pPr>
    </w:p>
    <w:p>
      <w:pPr>
        <w:pStyle w:val="18"/>
        <w:tabs>
          <w:tab w:val="left" w:pos="5580"/>
        </w:tabs>
        <w:spacing w:line="360" w:lineRule="auto"/>
        <w:rPr>
          <w:rFonts w:hint="eastAsia" w:ascii="仿宋" w:hAnsi="仿宋" w:eastAsia="仿宋" w:cs="仿宋"/>
          <w:color w:val="auto"/>
          <w:sz w:val="24"/>
          <w:highlight w:val="none"/>
        </w:rPr>
      </w:pPr>
      <w:bookmarkStart w:id="348" w:name="_Hlk126244510"/>
      <w:r>
        <w:rPr>
          <w:rFonts w:hint="eastAsia" w:ascii="仿宋" w:hAnsi="仿宋" w:eastAsia="仿宋" w:cs="仿宋"/>
          <w:color w:val="auto"/>
          <w:sz w:val="24"/>
          <w:highlight w:val="none"/>
        </w:rPr>
        <w:t>投标人（盖章）：</w:t>
      </w:r>
    </w:p>
    <w:p>
      <w:pPr>
        <w:pStyle w:val="18"/>
        <w:tabs>
          <w:tab w:val="left" w:pos="5580"/>
        </w:tabs>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法定代表人或授权代表（</w:t>
      </w:r>
      <w:r>
        <w:rPr>
          <w:rFonts w:hint="eastAsia" w:ascii="仿宋" w:hAnsi="仿宋" w:eastAsia="仿宋" w:cs="仿宋"/>
          <w:bCs/>
          <w:color w:val="auto"/>
          <w:sz w:val="24"/>
          <w:highlight w:val="none"/>
        </w:rPr>
        <w:t>签字或盖章</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p>
    <w:bookmarkEnd w:id="348"/>
    <w:p>
      <w:pPr>
        <w:pStyle w:val="18"/>
        <w:tabs>
          <w:tab w:val="left" w:pos="5580"/>
        </w:tabs>
        <w:spacing w:line="360" w:lineRule="auto"/>
        <w:rPr>
          <w:rFonts w:hint="eastAsia" w:ascii="仿宋" w:hAnsi="仿宋" w:eastAsia="仿宋" w:cs="仿宋"/>
          <w:color w:val="auto"/>
          <w:sz w:val="24"/>
          <w:highlight w:val="none"/>
        </w:rPr>
      </w:pPr>
    </w:p>
    <w:p>
      <w:pPr>
        <w:pStyle w:val="18"/>
        <w:tabs>
          <w:tab w:val="left" w:pos="5580"/>
        </w:tabs>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注：此表中，每标段的投标总价应和投标分项报价表的总价相一致。</w:t>
      </w:r>
    </w:p>
    <w:p>
      <w:pPr>
        <w:widowControl/>
        <w:spacing w:line="360" w:lineRule="auto"/>
        <w:jc w:val="left"/>
        <w:rPr>
          <w:rFonts w:hint="eastAsia" w:ascii="仿宋" w:hAnsi="仿宋" w:eastAsia="仿宋" w:cs="仿宋"/>
          <w:color w:val="auto"/>
          <w:sz w:val="24"/>
          <w:szCs w:val="32"/>
          <w:highlight w:val="none"/>
        </w:rPr>
      </w:pPr>
      <w:bookmarkStart w:id="349" w:name="_Toc60928906"/>
      <w:bookmarkStart w:id="350" w:name="_Toc60929138"/>
      <w:bookmarkStart w:id="351" w:name="_Toc216582815"/>
      <w:bookmarkStart w:id="352" w:name="_Toc1881"/>
      <w:bookmarkStart w:id="353" w:name="_Toc515647818"/>
      <w:bookmarkStart w:id="354" w:name="_Toc20897"/>
      <w:bookmarkStart w:id="355" w:name="_Toc532473507"/>
      <w:r>
        <w:rPr>
          <w:rFonts w:hint="eastAsia" w:ascii="仿宋" w:hAnsi="仿宋" w:eastAsia="仿宋" w:cs="仿宋"/>
          <w:color w:val="auto"/>
          <w:sz w:val="24"/>
          <w:szCs w:val="32"/>
          <w:highlight w:val="none"/>
        </w:rPr>
        <w:br w:type="page"/>
      </w:r>
    </w:p>
    <w:p>
      <w:pPr>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（投标文件格式三）</w:t>
      </w:r>
      <w:bookmarkEnd w:id="349"/>
      <w:bookmarkEnd w:id="350"/>
    </w:p>
    <w:p>
      <w:pPr>
        <w:pStyle w:val="2"/>
        <w:rPr>
          <w:rFonts w:hint="eastAsia" w:ascii="仿宋" w:hAnsi="仿宋" w:eastAsia="仿宋" w:cs="仿宋"/>
          <w:color w:val="auto"/>
          <w:sz w:val="24"/>
          <w:szCs w:val="32"/>
          <w:highlight w:val="none"/>
        </w:rPr>
      </w:pPr>
    </w:p>
    <w:p>
      <w:pPr>
        <w:pStyle w:val="7"/>
        <w:ind w:firstLine="0" w:firstLineChars="0"/>
        <w:jc w:val="center"/>
        <w:rPr>
          <w:rFonts w:hint="eastAsia" w:ascii="仿宋" w:hAnsi="仿宋" w:eastAsia="仿宋" w:cs="仿宋"/>
          <w:color w:val="auto"/>
          <w:sz w:val="32"/>
          <w:szCs w:val="32"/>
          <w:highlight w:val="none"/>
        </w:rPr>
      </w:pPr>
      <w:bookmarkStart w:id="356" w:name="_Toc21547"/>
      <w:r>
        <w:rPr>
          <w:rFonts w:hint="eastAsia" w:ascii="仿宋" w:hAnsi="仿宋" w:eastAsia="仿宋" w:cs="仿宋"/>
          <w:color w:val="auto"/>
          <w:sz w:val="32"/>
          <w:szCs w:val="32"/>
          <w:highlight w:val="none"/>
        </w:rPr>
        <w:t>投标分项报价表</w:t>
      </w:r>
      <w:bookmarkEnd w:id="356"/>
    </w:p>
    <w:p>
      <w:pPr>
        <w:pStyle w:val="2"/>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6"/>
        <w:ind w:left="0" w:leftChars="0" w:firstLine="0" w:firstLineChars="0"/>
        <w:rPr>
          <w:rFonts w:hint="eastAsia" w:ascii="仿宋" w:hAnsi="仿宋" w:eastAsia="仿宋" w:cs="仿宋"/>
          <w:color w:val="auto"/>
          <w:highlight w:val="none"/>
        </w:rPr>
      </w:pPr>
      <w:r>
        <w:rPr>
          <w:rFonts w:hint="eastAsia" w:ascii="仿宋" w:hAnsi="仿宋" w:eastAsia="仿宋" w:cs="仿宋"/>
          <w:color w:val="auto"/>
          <w:sz w:val="24"/>
          <w:highlight w:val="none"/>
        </w:rPr>
        <w:t xml:space="preserve">标段: </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p>
    <w:tbl>
      <w:tblPr>
        <w:tblStyle w:val="36"/>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28"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产品</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1188"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型号</w:t>
            </w:r>
          </w:p>
        </w:tc>
        <w:tc>
          <w:tcPr>
            <w:tcW w:w="1560"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厂家</w:t>
            </w:r>
          </w:p>
        </w:tc>
        <w:tc>
          <w:tcPr>
            <w:tcW w:w="992"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276"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tc>
        <w:tc>
          <w:tcPr>
            <w:tcW w:w="1134"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小计</w:t>
            </w:r>
          </w:p>
        </w:tc>
        <w:tc>
          <w:tcPr>
            <w:tcW w:w="708" w:type="dxa"/>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1560" w:type="dxa"/>
            <w:noWrap w:val="0"/>
            <w:vAlign w:val="top"/>
          </w:tcPr>
          <w:p>
            <w:pPr>
              <w:adjustRightInd w:val="0"/>
              <w:snapToGrid w:val="0"/>
              <w:spacing w:line="360" w:lineRule="auto"/>
              <w:rPr>
                <w:rFonts w:hint="eastAsia" w:ascii="仿宋" w:hAnsi="仿宋" w:eastAsia="仿宋" w:cs="仿宋"/>
                <w:color w:val="auto"/>
                <w:sz w:val="24"/>
                <w:highlight w:val="none"/>
              </w:rPr>
            </w:pPr>
          </w:p>
        </w:tc>
        <w:tc>
          <w:tcPr>
            <w:tcW w:w="992"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noWrap w:val="0"/>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noWrap w:val="0"/>
            <w:vAlign w:val="center"/>
          </w:tcPr>
          <w:p>
            <w:pPr>
              <w:adjustRightInd w:val="0"/>
              <w:snapToGrid w:val="0"/>
              <w:spacing w:line="360" w:lineRule="auto"/>
              <w:rPr>
                <w:rFonts w:hint="eastAsia" w:ascii="仿宋" w:hAnsi="仿宋" w:eastAsia="仿宋" w:cs="仿宋"/>
                <w:color w:val="auto"/>
                <w:sz w:val="24"/>
                <w:highlight w:val="none"/>
              </w:rPr>
            </w:pPr>
          </w:p>
        </w:tc>
      </w:tr>
      <w:bookmarkEnd w:id="351"/>
      <w:bookmarkEnd w:id="352"/>
      <w:bookmarkEnd w:id="353"/>
      <w:bookmarkEnd w:id="354"/>
      <w:bookmarkEnd w:id="355"/>
    </w:tbl>
    <w:p>
      <w:pPr>
        <w:pStyle w:val="14"/>
        <w:spacing w:after="0" w:line="360" w:lineRule="auto"/>
        <w:ind w:left="0" w:leftChars="0" w:right="0" w:rightChars="0"/>
        <w:rPr>
          <w:rFonts w:hint="eastAsia" w:ascii="仿宋" w:hAnsi="仿宋" w:eastAsia="仿宋" w:cs="仿宋"/>
          <w:color w:val="auto"/>
          <w:highlight w:val="none"/>
        </w:rPr>
      </w:pPr>
    </w:p>
    <w:p>
      <w:pPr>
        <w:tabs>
          <w:tab w:val="left" w:pos="5580"/>
        </w:tabs>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投标人（盖章）：</w:t>
      </w:r>
    </w:p>
    <w:p>
      <w:pPr>
        <w:tabs>
          <w:tab w:val="left" w:pos="5580"/>
        </w:tabs>
        <w:spacing w:line="360" w:lineRule="auto"/>
        <w:rPr>
          <w:rFonts w:hint="eastAsia" w:ascii="仿宋" w:hAnsi="仿宋" w:eastAsia="仿宋" w:cs="仿宋"/>
          <w:color w:val="auto"/>
          <w:sz w:val="24"/>
          <w:szCs w:val="20"/>
          <w:highlight w:val="none"/>
          <w:u w:val="single"/>
        </w:rPr>
      </w:pPr>
      <w:r>
        <w:rPr>
          <w:rFonts w:hint="eastAsia" w:ascii="仿宋" w:hAnsi="仿宋" w:eastAsia="仿宋" w:cs="仿宋"/>
          <w:color w:val="auto"/>
          <w:sz w:val="24"/>
          <w:szCs w:val="20"/>
          <w:highlight w:val="none"/>
        </w:rPr>
        <w:t>法定代表人或授权代表（</w:t>
      </w:r>
      <w:r>
        <w:rPr>
          <w:rFonts w:hint="eastAsia" w:ascii="仿宋" w:hAnsi="仿宋" w:eastAsia="仿宋" w:cs="仿宋"/>
          <w:bCs/>
          <w:color w:val="auto"/>
          <w:sz w:val="24"/>
          <w:szCs w:val="20"/>
          <w:highlight w:val="none"/>
        </w:rPr>
        <w:t>签字或盖章</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u w:val="singl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tabs>
          <w:tab w:val="center" w:pos="4535"/>
          <w:tab w:val="left" w:pos="6521"/>
        </w:tabs>
        <w:autoSpaceDE w:val="0"/>
        <w:autoSpaceDN w:val="0"/>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投标分项报价表附件：</w:t>
      </w:r>
    </w:p>
    <w:p>
      <w:pPr>
        <w:tabs>
          <w:tab w:val="center" w:pos="4535"/>
          <w:tab w:val="left" w:pos="6521"/>
        </w:tabs>
        <w:autoSpaceDE w:val="0"/>
        <w:autoSpaceDN w:val="0"/>
        <w:adjustRightInd w:val="0"/>
        <w:snapToGrid w:val="0"/>
        <w:spacing w:line="360" w:lineRule="auto"/>
        <w:rPr>
          <w:rFonts w:hint="eastAsia" w:ascii="仿宋" w:hAnsi="仿宋" w:eastAsia="仿宋" w:cs="仿宋"/>
          <w:color w:val="auto"/>
          <w:sz w:val="24"/>
          <w:highlight w:val="none"/>
        </w:rPr>
      </w:pPr>
    </w:p>
    <w:p>
      <w:pPr>
        <w:pStyle w:val="7"/>
        <w:ind w:firstLine="0" w:firstLineChars="0"/>
        <w:jc w:val="center"/>
        <w:rPr>
          <w:rFonts w:hint="eastAsia" w:ascii="仿宋" w:hAnsi="仿宋" w:eastAsia="仿宋" w:cs="仿宋"/>
          <w:color w:val="auto"/>
          <w:sz w:val="32"/>
          <w:szCs w:val="32"/>
          <w:highlight w:val="none"/>
          <w:lang w:val="zh-CN"/>
        </w:rPr>
      </w:pPr>
      <w:bookmarkStart w:id="357" w:name="_Toc566"/>
      <w:r>
        <w:rPr>
          <w:rFonts w:hint="eastAsia" w:ascii="仿宋" w:hAnsi="仿宋" w:eastAsia="仿宋" w:cs="仿宋"/>
          <w:color w:val="auto"/>
          <w:sz w:val="32"/>
          <w:szCs w:val="32"/>
          <w:highlight w:val="none"/>
          <w:lang w:val="zh-CN"/>
        </w:rPr>
        <w:t>节能产品、环境标志产品明细表</w:t>
      </w:r>
      <w:bookmarkEnd w:id="357"/>
    </w:p>
    <w:p>
      <w:pPr>
        <w:pStyle w:val="2"/>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p>
      <w:pPr>
        <w:pStyle w:val="6"/>
        <w:ind w:firstLine="0"/>
        <w:rPr>
          <w:rFonts w:hint="eastAsia" w:ascii="仿宋" w:hAnsi="仿宋" w:eastAsia="仿宋" w:cs="仿宋"/>
          <w:color w:val="auto"/>
          <w:highlight w:val="none"/>
        </w:rPr>
      </w:pPr>
      <w:r>
        <w:rPr>
          <w:rFonts w:hint="eastAsia" w:ascii="仿宋" w:hAnsi="仿宋" w:eastAsia="仿宋" w:cs="仿宋"/>
          <w:color w:val="auto"/>
          <w:highlight w:val="none"/>
        </w:rPr>
        <w:t>项目名称：</w:t>
      </w:r>
    </w:p>
    <w:tbl>
      <w:tblPr>
        <w:tblStyle w:val="36"/>
        <w:tblW w:w="0" w:type="auto"/>
        <w:jc w:val="center"/>
        <w:tblLayout w:type="fixed"/>
        <w:tblCellMar>
          <w:top w:w="0" w:type="dxa"/>
          <w:left w:w="108" w:type="dxa"/>
          <w:bottom w:w="0" w:type="dxa"/>
          <w:right w:w="108" w:type="dxa"/>
        </w:tblCellMar>
      </w:tblPr>
      <w:tblGrid>
        <w:gridCol w:w="716"/>
        <w:gridCol w:w="1554"/>
        <w:gridCol w:w="1036"/>
        <w:gridCol w:w="1036"/>
        <w:gridCol w:w="922"/>
        <w:gridCol w:w="1470"/>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序</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号</w:t>
            </w:r>
          </w:p>
        </w:tc>
        <w:tc>
          <w:tcPr>
            <w:tcW w:w="15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产品</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名称</w:t>
            </w:r>
          </w:p>
        </w:tc>
        <w:tc>
          <w:tcPr>
            <w:tcW w:w="103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厂家</w:t>
            </w:r>
          </w:p>
        </w:tc>
        <w:tc>
          <w:tcPr>
            <w:tcW w:w="103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规格</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型号</w:t>
            </w: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类别</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认证证书</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编号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数</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量</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单</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总</w:t>
            </w:r>
          </w:p>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价</w:t>
            </w:r>
          </w:p>
        </w:tc>
      </w:tr>
      <w:tr>
        <w:tblPrEx>
          <w:tblCellMar>
            <w:top w:w="0" w:type="dxa"/>
            <w:left w:w="108" w:type="dxa"/>
            <w:bottom w:w="0" w:type="dxa"/>
            <w:right w:w="108" w:type="dxa"/>
          </w:tblCellMar>
        </w:tblPrEx>
        <w:trPr>
          <w:trHeight w:val="622" w:hRule="atLeast"/>
          <w:jc w:val="center"/>
        </w:trPr>
        <w:tc>
          <w:tcPr>
            <w:tcW w:w="8882"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（1）强制采购类</w:t>
            </w: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9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22" w:hRule="atLeast"/>
          <w:jc w:val="center"/>
        </w:trPr>
        <w:tc>
          <w:tcPr>
            <w:tcW w:w="8882"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（2）优先采购类</w:t>
            </w: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92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22"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92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22" w:hRule="atLeast"/>
          <w:jc w:val="center"/>
        </w:trPr>
        <w:tc>
          <w:tcPr>
            <w:tcW w:w="526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合计（人民币）</w:t>
            </w:r>
          </w:p>
        </w:tc>
        <w:tc>
          <w:tcPr>
            <w:tcW w:w="36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22" w:hRule="atLeast"/>
          <w:jc w:val="center"/>
        </w:trPr>
        <w:tc>
          <w:tcPr>
            <w:tcW w:w="526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占总价的百分比（%）</w:t>
            </w:r>
          </w:p>
        </w:tc>
        <w:tc>
          <w:tcPr>
            <w:tcW w:w="36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仿宋" w:hAnsi="仿宋" w:eastAsia="仿宋" w:cs="仿宋"/>
                <w:color w:val="auto"/>
                <w:sz w:val="24"/>
                <w:highlight w:val="none"/>
              </w:rPr>
            </w:pPr>
          </w:p>
        </w:tc>
      </w:tr>
    </w:tbl>
    <w:p>
      <w:pPr>
        <w:adjustRightInd w:val="0"/>
        <w:snapToGrid w:val="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说明：</w:t>
      </w:r>
    </w:p>
    <w:p>
      <w:pPr>
        <w:adjustRightInd w:val="0"/>
        <w:snapToGrid w:val="0"/>
        <w:ind w:firstLine="420" w:firstLineChars="200"/>
        <w:jc w:val="left"/>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zh-CN"/>
        </w:rPr>
        <w:t>如投标产品为</w:t>
      </w:r>
      <w:r>
        <w:rPr>
          <w:rFonts w:hint="eastAsia" w:ascii="仿宋" w:hAnsi="仿宋" w:eastAsia="仿宋" w:cs="仿宋"/>
          <w:color w:val="auto"/>
          <w:szCs w:val="21"/>
          <w:highlight w:val="none"/>
        </w:rPr>
        <w:t>品目清单中的</w:t>
      </w:r>
      <w:r>
        <w:rPr>
          <w:rFonts w:hint="eastAsia" w:ascii="仿宋" w:hAnsi="仿宋" w:eastAsia="仿宋" w:cs="仿宋"/>
          <w:color w:val="auto"/>
          <w:szCs w:val="21"/>
          <w:highlight w:val="none"/>
          <w:lang w:val="zh-CN"/>
        </w:rPr>
        <w:t>节能产品、环境标志产品，须按格式逐项填写，并附相关证明，否则评审时不予计分。</w:t>
      </w:r>
    </w:p>
    <w:p>
      <w:pPr>
        <w:numPr>
          <w:ilvl w:val="0"/>
          <w:numId w:val="4"/>
        </w:numPr>
        <w:adjustRightInd w:val="0"/>
        <w:snapToGrid w:val="0"/>
        <w:ind w:firstLine="420" w:firstLineChars="200"/>
        <w:jc w:val="left"/>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类别填写：节能产品或环境标志产品。</w:t>
      </w:r>
    </w:p>
    <w:p>
      <w:pPr>
        <w:tabs>
          <w:tab w:val="center" w:pos="4153"/>
          <w:tab w:val="right" w:pos="8306"/>
        </w:tabs>
        <w:adjustRightInd w:val="0"/>
        <w:snapToGrid w:val="0"/>
        <w:ind w:firstLine="420" w:firstLineChars="200"/>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val="zh-CN"/>
        </w:rPr>
        <w:t>若所投产品为政府强制采购的节能产品，需提供响应产品经国家确定的认证机构出具的、处于有效期内的节能产品认证证书。</w:t>
      </w:r>
      <w:r>
        <w:rPr>
          <w:rFonts w:hint="eastAsia" w:ascii="仿宋" w:hAnsi="仿宋" w:eastAsia="仿宋" w:cs="仿宋"/>
          <w:color w:val="auto"/>
          <w:szCs w:val="21"/>
          <w:highlight w:val="none"/>
        </w:rPr>
        <w:t>强制类产品</w:t>
      </w:r>
      <w:r>
        <w:rPr>
          <w:rFonts w:hint="eastAsia" w:ascii="仿宋" w:hAnsi="仿宋" w:eastAsia="仿宋" w:cs="仿宋"/>
          <w:color w:val="auto"/>
          <w:szCs w:val="21"/>
          <w:highlight w:val="none"/>
          <w:lang w:val="zh-CN"/>
        </w:rPr>
        <w:t>具体品目详见《关于印发节能产品政府采购品目清单的通知》（财库[2019]19号文）</w:t>
      </w:r>
      <w:r>
        <w:rPr>
          <w:rFonts w:hint="eastAsia" w:ascii="仿宋" w:hAnsi="仿宋" w:eastAsia="仿宋" w:cs="仿宋"/>
          <w:color w:val="auto"/>
          <w:szCs w:val="21"/>
          <w:highlight w:val="none"/>
        </w:rPr>
        <w:t>。</w:t>
      </w:r>
    </w:p>
    <w:p>
      <w:pPr>
        <w:autoSpaceDE w:val="0"/>
        <w:autoSpaceDN w:val="0"/>
        <w:adjustRightInd w:val="0"/>
        <w:snapToGrid w:val="0"/>
        <w:spacing w:line="360" w:lineRule="auto"/>
        <w:ind w:firstLine="1920" w:firstLineChars="800"/>
        <w:rPr>
          <w:rFonts w:hint="eastAsia" w:ascii="仿宋" w:hAnsi="仿宋" w:eastAsia="仿宋" w:cs="仿宋"/>
          <w:color w:val="auto"/>
          <w:sz w:val="24"/>
          <w:highlight w:val="none"/>
          <w:u w:val="single"/>
        </w:rPr>
      </w:pPr>
    </w:p>
    <w:p>
      <w:pPr>
        <w:spacing w:line="360" w:lineRule="auto"/>
        <w:ind w:firstLine="1920" w:firstLineChars="8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（盖</w:t>
      </w:r>
      <w:r>
        <w:rPr>
          <w:rFonts w:hint="eastAsia" w:ascii="仿宋" w:hAnsi="仿宋" w:eastAsia="仿宋" w:cs="仿宋"/>
          <w:color w:val="auto"/>
          <w:sz w:val="24"/>
          <w:highlight w:val="none"/>
          <w:lang w:val="en-US" w:eastAsia="zh-CN"/>
        </w:rPr>
        <w:t>公</w:t>
      </w:r>
      <w:r>
        <w:rPr>
          <w:rFonts w:hint="eastAsia" w:ascii="仿宋" w:hAnsi="仿宋" w:eastAsia="仿宋" w:cs="仿宋"/>
          <w:color w:val="auto"/>
          <w:sz w:val="24"/>
          <w:highlight w:val="none"/>
        </w:rPr>
        <w:t>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spacing w:line="360" w:lineRule="auto"/>
        <w:ind w:firstLine="1920" w:firstLineChars="8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法定代表人或授权代表（签字</w:t>
      </w:r>
      <w:r>
        <w:rPr>
          <w:rFonts w:hint="eastAsia" w:ascii="仿宋" w:hAnsi="仿宋" w:eastAsia="仿宋" w:cs="仿宋"/>
          <w:color w:val="auto"/>
          <w:sz w:val="24"/>
          <w:highlight w:val="none"/>
          <w:lang w:val="en-US" w:eastAsia="zh-CN"/>
        </w:rPr>
        <w:t>或盖章</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pStyle w:val="2"/>
        <w:rPr>
          <w:rFonts w:hint="eastAsia" w:ascii="仿宋" w:hAnsi="仿宋" w:eastAsia="仿宋" w:cs="仿宋"/>
          <w:color w:val="auto"/>
          <w:sz w:val="24"/>
          <w:highlight w:val="none"/>
          <w:u w:val="single"/>
        </w:rPr>
      </w:pPr>
    </w:p>
    <w:p>
      <w:pPr>
        <w:pStyle w:val="3"/>
        <w:rPr>
          <w:rFonts w:hint="eastAsia" w:ascii="仿宋" w:hAnsi="仿宋" w:eastAsia="仿宋" w:cs="仿宋"/>
          <w:color w:val="auto"/>
          <w:highlight w:val="none"/>
        </w:rPr>
      </w:pPr>
    </w:p>
    <w:p>
      <w:pPr>
        <w:pStyle w:val="14"/>
        <w:spacing w:after="0" w:line="360" w:lineRule="auto"/>
        <w:ind w:left="0" w:leftChars="0" w:right="0" w:rightChars="0"/>
        <w:rPr>
          <w:rFonts w:hint="eastAsia" w:ascii="仿宋" w:hAnsi="仿宋" w:eastAsia="仿宋" w:cs="仿宋"/>
          <w:color w:val="auto"/>
          <w:highlight w:val="none"/>
        </w:rPr>
      </w:pP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（投标文件格式四）</w:t>
      </w:r>
    </w:p>
    <w:p>
      <w:pPr>
        <w:pStyle w:val="7"/>
        <w:ind w:firstLine="0" w:firstLineChars="0"/>
        <w:jc w:val="center"/>
        <w:rPr>
          <w:rFonts w:hint="eastAsia" w:ascii="仿宋" w:hAnsi="仿宋" w:eastAsia="仿宋" w:cs="仿宋"/>
          <w:color w:val="auto"/>
          <w:sz w:val="32"/>
          <w:szCs w:val="32"/>
          <w:highlight w:val="none"/>
        </w:rPr>
      </w:pPr>
      <w:bookmarkStart w:id="358" w:name="_Toc62194352"/>
      <w:bookmarkStart w:id="359" w:name="_Toc60928908"/>
      <w:bookmarkStart w:id="360" w:name="_Toc7629"/>
      <w:bookmarkStart w:id="361" w:name="_Toc60929140"/>
      <w:bookmarkStart w:id="362" w:name="_Toc216582817"/>
      <w:bookmarkStart w:id="363" w:name="_Toc532473509"/>
      <w:bookmarkStart w:id="364" w:name="_Toc515647820"/>
      <w:bookmarkStart w:id="365" w:name="_Toc28959"/>
      <w:bookmarkStart w:id="366" w:name="_Toc22563"/>
      <w:r>
        <w:rPr>
          <w:rFonts w:hint="eastAsia" w:ascii="仿宋" w:hAnsi="仿宋" w:eastAsia="仿宋" w:cs="仿宋"/>
          <w:color w:val="auto"/>
          <w:sz w:val="32"/>
          <w:szCs w:val="32"/>
          <w:highlight w:val="none"/>
        </w:rPr>
        <w:t>技术偏离表</w:t>
      </w:r>
      <w:bookmarkEnd w:id="358"/>
      <w:bookmarkEnd w:id="359"/>
      <w:bookmarkEnd w:id="360"/>
      <w:bookmarkEnd w:id="361"/>
      <w:bookmarkEnd w:id="362"/>
    </w:p>
    <w:bookmarkEnd w:id="363"/>
    <w:bookmarkEnd w:id="364"/>
    <w:bookmarkEnd w:id="365"/>
    <w:bookmarkEnd w:id="366"/>
    <w:p>
      <w:pPr>
        <w:pStyle w:val="2"/>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18"/>
        <w:wordWrap w:val="0"/>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标段: </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p>
    <w:tbl>
      <w:tblPr>
        <w:tblStyle w:val="3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22"/>
        <w:gridCol w:w="993"/>
        <w:gridCol w:w="1842"/>
        <w:gridCol w:w="1560"/>
        <w:gridCol w:w="1134"/>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center"/>
          </w:tcPr>
          <w:p>
            <w:pPr>
              <w:pStyle w:val="18"/>
              <w:ind w:left="-31" w:leftChars="-15"/>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22" w:type="dxa"/>
            <w:noWrap w:val="0"/>
            <w:vAlign w:val="center"/>
          </w:tcPr>
          <w:p>
            <w:pPr>
              <w:pStyle w:val="18"/>
              <w:ind w:left="-149" w:leftChars="-71"/>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货物名称</w:t>
            </w:r>
          </w:p>
        </w:tc>
        <w:tc>
          <w:tcPr>
            <w:tcW w:w="993" w:type="dxa"/>
            <w:noWrap w:val="0"/>
            <w:vAlign w:val="center"/>
          </w:tcPr>
          <w:p>
            <w:pPr>
              <w:pStyle w:val="18"/>
              <w:ind w:left="-107" w:leftChars="-51"/>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842" w:type="dxa"/>
            <w:noWrap w:val="0"/>
            <w:vAlign w:val="center"/>
          </w:tcPr>
          <w:p>
            <w:pPr>
              <w:pStyle w:val="18"/>
              <w:ind w:left="-206" w:leftChars="-98" w:right="-166" w:rightChars="-79"/>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招标要求</w:t>
            </w:r>
          </w:p>
        </w:tc>
        <w:tc>
          <w:tcPr>
            <w:tcW w:w="1560" w:type="dxa"/>
            <w:noWrap w:val="0"/>
            <w:vAlign w:val="center"/>
          </w:tcPr>
          <w:p>
            <w:pPr>
              <w:pStyle w:val="18"/>
              <w:ind w:left="-48" w:leftChars="-23"/>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投标响应</w:t>
            </w:r>
          </w:p>
        </w:tc>
        <w:tc>
          <w:tcPr>
            <w:tcW w:w="1134" w:type="dxa"/>
            <w:noWrap w:val="0"/>
            <w:vAlign w:val="center"/>
          </w:tcPr>
          <w:p>
            <w:pPr>
              <w:pStyle w:val="18"/>
              <w:ind w:left="-34" w:leftChars="-16"/>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偏离</w:t>
            </w:r>
          </w:p>
        </w:tc>
        <w:tc>
          <w:tcPr>
            <w:tcW w:w="1112" w:type="dxa"/>
            <w:noWrap w:val="0"/>
            <w:vAlign w:val="center"/>
          </w:tcPr>
          <w:p>
            <w:pPr>
              <w:pStyle w:val="18"/>
              <w:ind w:left="-82" w:leftChars="-39"/>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42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993"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84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560"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34"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1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42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993"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84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560"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34"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1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42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993"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84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560"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34"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1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42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993"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84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560"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34"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1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42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993"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84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560"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34"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1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42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993"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84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560"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34"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c>
          <w:tcPr>
            <w:tcW w:w="1112" w:type="dxa"/>
            <w:noWrap w:val="0"/>
            <w:vAlign w:val="top"/>
          </w:tcPr>
          <w:p>
            <w:pPr>
              <w:pStyle w:val="18"/>
              <w:spacing w:line="360" w:lineRule="auto"/>
              <w:ind w:left="1080" w:leftChars="257" w:hanging="540"/>
              <w:rPr>
                <w:rFonts w:hint="eastAsia" w:ascii="仿宋" w:hAnsi="仿宋" w:eastAsia="仿宋" w:cs="仿宋"/>
                <w:color w:val="auto"/>
                <w:sz w:val="24"/>
                <w:highlight w:val="none"/>
              </w:rPr>
            </w:pPr>
          </w:p>
        </w:tc>
      </w:tr>
    </w:tbl>
    <w:p>
      <w:pPr>
        <w:tabs>
          <w:tab w:val="left" w:pos="5580"/>
        </w:tabs>
        <w:spacing w:line="360" w:lineRule="auto"/>
        <w:rPr>
          <w:rFonts w:hint="eastAsia" w:ascii="仿宋" w:hAnsi="仿宋" w:eastAsia="仿宋" w:cs="仿宋"/>
          <w:color w:val="auto"/>
          <w:sz w:val="24"/>
          <w:szCs w:val="20"/>
          <w:highlight w:val="none"/>
        </w:rPr>
      </w:pPr>
    </w:p>
    <w:p>
      <w:pPr>
        <w:tabs>
          <w:tab w:val="left" w:pos="5580"/>
        </w:tabs>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投标人（盖章）：</w:t>
      </w:r>
    </w:p>
    <w:p>
      <w:pPr>
        <w:tabs>
          <w:tab w:val="left" w:pos="5580"/>
        </w:tabs>
        <w:spacing w:line="360" w:lineRule="auto"/>
        <w:rPr>
          <w:rFonts w:hint="eastAsia" w:ascii="仿宋" w:hAnsi="仿宋" w:eastAsia="仿宋" w:cs="仿宋"/>
          <w:color w:val="auto"/>
          <w:sz w:val="24"/>
          <w:szCs w:val="20"/>
          <w:highlight w:val="none"/>
          <w:u w:val="single"/>
        </w:rPr>
      </w:pPr>
      <w:r>
        <w:rPr>
          <w:rFonts w:hint="eastAsia" w:ascii="仿宋" w:hAnsi="仿宋" w:eastAsia="仿宋" w:cs="仿宋"/>
          <w:color w:val="auto"/>
          <w:sz w:val="24"/>
          <w:szCs w:val="20"/>
          <w:highlight w:val="none"/>
        </w:rPr>
        <w:t>法定代表人或授权代表（</w:t>
      </w:r>
      <w:r>
        <w:rPr>
          <w:rFonts w:hint="eastAsia" w:ascii="仿宋" w:hAnsi="仿宋" w:eastAsia="仿宋" w:cs="仿宋"/>
          <w:bCs/>
          <w:color w:val="auto"/>
          <w:sz w:val="24"/>
          <w:szCs w:val="20"/>
          <w:highlight w:val="none"/>
        </w:rPr>
        <w:t>签字或盖章</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u w:val="single"/>
        </w:rPr>
        <w:t xml:space="preserve">          </w:t>
      </w:r>
    </w:p>
    <w:p>
      <w:pPr>
        <w:pStyle w:val="18"/>
        <w:spacing w:line="360" w:lineRule="auto"/>
        <w:rPr>
          <w:rFonts w:hint="eastAsia" w:ascii="仿宋" w:hAnsi="仿宋" w:eastAsia="仿宋" w:cs="仿宋"/>
          <w:color w:val="auto"/>
          <w:sz w:val="24"/>
          <w:highlight w:val="none"/>
          <w:u w:val="single"/>
        </w:rPr>
      </w:pPr>
    </w:p>
    <w:p>
      <w:pPr>
        <w:pStyle w:val="2"/>
        <w:spacing w:before="0" w:line="360" w:lineRule="auto"/>
        <w:rPr>
          <w:rFonts w:hint="eastAsia" w:ascii="仿宋" w:hAnsi="仿宋" w:eastAsia="仿宋" w:cs="仿宋"/>
          <w:color w:val="auto"/>
          <w:highlight w:val="none"/>
        </w:rPr>
      </w:pPr>
      <w:r>
        <w:rPr>
          <w:rFonts w:hint="eastAsia" w:ascii="仿宋" w:hAnsi="仿宋" w:eastAsia="仿宋" w:cs="仿宋"/>
          <w:color w:val="auto"/>
          <w:highlight w:val="none"/>
        </w:rPr>
        <w:t>声明：除本技术偏离表中所列的偏离项目外，其他所有技术条件均完全响应“招标文件”中的要求。</w:t>
      </w:r>
    </w:p>
    <w:p>
      <w:pPr>
        <w:pStyle w:val="3"/>
        <w:rPr>
          <w:rFonts w:hint="eastAsia" w:ascii="仿宋" w:hAnsi="仿宋" w:eastAsia="仿宋" w:cs="仿宋"/>
          <w:color w:val="auto"/>
          <w:highlight w:val="none"/>
        </w:rPr>
      </w:pPr>
    </w:p>
    <w:p>
      <w:pPr>
        <w:pStyle w:val="18"/>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注：1.投标文件技术参数指标响应内容必须按照投标产品实际参数指标填写，与相关证明材料一致，不得直接将采购文件的技术参数指标要求完全复制作为投标文件响应内容，否则将会影响评审得分。</w:t>
      </w:r>
    </w:p>
    <w:p>
      <w:pPr>
        <w:pStyle w:val="18"/>
        <w:spacing w:line="360" w:lineRule="auto"/>
        <w:ind w:left="1080" w:leftChars="257" w:hanging="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2.务必完整填写所有指标响应参数；必须在备注栏进行明确说明偏离情况，且偏离</w:t>
      </w:r>
    </w:p>
    <w:p>
      <w:pPr>
        <w:pStyle w:val="18"/>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情况与实际相符，否则将会影响评审得分。</w:t>
      </w:r>
    </w:p>
    <w:p>
      <w:pPr>
        <w:pStyle w:val="18"/>
        <w:spacing w:line="360" w:lineRule="auto"/>
        <w:ind w:left="1080" w:leftChars="257" w:hanging="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3.采购文件中约定的每项采购内容的技术偏离情况都必须体现在此技术偏离表中，</w:t>
      </w:r>
    </w:p>
    <w:p>
      <w:pPr>
        <w:pStyle w:val="18"/>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Cs w:val="21"/>
          <w:highlight w:val="none"/>
        </w:rPr>
        <w:t>否则将会影响评审得分。</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（投标文件格式五）</w:t>
      </w:r>
    </w:p>
    <w:p>
      <w:pPr>
        <w:pStyle w:val="18"/>
        <w:spacing w:line="360" w:lineRule="auto"/>
        <w:jc w:val="center"/>
        <w:rPr>
          <w:rFonts w:hint="eastAsia" w:ascii="仿宋" w:hAnsi="仿宋" w:eastAsia="仿宋" w:cs="仿宋"/>
          <w:b/>
          <w:color w:val="auto"/>
          <w:sz w:val="32"/>
          <w:highlight w:val="none"/>
        </w:rPr>
      </w:pPr>
      <w:bookmarkStart w:id="367" w:name="_Toc60929141"/>
      <w:bookmarkStart w:id="368" w:name="_Toc216582818"/>
      <w:bookmarkStart w:id="369" w:name="_Toc60928909"/>
      <w:bookmarkStart w:id="370" w:name="_Toc532473510"/>
      <w:bookmarkStart w:id="371" w:name="_Toc1980"/>
      <w:bookmarkStart w:id="372" w:name="_Toc23"/>
      <w:bookmarkStart w:id="373" w:name="_Toc515647821"/>
      <w:r>
        <w:rPr>
          <w:rFonts w:hint="eastAsia" w:ascii="仿宋" w:hAnsi="仿宋" w:eastAsia="仿宋" w:cs="仿宋"/>
          <w:b/>
          <w:color w:val="auto"/>
          <w:sz w:val="32"/>
          <w:highlight w:val="none"/>
        </w:rPr>
        <w:t>商务条款偏离表</w:t>
      </w:r>
      <w:bookmarkEnd w:id="367"/>
      <w:bookmarkEnd w:id="368"/>
      <w:bookmarkEnd w:id="369"/>
    </w:p>
    <w:bookmarkEnd w:id="370"/>
    <w:bookmarkEnd w:id="371"/>
    <w:bookmarkEnd w:id="372"/>
    <w:bookmarkEnd w:id="373"/>
    <w:p>
      <w:pPr>
        <w:pStyle w:val="2"/>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18"/>
        <w:wordWrap w:val="0"/>
        <w:spacing w:line="360" w:lineRule="auto"/>
        <w:ind w:left="1080" w:leftChars="257" w:hanging="540"/>
        <w:jc w:val="righ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标段:</w:t>
      </w:r>
      <w:r>
        <w:rPr>
          <w:rFonts w:hint="eastAsia" w:ascii="仿宋" w:hAnsi="仿宋" w:eastAsia="仿宋" w:cs="仿宋"/>
          <w:color w:val="auto"/>
          <w:sz w:val="24"/>
          <w:highlight w:val="none"/>
          <w:lang w:val="en-US" w:eastAsia="zh-CN"/>
        </w:rPr>
        <w:t>/</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2143"/>
        <w:gridCol w:w="2325"/>
        <w:gridCol w:w="165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300" w:type="pct"/>
            <w:vAlign w:val="center"/>
          </w:tcPr>
          <w:p>
            <w:pPr>
              <w:pStyle w:val="18"/>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招标要求</w:t>
            </w:r>
          </w:p>
        </w:tc>
        <w:tc>
          <w:tcPr>
            <w:tcW w:w="1410" w:type="pct"/>
            <w:vAlign w:val="center"/>
          </w:tcPr>
          <w:p>
            <w:pPr>
              <w:pStyle w:val="18"/>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投标响应</w:t>
            </w:r>
          </w:p>
        </w:tc>
        <w:tc>
          <w:tcPr>
            <w:tcW w:w="1003" w:type="pct"/>
            <w:vAlign w:val="center"/>
          </w:tcPr>
          <w:p>
            <w:pPr>
              <w:pStyle w:val="18"/>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偏离</w:t>
            </w:r>
          </w:p>
        </w:tc>
        <w:tc>
          <w:tcPr>
            <w:tcW w:w="912" w:type="pct"/>
            <w:vAlign w:val="center"/>
          </w:tcPr>
          <w:p>
            <w:pPr>
              <w:pStyle w:val="18"/>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交货期</w:t>
            </w: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付款方式</w:t>
            </w: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质保期</w:t>
            </w: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投标文件有效期</w:t>
            </w: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w:t>
            </w: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pStyle w:val="18"/>
              <w:ind w:left="1080" w:leftChars="257" w:hanging="540"/>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pStyle w:val="18"/>
              <w:ind w:left="1080" w:leftChars="257" w:hanging="540"/>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pStyle w:val="18"/>
              <w:ind w:left="1080" w:leftChars="257" w:hanging="540"/>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pStyle w:val="18"/>
              <w:ind w:left="1080" w:leftChars="257" w:hanging="540"/>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pStyle w:val="18"/>
              <w:ind w:left="1080" w:leftChars="257" w:hanging="540"/>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72" w:type="pct"/>
            <w:vAlign w:val="center"/>
          </w:tcPr>
          <w:p>
            <w:pPr>
              <w:pStyle w:val="18"/>
              <w:ind w:left="1080" w:leftChars="257" w:hanging="540"/>
              <w:jc w:val="center"/>
              <w:rPr>
                <w:rFonts w:hint="eastAsia" w:ascii="仿宋" w:hAnsi="仿宋" w:eastAsia="仿宋" w:cs="仿宋"/>
                <w:color w:val="auto"/>
                <w:sz w:val="24"/>
                <w:highlight w:val="none"/>
              </w:rPr>
            </w:pPr>
          </w:p>
        </w:tc>
        <w:tc>
          <w:tcPr>
            <w:tcW w:w="1300" w:type="pct"/>
            <w:vAlign w:val="center"/>
          </w:tcPr>
          <w:p>
            <w:pPr>
              <w:pStyle w:val="18"/>
              <w:ind w:left="1080" w:leftChars="257" w:hanging="540"/>
              <w:jc w:val="center"/>
              <w:rPr>
                <w:rFonts w:hint="eastAsia" w:ascii="仿宋" w:hAnsi="仿宋" w:eastAsia="仿宋" w:cs="仿宋"/>
                <w:color w:val="auto"/>
                <w:sz w:val="24"/>
                <w:highlight w:val="none"/>
              </w:rPr>
            </w:pPr>
          </w:p>
        </w:tc>
        <w:tc>
          <w:tcPr>
            <w:tcW w:w="1410" w:type="pct"/>
            <w:vAlign w:val="center"/>
          </w:tcPr>
          <w:p>
            <w:pPr>
              <w:pStyle w:val="18"/>
              <w:ind w:left="1080" w:leftChars="257" w:hanging="540"/>
              <w:jc w:val="center"/>
              <w:rPr>
                <w:rFonts w:hint="eastAsia" w:ascii="仿宋" w:hAnsi="仿宋" w:eastAsia="仿宋" w:cs="仿宋"/>
                <w:color w:val="auto"/>
                <w:sz w:val="24"/>
                <w:highlight w:val="none"/>
              </w:rPr>
            </w:pPr>
          </w:p>
        </w:tc>
        <w:tc>
          <w:tcPr>
            <w:tcW w:w="1003" w:type="pct"/>
            <w:vAlign w:val="center"/>
          </w:tcPr>
          <w:p>
            <w:pPr>
              <w:pStyle w:val="18"/>
              <w:ind w:left="1080" w:leftChars="257" w:hanging="540"/>
              <w:jc w:val="center"/>
              <w:rPr>
                <w:rFonts w:hint="eastAsia" w:ascii="仿宋" w:hAnsi="仿宋" w:eastAsia="仿宋" w:cs="仿宋"/>
                <w:color w:val="auto"/>
                <w:sz w:val="24"/>
                <w:highlight w:val="none"/>
              </w:rPr>
            </w:pPr>
          </w:p>
        </w:tc>
        <w:tc>
          <w:tcPr>
            <w:tcW w:w="912" w:type="pct"/>
            <w:vAlign w:val="center"/>
          </w:tcPr>
          <w:p>
            <w:pPr>
              <w:pStyle w:val="18"/>
              <w:ind w:left="1080" w:leftChars="257" w:hanging="540"/>
              <w:jc w:val="center"/>
              <w:rPr>
                <w:rFonts w:hint="eastAsia" w:ascii="仿宋" w:hAnsi="仿宋" w:eastAsia="仿宋" w:cs="仿宋"/>
                <w:color w:val="auto"/>
                <w:sz w:val="24"/>
                <w:highlight w:val="none"/>
              </w:rPr>
            </w:pPr>
          </w:p>
        </w:tc>
      </w:tr>
    </w:tbl>
    <w:p>
      <w:pPr>
        <w:tabs>
          <w:tab w:val="left" w:pos="5580"/>
        </w:tabs>
        <w:spacing w:line="360" w:lineRule="auto"/>
        <w:rPr>
          <w:rFonts w:hint="eastAsia" w:ascii="仿宋" w:hAnsi="仿宋" w:eastAsia="仿宋" w:cs="仿宋"/>
          <w:color w:val="auto"/>
          <w:sz w:val="24"/>
          <w:szCs w:val="20"/>
          <w:highlight w:val="none"/>
        </w:rPr>
      </w:pPr>
    </w:p>
    <w:p>
      <w:pPr>
        <w:tabs>
          <w:tab w:val="left" w:pos="5580"/>
        </w:tabs>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投标人（盖章）：</w:t>
      </w:r>
    </w:p>
    <w:p>
      <w:pPr>
        <w:tabs>
          <w:tab w:val="left" w:pos="5580"/>
        </w:tabs>
        <w:spacing w:line="360" w:lineRule="auto"/>
        <w:rPr>
          <w:rFonts w:hint="eastAsia" w:ascii="仿宋" w:hAnsi="仿宋" w:eastAsia="仿宋" w:cs="仿宋"/>
          <w:color w:val="auto"/>
          <w:sz w:val="24"/>
          <w:szCs w:val="20"/>
          <w:highlight w:val="none"/>
          <w:u w:val="single"/>
        </w:rPr>
      </w:pPr>
      <w:r>
        <w:rPr>
          <w:rFonts w:hint="eastAsia" w:ascii="仿宋" w:hAnsi="仿宋" w:eastAsia="仿宋" w:cs="仿宋"/>
          <w:color w:val="auto"/>
          <w:sz w:val="24"/>
          <w:szCs w:val="20"/>
          <w:highlight w:val="none"/>
        </w:rPr>
        <w:t>法定代表人或授权代表（</w:t>
      </w:r>
      <w:r>
        <w:rPr>
          <w:rFonts w:hint="eastAsia" w:ascii="仿宋" w:hAnsi="仿宋" w:eastAsia="仿宋" w:cs="仿宋"/>
          <w:bCs/>
          <w:color w:val="auto"/>
          <w:sz w:val="24"/>
          <w:szCs w:val="20"/>
          <w:highlight w:val="none"/>
        </w:rPr>
        <w:t>签字或盖章</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u w:val="single"/>
        </w:rPr>
        <w:t xml:space="preserve">          </w:t>
      </w:r>
    </w:p>
    <w:p>
      <w:pPr>
        <w:spacing w:line="360" w:lineRule="auto"/>
        <w:rPr>
          <w:rFonts w:hint="eastAsia" w:ascii="仿宋" w:hAnsi="仿宋" w:eastAsia="仿宋" w:cs="仿宋"/>
          <w:color w:val="auto"/>
          <w:sz w:val="24"/>
          <w:szCs w:val="20"/>
          <w:highlight w:val="none"/>
        </w:rPr>
      </w:pP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声明：除本商务偏离表中所列的偏离项目外，其他所有商务均完全响应“招标文件”中的要求</w:t>
      </w:r>
    </w:p>
    <w:p>
      <w:pPr>
        <w:pStyle w:val="14"/>
        <w:ind w:left="0" w:leftChars="0" w:right="1470"/>
        <w:rPr>
          <w:rFonts w:hint="eastAsia" w:ascii="仿宋" w:hAnsi="仿宋" w:eastAsia="仿宋" w:cs="仿宋"/>
          <w:color w:val="auto"/>
          <w:highlight w:val="none"/>
        </w:rPr>
      </w:pPr>
    </w:p>
    <w:p>
      <w:pPr>
        <w:widowControl/>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highlight w:val="none"/>
        </w:rPr>
        <w:br w:type="page"/>
      </w:r>
      <w:r>
        <w:rPr>
          <w:rFonts w:hint="eastAsia" w:ascii="仿宋" w:hAnsi="仿宋" w:eastAsia="仿宋" w:cs="仿宋"/>
          <w:color w:val="auto"/>
          <w:kern w:val="0"/>
          <w:sz w:val="24"/>
          <w:highlight w:val="none"/>
        </w:rPr>
        <w:t>（投标文件格式六）</w:t>
      </w:r>
    </w:p>
    <w:p>
      <w:pPr>
        <w:spacing w:line="360" w:lineRule="auto"/>
        <w:rPr>
          <w:rFonts w:hint="eastAsia" w:ascii="仿宋" w:hAnsi="仿宋" w:eastAsia="仿宋" w:cs="仿宋"/>
          <w:color w:val="auto"/>
          <w:sz w:val="24"/>
          <w:szCs w:val="22"/>
          <w:highlight w:val="none"/>
        </w:rPr>
      </w:pPr>
    </w:p>
    <w:p>
      <w:pPr>
        <w:pStyle w:val="7"/>
        <w:ind w:firstLine="0" w:firstLineChars="0"/>
        <w:jc w:val="center"/>
        <w:rPr>
          <w:rFonts w:hint="eastAsia" w:ascii="Times New Roman" w:hAnsi="Times New Roman" w:eastAsia="仿宋_GB2312"/>
          <w:color w:val="auto"/>
          <w:sz w:val="32"/>
          <w:szCs w:val="32"/>
          <w:highlight w:val="none"/>
          <w:lang w:eastAsia="zh-CN"/>
        </w:rPr>
      </w:pPr>
      <w:bookmarkStart w:id="374" w:name="_Toc62194354"/>
      <w:bookmarkStart w:id="375" w:name="_Toc32209"/>
      <w:r>
        <w:rPr>
          <w:rFonts w:ascii="Times New Roman" w:hAnsi="Times New Roman" w:eastAsia="仿宋_GB2312"/>
          <w:color w:val="auto"/>
          <w:sz w:val="32"/>
          <w:szCs w:val="32"/>
          <w:highlight w:val="none"/>
        </w:rPr>
        <w:t>中小企业声明函</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货物</w:t>
      </w:r>
      <w:bookmarkEnd w:id="374"/>
      <w:r>
        <w:rPr>
          <w:rFonts w:hint="eastAsia" w:ascii="Times New Roman" w:hAnsi="Times New Roman" w:eastAsia="仿宋_GB2312"/>
          <w:color w:val="auto"/>
          <w:sz w:val="32"/>
          <w:szCs w:val="32"/>
          <w:highlight w:val="none"/>
          <w:lang w:eastAsia="zh-CN"/>
        </w:rPr>
        <w:t>）</w:t>
      </w:r>
      <w:bookmarkEnd w:id="375"/>
    </w:p>
    <w:p>
      <w:pPr>
        <w:jc w:val="center"/>
        <w:rPr>
          <w:rFonts w:eastAsia="仿宋_GB2312"/>
          <w:color w:val="auto"/>
          <w:sz w:val="24"/>
          <w:szCs w:val="22"/>
          <w:highlight w:val="none"/>
        </w:rPr>
      </w:pPr>
      <w:r>
        <w:rPr>
          <w:rFonts w:eastAsia="仿宋_GB2312"/>
          <w:color w:val="auto"/>
          <w:sz w:val="24"/>
          <w:szCs w:val="22"/>
          <w:highlight w:val="none"/>
        </w:rPr>
        <w:t>（注</w:t>
      </w:r>
      <w:r>
        <w:rPr>
          <w:rFonts w:hint="eastAsia" w:eastAsia="仿宋_GB2312"/>
          <w:color w:val="auto"/>
          <w:kern w:val="0"/>
          <w:sz w:val="24"/>
          <w:highlight w:val="none"/>
          <w:lang w:eastAsia="zh-CN"/>
        </w:rPr>
        <w:t>（</w:t>
      </w:r>
      <w:r>
        <w:rPr>
          <w:rFonts w:eastAsia="仿宋_GB2312"/>
          <w:color w:val="auto"/>
          <w:kern w:val="0"/>
          <w:sz w:val="24"/>
          <w:highlight w:val="none"/>
        </w:rPr>
        <w:t>联合体</w:t>
      </w:r>
      <w:r>
        <w:rPr>
          <w:rFonts w:hint="eastAsia" w:eastAsia="仿宋_GB2312"/>
          <w:color w:val="auto"/>
          <w:kern w:val="0"/>
          <w:sz w:val="24"/>
          <w:highlight w:val="none"/>
          <w:lang w:eastAsia="zh-CN"/>
        </w:rPr>
        <w:t>）</w:t>
      </w:r>
      <w:r>
        <w:rPr>
          <w:rFonts w:eastAsia="仿宋_GB2312"/>
          <w:color w:val="auto"/>
          <w:sz w:val="24"/>
          <w:szCs w:val="22"/>
          <w:highlight w:val="none"/>
        </w:rPr>
        <w:t>：符合中小企业划型标准的企业请提供本函，不符合的不提供本函）</w:t>
      </w:r>
    </w:p>
    <w:p>
      <w:pPr>
        <w:snapToGrid w:val="0"/>
        <w:spacing w:before="120" w:beforeLines="50"/>
        <w:ind w:firstLine="480" w:firstLineChars="200"/>
        <w:rPr>
          <w:color w:val="auto"/>
          <w:sz w:val="24"/>
          <w:szCs w:val="22"/>
          <w:highlight w:val="none"/>
        </w:rPr>
      </w:pP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本公司郑重声明，根据《政府采购促进中小企业发展管理办法》</w:t>
      </w:r>
      <w:r>
        <w:rPr>
          <w:rFonts w:hint="eastAsia" w:eastAsia="仿宋_GB2312"/>
          <w:color w:val="auto"/>
          <w:kern w:val="0"/>
          <w:sz w:val="24"/>
          <w:highlight w:val="none"/>
          <w:lang w:eastAsia="zh-CN"/>
        </w:rPr>
        <w:t>（</w:t>
      </w:r>
      <w:r>
        <w:rPr>
          <w:rFonts w:eastAsia="仿宋_GB2312"/>
          <w:color w:val="auto"/>
          <w:kern w:val="0"/>
          <w:sz w:val="24"/>
          <w:highlight w:val="none"/>
        </w:rPr>
        <w:t>财库</w:t>
      </w:r>
      <w:r>
        <w:rPr>
          <w:rFonts w:hint="eastAsia" w:eastAsia="仿宋_GB2312"/>
          <w:color w:val="auto"/>
          <w:kern w:val="0"/>
          <w:sz w:val="24"/>
          <w:highlight w:val="none"/>
        </w:rPr>
        <w:t>﹝</w:t>
      </w:r>
      <w:r>
        <w:rPr>
          <w:rFonts w:eastAsia="仿宋_GB2312"/>
          <w:color w:val="auto"/>
          <w:kern w:val="0"/>
          <w:sz w:val="24"/>
          <w:highlight w:val="none"/>
        </w:rPr>
        <w:t>2020</w:t>
      </w:r>
      <w:r>
        <w:rPr>
          <w:rFonts w:hint="eastAsia" w:eastAsia="仿宋_GB2312"/>
          <w:color w:val="auto"/>
          <w:kern w:val="0"/>
          <w:sz w:val="24"/>
          <w:highlight w:val="none"/>
        </w:rPr>
        <w:t>﹞</w:t>
      </w:r>
      <w:r>
        <w:rPr>
          <w:rFonts w:eastAsia="仿宋_GB2312"/>
          <w:color w:val="auto"/>
          <w:kern w:val="0"/>
          <w:sz w:val="24"/>
          <w:highlight w:val="none"/>
        </w:rPr>
        <w:t>46号</w:t>
      </w:r>
      <w:r>
        <w:rPr>
          <w:rFonts w:hint="eastAsia" w:eastAsia="仿宋_GB2312"/>
          <w:color w:val="auto"/>
          <w:kern w:val="0"/>
          <w:sz w:val="24"/>
          <w:highlight w:val="none"/>
          <w:lang w:eastAsia="zh-CN"/>
        </w:rPr>
        <w:t>）</w:t>
      </w:r>
      <w:r>
        <w:rPr>
          <w:rFonts w:eastAsia="仿宋_GB2312"/>
          <w:color w:val="auto"/>
          <w:kern w:val="0"/>
          <w:sz w:val="24"/>
          <w:highlight w:val="none"/>
        </w:rPr>
        <w:t>的规定，本公司</w:t>
      </w:r>
      <w:r>
        <w:rPr>
          <w:rFonts w:hint="eastAsia" w:eastAsia="仿宋_GB2312"/>
          <w:color w:val="auto"/>
          <w:kern w:val="0"/>
          <w:sz w:val="24"/>
          <w:highlight w:val="none"/>
          <w:lang w:eastAsia="zh-CN"/>
        </w:rPr>
        <w:t>（</w:t>
      </w:r>
      <w:r>
        <w:rPr>
          <w:rFonts w:eastAsia="仿宋_GB2312"/>
          <w:color w:val="auto"/>
          <w:kern w:val="0"/>
          <w:sz w:val="24"/>
          <w:highlight w:val="none"/>
        </w:rPr>
        <w:t>联合体</w:t>
      </w:r>
      <w:r>
        <w:rPr>
          <w:rFonts w:hint="eastAsia" w:eastAsia="仿宋_GB2312"/>
          <w:color w:val="auto"/>
          <w:kern w:val="0"/>
          <w:sz w:val="24"/>
          <w:highlight w:val="none"/>
          <w:lang w:eastAsia="zh-CN"/>
        </w:rPr>
        <w:t>）</w:t>
      </w:r>
      <w:r>
        <w:rPr>
          <w:rFonts w:eastAsia="仿宋_GB2312"/>
          <w:color w:val="auto"/>
          <w:kern w:val="0"/>
          <w:sz w:val="24"/>
          <w:highlight w:val="none"/>
        </w:rPr>
        <w:t>参加</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单位名称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w:t>
      </w:r>
      <w:r>
        <w:rPr>
          <w:rFonts w:eastAsia="仿宋_GB2312"/>
          <w:color w:val="auto"/>
          <w:kern w:val="0"/>
          <w:sz w:val="24"/>
          <w:highlight w:val="none"/>
        </w:rPr>
        <w:t xml:space="preserve"> 的</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项目名称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采购</w:t>
      </w:r>
      <w:r>
        <w:rPr>
          <w:rFonts w:eastAsia="仿宋_GB2312"/>
          <w:color w:val="auto"/>
          <w:kern w:val="0"/>
          <w:sz w:val="24"/>
          <w:highlight w:val="none"/>
        </w:rPr>
        <w:t>活动，提供的货物全部由符合政策要求的中小企业制造。相关企业</w:t>
      </w:r>
      <w:r>
        <w:rPr>
          <w:rFonts w:hint="eastAsia" w:eastAsia="仿宋_GB2312"/>
          <w:color w:val="auto"/>
          <w:kern w:val="0"/>
          <w:sz w:val="24"/>
          <w:highlight w:val="none"/>
          <w:lang w:eastAsia="zh-CN"/>
        </w:rPr>
        <w:t>（</w:t>
      </w:r>
      <w:r>
        <w:rPr>
          <w:rFonts w:eastAsia="仿宋_GB2312"/>
          <w:color w:val="auto"/>
          <w:kern w:val="0"/>
          <w:sz w:val="24"/>
          <w:highlight w:val="none"/>
        </w:rPr>
        <w:t>含联合体中的中小企业、签订分包意向协议的中小企业</w:t>
      </w:r>
      <w:r>
        <w:rPr>
          <w:rFonts w:hint="eastAsia" w:eastAsia="仿宋_GB2312"/>
          <w:color w:val="auto"/>
          <w:kern w:val="0"/>
          <w:sz w:val="24"/>
          <w:highlight w:val="none"/>
          <w:lang w:eastAsia="zh-CN"/>
        </w:rPr>
        <w:t>）</w:t>
      </w:r>
      <w:r>
        <w:rPr>
          <w:rFonts w:eastAsia="仿宋_GB2312"/>
          <w:color w:val="auto"/>
          <w:kern w:val="0"/>
          <w:sz w:val="24"/>
          <w:highlight w:val="none"/>
        </w:rPr>
        <w:t>的具体情况如下：</w:t>
      </w:r>
    </w:p>
    <w:p>
      <w:pPr>
        <w:numPr>
          <w:ilvl w:val="0"/>
          <w:numId w:val="0"/>
        </w:numPr>
        <w:spacing w:line="560" w:lineRule="exact"/>
        <w:ind w:left="-10" w:leftChars="-5" w:firstLine="489" w:firstLineChars="204"/>
        <w:rPr>
          <w:rFonts w:eastAsia="仿宋_GB2312"/>
          <w:color w:val="auto"/>
          <w:kern w:val="0"/>
          <w:sz w:val="24"/>
          <w:highlight w:val="none"/>
        </w:rPr>
      </w:pPr>
      <w:r>
        <w:rPr>
          <w:rFonts w:hint="eastAsia" w:eastAsia="仿宋_GB2312"/>
          <w:color w:val="auto"/>
          <w:kern w:val="0"/>
          <w:sz w:val="24"/>
          <w:highlight w:val="none"/>
          <w:u w:val="none"/>
          <w:lang w:val="en-US" w:eastAsia="zh-CN"/>
        </w:rPr>
        <w:t>1.</w:t>
      </w:r>
      <w:r>
        <w:rPr>
          <w:rFonts w:eastAsia="仿宋_GB2312"/>
          <w:color w:val="auto"/>
          <w:kern w:val="0"/>
          <w:sz w:val="24"/>
          <w:highlight w:val="none"/>
          <w:u w:val="none"/>
        </w:rPr>
        <w:t xml:space="preserve"> </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标的名称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w:t>
      </w:r>
      <w:r>
        <w:rPr>
          <w:rFonts w:eastAsia="仿宋_GB2312"/>
          <w:color w:val="auto"/>
          <w:kern w:val="0"/>
          <w:sz w:val="24"/>
          <w:highlight w:val="none"/>
        </w:rPr>
        <w:t>，属于</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采购文件中明确的所属行业</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行业</w:t>
      </w:r>
      <w:r>
        <w:rPr>
          <w:rFonts w:eastAsia="仿宋_GB2312"/>
          <w:color w:val="auto"/>
          <w:kern w:val="0"/>
          <w:sz w:val="24"/>
          <w:highlight w:val="none"/>
        </w:rPr>
        <w:t xml:space="preserve"> ；制造商为</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企业名称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w:t>
      </w:r>
      <w:r>
        <w:rPr>
          <w:rFonts w:eastAsia="仿宋_GB2312"/>
          <w:color w:val="auto"/>
          <w:kern w:val="0"/>
          <w:sz w:val="24"/>
          <w:highlight w:val="none"/>
        </w:rPr>
        <w:t>，从业人员</w:t>
      </w:r>
      <w:r>
        <w:rPr>
          <w:rFonts w:eastAsia="仿宋_GB2312"/>
          <w:color w:val="auto"/>
          <w:kern w:val="0"/>
          <w:sz w:val="24"/>
          <w:highlight w:val="none"/>
          <w:u w:val="single"/>
        </w:rPr>
        <w:t xml:space="preserve">      </w:t>
      </w:r>
      <w:r>
        <w:rPr>
          <w:rFonts w:eastAsia="仿宋_GB2312"/>
          <w:color w:val="auto"/>
          <w:kern w:val="0"/>
          <w:sz w:val="24"/>
          <w:highlight w:val="none"/>
        </w:rPr>
        <w:t>人，营业收入为</w:t>
      </w:r>
      <w:r>
        <w:rPr>
          <w:rFonts w:eastAsia="仿宋_GB2312"/>
          <w:color w:val="auto"/>
          <w:kern w:val="0"/>
          <w:sz w:val="24"/>
          <w:highlight w:val="none"/>
          <w:u w:val="single"/>
        </w:rPr>
        <w:t xml:space="preserve">     </w:t>
      </w:r>
      <w:r>
        <w:rPr>
          <w:rFonts w:eastAsia="仿宋_GB2312"/>
          <w:color w:val="auto"/>
          <w:kern w:val="0"/>
          <w:sz w:val="24"/>
          <w:highlight w:val="none"/>
        </w:rPr>
        <w:t>万元，资产总额为</w:t>
      </w:r>
      <w:r>
        <w:rPr>
          <w:rFonts w:eastAsia="仿宋_GB2312"/>
          <w:color w:val="auto"/>
          <w:kern w:val="0"/>
          <w:sz w:val="24"/>
          <w:highlight w:val="none"/>
          <w:u w:val="single"/>
        </w:rPr>
        <w:t xml:space="preserve">     </w:t>
      </w:r>
      <w:r>
        <w:rPr>
          <w:rFonts w:eastAsia="仿宋_GB2312"/>
          <w:color w:val="auto"/>
          <w:kern w:val="0"/>
          <w:sz w:val="24"/>
          <w:highlight w:val="none"/>
        </w:rPr>
        <w:t xml:space="preserve">万元，属于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中型企业、小型企业、微型企业）</w:t>
      </w:r>
      <w:r>
        <w:rPr>
          <w:rFonts w:eastAsia="仿宋_GB2312"/>
          <w:color w:val="auto"/>
          <w:kern w:val="0"/>
          <w:sz w:val="24"/>
          <w:highlight w:val="none"/>
        </w:rPr>
        <w:t>；</w:t>
      </w:r>
    </w:p>
    <w:p>
      <w:pPr>
        <w:numPr>
          <w:ilvl w:val="0"/>
          <w:numId w:val="0"/>
        </w:numPr>
        <w:spacing w:line="560" w:lineRule="exact"/>
        <w:ind w:left="-10" w:leftChars="-5" w:firstLine="489" w:firstLineChars="204"/>
        <w:rPr>
          <w:rFonts w:eastAsia="仿宋_GB2312"/>
          <w:color w:val="auto"/>
          <w:kern w:val="0"/>
          <w:sz w:val="24"/>
          <w:highlight w:val="none"/>
        </w:rPr>
      </w:pPr>
      <w:r>
        <w:rPr>
          <w:rFonts w:hint="eastAsia" w:eastAsia="仿宋_GB2312"/>
          <w:color w:val="auto"/>
          <w:kern w:val="0"/>
          <w:sz w:val="24"/>
          <w:highlight w:val="none"/>
          <w:u w:val="none"/>
          <w:lang w:val="en-US" w:eastAsia="zh-CN"/>
        </w:rPr>
        <w:t>2.</w:t>
      </w:r>
      <w:r>
        <w:rPr>
          <w:rFonts w:eastAsia="仿宋_GB2312"/>
          <w:color w:val="auto"/>
          <w:kern w:val="0"/>
          <w:sz w:val="24"/>
          <w:highlight w:val="none"/>
          <w:u w:val="none"/>
        </w:rPr>
        <w:t xml:space="preserve"> </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标的名称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w:t>
      </w:r>
      <w:r>
        <w:rPr>
          <w:rFonts w:eastAsia="仿宋_GB2312"/>
          <w:color w:val="auto"/>
          <w:kern w:val="0"/>
          <w:sz w:val="24"/>
          <w:highlight w:val="none"/>
        </w:rPr>
        <w:t>，属于</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采购文件中明确的所属行业</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行业</w:t>
      </w:r>
      <w:r>
        <w:rPr>
          <w:rFonts w:eastAsia="仿宋_GB2312"/>
          <w:color w:val="auto"/>
          <w:kern w:val="0"/>
          <w:sz w:val="24"/>
          <w:highlight w:val="none"/>
        </w:rPr>
        <w:t xml:space="preserve"> ；制造商为</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企业名称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w:t>
      </w:r>
      <w:r>
        <w:rPr>
          <w:rFonts w:eastAsia="仿宋_GB2312"/>
          <w:color w:val="auto"/>
          <w:kern w:val="0"/>
          <w:sz w:val="24"/>
          <w:highlight w:val="none"/>
        </w:rPr>
        <w:t>，从业人员</w:t>
      </w:r>
      <w:r>
        <w:rPr>
          <w:rFonts w:eastAsia="仿宋_GB2312"/>
          <w:color w:val="auto"/>
          <w:kern w:val="0"/>
          <w:sz w:val="24"/>
          <w:highlight w:val="none"/>
          <w:u w:val="single"/>
        </w:rPr>
        <w:t xml:space="preserve">      </w:t>
      </w:r>
      <w:r>
        <w:rPr>
          <w:rFonts w:eastAsia="仿宋_GB2312"/>
          <w:color w:val="auto"/>
          <w:kern w:val="0"/>
          <w:sz w:val="24"/>
          <w:highlight w:val="none"/>
        </w:rPr>
        <w:t>人，营业收入为</w:t>
      </w:r>
      <w:r>
        <w:rPr>
          <w:rFonts w:eastAsia="仿宋_GB2312"/>
          <w:color w:val="auto"/>
          <w:kern w:val="0"/>
          <w:sz w:val="24"/>
          <w:highlight w:val="none"/>
          <w:u w:val="single"/>
        </w:rPr>
        <w:t xml:space="preserve">     </w:t>
      </w:r>
      <w:r>
        <w:rPr>
          <w:rFonts w:eastAsia="仿宋_GB2312"/>
          <w:color w:val="auto"/>
          <w:kern w:val="0"/>
          <w:sz w:val="24"/>
          <w:highlight w:val="none"/>
        </w:rPr>
        <w:t>万元，资产总额为</w:t>
      </w:r>
      <w:r>
        <w:rPr>
          <w:rFonts w:eastAsia="仿宋_GB2312"/>
          <w:color w:val="auto"/>
          <w:kern w:val="0"/>
          <w:sz w:val="24"/>
          <w:highlight w:val="none"/>
          <w:u w:val="single"/>
        </w:rPr>
        <w:t xml:space="preserve">     </w:t>
      </w:r>
      <w:r>
        <w:rPr>
          <w:rFonts w:eastAsia="仿宋_GB2312"/>
          <w:color w:val="auto"/>
          <w:kern w:val="0"/>
          <w:sz w:val="24"/>
          <w:highlight w:val="none"/>
        </w:rPr>
        <w:t xml:space="preserve">万元，属于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中型企业、小型企业、微型企业）</w:t>
      </w:r>
      <w:r>
        <w:rPr>
          <w:rFonts w:eastAsia="仿宋_GB2312"/>
          <w:color w:val="auto"/>
          <w:kern w:val="0"/>
          <w:sz w:val="24"/>
          <w:highlight w:val="none"/>
        </w:rPr>
        <w:t>；</w:t>
      </w: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w:t>
      </w: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本企业对上述声明内容的真实性负责。如有虚假，将依法承担相应责任。</w:t>
      </w:r>
    </w:p>
    <w:p>
      <w:pPr>
        <w:spacing w:line="560" w:lineRule="exact"/>
        <w:ind w:firstLine="3480" w:firstLineChars="1450"/>
        <w:rPr>
          <w:rFonts w:eastAsia="仿宋_GB2312"/>
          <w:color w:val="auto"/>
          <w:kern w:val="0"/>
          <w:sz w:val="24"/>
          <w:highlight w:val="none"/>
        </w:rPr>
      </w:pPr>
    </w:p>
    <w:p>
      <w:pPr>
        <w:spacing w:line="560" w:lineRule="exact"/>
        <w:ind w:firstLine="3480" w:firstLineChars="1450"/>
        <w:rPr>
          <w:rFonts w:eastAsia="仿宋_GB2312"/>
          <w:color w:val="auto"/>
          <w:kern w:val="0"/>
          <w:sz w:val="24"/>
          <w:highlight w:val="none"/>
        </w:rPr>
      </w:pPr>
      <w:r>
        <w:rPr>
          <w:rFonts w:eastAsia="仿宋_GB2312"/>
          <w:color w:val="auto"/>
          <w:kern w:val="0"/>
          <w:sz w:val="24"/>
          <w:highlight w:val="none"/>
        </w:rPr>
        <w:t>企业名称</w:t>
      </w:r>
      <w:r>
        <w:rPr>
          <w:rFonts w:hint="eastAsia" w:eastAsia="仿宋_GB2312"/>
          <w:color w:val="auto"/>
          <w:kern w:val="0"/>
          <w:sz w:val="24"/>
          <w:highlight w:val="none"/>
          <w:lang w:eastAsia="zh-CN"/>
        </w:rPr>
        <w:t>（</w:t>
      </w:r>
      <w:r>
        <w:rPr>
          <w:rFonts w:eastAsia="仿宋_GB2312"/>
          <w:color w:val="auto"/>
          <w:kern w:val="0"/>
          <w:sz w:val="24"/>
          <w:highlight w:val="none"/>
        </w:rPr>
        <w:t>盖章</w:t>
      </w:r>
      <w:r>
        <w:rPr>
          <w:rFonts w:hint="eastAsia" w:eastAsia="仿宋_GB2312"/>
          <w:color w:val="auto"/>
          <w:kern w:val="0"/>
          <w:sz w:val="24"/>
          <w:highlight w:val="none"/>
          <w:lang w:eastAsia="zh-CN"/>
        </w:rPr>
        <w:t>）</w:t>
      </w:r>
      <w:r>
        <w:rPr>
          <w:rFonts w:eastAsia="仿宋_GB2312"/>
          <w:color w:val="auto"/>
          <w:kern w:val="0"/>
          <w:sz w:val="24"/>
          <w:highlight w:val="none"/>
        </w:rPr>
        <w:t>：</w:t>
      </w:r>
    </w:p>
    <w:p>
      <w:pPr>
        <w:spacing w:line="560" w:lineRule="exact"/>
        <w:ind w:firstLine="3480" w:firstLineChars="1450"/>
        <w:rPr>
          <w:rFonts w:eastAsia="仿宋_GB2312"/>
          <w:color w:val="auto"/>
          <w:kern w:val="0"/>
          <w:sz w:val="24"/>
          <w:szCs w:val="22"/>
          <w:highlight w:val="none"/>
        </w:rPr>
      </w:pPr>
      <w:r>
        <w:rPr>
          <w:rFonts w:eastAsia="仿宋_GB2312"/>
          <w:color w:val="auto"/>
          <w:kern w:val="0"/>
          <w:sz w:val="24"/>
          <w:highlight w:val="none"/>
        </w:rPr>
        <w:t>日期：</w:t>
      </w:r>
    </w:p>
    <w:p>
      <w:pPr>
        <w:spacing w:line="360" w:lineRule="auto"/>
        <w:rPr>
          <w:rFonts w:eastAsia="Arial Unicode MS"/>
          <w:color w:val="auto"/>
          <w:highlight w:val="none"/>
        </w:rPr>
      </w:pPr>
    </w:p>
    <w:p>
      <w:pPr>
        <w:ind w:left="450" w:hanging="450" w:hangingChars="150"/>
        <w:rPr>
          <w:rFonts w:eastAsia="华文仿宋"/>
          <w:color w:val="auto"/>
          <w:kern w:val="0"/>
          <w:sz w:val="18"/>
          <w:szCs w:val="18"/>
          <w:highlight w:val="none"/>
        </w:rPr>
      </w:pPr>
      <w:r>
        <w:rPr>
          <w:rFonts w:eastAsia="华文仿宋"/>
          <w:color w:val="auto"/>
          <w:kern w:val="0"/>
          <w:sz w:val="30"/>
          <w:szCs w:val="30"/>
          <w:highlight w:val="none"/>
        </w:rPr>
        <w:t xml:space="preserve"> </w:t>
      </w:r>
      <w:r>
        <w:rPr>
          <w:rFonts w:eastAsia="华文仿宋"/>
          <w:color w:val="auto"/>
          <w:kern w:val="0"/>
          <w:sz w:val="30"/>
          <w:szCs w:val="30"/>
          <w:highlight w:val="none"/>
          <w:u w:val="single"/>
        </w:rPr>
        <w:t xml:space="preserve">                                                     </w:t>
      </w:r>
      <w:r>
        <w:rPr>
          <w:rFonts w:eastAsia="华文仿宋"/>
          <w:color w:val="auto"/>
          <w:kern w:val="0"/>
          <w:sz w:val="30"/>
          <w:szCs w:val="30"/>
          <w:highlight w:val="none"/>
        </w:rPr>
        <w:t xml:space="preserve">    </w:t>
      </w:r>
      <w:r>
        <w:rPr>
          <w:rFonts w:eastAsia="华文仿宋"/>
          <w:color w:val="auto"/>
          <w:kern w:val="0"/>
          <w:sz w:val="18"/>
          <w:szCs w:val="18"/>
          <w:highlight w:val="none"/>
        </w:rPr>
        <w:t xml:space="preserve"> </w:t>
      </w:r>
    </w:p>
    <w:p>
      <w:pPr>
        <w:ind w:firstLine="90" w:firstLineChars="50"/>
        <w:rPr>
          <w:rFonts w:hint="eastAsia" w:ascii="仿宋" w:hAnsi="仿宋" w:eastAsia="仿宋" w:cs="仿宋"/>
          <w:color w:val="auto"/>
          <w:kern w:val="0"/>
          <w:sz w:val="18"/>
          <w:szCs w:val="18"/>
          <w:highlight w:val="none"/>
        </w:rPr>
      </w:pPr>
      <w:r>
        <w:rPr>
          <w:rFonts w:eastAsia="华文仿宋"/>
          <w:color w:val="auto"/>
          <w:kern w:val="0"/>
          <w:sz w:val="18"/>
          <w:szCs w:val="18"/>
          <w:highlight w:val="none"/>
        </w:rPr>
        <w:t>（从业人员、营业收入、资产总额填报上一年度数据，无上一年度数据的新成立企业可不填报）</w:t>
      </w:r>
      <w:r>
        <w:rPr>
          <w:rFonts w:hint="eastAsia" w:ascii="仿宋" w:hAnsi="仿宋" w:eastAsia="仿宋" w:cs="仿宋"/>
          <w:color w:val="auto"/>
          <w:kern w:val="0"/>
          <w:sz w:val="18"/>
          <w:szCs w:val="18"/>
          <w:highlight w:val="none"/>
        </w:rPr>
        <w:t xml:space="preserve">  </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rPr>
          <w:rFonts w:hint="eastAsia" w:ascii="仿宋" w:hAnsi="仿宋" w:eastAsia="仿宋" w:cs="仿宋"/>
          <w:bCs/>
          <w:color w:val="auto"/>
          <w:kern w:val="0"/>
          <w:sz w:val="24"/>
          <w:szCs w:val="20"/>
          <w:highlight w:val="none"/>
        </w:rPr>
      </w:pPr>
      <w:bookmarkStart w:id="376" w:name="_Toc532473512"/>
      <w:bookmarkStart w:id="377" w:name="_Toc11803"/>
      <w:bookmarkStart w:id="378" w:name="_Toc515647824"/>
      <w:bookmarkStart w:id="379" w:name="_Toc10977"/>
      <w:r>
        <w:rPr>
          <w:rFonts w:hint="eastAsia" w:ascii="仿宋" w:hAnsi="仿宋" w:eastAsia="仿宋" w:cs="仿宋"/>
          <w:bCs/>
          <w:color w:val="auto"/>
          <w:kern w:val="0"/>
          <w:sz w:val="24"/>
          <w:szCs w:val="20"/>
          <w:highlight w:val="none"/>
        </w:rPr>
        <w:t>（投标文件格式七）</w:t>
      </w:r>
    </w:p>
    <w:p>
      <w:pPr>
        <w:pStyle w:val="18"/>
        <w:spacing w:line="360" w:lineRule="auto"/>
        <w:jc w:val="center"/>
        <w:rPr>
          <w:rFonts w:hint="eastAsia" w:ascii="仿宋" w:hAnsi="仿宋" w:eastAsia="仿宋" w:cs="仿宋"/>
          <w:b/>
          <w:bCs w:val="0"/>
          <w:color w:val="auto"/>
          <w:sz w:val="32"/>
          <w:highlight w:val="none"/>
        </w:rPr>
      </w:pPr>
      <w:bookmarkStart w:id="380" w:name="_Toc60928911"/>
      <w:bookmarkStart w:id="381" w:name="_Toc60929143"/>
      <w:r>
        <w:rPr>
          <w:rFonts w:hint="eastAsia" w:ascii="仿宋" w:hAnsi="仿宋" w:eastAsia="仿宋" w:cs="仿宋"/>
          <w:b/>
          <w:bCs w:val="0"/>
          <w:color w:val="auto"/>
          <w:sz w:val="32"/>
          <w:highlight w:val="none"/>
        </w:rPr>
        <w:t>投标人监狱企业声明函</w:t>
      </w:r>
      <w:bookmarkEnd w:id="376"/>
      <w:bookmarkEnd w:id="380"/>
      <w:bookmarkEnd w:id="381"/>
    </w:p>
    <w:p>
      <w:pPr>
        <w:pStyle w:val="18"/>
        <w:spacing w:line="360" w:lineRule="auto"/>
        <w:jc w:val="center"/>
        <w:rPr>
          <w:rFonts w:hint="eastAsia" w:ascii="仿宋" w:hAnsi="仿宋" w:eastAsia="仿宋" w:cs="仿宋"/>
          <w:b/>
          <w:bCs w:val="0"/>
          <w:color w:val="auto"/>
          <w:sz w:val="32"/>
          <w:highlight w:val="none"/>
        </w:rPr>
      </w:pP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本单位郑重声明下列事项（按照实际情况勾选或填空）：</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本单位为直接投标人提供本单位制造的货物。</w:t>
      </w:r>
    </w:p>
    <w:p>
      <w:pPr>
        <w:widowControl/>
        <w:spacing w:line="360" w:lineRule="auto"/>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（1）本企业（单位）（请填写：是、不是）监狱企业。如果是，后附省级以上监狱管理局、戒毒管理局（含新疆生产建设兵团）出具的属于监狱企业的证明文件。</w:t>
      </w:r>
    </w:p>
    <w:p>
      <w:pPr>
        <w:widowControl/>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（2）本企业（单位）（请填写：是、不是）为联合体一方，提供本企业（单位）制造的货物，由本企业（单位）承担工程、提供服务。本企业（单位）提供协议合同金额占到共同投标协议合同总金额的比例为。</w:t>
      </w:r>
    </w:p>
    <w:p>
      <w:pPr>
        <w:widowControl/>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本企业（单位）对上述声明的真实性负责。如有虚假，将依法承担相应责任。</w:t>
      </w:r>
    </w:p>
    <w:p>
      <w:pPr>
        <w:pStyle w:val="2"/>
        <w:spacing w:before="0" w:line="360" w:lineRule="auto"/>
        <w:ind w:firstLine="480"/>
        <w:rPr>
          <w:rFonts w:hint="eastAsia" w:ascii="仿宋" w:hAnsi="仿宋" w:eastAsia="仿宋" w:cs="仿宋"/>
          <w:color w:val="auto"/>
          <w:highlight w:val="none"/>
        </w:rPr>
      </w:pPr>
    </w:p>
    <w:p>
      <w:pPr>
        <w:widowControl/>
        <w:spacing w:line="360" w:lineRule="auto"/>
        <w:ind w:firstLine="480" w:firstLineChars="200"/>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投标人（盖章）：</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法定代表人或授权代表（签字）：</w:t>
      </w:r>
    </w:p>
    <w:p>
      <w:pPr>
        <w:widowControl/>
        <w:spacing w:line="360" w:lineRule="auto"/>
        <w:ind w:firstLine="480" w:firstLineChars="200"/>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日 期：    年  月  日</w:t>
      </w:r>
    </w:p>
    <w:p>
      <w:pPr>
        <w:widowControl/>
        <w:spacing w:line="360" w:lineRule="auto"/>
        <w:jc w:val="left"/>
        <w:rPr>
          <w:rFonts w:hint="eastAsia" w:ascii="仿宋" w:hAnsi="仿宋" w:eastAsia="仿宋" w:cs="仿宋"/>
          <w:color w:val="auto"/>
          <w:kern w:val="0"/>
          <w:sz w:val="24"/>
          <w:highlight w:val="none"/>
          <w:u w:val="single"/>
        </w:rPr>
      </w:pPr>
    </w:p>
    <w:p>
      <w:pPr>
        <w:widowControl/>
        <w:spacing w:line="360" w:lineRule="auto"/>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注：符合《关于政府采购支持监狱企业发展有关问题的通知》价格扣减条件的投标人须提交。</w:t>
      </w:r>
    </w:p>
    <w:p>
      <w:pPr>
        <w:spacing w:line="360" w:lineRule="auto"/>
        <w:rPr>
          <w:rFonts w:hint="eastAsia" w:ascii="仿宋" w:hAnsi="仿宋" w:eastAsia="仿宋" w:cs="仿宋"/>
          <w:color w:val="auto"/>
          <w:kern w:val="0"/>
          <w:sz w:val="24"/>
          <w:szCs w:val="20"/>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kern w:val="0"/>
          <w:sz w:val="24"/>
          <w:szCs w:val="20"/>
          <w:highlight w:val="none"/>
        </w:rPr>
        <w:t>（投标文件格式八）</w:t>
      </w:r>
    </w:p>
    <w:p>
      <w:pPr>
        <w:pStyle w:val="18"/>
        <w:spacing w:line="360" w:lineRule="auto"/>
        <w:jc w:val="center"/>
        <w:rPr>
          <w:rFonts w:hint="eastAsia" w:ascii="仿宋" w:hAnsi="仿宋" w:eastAsia="仿宋" w:cs="仿宋"/>
          <w:b/>
          <w:bCs w:val="0"/>
          <w:color w:val="auto"/>
          <w:sz w:val="32"/>
          <w:highlight w:val="none"/>
        </w:rPr>
      </w:pPr>
      <w:bookmarkStart w:id="382" w:name="_Toc60929144"/>
      <w:bookmarkStart w:id="383" w:name="_Toc60928912"/>
      <w:bookmarkStart w:id="384" w:name="_Toc532473513"/>
      <w:r>
        <w:rPr>
          <w:rFonts w:hint="eastAsia" w:ascii="仿宋" w:hAnsi="仿宋" w:eastAsia="仿宋" w:cs="仿宋"/>
          <w:b/>
          <w:bCs w:val="0"/>
          <w:color w:val="auto"/>
          <w:sz w:val="32"/>
          <w:highlight w:val="none"/>
        </w:rPr>
        <w:t>残疾人福利性单位声明函</w:t>
      </w:r>
      <w:bookmarkEnd w:id="382"/>
      <w:bookmarkEnd w:id="383"/>
    </w:p>
    <w:bookmarkEnd w:id="384"/>
    <w:p>
      <w:pPr>
        <w:spacing w:line="360" w:lineRule="auto"/>
        <w:ind w:left="1080" w:leftChars="257" w:hanging="540"/>
        <w:jc w:val="center"/>
        <w:rPr>
          <w:rFonts w:hint="eastAsia" w:ascii="仿宋" w:hAnsi="仿宋" w:eastAsia="仿宋" w:cs="仿宋"/>
          <w:color w:val="auto"/>
          <w:kern w:val="0"/>
          <w:sz w:val="24"/>
          <w:szCs w:val="20"/>
          <w:highlight w:val="none"/>
        </w:rPr>
      </w:pPr>
    </w:p>
    <w:p>
      <w:pPr>
        <w:spacing w:line="360" w:lineRule="auto"/>
        <w:ind w:firstLine="567"/>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 w:hAnsi="仿宋" w:eastAsia="仿宋" w:cs="仿宋"/>
          <w:color w:val="auto"/>
          <w:kern w:val="0"/>
          <w:sz w:val="24"/>
          <w:highlight w:val="none"/>
        </w:rPr>
        <w:t>（由本单位承担提供服务）</w:t>
      </w:r>
      <w:r>
        <w:rPr>
          <w:rFonts w:hint="eastAsia" w:ascii="仿宋" w:hAnsi="仿宋" w:eastAsia="仿宋" w:cs="仿宋"/>
          <w:color w:val="auto"/>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仿宋" w:hAnsi="仿宋" w:eastAsia="仿宋" w:cs="仿宋"/>
          <w:color w:val="auto"/>
          <w:kern w:val="0"/>
          <w:sz w:val="24"/>
          <w:szCs w:val="20"/>
          <w:highlight w:val="none"/>
        </w:rPr>
      </w:pPr>
    </w:p>
    <w:p>
      <w:pPr>
        <w:spacing w:line="360" w:lineRule="auto"/>
        <w:ind w:left="1080" w:leftChars="257" w:hanging="540"/>
        <w:jc w:val="center"/>
        <w:rPr>
          <w:rFonts w:hint="eastAsia" w:ascii="仿宋" w:hAnsi="仿宋" w:eastAsia="仿宋" w:cs="仿宋"/>
          <w:color w:val="auto"/>
          <w:kern w:val="0"/>
          <w:sz w:val="24"/>
          <w:szCs w:val="20"/>
          <w:highlight w:val="none"/>
        </w:rPr>
      </w:pPr>
    </w:p>
    <w:p>
      <w:pPr>
        <w:spacing w:line="360" w:lineRule="auto"/>
        <w:ind w:left="1080" w:leftChars="257" w:hanging="540"/>
        <w:rPr>
          <w:rFonts w:hint="eastAsia" w:ascii="仿宋" w:hAnsi="仿宋" w:eastAsia="仿宋" w:cs="仿宋"/>
          <w:color w:val="auto"/>
          <w:kern w:val="0"/>
          <w:sz w:val="24"/>
          <w:szCs w:val="20"/>
          <w:highlight w:val="none"/>
          <w:u w:val="single"/>
        </w:rPr>
      </w:pPr>
      <w:r>
        <w:rPr>
          <w:rFonts w:hint="eastAsia" w:ascii="仿宋" w:hAnsi="仿宋" w:eastAsia="仿宋" w:cs="仿宋"/>
          <w:color w:val="auto"/>
          <w:kern w:val="0"/>
          <w:sz w:val="24"/>
          <w:szCs w:val="20"/>
          <w:highlight w:val="none"/>
        </w:rPr>
        <w:t>残疾人福利性单位（盖章）：</w:t>
      </w:r>
    </w:p>
    <w:p>
      <w:pPr>
        <w:spacing w:line="360" w:lineRule="auto"/>
        <w:ind w:left="1080" w:leftChars="257" w:hanging="54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highlight w:val="none"/>
        </w:rPr>
        <w:t>法定代表人或授权代表（签字）：</w:t>
      </w:r>
    </w:p>
    <w:p>
      <w:pPr>
        <w:spacing w:line="360" w:lineRule="auto"/>
        <w:ind w:left="1080" w:leftChars="257" w:hanging="54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日 期：    年  月  日</w:t>
      </w:r>
    </w:p>
    <w:p>
      <w:pPr>
        <w:spacing w:line="360" w:lineRule="auto"/>
        <w:ind w:firstLine="600" w:firstLineChars="250"/>
        <w:rPr>
          <w:rFonts w:hint="eastAsia" w:ascii="仿宋" w:hAnsi="仿宋" w:eastAsia="仿宋" w:cs="仿宋"/>
          <w:color w:val="auto"/>
          <w:kern w:val="0"/>
          <w:sz w:val="24"/>
          <w:szCs w:val="20"/>
          <w:highlight w:val="none"/>
          <w:u w:val="single"/>
        </w:rPr>
      </w:pPr>
    </w:p>
    <w:p>
      <w:pPr>
        <w:spacing w:line="360" w:lineRule="auto"/>
        <w:rPr>
          <w:rFonts w:hint="eastAsia" w:ascii="仿宋" w:hAnsi="仿宋" w:eastAsia="仿宋" w:cs="仿宋"/>
          <w:color w:val="auto"/>
          <w:kern w:val="0"/>
          <w:sz w:val="24"/>
          <w:szCs w:val="20"/>
          <w:highlight w:val="none"/>
          <w:u w:val="single"/>
        </w:rPr>
      </w:pPr>
      <w:r>
        <w:rPr>
          <w:rFonts w:hint="eastAsia" w:ascii="仿宋" w:hAnsi="仿宋" w:eastAsia="仿宋" w:cs="仿宋"/>
          <w:color w:val="auto"/>
          <w:kern w:val="0"/>
          <w:sz w:val="24"/>
          <w:szCs w:val="20"/>
          <w:highlight w:val="none"/>
          <w:u w:val="single"/>
        </w:rPr>
        <w:t>注：符合《三部门联合发布关于促进残疾人就业政府采购政策的通知》价格扣减条件的投标人须提交。</w:t>
      </w:r>
    </w:p>
    <w:p>
      <w:pPr>
        <w:widowControl/>
        <w:spacing w:before="100" w:beforeAutospacing="1" w:after="100" w:afterAutospacing="1" w:line="360" w:lineRule="auto"/>
        <w:ind w:firstLine="420"/>
        <w:rPr>
          <w:rFonts w:hint="eastAsia" w:ascii="仿宋" w:hAnsi="仿宋" w:eastAsia="仿宋" w:cs="仿宋"/>
          <w:color w:val="auto"/>
          <w:sz w:val="24"/>
          <w:highlight w:val="none"/>
        </w:rPr>
      </w:pPr>
      <w:r>
        <w:rPr>
          <w:rFonts w:hint="eastAsia" w:ascii="仿宋" w:hAnsi="仿宋" w:eastAsia="仿宋" w:cs="仿宋"/>
          <w:b/>
          <w:color w:val="auto"/>
          <w:sz w:val="24"/>
          <w:highlight w:val="none"/>
        </w:rPr>
        <w:br w:type="page"/>
      </w:r>
      <w:bookmarkEnd w:id="377"/>
      <w:bookmarkEnd w:id="378"/>
      <w:bookmarkEnd w:id="379"/>
    </w:p>
    <w:p>
      <w:pPr>
        <w:pStyle w:val="18"/>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符合评分标准要求的商务文件</w:t>
      </w:r>
    </w:p>
    <w:p>
      <w:pPr>
        <w:pStyle w:val="6"/>
        <w:spacing w:line="360" w:lineRule="auto"/>
        <w:ind w:firstLine="0"/>
        <w:rPr>
          <w:rFonts w:hint="eastAsia" w:ascii="仿宋" w:hAnsi="仿宋" w:eastAsia="仿宋" w:cs="仿宋"/>
          <w:color w:val="auto"/>
          <w:highlight w:val="none"/>
        </w:rPr>
      </w:pPr>
    </w:p>
    <w:p>
      <w:pPr>
        <w:pStyle w:val="6"/>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18"/>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投标人须知第10条要求的所有技术文件</w:t>
      </w:r>
    </w:p>
    <w:p>
      <w:pPr>
        <w:pStyle w:val="18"/>
        <w:spacing w:line="360" w:lineRule="auto"/>
        <w:rPr>
          <w:rFonts w:hint="eastAsia" w:ascii="仿宋" w:hAnsi="仿宋" w:eastAsia="仿宋" w:cs="仿宋"/>
          <w:b/>
          <w:color w:val="auto"/>
          <w:sz w:val="32"/>
          <w:highlight w:val="none"/>
        </w:rPr>
      </w:pPr>
    </w:p>
    <w:p>
      <w:pPr>
        <w:pStyle w:val="18"/>
        <w:spacing w:line="360" w:lineRule="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bookmarkStart w:id="385" w:name="_Toc60929148"/>
      <w:bookmarkStart w:id="386" w:name="_Toc60928916"/>
    </w:p>
    <w:p>
      <w:pPr>
        <w:pStyle w:val="18"/>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投标方案或技术方案</w:t>
      </w:r>
      <w:bookmarkEnd w:id="385"/>
      <w:bookmarkEnd w:id="386"/>
      <w:bookmarkStart w:id="387" w:name="_Toc60929149"/>
      <w:bookmarkStart w:id="388" w:name="_Toc60928917"/>
    </w:p>
    <w:p>
      <w:pPr>
        <w:pStyle w:val="2"/>
        <w:jc w:val="center"/>
        <w:rPr>
          <w:rFonts w:hint="eastAsia" w:ascii="仿宋" w:hAnsi="仿宋" w:eastAsia="仿宋" w:cs="仿宋"/>
          <w:color w:val="auto"/>
          <w:highlight w:val="none"/>
        </w:rPr>
      </w:pPr>
      <w:r>
        <w:rPr>
          <w:rFonts w:hint="eastAsia" w:ascii="仿宋" w:hAnsi="仿宋" w:eastAsia="仿宋" w:cs="仿宋"/>
          <w:color w:val="auto"/>
          <w:highlight w:val="none"/>
        </w:rPr>
        <w:t>（格式自拟，内容应包含评标办法中要求的内容）</w:t>
      </w:r>
      <w:bookmarkEnd w:id="387"/>
      <w:bookmarkEnd w:id="388"/>
    </w:p>
    <w:p>
      <w:pPr>
        <w:rPr>
          <w:rFonts w:hint="eastAsia" w:ascii="仿宋" w:hAnsi="仿宋" w:eastAsia="仿宋" w:cs="仿宋"/>
          <w:color w:val="auto"/>
          <w:highlight w:val="none"/>
        </w:rPr>
      </w:pPr>
    </w:p>
    <w:p>
      <w:pPr>
        <w:pStyle w:val="6"/>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18"/>
        <w:spacing w:line="360" w:lineRule="auto"/>
        <w:jc w:val="center"/>
        <w:rPr>
          <w:rFonts w:hint="eastAsia" w:ascii="仿宋" w:hAnsi="仿宋" w:eastAsia="仿宋" w:cs="仿宋"/>
          <w:b/>
          <w:color w:val="auto"/>
          <w:sz w:val="32"/>
          <w:highlight w:val="none"/>
        </w:rPr>
      </w:pPr>
      <w:bookmarkStart w:id="389" w:name="_Toc60928918"/>
      <w:bookmarkStart w:id="390" w:name="_Toc60929150"/>
      <w:r>
        <w:rPr>
          <w:rFonts w:hint="eastAsia" w:ascii="仿宋" w:hAnsi="仿宋" w:eastAsia="仿宋" w:cs="仿宋"/>
          <w:b/>
          <w:color w:val="auto"/>
          <w:sz w:val="32"/>
          <w:highlight w:val="none"/>
        </w:rPr>
        <w:t>业绩一览表</w:t>
      </w:r>
      <w:bookmarkEnd w:id="389"/>
      <w:bookmarkEnd w:id="390"/>
    </w:p>
    <w:tbl>
      <w:tblPr>
        <w:tblStyle w:val="3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98"/>
        <w:gridCol w:w="1847"/>
        <w:gridCol w:w="1677"/>
        <w:gridCol w:w="1343"/>
        <w:gridCol w:w="25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143"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合同金额（万元）</w:t>
            </w:r>
          </w:p>
        </w:tc>
        <w:tc>
          <w:tcPr>
            <w:tcW w:w="831"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完成日期</w:t>
            </w:r>
          </w:p>
        </w:tc>
        <w:tc>
          <w:tcPr>
            <w:tcW w:w="1556"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143" w:type="pct"/>
            <w:vAlign w:val="center"/>
          </w:tcPr>
          <w:p>
            <w:pPr>
              <w:jc w:val="center"/>
              <w:rPr>
                <w:rFonts w:hint="eastAsia" w:ascii="仿宋" w:hAnsi="仿宋" w:eastAsia="仿宋" w:cs="仿宋"/>
                <w:color w:val="auto"/>
                <w:sz w:val="24"/>
                <w:highlight w:val="none"/>
              </w:rPr>
            </w:pP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831" w:type="pct"/>
            <w:vAlign w:val="center"/>
          </w:tcPr>
          <w:p>
            <w:pPr>
              <w:jc w:val="center"/>
              <w:rPr>
                <w:rFonts w:hint="eastAsia" w:ascii="仿宋" w:hAnsi="仿宋" w:eastAsia="仿宋" w:cs="仿宋"/>
                <w:color w:val="auto"/>
                <w:sz w:val="24"/>
                <w:highlight w:val="none"/>
              </w:rPr>
            </w:pPr>
          </w:p>
        </w:tc>
        <w:tc>
          <w:tcPr>
            <w:tcW w:w="1556" w:type="pct"/>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143" w:type="pct"/>
            <w:vAlign w:val="center"/>
          </w:tcPr>
          <w:p>
            <w:pPr>
              <w:jc w:val="center"/>
              <w:rPr>
                <w:rFonts w:hint="eastAsia" w:ascii="仿宋" w:hAnsi="仿宋" w:eastAsia="仿宋" w:cs="仿宋"/>
                <w:color w:val="auto"/>
                <w:sz w:val="24"/>
                <w:highlight w:val="none"/>
              </w:rPr>
            </w:pP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831" w:type="pct"/>
            <w:vAlign w:val="center"/>
          </w:tcPr>
          <w:p>
            <w:pPr>
              <w:jc w:val="center"/>
              <w:rPr>
                <w:rFonts w:hint="eastAsia" w:ascii="仿宋" w:hAnsi="仿宋" w:eastAsia="仿宋" w:cs="仿宋"/>
                <w:color w:val="auto"/>
                <w:sz w:val="24"/>
                <w:highlight w:val="none"/>
              </w:rPr>
            </w:pPr>
          </w:p>
        </w:tc>
        <w:tc>
          <w:tcPr>
            <w:tcW w:w="1556" w:type="pct"/>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143" w:type="pct"/>
            <w:vAlign w:val="center"/>
          </w:tcPr>
          <w:p>
            <w:pPr>
              <w:jc w:val="center"/>
              <w:rPr>
                <w:rFonts w:hint="eastAsia" w:ascii="仿宋" w:hAnsi="仿宋" w:eastAsia="仿宋" w:cs="仿宋"/>
                <w:color w:val="auto"/>
                <w:sz w:val="24"/>
                <w:highlight w:val="none"/>
              </w:rPr>
            </w:pP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831" w:type="pct"/>
            <w:vAlign w:val="center"/>
          </w:tcPr>
          <w:p>
            <w:pPr>
              <w:jc w:val="center"/>
              <w:rPr>
                <w:rFonts w:hint="eastAsia" w:ascii="仿宋" w:hAnsi="仿宋" w:eastAsia="仿宋" w:cs="仿宋"/>
                <w:color w:val="auto"/>
                <w:sz w:val="24"/>
                <w:highlight w:val="none"/>
              </w:rPr>
            </w:pPr>
          </w:p>
        </w:tc>
        <w:tc>
          <w:tcPr>
            <w:tcW w:w="1556" w:type="pct"/>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143" w:type="pct"/>
            <w:vAlign w:val="center"/>
          </w:tcPr>
          <w:p>
            <w:pPr>
              <w:jc w:val="center"/>
              <w:rPr>
                <w:rFonts w:hint="eastAsia" w:ascii="仿宋" w:hAnsi="仿宋" w:eastAsia="仿宋" w:cs="仿宋"/>
                <w:color w:val="auto"/>
                <w:sz w:val="24"/>
                <w:highlight w:val="none"/>
              </w:rPr>
            </w:pP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831" w:type="pct"/>
            <w:vAlign w:val="center"/>
          </w:tcPr>
          <w:p>
            <w:pPr>
              <w:jc w:val="center"/>
              <w:rPr>
                <w:rFonts w:hint="eastAsia" w:ascii="仿宋" w:hAnsi="仿宋" w:eastAsia="仿宋" w:cs="仿宋"/>
                <w:color w:val="auto"/>
                <w:sz w:val="24"/>
                <w:highlight w:val="none"/>
              </w:rPr>
            </w:pPr>
          </w:p>
        </w:tc>
        <w:tc>
          <w:tcPr>
            <w:tcW w:w="1556" w:type="pct"/>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143" w:type="pct"/>
            <w:vAlign w:val="center"/>
          </w:tcPr>
          <w:p>
            <w:pPr>
              <w:jc w:val="center"/>
              <w:rPr>
                <w:rFonts w:hint="eastAsia" w:ascii="仿宋" w:hAnsi="仿宋" w:eastAsia="仿宋" w:cs="仿宋"/>
                <w:color w:val="auto"/>
                <w:sz w:val="24"/>
                <w:highlight w:val="none"/>
              </w:rPr>
            </w:pP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831" w:type="pct"/>
            <w:vAlign w:val="center"/>
          </w:tcPr>
          <w:p>
            <w:pPr>
              <w:jc w:val="center"/>
              <w:rPr>
                <w:rFonts w:hint="eastAsia" w:ascii="仿宋" w:hAnsi="仿宋" w:eastAsia="仿宋" w:cs="仿宋"/>
                <w:color w:val="auto"/>
                <w:sz w:val="24"/>
                <w:highlight w:val="none"/>
              </w:rPr>
            </w:pPr>
          </w:p>
        </w:tc>
        <w:tc>
          <w:tcPr>
            <w:tcW w:w="1556" w:type="pct"/>
            <w:vAlign w:val="center"/>
          </w:tcPr>
          <w:p>
            <w:pPr>
              <w:jc w:val="center"/>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432"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143" w:type="pct"/>
            <w:vAlign w:val="center"/>
          </w:tcPr>
          <w:p>
            <w:pPr>
              <w:jc w:val="center"/>
              <w:rPr>
                <w:rFonts w:hint="eastAsia" w:ascii="仿宋" w:hAnsi="仿宋" w:eastAsia="仿宋" w:cs="仿宋"/>
                <w:color w:val="auto"/>
                <w:sz w:val="24"/>
                <w:highlight w:val="none"/>
              </w:rPr>
            </w:pPr>
          </w:p>
        </w:tc>
        <w:tc>
          <w:tcPr>
            <w:tcW w:w="1038" w:type="pct"/>
            <w:tcBorders>
              <w:left w:val="single" w:color="auto" w:sz="4" w:space="0"/>
              <w:right w:val="single" w:color="auto" w:sz="4" w:space="0"/>
            </w:tcBorders>
            <w:vAlign w:val="center"/>
          </w:tcPr>
          <w:p>
            <w:pPr>
              <w:jc w:val="center"/>
              <w:rPr>
                <w:rFonts w:hint="eastAsia" w:ascii="仿宋" w:hAnsi="仿宋" w:eastAsia="仿宋" w:cs="仿宋"/>
                <w:color w:val="auto"/>
                <w:sz w:val="24"/>
                <w:highlight w:val="none"/>
              </w:rPr>
            </w:pPr>
          </w:p>
        </w:tc>
        <w:tc>
          <w:tcPr>
            <w:tcW w:w="831" w:type="pct"/>
            <w:vAlign w:val="center"/>
          </w:tcPr>
          <w:p>
            <w:pPr>
              <w:jc w:val="center"/>
              <w:rPr>
                <w:rFonts w:hint="eastAsia" w:ascii="仿宋" w:hAnsi="仿宋" w:eastAsia="仿宋" w:cs="仿宋"/>
                <w:color w:val="auto"/>
                <w:sz w:val="24"/>
                <w:highlight w:val="none"/>
              </w:rPr>
            </w:pPr>
          </w:p>
        </w:tc>
        <w:tc>
          <w:tcPr>
            <w:tcW w:w="1556" w:type="pct"/>
            <w:vAlign w:val="center"/>
          </w:tcPr>
          <w:p>
            <w:pPr>
              <w:jc w:val="center"/>
              <w:rPr>
                <w:rFonts w:hint="eastAsia" w:ascii="仿宋" w:hAnsi="仿宋" w:eastAsia="仿宋" w:cs="仿宋"/>
                <w:color w:val="auto"/>
                <w:sz w:val="24"/>
                <w:highlight w:val="none"/>
              </w:rPr>
            </w:pPr>
          </w:p>
        </w:tc>
      </w:tr>
    </w:tbl>
    <w:p>
      <w:pPr>
        <w:snapToGrid w:val="0"/>
        <w:spacing w:line="360" w:lineRule="auto"/>
        <w:ind w:left="398" w:hanging="398" w:hangingChars="166"/>
        <w:rPr>
          <w:rFonts w:hint="eastAsia" w:ascii="仿宋" w:hAnsi="仿宋" w:eastAsia="仿宋" w:cs="仿宋"/>
          <w:color w:val="auto"/>
          <w:sz w:val="24"/>
          <w:highlight w:val="none"/>
        </w:rPr>
      </w:pPr>
    </w:p>
    <w:p>
      <w:pPr>
        <w:snapToGrid w:val="0"/>
        <w:spacing w:line="360" w:lineRule="auto"/>
        <w:ind w:left="398" w:hanging="398" w:hangingChars="166"/>
        <w:rPr>
          <w:rFonts w:hint="eastAsia" w:ascii="仿宋" w:hAnsi="仿宋" w:eastAsia="仿宋" w:cs="仿宋"/>
          <w:color w:val="auto"/>
          <w:sz w:val="24"/>
          <w:highlight w:val="none"/>
        </w:rPr>
      </w:pPr>
      <w:r>
        <w:rPr>
          <w:rFonts w:hint="eastAsia" w:ascii="仿宋" w:hAnsi="仿宋" w:eastAsia="仿宋" w:cs="仿宋"/>
          <w:color w:val="auto"/>
          <w:sz w:val="24"/>
          <w:highlight w:val="none"/>
        </w:rPr>
        <w:t>注：1.投标人应如实列出以上情况，如有隐瞒，一经查实将导致其投标申请被拒绝。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2、每个有效业绩须提供中标通知书或双方签订的合同复印件并加盖公章，无相关证明材料的业绩在评审时将不予确认。</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18"/>
        <w:spacing w:line="360" w:lineRule="auto"/>
        <w:jc w:val="center"/>
        <w:rPr>
          <w:rFonts w:hint="eastAsia" w:ascii="仿宋" w:hAnsi="仿宋" w:eastAsia="仿宋" w:cs="仿宋"/>
          <w:b/>
          <w:color w:val="auto"/>
          <w:sz w:val="32"/>
          <w:highlight w:val="none"/>
        </w:rPr>
      </w:pPr>
      <w:bookmarkStart w:id="391" w:name="_Toc60929151"/>
      <w:bookmarkStart w:id="392" w:name="_Toc60928919"/>
      <w:r>
        <w:rPr>
          <w:rFonts w:hint="eastAsia" w:ascii="仿宋" w:hAnsi="仿宋" w:eastAsia="仿宋" w:cs="仿宋"/>
          <w:b/>
          <w:color w:val="auto"/>
          <w:sz w:val="32"/>
          <w:highlight w:val="none"/>
        </w:rPr>
        <w:t>投标人须知前附表要求的其他文件</w:t>
      </w:r>
      <w:bookmarkEnd w:id="391"/>
      <w:bookmarkEnd w:id="392"/>
    </w:p>
    <w:sectPr>
      <w:footerReference r:id="rId3" w:type="default"/>
      <w:pgSz w:w="11907" w:h="16840"/>
      <w:pgMar w:top="1440" w:right="1800" w:bottom="1440" w:left="1800" w:header="851" w:footer="851" w:gutter="284"/>
      <w:pgNumType w:start="1"/>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1" w:fontKey="{43733C82-0780-4FC5-9C12-32C56E497AB8}"/>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SourceHanSansCN-Regular">
    <w:altName w:val="Segoe Print"/>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embedRegular r:id="rId2" w:fontKey="{0D86D1ED-88A3-4B3D-803D-618840AB9C13}"/>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75E5DFB3-68B6-45FF-9406-6749874C868A}"/>
  </w:font>
  <w:font w:name="华文仿宋">
    <w:panose1 w:val="02010600040101010101"/>
    <w:charset w:val="86"/>
    <w:family w:val="auto"/>
    <w:pitch w:val="default"/>
    <w:sig w:usb0="00000287" w:usb1="080F0000" w:usb2="00000000" w:usb3="00000000" w:csb0="0004009F" w:csb1="DFD70000"/>
    <w:embedRegular r:id="rId4" w:fontKey="{AEC4D7C6-D1F4-4111-B5D6-8E237E735402}"/>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2126D"/>
    <w:multiLevelType w:val="singleLevel"/>
    <w:tmpl w:val="0862126D"/>
    <w:lvl w:ilvl="0" w:tentative="0">
      <w:start w:val="2"/>
      <w:numFmt w:val="decimal"/>
      <w:suff w:val="nothing"/>
      <w:lvlText w:val="%1、"/>
      <w:lvlJc w:val="left"/>
    </w:lvl>
  </w:abstractNum>
  <w:abstractNum w:abstractNumId="1">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2">
    <w:nsid w:val="46E71891"/>
    <w:multiLevelType w:val="singleLevel"/>
    <w:tmpl w:val="46E71891"/>
    <w:lvl w:ilvl="0" w:tentative="0">
      <w:start w:val="2"/>
      <w:numFmt w:val="decimal"/>
      <w:suff w:val="nothing"/>
      <w:lvlText w:val="%1、"/>
      <w:lvlJc w:val="left"/>
    </w:lvl>
  </w:abstractNum>
  <w:abstractNum w:abstractNumId="3">
    <w:nsid w:val="4B558046"/>
    <w:multiLevelType w:val="singleLevel"/>
    <w:tmpl w:val="4B558046"/>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commondata" w:val="eyJoZGlkIjoiMTY3OWI2YzM2Mzk1NTRlMmUyZDE1YWViMTRhNmI0MTQifQ=="/>
    <w:docVar w:name="VTCASE" w:val="4"/>
    <w:docVar w:name="VTCommandPending" w:val="NONE"/>
  </w:docVars>
  <w:rsids>
    <w:rsidRoot w:val="00887D93"/>
    <w:rsid w:val="000003F8"/>
    <w:rsid w:val="000004CD"/>
    <w:rsid w:val="00000B88"/>
    <w:rsid w:val="00000CC8"/>
    <w:rsid w:val="00001783"/>
    <w:rsid w:val="00001797"/>
    <w:rsid w:val="000018E2"/>
    <w:rsid w:val="0000273B"/>
    <w:rsid w:val="000041A8"/>
    <w:rsid w:val="00004277"/>
    <w:rsid w:val="00004D81"/>
    <w:rsid w:val="000055D7"/>
    <w:rsid w:val="00006413"/>
    <w:rsid w:val="000078F7"/>
    <w:rsid w:val="000106A9"/>
    <w:rsid w:val="00013C70"/>
    <w:rsid w:val="00014763"/>
    <w:rsid w:val="00014892"/>
    <w:rsid w:val="00014B01"/>
    <w:rsid w:val="0001529F"/>
    <w:rsid w:val="000157E2"/>
    <w:rsid w:val="0001668B"/>
    <w:rsid w:val="0001697A"/>
    <w:rsid w:val="000169E1"/>
    <w:rsid w:val="00020D78"/>
    <w:rsid w:val="00021486"/>
    <w:rsid w:val="00021AE8"/>
    <w:rsid w:val="00021CB0"/>
    <w:rsid w:val="00021ED8"/>
    <w:rsid w:val="00022E94"/>
    <w:rsid w:val="00024F79"/>
    <w:rsid w:val="00026F95"/>
    <w:rsid w:val="0003033F"/>
    <w:rsid w:val="00030B4B"/>
    <w:rsid w:val="00030FAA"/>
    <w:rsid w:val="000313B5"/>
    <w:rsid w:val="000315C4"/>
    <w:rsid w:val="00032B33"/>
    <w:rsid w:val="00032B95"/>
    <w:rsid w:val="000333A8"/>
    <w:rsid w:val="0003349B"/>
    <w:rsid w:val="000422D6"/>
    <w:rsid w:val="0004316D"/>
    <w:rsid w:val="000434F9"/>
    <w:rsid w:val="00043533"/>
    <w:rsid w:val="000457F2"/>
    <w:rsid w:val="00045D67"/>
    <w:rsid w:val="0004677C"/>
    <w:rsid w:val="00047F5E"/>
    <w:rsid w:val="000538CC"/>
    <w:rsid w:val="000541C7"/>
    <w:rsid w:val="0005425C"/>
    <w:rsid w:val="00054A8E"/>
    <w:rsid w:val="00055A71"/>
    <w:rsid w:val="00056545"/>
    <w:rsid w:val="00056583"/>
    <w:rsid w:val="00056932"/>
    <w:rsid w:val="00057BB2"/>
    <w:rsid w:val="0006019D"/>
    <w:rsid w:val="000608CE"/>
    <w:rsid w:val="000612B3"/>
    <w:rsid w:val="000619FE"/>
    <w:rsid w:val="00061B68"/>
    <w:rsid w:val="0006254B"/>
    <w:rsid w:val="00062F6D"/>
    <w:rsid w:val="000634E0"/>
    <w:rsid w:val="00063504"/>
    <w:rsid w:val="00063750"/>
    <w:rsid w:val="00063848"/>
    <w:rsid w:val="00064D90"/>
    <w:rsid w:val="00065379"/>
    <w:rsid w:val="000673C5"/>
    <w:rsid w:val="00070907"/>
    <w:rsid w:val="00070E4A"/>
    <w:rsid w:val="000710A4"/>
    <w:rsid w:val="000719AB"/>
    <w:rsid w:val="00071A8D"/>
    <w:rsid w:val="000731AC"/>
    <w:rsid w:val="00073668"/>
    <w:rsid w:val="00073852"/>
    <w:rsid w:val="0007437C"/>
    <w:rsid w:val="00076670"/>
    <w:rsid w:val="00077381"/>
    <w:rsid w:val="00080A9E"/>
    <w:rsid w:val="00080B56"/>
    <w:rsid w:val="00080FC7"/>
    <w:rsid w:val="00081B91"/>
    <w:rsid w:val="00081D11"/>
    <w:rsid w:val="00083115"/>
    <w:rsid w:val="00087D90"/>
    <w:rsid w:val="00091306"/>
    <w:rsid w:val="00092DF6"/>
    <w:rsid w:val="00093269"/>
    <w:rsid w:val="00093645"/>
    <w:rsid w:val="0009376D"/>
    <w:rsid w:val="000938B0"/>
    <w:rsid w:val="00094850"/>
    <w:rsid w:val="00094D7A"/>
    <w:rsid w:val="00096150"/>
    <w:rsid w:val="00096ABA"/>
    <w:rsid w:val="00096F54"/>
    <w:rsid w:val="00097555"/>
    <w:rsid w:val="000A0F1C"/>
    <w:rsid w:val="000A1435"/>
    <w:rsid w:val="000A20CC"/>
    <w:rsid w:val="000A311F"/>
    <w:rsid w:val="000A31C4"/>
    <w:rsid w:val="000A3727"/>
    <w:rsid w:val="000A378F"/>
    <w:rsid w:val="000A49C1"/>
    <w:rsid w:val="000A799B"/>
    <w:rsid w:val="000B097D"/>
    <w:rsid w:val="000B0FD5"/>
    <w:rsid w:val="000B134A"/>
    <w:rsid w:val="000B1F67"/>
    <w:rsid w:val="000B3242"/>
    <w:rsid w:val="000B3392"/>
    <w:rsid w:val="000B362F"/>
    <w:rsid w:val="000B366A"/>
    <w:rsid w:val="000B3958"/>
    <w:rsid w:val="000B41E2"/>
    <w:rsid w:val="000B4D5A"/>
    <w:rsid w:val="000B54A2"/>
    <w:rsid w:val="000B6C50"/>
    <w:rsid w:val="000B6DD0"/>
    <w:rsid w:val="000B7166"/>
    <w:rsid w:val="000B7F8A"/>
    <w:rsid w:val="000C0FDF"/>
    <w:rsid w:val="000C15AF"/>
    <w:rsid w:val="000C1C74"/>
    <w:rsid w:val="000C26CA"/>
    <w:rsid w:val="000C3524"/>
    <w:rsid w:val="000C383E"/>
    <w:rsid w:val="000C3A1F"/>
    <w:rsid w:val="000C5071"/>
    <w:rsid w:val="000C55ED"/>
    <w:rsid w:val="000C5F8B"/>
    <w:rsid w:val="000C6555"/>
    <w:rsid w:val="000C6B1E"/>
    <w:rsid w:val="000C6F86"/>
    <w:rsid w:val="000C78AE"/>
    <w:rsid w:val="000D10E4"/>
    <w:rsid w:val="000D1613"/>
    <w:rsid w:val="000D19C1"/>
    <w:rsid w:val="000D1D95"/>
    <w:rsid w:val="000D27A3"/>
    <w:rsid w:val="000D4821"/>
    <w:rsid w:val="000D498D"/>
    <w:rsid w:val="000D4E69"/>
    <w:rsid w:val="000D5125"/>
    <w:rsid w:val="000D51DB"/>
    <w:rsid w:val="000D5894"/>
    <w:rsid w:val="000D6197"/>
    <w:rsid w:val="000D751E"/>
    <w:rsid w:val="000D7812"/>
    <w:rsid w:val="000D7971"/>
    <w:rsid w:val="000E1288"/>
    <w:rsid w:val="000E35FC"/>
    <w:rsid w:val="000E3784"/>
    <w:rsid w:val="000E37E0"/>
    <w:rsid w:val="000E47A0"/>
    <w:rsid w:val="000E56F6"/>
    <w:rsid w:val="000E597F"/>
    <w:rsid w:val="000E5BFC"/>
    <w:rsid w:val="000E6242"/>
    <w:rsid w:val="000E67B9"/>
    <w:rsid w:val="000E694F"/>
    <w:rsid w:val="000E7158"/>
    <w:rsid w:val="000E74D4"/>
    <w:rsid w:val="000F0A9C"/>
    <w:rsid w:val="000F2D05"/>
    <w:rsid w:val="000F2D29"/>
    <w:rsid w:val="000F2EEE"/>
    <w:rsid w:val="000F349B"/>
    <w:rsid w:val="000F3ED4"/>
    <w:rsid w:val="000F4234"/>
    <w:rsid w:val="000F5B22"/>
    <w:rsid w:val="000F6215"/>
    <w:rsid w:val="000F63C8"/>
    <w:rsid w:val="000F6581"/>
    <w:rsid w:val="00102417"/>
    <w:rsid w:val="001032CC"/>
    <w:rsid w:val="00105B0B"/>
    <w:rsid w:val="001062D8"/>
    <w:rsid w:val="00106A8B"/>
    <w:rsid w:val="001078E3"/>
    <w:rsid w:val="0011024E"/>
    <w:rsid w:val="001110C2"/>
    <w:rsid w:val="0011113E"/>
    <w:rsid w:val="00111480"/>
    <w:rsid w:val="00112163"/>
    <w:rsid w:val="00114579"/>
    <w:rsid w:val="0011463E"/>
    <w:rsid w:val="00114CA2"/>
    <w:rsid w:val="00114F49"/>
    <w:rsid w:val="00115BF1"/>
    <w:rsid w:val="00120292"/>
    <w:rsid w:val="0012032C"/>
    <w:rsid w:val="0012244B"/>
    <w:rsid w:val="001224B5"/>
    <w:rsid w:val="00122643"/>
    <w:rsid w:val="00122D22"/>
    <w:rsid w:val="00122E9B"/>
    <w:rsid w:val="0012425B"/>
    <w:rsid w:val="001244F8"/>
    <w:rsid w:val="001247F0"/>
    <w:rsid w:val="001252D8"/>
    <w:rsid w:val="001257C5"/>
    <w:rsid w:val="001257D4"/>
    <w:rsid w:val="001313C6"/>
    <w:rsid w:val="00131E0D"/>
    <w:rsid w:val="0013289C"/>
    <w:rsid w:val="0013359E"/>
    <w:rsid w:val="00137694"/>
    <w:rsid w:val="0014049E"/>
    <w:rsid w:val="001410EF"/>
    <w:rsid w:val="001411D8"/>
    <w:rsid w:val="00141EAC"/>
    <w:rsid w:val="00141EC4"/>
    <w:rsid w:val="001422E9"/>
    <w:rsid w:val="00142833"/>
    <w:rsid w:val="00142E62"/>
    <w:rsid w:val="00143652"/>
    <w:rsid w:val="0014470E"/>
    <w:rsid w:val="0014488E"/>
    <w:rsid w:val="00145021"/>
    <w:rsid w:val="0014627C"/>
    <w:rsid w:val="00146D60"/>
    <w:rsid w:val="00146E10"/>
    <w:rsid w:val="00147659"/>
    <w:rsid w:val="001504F4"/>
    <w:rsid w:val="001507FB"/>
    <w:rsid w:val="00150E43"/>
    <w:rsid w:val="0015142E"/>
    <w:rsid w:val="001532F0"/>
    <w:rsid w:val="00154FB3"/>
    <w:rsid w:val="001550F4"/>
    <w:rsid w:val="00155D60"/>
    <w:rsid w:val="00156F33"/>
    <w:rsid w:val="00157612"/>
    <w:rsid w:val="00157C74"/>
    <w:rsid w:val="00157D8E"/>
    <w:rsid w:val="00161678"/>
    <w:rsid w:val="00161D71"/>
    <w:rsid w:val="00162805"/>
    <w:rsid w:val="00164959"/>
    <w:rsid w:val="00164E13"/>
    <w:rsid w:val="00165014"/>
    <w:rsid w:val="0017180F"/>
    <w:rsid w:val="00172939"/>
    <w:rsid w:val="00172F97"/>
    <w:rsid w:val="001733C3"/>
    <w:rsid w:val="00173BFF"/>
    <w:rsid w:val="00173D06"/>
    <w:rsid w:val="00173DC3"/>
    <w:rsid w:val="00174749"/>
    <w:rsid w:val="00174764"/>
    <w:rsid w:val="00174FCA"/>
    <w:rsid w:val="001758A8"/>
    <w:rsid w:val="00175AFB"/>
    <w:rsid w:val="00176F12"/>
    <w:rsid w:val="001770BE"/>
    <w:rsid w:val="00177A3E"/>
    <w:rsid w:val="00181ADD"/>
    <w:rsid w:val="00181CFB"/>
    <w:rsid w:val="001839F8"/>
    <w:rsid w:val="00183E4B"/>
    <w:rsid w:val="00185E58"/>
    <w:rsid w:val="001871F8"/>
    <w:rsid w:val="00187B13"/>
    <w:rsid w:val="00187EB4"/>
    <w:rsid w:val="0019282C"/>
    <w:rsid w:val="001930DE"/>
    <w:rsid w:val="001933C5"/>
    <w:rsid w:val="0019360A"/>
    <w:rsid w:val="001952EC"/>
    <w:rsid w:val="00195570"/>
    <w:rsid w:val="0019618B"/>
    <w:rsid w:val="001963DD"/>
    <w:rsid w:val="00196FA0"/>
    <w:rsid w:val="00197710"/>
    <w:rsid w:val="001A282B"/>
    <w:rsid w:val="001A3B44"/>
    <w:rsid w:val="001A3BEB"/>
    <w:rsid w:val="001A3DFF"/>
    <w:rsid w:val="001A4172"/>
    <w:rsid w:val="001A5268"/>
    <w:rsid w:val="001A5B0B"/>
    <w:rsid w:val="001A5EEB"/>
    <w:rsid w:val="001A62A5"/>
    <w:rsid w:val="001A6980"/>
    <w:rsid w:val="001A7068"/>
    <w:rsid w:val="001B05CA"/>
    <w:rsid w:val="001B3B4C"/>
    <w:rsid w:val="001B4216"/>
    <w:rsid w:val="001B49A4"/>
    <w:rsid w:val="001B521B"/>
    <w:rsid w:val="001B5C9A"/>
    <w:rsid w:val="001B5CC8"/>
    <w:rsid w:val="001B6587"/>
    <w:rsid w:val="001C0582"/>
    <w:rsid w:val="001C058D"/>
    <w:rsid w:val="001C4E93"/>
    <w:rsid w:val="001C54C3"/>
    <w:rsid w:val="001C577E"/>
    <w:rsid w:val="001D027D"/>
    <w:rsid w:val="001D02E4"/>
    <w:rsid w:val="001D0412"/>
    <w:rsid w:val="001D3305"/>
    <w:rsid w:val="001D3D88"/>
    <w:rsid w:val="001D4A1E"/>
    <w:rsid w:val="001D4B5F"/>
    <w:rsid w:val="001D6C02"/>
    <w:rsid w:val="001D70E9"/>
    <w:rsid w:val="001D7354"/>
    <w:rsid w:val="001E181E"/>
    <w:rsid w:val="001E1955"/>
    <w:rsid w:val="001E1DCD"/>
    <w:rsid w:val="001E25CB"/>
    <w:rsid w:val="001E4481"/>
    <w:rsid w:val="001E44EF"/>
    <w:rsid w:val="001E4724"/>
    <w:rsid w:val="001E5225"/>
    <w:rsid w:val="001E5AD9"/>
    <w:rsid w:val="001E62FA"/>
    <w:rsid w:val="001E674E"/>
    <w:rsid w:val="001E6C1A"/>
    <w:rsid w:val="001E7629"/>
    <w:rsid w:val="001E7846"/>
    <w:rsid w:val="001E7E8B"/>
    <w:rsid w:val="001F02D8"/>
    <w:rsid w:val="001F0B08"/>
    <w:rsid w:val="001F20DA"/>
    <w:rsid w:val="001F2F0B"/>
    <w:rsid w:val="001F3130"/>
    <w:rsid w:val="001F325D"/>
    <w:rsid w:val="001F3E0A"/>
    <w:rsid w:val="001F48F3"/>
    <w:rsid w:val="001F5620"/>
    <w:rsid w:val="001F5903"/>
    <w:rsid w:val="001F6135"/>
    <w:rsid w:val="001F624A"/>
    <w:rsid w:val="001F7292"/>
    <w:rsid w:val="001F7B07"/>
    <w:rsid w:val="002001DC"/>
    <w:rsid w:val="002032B0"/>
    <w:rsid w:val="00203618"/>
    <w:rsid w:val="00203778"/>
    <w:rsid w:val="0020407A"/>
    <w:rsid w:val="00206B42"/>
    <w:rsid w:val="00207B86"/>
    <w:rsid w:val="00210AE7"/>
    <w:rsid w:val="0021140A"/>
    <w:rsid w:val="002123C7"/>
    <w:rsid w:val="002124BD"/>
    <w:rsid w:val="00213411"/>
    <w:rsid w:val="00214C91"/>
    <w:rsid w:val="0021518F"/>
    <w:rsid w:val="00215B2E"/>
    <w:rsid w:val="00216D4F"/>
    <w:rsid w:val="00216E43"/>
    <w:rsid w:val="00220866"/>
    <w:rsid w:val="00220E32"/>
    <w:rsid w:val="00220F85"/>
    <w:rsid w:val="00221DE5"/>
    <w:rsid w:val="00221E50"/>
    <w:rsid w:val="00222523"/>
    <w:rsid w:val="002231A4"/>
    <w:rsid w:val="00223245"/>
    <w:rsid w:val="00224447"/>
    <w:rsid w:val="00224A77"/>
    <w:rsid w:val="0022671D"/>
    <w:rsid w:val="0022758C"/>
    <w:rsid w:val="00230041"/>
    <w:rsid w:val="0023090E"/>
    <w:rsid w:val="00231C64"/>
    <w:rsid w:val="00232C22"/>
    <w:rsid w:val="002330C7"/>
    <w:rsid w:val="0023318A"/>
    <w:rsid w:val="00233ADF"/>
    <w:rsid w:val="00235F42"/>
    <w:rsid w:val="0023688B"/>
    <w:rsid w:val="00236A9B"/>
    <w:rsid w:val="00236C4A"/>
    <w:rsid w:val="0023715B"/>
    <w:rsid w:val="00237592"/>
    <w:rsid w:val="002402C0"/>
    <w:rsid w:val="0024141B"/>
    <w:rsid w:val="00242361"/>
    <w:rsid w:val="00244A0E"/>
    <w:rsid w:val="00244F73"/>
    <w:rsid w:val="00245783"/>
    <w:rsid w:val="00247E67"/>
    <w:rsid w:val="002501BB"/>
    <w:rsid w:val="002509CA"/>
    <w:rsid w:val="00250C1D"/>
    <w:rsid w:val="00251A29"/>
    <w:rsid w:val="00251B89"/>
    <w:rsid w:val="00252AAF"/>
    <w:rsid w:val="00252CD6"/>
    <w:rsid w:val="00253615"/>
    <w:rsid w:val="002537D1"/>
    <w:rsid w:val="00253950"/>
    <w:rsid w:val="00254F7E"/>
    <w:rsid w:val="0025569E"/>
    <w:rsid w:val="002564FE"/>
    <w:rsid w:val="00260276"/>
    <w:rsid w:val="002603EB"/>
    <w:rsid w:val="0026082E"/>
    <w:rsid w:val="00261FEB"/>
    <w:rsid w:val="00262619"/>
    <w:rsid w:val="00262A4F"/>
    <w:rsid w:val="00264327"/>
    <w:rsid w:val="002650F1"/>
    <w:rsid w:val="0026511C"/>
    <w:rsid w:val="002657C5"/>
    <w:rsid w:val="00266403"/>
    <w:rsid w:val="00266406"/>
    <w:rsid w:val="002679CA"/>
    <w:rsid w:val="00270373"/>
    <w:rsid w:val="00272722"/>
    <w:rsid w:val="0027355A"/>
    <w:rsid w:val="00273A60"/>
    <w:rsid w:val="002745E7"/>
    <w:rsid w:val="00275D57"/>
    <w:rsid w:val="002760AC"/>
    <w:rsid w:val="00276A3B"/>
    <w:rsid w:val="002770D8"/>
    <w:rsid w:val="00277935"/>
    <w:rsid w:val="00277E8E"/>
    <w:rsid w:val="002804D8"/>
    <w:rsid w:val="002807CC"/>
    <w:rsid w:val="00280DD6"/>
    <w:rsid w:val="002810E7"/>
    <w:rsid w:val="00281C51"/>
    <w:rsid w:val="002822AE"/>
    <w:rsid w:val="00282496"/>
    <w:rsid w:val="00283033"/>
    <w:rsid w:val="00283C83"/>
    <w:rsid w:val="00283F76"/>
    <w:rsid w:val="00284393"/>
    <w:rsid w:val="002854DC"/>
    <w:rsid w:val="002859A3"/>
    <w:rsid w:val="0028616B"/>
    <w:rsid w:val="002878D2"/>
    <w:rsid w:val="00290CDE"/>
    <w:rsid w:val="00290DE2"/>
    <w:rsid w:val="00291E35"/>
    <w:rsid w:val="00291E87"/>
    <w:rsid w:val="00294129"/>
    <w:rsid w:val="002941B7"/>
    <w:rsid w:val="002959CC"/>
    <w:rsid w:val="002968A8"/>
    <w:rsid w:val="00297ED3"/>
    <w:rsid w:val="002A0AA2"/>
    <w:rsid w:val="002A0C27"/>
    <w:rsid w:val="002A2315"/>
    <w:rsid w:val="002A2732"/>
    <w:rsid w:val="002A2D72"/>
    <w:rsid w:val="002A3153"/>
    <w:rsid w:val="002A3190"/>
    <w:rsid w:val="002A5529"/>
    <w:rsid w:val="002A6C9C"/>
    <w:rsid w:val="002A7668"/>
    <w:rsid w:val="002A7A68"/>
    <w:rsid w:val="002B06AA"/>
    <w:rsid w:val="002B14D3"/>
    <w:rsid w:val="002B17A6"/>
    <w:rsid w:val="002B36A1"/>
    <w:rsid w:val="002B38AB"/>
    <w:rsid w:val="002B64E4"/>
    <w:rsid w:val="002C05B8"/>
    <w:rsid w:val="002C0F6F"/>
    <w:rsid w:val="002C10AC"/>
    <w:rsid w:val="002C1F27"/>
    <w:rsid w:val="002C2AE8"/>
    <w:rsid w:val="002C2FF3"/>
    <w:rsid w:val="002C3A5A"/>
    <w:rsid w:val="002C4227"/>
    <w:rsid w:val="002C4ABE"/>
    <w:rsid w:val="002C672F"/>
    <w:rsid w:val="002C71EC"/>
    <w:rsid w:val="002C7548"/>
    <w:rsid w:val="002C780B"/>
    <w:rsid w:val="002C7DE6"/>
    <w:rsid w:val="002C7E47"/>
    <w:rsid w:val="002D1BA1"/>
    <w:rsid w:val="002D2C13"/>
    <w:rsid w:val="002D2FFB"/>
    <w:rsid w:val="002D4E0A"/>
    <w:rsid w:val="002D4E16"/>
    <w:rsid w:val="002D4F0F"/>
    <w:rsid w:val="002D505C"/>
    <w:rsid w:val="002D5DF8"/>
    <w:rsid w:val="002D728B"/>
    <w:rsid w:val="002D7759"/>
    <w:rsid w:val="002E127E"/>
    <w:rsid w:val="002E334D"/>
    <w:rsid w:val="002E486A"/>
    <w:rsid w:val="002E53C0"/>
    <w:rsid w:val="002E6B9E"/>
    <w:rsid w:val="002E766C"/>
    <w:rsid w:val="002E7A9E"/>
    <w:rsid w:val="002F02C8"/>
    <w:rsid w:val="002F0A07"/>
    <w:rsid w:val="002F2D5F"/>
    <w:rsid w:val="002F3072"/>
    <w:rsid w:val="002F3AF8"/>
    <w:rsid w:val="002F46DC"/>
    <w:rsid w:val="002F5145"/>
    <w:rsid w:val="002F539A"/>
    <w:rsid w:val="002F5CB9"/>
    <w:rsid w:val="002F659B"/>
    <w:rsid w:val="002F683C"/>
    <w:rsid w:val="00303EF8"/>
    <w:rsid w:val="00305764"/>
    <w:rsid w:val="00305F52"/>
    <w:rsid w:val="00310C52"/>
    <w:rsid w:val="0031140B"/>
    <w:rsid w:val="00312F1A"/>
    <w:rsid w:val="00314A4D"/>
    <w:rsid w:val="00314E3D"/>
    <w:rsid w:val="00317120"/>
    <w:rsid w:val="003171BB"/>
    <w:rsid w:val="0032100C"/>
    <w:rsid w:val="003212C2"/>
    <w:rsid w:val="0032144E"/>
    <w:rsid w:val="00321921"/>
    <w:rsid w:val="00321926"/>
    <w:rsid w:val="00322C1C"/>
    <w:rsid w:val="00322E43"/>
    <w:rsid w:val="003232E8"/>
    <w:rsid w:val="003238BD"/>
    <w:rsid w:val="00324EDC"/>
    <w:rsid w:val="00327707"/>
    <w:rsid w:val="00330334"/>
    <w:rsid w:val="0033060D"/>
    <w:rsid w:val="003318F3"/>
    <w:rsid w:val="00331A7D"/>
    <w:rsid w:val="00331ECA"/>
    <w:rsid w:val="00333153"/>
    <w:rsid w:val="00333919"/>
    <w:rsid w:val="00333D91"/>
    <w:rsid w:val="00334F3E"/>
    <w:rsid w:val="003379AF"/>
    <w:rsid w:val="00337C5C"/>
    <w:rsid w:val="00343299"/>
    <w:rsid w:val="00343E4C"/>
    <w:rsid w:val="0034565C"/>
    <w:rsid w:val="003466C4"/>
    <w:rsid w:val="0034779B"/>
    <w:rsid w:val="003478FB"/>
    <w:rsid w:val="00351ABD"/>
    <w:rsid w:val="00352BC8"/>
    <w:rsid w:val="00355D82"/>
    <w:rsid w:val="00356CAF"/>
    <w:rsid w:val="0035739A"/>
    <w:rsid w:val="0036041B"/>
    <w:rsid w:val="003608FE"/>
    <w:rsid w:val="00361177"/>
    <w:rsid w:val="003612A6"/>
    <w:rsid w:val="00363EC8"/>
    <w:rsid w:val="0036400E"/>
    <w:rsid w:val="00364B1F"/>
    <w:rsid w:val="00364C2D"/>
    <w:rsid w:val="003671F3"/>
    <w:rsid w:val="00367712"/>
    <w:rsid w:val="00367C88"/>
    <w:rsid w:val="00367DB2"/>
    <w:rsid w:val="00370155"/>
    <w:rsid w:val="00370B19"/>
    <w:rsid w:val="00371139"/>
    <w:rsid w:val="00371C8C"/>
    <w:rsid w:val="00372779"/>
    <w:rsid w:val="00373408"/>
    <w:rsid w:val="003748EB"/>
    <w:rsid w:val="003757F6"/>
    <w:rsid w:val="00375DCD"/>
    <w:rsid w:val="00375DEA"/>
    <w:rsid w:val="00376F36"/>
    <w:rsid w:val="003800A6"/>
    <w:rsid w:val="0038151E"/>
    <w:rsid w:val="00382FFA"/>
    <w:rsid w:val="003839DF"/>
    <w:rsid w:val="00383B0A"/>
    <w:rsid w:val="0038491D"/>
    <w:rsid w:val="00385E7A"/>
    <w:rsid w:val="00386A20"/>
    <w:rsid w:val="00387606"/>
    <w:rsid w:val="00387983"/>
    <w:rsid w:val="0039012C"/>
    <w:rsid w:val="0039056C"/>
    <w:rsid w:val="00391DD2"/>
    <w:rsid w:val="0039248C"/>
    <w:rsid w:val="003925E1"/>
    <w:rsid w:val="00393D74"/>
    <w:rsid w:val="00393ED9"/>
    <w:rsid w:val="003943A7"/>
    <w:rsid w:val="00396A66"/>
    <w:rsid w:val="00396F4F"/>
    <w:rsid w:val="003A0D00"/>
    <w:rsid w:val="003A0E06"/>
    <w:rsid w:val="003A1A69"/>
    <w:rsid w:val="003A27D9"/>
    <w:rsid w:val="003A2A5C"/>
    <w:rsid w:val="003A2B4E"/>
    <w:rsid w:val="003A3373"/>
    <w:rsid w:val="003A3460"/>
    <w:rsid w:val="003A37B8"/>
    <w:rsid w:val="003A582F"/>
    <w:rsid w:val="003A5F84"/>
    <w:rsid w:val="003A6B72"/>
    <w:rsid w:val="003A7B62"/>
    <w:rsid w:val="003B020F"/>
    <w:rsid w:val="003B0540"/>
    <w:rsid w:val="003B26A2"/>
    <w:rsid w:val="003B3917"/>
    <w:rsid w:val="003B41D9"/>
    <w:rsid w:val="003B4356"/>
    <w:rsid w:val="003B4CEF"/>
    <w:rsid w:val="003B5422"/>
    <w:rsid w:val="003B6694"/>
    <w:rsid w:val="003B7293"/>
    <w:rsid w:val="003C104D"/>
    <w:rsid w:val="003C2546"/>
    <w:rsid w:val="003C4C52"/>
    <w:rsid w:val="003C53B2"/>
    <w:rsid w:val="003C6422"/>
    <w:rsid w:val="003C6C9A"/>
    <w:rsid w:val="003C7950"/>
    <w:rsid w:val="003D079A"/>
    <w:rsid w:val="003D299F"/>
    <w:rsid w:val="003D352C"/>
    <w:rsid w:val="003D359E"/>
    <w:rsid w:val="003D4B1E"/>
    <w:rsid w:val="003D51FB"/>
    <w:rsid w:val="003D6575"/>
    <w:rsid w:val="003D6961"/>
    <w:rsid w:val="003D6BCD"/>
    <w:rsid w:val="003D6E2A"/>
    <w:rsid w:val="003E22FA"/>
    <w:rsid w:val="003E2C77"/>
    <w:rsid w:val="003E2C89"/>
    <w:rsid w:val="003E3C14"/>
    <w:rsid w:val="003E4F87"/>
    <w:rsid w:val="003E5EED"/>
    <w:rsid w:val="003E63BB"/>
    <w:rsid w:val="003E6516"/>
    <w:rsid w:val="003E6DEA"/>
    <w:rsid w:val="003E747A"/>
    <w:rsid w:val="003F0149"/>
    <w:rsid w:val="003F0992"/>
    <w:rsid w:val="003F11BD"/>
    <w:rsid w:val="003F17CA"/>
    <w:rsid w:val="003F4748"/>
    <w:rsid w:val="003F4DB3"/>
    <w:rsid w:val="003F61AC"/>
    <w:rsid w:val="00400A38"/>
    <w:rsid w:val="00401267"/>
    <w:rsid w:val="00401B70"/>
    <w:rsid w:val="00402836"/>
    <w:rsid w:val="0040298F"/>
    <w:rsid w:val="0040367C"/>
    <w:rsid w:val="00404B23"/>
    <w:rsid w:val="00405154"/>
    <w:rsid w:val="00405DA6"/>
    <w:rsid w:val="004064DA"/>
    <w:rsid w:val="004109B8"/>
    <w:rsid w:val="00412221"/>
    <w:rsid w:val="0041238C"/>
    <w:rsid w:val="00412524"/>
    <w:rsid w:val="00412829"/>
    <w:rsid w:val="0041314E"/>
    <w:rsid w:val="00414EDB"/>
    <w:rsid w:val="00415334"/>
    <w:rsid w:val="004164DF"/>
    <w:rsid w:val="00417107"/>
    <w:rsid w:val="00417EAE"/>
    <w:rsid w:val="00420C2B"/>
    <w:rsid w:val="0042141B"/>
    <w:rsid w:val="0042259C"/>
    <w:rsid w:val="00423F6F"/>
    <w:rsid w:val="004249CB"/>
    <w:rsid w:val="004257D5"/>
    <w:rsid w:val="00425DA4"/>
    <w:rsid w:val="00425ED5"/>
    <w:rsid w:val="00425FB2"/>
    <w:rsid w:val="004261AF"/>
    <w:rsid w:val="00426BB0"/>
    <w:rsid w:val="00427BE9"/>
    <w:rsid w:val="004317BA"/>
    <w:rsid w:val="004317F4"/>
    <w:rsid w:val="00433EEA"/>
    <w:rsid w:val="00433F68"/>
    <w:rsid w:val="00436CDF"/>
    <w:rsid w:val="00436D8A"/>
    <w:rsid w:val="0044052A"/>
    <w:rsid w:val="004408B0"/>
    <w:rsid w:val="004408EE"/>
    <w:rsid w:val="00441C7F"/>
    <w:rsid w:val="00441E5E"/>
    <w:rsid w:val="00443F3A"/>
    <w:rsid w:val="0044515D"/>
    <w:rsid w:val="0044524F"/>
    <w:rsid w:val="004460A0"/>
    <w:rsid w:val="0044654E"/>
    <w:rsid w:val="00446B2D"/>
    <w:rsid w:val="00447496"/>
    <w:rsid w:val="004504F2"/>
    <w:rsid w:val="00450C1F"/>
    <w:rsid w:val="00455240"/>
    <w:rsid w:val="0045705D"/>
    <w:rsid w:val="00457157"/>
    <w:rsid w:val="0045721F"/>
    <w:rsid w:val="00457AEF"/>
    <w:rsid w:val="00457B4E"/>
    <w:rsid w:val="00457FD7"/>
    <w:rsid w:val="0046046C"/>
    <w:rsid w:val="00461571"/>
    <w:rsid w:val="00462DE7"/>
    <w:rsid w:val="00463430"/>
    <w:rsid w:val="004634A3"/>
    <w:rsid w:val="004645F0"/>
    <w:rsid w:val="004653F6"/>
    <w:rsid w:val="004663F3"/>
    <w:rsid w:val="004673C5"/>
    <w:rsid w:val="00467553"/>
    <w:rsid w:val="0046779A"/>
    <w:rsid w:val="004704B7"/>
    <w:rsid w:val="00471F78"/>
    <w:rsid w:val="00473B94"/>
    <w:rsid w:val="00473DC2"/>
    <w:rsid w:val="0047547F"/>
    <w:rsid w:val="0047556E"/>
    <w:rsid w:val="00475991"/>
    <w:rsid w:val="00475B13"/>
    <w:rsid w:val="00476DBB"/>
    <w:rsid w:val="004801F5"/>
    <w:rsid w:val="00480D8D"/>
    <w:rsid w:val="004814E5"/>
    <w:rsid w:val="0048151D"/>
    <w:rsid w:val="00484641"/>
    <w:rsid w:val="004846F8"/>
    <w:rsid w:val="00484E7B"/>
    <w:rsid w:val="00485EFC"/>
    <w:rsid w:val="00486D14"/>
    <w:rsid w:val="00487DAC"/>
    <w:rsid w:val="00490080"/>
    <w:rsid w:val="0049045E"/>
    <w:rsid w:val="00490A94"/>
    <w:rsid w:val="004911E4"/>
    <w:rsid w:val="004912F4"/>
    <w:rsid w:val="00491574"/>
    <w:rsid w:val="00491D00"/>
    <w:rsid w:val="004922BC"/>
    <w:rsid w:val="00492522"/>
    <w:rsid w:val="00492673"/>
    <w:rsid w:val="00492CE8"/>
    <w:rsid w:val="00492FCC"/>
    <w:rsid w:val="00493558"/>
    <w:rsid w:val="00493B59"/>
    <w:rsid w:val="00493EC9"/>
    <w:rsid w:val="00494ECE"/>
    <w:rsid w:val="00495251"/>
    <w:rsid w:val="00495B0C"/>
    <w:rsid w:val="004962FC"/>
    <w:rsid w:val="004963A5"/>
    <w:rsid w:val="00497A42"/>
    <w:rsid w:val="004A05E5"/>
    <w:rsid w:val="004A06A6"/>
    <w:rsid w:val="004A09BD"/>
    <w:rsid w:val="004A160D"/>
    <w:rsid w:val="004A1759"/>
    <w:rsid w:val="004A2275"/>
    <w:rsid w:val="004A3872"/>
    <w:rsid w:val="004A3AC0"/>
    <w:rsid w:val="004A42D0"/>
    <w:rsid w:val="004A4ED0"/>
    <w:rsid w:val="004A5081"/>
    <w:rsid w:val="004A6F61"/>
    <w:rsid w:val="004B0706"/>
    <w:rsid w:val="004B0F5D"/>
    <w:rsid w:val="004B13ED"/>
    <w:rsid w:val="004B22B1"/>
    <w:rsid w:val="004B3467"/>
    <w:rsid w:val="004B46E5"/>
    <w:rsid w:val="004B6542"/>
    <w:rsid w:val="004B72A3"/>
    <w:rsid w:val="004C1E33"/>
    <w:rsid w:val="004C5E73"/>
    <w:rsid w:val="004C6870"/>
    <w:rsid w:val="004C7CBC"/>
    <w:rsid w:val="004D29A3"/>
    <w:rsid w:val="004D4D48"/>
    <w:rsid w:val="004D5250"/>
    <w:rsid w:val="004D6AD9"/>
    <w:rsid w:val="004E0517"/>
    <w:rsid w:val="004E0C12"/>
    <w:rsid w:val="004E0CFC"/>
    <w:rsid w:val="004E13F0"/>
    <w:rsid w:val="004E2C84"/>
    <w:rsid w:val="004E36F3"/>
    <w:rsid w:val="004E4838"/>
    <w:rsid w:val="004E4854"/>
    <w:rsid w:val="004E5FCE"/>
    <w:rsid w:val="004F036B"/>
    <w:rsid w:val="004F052D"/>
    <w:rsid w:val="004F0E54"/>
    <w:rsid w:val="004F21C3"/>
    <w:rsid w:val="004F4BEF"/>
    <w:rsid w:val="004F5B43"/>
    <w:rsid w:val="004F7B7E"/>
    <w:rsid w:val="00501785"/>
    <w:rsid w:val="00503724"/>
    <w:rsid w:val="00504E3C"/>
    <w:rsid w:val="0050520F"/>
    <w:rsid w:val="00506005"/>
    <w:rsid w:val="00506888"/>
    <w:rsid w:val="00507970"/>
    <w:rsid w:val="00507AD5"/>
    <w:rsid w:val="00513F7C"/>
    <w:rsid w:val="005149B8"/>
    <w:rsid w:val="005168FA"/>
    <w:rsid w:val="005169FC"/>
    <w:rsid w:val="005175C0"/>
    <w:rsid w:val="00520001"/>
    <w:rsid w:val="00521717"/>
    <w:rsid w:val="0052391C"/>
    <w:rsid w:val="0052393A"/>
    <w:rsid w:val="0052688F"/>
    <w:rsid w:val="00527C12"/>
    <w:rsid w:val="00530942"/>
    <w:rsid w:val="00530C3F"/>
    <w:rsid w:val="00530E5D"/>
    <w:rsid w:val="005322F7"/>
    <w:rsid w:val="00532B1D"/>
    <w:rsid w:val="00533524"/>
    <w:rsid w:val="00534347"/>
    <w:rsid w:val="005373CA"/>
    <w:rsid w:val="00540C55"/>
    <w:rsid w:val="0054145D"/>
    <w:rsid w:val="00542227"/>
    <w:rsid w:val="005422EB"/>
    <w:rsid w:val="00542C08"/>
    <w:rsid w:val="0054426F"/>
    <w:rsid w:val="0054508F"/>
    <w:rsid w:val="00546DE6"/>
    <w:rsid w:val="00546F3A"/>
    <w:rsid w:val="005475C6"/>
    <w:rsid w:val="00547EA1"/>
    <w:rsid w:val="00550C61"/>
    <w:rsid w:val="0055225A"/>
    <w:rsid w:val="00552FBA"/>
    <w:rsid w:val="005540D3"/>
    <w:rsid w:val="005547AE"/>
    <w:rsid w:val="00554D9D"/>
    <w:rsid w:val="00555A82"/>
    <w:rsid w:val="00556C52"/>
    <w:rsid w:val="00557EC6"/>
    <w:rsid w:val="0056008C"/>
    <w:rsid w:val="00560E97"/>
    <w:rsid w:val="0056170F"/>
    <w:rsid w:val="0056550E"/>
    <w:rsid w:val="005678CA"/>
    <w:rsid w:val="00570A8A"/>
    <w:rsid w:val="00571BE1"/>
    <w:rsid w:val="0057268E"/>
    <w:rsid w:val="00573C95"/>
    <w:rsid w:val="005744DE"/>
    <w:rsid w:val="005750B7"/>
    <w:rsid w:val="005806C7"/>
    <w:rsid w:val="00581D60"/>
    <w:rsid w:val="005825DD"/>
    <w:rsid w:val="00582CA5"/>
    <w:rsid w:val="00582FE9"/>
    <w:rsid w:val="00584703"/>
    <w:rsid w:val="0058511B"/>
    <w:rsid w:val="005852AF"/>
    <w:rsid w:val="00585E1D"/>
    <w:rsid w:val="00586027"/>
    <w:rsid w:val="005867FB"/>
    <w:rsid w:val="00586FF5"/>
    <w:rsid w:val="005873AC"/>
    <w:rsid w:val="00590048"/>
    <w:rsid w:val="00591FF8"/>
    <w:rsid w:val="00594CA9"/>
    <w:rsid w:val="00596ED3"/>
    <w:rsid w:val="005A0332"/>
    <w:rsid w:val="005A1634"/>
    <w:rsid w:val="005A1737"/>
    <w:rsid w:val="005A1914"/>
    <w:rsid w:val="005A1D6F"/>
    <w:rsid w:val="005A378B"/>
    <w:rsid w:val="005A3804"/>
    <w:rsid w:val="005A40B3"/>
    <w:rsid w:val="005A5CC0"/>
    <w:rsid w:val="005A6376"/>
    <w:rsid w:val="005A7536"/>
    <w:rsid w:val="005A7B43"/>
    <w:rsid w:val="005A7FAA"/>
    <w:rsid w:val="005B1361"/>
    <w:rsid w:val="005B177D"/>
    <w:rsid w:val="005B3074"/>
    <w:rsid w:val="005B3B4A"/>
    <w:rsid w:val="005B4C4C"/>
    <w:rsid w:val="005B71D2"/>
    <w:rsid w:val="005B7966"/>
    <w:rsid w:val="005C0202"/>
    <w:rsid w:val="005C0341"/>
    <w:rsid w:val="005C2193"/>
    <w:rsid w:val="005C3177"/>
    <w:rsid w:val="005C3CDD"/>
    <w:rsid w:val="005C46E4"/>
    <w:rsid w:val="005C6801"/>
    <w:rsid w:val="005D10C8"/>
    <w:rsid w:val="005D2B33"/>
    <w:rsid w:val="005D2FE9"/>
    <w:rsid w:val="005D3235"/>
    <w:rsid w:val="005D33EE"/>
    <w:rsid w:val="005D3437"/>
    <w:rsid w:val="005D43ED"/>
    <w:rsid w:val="005D4B36"/>
    <w:rsid w:val="005D5B37"/>
    <w:rsid w:val="005D5B5C"/>
    <w:rsid w:val="005D6021"/>
    <w:rsid w:val="005D6D35"/>
    <w:rsid w:val="005E0987"/>
    <w:rsid w:val="005E1062"/>
    <w:rsid w:val="005E12BD"/>
    <w:rsid w:val="005E12DB"/>
    <w:rsid w:val="005E132E"/>
    <w:rsid w:val="005E1F41"/>
    <w:rsid w:val="005E305E"/>
    <w:rsid w:val="005E3907"/>
    <w:rsid w:val="005E3ECC"/>
    <w:rsid w:val="005E4686"/>
    <w:rsid w:val="005E53A4"/>
    <w:rsid w:val="005E6254"/>
    <w:rsid w:val="005E7FE6"/>
    <w:rsid w:val="005F1F63"/>
    <w:rsid w:val="005F324D"/>
    <w:rsid w:val="005F42C9"/>
    <w:rsid w:val="005F4C0F"/>
    <w:rsid w:val="005F58B2"/>
    <w:rsid w:val="005F5BD6"/>
    <w:rsid w:val="005F60A0"/>
    <w:rsid w:val="006011F9"/>
    <w:rsid w:val="006016B0"/>
    <w:rsid w:val="00601C99"/>
    <w:rsid w:val="00602247"/>
    <w:rsid w:val="00602B16"/>
    <w:rsid w:val="006054AE"/>
    <w:rsid w:val="006061E9"/>
    <w:rsid w:val="006065BA"/>
    <w:rsid w:val="00606661"/>
    <w:rsid w:val="00612A91"/>
    <w:rsid w:val="006156AB"/>
    <w:rsid w:val="00615BD4"/>
    <w:rsid w:val="006167B3"/>
    <w:rsid w:val="00617367"/>
    <w:rsid w:val="006176D9"/>
    <w:rsid w:val="0062063C"/>
    <w:rsid w:val="00620ACB"/>
    <w:rsid w:val="00621EEA"/>
    <w:rsid w:val="00622049"/>
    <w:rsid w:val="00622333"/>
    <w:rsid w:val="00622866"/>
    <w:rsid w:val="00622E7C"/>
    <w:rsid w:val="00625082"/>
    <w:rsid w:val="00625736"/>
    <w:rsid w:val="00625BF4"/>
    <w:rsid w:val="006266E4"/>
    <w:rsid w:val="006267AC"/>
    <w:rsid w:val="00626E16"/>
    <w:rsid w:val="006275F8"/>
    <w:rsid w:val="006301A7"/>
    <w:rsid w:val="00630C8F"/>
    <w:rsid w:val="0063126C"/>
    <w:rsid w:val="006321D9"/>
    <w:rsid w:val="00633399"/>
    <w:rsid w:val="00635ACD"/>
    <w:rsid w:val="006364CD"/>
    <w:rsid w:val="006379BF"/>
    <w:rsid w:val="00640943"/>
    <w:rsid w:val="00641758"/>
    <w:rsid w:val="0064412E"/>
    <w:rsid w:val="00645F9B"/>
    <w:rsid w:val="006462F4"/>
    <w:rsid w:val="00646C7B"/>
    <w:rsid w:val="00650688"/>
    <w:rsid w:val="00650EEA"/>
    <w:rsid w:val="0065170C"/>
    <w:rsid w:val="00652109"/>
    <w:rsid w:val="00653EEF"/>
    <w:rsid w:val="00653F33"/>
    <w:rsid w:val="00654361"/>
    <w:rsid w:val="00655317"/>
    <w:rsid w:val="00656A74"/>
    <w:rsid w:val="00656DB1"/>
    <w:rsid w:val="0065706C"/>
    <w:rsid w:val="006570F3"/>
    <w:rsid w:val="006574CA"/>
    <w:rsid w:val="00661D58"/>
    <w:rsid w:val="00662D1D"/>
    <w:rsid w:val="00663087"/>
    <w:rsid w:val="00663681"/>
    <w:rsid w:val="00664A96"/>
    <w:rsid w:val="0066518E"/>
    <w:rsid w:val="00666E6E"/>
    <w:rsid w:val="00667926"/>
    <w:rsid w:val="00672097"/>
    <w:rsid w:val="00672312"/>
    <w:rsid w:val="00672A07"/>
    <w:rsid w:val="00672A3D"/>
    <w:rsid w:val="00673284"/>
    <w:rsid w:val="00673C56"/>
    <w:rsid w:val="0067463F"/>
    <w:rsid w:val="00674E3C"/>
    <w:rsid w:val="00675947"/>
    <w:rsid w:val="00675C7B"/>
    <w:rsid w:val="0067616B"/>
    <w:rsid w:val="00684218"/>
    <w:rsid w:val="00684A17"/>
    <w:rsid w:val="0068548A"/>
    <w:rsid w:val="006856A0"/>
    <w:rsid w:val="00686ACA"/>
    <w:rsid w:val="006875D7"/>
    <w:rsid w:val="00687A0D"/>
    <w:rsid w:val="006904AF"/>
    <w:rsid w:val="00692F01"/>
    <w:rsid w:val="00693DED"/>
    <w:rsid w:val="00695821"/>
    <w:rsid w:val="006959CB"/>
    <w:rsid w:val="0069607D"/>
    <w:rsid w:val="006960C5"/>
    <w:rsid w:val="0069704C"/>
    <w:rsid w:val="006A05F8"/>
    <w:rsid w:val="006A0897"/>
    <w:rsid w:val="006A17D4"/>
    <w:rsid w:val="006A27B1"/>
    <w:rsid w:val="006A4246"/>
    <w:rsid w:val="006A56B9"/>
    <w:rsid w:val="006A64A6"/>
    <w:rsid w:val="006A64EB"/>
    <w:rsid w:val="006A7750"/>
    <w:rsid w:val="006A7FD4"/>
    <w:rsid w:val="006B0E91"/>
    <w:rsid w:val="006B0EAB"/>
    <w:rsid w:val="006B1891"/>
    <w:rsid w:val="006B37AE"/>
    <w:rsid w:val="006B3A39"/>
    <w:rsid w:val="006B3C07"/>
    <w:rsid w:val="006B476E"/>
    <w:rsid w:val="006B5B6A"/>
    <w:rsid w:val="006B65AA"/>
    <w:rsid w:val="006B679D"/>
    <w:rsid w:val="006B7254"/>
    <w:rsid w:val="006B73B9"/>
    <w:rsid w:val="006C0F43"/>
    <w:rsid w:val="006C16FB"/>
    <w:rsid w:val="006C2D51"/>
    <w:rsid w:val="006C4B81"/>
    <w:rsid w:val="006C517C"/>
    <w:rsid w:val="006C55EF"/>
    <w:rsid w:val="006C5BA3"/>
    <w:rsid w:val="006C5CAA"/>
    <w:rsid w:val="006C6855"/>
    <w:rsid w:val="006C7F43"/>
    <w:rsid w:val="006D16F3"/>
    <w:rsid w:val="006D3332"/>
    <w:rsid w:val="006D341E"/>
    <w:rsid w:val="006D49E3"/>
    <w:rsid w:val="006D4C2C"/>
    <w:rsid w:val="006D4EFB"/>
    <w:rsid w:val="006D59BA"/>
    <w:rsid w:val="006D61D6"/>
    <w:rsid w:val="006D62FF"/>
    <w:rsid w:val="006D6854"/>
    <w:rsid w:val="006D68D1"/>
    <w:rsid w:val="006D7628"/>
    <w:rsid w:val="006D7B30"/>
    <w:rsid w:val="006E019F"/>
    <w:rsid w:val="006E18C4"/>
    <w:rsid w:val="006E2C10"/>
    <w:rsid w:val="006E3E50"/>
    <w:rsid w:val="006E402A"/>
    <w:rsid w:val="006E4B20"/>
    <w:rsid w:val="006E525F"/>
    <w:rsid w:val="006E5670"/>
    <w:rsid w:val="006E5D7B"/>
    <w:rsid w:val="006E6666"/>
    <w:rsid w:val="006E6EBA"/>
    <w:rsid w:val="006E74F5"/>
    <w:rsid w:val="006E7D27"/>
    <w:rsid w:val="006E7DCA"/>
    <w:rsid w:val="006F2035"/>
    <w:rsid w:val="006F28EE"/>
    <w:rsid w:val="006F42C2"/>
    <w:rsid w:val="006F5008"/>
    <w:rsid w:val="006F602A"/>
    <w:rsid w:val="006F63B1"/>
    <w:rsid w:val="006F7412"/>
    <w:rsid w:val="007008FB"/>
    <w:rsid w:val="007017FB"/>
    <w:rsid w:val="00704E65"/>
    <w:rsid w:val="0071025E"/>
    <w:rsid w:val="007102AC"/>
    <w:rsid w:val="007105A5"/>
    <w:rsid w:val="00710B8D"/>
    <w:rsid w:val="00712CF9"/>
    <w:rsid w:val="00713024"/>
    <w:rsid w:val="00713EA1"/>
    <w:rsid w:val="0071421C"/>
    <w:rsid w:val="00715D6B"/>
    <w:rsid w:val="0071772E"/>
    <w:rsid w:val="00717F6B"/>
    <w:rsid w:val="00720864"/>
    <w:rsid w:val="007212F0"/>
    <w:rsid w:val="007226CF"/>
    <w:rsid w:val="00722EC6"/>
    <w:rsid w:val="00723C5D"/>
    <w:rsid w:val="00723FF6"/>
    <w:rsid w:val="0072460B"/>
    <w:rsid w:val="00724FB9"/>
    <w:rsid w:val="00726876"/>
    <w:rsid w:val="007269B1"/>
    <w:rsid w:val="00727484"/>
    <w:rsid w:val="00730433"/>
    <w:rsid w:val="00730DF7"/>
    <w:rsid w:val="0073123A"/>
    <w:rsid w:val="007331F6"/>
    <w:rsid w:val="0073362F"/>
    <w:rsid w:val="00733A3E"/>
    <w:rsid w:val="00735C14"/>
    <w:rsid w:val="00736B54"/>
    <w:rsid w:val="00740605"/>
    <w:rsid w:val="00740FA5"/>
    <w:rsid w:val="00741E76"/>
    <w:rsid w:val="007423EC"/>
    <w:rsid w:val="00742FE2"/>
    <w:rsid w:val="007440A8"/>
    <w:rsid w:val="00744B41"/>
    <w:rsid w:val="00745807"/>
    <w:rsid w:val="00747B35"/>
    <w:rsid w:val="00747B97"/>
    <w:rsid w:val="00747DD4"/>
    <w:rsid w:val="00750912"/>
    <w:rsid w:val="00751413"/>
    <w:rsid w:val="00751598"/>
    <w:rsid w:val="00751820"/>
    <w:rsid w:val="00751B7E"/>
    <w:rsid w:val="00752AB2"/>
    <w:rsid w:val="00753A0F"/>
    <w:rsid w:val="00754193"/>
    <w:rsid w:val="007556C8"/>
    <w:rsid w:val="00756C9B"/>
    <w:rsid w:val="00756FA1"/>
    <w:rsid w:val="0075756F"/>
    <w:rsid w:val="00760466"/>
    <w:rsid w:val="007605DF"/>
    <w:rsid w:val="0076244A"/>
    <w:rsid w:val="00762D9D"/>
    <w:rsid w:val="00762FAD"/>
    <w:rsid w:val="00763FD6"/>
    <w:rsid w:val="0076431D"/>
    <w:rsid w:val="00765260"/>
    <w:rsid w:val="00766DE9"/>
    <w:rsid w:val="007678A5"/>
    <w:rsid w:val="00767CF9"/>
    <w:rsid w:val="007701BA"/>
    <w:rsid w:val="00770841"/>
    <w:rsid w:val="00771F67"/>
    <w:rsid w:val="00772012"/>
    <w:rsid w:val="00772112"/>
    <w:rsid w:val="0077294E"/>
    <w:rsid w:val="007739AB"/>
    <w:rsid w:val="00773CBE"/>
    <w:rsid w:val="00773E3F"/>
    <w:rsid w:val="0077418F"/>
    <w:rsid w:val="00774296"/>
    <w:rsid w:val="00774C01"/>
    <w:rsid w:val="007753DD"/>
    <w:rsid w:val="00777875"/>
    <w:rsid w:val="00777BD2"/>
    <w:rsid w:val="00781A87"/>
    <w:rsid w:val="00781BED"/>
    <w:rsid w:val="007823C9"/>
    <w:rsid w:val="00782CCA"/>
    <w:rsid w:val="007835B7"/>
    <w:rsid w:val="00784268"/>
    <w:rsid w:val="0078606D"/>
    <w:rsid w:val="00786373"/>
    <w:rsid w:val="007863E1"/>
    <w:rsid w:val="0078743C"/>
    <w:rsid w:val="00790B71"/>
    <w:rsid w:val="007910D3"/>
    <w:rsid w:val="00791574"/>
    <w:rsid w:val="007922B4"/>
    <w:rsid w:val="0079336C"/>
    <w:rsid w:val="0079336E"/>
    <w:rsid w:val="00793DA9"/>
    <w:rsid w:val="007A28AA"/>
    <w:rsid w:val="007A40C4"/>
    <w:rsid w:val="007A52CC"/>
    <w:rsid w:val="007A5BD0"/>
    <w:rsid w:val="007A64F8"/>
    <w:rsid w:val="007A6F24"/>
    <w:rsid w:val="007A7066"/>
    <w:rsid w:val="007B0A61"/>
    <w:rsid w:val="007B140A"/>
    <w:rsid w:val="007B17C5"/>
    <w:rsid w:val="007B351A"/>
    <w:rsid w:val="007B4027"/>
    <w:rsid w:val="007B4B46"/>
    <w:rsid w:val="007B55A4"/>
    <w:rsid w:val="007B5E5F"/>
    <w:rsid w:val="007B6CA0"/>
    <w:rsid w:val="007B6F71"/>
    <w:rsid w:val="007C06F8"/>
    <w:rsid w:val="007C13FE"/>
    <w:rsid w:val="007C27E5"/>
    <w:rsid w:val="007C28AC"/>
    <w:rsid w:val="007C2E24"/>
    <w:rsid w:val="007C323B"/>
    <w:rsid w:val="007C3279"/>
    <w:rsid w:val="007C3F78"/>
    <w:rsid w:val="007C4009"/>
    <w:rsid w:val="007C4B09"/>
    <w:rsid w:val="007C4C8A"/>
    <w:rsid w:val="007C4D09"/>
    <w:rsid w:val="007C6167"/>
    <w:rsid w:val="007C6EB8"/>
    <w:rsid w:val="007C7048"/>
    <w:rsid w:val="007C7809"/>
    <w:rsid w:val="007D0393"/>
    <w:rsid w:val="007D13B9"/>
    <w:rsid w:val="007D1E6D"/>
    <w:rsid w:val="007D2774"/>
    <w:rsid w:val="007D562C"/>
    <w:rsid w:val="007D62C5"/>
    <w:rsid w:val="007D6E28"/>
    <w:rsid w:val="007D71F7"/>
    <w:rsid w:val="007D7403"/>
    <w:rsid w:val="007E024C"/>
    <w:rsid w:val="007E160E"/>
    <w:rsid w:val="007E1BDD"/>
    <w:rsid w:val="007E290A"/>
    <w:rsid w:val="007E5B59"/>
    <w:rsid w:val="007E700C"/>
    <w:rsid w:val="007E7388"/>
    <w:rsid w:val="007E7C08"/>
    <w:rsid w:val="007F04FC"/>
    <w:rsid w:val="007F0C63"/>
    <w:rsid w:val="007F1BAF"/>
    <w:rsid w:val="007F1F1C"/>
    <w:rsid w:val="007F2277"/>
    <w:rsid w:val="007F433C"/>
    <w:rsid w:val="007F439F"/>
    <w:rsid w:val="007F4428"/>
    <w:rsid w:val="007F63B8"/>
    <w:rsid w:val="007F77FD"/>
    <w:rsid w:val="008004B0"/>
    <w:rsid w:val="0080133F"/>
    <w:rsid w:val="008045D9"/>
    <w:rsid w:val="00806645"/>
    <w:rsid w:val="00806C8A"/>
    <w:rsid w:val="0080702C"/>
    <w:rsid w:val="00807165"/>
    <w:rsid w:val="008073C9"/>
    <w:rsid w:val="00807FA2"/>
    <w:rsid w:val="0081164B"/>
    <w:rsid w:val="00812094"/>
    <w:rsid w:val="00812CEA"/>
    <w:rsid w:val="0081333B"/>
    <w:rsid w:val="008140D7"/>
    <w:rsid w:val="0081653B"/>
    <w:rsid w:val="00817ADA"/>
    <w:rsid w:val="00820CBE"/>
    <w:rsid w:val="00821026"/>
    <w:rsid w:val="00821DF6"/>
    <w:rsid w:val="00822FC5"/>
    <w:rsid w:val="0082358D"/>
    <w:rsid w:val="00823984"/>
    <w:rsid w:val="00823CCC"/>
    <w:rsid w:val="008270BA"/>
    <w:rsid w:val="00827179"/>
    <w:rsid w:val="0083029A"/>
    <w:rsid w:val="00830426"/>
    <w:rsid w:val="00830E02"/>
    <w:rsid w:val="00831C83"/>
    <w:rsid w:val="00831E0A"/>
    <w:rsid w:val="00833EC8"/>
    <w:rsid w:val="008343C4"/>
    <w:rsid w:val="00834418"/>
    <w:rsid w:val="0083496A"/>
    <w:rsid w:val="00835847"/>
    <w:rsid w:val="00835C6F"/>
    <w:rsid w:val="00836E8A"/>
    <w:rsid w:val="00836EAC"/>
    <w:rsid w:val="00837429"/>
    <w:rsid w:val="0083745B"/>
    <w:rsid w:val="00840252"/>
    <w:rsid w:val="00840420"/>
    <w:rsid w:val="00841AEA"/>
    <w:rsid w:val="00841F9D"/>
    <w:rsid w:val="00842DE3"/>
    <w:rsid w:val="00843A36"/>
    <w:rsid w:val="00843B85"/>
    <w:rsid w:val="00844F5E"/>
    <w:rsid w:val="008454FE"/>
    <w:rsid w:val="0084585B"/>
    <w:rsid w:val="00845978"/>
    <w:rsid w:val="00846701"/>
    <w:rsid w:val="00847C72"/>
    <w:rsid w:val="0085122C"/>
    <w:rsid w:val="00851892"/>
    <w:rsid w:val="0085232F"/>
    <w:rsid w:val="00854E2A"/>
    <w:rsid w:val="008550CD"/>
    <w:rsid w:val="00855A6E"/>
    <w:rsid w:val="00857A4E"/>
    <w:rsid w:val="00857E3A"/>
    <w:rsid w:val="00861135"/>
    <w:rsid w:val="00861C99"/>
    <w:rsid w:val="00862848"/>
    <w:rsid w:val="00862C19"/>
    <w:rsid w:val="0086330D"/>
    <w:rsid w:val="00863C12"/>
    <w:rsid w:val="00864495"/>
    <w:rsid w:val="0086449D"/>
    <w:rsid w:val="00864C3F"/>
    <w:rsid w:val="008651B2"/>
    <w:rsid w:val="008651BC"/>
    <w:rsid w:val="0086556B"/>
    <w:rsid w:val="00867059"/>
    <w:rsid w:val="00867A5A"/>
    <w:rsid w:val="0087019D"/>
    <w:rsid w:val="008711B1"/>
    <w:rsid w:val="00871C01"/>
    <w:rsid w:val="00871FBA"/>
    <w:rsid w:val="00872119"/>
    <w:rsid w:val="008722FB"/>
    <w:rsid w:val="00872598"/>
    <w:rsid w:val="00872906"/>
    <w:rsid w:val="008744BE"/>
    <w:rsid w:val="00875C37"/>
    <w:rsid w:val="00877A3A"/>
    <w:rsid w:val="00877EA2"/>
    <w:rsid w:val="008808CA"/>
    <w:rsid w:val="00882107"/>
    <w:rsid w:val="0088232A"/>
    <w:rsid w:val="0088251B"/>
    <w:rsid w:val="00882A71"/>
    <w:rsid w:val="00883F8C"/>
    <w:rsid w:val="008878E2"/>
    <w:rsid w:val="00887D93"/>
    <w:rsid w:val="00890912"/>
    <w:rsid w:val="00890D7D"/>
    <w:rsid w:val="00891548"/>
    <w:rsid w:val="008917B4"/>
    <w:rsid w:val="00892E7B"/>
    <w:rsid w:val="00892FC2"/>
    <w:rsid w:val="008933C7"/>
    <w:rsid w:val="008941B9"/>
    <w:rsid w:val="00894216"/>
    <w:rsid w:val="00894A76"/>
    <w:rsid w:val="008959F9"/>
    <w:rsid w:val="0089623F"/>
    <w:rsid w:val="00896786"/>
    <w:rsid w:val="00897413"/>
    <w:rsid w:val="008A08EB"/>
    <w:rsid w:val="008A118C"/>
    <w:rsid w:val="008A2319"/>
    <w:rsid w:val="008A2391"/>
    <w:rsid w:val="008A3618"/>
    <w:rsid w:val="008A3E97"/>
    <w:rsid w:val="008A46DC"/>
    <w:rsid w:val="008A4806"/>
    <w:rsid w:val="008A4BF4"/>
    <w:rsid w:val="008A510D"/>
    <w:rsid w:val="008A5EDE"/>
    <w:rsid w:val="008A7A4E"/>
    <w:rsid w:val="008A7C4F"/>
    <w:rsid w:val="008B2FA8"/>
    <w:rsid w:val="008B3253"/>
    <w:rsid w:val="008B33CF"/>
    <w:rsid w:val="008B73BA"/>
    <w:rsid w:val="008C020E"/>
    <w:rsid w:val="008C2F9E"/>
    <w:rsid w:val="008C4103"/>
    <w:rsid w:val="008C604C"/>
    <w:rsid w:val="008C74F5"/>
    <w:rsid w:val="008C76A6"/>
    <w:rsid w:val="008D03EA"/>
    <w:rsid w:val="008D16BD"/>
    <w:rsid w:val="008D17A7"/>
    <w:rsid w:val="008D21ED"/>
    <w:rsid w:val="008D2C15"/>
    <w:rsid w:val="008D2C51"/>
    <w:rsid w:val="008D2E91"/>
    <w:rsid w:val="008D3E9A"/>
    <w:rsid w:val="008D58E2"/>
    <w:rsid w:val="008D6283"/>
    <w:rsid w:val="008D6E37"/>
    <w:rsid w:val="008D7DD5"/>
    <w:rsid w:val="008D7FB0"/>
    <w:rsid w:val="008E050B"/>
    <w:rsid w:val="008E0FC2"/>
    <w:rsid w:val="008E1010"/>
    <w:rsid w:val="008E28BF"/>
    <w:rsid w:val="008E2C2E"/>
    <w:rsid w:val="008E33A9"/>
    <w:rsid w:val="008E712C"/>
    <w:rsid w:val="008E71A8"/>
    <w:rsid w:val="008E72A8"/>
    <w:rsid w:val="008E73EA"/>
    <w:rsid w:val="008F0611"/>
    <w:rsid w:val="008F0627"/>
    <w:rsid w:val="008F1FF1"/>
    <w:rsid w:val="008F2498"/>
    <w:rsid w:val="008F41FB"/>
    <w:rsid w:val="008F4B49"/>
    <w:rsid w:val="008F5977"/>
    <w:rsid w:val="008F5C9B"/>
    <w:rsid w:val="008F71D6"/>
    <w:rsid w:val="00901C83"/>
    <w:rsid w:val="00902206"/>
    <w:rsid w:val="0090330F"/>
    <w:rsid w:val="009039C8"/>
    <w:rsid w:val="0090481A"/>
    <w:rsid w:val="00904BCF"/>
    <w:rsid w:val="00905B77"/>
    <w:rsid w:val="009063B3"/>
    <w:rsid w:val="00906FD6"/>
    <w:rsid w:val="00907383"/>
    <w:rsid w:val="009079D0"/>
    <w:rsid w:val="00907DCD"/>
    <w:rsid w:val="009104AA"/>
    <w:rsid w:val="00910F16"/>
    <w:rsid w:val="00911EFF"/>
    <w:rsid w:val="0091288F"/>
    <w:rsid w:val="00912F00"/>
    <w:rsid w:val="00914466"/>
    <w:rsid w:val="0091486A"/>
    <w:rsid w:val="00915C17"/>
    <w:rsid w:val="00915D8A"/>
    <w:rsid w:val="00917609"/>
    <w:rsid w:val="00917746"/>
    <w:rsid w:val="009209A5"/>
    <w:rsid w:val="00920F98"/>
    <w:rsid w:val="00922448"/>
    <w:rsid w:val="009228BB"/>
    <w:rsid w:val="00922C75"/>
    <w:rsid w:val="00922E8D"/>
    <w:rsid w:val="00922FDA"/>
    <w:rsid w:val="0092336C"/>
    <w:rsid w:val="00923FF1"/>
    <w:rsid w:val="009244DF"/>
    <w:rsid w:val="009266E4"/>
    <w:rsid w:val="00926BBF"/>
    <w:rsid w:val="00927EF6"/>
    <w:rsid w:val="00930D45"/>
    <w:rsid w:val="00930E14"/>
    <w:rsid w:val="00933885"/>
    <w:rsid w:val="009338DA"/>
    <w:rsid w:val="009355D2"/>
    <w:rsid w:val="009356CE"/>
    <w:rsid w:val="00936E93"/>
    <w:rsid w:val="00937FDA"/>
    <w:rsid w:val="0094239A"/>
    <w:rsid w:val="00943E73"/>
    <w:rsid w:val="009444F2"/>
    <w:rsid w:val="00944736"/>
    <w:rsid w:val="00944FC5"/>
    <w:rsid w:val="00947632"/>
    <w:rsid w:val="0094786C"/>
    <w:rsid w:val="00947907"/>
    <w:rsid w:val="00947B9F"/>
    <w:rsid w:val="00947FB4"/>
    <w:rsid w:val="00947FE9"/>
    <w:rsid w:val="00952CF3"/>
    <w:rsid w:val="00952D2F"/>
    <w:rsid w:val="00952D60"/>
    <w:rsid w:val="00952E44"/>
    <w:rsid w:val="009535C0"/>
    <w:rsid w:val="00953733"/>
    <w:rsid w:val="00953ADD"/>
    <w:rsid w:val="009550C6"/>
    <w:rsid w:val="00955447"/>
    <w:rsid w:val="00955A17"/>
    <w:rsid w:val="009575A0"/>
    <w:rsid w:val="00957C50"/>
    <w:rsid w:val="00960E12"/>
    <w:rsid w:val="0096331F"/>
    <w:rsid w:val="00963914"/>
    <w:rsid w:val="00963A90"/>
    <w:rsid w:val="00963A94"/>
    <w:rsid w:val="00963D62"/>
    <w:rsid w:val="00964992"/>
    <w:rsid w:val="009679C3"/>
    <w:rsid w:val="009703AC"/>
    <w:rsid w:val="00971418"/>
    <w:rsid w:val="009729D8"/>
    <w:rsid w:val="0097354B"/>
    <w:rsid w:val="0097453F"/>
    <w:rsid w:val="00974577"/>
    <w:rsid w:val="00975045"/>
    <w:rsid w:val="00976670"/>
    <w:rsid w:val="00976BC3"/>
    <w:rsid w:val="00976CD1"/>
    <w:rsid w:val="00976E64"/>
    <w:rsid w:val="00977929"/>
    <w:rsid w:val="00982FAB"/>
    <w:rsid w:val="0098410B"/>
    <w:rsid w:val="0098426D"/>
    <w:rsid w:val="00986170"/>
    <w:rsid w:val="0098690E"/>
    <w:rsid w:val="00986AB6"/>
    <w:rsid w:val="00987D55"/>
    <w:rsid w:val="0099016E"/>
    <w:rsid w:val="009916BC"/>
    <w:rsid w:val="00993AC9"/>
    <w:rsid w:val="00993B1F"/>
    <w:rsid w:val="00993F70"/>
    <w:rsid w:val="0099428D"/>
    <w:rsid w:val="009942EF"/>
    <w:rsid w:val="00995932"/>
    <w:rsid w:val="00996586"/>
    <w:rsid w:val="00996D49"/>
    <w:rsid w:val="009A1C77"/>
    <w:rsid w:val="009A27D1"/>
    <w:rsid w:val="009A2A1C"/>
    <w:rsid w:val="009A3287"/>
    <w:rsid w:val="009A51E6"/>
    <w:rsid w:val="009A5BC5"/>
    <w:rsid w:val="009A61AA"/>
    <w:rsid w:val="009A6F3B"/>
    <w:rsid w:val="009A7153"/>
    <w:rsid w:val="009A747C"/>
    <w:rsid w:val="009A77EA"/>
    <w:rsid w:val="009A7DAC"/>
    <w:rsid w:val="009B0F4F"/>
    <w:rsid w:val="009B2B6E"/>
    <w:rsid w:val="009B3C1F"/>
    <w:rsid w:val="009B4070"/>
    <w:rsid w:val="009B4FCD"/>
    <w:rsid w:val="009B6063"/>
    <w:rsid w:val="009B70A2"/>
    <w:rsid w:val="009B7D7E"/>
    <w:rsid w:val="009C0814"/>
    <w:rsid w:val="009C10F7"/>
    <w:rsid w:val="009C11B1"/>
    <w:rsid w:val="009C1722"/>
    <w:rsid w:val="009C1A23"/>
    <w:rsid w:val="009C23EA"/>
    <w:rsid w:val="009C5448"/>
    <w:rsid w:val="009C6235"/>
    <w:rsid w:val="009C6482"/>
    <w:rsid w:val="009C6E76"/>
    <w:rsid w:val="009D00B8"/>
    <w:rsid w:val="009D1FA3"/>
    <w:rsid w:val="009D3E42"/>
    <w:rsid w:val="009D3E6C"/>
    <w:rsid w:val="009D4E11"/>
    <w:rsid w:val="009D5363"/>
    <w:rsid w:val="009D682E"/>
    <w:rsid w:val="009D724A"/>
    <w:rsid w:val="009E039D"/>
    <w:rsid w:val="009E0D88"/>
    <w:rsid w:val="009E1067"/>
    <w:rsid w:val="009E1FBC"/>
    <w:rsid w:val="009E3216"/>
    <w:rsid w:val="009E40F9"/>
    <w:rsid w:val="009E5844"/>
    <w:rsid w:val="009E5E63"/>
    <w:rsid w:val="009E5F4C"/>
    <w:rsid w:val="009E653F"/>
    <w:rsid w:val="009E7C9A"/>
    <w:rsid w:val="009F23AE"/>
    <w:rsid w:val="009F3EE2"/>
    <w:rsid w:val="009F4BBF"/>
    <w:rsid w:val="009F4C6D"/>
    <w:rsid w:val="009F5062"/>
    <w:rsid w:val="009F51C8"/>
    <w:rsid w:val="009F7746"/>
    <w:rsid w:val="00A000C1"/>
    <w:rsid w:val="00A01D25"/>
    <w:rsid w:val="00A021E4"/>
    <w:rsid w:val="00A02A23"/>
    <w:rsid w:val="00A03F2C"/>
    <w:rsid w:val="00A0500D"/>
    <w:rsid w:val="00A0624A"/>
    <w:rsid w:val="00A06830"/>
    <w:rsid w:val="00A0774A"/>
    <w:rsid w:val="00A11AE1"/>
    <w:rsid w:val="00A12892"/>
    <w:rsid w:val="00A14577"/>
    <w:rsid w:val="00A149DF"/>
    <w:rsid w:val="00A14F8B"/>
    <w:rsid w:val="00A14F9A"/>
    <w:rsid w:val="00A157A1"/>
    <w:rsid w:val="00A1634D"/>
    <w:rsid w:val="00A1707B"/>
    <w:rsid w:val="00A179BF"/>
    <w:rsid w:val="00A26247"/>
    <w:rsid w:val="00A3051B"/>
    <w:rsid w:val="00A31E66"/>
    <w:rsid w:val="00A32694"/>
    <w:rsid w:val="00A33A18"/>
    <w:rsid w:val="00A3415B"/>
    <w:rsid w:val="00A3442B"/>
    <w:rsid w:val="00A345D4"/>
    <w:rsid w:val="00A348F9"/>
    <w:rsid w:val="00A350BE"/>
    <w:rsid w:val="00A358B2"/>
    <w:rsid w:val="00A35C8A"/>
    <w:rsid w:val="00A36343"/>
    <w:rsid w:val="00A36638"/>
    <w:rsid w:val="00A36B9A"/>
    <w:rsid w:val="00A40131"/>
    <w:rsid w:val="00A40801"/>
    <w:rsid w:val="00A40946"/>
    <w:rsid w:val="00A4129F"/>
    <w:rsid w:val="00A4149B"/>
    <w:rsid w:val="00A41D58"/>
    <w:rsid w:val="00A507FF"/>
    <w:rsid w:val="00A50A4B"/>
    <w:rsid w:val="00A50C88"/>
    <w:rsid w:val="00A51030"/>
    <w:rsid w:val="00A51611"/>
    <w:rsid w:val="00A51ECF"/>
    <w:rsid w:val="00A5335D"/>
    <w:rsid w:val="00A5387A"/>
    <w:rsid w:val="00A53BA7"/>
    <w:rsid w:val="00A54462"/>
    <w:rsid w:val="00A55251"/>
    <w:rsid w:val="00A56524"/>
    <w:rsid w:val="00A610B8"/>
    <w:rsid w:val="00A61208"/>
    <w:rsid w:val="00A62660"/>
    <w:rsid w:val="00A62D2C"/>
    <w:rsid w:val="00A64D6A"/>
    <w:rsid w:val="00A66A0F"/>
    <w:rsid w:val="00A679FC"/>
    <w:rsid w:val="00A67FB0"/>
    <w:rsid w:val="00A700BE"/>
    <w:rsid w:val="00A7038D"/>
    <w:rsid w:val="00A70640"/>
    <w:rsid w:val="00A70DCD"/>
    <w:rsid w:val="00A71551"/>
    <w:rsid w:val="00A72CC2"/>
    <w:rsid w:val="00A73440"/>
    <w:rsid w:val="00A74B85"/>
    <w:rsid w:val="00A75908"/>
    <w:rsid w:val="00A75D01"/>
    <w:rsid w:val="00A762C8"/>
    <w:rsid w:val="00A76B01"/>
    <w:rsid w:val="00A807F0"/>
    <w:rsid w:val="00A8120E"/>
    <w:rsid w:val="00A813D7"/>
    <w:rsid w:val="00A824D3"/>
    <w:rsid w:val="00A82DD2"/>
    <w:rsid w:val="00A83BB1"/>
    <w:rsid w:val="00A83EE4"/>
    <w:rsid w:val="00A84857"/>
    <w:rsid w:val="00A85251"/>
    <w:rsid w:val="00A855F5"/>
    <w:rsid w:val="00A876A5"/>
    <w:rsid w:val="00A87807"/>
    <w:rsid w:val="00A90332"/>
    <w:rsid w:val="00A93936"/>
    <w:rsid w:val="00A94426"/>
    <w:rsid w:val="00A95D76"/>
    <w:rsid w:val="00A95DAC"/>
    <w:rsid w:val="00A9679A"/>
    <w:rsid w:val="00A96CD8"/>
    <w:rsid w:val="00A9734B"/>
    <w:rsid w:val="00A979E7"/>
    <w:rsid w:val="00A97D26"/>
    <w:rsid w:val="00AA0642"/>
    <w:rsid w:val="00AA06C5"/>
    <w:rsid w:val="00AA1669"/>
    <w:rsid w:val="00AA1BF8"/>
    <w:rsid w:val="00AA2C92"/>
    <w:rsid w:val="00AA398A"/>
    <w:rsid w:val="00AA3A8E"/>
    <w:rsid w:val="00AA3B38"/>
    <w:rsid w:val="00AA4352"/>
    <w:rsid w:val="00AA5BB8"/>
    <w:rsid w:val="00AA5D50"/>
    <w:rsid w:val="00AA6066"/>
    <w:rsid w:val="00AA6487"/>
    <w:rsid w:val="00AA7CED"/>
    <w:rsid w:val="00AB001E"/>
    <w:rsid w:val="00AB0FDA"/>
    <w:rsid w:val="00AB1A7B"/>
    <w:rsid w:val="00AB1C79"/>
    <w:rsid w:val="00AB245D"/>
    <w:rsid w:val="00AB24DF"/>
    <w:rsid w:val="00AB27BA"/>
    <w:rsid w:val="00AB29A5"/>
    <w:rsid w:val="00AB2AF0"/>
    <w:rsid w:val="00AB2D04"/>
    <w:rsid w:val="00AB2F70"/>
    <w:rsid w:val="00AB318B"/>
    <w:rsid w:val="00AB31C3"/>
    <w:rsid w:val="00AB781D"/>
    <w:rsid w:val="00AB7D6A"/>
    <w:rsid w:val="00AC03EE"/>
    <w:rsid w:val="00AC0A22"/>
    <w:rsid w:val="00AC1672"/>
    <w:rsid w:val="00AC2A24"/>
    <w:rsid w:val="00AC2F2D"/>
    <w:rsid w:val="00AC3A3F"/>
    <w:rsid w:val="00AC3B0B"/>
    <w:rsid w:val="00AC4131"/>
    <w:rsid w:val="00AC4A8B"/>
    <w:rsid w:val="00AC4D81"/>
    <w:rsid w:val="00AC61E4"/>
    <w:rsid w:val="00AC6A56"/>
    <w:rsid w:val="00AC7241"/>
    <w:rsid w:val="00AD06BF"/>
    <w:rsid w:val="00AD0A7D"/>
    <w:rsid w:val="00AD0DE6"/>
    <w:rsid w:val="00AD0EDE"/>
    <w:rsid w:val="00AD190D"/>
    <w:rsid w:val="00AD204D"/>
    <w:rsid w:val="00AD2389"/>
    <w:rsid w:val="00AD2A2D"/>
    <w:rsid w:val="00AD2DAB"/>
    <w:rsid w:val="00AD5CB1"/>
    <w:rsid w:val="00AD6237"/>
    <w:rsid w:val="00AD6726"/>
    <w:rsid w:val="00AD6AC1"/>
    <w:rsid w:val="00AD7599"/>
    <w:rsid w:val="00AE1BBB"/>
    <w:rsid w:val="00AE2141"/>
    <w:rsid w:val="00AE26C9"/>
    <w:rsid w:val="00AE2F4C"/>
    <w:rsid w:val="00AE3B4A"/>
    <w:rsid w:val="00AE4A87"/>
    <w:rsid w:val="00AE4E4F"/>
    <w:rsid w:val="00AE5591"/>
    <w:rsid w:val="00AE57FF"/>
    <w:rsid w:val="00AE673D"/>
    <w:rsid w:val="00AE749B"/>
    <w:rsid w:val="00AE7D3C"/>
    <w:rsid w:val="00AF0629"/>
    <w:rsid w:val="00AF1BF1"/>
    <w:rsid w:val="00AF211E"/>
    <w:rsid w:val="00AF32B8"/>
    <w:rsid w:val="00AF3AA4"/>
    <w:rsid w:val="00AF3CB3"/>
    <w:rsid w:val="00AF3CFF"/>
    <w:rsid w:val="00AF4F66"/>
    <w:rsid w:val="00AF531B"/>
    <w:rsid w:val="00AF5337"/>
    <w:rsid w:val="00AF53C2"/>
    <w:rsid w:val="00AF71F6"/>
    <w:rsid w:val="00AF7C60"/>
    <w:rsid w:val="00B005C5"/>
    <w:rsid w:val="00B018F5"/>
    <w:rsid w:val="00B02305"/>
    <w:rsid w:val="00B0250A"/>
    <w:rsid w:val="00B02E23"/>
    <w:rsid w:val="00B0372A"/>
    <w:rsid w:val="00B060D5"/>
    <w:rsid w:val="00B1175D"/>
    <w:rsid w:val="00B11981"/>
    <w:rsid w:val="00B12731"/>
    <w:rsid w:val="00B12AA5"/>
    <w:rsid w:val="00B146BC"/>
    <w:rsid w:val="00B14D7C"/>
    <w:rsid w:val="00B14DF1"/>
    <w:rsid w:val="00B153B3"/>
    <w:rsid w:val="00B15CD2"/>
    <w:rsid w:val="00B17CBB"/>
    <w:rsid w:val="00B204CB"/>
    <w:rsid w:val="00B20BBF"/>
    <w:rsid w:val="00B21481"/>
    <w:rsid w:val="00B21672"/>
    <w:rsid w:val="00B217CC"/>
    <w:rsid w:val="00B23531"/>
    <w:rsid w:val="00B24977"/>
    <w:rsid w:val="00B25447"/>
    <w:rsid w:val="00B264D8"/>
    <w:rsid w:val="00B271C9"/>
    <w:rsid w:val="00B30AEA"/>
    <w:rsid w:val="00B31BF4"/>
    <w:rsid w:val="00B31C57"/>
    <w:rsid w:val="00B32A34"/>
    <w:rsid w:val="00B32F09"/>
    <w:rsid w:val="00B33D96"/>
    <w:rsid w:val="00B33E36"/>
    <w:rsid w:val="00B3465A"/>
    <w:rsid w:val="00B34F0E"/>
    <w:rsid w:val="00B35F5F"/>
    <w:rsid w:val="00B36F78"/>
    <w:rsid w:val="00B3755E"/>
    <w:rsid w:val="00B404A6"/>
    <w:rsid w:val="00B40A63"/>
    <w:rsid w:val="00B40D70"/>
    <w:rsid w:val="00B44426"/>
    <w:rsid w:val="00B45C45"/>
    <w:rsid w:val="00B47277"/>
    <w:rsid w:val="00B4799D"/>
    <w:rsid w:val="00B51047"/>
    <w:rsid w:val="00B53B08"/>
    <w:rsid w:val="00B53D99"/>
    <w:rsid w:val="00B561BA"/>
    <w:rsid w:val="00B564D9"/>
    <w:rsid w:val="00B56FB7"/>
    <w:rsid w:val="00B57221"/>
    <w:rsid w:val="00B57619"/>
    <w:rsid w:val="00B577A6"/>
    <w:rsid w:val="00B5787D"/>
    <w:rsid w:val="00B607BE"/>
    <w:rsid w:val="00B61E09"/>
    <w:rsid w:val="00B6274D"/>
    <w:rsid w:val="00B62B63"/>
    <w:rsid w:val="00B632E5"/>
    <w:rsid w:val="00B64D41"/>
    <w:rsid w:val="00B66CB3"/>
    <w:rsid w:val="00B66D6E"/>
    <w:rsid w:val="00B67351"/>
    <w:rsid w:val="00B67D20"/>
    <w:rsid w:val="00B706C6"/>
    <w:rsid w:val="00B71A4A"/>
    <w:rsid w:val="00B734CB"/>
    <w:rsid w:val="00B739CF"/>
    <w:rsid w:val="00B7475F"/>
    <w:rsid w:val="00B7508D"/>
    <w:rsid w:val="00B76206"/>
    <w:rsid w:val="00B768D5"/>
    <w:rsid w:val="00B80B07"/>
    <w:rsid w:val="00B8178C"/>
    <w:rsid w:val="00B81BF0"/>
    <w:rsid w:val="00B82E33"/>
    <w:rsid w:val="00B82ECB"/>
    <w:rsid w:val="00B8310B"/>
    <w:rsid w:val="00B83C6B"/>
    <w:rsid w:val="00B83C8B"/>
    <w:rsid w:val="00B85BAF"/>
    <w:rsid w:val="00B90874"/>
    <w:rsid w:val="00B90BFA"/>
    <w:rsid w:val="00B91DA7"/>
    <w:rsid w:val="00B91E9A"/>
    <w:rsid w:val="00B93044"/>
    <w:rsid w:val="00B931B0"/>
    <w:rsid w:val="00B932C9"/>
    <w:rsid w:val="00B93ED9"/>
    <w:rsid w:val="00B947D6"/>
    <w:rsid w:val="00B9524C"/>
    <w:rsid w:val="00B95E2C"/>
    <w:rsid w:val="00BA18BD"/>
    <w:rsid w:val="00BA2C17"/>
    <w:rsid w:val="00BA2D53"/>
    <w:rsid w:val="00BA40F3"/>
    <w:rsid w:val="00BA55DE"/>
    <w:rsid w:val="00BA5F6B"/>
    <w:rsid w:val="00BA6BD0"/>
    <w:rsid w:val="00BA7ECF"/>
    <w:rsid w:val="00BB0589"/>
    <w:rsid w:val="00BB09D6"/>
    <w:rsid w:val="00BB1682"/>
    <w:rsid w:val="00BB1AF8"/>
    <w:rsid w:val="00BB26B1"/>
    <w:rsid w:val="00BB2E2A"/>
    <w:rsid w:val="00BB4B39"/>
    <w:rsid w:val="00BB5F65"/>
    <w:rsid w:val="00BB6F58"/>
    <w:rsid w:val="00BB7E40"/>
    <w:rsid w:val="00BC0A1A"/>
    <w:rsid w:val="00BC170A"/>
    <w:rsid w:val="00BC243B"/>
    <w:rsid w:val="00BC268A"/>
    <w:rsid w:val="00BC28A6"/>
    <w:rsid w:val="00BC3515"/>
    <w:rsid w:val="00BC4A64"/>
    <w:rsid w:val="00BC59C2"/>
    <w:rsid w:val="00BC6AAD"/>
    <w:rsid w:val="00BD02CC"/>
    <w:rsid w:val="00BD079D"/>
    <w:rsid w:val="00BD20FB"/>
    <w:rsid w:val="00BD22C7"/>
    <w:rsid w:val="00BD277B"/>
    <w:rsid w:val="00BD2C00"/>
    <w:rsid w:val="00BD530D"/>
    <w:rsid w:val="00BD7955"/>
    <w:rsid w:val="00BE01A0"/>
    <w:rsid w:val="00BE205B"/>
    <w:rsid w:val="00BE256C"/>
    <w:rsid w:val="00BE264E"/>
    <w:rsid w:val="00BE27B1"/>
    <w:rsid w:val="00BE3868"/>
    <w:rsid w:val="00BE3D81"/>
    <w:rsid w:val="00BE4952"/>
    <w:rsid w:val="00BE4E80"/>
    <w:rsid w:val="00BE4FAF"/>
    <w:rsid w:val="00BE52A4"/>
    <w:rsid w:val="00BE5DDE"/>
    <w:rsid w:val="00BE68B4"/>
    <w:rsid w:val="00BE70C9"/>
    <w:rsid w:val="00BF0BCC"/>
    <w:rsid w:val="00BF197F"/>
    <w:rsid w:val="00BF3999"/>
    <w:rsid w:val="00BF4B30"/>
    <w:rsid w:val="00BF523C"/>
    <w:rsid w:val="00BF5376"/>
    <w:rsid w:val="00BF6CBB"/>
    <w:rsid w:val="00C00497"/>
    <w:rsid w:val="00C029B6"/>
    <w:rsid w:val="00C03B0F"/>
    <w:rsid w:val="00C03E68"/>
    <w:rsid w:val="00C045E0"/>
    <w:rsid w:val="00C05139"/>
    <w:rsid w:val="00C058A5"/>
    <w:rsid w:val="00C07D8E"/>
    <w:rsid w:val="00C105E8"/>
    <w:rsid w:val="00C124B7"/>
    <w:rsid w:val="00C15CE7"/>
    <w:rsid w:val="00C15DD3"/>
    <w:rsid w:val="00C15F74"/>
    <w:rsid w:val="00C16AB3"/>
    <w:rsid w:val="00C17224"/>
    <w:rsid w:val="00C17685"/>
    <w:rsid w:val="00C20CBD"/>
    <w:rsid w:val="00C223A5"/>
    <w:rsid w:val="00C229EF"/>
    <w:rsid w:val="00C22D53"/>
    <w:rsid w:val="00C23A93"/>
    <w:rsid w:val="00C23BCF"/>
    <w:rsid w:val="00C2546E"/>
    <w:rsid w:val="00C2565E"/>
    <w:rsid w:val="00C2648A"/>
    <w:rsid w:val="00C26EA0"/>
    <w:rsid w:val="00C2711D"/>
    <w:rsid w:val="00C275B4"/>
    <w:rsid w:val="00C27616"/>
    <w:rsid w:val="00C310A0"/>
    <w:rsid w:val="00C351DB"/>
    <w:rsid w:val="00C36A88"/>
    <w:rsid w:val="00C36B0F"/>
    <w:rsid w:val="00C36E66"/>
    <w:rsid w:val="00C3720E"/>
    <w:rsid w:val="00C406DE"/>
    <w:rsid w:val="00C40C71"/>
    <w:rsid w:val="00C4111F"/>
    <w:rsid w:val="00C412D5"/>
    <w:rsid w:val="00C4150B"/>
    <w:rsid w:val="00C420E4"/>
    <w:rsid w:val="00C433A2"/>
    <w:rsid w:val="00C43DB8"/>
    <w:rsid w:val="00C44141"/>
    <w:rsid w:val="00C46039"/>
    <w:rsid w:val="00C47496"/>
    <w:rsid w:val="00C50B0E"/>
    <w:rsid w:val="00C51CC5"/>
    <w:rsid w:val="00C53EEF"/>
    <w:rsid w:val="00C54389"/>
    <w:rsid w:val="00C5542B"/>
    <w:rsid w:val="00C55A01"/>
    <w:rsid w:val="00C56A39"/>
    <w:rsid w:val="00C57DD6"/>
    <w:rsid w:val="00C607D5"/>
    <w:rsid w:val="00C61372"/>
    <w:rsid w:val="00C61780"/>
    <w:rsid w:val="00C62A8F"/>
    <w:rsid w:val="00C63263"/>
    <w:rsid w:val="00C634E0"/>
    <w:rsid w:val="00C664E7"/>
    <w:rsid w:val="00C671BC"/>
    <w:rsid w:val="00C67C67"/>
    <w:rsid w:val="00C67CFF"/>
    <w:rsid w:val="00C70919"/>
    <w:rsid w:val="00C7141B"/>
    <w:rsid w:val="00C71C68"/>
    <w:rsid w:val="00C759E4"/>
    <w:rsid w:val="00C75BEC"/>
    <w:rsid w:val="00C808AA"/>
    <w:rsid w:val="00C80D96"/>
    <w:rsid w:val="00C82B6B"/>
    <w:rsid w:val="00C83560"/>
    <w:rsid w:val="00C836E3"/>
    <w:rsid w:val="00C83A19"/>
    <w:rsid w:val="00C84D79"/>
    <w:rsid w:val="00C8527E"/>
    <w:rsid w:val="00C855C3"/>
    <w:rsid w:val="00C855D2"/>
    <w:rsid w:val="00C85E96"/>
    <w:rsid w:val="00C86140"/>
    <w:rsid w:val="00C86FBD"/>
    <w:rsid w:val="00C9128F"/>
    <w:rsid w:val="00C91666"/>
    <w:rsid w:val="00C916F0"/>
    <w:rsid w:val="00C91F93"/>
    <w:rsid w:val="00C9219D"/>
    <w:rsid w:val="00C923D5"/>
    <w:rsid w:val="00C92EB0"/>
    <w:rsid w:val="00C9406A"/>
    <w:rsid w:val="00C94D3C"/>
    <w:rsid w:val="00C94E84"/>
    <w:rsid w:val="00C9502B"/>
    <w:rsid w:val="00C96771"/>
    <w:rsid w:val="00CA0D9F"/>
    <w:rsid w:val="00CA18FB"/>
    <w:rsid w:val="00CA1A36"/>
    <w:rsid w:val="00CA1BD1"/>
    <w:rsid w:val="00CA1CEF"/>
    <w:rsid w:val="00CA1E6A"/>
    <w:rsid w:val="00CA5575"/>
    <w:rsid w:val="00CA65EF"/>
    <w:rsid w:val="00CB030A"/>
    <w:rsid w:val="00CB11E7"/>
    <w:rsid w:val="00CB125C"/>
    <w:rsid w:val="00CB26D4"/>
    <w:rsid w:val="00CB455B"/>
    <w:rsid w:val="00CB4D87"/>
    <w:rsid w:val="00CB53B6"/>
    <w:rsid w:val="00CB572C"/>
    <w:rsid w:val="00CB6748"/>
    <w:rsid w:val="00CB7AE4"/>
    <w:rsid w:val="00CC0EC9"/>
    <w:rsid w:val="00CC2188"/>
    <w:rsid w:val="00CC4E6E"/>
    <w:rsid w:val="00CC6E0A"/>
    <w:rsid w:val="00CC743D"/>
    <w:rsid w:val="00CC7617"/>
    <w:rsid w:val="00CC7935"/>
    <w:rsid w:val="00CD0342"/>
    <w:rsid w:val="00CD10A9"/>
    <w:rsid w:val="00CD1286"/>
    <w:rsid w:val="00CD17D1"/>
    <w:rsid w:val="00CD20F9"/>
    <w:rsid w:val="00CD33BC"/>
    <w:rsid w:val="00CD66FB"/>
    <w:rsid w:val="00CD67D5"/>
    <w:rsid w:val="00CE194C"/>
    <w:rsid w:val="00CE2EED"/>
    <w:rsid w:val="00CE6D2A"/>
    <w:rsid w:val="00CE6F5E"/>
    <w:rsid w:val="00CE70E4"/>
    <w:rsid w:val="00CF075B"/>
    <w:rsid w:val="00CF0889"/>
    <w:rsid w:val="00CF106A"/>
    <w:rsid w:val="00CF2156"/>
    <w:rsid w:val="00CF2F06"/>
    <w:rsid w:val="00CF3755"/>
    <w:rsid w:val="00CF3A91"/>
    <w:rsid w:val="00CF41C5"/>
    <w:rsid w:val="00CF4D7B"/>
    <w:rsid w:val="00CF6914"/>
    <w:rsid w:val="00CF7F30"/>
    <w:rsid w:val="00D003A3"/>
    <w:rsid w:val="00D003AF"/>
    <w:rsid w:val="00D0264B"/>
    <w:rsid w:val="00D049C3"/>
    <w:rsid w:val="00D0747E"/>
    <w:rsid w:val="00D07715"/>
    <w:rsid w:val="00D07F6D"/>
    <w:rsid w:val="00D106FE"/>
    <w:rsid w:val="00D10ED3"/>
    <w:rsid w:val="00D125E8"/>
    <w:rsid w:val="00D12D3B"/>
    <w:rsid w:val="00D14535"/>
    <w:rsid w:val="00D14699"/>
    <w:rsid w:val="00D14AA5"/>
    <w:rsid w:val="00D15FDA"/>
    <w:rsid w:val="00D161B7"/>
    <w:rsid w:val="00D20810"/>
    <w:rsid w:val="00D21ED8"/>
    <w:rsid w:val="00D22504"/>
    <w:rsid w:val="00D226F3"/>
    <w:rsid w:val="00D22A32"/>
    <w:rsid w:val="00D23012"/>
    <w:rsid w:val="00D23BC7"/>
    <w:rsid w:val="00D23F3B"/>
    <w:rsid w:val="00D24163"/>
    <w:rsid w:val="00D25D69"/>
    <w:rsid w:val="00D26EC1"/>
    <w:rsid w:val="00D2709A"/>
    <w:rsid w:val="00D302D1"/>
    <w:rsid w:val="00D30569"/>
    <w:rsid w:val="00D31027"/>
    <w:rsid w:val="00D31737"/>
    <w:rsid w:val="00D31F30"/>
    <w:rsid w:val="00D31F45"/>
    <w:rsid w:val="00D335BB"/>
    <w:rsid w:val="00D34B05"/>
    <w:rsid w:val="00D35259"/>
    <w:rsid w:val="00D35489"/>
    <w:rsid w:val="00D36236"/>
    <w:rsid w:val="00D37504"/>
    <w:rsid w:val="00D37996"/>
    <w:rsid w:val="00D37FDD"/>
    <w:rsid w:val="00D40E20"/>
    <w:rsid w:val="00D415EE"/>
    <w:rsid w:val="00D41D3D"/>
    <w:rsid w:val="00D42530"/>
    <w:rsid w:val="00D42B89"/>
    <w:rsid w:val="00D43AEE"/>
    <w:rsid w:val="00D4725F"/>
    <w:rsid w:val="00D5173F"/>
    <w:rsid w:val="00D54091"/>
    <w:rsid w:val="00D54B9A"/>
    <w:rsid w:val="00D54E39"/>
    <w:rsid w:val="00D54F2F"/>
    <w:rsid w:val="00D5552A"/>
    <w:rsid w:val="00D557F5"/>
    <w:rsid w:val="00D56637"/>
    <w:rsid w:val="00D61100"/>
    <w:rsid w:val="00D612CD"/>
    <w:rsid w:val="00D61C45"/>
    <w:rsid w:val="00D62AEF"/>
    <w:rsid w:val="00D62CE1"/>
    <w:rsid w:val="00D64DD6"/>
    <w:rsid w:val="00D65874"/>
    <w:rsid w:val="00D6587C"/>
    <w:rsid w:val="00D662D3"/>
    <w:rsid w:val="00D665BF"/>
    <w:rsid w:val="00D6730F"/>
    <w:rsid w:val="00D70C96"/>
    <w:rsid w:val="00D72563"/>
    <w:rsid w:val="00D72C4E"/>
    <w:rsid w:val="00D74B04"/>
    <w:rsid w:val="00D756CA"/>
    <w:rsid w:val="00D75A5B"/>
    <w:rsid w:val="00D75C81"/>
    <w:rsid w:val="00D76061"/>
    <w:rsid w:val="00D77713"/>
    <w:rsid w:val="00D7798A"/>
    <w:rsid w:val="00D80053"/>
    <w:rsid w:val="00D82AD7"/>
    <w:rsid w:val="00D82E02"/>
    <w:rsid w:val="00D82EDA"/>
    <w:rsid w:val="00D8307B"/>
    <w:rsid w:val="00D8327C"/>
    <w:rsid w:val="00D836F7"/>
    <w:rsid w:val="00D844A6"/>
    <w:rsid w:val="00D84645"/>
    <w:rsid w:val="00D84B55"/>
    <w:rsid w:val="00D864F8"/>
    <w:rsid w:val="00D86ACF"/>
    <w:rsid w:val="00D879A3"/>
    <w:rsid w:val="00D918A9"/>
    <w:rsid w:val="00D92BCC"/>
    <w:rsid w:val="00D93123"/>
    <w:rsid w:val="00D9320C"/>
    <w:rsid w:val="00D95878"/>
    <w:rsid w:val="00D96510"/>
    <w:rsid w:val="00DA154B"/>
    <w:rsid w:val="00DA527C"/>
    <w:rsid w:val="00DA5B6B"/>
    <w:rsid w:val="00DA5EEB"/>
    <w:rsid w:val="00DA603F"/>
    <w:rsid w:val="00DA700C"/>
    <w:rsid w:val="00DA75C7"/>
    <w:rsid w:val="00DB2EF0"/>
    <w:rsid w:val="00DB4640"/>
    <w:rsid w:val="00DB70DE"/>
    <w:rsid w:val="00DB72D0"/>
    <w:rsid w:val="00DB790F"/>
    <w:rsid w:val="00DC045F"/>
    <w:rsid w:val="00DC07F9"/>
    <w:rsid w:val="00DC08B7"/>
    <w:rsid w:val="00DC3269"/>
    <w:rsid w:val="00DC350C"/>
    <w:rsid w:val="00DC437A"/>
    <w:rsid w:val="00DC44F4"/>
    <w:rsid w:val="00DC45DF"/>
    <w:rsid w:val="00DC6605"/>
    <w:rsid w:val="00DD027E"/>
    <w:rsid w:val="00DD0447"/>
    <w:rsid w:val="00DD66BE"/>
    <w:rsid w:val="00DD67BF"/>
    <w:rsid w:val="00DD688C"/>
    <w:rsid w:val="00DD6E09"/>
    <w:rsid w:val="00DE07FB"/>
    <w:rsid w:val="00DE2607"/>
    <w:rsid w:val="00DE2783"/>
    <w:rsid w:val="00DE27B8"/>
    <w:rsid w:val="00DE340B"/>
    <w:rsid w:val="00DE3D55"/>
    <w:rsid w:val="00DE466D"/>
    <w:rsid w:val="00DE4C62"/>
    <w:rsid w:val="00DE55BC"/>
    <w:rsid w:val="00DE5707"/>
    <w:rsid w:val="00DE70C6"/>
    <w:rsid w:val="00DE7200"/>
    <w:rsid w:val="00DF07DB"/>
    <w:rsid w:val="00DF0DB1"/>
    <w:rsid w:val="00DF20FB"/>
    <w:rsid w:val="00DF21A8"/>
    <w:rsid w:val="00DF2DC3"/>
    <w:rsid w:val="00DF3A84"/>
    <w:rsid w:val="00DF4EB7"/>
    <w:rsid w:val="00DF5271"/>
    <w:rsid w:val="00DF70F6"/>
    <w:rsid w:val="00DF7939"/>
    <w:rsid w:val="00DF7C6E"/>
    <w:rsid w:val="00E0106C"/>
    <w:rsid w:val="00E01663"/>
    <w:rsid w:val="00E01A46"/>
    <w:rsid w:val="00E03F1C"/>
    <w:rsid w:val="00E0449A"/>
    <w:rsid w:val="00E04989"/>
    <w:rsid w:val="00E04FDE"/>
    <w:rsid w:val="00E070B6"/>
    <w:rsid w:val="00E07A39"/>
    <w:rsid w:val="00E104EF"/>
    <w:rsid w:val="00E125CB"/>
    <w:rsid w:val="00E12EE8"/>
    <w:rsid w:val="00E13C7D"/>
    <w:rsid w:val="00E13EBC"/>
    <w:rsid w:val="00E13EDF"/>
    <w:rsid w:val="00E146EE"/>
    <w:rsid w:val="00E15076"/>
    <w:rsid w:val="00E165C9"/>
    <w:rsid w:val="00E16DA8"/>
    <w:rsid w:val="00E17165"/>
    <w:rsid w:val="00E202E6"/>
    <w:rsid w:val="00E21B3E"/>
    <w:rsid w:val="00E21F7E"/>
    <w:rsid w:val="00E224C3"/>
    <w:rsid w:val="00E2288B"/>
    <w:rsid w:val="00E22B14"/>
    <w:rsid w:val="00E23B83"/>
    <w:rsid w:val="00E23FD1"/>
    <w:rsid w:val="00E24482"/>
    <w:rsid w:val="00E246D8"/>
    <w:rsid w:val="00E2486D"/>
    <w:rsid w:val="00E25D87"/>
    <w:rsid w:val="00E27377"/>
    <w:rsid w:val="00E300EC"/>
    <w:rsid w:val="00E305F5"/>
    <w:rsid w:val="00E30DEA"/>
    <w:rsid w:val="00E31E46"/>
    <w:rsid w:val="00E32594"/>
    <w:rsid w:val="00E3293B"/>
    <w:rsid w:val="00E332F5"/>
    <w:rsid w:val="00E341E1"/>
    <w:rsid w:val="00E34AE2"/>
    <w:rsid w:val="00E36A37"/>
    <w:rsid w:val="00E372F7"/>
    <w:rsid w:val="00E372FA"/>
    <w:rsid w:val="00E37601"/>
    <w:rsid w:val="00E417BF"/>
    <w:rsid w:val="00E42235"/>
    <w:rsid w:val="00E434B4"/>
    <w:rsid w:val="00E43B3E"/>
    <w:rsid w:val="00E4414C"/>
    <w:rsid w:val="00E443BA"/>
    <w:rsid w:val="00E450D5"/>
    <w:rsid w:val="00E454CC"/>
    <w:rsid w:val="00E45FB7"/>
    <w:rsid w:val="00E46BB5"/>
    <w:rsid w:val="00E470CE"/>
    <w:rsid w:val="00E478AC"/>
    <w:rsid w:val="00E5055F"/>
    <w:rsid w:val="00E50F94"/>
    <w:rsid w:val="00E515EB"/>
    <w:rsid w:val="00E528C9"/>
    <w:rsid w:val="00E53D40"/>
    <w:rsid w:val="00E5462E"/>
    <w:rsid w:val="00E61A5B"/>
    <w:rsid w:val="00E64BE9"/>
    <w:rsid w:val="00E65605"/>
    <w:rsid w:val="00E65AFF"/>
    <w:rsid w:val="00E6767D"/>
    <w:rsid w:val="00E71E5D"/>
    <w:rsid w:val="00E73327"/>
    <w:rsid w:val="00E7411A"/>
    <w:rsid w:val="00E76BD7"/>
    <w:rsid w:val="00E77A83"/>
    <w:rsid w:val="00E80977"/>
    <w:rsid w:val="00E82D1B"/>
    <w:rsid w:val="00E83645"/>
    <w:rsid w:val="00E84E98"/>
    <w:rsid w:val="00E85972"/>
    <w:rsid w:val="00E85C9A"/>
    <w:rsid w:val="00E85CB5"/>
    <w:rsid w:val="00E9034A"/>
    <w:rsid w:val="00E90E9C"/>
    <w:rsid w:val="00E94D3D"/>
    <w:rsid w:val="00E94FB0"/>
    <w:rsid w:val="00E9512C"/>
    <w:rsid w:val="00EA0077"/>
    <w:rsid w:val="00EA0E38"/>
    <w:rsid w:val="00EA1872"/>
    <w:rsid w:val="00EA22A9"/>
    <w:rsid w:val="00EA22F6"/>
    <w:rsid w:val="00EA477B"/>
    <w:rsid w:val="00EA604E"/>
    <w:rsid w:val="00EA6069"/>
    <w:rsid w:val="00EA6536"/>
    <w:rsid w:val="00EA6ED4"/>
    <w:rsid w:val="00EA714C"/>
    <w:rsid w:val="00EA7167"/>
    <w:rsid w:val="00EA78D0"/>
    <w:rsid w:val="00EB0026"/>
    <w:rsid w:val="00EB01A6"/>
    <w:rsid w:val="00EB0384"/>
    <w:rsid w:val="00EB0D56"/>
    <w:rsid w:val="00EB31BB"/>
    <w:rsid w:val="00EB39F8"/>
    <w:rsid w:val="00EB3AE8"/>
    <w:rsid w:val="00EB3DE5"/>
    <w:rsid w:val="00EB6196"/>
    <w:rsid w:val="00EB67F0"/>
    <w:rsid w:val="00EB6B0C"/>
    <w:rsid w:val="00EB6F46"/>
    <w:rsid w:val="00EC058C"/>
    <w:rsid w:val="00EC0B25"/>
    <w:rsid w:val="00EC1BDE"/>
    <w:rsid w:val="00EC1F4B"/>
    <w:rsid w:val="00EC311D"/>
    <w:rsid w:val="00EC3F67"/>
    <w:rsid w:val="00EC4F32"/>
    <w:rsid w:val="00EC5097"/>
    <w:rsid w:val="00EC53C0"/>
    <w:rsid w:val="00EC5A56"/>
    <w:rsid w:val="00ED1413"/>
    <w:rsid w:val="00ED1663"/>
    <w:rsid w:val="00ED230F"/>
    <w:rsid w:val="00ED23A4"/>
    <w:rsid w:val="00ED3A2D"/>
    <w:rsid w:val="00ED4106"/>
    <w:rsid w:val="00ED4499"/>
    <w:rsid w:val="00ED50F5"/>
    <w:rsid w:val="00ED5149"/>
    <w:rsid w:val="00ED6BE1"/>
    <w:rsid w:val="00ED7099"/>
    <w:rsid w:val="00ED7757"/>
    <w:rsid w:val="00EE009A"/>
    <w:rsid w:val="00EE027B"/>
    <w:rsid w:val="00EE0630"/>
    <w:rsid w:val="00EE13A1"/>
    <w:rsid w:val="00EE285F"/>
    <w:rsid w:val="00EE2893"/>
    <w:rsid w:val="00EE31DF"/>
    <w:rsid w:val="00EE3AE5"/>
    <w:rsid w:val="00EE3EBF"/>
    <w:rsid w:val="00EE5B77"/>
    <w:rsid w:val="00EE7702"/>
    <w:rsid w:val="00EE7916"/>
    <w:rsid w:val="00EF03F8"/>
    <w:rsid w:val="00EF13A0"/>
    <w:rsid w:val="00EF1C6E"/>
    <w:rsid w:val="00EF2AE5"/>
    <w:rsid w:val="00EF2C80"/>
    <w:rsid w:val="00EF4D3B"/>
    <w:rsid w:val="00EF52FD"/>
    <w:rsid w:val="00EF6A34"/>
    <w:rsid w:val="00EF7579"/>
    <w:rsid w:val="00EF75D5"/>
    <w:rsid w:val="00EF7B34"/>
    <w:rsid w:val="00F00BE0"/>
    <w:rsid w:val="00F016BD"/>
    <w:rsid w:val="00F026F0"/>
    <w:rsid w:val="00F04496"/>
    <w:rsid w:val="00F05814"/>
    <w:rsid w:val="00F0680A"/>
    <w:rsid w:val="00F06ED0"/>
    <w:rsid w:val="00F12013"/>
    <w:rsid w:val="00F126FC"/>
    <w:rsid w:val="00F12999"/>
    <w:rsid w:val="00F12C0D"/>
    <w:rsid w:val="00F12DA5"/>
    <w:rsid w:val="00F12F3A"/>
    <w:rsid w:val="00F13822"/>
    <w:rsid w:val="00F13E50"/>
    <w:rsid w:val="00F1410C"/>
    <w:rsid w:val="00F14565"/>
    <w:rsid w:val="00F14A70"/>
    <w:rsid w:val="00F175A5"/>
    <w:rsid w:val="00F176ED"/>
    <w:rsid w:val="00F1796C"/>
    <w:rsid w:val="00F17CC1"/>
    <w:rsid w:val="00F230F1"/>
    <w:rsid w:val="00F275C3"/>
    <w:rsid w:val="00F27B8D"/>
    <w:rsid w:val="00F304FB"/>
    <w:rsid w:val="00F313F8"/>
    <w:rsid w:val="00F31428"/>
    <w:rsid w:val="00F315AB"/>
    <w:rsid w:val="00F31DC0"/>
    <w:rsid w:val="00F33E41"/>
    <w:rsid w:val="00F33F07"/>
    <w:rsid w:val="00F3438B"/>
    <w:rsid w:val="00F34D85"/>
    <w:rsid w:val="00F35871"/>
    <w:rsid w:val="00F35D52"/>
    <w:rsid w:val="00F35F8C"/>
    <w:rsid w:val="00F360BF"/>
    <w:rsid w:val="00F36C93"/>
    <w:rsid w:val="00F373E1"/>
    <w:rsid w:val="00F410E0"/>
    <w:rsid w:val="00F42574"/>
    <w:rsid w:val="00F43AAC"/>
    <w:rsid w:val="00F43D37"/>
    <w:rsid w:val="00F45257"/>
    <w:rsid w:val="00F45805"/>
    <w:rsid w:val="00F459ED"/>
    <w:rsid w:val="00F45CA2"/>
    <w:rsid w:val="00F45D78"/>
    <w:rsid w:val="00F46154"/>
    <w:rsid w:val="00F462F3"/>
    <w:rsid w:val="00F46AD5"/>
    <w:rsid w:val="00F47178"/>
    <w:rsid w:val="00F47598"/>
    <w:rsid w:val="00F47DCD"/>
    <w:rsid w:val="00F47ED2"/>
    <w:rsid w:val="00F50813"/>
    <w:rsid w:val="00F50CA4"/>
    <w:rsid w:val="00F50CE7"/>
    <w:rsid w:val="00F51438"/>
    <w:rsid w:val="00F515D3"/>
    <w:rsid w:val="00F5301A"/>
    <w:rsid w:val="00F538BB"/>
    <w:rsid w:val="00F53EC3"/>
    <w:rsid w:val="00F549E7"/>
    <w:rsid w:val="00F54AA2"/>
    <w:rsid w:val="00F55237"/>
    <w:rsid w:val="00F5550D"/>
    <w:rsid w:val="00F55934"/>
    <w:rsid w:val="00F57CF3"/>
    <w:rsid w:val="00F60C92"/>
    <w:rsid w:val="00F60E82"/>
    <w:rsid w:val="00F618BB"/>
    <w:rsid w:val="00F62689"/>
    <w:rsid w:val="00F62FB3"/>
    <w:rsid w:val="00F6302F"/>
    <w:rsid w:val="00F64EF0"/>
    <w:rsid w:val="00F65518"/>
    <w:rsid w:val="00F65B3A"/>
    <w:rsid w:val="00F65E57"/>
    <w:rsid w:val="00F669E6"/>
    <w:rsid w:val="00F66F67"/>
    <w:rsid w:val="00F67625"/>
    <w:rsid w:val="00F70678"/>
    <w:rsid w:val="00F70AD4"/>
    <w:rsid w:val="00F71828"/>
    <w:rsid w:val="00F7191C"/>
    <w:rsid w:val="00F7197C"/>
    <w:rsid w:val="00F72032"/>
    <w:rsid w:val="00F73671"/>
    <w:rsid w:val="00F76B14"/>
    <w:rsid w:val="00F800C7"/>
    <w:rsid w:val="00F80938"/>
    <w:rsid w:val="00F81487"/>
    <w:rsid w:val="00F849F9"/>
    <w:rsid w:val="00F85F21"/>
    <w:rsid w:val="00F870DB"/>
    <w:rsid w:val="00F90CF5"/>
    <w:rsid w:val="00F90D68"/>
    <w:rsid w:val="00F90E69"/>
    <w:rsid w:val="00F91AD8"/>
    <w:rsid w:val="00F922B1"/>
    <w:rsid w:val="00FA06C9"/>
    <w:rsid w:val="00FA0E80"/>
    <w:rsid w:val="00FA1CBD"/>
    <w:rsid w:val="00FA28CF"/>
    <w:rsid w:val="00FA2C07"/>
    <w:rsid w:val="00FA32BE"/>
    <w:rsid w:val="00FA56EF"/>
    <w:rsid w:val="00FA5D99"/>
    <w:rsid w:val="00FA5F0B"/>
    <w:rsid w:val="00FA6505"/>
    <w:rsid w:val="00FA6F1C"/>
    <w:rsid w:val="00FA72F6"/>
    <w:rsid w:val="00FB0E58"/>
    <w:rsid w:val="00FB0FB6"/>
    <w:rsid w:val="00FB10A3"/>
    <w:rsid w:val="00FB179F"/>
    <w:rsid w:val="00FB25BD"/>
    <w:rsid w:val="00FB36D4"/>
    <w:rsid w:val="00FB3B0F"/>
    <w:rsid w:val="00FB510B"/>
    <w:rsid w:val="00FB5690"/>
    <w:rsid w:val="00FB5D1B"/>
    <w:rsid w:val="00FB68C8"/>
    <w:rsid w:val="00FB75F9"/>
    <w:rsid w:val="00FB76D2"/>
    <w:rsid w:val="00FB7C5A"/>
    <w:rsid w:val="00FC0449"/>
    <w:rsid w:val="00FC154B"/>
    <w:rsid w:val="00FC1C97"/>
    <w:rsid w:val="00FC26BF"/>
    <w:rsid w:val="00FC2D26"/>
    <w:rsid w:val="00FC423E"/>
    <w:rsid w:val="00FC523E"/>
    <w:rsid w:val="00FC5BB7"/>
    <w:rsid w:val="00FC6CE0"/>
    <w:rsid w:val="00FC7232"/>
    <w:rsid w:val="00FC7525"/>
    <w:rsid w:val="00FD02C5"/>
    <w:rsid w:val="00FD1A30"/>
    <w:rsid w:val="00FD418F"/>
    <w:rsid w:val="00FD4365"/>
    <w:rsid w:val="00FD4D39"/>
    <w:rsid w:val="00FD4F52"/>
    <w:rsid w:val="00FD532F"/>
    <w:rsid w:val="00FD53F2"/>
    <w:rsid w:val="00FD5E40"/>
    <w:rsid w:val="00FD5FED"/>
    <w:rsid w:val="00FD6485"/>
    <w:rsid w:val="00FD7589"/>
    <w:rsid w:val="00FE0BDF"/>
    <w:rsid w:val="00FE1CF6"/>
    <w:rsid w:val="00FE1EF3"/>
    <w:rsid w:val="00FE315D"/>
    <w:rsid w:val="00FE3182"/>
    <w:rsid w:val="00FE3707"/>
    <w:rsid w:val="00FE41E1"/>
    <w:rsid w:val="00FE55F1"/>
    <w:rsid w:val="00FE6567"/>
    <w:rsid w:val="00FF07E9"/>
    <w:rsid w:val="00FF213C"/>
    <w:rsid w:val="00FF2285"/>
    <w:rsid w:val="00FF2C66"/>
    <w:rsid w:val="00FF410C"/>
    <w:rsid w:val="00FF4D81"/>
    <w:rsid w:val="00FF57F9"/>
    <w:rsid w:val="00FF5E9F"/>
    <w:rsid w:val="00FF6152"/>
    <w:rsid w:val="00FF6CBD"/>
    <w:rsid w:val="00FF75F5"/>
    <w:rsid w:val="00FF7C3A"/>
    <w:rsid w:val="01592D24"/>
    <w:rsid w:val="01775986"/>
    <w:rsid w:val="01885E23"/>
    <w:rsid w:val="018E7ABF"/>
    <w:rsid w:val="01940E85"/>
    <w:rsid w:val="0198796C"/>
    <w:rsid w:val="019A0A09"/>
    <w:rsid w:val="01C133B8"/>
    <w:rsid w:val="01DC0480"/>
    <w:rsid w:val="020F2171"/>
    <w:rsid w:val="023B2AFC"/>
    <w:rsid w:val="02834CB7"/>
    <w:rsid w:val="02A27E2B"/>
    <w:rsid w:val="02A3645B"/>
    <w:rsid w:val="02B53906"/>
    <w:rsid w:val="02F778BD"/>
    <w:rsid w:val="03070BD7"/>
    <w:rsid w:val="030B2999"/>
    <w:rsid w:val="03121468"/>
    <w:rsid w:val="034E03AA"/>
    <w:rsid w:val="03566E99"/>
    <w:rsid w:val="03822C68"/>
    <w:rsid w:val="039F2BBC"/>
    <w:rsid w:val="03D96AC5"/>
    <w:rsid w:val="04883EB2"/>
    <w:rsid w:val="04BD7D66"/>
    <w:rsid w:val="05071955"/>
    <w:rsid w:val="050B36B6"/>
    <w:rsid w:val="051E3875"/>
    <w:rsid w:val="0533125B"/>
    <w:rsid w:val="054F4EE9"/>
    <w:rsid w:val="056B1EC6"/>
    <w:rsid w:val="056D1E95"/>
    <w:rsid w:val="05C42AA9"/>
    <w:rsid w:val="0650730D"/>
    <w:rsid w:val="06AB5586"/>
    <w:rsid w:val="06C41BC0"/>
    <w:rsid w:val="06CB44B7"/>
    <w:rsid w:val="06CC42F7"/>
    <w:rsid w:val="06EE20B1"/>
    <w:rsid w:val="06F3430C"/>
    <w:rsid w:val="073F4A62"/>
    <w:rsid w:val="075B63E2"/>
    <w:rsid w:val="07B1625B"/>
    <w:rsid w:val="07D96E9C"/>
    <w:rsid w:val="07E73E00"/>
    <w:rsid w:val="080612A7"/>
    <w:rsid w:val="08074BF6"/>
    <w:rsid w:val="08534B88"/>
    <w:rsid w:val="08996192"/>
    <w:rsid w:val="08D107D5"/>
    <w:rsid w:val="08F062C2"/>
    <w:rsid w:val="090A2990"/>
    <w:rsid w:val="090B19E1"/>
    <w:rsid w:val="0910646C"/>
    <w:rsid w:val="09774987"/>
    <w:rsid w:val="09920286"/>
    <w:rsid w:val="09AC6517"/>
    <w:rsid w:val="09BB48A6"/>
    <w:rsid w:val="09BE4894"/>
    <w:rsid w:val="09E15530"/>
    <w:rsid w:val="0A1B58FF"/>
    <w:rsid w:val="0A6D7B49"/>
    <w:rsid w:val="0AAA398C"/>
    <w:rsid w:val="0AD11D45"/>
    <w:rsid w:val="0AE903B8"/>
    <w:rsid w:val="0AF77D1D"/>
    <w:rsid w:val="0B1873A5"/>
    <w:rsid w:val="0B446AEB"/>
    <w:rsid w:val="0B7462A1"/>
    <w:rsid w:val="0BA16641"/>
    <w:rsid w:val="0BD374EE"/>
    <w:rsid w:val="0C994C14"/>
    <w:rsid w:val="0CAC6BB6"/>
    <w:rsid w:val="0CBB26FC"/>
    <w:rsid w:val="0CC34F37"/>
    <w:rsid w:val="0CDC3B9F"/>
    <w:rsid w:val="0CEA1C84"/>
    <w:rsid w:val="0CEC3980"/>
    <w:rsid w:val="0D197B03"/>
    <w:rsid w:val="0D244AD2"/>
    <w:rsid w:val="0D3606B5"/>
    <w:rsid w:val="0D7041A5"/>
    <w:rsid w:val="0D784644"/>
    <w:rsid w:val="0D864353"/>
    <w:rsid w:val="0DBC6828"/>
    <w:rsid w:val="0DD505F0"/>
    <w:rsid w:val="0DEA5E6A"/>
    <w:rsid w:val="0DF75996"/>
    <w:rsid w:val="0DFC36FB"/>
    <w:rsid w:val="0EB37705"/>
    <w:rsid w:val="0F0D26CC"/>
    <w:rsid w:val="0F184ADA"/>
    <w:rsid w:val="0F566293"/>
    <w:rsid w:val="0FA1669B"/>
    <w:rsid w:val="0FD0276C"/>
    <w:rsid w:val="104A5783"/>
    <w:rsid w:val="108958F5"/>
    <w:rsid w:val="10EF538B"/>
    <w:rsid w:val="10F00FEF"/>
    <w:rsid w:val="10F32A84"/>
    <w:rsid w:val="11312DC0"/>
    <w:rsid w:val="114701EB"/>
    <w:rsid w:val="118848CF"/>
    <w:rsid w:val="11B67DC6"/>
    <w:rsid w:val="11C11380"/>
    <w:rsid w:val="11D74C92"/>
    <w:rsid w:val="11DE1DC1"/>
    <w:rsid w:val="12092462"/>
    <w:rsid w:val="120F2891"/>
    <w:rsid w:val="121D403F"/>
    <w:rsid w:val="129F7C67"/>
    <w:rsid w:val="12C53BE4"/>
    <w:rsid w:val="12F86EFF"/>
    <w:rsid w:val="13380DD8"/>
    <w:rsid w:val="133B4C77"/>
    <w:rsid w:val="1344521A"/>
    <w:rsid w:val="135D4BC9"/>
    <w:rsid w:val="13645ACB"/>
    <w:rsid w:val="13E957B5"/>
    <w:rsid w:val="13F54664"/>
    <w:rsid w:val="14412BB2"/>
    <w:rsid w:val="146F2D0E"/>
    <w:rsid w:val="14942891"/>
    <w:rsid w:val="14972F2F"/>
    <w:rsid w:val="14D43335"/>
    <w:rsid w:val="151E215B"/>
    <w:rsid w:val="15516C03"/>
    <w:rsid w:val="156B5F7D"/>
    <w:rsid w:val="1571672E"/>
    <w:rsid w:val="15A078BC"/>
    <w:rsid w:val="15AE733A"/>
    <w:rsid w:val="15B31140"/>
    <w:rsid w:val="15BE3D91"/>
    <w:rsid w:val="15E50ECA"/>
    <w:rsid w:val="16133A9B"/>
    <w:rsid w:val="161F6D30"/>
    <w:rsid w:val="164C6D98"/>
    <w:rsid w:val="1661486F"/>
    <w:rsid w:val="16CF48C3"/>
    <w:rsid w:val="16F93153"/>
    <w:rsid w:val="1714775C"/>
    <w:rsid w:val="172A1253"/>
    <w:rsid w:val="17680005"/>
    <w:rsid w:val="176B41F6"/>
    <w:rsid w:val="17F43C69"/>
    <w:rsid w:val="18096F46"/>
    <w:rsid w:val="18904498"/>
    <w:rsid w:val="18A3471E"/>
    <w:rsid w:val="18DE057F"/>
    <w:rsid w:val="18FC6C57"/>
    <w:rsid w:val="19061883"/>
    <w:rsid w:val="190A23F2"/>
    <w:rsid w:val="192B2C0A"/>
    <w:rsid w:val="192B4DF7"/>
    <w:rsid w:val="194440D5"/>
    <w:rsid w:val="19881F8C"/>
    <w:rsid w:val="198A4D50"/>
    <w:rsid w:val="19BA6371"/>
    <w:rsid w:val="19E5256C"/>
    <w:rsid w:val="19F90D7B"/>
    <w:rsid w:val="1A0A7151"/>
    <w:rsid w:val="1A4964D8"/>
    <w:rsid w:val="1AF6583C"/>
    <w:rsid w:val="1B011B04"/>
    <w:rsid w:val="1B2A1722"/>
    <w:rsid w:val="1B7B66B5"/>
    <w:rsid w:val="1B990FB2"/>
    <w:rsid w:val="1C225F98"/>
    <w:rsid w:val="1C272EF4"/>
    <w:rsid w:val="1C534DE0"/>
    <w:rsid w:val="1CF64D1B"/>
    <w:rsid w:val="1D320A97"/>
    <w:rsid w:val="1D3541D9"/>
    <w:rsid w:val="1D3E6FE0"/>
    <w:rsid w:val="1D4F2685"/>
    <w:rsid w:val="1D570895"/>
    <w:rsid w:val="1DC4028C"/>
    <w:rsid w:val="1DE30A61"/>
    <w:rsid w:val="1E2F098E"/>
    <w:rsid w:val="1E3E2D25"/>
    <w:rsid w:val="1E4507E4"/>
    <w:rsid w:val="1E6210B8"/>
    <w:rsid w:val="1EAC7C60"/>
    <w:rsid w:val="1EC014EF"/>
    <w:rsid w:val="1EC664F8"/>
    <w:rsid w:val="1EDA6951"/>
    <w:rsid w:val="1EE04FE4"/>
    <w:rsid w:val="1EE77A61"/>
    <w:rsid w:val="1EF45F00"/>
    <w:rsid w:val="1F8261F3"/>
    <w:rsid w:val="1FA84089"/>
    <w:rsid w:val="1FF91559"/>
    <w:rsid w:val="20375D57"/>
    <w:rsid w:val="20703503"/>
    <w:rsid w:val="207A43B8"/>
    <w:rsid w:val="213319C9"/>
    <w:rsid w:val="21A3266E"/>
    <w:rsid w:val="21B5131F"/>
    <w:rsid w:val="22155EFF"/>
    <w:rsid w:val="2254242E"/>
    <w:rsid w:val="226006F6"/>
    <w:rsid w:val="22810B01"/>
    <w:rsid w:val="22BB44F7"/>
    <w:rsid w:val="23207452"/>
    <w:rsid w:val="234B1DF5"/>
    <w:rsid w:val="23627FFE"/>
    <w:rsid w:val="2364528E"/>
    <w:rsid w:val="2395665B"/>
    <w:rsid w:val="24EA2F6A"/>
    <w:rsid w:val="24F36825"/>
    <w:rsid w:val="24FC2019"/>
    <w:rsid w:val="25445D9E"/>
    <w:rsid w:val="25DA4F1A"/>
    <w:rsid w:val="261513AF"/>
    <w:rsid w:val="263D4A6F"/>
    <w:rsid w:val="269A0780"/>
    <w:rsid w:val="269B5967"/>
    <w:rsid w:val="26A10C53"/>
    <w:rsid w:val="26CF57CC"/>
    <w:rsid w:val="27007186"/>
    <w:rsid w:val="27022042"/>
    <w:rsid w:val="270F3FF9"/>
    <w:rsid w:val="276C29FF"/>
    <w:rsid w:val="27892CDE"/>
    <w:rsid w:val="27AE1D78"/>
    <w:rsid w:val="27B13177"/>
    <w:rsid w:val="27E47531"/>
    <w:rsid w:val="28855A7D"/>
    <w:rsid w:val="28902F18"/>
    <w:rsid w:val="2971760E"/>
    <w:rsid w:val="2990258A"/>
    <w:rsid w:val="29910649"/>
    <w:rsid w:val="29EB624B"/>
    <w:rsid w:val="2A10592D"/>
    <w:rsid w:val="2A472991"/>
    <w:rsid w:val="2AA1765E"/>
    <w:rsid w:val="2AB93EF7"/>
    <w:rsid w:val="2ABF25ED"/>
    <w:rsid w:val="2B2A3917"/>
    <w:rsid w:val="2BE95450"/>
    <w:rsid w:val="2C0440A1"/>
    <w:rsid w:val="2C136F28"/>
    <w:rsid w:val="2C2643AF"/>
    <w:rsid w:val="2C3D62FD"/>
    <w:rsid w:val="2C496214"/>
    <w:rsid w:val="2C97158D"/>
    <w:rsid w:val="2CC76232"/>
    <w:rsid w:val="2CF271A5"/>
    <w:rsid w:val="2D105839"/>
    <w:rsid w:val="2D177576"/>
    <w:rsid w:val="2D2F4F9F"/>
    <w:rsid w:val="2D395076"/>
    <w:rsid w:val="2D426A09"/>
    <w:rsid w:val="2D69305E"/>
    <w:rsid w:val="2D7A12FE"/>
    <w:rsid w:val="2D8400D7"/>
    <w:rsid w:val="2D851D9A"/>
    <w:rsid w:val="2D951634"/>
    <w:rsid w:val="2DCF73D0"/>
    <w:rsid w:val="2DDD1629"/>
    <w:rsid w:val="2DE163C7"/>
    <w:rsid w:val="2DF018E0"/>
    <w:rsid w:val="2E016CBA"/>
    <w:rsid w:val="2EB06A4C"/>
    <w:rsid w:val="2EC25D45"/>
    <w:rsid w:val="2EDE0726"/>
    <w:rsid w:val="2F4415F4"/>
    <w:rsid w:val="2F7B10A8"/>
    <w:rsid w:val="2FD023CF"/>
    <w:rsid w:val="2FE7396B"/>
    <w:rsid w:val="2FE778C1"/>
    <w:rsid w:val="2FEF1E6C"/>
    <w:rsid w:val="300D7D4A"/>
    <w:rsid w:val="304A4274"/>
    <w:rsid w:val="30575E5F"/>
    <w:rsid w:val="30750CB4"/>
    <w:rsid w:val="308976F1"/>
    <w:rsid w:val="309350C7"/>
    <w:rsid w:val="30D0318D"/>
    <w:rsid w:val="30E20088"/>
    <w:rsid w:val="30EA437C"/>
    <w:rsid w:val="312B5ED3"/>
    <w:rsid w:val="31FE7C49"/>
    <w:rsid w:val="324442AF"/>
    <w:rsid w:val="324463DD"/>
    <w:rsid w:val="32A30797"/>
    <w:rsid w:val="32C865AF"/>
    <w:rsid w:val="32E5584C"/>
    <w:rsid w:val="33524ECE"/>
    <w:rsid w:val="33590AD6"/>
    <w:rsid w:val="33DB2E25"/>
    <w:rsid w:val="346644D8"/>
    <w:rsid w:val="34895C73"/>
    <w:rsid w:val="34CC4AF9"/>
    <w:rsid w:val="34D84DA0"/>
    <w:rsid w:val="35766601"/>
    <w:rsid w:val="35B6520A"/>
    <w:rsid w:val="360607D9"/>
    <w:rsid w:val="36190C5C"/>
    <w:rsid w:val="361A1D9A"/>
    <w:rsid w:val="361C2037"/>
    <w:rsid w:val="363D616D"/>
    <w:rsid w:val="364B2ECB"/>
    <w:rsid w:val="366E65EA"/>
    <w:rsid w:val="3680580C"/>
    <w:rsid w:val="369E6599"/>
    <w:rsid w:val="36A8591D"/>
    <w:rsid w:val="36C37415"/>
    <w:rsid w:val="36DD4088"/>
    <w:rsid w:val="37146332"/>
    <w:rsid w:val="37254742"/>
    <w:rsid w:val="37497E2D"/>
    <w:rsid w:val="37F16728"/>
    <w:rsid w:val="385A07E5"/>
    <w:rsid w:val="38731510"/>
    <w:rsid w:val="389E008F"/>
    <w:rsid w:val="38A94C99"/>
    <w:rsid w:val="38D6246F"/>
    <w:rsid w:val="38F00189"/>
    <w:rsid w:val="39135500"/>
    <w:rsid w:val="395839AD"/>
    <w:rsid w:val="399B0D3D"/>
    <w:rsid w:val="39AA35E8"/>
    <w:rsid w:val="3A043FEA"/>
    <w:rsid w:val="3A3C70DA"/>
    <w:rsid w:val="3A6442C7"/>
    <w:rsid w:val="3A8E5D10"/>
    <w:rsid w:val="3AD81A2B"/>
    <w:rsid w:val="3AE11A4E"/>
    <w:rsid w:val="3B10495E"/>
    <w:rsid w:val="3B121111"/>
    <w:rsid w:val="3B2338B7"/>
    <w:rsid w:val="3B275C48"/>
    <w:rsid w:val="3B2A4FB6"/>
    <w:rsid w:val="3B7C326A"/>
    <w:rsid w:val="3B932D9C"/>
    <w:rsid w:val="3BD26834"/>
    <w:rsid w:val="3BFD2061"/>
    <w:rsid w:val="3C19288C"/>
    <w:rsid w:val="3C6329DE"/>
    <w:rsid w:val="3CBA43FC"/>
    <w:rsid w:val="3CCE5FE8"/>
    <w:rsid w:val="3D573AAE"/>
    <w:rsid w:val="3D76583D"/>
    <w:rsid w:val="3D9B4754"/>
    <w:rsid w:val="3DB35BA7"/>
    <w:rsid w:val="3DBB5D2E"/>
    <w:rsid w:val="3DDC6AF7"/>
    <w:rsid w:val="3E1521CA"/>
    <w:rsid w:val="3E2004CC"/>
    <w:rsid w:val="3E5F1E94"/>
    <w:rsid w:val="3EA6436B"/>
    <w:rsid w:val="3EEC1D93"/>
    <w:rsid w:val="3EF545D9"/>
    <w:rsid w:val="3EFE0737"/>
    <w:rsid w:val="3F022944"/>
    <w:rsid w:val="3F125943"/>
    <w:rsid w:val="3F817D6A"/>
    <w:rsid w:val="3FAA11A4"/>
    <w:rsid w:val="3FAF4912"/>
    <w:rsid w:val="3FB7625E"/>
    <w:rsid w:val="406A72FF"/>
    <w:rsid w:val="40A857C2"/>
    <w:rsid w:val="40CD787E"/>
    <w:rsid w:val="41822731"/>
    <w:rsid w:val="421B7832"/>
    <w:rsid w:val="42254A34"/>
    <w:rsid w:val="429462ED"/>
    <w:rsid w:val="42BC7DDF"/>
    <w:rsid w:val="42E5365A"/>
    <w:rsid w:val="43076C51"/>
    <w:rsid w:val="43251383"/>
    <w:rsid w:val="435A272F"/>
    <w:rsid w:val="437E2698"/>
    <w:rsid w:val="43903FBC"/>
    <w:rsid w:val="439B213E"/>
    <w:rsid w:val="43AD43B9"/>
    <w:rsid w:val="43F565F9"/>
    <w:rsid w:val="44201AAB"/>
    <w:rsid w:val="44227892"/>
    <w:rsid w:val="448A72D9"/>
    <w:rsid w:val="44BA3930"/>
    <w:rsid w:val="44EF1B82"/>
    <w:rsid w:val="45797C51"/>
    <w:rsid w:val="45A168B6"/>
    <w:rsid w:val="45E77275"/>
    <w:rsid w:val="45EE4E64"/>
    <w:rsid w:val="45EE6863"/>
    <w:rsid w:val="461B2714"/>
    <w:rsid w:val="463D4287"/>
    <w:rsid w:val="46492C2C"/>
    <w:rsid w:val="46F41301"/>
    <w:rsid w:val="46FC6C97"/>
    <w:rsid w:val="470C0561"/>
    <w:rsid w:val="473671FB"/>
    <w:rsid w:val="473D2DF8"/>
    <w:rsid w:val="474A7B5B"/>
    <w:rsid w:val="476741EB"/>
    <w:rsid w:val="47BB1907"/>
    <w:rsid w:val="47F66832"/>
    <w:rsid w:val="483E4CD6"/>
    <w:rsid w:val="48C021BD"/>
    <w:rsid w:val="492434DC"/>
    <w:rsid w:val="492A6366"/>
    <w:rsid w:val="4A934670"/>
    <w:rsid w:val="4ABE526B"/>
    <w:rsid w:val="4ABF5B70"/>
    <w:rsid w:val="4AC07CF5"/>
    <w:rsid w:val="4B0D30A6"/>
    <w:rsid w:val="4B653859"/>
    <w:rsid w:val="4B807D59"/>
    <w:rsid w:val="4B83098E"/>
    <w:rsid w:val="4B985D35"/>
    <w:rsid w:val="4BA72EF2"/>
    <w:rsid w:val="4BAD5A0B"/>
    <w:rsid w:val="4C005968"/>
    <w:rsid w:val="4C3E203F"/>
    <w:rsid w:val="4C4A2448"/>
    <w:rsid w:val="4C583BC9"/>
    <w:rsid w:val="4C9170DB"/>
    <w:rsid w:val="4CF6285E"/>
    <w:rsid w:val="4D516E2B"/>
    <w:rsid w:val="4D720271"/>
    <w:rsid w:val="4D7615F2"/>
    <w:rsid w:val="4DED52D5"/>
    <w:rsid w:val="4E1B0EA4"/>
    <w:rsid w:val="4E3B2540"/>
    <w:rsid w:val="4E3C1D9F"/>
    <w:rsid w:val="4E402FFB"/>
    <w:rsid w:val="4E545D2B"/>
    <w:rsid w:val="4ECF17A1"/>
    <w:rsid w:val="4F1A65F1"/>
    <w:rsid w:val="4F73779A"/>
    <w:rsid w:val="4FB97DFA"/>
    <w:rsid w:val="4FBD65B6"/>
    <w:rsid w:val="501A2699"/>
    <w:rsid w:val="504D144E"/>
    <w:rsid w:val="508F050A"/>
    <w:rsid w:val="50902684"/>
    <w:rsid w:val="50BA02B4"/>
    <w:rsid w:val="50C25AB5"/>
    <w:rsid w:val="50D6296C"/>
    <w:rsid w:val="50DF56DA"/>
    <w:rsid w:val="51693F36"/>
    <w:rsid w:val="516A1F01"/>
    <w:rsid w:val="51C0452D"/>
    <w:rsid w:val="51CA2205"/>
    <w:rsid w:val="51E05D03"/>
    <w:rsid w:val="52693681"/>
    <w:rsid w:val="527103FC"/>
    <w:rsid w:val="529A792F"/>
    <w:rsid w:val="52A4759B"/>
    <w:rsid w:val="52A51CE2"/>
    <w:rsid w:val="52B35629"/>
    <w:rsid w:val="52D32AFD"/>
    <w:rsid w:val="53481136"/>
    <w:rsid w:val="539F3171"/>
    <w:rsid w:val="53B8765E"/>
    <w:rsid w:val="542E5537"/>
    <w:rsid w:val="549D2B88"/>
    <w:rsid w:val="54C17E31"/>
    <w:rsid w:val="54C97D27"/>
    <w:rsid w:val="5580491C"/>
    <w:rsid w:val="559748D7"/>
    <w:rsid w:val="55992337"/>
    <w:rsid w:val="55D342C0"/>
    <w:rsid w:val="55E510BF"/>
    <w:rsid w:val="560066D7"/>
    <w:rsid w:val="561F1F50"/>
    <w:rsid w:val="56262AA1"/>
    <w:rsid w:val="562E2336"/>
    <w:rsid w:val="562F13A1"/>
    <w:rsid w:val="56381C23"/>
    <w:rsid w:val="565F1615"/>
    <w:rsid w:val="570B7257"/>
    <w:rsid w:val="57135117"/>
    <w:rsid w:val="57A06EFF"/>
    <w:rsid w:val="581F25C1"/>
    <w:rsid w:val="582A7B05"/>
    <w:rsid w:val="588747F1"/>
    <w:rsid w:val="58B77DDD"/>
    <w:rsid w:val="58C12619"/>
    <w:rsid w:val="58DF6CF4"/>
    <w:rsid w:val="5904132B"/>
    <w:rsid w:val="590579B7"/>
    <w:rsid w:val="59157827"/>
    <w:rsid w:val="592B3A1B"/>
    <w:rsid w:val="594400A5"/>
    <w:rsid w:val="59460EC7"/>
    <w:rsid w:val="5959747B"/>
    <w:rsid w:val="59610174"/>
    <w:rsid w:val="59961D8E"/>
    <w:rsid w:val="59BB5888"/>
    <w:rsid w:val="59C90F05"/>
    <w:rsid w:val="5A7C7A26"/>
    <w:rsid w:val="5A9410D3"/>
    <w:rsid w:val="5AB23A35"/>
    <w:rsid w:val="5AD87BF2"/>
    <w:rsid w:val="5AF413B3"/>
    <w:rsid w:val="5AF848DA"/>
    <w:rsid w:val="5B4F7AA0"/>
    <w:rsid w:val="5B9A2150"/>
    <w:rsid w:val="5C1734C7"/>
    <w:rsid w:val="5C2D4130"/>
    <w:rsid w:val="5C3914B8"/>
    <w:rsid w:val="5C6D68F5"/>
    <w:rsid w:val="5C85755D"/>
    <w:rsid w:val="5CA81224"/>
    <w:rsid w:val="5CEA4EE8"/>
    <w:rsid w:val="5D2827BE"/>
    <w:rsid w:val="5D5C72F2"/>
    <w:rsid w:val="5D7647EC"/>
    <w:rsid w:val="5DBA1FF8"/>
    <w:rsid w:val="5E1D3725"/>
    <w:rsid w:val="5E37668B"/>
    <w:rsid w:val="5E9C51FA"/>
    <w:rsid w:val="5EBA426F"/>
    <w:rsid w:val="5EC42D73"/>
    <w:rsid w:val="5ED54C52"/>
    <w:rsid w:val="5EE74938"/>
    <w:rsid w:val="5F1849E5"/>
    <w:rsid w:val="5F365D96"/>
    <w:rsid w:val="5F92436A"/>
    <w:rsid w:val="5FF26C90"/>
    <w:rsid w:val="60A6372F"/>
    <w:rsid w:val="60A94A40"/>
    <w:rsid w:val="60C346C6"/>
    <w:rsid w:val="60C73328"/>
    <w:rsid w:val="61141727"/>
    <w:rsid w:val="61614A30"/>
    <w:rsid w:val="61D41829"/>
    <w:rsid w:val="61EE2027"/>
    <w:rsid w:val="620D4350"/>
    <w:rsid w:val="622639C9"/>
    <w:rsid w:val="625E1FC6"/>
    <w:rsid w:val="627520DC"/>
    <w:rsid w:val="62B1554A"/>
    <w:rsid w:val="62EB763E"/>
    <w:rsid w:val="62F133AA"/>
    <w:rsid w:val="630048F7"/>
    <w:rsid w:val="63215DB8"/>
    <w:rsid w:val="632757F0"/>
    <w:rsid w:val="633E47F1"/>
    <w:rsid w:val="634525D5"/>
    <w:rsid w:val="63B77B8E"/>
    <w:rsid w:val="64204D90"/>
    <w:rsid w:val="64405216"/>
    <w:rsid w:val="645079A9"/>
    <w:rsid w:val="64BE130D"/>
    <w:rsid w:val="650417B4"/>
    <w:rsid w:val="650A4AEB"/>
    <w:rsid w:val="656E2D6F"/>
    <w:rsid w:val="65841C99"/>
    <w:rsid w:val="658F3B57"/>
    <w:rsid w:val="65ED2112"/>
    <w:rsid w:val="661105A8"/>
    <w:rsid w:val="66160A61"/>
    <w:rsid w:val="666E595E"/>
    <w:rsid w:val="667967BE"/>
    <w:rsid w:val="667C184F"/>
    <w:rsid w:val="668F7750"/>
    <w:rsid w:val="67224EF6"/>
    <w:rsid w:val="67907B2C"/>
    <w:rsid w:val="67FA2386"/>
    <w:rsid w:val="6849484D"/>
    <w:rsid w:val="6878082B"/>
    <w:rsid w:val="68F10571"/>
    <w:rsid w:val="692B0CE1"/>
    <w:rsid w:val="69F63A40"/>
    <w:rsid w:val="6A160FCF"/>
    <w:rsid w:val="6A296146"/>
    <w:rsid w:val="6A5F7FA8"/>
    <w:rsid w:val="6A601EDE"/>
    <w:rsid w:val="6A8F72B9"/>
    <w:rsid w:val="6AAB7F50"/>
    <w:rsid w:val="6AE05D7A"/>
    <w:rsid w:val="6AEC0A25"/>
    <w:rsid w:val="6AF20FCD"/>
    <w:rsid w:val="6B1D5CE2"/>
    <w:rsid w:val="6BB46349"/>
    <w:rsid w:val="6BDF5356"/>
    <w:rsid w:val="6C172D01"/>
    <w:rsid w:val="6C285D9C"/>
    <w:rsid w:val="6C310293"/>
    <w:rsid w:val="6C5D7FE5"/>
    <w:rsid w:val="6C9E5D5C"/>
    <w:rsid w:val="6CA561B5"/>
    <w:rsid w:val="6CC90D79"/>
    <w:rsid w:val="6D352759"/>
    <w:rsid w:val="6D407738"/>
    <w:rsid w:val="6D9956BA"/>
    <w:rsid w:val="6DD62D9A"/>
    <w:rsid w:val="6DD97399"/>
    <w:rsid w:val="6DEE0E0A"/>
    <w:rsid w:val="6DFC351E"/>
    <w:rsid w:val="6E1B6D1C"/>
    <w:rsid w:val="6E625129"/>
    <w:rsid w:val="6E91041D"/>
    <w:rsid w:val="6EA16987"/>
    <w:rsid w:val="6ECC76A7"/>
    <w:rsid w:val="6F484143"/>
    <w:rsid w:val="6F574271"/>
    <w:rsid w:val="6F626ABC"/>
    <w:rsid w:val="6F750F26"/>
    <w:rsid w:val="6F7B72E9"/>
    <w:rsid w:val="6F8445D4"/>
    <w:rsid w:val="6F8D5C1A"/>
    <w:rsid w:val="6F8E342E"/>
    <w:rsid w:val="6FA8133A"/>
    <w:rsid w:val="6FC4271A"/>
    <w:rsid w:val="6FD27139"/>
    <w:rsid w:val="6FF12841"/>
    <w:rsid w:val="70086198"/>
    <w:rsid w:val="703A6478"/>
    <w:rsid w:val="705D337D"/>
    <w:rsid w:val="70822EF1"/>
    <w:rsid w:val="70CD2B48"/>
    <w:rsid w:val="71126EE7"/>
    <w:rsid w:val="711F2F6E"/>
    <w:rsid w:val="71284CC5"/>
    <w:rsid w:val="715E5BE8"/>
    <w:rsid w:val="71654E27"/>
    <w:rsid w:val="719E73CE"/>
    <w:rsid w:val="71A02A13"/>
    <w:rsid w:val="71A67164"/>
    <w:rsid w:val="71F6500C"/>
    <w:rsid w:val="71FD0107"/>
    <w:rsid w:val="723713BB"/>
    <w:rsid w:val="72543BC8"/>
    <w:rsid w:val="72A97CC2"/>
    <w:rsid w:val="72AB1549"/>
    <w:rsid w:val="73006BF1"/>
    <w:rsid w:val="730442DE"/>
    <w:rsid w:val="737E24ED"/>
    <w:rsid w:val="73986296"/>
    <w:rsid w:val="73D72776"/>
    <w:rsid w:val="73E93BC3"/>
    <w:rsid w:val="74087220"/>
    <w:rsid w:val="740A2C53"/>
    <w:rsid w:val="742025C2"/>
    <w:rsid w:val="74203020"/>
    <w:rsid w:val="74F11F08"/>
    <w:rsid w:val="757C043C"/>
    <w:rsid w:val="76134845"/>
    <w:rsid w:val="76236D07"/>
    <w:rsid w:val="762E4008"/>
    <w:rsid w:val="763922F4"/>
    <w:rsid w:val="763B41A3"/>
    <w:rsid w:val="7691545E"/>
    <w:rsid w:val="77030301"/>
    <w:rsid w:val="774B075C"/>
    <w:rsid w:val="77896DD2"/>
    <w:rsid w:val="77FE6B23"/>
    <w:rsid w:val="782A7F03"/>
    <w:rsid w:val="7841648A"/>
    <w:rsid w:val="7862132D"/>
    <w:rsid w:val="788B6007"/>
    <w:rsid w:val="78966177"/>
    <w:rsid w:val="78B95140"/>
    <w:rsid w:val="79616DC4"/>
    <w:rsid w:val="79E820BE"/>
    <w:rsid w:val="7A062D22"/>
    <w:rsid w:val="7A3A404A"/>
    <w:rsid w:val="7A862644"/>
    <w:rsid w:val="7A894083"/>
    <w:rsid w:val="7AAC2154"/>
    <w:rsid w:val="7AEF2DA3"/>
    <w:rsid w:val="7B4128F5"/>
    <w:rsid w:val="7B5231E8"/>
    <w:rsid w:val="7B681A01"/>
    <w:rsid w:val="7B86410F"/>
    <w:rsid w:val="7BD3539E"/>
    <w:rsid w:val="7C47478B"/>
    <w:rsid w:val="7CB137EB"/>
    <w:rsid w:val="7CB42860"/>
    <w:rsid w:val="7CE63D38"/>
    <w:rsid w:val="7D021F92"/>
    <w:rsid w:val="7D9B726B"/>
    <w:rsid w:val="7DA513CC"/>
    <w:rsid w:val="7E0B4B18"/>
    <w:rsid w:val="7E235C52"/>
    <w:rsid w:val="7E6E2E4D"/>
    <w:rsid w:val="7EBE6F11"/>
    <w:rsid w:val="7EC40A46"/>
    <w:rsid w:val="7EE30DF1"/>
    <w:rsid w:val="7F523BE6"/>
    <w:rsid w:val="7F833D8D"/>
    <w:rsid w:val="7F83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2"/>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6"/>
    <w:link w:val="5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7">
    <w:name w:val="heading 3"/>
    <w:basedOn w:val="1"/>
    <w:next w:val="6"/>
    <w:link w:val="55"/>
    <w:qFormat/>
    <w:uiPriority w:val="0"/>
    <w:pPr>
      <w:keepNext/>
      <w:keepLines/>
      <w:autoSpaceDE w:val="0"/>
      <w:autoSpaceDN w:val="0"/>
      <w:adjustRightInd w:val="0"/>
      <w:spacing w:line="360" w:lineRule="auto"/>
      <w:ind w:firstLine="3453" w:firstLineChars="1150"/>
      <w:jc w:val="left"/>
      <w:outlineLvl w:val="2"/>
    </w:pPr>
    <w:rPr>
      <w:rFonts w:ascii="宋体" w:hAnsi="宋体"/>
      <w:b/>
      <w:kern w:val="0"/>
      <w:sz w:val="30"/>
      <w:szCs w:val="30"/>
      <w:shd w:val="clear" w:color="auto" w:fill="FFFFFF"/>
    </w:rPr>
  </w:style>
  <w:style w:type="paragraph" w:styleId="3">
    <w:name w:val="heading 4"/>
    <w:basedOn w:val="1"/>
    <w:next w:val="1"/>
    <w:link w:val="191"/>
    <w:qFormat/>
    <w:uiPriority w:val="0"/>
    <w:pPr>
      <w:keepNext/>
      <w:keepLines/>
      <w:spacing w:before="280" w:after="290" w:line="372" w:lineRule="auto"/>
      <w:outlineLvl w:val="3"/>
    </w:pPr>
    <w:rPr>
      <w:rFonts w:ascii="Arial" w:hAnsi="Arial" w:eastAsia="黑体"/>
      <w:b/>
      <w:sz w:val="28"/>
    </w:rPr>
  </w:style>
  <w:style w:type="paragraph" w:styleId="8">
    <w:name w:val="heading 5"/>
    <w:basedOn w:val="1"/>
    <w:next w:val="1"/>
    <w:link w:val="192"/>
    <w:qFormat/>
    <w:uiPriority w:val="0"/>
    <w:pPr>
      <w:keepNext/>
      <w:keepLines/>
      <w:spacing w:before="280" w:after="290" w:line="372" w:lineRule="auto"/>
      <w:outlineLvl w:val="4"/>
    </w:pPr>
    <w:rPr>
      <w:rFonts w:ascii="Calibri" w:hAnsi="Calibri"/>
      <w:b/>
      <w:sz w:val="28"/>
    </w:rPr>
  </w:style>
  <w:style w:type="paragraph" w:styleId="9">
    <w:name w:val="heading 6"/>
    <w:basedOn w:val="1"/>
    <w:next w:val="1"/>
    <w:link w:val="197"/>
    <w:qFormat/>
    <w:uiPriority w:val="0"/>
    <w:pPr>
      <w:keepNext/>
      <w:keepLines/>
      <w:spacing w:before="240" w:after="64" w:line="320" w:lineRule="auto"/>
      <w:outlineLvl w:val="5"/>
    </w:pPr>
    <w:rPr>
      <w:rFonts w:ascii="等线 Light" w:hAnsi="等线 Light" w:eastAsia="等线 Light"/>
      <w:b/>
      <w:bCs/>
      <w:sz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3"/>
    <w:qFormat/>
    <w:uiPriority w:val="0"/>
    <w:pPr>
      <w:tabs>
        <w:tab w:val="left" w:pos="567"/>
      </w:tabs>
      <w:spacing w:before="120" w:line="22" w:lineRule="atLeast"/>
    </w:pPr>
    <w:rPr>
      <w:rFonts w:ascii="宋体" w:hAnsi="宋体"/>
      <w:sz w:val="24"/>
    </w:rPr>
  </w:style>
  <w:style w:type="paragraph" w:styleId="6">
    <w:name w:val="Normal Indent"/>
    <w:basedOn w:val="1"/>
    <w:qFormat/>
    <w:uiPriority w:val="0"/>
    <w:pPr>
      <w:autoSpaceDE w:val="0"/>
      <w:autoSpaceDN w:val="0"/>
      <w:adjustRightInd w:val="0"/>
      <w:ind w:firstLine="420"/>
      <w:jc w:val="left"/>
    </w:pPr>
    <w:rPr>
      <w:rFonts w:ascii="宋体"/>
      <w:kern w:val="0"/>
      <w:sz w:val="24"/>
      <w:szCs w:val="20"/>
    </w:rPr>
  </w:style>
  <w:style w:type="paragraph" w:styleId="10">
    <w:name w:val="toc 7"/>
    <w:basedOn w:val="1"/>
    <w:next w:val="1"/>
    <w:qFormat/>
    <w:uiPriority w:val="0"/>
    <w:pPr>
      <w:ind w:left="2520" w:leftChars="1200"/>
    </w:pPr>
  </w:style>
  <w:style w:type="paragraph" w:styleId="11">
    <w:name w:val="Document Map"/>
    <w:basedOn w:val="1"/>
    <w:link w:val="56"/>
    <w:qFormat/>
    <w:uiPriority w:val="0"/>
    <w:rPr>
      <w:rFonts w:ascii="宋体"/>
      <w:sz w:val="18"/>
      <w:szCs w:val="18"/>
    </w:rPr>
  </w:style>
  <w:style w:type="paragraph" w:styleId="12">
    <w:name w:val="annotation text"/>
    <w:basedOn w:val="1"/>
    <w:link w:val="57"/>
    <w:qFormat/>
    <w:uiPriority w:val="0"/>
    <w:pPr>
      <w:jc w:val="left"/>
    </w:pPr>
  </w:style>
  <w:style w:type="paragraph" w:styleId="13">
    <w:name w:val="Body Text Indent"/>
    <w:basedOn w:val="1"/>
    <w:link w:val="207"/>
    <w:qFormat/>
    <w:uiPriority w:val="0"/>
    <w:pPr>
      <w:spacing w:line="360" w:lineRule="auto"/>
      <w:ind w:firstLine="570"/>
    </w:pPr>
    <w:rPr>
      <w:sz w:val="24"/>
    </w:rPr>
  </w:style>
  <w:style w:type="paragraph" w:styleId="14">
    <w:name w:val="Block Text"/>
    <w:basedOn w:val="1"/>
    <w:qFormat/>
    <w:uiPriority w:val="0"/>
    <w:pPr>
      <w:spacing w:after="120"/>
      <w:ind w:left="1440" w:leftChars="700" w:right="1440" w:rightChars="700"/>
    </w:pPr>
    <w:rPr>
      <w:rFonts w:ascii="Calibri" w:hAnsi="Calibri"/>
      <w:szCs w:val="20"/>
    </w:rPr>
  </w:style>
  <w:style w:type="paragraph" w:styleId="15">
    <w:name w:val="HTML Address"/>
    <w:basedOn w:val="1"/>
    <w:link w:val="193"/>
    <w:qFormat/>
    <w:uiPriority w:val="0"/>
    <w:rPr>
      <w:rFonts w:ascii="Calibri" w:hAnsi="Calibri"/>
      <w:i/>
    </w:rPr>
  </w:style>
  <w:style w:type="paragraph" w:styleId="16">
    <w:name w:val="toc 5"/>
    <w:basedOn w:val="1"/>
    <w:next w:val="1"/>
    <w:qFormat/>
    <w:uiPriority w:val="0"/>
    <w:pPr>
      <w:ind w:left="1680" w:leftChars="800"/>
    </w:pPr>
  </w:style>
  <w:style w:type="paragraph" w:styleId="17">
    <w:name w:val="toc 3"/>
    <w:basedOn w:val="1"/>
    <w:next w:val="1"/>
    <w:qFormat/>
    <w:uiPriority w:val="39"/>
    <w:pPr>
      <w:tabs>
        <w:tab w:val="left" w:pos="1260"/>
        <w:tab w:val="right" w:leader="dot" w:pos="8630"/>
      </w:tabs>
      <w:ind w:left="840" w:leftChars="400"/>
    </w:pPr>
  </w:style>
  <w:style w:type="paragraph" w:styleId="18">
    <w:name w:val="Plain Text"/>
    <w:basedOn w:val="1"/>
    <w:link w:val="58"/>
    <w:qFormat/>
    <w:uiPriority w:val="0"/>
    <w:rPr>
      <w:rFonts w:ascii="宋体" w:hAnsi="Courier New"/>
      <w:szCs w:val="20"/>
    </w:rPr>
  </w:style>
  <w:style w:type="paragraph" w:styleId="19">
    <w:name w:val="toc 8"/>
    <w:basedOn w:val="1"/>
    <w:next w:val="1"/>
    <w:qFormat/>
    <w:uiPriority w:val="0"/>
    <w:pPr>
      <w:ind w:left="2940" w:leftChars="1400"/>
    </w:pPr>
  </w:style>
  <w:style w:type="paragraph" w:styleId="20">
    <w:name w:val="Date"/>
    <w:basedOn w:val="1"/>
    <w:next w:val="1"/>
    <w:link w:val="59"/>
    <w:qFormat/>
    <w:uiPriority w:val="0"/>
    <w:pPr>
      <w:ind w:left="100" w:leftChars="2500"/>
    </w:pPr>
    <w:rPr>
      <w:rFonts w:ascii="仿宋_GB2312" w:hAnsi="宋体" w:eastAsia="仿宋_GB2312"/>
      <w:color w:val="000000"/>
      <w:sz w:val="24"/>
    </w:rPr>
  </w:style>
  <w:style w:type="paragraph" w:styleId="21">
    <w:name w:val="Body Text Indent 2"/>
    <w:basedOn w:val="1"/>
    <w:qFormat/>
    <w:uiPriority w:val="0"/>
    <w:pPr>
      <w:ind w:firstLine="480" w:firstLineChars="200"/>
    </w:pPr>
    <w:rPr>
      <w:rFonts w:ascii="仿宋_GB2312" w:eastAsia="仿宋_GB2312"/>
      <w:sz w:val="24"/>
    </w:rPr>
  </w:style>
  <w:style w:type="paragraph" w:styleId="22">
    <w:name w:val="Balloon Text"/>
    <w:basedOn w:val="1"/>
    <w:link w:val="60"/>
    <w:qFormat/>
    <w:uiPriority w:val="0"/>
    <w:rPr>
      <w:sz w:val="18"/>
      <w:szCs w:val="18"/>
    </w:rPr>
  </w:style>
  <w:style w:type="paragraph" w:styleId="23">
    <w:name w:val="footer"/>
    <w:basedOn w:val="1"/>
    <w:link w:val="6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24">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9">
    <w:name w:val="toc 2"/>
    <w:basedOn w:val="1"/>
    <w:next w:val="1"/>
    <w:qFormat/>
    <w:uiPriority w:val="39"/>
    <w:pPr>
      <w:ind w:left="420" w:leftChars="200"/>
    </w:pPr>
  </w:style>
  <w:style w:type="paragraph" w:styleId="30">
    <w:name w:val="toc 9"/>
    <w:basedOn w:val="1"/>
    <w:next w:val="1"/>
    <w:qFormat/>
    <w:uiPriority w:val="0"/>
    <w:pPr>
      <w:ind w:left="3360" w:leftChars="1600"/>
    </w:p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2">
    <w:name w:val="index 1"/>
    <w:basedOn w:val="1"/>
    <w:next w:val="1"/>
    <w:qFormat/>
    <w:uiPriority w:val="0"/>
    <w:rPr>
      <w:szCs w:val="20"/>
    </w:rPr>
  </w:style>
  <w:style w:type="paragraph" w:styleId="33">
    <w:name w:val="Title"/>
    <w:basedOn w:val="1"/>
    <w:next w:val="1"/>
    <w:link w:val="63"/>
    <w:qFormat/>
    <w:uiPriority w:val="0"/>
    <w:pPr>
      <w:spacing w:before="240" w:after="60"/>
      <w:jc w:val="center"/>
      <w:outlineLvl w:val="0"/>
    </w:pPr>
    <w:rPr>
      <w:rFonts w:ascii="Cambria" w:hAnsi="Cambria"/>
      <w:b/>
      <w:bCs/>
      <w:sz w:val="32"/>
      <w:szCs w:val="32"/>
    </w:rPr>
  </w:style>
  <w:style w:type="paragraph" w:styleId="34">
    <w:name w:val="annotation subject"/>
    <w:basedOn w:val="12"/>
    <w:next w:val="12"/>
    <w:link w:val="64"/>
    <w:qFormat/>
    <w:uiPriority w:val="0"/>
    <w:rPr>
      <w:b/>
      <w:bCs/>
    </w:rPr>
  </w:style>
  <w:style w:type="paragraph" w:styleId="35">
    <w:name w:val="Body Text First Indent 2"/>
    <w:basedOn w:val="13"/>
    <w:link w:val="208"/>
    <w:qFormat/>
    <w:uiPriority w:val="0"/>
    <w:pPr>
      <w:spacing w:after="120" w:line="240" w:lineRule="auto"/>
      <w:ind w:left="420" w:leftChars="200" w:firstLine="420" w:firstLineChars="200"/>
    </w:pPr>
    <w:rPr>
      <w:sz w:val="21"/>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qFormat/>
    <w:uiPriority w:val="0"/>
  </w:style>
  <w:style w:type="character" w:styleId="41">
    <w:name w:val="FollowedHyperlink"/>
    <w:qFormat/>
    <w:uiPriority w:val="0"/>
    <w:rPr>
      <w:color w:val="000000"/>
      <w:u w:val="none"/>
    </w:rPr>
  </w:style>
  <w:style w:type="character" w:styleId="42">
    <w:name w:val="Emphasis"/>
    <w:qFormat/>
    <w:uiPriority w:val="0"/>
  </w:style>
  <w:style w:type="character" w:styleId="43">
    <w:name w:val="HTML Definition"/>
    <w:qFormat/>
    <w:uiPriority w:val="0"/>
    <w:rPr>
      <w:i/>
      <w:iCs/>
    </w:rPr>
  </w:style>
  <w:style w:type="character" w:styleId="44">
    <w:name w:val="HTML Acronym"/>
    <w:qFormat/>
    <w:uiPriority w:val="0"/>
  </w:style>
  <w:style w:type="character" w:styleId="45">
    <w:name w:val="HTML Variable"/>
    <w:qFormat/>
    <w:uiPriority w:val="0"/>
  </w:style>
  <w:style w:type="character" w:styleId="46">
    <w:name w:val="Hyperlink"/>
    <w:qFormat/>
    <w:uiPriority w:val="99"/>
    <w:rPr>
      <w:color w:val="000000"/>
      <w:u w:val="none"/>
    </w:rPr>
  </w:style>
  <w:style w:type="character" w:styleId="47">
    <w:name w:val="HTML Code"/>
    <w:qFormat/>
    <w:uiPriority w:val="0"/>
    <w:rPr>
      <w:rFonts w:hint="default" w:ascii="Consolas" w:hAnsi="Consolas" w:eastAsia="Consolas" w:cs="Consolas"/>
      <w:color w:val="C7254E"/>
      <w:sz w:val="21"/>
      <w:szCs w:val="21"/>
      <w:shd w:val="clear" w:color="auto" w:fill="F9F2F4"/>
    </w:rPr>
  </w:style>
  <w:style w:type="character" w:styleId="48">
    <w:name w:val="annotation reference"/>
    <w:qFormat/>
    <w:uiPriority w:val="0"/>
    <w:rPr>
      <w:sz w:val="21"/>
      <w:szCs w:val="21"/>
    </w:rPr>
  </w:style>
  <w:style w:type="character" w:styleId="49">
    <w:name w:val="HTML Cite"/>
    <w:qFormat/>
    <w:uiPriority w:val="0"/>
  </w:style>
  <w:style w:type="character" w:styleId="50">
    <w:name w:val="HTML Keyboard"/>
    <w:qFormat/>
    <w:uiPriority w:val="0"/>
    <w:rPr>
      <w:rFonts w:hint="default" w:ascii="Consolas" w:hAnsi="Consolas" w:eastAsia="Consolas" w:cs="Consolas"/>
      <w:color w:val="FFFFFF"/>
      <w:sz w:val="21"/>
      <w:szCs w:val="21"/>
      <w:shd w:val="clear" w:color="auto" w:fill="333333"/>
    </w:rPr>
  </w:style>
  <w:style w:type="character" w:styleId="51">
    <w:name w:val="HTML Sample"/>
    <w:qFormat/>
    <w:uiPriority w:val="0"/>
    <w:rPr>
      <w:rFonts w:ascii="Consolas" w:hAnsi="Consolas" w:eastAsia="Consolas" w:cs="Consolas"/>
      <w:sz w:val="21"/>
      <w:szCs w:val="21"/>
    </w:rPr>
  </w:style>
  <w:style w:type="character" w:customStyle="1" w:styleId="52">
    <w:name w:val="标题 1 字符"/>
    <w:link w:val="4"/>
    <w:qFormat/>
    <w:uiPriority w:val="0"/>
    <w:rPr>
      <w:rFonts w:ascii="宋体"/>
      <w:b/>
      <w:kern w:val="44"/>
      <w:sz w:val="32"/>
    </w:rPr>
  </w:style>
  <w:style w:type="character" w:customStyle="1" w:styleId="53">
    <w:name w:val="正文文本 字符1"/>
    <w:link w:val="2"/>
    <w:qFormat/>
    <w:uiPriority w:val="0"/>
    <w:rPr>
      <w:rFonts w:ascii="宋体" w:hAnsi="宋体"/>
      <w:kern w:val="2"/>
      <w:sz w:val="24"/>
      <w:szCs w:val="24"/>
    </w:rPr>
  </w:style>
  <w:style w:type="character" w:customStyle="1" w:styleId="54">
    <w:name w:val="标题 2 字符1"/>
    <w:link w:val="5"/>
    <w:qFormat/>
    <w:uiPriority w:val="0"/>
    <w:rPr>
      <w:rFonts w:ascii="Arial" w:hAnsi="Arial" w:eastAsia="黑体"/>
      <w:b/>
      <w:sz w:val="30"/>
    </w:rPr>
  </w:style>
  <w:style w:type="character" w:customStyle="1" w:styleId="55">
    <w:name w:val="标题 3 字符1"/>
    <w:link w:val="7"/>
    <w:qFormat/>
    <w:uiPriority w:val="0"/>
    <w:rPr>
      <w:rFonts w:ascii="宋体" w:hAnsi="宋体"/>
      <w:b/>
      <w:sz w:val="30"/>
      <w:szCs w:val="30"/>
    </w:rPr>
  </w:style>
  <w:style w:type="character" w:customStyle="1" w:styleId="56">
    <w:name w:val="文档结构图 字符"/>
    <w:link w:val="11"/>
    <w:qFormat/>
    <w:uiPriority w:val="0"/>
    <w:rPr>
      <w:rFonts w:ascii="宋体"/>
      <w:kern w:val="2"/>
      <w:sz w:val="18"/>
      <w:szCs w:val="18"/>
    </w:rPr>
  </w:style>
  <w:style w:type="character" w:customStyle="1" w:styleId="57">
    <w:name w:val="批注文字 字符"/>
    <w:link w:val="12"/>
    <w:qFormat/>
    <w:uiPriority w:val="0"/>
    <w:rPr>
      <w:kern w:val="2"/>
      <w:sz w:val="21"/>
      <w:szCs w:val="24"/>
    </w:rPr>
  </w:style>
  <w:style w:type="character" w:customStyle="1" w:styleId="58">
    <w:name w:val="纯文本 字符1"/>
    <w:link w:val="18"/>
    <w:qFormat/>
    <w:uiPriority w:val="0"/>
    <w:rPr>
      <w:rFonts w:ascii="宋体" w:hAnsi="Courier New"/>
      <w:kern w:val="2"/>
      <w:sz w:val="21"/>
    </w:rPr>
  </w:style>
  <w:style w:type="character" w:customStyle="1" w:styleId="59">
    <w:name w:val="日期 字符"/>
    <w:link w:val="20"/>
    <w:qFormat/>
    <w:uiPriority w:val="0"/>
    <w:rPr>
      <w:rFonts w:ascii="仿宋_GB2312" w:hAnsi="宋体" w:eastAsia="仿宋_GB2312"/>
      <w:color w:val="000000"/>
      <w:kern w:val="2"/>
      <w:sz w:val="24"/>
      <w:szCs w:val="24"/>
    </w:rPr>
  </w:style>
  <w:style w:type="character" w:customStyle="1" w:styleId="60">
    <w:name w:val="批注框文本 字符"/>
    <w:link w:val="22"/>
    <w:qFormat/>
    <w:uiPriority w:val="0"/>
    <w:rPr>
      <w:kern w:val="2"/>
      <w:sz w:val="18"/>
      <w:szCs w:val="18"/>
    </w:rPr>
  </w:style>
  <w:style w:type="character" w:customStyle="1" w:styleId="61">
    <w:name w:val="页脚 字符"/>
    <w:link w:val="23"/>
    <w:qFormat/>
    <w:uiPriority w:val="0"/>
    <w:rPr>
      <w:rFonts w:ascii="宋体"/>
      <w:sz w:val="18"/>
    </w:rPr>
  </w:style>
  <w:style w:type="character" w:customStyle="1" w:styleId="62">
    <w:name w:val="页眉 字符"/>
    <w:link w:val="24"/>
    <w:qFormat/>
    <w:uiPriority w:val="0"/>
    <w:rPr>
      <w:kern w:val="2"/>
      <w:sz w:val="18"/>
      <w:szCs w:val="18"/>
    </w:rPr>
  </w:style>
  <w:style w:type="character" w:customStyle="1" w:styleId="63">
    <w:name w:val="标题 字符1"/>
    <w:link w:val="33"/>
    <w:qFormat/>
    <w:uiPriority w:val="0"/>
    <w:rPr>
      <w:rFonts w:ascii="Cambria" w:hAnsi="Cambria" w:cs="Times New Roman"/>
      <w:b/>
      <w:bCs/>
      <w:kern w:val="2"/>
      <w:sz w:val="32"/>
      <w:szCs w:val="32"/>
    </w:rPr>
  </w:style>
  <w:style w:type="character" w:customStyle="1" w:styleId="64">
    <w:name w:val="批注主题 字符"/>
    <w:link w:val="34"/>
    <w:qFormat/>
    <w:uiPriority w:val="0"/>
    <w:rPr>
      <w:b/>
      <w:bCs/>
      <w:kern w:val="2"/>
      <w:sz w:val="21"/>
      <w:szCs w:val="24"/>
    </w:rPr>
  </w:style>
  <w:style w:type="character" w:customStyle="1" w:styleId="65">
    <w:name w:val="批注文字 Char1"/>
    <w:qFormat/>
    <w:uiPriority w:val="0"/>
    <w:rPr>
      <w:kern w:val="2"/>
      <w:sz w:val="21"/>
      <w:szCs w:val="24"/>
    </w:rPr>
  </w:style>
  <w:style w:type="character" w:customStyle="1" w:styleId="66">
    <w:name w:val="正文文本 字符"/>
    <w:qFormat/>
    <w:uiPriority w:val="0"/>
    <w:rPr>
      <w:rFonts w:ascii="宋体" w:hAnsi="宋体"/>
      <w:kern w:val="2"/>
      <w:sz w:val="24"/>
      <w:szCs w:val="24"/>
    </w:rPr>
  </w:style>
  <w:style w:type="character" w:customStyle="1" w:styleId="67">
    <w:name w:val="标题 2 字符"/>
    <w:qFormat/>
    <w:uiPriority w:val="0"/>
    <w:rPr>
      <w:rFonts w:ascii="Arial" w:hAnsi="Arial" w:eastAsia="黑体"/>
      <w:b/>
      <w:sz w:val="30"/>
    </w:rPr>
  </w:style>
  <w:style w:type="character" w:customStyle="1" w:styleId="68">
    <w:name w:val="正文缩进 Char1"/>
    <w:link w:val="69"/>
    <w:qFormat/>
    <w:uiPriority w:val="0"/>
    <w:rPr>
      <w:rFonts w:ascii="宋体"/>
      <w:sz w:val="24"/>
    </w:rPr>
  </w:style>
  <w:style w:type="paragraph" w:customStyle="1" w:styleId="69">
    <w:name w:val="正文缩进1"/>
    <w:basedOn w:val="1"/>
    <w:link w:val="68"/>
    <w:qFormat/>
    <w:uiPriority w:val="0"/>
    <w:pPr>
      <w:autoSpaceDE w:val="0"/>
      <w:autoSpaceDN w:val="0"/>
      <w:adjustRightInd w:val="0"/>
      <w:ind w:firstLine="420"/>
      <w:jc w:val="left"/>
    </w:pPr>
    <w:rPr>
      <w:rFonts w:ascii="宋体"/>
      <w:kern w:val="0"/>
      <w:sz w:val="24"/>
      <w:szCs w:val="20"/>
    </w:rPr>
  </w:style>
  <w:style w:type="character" w:customStyle="1" w:styleId="70">
    <w:name w:val="批注主题 Char1"/>
    <w:qFormat/>
    <w:uiPriority w:val="0"/>
    <w:rPr>
      <w:b/>
      <w:bCs/>
      <w:kern w:val="2"/>
      <w:sz w:val="21"/>
      <w:szCs w:val="24"/>
    </w:rPr>
  </w:style>
  <w:style w:type="character" w:customStyle="1" w:styleId="71">
    <w:name w:val="纯文本 Char1"/>
    <w:link w:val="72"/>
    <w:qFormat/>
    <w:uiPriority w:val="0"/>
    <w:rPr>
      <w:rFonts w:ascii="宋体" w:hAnsi="Courier New"/>
    </w:rPr>
  </w:style>
  <w:style w:type="paragraph" w:customStyle="1" w:styleId="72">
    <w:name w:val="纯文本1"/>
    <w:basedOn w:val="1"/>
    <w:link w:val="71"/>
    <w:qFormat/>
    <w:uiPriority w:val="0"/>
    <w:rPr>
      <w:rFonts w:ascii="宋体" w:hAnsi="Courier New"/>
      <w:kern w:val="0"/>
      <w:sz w:val="20"/>
      <w:szCs w:val="20"/>
    </w:rPr>
  </w:style>
  <w:style w:type="character" w:customStyle="1" w:styleId="73">
    <w:name w:val="标题 3 字符"/>
    <w:qFormat/>
    <w:uiPriority w:val="0"/>
    <w:rPr>
      <w:rFonts w:ascii="宋体"/>
      <w:b/>
      <w:sz w:val="24"/>
      <w:u w:val="single"/>
    </w:rPr>
  </w:style>
  <w:style w:type="character" w:customStyle="1" w:styleId="74">
    <w:name w:val="批注框文本 Char1"/>
    <w:qFormat/>
    <w:uiPriority w:val="0"/>
    <w:rPr>
      <w:kern w:val="2"/>
      <w:sz w:val="18"/>
      <w:szCs w:val="18"/>
    </w:rPr>
  </w:style>
  <w:style w:type="character" w:customStyle="1" w:styleId="75">
    <w:name w:val="纯文本 字符"/>
    <w:qFormat/>
    <w:uiPriority w:val="0"/>
    <w:rPr>
      <w:rFonts w:ascii="宋体" w:hAnsi="Courier New"/>
      <w:kern w:val="2"/>
      <w:sz w:val="21"/>
    </w:rPr>
  </w:style>
  <w:style w:type="character" w:customStyle="1" w:styleId="76">
    <w:name w:val="页眉 Char1"/>
    <w:qFormat/>
    <w:uiPriority w:val="0"/>
    <w:rPr>
      <w:kern w:val="2"/>
      <w:sz w:val="18"/>
      <w:szCs w:val="18"/>
    </w:rPr>
  </w:style>
  <w:style w:type="paragraph" w:customStyle="1" w:styleId="77">
    <w:name w:val="图"/>
    <w:basedOn w:val="1"/>
    <w:next w:val="1"/>
    <w:qFormat/>
    <w:uiPriority w:val="0"/>
    <w:pPr>
      <w:tabs>
        <w:tab w:val="left" w:pos="1755"/>
        <w:tab w:val="left" w:pos="3134"/>
        <w:tab w:val="left" w:pos="4834"/>
      </w:tabs>
      <w:adjustRightInd w:val="0"/>
      <w:spacing w:before="60" w:after="60" w:line="360" w:lineRule="atLeast"/>
      <w:ind w:left="4834" w:hanging="1290"/>
      <w:jc w:val="center"/>
      <w:textAlignment w:val="baseline"/>
    </w:pPr>
    <w:rPr>
      <w:rFonts w:eastAsia="黑体"/>
      <w:b/>
      <w:kern w:val="0"/>
      <w:sz w:val="24"/>
      <w:szCs w:val="20"/>
    </w:rPr>
  </w:style>
  <w:style w:type="paragraph" w:customStyle="1" w:styleId="78">
    <w:name w:val="索引 11"/>
    <w:basedOn w:val="1"/>
    <w:next w:val="1"/>
    <w:qFormat/>
    <w:uiPriority w:val="0"/>
    <w:pPr>
      <w:spacing w:line="360" w:lineRule="auto"/>
    </w:pPr>
    <w:rPr>
      <w:rFonts w:ascii="仿宋_GB2312" w:eastAsia="仿宋_GB2312"/>
      <w:sz w:val="24"/>
      <w:szCs w:val="20"/>
    </w:rPr>
  </w:style>
  <w:style w:type="paragraph" w:customStyle="1" w:styleId="79">
    <w:name w:val="TOC 标题1"/>
    <w:basedOn w:val="4"/>
    <w:next w:val="1"/>
    <w:qFormat/>
    <w:uiPriority w:val="0"/>
    <w:pPr>
      <w:widowControl/>
      <w:autoSpaceDE/>
      <w:autoSpaceDN/>
      <w:adjustRightInd/>
      <w:spacing w:after="0" w:line="259" w:lineRule="auto"/>
      <w:jc w:val="left"/>
      <w:outlineLvl w:val="9"/>
    </w:pPr>
    <w:rPr>
      <w:rFonts w:ascii="等线 Light" w:hAnsi="等线 Light" w:eastAsia="等线 Light"/>
      <w:b w:val="0"/>
      <w:color w:val="2F5496"/>
      <w:kern w:val="0"/>
      <w:szCs w:val="32"/>
    </w:rPr>
  </w:style>
  <w:style w:type="paragraph" w:customStyle="1" w:styleId="80">
    <w:name w:val="title1"/>
    <w:basedOn w:val="1"/>
    <w:qFormat/>
    <w:uiPriority w:val="0"/>
    <w:pPr>
      <w:widowControl/>
      <w:jc w:val="left"/>
    </w:pPr>
    <w:rPr>
      <w:rFonts w:ascii="宋体" w:hAnsi="宋体" w:cs="宋体"/>
      <w:kern w:val="0"/>
      <w:sz w:val="24"/>
    </w:rPr>
  </w:style>
  <w:style w:type="paragraph" w:customStyle="1" w:styleId="81">
    <w:name w:val="Char"/>
    <w:basedOn w:val="1"/>
    <w:qFormat/>
    <w:uiPriority w:val="0"/>
    <w:pPr>
      <w:tabs>
        <w:tab w:val="left" w:pos="360"/>
      </w:tabs>
    </w:pPr>
    <w:rPr>
      <w:sz w:val="24"/>
    </w:rPr>
  </w:style>
  <w:style w:type="paragraph" w:styleId="82">
    <w:name w:val="List Paragraph"/>
    <w:basedOn w:val="1"/>
    <w:link w:val="210"/>
    <w:qFormat/>
    <w:uiPriority w:val="0"/>
    <w:pPr>
      <w:widowControl/>
      <w:ind w:firstLine="420" w:firstLineChars="200"/>
      <w:jc w:val="left"/>
    </w:pPr>
    <w:rPr>
      <w:kern w:val="0"/>
      <w:sz w:val="24"/>
    </w:rPr>
  </w:style>
  <w:style w:type="character" w:customStyle="1" w:styleId="83">
    <w:name w:val="next"/>
    <w:qFormat/>
    <w:uiPriority w:val="0"/>
    <w:rPr>
      <w:rFonts w:ascii="微软雅黑" w:hAnsi="微软雅黑" w:eastAsia="微软雅黑" w:cs="微软雅黑"/>
      <w:sz w:val="21"/>
      <w:szCs w:val="21"/>
    </w:rPr>
  </w:style>
  <w:style w:type="character" w:customStyle="1" w:styleId="84">
    <w:name w:val="next1"/>
    <w:qFormat/>
    <w:uiPriority w:val="0"/>
    <w:rPr>
      <w:color w:val="888888"/>
    </w:rPr>
  </w:style>
  <w:style w:type="character" w:customStyle="1" w:styleId="85">
    <w:name w:val="prev"/>
    <w:qFormat/>
    <w:uiPriority w:val="0"/>
    <w:rPr>
      <w:rFonts w:hint="eastAsia" w:ascii="微软雅黑" w:hAnsi="微软雅黑" w:eastAsia="微软雅黑" w:cs="微软雅黑"/>
      <w:sz w:val="21"/>
      <w:szCs w:val="21"/>
    </w:rPr>
  </w:style>
  <w:style w:type="character" w:customStyle="1" w:styleId="86">
    <w:name w:val="prev1"/>
    <w:qFormat/>
    <w:uiPriority w:val="0"/>
    <w:rPr>
      <w:color w:val="888888"/>
    </w:rPr>
  </w:style>
  <w:style w:type="character" w:customStyle="1" w:styleId="87">
    <w:name w:val="cfdate"/>
    <w:qFormat/>
    <w:uiPriority w:val="0"/>
    <w:rPr>
      <w:color w:val="333333"/>
      <w:sz w:val="18"/>
      <w:szCs w:val="18"/>
    </w:rPr>
  </w:style>
  <w:style w:type="character" w:customStyle="1" w:styleId="88">
    <w:name w:val="qxdate"/>
    <w:qFormat/>
    <w:uiPriority w:val="0"/>
    <w:rPr>
      <w:color w:val="333333"/>
      <w:sz w:val="18"/>
      <w:szCs w:val="18"/>
    </w:rPr>
  </w:style>
  <w:style w:type="character" w:customStyle="1" w:styleId="89">
    <w:name w:val="gjfg"/>
    <w:qFormat/>
    <w:uiPriority w:val="0"/>
  </w:style>
  <w:style w:type="character" w:customStyle="1" w:styleId="90">
    <w:name w:val="redfilefwwh"/>
    <w:qFormat/>
    <w:uiPriority w:val="0"/>
    <w:rPr>
      <w:color w:val="BA2636"/>
      <w:sz w:val="18"/>
      <w:szCs w:val="18"/>
    </w:rPr>
  </w:style>
  <w:style w:type="character" w:customStyle="1" w:styleId="91">
    <w:name w:val="displayarti"/>
    <w:qFormat/>
    <w:uiPriority w:val="0"/>
    <w:rPr>
      <w:color w:val="FFFFFF"/>
      <w:shd w:val="clear" w:color="auto" w:fill="A00000"/>
    </w:rPr>
  </w:style>
  <w:style w:type="character" w:customStyle="1" w:styleId="92">
    <w:name w:val="redfilenumber"/>
    <w:qFormat/>
    <w:uiPriority w:val="0"/>
    <w:rPr>
      <w:color w:val="BA2636"/>
      <w:sz w:val="18"/>
      <w:szCs w:val="18"/>
    </w:rPr>
  </w:style>
  <w:style w:type="character" w:customStyle="1" w:styleId="93">
    <w:name w:val="prev2"/>
    <w:qFormat/>
    <w:uiPriority w:val="0"/>
    <w:rPr>
      <w:rFonts w:hint="eastAsia" w:ascii="微软雅黑" w:hAnsi="微软雅黑" w:eastAsia="微软雅黑" w:cs="微软雅黑"/>
      <w:sz w:val="21"/>
      <w:szCs w:val="21"/>
    </w:rPr>
  </w:style>
  <w:style w:type="character" w:customStyle="1" w:styleId="94">
    <w:name w:val="prev3"/>
    <w:qFormat/>
    <w:uiPriority w:val="0"/>
    <w:rPr>
      <w:color w:val="888888"/>
    </w:rPr>
  </w:style>
  <w:style w:type="character" w:customStyle="1" w:styleId="95">
    <w:name w:val="next2"/>
    <w:qFormat/>
    <w:uiPriority w:val="0"/>
    <w:rPr>
      <w:color w:val="888888"/>
    </w:rPr>
  </w:style>
  <w:style w:type="character" w:customStyle="1" w:styleId="96">
    <w:name w:val="nth-of-type(8)"/>
    <w:qFormat/>
    <w:uiPriority w:val="0"/>
  </w:style>
  <w:style w:type="character" w:customStyle="1" w:styleId="97">
    <w:name w:val="lineshow"/>
    <w:qFormat/>
    <w:uiPriority w:val="0"/>
  </w:style>
  <w:style w:type="character" w:customStyle="1" w:styleId="98">
    <w:name w:val="lineshow1"/>
    <w:qFormat/>
    <w:uiPriority w:val="0"/>
  </w:style>
  <w:style w:type="character" w:customStyle="1" w:styleId="99">
    <w:name w:val="layui-laypage-curr"/>
    <w:qFormat/>
    <w:uiPriority w:val="0"/>
  </w:style>
  <w:style w:type="character" w:customStyle="1" w:styleId="100">
    <w:name w:val="nth-of-type(1)"/>
    <w:qFormat/>
    <w:uiPriority w:val="0"/>
  </w:style>
  <w:style w:type="character" w:customStyle="1" w:styleId="101">
    <w:name w:val="nth-of-type(1)1"/>
    <w:qFormat/>
    <w:uiPriority w:val="0"/>
  </w:style>
  <w:style w:type="character" w:customStyle="1" w:styleId="102">
    <w:name w:val="nth-of-type(1)2"/>
    <w:qFormat/>
    <w:uiPriority w:val="0"/>
  </w:style>
  <w:style w:type="character" w:customStyle="1" w:styleId="103">
    <w:name w:val="nth-of-type(1)3"/>
    <w:qFormat/>
    <w:uiPriority w:val="0"/>
  </w:style>
  <w:style w:type="character" w:customStyle="1" w:styleId="104">
    <w:name w:val="nth-of-type(1)4"/>
    <w:qFormat/>
    <w:uiPriority w:val="0"/>
  </w:style>
  <w:style w:type="character" w:customStyle="1" w:styleId="105">
    <w:name w:val="nth-of-type(1)5"/>
    <w:qFormat/>
    <w:uiPriority w:val="0"/>
  </w:style>
  <w:style w:type="character" w:customStyle="1" w:styleId="106">
    <w:name w:val="nth-of-type(1)6"/>
    <w:qFormat/>
    <w:uiPriority w:val="0"/>
  </w:style>
  <w:style w:type="character" w:customStyle="1" w:styleId="107">
    <w:name w:val="nth-of-type(1)7"/>
    <w:qFormat/>
    <w:uiPriority w:val="0"/>
    <w:rPr>
      <w:sz w:val="21"/>
      <w:szCs w:val="21"/>
    </w:rPr>
  </w:style>
  <w:style w:type="character" w:customStyle="1" w:styleId="108">
    <w:name w:val="nth-of-type(1)8"/>
    <w:qFormat/>
    <w:uiPriority w:val="0"/>
  </w:style>
  <w:style w:type="character" w:customStyle="1" w:styleId="109">
    <w:name w:val="nth-of-type(1)9"/>
    <w:qFormat/>
    <w:uiPriority w:val="0"/>
  </w:style>
  <w:style w:type="character" w:customStyle="1" w:styleId="110">
    <w:name w:val="nth-of-type(1)10"/>
    <w:qFormat/>
    <w:uiPriority w:val="0"/>
    <w:rPr>
      <w:rFonts w:ascii="SourceHanSansCN-Regular" w:hAnsi="SourceHanSansCN-Regular" w:eastAsia="SourceHanSansCN-Regular" w:cs="SourceHanSansCN-Regular"/>
      <w:color w:val="FB560A"/>
      <w:sz w:val="21"/>
      <w:szCs w:val="21"/>
    </w:rPr>
  </w:style>
  <w:style w:type="character" w:customStyle="1" w:styleId="111">
    <w:name w:val="nth-of-type(1)11"/>
    <w:qFormat/>
    <w:uiPriority w:val="0"/>
  </w:style>
  <w:style w:type="character" w:customStyle="1" w:styleId="112">
    <w:name w:val="nth-of-type(1)12"/>
    <w:qFormat/>
    <w:uiPriority w:val="0"/>
  </w:style>
  <w:style w:type="character" w:customStyle="1" w:styleId="113">
    <w:name w:val="nth-of-type(1)13"/>
    <w:qFormat/>
    <w:uiPriority w:val="0"/>
  </w:style>
  <w:style w:type="character" w:customStyle="1" w:styleId="114">
    <w:name w:val="nth-of-type(1)14"/>
    <w:qFormat/>
    <w:uiPriority w:val="0"/>
  </w:style>
  <w:style w:type="character" w:customStyle="1" w:styleId="115">
    <w:name w:val="nth-of-type(1)15"/>
    <w:qFormat/>
    <w:uiPriority w:val="0"/>
  </w:style>
  <w:style w:type="character" w:customStyle="1" w:styleId="116">
    <w:name w:val="nth-of-type(1)16"/>
    <w:qFormat/>
    <w:uiPriority w:val="0"/>
  </w:style>
  <w:style w:type="character" w:customStyle="1" w:styleId="117">
    <w:name w:val="nth-of-type(1)17"/>
    <w:qFormat/>
    <w:uiPriority w:val="0"/>
  </w:style>
  <w:style w:type="character" w:customStyle="1" w:styleId="118">
    <w:name w:val="nth-of-type(1)18"/>
    <w:qFormat/>
    <w:uiPriority w:val="0"/>
  </w:style>
  <w:style w:type="character" w:customStyle="1" w:styleId="119">
    <w:name w:val="nth-of-type(5)"/>
    <w:qFormat/>
    <w:uiPriority w:val="0"/>
  </w:style>
  <w:style w:type="character" w:customStyle="1" w:styleId="120">
    <w:name w:val="nth-of-type(5)1"/>
    <w:qFormat/>
    <w:uiPriority w:val="0"/>
    <w:rPr>
      <w:sz w:val="21"/>
      <w:szCs w:val="21"/>
    </w:rPr>
  </w:style>
  <w:style w:type="character" w:customStyle="1" w:styleId="121">
    <w:name w:val="nth-of-type(5)2"/>
    <w:qFormat/>
    <w:uiPriority w:val="0"/>
  </w:style>
  <w:style w:type="character" w:customStyle="1" w:styleId="122">
    <w:name w:val="nth-of-type(5)3"/>
    <w:qFormat/>
    <w:uiPriority w:val="0"/>
  </w:style>
  <w:style w:type="character" w:customStyle="1" w:styleId="123">
    <w:name w:val="nth-of-type(5)4"/>
    <w:qFormat/>
    <w:uiPriority w:val="0"/>
  </w:style>
  <w:style w:type="character" w:customStyle="1" w:styleId="124">
    <w:name w:val="nth-of-type(5)5"/>
    <w:qFormat/>
    <w:uiPriority w:val="0"/>
  </w:style>
  <w:style w:type="character" w:customStyle="1" w:styleId="125">
    <w:name w:val="nth-of-type(5)6"/>
    <w:qFormat/>
    <w:uiPriority w:val="0"/>
  </w:style>
  <w:style w:type="character" w:customStyle="1" w:styleId="126">
    <w:name w:val="nth-of-type(2)"/>
    <w:qFormat/>
    <w:uiPriority w:val="0"/>
  </w:style>
  <w:style w:type="character" w:customStyle="1" w:styleId="127">
    <w:name w:val="nth-of-type(2)1"/>
    <w:qFormat/>
    <w:uiPriority w:val="0"/>
  </w:style>
  <w:style w:type="character" w:customStyle="1" w:styleId="128">
    <w:name w:val="nth-of-type(2)2"/>
    <w:qFormat/>
    <w:uiPriority w:val="0"/>
  </w:style>
  <w:style w:type="character" w:customStyle="1" w:styleId="129">
    <w:name w:val="nth-of-type(2)3"/>
    <w:qFormat/>
    <w:uiPriority w:val="0"/>
  </w:style>
  <w:style w:type="character" w:customStyle="1" w:styleId="130">
    <w:name w:val="nth-of-type(2)4"/>
    <w:qFormat/>
    <w:uiPriority w:val="0"/>
  </w:style>
  <w:style w:type="character" w:customStyle="1" w:styleId="131">
    <w:name w:val="nth-of-type(2)5"/>
    <w:qFormat/>
    <w:uiPriority w:val="0"/>
    <w:rPr>
      <w:sz w:val="21"/>
      <w:szCs w:val="21"/>
    </w:rPr>
  </w:style>
  <w:style w:type="character" w:customStyle="1" w:styleId="132">
    <w:name w:val="nth-of-type(2)6"/>
    <w:qFormat/>
    <w:uiPriority w:val="0"/>
  </w:style>
  <w:style w:type="character" w:customStyle="1" w:styleId="133">
    <w:name w:val="nth-of-type(2)7"/>
    <w:qFormat/>
    <w:uiPriority w:val="0"/>
  </w:style>
  <w:style w:type="character" w:customStyle="1" w:styleId="134">
    <w:name w:val="nth-of-type(2)8"/>
    <w:qFormat/>
    <w:uiPriority w:val="0"/>
  </w:style>
  <w:style w:type="character" w:customStyle="1" w:styleId="135">
    <w:name w:val="nth-of-type(2)9"/>
    <w:qFormat/>
    <w:uiPriority w:val="0"/>
  </w:style>
  <w:style w:type="character" w:customStyle="1" w:styleId="136">
    <w:name w:val="nth-of-type(2)10"/>
    <w:qFormat/>
    <w:uiPriority w:val="0"/>
  </w:style>
  <w:style w:type="character" w:customStyle="1" w:styleId="137">
    <w:name w:val="nth-of-type(2)11"/>
    <w:qFormat/>
    <w:uiPriority w:val="0"/>
  </w:style>
  <w:style w:type="character" w:customStyle="1" w:styleId="138">
    <w:name w:val="nth-of-type(2)12"/>
    <w:qFormat/>
    <w:uiPriority w:val="0"/>
  </w:style>
  <w:style w:type="character" w:customStyle="1" w:styleId="139">
    <w:name w:val="nth-of-type(2)13"/>
    <w:qFormat/>
    <w:uiPriority w:val="0"/>
  </w:style>
  <w:style w:type="character" w:customStyle="1" w:styleId="140">
    <w:name w:val="nth-of-type(2)14"/>
    <w:qFormat/>
    <w:uiPriority w:val="0"/>
  </w:style>
  <w:style w:type="character" w:customStyle="1" w:styleId="141">
    <w:name w:val="nth-of-type(3)"/>
    <w:qFormat/>
    <w:uiPriority w:val="0"/>
  </w:style>
  <w:style w:type="character" w:customStyle="1" w:styleId="142">
    <w:name w:val="nth-of-type(3)1"/>
    <w:qFormat/>
    <w:uiPriority w:val="0"/>
    <w:rPr>
      <w:sz w:val="21"/>
      <w:szCs w:val="21"/>
    </w:rPr>
  </w:style>
  <w:style w:type="character" w:customStyle="1" w:styleId="143">
    <w:name w:val="nth-of-type(3)2"/>
    <w:qFormat/>
    <w:uiPriority w:val="0"/>
  </w:style>
  <w:style w:type="character" w:customStyle="1" w:styleId="144">
    <w:name w:val="nth-of-type(3)3"/>
    <w:qFormat/>
    <w:uiPriority w:val="0"/>
  </w:style>
  <w:style w:type="character" w:customStyle="1" w:styleId="145">
    <w:name w:val="nth-of-type(3)4"/>
    <w:qFormat/>
    <w:uiPriority w:val="0"/>
  </w:style>
  <w:style w:type="character" w:customStyle="1" w:styleId="146">
    <w:name w:val="nth-of-type(3)5"/>
    <w:qFormat/>
    <w:uiPriority w:val="0"/>
  </w:style>
  <w:style w:type="character" w:customStyle="1" w:styleId="147">
    <w:name w:val="nth-of-type(3)6"/>
    <w:qFormat/>
    <w:uiPriority w:val="0"/>
  </w:style>
  <w:style w:type="character" w:customStyle="1" w:styleId="148">
    <w:name w:val="nth-of-type(3)7"/>
    <w:qFormat/>
    <w:uiPriority w:val="0"/>
  </w:style>
  <w:style w:type="character" w:customStyle="1" w:styleId="149">
    <w:name w:val="nth-of-type(4)"/>
    <w:qFormat/>
    <w:uiPriority w:val="0"/>
  </w:style>
  <w:style w:type="character" w:customStyle="1" w:styleId="150">
    <w:name w:val="nth-of-type(4)1"/>
    <w:qFormat/>
    <w:uiPriority w:val="0"/>
    <w:rPr>
      <w:sz w:val="21"/>
      <w:szCs w:val="21"/>
    </w:rPr>
  </w:style>
  <w:style w:type="character" w:customStyle="1" w:styleId="151">
    <w:name w:val="nth-of-type(4)2"/>
    <w:qFormat/>
    <w:uiPriority w:val="0"/>
  </w:style>
  <w:style w:type="character" w:customStyle="1" w:styleId="152">
    <w:name w:val="nth-of-type(4)3"/>
    <w:qFormat/>
    <w:uiPriority w:val="0"/>
  </w:style>
  <w:style w:type="character" w:customStyle="1" w:styleId="153">
    <w:name w:val="nth-of-type(4)4"/>
    <w:qFormat/>
    <w:uiPriority w:val="0"/>
  </w:style>
  <w:style w:type="character" w:customStyle="1" w:styleId="154">
    <w:name w:val="nth-of-type(4)5"/>
    <w:qFormat/>
    <w:uiPriority w:val="0"/>
  </w:style>
  <w:style w:type="character" w:customStyle="1" w:styleId="155">
    <w:name w:val="nth-of-type(4)6"/>
    <w:qFormat/>
    <w:uiPriority w:val="0"/>
  </w:style>
  <w:style w:type="character" w:customStyle="1" w:styleId="156">
    <w:name w:val="nth-of-type(4)7"/>
    <w:qFormat/>
    <w:uiPriority w:val="0"/>
  </w:style>
  <w:style w:type="character" w:customStyle="1" w:styleId="157">
    <w:name w:val="nth-of-type(4)8"/>
    <w:qFormat/>
    <w:uiPriority w:val="0"/>
  </w:style>
  <w:style w:type="character" w:customStyle="1" w:styleId="158">
    <w:name w:val="nth-of-type(6)"/>
    <w:qFormat/>
    <w:uiPriority w:val="0"/>
  </w:style>
  <w:style w:type="character" w:customStyle="1" w:styleId="159">
    <w:name w:val="nth-of-type(6)1"/>
    <w:qFormat/>
    <w:uiPriority w:val="0"/>
  </w:style>
  <w:style w:type="character" w:customStyle="1" w:styleId="160">
    <w:name w:val="nth-of-type(6)2"/>
    <w:qFormat/>
    <w:uiPriority w:val="0"/>
  </w:style>
  <w:style w:type="character" w:customStyle="1" w:styleId="161">
    <w:name w:val="nth-of-type(6)3"/>
    <w:qFormat/>
    <w:uiPriority w:val="0"/>
  </w:style>
  <w:style w:type="character" w:customStyle="1" w:styleId="162">
    <w:name w:val="nth-of-type(6)4"/>
    <w:qFormat/>
    <w:uiPriority w:val="0"/>
  </w:style>
  <w:style w:type="character" w:customStyle="1" w:styleId="163">
    <w:name w:val="nth-of-type(6)5"/>
    <w:qFormat/>
    <w:uiPriority w:val="0"/>
    <w:rPr>
      <w:color w:val="0082DF"/>
    </w:rPr>
  </w:style>
  <w:style w:type="character" w:customStyle="1" w:styleId="164">
    <w:name w:val="nth-of-type(7)"/>
    <w:qFormat/>
    <w:uiPriority w:val="0"/>
  </w:style>
  <w:style w:type="character" w:customStyle="1" w:styleId="165">
    <w:name w:val="nth-of-type(7)1"/>
    <w:qFormat/>
    <w:uiPriority w:val="0"/>
  </w:style>
  <w:style w:type="character" w:customStyle="1" w:styleId="166">
    <w:name w:val="nth-of-type(7)2"/>
    <w:qFormat/>
    <w:uiPriority w:val="0"/>
  </w:style>
  <w:style w:type="character" w:customStyle="1" w:styleId="167">
    <w:name w:val="nth-of-type(9)"/>
    <w:qFormat/>
    <w:uiPriority w:val="0"/>
  </w:style>
  <w:style w:type="character" w:customStyle="1" w:styleId="168">
    <w:name w:val="nth-of-type(10)"/>
    <w:qFormat/>
    <w:uiPriority w:val="0"/>
  </w:style>
  <w:style w:type="character" w:customStyle="1" w:styleId="169">
    <w:name w:val="hover25"/>
    <w:qFormat/>
    <w:uiPriority w:val="0"/>
  </w:style>
  <w:style w:type="character" w:customStyle="1" w:styleId="170">
    <w:name w:val="hover26"/>
    <w:qFormat/>
    <w:uiPriority w:val="0"/>
    <w:rPr>
      <w:color w:val="167AE0"/>
    </w:rPr>
  </w:style>
  <w:style w:type="character" w:customStyle="1" w:styleId="171">
    <w:name w:val="nth-child(3)"/>
    <w:qFormat/>
    <w:uiPriority w:val="0"/>
  </w:style>
  <w:style w:type="character" w:customStyle="1" w:styleId="172">
    <w:name w:val="titleshow"/>
    <w:qFormat/>
    <w:uiPriority w:val="0"/>
    <w:rPr>
      <w:color w:val="3E464C"/>
    </w:rPr>
  </w:style>
  <w:style w:type="character" w:customStyle="1" w:styleId="173">
    <w:name w:val="nth-child(1)"/>
    <w:qFormat/>
    <w:uiPriority w:val="0"/>
  </w:style>
  <w:style w:type="character" w:customStyle="1" w:styleId="174">
    <w:name w:val="nth-child(2)"/>
    <w:qFormat/>
    <w:uiPriority w:val="0"/>
  </w:style>
  <w:style w:type="character" w:customStyle="1" w:styleId="175">
    <w:name w:val="last-child1"/>
    <w:qFormat/>
    <w:uiPriority w:val="0"/>
    <w:rPr>
      <w:color w:val="FFFFFF"/>
    </w:rPr>
  </w:style>
  <w:style w:type="character" w:customStyle="1" w:styleId="176">
    <w:name w:val="last-child2"/>
    <w:qFormat/>
    <w:uiPriority w:val="0"/>
  </w:style>
  <w:style w:type="character" w:customStyle="1" w:styleId="177">
    <w:name w:val="last-child3"/>
    <w:qFormat/>
    <w:uiPriority w:val="0"/>
  </w:style>
  <w:style w:type="character" w:customStyle="1" w:styleId="178">
    <w:name w:val="first-child"/>
    <w:qFormat/>
    <w:uiPriority w:val="0"/>
  </w:style>
  <w:style w:type="character" w:customStyle="1" w:styleId="179">
    <w:name w:val="first-child1"/>
    <w:qFormat/>
    <w:uiPriority w:val="0"/>
  </w:style>
  <w:style w:type="character" w:customStyle="1" w:styleId="180">
    <w:name w:val="first-child2"/>
    <w:qFormat/>
    <w:uiPriority w:val="0"/>
  </w:style>
  <w:style w:type="character" w:customStyle="1" w:styleId="181">
    <w:name w:val="first-child3"/>
    <w:qFormat/>
    <w:uiPriority w:val="0"/>
  </w:style>
  <w:style w:type="character" w:customStyle="1" w:styleId="182">
    <w:name w:val="before2"/>
    <w:qFormat/>
    <w:uiPriority w:val="0"/>
    <w:rPr>
      <w:shd w:val="clear" w:color="auto" w:fill="C20E0C"/>
    </w:rPr>
  </w:style>
  <w:style w:type="character" w:customStyle="1" w:styleId="183">
    <w:name w:val="layui-this4"/>
    <w:qFormat/>
    <w:uiPriority w:val="0"/>
    <w:rPr>
      <w:bdr w:val="single" w:color="EEEEEE" w:sz="6" w:space="0"/>
      <w:shd w:val="clear" w:color="auto" w:fill="FFFFFF"/>
    </w:rPr>
  </w:style>
  <w:style w:type="character" w:customStyle="1" w:styleId="184">
    <w:name w:val="titles"/>
    <w:qFormat/>
    <w:uiPriority w:val="0"/>
    <w:rPr>
      <w:b/>
      <w:bCs/>
      <w:color w:val="FFFFFF"/>
      <w:sz w:val="30"/>
      <w:szCs w:val="30"/>
    </w:rPr>
  </w:style>
  <w:style w:type="character" w:customStyle="1" w:styleId="185">
    <w:name w:val="yjs"/>
    <w:qFormat/>
    <w:uiPriority w:val="0"/>
    <w:rPr>
      <w:color w:val="14A900"/>
    </w:rPr>
  </w:style>
  <w:style w:type="character" w:customStyle="1" w:styleId="186">
    <w:name w:val="yjs1"/>
    <w:qFormat/>
    <w:uiPriority w:val="0"/>
    <w:rPr>
      <w:color w:val="14A900"/>
    </w:rPr>
  </w:style>
  <w:style w:type="character" w:customStyle="1" w:styleId="187">
    <w:name w:val="time"/>
    <w:qFormat/>
    <w:uiPriority w:val="0"/>
  </w:style>
  <w:style w:type="character" w:customStyle="1" w:styleId="188">
    <w:name w:val="jxz"/>
    <w:qFormat/>
    <w:uiPriority w:val="0"/>
    <w:rPr>
      <w:color w:val="FF5400"/>
    </w:rPr>
  </w:style>
  <w:style w:type="character" w:customStyle="1" w:styleId="189">
    <w:name w:val="jxz1"/>
    <w:qFormat/>
    <w:uiPriority w:val="0"/>
    <w:rPr>
      <w:color w:val="FF5400"/>
    </w:rPr>
  </w:style>
  <w:style w:type="character" w:customStyle="1" w:styleId="190">
    <w:name w:val="标题 字符"/>
    <w:qFormat/>
    <w:uiPriority w:val="0"/>
    <w:rPr>
      <w:rFonts w:ascii="Cambria" w:hAnsi="Cambria"/>
      <w:b/>
      <w:bCs/>
      <w:kern w:val="2"/>
      <w:sz w:val="32"/>
      <w:szCs w:val="32"/>
    </w:rPr>
  </w:style>
  <w:style w:type="character" w:customStyle="1" w:styleId="191">
    <w:name w:val="标题 4 字符"/>
    <w:link w:val="3"/>
    <w:qFormat/>
    <w:uiPriority w:val="9"/>
    <w:rPr>
      <w:rFonts w:ascii="Arial" w:hAnsi="Arial" w:eastAsia="黑体"/>
      <w:b/>
      <w:kern w:val="2"/>
      <w:sz w:val="28"/>
      <w:szCs w:val="24"/>
    </w:rPr>
  </w:style>
  <w:style w:type="character" w:customStyle="1" w:styleId="192">
    <w:name w:val="标题 5 字符"/>
    <w:link w:val="8"/>
    <w:qFormat/>
    <w:uiPriority w:val="0"/>
    <w:rPr>
      <w:rFonts w:ascii="Calibri" w:hAnsi="Calibri"/>
      <w:b/>
      <w:kern w:val="2"/>
      <w:sz w:val="28"/>
      <w:szCs w:val="24"/>
    </w:rPr>
  </w:style>
  <w:style w:type="character" w:customStyle="1" w:styleId="193">
    <w:name w:val="HTML 地址 字符"/>
    <w:link w:val="15"/>
    <w:qFormat/>
    <w:uiPriority w:val="0"/>
    <w:rPr>
      <w:rFonts w:ascii="Calibri" w:hAnsi="Calibri"/>
      <w:i/>
      <w:kern w:val="2"/>
      <w:sz w:val="21"/>
      <w:szCs w:val="24"/>
    </w:rPr>
  </w:style>
  <w:style w:type="character" w:customStyle="1" w:styleId="194">
    <w:name w:val="font11"/>
    <w:qFormat/>
    <w:uiPriority w:val="0"/>
    <w:rPr>
      <w:rFonts w:hint="eastAsia" w:ascii="宋体" w:hAnsi="宋体" w:eastAsia="宋体" w:cs="宋体"/>
      <w:b/>
      <w:color w:val="000000"/>
      <w:sz w:val="24"/>
      <w:szCs w:val="24"/>
      <w:u w:val="none"/>
    </w:rPr>
  </w:style>
  <w:style w:type="character" w:customStyle="1" w:styleId="195">
    <w:name w:val="font01"/>
    <w:qFormat/>
    <w:uiPriority w:val="0"/>
    <w:rPr>
      <w:rFonts w:hint="eastAsia" w:ascii="宋体" w:hAnsi="宋体" w:eastAsia="宋体" w:cs="宋体"/>
      <w:b/>
      <w:color w:val="000000"/>
      <w:sz w:val="24"/>
      <w:szCs w:val="24"/>
      <w:u w:val="none"/>
    </w:rPr>
  </w:style>
  <w:style w:type="character" w:customStyle="1" w:styleId="196">
    <w:name w:val="NormalCharacter"/>
    <w:qFormat/>
    <w:uiPriority w:val="0"/>
    <w:rPr>
      <w:rFonts w:ascii="Times New Roman" w:hAnsi="Times New Roman" w:eastAsia="宋体" w:cs="Times New Roman"/>
      <w:kern w:val="2"/>
      <w:sz w:val="21"/>
      <w:szCs w:val="24"/>
      <w:lang w:val="en-US" w:eastAsia="zh-CN" w:bidi="ar-SA"/>
    </w:rPr>
  </w:style>
  <w:style w:type="character" w:customStyle="1" w:styleId="197">
    <w:name w:val="标题 6 字符"/>
    <w:link w:val="9"/>
    <w:qFormat/>
    <w:uiPriority w:val="0"/>
    <w:rPr>
      <w:rFonts w:ascii="等线 Light" w:hAnsi="等线 Light" w:eastAsia="等线 Light" w:cs="Times New Roman"/>
      <w:b/>
      <w:bCs/>
      <w:kern w:val="2"/>
      <w:sz w:val="24"/>
      <w:szCs w:val="24"/>
    </w:rPr>
  </w:style>
  <w:style w:type="character" w:customStyle="1" w:styleId="198">
    <w:name w:val="noticegetfile-getbidfileaddress"/>
    <w:basedOn w:val="38"/>
    <w:qFormat/>
    <w:uiPriority w:val="0"/>
  </w:style>
  <w:style w:type="character" w:customStyle="1" w:styleId="199">
    <w:name w:val="noticepurchasetime-noticepurchasetime"/>
    <w:basedOn w:val="38"/>
    <w:qFormat/>
    <w:uiPriority w:val="0"/>
  </w:style>
  <w:style w:type="paragraph" w:customStyle="1" w:styleId="200">
    <w:name w:val="u-cont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201">
    <w:name w:val="u-content1"/>
    <w:basedOn w:val="38"/>
    <w:qFormat/>
    <w:uiPriority w:val="0"/>
  </w:style>
  <w:style w:type="character" w:customStyle="1" w:styleId="202">
    <w:name w:val="noticebidtime-bidaddress"/>
    <w:basedOn w:val="38"/>
    <w:qFormat/>
    <w:uiPriority w:val="0"/>
  </w:style>
  <w:style w:type="character" w:customStyle="1" w:styleId="203">
    <w:name w:val="标题 3 Char"/>
    <w:qFormat/>
    <w:uiPriority w:val="0"/>
    <w:rPr>
      <w:rFonts w:ascii="宋体" w:hAnsi="宋体"/>
      <w:b/>
      <w:sz w:val="30"/>
      <w:szCs w:val="30"/>
    </w:rPr>
  </w:style>
  <w:style w:type="character" w:customStyle="1" w:styleId="204">
    <w:name w:val="纯文本 Char"/>
    <w:qFormat/>
    <w:uiPriority w:val="0"/>
    <w:rPr>
      <w:rFonts w:ascii="宋体" w:hAnsi="Courier New"/>
      <w:kern w:val="2"/>
      <w:sz w:val="21"/>
    </w:rPr>
  </w:style>
  <w:style w:type="character" w:customStyle="1" w:styleId="205">
    <w:name w:val="页脚 Char"/>
    <w:qFormat/>
    <w:uiPriority w:val="0"/>
    <w:rPr>
      <w:rFonts w:ascii="宋体"/>
      <w:sz w:val="18"/>
    </w:rPr>
  </w:style>
  <w:style w:type="character" w:customStyle="1" w:styleId="206">
    <w:name w:val="标题 2 Char"/>
    <w:qFormat/>
    <w:uiPriority w:val="0"/>
    <w:rPr>
      <w:rFonts w:ascii="Arial" w:hAnsi="Arial" w:eastAsia="黑体"/>
      <w:b/>
      <w:sz w:val="30"/>
    </w:rPr>
  </w:style>
  <w:style w:type="character" w:customStyle="1" w:styleId="207">
    <w:name w:val="正文文本缩进 字符"/>
    <w:link w:val="13"/>
    <w:qFormat/>
    <w:uiPriority w:val="0"/>
    <w:rPr>
      <w:kern w:val="2"/>
      <w:sz w:val="24"/>
      <w:szCs w:val="24"/>
    </w:rPr>
  </w:style>
  <w:style w:type="character" w:customStyle="1" w:styleId="208">
    <w:name w:val="正文文本首行缩进 2 字符"/>
    <w:link w:val="35"/>
    <w:qFormat/>
    <w:uiPriority w:val="0"/>
    <w:rPr>
      <w:kern w:val="2"/>
      <w:sz w:val="21"/>
      <w:szCs w:val="24"/>
    </w:rPr>
  </w:style>
  <w:style w:type="paragraph" w:customStyle="1" w:styleId="209">
    <w:name w:val="__正文"/>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character" w:customStyle="1" w:styleId="210">
    <w:name w:val="列表段落 字符"/>
    <w:link w:val="82"/>
    <w:qFormat/>
    <w:uiPriority w:val="0"/>
    <w:rPr>
      <w:sz w:val="24"/>
      <w:szCs w:val="24"/>
    </w:rPr>
  </w:style>
  <w:style w:type="paragraph" w:customStyle="1" w:styleId="211">
    <w:name w:val="正式正文"/>
    <w:basedOn w:val="6"/>
    <w:qFormat/>
    <w:uiPriority w:val="0"/>
    <w:pPr>
      <w:autoSpaceDE/>
      <w:autoSpaceDN/>
      <w:adjustRightInd/>
      <w:spacing w:line="360" w:lineRule="auto"/>
      <w:ind w:firstLine="480"/>
      <w:jc w:val="both"/>
    </w:pPr>
    <w:rPr>
      <w:rFonts w:ascii="Times New Roman"/>
      <w:kern w:val="2"/>
    </w:rPr>
  </w:style>
  <w:style w:type="character" w:customStyle="1" w:styleId="212">
    <w:name w:val="正文文本 Char"/>
    <w:qFormat/>
    <w:uiPriority w:val="0"/>
    <w:rPr>
      <w:rFonts w:ascii="宋体" w:hAnsi="宋体"/>
      <w:kern w:val="2"/>
      <w:sz w:val="24"/>
      <w:szCs w:val="24"/>
    </w:rPr>
  </w:style>
  <w:style w:type="paragraph" w:customStyle="1" w:styleId="213">
    <w:name w:val="样式2"/>
    <w:basedOn w:val="1"/>
    <w:link w:val="214"/>
    <w:qFormat/>
    <w:uiPriority w:val="0"/>
    <w:pPr>
      <w:spacing w:line="300" w:lineRule="auto"/>
      <w:jc w:val="center"/>
      <w:outlineLvl w:val="0"/>
    </w:pPr>
    <w:rPr>
      <w:rFonts w:eastAsia="Arial Unicode MS"/>
      <w:b/>
      <w:sz w:val="24"/>
    </w:rPr>
  </w:style>
  <w:style w:type="character" w:customStyle="1" w:styleId="214">
    <w:name w:val="样式2 Char Char"/>
    <w:link w:val="213"/>
    <w:qFormat/>
    <w:uiPriority w:val="0"/>
    <w:rPr>
      <w:rFonts w:eastAsia="Arial Unicode MS"/>
      <w:b/>
      <w:kern w:val="2"/>
      <w:sz w:val="24"/>
      <w:szCs w:val="24"/>
    </w:rPr>
  </w:style>
  <w:style w:type="paragraph" w:customStyle="1" w:styleId="215">
    <w:name w:val="纯文本2"/>
    <w:basedOn w:val="1"/>
    <w:qFormat/>
    <w:uiPriority w:val="0"/>
    <w:pPr>
      <w:adjustRightInd w:val="0"/>
      <w:textAlignment w:val="baseline"/>
    </w:pPr>
    <w:rPr>
      <w:rFonts w:ascii="宋体" w:hAnsi="Courier New" w:eastAsia="楷体_GB2312"/>
      <w:sz w:val="28"/>
      <w:szCs w:val="20"/>
    </w:rPr>
  </w:style>
  <w:style w:type="character" w:customStyle="1" w:styleId="216">
    <w:name w:val="Body text|4_"/>
    <w:link w:val="217"/>
    <w:qFormat/>
    <w:uiPriority w:val="0"/>
    <w:rPr>
      <w:rFonts w:ascii="宋体" w:hAnsi="宋体" w:cs="宋体"/>
      <w:sz w:val="30"/>
      <w:szCs w:val="30"/>
      <w:lang w:val="zh-TW" w:eastAsia="zh-TW" w:bidi="zh-TW"/>
    </w:rPr>
  </w:style>
  <w:style w:type="paragraph" w:customStyle="1" w:styleId="217">
    <w:name w:val="Body text|4"/>
    <w:basedOn w:val="1"/>
    <w:link w:val="216"/>
    <w:qFormat/>
    <w:uiPriority w:val="0"/>
    <w:pPr>
      <w:spacing w:after="480" w:line="504" w:lineRule="exact"/>
      <w:jc w:val="left"/>
    </w:pPr>
    <w:rPr>
      <w:rFonts w:ascii="宋体" w:hAnsi="宋体" w:cs="宋体"/>
      <w:kern w:val="0"/>
      <w:sz w:val="30"/>
      <w:szCs w:val="30"/>
      <w:lang w:val="zh-TW" w:eastAsia="zh-TW" w:bidi="zh-TW"/>
    </w:rPr>
  </w:style>
  <w:style w:type="character" w:customStyle="1" w:styleId="218">
    <w:name w:val="_notice_content_title-title"/>
    <w:basedOn w:val="38"/>
    <w:qFormat/>
    <w:uiPriority w:val="0"/>
  </w:style>
  <w:style w:type="character" w:customStyle="1" w:styleId="219">
    <w:name w:val="Unresolved Mention"/>
    <w:basedOn w:val="38"/>
    <w:semiHidden/>
    <w:unhideWhenUsed/>
    <w:qFormat/>
    <w:uiPriority w:val="99"/>
    <w:rPr>
      <w:color w:val="605E5C"/>
      <w:shd w:val="clear" w:color="auto" w:fill="E1DFDD"/>
    </w:rPr>
  </w:style>
  <w:style w:type="paragraph" w:customStyle="1" w:styleId="220">
    <w:name w:val="Revision"/>
    <w: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8AB5-156A-47F8-AD49-8C47676E682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77</Pages>
  <Words>6174</Words>
  <Characters>35196</Characters>
  <Lines>293</Lines>
  <Paragraphs>82</Paragraphs>
  <TotalTime>0</TotalTime>
  <ScaleCrop>false</ScaleCrop>
  <LinksUpToDate>false</LinksUpToDate>
  <CharactersWithSpaces>41288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2023-04-27T08:44:00Z</dcterms:created>
  <dc:creator>USER-</dc:creator>
  <cp:lastModifiedBy>j@x</cp:lastModifiedBy>
  <cp:lastPrinted>2023-09-05T08:06:39Z</cp:lastPrinted>
  <dcterms:modified xsi:type="dcterms:W3CDTF">2023-09-05T08:07:13Z</dcterms:modified>
  <dc:title>02年杜范本稿</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4321CDEB5BCF4ED99276C3038B7513E6</vt:lpwstr>
  </property>
</Properties>
</file>