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cs="仿宋"/>
          <w:szCs w:val="24"/>
        </w:rPr>
      </w:pPr>
      <w:r>
        <w:rPr>
          <w:rFonts w:hint="eastAsia" w:ascii="仿宋" w:hAnsi="仿宋" w:cs="仿宋"/>
          <w:b/>
          <w:bCs/>
          <w:szCs w:val="24"/>
        </w:rPr>
        <w:t>一、基本资格条件：</w:t>
      </w:r>
      <w:r>
        <w:rPr>
          <w:rFonts w:hint="eastAsia" w:ascii="仿宋" w:hAnsi="仿宋" w:cs="仿宋"/>
          <w:szCs w:val="24"/>
        </w:rPr>
        <w:t>符合《中华人民共和国政府采购法》第二十二条的规定：</w:t>
      </w:r>
    </w:p>
    <w:p>
      <w:pPr>
        <w:rPr>
          <w:rFonts w:hint="eastAsia"/>
        </w:rPr>
      </w:pPr>
      <w:r>
        <w:rPr>
          <w:rFonts w:hint="eastAsia"/>
        </w:rPr>
        <w:t xml:space="preserve">1、具有独立承担民事责任的能力（提供统一社会信用代码的营业执照（或事业法人证）等证明文件，投标单位为自然人的提供身份证)； </w:t>
      </w:r>
    </w:p>
    <w:p>
      <w:pPr>
        <w:rPr>
          <w:rFonts w:hint="eastAsia"/>
        </w:rPr>
      </w:pPr>
      <w:r>
        <w:rPr>
          <w:rFonts w:hint="eastAsia"/>
        </w:rPr>
        <w:t xml:space="preserve">2、具有良好的商业信誉和健全的财务会计制度（2022年度经第三方审计的财务报告，至少包括三表一注，即资产负债表、利润表、现金流量表及其附注（成立时间至提交投标文件截止时间不足一年的可提供成立后任意时段的资产负债表）；或其投标文件递交截止时间前三个月内基本存款账户开户银行出 具的资信证明及开户银行许可证（或开户行出具的基本户证明材料）；或信用担保机构出具的投标担保函（复印件或扫描件加盖申请人公章）。（以上三种形式提供任何一种即可））； </w:t>
      </w:r>
    </w:p>
    <w:p>
      <w:pPr>
        <w:numPr>
          <w:ilvl w:val="0"/>
          <w:numId w:val="1"/>
        </w:numPr>
        <w:rPr>
          <w:rFonts w:hint="eastAsia"/>
        </w:rPr>
      </w:pPr>
      <w:r>
        <w:rPr>
          <w:rFonts w:hint="eastAsia"/>
        </w:rPr>
        <w:t xml:space="preserve">具有履行合同所必需的设备和专业技术能力的说明及承诺； </w:t>
      </w:r>
    </w:p>
    <w:p>
      <w:pPr>
        <w:numPr>
          <w:ilvl w:val="0"/>
          <w:numId w:val="1"/>
        </w:numPr>
        <w:ind w:left="0" w:leftChars="0" w:firstLine="0" w:firstLineChars="0"/>
        <w:rPr>
          <w:rFonts w:hint="eastAsia"/>
        </w:rPr>
      </w:pPr>
      <w:r>
        <w:rPr>
          <w:rFonts w:hint="eastAsia"/>
        </w:rPr>
        <w:t xml:space="preserve">具有依法缴纳 税收和社会保障资金的良好记录（提供截止至投标文件递交时间前12个月内任一月份的缴费凭据或提供相关主管部门出具的缴纳证明）。依法免缴的申请人须提供相应文件证明其依法免缴； </w:t>
      </w:r>
    </w:p>
    <w:p>
      <w:pPr>
        <w:numPr>
          <w:ilvl w:val="0"/>
          <w:numId w:val="1"/>
        </w:numPr>
        <w:ind w:left="0" w:leftChars="0" w:firstLine="0" w:firstLineChars="0"/>
        <w:rPr>
          <w:rFonts w:hint="eastAsia"/>
        </w:rPr>
      </w:pPr>
      <w:r>
        <w:rPr>
          <w:rFonts w:hint="eastAsia"/>
        </w:rPr>
        <w:t>参加政府采购活动前3年内在经营活动中没有重大违法记录的书面声明。供应商需在项目电子化交易系统中按要求填写《投标函》完成承诺并进行电子签章。</w:t>
      </w:r>
    </w:p>
    <w:p>
      <w:pPr>
        <w:pStyle w:val="2"/>
        <w:numPr>
          <w:numId w:val="0"/>
        </w:numPr>
        <w:ind w:leftChars="0"/>
      </w:pPr>
    </w:p>
    <w:p>
      <w:pPr>
        <w:rPr>
          <w:rFonts w:hint="eastAsia" w:ascii="仿宋" w:hAnsi="仿宋" w:eastAsia="仿宋" w:cs="仿宋"/>
          <w:bCs/>
          <w:sz w:val="24"/>
          <w:szCs w:val="24"/>
        </w:rPr>
      </w:pPr>
      <w:bookmarkStart w:id="0" w:name="_Toc8058"/>
      <w:bookmarkStart w:id="1" w:name="_Toc7879"/>
      <w:bookmarkStart w:id="2" w:name="_Toc9758"/>
      <w:bookmarkStart w:id="3" w:name="_Toc21692"/>
      <w:bookmarkStart w:id="4" w:name="_Toc29738"/>
      <w:bookmarkStart w:id="5" w:name="_Toc24591"/>
      <w:bookmarkStart w:id="6" w:name="_Toc6885"/>
      <w:r>
        <w:rPr>
          <w:rFonts w:hint="eastAsia" w:ascii="仿宋" w:hAnsi="仿宋" w:eastAsia="仿宋" w:cs="仿宋"/>
          <w:bCs/>
          <w:sz w:val="24"/>
          <w:szCs w:val="24"/>
        </w:rPr>
        <w:br w:type="page"/>
      </w:r>
    </w:p>
    <w:p>
      <w:pPr>
        <w:pStyle w:val="3"/>
        <w:spacing w:line="360" w:lineRule="auto"/>
        <w:rPr>
          <w:rFonts w:hint="eastAsia" w:ascii="仿宋" w:hAnsi="仿宋" w:eastAsia="仿宋" w:cs="仿宋"/>
        </w:rPr>
      </w:pPr>
      <w:r>
        <w:rPr>
          <w:rFonts w:hint="eastAsia" w:ascii="仿宋" w:hAnsi="仿宋" w:eastAsia="仿宋" w:cs="仿宋"/>
          <w:b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0"/>
      <w:bookmarkEnd w:id="1"/>
      <w:bookmarkEnd w:id="2"/>
      <w:bookmarkEnd w:id="3"/>
      <w:bookmarkEnd w:id="4"/>
      <w:bookmarkEnd w:id="5"/>
      <w:bookmarkEnd w:id="6"/>
    </w:p>
    <w:p>
      <w:pPr>
        <w:pStyle w:val="3"/>
        <w:spacing w:line="360" w:lineRule="auto"/>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具有良好的商业信誉和健全的财务会计制度（2022年度经第三方审计的财务报告，至少包括三表一注，即资产负债表、利润表、现</w:t>
      </w:r>
      <w:bookmarkStart w:id="28" w:name="_GoBack"/>
      <w:bookmarkEnd w:id="28"/>
      <w:r>
        <w:rPr>
          <w:rFonts w:hint="eastAsia" w:ascii="仿宋" w:hAnsi="仿宋" w:eastAsia="仿宋" w:cs="仿宋"/>
          <w:sz w:val="24"/>
          <w:szCs w:val="24"/>
        </w:rPr>
        <w:t>金流量表及其附注（成立时间至提交投标文件截止时间不足一年的可提供成立后任意时段的资产负债表）；或其投标文件递交截止时间前三个月内基本存款账户开户银行出 具的资信证明及开户银行许可证（或开户行出具的基本户证明材料）；或信用担保机构出具的投标担保函（复印件或扫描件加盖申请人公章）。（以上三种形式提供任何一种即可））；</w:t>
      </w:r>
    </w:p>
    <w:p>
      <w:pPr>
        <w:spacing w:line="360" w:lineRule="auto"/>
        <w:rPr>
          <w:rFonts w:hint="eastAsia" w:ascii="仿宋" w:hAnsi="仿宋" w:eastAsia="仿宋" w:cs="仿宋"/>
          <w:sz w:val="24"/>
          <w:szCs w:val="22"/>
        </w:rPr>
      </w:pPr>
      <w:r>
        <w:rPr>
          <w:rFonts w:hint="eastAsia" w:ascii="仿宋" w:hAnsi="仿宋" w:eastAsia="仿宋" w:cs="仿宋"/>
          <w:sz w:val="24"/>
          <w:szCs w:val="22"/>
        </w:rPr>
        <w:t>1、供应商为法人的，提供2022年度经审计的财务报告</w:t>
      </w:r>
      <w:r>
        <w:rPr>
          <w:rFonts w:hint="eastAsia" w:ascii="仿宋" w:hAnsi="仿宋" w:cs="仿宋"/>
          <w:sz w:val="24"/>
          <w:szCs w:val="22"/>
          <w:lang w:eastAsia="zh-CN"/>
        </w:rPr>
        <w:t>（</w:t>
      </w:r>
      <w:r>
        <w:rPr>
          <w:rFonts w:hint="eastAsia"/>
        </w:rPr>
        <w:t>至少包括三表一注，即资产负债表、利润表、现金流量表及其附注</w:t>
      </w:r>
      <w:r>
        <w:rPr>
          <w:rFonts w:hint="eastAsia" w:ascii="仿宋" w:hAnsi="仿宋" w:cs="仿宋"/>
          <w:sz w:val="24"/>
          <w:szCs w:val="22"/>
          <w:lang w:eastAsia="zh-CN"/>
        </w:rPr>
        <w:t>）</w:t>
      </w:r>
      <w:r>
        <w:rPr>
          <w:rFonts w:hint="eastAsia" w:ascii="仿宋" w:hAnsi="仿宋" w:eastAsia="仿宋" w:cs="仿宋"/>
          <w:sz w:val="24"/>
          <w:szCs w:val="22"/>
        </w:rPr>
        <w:t>或提供投标截止日期前</w:t>
      </w:r>
      <w:r>
        <w:rPr>
          <w:rFonts w:hint="eastAsia" w:ascii="仿宋" w:hAnsi="仿宋" w:cs="仿宋"/>
          <w:sz w:val="24"/>
          <w:szCs w:val="22"/>
          <w:lang w:val="en-US" w:eastAsia="zh-CN"/>
        </w:rPr>
        <w:t>3</w:t>
      </w:r>
      <w:r>
        <w:rPr>
          <w:rFonts w:hint="eastAsia" w:ascii="仿宋" w:hAnsi="仿宋" w:eastAsia="仿宋" w:cs="仿宋"/>
          <w:sz w:val="24"/>
          <w:szCs w:val="22"/>
        </w:rPr>
        <w:t>个月内的银行资信证明。</w:t>
      </w:r>
    </w:p>
    <w:p>
      <w:pPr>
        <w:spacing w:line="360" w:lineRule="auto"/>
        <w:rPr>
          <w:rFonts w:hint="eastAsia" w:ascii="仿宋" w:hAnsi="仿宋" w:eastAsia="仿宋" w:cs="仿宋"/>
          <w:sz w:val="24"/>
          <w:szCs w:val="22"/>
        </w:rPr>
      </w:pPr>
      <w:r>
        <w:rPr>
          <w:rFonts w:hint="eastAsia" w:ascii="仿宋" w:hAnsi="仿宋" w:eastAsia="仿宋" w:cs="仿宋"/>
          <w:sz w:val="24"/>
          <w:szCs w:val="22"/>
        </w:rPr>
        <w:t>2、部分其他组织和自然人，没有经审计的财务报告，可以提供投标截止日期前</w:t>
      </w:r>
      <w:r>
        <w:rPr>
          <w:rFonts w:hint="eastAsia" w:ascii="仿宋" w:hAnsi="仿宋" w:cs="仿宋"/>
          <w:sz w:val="24"/>
          <w:szCs w:val="22"/>
          <w:lang w:val="en-US" w:eastAsia="zh-CN"/>
        </w:rPr>
        <w:t>3</w:t>
      </w:r>
      <w:r>
        <w:rPr>
          <w:rFonts w:hint="eastAsia" w:ascii="仿宋" w:hAnsi="仿宋" w:eastAsia="仿宋" w:cs="仿宋"/>
          <w:sz w:val="24"/>
          <w:szCs w:val="22"/>
        </w:rPr>
        <w:t>个月内的银行资信证明。</w:t>
      </w:r>
    </w:p>
    <w:p>
      <w:pPr>
        <w:spacing w:line="360" w:lineRule="auto"/>
        <w:rPr>
          <w:rFonts w:hint="eastAsia" w:ascii="仿宋" w:hAnsi="仿宋" w:eastAsia="仿宋" w:cs="仿宋"/>
          <w:sz w:val="24"/>
          <w:szCs w:val="22"/>
        </w:rPr>
      </w:pPr>
      <w:r>
        <w:rPr>
          <w:rFonts w:hint="eastAsia" w:ascii="仿宋" w:hAnsi="仿宋" w:eastAsia="仿宋" w:cs="仿宋"/>
          <w:sz w:val="24"/>
          <w:szCs w:val="22"/>
        </w:rPr>
        <w:t>3、供应商提供了财政部门认可的政府采购专业担保机构出具的投标担保函，则不需要提供上述财务状况报告。</w:t>
      </w:r>
    </w:p>
    <w:p>
      <w:pPr>
        <w:pStyle w:val="3"/>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7" w:name="_Toc27004"/>
      <w:bookmarkStart w:id="8" w:name="_Toc11868"/>
      <w:bookmarkStart w:id="9" w:name="_Toc18543"/>
      <w:bookmarkStart w:id="10" w:name="_Toc17741"/>
      <w:bookmarkStart w:id="11" w:name="_Toc27189"/>
      <w:bookmarkStart w:id="12" w:name="_Toc15773"/>
      <w:bookmarkStart w:id="13" w:name="_Toc9186"/>
      <w:r>
        <w:rPr>
          <w:rFonts w:hint="eastAsia" w:ascii="仿宋" w:hAnsi="仿宋" w:eastAsia="仿宋" w:cs="仿宋"/>
          <w:sz w:val="24"/>
          <w:szCs w:val="24"/>
        </w:rPr>
        <w:t>具有履行合同所必需的设备和专业技术能力；</w:t>
      </w:r>
      <w:bookmarkEnd w:id="7"/>
      <w:bookmarkEnd w:id="8"/>
      <w:bookmarkEnd w:id="9"/>
      <w:bookmarkEnd w:id="10"/>
      <w:bookmarkEnd w:id="11"/>
      <w:bookmarkEnd w:id="12"/>
      <w:bookmarkEnd w:id="13"/>
    </w:p>
    <w:p>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西安市文物保护考古研究院：</w:t>
      </w:r>
    </w:p>
    <w:p>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5"/>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2126"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pPr>
              <w:spacing w:line="360" w:lineRule="auto"/>
              <w:jc w:val="center"/>
              <w:rPr>
                <w:rFonts w:hint="eastAsia" w:ascii="仿宋" w:hAnsi="仿宋" w:eastAsia="仿宋" w:cs="仿宋"/>
                <w:sz w:val="24"/>
              </w:rPr>
            </w:pPr>
          </w:p>
        </w:tc>
        <w:tc>
          <w:tcPr>
            <w:tcW w:w="2268" w:type="dxa"/>
            <w:noWrap w:val="0"/>
            <w:vAlign w:val="center"/>
          </w:tcPr>
          <w:p>
            <w:pPr>
              <w:spacing w:line="360" w:lineRule="auto"/>
              <w:jc w:val="center"/>
              <w:rPr>
                <w:rFonts w:hint="eastAsia" w:ascii="仿宋" w:hAnsi="仿宋" w:eastAsia="仿宋" w:cs="仿宋"/>
                <w:sz w:val="24"/>
              </w:rPr>
            </w:pPr>
          </w:p>
        </w:tc>
        <w:tc>
          <w:tcPr>
            <w:tcW w:w="851" w:type="dxa"/>
            <w:noWrap w:val="0"/>
            <w:vAlign w:val="center"/>
          </w:tcPr>
          <w:p>
            <w:pPr>
              <w:spacing w:line="360" w:lineRule="auto"/>
              <w:jc w:val="center"/>
              <w:rPr>
                <w:rFonts w:hint="eastAsia" w:ascii="仿宋" w:hAnsi="仿宋" w:eastAsia="仿宋" w:cs="仿宋"/>
                <w:sz w:val="24"/>
              </w:rPr>
            </w:pPr>
          </w:p>
        </w:tc>
        <w:tc>
          <w:tcPr>
            <w:tcW w:w="2126" w:type="dxa"/>
            <w:noWrap w:val="0"/>
            <w:vAlign w:val="center"/>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pPr>
              <w:spacing w:line="360" w:lineRule="auto"/>
              <w:jc w:val="center"/>
              <w:rPr>
                <w:rFonts w:hint="eastAsia" w:ascii="仿宋" w:hAnsi="仿宋" w:eastAsia="仿宋" w:cs="仿宋"/>
                <w:sz w:val="24"/>
              </w:rPr>
            </w:pPr>
          </w:p>
        </w:tc>
        <w:tc>
          <w:tcPr>
            <w:tcW w:w="2268" w:type="dxa"/>
            <w:noWrap w:val="0"/>
            <w:vAlign w:val="center"/>
          </w:tcPr>
          <w:p>
            <w:pPr>
              <w:spacing w:line="360" w:lineRule="auto"/>
              <w:jc w:val="center"/>
              <w:rPr>
                <w:rFonts w:hint="eastAsia" w:ascii="仿宋" w:hAnsi="仿宋" w:eastAsia="仿宋" w:cs="仿宋"/>
                <w:sz w:val="24"/>
              </w:rPr>
            </w:pPr>
          </w:p>
        </w:tc>
        <w:tc>
          <w:tcPr>
            <w:tcW w:w="851" w:type="dxa"/>
            <w:noWrap w:val="0"/>
            <w:vAlign w:val="center"/>
          </w:tcPr>
          <w:p>
            <w:pPr>
              <w:spacing w:line="360" w:lineRule="auto"/>
              <w:jc w:val="center"/>
              <w:rPr>
                <w:rFonts w:hint="eastAsia" w:ascii="仿宋" w:hAnsi="仿宋" w:eastAsia="仿宋" w:cs="仿宋"/>
                <w:sz w:val="24"/>
              </w:rPr>
            </w:pPr>
          </w:p>
        </w:tc>
        <w:tc>
          <w:tcPr>
            <w:tcW w:w="2126" w:type="dxa"/>
            <w:noWrap w:val="0"/>
            <w:vAlign w:val="center"/>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pPr>
              <w:spacing w:line="360" w:lineRule="auto"/>
              <w:jc w:val="center"/>
              <w:rPr>
                <w:rFonts w:hint="eastAsia" w:ascii="仿宋" w:hAnsi="仿宋" w:eastAsia="仿宋" w:cs="仿宋"/>
                <w:sz w:val="24"/>
              </w:rPr>
            </w:pPr>
          </w:p>
        </w:tc>
        <w:tc>
          <w:tcPr>
            <w:tcW w:w="2268" w:type="dxa"/>
            <w:noWrap w:val="0"/>
            <w:vAlign w:val="center"/>
          </w:tcPr>
          <w:p>
            <w:pPr>
              <w:spacing w:line="360" w:lineRule="auto"/>
              <w:jc w:val="center"/>
              <w:rPr>
                <w:rFonts w:hint="eastAsia" w:ascii="仿宋" w:hAnsi="仿宋" w:eastAsia="仿宋" w:cs="仿宋"/>
                <w:sz w:val="24"/>
              </w:rPr>
            </w:pPr>
          </w:p>
        </w:tc>
        <w:tc>
          <w:tcPr>
            <w:tcW w:w="851" w:type="dxa"/>
            <w:noWrap w:val="0"/>
            <w:vAlign w:val="center"/>
          </w:tcPr>
          <w:p>
            <w:pPr>
              <w:spacing w:line="360" w:lineRule="auto"/>
              <w:jc w:val="center"/>
              <w:rPr>
                <w:rFonts w:hint="eastAsia" w:ascii="仿宋" w:hAnsi="仿宋" w:eastAsia="仿宋" w:cs="仿宋"/>
                <w:sz w:val="24"/>
              </w:rPr>
            </w:pPr>
          </w:p>
        </w:tc>
        <w:tc>
          <w:tcPr>
            <w:tcW w:w="2126" w:type="dxa"/>
            <w:noWrap w:val="0"/>
            <w:vAlign w:val="center"/>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pPr>
              <w:spacing w:line="360" w:lineRule="auto"/>
              <w:jc w:val="center"/>
              <w:rPr>
                <w:rFonts w:hint="eastAsia" w:ascii="仿宋" w:hAnsi="仿宋" w:eastAsia="仿宋" w:cs="仿宋"/>
                <w:sz w:val="24"/>
              </w:rPr>
            </w:pPr>
          </w:p>
        </w:tc>
        <w:tc>
          <w:tcPr>
            <w:tcW w:w="2268" w:type="dxa"/>
            <w:noWrap w:val="0"/>
            <w:vAlign w:val="center"/>
          </w:tcPr>
          <w:p>
            <w:pPr>
              <w:spacing w:line="360" w:lineRule="auto"/>
              <w:jc w:val="center"/>
              <w:rPr>
                <w:rFonts w:hint="eastAsia" w:ascii="仿宋" w:hAnsi="仿宋" w:eastAsia="仿宋" w:cs="仿宋"/>
                <w:sz w:val="24"/>
              </w:rPr>
            </w:pPr>
          </w:p>
        </w:tc>
        <w:tc>
          <w:tcPr>
            <w:tcW w:w="851" w:type="dxa"/>
            <w:noWrap w:val="0"/>
            <w:vAlign w:val="center"/>
          </w:tcPr>
          <w:p>
            <w:pPr>
              <w:spacing w:line="360" w:lineRule="auto"/>
              <w:jc w:val="center"/>
              <w:rPr>
                <w:rFonts w:hint="eastAsia" w:ascii="仿宋" w:hAnsi="仿宋" w:eastAsia="仿宋" w:cs="仿宋"/>
                <w:sz w:val="24"/>
              </w:rPr>
            </w:pPr>
          </w:p>
        </w:tc>
        <w:tc>
          <w:tcPr>
            <w:tcW w:w="2126" w:type="dxa"/>
            <w:noWrap w:val="0"/>
            <w:vAlign w:val="center"/>
          </w:tcPr>
          <w:p>
            <w:pPr>
              <w:spacing w:line="360" w:lineRule="auto"/>
              <w:jc w:val="center"/>
              <w:rPr>
                <w:rFonts w:hint="eastAsia" w:ascii="仿宋" w:hAnsi="仿宋" w:eastAsia="仿宋" w:cs="仿宋"/>
                <w:sz w:val="24"/>
              </w:rPr>
            </w:pPr>
          </w:p>
        </w:tc>
      </w:tr>
    </w:tbl>
    <w:p>
      <w:pPr>
        <w:spacing w:before="240" w:beforeLines="100" w:after="120" w:afterLines="50" w:line="360" w:lineRule="auto"/>
        <w:ind w:firstLine="170"/>
        <w:rPr>
          <w:rFonts w:hint="eastAsia" w:ascii="仿宋" w:hAnsi="仿宋" w:eastAsia="仿宋" w:cs="仿宋"/>
          <w:spacing w:val="4"/>
          <w:sz w:val="24"/>
          <w:szCs w:val="24"/>
        </w:rPr>
      </w:pPr>
    </w:p>
    <w:p>
      <w:pPr>
        <w:pStyle w:val="2"/>
        <w:rPr>
          <w:rFonts w:hint="eastAsia" w:ascii="仿宋" w:hAnsi="仿宋" w:eastAsia="仿宋" w:cs="仿宋"/>
          <w:spacing w:val="4"/>
          <w:sz w:val="24"/>
          <w:szCs w:val="24"/>
        </w:rPr>
      </w:pPr>
    </w:p>
    <w:p>
      <w:pPr>
        <w:rPr>
          <w:rFonts w:hint="eastAsia" w:ascii="仿宋" w:hAnsi="仿宋" w:eastAsia="仿宋" w:cs="仿宋"/>
          <w:sz w:val="24"/>
          <w:szCs w:val="24"/>
        </w:rPr>
      </w:pPr>
    </w:p>
    <w:p>
      <w:pPr>
        <w:spacing w:line="480" w:lineRule="auto"/>
        <w:ind w:right="-161" w:firstLine="2650" w:firstLineChars="1100"/>
        <w:rPr>
          <w:rFonts w:hint="eastAsia" w:ascii="仿宋" w:hAnsi="仿宋" w:eastAsia="仿宋" w:cs="仿宋"/>
          <w:b/>
          <w:bCs/>
          <w:sz w:val="24"/>
          <w:u w:val="single"/>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法定代表人或被授权代表（签字或盖章）：</w:t>
      </w:r>
      <w:r>
        <w:rPr>
          <w:rFonts w:hint="eastAsia" w:ascii="仿宋" w:hAnsi="仿宋" w:eastAsia="仿宋" w:cs="仿宋"/>
          <w:b/>
          <w:bCs/>
          <w:sz w:val="24"/>
          <w:u w:val="single"/>
        </w:rPr>
        <w:t xml:space="preserve">       </w:t>
      </w:r>
    </w:p>
    <w:p>
      <w:pPr>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pPr>
        <w:rPr>
          <w:rFonts w:hint="eastAsia" w:ascii="仿宋" w:hAnsi="仿宋" w:eastAsia="仿宋" w:cs="仿宋"/>
        </w:rPr>
      </w:pPr>
    </w:p>
    <w:p>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14" w:name="_Toc15643"/>
      <w:bookmarkStart w:id="15" w:name="_Toc10553"/>
      <w:bookmarkStart w:id="16" w:name="_Toc15437"/>
      <w:bookmarkStart w:id="17" w:name="_Toc57"/>
      <w:bookmarkStart w:id="18" w:name="_Toc401"/>
      <w:bookmarkStart w:id="19" w:name="_Toc32763"/>
      <w:bookmarkStart w:id="20" w:name="_Toc16092"/>
      <w:r>
        <w:rPr>
          <w:rFonts w:hint="eastAsia" w:ascii="仿宋" w:hAnsi="仿宋" w:eastAsia="仿宋" w:cs="仿宋"/>
          <w:sz w:val="24"/>
          <w:szCs w:val="24"/>
        </w:rPr>
        <w:t>具有依法缴纳税收和社会保障资金的良好记录（同时提供投标截止时间前12个月内缴存的任意1个月的社保及税收缴纳证明；依法不需要缴纳的应提供相关证明文件)；</w:t>
      </w:r>
      <w:bookmarkEnd w:id="14"/>
      <w:bookmarkEnd w:id="15"/>
      <w:bookmarkEnd w:id="16"/>
      <w:bookmarkEnd w:id="17"/>
      <w:bookmarkEnd w:id="18"/>
      <w:bookmarkEnd w:id="19"/>
      <w:bookmarkEnd w:id="20"/>
    </w:p>
    <w:p>
      <w:pPr>
        <w:numPr>
          <w:ilvl w:val="0"/>
          <w:numId w:val="2"/>
        </w:numPr>
        <w:spacing w:line="360" w:lineRule="auto"/>
        <w:rPr>
          <w:rFonts w:hint="eastAsia" w:ascii="仿宋" w:hAnsi="仿宋" w:eastAsia="仿宋" w:cs="仿宋"/>
          <w:sz w:val="24"/>
          <w:szCs w:val="22"/>
        </w:rPr>
      </w:pPr>
      <w:r>
        <w:rPr>
          <w:rFonts w:hint="eastAsia" w:ascii="仿宋" w:hAnsi="仿宋" w:eastAsia="仿宋" w:cs="仿宋"/>
          <w:sz w:val="24"/>
          <w:szCs w:val="22"/>
        </w:rPr>
        <w:t>供应商须依法缴纳社会保障资金，须提供截止开标日期前12个月内任意1个月的社会保障资金缴纳证明复印件并加盖供应商单位公章，自行编写无效。</w:t>
      </w:r>
    </w:p>
    <w:p>
      <w:pPr>
        <w:spacing w:line="360" w:lineRule="auto"/>
        <w:rPr>
          <w:rFonts w:hint="eastAsia" w:ascii="仿宋" w:hAnsi="仿宋" w:eastAsia="仿宋" w:cs="仿宋"/>
          <w:b/>
          <w:bCs/>
          <w:sz w:val="24"/>
          <w:szCs w:val="22"/>
        </w:rPr>
      </w:pPr>
      <w:r>
        <w:rPr>
          <w:rFonts w:hint="eastAsia" w:ascii="仿宋" w:hAnsi="仿宋" w:eastAsia="仿宋" w:cs="仿宋"/>
          <w:sz w:val="24"/>
          <w:szCs w:val="22"/>
        </w:rPr>
        <w:t>2、国家、地方工商管理部门或者其他相关管理部门对社会保障资金缴纳（如免缴）有特别政策的，须提供相关政策文件复印件以及供应商满足相关政策文件的证明文件。</w:t>
      </w:r>
    </w:p>
    <w:p>
      <w:pPr>
        <w:spacing w:line="360" w:lineRule="auto"/>
        <w:rPr>
          <w:rFonts w:hint="eastAsia" w:ascii="仿宋" w:hAnsi="仿宋" w:eastAsia="仿宋" w:cs="仿宋"/>
          <w:sz w:val="24"/>
          <w:szCs w:val="22"/>
        </w:rPr>
      </w:pPr>
      <w:r>
        <w:rPr>
          <w:rFonts w:hint="eastAsia" w:ascii="仿宋" w:hAnsi="仿宋" w:eastAsia="仿宋" w:cs="仿宋"/>
          <w:sz w:val="24"/>
          <w:szCs w:val="22"/>
        </w:rPr>
        <w:t>3、供应商须依法缴纳税收，须提供截止开标日期前12个月内任意1个月的依法缴纳税收证明。</w:t>
      </w:r>
    </w:p>
    <w:p>
      <w:pPr>
        <w:spacing w:line="360" w:lineRule="auto"/>
        <w:rPr>
          <w:rFonts w:hint="eastAsia" w:ascii="仿宋" w:hAnsi="仿宋" w:eastAsia="仿宋" w:cs="仿宋"/>
          <w:sz w:val="24"/>
          <w:szCs w:val="22"/>
        </w:rPr>
      </w:pPr>
      <w:r>
        <w:rPr>
          <w:rFonts w:hint="eastAsia" w:ascii="仿宋" w:hAnsi="仿宋" w:eastAsia="仿宋" w:cs="仿宋"/>
          <w:sz w:val="24"/>
          <w:szCs w:val="22"/>
        </w:rPr>
        <w:t>4、国家、地方工商管理部门或者其他相关管理部门对企业纳税有特别规定的，须提供相关政策性文件复印件和供应商满足政策文件规定的证明文件。</w:t>
      </w:r>
    </w:p>
    <w:p>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21" w:name="_Toc9138"/>
      <w:bookmarkStart w:id="22" w:name="_Toc17122"/>
      <w:bookmarkStart w:id="23" w:name="_Toc4195"/>
      <w:bookmarkStart w:id="24" w:name="_Toc11665"/>
      <w:bookmarkStart w:id="25" w:name="_Toc28150"/>
      <w:bookmarkStart w:id="26" w:name="_Toc19428"/>
      <w:bookmarkStart w:id="27" w:name="_Toc3712"/>
      <w:r>
        <w:rPr>
          <w:rFonts w:hint="eastAsia" w:ascii="仿宋" w:hAnsi="仿宋" w:eastAsia="仿宋" w:cs="仿宋"/>
          <w:sz w:val="24"/>
          <w:szCs w:val="24"/>
        </w:rPr>
        <w:t>参加政府采购活动前三年内，在经营活动中没有重大违法记录；</w:t>
      </w:r>
      <w:bookmarkEnd w:id="21"/>
      <w:bookmarkEnd w:id="22"/>
      <w:bookmarkEnd w:id="23"/>
      <w:bookmarkEnd w:id="24"/>
      <w:bookmarkEnd w:id="25"/>
      <w:bookmarkEnd w:id="26"/>
      <w:bookmarkEnd w:id="27"/>
    </w:p>
    <w:p>
      <w:pPr>
        <w:pStyle w:val="4"/>
        <w:wordWrap w:val="0"/>
        <w:spacing w:before="0" w:beforeAutospacing="0" w:after="0" w:afterAutospacing="0" w:line="360" w:lineRule="auto"/>
        <w:ind w:firstLine="42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rPr>
        <w:t>西安市文物保护考古研究院：</w:t>
      </w:r>
    </w:p>
    <w:p>
      <w:pPr>
        <w:pStyle w:val="4"/>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pPr>
        <w:pStyle w:val="4"/>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4"/>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4"/>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4"/>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4"/>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4"/>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4"/>
        <w:wordWrap w:val="0"/>
        <w:spacing w:before="0" w:beforeAutospacing="0" w:after="0" w:afterAutospacing="0" w:line="360" w:lineRule="auto"/>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4"/>
        <w:wordWrap w:val="0"/>
        <w:spacing w:before="0" w:beforeAutospacing="0" w:after="0" w:afterAutospacing="0" w:line="360" w:lineRule="auto"/>
        <w:jc w:val="both"/>
        <w:rPr>
          <w:rFonts w:hint="eastAsia" w:ascii="仿宋" w:hAnsi="仿宋" w:eastAsia="仿宋" w:cs="仿宋"/>
          <w:szCs w:val="24"/>
          <w:shd w:val="clear" w:color="auto" w:fill="FFFFFF"/>
        </w:rPr>
      </w:pPr>
    </w:p>
    <w:p>
      <w:pPr>
        <w:pStyle w:val="4"/>
        <w:wordWrap w:val="0"/>
        <w:spacing w:before="0" w:beforeAutospacing="0" w:after="0" w:afterAutospacing="0" w:line="360" w:lineRule="auto"/>
        <w:jc w:val="both"/>
        <w:rPr>
          <w:rFonts w:hint="eastAsia" w:ascii="仿宋" w:hAnsi="仿宋" w:eastAsia="仿宋" w:cs="仿宋"/>
          <w:szCs w:val="24"/>
          <w:shd w:val="clear" w:color="auto" w:fill="FFFFFF"/>
        </w:rPr>
      </w:pPr>
    </w:p>
    <w:p>
      <w:pPr>
        <w:spacing w:line="480" w:lineRule="auto"/>
        <w:ind w:right="-161" w:firstLine="2650" w:firstLineChars="1100"/>
        <w:rPr>
          <w:rFonts w:hint="eastAsia" w:ascii="仿宋" w:hAnsi="仿宋" w:eastAsia="仿宋" w:cs="仿宋"/>
          <w:b/>
          <w:bCs/>
          <w:sz w:val="24"/>
          <w:u w:val="single"/>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法定代表人或被授权代表（签字或盖章）：</w:t>
      </w:r>
      <w:r>
        <w:rPr>
          <w:rFonts w:hint="eastAsia" w:ascii="仿宋" w:hAnsi="仿宋" w:eastAsia="仿宋" w:cs="仿宋"/>
          <w:b/>
          <w:bCs/>
          <w:sz w:val="24"/>
          <w:u w:val="single"/>
        </w:rPr>
        <w:t xml:space="preserve">       </w:t>
      </w:r>
    </w:p>
    <w:p>
      <w:pPr>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2EBF8"/>
    <w:multiLevelType w:val="singleLevel"/>
    <w:tmpl w:val="B822EBF8"/>
    <w:lvl w:ilvl="0" w:tentative="0">
      <w:start w:val="3"/>
      <w:numFmt w:val="decimal"/>
      <w:suff w:val="nothing"/>
      <w:lvlText w:val="%1、"/>
      <w:lvlJc w:val="left"/>
    </w:lvl>
  </w:abstractNum>
  <w:abstractNum w:abstractNumId="1">
    <w:nsid w:val="432329F5"/>
    <w:multiLevelType w:val="singleLevel"/>
    <w:tmpl w:val="432329F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s>
  <w:rsids>
    <w:rsidRoot w:val="0B667E65"/>
    <w:rsid w:val="0B667E65"/>
    <w:rsid w:val="3C804CCD"/>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3"/>
    <w:basedOn w:val="1"/>
    <w:next w:val="1"/>
    <w:qFormat/>
    <w:uiPriority w:val="0"/>
    <w:pPr>
      <w:keepNext/>
      <w:keepLines/>
      <w:spacing w:before="260" w:after="260" w:line="415"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337</Words>
  <Characters>341</Characters>
  <Lines>0</Lines>
  <Paragraphs>0</Paragraphs>
  <TotalTime>2</TotalTime>
  <ScaleCrop>false</ScaleCrop>
  <LinksUpToDate>false</LinksUpToDate>
  <CharactersWithSpaces>341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2022-12-12T12:37:00Z</dcterms:created>
  <dc:creator>陕西中技招标有限公司</dc:creator>
  <cp:lastModifiedBy>陕西中技招标有限公司</cp:lastModifiedBy>
  <dcterms:modified xsi:type="dcterms:W3CDTF">2023-10-31T14:33:15Z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49AD7DD78C714CBBAB1D4D865E6FA4ED</vt:lpwstr>
  </property>
</Properties>
</file>