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line="360" w:lineRule="auto"/>
        <w:jc w:val="center"/>
        <w:outlineLvl w:val="0"/>
        <w:rPr>
          <w:rFonts w:asciiTheme="minorEastAsia" w:hAnsiTheme="minorEastAsia" w:eastAsiaTheme="minorEastAsia" w:cstheme="minorEastAsia"/>
          <w:b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shd w:val="clear" w:color="auto" w:fill="FFFFFF"/>
        </w:rPr>
        <w:t>招标内容及技术要求</w:t>
      </w:r>
    </w:p>
    <w:p>
      <w:pPr>
        <w:spacing w:before="19" w:line="360" w:lineRule="auto"/>
        <w:ind w:right="43" w:firstLine="462" w:firstLineChars="200"/>
        <w:rPr>
          <w:rFonts w:asciiTheme="minorEastAsia" w:hAnsiTheme="minorEastAsia" w:eastAsiaTheme="minorEastAsia" w:cstheme="minorEastAsia"/>
          <w:b/>
          <w:bCs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-5"/>
          <w:sz w:val="24"/>
          <w:szCs w:val="24"/>
        </w:rPr>
        <w:t>一、项目概况</w:t>
      </w:r>
    </w:p>
    <w:p>
      <w:pPr>
        <w:spacing w:before="16" w:line="360" w:lineRule="auto"/>
        <w:ind w:firstLine="484" w:firstLineChars="200"/>
        <w:rPr>
          <w:rFonts w:asciiTheme="minorEastAsia" w:hAnsiTheme="minorEastAsia" w:eastAsiaTheme="minorEastAsia" w:cstheme="minorEastAsia"/>
          <w:spacing w:val="1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1"/>
          <w:sz w:val="24"/>
          <w:szCs w:val="24"/>
        </w:rPr>
        <w:t>按照自然资源部和省自然资源厅的要求，开展城市体检评估工作，包括战略定位、底线管控、规模结构、空间布局、支撑系统、实施保障六方面内容，全面评估现行城乡规划、土地利用规划的实施情况，总结成效、分析问题，明确规划的重点，提出国土空间开发保护格局优化的建议。</w:t>
      </w:r>
    </w:p>
    <w:p>
      <w:pPr>
        <w:spacing w:before="16" w:line="360" w:lineRule="auto"/>
        <w:ind w:firstLine="484" w:firstLineChars="200"/>
        <w:rPr>
          <w:rFonts w:asciiTheme="minorEastAsia" w:hAnsiTheme="minorEastAsia" w:eastAsiaTheme="minorEastAsia" w:cstheme="minorEastAsia"/>
          <w:b/>
          <w:bCs/>
          <w:spacing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1"/>
          <w:sz w:val="24"/>
          <w:szCs w:val="24"/>
        </w:rPr>
        <w:t>二、</w:t>
      </w:r>
      <w:r>
        <w:rPr>
          <w:rFonts w:hint="eastAsia" w:asciiTheme="minorEastAsia" w:hAnsiTheme="minorEastAsia" w:eastAsiaTheme="minorEastAsia" w:cstheme="minorEastAsia"/>
          <w:b/>
          <w:bCs/>
          <w:spacing w:val="2"/>
          <w:sz w:val="24"/>
          <w:szCs w:val="24"/>
        </w:rPr>
        <w:t>服务内容</w:t>
      </w:r>
    </w:p>
    <w:p>
      <w:pPr>
        <w:spacing w:before="16" w:line="360" w:lineRule="auto"/>
        <w:ind w:firstLine="420"/>
        <w:rPr>
          <w:rFonts w:asciiTheme="minorEastAsia" w:hAnsiTheme="minorEastAsia" w:eastAsiaTheme="minorEastAsia" w:cstheme="minorEastAsia"/>
          <w:spacing w:val="1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1"/>
          <w:sz w:val="24"/>
          <w:szCs w:val="24"/>
        </w:rPr>
        <w:t>(一)服务范围</w:t>
      </w:r>
    </w:p>
    <w:p>
      <w:pPr>
        <w:spacing w:before="16" w:line="360" w:lineRule="auto"/>
        <w:ind w:firstLine="420"/>
        <w:rPr>
          <w:rFonts w:asciiTheme="minorEastAsia" w:hAnsiTheme="minorEastAsia" w:eastAsiaTheme="minorEastAsia" w:cstheme="minorEastAsia"/>
          <w:spacing w:val="1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1"/>
          <w:sz w:val="24"/>
          <w:szCs w:val="24"/>
        </w:rPr>
        <w:t>西安市域。</w:t>
      </w:r>
    </w:p>
    <w:p>
      <w:pPr>
        <w:pStyle w:val="3"/>
        <w:numPr>
          <w:ilvl w:val="0"/>
          <w:numId w:val="1"/>
        </w:numPr>
        <w:spacing w:line="360" w:lineRule="auto"/>
        <w:rPr>
          <w:rFonts w:asciiTheme="minorEastAsia" w:hAnsiTheme="minorEastAsia" w:eastAsiaTheme="minorEastAsia" w:cstheme="minorEastAsia"/>
          <w:spacing w:val="1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1"/>
          <w:kern w:val="2"/>
          <w:sz w:val="24"/>
          <w:szCs w:val="24"/>
        </w:rPr>
        <w:t>工作内容</w:t>
      </w:r>
    </w:p>
    <w:p>
      <w:pPr>
        <w:pStyle w:val="3"/>
        <w:spacing w:line="360" w:lineRule="auto"/>
        <w:rPr>
          <w:rFonts w:asciiTheme="minorEastAsia" w:hAnsiTheme="minorEastAsia" w:eastAsiaTheme="minorEastAsia" w:cstheme="minorEastAsia"/>
          <w:spacing w:val="1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1"/>
          <w:kern w:val="2"/>
          <w:sz w:val="24"/>
          <w:szCs w:val="24"/>
        </w:rPr>
        <w:t>1.体检指标表相关数据的收集和计算</w:t>
      </w:r>
    </w:p>
    <w:p>
      <w:pPr>
        <w:pStyle w:val="3"/>
        <w:spacing w:line="360" w:lineRule="auto"/>
        <w:rPr>
          <w:rFonts w:asciiTheme="minorEastAsia" w:hAnsiTheme="minorEastAsia" w:eastAsiaTheme="minorEastAsia" w:cstheme="minorEastAsia"/>
          <w:spacing w:val="1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1"/>
          <w:kern w:val="2"/>
          <w:sz w:val="24"/>
          <w:szCs w:val="24"/>
        </w:rPr>
        <w:t>针对体检各项指标，向各相关部门收集数据和支撑材料，严格按照体检评估规程，进行数据处理和分析，并和基期年数据、规划目标年数据进行对比，对指标完成情况做出评价。</w:t>
      </w:r>
    </w:p>
    <w:p>
      <w:pPr>
        <w:pStyle w:val="3"/>
        <w:spacing w:line="360" w:lineRule="auto"/>
        <w:rPr>
          <w:rFonts w:asciiTheme="minorEastAsia" w:hAnsiTheme="minorEastAsia" w:eastAsiaTheme="minorEastAsia" w:cstheme="minorEastAsia"/>
          <w:spacing w:val="1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1"/>
          <w:kern w:val="2"/>
          <w:sz w:val="24"/>
          <w:szCs w:val="24"/>
        </w:rPr>
        <w:t>2.完成年度城市体检报告</w:t>
      </w:r>
    </w:p>
    <w:p>
      <w:pPr>
        <w:pStyle w:val="3"/>
        <w:spacing w:line="360" w:lineRule="auto"/>
        <w:rPr>
          <w:rFonts w:asciiTheme="minorEastAsia" w:hAnsiTheme="minorEastAsia" w:eastAsiaTheme="minorEastAsia" w:cstheme="minorEastAsia"/>
          <w:spacing w:val="1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1"/>
          <w:kern w:val="2"/>
          <w:sz w:val="24"/>
          <w:szCs w:val="24"/>
        </w:rPr>
        <w:t>包括战略定位、底线管控、规模结构、空间布局、支撑系统、实施保障六方面内容，采取数据与案例结合、纵向与横向比较结合等方法，评估各项指标规划实施率，分析成效和问题，提出规划管理建议。</w:t>
      </w:r>
    </w:p>
    <w:p>
      <w:pPr>
        <w:pStyle w:val="3"/>
        <w:spacing w:line="360" w:lineRule="auto"/>
        <w:rPr>
          <w:rFonts w:asciiTheme="minorEastAsia" w:hAnsiTheme="minorEastAsia" w:eastAsiaTheme="minorEastAsia" w:cstheme="minorEastAsia"/>
          <w:spacing w:val="1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1"/>
          <w:kern w:val="2"/>
          <w:sz w:val="24"/>
          <w:szCs w:val="24"/>
        </w:rPr>
        <w:t>3.绘制年度规划实施分析图</w:t>
      </w:r>
    </w:p>
    <w:p>
      <w:pPr>
        <w:pStyle w:val="3"/>
        <w:spacing w:line="360" w:lineRule="auto"/>
        <w:rPr>
          <w:rFonts w:asciiTheme="minorEastAsia" w:hAnsiTheme="minorEastAsia" w:eastAsiaTheme="minorEastAsia" w:cstheme="minorEastAsia"/>
          <w:spacing w:val="1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1"/>
          <w:kern w:val="2"/>
          <w:sz w:val="24"/>
          <w:szCs w:val="24"/>
        </w:rPr>
        <w:t>突出反映底线控制、资源高效利用、设施协调布局和公共服务均等化等方面重要指标的实施进展情况。</w:t>
      </w:r>
    </w:p>
    <w:p>
      <w:pPr>
        <w:pStyle w:val="3"/>
        <w:spacing w:line="360" w:lineRule="auto"/>
        <w:rPr>
          <w:rFonts w:asciiTheme="minorEastAsia" w:hAnsiTheme="minorEastAsia" w:eastAsiaTheme="minorEastAsia" w:cstheme="minorEastAsia"/>
          <w:spacing w:val="1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1"/>
          <w:kern w:val="2"/>
          <w:sz w:val="24"/>
          <w:szCs w:val="24"/>
        </w:rPr>
        <w:t>4.建设年度体检基础数据库</w:t>
      </w:r>
    </w:p>
    <w:p>
      <w:pPr>
        <w:pStyle w:val="3"/>
        <w:spacing w:line="360" w:lineRule="auto"/>
        <w:rPr>
          <w:rFonts w:asciiTheme="minorEastAsia" w:hAnsiTheme="minorEastAsia" w:eastAsiaTheme="minorEastAsia" w:cstheme="minorEastAsia"/>
          <w:spacing w:val="1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1"/>
          <w:kern w:val="2"/>
          <w:sz w:val="24"/>
          <w:szCs w:val="24"/>
        </w:rPr>
        <w:t>广泛收集经济社会发展统计数据、城市建设数据、国土空间基础现状数据、规划成果数据、规划实施监督数据等，形成多源数据互为支撑的体检评估基础数据库。数据库标准与国土空间基础信息平台统一。</w:t>
      </w:r>
    </w:p>
    <w:p>
      <w:pPr>
        <w:spacing w:before="16" w:line="360" w:lineRule="auto"/>
        <w:ind w:left="482" w:right="30"/>
        <w:rPr>
          <w:rFonts w:asciiTheme="minorEastAsia" w:hAnsiTheme="minorEastAsia" w:eastAsiaTheme="minorEastAsia" w:cstheme="minorEastAsia"/>
          <w:b/>
          <w:bCs/>
          <w:spacing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2"/>
          <w:sz w:val="24"/>
          <w:szCs w:val="24"/>
        </w:rPr>
        <w:t>三、技术要求</w:t>
      </w:r>
    </w:p>
    <w:p>
      <w:pPr>
        <w:pStyle w:val="3"/>
        <w:spacing w:line="360" w:lineRule="auto"/>
        <w:rPr>
          <w:rFonts w:asciiTheme="minorEastAsia" w:hAnsiTheme="minorEastAsia" w:eastAsiaTheme="minorEastAsia" w:cstheme="minorEastAsia"/>
          <w:spacing w:val="1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1"/>
          <w:kern w:val="2"/>
          <w:sz w:val="24"/>
          <w:szCs w:val="24"/>
        </w:rPr>
        <w:t>（一）成果质量要求</w:t>
      </w:r>
    </w:p>
    <w:p>
      <w:pPr>
        <w:pStyle w:val="3"/>
        <w:spacing w:line="360" w:lineRule="auto"/>
        <w:rPr>
          <w:rFonts w:asciiTheme="minorEastAsia" w:hAnsiTheme="minorEastAsia" w:eastAsiaTheme="minorEastAsia" w:cstheme="minorEastAsia"/>
          <w:spacing w:val="1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1"/>
          <w:kern w:val="2"/>
          <w:sz w:val="24"/>
          <w:szCs w:val="24"/>
        </w:rPr>
        <w:t>成果质量符合自然资源部、陕西省政府、陕西省自然资源厅、西安市政府、西安市自然资源与规划局的相关要求，并通过采购人组织的专家论证或评估会。</w:t>
      </w:r>
    </w:p>
    <w:p>
      <w:pPr>
        <w:pStyle w:val="3"/>
        <w:spacing w:line="360" w:lineRule="auto"/>
        <w:rPr>
          <w:rFonts w:asciiTheme="minorEastAsia" w:hAnsiTheme="minorEastAsia" w:eastAsiaTheme="minorEastAsia" w:cstheme="minorEastAsia"/>
          <w:spacing w:val="1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1"/>
          <w:kern w:val="2"/>
          <w:sz w:val="24"/>
          <w:szCs w:val="24"/>
        </w:rPr>
        <w:t>(二)成果交付要求</w:t>
      </w:r>
    </w:p>
    <w:p>
      <w:pPr>
        <w:pStyle w:val="3"/>
        <w:spacing w:line="360" w:lineRule="auto"/>
        <w:rPr>
          <w:rFonts w:asciiTheme="minorEastAsia" w:hAnsiTheme="minorEastAsia" w:eastAsiaTheme="minorEastAsia" w:cstheme="minorEastAsia"/>
          <w:spacing w:val="1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1"/>
          <w:kern w:val="2"/>
          <w:sz w:val="24"/>
          <w:szCs w:val="24"/>
        </w:rPr>
        <w:t>主要成果:城区划定专项报告、年度城市体检报告、体检指标表、年度规划实施分析图、城区数据库、年度体检基础数据库建设说明。</w:t>
      </w:r>
    </w:p>
    <w:p>
      <w:pPr>
        <w:pStyle w:val="3"/>
        <w:spacing w:line="360" w:lineRule="auto"/>
        <w:rPr>
          <w:rFonts w:asciiTheme="minorEastAsia" w:hAnsiTheme="minorEastAsia" w:eastAsiaTheme="minorEastAsia" w:cstheme="minorEastAsia"/>
          <w:spacing w:val="1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1"/>
          <w:kern w:val="2"/>
          <w:sz w:val="24"/>
          <w:szCs w:val="24"/>
        </w:rPr>
        <w:t>文本:要包括总体结论，规划实施成效、存在问题及原因分析，对策建议等。体检成果要对上一年体检发现问题的整改情况进行说明。</w:t>
      </w:r>
    </w:p>
    <w:p>
      <w:pPr>
        <w:pStyle w:val="3"/>
        <w:spacing w:line="360" w:lineRule="auto"/>
        <w:rPr>
          <w:rFonts w:asciiTheme="minorEastAsia" w:hAnsiTheme="minorEastAsia" w:eastAsiaTheme="minorEastAsia" w:cstheme="minorEastAsia"/>
          <w:spacing w:val="1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1"/>
          <w:kern w:val="2"/>
          <w:sz w:val="24"/>
          <w:szCs w:val="24"/>
        </w:rPr>
        <w:t>附表:城市体检指标表(必选)，包括安全、创新、协调、绿色、开放、共享分为 6个一级类别，在此基础上，又进一步划分为 23 个二级类别和 122项指标;年度重点任务完成清单(自选)。</w:t>
      </w:r>
    </w:p>
    <w:p>
      <w:pPr>
        <w:pStyle w:val="3"/>
        <w:spacing w:line="360" w:lineRule="auto"/>
        <w:rPr>
          <w:rFonts w:asciiTheme="minorEastAsia" w:hAnsiTheme="minorEastAsia" w:eastAsiaTheme="minorEastAsia" w:cstheme="minorEastAsia"/>
          <w:spacing w:val="1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1"/>
          <w:kern w:val="2"/>
          <w:sz w:val="24"/>
          <w:szCs w:val="24"/>
        </w:rPr>
        <w:t>附图:年度城区图、年度规划实施分析图，可包含城乡建设用地变化“一张图”、各区或分区域发展“一张图”等。</w:t>
      </w:r>
    </w:p>
    <w:p>
      <w:pPr>
        <w:pStyle w:val="3"/>
        <w:spacing w:line="360" w:lineRule="auto"/>
        <w:rPr>
          <w:rFonts w:asciiTheme="minorEastAsia" w:hAnsiTheme="minorEastAsia" w:eastAsiaTheme="minorEastAsia" w:cstheme="minorEastAsia"/>
          <w:spacing w:val="1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1"/>
          <w:kern w:val="2"/>
          <w:sz w:val="24"/>
          <w:szCs w:val="24"/>
        </w:rPr>
        <w:t>纸质成果要求: 成果报告由投标人法人及项目负责人员签名，加盖公章，采用 A4 幅面装订，双面印刷，一式五份。</w:t>
      </w:r>
    </w:p>
    <w:p>
      <w:pPr>
        <w:pStyle w:val="3"/>
        <w:spacing w:line="360" w:lineRule="auto"/>
        <w:rPr>
          <w:rFonts w:asciiTheme="minorEastAsia" w:hAnsiTheme="minorEastAsia" w:eastAsiaTheme="minorEastAsia" w:cstheme="minorEastAsia"/>
          <w:spacing w:val="1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1"/>
          <w:kern w:val="2"/>
          <w:sz w:val="24"/>
          <w:szCs w:val="24"/>
        </w:rPr>
        <w:t>电子成果要求:最终成果提供刻录光盘 3 张，光盘上贴上标签: 注明项目名称、完成时间、主要工作成果目录。电子成果与上述纸质成果相对应，文本文件采用 pdf 格式，应包括文字报告、附表、图件、数据库等全部技术内容。</w:t>
      </w:r>
    </w:p>
    <w:p>
      <w:pPr>
        <w:spacing w:before="16" w:line="360" w:lineRule="auto"/>
        <w:ind w:right="30" w:firstLine="420"/>
        <w:rPr>
          <w:rFonts w:asciiTheme="minorEastAsia" w:hAnsiTheme="minorEastAsia" w:eastAsiaTheme="minorEastAsia" w:cstheme="minorEastAsia"/>
          <w:b/>
          <w:bCs/>
          <w:spacing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2"/>
          <w:sz w:val="24"/>
          <w:szCs w:val="24"/>
        </w:rPr>
        <w:t>四、服务要求</w:t>
      </w:r>
    </w:p>
    <w:p>
      <w:pPr>
        <w:spacing w:before="16" w:line="360" w:lineRule="auto"/>
        <w:ind w:firstLine="484" w:firstLineChars="200"/>
        <w:rPr>
          <w:rFonts w:asciiTheme="minorEastAsia" w:hAnsiTheme="minorEastAsia" w:eastAsiaTheme="minorEastAsia" w:cstheme="minorEastAsia"/>
          <w:spacing w:val="1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1"/>
          <w:sz w:val="24"/>
          <w:szCs w:val="24"/>
        </w:rPr>
        <w:t>(一)服务商须精心组建项目团队，确定项目负责人，并对项目团队的政治素质和业务素质负责。鼓励组成跨领域、跨学科的专家团队联合研究。</w:t>
      </w:r>
    </w:p>
    <w:p>
      <w:pPr>
        <w:pStyle w:val="3"/>
        <w:spacing w:line="360" w:lineRule="auto"/>
        <w:rPr>
          <w:rFonts w:asciiTheme="minorEastAsia" w:hAnsiTheme="minorEastAsia" w:eastAsiaTheme="minorEastAsia" w:cstheme="minorEastAsia"/>
          <w:spacing w:val="1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1"/>
          <w:kern w:val="2"/>
          <w:sz w:val="24"/>
          <w:szCs w:val="24"/>
        </w:rPr>
        <w:t>(二)项目组成员须有较强的组织和协调能力，具有较高的理论素养和分析解决问题的能力，项目组成员近三年承担过相关规划/课题研究的优先。</w:t>
      </w:r>
    </w:p>
    <w:p>
      <w:pPr>
        <w:pStyle w:val="3"/>
        <w:spacing w:line="360" w:lineRule="auto"/>
        <w:rPr>
          <w:rFonts w:asciiTheme="minorEastAsia" w:hAnsiTheme="minorEastAsia" w:eastAsiaTheme="minorEastAsia" w:cstheme="minorEastAsia"/>
          <w:spacing w:val="1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1"/>
          <w:kern w:val="2"/>
          <w:sz w:val="24"/>
          <w:szCs w:val="24"/>
        </w:rPr>
        <w:t>(三)项目负责人必须是该项目实施全过程的真正组织者和指导者，并担负实质性研究工作。项目负责人应具有高级职称。挂名或不担负实质性研究工作的，不得作为项目负责人。</w:t>
      </w:r>
    </w:p>
    <w:p>
      <w:pPr>
        <w:pStyle w:val="3"/>
        <w:spacing w:line="360" w:lineRule="auto"/>
        <w:rPr>
          <w:rFonts w:asciiTheme="minorEastAsia" w:hAnsiTheme="minorEastAsia" w:eastAsiaTheme="minorEastAsia" w:cstheme="minorEastAsia"/>
          <w:spacing w:val="1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1"/>
          <w:kern w:val="2"/>
          <w:sz w:val="24"/>
          <w:szCs w:val="24"/>
        </w:rPr>
        <w:t>(四)项目团队成员应当熟悉项目所涉及的领域和西安实际情况，并有一定研究基础，项目实施应紧贴西安实际，突出针对性和操作性。</w:t>
      </w:r>
    </w:p>
    <w:p>
      <w:pPr>
        <w:pStyle w:val="3"/>
        <w:spacing w:line="360" w:lineRule="auto"/>
        <w:rPr>
          <w:rFonts w:asciiTheme="minorEastAsia" w:hAnsiTheme="minorEastAsia" w:eastAsiaTheme="minorEastAsia" w:cstheme="minorEastAsia"/>
          <w:spacing w:val="1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1"/>
          <w:kern w:val="2"/>
          <w:sz w:val="24"/>
          <w:szCs w:val="24"/>
        </w:rPr>
        <w:t>(五)项目团队成员及其主要成员履约过程中不得随意更换，确需调整时，须书面提请采购人同意。</w:t>
      </w:r>
    </w:p>
    <w:p>
      <w:pPr>
        <w:spacing w:before="16" w:line="360" w:lineRule="auto"/>
        <w:ind w:firstLine="486" w:firstLineChars="200"/>
        <w:rPr>
          <w:rFonts w:asciiTheme="minorEastAsia" w:hAnsiTheme="minorEastAsia" w:eastAsiaTheme="minorEastAsia" w:cstheme="minorEastAsia"/>
          <w:b/>
          <w:bCs/>
          <w:spacing w:val="1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1"/>
          <w:sz w:val="24"/>
          <w:szCs w:val="24"/>
        </w:rPr>
        <w:t>五、商务要求</w:t>
      </w:r>
    </w:p>
    <w:p>
      <w:pPr>
        <w:spacing w:before="16" w:line="360" w:lineRule="auto"/>
        <w:ind w:firstLine="484" w:firstLineChars="200"/>
        <w:rPr>
          <w:rFonts w:asciiTheme="minorEastAsia" w:hAnsiTheme="minorEastAsia" w:eastAsiaTheme="minorEastAsia" w:cstheme="minorEastAsia"/>
          <w:spacing w:val="1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1"/>
          <w:sz w:val="24"/>
          <w:szCs w:val="24"/>
        </w:rPr>
        <w:t>(一)服务期限</w:t>
      </w:r>
    </w:p>
    <w:p>
      <w:pPr>
        <w:spacing w:before="16" w:line="360" w:lineRule="auto"/>
        <w:ind w:firstLine="484" w:firstLineChars="200"/>
        <w:rPr>
          <w:rFonts w:asciiTheme="minorEastAsia" w:hAnsiTheme="minorEastAsia" w:eastAsiaTheme="minorEastAsia" w:cstheme="minorEastAsia"/>
          <w:spacing w:val="1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1"/>
          <w:sz w:val="24"/>
          <w:szCs w:val="24"/>
        </w:rPr>
        <w:t>自合同签订之日起两年内。</w:t>
      </w:r>
    </w:p>
    <w:p>
      <w:pPr>
        <w:spacing w:before="16" w:line="360" w:lineRule="auto"/>
        <w:ind w:firstLine="484" w:firstLineChars="200"/>
        <w:rPr>
          <w:rFonts w:asciiTheme="minorEastAsia" w:hAnsiTheme="minorEastAsia" w:eastAsiaTheme="minorEastAsia" w:cstheme="minorEastAsia"/>
          <w:spacing w:val="1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1"/>
          <w:sz w:val="24"/>
          <w:szCs w:val="24"/>
        </w:rPr>
        <w:t>(二)款项结算</w:t>
      </w:r>
    </w:p>
    <w:p>
      <w:pPr>
        <w:spacing w:before="16" w:line="360" w:lineRule="auto"/>
        <w:ind w:firstLine="484" w:firstLineChars="200"/>
        <w:rPr>
          <w:rFonts w:asciiTheme="minorEastAsia" w:hAnsiTheme="minorEastAsia" w:eastAsiaTheme="minorEastAsia" w:cstheme="minorEastAsia"/>
          <w:spacing w:val="1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1"/>
          <w:sz w:val="24"/>
          <w:szCs w:val="24"/>
        </w:rPr>
        <w:t>1.本项目拟采用政府采购的方式进行；</w:t>
      </w:r>
    </w:p>
    <w:p>
      <w:pPr>
        <w:spacing w:before="16" w:line="360" w:lineRule="auto"/>
        <w:ind w:firstLine="484" w:firstLineChars="200"/>
        <w:rPr>
          <w:rFonts w:asciiTheme="minorEastAsia" w:hAnsiTheme="minorEastAsia" w:eastAsiaTheme="minorEastAsia" w:cstheme="minorEastAsia"/>
          <w:spacing w:val="1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1"/>
          <w:sz w:val="24"/>
          <w:szCs w:val="24"/>
        </w:rPr>
        <w:t>2.合同总价一次性包死，不受市场价格变化和税率变化等因素的影响；</w:t>
      </w:r>
    </w:p>
    <w:p>
      <w:pPr>
        <w:spacing w:before="16" w:line="360" w:lineRule="auto"/>
        <w:ind w:firstLine="484" w:firstLineChars="200"/>
        <w:rPr>
          <w:rFonts w:asciiTheme="minorEastAsia" w:hAnsiTheme="minorEastAsia" w:eastAsiaTheme="minorEastAsia" w:cstheme="minorEastAsia"/>
          <w:spacing w:val="1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1"/>
          <w:sz w:val="24"/>
          <w:szCs w:val="24"/>
        </w:rPr>
        <w:t>3.合同签订后7个工作日内，甲方向乙方支付合同总价款的 30%；</w:t>
      </w:r>
    </w:p>
    <w:p>
      <w:pPr>
        <w:spacing w:before="16" w:line="360" w:lineRule="auto"/>
        <w:ind w:firstLine="484" w:firstLineChars="200"/>
        <w:rPr>
          <w:rFonts w:asciiTheme="minorEastAsia" w:hAnsiTheme="minorEastAsia" w:eastAsiaTheme="minorEastAsia" w:cstheme="minorEastAsia"/>
          <w:spacing w:val="1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1"/>
          <w:sz w:val="24"/>
          <w:szCs w:val="24"/>
        </w:rPr>
        <w:t>4.成果自通过专家评审会论证之日起7个工作日内，支付总金额的 40%；</w:t>
      </w:r>
    </w:p>
    <w:p>
      <w:pPr>
        <w:spacing w:before="16" w:line="360" w:lineRule="auto"/>
        <w:ind w:firstLine="484" w:firstLineChars="200"/>
        <w:rPr>
          <w:rFonts w:asciiTheme="minorEastAsia" w:hAnsiTheme="minorEastAsia" w:eastAsiaTheme="minorEastAsia" w:cstheme="minorEastAsia"/>
          <w:spacing w:val="1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1"/>
          <w:sz w:val="24"/>
          <w:szCs w:val="24"/>
        </w:rPr>
        <w:t>5.成果自通过局长办公会审议且出具书面验收合格文件之日起 7 个工作日内，支付剩余的 30%；</w:t>
      </w:r>
    </w:p>
    <w:p>
      <w:pPr>
        <w:spacing w:before="16" w:line="360" w:lineRule="auto"/>
        <w:ind w:firstLine="484" w:firstLineChars="200"/>
        <w:rPr>
          <w:rFonts w:asciiTheme="minorEastAsia" w:hAnsiTheme="minorEastAsia" w:eastAsiaTheme="minorEastAsia" w:cstheme="minorEastAsia"/>
          <w:spacing w:val="1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1"/>
          <w:sz w:val="24"/>
          <w:szCs w:val="24"/>
        </w:rPr>
        <w:t>6.实际支付进度以财政资金拨付进度为准。</w:t>
      </w:r>
    </w:p>
    <w:p>
      <w:pPr>
        <w:spacing w:before="16" w:line="360" w:lineRule="auto"/>
        <w:ind w:firstLine="486" w:firstLineChars="200"/>
        <w:rPr>
          <w:rFonts w:asciiTheme="minorEastAsia" w:hAnsiTheme="minorEastAsia" w:eastAsiaTheme="minorEastAsia" w:cstheme="minorEastAsia"/>
          <w:b/>
          <w:bCs/>
          <w:spacing w:val="1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1"/>
          <w:sz w:val="24"/>
          <w:szCs w:val="24"/>
        </w:rPr>
        <w:t>六、其他</w:t>
      </w:r>
    </w:p>
    <w:p>
      <w:pPr>
        <w:spacing w:before="16" w:line="360" w:lineRule="auto"/>
        <w:ind w:firstLine="484" w:firstLineChars="200"/>
        <w:rPr>
          <w:rFonts w:asciiTheme="minorEastAsia" w:hAnsiTheme="minorEastAsia" w:eastAsiaTheme="minorEastAsia" w:cstheme="minorEastAsia"/>
          <w:spacing w:val="1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1"/>
          <w:sz w:val="24"/>
          <w:szCs w:val="24"/>
        </w:rPr>
        <w:t>(一)符合《中华人民共和国政府采购法》第二十二条、第二十三条、第二十四条规定；</w:t>
      </w:r>
    </w:p>
    <w:p>
      <w:pPr>
        <w:spacing w:before="16" w:line="360" w:lineRule="auto"/>
        <w:ind w:firstLine="484" w:firstLineChars="200"/>
        <w:rPr>
          <w:rFonts w:asciiTheme="minorEastAsia" w:hAnsiTheme="minorEastAsia" w:eastAsiaTheme="minorEastAsia" w:cstheme="minorEastAsia"/>
          <w:spacing w:val="1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1"/>
          <w:sz w:val="24"/>
          <w:szCs w:val="24"/>
        </w:rPr>
        <w:t>(二)技术服务单位需具有相关技术力量。</w:t>
      </w:r>
    </w:p>
    <w:p>
      <w:pPr>
        <w:spacing w:before="16" w:line="360" w:lineRule="auto"/>
        <w:ind w:firstLine="420"/>
        <w:rPr>
          <w:rFonts w:asciiTheme="minorEastAsia" w:hAnsiTheme="minorEastAsia" w:eastAsiaTheme="minorEastAsia" w:cstheme="minorEastAsia"/>
          <w:spacing w:val="1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1"/>
          <w:sz w:val="24"/>
          <w:szCs w:val="24"/>
        </w:rPr>
        <w:t>（三）技术服务单位需配合完成采购人安排的与本项目有关的其他事项。</w:t>
      </w:r>
    </w:p>
    <w:p>
      <w:pPr>
        <w:spacing w:before="16" w:line="360" w:lineRule="auto"/>
        <w:ind w:firstLine="420"/>
        <w:rPr>
          <w:rFonts w:asciiTheme="minorEastAsia" w:hAnsiTheme="minorEastAsia" w:eastAsiaTheme="minorEastAsia" w:cstheme="minorEastAsia"/>
          <w:spacing w:val="1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1"/>
          <w:sz w:val="24"/>
          <w:szCs w:val="24"/>
        </w:rPr>
        <w:t>(四)进度要求</w:t>
      </w:r>
    </w:p>
    <w:p>
      <w:pPr>
        <w:spacing w:before="16" w:line="360" w:lineRule="auto"/>
        <w:ind w:firstLine="484" w:firstLineChars="200"/>
        <w:rPr>
          <w:rFonts w:asciiTheme="minorEastAsia" w:hAnsiTheme="minorEastAsia" w:eastAsiaTheme="minorEastAsia" w:cstheme="minorEastAsia"/>
          <w:spacing w:val="1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1"/>
          <w:sz w:val="24"/>
          <w:szCs w:val="24"/>
        </w:rPr>
        <w:t>1.合同签订 10 个工作日内形成工作方案。</w:t>
      </w:r>
    </w:p>
    <w:p>
      <w:pPr>
        <w:spacing w:before="16" w:line="360" w:lineRule="auto"/>
        <w:ind w:firstLine="484" w:firstLineChars="200"/>
        <w:rPr>
          <w:rFonts w:asciiTheme="minorEastAsia" w:hAnsiTheme="minorEastAsia" w:eastAsiaTheme="minorEastAsia" w:cstheme="minorEastAsia"/>
          <w:spacing w:val="1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1"/>
          <w:sz w:val="24"/>
          <w:szCs w:val="24"/>
        </w:rPr>
        <w:t>2.2024 年11月前完成年度体检评估，成果提交西安市自然资源和规划局进行专家评审。</w:t>
      </w:r>
    </w:p>
    <w:p>
      <w:pPr>
        <w:spacing w:before="16" w:line="360" w:lineRule="auto"/>
        <w:ind w:firstLine="484" w:firstLineChars="200"/>
        <w:rPr>
          <w:rFonts w:asciiTheme="minorEastAsia" w:hAnsiTheme="minorEastAsia" w:eastAsiaTheme="minorEastAsia" w:cstheme="minorEastAsia"/>
          <w:spacing w:val="1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1"/>
          <w:sz w:val="24"/>
          <w:szCs w:val="24"/>
        </w:rPr>
        <w:t>3.技术服务单位应定期(周、月) 向采购人提供项目工作进度。</w:t>
      </w:r>
    </w:p>
    <w:p>
      <w:pPr>
        <w:spacing w:before="16" w:line="360" w:lineRule="auto"/>
        <w:ind w:firstLine="484" w:firstLineChars="200"/>
        <w:rPr>
          <w:rFonts w:asciiTheme="minorEastAsia" w:hAnsiTheme="minorEastAsia" w:eastAsiaTheme="minorEastAsia" w:cstheme="minorEastAsia"/>
          <w:spacing w:val="1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1"/>
          <w:sz w:val="24"/>
          <w:szCs w:val="24"/>
        </w:rPr>
        <w:t>4.采购人根据实际需要，对项目进展情况不定期听取汇报。</w:t>
      </w:r>
    </w:p>
    <w:p>
      <w:pPr>
        <w:spacing w:before="16" w:line="360" w:lineRule="auto"/>
        <w:ind w:firstLine="484" w:firstLineChars="200"/>
        <w:rPr>
          <w:rFonts w:asciiTheme="minorEastAsia" w:hAnsiTheme="minorEastAsia" w:eastAsiaTheme="minorEastAsia" w:cstheme="minorEastAsia"/>
          <w:spacing w:val="1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1"/>
          <w:sz w:val="24"/>
          <w:szCs w:val="24"/>
        </w:rPr>
        <w:t>5.受不可抗力(规划编制完成时间延后、提前；上位要求变化等)因素影响，采购人可适当调整进度要求。</w:t>
      </w:r>
    </w:p>
    <w:p>
      <w:pPr>
        <w:spacing w:before="16" w:line="360" w:lineRule="auto"/>
        <w:ind w:firstLine="484" w:firstLineChars="200"/>
        <w:rPr>
          <w:rFonts w:asciiTheme="minorEastAsia" w:hAnsiTheme="minorEastAsia" w:eastAsiaTheme="minorEastAsia" w:cstheme="minorEastAsia"/>
          <w:spacing w:val="1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1"/>
          <w:sz w:val="24"/>
          <w:szCs w:val="24"/>
        </w:rPr>
        <w:t>(五)质量验收标准或规范</w:t>
      </w:r>
    </w:p>
    <w:p>
      <w:pPr>
        <w:spacing w:before="16" w:line="360" w:lineRule="auto"/>
        <w:ind w:firstLine="484" w:firstLineChars="200"/>
        <w:rPr>
          <w:rFonts w:asciiTheme="minorEastAsia" w:hAnsiTheme="minorEastAsia" w:eastAsiaTheme="minorEastAsia" w:cstheme="minorEastAsia"/>
          <w:spacing w:val="1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1"/>
          <w:sz w:val="24"/>
          <w:szCs w:val="24"/>
        </w:rPr>
        <w:t>成果质量符合《自然资源部办公厅关于加强国土空间规划监督管理的通知》(自然资办发(2020) 27号)要求。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0F5359"/>
    <w:multiLevelType w:val="singleLevel"/>
    <w:tmpl w:val="700F5359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0MTAxOWY1YjY1NWYyZjA1MjJjYjU5YjRhNjY3NjEifQ=="/>
  </w:docVars>
  <w:rsids>
    <w:rsidRoot w:val="6E2C76B9"/>
    <w:rsid w:val="6E2C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ascii="Cambria" w:hAnsi="Cambria"/>
      <w:sz w:val="24"/>
    </w:rPr>
  </w:style>
  <w:style w:type="paragraph" w:styleId="3">
    <w:name w:val="Normal Indent"/>
    <w:basedOn w:val="1"/>
    <w:qFormat/>
    <w:uiPriority w:val="0"/>
    <w:pPr>
      <w:widowControl/>
      <w:ind w:firstLine="420"/>
      <w:jc w:val="left"/>
    </w:pPr>
    <w:rPr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2023-11-17T10:24:00Z</dcterms:created>
  <dc:creator>安颜</dc:creator>
  <cp:lastModifiedBy>安颜</cp:lastModifiedBy>
  <dcterms:modified xsi:type="dcterms:W3CDTF">2023-11-17T10:25:12Z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AEF127A2D6A740EFB980771425D8B074_11</vt:lpwstr>
  </property>
</Properties>
</file>