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center"/>
        <w:rPr>
          <w:rFonts w:hint="eastAsia" w:ascii="仿宋_GB2312" w:hAnsi="仿宋_GB2312" w:eastAsia="仿宋_GB2312" w:cs="仿宋_GB2312"/>
        </w:rPr>
      </w:pPr>
      <w:bookmarkStart w:id="0" w:name="_Toc15548"/>
      <w:r>
        <w:rPr>
          <w:rFonts w:hint="eastAsia" w:ascii="仿宋_GB2312" w:hAnsi="仿宋_GB2312" w:eastAsia="仿宋_GB2312" w:cs="仿宋_GB2312"/>
        </w:rPr>
        <w:t>规格、技术参数偏离表</w:t>
      </w:r>
      <w:bookmarkEnd w:id="0"/>
    </w:p>
    <w:p>
      <w:pPr>
        <w:rPr>
          <w:rFonts w:hint="eastAsia" w:ascii="仿宋_GB2312" w:hAnsi="仿宋_GB2312" w:cs="仿宋_GB2312"/>
        </w:rPr>
      </w:pPr>
      <w:bookmarkStart w:id="1" w:name="_GoBack"/>
      <w:r>
        <w:rPr>
          <w:rFonts w:hint="eastAsia" w:ascii="仿宋_GB2312" w:hAnsi="仿宋_GB2312" w:cs="仿宋_GB2312"/>
          <w:lang w:val="en-US" w:eastAsia="zh-CN"/>
        </w:rPr>
        <w:t>项目</w:t>
      </w:r>
      <w:bookmarkEnd w:id="1"/>
      <w:r>
        <w:rPr>
          <w:rFonts w:hint="eastAsia" w:ascii="仿宋_GB2312" w:hAnsi="仿宋_GB2312" w:cs="仿宋_GB2312"/>
        </w:rPr>
        <w:t>名称：</w:t>
      </w:r>
      <w:r>
        <w:rPr>
          <w:rFonts w:hint="eastAsia" w:ascii="仿宋_GB2312" w:hAnsi="仿宋_GB2312" w:cs="仿宋_GB2312"/>
          <w:u w:val="single"/>
        </w:rPr>
        <w:t xml:space="preserve">                       </w:t>
      </w:r>
      <w:r>
        <w:rPr>
          <w:rFonts w:hint="eastAsia" w:ascii="仿宋_GB2312" w:hAnsi="仿宋_GB2312" w:cs="仿宋_GB2312"/>
          <w:lang w:val="en-US" w:eastAsia="zh-CN"/>
        </w:rPr>
        <w:t xml:space="preserve">  </w:t>
      </w:r>
      <w:r>
        <w:rPr>
          <w:rFonts w:hint="eastAsia" w:ascii="仿宋_GB2312" w:hAnsi="仿宋_GB2312" w:cs="仿宋_GB2312"/>
        </w:rPr>
        <w:t>项目编号：</w:t>
      </w:r>
      <w:r>
        <w:rPr>
          <w:rFonts w:hint="eastAsia" w:ascii="仿宋_GB2312" w:hAnsi="仿宋_GB2312" w:cs="仿宋_GB2312"/>
          <w:u w:val="single"/>
        </w:rPr>
        <w:t xml:space="preserve">   </w:t>
      </w:r>
      <w:r>
        <w:rPr>
          <w:rFonts w:hint="eastAsia" w:ascii="仿宋_GB2312" w:hAnsi="仿宋_GB2312" w:cs="仿宋_GB231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cs="仿宋_GB2312"/>
          <w:u w:val="single"/>
        </w:rPr>
        <w:t xml:space="preserve">         </w:t>
      </w:r>
    </w:p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989"/>
        <w:gridCol w:w="1368"/>
        <w:gridCol w:w="1966"/>
        <w:gridCol w:w="1760"/>
        <w:gridCol w:w="1199"/>
        <w:gridCol w:w="107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59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lang w:val="en-US" w:eastAsia="zh-CN"/>
              </w:rPr>
              <w:t>序号</w:t>
            </w: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内容</w:t>
            </w: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  <w:lang w:val="en-US" w:eastAsia="zh-CN"/>
              </w:rPr>
              <w:t>谈判</w:t>
            </w:r>
            <w:r>
              <w:rPr>
                <w:rFonts w:hint="eastAsia" w:ascii="仿宋_GB2312" w:hAnsi="仿宋_GB2312" w:cs="仿宋_GB2312"/>
              </w:rPr>
              <w:t>文件规格、技术要求</w:t>
            </w:r>
          </w:p>
        </w:tc>
        <w:tc>
          <w:tcPr>
            <w:tcW w:w="10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响应文件规格、技术响应</w:t>
            </w:r>
          </w:p>
        </w:tc>
        <w:tc>
          <w:tcPr>
            <w:tcW w:w="7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偏离情况</w:t>
            </w:r>
          </w:p>
        </w:tc>
        <w:tc>
          <w:tcPr>
            <w:tcW w:w="64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644" w:type="pc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644" w:type="pc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644" w:type="pc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644" w:type="pc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644" w:type="pc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8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17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105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7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  <w:tc>
          <w:tcPr>
            <w:tcW w:w="644" w:type="pct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</w:p>
        </w:tc>
      </w:tr>
    </w:tbl>
    <w:p>
      <w:pPr>
        <w:spacing w:line="400" w:lineRule="atLeast"/>
        <w:rPr>
          <w:rFonts w:hint="eastAsia" w:ascii="仿宋_GB2312" w:hAnsi="仿宋_GB2312" w:cs="仿宋_GB2312"/>
          <w:color w:val="000000"/>
          <w:szCs w:val="21"/>
        </w:rPr>
      </w:pPr>
      <w:r>
        <w:rPr>
          <w:rFonts w:hint="eastAsia" w:ascii="仿宋_GB2312" w:hAnsi="仿宋_GB2312" w:cs="仿宋_GB2312"/>
        </w:rPr>
        <w:t>说明：</w:t>
      </w:r>
    </w:p>
    <w:p>
      <w:pPr>
        <w:numPr>
          <w:ilvl w:val="0"/>
          <w:numId w:val="0"/>
        </w:numPr>
        <w:spacing w:line="400" w:lineRule="atLeast"/>
        <w:ind w:firstLine="424" w:firstLineChars="177"/>
        <w:rPr>
          <w:rFonts w:hint="eastAsia" w:ascii="仿宋_GB2312" w:hAnsi="仿宋_GB2312" w:cs="仿宋_GB2312"/>
          <w:color w:val="000000"/>
          <w:szCs w:val="21"/>
        </w:rPr>
      </w:pPr>
      <w:r>
        <w:rPr>
          <w:rFonts w:hint="eastAsia" w:ascii="仿宋_GB2312" w:hAnsi="仿宋_GB2312" w:cs="仿宋_GB2312"/>
          <w:color w:val="000000"/>
          <w:kern w:val="2"/>
          <w:sz w:val="24"/>
          <w:szCs w:val="21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2"/>
          <w:sz w:val="24"/>
          <w:szCs w:val="21"/>
          <w:lang w:val="en-US" w:eastAsia="zh-CN" w:bidi="ar-SA"/>
        </w:rPr>
        <w:t>、</w:t>
      </w:r>
      <w:r>
        <w:rPr>
          <w:rFonts w:hint="eastAsia" w:ascii="仿宋_GB2312" w:hAnsi="仿宋_GB2312" w:cs="仿宋_GB2312"/>
          <w:color w:val="000000"/>
          <w:szCs w:val="21"/>
        </w:rPr>
        <w:t>条款详见“供应商须知”及“</w:t>
      </w:r>
      <w:r>
        <w:rPr>
          <w:rFonts w:hint="eastAsia" w:ascii="仿宋_GB2312" w:hAnsi="仿宋_GB2312" w:cs="仿宋_GB2312"/>
          <w:color w:val="000000"/>
          <w:szCs w:val="21"/>
          <w:lang w:val="en-US" w:eastAsia="zh-CN"/>
        </w:rPr>
        <w:t>谈判项目技术、服务、商务要求</w:t>
      </w:r>
      <w:r>
        <w:rPr>
          <w:rFonts w:hint="eastAsia" w:ascii="仿宋_GB2312" w:hAnsi="仿宋_GB2312" w:cs="仿宋_GB2312"/>
          <w:color w:val="000000"/>
          <w:szCs w:val="21"/>
        </w:rPr>
        <w:t>”中的涉及的条款内容。</w:t>
      </w:r>
    </w:p>
    <w:p>
      <w:pPr>
        <w:spacing w:line="400" w:lineRule="atLeast"/>
        <w:ind w:firstLine="424" w:firstLineChars="177"/>
        <w:rPr>
          <w:rFonts w:hint="eastAsia" w:ascii="仿宋_GB2312" w:hAnsi="仿宋_GB2312" w:cs="仿宋_GB2312"/>
          <w:color w:val="000000"/>
          <w:szCs w:val="21"/>
        </w:rPr>
      </w:pPr>
      <w:r>
        <w:rPr>
          <w:rFonts w:hint="eastAsia" w:ascii="仿宋_GB2312" w:hAnsi="仿宋_GB2312" w:cs="仿宋_GB2312"/>
          <w:color w:val="000000"/>
          <w:szCs w:val="21"/>
          <w:lang w:val="en-US" w:eastAsia="zh-CN"/>
        </w:rPr>
        <w:t>2</w:t>
      </w:r>
      <w:r>
        <w:rPr>
          <w:rFonts w:hint="eastAsia" w:ascii="仿宋_GB2312" w:hAnsi="仿宋_GB2312" w:cs="仿宋_GB2312"/>
          <w:color w:val="000000"/>
          <w:szCs w:val="21"/>
        </w:rPr>
        <w:t>、如全部响应谈判文件所提要求，在“</w:t>
      </w:r>
      <w:r>
        <w:rPr>
          <w:rFonts w:hint="eastAsia" w:ascii="仿宋_GB2312" w:hAnsi="仿宋_GB2312" w:cs="仿宋_GB2312"/>
          <w:lang w:val="en-US" w:eastAsia="zh-CN"/>
        </w:rPr>
        <w:t>谈判</w:t>
      </w:r>
      <w:r>
        <w:rPr>
          <w:rFonts w:hint="eastAsia" w:ascii="仿宋_GB2312" w:hAnsi="仿宋_GB2312" w:cs="仿宋_GB2312"/>
        </w:rPr>
        <w:t>文件规格、技术响应</w:t>
      </w:r>
      <w:r>
        <w:rPr>
          <w:rFonts w:hint="eastAsia" w:ascii="仿宋_GB2312" w:hAnsi="仿宋_GB2312" w:cs="仿宋_GB2312"/>
          <w:color w:val="000000"/>
          <w:szCs w:val="21"/>
        </w:rPr>
        <w:t>”栏中填写“全部”字样，在“偏离情况”栏填入“无偏离”字样。</w:t>
      </w:r>
    </w:p>
    <w:p>
      <w:pPr>
        <w:adjustRightInd w:val="0"/>
        <w:snapToGrid w:val="0"/>
        <w:ind w:firstLine="482"/>
        <w:rPr>
          <w:rFonts w:ascii="仿宋_GB2312" w:hAnsi="仿宋_GB2312" w:cs="仿宋_GB2312"/>
        </w:rPr>
      </w:pPr>
    </w:p>
    <w:p>
      <w:pPr>
        <w:pStyle w:val="2"/>
        <w:rPr>
          <w:rFonts w:hint="eastAsia"/>
        </w:rPr>
      </w:pPr>
    </w:p>
    <w:tbl>
      <w:tblPr>
        <w:tblStyle w:val="6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535F6698"/>
    <w:rsid w:val="2F4F6871"/>
    <w:rsid w:val="535F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99"/>
    <w:rPr>
      <w:color w:val="2D64B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2023-10-10T02:18:00Z</dcterms:created>
  <dc:creator>Zhe</dc:creator>
  <cp:lastModifiedBy>Zhe</cp:lastModifiedBy>
  <dcterms:modified xsi:type="dcterms:W3CDTF">2023-10-10T03:38:11Z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91D15D5EB1724F25AADCFE574F0C717E_11</vt:lpwstr>
  </property>
</Properties>
</file>