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pacing w:line="360" w:lineRule="auto"/>
        <w:textAlignment w:val="baseline"/>
        <w:rPr>
          <w:rFonts w:hint="default" w:ascii="仿宋" w:hAnsi="仿宋" w:eastAsia="仿宋" w:cs="仿宋_GB2312"/>
          <w:lang w:val="en-US"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分项报价表</w:t>
      </w:r>
    </w:p>
    <w:p>
      <w:pPr>
        <w:spacing w:line="360" w:lineRule="auto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项目编号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   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6"/>
        <w:gridCol w:w="1418"/>
        <w:gridCol w:w="1275"/>
        <w:gridCol w:w="1843"/>
        <w:gridCol w:w="1701"/>
        <w:gridCol w:w="186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686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418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275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43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701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5222" w:type="dxa"/>
            <w:gridSpan w:val="4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合计金额</w:t>
            </w:r>
          </w:p>
        </w:tc>
        <w:tc>
          <w:tcPr>
            <w:tcW w:w="3570" w:type="dxa"/>
            <w:gridSpan w:val="2"/>
            <w:noWrap w:val="0"/>
            <w:vAlign w:val="top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>
      <w:pPr>
        <w:spacing w:line="360" w:lineRule="auto"/>
        <w:rPr>
          <w:rFonts w:ascii="仿宋" w:hAnsi="仿宋" w:eastAsia="仿宋"/>
          <w:color w:val="0D0D0D"/>
          <w:sz w:val="24"/>
          <w:szCs w:val="22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1.如果按单价计算的结果与总价不一致，以单价为准修正总价。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 w:ascii="仿宋" w:hAnsi="仿宋" w:eastAsia="仿宋"/>
          <w:color w:val="0D0D0D"/>
          <w:sz w:val="24"/>
          <w:szCs w:val="22"/>
        </w:rPr>
        <w:t>2.上表中合计金额应与开标一览表中的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单价合计</w:t>
      </w:r>
      <w:r>
        <w:rPr>
          <w:rFonts w:hint="eastAsia" w:ascii="仿宋" w:hAnsi="仿宋" w:eastAsia="仿宋"/>
          <w:color w:val="0D0D0D"/>
          <w:sz w:val="24"/>
          <w:szCs w:val="22"/>
        </w:rPr>
        <w:t>保持一致，且不得超出</w:t>
      </w:r>
      <w:r>
        <w:rPr>
          <w:rFonts w:hint="eastAsia" w:ascii="仿宋" w:hAnsi="仿宋" w:eastAsia="仿宋"/>
          <w:color w:val="0D0D0D"/>
          <w:sz w:val="24"/>
          <w:szCs w:val="22"/>
          <w:lang w:val="en-US" w:eastAsia="zh-CN"/>
        </w:rPr>
        <w:t>采购预算或</w:t>
      </w:r>
      <w:bookmarkStart w:id="0" w:name="_GoBack"/>
      <w:bookmarkEnd w:id="0"/>
      <w:r>
        <w:rPr>
          <w:rFonts w:hint="eastAsia" w:ascii="仿宋" w:hAnsi="仿宋" w:eastAsia="仿宋"/>
          <w:color w:val="0D0D0D"/>
          <w:sz w:val="24"/>
          <w:szCs w:val="22"/>
        </w:rPr>
        <w:t>最高限价。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189A38DC"/>
    <w:rsid w:val="189A38DC"/>
    <w:rsid w:val="53775307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130</Characters>
  <Lines>0</Lines>
  <Paragraphs>0</Paragraphs>
  <TotalTime>0</TotalTime>
  <ScaleCrop>false</ScaleCrop>
  <LinksUpToDate>false</LinksUpToDate>
  <CharactersWithSpaces>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2023-07-12T08:59:00Z</dcterms:created>
  <dc:creator>陕西中技招标有限公司</dc:creator>
  <cp:lastModifiedBy>陕西中技招标有限公司</cp:lastModifiedBy>
  <dcterms:modified xsi:type="dcterms:W3CDTF">2023-07-21T08:52:56Z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0BF67E5BA58A4F0BA1BAA1359136C02D_11</vt:lpwstr>
  </property>
</Properties>
</file>