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 w:line="188" w:lineRule="auto"/>
        <w:ind w:left="2947"/>
        <w:outlineLvl w:val="1"/>
        <w:rPr>
          <w:rFonts w:ascii="宋体" w:hAnsi="宋体" w:eastAsia="宋体" w:cs="宋体"/>
          <w:sz w:val="31"/>
          <w:szCs w:val="31"/>
        </w:rPr>
      </w:pPr>
      <w:bookmarkStart w:id="83" w:name="_GoBack"/>
      <w:r>
        <w:rPr>
          <w:rFonts w:ascii="宋体" w:hAnsi="宋体" w:eastAsia="宋体" w:cs="宋体"/>
          <w:spacing w:val="8"/>
          <w:sz w:val="31"/>
          <w:szCs w:val="31"/>
        </w:rPr>
        <w:t>拟签订采购合同文本</w:t>
      </w:r>
    </w:p>
    <w:p>
      <w:pPr>
        <w:spacing w:line="257" w:lineRule="auto"/>
        <w:rPr>
          <w:rFonts w:ascii="Arial"/>
          <w:sz w:val="21"/>
        </w:rPr>
      </w:pPr>
    </w:p>
    <w:bookmarkEnd w:id="83"/>
    <w:p>
      <w:pPr>
        <w:spacing w:line="360" w:lineRule="auto"/>
        <w:ind w:firstLine="480" w:firstLineChars="200"/>
        <w:jc w:val="center"/>
        <w:rPr>
          <w:rFonts w:hint="eastAsia" w:cs="宋体"/>
          <w:color w:val="auto"/>
          <w:szCs w:val="21"/>
          <w:highlight w:val="none"/>
        </w:rPr>
      </w:pPr>
      <w:r>
        <w:rPr>
          <w:rFonts w:hint="eastAsia" w:ascii="宋体" w:hAnsi="宋体" w:cs="宋体"/>
          <w:b/>
          <w:bCs/>
          <w:sz w:val="24"/>
        </w:rPr>
        <w:t>（此合同样本仅供参考，合同具体细则以双方协定为准）</w:t>
      </w:r>
    </w:p>
    <w:p>
      <w:pPr>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根据《中华人民共和国民法典》与项目行业有关的法律法规，以及本项目（</w:t>
      </w:r>
      <w:r>
        <w:rPr>
          <w:rFonts w:hint="eastAsia" w:ascii="宋体" w:hAnsi="宋体" w:eastAsia="宋体" w:cs="宋体"/>
          <w:color w:val="auto"/>
          <w:sz w:val="24"/>
          <w:szCs w:val="24"/>
          <w:highlight w:val="none"/>
          <w:u w:val="single"/>
          <w:lang w:val="en-US" w:eastAsia="zh-CN"/>
        </w:rPr>
        <w:t xml:space="preserve">   项目采购包   </w:t>
      </w:r>
      <w:r>
        <w:rPr>
          <w:rFonts w:hint="eastAsia" w:ascii="宋体" w:hAnsi="宋体" w:eastAsia="宋体" w:cs="宋体"/>
          <w:color w:val="auto"/>
          <w:sz w:val="24"/>
          <w:szCs w:val="24"/>
          <w:highlight w:val="none"/>
        </w:rPr>
        <w:t>）相关采购要求的规定，合同双方就乙方向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提供</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事宜，经协商达成一致，确立本合同。</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0" w:name="_Toc6138"/>
      <w:bookmarkStart w:id="1" w:name="_Toc21908"/>
      <w:bookmarkStart w:id="2" w:name="_Toc4893"/>
      <w:bookmarkStart w:id="3" w:name="_Toc15783"/>
      <w:bookmarkStart w:id="4" w:name="_Toc22731"/>
      <w:bookmarkStart w:id="5" w:name="_Toc15128"/>
      <w:r>
        <w:rPr>
          <w:rFonts w:hint="eastAsia" w:ascii="宋体" w:hAnsi="宋体" w:eastAsia="宋体" w:cs="宋体"/>
          <w:b/>
          <w:color w:val="auto"/>
          <w:sz w:val="24"/>
          <w:szCs w:val="24"/>
          <w:highlight w:val="none"/>
        </w:rPr>
        <w:t>一、合同标的物内容、数量及单价</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文件正本和澄清表〈函〉为准）</w:t>
      </w:r>
      <w:bookmarkEnd w:id="0"/>
      <w:bookmarkEnd w:id="1"/>
      <w:bookmarkEnd w:id="2"/>
      <w:bookmarkEnd w:id="3"/>
      <w:bookmarkEnd w:id="4"/>
      <w:bookmarkEnd w:id="5"/>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2151"/>
        <w:gridCol w:w="1807"/>
        <w:gridCol w:w="2259"/>
        <w:gridCol w:w="1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15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服务内容</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服务时间</w:t>
            </w:r>
          </w:p>
        </w:tc>
        <w:tc>
          <w:tcPr>
            <w:tcW w:w="225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合同价格</w:t>
            </w:r>
          </w:p>
        </w:tc>
        <w:tc>
          <w:tcPr>
            <w:tcW w:w="148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15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c>
          <w:tcPr>
            <w:tcW w:w="180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c>
          <w:tcPr>
            <w:tcW w:w="225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215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c>
          <w:tcPr>
            <w:tcW w:w="180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c>
          <w:tcPr>
            <w:tcW w:w="225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1" w:type="dxa"/>
            <w:gridSpan w:val="5"/>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w:t>
            </w:r>
            <w:r>
              <w:rPr>
                <w:rFonts w:hint="eastAsia" w:ascii="宋体" w:hAnsi="宋体" w:eastAsia="宋体" w:cs="宋体"/>
                <w:color w:val="auto"/>
                <w:sz w:val="24"/>
                <w:szCs w:val="24"/>
                <w:highlight w:val="none"/>
                <w:lang w:eastAsia="zh-CN"/>
              </w:rPr>
              <w:t>：</w:t>
            </w:r>
          </w:p>
        </w:tc>
      </w:tr>
    </w:tbl>
    <w:p>
      <w:pPr>
        <w:tabs>
          <w:tab w:val="left" w:pos="480"/>
        </w:tabs>
        <w:spacing w:line="360" w:lineRule="auto"/>
        <w:jc w:val="both"/>
        <w:outlineLvl w:val="1"/>
        <w:rPr>
          <w:rFonts w:hint="eastAsia" w:ascii="宋体" w:hAnsi="宋体" w:eastAsia="宋体" w:cs="宋体"/>
          <w:b/>
          <w:color w:val="auto"/>
          <w:sz w:val="24"/>
          <w:szCs w:val="24"/>
          <w:highlight w:val="none"/>
        </w:rPr>
      </w:pPr>
      <w:bookmarkStart w:id="6" w:name="_Toc1496"/>
      <w:bookmarkStart w:id="7" w:name="_Toc29609"/>
      <w:bookmarkStart w:id="8" w:name="_Toc12144"/>
      <w:bookmarkStart w:id="9" w:name="_Toc2520"/>
      <w:bookmarkStart w:id="10" w:name="_Toc20954"/>
      <w:bookmarkStart w:id="11" w:name="_Toc23203"/>
      <w:r>
        <w:rPr>
          <w:rFonts w:hint="eastAsia" w:ascii="宋体" w:hAnsi="宋体" w:eastAsia="宋体" w:cs="宋体"/>
          <w:b/>
          <w:color w:val="auto"/>
          <w:sz w:val="24"/>
          <w:szCs w:val="24"/>
          <w:highlight w:val="none"/>
        </w:rPr>
        <w:t>二、合同价款</w:t>
      </w:r>
      <w:bookmarkEnd w:id="6"/>
      <w:bookmarkEnd w:id="7"/>
      <w:bookmarkEnd w:id="8"/>
      <w:bookmarkEnd w:id="9"/>
      <w:bookmarkEnd w:id="10"/>
      <w:bookmarkEnd w:id="11"/>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（一）合同总价款为人民币（大写）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tabs>
          <w:tab w:val="left" w:pos="48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（二）合同总价：完成本</w:t>
      </w:r>
      <w:r>
        <w:rPr>
          <w:rFonts w:hint="eastAsia" w:ascii="宋体" w:hAnsi="宋体" w:eastAsia="宋体" w:cs="宋体"/>
          <w:color w:val="auto"/>
          <w:sz w:val="24"/>
          <w:szCs w:val="24"/>
          <w:highlight w:val="none"/>
          <w:lang w:eastAsia="zh-CN"/>
        </w:rPr>
        <w:t>活动项目</w:t>
      </w:r>
      <w:r>
        <w:rPr>
          <w:rFonts w:hint="eastAsia" w:ascii="宋体" w:hAnsi="宋体" w:eastAsia="宋体" w:cs="宋体"/>
          <w:color w:val="auto"/>
          <w:sz w:val="24"/>
          <w:szCs w:val="24"/>
          <w:highlight w:val="none"/>
        </w:rPr>
        <w:t>所要求的全部服务的所有费用</w:t>
      </w:r>
      <w:r>
        <w:rPr>
          <w:rFonts w:hint="eastAsia" w:ascii="宋体" w:hAnsi="宋体" w:eastAsia="宋体" w:cs="宋体"/>
          <w:color w:val="auto"/>
          <w:sz w:val="24"/>
          <w:szCs w:val="24"/>
          <w:highlight w:val="none"/>
          <w:lang w:eastAsia="zh-CN"/>
        </w:rPr>
        <w:t>。</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（三）合同总价一次性包死，不受市场价格变化因素的影响。</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12" w:name="_Toc11106"/>
      <w:bookmarkStart w:id="13" w:name="_Toc11349"/>
      <w:bookmarkStart w:id="14" w:name="_Toc796"/>
      <w:bookmarkStart w:id="15" w:name="_Toc17511"/>
      <w:bookmarkStart w:id="16" w:name="_Toc22280"/>
      <w:bookmarkStart w:id="17" w:name="_Toc8221"/>
      <w:r>
        <w:rPr>
          <w:rFonts w:hint="eastAsia" w:ascii="宋体" w:hAnsi="宋体" w:eastAsia="宋体" w:cs="宋体"/>
          <w:b/>
          <w:color w:val="auto"/>
          <w:sz w:val="24"/>
          <w:szCs w:val="24"/>
          <w:highlight w:val="none"/>
        </w:rPr>
        <w:t>三、款项结算</w:t>
      </w:r>
      <w:bookmarkEnd w:id="12"/>
      <w:bookmarkEnd w:id="13"/>
      <w:bookmarkEnd w:id="14"/>
      <w:bookmarkEnd w:id="15"/>
      <w:bookmarkEnd w:id="16"/>
      <w:bookmarkEnd w:id="17"/>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bCs/>
          <w:color w:val="auto"/>
          <w:sz w:val="24"/>
          <w:szCs w:val="24"/>
          <w:highlight w:val="none"/>
        </w:rPr>
        <w:t>合同签订后，由采购人负责结算。</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（二）支付方式：银行转账。在付款前，供应商必须开具全额发票给采购人。</w:t>
      </w:r>
    </w:p>
    <w:p>
      <w:pPr>
        <w:spacing w:line="360" w:lineRule="auto"/>
        <w:ind w:firstLine="480" w:firstLineChars="200"/>
        <w:jc w:val="both"/>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（三）付款方式</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lang w:val="en-US" w:eastAsia="zh-CN"/>
        </w:rPr>
        <w:t>1-6包合同签订后支付合同总额的40%，服务量超过50%后支付合同总额的30%，服务全部完成并经验收合格后支付尾款 。</w:t>
      </w:r>
    </w:p>
    <w:p>
      <w:pPr>
        <w:spacing w:line="360" w:lineRule="auto"/>
        <w:ind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u w:val="single"/>
          <w:lang w:val="en-US" w:eastAsia="zh-CN"/>
        </w:rPr>
        <w:t>7包合同签订后支付合同总额的40%，服务完成后支付尾款。</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18" w:name="_Toc17530"/>
      <w:bookmarkStart w:id="19" w:name="_Toc17757"/>
      <w:bookmarkStart w:id="20" w:name="_Toc30881"/>
      <w:bookmarkStart w:id="21" w:name="_Toc30509"/>
      <w:bookmarkStart w:id="22" w:name="_Toc31371"/>
      <w:bookmarkStart w:id="23" w:name="_Toc28704"/>
      <w:r>
        <w:rPr>
          <w:rFonts w:hint="eastAsia" w:ascii="宋体" w:hAnsi="宋体" w:eastAsia="宋体" w:cs="宋体"/>
          <w:b/>
          <w:color w:val="auto"/>
          <w:sz w:val="24"/>
          <w:szCs w:val="24"/>
          <w:highlight w:val="none"/>
        </w:rPr>
        <w:t>四、双方的权利和义务</w:t>
      </w:r>
      <w:bookmarkEnd w:id="18"/>
      <w:bookmarkEnd w:id="19"/>
      <w:bookmarkEnd w:id="20"/>
      <w:bookmarkEnd w:id="21"/>
      <w:bookmarkEnd w:id="22"/>
      <w:bookmarkEnd w:id="23"/>
    </w:p>
    <w:p>
      <w:pPr>
        <w:spacing w:line="360" w:lineRule="auto"/>
        <w:ind w:firstLine="240" w:firstLineChars="1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（一）甲方的权利和义务</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甲方权利：严格按照</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文件要求和标准对本次服务项目的实施进行监督。</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甲方义务：积极配合乙方服务过程中的沟通协调工作。</w:t>
      </w:r>
    </w:p>
    <w:p>
      <w:pPr>
        <w:spacing w:line="360" w:lineRule="auto"/>
        <w:ind w:firstLine="240" w:firstLineChars="1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（二）乙方的权利和义务</w:t>
      </w:r>
    </w:p>
    <w:p>
      <w:pPr>
        <w:spacing w:line="360" w:lineRule="auto"/>
        <w:ind w:firstLine="240" w:firstLineChars="1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乙方权利：按照合同约定要求甲方及时付款。</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乙方义务：按照合同约定时间，在甲方指定地点提供本项目的服务工作；自检并配合甲方考核验收工作。</w:t>
      </w:r>
    </w:p>
    <w:p>
      <w:pPr>
        <w:tabs>
          <w:tab w:val="left" w:pos="480"/>
        </w:tabs>
        <w:spacing w:line="360" w:lineRule="auto"/>
        <w:jc w:val="both"/>
        <w:outlineLvl w:val="1"/>
        <w:rPr>
          <w:rFonts w:hint="eastAsia" w:ascii="宋体" w:hAnsi="宋体" w:eastAsia="宋体" w:cs="宋体"/>
          <w:color w:val="auto"/>
          <w:sz w:val="24"/>
          <w:szCs w:val="24"/>
          <w:highlight w:val="none"/>
          <w:lang w:eastAsia="zh-CN"/>
        </w:rPr>
      </w:pPr>
      <w:bookmarkStart w:id="24" w:name="_Toc23815"/>
      <w:bookmarkStart w:id="25" w:name="_Toc32365"/>
      <w:bookmarkStart w:id="26" w:name="_Toc24893"/>
      <w:bookmarkStart w:id="27" w:name="_Toc86"/>
      <w:bookmarkStart w:id="28" w:name="_Toc25885"/>
      <w:bookmarkStart w:id="29" w:name="_Toc21577"/>
      <w:r>
        <w:rPr>
          <w:rFonts w:hint="eastAsia" w:ascii="宋体" w:hAnsi="宋体" w:eastAsia="宋体" w:cs="宋体"/>
          <w:b/>
          <w:color w:val="auto"/>
          <w:sz w:val="24"/>
          <w:szCs w:val="24"/>
          <w:highlight w:val="none"/>
        </w:rPr>
        <w:t>五、服务</w:t>
      </w:r>
      <w:bookmarkEnd w:id="24"/>
      <w:bookmarkEnd w:id="25"/>
      <w:bookmarkEnd w:id="26"/>
      <w:bookmarkEnd w:id="27"/>
      <w:bookmarkEnd w:id="28"/>
      <w:bookmarkEnd w:id="29"/>
      <w:r>
        <w:rPr>
          <w:rFonts w:hint="eastAsia" w:ascii="宋体" w:hAnsi="宋体" w:eastAsia="宋体" w:cs="宋体"/>
          <w:b/>
          <w:color w:val="auto"/>
          <w:sz w:val="24"/>
          <w:szCs w:val="24"/>
          <w:highlight w:val="none"/>
          <w:lang w:eastAsia="zh-CN"/>
        </w:rPr>
        <w:t>详细内容及服务标准</w:t>
      </w:r>
    </w:p>
    <w:p>
      <w:pPr>
        <w:tabs>
          <w:tab w:val="left" w:pos="480"/>
        </w:tabs>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single"/>
          <w:lang w:val="en-US" w:eastAsia="zh-CN"/>
        </w:rPr>
        <w:t xml:space="preserve">                    </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30" w:name="_Toc2178"/>
      <w:bookmarkStart w:id="31" w:name="_Toc22113"/>
      <w:bookmarkStart w:id="32" w:name="_Toc31282"/>
      <w:bookmarkStart w:id="33" w:name="_Toc29734"/>
      <w:bookmarkStart w:id="34" w:name="_Toc32298"/>
      <w:bookmarkStart w:id="35" w:name="_Toc32754"/>
      <w:r>
        <w:rPr>
          <w:rFonts w:hint="eastAsia" w:ascii="宋体" w:hAnsi="宋体" w:eastAsia="宋体" w:cs="宋体"/>
          <w:b/>
          <w:color w:val="auto"/>
          <w:sz w:val="24"/>
          <w:szCs w:val="24"/>
          <w:highlight w:val="none"/>
        </w:rPr>
        <w:t>六、服务支持</w:t>
      </w:r>
      <w:bookmarkEnd w:id="30"/>
      <w:bookmarkEnd w:id="31"/>
      <w:bookmarkEnd w:id="32"/>
      <w:bookmarkEnd w:id="33"/>
      <w:bookmarkEnd w:id="34"/>
      <w:bookmarkEnd w:id="35"/>
    </w:p>
    <w:p>
      <w:pPr>
        <w:tabs>
          <w:tab w:val="left" w:pos="480"/>
        </w:tabs>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在项目实施过程中，质量保障人员、资源不足或者执行不力，给项目质量带来的风险超出</w:t>
      </w:r>
      <w:r>
        <w:rPr>
          <w:rFonts w:hint="eastAsia" w:ascii="宋体" w:hAnsi="宋体" w:eastAsia="宋体" w:cs="宋体"/>
          <w:bCs/>
          <w:color w:val="auto"/>
          <w:sz w:val="24"/>
          <w:szCs w:val="24"/>
          <w:highlight w:val="none"/>
          <w:lang w:eastAsia="zh-CN"/>
        </w:rPr>
        <w:t>甲方</w:t>
      </w:r>
      <w:r>
        <w:rPr>
          <w:rFonts w:hint="eastAsia" w:ascii="宋体" w:hAnsi="宋体" w:eastAsia="宋体" w:cs="宋体"/>
          <w:bCs/>
          <w:color w:val="auto"/>
          <w:sz w:val="24"/>
          <w:szCs w:val="24"/>
          <w:highlight w:val="none"/>
        </w:rPr>
        <w:t>认定的允许范围时，</w:t>
      </w:r>
      <w:r>
        <w:rPr>
          <w:rFonts w:hint="eastAsia" w:ascii="宋体" w:hAnsi="宋体" w:eastAsia="宋体" w:cs="宋体"/>
          <w:bCs/>
          <w:color w:val="auto"/>
          <w:sz w:val="24"/>
          <w:szCs w:val="24"/>
          <w:highlight w:val="none"/>
          <w:lang w:eastAsia="zh-CN"/>
        </w:rPr>
        <w:t>甲方</w:t>
      </w:r>
      <w:r>
        <w:rPr>
          <w:rFonts w:hint="eastAsia" w:ascii="宋体" w:hAnsi="宋体" w:eastAsia="宋体" w:cs="宋体"/>
          <w:bCs/>
          <w:color w:val="auto"/>
          <w:sz w:val="24"/>
          <w:szCs w:val="24"/>
          <w:highlight w:val="none"/>
        </w:rPr>
        <w:t>可终止本项目的合作并进行索赔。</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36" w:name="_Toc26633"/>
      <w:bookmarkStart w:id="37" w:name="_Toc23537"/>
      <w:bookmarkStart w:id="38" w:name="_Toc2601"/>
      <w:bookmarkStart w:id="39" w:name="_Toc4554"/>
      <w:bookmarkStart w:id="40" w:name="_Toc17141"/>
      <w:bookmarkStart w:id="41" w:name="_Toc2716"/>
      <w:r>
        <w:rPr>
          <w:rFonts w:hint="eastAsia" w:ascii="宋体" w:hAnsi="宋体" w:eastAsia="宋体" w:cs="宋体"/>
          <w:b/>
          <w:color w:val="auto"/>
          <w:sz w:val="24"/>
          <w:szCs w:val="24"/>
          <w:highlight w:val="none"/>
        </w:rPr>
        <w:t>七、质量保证</w:t>
      </w:r>
      <w:bookmarkEnd w:id="36"/>
      <w:bookmarkEnd w:id="37"/>
      <w:bookmarkEnd w:id="38"/>
      <w:bookmarkEnd w:id="39"/>
      <w:bookmarkEnd w:id="40"/>
      <w:bookmarkEnd w:id="41"/>
    </w:p>
    <w:p>
      <w:pPr>
        <w:tabs>
          <w:tab w:val="left" w:pos="480"/>
        </w:tabs>
        <w:spacing w:line="360" w:lineRule="auto"/>
        <w:ind w:firstLine="470" w:firstLineChars="196"/>
        <w:jc w:val="both"/>
        <w:rPr>
          <w:rFonts w:hint="eastAsia" w:ascii="宋体" w:hAnsi="宋体" w:eastAsia="宋体" w:cs="宋体"/>
          <w:color w:val="auto"/>
          <w:sz w:val="24"/>
          <w:szCs w:val="24"/>
          <w:highlight w:val="none"/>
        </w:rPr>
      </w:pPr>
      <w:bookmarkStart w:id="42" w:name="_Toc8336"/>
      <w:bookmarkStart w:id="43" w:name="_Toc10532"/>
      <w:r>
        <w:rPr>
          <w:rFonts w:hint="eastAsia" w:ascii="宋体" w:hAnsi="宋体" w:eastAsia="宋体" w:cs="宋体"/>
          <w:color w:val="auto"/>
          <w:sz w:val="24"/>
          <w:szCs w:val="24"/>
          <w:highlight w:val="none"/>
        </w:rPr>
        <w:t>乙方所供服务必须执行下列条款：</w:t>
      </w:r>
    </w:p>
    <w:p>
      <w:pPr>
        <w:tabs>
          <w:tab w:val="left" w:pos="480"/>
        </w:tabs>
        <w:spacing w:line="360" w:lineRule="auto"/>
        <w:ind w:firstLine="240" w:firstLineChars="1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（1）保证所</w:t>
      </w:r>
      <w:r>
        <w:rPr>
          <w:rFonts w:hint="eastAsia" w:ascii="宋体" w:hAnsi="宋体" w:eastAsia="宋体" w:cs="宋体"/>
          <w:color w:val="auto"/>
          <w:sz w:val="24"/>
          <w:szCs w:val="24"/>
          <w:highlight w:val="none"/>
          <w:lang w:eastAsia="zh-CN"/>
        </w:rPr>
        <w:t>服务内容</w:t>
      </w:r>
      <w:r>
        <w:rPr>
          <w:rFonts w:hint="eastAsia" w:ascii="宋体" w:hAnsi="宋体" w:eastAsia="宋体" w:cs="宋体"/>
          <w:color w:val="auto"/>
          <w:sz w:val="24"/>
          <w:szCs w:val="24"/>
          <w:highlight w:val="none"/>
        </w:rPr>
        <w:t>的方案设计、具体实施等，均应按国内外通行的现行标准和相应的技术规范执行，这些标准和技术规范应为合同签订日为止最新公布发行的标准和技术规范。</w:t>
      </w:r>
    </w:p>
    <w:p>
      <w:pPr>
        <w:tabs>
          <w:tab w:val="left" w:pos="480"/>
        </w:tabs>
        <w:spacing w:line="360" w:lineRule="auto"/>
        <w:ind w:firstLine="240" w:firstLineChars="1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所</w:t>
      </w:r>
      <w:r>
        <w:rPr>
          <w:rFonts w:hint="eastAsia" w:ascii="宋体" w:hAnsi="宋体" w:eastAsia="宋体" w:cs="宋体"/>
          <w:color w:val="auto"/>
          <w:sz w:val="24"/>
          <w:szCs w:val="24"/>
          <w:highlight w:val="none"/>
          <w:lang w:eastAsia="zh-CN"/>
        </w:rPr>
        <w:t>执行服务内容</w:t>
      </w:r>
      <w:r>
        <w:rPr>
          <w:rFonts w:hint="eastAsia" w:ascii="宋体" w:hAnsi="宋体" w:eastAsia="宋体" w:cs="宋体"/>
          <w:color w:val="auto"/>
          <w:sz w:val="24"/>
          <w:szCs w:val="24"/>
          <w:highlight w:val="none"/>
        </w:rPr>
        <w:t>因侵权而产生的一切后果由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保留索赔权利。</w:t>
      </w:r>
    </w:p>
    <w:p>
      <w:pPr>
        <w:spacing w:line="360" w:lineRule="auto"/>
        <w:ind w:firstLine="240" w:firstLineChars="100"/>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在磋商时承诺的团队负责人、团队工作人员</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必须按响应文件的执行方案参与到具体工作中。</w:t>
      </w:r>
      <w:bookmarkEnd w:id="42"/>
      <w:bookmarkEnd w:id="43"/>
    </w:p>
    <w:p>
      <w:pPr>
        <w:tabs>
          <w:tab w:val="left" w:pos="480"/>
        </w:tabs>
        <w:spacing w:line="360" w:lineRule="auto"/>
        <w:jc w:val="both"/>
        <w:outlineLvl w:val="1"/>
        <w:rPr>
          <w:rFonts w:hint="eastAsia" w:ascii="宋体" w:hAnsi="宋体" w:eastAsia="宋体" w:cs="宋体"/>
          <w:b/>
          <w:color w:val="auto"/>
          <w:sz w:val="24"/>
          <w:szCs w:val="24"/>
          <w:highlight w:val="none"/>
        </w:rPr>
      </w:pPr>
      <w:bookmarkStart w:id="44" w:name="_Toc4931"/>
      <w:bookmarkStart w:id="45" w:name="_Toc31724"/>
      <w:bookmarkStart w:id="46" w:name="_Toc10347"/>
      <w:bookmarkStart w:id="47" w:name="_Toc21294"/>
      <w:bookmarkStart w:id="48" w:name="_Toc2440"/>
      <w:bookmarkStart w:id="49" w:name="_Toc31058"/>
      <w:r>
        <w:rPr>
          <w:rFonts w:hint="eastAsia" w:ascii="宋体" w:hAnsi="宋体" w:eastAsia="宋体" w:cs="宋体"/>
          <w:b/>
          <w:color w:val="auto"/>
          <w:sz w:val="24"/>
          <w:szCs w:val="24"/>
          <w:highlight w:val="none"/>
        </w:rPr>
        <w:t>八、考核验收</w:t>
      </w:r>
      <w:bookmarkEnd w:id="44"/>
      <w:bookmarkEnd w:id="45"/>
      <w:bookmarkEnd w:id="46"/>
      <w:bookmarkEnd w:id="47"/>
      <w:bookmarkEnd w:id="48"/>
      <w:bookmarkEnd w:id="49"/>
    </w:p>
    <w:p>
      <w:pPr>
        <w:tabs>
          <w:tab w:val="left" w:pos="480"/>
        </w:tabs>
        <w:spacing w:line="360" w:lineRule="auto"/>
        <w:ind w:firstLine="480" w:firstLineChars="200"/>
        <w:jc w:val="both"/>
        <w:outlineLvl w:val="1"/>
        <w:rPr>
          <w:rFonts w:hint="eastAsia" w:ascii="宋体" w:hAnsi="宋体" w:eastAsia="宋体" w:cs="宋体"/>
          <w:color w:val="auto"/>
          <w:sz w:val="24"/>
          <w:szCs w:val="24"/>
          <w:highlight w:val="none"/>
        </w:rPr>
      </w:pPr>
      <w:bookmarkStart w:id="50" w:name="_Toc13868"/>
      <w:bookmarkStart w:id="51" w:name="_Toc410"/>
      <w:bookmarkStart w:id="52" w:name="_Toc14344"/>
      <w:bookmarkStart w:id="53" w:name="_Toc11557"/>
      <w:bookmarkStart w:id="54" w:name="_Toc21893"/>
      <w:bookmarkStart w:id="55" w:name="_Toc11043"/>
      <w:r>
        <w:rPr>
          <w:rFonts w:hint="eastAsia" w:ascii="宋体" w:hAnsi="宋体" w:eastAsia="宋体" w:cs="宋体"/>
          <w:color w:val="auto"/>
          <w:sz w:val="24"/>
          <w:szCs w:val="24"/>
          <w:highlight w:val="none"/>
        </w:rPr>
        <w:t>成果交付要求：需达到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对项目的具体要求。</w:t>
      </w:r>
      <w:bookmarkEnd w:id="50"/>
      <w:bookmarkEnd w:id="51"/>
      <w:bookmarkEnd w:id="52"/>
    </w:p>
    <w:p>
      <w:pPr>
        <w:tabs>
          <w:tab w:val="left" w:pos="480"/>
        </w:tabs>
        <w:spacing w:line="360" w:lineRule="auto"/>
        <w:ind w:firstLine="470" w:firstLineChars="196"/>
        <w:jc w:val="both"/>
        <w:rPr>
          <w:rFonts w:hint="eastAsia" w:ascii="宋体" w:hAnsi="宋体" w:eastAsia="宋体" w:cs="宋体"/>
          <w:color w:val="auto"/>
          <w:sz w:val="24"/>
          <w:szCs w:val="24"/>
          <w:highlight w:val="none"/>
        </w:rPr>
      </w:pPr>
      <w:bookmarkStart w:id="56" w:name="_Toc24413"/>
      <w:bookmarkStart w:id="57" w:name="_Toc26566"/>
      <w:r>
        <w:rPr>
          <w:rFonts w:hint="eastAsia" w:ascii="宋体" w:hAnsi="宋体" w:eastAsia="宋体" w:cs="宋体"/>
          <w:color w:val="auto"/>
          <w:sz w:val="24"/>
          <w:szCs w:val="24"/>
          <w:highlight w:val="none"/>
        </w:rPr>
        <w:t>1、服务期满后按照</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所提供的资料及数据进行验收；</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2、最终验收：自合同签订之日起至完成全部项目内容，需按照</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确定的时间完成交付并验收合格，验收合格后，填写验收单。</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3、验收和评价方式</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乙方提供的服务最终验收达不到</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要求和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承诺及国家或行业标准，或在使用中发现甲方不能容忍的缺陷等，将视为验收不合格，乙方应在甲方要求的时间内无条件完善或要求赔付</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损失。</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若发现乙方有弄虚作假的，及在项目实施阶段故意或随意夸大服务，本项目合同解除，乙方赔偿甲方相应的损失。</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验收标准：按</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等服务指标进行验收。</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  验收合格后，填写验收单，双方盖章、签字生效。</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  验收依据</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  合同文本。</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3.5.2  </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、澄清函。</w:t>
      </w:r>
    </w:p>
    <w:p>
      <w:pPr>
        <w:tabs>
          <w:tab w:val="left" w:pos="480"/>
        </w:tabs>
        <w:spacing w:line="360" w:lineRule="auto"/>
        <w:ind w:firstLine="470" w:firstLineChars="19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3.5.3  国家和行业制定的相应的标准和规范。</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58" w:name="_Toc29564"/>
      <w:r>
        <w:rPr>
          <w:rFonts w:hint="eastAsia" w:ascii="宋体" w:hAnsi="宋体" w:eastAsia="宋体" w:cs="宋体"/>
          <w:b/>
          <w:color w:val="auto"/>
          <w:sz w:val="24"/>
          <w:szCs w:val="24"/>
          <w:highlight w:val="none"/>
        </w:rPr>
        <w:t>十、知识产权、专利权</w:t>
      </w:r>
      <w:bookmarkEnd w:id="53"/>
      <w:bookmarkEnd w:id="54"/>
      <w:bookmarkEnd w:id="55"/>
      <w:bookmarkEnd w:id="56"/>
      <w:bookmarkEnd w:id="57"/>
      <w:bookmarkEnd w:id="58"/>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应对所提供的文稿及图像、影像资料，已取得合法知识产权或其使用权，</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应保证所提供的服务不会出现因第三方提出侵犯其版权、商标权或其它知识产权而引发法律或经济纠纷，否则由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负责解决并承担全部责任；如因此影响到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的正常使用，</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有权单方解除本合同，</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应无条件向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退回已收取的全部合同价款。</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59" w:name="_Toc17134"/>
      <w:bookmarkStart w:id="60" w:name="_Toc775"/>
      <w:bookmarkStart w:id="61" w:name="_Toc26121"/>
      <w:bookmarkStart w:id="62" w:name="_Toc7776"/>
      <w:bookmarkStart w:id="63" w:name="_Toc26859"/>
      <w:bookmarkStart w:id="64" w:name="_Toc28036"/>
      <w:r>
        <w:rPr>
          <w:rFonts w:hint="eastAsia" w:ascii="宋体" w:hAnsi="宋体" w:eastAsia="宋体" w:cs="宋体"/>
          <w:b/>
          <w:color w:val="auto"/>
          <w:sz w:val="24"/>
          <w:szCs w:val="24"/>
          <w:highlight w:val="none"/>
        </w:rPr>
        <w:t>十一、违约责任</w:t>
      </w:r>
      <w:bookmarkEnd w:id="59"/>
      <w:bookmarkEnd w:id="60"/>
      <w:bookmarkEnd w:id="61"/>
      <w:bookmarkEnd w:id="62"/>
      <w:bookmarkEnd w:id="63"/>
      <w:bookmarkEnd w:id="64"/>
    </w:p>
    <w:p>
      <w:pPr>
        <w:tabs>
          <w:tab w:val="left" w:pos="480"/>
        </w:tabs>
        <w:spacing w:line="360" w:lineRule="auto"/>
        <w:ind w:firstLine="480" w:firstLineChars="200"/>
        <w:jc w:val="both"/>
        <w:rPr>
          <w:rFonts w:hint="eastAsia" w:ascii="宋体" w:hAnsi="宋体" w:eastAsia="宋体" w:cs="宋体"/>
          <w:color w:val="auto"/>
          <w:sz w:val="24"/>
          <w:szCs w:val="24"/>
          <w:highlight w:val="none"/>
        </w:rPr>
      </w:pPr>
      <w:bookmarkStart w:id="65" w:name="_Toc1770"/>
      <w:bookmarkStart w:id="66" w:name="_Toc24574"/>
      <w:bookmarkStart w:id="67" w:name="_Toc13572"/>
      <w:bookmarkStart w:id="68" w:name="_Toc32274"/>
      <w:bookmarkStart w:id="69" w:name="_Toc30683"/>
      <w:r>
        <w:rPr>
          <w:rFonts w:hint="eastAsia" w:ascii="宋体" w:hAnsi="宋体" w:eastAsia="宋体" w:cs="宋体"/>
          <w:color w:val="auto"/>
          <w:sz w:val="24"/>
          <w:szCs w:val="24"/>
          <w:highlight w:val="none"/>
        </w:rPr>
        <w:t>1.按《民法典》中的相关条款执行。</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2.乙方未按协议要求提供服务或服务质量不能满足协议要求的，甲方应当将</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3.由于不可抗力因素造成无法按照原计划提供服务，双方互不追究违约责任。</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4.如有异议另行协商。</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70" w:name="_Toc31002"/>
      <w:r>
        <w:rPr>
          <w:rFonts w:hint="eastAsia" w:ascii="宋体" w:hAnsi="宋体" w:eastAsia="宋体" w:cs="宋体"/>
          <w:b/>
          <w:color w:val="auto"/>
          <w:sz w:val="24"/>
          <w:szCs w:val="24"/>
          <w:highlight w:val="none"/>
        </w:rPr>
        <w:t>十二、合同争议解决的方式</w:t>
      </w:r>
      <w:bookmarkEnd w:id="65"/>
      <w:bookmarkEnd w:id="66"/>
      <w:bookmarkEnd w:id="67"/>
      <w:bookmarkEnd w:id="68"/>
      <w:bookmarkEnd w:id="69"/>
      <w:bookmarkEnd w:id="70"/>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本合同在履行过程中发生的争议，由甲、乙双方当事人协商解决，协商不成的按下列第（</w:t>
      </w: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）种方式解决：</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（一）提交</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仲裁委员会仲裁；</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（二）依法向 </w:t>
      </w:r>
      <w:r>
        <w:rPr>
          <w:rFonts w:hint="eastAsia" w:ascii="宋体" w:hAnsi="宋体" w:eastAsia="宋体" w:cs="宋体"/>
          <w:color w:val="auto"/>
          <w:sz w:val="24"/>
          <w:szCs w:val="24"/>
          <w:highlight w:val="none"/>
          <w:u w:val="single"/>
        </w:rPr>
        <w:t xml:space="preserve"> 甲方  </w:t>
      </w:r>
      <w:r>
        <w:rPr>
          <w:rFonts w:hint="eastAsia" w:ascii="宋体" w:hAnsi="宋体" w:eastAsia="宋体" w:cs="宋体"/>
          <w:color w:val="auto"/>
          <w:sz w:val="24"/>
          <w:szCs w:val="24"/>
          <w:highlight w:val="none"/>
        </w:rPr>
        <w:t>所在地人民法院起诉。</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71" w:name="_Toc13162"/>
      <w:bookmarkStart w:id="72" w:name="_Toc26427"/>
      <w:bookmarkStart w:id="73" w:name="_Toc26586"/>
      <w:bookmarkStart w:id="74" w:name="_Toc15228"/>
      <w:bookmarkStart w:id="75" w:name="_Toc18958"/>
      <w:bookmarkStart w:id="76" w:name="_Toc29954"/>
      <w:r>
        <w:rPr>
          <w:rFonts w:hint="eastAsia" w:ascii="宋体" w:hAnsi="宋体" w:eastAsia="宋体" w:cs="宋体"/>
          <w:b/>
          <w:color w:val="auto"/>
          <w:sz w:val="24"/>
          <w:szCs w:val="24"/>
          <w:highlight w:val="none"/>
        </w:rPr>
        <w:t>十三、合同生效</w:t>
      </w:r>
      <w:bookmarkEnd w:id="71"/>
      <w:bookmarkEnd w:id="72"/>
      <w:bookmarkEnd w:id="73"/>
      <w:bookmarkEnd w:id="74"/>
      <w:bookmarkEnd w:id="75"/>
      <w:bookmarkEnd w:id="76"/>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份，本合同甲、乙、确认各方签字盖章后生效，合同执行完毕后，自动失效（合同的服务承诺则长期有效）。</w:t>
      </w:r>
    </w:p>
    <w:p>
      <w:pPr>
        <w:tabs>
          <w:tab w:val="left" w:pos="480"/>
        </w:tabs>
        <w:spacing w:line="360" w:lineRule="auto"/>
        <w:jc w:val="both"/>
        <w:outlineLvl w:val="1"/>
        <w:rPr>
          <w:rFonts w:hint="eastAsia" w:ascii="宋体" w:hAnsi="宋体" w:eastAsia="宋体" w:cs="宋体"/>
          <w:b/>
          <w:color w:val="auto"/>
          <w:sz w:val="24"/>
          <w:szCs w:val="24"/>
          <w:highlight w:val="none"/>
        </w:rPr>
      </w:pPr>
      <w:bookmarkStart w:id="77" w:name="_Toc26326"/>
      <w:bookmarkStart w:id="78" w:name="_Toc5739"/>
      <w:bookmarkStart w:id="79" w:name="_Toc25269"/>
      <w:bookmarkStart w:id="80" w:name="_Toc14164"/>
      <w:bookmarkStart w:id="81" w:name="_Toc20191"/>
      <w:bookmarkStart w:id="82" w:name="_Toc7095"/>
      <w:r>
        <w:rPr>
          <w:rFonts w:hint="eastAsia" w:ascii="宋体" w:hAnsi="宋体" w:eastAsia="宋体" w:cs="宋体"/>
          <w:b/>
          <w:color w:val="auto"/>
          <w:sz w:val="24"/>
          <w:szCs w:val="24"/>
          <w:highlight w:val="none"/>
        </w:rPr>
        <w:t>十四、其他事项</w:t>
      </w:r>
      <w:bookmarkEnd w:id="77"/>
      <w:bookmarkEnd w:id="78"/>
      <w:bookmarkEnd w:id="79"/>
      <w:bookmarkEnd w:id="80"/>
      <w:bookmarkEnd w:id="81"/>
      <w:bookmarkEnd w:id="82"/>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文件、澄清表（函）、成交通知书、合同附件均成为合同不可分割的部分。</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（二）合同未尽事宜，由甲、乙双方协商，经鉴证方确认后，作为合同补充，与原合同具有同等法律效力。</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（三）合同一经签订，不得擅自变更、中止或终止合同。对确需变更、调整或中止、终止合同的，应按规定履行相应的手续。</w:t>
      </w:r>
    </w:p>
    <w:p>
      <w:pPr>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（四）执行本合同过程中发生争议，由当事人双方协商解决。协商不成，可向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所在地人民法院提起诉讼。</w:t>
      </w:r>
    </w:p>
    <w:p>
      <w:pPr>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（五）合同执行期内，非法定或合同约定，甲乙双方均不得随意变更或解除合同。未尽事宜，经双方</w:t>
      </w:r>
      <w:r>
        <w:rPr>
          <w:rFonts w:hint="eastAsia" w:ascii="宋体" w:hAnsi="宋体" w:eastAsia="宋体" w:cs="宋体"/>
          <w:color w:val="auto"/>
          <w:sz w:val="24"/>
          <w:szCs w:val="24"/>
          <w:highlight w:val="none"/>
          <w:lang w:eastAsia="zh-CN"/>
        </w:rPr>
        <w:t>协商作出</w:t>
      </w:r>
      <w:r>
        <w:rPr>
          <w:rFonts w:hint="eastAsia" w:ascii="宋体" w:hAnsi="宋体" w:eastAsia="宋体" w:cs="宋体"/>
          <w:color w:val="auto"/>
          <w:sz w:val="24"/>
          <w:szCs w:val="24"/>
          <w:highlight w:val="none"/>
        </w:rPr>
        <w:t>补充规定，补充规定签字盖章后与本合同具有同等效力。其他未尽事宜，按《中华人民共和国民法典》的有关规定执行。</w:t>
      </w:r>
    </w:p>
    <w:p>
      <w:pPr>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pPr>
        <w:tabs>
          <w:tab w:val="left" w:pos="4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（七）本合同按照中华人民共和国的现行法律进行解释。</w:t>
      </w:r>
    </w:p>
    <w:tbl>
      <w:tblPr>
        <w:tblStyle w:val="8"/>
        <w:tblpPr w:leftFromText="180" w:rightFromText="180" w:vertAnchor="text" w:horzAnchor="page" w:tblpX="1525" w:tblpY="332"/>
        <w:tblOverlap w:val="never"/>
        <w:tblW w:w="9080" w:type="dxa"/>
        <w:tblInd w:w="0" w:type="dxa"/>
        <w:tblLayout w:type="fixed"/>
        <w:tblCellMar>
          <w:top w:w="0" w:type="dxa"/>
          <w:left w:w="108" w:type="dxa"/>
          <w:bottom w:w="0" w:type="dxa"/>
          <w:right w:w="108" w:type="dxa"/>
        </w:tblCellMar>
      </w:tblPr>
      <w:tblGrid>
        <w:gridCol w:w="4540"/>
        <w:gridCol w:w="4540"/>
      </w:tblGrid>
      <w:tr>
        <w:tblPrEx>
          <w:tblCellMar>
            <w:top w:w="0" w:type="dxa"/>
            <w:left w:w="108" w:type="dxa"/>
            <w:bottom w:w="0" w:type="dxa"/>
            <w:right w:w="108" w:type="dxa"/>
          </w:tblCellMar>
        </w:tblPrEx>
        <w:trPr>
          <w:trHeight w:val="3535" w:hRule="atLeast"/>
        </w:trPr>
        <w:tc>
          <w:tcPr>
            <w:tcW w:w="4540" w:type="dxa"/>
          </w:tcPr>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甲方名称</w:t>
            </w:r>
            <w:r>
              <w:rPr>
                <w:rFonts w:hint="eastAsia" w:ascii="宋体" w:hAnsi="宋体" w:cs="宋体"/>
                <w:spacing w:val="-20"/>
                <w:kern w:val="0"/>
                <w:sz w:val="24"/>
              </w:rPr>
              <w:t>（盖章）：</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c>
          <w:tcPr>
            <w:tcW w:w="4540" w:type="dxa"/>
          </w:tcPr>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乙方名称</w:t>
            </w:r>
            <w:r>
              <w:rPr>
                <w:rFonts w:hint="eastAsia" w:ascii="宋体" w:hAnsi="宋体" w:cs="宋体"/>
                <w:spacing w:val="-20"/>
                <w:kern w:val="0"/>
                <w:sz w:val="24"/>
              </w:rPr>
              <w:t>（盖章）</w:t>
            </w:r>
            <w:r>
              <w:rPr>
                <w:rFonts w:hint="eastAsia" w:ascii="宋体" w:hAnsi="宋体" w:cs="宋体"/>
                <w:kern w:val="0"/>
                <w:sz w:val="24"/>
              </w:rPr>
              <w:t>:</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r>
    </w:tbl>
    <w:p>
      <w:pPr>
        <w:bidi w:val="0"/>
        <w:rPr>
          <w:rFonts w:hint="eastAsia" w:ascii="宋体" w:hAnsi="宋体" w:eastAsia="宋体" w:cs="宋体"/>
          <w:sz w:val="24"/>
          <w:szCs w:val="24"/>
          <w:highlight w:val="yellow"/>
        </w:rPr>
      </w:pPr>
    </w:p>
    <w:p>
      <w:pPr>
        <w:spacing w:before="92" w:line="240" w:lineRule="exact"/>
        <w:rPr>
          <w:rFonts w:ascii="Lucida Sans Unicode" w:hAnsi="Lucida Sans Unicode" w:eastAsia="Lucida Sans Unicode" w:cs="Lucida Sans Unicode"/>
          <w:sz w:val="24"/>
          <w:szCs w:val="24"/>
        </w:rPr>
      </w:pPr>
    </w:p>
    <w:p/>
    <w:sectPr>
      <w:footerReference r:id="rId5" w:type="default"/>
      <w:pgSz w:w="11900" w:h="16840"/>
      <w:pgMar w:top="1247" w:right="1417" w:bottom="1417" w:left="1417" w:header="850" w:footer="85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2665730</wp:posOffset>
              </wp:positionH>
              <wp:positionV relativeFrom="paragraph">
                <wp:posOffset>-266700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9.9pt;margin-top:-21pt;height:144pt;width:144pt;mso-position-horizontal-relative:margin;mso-wrap-style:none;z-index:251659264;mso-width-relative:page;mso-height-relative:page;" filled="f" stroked="f" coordsize="21600,21600" o:gfxdata="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1t0ALYAAAACwEAAA8AAAAAAAAAAQAgAAAAIgAAAGRycy9kb3ducmV2Lnht&#10;bFBLAQIUABQAAAAIAIdO4kCW3w8JMgIAAGMEAAAOAAAAAAAAAAEAIAAAACcBAABkcnMvZTJvRG9j&#10;LnhtbFBLBQYAAAAABgAGAFkBAADLBQ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2CF02F5D"/>
    <w:rsid w:val="004F0F4D"/>
    <w:rsid w:val="052D7F46"/>
    <w:rsid w:val="05AD64DF"/>
    <w:rsid w:val="0ADE34F7"/>
    <w:rsid w:val="0CA653DC"/>
    <w:rsid w:val="11F33501"/>
    <w:rsid w:val="1CB93D9D"/>
    <w:rsid w:val="1D48524C"/>
    <w:rsid w:val="1ECD5B85"/>
    <w:rsid w:val="22F664C5"/>
    <w:rsid w:val="24CA4BBB"/>
    <w:rsid w:val="25273966"/>
    <w:rsid w:val="283050FB"/>
    <w:rsid w:val="2975156E"/>
    <w:rsid w:val="2CF02F5D"/>
    <w:rsid w:val="2D7C41E1"/>
    <w:rsid w:val="32A83CD6"/>
    <w:rsid w:val="34420C73"/>
    <w:rsid w:val="34DA0A32"/>
    <w:rsid w:val="360E18B1"/>
    <w:rsid w:val="3BF3011D"/>
    <w:rsid w:val="455C75A3"/>
    <w:rsid w:val="4D1D7170"/>
    <w:rsid w:val="542D3DC5"/>
    <w:rsid w:val="57923690"/>
    <w:rsid w:val="5D632CDE"/>
    <w:rsid w:val="5EF37821"/>
    <w:rsid w:val="61EC24E5"/>
    <w:rsid w:val="67984807"/>
    <w:rsid w:val="6C775A02"/>
    <w:rsid w:val="6CB20263"/>
    <w:rsid w:val="6E3B0847"/>
    <w:rsid w:val="74DD3202"/>
    <w:rsid w:val="77062109"/>
    <w:rsid w:val="7AD5146A"/>
    <w:rsid w:val="7AFE2D3C"/>
    <w:rsid w:val="7B637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link w:val="10"/>
    <w:qFormat/>
    <w:uiPriority w:val="0"/>
    <w:pPr>
      <w:keepNext/>
      <w:keepLines/>
      <w:spacing w:before="220" w:after="210" w:line="240" w:lineRule="auto"/>
      <w:jc w:val="center"/>
      <w:outlineLvl w:val="0"/>
    </w:pPr>
    <w:rPr>
      <w:rFonts w:ascii="Times New Roman" w:hAnsi="Times New Roman" w:cs="Times New Roman"/>
      <w:b/>
      <w:bCs/>
      <w:kern w:val="44"/>
      <w:sz w:val="32"/>
      <w:szCs w:val="44"/>
    </w:rPr>
  </w:style>
  <w:style w:type="paragraph" w:styleId="4">
    <w:name w:val="heading 2"/>
    <w:basedOn w:val="1"/>
    <w:next w:val="1"/>
    <w:link w:val="11"/>
    <w:semiHidden/>
    <w:unhideWhenUsed/>
    <w:qFormat/>
    <w:uiPriority w:val="0"/>
    <w:pPr>
      <w:keepNext/>
      <w:keepLines/>
      <w:spacing w:before="260" w:after="260" w:line="416" w:lineRule="auto"/>
      <w:ind w:left="576" w:hanging="576"/>
      <w:outlineLvl w:val="1"/>
    </w:pPr>
    <w:rPr>
      <w:rFonts w:ascii="Cambria" w:hAnsi="Cambria" w:eastAsia="宋体" w:cs="Times New Roman"/>
      <w:b/>
      <w:bCs/>
      <w:sz w:val="28"/>
      <w:szCs w:val="32"/>
    </w:rPr>
  </w:style>
  <w:style w:type="paragraph" w:styleId="5">
    <w:name w:val="heading 3"/>
    <w:basedOn w:val="1"/>
    <w:next w:val="1"/>
    <w:link w:val="12"/>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1 Char"/>
    <w:link w:val="3"/>
    <w:qFormat/>
    <w:uiPriority w:val="0"/>
    <w:rPr>
      <w:rFonts w:ascii="Times New Roman" w:hAnsi="Times New Roman" w:eastAsia="宋体" w:cs="Times New Roman"/>
      <w:b/>
      <w:kern w:val="2"/>
      <w:sz w:val="32"/>
    </w:rPr>
  </w:style>
  <w:style w:type="character" w:customStyle="1" w:styleId="11">
    <w:name w:val="标题 2 Char"/>
    <w:link w:val="4"/>
    <w:qFormat/>
    <w:uiPriority w:val="0"/>
    <w:rPr>
      <w:rFonts w:ascii="Arial" w:hAnsi="Arial" w:eastAsia="宋体"/>
      <w:b/>
      <w:bCs/>
      <w:kern w:val="2"/>
      <w:sz w:val="28"/>
      <w:szCs w:val="32"/>
      <w:lang w:val="en-US" w:eastAsia="zh-CN" w:bidi="ar-SA"/>
    </w:rPr>
  </w:style>
  <w:style w:type="character" w:customStyle="1" w:styleId="12">
    <w:name w:val="标题 3 Char"/>
    <w:link w:val="5"/>
    <w:qFormat/>
    <w:uiPriority w:val="0"/>
    <w:rPr>
      <w:rFonts w:ascii="Times New Roman" w:hAnsi="Times New Roman" w:eastAsia="宋体"/>
      <w:b/>
      <w:bCs/>
      <w:kern w:val="2"/>
      <w:sz w:val="2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2023-09-06T02:54:00Z</dcterms:created>
  <dc:creator>热血</dc:creator>
  <cp:lastModifiedBy>热血</cp:lastModifiedBy>
  <dcterms:modified xsi:type="dcterms:W3CDTF">2023-09-06T02:54:35Z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5AFA0C18B9D4413E89E21DDB08207B9B_11</vt:lpwstr>
  </property>
</Properties>
</file>