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ind w:leftChars="0"/>
        <w:jc w:val="center"/>
        <w:rPr>
          <w:rFonts w:hint="eastAsia" w:ascii="仿宋" w:hAnsi="仿宋" w:eastAsia="仿宋" w:cs="仿宋"/>
          <w:bCs/>
          <w:kern w:val="0"/>
          <w:sz w:val="24"/>
          <w:shd w:val="clear" w:color="auto" w:fill="FFFFFF"/>
          <w:lang w:val="en-US" w:eastAsia="zh-CN"/>
        </w:rPr>
      </w:pPr>
      <w:r>
        <w:rPr>
          <w:rFonts w:hint="eastAsia" w:ascii="仿宋" w:hAnsi="仿宋" w:eastAsia="仿宋" w:cs="仿宋"/>
          <w:bCs/>
          <w:kern w:val="0"/>
          <w:sz w:val="24"/>
          <w:shd w:val="clear" w:color="auto" w:fill="FFFFFF"/>
          <w:lang w:val="en-US" w:eastAsia="zh-CN"/>
        </w:rPr>
        <w:t>财务制度证明材料</w:t>
      </w:r>
    </w:p>
    <w:p>
      <w:pPr>
        <w:pStyle w:val="2"/>
        <w:rPr>
          <w:rFonts w:hint="default"/>
          <w:lang w:val="en-US" w:eastAsia="zh-CN"/>
        </w:rPr>
      </w:pPr>
    </w:p>
    <w:p>
      <w:pPr>
        <w:numPr>
          <w:ilvl w:val="0"/>
          <w:numId w:val="0"/>
        </w:numPr>
        <w:spacing w:line="360" w:lineRule="auto"/>
        <w:ind w:leftChars="0"/>
        <w:rPr>
          <w:rFonts w:hint="eastAsia" w:ascii="仿宋" w:hAnsi="仿宋" w:eastAsia="仿宋" w:cs="仿宋"/>
          <w:bCs/>
          <w:kern w:val="0"/>
          <w:sz w:val="24"/>
          <w:shd w:val="clear" w:color="auto" w:fill="FFFFFF"/>
          <w:lang w:eastAsia="zh-CN"/>
        </w:rPr>
      </w:pPr>
      <w:r>
        <w:rPr>
          <w:rFonts w:hint="eastAsia" w:ascii="仿宋" w:hAnsi="仿宋" w:eastAsia="仿宋" w:cs="仿宋"/>
          <w:bCs/>
          <w:kern w:val="0"/>
          <w:sz w:val="24"/>
          <w:shd w:val="clear" w:color="auto" w:fill="FFFFFF"/>
          <w:lang w:eastAsia="zh-CN"/>
        </w:rPr>
        <w:t>2022年度经审计的财务报告或提供银行出具的投标截止日期前六个月内的资信证明。（</w:t>
      </w:r>
      <w:r>
        <w:rPr>
          <w:rFonts w:hint="eastAsia" w:ascii="仿宋" w:hAnsi="仿宋" w:eastAsia="仿宋" w:cs="仿宋"/>
          <w:bCs/>
          <w:kern w:val="0"/>
          <w:sz w:val="24"/>
          <w:shd w:val="clear" w:color="auto" w:fill="FFFFFF"/>
          <w:lang w:val="en-US" w:eastAsia="zh-CN"/>
        </w:rPr>
        <w:t>2</w:t>
      </w:r>
      <w:r>
        <w:rPr>
          <w:rFonts w:hint="eastAsia" w:ascii="仿宋" w:hAnsi="仿宋" w:eastAsia="仿宋" w:cs="仿宋"/>
          <w:bCs/>
          <w:kern w:val="0"/>
          <w:sz w:val="24"/>
          <w:shd w:val="clear" w:color="auto" w:fill="FFFFFF"/>
          <w:lang w:eastAsia="zh-CN"/>
        </w:rPr>
        <w:t>）部分其他组织和自然人，没有经审计的财务报告，可以提供银行投标截止日期前六个月内出具的资信证明。（</w:t>
      </w:r>
      <w:r>
        <w:rPr>
          <w:rFonts w:hint="eastAsia" w:ascii="仿宋" w:hAnsi="仿宋" w:eastAsia="仿宋" w:cs="仿宋"/>
          <w:bCs/>
          <w:kern w:val="0"/>
          <w:sz w:val="24"/>
          <w:shd w:val="clear" w:color="auto" w:fill="FFFFFF"/>
          <w:lang w:val="en-US" w:eastAsia="zh-CN"/>
        </w:rPr>
        <w:t>3</w:t>
      </w:r>
      <w:r>
        <w:rPr>
          <w:rFonts w:hint="eastAsia" w:ascii="仿宋" w:hAnsi="仿宋" w:eastAsia="仿宋" w:cs="仿宋"/>
          <w:bCs/>
          <w:kern w:val="0"/>
          <w:sz w:val="24"/>
          <w:shd w:val="clear" w:color="auto" w:fill="FFFFFF"/>
          <w:lang w:eastAsia="zh-CN"/>
        </w:rPr>
        <w:t>）供应商提供了财政部门认可的政府采购专业担保机构出具的投标担保函，则不需要提供上述财务状况报告。</w:t>
      </w:r>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00000000"/>
    <w:rsid w:val="2D446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2023-08-02T10:13:00Z</dcterms:created>
  <dc:creator>Administrator</dc:creator>
  <cp:lastModifiedBy>Administrator</cp:lastModifiedBy>
  <dcterms:modified xsi:type="dcterms:W3CDTF">2023-08-02T10:13:15Z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B5755A0995D942AF8589127B09D7DF03_12</vt:lpwstr>
  </property>
</Properties>
</file>