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采购包1：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标的名称：傅里叶红外在线气体分析仪</w:t>
      </w:r>
    </w:p>
    <w:tbl>
      <w:tblPr>
        <w:tblStyle w:val="3"/>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傅里叶红外在线气体分析仪采购项目（1台）（允许采购进口产品）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1．设备：全自动傅立叶变换气体光谱仪主机，配置≤0.1米可控温气体池，适用于同时监测燃烧过程产生混合气体的动态变化，实现多种气体，O₂，H₂，CO ，CO₂ ，SO₂ ，HCL ，HF， NO， NO₂， PF5，PH3，烃类，C1~C4等多种气体成分分析。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2．研究级红外主机性能参数：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2.1 光谱范围：4,500 – 650 cm</w:t>
            </w:r>
            <w:r>
              <w:rPr>
                <w:rFonts w:hint="eastAsia" w:ascii="宋体" w:hAnsi="宋体" w:eastAsia="宋体" w:cs="宋体"/>
                <w:color w:val="000000"/>
                <w:sz w:val="24"/>
                <w:szCs w:val="24"/>
                <w:vertAlign w:val="baseline"/>
              </w:rPr>
              <w:t>-1</w:t>
            </w:r>
            <w:r>
              <w:rPr>
                <w:rFonts w:hint="eastAsia" w:ascii="宋体" w:hAnsi="宋体" w:eastAsia="宋体" w:cs="宋体"/>
                <w:color w:val="00000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2.2 分辨率： ＞0.5cm</w:t>
            </w:r>
            <w:r>
              <w:rPr>
                <w:rFonts w:hint="eastAsia" w:ascii="宋体" w:hAnsi="宋体" w:eastAsia="宋体" w:cs="宋体"/>
                <w:color w:val="000000"/>
                <w:sz w:val="24"/>
                <w:szCs w:val="24"/>
                <w:vertAlign w:val="baseline"/>
              </w:rPr>
              <w:t>-1</w:t>
            </w:r>
            <w:r>
              <w:rPr>
                <w:rFonts w:hint="eastAsia" w:ascii="宋体" w:hAnsi="宋体" w:eastAsia="宋体" w:cs="宋体"/>
                <w:color w:val="000000"/>
                <w:sz w:val="24"/>
                <w:szCs w:val="24"/>
              </w:rPr>
              <w:t>高分辨模式。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2.3 光谱分析方法，满足不测背景的光谱的情况下进行定性定量分析。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2.4 干涉仪：光路永久准直，无需机械调整装置，适应环境温度、震动等影响，保证长期检测的高稳定性和准确性，无光谱偏离和失真，提供稳定，准确，重现的测试结果。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2.5 干涉仪分束器：采用全ZnSe抗潮设计。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2.6 检测器：采用LN-MCT检测器，全程无模拟信号传输（提供证明材料）。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2.7 中文版光谱操作和处理软件以及独立的气体分析软件，系统须内置全中文的自动检测程序。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2.8进样方式方式：可实现正压或负压进样（提供证明材料）。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3．气体池参数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3.1气体池集成在主机上，光路完全优化，光通量高。包括：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3.1.1 光程长度：小于0.1米（为满足压力容器高浓度气体测试）（提供证明材料）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3.1.2 气体池体积：＜25ml，体积小，换气更快（提供证明材料）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  3.1.3 温度范围：T≤191℃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  3.1.4 压力范围：≥2 bar，外配进气压力平衡阀，最大承受压力大于15bar，不影响燃烧仓气体流通的情况下平衡气体池内压力。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  3.1.5 具有智能的内部温度、内部压力感应接头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  3.1.6 气体池材质：窗片需采用ZnSe防潮型设计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3.2专用的混合气体分析软件包，需可以同时分析与电池燃烧相关的烷烃，烯烃，苯类，酯类以及无机气体至少三十种以上。（提供证明材料）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3.3无需进行繁琐的任何气体标定与建标准曲线工作。（提供证明材料）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4. 气体专用分析软件：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4.1对目标气体的分析，对特征区域除目标气之外所有干扰气体同步进行峰型匹配，精准拟合每种组分的谱图及其对总谱贡献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4.2气体浓度单位可选ppm，百分比。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4.3气体分析软件可随时调整所测气体模型的特征区域，以适应所测物质高低浓度的变化。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4.4气体分析软件带有时间轴序列，实时监测各种组分浓度值与拟合度的动态变化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4.5 红外分析软件可以将任意组分的真实谱图单独提取并显示，同时提取的谱图只包含目标组分的光谱信息，无其他任何组分的信号叠加，以便与标准谱图进行比对分析。（提供证明材料）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4.6分析软件可随时切换单通道分析模式和背景模式，单通道模式下，无需进行任何背景光谱扫描，即可对单通道光谱进行定性定量分析。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4.7分析软件需带有光谱拟合功能，通过不同浓度或透过率，获得各组分在该参数下的纯谱光谱谱形。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4.8 分析软件具有对透射谱、单通道谱、吸收谱进行定性/定量分析的功能，可以随意切换。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4.9分析软件可导出测样品单通道总谱图，目标气特征区，特征区匹配拟合谱，从测试谱中提取出的目标气纯谱，背景谱等，并以数据点表格式保存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5．系统国内集成部分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5.1全气路高温加热，加热温度 180℃以上，无水汽冷凝点.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5.2采用2μm 和0.1μm 双级精细高效过滤器，防止粉尘进入分析仪， 影响测量。（提供证明材料）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5.3伴热管线，烟气传输过程不冷凝，四层防散热材料保温，防止烟气冷凝，配备温控器，温度100-200℃可调。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5.4整套移动式机柜包含O₂（0-25%）和H₂（0-70%）模块，光谱仪主机，数据处理软件，大功率隔膜抽气泵，抽力≥6L/min，抵抗测量点负压情况。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6.技术服务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6.1仪器安装、验收：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必须由仪器制造厂技术人员到现场安装仪器并在用户实验室人员在场的情况下完成仪器设备性能的证明文件。只有在仪器完全正常运转和用户实验室人员确认后，仪器的安装工作才能认为已全部完成。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4"/>
                <w:szCs w:val="24"/>
              </w:rPr>
              <w:t>6.2保修期：一年；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sz w:val="24"/>
                <w:szCs w:val="24"/>
              </w:rPr>
              <w:t>配置要求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sz w:val="24"/>
                <w:szCs w:val="24"/>
              </w:rPr>
              <w:t>1.全自动傅立叶变换气体光谱仪主机1台；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sz w:val="24"/>
                <w:szCs w:val="24"/>
              </w:rPr>
              <w:t>2.移动式机柜1台：包含O₂（0-25%）和H₂（0-70%）模块，光谱仪主机，数据处理软件，大功率隔膜抽气泵，抽力≥6L/min。</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sz w:val="24"/>
                <w:szCs w:val="24"/>
              </w:rPr>
              <w:t>3.数据处理电脑软件1套。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sz w:val="24"/>
                <w:szCs w:val="24"/>
              </w:rPr>
              <w:t>售后服务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sz w:val="24"/>
                <w:szCs w:val="24"/>
              </w:rPr>
              <w:t>1.免费为用户安装、调试、培训、运输并送货上门。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sz w:val="24"/>
                <w:szCs w:val="24"/>
              </w:rPr>
              <w:t>2．保修期壹年，在保修期内免费为用户提供维修等服务。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sz w:val="24"/>
                <w:szCs w:val="24"/>
              </w:rPr>
              <w:t>交货日期为12月31日前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sz w:val="24"/>
                <w:szCs w:val="24"/>
              </w:rPr>
              <w:t>注：①以上技术参数供应商应完整响应， 并逐条填写《产品技术参数表》，逐条填写响应产品技术参数，并标明“正偏离”、“负偏离”、“无偏离”，如有负偏离、漏项或缺项，将被视为未实质性满足谈判文件要求，按无效响应处理；若产品品牌型号固定的，需以固定值进行响应；</w:t>
            </w:r>
            <w:r>
              <w:rPr>
                <w:rFonts w:hint="eastAsia" w:ascii="宋体" w:hAnsi="宋体" w:eastAsia="宋体" w:cs="宋体"/>
                <w:sz w:val="24"/>
                <w:szCs w:val="24"/>
              </w:rPr>
              <w:br w:type="textWrapping"/>
            </w:r>
            <w:r>
              <w:rPr>
                <w:rFonts w:hint="eastAsia" w:ascii="宋体" w:hAnsi="宋体" w:eastAsia="宋体" w:cs="宋体"/>
                <w:sz w:val="24"/>
                <w:szCs w:val="24"/>
              </w:rPr>
              <w:t>②若成交供应商《产品技术参数表》中完全响应，但供货验收时不合格/未通过，采购人有权终止合同，并保留上报财政的权力；</w:t>
            </w:r>
            <w:r>
              <w:rPr>
                <w:rFonts w:hint="eastAsia" w:ascii="宋体" w:hAnsi="宋体" w:eastAsia="宋体" w:cs="宋体"/>
                <w:sz w:val="24"/>
                <w:szCs w:val="24"/>
              </w:rPr>
              <w:br w:type="textWrapping"/>
            </w:r>
            <w:r>
              <w:rPr>
                <w:rFonts w:hint="eastAsia" w:ascii="宋体" w:hAnsi="宋体" w:eastAsia="宋体" w:cs="宋体"/>
                <w:sz w:val="24"/>
                <w:szCs w:val="24"/>
              </w:rPr>
              <w:t>③技术参数中要求提供证明材料的，供应商必须单独提供佐证材料证明其满足， 佐证材料包括：彩页或产品说明书或检测报告或厂家技术声明等，未提供或者提供材料不符合要求按无效文件处理。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ZTRhYWYzMzlkNWJjMDZmOWE2MDk2MmQ0M2IyM2EifQ=="/>
  </w:docVars>
  <w:rsids>
    <w:rsidRoot w:val="00000000"/>
    <w:rsid w:val="1C787FE7"/>
    <w:rsid w:val="26DE33C4"/>
    <w:rsid w:val="5FA1610D"/>
    <w:rsid w:val="78C3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2023-09-20T05:28:00Z</dcterms:created>
  <dc:creator>Administrator</dc:creator>
  <cp:lastModifiedBy>米文浩</cp:lastModifiedBy>
  <dcterms:modified xsi:type="dcterms:W3CDTF">2023-09-20T05:29:21Z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A3041DE544594EE1B9ABF5197741E761_12</vt:lpwstr>
  </property>
</Properties>
</file>