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sz w:val="24"/>
          <w:szCs w:val="24"/>
        </w:rPr>
      </w:pPr>
      <w:r>
        <w:rPr>
          <w:rFonts w:hint="eastAsia" w:ascii="宋体" w:hAnsi="宋体" w:eastAsia="宋体" w:cs="宋体"/>
          <w:b/>
          <w:sz w:val="24"/>
          <w:szCs w:val="24"/>
        </w:rPr>
        <w:t>需求框架（服务类）</w:t>
      </w:r>
    </w:p>
    <w:p>
      <w:pPr>
        <w:pBdr>
          <w:bottom w:val="single" w:color="auto" w:sz="4" w:space="1"/>
        </w:pBdr>
        <w:spacing w:before="312" w:beforeLines="100"/>
        <w:ind w:left="420" w:hanging="420"/>
        <w:rPr>
          <w:rFonts w:hint="eastAsia" w:ascii="宋体" w:hAnsi="宋体" w:eastAsia="宋体" w:cs="宋体"/>
          <w:b/>
          <w:sz w:val="21"/>
          <w:szCs w:val="21"/>
        </w:rPr>
      </w:pPr>
      <w:r>
        <w:rPr>
          <w:rFonts w:hint="eastAsia" w:ascii="宋体" w:hAnsi="宋体" w:eastAsia="宋体" w:cs="宋体"/>
          <w:b/>
          <w:sz w:val="21"/>
          <w:szCs w:val="21"/>
        </w:rPr>
        <w:t>一、项目</w:t>
      </w:r>
      <w:r>
        <w:rPr>
          <w:rFonts w:hint="eastAsia" w:ascii="宋体" w:hAnsi="宋体" w:eastAsia="宋体" w:cs="宋体"/>
          <w:b/>
          <w:sz w:val="21"/>
          <w:szCs w:val="21"/>
        </w:rPr>
        <w:t>概况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全省排污许可电子核查预警能力建设项目深入贯彻生态环境部数智治理发展理念，以排污许可一证式管理实际需求为基础，以重构生态环境现代化运行管理流程为目的，开发排污许可一证式管理的应用场景，推动对全省污染源持证企业的数据管控、技术融入、数据归集、业务融合，实现排污许可数据全景展示和污染防治协同共治，为筑牢陕西省生态屏障，实现陕西省生态环境“数字治理、协同共治、精准管控”奠定基础。本次采购具体需求如下：从国家排污许可信息化管理平台中回流排污许可管理数据（主要包括许可证副本数据和执行报告数据），进行解析、归类并建设数据库。以国家颁布的74个大行业的排污许可证申请与核发技术规范为基础，逐行业建立计算机智能审核规则模型，采用审核模型对许可证、执行报告进行智能审核，并对审核发现的问题进行多维度分析。基于排污许可证数据建设水环境分析与溯源、大气环境分析溯源和指标总览、多维分析、指标预警、智能搜索、指标考核等功能，建设持证企业GIS图，对持证企业分布与状态变化实时动态显示，定期形成相关数据分析报告。</w:t>
      </w:r>
    </w:p>
    <w:p>
      <w:pPr>
        <w:pBdr>
          <w:bottom w:val="single" w:color="auto" w:sz="4" w:space="1"/>
        </w:pBdr>
        <w:spacing w:before="312" w:beforeLines="100"/>
        <w:ind w:left="420" w:hanging="420"/>
        <w:rPr>
          <w:rFonts w:hint="eastAsia" w:ascii="宋体" w:hAnsi="宋体" w:eastAsia="宋体" w:cs="宋体"/>
          <w:b/>
          <w:sz w:val="21"/>
          <w:szCs w:val="21"/>
        </w:rPr>
      </w:pPr>
      <w:r>
        <w:rPr>
          <w:rFonts w:hint="eastAsia" w:ascii="宋体" w:hAnsi="宋体" w:eastAsia="宋体" w:cs="宋体"/>
          <w:b/>
          <w:sz w:val="21"/>
          <w:szCs w:val="21"/>
        </w:rPr>
        <w:t>二、服务内容（包括工作区域、工作内容等）</w:t>
      </w:r>
    </w:p>
    <w:p>
      <w:pPr>
        <w:ind w:firstLine="420" w:firstLineChars="200"/>
        <w:rPr>
          <w:rFonts w:hint="eastAsia" w:ascii="宋体" w:hAnsi="宋体" w:eastAsia="宋体" w:cs="宋体"/>
          <w:sz w:val="21"/>
          <w:szCs w:val="21"/>
        </w:rPr>
      </w:pPr>
      <w:bookmarkStart w:id="0" w:name="_Toc11390"/>
      <w:r>
        <w:rPr>
          <w:rFonts w:hint="eastAsia" w:ascii="宋体" w:hAnsi="宋体" w:eastAsia="宋体" w:cs="宋体"/>
          <w:sz w:val="21"/>
          <w:szCs w:val="21"/>
        </w:rPr>
        <w:t>一、</w:t>
      </w:r>
      <w:r>
        <w:rPr>
          <w:rFonts w:hint="eastAsia" w:ascii="宋体" w:hAnsi="宋体" w:eastAsia="宋体" w:cs="宋体"/>
          <w:sz w:val="21"/>
          <w:szCs w:val="21"/>
        </w:rPr>
        <w:t>建设排污许可本地核心数据库</w:t>
      </w:r>
      <w:bookmarkEnd w:id="0"/>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从国家排污许可信息化管理平台中回流排污许可管理数据（主要包括许可证副本数据和执行报告数据），进行解析、归类并建设数据库。</w:t>
      </w:r>
    </w:p>
    <w:p>
      <w:pPr>
        <w:ind w:firstLine="420" w:firstLineChars="200"/>
        <w:rPr>
          <w:rFonts w:hint="eastAsia" w:ascii="宋体" w:hAnsi="宋体" w:eastAsia="宋体" w:cs="宋体"/>
          <w:sz w:val="21"/>
          <w:szCs w:val="21"/>
        </w:rPr>
      </w:pPr>
      <w:bookmarkStart w:id="1" w:name="_Toc10614"/>
      <w:r>
        <w:rPr>
          <w:rFonts w:hint="eastAsia" w:ascii="宋体" w:hAnsi="宋体" w:eastAsia="宋体" w:cs="宋体"/>
          <w:sz w:val="21"/>
          <w:szCs w:val="21"/>
        </w:rPr>
        <w:t>二、建设排污许可信息管理子系统</w:t>
      </w:r>
      <w:bookmarkEnd w:id="1"/>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将数据库内容整理并实现以下功能：排污许可证副本查询与导出功能、排污许可证副本</w:t>
      </w:r>
      <w:r>
        <w:rPr>
          <w:rFonts w:hint="eastAsia" w:ascii="宋体" w:hAnsi="宋体" w:eastAsia="宋体" w:cs="宋体"/>
          <w:sz w:val="21"/>
          <w:szCs w:val="21"/>
        </w:rPr>
        <w:t>自定义</w:t>
      </w:r>
      <w:r>
        <w:rPr>
          <w:rFonts w:hint="eastAsia" w:ascii="宋体" w:hAnsi="宋体" w:eastAsia="宋体" w:cs="宋体"/>
          <w:sz w:val="21"/>
          <w:szCs w:val="21"/>
        </w:rPr>
        <w:t>查询与</w:t>
      </w:r>
      <w:r>
        <w:rPr>
          <w:rFonts w:hint="eastAsia" w:ascii="宋体" w:hAnsi="宋体" w:eastAsia="宋体" w:cs="宋体"/>
          <w:sz w:val="21"/>
          <w:szCs w:val="21"/>
        </w:rPr>
        <w:t>自定义</w:t>
      </w:r>
      <w:r>
        <w:rPr>
          <w:rFonts w:hint="eastAsia" w:ascii="宋体" w:hAnsi="宋体" w:eastAsia="宋体" w:cs="宋体"/>
          <w:sz w:val="21"/>
          <w:szCs w:val="21"/>
        </w:rPr>
        <w:t>导出功能、排污许可执行报告查询与导出功能、排污许可执行报告</w:t>
      </w:r>
      <w:r>
        <w:rPr>
          <w:rFonts w:hint="eastAsia" w:ascii="宋体" w:hAnsi="宋体" w:eastAsia="宋体" w:cs="宋体"/>
          <w:sz w:val="21"/>
          <w:szCs w:val="21"/>
        </w:rPr>
        <w:t>自定义</w:t>
      </w:r>
      <w:r>
        <w:rPr>
          <w:rFonts w:hint="eastAsia" w:ascii="宋体" w:hAnsi="宋体" w:eastAsia="宋体" w:cs="宋体"/>
          <w:sz w:val="21"/>
          <w:szCs w:val="21"/>
        </w:rPr>
        <w:t>查询与</w:t>
      </w:r>
      <w:r>
        <w:rPr>
          <w:rFonts w:hint="eastAsia" w:ascii="宋体" w:hAnsi="宋体" w:eastAsia="宋体" w:cs="宋体"/>
          <w:sz w:val="21"/>
          <w:szCs w:val="21"/>
        </w:rPr>
        <w:t>自定义</w:t>
      </w:r>
      <w:r>
        <w:rPr>
          <w:rFonts w:hint="eastAsia" w:ascii="宋体" w:hAnsi="宋体" w:eastAsia="宋体" w:cs="宋体"/>
          <w:sz w:val="21"/>
          <w:szCs w:val="21"/>
        </w:rPr>
        <w:t>导出功能、企业画像功能、模糊匹配检索功能、定点周边检索功能、关联信息检索功能、排放口检索功能、许可证办结时长查询与导出功能、许可证办理时长统计与提醒功能、许可证到期统计导出及预警提醒功能、执行报告未提交统计、导出及报警提醒功能、执行报告迟报统计导出功能、实际排放量超标统计、导出及报警提醒功能、许可排放量余额不足统计导出及预警提醒功能、个性化定制导出功能、执行报告管理功能、许可证副本管理功能、申报表企业列表功能、注销企业列表功能、撤销企业列表功能、许可证报停企业列表功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2、建设持证企业GIS图，对持证企业分布与状态变化实时动态显示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3、基于排污许可证数据建设水环境分析与溯源、大气环境分析溯源和指标总览、多维分析、指标预警、智能搜索、指标考核等功能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4、将排污许可分析数据共享至执法、税务等有关部门，实现资源共享、信息互通、统筹联动和全闭环监管，为科学决策提供数据支撑。</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三、</w:t>
      </w:r>
      <w:bookmarkStart w:id="2" w:name="_Toc24576"/>
      <w:r>
        <w:rPr>
          <w:rFonts w:hint="eastAsia" w:ascii="宋体" w:hAnsi="宋体" w:eastAsia="宋体" w:cs="宋体"/>
          <w:sz w:val="21"/>
          <w:szCs w:val="21"/>
        </w:rPr>
        <w:t>建设</w:t>
      </w:r>
      <w:r>
        <w:rPr>
          <w:rFonts w:hint="eastAsia" w:ascii="宋体" w:hAnsi="宋体" w:eastAsia="宋体" w:cs="宋体"/>
          <w:sz w:val="21"/>
          <w:szCs w:val="21"/>
        </w:rPr>
        <w:t>排污许可智能</w:t>
      </w:r>
      <w:r>
        <w:rPr>
          <w:rFonts w:hint="eastAsia" w:ascii="宋体" w:hAnsi="宋体" w:eastAsia="宋体" w:cs="宋体"/>
          <w:sz w:val="21"/>
          <w:szCs w:val="21"/>
        </w:rPr>
        <w:t>审核</w:t>
      </w:r>
      <w:r>
        <w:rPr>
          <w:rFonts w:hint="eastAsia" w:ascii="宋体" w:hAnsi="宋体" w:eastAsia="宋体" w:cs="宋体"/>
          <w:sz w:val="21"/>
          <w:szCs w:val="21"/>
        </w:rPr>
        <w:t>复核</w:t>
      </w:r>
      <w:r>
        <w:rPr>
          <w:rFonts w:hint="eastAsia" w:ascii="宋体" w:hAnsi="宋体" w:eastAsia="宋体" w:cs="宋体"/>
          <w:sz w:val="21"/>
          <w:szCs w:val="21"/>
        </w:rPr>
        <w:t>子系统</w:t>
      </w:r>
      <w:bookmarkEnd w:id="2"/>
    </w:p>
    <w:p>
      <w:pPr>
        <w:ind w:firstLine="420" w:firstLineChars="200"/>
        <w:rPr>
          <w:rFonts w:hint="eastAsia" w:ascii="宋体" w:hAnsi="宋体" w:eastAsia="宋体" w:cs="宋体"/>
          <w:sz w:val="21"/>
          <w:szCs w:val="21"/>
        </w:rPr>
      </w:pPr>
      <w:r>
        <w:rPr>
          <w:rFonts w:hint="eastAsia" w:ascii="宋体" w:hAnsi="宋体" w:eastAsia="宋体" w:cs="宋体"/>
          <w:sz w:val="21"/>
          <w:szCs w:val="21"/>
        </w:rPr>
        <w:t>1、以国家颁布的74个大行业的排污许可证申请与核发技术规范为基础，逐行业建立计算机全要素智能审核规则模型，采用审核模型对排污许可证进行智能审核，并对审核发现的问题进行多维度分析。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2、以74个大行业的排污许可证管理要求为基础，建立月报、季报和年报全要素审核规则模型，对执行报告进行智能审核，并对审核发现的问题进行多维度分析。最终将审核意见内容直接推送企业。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3、实现审核数据统计汇总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四、建设排污许可执法管理子系统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1、将</w:t>
      </w:r>
      <w:r>
        <w:rPr>
          <w:rFonts w:hint="eastAsia" w:ascii="宋体" w:hAnsi="宋体" w:eastAsia="宋体" w:cs="宋体"/>
          <w:sz w:val="21"/>
          <w:szCs w:val="21"/>
        </w:rPr>
        <w:t>执行报告智能审核发现问题</w:t>
      </w:r>
      <w:r>
        <w:rPr>
          <w:rFonts w:hint="eastAsia" w:ascii="宋体" w:hAnsi="宋体" w:eastAsia="宋体" w:cs="宋体"/>
          <w:sz w:val="21"/>
          <w:szCs w:val="21"/>
        </w:rPr>
        <w:t>，</w:t>
      </w:r>
      <w:r>
        <w:rPr>
          <w:rFonts w:hint="eastAsia" w:ascii="宋体" w:hAnsi="宋体" w:eastAsia="宋体" w:cs="宋体"/>
          <w:sz w:val="21"/>
          <w:szCs w:val="21"/>
        </w:rPr>
        <w:t>按问题属性</w:t>
      </w:r>
      <w:r>
        <w:rPr>
          <w:rFonts w:hint="eastAsia" w:ascii="宋体" w:hAnsi="宋体" w:eastAsia="宋体" w:cs="宋体"/>
          <w:sz w:val="21"/>
          <w:szCs w:val="21"/>
        </w:rPr>
        <w:t>自动归类</w:t>
      </w:r>
      <w:r>
        <w:rPr>
          <w:rFonts w:hint="eastAsia" w:ascii="宋体" w:hAnsi="宋体" w:eastAsia="宋体" w:cs="宋体"/>
          <w:sz w:val="21"/>
          <w:szCs w:val="21"/>
        </w:rPr>
        <w:t>，开展非现场监管（预提醒服务、帮扶整改服务）和现场执法检查；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建设排污许可数据链管理、执法检查清单管理，协助开展现场执法；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建设执法监管内容汇总统计，建立问题跟踪和执法效能评估运行机制。</w:t>
      </w:r>
    </w:p>
    <w:p>
      <w:pPr>
        <w:pBdr>
          <w:bottom w:val="single" w:color="auto" w:sz="4" w:space="1"/>
        </w:pBdr>
        <w:spacing w:before="312" w:beforeLines="100"/>
        <w:ind w:left="420" w:hanging="420"/>
        <w:rPr>
          <w:rFonts w:hint="eastAsia" w:ascii="宋体" w:hAnsi="宋体" w:eastAsia="宋体" w:cs="宋体"/>
          <w:b/>
          <w:sz w:val="21"/>
          <w:szCs w:val="21"/>
        </w:rPr>
      </w:pPr>
      <w:r>
        <w:rPr>
          <w:rFonts w:hint="eastAsia" w:ascii="宋体" w:hAnsi="宋体" w:eastAsia="宋体" w:cs="宋体"/>
          <w:b/>
          <w:sz w:val="21"/>
          <w:szCs w:val="21"/>
        </w:rPr>
        <w:t>三、技术要求（如有，一般适合于技术服务项目）</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符合《排污许可管理条例》（中华人民共和国国务院令 第736号）、《排污许可管理办法（试行）》(中华人民共和国环境保护部令第 48 号)、排污许可证申请与核发技术规范系列文件、排污单位自行监测技术指南系列文件、行业污染防治可行技术指南、国家和陕西省大气及水污染物排放标准、排污单位环境管理台账及排污许可证执行报告技术规范 总则（试行）、《排污许可证质量核查技术规范》HJ1299-2023）等涉及排污许可证、执行报告审核的所有相关规定。</w:t>
      </w:r>
    </w:p>
    <w:p>
      <w:pPr>
        <w:pBdr>
          <w:bottom w:val="single" w:color="auto" w:sz="4" w:space="1"/>
        </w:pBdr>
        <w:spacing w:before="312" w:beforeLines="100"/>
        <w:ind w:left="420" w:hanging="420"/>
        <w:rPr>
          <w:rFonts w:hint="eastAsia" w:ascii="宋体" w:hAnsi="宋体" w:eastAsia="宋体" w:cs="宋体"/>
          <w:b/>
          <w:sz w:val="21"/>
          <w:szCs w:val="21"/>
        </w:rPr>
      </w:pPr>
      <w:r>
        <w:rPr>
          <w:rFonts w:hint="eastAsia" w:ascii="宋体" w:hAnsi="宋体" w:eastAsia="宋体" w:cs="宋体"/>
          <w:b/>
          <w:sz w:val="21"/>
          <w:szCs w:val="21"/>
        </w:rPr>
        <w:t>四、服务要求（如对人员配置、专业设备、服务标准等）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1、本项目质保期从项目通过验收之日起算壹年。质保期内，向甲方提供免费数据维护服务，出现系统故障，乙方提供免费的售后服务。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2、质保期内，保证提供全天候热线技术支持服务。接到故障报修要求时，立即做出明确响应和安排，在12小时内提供维修服务，并做出故障诊断报告，以保证系统的正常运行。</w:t>
      </w:r>
    </w:p>
    <w:p>
      <w:pPr>
        <w:ind w:firstLine="420" w:firstLineChars="200"/>
        <w:rPr>
          <w:rFonts w:hint="eastAsia" w:ascii="宋体" w:hAnsi="宋体" w:eastAsia="宋体" w:cs="宋体"/>
          <w:color w:val="FF0000"/>
          <w:sz w:val="21"/>
          <w:szCs w:val="21"/>
        </w:rPr>
      </w:pPr>
      <w:r>
        <w:rPr>
          <w:rFonts w:hint="eastAsia" w:ascii="宋体" w:hAnsi="宋体" w:eastAsia="宋体" w:cs="宋体"/>
          <w:sz w:val="21"/>
          <w:szCs w:val="21"/>
        </w:rPr>
        <w:t>3、质保期内，按照采购人要求负责对其提供的软件产品进行日常维护、故障修复及升级、优化服务。</w:t>
      </w:r>
    </w:p>
    <w:p>
      <w:pPr>
        <w:pBdr>
          <w:bottom w:val="single" w:color="auto" w:sz="4" w:space="1"/>
        </w:pBdr>
        <w:spacing w:before="312" w:beforeLines="100"/>
        <w:ind w:left="420" w:hanging="420"/>
        <w:rPr>
          <w:rFonts w:hint="eastAsia" w:ascii="宋体" w:hAnsi="宋体" w:eastAsia="宋体" w:cs="宋体"/>
          <w:b/>
          <w:sz w:val="21"/>
          <w:szCs w:val="21"/>
        </w:rPr>
      </w:pPr>
      <w:r>
        <w:rPr>
          <w:rFonts w:hint="eastAsia" w:ascii="宋体" w:hAnsi="宋体" w:eastAsia="宋体" w:cs="宋体"/>
          <w:b/>
          <w:sz w:val="21"/>
          <w:szCs w:val="21"/>
        </w:rPr>
        <w:t>五、商务要求（如服务期限、款项结算等）</w:t>
      </w:r>
    </w:p>
    <w:p>
      <w:pPr>
        <w:spacing w:line="400" w:lineRule="exact"/>
        <w:rPr>
          <w:rFonts w:hint="eastAsia" w:ascii="宋体" w:hAnsi="宋体" w:eastAsia="宋体" w:cs="宋体"/>
          <w:sz w:val="21"/>
          <w:szCs w:val="21"/>
        </w:rPr>
      </w:pPr>
      <w:r>
        <w:rPr>
          <w:rFonts w:hint="eastAsia" w:ascii="宋体" w:hAnsi="宋体" w:eastAsia="宋体" w:cs="宋体"/>
          <w:sz w:val="21"/>
          <w:szCs w:val="21"/>
        </w:rPr>
        <w:t>（一）服务期限</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rPr>
        <w:t>合同签订之日起</w:t>
      </w:r>
      <w:r>
        <w:rPr>
          <w:rFonts w:hint="eastAsia" w:ascii="宋体" w:hAnsi="宋体" w:eastAsia="宋体" w:cs="宋体"/>
          <w:color w:val="000000"/>
          <w:sz w:val="21"/>
          <w:szCs w:val="21"/>
        </w:rPr>
        <w:t>一年内</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（二）款项结算</w:t>
      </w:r>
      <w:bookmarkStart w:id="3" w:name="_GoBack"/>
      <w:bookmarkEnd w:id="3"/>
    </w:p>
    <w:p>
      <w:pPr>
        <w:pStyle w:val="7"/>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1、合同签订后十天内，支付预付合同金额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7</w:t>
      </w:r>
      <w:r>
        <w:rPr>
          <w:rFonts w:hint="eastAsia" w:ascii="宋体" w:hAnsi="宋体" w:eastAsia="宋体" w:cs="宋体"/>
          <w:color w:val="000000"/>
          <w:sz w:val="21"/>
          <w:szCs w:val="21"/>
          <w:u w:val="single"/>
        </w:rPr>
        <w:t xml:space="preserve">0    </w:t>
      </w:r>
      <w:r>
        <w:rPr>
          <w:rFonts w:hint="eastAsia" w:ascii="宋体" w:hAnsi="宋体" w:eastAsia="宋体" w:cs="宋体"/>
          <w:color w:val="000000"/>
          <w:sz w:val="21"/>
          <w:szCs w:val="21"/>
        </w:rPr>
        <w:t>%预付款；</w:t>
      </w:r>
    </w:p>
    <w:p>
      <w:pPr>
        <w:pStyle w:val="7"/>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2、成果报告验收合格，经甲方确认无任何问题后，支付</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3</w:t>
      </w:r>
      <w:r>
        <w:rPr>
          <w:rFonts w:hint="eastAsia" w:ascii="宋体" w:hAnsi="宋体" w:eastAsia="宋体" w:cs="宋体"/>
          <w:color w:val="000000"/>
          <w:sz w:val="21"/>
          <w:szCs w:val="21"/>
          <w:u w:val="single"/>
        </w:rPr>
        <w:t xml:space="preserve">0   </w:t>
      </w:r>
      <w:r>
        <w:rPr>
          <w:rFonts w:hint="eastAsia" w:ascii="宋体" w:hAnsi="宋体" w:eastAsia="宋体" w:cs="宋体"/>
          <w:color w:val="000000"/>
          <w:sz w:val="21"/>
          <w:szCs w:val="21"/>
        </w:rPr>
        <w:t>%合同价款。</w:t>
      </w:r>
    </w:p>
    <w:p>
      <w:pPr>
        <w:pBdr>
          <w:bottom w:val="single" w:color="auto" w:sz="4" w:space="1"/>
        </w:pBdr>
        <w:spacing w:before="312" w:beforeLines="100"/>
        <w:rPr>
          <w:rFonts w:hint="eastAsia" w:ascii="宋体" w:hAnsi="宋体" w:eastAsia="宋体" w:cs="宋体"/>
          <w:b/>
          <w:sz w:val="21"/>
          <w:szCs w:val="21"/>
        </w:rPr>
      </w:pPr>
      <w:r>
        <w:rPr>
          <w:rFonts w:hint="eastAsia" w:ascii="宋体" w:hAnsi="宋体" w:eastAsia="宋体" w:cs="宋体"/>
          <w:b/>
          <w:sz w:val="21"/>
          <w:szCs w:val="21"/>
        </w:rPr>
        <w:t>六、其他（如有要求，请写明）</w:t>
      </w:r>
    </w:p>
    <w:p>
      <w:pPr>
        <w:rPr>
          <w:rFonts w:hint="eastAsia" w:ascii="宋体" w:hAnsi="宋体" w:eastAsia="宋体" w:cs="宋体"/>
          <w:sz w:val="21"/>
          <w:szCs w:val="21"/>
        </w:rPr>
      </w:pPr>
      <w:r>
        <w:rPr>
          <w:rFonts w:hint="eastAsia" w:ascii="宋体" w:hAnsi="宋体" w:eastAsia="宋体" w:cs="宋体"/>
          <w:sz w:val="21"/>
          <w:szCs w:val="21"/>
        </w:rPr>
        <w:t>（一）对服务商的业绩要求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投标人需提供自2020年1月1日(以合同签订时间为准)起至今与政府部门签订的环保软件开发类合同业绩。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以投标人提供的自2020年1月1日(以开发完成时间为准)起至今取得的计算机类软件著作权登记证书(要求软件内容与排污许可类相关，需提供软著登记证书原件扫描件并加盖公章)。以投标人提供的自2020年1月1日起至今取得的软件产品证书(要求软件内容与排污许可类相关，需提供软件产品证书原件扫描件并加盖公章)。</w:t>
      </w:r>
    </w:p>
    <w:p>
      <w:pPr>
        <w:rPr>
          <w:rFonts w:hint="eastAsia" w:ascii="宋体" w:hAnsi="宋体" w:eastAsia="宋体" w:cs="宋体"/>
          <w:sz w:val="21"/>
          <w:szCs w:val="21"/>
        </w:rPr>
      </w:pPr>
      <w:r>
        <w:rPr>
          <w:rFonts w:hint="eastAsia" w:ascii="宋体" w:hAnsi="宋体" w:eastAsia="宋体" w:cs="宋体"/>
          <w:sz w:val="21"/>
          <w:szCs w:val="21"/>
        </w:rPr>
        <w:t>（二）进度要求</w:t>
      </w:r>
    </w:p>
    <w:p>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自合同签订之日起</w:t>
      </w:r>
      <w:r>
        <w:rPr>
          <w:rFonts w:hint="eastAsia" w:ascii="宋体" w:hAnsi="宋体" w:eastAsia="宋体" w:cs="宋体"/>
          <w:color w:val="000000"/>
          <w:sz w:val="21"/>
          <w:szCs w:val="21"/>
        </w:rPr>
        <w:t>11</w:t>
      </w:r>
      <w:r>
        <w:rPr>
          <w:rFonts w:hint="eastAsia" w:ascii="宋体" w:hAnsi="宋体" w:eastAsia="宋体" w:cs="宋体"/>
          <w:color w:val="000000"/>
          <w:sz w:val="21"/>
          <w:szCs w:val="21"/>
        </w:rPr>
        <w:t>月3</w:t>
      </w:r>
      <w:r>
        <w:rPr>
          <w:rFonts w:hint="eastAsia" w:ascii="宋体" w:hAnsi="宋体" w:eastAsia="宋体" w:cs="宋体"/>
          <w:color w:val="000000"/>
          <w:sz w:val="21"/>
          <w:szCs w:val="21"/>
        </w:rPr>
        <w:t>0</w:t>
      </w:r>
      <w:r>
        <w:rPr>
          <w:rFonts w:hint="eastAsia" w:ascii="宋体" w:hAnsi="宋体" w:eastAsia="宋体" w:cs="宋体"/>
          <w:color w:val="000000"/>
          <w:sz w:val="21"/>
          <w:szCs w:val="21"/>
        </w:rPr>
        <w:t>日底前完成系统部署。</w:t>
      </w:r>
    </w:p>
    <w:p>
      <w:pPr>
        <w:rPr>
          <w:rFonts w:hint="eastAsia" w:ascii="宋体" w:hAnsi="宋体" w:eastAsia="宋体" w:cs="宋体"/>
          <w:sz w:val="21"/>
          <w:szCs w:val="21"/>
        </w:rPr>
      </w:pPr>
      <w:r>
        <w:rPr>
          <w:rFonts w:hint="eastAsia" w:ascii="宋体" w:hAnsi="宋体" w:eastAsia="宋体" w:cs="宋体"/>
          <w:sz w:val="21"/>
          <w:szCs w:val="21"/>
        </w:rPr>
        <w:t>（三）成果交付要求</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（1）验证项目整体是否能够正常运作</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（2）验证排污许可信息化智能管理系统中各个模块的功能是否能达到使用标准。</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（3）验证排污许可信息化智能管理系统中执行报告和许可证的数据是否于国家排污许可证核发系统中数据一致</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（4）验证系统中是否有页面显示异常或报错</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（5）执行报告审核功能是否能正常使用</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6</w:t>
      </w:r>
      <w:r>
        <w:rPr>
          <w:rFonts w:hint="eastAsia" w:ascii="宋体" w:hAnsi="宋体" w:eastAsia="宋体" w:cs="宋体"/>
          <w:color w:val="000000"/>
          <w:sz w:val="21"/>
          <w:szCs w:val="21"/>
        </w:rPr>
        <w:t>）用户使用指南书</w:t>
      </w:r>
    </w:p>
    <w:p>
      <w:pPr>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z w:val="21"/>
          <w:szCs w:val="21"/>
        </w:rPr>
        <w:t>）</w:t>
      </w:r>
      <w:r>
        <w:rPr>
          <w:rFonts w:hint="eastAsia" w:ascii="宋体" w:hAnsi="宋体" w:eastAsia="宋体" w:cs="宋体"/>
          <w:sz w:val="21"/>
          <w:szCs w:val="21"/>
        </w:rPr>
        <w:t>质量验收标准或规范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根据采购文件和投标响应文件的要求进行验收</w:t>
      </w:r>
    </w:p>
    <w:p>
      <w:pPr>
        <w:rPr>
          <w:rFonts w:hint="eastAsia" w:ascii="宋体" w:hAnsi="宋体" w:eastAsia="宋体" w:cs="宋体"/>
          <w:sz w:val="21"/>
          <w:szCs w:val="21"/>
        </w:rPr>
      </w:pPr>
      <w:r>
        <w:rPr>
          <w:rFonts w:hint="eastAsia" w:ascii="宋体" w:hAnsi="宋体" w:eastAsia="宋体" w:cs="宋体"/>
          <w:sz w:val="21"/>
          <w:szCs w:val="21"/>
        </w:rPr>
        <w:t>（四</w:t>
      </w:r>
      <w:r>
        <w:rPr>
          <w:rFonts w:hint="eastAsia" w:ascii="宋体" w:hAnsi="宋体" w:eastAsia="宋体" w:cs="宋体"/>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一般与合同款项的支付相关，注意不要超出《民法典》中对于违约的责任上限。</w:t>
      </w:r>
    </w:p>
    <w:p>
      <w:pPr>
        <w:rPr>
          <w:rFonts w:hint="eastAsia" w:ascii="宋体" w:hAnsi="宋体" w:eastAsia="宋体" w:cs="宋体"/>
          <w:sz w:val="21"/>
          <w:szCs w:val="21"/>
        </w:rPr>
      </w:pPr>
    </w:p>
    <w:sectPr>
      <w:pgSz w:w="11906" w:h="16838"/>
      <w:pgMar w:top="1440" w:right="1800" w:bottom="11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TRjMmQ4ZjhjYzczN2RhM2M5MWFiN2Q1NmRmNTEifQ=="/>
  </w:docVars>
  <w:rsids>
    <w:rsidRoot w:val="6CA741F6"/>
    <w:rsid w:val="6CA7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widowControl w:val="0"/>
      <w:snapToGrid w:val="0"/>
      <w:spacing w:line="360" w:lineRule="auto"/>
      <w:ind w:firstLine="480" w:firstLineChars="200"/>
      <w:jc w:val="both"/>
    </w:pPr>
    <w:rPr>
      <w:rFonts w:ascii="Arial" w:hAnsi="Arial" w:eastAsia="宋体" w:cs="Times New Roman"/>
      <w:kern w:val="2"/>
      <w:sz w:val="24"/>
      <w:szCs w:val="24"/>
      <w:lang w:val="en-US" w:eastAsia="zh-CN" w:bidi="ar-SA"/>
    </w:rPr>
  </w:style>
  <w:style w:type="paragraph" w:styleId="5">
    <w:name w:val="Body Text First Indent"/>
    <w:basedOn w:val="6"/>
    <w:qFormat/>
    <w:uiPriority w:val="0"/>
    <w:pPr>
      <w:widowControl w:val="0"/>
      <w:spacing w:line="360" w:lineRule="auto"/>
      <w:ind w:firstLine="420" w:firstLineChars="100"/>
      <w:jc w:val="both"/>
    </w:pPr>
    <w:rPr>
      <w:rFonts w:ascii="Times New Roman" w:hAnsi="Times New Roman" w:eastAsia="宋体" w:cs="Times New Roman"/>
      <w:kern w:val="2"/>
      <w:sz w:val="24"/>
      <w:szCs w:val="24"/>
      <w:lang w:val="zh-CN" w:eastAsia="zh-CN" w:bidi="zh-CN"/>
    </w:rPr>
  </w:style>
  <w:style w:type="paragraph" w:styleId="6">
    <w:name w:val="Body Text"/>
    <w:basedOn w:val="1"/>
    <w:next w:val="1"/>
    <w:qFormat/>
    <w:uiPriority w:val="1"/>
    <w:rPr>
      <w:rFonts w:ascii="仿宋" w:hAnsi="仿宋" w:cs="仿宋"/>
      <w:sz w:val="28"/>
      <w:szCs w:val="24"/>
      <w:lang w:val="zh-CN" w:bidi="zh-CN"/>
    </w:rPr>
  </w:style>
  <w:style w:type="paragraph" w:styleId="7">
    <w:name w:val="Plain Text"/>
    <w:basedOn w:val="1"/>
    <w:qFormat/>
    <w:uiPriority w:val="0"/>
    <w:rPr>
      <w:rFonts w:ascii="宋体" w:hAnsi="Courier New" w:eastAsia="华文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2023-09-15T07:10:00Z</dcterms:created>
  <dc:creator>早睡早起</dc:creator>
  <cp:lastModifiedBy>早睡早起</cp:lastModifiedBy>
  <dcterms:modified xsi:type="dcterms:W3CDTF">2023-09-15T07:12:32Z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BF148120DBD64D9B93F6546BF0609377_11</vt:lpwstr>
  </property>
</Properties>
</file>