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416" w:lineRule="atLeast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仿宋" w:hAnsi="仿宋" w:eastAsia="仿宋" w:cs="仿宋"/>
          <w:bCs/>
          <w:highlight w:val="none"/>
        </w:rPr>
        <w:t xml:space="preserve">附件 </w:t>
      </w:r>
      <w:bookmarkEnd w:id="0"/>
      <w:bookmarkEnd w:id="1"/>
      <w:bookmarkStart w:id="3" w:name="_Toc233435986"/>
      <w:bookmarkStart w:id="4" w:name="_Toc492955464"/>
      <w:bookmarkStart w:id="5" w:name="_Toc385992405"/>
      <w:bookmarkStart w:id="6" w:name="_Toc497546923"/>
      <w:bookmarkStart w:id="7" w:name="_Toc497711590"/>
      <w:bookmarkStart w:id="8" w:name="_Toc497551825"/>
      <w:bookmarkStart w:id="9" w:name="_Toc389620245"/>
      <w:bookmarkStart w:id="10" w:name="_Hlt491766443"/>
      <w:bookmarkStart w:id="11" w:name="_Toc497712138"/>
      <w:r>
        <w:rPr>
          <w:rFonts w:hint="eastAsia" w:ascii="仿宋" w:hAnsi="仿宋" w:eastAsia="仿宋" w:cs="仿宋"/>
          <w:highlight w:val="none"/>
        </w:rPr>
        <w:t>商务偏离表</w:t>
      </w:r>
      <w:bookmarkEnd w:id="2"/>
      <w:bookmarkEnd w:id="3"/>
    </w:p>
    <w:p>
      <w:pPr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</w:t>
      </w:r>
    </w:p>
    <w:p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文件商务要求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投标函商务</w:t>
            </w:r>
          </w:p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交货安装期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申明：除以上表中列明的偏离项外，其他所有条款均响应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  <w:highlight w:val="none"/>
        </w:rPr>
        <w:t>文件要求。</w:t>
      </w:r>
    </w:p>
    <w:p>
      <w:pPr>
        <w:pStyle w:val="3"/>
        <w:rPr>
          <w:rFonts w:hint="eastAsia" w:ascii="仿宋" w:hAnsi="仿宋" w:eastAsia="仿宋" w:cs="仿宋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  <w:u w:val="single"/>
        </w:rPr>
      </w:pPr>
    </w:p>
    <w:bookmarkEnd w:id="4"/>
    <w:bookmarkEnd w:id="5"/>
    <w:bookmarkEnd w:id="6"/>
    <w:bookmarkEnd w:id="7"/>
    <w:bookmarkEnd w:id="8"/>
    <w:bookmarkEnd w:id="9"/>
    <w:bookmarkEnd w:id="10"/>
    <w:bookmarkEnd w:id="11"/>
    <w:p>
      <w:pPr>
        <w:pStyle w:val="4"/>
        <w:rPr>
          <w:rFonts w:hint="eastAsia" w:ascii="仿宋" w:hAnsi="仿宋" w:eastAsia="仿宋" w:cs="仿宋"/>
          <w:highlight w:val="none"/>
        </w:rPr>
      </w:pPr>
      <w:bookmarkStart w:id="12" w:name="_Toc497551826"/>
      <w:bookmarkStart w:id="13" w:name="_Toc233435988"/>
      <w:bookmarkStart w:id="14" w:name="_Toc497546924"/>
      <w:bookmarkStart w:id="15" w:name="_Toc492955465"/>
      <w:bookmarkStart w:id="16" w:name="_Toc7686"/>
      <w:bookmarkStart w:id="17" w:name="_Toc385992406"/>
      <w:bookmarkStart w:id="18" w:name="_Toc497711591"/>
      <w:bookmarkStart w:id="19" w:name="_Toc389620246"/>
      <w:bookmarkStart w:id="20" w:name="_Toc497712139"/>
      <w:r>
        <w:rPr>
          <w:rFonts w:hint="eastAsia" w:ascii="仿宋" w:hAnsi="仿宋" w:eastAsia="仿宋" w:cs="仿宋"/>
          <w:highlight w:val="none"/>
        </w:rPr>
        <w:t>附件</w:t>
      </w:r>
      <w:bookmarkStart w:id="21" w:name="_Hlt491765535"/>
      <w:bookmarkEnd w:id="21"/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highlight w:val="none"/>
        </w:rPr>
        <w:t>规格、技术参数偏离表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</w:t>
      </w:r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招 标 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</w:t>
      </w:r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6"/>
        <w:gridCol w:w="4511"/>
        <w:gridCol w:w="1218"/>
        <w:gridCol w:w="1038"/>
        <w:gridCol w:w="116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佐证材料页码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numPr>
          <w:ilvl w:val="0"/>
          <w:numId w:val="1"/>
        </w:numPr>
        <w:spacing w:line="400" w:lineRule="atLeast"/>
        <w:ind w:firstLine="482" w:firstLineChars="200"/>
        <w:rPr>
          <w:rFonts w:hint="eastAsia" w:ascii="仿宋" w:hAnsi="仿宋" w:eastAsia="仿宋" w:cs="仿宋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标★参数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佐证材料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（彩页或官网截图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或检测报告</w:t>
      </w:r>
      <w:r>
        <w:rPr>
          <w:rFonts w:hint="eastAsia" w:ascii="仿宋" w:hAnsi="仿宋" w:eastAsia="仿宋" w:cs="仿宋"/>
          <w:sz w:val="24"/>
          <w:highlight w:val="none"/>
        </w:rPr>
        <w:t>等）。</w:t>
      </w:r>
      <w:r>
        <w:rPr>
          <w:rFonts w:hint="eastAsia" w:ascii="仿宋" w:hAnsi="仿宋" w:eastAsia="仿宋" w:cs="仿宋"/>
          <w:b/>
          <w:bCs/>
          <w:i w:val="0"/>
          <w:iCs w:val="0"/>
          <w:sz w:val="24"/>
          <w:highlight w:val="none"/>
          <w:u w:val="none"/>
          <w:lang w:val="en-US" w:eastAsia="zh-CN"/>
        </w:rPr>
        <w:t>非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none"/>
          <w:lang w:val="en-US" w:eastAsia="zh-CN"/>
        </w:rPr>
        <w:t>标★参数须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逐条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none"/>
          <w:lang w:val="en-US" w:eastAsia="zh-CN"/>
        </w:rPr>
        <w:t>在上表中进行响应。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如上表内容与佐证材料不符，以上表内容为准</w:t>
      </w:r>
      <w:r>
        <w:rPr>
          <w:rFonts w:hint="eastAsia" w:ascii="仿宋" w:hAnsi="仿宋" w:eastAsia="仿宋" w:cs="仿宋"/>
          <w:sz w:val="24"/>
          <w:highlight w:val="none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若本表偏离情况与后附证明材料不一致时，默认本表为供应商能达到最新、最优的响应技术服务条款；</w:t>
      </w:r>
    </w:p>
    <w:p>
      <w:pPr>
        <w:spacing w:line="400" w:lineRule="atLeast"/>
        <w:ind w:firstLine="480"/>
        <w:rPr>
          <w:rFonts w:hint="default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供应商需提供所投产品来源渠道证明文件</w:t>
      </w:r>
      <w:r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（不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限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于厂家授权书、销售协议、代理证明等资料）</w:t>
      </w: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r>
        <w:br w:type="page"/>
      </w:r>
    </w:p>
    <w:p>
      <w:pPr>
        <w:pStyle w:val="2"/>
        <w:ind w:left="0" w:leftChars="0" w:firstLine="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标★参数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证明材料：</w:t>
      </w:r>
    </w:p>
    <w:p>
      <w:pPr>
        <w:bidi w:val="0"/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1、讲桌：★产品符合 GB/T 3324-2008 标准要求木家具通用技术条件；</w:t>
      </w:r>
    </w:p>
    <w:p>
      <w:pPr>
        <w:bidi w:val="0"/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2、连排课桌椅：★符合 GB/T15102-2017《浸渍胶膜纸饰面纤维板和刨花板》、GB 18580-2017《室内装饰装修材料人造板及其制品中甲醛释放限量》，对表面胶合强度、表面耐冷热循环、甲醛释放量≤0.124mg/ m³（1m³气候箱法/≥48h）进行检测；</w:t>
      </w:r>
    </w:p>
    <w:p>
      <w:pPr>
        <w:bidi w:val="0"/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3、培训桌：★检测符合甲醛排放符合 GB18580-2017《室内装饰装修材料人造板及其制品中甲醛释放限量》； GB/T 34722-2017《浸渍胶膜纸饰面胶合板和细木工板》；</w:t>
      </w:r>
    </w:p>
    <w:p>
      <w:pPr>
        <w:bidi w:val="0"/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4、实训桌：★检测符合甲醛排放符合 GB 18580-2017《室内装饰装修材料人造板及其制品中甲醛释放限量》； GB/T 34722-2017《浸渍胶膜纸饰面胶合板和细木工板》。</w:t>
      </w:r>
    </w:p>
    <w:p>
      <w:pPr>
        <w:pStyle w:val="2"/>
        <w:ind w:left="0" w:leftChars="0" w:firstLine="0" w:firstLineChars="0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四、供应商承诺函（格式自拟）：包括不限于：</w:t>
      </w:r>
    </w:p>
    <w:p>
      <w:pPr>
        <w:bidi w:val="0"/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1、供应商须承诺：完全满足本项目全部采购货物数量要求。</w:t>
      </w:r>
    </w:p>
    <w:p>
      <w:pPr>
        <w:bidi w:val="0"/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2、供应商须承诺：所供产品均为符合采购需求的全新产品（包括零部件、附件等）。</w:t>
      </w:r>
    </w:p>
    <w:p>
      <w:pPr>
        <w:bidi w:val="0"/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3、供应商须承诺：所供产品均符合国家及行业相关质量、环保等标准，不含对人体有害的物质。</w:t>
      </w:r>
    </w:p>
    <w:p>
      <w:pPr>
        <w:bidi w:val="0"/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4、供应商须承诺：质保期内定期对所供家具进行检查保养，填写保养记录，建</w:t>
      </w:r>
      <w:bookmarkStart w:id="22" w:name="_GoBack"/>
      <w:bookmarkEnd w:id="22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立维护保养档案。</w:t>
      </w:r>
    </w:p>
    <w:p>
      <w:pPr>
        <w:bidi w:val="0"/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5、供应商须承诺：质保期内产品出现任何质量问题，供应商免费实行保修、包换、包退服务，定期对所供货物做全面的检查和保养，质保期内供应商接到采购人反映后，2 小时内响应，4 小时内派技术人员到现场。质保期外，供货商只收取材料费。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478C78"/>
    <w:multiLevelType w:val="singleLevel"/>
    <w:tmpl w:val="DB478C7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251753D"/>
    <w:rsid w:val="0BEB2F4D"/>
    <w:rsid w:val="2B0B042D"/>
    <w:rsid w:val="518353CC"/>
    <w:rsid w:val="63F44A73"/>
    <w:rsid w:val="655C55BC"/>
    <w:rsid w:val="733F70A5"/>
    <w:rsid w:val="784B7667"/>
    <w:rsid w:val="7E8B0B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770</Words>
  <Characters>869</Characters>
  <Lines>0</Lines>
  <Paragraphs>0</Paragraphs>
  <TotalTime>2</TotalTime>
  <ScaleCrop>false</ScaleCrop>
  <LinksUpToDate>false</LinksUpToDate>
  <CharactersWithSpaces>1185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2023-08-03T02:19:00Z</dcterms:created>
  <dc:creator>Administrator</dc:creator>
  <cp:lastModifiedBy>Administrator</cp:lastModifiedBy>
  <dcterms:modified xsi:type="dcterms:W3CDTF">2023-08-21T10:39:30Z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02ECC3E741164E1799F47317771C1A72_13</vt:lpwstr>
  </property>
</Properties>
</file>