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before="333" w:beforeLines="100" w:after="333" w:afterLines="100"/>
        <w:jc w:val="center"/>
        <w:rPr>
          <w:rFonts w:hint="eastAsia" w:ascii="宋体" w:eastAsia="宋体" w:cs="宋体"/>
          <w:color w:val="000000"/>
          <w:sz w:val="36"/>
          <w:szCs w:val="36"/>
          <w:lang w:val="en-US" w:eastAsia="zh-CN"/>
        </w:rPr>
      </w:pPr>
      <w:bookmarkStart w:id="0" w:name="_Toc31683"/>
      <w:bookmarkStart w:id="1" w:name="_Toc26595"/>
      <w:bookmarkStart w:id="2" w:name="_Toc3822"/>
      <w:bookmarkStart w:id="3" w:name="_Toc19199"/>
      <w:bookmarkStart w:id="4" w:name="_Toc29888"/>
      <w:bookmarkStart w:id="5" w:name="_Toc19246"/>
      <w:bookmarkStart w:id="6" w:name="_Toc8333"/>
      <w:bookmarkStart w:id="7" w:name="_Toc389582037"/>
      <w:bookmarkStart w:id="8" w:name="_Toc426457696"/>
      <w:bookmarkStart w:id="9" w:name="_Toc9053"/>
      <w:bookmarkStart w:id="10" w:name="_Toc20230"/>
      <w:bookmarkStart w:id="11" w:name="_Toc31520"/>
      <w:r>
        <w:rPr>
          <w:rFonts w:hint="eastAsia" w:ascii="宋体" w:eastAsia="宋体" w:cs="宋体"/>
          <w:color w:val="000000"/>
          <w:sz w:val="36"/>
          <w:szCs w:val="36"/>
        </w:rPr>
        <w:t>采购内容及技术要</w:t>
      </w:r>
      <w:bookmarkEnd w:id="0"/>
      <w:bookmarkEnd w:id="1"/>
      <w:bookmarkEnd w:id="2"/>
      <w:bookmarkEnd w:id="3"/>
      <w:bookmarkEnd w:id="4"/>
      <w:bookmarkEnd w:id="5"/>
      <w:bookmarkEnd w:id="6"/>
      <w:bookmarkEnd w:id="7"/>
      <w:bookmarkEnd w:id="8"/>
      <w:bookmarkEnd w:id="9"/>
      <w:bookmarkEnd w:id="10"/>
      <w:bookmarkEnd w:id="11"/>
      <w:bookmarkStart w:id="12" w:name="_Toc1462"/>
      <w:bookmarkStart w:id="13" w:name="_Toc25607"/>
      <w:bookmarkStart w:id="14" w:name="_Toc2203"/>
      <w:bookmarkStart w:id="15" w:name="_Toc426457697"/>
      <w:r>
        <w:rPr>
          <w:rFonts w:hint="eastAsia" w:ascii="宋体" w:eastAsia="宋体" w:cs="宋体"/>
          <w:color w:val="000000"/>
          <w:sz w:val="36"/>
          <w:szCs w:val="36"/>
          <w:lang w:val="en-US" w:eastAsia="zh-CN"/>
        </w:rPr>
        <w:t>求</w:t>
      </w: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1338"/>
        <w:gridCol w:w="5266"/>
        <w:gridCol w:w="716"/>
        <w:gridCol w:w="698"/>
        <w:gridCol w:w="1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rPr>
              <w:t>序号</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rPr>
              <w:t>名称</w:t>
            </w:r>
          </w:p>
        </w:tc>
        <w:tc>
          <w:tcPr>
            <w:tcW w:w="5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rPr>
              <w:t>参数</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rPr>
              <w:t>数量</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rPr>
              <w:t>单位</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rPr>
            </w:pPr>
            <w:r>
              <w:rPr>
                <w:rFonts w:hint="eastAsia" w:ascii="宋体" w:hAnsi="宋体" w:eastAsia="宋体" w:cs="宋体"/>
                <w:b/>
                <w:bCs/>
                <w:i w:val="0"/>
                <w:iCs w:val="0"/>
                <w:color w:val="auto"/>
                <w:kern w:val="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9"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纸质图书选购</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（一）出版要求:</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1、正规出版社</w:t>
            </w:r>
            <w:r>
              <w:rPr>
                <w:rFonts w:hint="eastAsia" w:ascii="宋体" w:hAnsi="宋体" w:eastAsia="宋体" w:cs="宋体"/>
                <w:i w:val="0"/>
                <w:iCs w:val="0"/>
                <w:color w:val="auto"/>
                <w:sz w:val="20"/>
                <w:szCs w:val="20"/>
                <w:u w:val="none"/>
                <w:lang w:val="en-US"/>
              </w:rPr>
              <w:t>五</w:t>
            </w:r>
            <w:r>
              <w:rPr>
                <w:rFonts w:hint="eastAsia" w:ascii="宋体" w:hAnsi="宋体" w:eastAsia="宋体" w:cs="宋体"/>
                <w:i w:val="0"/>
                <w:iCs w:val="0"/>
                <w:color w:val="auto"/>
                <w:sz w:val="20"/>
                <w:szCs w:val="20"/>
                <w:u w:val="none"/>
              </w:rPr>
              <w:t>年内出版或再版印刷的精品全新图书，其内容符合中专学校或高中及以上学生认知水平和阅读水平；</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（二）图书印刷质量及装订执行标准：</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（1）《中华人民共和国产品质量法》及新闻出版总署公布的《图书质量管理规定》标准。</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（2）CY/T5-1999平版印刷品质量要求及检验方法。</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（3）CY/T27-1999装订质量要求及检验方法精装。</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（4）CY/T28-1999装订质量要求及检验方法平装。</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（5）CY/T29-1999装订质量要求及检验方法。</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（三）书目要求：</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1、</w:t>
            </w:r>
            <w:r>
              <w:rPr>
                <w:rFonts w:hint="eastAsia" w:ascii="宋体" w:hAnsi="宋体" w:eastAsia="宋体" w:cs="宋体"/>
                <w:i w:val="0"/>
                <w:iCs w:val="0"/>
                <w:color w:val="auto"/>
                <w:sz w:val="20"/>
                <w:szCs w:val="20"/>
                <w:u w:val="none"/>
                <w:lang w:val="en-US" w:eastAsia="zh-CN"/>
              </w:rPr>
              <w:t>根据甲方提供书目</w:t>
            </w:r>
            <w:r>
              <w:rPr>
                <w:rFonts w:hint="eastAsia" w:ascii="宋体" w:hAnsi="宋体" w:eastAsia="宋体" w:cs="宋体"/>
                <w:i w:val="0"/>
                <w:iCs w:val="0"/>
                <w:color w:val="auto"/>
                <w:sz w:val="20"/>
                <w:szCs w:val="20"/>
                <w:u w:val="none"/>
              </w:rPr>
              <w:t>，选择提供不少于10个品类</w:t>
            </w:r>
            <w:r>
              <w:rPr>
                <w:rFonts w:hint="eastAsia" w:ascii="宋体" w:hAnsi="宋体" w:eastAsia="宋体" w:cs="宋体"/>
                <w:i w:val="0"/>
                <w:iCs w:val="0"/>
                <w:color w:val="auto"/>
                <w:sz w:val="20"/>
                <w:szCs w:val="20"/>
                <w:u w:val="none"/>
                <w:lang w:val="en-US" w:eastAsia="zh-CN"/>
              </w:rPr>
              <w:t>图书</w:t>
            </w:r>
            <w:r>
              <w:rPr>
                <w:rFonts w:hint="eastAsia" w:ascii="宋体" w:hAnsi="宋体" w:eastAsia="宋体" w:cs="宋体"/>
                <w:i w:val="0"/>
                <w:iCs w:val="0"/>
                <w:color w:val="auto"/>
                <w:sz w:val="20"/>
                <w:szCs w:val="20"/>
                <w:u w:val="none"/>
              </w:rPr>
              <w:t>。</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2、无各级教材管理部门发布的问题读物和潜在风险的读物。</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2"/>
                <w:sz w:val="20"/>
                <w:szCs w:val="20"/>
                <w:u w:val="none"/>
                <w:lang w:val="en-US" w:eastAsia="zh-CN" w:bidi="ar-SA"/>
              </w:rPr>
              <w:t>15000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册</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9"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编目加工</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将馆藏图书进行编目数据著录、MAC 数据录入，依据《中国机读目录格式》和《普通图书著录规则》的要求著录图书，图书分类引用《中国图书馆图书分类法》 (第五版）， 中文图书主题标引用《中国分类主题词表》和《汉语主题词表》（增订本）。包括贴条码、书标、书标保护膜、RFID图书标签，MAC数据录入，数据转入，上架，排架以及书标、书标保护膜、条码等。</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2"/>
                <w:sz w:val="20"/>
                <w:szCs w:val="20"/>
                <w:u w:val="none"/>
                <w:lang w:val="en-US" w:eastAsia="zh-CN" w:bidi="ar-SA"/>
              </w:rPr>
              <w:t>30000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册</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在采购方指定时间完成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智慧图书馆管理软件</w:t>
            </w:r>
          </w:p>
        </w:tc>
        <w:tc>
          <w:tcPr>
            <w:tcW w:w="5266"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技术要求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00" w:firstLineChars="200"/>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智慧图书管理软件采取云端与本地同时部署模式，可支持将管理软件部署在学校本地化服务器，可提供终生免费升级和维护服务；并且管理软件支持采用阿里云部署方式，提供云端免费使用5年，5年后可支持向云服务提供商付费继续使用云端服务或免费全功能使用本地部署服务，软件厂商提供终生使用保障和升级服务，保证软件良好的使用状态。</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1.采用B/S架构，无需安装客户端，可部署在windows\Linux等主流操作系统。</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2.MARC编辑快速有效，提供MARC数据智能编辑手段，系统应能够提供MARC编辑时辅助分类，自动生成子段能够自定义，方便CNMARC数据的著录。</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3.系统具有高可移植性和可跨平台性。底层数据库采用mysql或其它大型数据库管理系统，支持ISO SQL标准，支持数据备份。</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二、功能要求</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图书馆管理系统适用于图书馆图书管理相关业务开展，系统对图书馆的业务管理应提供一体化的解决方案。以书目为中心，涵盖现代图书馆各个业务环节，包括采访、编目、典藏、流通、检索、统计等。能实现多文种、多类型的实体文献著作处理，包括图书、连续出版物、试听材料、音乐、地图以及其他混合型材料。同时，还可对网络资源信息作为虚拟实体进行著录管理，支持符合ISO-2709标准的多种类型的MARC记录的导入和导出，并支持对MARC记录的全屏幕编辑、校对、修改。</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1.软件要求包含以下功能模块：图书管理、期刊管理、典藏管理、流通管理、读者管理、OPAC检索、统计中心和系统管理等。</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2.图书采访和编目：支持图书订购、验收等批号的管理，支持将marc格式数据导入，支持读者图书荐购，图书采访批次列表管理。支持在同一界面自由切换编目模式（填空式的简单编目和marc编目）。要求支持分馆独立编目，不同分馆采用各自独立的索书号。</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 xml:space="preserve">3.系统管理：支持用户、角色权限管理；支持菜单及配置管理；支持分馆、分系统、馆藏地点、读者证类型、文献类型、借阅规则等参数设置。 </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4.OPAC检索：可根据出版社、作者索书号、书名、IBSN、关键词、所属馆等检索方式进行单条件、多条件检索；具备图书续借、图书预约、图书荐购、查询借阅历史、修改个人信息等功能。</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5.★支持对RFID智慧图书馆设备（如自助借还书设备）远程监测开关机状态以及远程、重启、远程关机操作。</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6.★支持对RFID智慧图书馆设备（如自助借还书设备）的使用时长和使用次数信息统计，进而分析对信息化装备及平台软件投入后的使用情况。</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7.★支持远程推送视频文件至选定的RFID智慧图书馆设备（如自助借还书设备）进行播放，实现信息发布功能。</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8.★支持远程桌面功能。管理人员可以远程看到RFID智慧图书馆设备（如自助借还书设备）的当前操作页面，并进行远程协助和控制管理。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 xml:space="preserve">三、主要功能模块及参数要求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1. 系统具有可靠的安全机制和备份机制。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2.核心功能丰富完备。</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期刊管理模块：</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支持期刊编目，期刊类型管理，如半月刊、月刊、季刊等；支持期刊预订，预订后自动生成该刊的记到纪录；支持过刊处理、合订、入藏等。</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典藏管理模块：</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支持馆藏的导入、变更、清点、剔除、调拨等单项操作以及相应的批量操作；支持条码置换、馆藏修改及批量操作； 具备馆藏统计和输出功能等。</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流通管理模块：</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可处理的外借、归还、续借、预约、交款、赔书、退赔和违章处理这八项基本功能；进行流通时显示读者信息和文献信息。读者管理模块：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00" w:firstLineChars="200"/>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支持读者类型、单位管理；支持读者批量导入、列表管理；根据自定义的属性进行分类统计，具备读者统计、流通统计、财经统计等统计功能。 具备读者用户图书续借、图书预约、图书荐购、查询借阅历史、修改个人信息等功能。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top"/>
              <w:rPr>
                <w:rFonts w:hint="eastAsia"/>
                <w:color w:val="auto"/>
                <w:highlight w:val="none"/>
                <w:lang w:val="en-US" w:eastAsia="zh-CN"/>
              </w:rPr>
            </w:pPr>
            <w:r>
              <w:rPr>
                <w:rFonts w:hint="eastAsia" w:ascii="宋体" w:hAnsi="宋体" w:eastAsia="宋体" w:cs="宋体"/>
                <w:i w:val="0"/>
                <w:iCs w:val="0"/>
                <w:color w:val="auto"/>
                <w:kern w:val="0"/>
                <w:sz w:val="20"/>
                <w:szCs w:val="20"/>
                <w:highlight w:val="none"/>
                <w:u w:val="none"/>
                <w:lang w:val="en-US" w:eastAsia="zh-CN"/>
              </w:rPr>
              <w:t>3.主要参数要求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1 系统提供灵活的参数化配置功能，除了能够由中心调配进行集中管理外，支持各分馆的特色服务。</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2系统符合国家标准和国际标准，书目机读格式遵循CNMARC规范。</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3 系统可根据不同筛选条件查询图书书库信息，支持对图书书库编目信息进行管理，支持对馆藏图书信息进行管理维护。</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4 支持在同一界面自由切换编目模式（填空式的简单编目和marc编目）。</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5 支持分馆独立编目，不同分馆采用各自独立的索书号。</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6 支持批量导入excel、marc格式编目图书数据文件。</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7 要求支持分馆独立编目，不同分馆采用各自独立的索书号。</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8 支持查询读者荐购图书信息，可对荐购图书进行订购操作。</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9) 支持查询订购图书信息，可对订购图书进行信息修改维护管理。</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10 支持在订购列表中，直接新增订购图书信息。</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11 支持对订购图书进行采访下单，可对采访单信息进行管理维护。</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12 支持对已采访的图书信息进行修改操作。</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13 支持根据采访订购信息进行验收和未经订购进行直接验收。</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14 支持对种次号进行维护管理。</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15 支持对条码号缺失管理。</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16 可根据不同筛选条件查询期刊编目信息，支持对期刊编目信息进行管理，支持对馆藏期刊信息进行维护管理。</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17 支持批量marc格式导入期刊信息。</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18 支持对期刊类型进行管理维护，如半月刊、月刊、季刊等。</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19) 支持期刊预订，预订后自动生成该刊的记到期刊预定纪录，可对预定信息进行管理。</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20 支持对不同类型的预定期刊进行确认，可对预定期刊进行批量导出。</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21 可根据不同筛选条件查询过刊信息，可对过刊信息进行验收回退、过刊处理，支持批量导出过刊信息。</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22 支持对过期期刊进行合订、入藏等功能操作。</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23 支持通过扫码枪扫码/输入文献条码进行清点批次的创建</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24 可根据筛选条件查询清点批次，可对清点批次信息进行管理维护。</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25 支持对清点批次中图书状态进行处理变更。</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26 支持更换条码、流通类别、典藏批次、架位号等功能操作。</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27 具备馆际间图书调拨与批量调拨，可查询调拨清单明细、调拨分类统计。</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28 支持对馆藏图书信息进行管理、统计，支持excel、marc格式导出信息。</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29 支持查看馆藏图书借阅明细统计、分类借阅统计、借阅数排行、读者借阅数排行信息。</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30 可根据不同筛选条件查询采访批次图书信息、典藏统计、典藏地点统计、状态统计、分馆典藏统计信息。</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31 具有馆藏数据统计功能，包含藏书结构分布、藏书分类统计等，能在同一页面查询所有馆藏地点不同状态图书数量，方便图书馆老师对馆藏文献分布的了解。</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32 支持馆藏资料、cnmarc编目批量导入。</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33 支持标签打印、条码打印。</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34 支持自动排架管理，更新图书书架位置</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35 支持对文献来源信息进行管理维护</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36 支持对流通类型信息进行管理维护</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37 支持通过读者证号、图书条码号，直接完成图书的借阅，可对借阅图书进行还书，打印借阅信息操作</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38 支持图书的续借，可通过直接输入图书条码号，完成图书的归还。</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39 支持查询读者借阅情况，可进行缴费、破损罚款、丢失罚款等操作。</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40 可根据不同筛选条件查询图书借阅历史，可导出、打印借阅信息。</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41 可根据不同筛选条件查询超期未归还图书信息，可导出超期图书信息。</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42 支持对图书馆假期设置。</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43 可根据不同筛选条件查询图书预约信息，可对预约信息进行处理，支持导出预约信息。</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44 支持查询进出馆读者统计、读者刷卡统计、图书统计信息。</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45 可根据不同筛选条件查询在借图书信息，可导出借阅信息。</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46 支持对异常图书信息进行管理。</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47 支持对读者类型进行管理维护。</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48 支持对单位类型进行管理维护，支持升级单位。</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49 可根据不同筛选条件查询读者信息，支持对读者信息进行管理维护，支持查询读者借阅信息。</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50 支持批量导入读者资料。</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51 支持查询读者统计清单、读者类型统计信息，支持导出统计信息。</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52 支持打印读者条码。</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53 支持查询财务清单、财务费用类型统计，支持导出统计信息。</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 xml:space="preserve">54 可根据不同筛选条件查询活动信息，支持对活动信息进行管理维护，支持查看活动参与情况，支持对活动进行点评。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55 支持管理员用户在统计中心读者分析中，根据年月日查询按读者新办证统计，可进行快速选择日期，最近一周、最近一月、最近一年等快速设置查询条件，查询读者新办证统计，生成柱状图、堆叠图、折线图等。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56 支持管理员用户在统计中心图书分析中，根据年月日查询新书分类分析，可进行快速选择日期，最近一周、最近一月、最近一年等快速设置查询条件，查询新书分类分析，生成柱状图、堆叠图、折线图等。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57支持管理员用户在统计中心图书分析中，根据年月日查询馆藏借阅分类统计，可进行快速选择日期，最近一周、最近一月、最近一年等快速设置查询条件，查询馆藏借阅分类和未被借阅图书信息，生成柱状图、堆叠图、折线图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58 支持管理员用户在流通统计中，根据年月日查询流通统计，可进行快速选择日期，最近一周、最近一月、最近一年等快速设置查询条件，查询图书馆流通率、借阅率、借书人数、册数，还书人数、册数，续借人数、册数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59支持管理员用户在流通统计中，根据年月日查询日期统计借阅数据，可进行快速选择日期，最近一周、最近一月、最近一年等快速设置查询条件，查询日期统计借阅数据。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60支持管理员用户在流通统计中，根据年月日查询单位流通统计，可进行快速选择日期，最近一周、最近一月、最近一年等快速设置查询条件，按单位查询图书馆流通率、借阅率、借书人数、册数，还书人数、册数，续借人数、册数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61 支持管理员用户在流通统计中，根据年月日查询读者流通统计，可进行快速选择日期，最近一周、最近一月、最近一年等快速设置查询条件，按单位查询读者流通率、借阅率、借书册数，还书册数，续借册数等。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 xml:space="preserve">62 支持管理员用户在流通统计中，根据年月日查询读者新办证统计，可进行快速选择日期，最近一周、最近一月、最近一年等快速设置查询条件，按条件查询读者类型、新办证个数、截止当期累计馆际互借读者证个数、截止当期累计有效证个数 截止当期活跃额读者证个数等。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四：微信图书馆功能要求</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在图书馆管理系统基础上建立的微信图书馆，呈现方式为图书馆微信公众平台，通过这一平台，图书馆能及时发布最新信息，为读者提供图书检索、超期提醒、网上续借、网上预约等服务。</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1. 读者可绑定学校微信公众号，登录网络版微信图书馆。</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2. 具备图书检索、图书续借、图书预约、图书荐购、查询借阅历史、修改个人信息等功能。</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3. 图书检索：读者可随时随地通过微信图书馆，根据书名、作者、ISBN号、索书号、关键词等查询图书状态，可查询图书的在馆状态、应还日期（如有借出）、架位号以及图书的具体编目信息。</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4. 图书预约：支持图书预约功能，在微信端操作之后，其他读者无法在约定的时间内借出已被预约的图书。</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5. 微信借书功能：读者无须在自助借还设备上操作，直接通过微信图书馆即可办理书籍借阅手续，且将书籍带出图书馆时，安全门不报警。</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6. 微信续借功能：读者无须到图书馆操作，通过手机微信端即可实现图书续借功能。</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7. 微信转借功能：读者可将已借图书转借给其他有需要的读者，转借成功后，该图书的借阅信息即变成其他读者借出，原读者的图书信息变为已还书，无须到图书馆进行相关操作。</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8. 支持读者通过个人中心或小程序自主上传人脸头像。</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9. 可嵌入式对接到学校微信公众号；可支持与学生实物读者证的数据关联互通。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00" w:firstLineChars="200"/>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五、产品资质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00" w:firstLineChars="200"/>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1.所投图书馆管理系统具有图书馆管理系统计算机软件著作权登记证书及测试报告。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00" w:firstLineChars="200"/>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2.★为保障系统性能稳定，所投系统的功能性及政策依从性通过相关国家权威机构的整体方案产品物理检测，需提供包括但不限于检测报告等证明材料。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00" w:firstLineChars="200"/>
              <w:jc w:val="left"/>
              <w:textAlignment w:val="top"/>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rPr>
              <w:t>3.★为保障系统性能稳定，所投系统的功能性需通过GB/T 25000.51-2016《系统与软件工程系统与软件质量要求和评价 (SQuaRE)第51部分:就绪可用软件产品 (RUSP)的质量要求和测试细则》标准检测，政策依从性需通过教育部《中小学数字校园建设规范》标准检测，需提供包括但不限于检测报告等证明材料。</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套</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RFID防盗门双通道含底座</w:t>
            </w:r>
          </w:p>
        </w:tc>
        <w:tc>
          <w:tcPr>
            <w:tcW w:w="5266"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技术要求</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 xml:space="preserve">1.单片外形尺寸：长≥520mm宽≥20mm高≥1596mm </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 xml:space="preserve">2.设备材质：亚克力、铝材 </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3.工作频率：13.56MHz</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 xml:space="preserve">4.单通道宽度：≥900mm </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5.输入电源：AC 100～240V 50～60Hz</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 xml:space="preserve">6.整机功耗：额定20W，最大30W </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7.通信接口：以太网（TCP/IP）</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二、功能要求</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1.支持多种报警检测模式：AFI、EAS、EAS+AFI、DSFID和DSFID+EAS。</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2.安全门具有声光报警提示功能，音量可调节信。</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3.报警模式可选择语言声音报警或蜂鸣器声音报警（二选一）。</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4.安全门报警灯光具有七色灯模式（红、橙、黄、绿、青、蓝、紫）。</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5.安全门自带≥4.3寸显示屏，能够显示包含：日期、时间、人员进出数据、报警信息、安全门数量等信息；显示屏可根据用户要求，定制LOGO信息。（提供图片证明加盖公章）</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6.具备流量计数功能，数据可重置。</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7.支持干扰检测，可检测周围环境是否有干扰信号。</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8.多通道安全门应具备单通道独立警示和提示功能。</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9.设备具有高侦测性能，能够进行三维监测。</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10.支持数据的存储以及数据的导出功能。</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11.可以非接触式的快速识别粘贴在流通文献上的RFID标签。可以对图书馆内的印刷品、视听出版物、CD及 DVD等流通文献进行安全扫描操作，不能损坏粘贴在流通文献中的磁性介质的文献。</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12.★拓展功能：配套同品牌微信图书馆管理软件，读者无需在设备上登录，直接在微信端进行扫码借书操作，借书完成后门禁系统可判断书本是否完成借书操作并进行报警。</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13.配套RFID安全门智能控制软件，实现人流量的数据上传和报警数据上传。管理员可以在后台进行相关数据的统计分析。</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三、产品资质</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1.产品通过合格评定程序，保证产品的基本安全性，提供设备的CE认证证书复印件。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2.产品通过防尘、防水试验，获得≥IP54证书，提供证书复印件。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3.为了保证设备的环境适应性，要求整机设备需通过相关环境试验，试验项目包括：低温试验、高温试验。需提供包括但不限于检测报告等证明材料。</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4.★所投设备整机需通过射频连续波辐射骚扰抗扰度、电快速瞬变脉冲群、射频连续波传导骚扰抗扰度、电压暂降、短时中断和电压变化的抗扰度、浪涌（冲击）抗扰度试验。需提供包括但不限于检测报告等证明材料。</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5.所投产品具有RFID安全门智能控制软件著作权登记证书，提供证书复印件。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6.所投产品具有RFID安全门禁监控报警系统软件著作权登记证书，提供证书复印件。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7.所投产品具备流量计数功能， 可统计人流量和报警图书信息，方便汇总分析，数据可重置。需提供RFID流量统计分析软件证书复印件。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8.所投产品具有“安全门防尾随软件”软件著作权登记证书，提供证书复印件。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rPr>
              <w:t>9.为保障设备性能稳定性，设备的核心模块读写器需与设备为同一品牌；核心 RFID 读写器与 RFID 天线需为同一品牌。需提供 RFID 读写软件和RFID天线控制软件的软件著作权登记证书复印件。</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片</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一体式馆员工作站</w:t>
            </w:r>
          </w:p>
        </w:tc>
        <w:tc>
          <w:tcPr>
            <w:tcW w:w="5266"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一、技术要求</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1. 天线板尺寸：长≥410mm*宽≥300mm*高≥23mm；</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2. 工作频率：13.56MHz；</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3. 外观材质：亚克力、钢化玻璃；</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4. 射频功率：1.5W；</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5. 支持图书标签类型：15693</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6. 标签转换：支持将图书条码转换成RFID标签数据</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 xml:space="preserve">7. 标签改写：支持改写RFID标签数据（如：EAS/AFI） </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二、功能要求</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能稳定读取电子标签，可将图书条形码编号写入到RFID电子标签中，让图书唯一识别编号跟RFID电子标签唯一识别号绑定，并对RFID标签进行识别和流通状态处理，辅助以其它装置用于流通部门对粘贴有RFID标签及条形码的流通资料进行快速的借还操作。</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1. 可对RFID标签非接触式地进行阅读，有读取RFID图书标签、编写图书标签、改写图书标签的能力。</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2. 软件具有加工操作提示功能，馆员在进行标签加工时，加工成功与否都有状态提示并有颜色做区分。</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3. 天线模块采用合理化设计，保证不受天线周围的其他标签的影响，只有在天线正上方的标签才能被读取到。</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4. 软件具有防盗位矫正功能，工作人员可根据实际情况选择防盗位开启或关闭。</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5. 软件具有标签加工数据查询统计功能，可按日期进行加工统计查询也可以选择日期段导出详细数据，方便后期图书管理系统做数据导入。</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6. 对图书的自编条形码及对应电子标签进行关联、更改等管理，也可对层架标签以及读者证进行关联、更改等管理，支持图书加工数据的导出。</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7. 设备标配条码扫描仪，可对条形码进行识别转换后通过图书感应模块对图书标签进行数据加工，转换率高。</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8. 可根据项目需求选配卡识别模块，如识别RFID卡、二代身份证、社保卡等有效证件。</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拓展功能：</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1. 配套同品牌图书馆系统，支持读者证查询、注册、修改、注销、挂失、解挂等操作。</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2. 配套同品牌图书馆系统，支持工作人员处理各种图书借还、自助续借、预约、处理罚金等业务。</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3. 配套RFID系统操作软件，设备可拓展自助借还书功能，馆员和读者可在设备上进行借还书操作。</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三、产品资质</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1. 为了保证设备的环境适应性，要求整机设备需通过相关环境试验，试验项目包括：低温试验、高温试验、恒定湿热试验。需提供包括但不限于检测报告等证明材料。</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2. 为了保证设备的环境适应性，要求整机设备需通过相关环境试验，试验项目包括：低温试验、高温试验、恒定湿热试验。投标人须提供国家认监委认定的机构依据《GB/T2423.1-2008》、《GB/T2423.2-2008》、《GB/T2423.3-2016》相关标准出具的带有CNAS标志的证书复印件。</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3. 所投产品具有国家强制性3C认证证书，提供证书复印件。</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4. 产品通过合格评定程序，保证产品的基本安全性，提供设备的CE认证证书复印件。</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5. 产品通过防尘、防水试验，获得≥IP54证书，提供证书复印件。</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台</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RFID电子标签</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一、技术要求</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1.工作频率：13.56MHz</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2.标签尺寸：50*50mm</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3.存储容量：≥1024 bits</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4.工作温度：-10℃～50℃</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5.读取速度≤0.1s</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6.数据保存时间≥10年</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7.有效使用寿命≥10 年</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8.有效使用次数≥10万次</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二、功能要求</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1.标签中有存储器，存储在其中的资料可重复读、写标签中须存储一些基本信息；</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2.标签可以非接触式地读取和写入，加快文献流通的处理速度；</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3.标签必须使用防冲突的运算法则，能保证多个标签同时可靠识别；</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4.标签具有较高的安全性，有不可改写的唯一序列号（UID）供识别和加密，防止存储在其中的信息被泄露或随意改写；</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5.标签为无源标签，无需外接电源或者电池即可使用；</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6.图书标签采用AFI 或EAS 位作为防盗的安全标志方法，且AFI标志位必须可以用户自由修改；</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7.RFID阅读产品设备可在短时间内读取存储在标签中的资料；</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8.标签质保期内不开胶脱落，同时应保证采用中性粘胶对图书及其它介质黏贴表面无损害。</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三、产品资质</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1.所投产品需通过辐射骚扰、静电放电抗扰度、射频电磁场辐射抗扰度检测。需提供包括但不限于检测报告等证明材料。</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2.★为保障产品性能稳定，所投产品的功能性及政策依从性通过相关国家权威机构的整体方案产品物理检测，需提供包括但不限于检测报告等证明材料。</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default" w:ascii="宋体" w:hAnsi="宋体" w:eastAsia="宋体" w:cs="宋体"/>
                <w:i w:val="0"/>
                <w:iCs w:val="0"/>
                <w:color w:val="auto"/>
                <w:kern w:val="0"/>
                <w:sz w:val="20"/>
                <w:szCs w:val="20"/>
                <w:u w:val="none"/>
                <w:lang w:val="en-US" w:eastAsia="zh-CN"/>
              </w:rPr>
              <w:t>30</w:t>
            </w:r>
            <w:r>
              <w:rPr>
                <w:rFonts w:hint="eastAsia" w:ascii="宋体" w:hAnsi="宋体" w:eastAsia="宋体" w:cs="宋体"/>
                <w:i w:val="0"/>
                <w:iCs w:val="0"/>
                <w:color w:val="auto"/>
                <w:kern w:val="0"/>
                <w:sz w:val="20"/>
                <w:szCs w:val="20"/>
                <w:u w:val="none"/>
                <w:lang w:val="en-US" w:eastAsia="zh-CN"/>
              </w:rPr>
              <w:t>000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枚</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条码枪</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长×宽×高：≥95mm×70mm×160mm,可视激光二极管，波长≥650nm,每秒200±2次</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把</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RFID读者证</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一、技术要求：</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1.工作频率：13.56MHz</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2.尺寸：85*50mm</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3.存储容量≥1024 bits</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4.工作温度：-10℃～50℃</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5.读取速度≤0.1s</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6.数据保存时间≥10年</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7.有效使用寿命≥10 年</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8.有效使用次数≥10万次</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二、功能要求：</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1.标签中有存储器，存储在其中的资料可重复读、写；</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2.标签可以非接触式地读取和写入，加快文献流通的处理速度；</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3.标签必须使用防冲突的运算法则，能保证多个标签同时可靠识别；</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4.标签具有较高的安全性，有不可改写的唯一序列号（UID）供识别和加密，防止存储在其中的信息被泄露或随意改写；</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1.标签为无源标签，无需外接电源或者电池即可使用；</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5.RFID阅读产品设备可在非常短的时间内读取存储在标签中的资料；</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6.有效识读距离：符合自助借还、书架、安全门等设备读取要求；</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7.读者证一面可根据需要印制LOGO图案。</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4000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片</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密集柜书架</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jc w:val="left"/>
              <w:textAlignment w:val="center"/>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rPr>
              <w:t>密集柜的规格为2400*W900*D560*6层。密集柜底盘采用2.5mm国产优质热轧钢板预制式组焊而成，生产时由整块板材切割折弯而成，底盘结构坚固，互换性好，安装方便，底盘承重每平方米大于1000KG。在板材焊接加工过程中表面有防护膜贴面，避免出现压痕、划痕。在焊接过程中做到无焊点、焊瘤、假焊现象，焊面应光洁平整，无尖凸起等缺陷。</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2、密集架采用双轴的传动方式，轨道采用≥20mm×20mm方钢。架体由立柱、侧搁板、层板组成，立柱板采用≥1.2mm冷轧钢板，侧搁板、背搁板和层板采用≥0.8mm冷轧钢板，立板有可调间距的调节孔。每层采用独立搁板（2块/层）、独立挂板（4层/块），每块搁板双道通体加强筋，每层双面放资料之间封闭，使每层正反二面为独立空间，双面放资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cs="宋体"/>
                <w:i w:val="0"/>
                <w:iCs w:val="0"/>
                <w:color w:val="auto"/>
                <w:kern w:val="0"/>
                <w:sz w:val="20"/>
                <w:szCs w:val="20"/>
                <w:highlight w:val="none"/>
                <w:u w:val="none"/>
                <w:lang w:val="en-US" w:eastAsia="zh-CN"/>
              </w:rPr>
              <w:t>3、</w:t>
            </w:r>
            <w:r>
              <w:rPr>
                <w:rFonts w:hint="eastAsia" w:ascii="宋体" w:hAnsi="宋体" w:eastAsia="宋体" w:cs="宋体"/>
                <w:i w:val="0"/>
                <w:iCs w:val="0"/>
                <w:color w:val="auto"/>
                <w:kern w:val="0"/>
                <w:sz w:val="20"/>
                <w:szCs w:val="20"/>
                <w:highlight w:val="none"/>
                <w:u w:val="none"/>
                <w:lang w:val="en-US" w:eastAsia="zh-CN"/>
              </w:rPr>
              <w:t>产品通过针对钣金（含涂层）等部件甲醛释放量、重金属含量等6项有害物质的检测，其中产品重金属，甲醛符合GB18584-2001 检验标准；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color w:val="auto"/>
                <w:highlight w:val="none"/>
              </w:rPr>
            </w:pPr>
            <w:r>
              <w:rPr>
                <w:rFonts w:hint="eastAsia" w:ascii="宋体" w:hAnsi="宋体" w:cs="宋体"/>
                <w:i w:val="0"/>
                <w:iCs w:val="0"/>
                <w:color w:val="auto"/>
                <w:kern w:val="0"/>
                <w:sz w:val="20"/>
                <w:szCs w:val="20"/>
                <w:highlight w:val="none"/>
                <w:u w:val="none"/>
                <w:lang w:val="en-US" w:eastAsia="zh-CN"/>
              </w:rPr>
              <w:t>4、</w:t>
            </w:r>
            <w:r>
              <w:rPr>
                <w:rFonts w:hint="eastAsia" w:ascii="宋体" w:hAnsi="宋体" w:eastAsia="宋体" w:cs="宋体"/>
                <w:i w:val="0"/>
                <w:iCs w:val="0"/>
                <w:color w:val="auto"/>
                <w:kern w:val="0"/>
                <w:sz w:val="20"/>
                <w:szCs w:val="20"/>
                <w:highlight w:val="none"/>
                <w:u w:val="none"/>
                <w:lang w:val="en-US" w:eastAsia="zh-CN"/>
              </w:rPr>
              <w:t>需提供包括但不限于检测报告等证明材料，提供售后支持服务证明。</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满足收集33000册图书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rPr>
              <w:t>10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钢木书架（五组一列）</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立柱≥1.2mm优质钢材，层板厚度≥0.8mm；</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2.侧板采用高强度板材，加厚加宽，稳固耐用；</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3..挂板采用折边+卡扣设计，严丝合缝，不晃动；</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4.木质外框，采用E1级环保中密度纤维板，台面厚度≥25mm，确保甲醛排放达安全标准；</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资质要求：产品通过针对钣金（含涂层）等部件甲醛释放量、重金属含量等6项有害物质的检测，其中产品重金属，甲醛符合GB18584-2001 检验标准；需提供包括但不限于检测报告等证明材料，提供售后支持服务证明。</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规格：≥2000*900*450mm</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需满足陈列25000册图书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rPr>
              <w:t>11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阅览桌</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rPr>
              <w:t>1、钢木结构，桌面位≥25mm 厚实木颗粒双贴枫木纹色面板，桌面须进行防菌防霉检测，满足室内装饰材料人造板及其制品中的甲醛释放量标准要求，需提供包括但不限于检测报告等证明材料。具备木器加工许可证 。四边用≥2.0mm 厚PVC 封边，热熔胶粘结，桌架为≥30mm*30mm*1.2mm方钢焊接而成，表面磷化喷塑处理，桌脚为耐磨防滑脚套。产品须通过针对桌体钣金、桌面木板（含涂层）等部件甲醛释放量、重金属含量等9项有害物质的检测，其中产品重金属，甲醛符合GB18584-2001 检验标准；</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2、规格：≥1800*900*750mm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张</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rPr>
              <w:t>12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塑钢阅览椅</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采用PP与钢材制成；</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2.椅座采用PP工程材料，人体力学全圆弧设计；</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3.塑钢阅览椅可高密度堆叠，实心钢脚，配防滑脚垫，防滑防静音耐磨，座椅框架，承重150公斤以上。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4.座面长≥360mm,宽≥360mm；背面长≥490mm，宽≥330mm，坐垫、靠背采用PP材质，整体椅背坐垫符合人体工学有效缓解坐姿疲劳。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把</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卡座</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1、环保E1级MFC板材,所有板材经过防虫、防霉处理。覆面拼贴严密、平整、无脱胶、鼓泡、裂纹、压痕和划伤。国标环保热溶pVc封边，封边牢固平直、无缺口、毛刺自然保证台面不变形。板材须进行防菌防霉检测，满足室内装饰材料人造板及其制品中的甲醛释放量标准要求，需提供包括但不限于检测报告等证明材料，具备木器加工许可证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2、五金配件均采用国标产品。拼接紧密牢固，间隙细小且均匀平整无毛刺。</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3、产品须通过针对桌体钣金、桌面木板（含涂层）等部件甲醛释放量、重金属含量等9项有害物质的检测，其中产品重金属，甲醛符合GB18584-2001 检验标准；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4、规格：≥2400*1000*800mm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组</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14</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休闲阅台</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1、钢木结构，桌面位≥25mm 厚实木颗粒双贴枫木纹色面板，四边用≥2.0mm 厚优质 PVC 封边，进口热熔胶粘结，桌架为≥30mm*30mm*1.2mm 方钢焊接而成，表面磷化喷塑处理，桌脚为耐磨防滑脚套。</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2、规格：≥7000*400*1150mm</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张</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1"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15</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阅台椅</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1、PP座：采用PP原生料注塑成型。五金喷涂脚：钢管弯曲成型，二氧化碳保护焊满焊而成，表面静电喷涂工艺；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2、规格：≥460*450*760mm</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16</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休闲桌椅</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1、椅子：贴木纹碳素钢架，耐磨耐腐，不摇晃不变性，布艺，面料颜色可定制</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2、桌子：桌面采用E1级优质密度板，表面吸塑工艺处理，所有板材经过防虫、防霉处理。覆面拼贴严密、平整、无脱胶、鼓泡、裂纹、压痕和划伤。桌脚采用贴木纹碳素钢架，耐磨耐腐，结构稳定，不摇晃不变性，组装。</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3、一桌三椅</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4、规格：椅子：≥580*520*780mm桌子：≥800*720mm</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套</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17</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借阅台</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1.环保E1级优质环保板材,.所有板材经过防虫、防霉处理。覆面拼贴严密、平整、无脱胶、鼓泡、裂纹、压痕和划伤。国标环保热溶pVc封边，封边牢固平直、无缺口、毛刺自然保证台面不变形。桌面须进行防菌防霉检测，满足室内装饰材料人造板及其制品中的甲醛释放量标准要求，需提供包括但不限于检测报告等证明材料，具备木器加工许可证 。</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2.五金配件均采用国标产品。拼接紧密牢固，间隙细小且均匀平整无毛刺。</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3、规格：≥2000*1000*1150mm</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张</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2"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18</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椅子</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1.320#黑色方脚</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2.固定尼龙扶手</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3.2.5加厚底盘逍遥功能</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4.高密度回弹纯海绵</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5.过测试三级气杆</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6.华宇网布</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7.黑色PU轮</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8.扶手采用高强度工程PP支架；椅子扶手部件甲醛释放量、重金属含量等6项有害物质的检测，其中产品重金属，甲醛符合GB18584-2001 检验标准；需提供包括但不限于检测报告等证明材料</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把</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19</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吊书柜</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default"/>
                <w:color w:val="auto"/>
                <w:highlight w:val="none"/>
                <w:lang w:val="en-US" w:eastAsia="zh-CN"/>
              </w:rPr>
            </w:pPr>
            <w:r>
              <w:rPr>
                <w:rFonts w:hint="eastAsia" w:ascii="宋体" w:hAnsi="宋体" w:eastAsia="宋体" w:cs="宋体"/>
                <w:i w:val="0"/>
                <w:iCs w:val="0"/>
                <w:color w:val="auto"/>
                <w:kern w:val="0"/>
                <w:sz w:val="20"/>
                <w:szCs w:val="20"/>
                <w:highlight w:val="none"/>
                <w:u w:val="none"/>
                <w:lang w:val="en-US" w:eastAsia="zh-CN"/>
              </w:rPr>
              <w:t>1、采用E1级优质环保三聚氰胺板，所有板材经过防虫、防霉处理。覆面拼贴严密、平整、无脱胶、鼓泡、裂纹、压痕和划伤。国标环保热溶pVc封边，封边牢固平直、无缺口、毛刺自然保证台面不变形。桌面须进行防菌防霉检测，满足室内装饰材料人造板及其制品中的甲醛释放量标准要求，需提供包括但不限于检测报告等证明材料，具备木器加工许可证 。</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2、规格：≥1800*300*350mm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color w:val="auto"/>
                <w:highlight w:val="none"/>
                <w:lang w:val="en-US" w:eastAsia="zh-CN"/>
              </w:rPr>
            </w:pPr>
            <w:r>
              <w:rPr>
                <w:rFonts w:hint="eastAsia" w:ascii="宋体" w:hAnsi="宋体" w:cs="宋体"/>
                <w:i w:val="0"/>
                <w:iCs w:val="0"/>
                <w:color w:val="auto"/>
                <w:kern w:val="0"/>
                <w:sz w:val="20"/>
                <w:szCs w:val="20"/>
                <w:highlight w:val="none"/>
                <w:u w:val="none"/>
                <w:lang w:val="en-US" w:eastAsia="zh-CN"/>
              </w:rPr>
              <w:t>3</w:t>
            </w:r>
            <w:r>
              <w:rPr>
                <w:rFonts w:hint="eastAsia" w:ascii="宋体" w:hAnsi="宋体" w:eastAsia="宋体" w:cs="宋体"/>
                <w:i w:val="0"/>
                <w:iCs w:val="0"/>
                <w:color w:val="auto"/>
                <w:kern w:val="0"/>
                <w:sz w:val="20"/>
                <w:szCs w:val="20"/>
                <w:highlight w:val="none"/>
                <w:u w:val="none"/>
                <w:lang w:val="en-US" w:eastAsia="zh-CN"/>
              </w:rPr>
              <w:t>、指定位置安装</w:t>
            </w:r>
            <w:bookmarkStart w:id="16" w:name="_GoBack"/>
            <w:bookmarkEnd w:id="16"/>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80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空调</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3P柜机</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台</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21</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管理员电脑</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 xml:space="preserve">1.CPU:≥Intel 第十二代 或者以上 Core i5 处理器; </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2.主板:≥Intel 600 芯片组，全固态电容、四项供电；提供相应的功能证明材料（包括但不限于测试报告、官网和功能截图等）。</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 xml:space="preserve">3.内存:≥8GB； </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 xml:space="preserve">4.硬盘: 256SSD固态硬盘+1T SATA3 7200 转机械硬盘； </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 xml:space="preserve">5.显卡:集成显卡 </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 xml:space="preserve">6.网卡:集成 10M/100/1000MB 自适应网卡； </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 xml:space="preserve">7.接口:USB 接口总数≥8 个(其中 USB3.2≥4 个);2 个 PS/2、1 个 COM 口，板载:1 个 VGA、1 个 HDMI.Audio 接口总数≥5 个;≥1 个 PCI-E*16、≥2 个 PCI-E*1;主板支持 7.1 声道声卡; </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 xml:space="preserve">8.机箱:≥15升机箱: </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9.键鼠:光电鼠标，防水键盘，键盘防水等级不低于国际标准IPX7 级。</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 xml:space="preserve">10.电源:≥200W 电源 </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 xml:space="preserve">11.显示器:≥23.8 寸显示器:分辩率≥1920*1080 </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台</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室内灯光</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无频闪led平板式护眼灯≥120cm*30cm，吊挂式安装</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27</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盏</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墙面乳胶漆粉刷</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原顶面及侧墙空鼓起皮的面层铲除，涂刷界面剂一遍，两遍腻子，两遍乳胶漆，乳胶漆颜色根据现场氛围定制。</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480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平米</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踢脚线</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实木复合踢脚线含运输人工及辅料</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67</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米</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窗帘</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布艺遮光窗帘遮光窗帘</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双面棉麻高密度遮光窗帘，隔热隔音；安装含配件及人工</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rPr>
            </w:pPr>
            <w:r>
              <w:rPr>
                <w:rFonts w:hint="eastAsia" w:ascii="宋体" w:hAnsi="宋体" w:eastAsia="宋体" w:cs="宋体"/>
                <w:i w:val="0"/>
                <w:iCs w:val="0"/>
                <w:color w:val="auto"/>
                <w:kern w:val="0"/>
                <w:sz w:val="20"/>
                <w:szCs w:val="20"/>
                <w:u w:val="none"/>
                <w:lang w:val="en-US"/>
              </w:rPr>
              <w:t>批</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旧暖气管道翻新</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将原来破旧的管道及暖气片翻新刷漆</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批</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强弱电改造</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强弱电改造，更换开关面板小件，重新铺设线路</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212</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平米</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风扇</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室内吊扇</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16</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木地板</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实木复合木地板，厚度12mm，含运输及人工，包含基层处理，地面局部处理修补、地垫铺贴、木地板铺贴、成品保护</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212</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平米</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旧物拆除</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房间内设施搬运学校指定位置，旧电器拆除清理，墙面局部拆除，踢脚线拆除，旧家具拆除，垃圾清运</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批</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钢制防盗门</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拆除旧木门两个，替换安装钢制防盗门两个，定制尺寸。</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墙面文化氛围营造</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14mmPVC+1mm亚克力电脑激光雕刻uv，5mm亚克力雕刻字，透明密封胶粘贴，其它艺术墙贴等定制图书室文化氛围</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批</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塔式服务器</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至强E-2314四核2.8ghz或以上配置 32G 2*2TB企业级；19英寸LED显示器；</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套</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含正版操作系统授权及所采购的图书管理系统的安装部署。</w:t>
            </w:r>
          </w:p>
        </w:tc>
      </w:tr>
    </w:tbl>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Ansi="宋体" w:cs="宋体"/>
        </w:rPr>
      </w:pPr>
      <w:r>
        <w:rPr>
          <w:rFonts w:hint="eastAsia" w:hAnsi="宋体" w:cs="宋体"/>
        </w:rPr>
        <w:br w:type="page"/>
      </w:r>
    </w:p>
    <w:bookmarkEnd w:id="12"/>
    <w:bookmarkEnd w:id="13"/>
    <w:bookmarkEnd w:id="14"/>
    <w:bookmarkEnd w:id="15"/>
    <w:p>
      <w:pPr>
        <w:pStyle w:val="3"/>
        <w:jc w:val="left"/>
        <w:rPr>
          <w:rFonts w:hint="eastAsia"/>
          <w:sz w:val="44"/>
          <w:szCs w:val="44"/>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000010101"/>
    <w:charset w:val="86"/>
    <w:family w:val="modern"/>
    <w:pitch w:val="default"/>
    <w:sig w:usb0="00000000" w:usb1="0000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楷体_GB2312">
    <w:altName w:val="楷体"/>
    <w:panose1 w:val="02010609030000010101"/>
    <w:charset w:val="86"/>
    <w:family w:val="modern"/>
    <w:pitch w:val="default"/>
    <w:sig w:usb0="00000000" w:usb1="00000000" w:usb2="00000000" w:usb3="00000000" w:csb0="00040000" w:csb1="00000000"/>
  </w:font>
  <w:font w:name="Copperplate Gothic Bold">
    <w:altName w:val="Segoe Print"/>
    <w:panose1 w:val="020E0705020000020404"/>
    <w:charset w:val="00"/>
    <w:family w:val="swiss"/>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sz w:val="18"/>
        <w:szCs w:val="18"/>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1"/>
      <w:numFmt w:val="decimal"/>
      <w:lvlText w:val="%1."/>
      <w:lvlJc w:val="left"/>
      <w:pPr>
        <w:tabs>
          <w:tab w:val="left" w:pos="312"/>
        </w:tabs>
      </w:p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abstractNum w:abstractNumId="3">
    <w:nsid w:val="00000003"/>
    <w:multiLevelType w:val="singleLevel"/>
    <w:tmpl w:val="00000003"/>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OThkNDVmNWE5YmE2OTk5YzUwNzFhYzJkNGIwMGUifQ=="/>
  </w:docVars>
  <w:rsids>
    <w:rsidRoot w:val="00000000"/>
    <w:rsid w:val="032B4CF7"/>
    <w:rsid w:val="4BB01057"/>
    <w:rsid w:val="4FDB7B68"/>
    <w:rsid w:val="60C90799"/>
    <w:rsid w:val="628A3097"/>
    <w:rsid w:val="6B2F6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paragraph" w:styleId="4">
    <w:name w:val="heading 2"/>
    <w:basedOn w:val="1"/>
    <w:next w:val="5"/>
    <w:qFormat/>
    <w:uiPriority w:val="0"/>
    <w:pPr>
      <w:keepNext/>
      <w:keepLines/>
      <w:spacing w:before="260" w:after="260"/>
      <w:ind w:firstLine="0" w:firstLineChars="0"/>
      <w:outlineLvl w:val="1"/>
    </w:pPr>
    <w:rPr>
      <w:rFonts w:ascii="Arial" w:hAnsi="Arial"/>
      <w:b/>
      <w:sz w:val="28"/>
    </w:rPr>
  </w:style>
  <w:style w:type="character" w:default="1" w:styleId="13">
    <w:name w:val="Default Paragraph Font"/>
    <w:qFormat/>
    <w:uiPriority w:val="0"/>
  </w:style>
  <w:style w:type="table" w:default="1" w:styleId="11">
    <w:name w:val="Normal Table"/>
    <w:qFormat/>
    <w:uiPriority w:val="0"/>
    <w:tblPr>
      <w:tblCellMar>
        <w:top w:w="0" w:type="dxa"/>
        <w:left w:w="108" w:type="dxa"/>
        <w:bottom w:w="0" w:type="dxa"/>
        <w:right w:w="108" w:type="dxa"/>
      </w:tblCellMar>
    </w:tblPr>
  </w:style>
  <w:style w:type="paragraph" w:styleId="2">
    <w:name w:val="toc 1"/>
    <w:basedOn w:val="1"/>
    <w:next w:val="1"/>
    <w:qFormat/>
    <w:uiPriority w:val="39"/>
    <w:pPr>
      <w:tabs>
        <w:tab w:val="left" w:pos="1418"/>
        <w:tab w:val="right" w:leader="dot" w:pos="8302"/>
      </w:tabs>
      <w:spacing w:line="960" w:lineRule="auto"/>
    </w:pPr>
  </w:style>
  <w:style w:type="paragraph" w:styleId="5">
    <w:name w:val="Body Text"/>
    <w:basedOn w:val="1"/>
    <w:next w:val="6"/>
    <w:qFormat/>
    <w:uiPriority w:val="0"/>
    <w:pPr>
      <w:spacing w:after="120"/>
    </w:pPr>
    <w:rPr>
      <w:rFonts w:ascii="Times New Roman"/>
      <w:kern w:val="2"/>
      <w:sz w:val="21"/>
    </w:rPr>
  </w:style>
  <w:style w:type="paragraph" w:styleId="6">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7">
    <w:name w:val="footer"/>
    <w:basedOn w:val="1"/>
    <w:qFormat/>
    <w:uiPriority w:val="99"/>
    <w:pPr>
      <w:tabs>
        <w:tab w:val="center" w:pos="4153"/>
        <w:tab w:val="right" w:pos="8306"/>
      </w:tabs>
      <w:snapToGrid w:val="0"/>
      <w:jc w:val="left"/>
    </w:pPr>
    <w:rPr>
      <w:rFonts w:ascii="Times New Roman"/>
      <w:kern w:val="2"/>
      <w:sz w:val="18"/>
      <w:szCs w:val="18"/>
    </w:rPr>
  </w:style>
  <w:style w:type="paragraph" w:styleId="8">
    <w:name w:val="Body Text Indent 3"/>
    <w:basedOn w:val="1"/>
    <w:qFormat/>
    <w:uiPriority w:val="99"/>
    <w:pPr>
      <w:overflowPunct w:val="0"/>
      <w:autoSpaceDE w:val="0"/>
      <w:autoSpaceDN w:val="0"/>
      <w:adjustRightInd w:val="0"/>
      <w:spacing w:line="360" w:lineRule="auto"/>
      <w:ind w:firstLine="540"/>
      <w:textAlignment w:val="baseline"/>
    </w:pPr>
    <w:rPr>
      <w:rFonts w:hAnsi="MS Sans Serif"/>
      <w:color w:val="000000"/>
      <w:szCs w:val="22"/>
    </w:rPr>
  </w:style>
  <w:style w:type="paragraph" w:styleId="9">
    <w:name w:val="Body Text 2"/>
    <w:basedOn w:val="1"/>
    <w:qFormat/>
    <w:uiPriority w:val="0"/>
    <w:rPr>
      <w:rFonts w:ascii="楷体_GB2312" w:hAnsi="Copperplate Gothic Bold" w:eastAsia="楷体_GB2312"/>
      <w:kern w:val="2"/>
      <w:sz w:val="28"/>
    </w:rPr>
  </w:style>
  <w:style w:type="paragraph" w:styleId="10">
    <w:name w:val="Normal (Web)"/>
    <w:basedOn w:val="1"/>
    <w:next w:val="7"/>
    <w:qFormat/>
    <w:uiPriority w:val="99"/>
    <w:pPr>
      <w:widowControl/>
      <w:spacing w:before="100" w:beforeAutospacing="1" w:after="100" w:afterAutospacing="1"/>
      <w:jc w:val="left"/>
    </w:pPr>
    <w:rPr>
      <w:rFonts w:hAnsi="宋体"/>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rFonts w:hint="eastAsia" w:ascii="宋体" w:hAnsi="宋体" w:eastAsia="宋体" w:cs="宋体"/>
      <w:color w:val="000000"/>
      <w:sz w:val="18"/>
      <w:szCs w:val="18"/>
      <w:u w:val="none"/>
    </w:rPr>
  </w:style>
  <w:style w:type="paragraph" w:styleId="15">
    <w:name w:val="List Paragraph"/>
    <w:basedOn w:val="1"/>
    <w:next w:val="1"/>
    <w:qFormat/>
    <w:uiPriority w:val="99"/>
    <w:pPr>
      <w:ind w:firstLine="420" w:firstLineChars="200"/>
    </w:pPr>
  </w:style>
  <w:style w:type="character" w:customStyle="1" w:styleId="16">
    <w:name w:val="font01"/>
    <w:basedOn w:val="13"/>
    <w:qFormat/>
    <w:uiPriority w:val="0"/>
    <w:rPr>
      <w:rFonts w:hint="eastAsia" w:ascii="仿宋" w:hAnsi="仿宋" w:eastAsia="仿宋" w:cs="仿宋"/>
      <w:color w:val="FF0000"/>
      <w:sz w:val="20"/>
      <w:szCs w:val="20"/>
      <w:u w:val="none"/>
    </w:rPr>
  </w:style>
  <w:style w:type="character" w:customStyle="1" w:styleId="17">
    <w:name w:val="font121"/>
    <w:basedOn w:val="13"/>
    <w:qFormat/>
    <w:uiPriority w:val="0"/>
    <w:rPr>
      <w:rFonts w:ascii="Verdana" w:hAnsi="Verdana" w:cs="Verdana"/>
      <w:b/>
      <w:bCs/>
      <w:color w:val="000000"/>
      <w:sz w:val="24"/>
      <w:szCs w:val="24"/>
      <w:u w:val="none"/>
    </w:rPr>
  </w:style>
  <w:style w:type="paragraph" w:customStyle="1" w:styleId="18">
    <w:name w:val="列出段落1"/>
    <w:basedOn w:val="1"/>
    <w:qFormat/>
    <w:uiPriority w:val="34"/>
    <w:pPr>
      <w:ind w:firstLine="420" w:firstLineChars="200"/>
    </w:pPr>
  </w:style>
  <w:style w:type="paragraph" w:customStyle="1" w:styleId="19">
    <w:name w:val="正文 New"/>
    <w:qFormat/>
    <w:uiPriority w:val="99"/>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10648</Words>
  <Characters>11882</Characters>
  <Paragraphs>301</Paragraphs>
  <TotalTime>28</TotalTime>
  <ScaleCrop>false</ScaleCrop>
  <LinksUpToDate>false</LinksUpToDate>
  <CharactersWithSpaces>12075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2023-06-25T04:39:00Z</dcterms:created>
  <dc:creator>Simmelsdorf</dc:creator>
  <cp:lastModifiedBy>宋</cp:lastModifiedBy>
  <dcterms:modified xsi:type="dcterms:W3CDTF">2023-08-21T10:41:25Z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86AD9A41EEF64355BDAFE4D5245C29FE_13</vt:lpwstr>
  </property>
</Properties>
</file>