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分项价格表</w:t>
      </w:r>
    </w:p>
    <w:p>
      <w:pPr>
        <w:pStyle w:val="2"/>
        <w:spacing w:line="336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sz w:val="28"/>
          <w:szCs w:val="28"/>
        </w:rPr>
        <w:tab/>
      </w:r>
    </w:p>
    <w:p>
      <w:pPr>
        <w:pStyle w:val="2"/>
        <w:spacing w:line="336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项目编号：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 xml:space="preserve">　 </w:t>
      </w:r>
      <w:r>
        <w:rPr>
          <w:rFonts w:ascii="仿宋" w:hAnsi="仿宋" w:eastAsia="仿宋"/>
          <w:sz w:val="28"/>
          <w:szCs w:val="28"/>
        </w:rPr>
        <w:t xml:space="preserve">  </w:t>
      </w:r>
    </w:p>
    <w:p>
      <w:pPr>
        <w:pStyle w:val="2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货币：人民币</w:t>
      </w:r>
      <w:r>
        <w:rPr>
          <w:rFonts w:ascii="仿宋" w:hAnsi="仿宋" w:eastAsia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sz w:val="28"/>
          <w:szCs w:val="28"/>
        </w:rPr>
        <w:t>单位：元</w:t>
      </w:r>
    </w:p>
    <w:tbl>
      <w:tblPr>
        <w:tblStyle w:val="3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0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注册证号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中小</w:t>
            </w:r>
          </w:p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政策功能类型及编号（如节能环保等）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2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谈判总报价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1、本表中的中小企业是指生产厂家为“中型企业”或者“小型、微型企业”，政策功能类型及编号是指产品在节能、环保品目清单内的编号。</w:t>
      </w:r>
    </w:p>
    <w:p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2、响应报价子目出现漏项或报价数量与谈判文件要求不符的，将被视为无效投标。</w:t>
      </w:r>
    </w:p>
    <w:p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1A4C6A73"/>
    <w:rsid w:val="1A4C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2023-12-06T09:30:00Z</dcterms:created>
  <dc:creator>王琦</dc:creator>
  <cp:lastModifiedBy>王琦</cp:lastModifiedBy>
  <dcterms:modified xsi:type="dcterms:W3CDTF">2023-12-06T09:30:21Z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BD7B6B40E2FB4D9A9804550DDCAB5E88_11</vt:lpwstr>
  </property>
</Properties>
</file>