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7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3671"/>
        <w:gridCol w:w="975"/>
        <w:gridCol w:w="93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48"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ascii="仿宋" w:hAnsi="仿宋" w:eastAsia="仿宋" w:cs="Courier New"/>
                <w:b/>
                <w:bCs/>
                <w:sz w:val="24"/>
              </w:rPr>
            </w:pPr>
            <w:r>
              <w:rPr>
                <w:rFonts w:hint="eastAsia" w:ascii="仿宋" w:hAnsi="仿宋" w:eastAsia="仿宋" w:cs="Courier New"/>
                <w:b/>
                <w:bCs/>
                <w:sz w:val="24"/>
              </w:rPr>
              <w:t>名称</w:t>
            </w:r>
          </w:p>
        </w:tc>
        <w:tc>
          <w:tcPr>
            <w:tcW w:w="3671"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ascii="仿宋" w:hAnsi="仿宋" w:eastAsia="仿宋" w:cs="Courier New"/>
                <w:b/>
                <w:bCs/>
                <w:sz w:val="24"/>
              </w:rPr>
            </w:pPr>
            <w:r>
              <w:rPr>
                <w:rFonts w:hint="eastAsia" w:ascii="仿宋" w:hAnsi="仿宋" w:eastAsia="仿宋" w:cs="Courier New"/>
                <w:b/>
                <w:bCs/>
                <w:sz w:val="24"/>
              </w:rPr>
              <w:t>技术参数</w:t>
            </w:r>
          </w:p>
        </w:tc>
        <w:tc>
          <w:tcPr>
            <w:tcW w:w="975"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ascii="仿宋" w:hAnsi="仿宋" w:eastAsia="仿宋" w:cs="Courier New"/>
                <w:b/>
                <w:bCs/>
                <w:sz w:val="24"/>
              </w:rPr>
            </w:pPr>
            <w:r>
              <w:rPr>
                <w:rFonts w:hint="eastAsia" w:ascii="仿宋" w:hAnsi="仿宋" w:eastAsia="仿宋" w:cs="Courier New"/>
                <w:b/>
                <w:bCs/>
                <w:sz w:val="24"/>
              </w:rPr>
              <w:t>配置要求</w:t>
            </w:r>
          </w:p>
        </w:tc>
        <w:tc>
          <w:tcPr>
            <w:tcW w:w="934"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ascii="仿宋" w:hAnsi="仿宋" w:eastAsia="仿宋" w:cs="Courier New"/>
                <w:b/>
                <w:bCs/>
                <w:sz w:val="24"/>
              </w:rPr>
            </w:pPr>
            <w:r>
              <w:rPr>
                <w:rFonts w:hint="eastAsia" w:ascii="仿宋" w:hAnsi="仿宋" w:eastAsia="仿宋" w:cs="Courier New"/>
                <w:b/>
                <w:bCs/>
                <w:sz w:val="24"/>
              </w:rPr>
              <w:t>售后服务</w:t>
            </w:r>
          </w:p>
        </w:tc>
        <w:tc>
          <w:tcPr>
            <w:tcW w:w="660" w:type="dxa"/>
            <w:tcBorders>
              <w:top w:val="single" w:color="auto" w:sz="4" w:space="0"/>
              <w:left w:val="single" w:color="auto" w:sz="4" w:space="0"/>
              <w:bottom w:val="single" w:color="auto" w:sz="4" w:space="0"/>
              <w:right w:val="single" w:color="auto" w:sz="4" w:space="0"/>
            </w:tcBorders>
            <w:vAlign w:val="center"/>
          </w:tcPr>
          <w:p>
            <w:pPr>
              <w:pStyle w:val="4"/>
              <w:spacing w:line="400" w:lineRule="exact"/>
              <w:jc w:val="center"/>
              <w:rPr>
                <w:rFonts w:ascii="仿宋" w:hAnsi="仿宋" w:eastAsia="仿宋" w:cs="Courier New"/>
                <w:b/>
                <w:bCs/>
                <w:sz w:val="24"/>
              </w:rPr>
            </w:pPr>
            <w:r>
              <w:rPr>
                <w:rFonts w:hint="eastAsia" w:ascii="仿宋" w:hAnsi="仿宋" w:eastAsia="仿宋" w:cs="Courier New"/>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12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color w:val="000000"/>
                <w:sz w:val="24"/>
              </w:rPr>
            </w:pPr>
            <w:r>
              <w:rPr>
                <w:rFonts w:eastAsia="仿宋"/>
                <w:color w:val="000000"/>
                <w:sz w:val="24"/>
              </w:rPr>
              <w:t>基于数字孪生技术的大比例采煤工作面物理模拟系统</w:t>
            </w:r>
          </w:p>
        </w:tc>
        <w:tc>
          <w:tcPr>
            <w:tcW w:w="36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eastAsia="仿宋"/>
                <w:color w:val="000000"/>
                <w:kern w:val="0"/>
                <w:sz w:val="24"/>
              </w:rPr>
            </w:pPr>
            <w:r>
              <w:rPr>
                <w:rFonts w:eastAsia="仿宋"/>
                <w:color w:val="000000"/>
                <w:kern w:val="0"/>
                <w:sz w:val="24"/>
              </w:rPr>
              <w:t>可实现对实验平台和液压支架的数据实时采集、状态实时监测和数据可视化展示，具体为：</w:t>
            </w:r>
            <w:r>
              <w:rPr>
                <w:rFonts w:hint="eastAsia" w:ascii="宋体" w:hAnsi="宋体" w:cs="宋体"/>
                <w:color w:val="000000"/>
                <w:kern w:val="0"/>
                <w:sz w:val="24"/>
              </w:rPr>
              <w:t>①</w:t>
            </w:r>
            <w:r>
              <w:rPr>
                <w:rFonts w:eastAsia="仿宋"/>
                <w:color w:val="000000"/>
                <w:kern w:val="0"/>
                <w:sz w:val="24"/>
              </w:rPr>
              <w:t>液压支架的姿态信息，其中三维倾角传感器量程(方位±180°) (俯仰±90°)，精度0.1°，误差±0.3°，位移传感器测量量程100cm，精度0.01cm，误差±3%；</w:t>
            </w:r>
            <w:r>
              <w:rPr>
                <w:rFonts w:hint="eastAsia" w:ascii="宋体" w:hAnsi="宋体" w:cs="宋体"/>
                <w:color w:val="000000"/>
                <w:kern w:val="0"/>
                <w:sz w:val="24"/>
              </w:rPr>
              <w:t>②</w:t>
            </w:r>
            <w:r>
              <w:rPr>
                <w:rFonts w:eastAsia="仿宋"/>
                <w:color w:val="000000"/>
                <w:kern w:val="0"/>
                <w:sz w:val="24"/>
              </w:rPr>
              <w:t>液压支架的受载信息，其中顶梁三维力传感器六个，测量正向力量程10T，侧向力量程5T，精度0.5%，线性度0.2%，滞后0.5%，蠕变0.5%，掩护梁一维力传感器九个，测量正向力量程1T，精度0.5%，线性度0.2%，滞后0.5%，蠕变0.5%；</w:t>
            </w:r>
            <w:r>
              <w:rPr>
                <w:rFonts w:hint="eastAsia" w:ascii="宋体" w:hAnsi="宋体" w:cs="宋体"/>
                <w:color w:val="000000"/>
                <w:kern w:val="0"/>
                <w:sz w:val="24"/>
              </w:rPr>
              <w:t>③</w:t>
            </w:r>
            <w:r>
              <w:rPr>
                <w:rFonts w:eastAsia="仿宋"/>
                <w:color w:val="000000"/>
                <w:kern w:val="0"/>
                <w:sz w:val="24"/>
              </w:rPr>
              <w:t>实验台姿态信息，其中一维倾角传感器测量量程±90°，精度0.1°，误差±0.3°；</w:t>
            </w:r>
            <w:r>
              <w:rPr>
                <w:rFonts w:hint="eastAsia" w:ascii="仿宋" w:hAnsi="仿宋" w:eastAsia="仿宋" w:cs="仿宋"/>
                <w:kern w:val="0"/>
                <w:sz w:val="24"/>
              </w:rPr>
              <w:t>★</w:t>
            </w:r>
            <w:r>
              <w:rPr>
                <w:rFonts w:hint="eastAsia" w:ascii="宋体" w:hAnsi="宋体" w:cs="宋体"/>
                <w:color w:val="000000"/>
                <w:kern w:val="0"/>
                <w:sz w:val="24"/>
              </w:rPr>
              <w:t>④</w:t>
            </w:r>
            <w:r>
              <w:rPr>
                <w:rFonts w:eastAsia="仿宋"/>
                <w:color w:val="000000"/>
                <w:kern w:val="0"/>
                <w:sz w:val="24"/>
              </w:rPr>
              <w:t>孪生系统，可以实时反映物理模型位态和应力变化，可以在物理模型出现失稳或异常时，给出有效预警或示警，可以将系统中产生的所有动-静态数据全部保存在数据库中，供后续分析处理</w:t>
            </w:r>
            <w:r>
              <w:rPr>
                <w:rFonts w:hint="eastAsia" w:eastAsia="仿宋"/>
                <w:color w:val="000000"/>
                <w:kern w:val="0"/>
                <w:sz w:val="24"/>
                <w:lang w:eastAsia="zh-CN"/>
              </w:rPr>
              <w:t>；</w:t>
            </w:r>
            <w:r>
              <w:rPr>
                <w:rStyle w:val="8"/>
                <w:rFonts w:hint="eastAsia"/>
              </w:rPr>
              <w:t>⑤</w:t>
            </w:r>
            <w:r>
              <w:rPr>
                <w:rFonts w:eastAsia="仿宋"/>
                <w:color w:val="000000"/>
                <w:kern w:val="0"/>
                <w:sz w:val="24"/>
              </w:rPr>
              <w:t>系统保留软硬件更新升级接口，提供接口开发文档、需求分析文档、系统设计文档和用户使用手册，以及必要的技术支持和培训。</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eastAsia="仿宋"/>
                <w:color w:val="000000"/>
                <w:sz w:val="24"/>
              </w:rPr>
            </w:pPr>
            <w:r>
              <w:rPr>
                <w:rFonts w:eastAsia="仿宋"/>
                <w:color w:val="000000"/>
                <w:sz w:val="24"/>
              </w:rPr>
              <w:t>与多功能平台和液压支架尺寸完全匹配</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eastAsia="仿宋"/>
                <w:color w:val="000000"/>
                <w:sz w:val="24"/>
              </w:rPr>
            </w:pPr>
            <w:r>
              <w:rPr>
                <w:rFonts w:hint="eastAsia" w:ascii="仿宋" w:hAnsi="仿宋" w:eastAsia="仿宋" w:cs="仿宋"/>
                <w:kern w:val="2"/>
                <w:sz w:val="24"/>
                <w:szCs w:val="24"/>
                <w:lang w:val="en-US" w:eastAsia="zh-CN" w:bidi="ar-SA"/>
              </w:rPr>
              <w:t>报价应包含：1.软件故障、漏洞终身质保维护；2.硬件故障一年保修期内上门维修。</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bCs/>
                <w:color w:val="000000"/>
                <w:kern w:val="0"/>
                <w:sz w:val="24"/>
              </w:rPr>
            </w:pPr>
            <w:r>
              <w:rPr>
                <w:rFonts w:eastAsia="仿宋"/>
                <w:bCs/>
                <w:color w:val="000000"/>
                <w:kern w:val="0"/>
                <w:sz w:val="24"/>
              </w:rPr>
              <w:t>1</w:t>
            </w:r>
          </w:p>
        </w:tc>
      </w:tr>
    </w:tbl>
    <w:p>
      <w:pPr>
        <w:pStyle w:val="5"/>
        <w:keepNext w:val="0"/>
        <w:keepLines w:val="0"/>
        <w:widowControl/>
        <w:suppressLineNumbers w:val="0"/>
        <w:shd w:val="clear" w:fill="F9FCFE"/>
        <w:spacing w:before="0" w:beforeAutospacing="0" w:after="0" w:afterAutospacing="0" w:line="480" w:lineRule="atLeast"/>
        <w:ind w:left="0" w:right="0" w:firstLine="0"/>
        <w:jc w:val="left"/>
        <w:rPr>
          <w:rFonts w:ascii="微软雅黑" w:hAnsi="微软雅黑" w:eastAsia="微软雅黑" w:cs="微软雅黑"/>
          <w:i w:val="0"/>
          <w:iCs w:val="0"/>
          <w:caps w:val="0"/>
          <w:color w:val="333333"/>
          <w:spacing w:val="0"/>
        </w:rPr>
      </w:pPr>
      <w:r>
        <w:rPr>
          <w:rFonts w:ascii="仿宋" w:hAnsi="仿宋" w:eastAsia="仿宋" w:cs="仿宋"/>
          <w:i w:val="0"/>
          <w:iCs w:val="0"/>
          <w:caps w:val="0"/>
          <w:color w:val="333333"/>
          <w:spacing w:val="0"/>
          <w:sz w:val="24"/>
          <w:szCs w:val="24"/>
          <w:shd w:val="clear" w:fill="F9FCFE"/>
        </w:rPr>
        <w:t>1.项目质保期</w:t>
      </w:r>
      <w:r>
        <w:rPr>
          <w:rFonts w:hint="eastAsia" w:ascii="仿宋" w:hAnsi="仿宋" w:eastAsia="仿宋" w:cs="仿宋"/>
          <w:i w:val="0"/>
          <w:iCs w:val="0"/>
          <w:caps w:val="0"/>
          <w:color w:val="333333"/>
          <w:spacing w:val="0"/>
          <w:sz w:val="24"/>
          <w:szCs w:val="24"/>
          <w:shd w:val="clear" w:fill="F9FCFE"/>
        </w:rPr>
        <w:t>：报价应包含：（1）软件故障、漏洞终身质保维护；（2）硬件故障一年保修期内上门维修。</w:t>
      </w:r>
    </w:p>
    <w:p>
      <w:pPr>
        <w:pStyle w:val="5"/>
        <w:keepNext w:val="0"/>
        <w:keepLines w:val="0"/>
        <w:widowControl/>
        <w:suppressLineNumbers w:val="0"/>
        <w:shd w:val="clear" w:fill="F9FCFE"/>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4"/>
          <w:szCs w:val="24"/>
          <w:shd w:val="clear" w:fill="F9FCFE"/>
        </w:rPr>
        <w:t>2.售后服务响应时间（质保期内）：即时响应（包括电话响应）；电话响应无法解决 48 小时内到达现场。修复时间 24 小时内解决；如在 48 小时内无法修复，则提供部件冗余服务或采取应急措施，提供相同产品或不低于故障产品规格档次的备用产品供采购人使用，以确保货物的正常使用。</w:t>
      </w:r>
    </w:p>
    <w:p>
      <w:pPr>
        <w:pStyle w:val="5"/>
        <w:keepNext w:val="0"/>
        <w:keepLines w:val="0"/>
        <w:widowControl/>
        <w:suppressLineNumbers w:val="0"/>
        <w:shd w:val="clear" w:fill="F9FCFE"/>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4"/>
          <w:szCs w:val="24"/>
          <w:shd w:val="clear" w:fill="F9FCFE"/>
        </w:rPr>
        <w:t>3.本项目组织踏勘，请供应商授权代表携带本单位介绍信，按时参加。</w:t>
      </w:r>
    </w:p>
    <w:p>
      <w:pPr>
        <w:pStyle w:val="5"/>
        <w:keepNext w:val="0"/>
        <w:keepLines w:val="0"/>
        <w:widowControl/>
        <w:suppressLineNumbers w:val="0"/>
        <w:shd w:val="clear" w:fill="F9FCFE"/>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4"/>
          <w:szCs w:val="24"/>
          <w:shd w:val="clear" w:fill="F9FCFE"/>
        </w:rPr>
        <w:t>（1）时  间：2023-12-25 09:30:00</w:t>
      </w:r>
    </w:p>
    <w:p>
      <w:pPr>
        <w:pStyle w:val="5"/>
        <w:keepNext w:val="0"/>
        <w:keepLines w:val="0"/>
        <w:widowControl/>
        <w:suppressLineNumbers w:val="0"/>
        <w:shd w:val="clear" w:fill="F9FCFE"/>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4"/>
          <w:szCs w:val="24"/>
          <w:shd w:val="clear" w:fill="F9FCFE"/>
        </w:rPr>
        <w:t>（2）地  点：西安科技大学雁塔校区付9号楼矿压实验室</w:t>
      </w:r>
    </w:p>
    <w:p>
      <w:pPr>
        <w:pStyle w:val="5"/>
        <w:keepNext w:val="0"/>
        <w:keepLines w:val="0"/>
        <w:widowControl/>
        <w:suppressLineNumbers w:val="0"/>
        <w:shd w:val="clear" w:fill="F9FCFE"/>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4"/>
          <w:szCs w:val="24"/>
          <w:shd w:val="clear" w:fill="F9FCFE"/>
        </w:rPr>
        <w:t>（3）联系人：张 浩</w:t>
      </w:r>
    </w:p>
    <w:p>
      <w:pPr>
        <w:pStyle w:val="5"/>
        <w:keepNext w:val="0"/>
        <w:keepLines w:val="0"/>
        <w:widowControl/>
        <w:suppressLineNumbers w:val="0"/>
        <w:shd w:val="clear" w:fill="F9FCFE"/>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4"/>
          <w:szCs w:val="24"/>
          <w:shd w:val="clear" w:fill="F9FCFE"/>
        </w:rPr>
        <w:t>（4）联系电话：13572849476</w:t>
      </w:r>
    </w:p>
    <w:p>
      <w:pPr>
        <w:pStyle w:val="5"/>
        <w:keepNext w:val="0"/>
        <w:keepLines w:val="0"/>
        <w:widowControl/>
        <w:suppressLineNumbers w:val="0"/>
        <w:shd w:val="clear" w:fill="F9FCFE"/>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4"/>
          <w:szCs w:val="24"/>
          <w:shd w:val="clear" w:fill="F9FCFE"/>
        </w:rPr>
        <w:t>（5）因现场情况复杂，各投标单位</w:t>
      </w:r>
      <w:bookmarkStart w:id="0" w:name="_GoBack"/>
      <w:bookmarkEnd w:id="0"/>
      <w:r>
        <w:rPr>
          <w:rFonts w:hint="eastAsia" w:ascii="仿宋" w:hAnsi="仿宋" w:eastAsia="仿宋" w:cs="仿宋"/>
          <w:i w:val="0"/>
          <w:iCs w:val="0"/>
          <w:caps w:val="0"/>
          <w:color w:val="333333"/>
          <w:spacing w:val="0"/>
          <w:sz w:val="24"/>
          <w:szCs w:val="24"/>
          <w:shd w:val="clear" w:fill="F9FCFE"/>
        </w:rPr>
        <w:t>按照约定时间踏勘现场。如不踏勘或踏勘不细造成的后果由投标人自负。</w:t>
      </w:r>
    </w:p>
    <w:p>
      <w:pPr>
        <w:pStyle w:val="5"/>
        <w:keepNext w:val="0"/>
        <w:keepLines w:val="0"/>
        <w:widowControl/>
        <w:suppressLineNumbers w:val="0"/>
        <w:shd w:val="clear" w:fill="F9FCFE"/>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4"/>
          <w:szCs w:val="24"/>
          <w:shd w:val="clear" w:fill="F9FCFE"/>
        </w:rPr>
        <w:t>4.参数说明：“以上参数为基本参数要求，供应商所投产品应满足或优于以上参数要求。”</w:t>
      </w:r>
    </w:p>
    <w:p>
      <w:pPr>
        <w:pStyle w:val="5"/>
        <w:keepNext w:val="0"/>
        <w:keepLines w:val="0"/>
        <w:widowControl/>
        <w:suppressLineNumbers w:val="0"/>
        <w:shd w:val="clear" w:fill="F9FCFE"/>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4"/>
          <w:szCs w:val="24"/>
          <w:shd w:val="clear" w:fill="F9FCFE"/>
        </w:rPr>
        <w:t>备注：加★的重要技术参数必须提供证明材料（证明材料包括但不限于官网截图或产品彩页或检测报告或加盖生产厂商公章的技术参数说明），加★参数不响应或未提供证明材料均为无效响应文件。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mMxNjQ3YjEwMWQ0NzY0ZGIyNjIyNDMzNDY3MjcifQ=="/>
  </w:docVars>
  <w:rsids>
    <w:rsidRoot w:val="3B0B785E"/>
    <w:rsid w:val="28657B53"/>
    <w:rsid w:val="36F22C02"/>
    <w:rsid w:val="3B0B785E"/>
    <w:rsid w:val="704C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99"/>
    <w:pPr>
      <w:spacing w:line="324" w:lineRule="auto"/>
    </w:pPr>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2023-12-18T10:27:00Z</dcterms:created>
  <dc:creator>陕西中技招标有限公司</dc:creator>
  <cp:lastModifiedBy>陕西中技招标有限公司</cp:lastModifiedBy>
  <dcterms:modified xsi:type="dcterms:W3CDTF">2023-12-19T08:22:41Z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9540FE7D846C4EFE8FCA42E9645CD5A9_11</vt:lpwstr>
  </property>
</Properties>
</file>