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kinsoku/>
        <w:wordWrap/>
        <w:overflowPunct/>
        <w:topLinePunct w:val="0"/>
        <w:autoSpaceDE/>
        <w:autoSpaceDN/>
        <w:bidi w:val="0"/>
        <w:adjustRightInd/>
        <w:spacing w:before="0" w:after="120" w:afterLines="50" w:line="360" w:lineRule="auto"/>
        <w:textAlignment w:val="auto"/>
        <w:rPr>
          <w:rFonts w:hint="eastAsia" w:ascii="宋体" w:hAnsi="宋体" w:eastAsia="宋体" w:cs="宋体"/>
          <w:bCs/>
          <w:color w:val="auto"/>
          <w:sz w:val="24"/>
          <w:szCs w:val="24"/>
          <w:highlight w:val="none"/>
          <w:lang w:eastAsia="zh-CN"/>
        </w:rPr>
      </w:pPr>
      <w:bookmarkStart w:id="0" w:name="_Toc11602"/>
      <w:bookmarkStart w:id="1" w:name="_Toc2152"/>
      <w:bookmarkStart w:id="2" w:name="_Toc71729639"/>
      <w:bookmarkStart w:id="3" w:name="_Toc10147"/>
      <w:r>
        <w:rPr>
          <w:rFonts w:hint="eastAsia" w:ascii="宋体" w:hAnsi="宋体" w:eastAsia="宋体" w:cs="宋体"/>
          <w:bCs/>
          <w:color w:val="auto"/>
          <w:sz w:val="24"/>
          <w:szCs w:val="24"/>
          <w:highlight w:val="none"/>
          <w:lang w:val="en-US" w:eastAsia="zh-CN"/>
        </w:rPr>
        <w:t>一、商务要求</w:t>
      </w:r>
      <w:bookmarkEnd w:id="0"/>
      <w:bookmarkEnd w:id="1"/>
    </w:p>
    <w:bookmarkEnd w:id="2"/>
    <w:bookmarkEnd w:id="3"/>
    <w:p>
      <w:pPr>
        <w:pStyle w:val="3"/>
        <w:pageBreakBefore w:val="0"/>
        <w:kinsoku/>
        <w:wordWrap/>
        <w:overflowPunct/>
        <w:topLinePunct w:val="0"/>
        <w:autoSpaceDE/>
        <w:autoSpaceDN/>
        <w:bidi w:val="0"/>
        <w:adjustRightInd/>
        <w:spacing w:before="0" w:after="120" w:afterLines="50" w:line="360" w:lineRule="auto"/>
        <w:textAlignment w:val="auto"/>
        <w:rPr>
          <w:rFonts w:hint="eastAsia" w:ascii="宋体" w:hAnsi="宋体" w:eastAsia="宋体" w:cs="宋体"/>
          <w:bCs/>
          <w:color w:val="auto"/>
          <w:sz w:val="24"/>
          <w:highlight w:val="none"/>
          <w:lang w:val="en-US" w:eastAsia="zh-CN"/>
        </w:rPr>
      </w:pPr>
      <w:bookmarkStart w:id="4" w:name="_Toc28791"/>
      <w:bookmarkStart w:id="5" w:name="_Toc22398"/>
      <w:r>
        <w:rPr>
          <w:rFonts w:hint="eastAsia" w:ascii="宋体" w:hAnsi="宋体" w:eastAsia="宋体" w:cs="宋体"/>
          <w:bCs/>
          <w:color w:val="auto"/>
          <w:sz w:val="24"/>
          <w:szCs w:val="24"/>
          <w:highlight w:val="none"/>
        </w:rPr>
        <w:t>（一）主要商务条款和要求</w:t>
      </w:r>
      <w:bookmarkEnd w:id="4"/>
      <w:bookmarkEnd w:id="5"/>
      <w:bookmarkStart w:id="6" w:name="_Toc12419"/>
      <w:bookmarkStart w:id="7" w:name="_Toc198"/>
    </w:p>
    <w:p>
      <w:pPr>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1、工期：自合同签订之日起20个日历日。</w:t>
      </w:r>
    </w:p>
    <w:p>
      <w:pPr>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 xml:space="preserve">2、质保期：两年。    </w:t>
      </w:r>
    </w:p>
    <w:p>
      <w:pPr>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3、施工地点：采购人指定地点。</w:t>
      </w:r>
    </w:p>
    <w:p>
      <w:pPr>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4、付款周期：</w:t>
      </w:r>
      <w:r>
        <w:rPr>
          <w:rFonts w:ascii="宋体" w:hAnsi="宋体" w:eastAsia="宋体" w:cs="宋体"/>
          <w:color w:val="auto"/>
          <w:sz w:val="24"/>
          <w:szCs w:val="24"/>
          <w:highlight w:val="none"/>
        </w:rPr>
        <w:t>工程结算审计完成后</w:t>
      </w:r>
      <w:r>
        <w:rPr>
          <w:rFonts w:hint="eastAsia" w:ascii="宋体" w:hAnsi="宋体" w:eastAsia="宋体" w:cs="宋体"/>
          <w:color w:val="auto"/>
          <w:sz w:val="24"/>
          <w:szCs w:val="24"/>
          <w:highlight w:val="none"/>
          <w:lang w:val="en-US" w:eastAsia="zh-CN"/>
        </w:rPr>
        <w:t>一次性</w:t>
      </w:r>
      <w:r>
        <w:rPr>
          <w:rFonts w:ascii="宋体" w:hAnsi="宋体" w:eastAsia="宋体" w:cs="宋体"/>
          <w:color w:val="auto"/>
          <w:sz w:val="24"/>
          <w:szCs w:val="24"/>
          <w:highlight w:val="none"/>
        </w:rPr>
        <w:t>支付至审定结算金额</w:t>
      </w:r>
      <w:r>
        <w:rPr>
          <w:rFonts w:hint="eastAsia" w:ascii="宋体" w:hAnsi="宋体" w:eastAsia="宋体" w:cs="宋体"/>
          <w:color w:val="auto"/>
          <w:sz w:val="24"/>
          <w:szCs w:val="24"/>
          <w:highlight w:val="none"/>
          <w:lang w:eastAsia="zh-CN"/>
        </w:rPr>
        <w:t>。</w:t>
      </w:r>
    </w:p>
    <w:p>
      <w:pPr>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5、质量等级：符合国家现行有关施工质量验收规范“合格”要求。</w:t>
      </w:r>
    </w:p>
    <w:p>
      <w:pPr>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6、质量要求与验收标准</w:t>
      </w:r>
    </w:p>
    <w:p>
      <w:pPr>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(1)质量要求：成交供应商必须严格按照设计施工图纸及有关施工和验收规范进行施工，确保所用材料性能、防火等级符合有关规范、标准要求，保证工程质量通过有关部门验收达到本工程的质量要求。</w:t>
      </w:r>
    </w:p>
    <w:p>
      <w:pPr>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(2)验收标准：验收应按建筑工程适用的规范或标准及其他相关的规范和标准执行。本工程项目的材料、设备、施工必须达到现行中华人民共和国及省、市、行业的一切有关工程建设标准、法规、规范的要求，如标准及规范要求有出入则以较严格者为准。</w:t>
      </w:r>
    </w:p>
    <w:p>
      <w:pPr>
        <w:pageBreakBefore w:val="0"/>
        <w:widowControl/>
        <w:kinsoku/>
        <w:wordWrap/>
        <w:overflowPunct/>
        <w:topLinePunct w:val="0"/>
        <w:autoSpaceDE/>
        <w:autoSpaceDN/>
        <w:bidi w:val="0"/>
        <w:adjustRightInd/>
        <w:snapToGrid w:val="0"/>
        <w:spacing w:line="360" w:lineRule="auto"/>
        <w:jc w:val="left"/>
        <w:textAlignment w:val="auto"/>
        <w:outlineLvl w:val="1"/>
        <w:rPr>
          <w:rFonts w:hint="eastAsia" w:ascii="宋体" w:hAnsi="宋体" w:eastAsia="宋体" w:cs="宋体"/>
          <w:bCs/>
          <w:color w:val="auto"/>
          <w:sz w:val="24"/>
          <w:szCs w:val="24"/>
          <w:highlight w:val="none"/>
        </w:rPr>
      </w:pPr>
      <w:bookmarkStart w:id="8" w:name="_Toc26942"/>
      <w:r>
        <w:rPr>
          <w:rFonts w:hint="eastAsia" w:ascii="宋体" w:hAnsi="宋体" w:eastAsia="宋体" w:cs="宋体"/>
          <w:b/>
          <w:bCs/>
          <w:color w:val="auto"/>
          <w:kern w:val="2"/>
          <w:sz w:val="24"/>
          <w:szCs w:val="24"/>
          <w:highlight w:val="none"/>
          <w:lang w:val="en-US" w:eastAsia="zh-CN" w:bidi="ar-SA"/>
        </w:rPr>
        <w:t>（二）商务条件响应说明</w:t>
      </w:r>
      <w:bookmarkEnd w:id="6"/>
      <w:bookmarkEnd w:id="7"/>
      <w:bookmarkEnd w:id="8"/>
    </w:p>
    <w:p>
      <w:pPr>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bCs/>
          <w:color w:val="auto"/>
          <w:sz w:val="24"/>
          <w:highlight w:val="none"/>
        </w:rPr>
      </w:pPr>
      <w:r>
        <w:rPr>
          <w:rFonts w:hint="eastAsia" w:ascii="宋体" w:hAnsi="宋体" w:cs="宋体"/>
          <w:bCs/>
          <w:color w:val="auto"/>
          <w:sz w:val="24"/>
          <w:highlight w:val="none"/>
        </w:rPr>
        <w:t>1</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主要商务条款为合同条款的补充内容，与合同格式中规定不一致的，以本商务条款为准。</w:t>
      </w:r>
    </w:p>
    <w:p>
      <w:pPr>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bCs/>
          <w:color w:val="auto"/>
          <w:sz w:val="24"/>
          <w:highlight w:val="none"/>
        </w:rPr>
      </w:pPr>
      <w:r>
        <w:rPr>
          <w:rFonts w:hint="eastAsia" w:ascii="宋体" w:hAnsi="宋体" w:cs="宋体"/>
          <w:bCs/>
          <w:color w:val="auto"/>
          <w:sz w:val="24"/>
          <w:highlight w:val="none"/>
        </w:rPr>
        <w:t>2</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供应商</w:t>
      </w:r>
      <w:r>
        <w:rPr>
          <w:rFonts w:hint="eastAsia" w:ascii="宋体" w:hAnsi="宋体" w:cs="宋体"/>
          <w:bCs/>
          <w:color w:val="auto"/>
          <w:sz w:val="24"/>
          <w:highlight w:val="none"/>
        </w:rPr>
        <w:t>在</w:t>
      </w:r>
      <w:r>
        <w:rPr>
          <w:rFonts w:hint="eastAsia" w:ascii="宋体" w:hAnsi="宋体" w:cs="宋体"/>
          <w:bCs/>
          <w:color w:val="auto"/>
          <w:sz w:val="24"/>
          <w:highlight w:val="none"/>
          <w:lang w:val="en-US" w:eastAsia="zh-CN"/>
        </w:rPr>
        <w:t>磋商响应</w:t>
      </w:r>
      <w:r>
        <w:rPr>
          <w:rFonts w:hint="eastAsia" w:ascii="宋体" w:hAnsi="宋体" w:cs="宋体"/>
          <w:bCs/>
          <w:color w:val="auto"/>
          <w:sz w:val="24"/>
          <w:highlight w:val="none"/>
        </w:rPr>
        <w:t>文件中应对上表所列的商务条款和要求做出响应</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供应商</w:t>
      </w:r>
      <w:r>
        <w:rPr>
          <w:rFonts w:hint="eastAsia" w:ascii="宋体" w:hAnsi="宋体" w:cs="宋体"/>
          <w:bCs/>
          <w:color w:val="auto"/>
          <w:sz w:val="24"/>
          <w:highlight w:val="none"/>
        </w:rPr>
        <w:t>对商务条款的响应将作为合同的主要内容。</w:t>
      </w:r>
    </w:p>
    <w:p>
      <w:pPr>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color w:val="auto"/>
          <w:highlight w:val="none"/>
        </w:rPr>
      </w:pPr>
      <w:r>
        <w:rPr>
          <w:rFonts w:hint="eastAsia" w:ascii="宋体" w:hAnsi="宋体" w:cs="宋体"/>
          <w:bCs/>
          <w:color w:val="auto"/>
          <w:sz w:val="24"/>
          <w:highlight w:val="none"/>
        </w:rPr>
        <w:t>3</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主要商务条款为实质性要求，不接受负偏离。</w:t>
      </w:r>
    </w:p>
    <w:p>
      <w:pPr>
        <w:pStyle w:val="3"/>
        <w:pageBreakBefore w:val="0"/>
        <w:kinsoku/>
        <w:wordWrap/>
        <w:overflowPunct/>
        <w:topLinePunct w:val="0"/>
        <w:autoSpaceDE/>
        <w:autoSpaceDN/>
        <w:bidi w:val="0"/>
        <w:adjustRightInd/>
        <w:spacing w:before="0" w:after="120" w:afterLines="50" w:line="360" w:lineRule="auto"/>
        <w:textAlignment w:val="auto"/>
        <w:rPr>
          <w:color w:val="auto"/>
        </w:rPr>
      </w:pPr>
      <w:bookmarkStart w:id="9" w:name="_Toc32579"/>
      <w:bookmarkStart w:id="10" w:name="_Toc28964"/>
      <w:r>
        <w:rPr>
          <w:rFonts w:hint="eastAsia" w:ascii="宋体" w:hAnsi="宋体" w:eastAsia="宋体" w:cs="宋体"/>
          <w:bCs/>
          <w:color w:val="auto"/>
          <w:sz w:val="24"/>
          <w:szCs w:val="24"/>
          <w:highlight w:val="none"/>
        </w:rPr>
        <w:t>二、</w:t>
      </w:r>
      <w:r>
        <w:rPr>
          <w:rFonts w:hint="eastAsia" w:ascii="宋体" w:hAnsi="宋体" w:eastAsia="宋体" w:cs="宋体"/>
          <w:bCs/>
          <w:color w:val="auto"/>
          <w:sz w:val="24"/>
          <w:szCs w:val="24"/>
          <w:highlight w:val="none"/>
          <w:lang w:val="en-US" w:eastAsia="zh-CN"/>
        </w:rPr>
        <w:t>采购</w:t>
      </w:r>
      <w:r>
        <w:rPr>
          <w:rFonts w:hint="eastAsia" w:ascii="宋体" w:hAnsi="宋体" w:eastAsia="宋体" w:cs="宋体"/>
          <w:bCs/>
          <w:color w:val="auto"/>
          <w:sz w:val="24"/>
          <w:szCs w:val="24"/>
          <w:highlight w:val="none"/>
        </w:rPr>
        <w:t>内容及要求</w:t>
      </w:r>
      <w:bookmarkEnd w:id="9"/>
      <w:bookmarkEnd w:id="10"/>
      <w:r>
        <w:rPr>
          <w:rFonts w:hint="eastAsia" w:ascii="宋体" w:hAnsi="宋体" w:eastAsia="宋体" w:cs="宋体"/>
          <w:bCs/>
          <w:color w:val="auto"/>
          <w:sz w:val="24"/>
          <w:szCs w:val="24"/>
          <w:highlight w:val="none"/>
          <w:lang w:val="en-US" w:eastAsia="zh-CN"/>
        </w:rPr>
        <w:t xml:space="preserve">    </w:t>
      </w:r>
    </w:p>
    <w:p>
      <w:pPr>
        <w:pageBreakBefore w:val="0"/>
        <w:widowControl/>
        <w:kinsoku/>
        <w:wordWrap/>
        <w:overflowPunct/>
        <w:topLinePunct w:val="0"/>
        <w:autoSpaceDE/>
        <w:autoSpaceDN/>
        <w:bidi w:val="0"/>
        <w:adjustRightInd/>
        <w:snapToGrid w:val="0"/>
        <w:spacing w:line="360" w:lineRule="auto"/>
        <w:jc w:val="left"/>
        <w:textAlignment w:val="auto"/>
        <w:outlineLvl w:val="9"/>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（一）工程量清单以附件形式另行提供</w:t>
      </w:r>
    </w:p>
    <w:p>
      <w:pPr>
        <w:pageBreakBefore w:val="0"/>
        <w:widowControl/>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（二）依据</w:t>
      </w:r>
    </w:p>
    <w:p>
      <w:pPr>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1、设计施工图、送审工程预算书</w:t>
      </w:r>
      <w:r>
        <w:rPr>
          <w:rFonts w:hint="eastAsia" w:ascii="宋体" w:hAnsi="宋体" w:eastAsia="宋体" w:cs="宋体"/>
          <w:bCs/>
          <w:color w:val="auto"/>
          <w:sz w:val="24"/>
          <w:highlight w:val="none"/>
          <w:lang w:eastAsia="zh-CN"/>
        </w:rPr>
        <w:t>；</w:t>
      </w:r>
    </w:p>
    <w:p>
      <w:pPr>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2、《陕西省建设工程工程量清单计价规则》 (2009)</w:t>
      </w:r>
      <w:r>
        <w:rPr>
          <w:rFonts w:hint="eastAsia" w:ascii="宋体" w:hAnsi="宋体" w:eastAsia="宋体" w:cs="宋体"/>
          <w:bCs/>
          <w:color w:val="auto"/>
          <w:sz w:val="24"/>
          <w:highlight w:val="none"/>
          <w:lang w:eastAsia="zh-CN"/>
        </w:rPr>
        <w:t>；</w:t>
      </w:r>
    </w:p>
    <w:p>
      <w:pPr>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3、《陕西省安装工程消耗量定额》 (2004) 及补充定额、《陕西省安装工程价目表》 (2009) 及其相关配套文件</w:t>
      </w:r>
      <w:r>
        <w:rPr>
          <w:rFonts w:hint="eastAsia" w:ascii="宋体" w:hAnsi="宋体" w:eastAsia="宋体" w:cs="宋体"/>
          <w:bCs/>
          <w:color w:val="auto"/>
          <w:sz w:val="24"/>
          <w:highlight w:val="none"/>
          <w:lang w:eastAsia="zh-CN"/>
        </w:rPr>
        <w:t>；</w:t>
      </w:r>
    </w:p>
    <w:p>
      <w:pPr>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4、与建设工程项目有关的标准、规范、技术资料</w:t>
      </w:r>
      <w:r>
        <w:rPr>
          <w:rFonts w:hint="eastAsia" w:ascii="宋体" w:hAnsi="宋体" w:eastAsia="宋体" w:cs="宋体"/>
          <w:bCs/>
          <w:color w:val="auto"/>
          <w:sz w:val="24"/>
          <w:highlight w:val="none"/>
          <w:lang w:eastAsia="zh-CN"/>
        </w:rPr>
        <w:t>；</w:t>
      </w:r>
    </w:p>
    <w:p>
      <w:pPr>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5、现场情况及常规的施工组织及方案</w:t>
      </w:r>
      <w:r>
        <w:rPr>
          <w:rFonts w:hint="eastAsia" w:ascii="宋体" w:hAnsi="宋体" w:eastAsia="宋体" w:cs="宋体"/>
          <w:bCs/>
          <w:color w:val="auto"/>
          <w:sz w:val="24"/>
          <w:highlight w:val="none"/>
          <w:lang w:eastAsia="zh-CN"/>
        </w:rPr>
        <w:t>；</w:t>
      </w:r>
    </w:p>
    <w:p>
      <w:pPr>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6、税金执行《陕西省住房和城乡建设厅关于调整陕西省建设工程计价依据的通知》 (陕建发 [2019]45 号)</w:t>
      </w:r>
      <w:r>
        <w:rPr>
          <w:rFonts w:hint="eastAsia" w:ascii="宋体" w:hAnsi="宋体" w:eastAsia="宋体" w:cs="宋体"/>
          <w:bCs/>
          <w:color w:val="auto"/>
          <w:sz w:val="24"/>
          <w:highlight w:val="none"/>
          <w:lang w:eastAsia="zh-CN"/>
        </w:rPr>
        <w:t>；</w:t>
      </w:r>
    </w:p>
    <w:p>
      <w:pPr>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7.安全文明施工措施费执行《关于增加建设工程扬尘治理专项措施费及综合人工单价调整的通知》(陕建发 [2017] 270号)和《关于发布我省落实建筑工人实名制管理计价依据的通知》《陕建发(2019] 1246 号)</w:t>
      </w:r>
      <w:r>
        <w:rPr>
          <w:rFonts w:hint="eastAsia" w:ascii="宋体" w:hAnsi="宋体" w:eastAsia="宋体" w:cs="宋体"/>
          <w:bCs/>
          <w:color w:val="auto"/>
          <w:sz w:val="24"/>
          <w:highlight w:val="none"/>
          <w:lang w:eastAsia="zh-CN"/>
        </w:rPr>
        <w:t>；</w:t>
      </w:r>
    </w:p>
    <w:p>
      <w:pPr>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8.人工费执行《陕西省住房和城乡建设厅关于调整房屋建筑和市政基础设施工程工程量清单计价综合人工单价的通知》 (陕建发[2021]1097号)</w:t>
      </w:r>
      <w:r>
        <w:rPr>
          <w:rFonts w:hint="eastAsia" w:ascii="宋体" w:hAnsi="宋体" w:eastAsia="宋体" w:cs="宋体"/>
          <w:bCs/>
          <w:color w:val="auto"/>
          <w:sz w:val="24"/>
          <w:highlight w:val="none"/>
          <w:lang w:eastAsia="zh-CN"/>
        </w:rPr>
        <w:t>；</w:t>
      </w:r>
    </w:p>
    <w:p>
      <w:pPr>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9、主要材料价格依据 2022 第4 期《咸阳市工程造价信息》2022第8期《陕西工程造价信息》及市场价</w:t>
      </w:r>
      <w:r>
        <w:rPr>
          <w:rFonts w:hint="eastAsia" w:ascii="宋体" w:hAnsi="宋体" w:eastAsia="宋体" w:cs="宋体"/>
          <w:bCs/>
          <w:color w:val="auto"/>
          <w:sz w:val="24"/>
          <w:highlight w:val="none"/>
          <w:lang w:eastAsia="zh-CN"/>
        </w:rPr>
        <w:t>；</w:t>
      </w:r>
    </w:p>
    <w:p>
      <w:r>
        <w:rPr>
          <w:rFonts w:hint="eastAsia" w:ascii="宋体" w:hAnsi="宋体" w:eastAsia="宋体" w:cs="宋体"/>
          <w:bCs/>
          <w:color w:val="auto"/>
          <w:sz w:val="24"/>
          <w:highlight w:val="none"/>
        </w:rPr>
        <w:t>10、劳保统筹执行《关于全省统一停止收缴建筑业劳保费用的通知》陕建发(2021)1021号</w:t>
      </w:r>
      <w:r>
        <w:rPr>
          <w:rFonts w:hint="eastAsia" w:ascii="宋体" w:hAnsi="宋体" w:eastAsia="宋体" w:cs="宋体"/>
          <w:bCs/>
          <w:color w:val="auto"/>
          <w:sz w:val="24"/>
          <w:highlight w:val="none"/>
          <w:lang w:eastAsia="zh-CN"/>
        </w:rPr>
        <w:t>；</w:t>
      </w:r>
      <w:bookmarkStart w:id="11" w:name="_GoBack"/>
      <w:bookmarkEnd w:id="1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1NDk1Nzc4ODgwMzA2NTdlMzMyYWJiMTdlNDg5YTcifQ=="/>
  </w:docVars>
  <w:rsids>
    <w:rsidRoot w:val="00000000"/>
    <w:rsid w:val="65485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500" w:lineRule="exact"/>
      <w:outlineLvl w:val="1"/>
    </w:pPr>
    <w:rPr>
      <w:rFonts w:ascii="Arial" w:hAnsi="Arial" w:eastAsia="黑体"/>
      <w:b/>
      <w:kern w:val="0"/>
      <w:sz w:val="28"/>
      <w:szCs w:val="20"/>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uiPriority w:val="0"/>
    <w:pPr>
      <w:spacing w:after="12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2023-02-17T03:51:35Z</dcterms:created>
  <dc:creator>Lenovo</dc:creator>
  <cp:lastModifiedBy>乔公子</cp:lastModifiedBy>
  <dcterms:modified xsi:type="dcterms:W3CDTF">2023-02-17T03:51:38Z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AE9FB187D4C54FB7BBFDE6070A9815C6</vt:lpwstr>
  </property>
</Properties>
</file>