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firstLine="723" w:firstLineChars="20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lang w:eastAsia="zh-CN"/>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文件编号:</w:t>
      </w:r>
      <w:r>
        <w:rPr>
          <w:rFonts w:hint="eastAsia" w:ascii="仿宋" w:hAnsi="仿宋" w:eastAsia="仿宋" w:cs="仿宋"/>
          <w:b/>
          <w:color w:val="000000" w:themeColor="text1"/>
          <w:sz w:val="36"/>
          <w:szCs w:val="36"/>
          <w:highlight w:val="none"/>
          <w:lang w:eastAsia="zh-CN"/>
          <w14:textFill>
            <w14:solidFill>
              <w14:schemeClr w14:val="tx1"/>
            </w14:solidFill>
          </w14:textFill>
        </w:rPr>
        <w:t>HZGH-2022-064</w:t>
      </w:r>
    </w:p>
    <w:p>
      <w:pPr>
        <w:pStyle w:val="11"/>
        <w:rPr>
          <w:rFonts w:hint="eastAsia"/>
        </w:rPr>
      </w:pPr>
    </w:p>
    <w:p>
      <w:pPr>
        <w:jc w:val="both"/>
        <w:rPr>
          <w:rFonts w:hint="eastAsia" w:ascii="仿宋" w:hAnsi="仿宋" w:eastAsia="仿宋" w:cs="仿宋"/>
          <w:b/>
          <w:color w:val="000000" w:themeColor="text1"/>
          <w:sz w:val="48"/>
          <w:szCs w:val="48"/>
          <w:highlight w:val="none"/>
          <w:u w:val="wavyHeavy" w:color="FF0000"/>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t>陕西洛南文旅集团（筹）咨询顾问</w:t>
      </w:r>
    </w:p>
    <w:p>
      <w:pPr>
        <w:pStyle w:val="11"/>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t>服务项目</w:t>
      </w:r>
    </w:p>
    <w:p>
      <w:pPr>
        <w:rPr>
          <w:rFonts w:hint="eastAsia"/>
        </w:rPr>
      </w:pP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r>
        <w:rPr>
          <w:rFonts w:hint="eastAsia" w:ascii="仿宋" w:hAnsi="仿宋" w:eastAsia="仿宋" w:cs="仿宋"/>
          <w:b/>
          <w:bCs/>
          <w:color w:val="000000" w:themeColor="text1"/>
          <w:spacing w:val="20"/>
          <w:kern w:val="0"/>
          <w:sz w:val="72"/>
          <w:szCs w:val="72"/>
          <w:highlight w:val="none"/>
          <w14:textFill>
            <w14:solidFill>
              <w14:schemeClr w14:val="tx1"/>
            </w14:solidFill>
          </w14:textFill>
        </w:rPr>
        <w:t>竞争性磋商文件</w:t>
      </w:r>
    </w:p>
    <w:p>
      <w:pPr>
        <w:pStyle w:val="11"/>
        <w:jc w:val="center"/>
        <w:rPr>
          <w:rFonts w:hint="eastAsia" w:ascii="仿宋" w:hAnsi="仿宋" w:eastAsia="仿宋" w:cs="仿宋"/>
          <w:b/>
          <w:bCs/>
          <w:color w:val="000000" w:themeColor="text1"/>
          <w:spacing w:val="20"/>
          <w:kern w:val="0"/>
          <w:sz w:val="36"/>
          <w:szCs w:val="36"/>
          <w:highlight w:val="none"/>
          <w:lang w:eastAsia="zh-CN"/>
          <w14:textFill>
            <w14:solidFill>
              <w14:schemeClr w14:val="tx1"/>
            </w14:solidFill>
          </w14:textFill>
        </w:rPr>
      </w:pPr>
      <w:r>
        <w:rPr>
          <w:rFonts w:hint="eastAsia" w:ascii="仿宋" w:hAnsi="仿宋" w:eastAsia="仿宋" w:cs="仿宋"/>
          <w:b/>
          <w:bCs/>
          <w:color w:val="000000" w:themeColor="text1"/>
          <w:spacing w:val="20"/>
          <w:kern w:val="0"/>
          <w:sz w:val="36"/>
          <w:szCs w:val="36"/>
          <w:highlight w:val="none"/>
          <w:lang w:val="en-US" w:eastAsia="zh-CN"/>
          <w14:textFill>
            <w14:solidFill>
              <w14:schemeClr w14:val="tx1"/>
            </w14:solidFill>
          </w14:textFill>
        </w:rPr>
        <w:t>（专门面向中小企业项目）</w:t>
      </w:r>
    </w:p>
    <w:p>
      <w:pPr>
        <w:jc w:val="both"/>
        <w:outlineLvl w:val="0"/>
        <w:rPr>
          <w:rFonts w:hint="eastAsia" w:ascii="仿宋" w:hAnsi="仿宋" w:eastAsia="仿宋" w:cs="仿宋"/>
          <w:b/>
          <w:bCs/>
          <w:color w:val="000000" w:themeColor="text1"/>
          <w:kern w:val="0"/>
          <w:sz w:val="84"/>
          <w:szCs w:val="84"/>
          <w:highlight w:val="none"/>
          <w14:textFill>
            <w14:solidFill>
              <w14:schemeClr w14:val="tx1"/>
            </w14:solidFill>
          </w14:textFill>
        </w:rPr>
      </w:pPr>
      <w:r>
        <w:rPr>
          <w:rFonts w:hint="eastAsia" w:ascii="仿宋" w:hAnsi="仿宋" w:eastAsia="仿宋" w:cs="仿宋"/>
          <w:b/>
          <w:color w:val="000000" w:themeColor="text1"/>
          <w:sz w:val="32"/>
          <w:szCs w:val="32"/>
          <w:highlight w:val="none"/>
          <w:shd w:val="clear" w:color="auto" w:fill="FFFFFF"/>
          <w14:textFill>
            <w14:solidFill>
              <w14:schemeClr w14:val="tx1"/>
            </w14:solidFill>
          </w14:textFill>
        </w:rPr>
        <w:drawing>
          <wp:anchor distT="0" distB="0" distL="114300" distR="114300" simplePos="0" relativeHeight="251660288" behindDoc="1" locked="0" layoutInCell="1" allowOverlap="1">
            <wp:simplePos x="0" y="0"/>
            <wp:positionH relativeFrom="column">
              <wp:posOffset>2101215</wp:posOffset>
            </wp:positionH>
            <wp:positionV relativeFrom="paragraph">
              <wp:posOffset>467360</wp:posOffset>
            </wp:positionV>
            <wp:extent cx="1466215" cy="1390650"/>
            <wp:effectExtent l="0" t="0" r="635" b="0"/>
            <wp:wrapTight wrapText="bothSides">
              <wp:wrapPolygon>
                <wp:start x="0" y="0"/>
                <wp:lineTo x="0" y="21304"/>
                <wp:lineTo x="21329" y="21304"/>
                <wp:lineTo x="21329" y="0"/>
                <wp:lineTo x="0" y="0"/>
              </wp:wrapPolygon>
            </wp:wrapTight>
            <wp:docPr id="2"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53eb5700307075d23daf00df32f9f8"/>
                    <pic:cNvPicPr>
                      <a:picLocks noChangeAspect="1"/>
                    </pic:cNvPicPr>
                  </pic:nvPicPr>
                  <pic:blipFill>
                    <a:blip r:embed="rId24"/>
                    <a:stretch>
                      <a:fillRect/>
                    </a:stretch>
                  </pic:blipFill>
                  <pic:spPr>
                    <a:xfrm>
                      <a:off x="0" y="0"/>
                      <a:ext cx="1466215" cy="1390650"/>
                    </a:xfrm>
                    <a:prstGeom prst="rect">
                      <a:avLst/>
                    </a:prstGeom>
                    <a:noFill/>
                    <a:ln>
                      <a:noFill/>
                    </a:ln>
                  </pic:spPr>
                </pic:pic>
              </a:graphicData>
            </a:graphic>
          </wp:anchor>
        </w:drawing>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pStyle w:val="36"/>
        <w:rPr>
          <w:rFonts w:hint="eastAsia" w:ascii="仿宋" w:hAnsi="仿宋" w:eastAsia="仿宋" w:cs="仿宋"/>
          <w:b/>
          <w:color w:val="000000" w:themeColor="text1"/>
          <w:sz w:val="32"/>
          <w:szCs w:val="32"/>
          <w:highlight w:val="none"/>
          <w14:textFill>
            <w14:solidFill>
              <w14:schemeClr w14:val="tx1"/>
            </w14:solidFill>
          </w14:textFill>
        </w:rPr>
      </w:pPr>
    </w:p>
    <w:p>
      <w:pPr>
        <w:pStyle w:val="36"/>
        <w:rPr>
          <w:rFonts w:hint="eastAsia" w:ascii="仿宋" w:hAnsi="仿宋" w:eastAsia="仿宋" w:cs="仿宋"/>
          <w:b/>
          <w:color w:val="000000" w:themeColor="text1"/>
          <w:sz w:val="32"/>
          <w:szCs w:val="32"/>
          <w:highlight w:val="none"/>
          <w14:textFill>
            <w14:solidFill>
              <w14:schemeClr w14:val="tx1"/>
            </w14:solidFill>
          </w14:textFill>
        </w:rPr>
      </w:pPr>
    </w:p>
    <w:p>
      <w:pPr>
        <w:spacing w:line="560" w:lineRule="exact"/>
        <w:ind w:firstLine="1606" w:firstLineChars="500"/>
        <w:rPr>
          <w:rFonts w:hint="eastAsia" w:ascii="仿宋" w:hAnsi="仿宋" w:eastAsia="仿宋" w:cs="仿宋"/>
          <w:b/>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Fonts w:hint="eastAsia" w:ascii="仿宋" w:hAnsi="仿宋" w:eastAsia="仿宋" w:cs="仿宋"/>
          <w:b/>
          <w:color w:val="000000" w:themeColor="text1"/>
          <w:sz w:val="32"/>
          <w:szCs w:val="32"/>
          <w:highlight w:val="none"/>
          <w14:textFill>
            <w14:solidFill>
              <w14:schemeClr w14:val="tx1"/>
            </w14:solidFill>
          </w14:textFill>
        </w:rPr>
        <w:t>人：</w:t>
      </w:r>
      <w:r>
        <w:rPr>
          <w:rFonts w:hint="eastAsia" w:ascii="仿宋" w:hAnsi="仿宋" w:eastAsia="仿宋" w:cs="仿宋"/>
          <w:b/>
          <w:color w:val="000000" w:themeColor="text1"/>
          <w:sz w:val="32"/>
          <w:szCs w:val="32"/>
          <w:highlight w:val="none"/>
          <w:lang w:eastAsia="zh-CN"/>
          <w14:textFill>
            <w14:solidFill>
              <w14:schemeClr w14:val="tx1"/>
            </w14:solidFill>
          </w14:textFill>
        </w:rPr>
        <w:t>洛南县文化和旅游局</w:t>
      </w:r>
    </w:p>
    <w:p>
      <w:pPr>
        <w:spacing w:line="560" w:lineRule="exact"/>
        <w:ind w:firstLine="1606" w:firstLineChars="500"/>
        <w:jc w:val="both"/>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采购代理机构：华招广和项目管理有限公司</w:t>
      </w:r>
    </w:p>
    <w:p>
      <w:pPr>
        <w:spacing w:line="560" w:lineRule="exact"/>
        <w:jc w:val="center"/>
        <w:rPr>
          <w:rFonts w:hint="eastAsia" w:ascii="仿宋" w:hAnsi="仿宋" w:eastAsia="仿宋" w:cs="仿宋"/>
          <w:b/>
          <w:bCs/>
          <w:color w:val="000000" w:themeColor="text1"/>
          <w:sz w:val="32"/>
          <w:szCs w:val="32"/>
          <w:highlight w:val="none"/>
          <w14:textFill>
            <w14:solidFill>
              <w14:schemeClr w14:val="tx1"/>
            </w14:solidFill>
          </w14:textFill>
        </w:rPr>
      </w:pPr>
    </w:p>
    <w:p>
      <w:pPr>
        <w:spacing w:line="560" w:lineRule="exact"/>
        <w:jc w:val="center"/>
        <w:rPr>
          <w:rFonts w:hint="eastAsia" w:ascii="仿宋" w:hAnsi="仿宋" w:eastAsia="仿宋" w:cs="仿宋"/>
          <w:b/>
          <w:color w:val="000000" w:themeColor="text1"/>
          <w:sz w:val="48"/>
          <w:szCs w:val="48"/>
          <w:highlight w:val="none"/>
          <w:lang w:val="en-US" w:eastAsia="zh-CN"/>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r>
        <w:rPr>
          <w:rFonts w:hint="eastAsia" w:ascii="仿宋" w:hAnsi="仿宋" w:eastAsia="仿宋" w:cs="仿宋"/>
          <w:b/>
          <w:bCs/>
          <w:color w:val="000000" w:themeColor="text1"/>
          <w:sz w:val="32"/>
          <w:szCs w:val="32"/>
          <w:highlight w:val="none"/>
          <w14:textFill>
            <w14:solidFill>
              <w14:schemeClr w14:val="tx1"/>
            </w14:solidFill>
          </w14:textFill>
        </w:rPr>
        <w:t>二零二</w:t>
      </w:r>
      <w:r>
        <w:rPr>
          <w:rFonts w:hint="eastAsia" w:ascii="仿宋" w:hAnsi="仿宋" w:eastAsia="仿宋" w:cs="仿宋"/>
          <w:b/>
          <w:bCs/>
          <w:color w:val="000000" w:themeColor="text1"/>
          <w:sz w:val="32"/>
          <w:szCs w:val="32"/>
          <w:highlight w:val="none"/>
          <w:lang w:eastAsia="zh-CN"/>
          <w14:textFill>
            <w14:solidFill>
              <w14:schemeClr w14:val="tx1"/>
            </w14:solidFill>
          </w14:textFill>
        </w:rPr>
        <w:t>二</w:t>
      </w:r>
      <w:r>
        <w:rPr>
          <w:rFonts w:hint="eastAsia" w:ascii="仿宋" w:hAnsi="仿宋" w:eastAsia="仿宋" w:cs="仿宋"/>
          <w:b/>
          <w:bCs/>
          <w:color w:val="000000" w:themeColor="text1"/>
          <w:sz w:val="32"/>
          <w:szCs w:val="32"/>
          <w:highlight w:val="none"/>
          <w14:textFill>
            <w14:solidFill>
              <w14:schemeClr w14:val="tx1"/>
            </w14:solidFill>
          </w14:textFill>
        </w:rPr>
        <w:t>年</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九月</w:t>
      </w:r>
    </w:p>
    <w:p>
      <w:pPr>
        <w:spacing w:line="560" w:lineRule="exact"/>
        <w:jc w:val="center"/>
        <w:rPr>
          <w:rFonts w:hint="eastAsia" w:ascii="仿宋" w:hAnsi="仿宋" w:eastAsia="仿宋" w:cs="仿宋"/>
          <w:b/>
          <w:color w:val="000000"/>
          <w:sz w:val="52"/>
          <w:szCs w:val="52"/>
          <w:highlight w:val="none"/>
          <w:u w:val="double"/>
        </w:rPr>
      </w:pPr>
      <w:r>
        <w:rPr>
          <w:rFonts w:hint="eastAsia" w:ascii="仿宋" w:hAnsi="仿宋" w:eastAsia="仿宋" w:cs="仿宋"/>
          <w:b/>
          <w:color w:val="000000"/>
          <w:sz w:val="48"/>
          <w:szCs w:val="48"/>
          <w:highlight w:val="none"/>
          <w:u w:val="double"/>
        </w:rPr>
        <w:t>特 别 提 示</w:t>
      </w:r>
    </w:p>
    <w:p>
      <w:pPr>
        <w:spacing w:line="640" w:lineRule="exact"/>
        <w:rPr>
          <w:rFonts w:hint="eastAsia" w:ascii="仿宋" w:hAnsi="仿宋" w:eastAsia="仿宋" w:cs="仿宋"/>
          <w:b/>
          <w:bCs/>
          <w:color w:val="000000"/>
          <w:sz w:val="24"/>
          <w:highlight w:val="none"/>
        </w:rPr>
      </w:pPr>
    </w:p>
    <w:p>
      <w:pPr>
        <w:spacing w:line="640" w:lineRule="exact"/>
        <w:ind w:firstLine="482" w:firstLineChars="20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各供应商</w:t>
      </w:r>
      <w:r>
        <w:rPr>
          <w:rFonts w:hint="eastAsia" w:ascii="仿宋" w:hAnsi="仿宋" w:eastAsia="仿宋" w:cs="仿宋"/>
          <w:color w:val="000000"/>
          <w:sz w:val="24"/>
          <w:highlight w:val="none"/>
        </w:rPr>
        <w:t>：在此我们特别善意地提醒您注意！</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1、请您仔细地阅读竞争性磋商文件并正确理解竞争性磋商文件中各项具体要求。</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2、请您严格按照竞争性磋商文件载明的竞争性磋商响应文件格式要求编制竞争性磋商响应文件。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3、请您按照竞争性磋商文件要求密封竞争性磋商响应文件。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4、请您明确标记竞争性磋商响应文件的正本、副本。</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5、请于购买竞争性磋商文件后按照规定及时递交磋商保证金。</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6、如在竞争性磋商响应文件递交截止时间前放弃本次投标，请以书面形式发出弃标函。</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w:t>
      </w:r>
      <w:r>
        <w:rPr>
          <w:rFonts w:hint="eastAsia" w:ascii="仿宋" w:hAnsi="仿宋" w:eastAsia="仿宋" w:cs="仿宋"/>
          <w:color w:val="auto"/>
          <w:sz w:val="24"/>
          <w:highlight w:val="none"/>
        </w:rPr>
        <w:t>请您于</w:t>
      </w:r>
      <w:r>
        <w:rPr>
          <w:rFonts w:hint="eastAsia" w:ascii="仿宋" w:hAnsi="仿宋" w:eastAsia="仿宋" w:cs="仿宋"/>
          <w:b/>
          <w:bCs/>
          <w:color w:val="auto"/>
          <w:sz w:val="24"/>
          <w:highlight w:val="none"/>
          <w:lang w:eastAsia="zh-CN"/>
        </w:rPr>
        <w:t>202</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lang w:eastAsia="zh-CN"/>
        </w:rPr>
        <w:t>年</w:t>
      </w:r>
      <w:r>
        <w:rPr>
          <w:rFonts w:hint="eastAsia" w:ascii="仿宋" w:hAnsi="仿宋" w:eastAsia="仿宋" w:cs="仿宋"/>
          <w:b/>
          <w:bCs/>
          <w:color w:val="auto"/>
          <w:sz w:val="24"/>
          <w:highlight w:val="none"/>
          <w:lang w:val="en-US" w:eastAsia="zh-CN"/>
        </w:rPr>
        <w:t>9</w:t>
      </w:r>
      <w:r>
        <w:rPr>
          <w:rFonts w:hint="eastAsia" w:ascii="仿宋" w:hAnsi="仿宋" w:eastAsia="仿宋" w:cs="仿宋"/>
          <w:b/>
          <w:bCs/>
          <w:color w:val="auto"/>
          <w:sz w:val="24"/>
          <w:highlight w:val="none"/>
          <w:lang w:eastAsia="zh-CN"/>
        </w:rPr>
        <w:t>月</w:t>
      </w:r>
      <w:r>
        <w:rPr>
          <w:rFonts w:hint="eastAsia" w:ascii="仿宋" w:hAnsi="仿宋" w:eastAsia="仿宋" w:cs="仿宋"/>
          <w:b/>
          <w:bCs/>
          <w:color w:val="auto"/>
          <w:sz w:val="24"/>
          <w:highlight w:val="none"/>
          <w:lang w:val="en-US" w:eastAsia="zh-CN"/>
        </w:rPr>
        <w:t>21</w:t>
      </w:r>
      <w:r>
        <w:rPr>
          <w:rFonts w:hint="eastAsia" w:ascii="仿宋" w:hAnsi="仿宋" w:eastAsia="仿宋" w:cs="仿宋"/>
          <w:b/>
          <w:bCs/>
          <w:color w:val="auto"/>
          <w:sz w:val="24"/>
          <w:highlight w:val="none"/>
          <w:lang w:eastAsia="zh-CN"/>
        </w:rPr>
        <w:t>日</w:t>
      </w:r>
      <w:r>
        <w:rPr>
          <w:rFonts w:hint="eastAsia" w:ascii="仿宋" w:hAnsi="仿宋" w:eastAsia="仿宋" w:cs="仿宋"/>
          <w:b/>
          <w:bCs/>
          <w:color w:val="auto"/>
          <w:sz w:val="24"/>
          <w:highlight w:val="none"/>
          <w:lang w:val="en-US" w:eastAsia="zh-CN"/>
        </w:rPr>
        <w:t>14</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0:00</w:t>
      </w:r>
      <w:r>
        <w:rPr>
          <w:rFonts w:hint="eastAsia" w:ascii="仿宋" w:hAnsi="仿宋" w:eastAsia="仿宋" w:cs="仿宋"/>
          <w:color w:val="auto"/>
          <w:sz w:val="24"/>
          <w:highlight w:val="none"/>
        </w:rPr>
        <w:t>，</w:t>
      </w:r>
      <w:r>
        <w:rPr>
          <w:rFonts w:hint="eastAsia" w:ascii="仿宋" w:hAnsi="仿宋" w:eastAsia="仿宋" w:cs="仿宋"/>
          <w:color w:val="000000"/>
          <w:sz w:val="24"/>
          <w:highlight w:val="none"/>
        </w:rPr>
        <w:t>准时到华招广和项目管理有限公司会议室（西安市朱雀大街南段1号汇成天玺C座18层</w:t>
      </w:r>
      <w:r>
        <w:rPr>
          <w:rFonts w:hint="eastAsia" w:ascii="仿宋" w:hAnsi="仿宋" w:eastAsia="仿宋" w:cs="仿宋"/>
          <w:color w:val="000000"/>
          <w:sz w:val="24"/>
          <w:highlight w:val="none"/>
          <w:lang w:eastAsia="zh-CN"/>
        </w:rPr>
        <w:t>1818</w:t>
      </w:r>
      <w:r>
        <w:rPr>
          <w:rFonts w:hint="eastAsia" w:ascii="仿宋" w:hAnsi="仿宋" w:eastAsia="仿宋" w:cs="仿宋"/>
          <w:color w:val="000000"/>
          <w:sz w:val="24"/>
          <w:highlight w:val="none"/>
        </w:rPr>
        <w:t>室）递交竞争性磋商响应文件并参加竞争性磋商会议，避免迟误。</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8、请您到达竞争性磋商会议地点后及时到签到处签字登记。</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9、请您按照《陕西省财政厅关于政府采购供应商注册登记有关事项的通知》中的要求，通过陕西省政府采购网（http://www.ccgp-shaanxi.gov.cn/）注册登记加入陕西省政府采购供应商库，并接受财政部门的监督管理。</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10、</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只需拟派1人参与本项目招标会议，须注册西安市“一码通”且为绿码，现场测量体温不得超过37℃，参与招标会议的人员均需佩戴口罩。</w:t>
      </w:r>
    </w:p>
    <w:p>
      <w:pPr>
        <w:spacing w:line="640" w:lineRule="exact"/>
        <w:ind w:firstLine="480" w:firstLineChars="200"/>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highlight w:val="none"/>
        </w:rPr>
        <w:t>谨记上述提示，将有助您顺利地参加投标。若有什么需要帮助，请您与我们的工作人员联系，我们将竭诚为您服务。</w:t>
      </w:r>
    </w:p>
    <w:p>
      <w:pPr>
        <w:spacing w:line="640" w:lineRule="exact"/>
        <w:rPr>
          <w:rFonts w:hint="eastAsia" w:ascii="仿宋" w:hAnsi="仿宋" w:eastAsia="仿宋" w:cs="仿宋"/>
          <w:b/>
          <w:color w:val="000000" w:themeColor="text1"/>
          <w:sz w:val="52"/>
          <w:szCs w:val="52"/>
          <w:highlight w:val="none"/>
          <w14:textFill>
            <w14:solidFill>
              <w14:schemeClr w14:val="tx1"/>
            </w14:solidFill>
          </w14:textFill>
        </w:rPr>
        <w:sectPr>
          <w:footerReference r:id="rId9" w:type="first"/>
          <w:footerReference r:id="rId8" w:type="default"/>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p>
    <w:p>
      <w:pPr>
        <w:spacing w:line="480" w:lineRule="exact"/>
        <w:jc w:val="center"/>
        <w:rPr>
          <w:rFonts w:hint="eastAsia" w:ascii="仿宋" w:hAnsi="仿宋" w:eastAsia="仿宋" w:cs="仿宋"/>
          <w:color w:val="000000" w:themeColor="text1"/>
          <w:sz w:val="48"/>
          <w:szCs w:val="48"/>
          <w:highlight w:val="none"/>
          <w:lang w:val="zh-CN"/>
          <w14:textFill>
            <w14:solidFill>
              <w14:schemeClr w14:val="tx1"/>
            </w14:solidFill>
          </w14:textFill>
        </w:rPr>
      </w:pPr>
      <w:r>
        <w:rPr>
          <w:rFonts w:hint="eastAsia" w:ascii="仿宋" w:hAnsi="仿宋" w:eastAsia="仿宋" w:cs="仿宋"/>
          <w:color w:val="000000" w:themeColor="text1"/>
          <w:sz w:val="48"/>
          <w:szCs w:val="48"/>
          <w:highlight w:val="none"/>
          <w:lang w:val="zh-CN"/>
          <w14:textFill>
            <w14:solidFill>
              <w14:schemeClr w14:val="tx1"/>
            </w14:solidFill>
          </w14:textFill>
        </w:rPr>
        <w:t>目  录</w:t>
      </w:r>
    </w:p>
    <w:p>
      <w:pPr>
        <w:rPr>
          <w:rFonts w:hint="eastAsia" w:ascii="仿宋" w:hAnsi="仿宋" w:eastAsia="仿宋" w:cs="仿宋"/>
          <w:color w:val="000000" w:themeColor="text1"/>
          <w:highlight w:val="none"/>
          <w:lang w:val="zh-CN"/>
          <w14:textFill>
            <w14:solidFill>
              <w14:schemeClr w14:val="tx1"/>
            </w14:solidFill>
          </w14:textFill>
        </w:rPr>
      </w:pPr>
    </w:p>
    <w:p>
      <w:pPr>
        <w:pStyle w:val="18"/>
        <w:tabs>
          <w:tab w:val="right" w:leader="dot" w:pos="9070"/>
        </w:tabs>
        <w:spacing w:line="480" w:lineRule="auto"/>
        <w:rPr>
          <w:sz w:val="22"/>
          <w:szCs w:val="28"/>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TOC \o "1-3" \h \z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_Toc20848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52"/>
          <w:highlight w:val="none"/>
        </w:rPr>
        <w:t>第一章 竞争性磋商邀请书</w:t>
      </w:r>
      <w:r>
        <w:rPr>
          <w:sz w:val="22"/>
          <w:szCs w:val="28"/>
        </w:rPr>
        <w:tab/>
      </w:r>
      <w:r>
        <w:rPr>
          <w:sz w:val="22"/>
          <w:szCs w:val="28"/>
        </w:rPr>
        <w:fldChar w:fldCharType="begin"/>
      </w:r>
      <w:r>
        <w:rPr>
          <w:sz w:val="22"/>
          <w:szCs w:val="28"/>
        </w:rPr>
        <w:instrText xml:space="preserve"> PAGEREF _Toc20848 \h </w:instrText>
      </w:r>
      <w:r>
        <w:rPr>
          <w:sz w:val="22"/>
          <w:szCs w:val="28"/>
        </w:rPr>
        <w:fldChar w:fldCharType="separate"/>
      </w:r>
      <w:r>
        <w:rPr>
          <w:sz w:val="22"/>
          <w:szCs w:val="28"/>
        </w:rPr>
        <w:t>2</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第二章 供应商须知</w:t>
      </w:r>
      <w:r>
        <w:rPr>
          <w:sz w:val="22"/>
          <w:szCs w:val="28"/>
        </w:rPr>
        <w:tab/>
      </w:r>
      <w:r>
        <w:rPr>
          <w:sz w:val="22"/>
          <w:szCs w:val="28"/>
        </w:rPr>
        <w:fldChar w:fldCharType="begin"/>
      </w:r>
      <w:r>
        <w:rPr>
          <w:sz w:val="22"/>
          <w:szCs w:val="28"/>
        </w:rPr>
        <w:instrText xml:space="preserve"> PAGEREF _Toc19749 \h </w:instrText>
      </w:r>
      <w:r>
        <w:rPr>
          <w:sz w:val="22"/>
          <w:szCs w:val="28"/>
        </w:rPr>
        <w:fldChar w:fldCharType="separate"/>
      </w:r>
      <w:r>
        <w:rPr>
          <w:sz w:val="22"/>
          <w:szCs w:val="28"/>
        </w:rPr>
        <w:t>7</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_Toc1739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一、供应商须知前附表</w:t>
      </w:r>
      <w:r>
        <w:rPr>
          <w:sz w:val="22"/>
          <w:szCs w:val="28"/>
        </w:rPr>
        <w:tab/>
      </w:r>
      <w:r>
        <w:rPr>
          <w:sz w:val="22"/>
          <w:szCs w:val="28"/>
        </w:rPr>
        <w:fldChar w:fldCharType="begin"/>
      </w:r>
      <w:r>
        <w:rPr>
          <w:sz w:val="22"/>
          <w:szCs w:val="28"/>
        </w:rPr>
        <w:instrText xml:space="preserve"> PAGEREF _Toc1739 \h </w:instrText>
      </w:r>
      <w:r>
        <w:rPr>
          <w:sz w:val="22"/>
          <w:szCs w:val="28"/>
        </w:rPr>
        <w:fldChar w:fldCharType="separate"/>
      </w:r>
      <w:r>
        <w:rPr>
          <w:sz w:val="22"/>
          <w:szCs w:val="28"/>
        </w:rPr>
        <w:t>7</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_Toc12152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二、项目说明</w:t>
      </w:r>
      <w:r>
        <w:rPr>
          <w:sz w:val="22"/>
          <w:szCs w:val="28"/>
        </w:rPr>
        <w:tab/>
      </w:r>
      <w:r>
        <w:rPr>
          <w:sz w:val="22"/>
          <w:szCs w:val="28"/>
        </w:rPr>
        <w:fldChar w:fldCharType="begin"/>
      </w:r>
      <w:r>
        <w:rPr>
          <w:sz w:val="22"/>
          <w:szCs w:val="28"/>
        </w:rPr>
        <w:instrText xml:space="preserve"> PAGEREF _Toc12152 \h </w:instrText>
      </w:r>
      <w:r>
        <w:rPr>
          <w:sz w:val="22"/>
          <w:szCs w:val="28"/>
        </w:rPr>
        <w:fldChar w:fldCharType="separate"/>
      </w:r>
      <w:r>
        <w:rPr>
          <w:sz w:val="22"/>
          <w:szCs w:val="28"/>
        </w:rPr>
        <w:t>13</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_Toc24776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三、竞争性磋商文件</w:t>
      </w:r>
      <w:r>
        <w:rPr>
          <w:sz w:val="22"/>
          <w:szCs w:val="28"/>
        </w:rPr>
        <w:tab/>
      </w:r>
      <w:r>
        <w:rPr>
          <w:sz w:val="22"/>
          <w:szCs w:val="28"/>
        </w:rPr>
        <w:fldChar w:fldCharType="begin"/>
      </w:r>
      <w:r>
        <w:rPr>
          <w:sz w:val="22"/>
          <w:szCs w:val="28"/>
        </w:rPr>
        <w:instrText xml:space="preserve"> PAGEREF _Toc24776 \h </w:instrText>
      </w:r>
      <w:r>
        <w:rPr>
          <w:sz w:val="22"/>
          <w:szCs w:val="28"/>
        </w:rPr>
        <w:fldChar w:fldCharType="separate"/>
      </w:r>
      <w:r>
        <w:rPr>
          <w:sz w:val="22"/>
          <w:szCs w:val="28"/>
        </w:rPr>
        <w:t>13</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_Toc1600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四、竞争性磋商响应文件</w:t>
      </w:r>
      <w:r>
        <w:rPr>
          <w:sz w:val="22"/>
          <w:szCs w:val="28"/>
        </w:rPr>
        <w:tab/>
      </w:r>
      <w:r>
        <w:rPr>
          <w:sz w:val="22"/>
          <w:szCs w:val="28"/>
        </w:rPr>
        <w:fldChar w:fldCharType="begin"/>
      </w:r>
      <w:r>
        <w:rPr>
          <w:sz w:val="22"/>
          <w:szCs w:val="28"/>
        </w:rPr>
        <w:instrText xml:space="preserve"> PAGEREF _Toc1600 \h </w:instrText>
      </w:r>
      <w:r>
        <w:rPr>
          <w:sz w:val="22"/>
          <w:szCs w:val="28"/>
        </w:rPr>
        <w:fldChar w:fldCharType="separate"/>
      </w:r>
      <w:r>
        <w:rPr>
          <w:sz w:val="22"/>
          <w:szCs w:val="28"/>
        </w:rPr>
        <w:t>14</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_Toc5793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lang w:val="en-US" w:eastAsia="zh-CN"/>
        </w:rPr>
        <w:t>五</w:t>
      </w:r>
      <w:r>
        <w:rPr>
          <w:rFonts w:hint="eastAsia" w:ascii="仿宋" w:hAnsi="仿宋" w:eastAsia="仿宋" w:cs="仿宋"/>
          <w:kern w:val="0"/>
          <w:sz w:val="22"/>
          <w:szCs w:val="32"/>
          <w:highlight w:val="none"/>
        </w:rPr>
        <w:t>、磋商响应</w:t>
      </w:r>
      <w:r>
        <w:rPr>
          <w:sz w:val="22"/>
          <w:szCs w:val="28"/>
        </w:rPr>
        <w:tab/>
      </w:r>
      <w:r>
        <w:rPr>
          <w:sz w:val="22"/>
          <w:szCs w:val="28"/>
        </w:rPr>
        <w:fldChar w:fldCharType="begin"/>
      </w:r>
      <w:r>
        <w:rPr>
          <w:sz w:val="22"/>
          <w:szCs w:val="28"/>
        </w:rPr>
        <w:instrText xml:space="preserve"> PAGEREF _Toc5793 \h </w:instrText>
      </w:r>
      <w:r>
        <w:rPr>
          <w:sz w:val="22"/>
          <w:szCs w:val="28"/>
        </w:rPr>
        <w:fldChar w:fldCharType="separate"/>
      </w:r>
      <w:r>
        <w:rPr>
          <w:sz w:val="22"/>
          <w:szCs w:val="28"/>
        </w:rPr>
        <w:t>19</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_Toc23636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32"/>
          <w:highlight w:val="none"/>
          <w:lang w:val="en-US" w:eastAsia="zh-CN"/>
        </w:rPr>
        <w:t>六</w:t>
      </w:r>
      <w:r>
        <w:rPr>
          <w:rFonts w:hint="eastAsia" w:ascii="仿宋" w:hAnsi="仿宋" w:eastAsia="仿宋" w:cs="仿宋"/>
          <w:bCs/>
          <w:sz w:val="22"/>
          <w:szCs w:val="32"/>
          <w:highlight w:val="none"/>
        </w:rPr>
        <w:t>、磋商、评审及定标</w:t>
      </w:r>
      <w:r>
        <w:rPr>
          <w:sz w:val="22"/>
          <w:szCs w:val="28"/>
        </w:rPr>
        <w:tab/>
      </w:r>
      <w:r>
        <w:rPr>
          <w:sz w:val="22"/>
          <w:szCs w:val="28"/>
        </w:rPr>
        <w:fldChar w:fldCharType="begin"/>
      </w:r>
      <w:r>
        <w:rPr>
          <w:sz w:val="22"/>
          <w:szCs w:val="28"/>
        </w:rPr>
        <w:instrText xml:space="preserve"> PAGEREF _Toc23636 \h </w:instrText>
      </w:r>
      <w:r>
        <w:rPr>
          <w:sz w:val="22"/>
          <w:szCs w:val="28"/>
        </w:rPr>
        <w:fldChar w:fldCharType="separate"/>
      </w:r>
      <w:r>
        <w:rPr>
          <w:sz w:val="22"/>
          <w:szCs w:val="28"/>
        </w:rPr>
        <w:t>22</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_Toc28361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七</w:t>
      </w:r>
      <w:r>
        <w:rPr>
          <w:rFonts w:hint="eastAsia" w:ascii="仿宋" w:hAnsi="仿宋" w:eastAsia="仿宋" w:cs="仿宋"/>
          <w:sz w:val="22"/>
          <w:szCs w:val="32"/>
          <w:highlight w:val="none"/>
        </w:rPr>
        <w:t>、合同</w:t>
      </w:r>
      <w:r>
        <w:rPr>
          <w:sz w:val="22"/>
          <w:szCs w:val="28"/>
        </w:rPr>
        <w:tab/>
      </w:r>
      <w:r>
        <w:rPr>
          <w:sz w:val="22"/>
          <w:szCs w:val="28"/>
        </w:rPr>
        <w:fldChar w:fldCharType="begin"/>
      </w:r>
      <w:r>
        <w:rPr>
          <w:sz w:val="22"/>
          <w:szCs w:val="28"/>
        </w:rPr>
        <w:instrText xml:space="preserve"> PAGEREF _Toc28361 \h </w:instrText>
      </w:r>
      <w:r>
        <w:rPr>
          <w:sz w:val="22"/>
          <w:szCs w:val="28"/>
        </w:rPr>
        <w:fldChar w:fldCharType="separate"/>
      </w:r>
      <w:r>
        <w:rPr>
          <w:sz w:val="22"/>
          <w:szCs w:val="28"/>
        </w:rPr>
        <w:t>34</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_Toc24945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八</w:t>
      </w:r>
      <w:r>
        <w:rPr>
          <w:rFonts w:hint="eastAsia" w:ascii="仿宋" w:hAnsi="仿宋" w:eastAsia="仿宋" w:cs="仿宋"/>
          <w:sz w:val="22"/>
          <w:szCs w:val="32"/>
          <w:highlight w:val="none"/>
        </w:rPr>
        <w:t>、合同的履约验收</w:t>
      </w:r>
      <w:r>
        <w:rPr>
          <w:sz w:val="22"/>
          <w:szCs w:val="28"/>
        </w:rPr>
        <w:tab/>
      </w:r>
      <w:r>
        <w:rPr>
          <w:sz w:val="22"/>
          <w:szCs w:val="28"/>
        </w:rPr>
        <w:fldChar w:fldCharType="begin"/>
      </w:r>
      <w:r>
        <w:rPr>
          <w:sz w:val="22"/>
          <w:szCs w:val="28"/>
        </w:rPr>
        <w:instrText xml:space="preserve"> PAGEREF _Toc24945 \h </w:instrText>
      </w:r>
      <w:r>
        <w:rPr>
          <w:sz w:val="22"/>
          <w:szCs w:val="28"/>
        </w:rPr>
        <w:fldChar w:fldCharType="separate"/>
      </w:r>
      <w:r>
        <w:rPr>
          <w:sz w:val="22"/>
          <w:szCs w:val="28"/>
        </w:rPr>
        <w:t>35</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_Toc19792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九</w:t>
      </w:r>
      <w:r>
        <w:rPr>
          <w:rFonts w:hint="eastAsia" w:ascii="仿宋" w:hAnsi="仿宋" w:eastAsia="仿宋" w:cs="仿宋"/>
          <w:sz w:val="22"/>
          <w:szCs w:val="32"/>
          <w:highlight w:val="none"/>
        </w:rPr>
        <w:t>、招标服务费</w:t>
      </w:r>
      <w:r>
        <w:rPr>
          <w:sz w:val="22"/>
          <w:szCs w:val="28"/>
        </w:rPr>
        <w:tab/>
      </w:r>
      <w:r>
        <w:rPr>
          <w:sz w:val="22"/>
          <w:szCs w:val="28"/>
        </w:rPr>
        <w:fldChar w:fldCharType="begin"/>
      </w:r>
      <w:r>
        <w:rPr>
          <w:sz w:val="22"/>
          <w:szCs w:val="28"/>
        </w:rPr>
        <w:instrText xml:space="preserve"> PAGEREF _Toc19792 \h </w:instrText>
      </w:r>
      <w:r>
        <w:rPr>
          <w:sz w:val="22"/>
          <w:szCs w:val="28"/>
        </w:rPr>
        <w:fldChar w:fldCharType="separate"/>
      </w:r>
      <w:r>
        <w:rPr>
          <w:sz w:val="22"/>
          <w:szCs w:val="28"/>
        </w:rPr>
        <w:t>35</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_Toc14425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十、重新组织采购活动</w:t>
      </w:r>
      <w:r>
        <w:rPr>
          <w:sz w:val="22"/>
          <w:szCs w:val="28"/>
        </w:rPr>
        <w:tab/>
      </w:r>
      <w:r>
        <w:rPr>
          <w:sz w:val="22"/>
          <w:szCs w:val="28"/>
        </w:rPr>
        <w:fldChar w:fldCharType="begin"/>
      </w:r>
      <w:r>
        <w:rPr>
          <w:sz w:val="22"/>
          <w:szCs w:val="28"/>
        </w:rPr>
        <w:instrText xml:space="preserve"> PAGEREF _Toc14425 \h </w:instrText>
      </w:r>
      <w:r>
        <w:rPr>
          <w:sz w:val="22"/>
          <w:szCs w:val="28"/>
        </w:rPr>
        <w:fldChar w:fldCharType="separate"/>
      </w:r>
      <w:r>
        <w:rPr>
          <w:sz w:val="22"/>
          <w:szCs w:val="28"/>
        </w:rPr>
        <w:t>35</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_Toc15549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一</w:t>
      </w:r>
      <w:r>
        <w:rPr>
          <w:rFonts w:hint="eastAsia" w:ascii="仿宋" w:hAnsi="仿宋" w:eastAsia="仿宋" w:cs="仿宋"/>
          <w:sz w:val="22"/>
          <w:szCs w:val="32"/>
          <w:highlight w:val="none"/>
        </w:rPr>
        <w:t>、询问、质疑与投诉</w:t>
      </w:r>
      <w:r>
        <w:rPr>
          <w:sz w:val="22"/>
          <w:szCs w:val="28"/>
        </w:rPr>
        <w:tab/>
      </w:r>
      <w:r>
        <w:rPr>
          <w:sz w:val="22"/>
          <w:szCs w:val="28"/>
        </w:rPr>
        <w:fldChar w:fldCharType="begin"/>
      </w:r>
      <w:r>
        <w:rPr>
          <w:sz w:val="22"/>
          <w:szCs w:val="28"/>
        </w:rPr>
        <w:instrText xml:space="preserve"> PAGEREF _Toc15549 \h </w:instrText>
      </w:r>
      <w:r>
        <w:rPr>
          <w:sz w:val="22"/>
          <w:szCs w:val="28"/>
        </w:rPr>
        <w:fldChar w:fldCharType="separate"/>
      </w:r>
      <w:r>
        <w:rPr>
          <w:sz w:val="22"/>
          <w:szCs w:val="28"/>
        </w:rPr>
        <w:t>35</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_Toc19464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二</w:t>
      </w:r>
      <w:r>
        <w:rPr>
          <w:rFonts w:hint="eastAsia" w:ascii="仿宋" w:hAnsi="仿宋" w:eastAsia="仿宋" w:cs="仿宋"/>
          <w:sz w:val="22"/>
          <w:szCs w:val="32"/>
          <w:highlight w:val="none"/>
        </w:rPr>
        <w:t>、拒绝商业贿赂</w:t>
      </w:r>
      <w:r>
        <w:rPr>
          <w:sz w:val="22"/>
          <w:szCs w:val="28"/>
        </w:rPr>
        <w:tab/>
      </w:r>
      <w:r>
        <w:rPr>
          <w:sz w:val="22"/>
          <w:szCs w:val="28"/>
        </w:rPr>
        <w:fldChar w:fldCharType="begin"/>
      </w:r>
      <w:r>
        <w:rPr>
          <w:sz w:val="22"/>
          <w:szCs w:val="28"/>
        </w:rPr>
        <w:instrText xml:space="preserve"> PAGEREF _Toc19464 \h </w:instrText>
      </w:r>
      <w:r>
        <w:rPr>
          <w:sz w:val="22"/>
          <w:szCs w:val="28"/>
        </w:rPr>
        <w:fldChar w:fldCharType="separate"/>
      </w:r>
      <w:r>
        <w:rPr>
          <w:sz w:val="22"/>
          <w:szCs w:val="28"/>
        </w:rPr>
        <w:t>37</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_Toc20324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第三章  服务内容及要求</w:t>
      </w:r>
      <w:r>
        <w:rPr>
          <w:sz w:val="22"/>
          <w:szCs w:val="28"/>
        </w:rPr>
        <w:tab/>
      </w:r>
      <w:r>
        <w:rPr>
          <w:sz w:val="22"/>
          <w:szCs w:val="28"/>
        </w:rPr>
        <w:fldChar w:fldCharType="begin"/>
      </w:r>
      <w:r>
        <w:rPr>
          <w:sz w:val="22"/>
          <w:szCs w:val="28"/>
        </w:rPr>
        <w:instrText xml:space="preserve"> PAGEREF _Toc20324 \h </w:instrText>
      </w:r>
      <w:r>
        <w:rPr>
          <w:sz w:val="22"/>
          <w:szCs w:val="28"/>
        </w:rPr>
        <w:fldChar w:fldCharType="separate"/>
      </w:r>
      <w:r>
        <w:rPr>
          <w:sz w:val="22"/>
          <w:szCs w:val="28"/>
        </w:rPr>
        <w:t>38</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_Toc21581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第四章  商务要求</w:t>
      </w:r>
      <w:r>
        <w:rPr>
          <w:sz w:val="22"/>
          <w:szCs w:val="28"/>
        </w:rPr>
        <w:tab/>
      </w:r>
      <w:r>
        <w:rPr>
          <w:sz w:val="22"/>
          <w:szCs w:val="28"/>
        </w:rPr>
        <w:fldChar w:fldCharType="begin"/>
      </w:r>
      <w:r>
        <w:rPr>
          <w:sz w:val="22"/>
          <w:szCs w:val="28"/>
        </w:rPr>
        <w:instrText xml:space="preserve"> PAGEREF _Toc21581 \h </w:instrText>
      </w:r>
      <w:r>
        <w:rPr>
          <w:sz w:val="22"/>
          <w:szCs w:val="28"/>
        </w:rPr>
        <w:fldChar w:fldCharType="separate"/>
      </w:r>
      <w:r>
        <w:rPr>
          <w:sz w:val="22"/>
          <w:szCs w:val="28"/>
        </w:rPr>
        <w:t>39</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_Toc2890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第五章  合同条款</w:t>
      </w:r>
      <w:r>
        <w:rPr>
          <w:sz w:val="22"/>
          <w:szCs w:val="28"/>
        </w:rPr>
        <w:tab/>
      </w:r>
      <w:r>
        <w:rPr>
          <w:sz w:val="22"/>
          <w:szCs w:val="28"/>
        </w:rPr>
        <w:fldChar w:fldCharType="begin"/>
      </w:r>
      <w:r>
        <w:rPr>
          <w:sz w:val="22"/>
          <w:szCs w:val="28"/>
        </w:rPr>
        <w:instrText xml:space="preserve"> PAGEREF _Toc2890 \h </w:instrText>
      </w:r>
      <w:r>
        <w:rPr>
          <w:sz w:val="22"/>
          <w:szCs w:val="28"/>
        </w:rPr>
        <w:fldChar w:fldCharType="separate"/>
      </w:r>
      <w:r>
        <w:rPr>
          <w:sz w:val="22"/>
          <w:szCs w:val="28"/>
        </w:rPr>
        <w:t>40</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_Toc32022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rPr>
        <w:t>第六章  竞争性磋商响应文件格式</w:t>
      </w:r>
      <w:r>
        <w:rPr>
          <w:sz w:val="22"/>
          <w:szCs w:val="28"/>
        </w:rPr>
        <w:tab/>
      </w:r>
      <w:r>
        <w:rPr>
          <w:sz w:val="22"/>
          <w:szCs w:val="28"/>
        </w:rPr>
        <w:fldChar w:fldCharType="begin"/>
      </w:r>
      <w:r>
        <w:rPr>
          <w:sz w:val="22"/>
          <w:szCs w:val="28"/>
        </w:rPr>
        <w:instrText xml:space="preserve"> PAGEREF _Toc32022 \h </w:instrText>
      </w:r>
      <w:r>
        <w:rPr>
          <w:sz w:val="22"/>
          <w:szCs w:val="28"/>
        </w:rPr>
        <w:fldChar w:fldCharType="separate"/>
      </w:r>
      <w:r>
        <w:rPr>
          <w:sz w:val="22"/>
          <w:szCs w:val="28"/>
        </w:rPr>
        <w:t>45</w:t>
      </w:r>
      <w:r>
        <w:rPr>
          <w:sz w:val="22"/>
          <w:szCs w:val="28"/>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000000" w:themeColor="text1"/>
          <w:sz w:val="24"/>
          <w:highlight w:val="none"/>
          <w14:textFill>
            <w14:solidFill>
              <w14:schemeClr w14:val="tx1"/>
            </w14:solidFill>
          </w14:textFill>
        </w:rPr>
        <w:sectPr>
          <w:footerReference r:id="rId10" w:type="default"/>
          <w:pgSz w:w="11906" w:h="16838"/>
          <w:pgMar w:top="1418" w:right="1418" w:bottom="1418" w:left="1418" w:header="720" w:footer="720" w:gutter="0"/>
          <w:pgBorders>
            <w:top w:val="none" w:sz="0" w:space="0"/>
            <w:left w:val="none" w:sz="0" w:space="0"/>
            <w:bottom w:val="none" w:sz="0" w:space="0"/>
            <w:right w:val="none" w:sz="0" w:space="0"/>
          </w:pgBorders>
          <w:pgNumType w:start="1"/>
          <w:cols w:space="720" w:num="1"/>
          <w:docGrid w:linePitch="312" w:charSpace="0"/>
        </w:sectPr>
      </w:pP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spacing w:line="480" w:lineRule="exact"/>
        <w:jc w:val="center"/>
        <w:outlineLvl w:val="0"/>
        <w:rPr>
          <w:rFonts w:hint="eastAsia" w:ascii="仿宋" w:hAnsi="仿宋" w:eastAsia="仿宋" w:cs="仿宋"/>
          <w:b/>
          <w:bCs/>
          <w:color w:val="000000" w:themeColor="text1"/>
          <w:sz w:val="48"/>
          <w:szCs w:val="48"/>
          <w:highlight w:val="none"/>
          <w14:textFill>
            <w14:solidFill>
              <w14:schemeClr w14:val="tx1"/>
            </w14:solidFill>
          </w14:textFill>
        </w:rPr>
      </w:pPr>
      <w:bookmarkStart w:id="0" w:name="_Toc20848"/>
      <w:r>
        <w:rPr>
          <w:rFonts w:hint="eastAsia" w:ascii="仿宋" w:hAnsi="仿宋" w:eastAsia="仿宋" w:cs="仿宋"/>
          <w:b/>
          <w:bCs/>
          <w:color w:val="000000" w:themeColor="text1"/>
          <w:sz w:val="48"/>
          <w:szCs w:val="48"/>
          <w:highlight w:val="none"/>
          <w14:textFill>
            <w14:solidFill>
              <w14:schemeClr w14:val="tx1"/>
            </w14:solidFill>
          </w14:textFill>
        </w:rPr>
        <w:t>第一章 竞争性磋商邀请书</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rFonts w:hint="eastAsia" w:ascii="仿宋" w:hAnsi="仿宋" w:eastAsia="仿宋" w:cs="仿宋"/>
          <w:b w:val="0"/>
          <w:bCs w:val="0"/>
          <w:sz w:val="24"/>
          <w:szCs w:val="24"/>
        </w:rPr>
      </w:pPr>
      <w:r>
        <w:rPr>
          <w:rStyle w:val="26"/>
          <w:rFonts w:hint="eastAsia" w:ascii="仿宋" w:hAnsi="仿宋" w:eastAsia="仿宋" w:cs="仿宋"/>
          <w:b/>
          <w:bCs/>
          <w:i w:val="0"/>
          <w:iCs w:val="0"/>
          <w:caps w:val="0"/>
          <w:color w:val="333333"/>
          <w:spacing w:val="0"/>
          <w:sz w:val="24"/>
          <w:szCs w:val="24"/>
          <w:shd w:val="clear" w:fill="FFFFFF"/>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陕西洛南文旅集团（筹）咨询顾问服务项目采购项目的潜在供应商应在西安市朱雀大街南段1号汇成天玺C座18层1812室获取采购文件，并于 2022年09月</w:t>
      </w:r>
      <w:r>
        <w:rPr>
          <w:rFonts w:hint="eastAsia" w:ascii="仿宋" w:hAnsi="仿宋" w:eastAsia="仿宋" w:cs="仿宋"/>
          <w:i w:val="0"/>
          <w:iCs w:val="0"/>
          <w:caps w:val="0"/>
          <w:color w:val="auto"/>
          <w:spacing w:val="0"/>
          <w:sz w:val="24"/>
          <w:szCs w:val="24"/>
          <w:shd w:val="clear" w:fill="FFFFFF"/>
          <w:lang w:val="en-US" w:eastAsia="zh-CN"/>
        </w:rPr>
        <w:t>21</w:t>
      </w:r>
      <w:r>
        <w:rPr>
          <w:rFonts w:hint="eastAsia" w:ascii="仿宋" w:hAnsi="仿宋" w:eastAsia="仿宋" w:cs="仿宋"/>
          <w:i w:val="0"/>
          <w:iCs w:val="0"/>
          <w:caps w:val="0"/>
          <w:color w:val="auto"/>
          <w:spacing w:val="0"/>
          <w:sz w:val="24"/>
          <w:szCs w:val="24"/>
          <w:shd w:val="clear" w:fill="FFFFFF"/>
        </w:rPr>
        <w:t>日 14时30分 （北京时间）前提交响应文件。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right="0"/>
        <w:jc w:val="both"/>
        <w:rPr>
          <w:rFonts w:hint="eastAsia" w:ascii="仿宋" w:hAnsi="仿宋" w:eastAsia="仿宋" w:cs="仿宋"/>
          <w:b w:val="0"/>
          <w:bCs w:val="0"/>
          <w:i w:val="0"/>
          <w:iCs w:val="0"/>
          <w:caps w:val="0"/>
          <w:color w:val="333333"/>
          <w:spacing w:val="0"/>
          <w:sz w:val="24"/>
          <w:szCs w:val="24"/>
        </w:rPr>
      </w:pPr>
      <w:r>
        <w:rPr>
          <w:rStyle w:val="26"/>
          <w:rFonts w:hint="eastAsia" w:ascii="仿宋" w:hAnsi="仿宋" w:eastAsia="仿宋" w:cs="仿宋"/>
          <w:b/>
          <w:bCs/>
          <w:i w:val="0"/>
          <w:iCs w:val="0"/>
          <w:caps w:val="0"/>
          <w:color w:val="333333"/>
          <w:spacing w:val="0"/>
          <w:sz w:val="24"/>
          <w:szCs w:val="24"/>
          <w:shd w:val="clear" w:fill="FFFFFF"/>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项目编号：HZGH-2022-064</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项目名称：陕西洛南文旅集团（筹）咨询顾问服务项目</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采购方式：竞争性磋商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预算金额：1,480,000.00元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合同包1(咨询顾问服务):</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合同包预算金额：1,480,000.00元</w:t>
      </w:r>
    </w:p>
    <w:tbl>
      <w:tblPr>
        <w:tblStyle w:val="23"/>
        <w:tblW w:w="995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7"/>
        <w:gridCol w:w="2197"/>
        <w:gridCol w:w="1892"/>
        <w:gridCol w:w="1104"/>
        <w:gridCol w:w="1513"/>
        <w:gridCol w:w="1680"/>
        <w:gridCol w:w="9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38" w:hRule="atLeast"/>
          <w:tblHeader/>
          <w:jc w:val="center"/>
        </w:trPr>
        <w:tc>
          <w:tcPr>
            <w:tcW w:w="6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品目号</w:t>
            </w:r>
          </w:p>
        </w:tc>
        <w:tc>
          <w:tcPr>
            <w:tcW w:w="2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品目名称</w:t>
            </w:r>
          </w:p>
        </w:tc>
        <w:tc>
          <w:tcPr>
            <w:tcW w:w="18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采购标的</w:t>
            </w:r>
          </w:p>
        </w:tc>
        <w:tc>
          <w:tcPr>
            <w:tcW w:w="11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（单位）</w:t>
            </w:r>
          </w:p>
        </w:tc>
        <w:tc>
          <w:tcPr>
            <w:tcW w:w="15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品目预算(元)</w:t>
            </w:r>
          </w:p>
        </w:tc>
        <w:tc>
          <w:tcPr>
            <w:tcW w:w="9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5" w:hRule="atLeast"/>
          <w:jc w:val="center"/>
        </w:trPr>
        <w:tc>
          <w:tcPr>
            <w:tcW w:w="6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w:t>
            </w:r>
          </w:p>
        </w:tc>
        <w:tc>
          <w:tcPr>
            <w:tcW w:w="2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其他专业技术服务</w:t>
            </w:r>
          </w:p>
        </w:tc>
        <w:tc>
          <w:tcPr>
            <w:tcW w:w="18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咨询顾问服务</w:t>
            </w:r>
          </w:p>
        </w:tc>
        <w:tc>
          <w:tcPr>
            <w:tcW w:w="11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1(项)</w:t>
            </w:r>
          </w:p>
        </w:tc>
        <w:tc>
          <w:tcPr>
            <w:tcW w:w="15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1,480,000.00</w:t>
            </w:r>
          </w:p>
        </w:tc>
        <w:tc>
          <w:tcPr>
            <w:tcW w:w="9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合同履行期限：无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仿宋" w:hAnsi="仿宋" w:eastAsia="仿宋" w:cs="仿宋"/>
          <w:b w:val="0"/>
          <w:bCs w:val="0"/>
          <w:i w:val="0"/>
          <w:iCs w:val="0"/>
          <w:caps w:val="0"/>
          <w:color w:val="333333"/>
          <w:spacing w:val="0"/>
          <w:sz w:val="24"/>
          <w:szCs w:val="24"/>
        </w:rPr>
      </w:pPr>
      <w:r>
        <w:rPr>
          <w:rStyle w:val="26"/>
          <w:rFonts w:hint="eastAsia" w:ascii="仿宋" w:hAnsi="仿宋" w:eastAsia="仿宋" w:cs="仿宋"/>
          <w:b/>
          <w:bCs/>
          <w:i w:val="0"/>
          <w:iCs w:val="0"/>
          <w:caps w:val="0"/>
          <w:color w:val="333333"/>
          <w:spacing w:val="0"/>
          <w:sz w:val="24"/>
          <w:szCs w:val="24"/>
          <w:shd w:val="clear" w:fill="FFFFFF"/>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合同包1(咨询顾问服务)落实政府采购政策需满足的资格要求如下: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（1）、《政府采购促进中小企业发展管理办法》的通知--财库[2020]46号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（2）、陕西省财政厅关于印发《陕西省中小企业政府采购信用融资办法》--(陕财办采[2018]23号)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（3）、《陕西省财政厅关于加快推进我省中小企业政府采购信用融资工作的通知》（陕财办采〔2020〕15号）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（4）、财政部司法部关于政府采购支持监狱企业发展有关问题的通知--财库〔2014〕68号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（5）、《国务院办公厅关于建立政府强制采购节能产品制度的通知》--国办发〔2007〕51号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（6）、《节能产品政府采购实施意见》（财库[2004]185号）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（7）、《环境标志产品政府采购实施的意见》（财库[2006]90号）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（8）、《财政部发展改革委生态环境部市场监督总局关于调整优化节能产品、环境标志产品政府采购执行机制的通知》--（财库[2019]9号）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（9）、《市场监督总局关于发布参与实施政府采购节能产品、环境标志产品认证机构名录的公告》--2019年第16号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（10）、《财政部民政部中国残疾人联合会关于促进残疾人就业政府采购政策的通知》--（财库〔2017〕141号）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（11）、《财政部国务院扶贫办关于运用政府采购政策支持脱贫攻坚的通知》（财库〔2019〕27号）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（12）、《关于进一步加强政府绿色采购有关问题的通知》（陕财办采〔2021〕29号）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（13）、其他需要落实的政府采购政策。</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合同包1(咨询顾问服务)特定资格要求如下:</w:t>
      </w:r>
    </w:p>
    <w:p>
      <w:pPr>
        <w:pStyle w:val="2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、基本资格条件：符合《中华人民共和国政府采购法》第二十二条的规定；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财务状况报告：提供具有财务审计资质单位出具的2020年度或2021年度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3、税收缴纳证明：提供2022年1月1日至今任意一个月的缴费凭据；（依法免税的供应商应提供相关文件证明）。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4、社会保障资金缴纳证明：提供2022年1月1日至今任意一个月的社保缴费凭据或社保机构开具的社会保险参保缴费情况证明；（依法不需要缴纳社会保障资金的供应商应提供相关证明）。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 xml:space="preserve"> 5、提供具有履行本合同所必需的设备和专业技术能力的说明及承诺；（格式自拟，加盖供应商公章）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6、提供参加政府采购活动前三年内在经营活动中没有重大违法记录的书面声明。（格式自拟，加盖供应商公章）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（2）、特定资格条件：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 xml:space="preserve"> 1、法定代表人或负责人参与磋商时需提供法定代表人或负责人资格证明书（附法定代表人或负责人身份证复印件）；（法定代表人或负责人须提供身份证原件，身份证原件可由本人持有）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 xml:space="preserve"> 2、被授权人参与磋商时需提供法定代表人或负责人授权委托书（附法定代表人或负责人及被授权人身份证复印件）；（被授权人须提供身份证原件，身份证原件可由本人持有）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3、磋商保证金交纳凭证；（保证金交纳凭证复印件加盖公章）；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xml:space="preserve"> </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 xml:space="preserve"> 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5、单位负责人为同一人或者存在直接控股、管理关系的不同供应商，不得参加同一合同项下的政府采购活动；（提供书面承诺函，格式自拟加盖供应商公章）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lang w:val="en-US" w:eastAsia="zh-CN"/>
        </w:rPr>
        <w:t>7</w:t>
      </w:r>
      <w:r>
        <w:rPr>
          <w:rFonts w:hint="eastAsia" w:ascii="仿宋" w:hAnsi="仿宋" w:eastAsia="仿宋" w:cs="仿宋"/>
          <w:i w:val="0"/>
          <w:iCs w:val="0"/>
          <w:caps w:val="0"/>
          <w:color w:val="auto"/>
          <w:spacing w:val="0"/>
          <w:sz w:val="24"/>
          <w:szCs w:val="24"/>
          <w:shd w:val="clear" w:fill="FFFFFF"/>
        </w:rPr>
        <w:t>、本项目不接受联合体磋商。</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480" w:lineRule="atLeast"/>
        <w:ind w:right="0" w:rightChars="0" w:firstLine="482" w:firstLineChars="200"/>
        <w:jc w:val="both"/>
        <w:textAlignment w:val="auto"/>
        <w:rPr>
          <w:rFonts w:hint="eastAsia" w:ascii="仿宋" w:hAnsi="仿宋" w:eastAsia="仿宋" w:cs="仿宋"/>
          <w:b w:val="0"/>
          <w:bCs w:val="0"/>
          <w:i w:val="0"/>
          <w:iCs w:val="0"/>
          <w:caps w:val="0"/>
          <w:color w:val="333333"/>
          <w:spacing w:val="0"/>
          <w:sz w:val="24"/>
          <w:szCs w:val="24"/>
        </w:rPr>
      </w:pPr>
      <w:r>
        <w:rPr>
          <w:rStyle w:val="26"/>
          <w:rFonts w:hint="eastAsia" w:ascii="仿宋" w:hAnsi="仿宋" w:eastAsia="仿宋" w:cs="仿宋"/>
          <w:b/>
          <w:bCs/>
          <w:i w:val="0"/>
          <w:iCs w:val="0"/>
          <w:caps w:val="0"/>
          <w:color w:val="333333"/>
          <w:spacing w:val="0"/>
          <w:sz w:val="24"/>
          <w:szCs w:val="24"/>
          <w:shd w:val="clear" w:fill="FFFFFF"/>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333333"/>
          <w:spacing w:val="0"/>
          <w:sz w:val="24"/>
          <w:szCs w:val="24"/>
          <w:shd w:val="clear" w:fill="FFFFFF"/>
        </w:rPr>
        <w:t>时间：</w:t>
      </w:r>
      <w:r>
        <w:rPr>
          <w:rFonts w:hint="eastAsia" w:ascii="仿宋" w:hAnsi="仿宋" w:eastAsia="仿宋" w:cs="仿宋"/>
          <w:i w:val="0"/>
          <w:iCs w:val="0"/>
          <w:caps w:val="0"/>
          <w:color w:val="auto"/>
          <w:spacing w:val="0"/>
          <w:sz w:val="24"/>
          <w:szCs w:val="24"/>
          <w:shd w:val="clear" w:fill="FFFFFF"/>
        </w:rPr>
        <w:t> 2022年09月0</w:t>
      </w:r>
      <w:r>
        <w:rPr>
          <w:rFonts w:hint="eastAsia" w:ascii="仿宋" w:hAnsi="仿宋" w:eastAsia="仿宋" w:cs="仿宋"/>
          <w:i w:val="0"/>
          <w:iCs w:val="0"/>
          <w:caps w:val="0"/>
          <w:color w:val="auto"/>
          <w:spacing w:val="0"/>
          <w:sz w:val="24"/>
          <w:szCs w:val="24"/>
          <w:shd w:val="clear" w:fill="FFFFFF"/>
          <w:lang w:val="en-US" w:eastAsia="zh-CN"/>
        </w:rPr>
        <w:t>8</w:t>
      </w:r>
      <w:r>
        <w:rPr>
          <w:rFonts w:hint="eastAsia" w:ascii="仿宋" w:hAnsi="仿宋" w:eastAsia="仿宋" w:cs="仿宋"/>
          <w:i w:val="0"/>
          <w:iCs w:val="0"/>
          <w:caps w:val="0"/>
          <w:color w:val="auto"/>
          <w:spacing w:val="0"/>
          <w:sz w:val="24"/>
          <w:szCs w:val="24"/>
          <w:shd w:val="clear" w:fill="FFFFFF"/>
        </w:rPr>
        <w:t>日 至 2022年09月</w:t>
      </w:r>
      <w:r>
        <w:rPr>
          <w:rFonts w:hint="eastAsia" w:ascii="仿宋" w:hAnsi="仿宋" w:eastAsia="仿宋" w:cs="仿宋"/>
          <w:i w:val="0"/>
          <w:iCs w:val="0"/>
          <w:caps w:val="0"/>
          <w:color w:val="auto"/>
          <w:spacing w:val="0"/>
          <w:sz w:val="24"/>
          <w:szCs w:val="24"/>
          <w:shd w:val="clear" w:fill="FFFFFF"/>
          <w:lang w:val="en-US" w:eastAsia="zh-CN"/>
        </w:rPr>
        <w:t>16</w:t>
      </w:r>
      <w:r>
        <w:rPr>
          <w:rFonts w:hint="eastAsia" w:ascii="仿宋" w:hAnsi="仿宋" w:eastAsia="仿宋" w:cs="仿宋"/>
          <w:i w:val="0"/>
          <w:iCs w:val="0"/>
          <w:caps w:val="0"/>
          <w:color w:val="auto"/>
          <w:spacing w:val="0"/>
          <w:sz w:val="24"/>
          <w:szCs w:val="24"/>
          <w:shd w:val="clear" w:fill="FFFFFF"/>
        </w:rPr>
        <w:t>日 ，每天上午 09:00:00 至 12:00:00 ，下午 14:00:00 至 17:00:00 （北京时间,法定节假日除外）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地点：西安市朱雀大街南段1号汇成天玺C座18层1812室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售价： 500元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bCs w:val="0"/>
          <w:i w:val="0"/>
          <w:iCs w:val="0"/>
          <w:caps w:val="0"/>
          <w:color w:val="333333"/>
          <w:spacing w:val="0"/>
          <w:sz w:val="24"/>
          <w:szCs w:val="24"/>
        </w:rPr>
      </w:pPr>
      <w:r>
        <w:rPr>
          <w:rStyle w:val="26"/>
          <w:rFonts w:hint="eastAsia" w:ascii="仿宋" w:hAnsi="仿宋" w:eastAsia="仿宋" w:cs="仿宋"/>
          <w:b/>
          <w:bCs/>
          <w:i w:val="0"/>
          <w:iCs w:val="0"/>
          <w:caps w:val="0"/>
          <w:color w:val="333333"/>
          <w:spacing w:val="0"/>
          <w:sz w:val="24"/>
          <w:szCs w:val="24"/>
          <w:shd w:val="clear" w:fill="FFFFFF"/>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截止时间： 2022年09月</w:t>
      </w:r>
      <w:r>
        <w:rPr>
          <w:rFonts w:hint="eastAsia" w:ascii="仿宋" w:hAnsi="仿宋" w:eastAsia="仿宋" w:cs="仿宋"/>
          <w:i w:val="0"/>
          <w:iCs w:val="0"/>
          <w:caps w:val="0"/>
          <w:color w:val="auto"/>
          <w:spacing w:val="0"/>
          <w:sz w:val="24"/>
          <w:szCs w:val="24"/>
          <w:shd w:val="clear" w:fill="FFFFFF"/>
          <w:lang w:val="en-US" w:eastAsia="zh-CN"/>
        </w:rPr>
        <w:t>21</w:t>
      </w:r>
      <w:r>
        <w:rPr>
          <w:rFonts w:hint="eastAsia" w:ascii="仿宋" w:hAnsi="仿宋" w:eastAsia="仿宋" w:cs="仿宋"/>
          <w:i w:val="0"/>
          <w:iCs w:val="0"/>
          <w:caps w:val="0"/>
          <w:color w:val="auto"/>
          <w:spacing w:val="0"/>
          <w:sz w:val="24"/>
          <w:szCs w:val="24"/>
          <w:shd w:val="clear" w:fill="FFFFFF"/>
        </w:rPr>
        <w:t>日 14时30分00秒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地点：西安市朱雀大街南段1号汇成天玺C座18层1818室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bCs w:val="0"/>
          <w:i w:val="0"/>
          <w:iCs w:val="0"/>
          <w:caps w:val="0"/>
          <w:color w:val="auto"/>
          <w:spacing w:val="0"/>
          <w:sz w:val="24"/>
          <w:szCs w:val="24"/>
        </w:rPr>
      </w:pPr>
      <w:r>
        <w:rPr>
          <w:rStyle w:val="26"/>
          <w:rFonts w:hint="eastAsia" w:ascii="仿宋" w:hAnsi="仿宋" w:eastAsia="仿宋" w:cs="仿宋"/>
          <w:b/>
          <w:bCs/>
          <w:i w:val="0"/>
          <w:iCs w:val="0"/>
          <w:caps w:val="0"/>
          <w:color w:val="auto"/>
          <w:spacing w:val="0"/>
          <w:sz w:val="24"/>
          <w:szCs w:val="24"/>
          <w:shd w:val="clear" w:fill="FFFFFF"/>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 2022年09月</w:t>
      </w:r>
      <w:r>
        <w:rPr>
          <w:rFonts w:hint="eastAsia" w:ascii="仿宋" w:hAnsi="仿宋" w:eastAsia="仿宋" w:cs="仿宋"/>
          <w:i w:val="0"/>
          <w:iCs w:val="0"/>
          <w:caps w:val="0"/>
          <w:color w:val="auto"/>
          <w:spacing w:val="0"/>
          <w:sz w:val="24"/>
          <w:szCs w:val="24"/>
          <w:shd w:val="clear" w:fill="FFFFFF"/>
          <w:lang w:val="en-US" w:eastAsia="zh-CN"/>
        </w:rPr>
        <w:t>21</w:t>
      </w:r>
      <w:r>
        <w:rPr>
          <w:rFonts w:hint="eastAsia" w:ascii="仿宋" w:hAnsi="仿宋" w:eastAsia="仿宋" w:cs="仿宋"/>
          <w:i w:val="0"/>
          <w:iCs w:val="0"/>
          <w:caps w:val="0"/>
          <w:color w:val="auto"/>
          <w:spacing w:val="0"/>
          <w:sz w:val="24"/>
          <w:szCs w:val="24"/>
          <w:shd w:val="clear" w:fill="FFFFFF"/>
        </w:rPr>
        <w:t>日 14时30分00秒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地点：西安市朱雀大街南段1号汇成天玺C座18层1818室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bCs w:val="0"/>
          <w:i w:val="0"/>
          <w:iCs w:val="0"/>
          <w:caps w:val="0"/>
          <w:color w:val="333333"/>
          <w:spacing w:val="0"/>
          <w:sz w:val="24"/>
          <w:szCs w:val="24"/>
        </w:rPr>
      </w:pPr>
      <w:r>
        <w:rPr>
          <w:rStyle w:val="26"/>
          <w:rFonts w:hint="eastAsia" w:ascii="仿宋" w:hAnsi="仿宋" w:eastAsia="仿宋" w:cs="仿宋"/>
          <w:b/>
          <w:bCs/>
          <w:i w:val="0"/>
          <w:iCs w:val="0"/>
          <w:caps w:val="0"/>
          <w:color w:val="333333"/>
          <w:spacing w:val="0"/>
          <w:sz w:val="24"/>
          <w:szCs w:val="24"/>
          <w:shd w:val="clear" w:fill="FFFFFF"/>
        </w:rPr>
        <w:t>六、公告期限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自本公</w:t>
      </w:r>
      <w:r>
        <w:rPr>
          <w:rFonts w:hint="eastAsia" w:ascii="仿宋" w:hAnsi="仿宋" w:eastAsia="仿宋" w:cs="仿宋"/>
          <w:i w:val="0"/>
          <w:iCs w:val="0"/>
          <w:caps w:val="0"/>
          <w:color w:val="auto"/>
          <w:spacing w:val="0"/>
          <w:sz w:val="24"/>
          <w:szCs w:val="24"/>
          <w:shd w:val="clear" w:fill="FFFFFF"/>
        </w:rPr>
        <w:t>告发布之日起3个工作日。</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bCs w:val="0"/>
          <w:i w:val="0"/>
          <w:iCs w:val="0"/>
          <w:caps w:val="0"/>
          <w:color w:val="333333"/>
          <w:spacing w:val="0"/>
          <w:sz w:val="24"/>
          <w:szCs w:val="24"/>
        </w:rPr>
      </w:pPr>
      <w:r>
        <w:rPr>
          <w:rStyle w:val="26"/>
          <w:rFonts w:hint="eastAsia" w:ascii="仿宋" w:hAnsi="仿宋" w:eastAsia="仿宋" w:cs="仿宋"/>
          <w:b/>
          <w:bCs/>
          <w:i w:val="0"/>
          <w:iCs w:val="0"/>
          <w:caps w:val="0"/>
          <w:color w:val="333333"/>
          <w:spacing w:val="0"/>
          <w:sz w:val="24"/>
          <w:szCs w:val="24"/>
          <w:shd w:val="clear" w:fill="FFFFFF"/>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196" w:firstLine="480" w:firstLineChars="200"/>
        <w:jc w:val="left"/>
        <w:rPr>
          <w:rFonts w:hint="eastAsia" w:ascii="仿宋" w:hAnsi="仿宋" w:eastAsia="仿宋" w:cs="仿宋"/>
          <w:i w:val="0"/>
          <w:iCs w:val="0"/>
          <w:caps w:val="0"/>
          <w:color w:val="000000"/>
          <w:spacing w:val="0"/>
          <w:sz w:val="24"/>
          <w:szCs w:val="24"/>
          <w:shd w:val="clear" w:fill="FFFFFF"/>
        </w:rPr>
      </w:pPr>
      <w:r>
        <w:rPr>
          <w:rFonts w:hint="eastAsia" w:ascii="仿宋" w:hAnsi="仿宋" w:eastAsia="仿宋" w:cs="仿宋"/>
          <w:i w:val="0"/>
          <w:iCs w:val="0"/>
          <w:caps w:val="0"/>
          <w:color w:val="000000"/>
          <w:spacing w:val="0"/>
          <w:sz w:val="24"/>
          <w:szCs w:val="24"/>
          <w:shd w:val="clear" w:fill="FFFFFF"/>
        </w:rPr>
        <w:t>注：</w:t>
      </w:r>
      <w:r>
        <w:rPr>
          <w:rFonts w:hint="eastAsia" w:ascii="仿宋" w:hAnsi="仿宋" w:eastAsia="仿宋" w:cs="仿宋"/>
          <w:b w:val="0"/>
          <w:bCs w:val="0"/>
          <w:color w:val="000000"/>
          <w:sz w:val="24"/>
          <w:highlight w:val="none"/>
          <w:lang w:val="en-US" w:eastAsia="zh-CN"/>
        </w:rPr>
        <w:t>本项目仅对中小企业发售。</w:t>
      </w:r>
      <w:r>
        <w:rPr>
          <w:rFonts w:hint="eastAsia" w:ascii="仿宋" w:hAnsi="仿宋" w:eastAsia="仿宋" w:cs="仿宋"/>
          <w:i w:val="0"/>
          <w:iCs w:val="0"/>
          <w:caps w:val="0"/>
          <w:color w:val="000000"/>
          <w:spacing w:val="0"/>
          <w:sz w:val="24"/>
          <w:szCs w:val="24"/>
          <w:shd w:val="clear" w:fill="FFFFFF"/>
        </w:rPr>
        <w:t>获取磋商文件时（9：00-12：00，14：00-17：00（节假日除外））请携带有效的单位介绍信及被介绍人身份证复印件，加盖供应商公章（鲜章）,可自带 U 盘拷贝电子文件（本项目仅支持现场报名获取，谢绝邮寄）。</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196"/>
        <w:jc w:val="left"/>
        <w:rPr>
          <w:rFonts w:hint="eastAsia" w:ascii="仿宋" w:hAnsi="仿宋" w:eastAsia="仿宋" w:cs="仿宋"/>
          <w:b w:val="0"/>
          <w:bCs w:val="0"/>
          <w:i w:val="0"/>
          <w:iCs w:val="0"/>
          <w:caps w:val="0"/>
          <w:color w:val="333333"/>
          <w:spacing w:val="0"/>
          <w:sz w:val="24"/>
          <w:szCs w:val="24"/>
        </w:rPr>
      </w:pPr>
      <w:r>
        <w:rPr>
          <w:rStyle w:val="26"/>
          <w:rFonts w:hint="eastAsia" w:ascii="仿宋" w:hAnsi="仿宋" w:eastAsia="仿宋" w:cs="仿宋"/>
          <w:b/>
          <w:bCs/>
          <w:i w:val="0"/>
          <w:iCs w:val="0"/>
          <w:caps w:val="0"/>
          <w:color w:val="333333"/>
          <w:spacing w:val="0"/>
          <w:sz w:val="24"/>
          <w:szCs w:val="24"/>
          <w:shd w:val="clear" w:fill="FFFFFF"/>
        </w:rPr>
        <w:t>八、凡对本次采购提出询问，请按以下方式联系。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i w:val="0"/>
          <w:iCs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名称：洛南县文化和旅游局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地址：</w:t>
      </w:r>
      <w:r>
        <w:rPr>
          <w:rFonts w:hint="eastAsia" w:ascii="仿宋" w:hAnsi="仿宋" w:eastAsia="仿宋" w:cs="仿宋"/>
          <w:color w:val="auto"/>
          <w:kern w:val="2"/>
          <w:sz w:val="24"/>
          <w:szCs w:val="24"/>
          <w:highlight w:val="none"/>
          <w:lang w:val="en-US" w:eastAsia="zh-CN" w:bidi="ar-SA"/>
        </w:rPr>
        <w:t>河滨北路人民广场东南角</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联系方式：0914-7322273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i w:val="0"/>
          <w:iCs w:val="0"/>
          <w:caps w:val="0"/>
          <w:color w:val="auto"/>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名称：华招广和项目管理有限公司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地址：西安市朱雀大街南段1号汇成天玺C座18层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联系方式：029-87592321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i w:val="0"/>
          <w:iCs w:val="0"/>
          <w:caps w:val="0"/>
          <w:color w:val="auto"/>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项目联系人：成工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电话：029-87592321</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113665</wp:posOffset>
                </wp:positionH>
                <wp:positionV relativeFrom="paragraph">
                  <wp:posOffset>121285</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8.95pt;margin-top:9.55pt;height:57.95pt;width:468.75pt;mso-wrap-distance-bottom:0pt;mso-wrap-distance-left:9pt;mso-wrap-distance-right:9pt;mso-wrap-distance-top:0pt;mso-wrap-style:none;z-index:251667456;mso-width-relative:page;mso-height-relative:page;" fillcolor="#FFFFFF" filled="t" stroked="t" coordsize="21600,21600" o:gfxdata="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YLspDZAAAACQEA&#10;AA8AAAAAAAAAAQAgAAAAIgAAAGRycy9kb3ducmV2LnhtbFBLAQIUABQAAAAIAIdO4kDZlqSkGQIA&#10;AFwEAAAOAAAAAAAAAAEAIAAAACgBAABkcnMvZTJvRG9jLnhtbFBLBQYAAAAABgAGAFkBAACzBQAA&#10;AAA=&#10;">
                <v:fill on="t" focussize="0,0"/>
                <v:stroke color="#000000" joinstyle="miter"/>
                <v:imagedata o:title=""/>
                <o:lock v:ext="edit" aspectratio="f"/>
                <v:textbox style="mso-fit-shape-to-text:t;">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br w:type="page"/>
      </w:r>
    </w:p>
    <w:p>
      <w:pPr>
        <w:pStyle w:val="3"/>
        <w:spacing w:before="0" w:after="0" w:line="240" w:lineRule="auto"/>
        <w:jc w:val="center"/>
        <w:rPr>
          <w:rFonts w:hint="eastAsia" w:ascii="仿宋" w:hAnsi="仿宋" w:eastAsia="仿宋" w:cs="仿宋"/>
          <w:color w:val="000000" w:themeColor="text1"/>
          <w:highlight w:val="none"/>
          <w14:textFill>
            <w14:solidFill>
              <w14:schemeClr w14:val="tx1"/>
            </w14:solidFill>
          </w14:textFill>
        </w:rPr>
      </w:pPr>
      <w:bookmarkStart w:id="1" w:name="_Toc19749"/>
      <w:r>
        <w:rPr>
          <w:rFonts w:hint="eastAsia" w:ascii="仿宋" w:hAnsi="仿宋" w:eastAsia="仿宋" w:cs="仿宋"/>
          <w:color w:val="000000" w:themeColor="text1"/>
          <w:highlight w:val="none"/>
          <w14:textFill>
            <w14:solidFill>
              <w14:schemeClr w14:val="tx1"/>
            </w14:solidFill>
          </w14:textFill>
        </w:rPr>
        <w:t>第二章 供应商须知</w:t>
      </w:r>
      <w:bookmarkEnd w:id="1"/>
    </w:p>
    <w:p>
      <w:pPr>
        <w:pStyle w:val="4"/>
        <w:spacing w:line="240" w:lineRule="auto"/>
        <w:jc w:val="center"/>
        <w:rPr>
          <w:rFonts w:hint="eastAsia" w:ascii="仿宋" w:hAnsi="仿宋" w:eastAsia="仿宋" w:cs="仿宋"/>
          <w:color w:val="000000" w:themeColor="text1"/>
          <w:sz w:val="28"/>
          <w:szCs w:val="28"/>
          <w:highlight w:val="none"/>
          <w14:textFill>
            <w14:solidFill>
              <w14:schemeClr w14:val="tx1"/>
            </w14:solidFill>
          </w14:textFill>
        </w:rPr>
      </w:pPr>
      <w:bookmarkStart w:id="2" w:name="_Toc1739"/>
      <w:r>
        <w:rPr>
          <w:rFonts w:hint="eastAsia" w:ascii="仿宋" w:hAnsi="仿宋" w:eastAsia="仿宋" w:cs="仿宋"/>
          <w:color w:val="000000" w:themeColor="text1"/>
          <w:sz w:val="28"/>
          <w:szCs w:val="28"/>
          <w:highlight w:val="none"/>
          <w14:textFill>
            <w14:solidFill>
              <w14:schemeClr w14:val="tx1"/>
            </w14:solidFill>
          </w14:textFill>
        </w:rPr>
        <w:t>一、供应商须知前附表</w:t>
      </w:r>
      <w:bookmarkEnd w:id="2"/>
    </w:p>
    <w:tbl>
      <w:tblPr>
        <w:tblStyle w:val="23"/>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492"/>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1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条款名称</w:t>
            </w:r>
          </w:p>
        </w:tc>
        <w:tc>
          <w:tcPr>
            <w:tcW w:w="6764"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洛南县文化和旅游局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联系地址：河滨北路人民广场东南角</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kern w:val="2"/>
                <w:sz w:val="24"/>
                <w:szCs w:val="24"/>
                <w:highlight w:val="none"/>
                <w:lang w:val="en-US" w:eastAsia="zh-CN" w:bidi="ar-SA"/>
              </w:rPr>
              <w:t>联系电话：0914-7322273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采购代理机构</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名称：华招广和项目管理有限公司</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地址：西安市朱雀大街南段1号汇成天玺C座18层</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eastAsia="zh-CN"/>
              </w:rPr>
              <w:t>成工</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陕西洛南文旅集团（筹）咨询顾问服务项目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HZGH-2022-064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项目性质</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项目预算</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1480000.00元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项目用途</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咨询顾问服务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采购内容和要求</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highlight w:val="none"/>
                <w:lang w:eastAsia="zh-CN"/>
              </w:rPr>
              <w:t>对洛南文旅集团筹备、组建、资产剥离及重组、法人治理结构的完善、组织架构的设立、职能优化以及成立后集团的经营管理、战略发展等方面提供相关咨询顾问服务</w:t>
            </w:r>
            <w:r>
              <w:rPr>
                <w:rFonts w:hint="eastAsia" w:ascii="仿宋" w:hAnsi="仿宋" w:eastAsia="仿宋" w:cs="仿宋"/>
                <w:i w:val="0"/>
                <w:iCs w:val="0"/>
                <w:caps w:val="0"/>
                <w:color w:val="auto"/>
                <w:spacing w:val="0"/>
                <w:sz w:val="24"/>
                <w:szCs w:val="24"/>
                <w:highlight w:val="none"/>
                <w:shd w:val="clear" w:fill="FFFFFF"/>
                <w:lang w:val="en-US" w:eastAsia="zh-CN"/>
              </w:rPr>
              <w:t>（具体详见磋商文件第三章服务内容及要求）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磋商</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并且符合竞争性磋商文件规定资格条件和参加磋商竞争的法人或其他组织。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供应商资格要求</w:t>
            </w:r>
          </w:p>
        </w:tc>
        <w:tc>
          <w:tcPr>
            <w:tcW w:w="6764" w:type="dxa"/>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i w:val="0"/>
                <w:iCs w:val="0"/>
                <w:caps w:val="0"/>
                <w:color w:val="auto"/>
                <w:spacing w:val="0"/>
                <w:sz w:val="24"/>
                <w:szCs w:val="24"/>
                <w:shd w:val="clear" w:fill="FFFFFF"/>
                <w:lang w:val="en-US" w:eastAsia="zh-CN"/>
              </w:rPr>
              <w:t>7</w:t>
            </w:r>
            <w:r>
              <w:rPr>
                <w:rFonts w:hint="eastAsia" w:ascii="仿宋" w:hAnsi="仿宋" w:eastAsia="仿宋" w:cs="仿宋"/>
                <w:b w:val="0"/>
                <w:bCs/>
                <w:i w:val="0"/>
                <w:iCs w:val="0"/>
                <w:caps w:val="0"/>
                <w:color w:val="auto"/>
                <w:spacing w:val="0"/>
                <w:sz w:val="24"/>
                <w:szCs w:val="24"/>
                <w:shd w:val="clear" w:fill="FFFFFF"/>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服务期限、地点</w:t>
            </w:r>
          </w:p>
        </w:tc>
        <w:tc>
          <w:tcPr>
            <w:tcW w:w="6764" w:type="dxa"/>
          </w:tcPr>
          <w:p>
            <w:pPr>
              <w:pStyle w:val="40"/>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1、服务期限：</w:t>
            </w:r>
            <w:r>
              <w:rPr>
                <w:rFonts w:hint="eastAsia" w:ascii="仿宋" w:hAnsi="仿宋" w:eastAsia="仿宋" w:cs="仿宋"/>
                <w:color w:val="000000" w:themeColor="text1"/>
                <w:sz w:val="24"/>
                <w:highlight w:val="none"/>
                <w:lang w:val="en-US" w:eastAsia="zh-CN"/>
                <w14:textFill>
                  <w14:solidFill>
                    <w14:schemeClr w14:val="tx1"/>
                  </w14:solidFill>
                </w14:textFill>
              </w:rPr>
              <w:t>自合同签订之日起</w:t>
            </w:r>
            <w:r>
              <w:rPr>
                <w:rFonts w:hint="eastAsia" w:ascii="仿宋" w:hAnsi="仿宋" w:eastAsia="仿宋" w:cs="仿宋"/>
                <w:color w:val="000000" w:themeColor="text1"/>
                <w:sz w:val="24"/>
                <w:highlight w:val="none"/>
                <w14:textFill>
                  <w14:solidFill>
                    <w14:schemeClr w14:val="tx1"/>
                  </w14:solidFill>
                </w14:textFill>
              </w:rPr>
              <w:t>至2023年12月31日止</w:t>
            </w:r>
            <w:r>
              <w:rPr>
                <w:rFonts w:hint="eastAsia" w:ascii="仿宋" w:hAnsi="仿宋" w:eastAsia="仿宋" w:cs="仿宋"/>
                <w:color w:val="auto"/>
                <w:kern w:val="2"/>
                <w:sz w:val="24"/>
                <w:szCs w:val="24"/>
                <w:highlight w:val="none"/>
                <w:lang w:val="en-US" w:eastAsia="zh-CN" w:bidi="ar-SA"/>
              </w:rPr>
              <w:t>。</w:t>
            </w:r>
          </w:p>
          <w:p>
            <w:pPr>
              <w:pStyle w:val="40"/>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lang w:val="en-US" w:eastAsia="zh-CN" w:bidi="ar-SA"/>
              </w:rPr>
              <w:t>2、服务地点：甲方指定地点。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竞争性磋商文件发售</w:t>
            </w:r>
          </w:p>
        </w:tc>
        <w:tc>
          <w:tcPr>
            <w:tcW w:w="6764" w:type="dxa"/>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rPr>
              <w:t>日上午9:00-12:00，下午2:00-5:00时止（节假日除外）。</w:t>
            </w:r>
          </w:p>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发售地点：华招广和项目管理有限公司招标部（西安市朱雀大街南段1号汇成天玺C座18层1812室）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联合体磋商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现场勘查、标前答疑会</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不统一组织。供应商认为有必要可自行勘查，并承担所有费用及风险。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供应商对竞争性磋商文件提出质疑的时间</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构成竞争性磋商文件的其他文件</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磋商响应文件截止时间及磋商时间和地点</w:t>
            </w:r>
          </w:p>
        </w:tc>
        <w:tc>
          <w:tcPr>
            <w:tcW w:w="6764" w:type="dxa"/>
          </w:tcPr>
          <w:p>
            <w:pPr>
              <w:pStyle w:val="42"/>
              <w:keepNext w:val="0"/>
              <w:keepLines w:val="0"/>
              <w:pageBreakBefore w:val="0"/>
              <w:numPr>
                <w:ilvl w:val="0"/>
                <w:numId w:val="2"/>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磋商响应文件截止时间：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p>
            <w:pPr>
              <w:pStyle w:val="42"/>
              <w:keepNext w:val="0"/>
              <w:keepLines w:val="0"/>
              <w:pageBreakBefore w:val="0"/>
              <w:numPr>
                <w:ilvl w:val="0"/>
                <w:numId w:val="2"/>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3、磋商地点：华招广和项目管理有限公司会议室（西安市朱雀大街南段1号汇成天玺C座18层</w:t>
            </w:r>
            <w:r>
              <w:rPr>
                <w:rFonts w:hint="eastAsia" w:ascii="仿宋" w:hAnsi="仿宋" w:eastAsia="仿宋" w:cs="仿宋"/>
                <w:color w:val="auto"/>
                <w:sz w:val="24"/>
                <w:szCs w:val="24"/>
                <w:highlight w:val="none"/>
                <w:lang w:val="en-US" w:eastAsia="zh-CN"/>
              </w:rPr>
              <w:t>1818</w:t>
            </w:r>
            <w:r>
              <w:rPr>
                <w:rFonts w:hint="eastAsia" w:ascii="仿宋" w:hAnsi="仿宋" w:eastAsia="仿宋" w:cs="仿宋"/>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磋商响应有效期</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自提交磋商响应文件截止之日起90个日历日。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磋商担保</w:t>
            </w:r>
          </w:p>
        </w:tc>
        <w:tc>
          <w:tcPr>
            <w:tcW w:w="6764" w:type="dxa"/>
          </w:tcPr>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1、磋商保证金：</w:t>
            </w:r>
            <w:r>
              <w:rPr>
                <w:rFonts w:hint="eastAsia" w:ascii="仿宋" w:hAnsi="仿宋" w:eastAsia="仿宋" w:cs="仿宋"/>
                <w:b/>
                <w:bCs w:val="0"/>
                <w:sz w:val="24"/>
                <w:highlight w:val="none"/>
              </w:rPr>
              <w:t>人民币</w:t>
            </w:r>
            <w:r>
              <w:rPr>
                <w:rFonts w:hint="eastAsia" w:ascii="仿宋" w:hAnsi="仿宋" w:eastAsia="仿宋" w:cs="仿宋"/>
                <w:b/>
                <w:bCs w:val="0"/>
                <w:sz w:val="24"/>
                <w:highlight w:val="none"/>
                <w:lang w:val="en-US" w:eastAsia="zh-CN"/>
              </w:rPr>
              <w:t>贰万玖仟元</w:t>
            </w:r>
            <w:r>
              <w:rPr>
                <w:rFonts w:hint="eastAsia" w:ascii="仿宋" w:hAnsi="仿宋" w:eastAsia="仿宋" w:cs="仿宋"/>
                <w:b/>
                <w:bCs w:val="0"/>
                <w:sz w:val="24"/>
                <w:highlight w:val="none"/>
              </w:rPr>
              <w:t>整</w:t>
            </w:r>
            <w:r>
              <w:rPr>
                <w:rFonts w:hint="eastAsia" w:ascii="仿宋" w:hAnsi="仿宋" w:eastAsia="仿宋" w:cs="仿宋"/>
                <w:b w:val="0"/>
                <w:bCs/>
                <w:sz w:val="24"/>
                <w:highlight w:val="none"/>
              </w:rPr>
              <w:t>。</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2、磋商保证金交纳方式：供应商可自主选择以银行网银转账、支票、汇票、本票、保函等非现金形式交纳或提交磋商保证金。</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3、请供应商按规定时间</w:t>
            </w:r>
            <w:r>
              <w:rPr>
                <w:rFonts w:hint="eastAsia" w:ascii="仿宋" w:hAnsi="仿宋" w:eastAsia="仿宋" w:cs="仿宋"/>
                <w:b w:val="0"/>
                <w:bCs/>
                <w:color w:val="auto"/>
                <w:sz w:val="24"/>
                <w:highlight w:val="none"/>
              </w:rPr>
              <w:t>（202</w:t>
            </w:r>
            <w:r>
              <w:rPr>
                <w:rFonts w:hint="eastAsia" w:ascii="仿宋" w:hAnsi="仿宋" w:eastAsia="仿宋" w:cs="仿宋"/>
                <w:b w:val="0"/>
                <w:bCs/>
                <w:color w:val="auto"/>
                <w:sz w:val="24"/>
                <w:highlight w:val="none"/>
                <w:lang w:val="en-US" w:eastAsia="zh-CN"/>
              </w:rPr>
              <w:t>2</w:t>
            </w:r>
            <w:r>
              <w:rPr>
                <w:rFonts w:hint="eastAsia" w:ascii="仿宋" w:hAnsi="仿宋" w:eastAsia="仿宋" w:cs="仿宋"/>
                <w:b w:val="0"/>
                <w:bCs/>
                <w:color w:val="auto"/>
                <w:sz w:val="24"/>
                <w:highlight w:val="none"/>
              </w:rPr>
              <w:t>年</w:t>
            </w:r>
            <w:r>
              <w:rPr>
                <w:rFonts w:hint="eastAsia" w:ascii="仿宋" w:hAnsi="仿宋" w:eastAsia="仿宋" w:cs="仿宋"/>
                <w:b w:val="0"/>
                <w:bCs/>
                <w:color w:val="auto"/>
                <w:sz w:val="24"/>
                <w:highlight w:val="none"/>
                <w:lang w:val="en-US" w:eastAsia="zh-CN"/>
              </w:rPr>
              <w:t>9</w:t>
            </w:r>
            <w:r>
              <w:rPr>
                <w:rFonts w:hint="eastAsia" w:ascii="仿宋" w:hAnsi="仿宋" w:eastAsia="仿宋" w:cs="仿宋"/>
                <w:b w:val="0"/>
                <w:bCs/>
                <w:color w:val="auto"/>
                <w:sz w:val="24"/>
                <w:highlight w:val="none"/>
              </w:rPr>
              <w:t>月</w:t>
            </w:r>
            <w:r>
              <w:rPr>
                <w:rFonts w:hint="eastAsia" w:ascii="仿宋" w:hAnsi="仿宋" w:eastAsia="仿宋" w:cs="仿宋"/>
                <w:b w:val="0"/>
                <w:bCs/>
                <w:color w:val="auto"/>
                <w:sz w:val="24"/>
                <w:highlight w:val="none"/>
                <w:lang w:val="en-US" w:eastAsia="zh-CN"/>
              </w:rPr>
              <w:t>21</w:t>
            </w:r>
            <w:r>
              <w:rPr>
                <w:rFonts w:hint="eastAsia" w:ascii="仿宋" w:hAnsi="仿宋" w:eastAsia="仿宋" w:cs="仿宋"/>
                <w:b w:val="0"/>
                <w:bCs/>
                <w:color w:val="auto"/>
                <w:sz w:val="24"/>
                <w:highlight w:val="none"/>
              </w:rPr>
              <w:t>日</w:t>
            </w:r>
            <w:r>
              <w:rPr>
                <w:rFonts w:hint="eastAsia" w:ascii="仿宋" w:hAnsi="仿宋" w:eastAsia="仿宋" w:cs="仿宋"/>
                <w:b w:val="0"/>
                <w:bCs/>
                <w:color w:val="auto"/>
                <w:sz w:val="24"/>
                <w:highlight w:val="none"/>
                <w:lang w:eastAsia="zh-CN"/>
              </w:rPr>
              <w:t>下</w:t>
            </w:r>
            <w:r>
              <w:rPr>
                <w:rFonts w:hint="eastAsia" w:ascii="仿宋" w:hAnsi="仿宋" w:eastAsia="仿宋" w:cs="仿宋"/>
                <w:b w:val="0"/>
                <w:bCs/>
                <w:color w:val="auto"/>
                <w:sz w:val="24"/>
                <w:highlight w:val="none"/>
              </w:rPr>
              <w:t>午</w:t>
            </w:r>
            <w:r>
              <w:rPr>
                <w:rFonts w:hint="eastAsia" w:ascii="仿宋" w:hAnsi="仿宋" w:eastAsia="仿宋" w:cs="仿宋"/>
                <w:b w:val="0"/>
                <w:bCs/>
                <w:color w:val="auto"/>
                <w:sz w:val="24"/>
                <w:highlight w:val="none"/>
                <w:lang w:val="en-US" w:eastAsia="zh-CN"/>
              </w:rPr>
              <w:t>14</w:t>
            </w:r>
            <w:r>
              <w:rPr>
                <w:rFonts w:hint="eastAsia" w:ascii="仿宋" w:hAnsi="仿宋" w:eastAsia="仿宋" w:cs="仿宋"/>
                <w:b w:val="0"/>
                <w:bCs/>
                <w:color w:val="auto"/>
                <w:sz w:val="24"/>
                <w:highlight w:val="none"/>
              </w:rPr>
              <w:t>:</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rPr>
              <w:t>0前）</w:t>
            </w:r>
            <w:r>
              <w:rPr>
                <w:rFonts w:hint="eastAsia" w:ascii="仿宋" w:hAnsi="仿宋" w:eastAsia="仿宋" w:cs="仿宋"/>
                <w:b w:val="0"/>
                <w:bCs/>
                <w:sz w:val="24"/>
                <w:highlight w:val="none"/>
              </w:rPr>
              <w:t xml:space="preserve">和方式提交保证金，避免银行退票等原因出现保证金未按时到账等情况影响正常投标。请务必在转账时在摘要处注明：项目编号，同时请次日电话查询是否到账：029-87592322。 </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4、供应商未按照竞争性磋商文件要求提交保证金的，磋商响应文件无效。磋商保证金提交以到账时间为准。</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b/>
                <w:color w:val="auto"/>
                <w:sz w:val="24"/>
                <w:highlight w:val="none"/>
              </w:rPr>
            </w:pPr>
            <w:r>
              <w:rPr>
                <w:rFonts w:hint="eastAsia" w:ascii="仿宋" w:hAnsi="仿宋" w:eastAsia="仿宋" w:cs="仿宋"/>
                <w:b/>
                <w:bCs w:val="0"/>
                <w:sz w:val="24"/>
                <w:highlight w:val="none"/>
              </w:rPr>
              <w:t>备注：以保函形式提交</w:t>
            </w:r>
            <w:r>
              <w:rPr>
                <w:rFonts w:hint="eastAsia" w:ascii="仿宋" w:hAnsi="仿宋" w:eastAsia="仿宋" w:cs="仿宋"/>
                <w:b/>
                <w:bCs w:val="0"/>
                <w:sz w:val="24"/>
                <w:highlight w:val="none"/>
                <w:lang w:val="en-US" w:eastAsia="zh-CN"/>
              </w:rPr>
              <w:t>磋商</w:t>
            </w:r>
            <w:r>
              <w:rPr>
                <w:rFonts w:hint="eastAsia" w:ascii="仿宋" w:hAnsi="仿宋" w:eastAsia="仿宋" w:cs="仿宋"/>
                <w:b/>
                <w:bCs w:val="0"/>
                <w:sz w:val="24"/>
                <w:highlight w:val="none"/>
              </w:rPr>
              <w:t>保证金的，</w:t>
            </w:r>
            <w:r>
              <w:rPr>
                <w:rFonts w:hint="eastAsia" w:ascii="仿宋" w:hAnsi="仿宋" w:eastAsia="仿宋" w:cs="仿宋"/>
                <w:b/>
                <w:bCs w:val="0"/>
                <w:sz w:val="24"/>
                <w:highlight w:val="none"/>
                <w:lang w:val="en-US" w:eastAsia="zh-CN"/>
              </w:rPr>
              <w:t>磋商</w:t>
            </w:r>
            <w:r>
              <w:rPr>
                <w:rFonts w:hint="eastAsia" w:ascii="仿宋" w:hAnsi="仿宋" w:eastAsia="仿宋" w:cs="仿宋"/>
                <w:b/>
                <w:bCs w:val="0"/>
                <w:sz w:val="24"/>
                <w:highlight w:val="none"/>
              </w:rPr>
              <w:t>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汇款账户</w:t>
            </w:r>
          </w:p>
        </w:tc>
        <w:tc>
          <w:tcPr>
            <w:tcW w:w="6764" w:type="dxa"/>
          </w:tcPr>
          <w:p>
            <w:pPr>
              <w:pStyle w:val="40"/>
              <w:spacing w:line="560" w:lineRule="exact"/>
              <w:ind w:firstLine="0" w:firstLineChars="0"/>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中国建设银行：招标服务费（交纳账户）</w:t>
            </w:r>
          </w:p>
          <w:p>
            <w:pPr>
              <w:pStyle w:val="40"/>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名称：华招广和项目管理有限公司</w:t>
            </w:r>
          </w:p>
          <w:p>
            <w:pPr>
              <w:pStyle w:val="40"/>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开户行：中国建设银行股份有限公司西安金泰假日花城支行</w:t>
            </w:r>
          </w:p>
          <w:p>
            <w:pPr>
              <w:pStyle w:val="40"/>
              <w:spacing w:line="560" w:lineRule="exact"/>
              <w:ind w:firstLine="0" w:firstLine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帐号：6105 0186 5800 0000 0059</w:t>
            </w:r>
          </w:p>
          <w:p>
            <w:pPr>
              <w:pStyle w:val="40"/>
              <w:spacing w:line="560" w:lineRule="exact"/>
              <w:ind w:firstLine="0" w:firstLineChars="0"/>
              <w:rPr>
                <w:rFonts w:hint="eastAsia" w:ascii="楷体" w:hAnsi="楷体" w:eastAsia="楷体" w:cs="楷体"/>
                <w:sz w:val="24"/>
                <w:szCs w:val="24"/>
                <w:highlight w:val="none"/>
                <w:lang w:val="en-US" w:eastAsia="zh-CN"/>
              </w:rPr>
            </w:pPr>
          </w:p>
          <w:p>
            <w:pPr>
              <w:pStyle w:val="40"/>
              <w:spacing w:line="560" w:lineRule="exact"/>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中信</w:t>
            </w:r>
            <w:r>
              <w:rPr>
                <w:rFonts w:hint="eastAsia" w:ascii="仿宋" w:hAnsi="仿宋" w:eastAsia="仿宋" w:cs="仿宋"/>
                <w:sz w:val="24"/>
                <w:szCs w:val="24"/>
                <w:highlight w:val="none"/>
              </w:rPr>
              <w:t>银行：</w:t>
            </w:r>
            <w:r>
              <w:rPr>
                <w:rFonts w:hint="eastAsia" w:ascii="仿宋" w:hAnsi="仿宋" w:eastAsia="仿宋" w:cs="仿宋"/>
                <w:b/>
                <w:bCs/>
                <w:sz w:val="24"/>
                <w:szCs w:val="24"/>
                <w:highlight w:val="none"/>
              </w:rPr>
              <w:t>磋商保证金</w:t>
            </w:r>
            <w:r>
              <w:rPr>
                <w:rFonts w:hint="eastAsia" w:ascii="仿宋" w:hAnsi="仿宋" w:eastAsia="仿宋" w:cs="仿宋"/>
                <w:sz w:val="24"/>
                <w:szCs w:val="24"/>
                <w:highlight w:val="none"/>
              </w:rPr>
              <w:t>（交纳专户）</w:t>
            </w: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名称：华招广和项目管理有限公司</w:t>
            </w: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账号：8111701011900609835</w:t>
            </w: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开户行：中信银行西安朱雀南路支行</w:t>
            </w:r>
          </w:p>
          <w:p>
            <w:pPr>
              <w:pStyle w:val="40"/>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b/>
                <w:color w:val="auto"/>
                <w:sz w:val="24"/>
                <w:szCs w:val="24"/>
                <w:highlight w:val="none"/>
              </w:rPr>
            </w:pPr>
            <w:r>
              <w:rPr>
                <w:rFonts w:hint="eastAsia" w:ascii="仿宋" w:hAnsi="仿宋" w:eastAsia="仿宋" w:cs="仿宋"/>
                <w:b/>
                <w:sz w:val="24"/>
                <w:szCs w:val="24"/>
                <w:highlight w:val="none"/>
              </w:rPr>
              <w:t>注:标书费、招标服务费可以采用转账、现金形式交纳；保证金仅限于通过对公账户以转账形式交纳。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备选磋商方案</w:t>
            </w: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和报价</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盖章签字</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竞争性磋商响应文件数量、装订</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auto"/>
                <w:sz w:val="24"/>
                <w:highlight w:val="none"/>
                <w:lang w:eastAsia="zh-CN"/>
              </w:rPr>
              <w:t>用</w:t>
            </w:r>
            <w:r>
              <w:rPr>
                <w:rFonts w:hint="eastAsia" w:ascii="仿宋" w:hAnsi="仿宋" w:eastAsia="仿宋" w:cs="仿宋"/>
                <w:color w:val="auto"/>
                <w:sz w:val="24"/>
                <w:highlight w:val="none"/>
              </w:rPr>
              <w:t>U盘或移动硬盘</w:t>
            </w:r>
            <w:r>
              <w:rPr>
                <w:rFonts w:hint="eastAsia" w:ascii="仿宋" w:hAnsi="仿宋" w:eastAsia="仿宋" w:cs="仿宋"/>
                <w:color w:val="auto"/>
                <w:sz w:val="24"/>
                <w:highlight w:val="none"/>
                <w:lang w:eastAsia="zh-CN"/>
              </w:rPr>
              <w:t>拷贝</w:t>
            </w:r>
            <w:r>
              <w:rPr>
                <w:rFonts w:hint="eastAsia" w:ascii="仿宋" w:hAnsi="仿宋" w:eastAsia="仿宋" w:cs="仿宋"/>
                <w:color w:val="auto"/>
                <w:sz w:val="24"/>
                <w:highlight w:val="none"/>
              </w:rPr>
              <w:t>），电子版</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文件提供</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文件正本的word版本及PDF版本（PDF文件为完整签字、盖章的正本扫描件）。纸质磋商响应文件均须A4纸打印（提倡双面打印），分别各自装订成册并编制目录和页码。电子版放置磋商响应文件正本标袋内。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磋商报价</w:t>
            </w:r>
          </w:p>
        </w:tc>
        <w:tc>
          <w:tcPr>
            <w:tcW w:w="6764" w:type="dxa"/>
            <w:vAlign w:val="center"/>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磋商报价=服务费+保险费+人员费+其他相关伴随费用。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评标办法及标准</w:t>
            </w:r>
          </w:p>
        </w:tc>
        <w:tc>
          <w:tcPr>
            <w:tcW w:w="6764" w:type="dxa"/>
            <w:vAlign w:val="center"/>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详见竞争性磋商文件第二章。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其它事项</w:t>
            </w:r>
          </w:p>
        </w:tc>
        <w:tc>
          <w:tcPr>
            <w:tcW w:w="6764" w:type="dxa"/>
            <w:vAlign w:val="center"/>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本次采购、磋商报价、评审和合同授予均以项目为单位，供应商必须就一个完整项目进行响应。成交供应商与采购人在成交通知书发出30天内签订合同，不及时签订视为自动放弃。非经采购人同意，本项目不允许成交后另行转包或者分包。成交人无正当理由不得放弃成交资格。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val="en-US" w:eastAsia="zh-CN"/>
              </w:rPr>
              <w:t>27</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eastAsia="zh-CN"/>
              </w:rPr>
              <w:t>本项目是否专门面向中小企业</w:t>
            </w:r>
          </w:p>
        </w:tc>
        <w:tc>
          <w:tcPr>
            <w:tcW w:w="6764" w:type="dxa"/>
            <w:vAlign w:val="center"/>
          </w:tcPr>
          <w:p>
            <w:pPr>
              <w:pStyle w:val="42"/>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000000"/>
                <w:kern w:val="2"/>
                <w:sz w:val="24"/>
                <w:szCs w:val="24"/>
                <w:highlight w:val="none"/>
                <w:lang w:eastAsia="zh-CN"/>
              </w:rPr>
              <w:t>□是</w:t>
            </w:r>
            <w:r>
              <w:rPr>
                <w:rFonts w:hint="eastAsia" w:ascii="仿宋" w:hAnsi="仿宋" w:eastAsia="仿宋" w:cs="仿宋"/>
                <w:color w:val="000000"/>
                <w:kern w:val="2"/>
                <w:sz w:val="24"/>
                <w:szCs w:val="24"/>
                <w:highlight w:val="none"/>
                <w:lang w:val="en-US" w:eastAsia="zh-CN"/>
              </w:rPr>
              <w:t xml:space="preserve">   </w:t>
            </w:r>
            <w:r>
              <w:rPr>
                <w:rFonts w:hint="eastAsia" w:ascii="仿宋" w:hAnsi="仿宋" w:eastAsia="仿宋" w:cs="仿宋"/>
                <w:color w:val="000000"/>
                <w:kern w:val="2"/>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28</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本项目所属行业</w:t>
            </w:r>
          </w:p>
        </w:tc>
        <w:tc>
          <w:tcPr>
            <w:tcW w:w="6764" w:type="dxa"/>
            <w:vAlign w:val="center"/>
          </w:tcPr>
          <w:p>
            <w:pPr>
              <w:pStyle w:val="42"/>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其他未列明行业</w:t>
            </w:r>
          </w:p>
        </w:tc>
      </w:tr>
    </w:tbl>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bookmarkStart w:id="3" w:name="_Toc12152"/>
      <w:r>
        <w:rPr>
          <w:rFonts w:hint="eastAsia" w:ascii="仿宋" w:hAnsi="仿宋" w:eastAsia="仿宋" w:cs="仿宋"/>
          <w:color w:val="000000" w:themeColor="text1"/>
          <w:kern w:val="0"/>
          <w:sz w:val="28"/>
          <w:szCs w:val="28"/>
          <w:highlight w:val="none"/>
          <w14:textFill>
            <w14:solidFill>
              <w14:schemeClr w14:val="tx1"/>
            </w14:solidFill>
          </w14:textFill>
        </w:rPr>
        <w:t>二、项目说明</w:t>
      </w:r>
      <w:bookmarkEnd w:id="3"/>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1、本项目说明详见供应商须知前附表。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2、本项目按照《中华人民共和国政府采购法》等有关法律、行政法规和部门规章，通过竞争性磋商方式择优选定成交供应商。</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4" w:name="_Toc458848734"/>
      <w:bookmarkStart w:id="5" w:name="_Toc24776"/>
      <w:bookmarkStart w:id="6" w:name="_Toc458848967"/>
      <w:bookmarkStart w:id="7" w:name="_Toc458848819"/>
      <w:r>
        <w:rPr>
          <w:rFonts w:hint="eastAsia" w:ascii="仿宋" w:hAnsi="仿宋" w:eastAsia="仿宋" w:cs="仿宋"/>
          <w:color w:val="000000" w:themeColor="text1"/>
          <w:kern w:val="0"/>
          <w:sz w:val="28"/>
          <w:szCs w:val="28"/>
          <w:highlight w:val="none"/>
          <w14:textFill>
            <w14:solidFill>
              <w14:schemeClr w14:val="tx1"/>
            </w14:solidFill>
          </w14:textFill>
        </w:rPr>
        <w:t>三、竞争性磋商文件</w:t>
      </w:r>
      <w:bookmarkEnd w:id="4"/>
      <w:bookmarkEnd w:id="5"/>
      <w:bookmarkEnd w:id="6"/>
      <w:bookmarkEnd w:id="7"/>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1、竞争性磋商文件购买：供应商须经过正常渠道购买竞争性磋商文件，且供应商名称与登记领取竞争性磋商文件的单位名称一致，否则将作为无效响应处理。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2、竞争性磋商文件由竞争性磋商文件目录前五章组成。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3、供应商应详细阅读和充分理解竞争性磋商文件所有的事项、格式、条款和规范要求等，在竞争性磋商响应文件中对竞争性磋商文件的各方面都做出实质性的响应，按照竞争性磋商文件的要求提交全部资料。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4、竞争性磋商文件的澄清或修改：</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5、供应商若对磋商文件有任何疑问，可以以书面形式向采购代理机构提出询问。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6、供应商认为竞争性磋商文件使自己的权益受到损害的，在收到竞争性磋商文件之日起七个工作日内，以书面形式向采购代理机构提出质疑，逾期提出的无效，因此带来的一切不利后果由供应商自负。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8、供应商必须从采购代理机构购买竞争性磋商文件，供应商自行转让或复制竞争性磋商文件视为无效。竞争性磋商文件售后不退，仅作为本次采购使用。</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9、如发现竞争性磋商文件内容与现行法律法规不相符的情况，以现行法律法规为准。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10、现场勘查、标前答疑会：见须知前附表。</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8" w:name="_Toc1600"/>
      <w:bookmarkStart w:id="9" w:name="_Toc458848735"/>
      <w:bookmarkStart w:id="10" w:name="_Toc458848968"/>
      <w:bookmarkStart w:id="11" w:name="_Toc458848820"/>
      <w:r>
        <w:rPr>
          <w:rFonts w:hint="eastAsia" w:ascii="仿宋" w:hAnsi="仿宋" w:eastAsia="仿宋" w:cs="仿宋"/>
          <w:color w:val="000000" w:themeColor="text1"/>
          <w:kern w:val="0"/>
          <w:sz w:val="28"/>
          <w:szCs w:val="28"/>
          <w:highlight w:val="none"/>
          <w14:textFill>
            <w14:solidFill>
              <w14:schemeClr w14:val="tx1"/>
            </w14:solidFill>
          </w14:textFill>
        </w:rPr>
        <w:t>四、竞争性磋商响应文件</w:t>
      </w:r>
      <w:bookmarkEnd w:id="8"/>
      <w:bookmarkEnd w:id="9"/>
      <w:bookmarkEnd w:id="10"/>
      <w:bookmarkEnd w:id="1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i w:val="0"/>
          <w:iCs w:val="0"/>
          <w:caps w:val="0"/>
          <w:color w:val="auto"/>
          <w:spacing w:val="0"/>
          <w:sz w:val="24"/>
          <w:szCs w:val="24"/>
          <w:shd w:val="clear" w:fill="FFFFFF"/>
          <w:lang w:val="en-US" w:eastAsia="zh-CN"/>
        </w:rPr>
        <w:t>7</w:t>
      </w:r>
      <w:r>
        <w:rPr>
          <w:rFonts w:hint="eastAsia" w:ascii="仿宋" w:hAnsi="仿宋" w:eastAsia="仿宋" w:cs="仿宋"/>
          <w:i w:val="0"/>
          <w:iCs w:val="0"/>
          <w:caps w:val="0"/>
          <w:color w:val="auto"/>
          <w:spacing w:val="0"/>
          <w:sz w:val="24"/>
          <w:szCs w:val="24"/>
          <w:shd w:val="clear" w:fill="FFFFFF"/>
        </w:rPr>
        <w:t>、本项目不接受联合体磋商。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2、合格供应商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依照《中华人民共和国公司法》合法注册的法人或其他组织、符合《中华人民共和国政府采购法》</w:t>
      </w:r>
      <w:bookmarkStart w:id="12" w:name="OLE_LINK8"/>
      <w:r>
        <w:rPr>
          <w:rFonts w:hint="eastAsia" w:ascii="仿宋" w:hAnsi="仿宋" w:eastAsia="仿宋" w:cs="仿宋"/>
          <w:color w:val="000000" w:themeColor="text1"/>
          <w:sz w:val="24"/>
          <w:highlight w:val="none"/>
          <w14:textFill>
            <w14:solidFill>
              <w14:schemeClr w14:val="tx1"/>
            </w14:solidFill>
          </w14:textFill>
        </w:rPr>
        <w:t>及其实施条例等有关法律法规的规定</w:t>
      </w:r>
      <w:bookmarkEnd w:id="12"/>
      <w:r>
        <w:rPr>
          <w:rFonts w:hint="eastAsia" w:ascii="仿宋" w:hAnsi="仿宋" w:eastAsia="仿宋" w:cs="仿宋"/>
          <w:color w:val="000000" w:themeColor="text1"/>
          <w:sz w:val="24"/>
          <w:highlight w:val="none"/>
          <w14:textFill>
            <w14:solidFill>
              <w14:schemeClr w14:val="tx1"/>
            </w14:solidFill>
          </w14:textFill>
        </w:rPr>
        <w:t>并满足本项目资格条件。不符合上述规定的供应商，磋商响应无效。</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3、供应商信用信息：</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3-1、采购人或采购代理机构将于本项目磋商截止日在‘信用中国’网站、‘中国政府采购网’网站等渠道对供应商进行信用记录查询，</w:t>
      </w:r>
      <w:r>
        <w:rPr>
          <w:rFonts w:hint="eastAsia" w:ascii="仿宋" w:hAnsi="仿宋" w:eastAsia="仿宋" w:cs="仿宋"/>
          <w:color w:val="000000" w:themeColor="text1"/>
          <w:sz w:val="24"/>
          <w:highlight w:val="none"/>
          <w:lang w:eastAsia="zh-CN"/>
          <w14:textFill>
            <w14:solidFill>
              <w14:schemeClr w14:val="tx1"/>
            </w14:solidFill>
          </w14:textFill>
        </w:rPr>
        <w:t>查询的信用记录将进行打印存档，</w:t>
      </w:r>
      <w:r>
        <w:rPr>
          <w:rFonts w:hint="eastAsia" w:ascii="仿宋" w:hAnsi="仿宋" w:eastAsia="仿宋" w:cs="仿宋"/>
          <w:color w:val="000000" w:themeColor="text1"/>
          <w:sz w:val="24"/>
          <w:highlight w:val="none"/>
          <w14:textFill>
            <w14:solidFill>
              <w14:schemeClr w14:val="tx1"/>
            </w14:solidFill>
          </w14:textFill>
        </w:rPr>
        <w:t>凡被列入失信被执行人、重大税收违法案件当事人名单、政府采购严重违法失信行为记录名单的，视为存在不良信用记录，参与本项目的将被拒绝。</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3-2、特别说明：</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（1）供应商如在成交通知书发出前出现违法失信行为，采购人仍有权利提请评审委员会取消其成交资格；</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（2）供应商在磋商响应文件中已出具的信用查询结果并不能取代采购人或采购代理机构在评审前进行复查。</w:t>
      </w:r>
    </w:p>
    <w:p>
      <w:pPr>
        <w:pageBreakBefore w:val="0"/>
        <w:widowControl/>
        <w:shd w:val="clear" w:color="auto" w:fill="FFFFFF"/>
        <w:kinsoku/>
        <w:wordWrap/>
        <w:topLinePunct w:val="0"/>
        <w:autoSpaceDE/>
        <w:autoSpaceDN/>
        <w:bidi w:val="0"/>
        <w:spacing w:line="64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4、竞争性磋商响应文件的组成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4-1、竞争性磋商函（格式）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4-2、磋商报价一览表（格式）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w:t>
      </w:r>
      <w:r>
        <w:rPr>
          <w:rFonts w:hint="eastAsia" w:ascii="仿宋" w:hAnsi="仿宋" w:eastAsia="仿宋" w:cs="仿宋"/>
          <w:color w:val="000000" w:themeColor="text1"/>
          <w:sz w:val="24"/>
          <w:highlight w:val="none"/>
          <w:lang w:val="en-US" w:eastAsia="zh-CN"/>
          <w14:textFill>
            <w14:solidFill>
              <w14:schemeClr w14:val="tx1"/>
            </w14:solidFill>
          </w14:textFill>
        </w:rPr>
        <w:t>自拟</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、201</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年1月1日至今</w:t>
      </w:r>
      <w:r>
        <w:rPr>
          <w:rFonts w:hint="eastAsia" w:ascii="仿宋" w:hAnsi="仿宋" w:eastAsia="仿宋" w:cs="仿宋"/>
          <w:color w:val="000000" w:themeColor="text1"/>
          <w:sz w:val="24"/>
          <w:highlight w:val="none"/>
          <w:lang w:val="en-US" w:eastAsia="zh-CN"/>
          <w14:textFill>
            <w14:solidFill>
              <w14:schemeClr w14:val="tx1"/>
            </w14:solidFill>
          </w14:textFill>
        </w:rPr>
        <w:t>类似</w:t>
      </w:r>
      <w:r>
        <w:rPr>
          <w:rFonts w:hint="eastAsia" w:ascii="仿宋" w:hAnsi="仿宋" w:eastAsia="仿宋" w:cs="仿宋"/>
          <w:color w:val="000000" w:themeColor="text1"/>
          <w:sz w:val="24"/>
          <w:highlight w:val="none"/>
          <w14:textFill>
            <w14:solidFill>
              <w14:schemeClr w14:val="tx1"/>
            </w14:solidFill>
          </w14:textFill>
        </w:rPr>
        <w:t>项目业绩（提供合同复印件加盖公章）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4-8</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服务方案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4-9、人员与设备配备（格式）</w:t>
      </w:r>
    </w:p>
    <w:p>
      <w:pPr>
        <w:pageBreakBefore w:val="0"/>
        <w:kinsoku/>
        <w:wordWrap/>
        <w:topLinePunct w:val="0"/>
        <w:autoSpaceDE/>
        <w:autoSpaceDN/>
        <w:bidi w:val="0"/>
        <w:spacing w:line="640" w:lineRule="exact"/>
        <w:ind w:firstLine="480" w:firstLineChars="2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4-10、售后服务承诺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磋商文件要求的其他资料及供应商认为需要提供的文件和资料。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5、竞争性磋商响应文件编写说明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5-1、竞争性磋商响应文件格式：竞争性磋商响应文件应当按照竞争性磋商文件给定的格式和要求编制，格式之外的可自行编写。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如有遗漏，将作为无效磋商响应处理。副本可以是正本的复印件。如果正本与副本不一致，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5-3、除供应商对错误处需修改外，全套竞争性磋商响应文件应无涂改或行间插字或增删。如有修改，修改处应加盖供应商公章及法定代表人或被授权人签字（或盖章）确认。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5-4、竞争性磋商响应文件的正本和副本均需打印或用不褪色、不变质的墨水书写。因字迹潦草或表达不清所引起的后果由供应商自行负责。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5-5、竞争性磋商响应文件电子版内容须与竞争性磋商响应文件纸质版正本中的内容一致。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6、磋商文件的装订及密封</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000000" w:themeColor="text1"/>
          <w:sz w:val="24"/>
          <w:highlight w:val="none"/>
          <w:lang w:eastAsia="zh-CN"/>
          <w14:textFill>
            <w14:solidFill>
              <w14:schemeClr w14:val="tx1"/>
            </w14:solidFill>
          </w14:textFill>
        </w:rPr>
        <w:t>用</w:t>
      </w:r>
      <w:r>
        <w:rPr>
          <w:rFonts w:hint="eastAsia" w:ascii="仿宋" w:hAnsi="仿宋" w:eastAsia="仿宋" w:cs="仿宋"/>
          <w:color w:val="000000" w:themeColor="text1"/>
          <w:sz w:val="24"/>
          <w:highlight w:val="none"/>
          <w14:textFill>
            <w14:solidFill>
              <w14:schemeClr w14:val="tx1"/>
            </w14:solidFill>
          </w14:textFill>
        </w:rPr>
        <w:t>U盘或移动硬盘</w:t>
      </w:r>
      <w:r>
        <w:rPr>
          <w:rFonts w:hint="eastAsia" w:ascii="仿宋" w:hAnsi="仿宋" w:eastAsia="仿宋" w:cs="仿宋"/>
          <w:color w:val="000000" w:themeColor="text1"/>
          <w:sz w:val="24"/>
          <w:highlight w:val="none"/>
          <w:lang w:eastAsia="zh-CN"/>
          <w14:textFill>
            <w14:solidFill>
              <w14:schemeClr w14:val="tx1"/>
            </w14:solidFill>
          </w14:textFill>
        </w:rPr>
        <w:t>拷贝</w:t>
      </w:r>
      <w:r>
        <w:rPr>
          <w:rFonts w:hint="eastAsia" w:ascii="仿宋" w:hAnsi="仿宋" w:eastAsia="仿宋" w:cs="仿宋"/>
          <w:color w:val="000000" w:themeColor="text1"/>
          <w:sz w:val="24"/>
          <w:highlight w:val="none"/>
          <w14:textFill>
            <w14:solidFill>
              <w14:schemeClr w14:val="tx1"/>
            </w14:solidFill>
          </w14:textFill>
        </w:rPr>
        <w:t>），电子版</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文件提供</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文件正本的word版本及PDF版本（PDF文件为完整签字、盖章的正本扫描件）。纸质磋商响应文件均须A4纸打印（提倡双面打印），分别各自装订成册并编制目录和页码。电子版放置磋商响应文件正本标袋内。</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7、竞争性磋商响应文件的计量单位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竞争性磋商响应文件中所使用的计量单位，除有特殊要求外，均采用国家法定计量单位。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8、磋商报价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8-1、磋商报价=服务费+保险费+人员费+其他相关伴随费用</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8-2、供应商所报的磋商价在合同执行过程中是固定不变的，不得以任何理由予以变更。任何包含价格调整要求的磋商，将被认为是非响应性磋商而予以拒绝。</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8-3、</w:t>
      </w:r>
      <w:r>
        <w:rPr>
          <w:rFonts w:hint="eastAsia" w:ascii="仿宋" w:hAnsi="仿宋" w:eastAsia="仿宋" w:cs="仿宋"/>
          <w:color w:val="000000" w:themeColor="text1"/>
          <w:sz w:val="24"/>
          <w:highlight w:val="none"/>
          <w14:textFill>
            <w14:solidFill>
              <w14:schemeClr w14:val="tx1"/>
            </w14:solidFill>
          </w14:textFill>
        </w:rPr>
        <w:t>不接受超过</w:t>
      </w:r>
      <w:r>
        <w:rPr>
          <w:rFonts w:hint="eastAsia" w:ascii="仿宋" w:hAnsi="仿宋" w:eastAsia="仿宋" w:cs="仿宋"/>
          <w:color w:val="000000" w:themeColor="text1"/>
          <w:sz w:val="24"/>
          <w:highlight w:val="none"/>
          <w:lang w:eastAsia="zh-CN"/>
          <w14:textFill>
            <w14:solidFill>
              <w14:schemeClr w14:val="tx1"/>
            </w14:solidFill>
          </w14:textFill>
        </w:rPr>
        <w:t>竞争性磋商文件</w:t>
      </w:r>
      <w:r>
        <w:rPr>
          <w:rFonts w:hint="eastAsia" w:ascii="仿宋" w:hAnsi="仿宋" w:eastAsia="仿宋" w:cs="仿宋"/>
          <w:color w:val="000000" w:themeColor="text1"/>
          <w:sz w:val="24"/>
          <w:highlight w:val="none"/>
          <w14:textFill>
            <w14:solidFill>
              <w14:schemeClr w14:val="tx1"/>
            </w14:solidFill>
          </w14:textFill>
        </w:rPr>
        <w:t>中规定的预算金额或者最高限价的报价、可变动性报价、赠送及“零”报价，否则视为无效投标。</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9、各供应商须对以下内容做出承诺：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9-1、供应商不得以他人名义磋商和串通磋商。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9-2、必须根据竞争性磋商文件要求进行服务；</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9-3、非经采购人同意，不得将本项目内容进行分包实施，一经发现，立即取消其成交资格，并承担由此引起的一切经济损失；经采购人同意，成交人可以依法采取分包方式履行合同。</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9-4、接受采购人委托的相关单位对服务内容、质量、进度、实施方案、价款支付与结算等的监督和管理。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9-5、供应商应保证在本项目使用的任何服务的任何一部分，不会产生因第三方提出的侵犯其专利权、商标权、著作权或其它知识产权而引起的法律和经济纠纷，由此引起的纠纷，由供应商承担所有相关责任；</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报价中必须包含合法获得该知识产权的相关费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9-7、供应商不能以“赠送”、“赠予”等任何名义提供货物和服务规避竞争性磋商文件的约束。否则，将作为无效响应文件处理。供应商的行为将作为以不正当手段排挤其他供应商认定。</w:t>
      </w:r>
    </w:p>
    <w:p>
      <w:pPr>
        <w:pStyle w:val="4"/>
        <w:pageBreakBefore w:val="0"/>
        <w:kinsoku/>
        <w:overflowPunct/>
        <w:autoSpaceDE/>
        <w:autoSpaceDN/>
        <w:bidi w:val="0"/>
        <w:adjustRightInd/>
        <w:snapToGrid/>
        <w:spacing w:before="0" w:after="0" w:line="560" w:lineRule="exact"/>
        <w:textAlignment w:val="auto"/>
        <w:rPr>
          <w:rFonts w:hint="eastAsia" w:ascii="仿宋" w:hAnsi="仿宋" w:eastAsia="仿宋" w:cs="仿宋"/>
          <w:color w:val="auto"/>
          <w:kern w:val="0"/>
          <w:sz w:val="28"/>
          <w:szCs w:val="28"/>
          <w:highlight w:val="none"/>
        </w:rPr>
      </w:pPr>
      <w:bookmarkStart w:id="13" w:name="_Toc458848969"/>
      <w:bookmarkStart w:id="14" w:name="_Toc458848821"/>
      <w:bookmarkStart w:id="15" w:name="_Toc458848736"/>
      <w:bookmarkStart w:id="16" w:name="_Toc3854"/>
      <w:bookmarkStart w:id="17" w:name="_Toc14492"/>
      <w:bookmarkStart w:id="18" w:name="_Toc5793"/>
      <w:bookmarkStart w:id="19" w:name="_Toc458848970"/>
      <w:bookmarkStart w:id="20" w:name="_Toc458848822"/>
      <w:bookmarkStart w:id="21" w:name="_Toc458848737"/>
      <w:r>
        <w:rPr>
          <w:rFonts w:hint="eastAsia" w:ascii="仿宋" w:hAnsi="仿宋" w:eastAsia="仿宋" w:cs="仿宋"/>
          <w:color w:val="auto"/>
          <w:kern w:val="0"/>
          <w:sz w:val="28"/>
          <w:szCs w:val="28"/>
          <w:highlight w:val="none"/>
        </w:rPr>
        <w:t>五、磋商担保</w:t>
      </w:r>
      <w:bookmarkEnd w:id="13"/>
      <w:bookmarkEnd w:id="14"/>
      <w:bookmarkEnd w:id="15"/>
      <w:bookmarkEnd w:id="16"/>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1、担保方式：见供应商须知前附表。</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2、磋商担保递交截止时间：见供应商须知前附表。</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3、供应商参加磋商时，必须以竞争性磋商文件规定的方式提交磋商担保，并作为其磋商响应的一部分。磋商现场不办理担保收取事宜。若</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未在磋商担保递交截止时间收到足额磋商保证金或有效磋商担保函的，或未在磋商响应文件中附磋商担保凭证的，其磋商响应文件无效。</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4、退还磋商保证金：</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（1）在</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截止时间前撤回已提交</w:t>
      </w:r>
      <w:r>
        <w:rPr>
          <w:rFonts w:hint="eastAsia" w:ascii="仿宋" w:hAnsi="仿宋" w:eastAsia="仿宋" w:cs="仿宋"/>
          <w:b/>
          <w:bCs/>
          <w:color w:val="auto"/>
          <w:sz w:val="24"/>
          <w:highlight w:val="none"/>
          <w:u w:val="single"/>
          <w:lang w:val="en-US" w:eastAsia="zh-CN"/>
        </w:rPr>
        <w:t>磋商响应</w:t>
      </w:r>
      <w:r>
        <w:rPr>
          <w:rFonts w:hint="eastAsia" w:ascii="仿宋" w:hAnsi="仿宋" w:eastAsia="仿宋" w:cs="仿宋"/>
          <w:b/>
          <w:bCs/>
          <w:color w:val="auto"/>
          <w:sz w:val="24"/>
          <w:highlight w:val="none"/>
          <w:u w:val="single"/>
        </w:rPr>
        <w:t>文件的</w:t>
      </w:r>
      <w:r>
        <w:rPr>
          <w:rFonts w:hint="eastAsia" w:ascii="仿宋" w:hAnsi="仿宋" w:eastAsia="仿宋" w:cs="仿宋"/>
          <w:b/>
          <w:bCs/>
          <w:color w:val="auto"/>
          <w:sz w:val="24"/>
          <w:highlight w:val="none"/>
          <w:u w:val="single"/>
          <w:lang w:val="en-US" w:eastAsia="zh-CN"/>
        </w:rPr>
        <w:t>供应商</w:t>
      </w:r>
      <w:r>
        <w:rPr>
          <w:rFonts w:hint="eastAsia" w:ascii="仿宋" w:hAnsi="仿宋" w:eastAsia="仿宋" w:cs="仿宋"/>
          <w:b/>
          <w:bCs/>
          <w:color w:val="auto"/>
          <w:sz w:val="24"/>
          <w:highlight w:val="none"/>
          <w:u w:val="single"/>
        </w:rPr>
        <w:t>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保证金，将在采购代理机构收到</w:t>
      </w:r>
      <w:r>
        <w:rPr>
          <w:rFonts w:hint="eastAsia" w:ascii="仿宋" w:hAnsi="仿宋" w:eastAsia="仿宋" w:cs="仿宋"/>
          <w:b/>
          <w:bCs/>
          <w:color w:val="auto"/>
          <w:sz w:val="24"/>
          <w:highlight w:val="none"/>
          <w:u w:val="single"/>
          <w:lang w:val="en-US" w:eastAsia="zh-CN"/>
        </w:rPr>
        <w:t>供应商</w:t>
      </w:r>
      <w:r>
        <w:rPr>
          <w:rFonts w:hint="eastAsia" w:ascii="仿宋" w:hAnsi="仿宋" w:eastAsia="仿宋" w:cs="仿宋"/>
          <w:b/>
          <w:bCs/>
          <w:color w:val="auto"/>
          <w:sz w:val="24"/>
          <w:highlight w:val="none"/>
          <w:u w:val="single"/>
        </w:rPr>
        <w:t>书面撤回通知之日起5个工作日内退还（无息）。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（2）所有未</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通知书发出后5个工作日内退还（无息）。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（3）</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保证金，将在签订合同后5个工作日内执合同予以退还（无息）。（</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人须携带合同原件、合同复印件（加盖单位鲜章）各一份，同时将合同扫描件发送至hzghxmglyxgs@163.com邮箱），但因</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人自身原因导致无法及时退还的除外。</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w:t>
      </w:r>
      <w:r>
        <w:rPr>
          <w:rFonts w:hint="eastAsia" w:ascii="仿宋" w:hAnsi="仿宋" w:eastAsia="仿宋" w:cs="仿宋"/>
          <w:b/>
          <w:bCs/>
          <w:color w:val="auto"/>
          <w:sz w:val="24"/>
          <w:highlight w:val="none"/>
          <w:u w:val="single"/>
          <w:lang w:val="en-US" w:eastAsia="zh-CN"/>
        </w:rPr>
        <w:t>4</w:t>
      </w:r>
      <w:r>
        <w:rPr>
          <w:rFonts w:hint="eastAsia" w:ascii="仿宋" w:hAnsi="仿宋" w:eastAsia="仿宋" w:cs="仿宋"/>
          <w:b/>
          <w:bCs/>
          <w:color w:val="auto"/>
          <w:sz w:val="24"/>
          <w:highlight w:val="none"/>
          <w:u w:val="single"/>
        </w:rPr>
        <w:t>）若招标终止，采购代理机构将在发布招标终止公告后5个工作日内退还</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保证金（无息）。</w:t>
      </w:r>
    </w:p>
    <w:p>
      <w:pPr>
        <w:pageBreakBefore w:val="0"/>
        <w:tabs>
          <w:tab w:val="left" w:pos="2700"/>
        </w:tabs>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5、如磋商发生下列情况之一时，磋商保证金将不予退还，提供担保函的供应商将由专业担保机构先行偿付采购人损失：</w:t>
      </w:r>
    </w:p>
    <w:p>
      <w:pPr>
        <w:pageBreakBefore w:val="0"/>
        <w:tabs>
          <w:tab w:val="left" w:pos="2700"/>
        </w:tabs>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5-1、</w:t>
      </w:r>
      <w:r>
        <w:rPr>
          <w:rFonts w:hint="eastAsia" w:ascii="仿宋" w:hAnsi="仿宋" w:eastAsia="仿宋" w:cs="仿宋"/>
          <w:color w:val="auto"/>
          <w:sz w:val="24"/>
          <w:highlight w:val="none"/>
          <w:u w:val="single"/>
        </w:rPr>
        <w:t>供应商提供虚假资质谋取成交的；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5-2、</w:t>
      </w:r>
      <w:r>
        <w:rPr>
          <w:rFonts w:hint="eastAsia" w:ascii="仿宋" w:hAnsi="仿宋" w:eastAsia="仿宋" w:cs="仿宋"/>
          <w:color w:val="auto"/>
          <w:sz w:val="24"/>
          <w:highlight w:val="none"/>
          <w:u w:val="single"/>
        </w:rPr>
        <w:t>供应商有围标、串标现象，经查证属实的；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5-3、</w:t>
      </w:r>
      <w:r>
        <w:rPr>
          <w:rFonts w:hint="eastAsia" w:ascii="仿宋" w:hAnsi="仿宋" w:eastAsia="仿宋" w:cs="仿宋"/>
          <w:color w:val="auto"/>
          <w:sz w:val="24"/>
          <w:highlight w:val="none"/>
          <w:u w:val="single"/>
        </w:rPr>
        <w:t>供应商在竞争性磋商文件规定的磋商响应有效期内撤回磋商响应文件的；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5-4、</w:t>
      </w:r>
      <w:r>
        <w:rPr>
          <w:rFonts w:hint="eastAsia" w:ascii="仿宋" w:hAnsi="仿宋" w:eastAsia="仿宋" w:cs="仿宋"/>
          <w:color w:val="auto"/>
          <w:sz w:val="24"/>
          <w:highlight w:val="none"/>
          <w:u w:val="single"/>
        </w:rPr>
        <w:t>供应商自行放弃磋商资格而未在磋商会议前一天以书面形式告知采购代理机构的；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5-5、</w:t>
      </w:r>
      <w:r>
        <w:rPr>
          <w:rFonts w:hint="eastAsia" w:ascii="仿宋" w:hAnsi="仿宋" w:eastAsia="仿宋" w:cs="仿宋"/>
          <w:color w:val="auto"/>
          <w:sz w:val="24"/>
          <w:highlight w:val="none"/>
          <w:u w:val="single"/>
        </w:rPr>
        <w:t>供应商自行放弃成交资格的；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5-6、</w:t>
      </w:r>
      <w:r>
        <w:rPr>
          <w:rFonts w:hint="eastAsia" w:ascii="仿宋" w:hAnsi="仿宋" w:eastAsia="仿宋" w:cs="仿宋"/>
          <w:color w:val="auto"/>
          <w:sz w:val="24"/>
          <w:highlight w:val="none"/>
          <w:u w:val="single"/>
        </w:rPr>
        <w:t>成交供应商不在规定的时效内领取《成交通知书》的；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5-7、</w:t>
      </w:r>
      <w:r>
        <w:rPr>
          <w:rFonts w:hint="eastAsia" w:ascii="仿宋" w:hAnsi="仿宋" w:eastAsia="仿宋" w:cs="仿宋"/>
          <w:color w:val="auto"/>
          <w:sz w:val="24"/>
          <w:highlight w:val="none"/>
          <w:u w:val="single"/>
        </w:rPr>
        <w:t>成交供应商不按规定支付招标服务费的；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auto"/>
          <w:sz w:val="24"/>
          <w:highlight w:val="none"/>
        </w:rPr>
        <w:t>5-8、</w:t>
      </w:r>
      <w:r>
        <w:rPr>
          <w:rFonts w:hint="eastAsia" w:ascii="仿宋" w:hAnsi="仿宋" w:eastAsia="仿宋" w:cs="仿宋"/>
          <w:color w:val="auto"/>
          <w:sz w:val="24"/>
          <w:highlight w:val="none"/>
          <w:u w:val="single"/>
        </w:rPr>
        <w:t>成交供应商因自身原因未能在规定期限内与采购人签订合同的；</w:t>
      </w:r>
      <w:bookmarkEnd w:id="17"/>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kern w:val="0"/>
          <w:sz w:val="28"/>
          <w:szCs w:val="28"/>
          <w:highlight w:val="none"/>
          <w14:textFill>
            <w14:solidFill>
              <w14:schemeClr w14:val="tx1"/>
            </w14:solidFill>
          </w14:textFill>
        </w:rPr>
        <w:t>、磋商响应</w:t>
      </w:r>
      <w:bookmarkEnd w:id="18"/>
      <w:bookmarkEnd w:id="19"/>
      <w:bookmarkEnd w:id="20"/>
      <w:bookmarkEnd w:id="2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14:textFill>
            <w14:solidFill>
              <w14:schemeClr w14:val="tx1"/>
            </w14:solidFill>
          </w14:textFill>
        </w:rPr>
        <w:t>竞争性磋商响应</w:t>
      </w:r>
      <w:r>
        <w:rPr>
          <w:rFonts w:hint="eastAsia" w:ascii="仿宋" w:hAnsi="仿宋" w:eastAsia="仿宋" w:cs="仿宋"/>
          <w:color w:val="000000" w:themeColor="text1"/>
          <w:sz w:val="24"/>
          <w:highlight w:val="none"/>
          <w14:textFill>
            <w14:solidFill>
              <w14:schemeClr w14:val="tx1"/>
            </w14:solidFill>
          </w14:textFill>
        </w:rPr>
        <w:t>文件、必备资质文件的递交：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1-1、供应商应按规定的时间、地点，于磋商截止时间前递交竞争性磋商响应文件、必备资质文件；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1-2、逾</w:t>
      </w:r>
      <w:r>
        <w:rPr>
          <w:rFonts w:hint="eastAsia" w:ascii="仿宋" w:hAnsi="仿宋" w:eastAsia="仿宋" w:cs="仿宋"/>
          <w:color w:val="000000" w:themeColor="text1"/>
          <w:sz w:val="24"/>
          <w:highlight w:val="none"/>
          <w14:textFill>
            <w14:solidFill>
              <w14:schemeClr w14:val="tx1"/>
            </w14:solidFill>
          </w14:textFill>
        </w:rPr>
        <w:t>期送达或者未按照竞争性磋商文件要求密封的竞争性磋商响应文件，将被拒收</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、供应商在规定的磋商截止时间后递交磋商响应文件、必备资质文件，将被拒收。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、本次磋商不接受邮寄的磋商响应文件、必备资质文件。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响应文件的补充、修改与撤回：</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2-2、供应商提出修改要求的，须在磋商响应截止时间前密封送到采购代理机构，并在封面上加注“修改”字样。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提出撤标要求的，须在磋商响应截止时间前以书面形式（经由法定代表人或被授权人签字）通知采购代理机构。如采取传真形式撤回磋商响应，随后必须补充有法定代表人或被授权人签署的要求撤回磋商响应的正式文件。采购代理机构摄像留存后，将要“撤回”的磋商响应文件（包含纸质及电子版）退还供应商，供应商签字确认领取。</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2-4、磋商截止时间之后，供应商不得补充、修改竞争性磋商响应文件；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2-5、在磋商截止时间至磋商响应有效期满之前，供应商不得撤回其竞争性磋商响应文件，否则其磋商保证金将不予退还。提供磋商担保的供应商将由专业担保机构先行偿付采购人损失。</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、竞争性磋商响应有效期：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3-1、自磋商之日起算90个日历日。竞争性磋商响应有效期短于竞争性磋商文件规定的磋商响应有效期，按无效竞争性磋商响应处理。成交单位的竞争性磋商有效期延长至合同执行完毕。</w:t>
      </w:r>
    </w:p>
    <w:p>
      <w:pPr>
        <w:pStyle w:val="40"/>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-2、在原有有效期结束前，采购代理机构可要求供应商延长竞争性磋商响应有效期。拒绝延长有效期的供应商有权收回磋商保证金，但不得参与该项目后续采购活动。同意延长有效期的供应商应相应延长磋商担保的有效期，但不得修改竞争性磋商响应文件的实质性内容。</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4、供应商</w:t>
      </w:r>
      <w:r>
        <w:rPr>
          <w:rFonts w:hint="eastAsia" w:ascii="仿宋" w:hAnsi="仿宋" w:eastAsia="仿宋" w:cs="仿宋"/>
          <w:color w:val="000000" w:themeColor="text1"/>
          <w:kern w:val="2"/>
          <w:sz w:val="24"/>
          <w:szCs w:val="24"/>
          <w:highlight w:val="none"/>
          <w14:textFill>
            <w14:solidFill>
              <w14:schemeClr w14:val="tx1"/>
            </w14:solidFill>
          </w14:textFill>
        </w:rPr>
        <w:t>有下列情形之一的，属于恶意串通，对其依照《中华人民共和国政府采购法》</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第七十七条第一款的规定追究法律责任，响应无效：</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4-1、供应商直接或者间接从采购人或采购代理机构处获得其他供应商的相关情况并修改其磋商响应文件；</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4-2、供应商按照采购人或采购代理机构的授意撤换、修改磋商响应文件；</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4-3、供应商之间协商报价、技术方案等磋商响应文件的实质性内容；</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4-4、属于同一集团、协会、商会等组织成员的供应商按照该组织要求协同参加政府采购活动；</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4-5、供应商之间事先约定由某一特定供应商成交；</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4-6、供应商之间商定部分供应商放弃参加政府采购活动或放弃成交；</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4-7、供应商相互之间，为谋求特定供应商成交或排斥其他供应商的其他串通行为。</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    5、有下列情形之一的，视为供应商串通磋商，其响应无效：</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5-1、不同供应商的磋商响应文件由同一单位或者个人编制；</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5-2、不同供应商委托同一单位或者个人办理磋商事宜；</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5-3、不同供应商的磋商响应文件载明的项目管理成员或者联系人为同一人；</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5-4、不同供应商的磋商响应文件异常一致或者磋商报价呈现规律性差异；</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5-5、不同供应商的磋商响应文件相互混装；</w:t>
      </w:r>
    </w:p>
    <w:p>
      <w:pPr>
        <w:pStyle w:val="40"/>
        <w:spacing w:line="560" w:lineRule="exact"/>
        <w:ind w:firstLine="48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kern w:val="2"/>
          <w:sz w:val="24"/>
          <w:szCs w:val="24"/>
          <w:highlight w:val="none"/>
        </w:rPr>
        <w:t>5-6、不同供应商的磋商保证金从同一单位或者个人的账户转出。</w:t>
      </w:r>
    </w:p>
    <w:p>
      <w:pPr>
        <w:pStyle w:val="40"/>
        <w:pageBreakBefore w:val="0"/>
        <w:kinsoku/>
        <w:wordWrap/>
        <w:topLinePunct w:val="0"/>
        <w:autoSpaceDE/>
        <w:autoSpaceDN/>
        <w:bidi w:val="0"/>
        <w:spacing w:line="640" w:lineRule="exact"/>
        <w:ind w:firstLine="0" w:firstLineChars="0"/>
        <w:textAlignment w:val="auto"/>
        <w:outlineLvl w:val="1"/>
        <w:rPr>
          <w:rFonts w:hint="eastAsia" w:ascii="仿宋" w:hAnsi="仿宋" w:eastAsia="仿宋" w:cs="仿宋"/>
          <w:b/>
          <w:bCs/>
          <w:color w:val="000000" w:themeColor="text1"/>
          <w:szCs w:val="28"/>
          <w:highlight w:val="none"/>
          <w14:textFill>
            <w14:solidFill>
              <w14:schemeClr w14:val="tx1"/>
            </w14:solidFill>
          </w14:textFill>
        </w:rPr>
      </w:pPr>
      <w:bookmarkStart w:id="22" w:name="_Toc458848823"/>
      <w:bookmarkStart w:id="23" w:name="_Toc23636"/>
      <w:bookmarkStart w:id="24" w:name="_Toc458848738"/>
      <w:bookmarkStart w:id="25" w:name="_Toc10685"/>
      <w:r>
        <w:rPr>
          <w:rFonts w:hint="eastAsia" w:ascii="仿宋" w:hAnsi="仿宋" w:eastAsia="仿宋" w:cs="仿宋"/>
          <w:b/>
          <w:bCs/>
          <w:color w:val="000000" w:themeColor="text1"/>
          <w:szCs w:val="28"/>
          <w:highlight w:val="none"/>
          <w:lang w:val="en-US" w:eastAsia="zh-CN"/>
          <w14:textFill>
            <w14:solidFill>
              <w14:schemeClr w14:val="tx1"/>
            </w14:solidFill>
          </w14:textFill>
        </w:rPr>
        <w:t>七</w:t>
      </w:r>
      <w:r>
        <w:rPr>
          <w:rFonts w:hint="eastAsia" w:ascii="仿宋" w:hAnsi="仿宋" w:eastAsia="仿宋" w:cs="仿宋"/>
          <w:b/>
          <w:bCs/>
          <w:color w:val="000000" w:themeColor="text1"/>
          <w:szCs w:val="28"/>
          <w:highlight w:val="none"/>
          <w14:textFill>
            <w14:solidFill>
              <w14:schemeClr w14:val="tx1"/>
            </w14:solidFill>
          </w14:textFill>
        </w:rPr>
        <w:t>、磋商、评审及定标</w:t>
      </w:r>
      <w:bookmarkEnd w:id="22"/>
      <w:bookmarkEnd w:id="23"/>
      <w:bookmarkEnd w:id="24"/>
      <w:bookmarkEnd w:id="25"/>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1-1、采购代理机构按竞争性磋商文件规定的时间、地点组织磋商。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1-2、所有参会人员应签名报到，以证明其出席。供应商未参加磋商的，视同认可磋商结果。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1-3、磋商会议由采购代理机构主持。主持人宣读磋商会议开始，并宣读会场纪律，宣布参加会议的供应商名单。</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供应商的法定代表人或被授权人与监标人当众共同查验竞争性磋商响应文件的密封情况，签字确认并宣读检查结果</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、主持人宣布磋商会议结束，所有供应商离场。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、采购代理机构对磋商过程进行摄像、文字记录，并存档备查。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、供应商代表对磋商过程有疑义的，以及认为采购人、采购代理机构相关工作人员有需要回避的情形的，应当场提出询问或回避申请。</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bookmarkStart w:id="26" w:name="OLE_LINK4"/>
      <w:bookmarkStart w:id="27" w:name="OLE_LINK14"/>
      <w:r>
        <w:rPr>
          <w:rFonts w:hint="eastAsia" w:ascii="仿宋" w:hAnsi="仿宋" w:eastAsia="仿宋" w:cs="仿宋"/>
          <w:color w:val="000000" w:themeColor="text1"/>
          <w:sz w:val="24"/>
          <w:highlight w:val="none"/>
          <w14:textFill>
            <w14:solidFill>
              <w14:schemeClr w14:val="tx1"/>
            </w14:solidFill>
          </w14:textFill>
        </w:rPr>
        <w:t>采购代理机构根据《中华人民共和国政府采购法》及其实施条例、《政府采购竞争性磋商采购方式管理暂行办法》的通知（财库【2014】214号）等规定，依法组建磋商小组。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（2）采购人可派代表进入磋商小组，并向采购代理机构出具授权函。</w:t>
      </w:r>
      <w:bookmarkEnd w:id="26"/>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（3）磋商小组应推荐一名评审专家担任评审组长，并由评审组长牵头组织该项目评审工作，采购人授权的评审专家，不得担任评审组长。</w:t>
      </w:r>
    </w:p>
    <w:bookmarkEnd w:id="27"/>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（4）磋商小组成员应当遵守并履行下列职责义务：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a、遵纪守法，客观、公正、认真负责地履行职责，根据磋商文件规定的评审程序、评审方法和评审标准审查磋商响应文件；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b、资格审查、符合性审查、评价磋商响应文件是否符合磋商文件的商务、技术等实质性要求；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c、要求供应商对磋商响应文件有关事项作出澄清或者说明；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d、对磋商响应文件进行比较和评价；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e、推荐成交候选单位名单，对磋商意见承担个人责任；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f、拟定磋商结果；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g、对磋商过程及各供应商的商业机密予以保密；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h、向财政部门报告在评审过程中发现的供应商的违法违规行为；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i、配合采购人、采购代理机构答复各供应商提出的质疑；</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j、配合各部门的投诉处理和监督检查工作。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2-2、在政府采购活动中，采购人员及相关人员（包括评审委员会）与供应商有下列利害关系之一的，应当回避：</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（1）参加采购活动前3年内与供应商存在劳动关系；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（2）参加采购活动前3年内担任供应商的董事、监事；</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（3）参加采购活动前3年内是供应商的控股股东或者实际控制人；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（4）与供应商的法定代表人或者负责人有夫妻、直系血亲、三代以内旁系血亲或者近姻亲关系；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（5）与供应商有其他可能影响政府采购活动公平、公正进行的关系。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、磋商原则：坚持公平、公正、科学、择优原则，禁止不正当竞争。</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、评审办法：本次磋商采用综合评分法（详见本节评分标准）。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、磋商工作程序</w:t>
      </w:r>
      <w:r>
        <w:rPr>
          <w:rFonts w:hint="eastAsia" w:ascii="仿宋" w:hAnsi="仿宋" w:eastAsia="仿宋" w:cs="仿宋"/>
          <w:color w:val="000000" w:themeColor="text1"/>
          <w:sz w:val="24"/>
          <w:highlight w:val="none"/>
          <w14:textFill>
            <w14:solidFill>
              <w14:schemeClr w14:val="tx1"/>
            </w14:solidFill>
          </w14:textFill>
        </w:rPr>
        <w:t>:资格性审查、符合性审查、澄清、评价、推荐成交候选人的工作程序进行评审。</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-1、资格性审查</w:t>
      </w:r>
      <w:bookmarkStart w:id="94" w:name="_GoBack"/>
      <w:bookmarkEnd w:id="94"/>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磋商会议结束后，</w:t>
      </w:r>
      <w:r>
        <w:rPr>
          <w:rFonts w:hint="eastAsia" w:ascii="仿宋" w:hAnsi="仿宋" w:eastAsia="仿宋" w:cs="仿宋"/>
          <w:b/>
          <w:color w:val="000000" w:themeColor="text1"/>
          <w:sz w:val="24"/>
          <w:highlight w:val="none"/>
          <w:lang w:eastAsia="zh-CN"/>
          <w14:textFill>
            <w14:solidFill>
              <w14:schemeClr w14:val="tx1"/>
            </w14:solidFill>
          </w14:textFill>
        </w:rPr>
        <w:t>由采购人</w:t>
      </w:r>
      <w:r>
        <w:rPr>
          <w:rFonts w:hint="eastAsia" w:ascii="仿宋" w:hAnsi="仿宋" w:eastAsia="仿宋" w:cs="仿宋"/>
          <w:b/>
          <w:color w:val="000000" w:themeColor="text1"/>
          <w:sz w:val="24"/>
          <w:highlight w:val="none"/>
          <w14:textFill>
            <w14:solidFill>
              <w14:schemeClr w14:val="tx1"/>
            </w14:solidFill>
          </w14:textFill>
        </w:rPr>
        <w:t>依法对供应商的资格进行审查，缺项或一项不符合要求即不合格，不合格的供应商其响应无效。供应商须在提交磋商响应文件截止时</w:t>
      </w:r>
      <w:r>
        <w:rPr>
          <w:rFonts w:hint="eastAsia" w:ascii="仿宋" w:hAnsi="仿宋" w:eastAsia="仿宋" w:cs="仿宋"/>
          <w:b/>
          <w:color w:val="auto"/>
          <w:sz w:val="24"/>
          <w:highlight w:val="none"/>
        </w:rPr>
        <w:t>间前单独提交</w:t>
      </w:r>
      <w:r>
        <w:rPr>
          <w:rFonts w:hint="eastAsia" w:ascii="仿宋" w:hAnsi="仿宋" w:eastAsia="仿宋" w:cs="仿宋"/>
          <w:b/>
          <w:color w:val="000000" w:themeColor="text1"/>
          <w:sz w:val="24"/>
          <w:highlight w:val="none"/>
          <w14:textFill>
            <w14:solidFill>
              <w14:schemeClr w14:val="tx1"/>
            </w14:solidFill>
          </w14:textFill>
        </w:rPr>
        <w:t>下述资质证明材料原件</w:t>
      </w:r>
      <w:r>
        <w:rPr>
          <w:rFonts w:hint="eastAsia" w:ascii="仿宋" w:hAnsi="仿宋" w:eastAsia="仿宋" w:cs="仿宋"/>
          <w:b/>
          <w:color w:val="000000" w:themeColor="text1"/>
          <w:sz w:val="24"/>
          <w:highlight w:val="none"/>
          <w:lang w:eastAsia="zh-CN"/>
          <w14:textFill>
            <w14:solidFill>
              <w14:schemeClr w14:val="tx1"/>
            </w14:solidFill>
          </w14:textFill>
        </w:rPr>
        <w:t>或加盖鲜章的复印件</w:t>
      </w:r>
      <w:r>
        <w:rPr>
          <w:rFonts w:hint="eastAsia" w:ascii="仿宋" w:hAnsi="仿宋" w:eastAsia="仿宋" w:cs="仿宋"/>
          <w:b/>
          <w:color w:val="000000" w:themeColor="text1"/>
          <w:sz w:val="24"/>
          <w:highlight w:val="none"/>
          <w14:textFill>
            <w14:solidFill>
              <w14:schemeClr w14:val="tx1"/>
            </w14:solidFill>
          </w14:textFill>
        </w:rPr>
        <w:t>，逾期不接受任何补充资料：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-2、磋商响应文件符合性审查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依据磋商文件的规定，对资格合格者磋商响应文件的有效性、完整性和对磋商文件的响应程度进行审查，以确定是否对磋商文件的实质性内容做出响应，包含但不限于以下内容，未通过审查的按无效响应处理：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（1）供应商名称与登记领取磋商文件的单位名称不一致；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）磋商响应文件未按照磋商文件的要求盖章签字；</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）磋商响应文件不符合磋商文件要求的数量；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）针对同一项目提交两份或多份内容不同的磋商响应文件，未书面声明哪一份是有效的或出现选择性报价的；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）磋商报价（每轮）超过采购预算； </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）磋商有效期不符合磋商文件的要求；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）对磋商文件商务要求未作出明确且实质性响应；</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-3、竞争性磋商响应文件的澄清：</w:t>
      </w:r>
    </w:p>
    <w:p>
      <w:pPr>
        <w:pageBreakBefore w:val="0"/>
        <w:kinsoku/>
        <w:wordWrap/>
        <w:overflowPunct w:val="0"/>
        <w:topLinePunct w:val="0"/>
        <w:autoSpaceDE/>
        <w:autoSpaceDN/>
        <w:bidi w:val="0"/>
        <w:adjustRightInd w:val="0"/>
        <w:snapToGrid w:val="0"/>
        <w:spacing w:line="640" w:lineRule="exact"/>
        <w:ind w:firstLine="360" w:firstLineChars="15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（2）书写错误的评审标准：</w:t>
      </w:r>
    </w:p>
    <w:p>
      <w:pPr>
        <w:pageBreakBefore w:val="0"/>
        <w:kinsoku/>
        <w:wordWrap/>
        <w:overflowPunct w:val="0"/>
        <w:topLinePunct w:val="0"/>
        <w:autoSpaceDE/>
        <w:autoSpaceDN/>
        <w:bidi w:val="0"/>
        <w:adjustRightInd w:val="0"/>
        <w:snapToGrid w:val="0"/>
        <w:spacing w:line="640" w:lineRule="exact"/>
        <w:ind w:firstLine="720" w:firstLineChars="3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磋商小组在评审过程中，发现竞争性磋商响应文件出现下列情况之一者，按以下原则修正：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a、磋商响应文件有关内容与“磋商报价一览表”不一致的，以“磋商报价一览表”为准；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b、大写金额与小写金额不一致的，以大写金额为准；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c、单价金额小数点或者百分比有明显错位的，以“磋商报价一览表”的总价为准，并修改单价；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d、总价金额与按单价汇总金额不一致的，以单价乘以数量的计算结果为准；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e、磋商响应文件图表与文字不符时，以文字为准；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f、磋商响应文件正本与副本不符时，以正本为准；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g、对不同文字文本磋商响应文件的解释发生异议的，以中文文本为准；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h、多处内容交叉不符时，以磋商小组评审结果为准。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注：按上述方法修正的内容（其中，同时出现上述a至d两种以上不一致的，按上述规定的顺序修正），经供应商确认后产生约束力，供应商不确认的，其磋商响应无效。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响应处理。</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-4、评议：</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（1）磋商小组评审竞争性磋商响应文件响应性及符合性只根据竞争性磋商响应文件本身的内容，而不寻求其他外部证据。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（2）磋商小组所有成员应当集中与单一供应商分别进行磋商，并给予所有参加磋商的供应商平等的磋商机会。</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（4）磋商结束后，磋商小组应当要求所有实质性响应的供应商在规定时间内提交最后报价。</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评审采取逐项分步评审方式，每一步评审不符合者，不进入下一步评审。经磋商确定最终采购需求和提交最后报价后，由磋商小组采用综合评分法对提交最后报价的供应商的响应文件和最后报价进行综合评分。</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（6）其他需说明的情况：</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a、对于竞争性磋商响应文件中不构成实质性偏差的小的不正规、不一致或不规则，采购人可以接受，但这种接受不能损害或影响任何供应商的相对排序；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b、最低报价不是成交的唯一条件；</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c、如果磋商响应实质上没有响应竞争性磋商文件的要求，其磋商响应将被拒绝，供应商不得通过修正或撤消不合要求的偏离或保留从而使其磋商响应成为实质上响应的磋商响应。</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d、无论磋商的结果如何，磋商期间一切费用自理。</w:t>
      </w:r>
    </w:p>
    <w:p>
      <w:pPr>
        <w:spacing w:line="480" w:lineRule="exact"/>
        <w:ind w:firstLine="600" w:firstLineChars="24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6</w:t>
      </w:r>
      <w:r>
        <w:rPr>
          <w:rFonts w:hint="eastAsia" w:ascii="仿宋" w:hAnsi="仿宋" w:eastAsia="仿宋" w:cs="仿宋"/>
          <w:b/>
          <w:color w:val="000000" w:themeColor="text1"/>
          <w:sz w:val="24"/>
          <w:highlight w:val="none"/>
          <w14:textFill>
            <w14:solidFill>
              <w14:schemeClr w14:val="tx1"/>
            </w14:solidFill>
          </w14:textFill>
        </w:rPr>
        <w:t xml:space="preserve">、评分标准 </w:t>
      </w:r>
    </w:p>
    <w:tbl>
      <w:tblPr>
        <w:tblStyle w:val="23"/>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843"/>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磋商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磋商报价得分=（磋商基准价/最终磋商报价）×价格权值×100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（因落实政府采购政策进行价格调整的，以调整后的价格计算评标基准价和磋商报价，详见2-7-1至2-7-3）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项目实施方案</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根据项目特点提出实施方案大纲，思路清晰，点面结合。全面得(10-15]分，较为全面得(5-10]分，一般得[1-5]分，未提供不得分；</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进度计划安排合理，实施进度保证措施需满足采购人需求，接到工作任务委托后能够尽快启动相关工作，并按期完成受委托工作内容。</w:t>
            </w:r>
            <w:r>
              <w:rPr>
                <w:rFonts w:hint="eastAsia" w:ascii="仿宋" w:hAnsi="仿宋" w:eastAsia="仿宋" w:cs="仿宋"/>
                <w:sz w:val="24"/>
                <w:szCs w:val="24"/>
                <w:highlight w:val="none"/>
                <w:lang w:val="en-US" w:eastAsia="zh-CN"/>
              </w:rPr>
              <w:t>全</w:t>
            </w:r>
            <w:r>
              <w:rPr>
                <w:rFonts w:hint="eastAsia" w:ascii="仿宋" w:hAnsi="仿宋" w:eastAsia="仿宋" w:cs="仿宋"/>
                <w:color w:val="auto"/>
                <w:sz w:val="24"/>
                <w:szCs w:val="24"/>
                <w:highlight w:val="none"/>
                <w:lang w:val="en-US" w:eastAsia="zh-CN"/>
              </w:rPr>
              <w:t>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(10-15]</w:t>
            </w:r>
            <w:r>
              <w:rPr>
                <w:rFonts w:hint="eastAsia" w:ascii="仿宋" w:hAnsi="仿宋" w:eastAsia="仿宋" w:cs="仿宋"/>
                <w:sz w:val="24"/>
                <w:szCs w:val="24"/>
                <w:highlight w:val="none"/>
                <w:lang w:eastAsia="zh-CN"/>
              </w:rPr>
              <w:t>分，</w:t>
            </w:r>
            <w:r>
              <w:rPr>
                <w:rFonts w:hint="eastAsia" w:ascii="仿宋" w:hAnsi="仿宋" w:eastAsia="仿宋" w:cs="仿宋"/>
                <w:sz w:val="24"/>
                <w:szCs w:val="24"/>
                <w:highlight w:val="none"/>
                <w:lang w:val="en-US" w:eastAsia="zh-CN"/>
              </w:rPr>
              <w:t>较为全面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(5-10]</w:t>
            </w:r>
            <w:r>
              <w:rPr>
                <w:rFonts w:hint="eastAsia" w:ascii="仿宋" w:hAnsi="仿宋" w:eastAsia="仿宋" w:cs="仿宋"/>
                <w:sz w:val="24"/>
                <w:szCs w:val="24"/>
                <w:highlight w:val="none"/>
                <w:lang w:eastAsia="zh-CN"/>
              </w:rPr>
              <w:t>分，一般得</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、项目组的机构设置健全，职责分工明确，管理制度和考核体系完善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(10-15]</w:t>
            </w:r>
            <w:r>
              <w:rPr>
                <w:rFonts w:hint="eastAsia" w:ascii="仿宋" w:hAnsi="仿宋" w:eastAsia="仿宋" w:cs="仿宋"/>
                <w:sz w:val="24"/>
                <w:szCs w:val="24"/>
                <w:highlight w:val="none"/>
                <w:lang w:eastAsia="zh-CN"/>
              </w:rPr>
              <w:t>分，</w:t>
            </w:r>
            <w:r>
              <w:rPr>
                <w:rFonts w:hint="eastAsia" w:ascii="仿宋" w:hAnsi="仿宋" w:eastAsia="仿宋" w:cs="仿宋"/>
                <w:sz w:val="24"/>
                <w:szCs w:val="24"/>
                <w:highlight w:val="none"/>
                <w:lang w:val="en-US" w:eastAsia="zh-CN"/>
              </w:rPr>
              <w:t>较为全面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(5-10]</w:t>
            </w:r>
            <w:r>
              <w:rPr>
                <w:rFonts w:hint="eastAsia" w:ascii="仿宋" w:hAnsi="仿宋" w:eastAsia="仿宋" w:cs="仿宋"/>
                <w:sz w:val="24"/>
                <w:szCs w:val="24"/>
                <w:highlight w:val="none"/>
                <w:lang w:eastAsia="zh-CN"/>
              </w:rPr>
              <w:t>分，一般得</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、有规范的、合理的服务流程，每个流程环节有质量控制办法，对项目执行过程中的服务质量、技术保证、沟通途径有明确说明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同时承诺及时有效地配合采购人对本项目相关事项提供必要协助</w:t>
            </w:r>
            <w:r>
              <w:rPr>
                <w:rFonts w:hint="eastAsia" w:ascii="仿宋" w:hAnsi="仿宋" w:eastAsia="仿宋" w:cs="仿宋"/>
                <w:color w:val="auto"/>
                <w:sz w:val="24"/>
                <w:szCs w:val="24"/>
                <w:highlight w:val="none"/>
                <w:lang w:eastAsia="zh-CN"/>
              </w:rPr>
              <w:t>。</w:t>
            </w:r>
            <w:r>
              <w:rPr>
                <w:rFonts w:hint="eastAsia" w:ascii="仿宋" w:hAnsi="仿宋" w:eastAsia="仿宋" w:cs="仿宋"/>
                <w:sz w:val="24"/>
                <w:szCs w:val="24"/>
                <w:highlight w:val="none"/>
                <w:lang w:val="en-US" w:eastAsia="zh-CN"/>
              </w:rPr>
              <w:t>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(10-15]</w:t>
            </w:r>
            <w:r>
              <w:rPr>
                <w:rFonts w:hint="eastAsia" w:ascii="仿宋" w:hAnsi="仿宋" w:eastAsia="仿宋" w:cs="仿宋"/>
                <w:sz w:val="24"/>
                <w:szCs w:val="24"/>
                <w:highlight w:val="none"/>
                <w:lang w:eastAsia="zh-CN"/>
              </w:rPr>
              <w:t>分，</w:t>
            </w:r>
            <w:r>
              <w:rPr>
                <w:rFonts w:hint="eastAsia" w:ascii="仿宋" w:hAnsi="仿宋" w:eastAsia="仿宋" w:cs="仿宋"/>
                <w:sz w:val="24"/>
                <w:szCs w:val="24"/>
                <w:highlight w:val="none"/>
                <w:lang w:val="en-US" w:eastAsia="zh-CN"/>
              </w:rPr>
              <w:t>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(5-10]</w:t>
            </w:r>
            <w:r>
              <w:rPr>
                <w:rFonts w:hint="eastAsia" w:ascii="仿宋" w:hAnsi="仿宋" w:eastAsia="仿宋" w:cs="仿宋"/>
                <w:sz w:val="24"/>
                <w:szCs w:val="24"/>
                <w:highlight w:val="none"/>
                <w:lang w:eastAsia="zh-CN"/>
              </w:rPr>
              <w:t>分，一般得</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人员</w:t>
            </w:r>
            <w:r>
              <w:rPr>
                <w:rFonts w:hint="eastAsia" w:ascii="仿宋" w:hAnsi="仿宋" w:eastAsia="仿宋" w:cs="仿宋"/>
                <w:color w:val="auto"/>
                <w:sz w:val="24"/>
                <w:szCs w:val="24"/>
                <w:highlight w:val="none"/>
                <w:lang w:eastAsia="zh-CN"/>
              </w:rPr>
              <w:t>与设备配备</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1、对供应商配置的项目组负责人和其他人员专业学历背景、相关经验等进行综合评分。配置合理得（6-10]分，配置较为合理得（3-6]分，配置一般得[1-3]分，未提供不得分；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注：提供拟投入人员2022年1月1日以来供应商为其缴纳的任意一个月社保证明材料，未提供的在统计时不予计入。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以合同</w:t>
            </w:r>
            <w:r>
              <w:rPr>
                <w:rFonts w:hint="eastAsia" w:ascii="仿宋" w:hAnsi="仿宋" w:eastAsia="仿宋" w:cs="仿宋"/>
                <w:color w:val="auto"/>
                <w:sz w:val="24"/>
                <w:szCs w:val="24"/>
                <w:highlight w:val="none"/>
                <w:lang w:eastAsia="zh-CN"/>
              </w:rPr>
              <w:t>复印件</w:t>
            </w:r>
            <w:r>
              <w:rPr>
                <w:rFonts w:hint="eastAsia" w:ascii="仿宋" w:hAnsi="仿宋" w:eastAsia="仿宋" w:cs="仿宋"/>
                <w:color w:val="auto"/>
                <w:sz w:val="24"/>
                <w:szCs w:val="24"/>
                <w:highlight w:val="none"/>
              </w:rPr>
              <w:t>形式提供</w:t>
            </w:r>
            <w:r>
              <w:rPr>
                <w:rFonts w:hint="eastAsia" w:ascii="仿宋" w:hAnsi="仿宋" w:eastAsia="仿宋" w:cs="仿宋"/>
                <w:color w:val="auto"/>
                <w:sz w:val="24"/>
                <w:szCs w:val="24"/>
                <w:highlight w:val="none"/>
                <w:lang w:val="en-US" w:eastAsia="zh-CN"/>
              </w:rPr>
              <w:t>2019年1月1日至今类似</w:t>
            </w:r>
            <w:r>
              <w:rPr>
                <w:rFonts w:hint="eastAsia" w:ascii="仿宋" w:hAnsi="仿宋" w:eastAsia="仿宋" w:cs="仿宋"/>
                <w:color w:val="auto"/>
                <w:sz w:val="24"/>
                <w:szCs w:val="24"/>
                <w:highlight w:val="none"/>
              </w:rPr>
              <w:t>项目业绩，每份计</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分，计满</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分为止</w:t>
            </w:r>
            <w:r>
              <w:rPr>
                <w:rFonts w:hint="eastAsia" w:ascii="仿宋" w:hAnsi="仿宋" w:eastAsia="仿宋" w:cs="仿宋"/>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需提供采购合同（含首页、服务内容、签字盖章页）复印件，否则业绩不予认可。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售后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服务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承诺</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15分</w:t>
            </w:r>
          </w:p>
        </w:tc>
        <w:tc>
          <w:tcPr>
            <w:tcW w:w="755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1、有具体可行的服务承诺，出现问题有可行性方案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2、有其他实质性承诺和合理化建议，评委认为有利于提高项目管理水平或降低项目实施成本的，根据其可行性和可信程度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后期服务配合计划完备、可行性强、可提供驻地服务的得（</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w:t>
            </w:r>
          </w:p>
          <w:p>
            <w:pPr>
              <w:pStyle w:val="8"/>
              <w:rPr>
                <w:rFonts w:hint="eastAsia"/>
              </w:rPr>
            </w:pPr>
          </w:p>
        </w:tc>
      </w:tr>
    </w:tbl>
    <w:p>
      <w:pPr>
        <w:widowControl/>
        <w:autoSpaceDE w:val="0"/>
        <w:autoSpaceDN w:val="0"/>
        <w:spacing w:line="560" w:lineRule="exact"/>
        <w:textAlignment w:val="bottom"/>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注：1）评委打分超过得分界限或未按本方法赋分时，该评委的打分按废票处理。</w:t>
      </w:r>
    </w:p>
    <w:p>
      <w:pPr>
        <w:widowControl/>
        <w:autoSpaceDE w:val="0"/>
        <w:autoSpaceDN w:val="0"/>
        <w:spacing w:line="560" w:lineRule="exact"/>
        <w:ind w:firstLine="480" w:firstLineChars="200"/>
        <w:textAlignment w:val="bottom"/>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2）各种计算数字均保 留两位小数，第三位“四舍五入”。</w:t>
      </w:r>
    </w:p>
    <w:p>
      <w:pPr>
        <w:spacing w:line="560" w:lineRule="exact"/>
        <w:ind w:firstLine="482"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3）特殊情况处理：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a、若出现综合得分相同的，最后磋商报价得分高者为第一成交候选供应商，若综合评分和最后磋商报价的得分均相同的，服务</w:t>
      </w:r>
      <w:r>
        <w:rPr>
          <w:rFonts w:hint="eastAsia" w:ascii="仿宋" w:hAnsi="仿宋" w:eastAsia="仿宋" w:cs="仿宋"/>
          <w:color w:val="000000" w:themeColor="text1"/>
          <w:sz w:val="24"/>
          <w:highlight w:val="none"/>
          <w:lang w:eastAsia="zh-CN"/>
          <w14:textFill>
            <w14:solidFill>
              <w14:schemeClr w14:val="tx1"/>
            </w14:solidFill>
          </w14:textFill>
        </w:rPr>
        <w:t>方案</w:t>
      </w:r>
      <w:r>
        <w:rPr>
          <w:rFonts w:hint="eastAsia" w:ascii="仿宋" w:hAnsi="仿宋" w:eastAsia="仿宋" w:cs="仿宋"/>
          <w:color w:val="000000" w:themeColor="text1"/>
          <w:sz w:val="24"/>
          <w:highlight w:val="none"/>
          <w14:textFill>
            <w14:solidFill>
              <w14:schemeClr w14:val="tx1"/>
            </w14:solidFill>
          </w14:textFill>
        </w:rPr>
        <w:t>得分高者为第一成交候选供应商，若上述两项得分相同，则由全体磋商小组成员无记名投票，得票高者为第一成交候选供应商。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b、当供应商某评分项出现未报、漏报或零报价时，该分项得零分，并不参与磋商报价分的计算。</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c、评议过程中，若出现本评分方法以外的特殊情况时，将暂停评审，待磋商小组商榷后再进行复会。</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7</w:t>
      </w:r>
      <w:r>
        <w:rPr>
          <w:rFonts w:hint="eastAsia" w:ascii="仿宋" w:hAnsi="仿宋" w:eastAsia="仿宋" w:cs="仿宋"/>
          <w:b/>
          <w:color w:val="000000" w:themeColor="text1"/>
          <w:sz w:val="24"/>
          <w:highlight w:val="none"/>
          <w14:textFill>
            <w14:solidFill>
              <w14:schemeClr w14:val="tx1"/>
            </w14:solidFill>
          </w14:textFill>
        </w:rPr>
        <w:t>、政府采购政策评分标准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-1、小微企业的价格评分标准</w:t>
      </w:r>
    </w:p>
    <w:p>
      <w:pPr>
        <w:spacing w:line="560" w:lineRule="exact"/>
        <w:ind w:firstLine="522"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000000" w:themeColor="text1"/>
          <w:sz w:val="24"/>
          <w:highlight w:val="none"/>
          <w14:textFill>
            <w14:solidFill>
              <w14:schemeClr w14:val="tx1"/>
            </w14:solidFill>
          </w14:textFill>
        </w:rPr>
        <w:t>1）根据《政府采购促进中小企业发展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号）的办法</w:t>
      </w:r>
      <w:r>
        <w:rPr>
          <w:rFonts w:hint="eastAsia" w:ascii="仿宋" w:hAnsi="仿宋" w:eastAsia="仿宋" w:cs="仿宋"/>
          <w:color w:val="000000" w:themeColor="text1"/>
          <w:sz w:val="24"/>
          <w:highlight w:val="none"/>
          <w:lang w:eastAsia="zh-CN"/>
          <w14:textFill>
            <w14:solidFill>
              <w14:schemeClr w14:val="tx1"/>
            </w14:solidFill>
          </w14:textFill>
        </w:rPr>
        <w:t>及</w:t>
      </w:r>
      <w:bookmarkStart w:id="28" w:name="_Toc14639"/>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关于进一步加大政府采购支持中小企业力度的通知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（财库</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2022</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19号）</w:t>
      </w:r>
      <w:bookmarkEnd w:id="28"/>
      <w:r>
        <w:rPr>
          <w:rFonts w:hint="eastAsia" w:ascii="仿宋" w:hAnsi="仿宋" w:eastAsia="仿宋" w:cs="仿宋"/>
          <w:color w:val="000000" w:themeColor="text1"/>
          <w:sz w:val="24"/>
          <w:highlight w:val="none"/>
          <w:lang w:val="en-US" w:eastAsia="zh-CN"/>
          <w14:textFill>
            <w14:solidFill>
              <w14:schemeClr w14:val="tx1"/>
            </w14:solidFill>
          </w14:textFill>
        </w:rPr>
        <w:t>的通知</w:t>
      </w:r>
      <w:r>
        <w:rPr>
          <w:rFonts w:hint="eastAsia" w:ascii="仿宋" w:hAnsi="仿宋" w:eastAsia="仿宋" w:cs="仿宋"/>
          <w:color w:val="000000" w:themeColor="text1"/>
          <w:sz w:val="24"/>
          <w:highlight w:val="none"/>
          <w14:textFill>
            <w14:solidFill>
              <w14:schemeClr w14:val="tx1"/>
            </w14:solidFill>
          </w14:textFill>
        </w:rPr>
        <w:t>，对于专门面向中小企业采购的项目或者采购包,不再执行价格评审优惠的扶持政策。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（2）以联合体形式参加政府采购活动，联合体各方均为中小企业的，联合体视同中小企业。其中，联合体各方均为小微企业的，联合体视同小微企业。</w:t>
      </w:r>
    </w:p>
    <w:p>
      <w:pPr>
        <w:spacing w:line="560" w:lineRule="exact"/>
        <w:ind w:firstLine="480" w:firstLineChars="200"/>
        <w:rPr>
          <w:rFonts w:hint="eastAsia" w:ascii="仿宋" w:hAnsi="仿宋" w:eastAsia="仿宋" w:cs="仿宋"/>
          <w:strike/>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）小微企业按《政府采购促进中小企业发展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号）和《工业和信息化部、国家统计局、国家发展和改革委员会、财政部关于印发&lt;中小企业划型标准规定&gt;的通知》（工信部联企业【2011】300号）文件规定标准确认</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-2、监狱企业的价格评分标准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（1）在政府采购活动中，监狱企业视同小型、微型企业，享受预留份额、评审中价格扣除等政府采购促进中小企业发展的政府采购政策。</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（2）监狱企业属于小型、微型企业的，不重复享受政策。 </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-3、残疾人福利性单位的价格评分标准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（1）在政府采购活动中，残疾人福利性单位视同小型、微型企业，享受预留份额、评审中价格扣除等政府采购促进中小企业发展的政府采购政策。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（2）残疾人福利性单位属于小型、微型企业的，不重复享受政策。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（3）符合条件的残疾人福利性单位在参加政府采购活动时，应当提供本通知规定的《残疾人福利性单位声明函》，并对声明的真实性负责，未提供的不视为残疾人福利性单位。 </w:t>
      </w:r>
    </w:p>
    <w:p>
      <w:pPr>
        <w:spacing w:line="560" w:lineRule="exact"/>
        <w:ind w:firstLine="597" w:firstLineChars="24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（1）根据《财政部、国家发展改革委、生态环境部、市场监管总局&lt;关于调整优化节能产品、环境标志产品政府采购执行机制&gt;的通知》的</w:t>
      </w:r>
      <w:r>
        <w:rPr>
          <w:rFonts w:hint="eastAsia" w:ascii="仿宋" w:hAnsi="仿宋" w:eastAsia="仿宋" w:cs="仿宋"/>
          <w:color w:val="000000" w:themeColor="text1"/>
          <w:sz w:val="24"/>
          <w:highlight w:val="none"/>
          <w14:textFill>
            <w14:solidFill>
              <w14:schemeClr w14:val="tx1"/>
            </w14:solidFill>
          </w14:textFill>
        </w:rPr>
        <w:t>有关规定</w:t>
      </w:r>
      <w:r>
        <w:rPr>
          <w:rFonts w:hint="eastAsia" w:ascii="仿宋" w:hAnsi="仿宋" w:eastAsia="仿宋" w:cs="仿宋"/>
          <w:bCs/>
          <w:color w:val="000000" w:themeColor="text1"/>
          <w:sz w:val="24"/>
          <w:highlight w:val="none"/>
          <w14:textFill>
            <w14:solidFill>
              <w14:schemeClr w14:val="tx1"/>
            </w14:solidFill>
          </w14:textFill>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eastAsia="zh-CN"/>
          <w14:textFill>
            <w14:solidFill>
              <w14:schemeClr w14:val="tx1"/>
            </w14:solidFill>
          </w14:textFill>
        </w:rPr>
        <w:t>供应商</w:t>
      </w:r>
      <w:r>
        <w:rPr>
          <w:rFonts w:hint="eastAsia" w:ascii="仿宋" w:hAnsi="仿宋" w:eastAsia="仿宋" w:cs="仿宋"/>
          <w:bCs/>
          <w:color w:val="000000" w:themeColor="text1"/>
          <w:sz w:val="24"/>
          <w:highlight w:val="none"/>
          <w14:textFill>
            <w14:solidFill>
              <w14:schemeClr w14:val="tx1"/>
            </w14:solidFill>
          </w14:textFill>
        </w:rPr>
        <w:t>在</w:t>
      </w:r>
      <w:r>
        <w:rPr>
          <w:rFonts w:hint="eastAsia" w:ascii="仿宋" w:hAnsi="仿宋" w:eastAsia="仿宋" w:cs="仿宋"/>
          <w:bCs/>
          <w:color w:val="000000" w:themeColor="text1"/>
          <w:sz w:val="24"/>
          <w:highlight w:val="none"/>
          <w:lang w:eastAsia="zh-CN"/>
          <w14:textFill>
            <w14:solidFill>
              <w14:schemeClr w14:val="tx1"/>
            </w14:solidFill>
          </w14:textFill>
        </w:rPr>
        <w:t>竞争性磋商响应</w:t>
      </w:r>
      <w:r>
        <w:rPr>
          <w:rFonts w:hint="eastAsia" w:ascii="仿宋" w:hAnsi="仿宋" w:eastAsia="仿宋" w:cs="仿宋"/>
          <w:bCs/>
          <w:color w:val="000000" w:themeColor="text1"/>
          <w:sz w:val="24"/>
          <w:highlight w:val="none"/>
          <w14:textFill>
            <w14:solidFill>
              <w14:schemeClr w14:val="tx1"/>
            </w14:solidFill>
          </w14:textFill>
        </w:rPr>
        <w:t>文件中对所投产品为节能、环境标志产品清单中的产品，在</w:t>
      </w:r>
      <w:r>
        <w:rPr>
          <w:rFonts w:hint="eastAsia" w:ascii="仿宋" w:hAnsi="仿宋" w:eastAsia="仿宋" w:cs="仿宋"/>
          <w:bCs/>
          <w:color w:val="000000" w:themeColor="text1"/>
          <w:sz w:val="24"/>
          <w:highlight w:val="none"/>
          <w:lang w:eastAsia="zh-CN"/>
          <w14:textFill>
            <w14:solidFill>
              <w14:schemeClr w14:val="tx1"/>
            </w14:solidFill>
          </w14:textFill>
        </w:rPr>
        <w:t>磋商</w:t>
      </w:r>
      <w:r>
        <w:rPr>
          <w:rFonts w:hint="eastAsia" w:ascii="仿宋" w:hAnsi="仿宋" w:eastAsia="仿宋" w:cs="仿宋"/>
          <w:bCs/>
          <w:color w:val="000000" w:themeColor="text1"/>
          <w:sz w:val="24"/>
          <w:highlight w:val="none"/>
          <w14:textFill>
            <w14:solidFill>
              <w14:schemeClr w14:val="tx1"/>
            </w14:solidFill>
          </w14:textFill>
        </w:rPr>
        <w:t>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（4）若节能、环境标志品目清单内的产品仅是构成投标产品的部件、组件或零件 </w:t>
      </w:r>
    </w:p>
    <w:p>
      <w:pPr>
        <w:autoSpaceDE w:val="0"/>
        <w:autoSpaceDN w:val="0"/>
        <w:adjustRightInd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（5）节能、环境标志产品部分计分只对属于品目清单内的非强制类产品进行计分， </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强制类产品不给予计分。 </w:t>
      </w:r>
    </w:p>
    <w:p>
      <w:pPr>
        <w:spacing w:line="560" w:lineRule="exact"/>
        <w:ind w:firstLine="482" w:firstLineChars="200"/>
        <w:rPr>
          <w:rFonts w:hint="eastAsia"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highlight w:val="none"/>
          <w:lang w:val="en-US" w:eastAsia="zh-CN"/>
          <w14:textFill>
            <w14:solidFill>
              <w14:schemeClr w14:val="tx1"/>
            </w14:solidFill>
          </w14:textFill>
        </w:rPr>
        <w:t>8</w:t>
      </w:r>
      <w:r>
        <w:rPr>
          <w:rFonts w:hint="eastAsia" w:ascii="仿宋" w:hAnsi="仿宋" w:eastAsia="仿宋" w:cs="仿宋"/>
          <w:b/>
          <w:bCs/>
          <w:color w:val="000000" w:themeColor="text1"/>
          <w:sz w:val="24"/>
          <w:highlight w:val="none"/>
          <w14:textFill>
            <w14:solidFill>
              <w14:schemeClr w14:val="tx1"/>
            </w14:solidFill>
          </w14:textFill>
        </w:rPr>
        <w:t>、</w:t>
      </w:r>
      <w:bookmarkStart w:id="29" w:name="_Toc22138"/>
      <w:bookmarkStart w:id="30" w:name="_Toc14886425"/>
      <w:r>
        <w:rPr>
          <w:rFonts w:hint="eastAsia" w:ascii="仿宋" w:hAnsi="仿宋" w:eastAsia="仿宋" w:cs="仿宋"/>
          <w:b/>
          <w:bCs/>
          <w:color w:val="000000" w:themeColor="text1"/>
          <w:sz w:val="24"/>
          <w:highlight w:val="none"/>
          <w:lang w:val="zh-CN"/>
          <w14:textFill>
            <w14:solidFill>
              <w14:schemeClr w14:val="tx1"/>
            </w14:solidFill>
          </w14:textFill>
        </w:rPr>
        <w:t>信用担保</w:t>
      </w:r>
      <w:bookmarkEnd w:id="29"/>
      <w:bookmarkEnd w:id="30"/>
      <w:r>
        <w:rPr>
          <w:rFonts w:hint="eastAsia" w:ascii="仿宋" w:hAnsi="仿宋" w:eastAsia="仿宋" w:cs="仿宋"/>
          <w:b/>
          <w:bCs/>
          <w:color w:val="000000" w:themeColor="text1"/>
          <w:sz w:val="24"/>
          <w:highlight w:val="none"/>
          <w:lang w:val="zh-CN"/>
          <w14:textFill>
            <w14:solidFill>
              <w14:schemeClr w14:val="tx1"/>
            </w14:solidFill>
          </w14:textFill>
        </w:rPr>
        <w:t>及融资</w:t>
      </w:r>
    </w:p>
    <w:p>
      <w:pPr>
        <w:adjustRightInd w:val="0"/>
        <w:snapToGrid w:val="0"/>
        <w:spacing w:line="560" w:lineRule="exact"/>
        <w:ind w:firstLine="480" w:firstLineChars="20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auto"/>
          <w:sz w:val="24"/>
          <w:szCs w:val="24"/>
          <w:highlight w:val="none"/>
          <w:lang w:val="zh-CN"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3、定标</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3-1、定标程序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依据磋商文件的要求，对供应商进行认真评审。经过评审、澄清、磋商、最后报价等程序后，从响应文件满足磋商文件全部实质性要求的供应商中，按照评审得分由高到低顺序的顺序推荐3名以上成交候选供应商，并编写评审报告。</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代理机构应当自评审结束之日起2个工作日内将评审报告送交采购人。采购人在收到评审报告5个工作日内，根据磋商小组提交的评审报告和推荐的成交候选供应商，按照排序由高到低的原则确定成交供应商。成交候选人并列的，最后磋商报价低的成为成交供应商，若最后磋商报价得分相同，服务方案得分高的成为成交供应商。确定结果后，采购人向采购代理机构出具《成交复函》。采购人逾期未确定成交供应商且不提出异议的，视为确定评审报告推荐的排名第一的供应商为成交供应商。</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（4）采购代理机构接到采购人的《成交复函》后，在2个工作日内，将成交结果在</w:t>
      </w:r>
      <w:r>
        <w:rPr>
          <w:rFonts w:hint="eastAsia" w:ascii="仿宋" w:hAnsi="仿宋" w:eastAsia="仿宋" w:cs="仿宋"/>
          <w:color w:val="000000" w:themeColor="text1"/>
          <w:sz w:val="24"/>
          <w:highlight w:val="none"/>
          <w:lang w:val="en-US" w:eastAsia="zh-CN"/>
          <w14:textFill>
            <w14:solidFill>
              <w14:schemeClr w14:val="tx1"/>
            </w14:solidFill>
          </w14:textFill>
        </w:rPr>
        <w:t>陕西省</w:t>
      </w:r>
      <w:r>
        <w:rPr>
          <w:rFonts w:hint="eastAsia" w:ascii="仿宋" w:hAnsi="仿宋" w:eastAsia="仿宋" w:cs="仿宋"/>
          <w:color w:val="000000" w:themeColor="text1"/>
          <w:sz w:val="24"/>
          <w:highlight w:val="none"/>
          <w:lang w:eastAsia="zh-CN"/>
          <w14:textFill>
            <w14:solidFill>
              <w14:schemeClr w14:val="tx1"/>
            </w14:solidFill>
          </w14:textFill>
        </w:rPr>
        <w:t>政府采购</w:t>
      </w:r>
      <w:r>
        <w:rPr>
          <w:rFonts w:hint="eastAsia" w:ascii="仿宋" w:hAnsi="仿宋" w:eastAsia="仿宋" w:cs="仿宋"/>
          <w:color w:val="000000" w:themeColor="text1"/>
          <w:sz w:val="24"/>
          <w:highlight w:val="none"/>
          <w14:textFill>
            <w14:solidFill>
              <w14:schemeClr w14:val="tx1"/>
            </w14:solidFill>
          </w14:textFill>
        </w:rPr>
        <w:t>网上发布公告。公告发布1个工作日，其他供应商若有异议，按《政府采购法》第52条执行。</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3-2、成交供应商确定后，采购人和采购代理机构对未成交原因不作任何解释，竞争性磋商响应文件不予退还（含纸质及电子版文件）。</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4、磋商无效的情形：</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highlight w:val="none"/>
        </w:rPr>
        <w:t>4-1、未按照磋商文件的规定提交磋商保证金的；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、磋商响应文件未按磋商文件要求签署、盖章的；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、不具备磋商文件中规定的资格要求的；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、报价超过磋商文件中规定的预算金额或者最高限价的；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、磋商响应文件含有采购人不能接受的附加条件的；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、提供虚假材料谋取成交的；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、采取不正当手段诋毁、排挤其他供应商的；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、法律、法规和磋商文件规定的其他无效情形。</w:t>
      </w:r>
    </w:p>
    <w:p>
      <w:pPr>
        <w:adjustRightInd w:val="0"/>
        <w:snapToGrid w:val="0"/>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5、成交通知书</w:t>
      </w:r>
    </w:p>
    <w:p>
      <w:pPr>
        <w:pageBreakBefore w:val="0"/>
        <w:tabs>
          <w:tab w:val="left" w:pos="2700"/>
        </w:tabs>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-1、成交通知书将在成交公告发布的同时由采购代理机构向成交人发出，成交供应商应在接到采购代理机构通知之日起七日内领取成交通知书。未在规定时间内领取成交通知书的，磋商保证金不予退还。提供磋商担保的供应商将由专业担保机构先行偿付采购人损失。</w:t>
      </w:r>
    </w:p>
    <w:p>
      <w:pPr>
        <w:tabs>
          <w:tab w:val="left" w:pos="2700"/>
        </w:tabs>
        <w:spacing w:line="560" w:lineRule="exact"/>
        <w:ind w:firstLine="480" w:firstLineChars="200"/>
        <w:rPr>
          <w:rFonts w:hint="eastAsia" w:ascii="仿宋" w:hAnsi="仿宋" w:eastAsia="仿宋" w:cs="仿宋"/>
          <w:sz w:val="24"/>
        </w:rPr>
      </w:pPr>
      <w:r>
        <w:rPr>
          <w:rFonts w:hint="eastAsia" w:ascii="仿宋" w:hAnsi="仿宋" w:eastAsia="仿宋" w:cs="仿宋"/>
          <w:color w:val="000000" w:themeColor="text1"/>
          <w:sz w:val="24"/>
          <w:highlight w:val="none"/>
          <w14:textFill>
            <w14:solidFill>
              <w14:schemeClr w14:val="tx1"/>
            </w14:solidFill>
          </w14:textFill>
        </w:rPr>
        <w:t>5-2、成交通知书发出后，采购人不得违法改变成交结果，成交人无正当理由不得弃成交。</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1" w:name="_Toc28361"/>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、合同</w:t>
      </w:r>
      <w:bookmarkEnd w:id="31"/>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成交供应商在收到成交通知书后三十（30）个日历日内，应按竞争性磋商文件的要求与采购人签订合同。成交供应商因自身原因不按规定与采购人签订合同，则采购人将废除授标，磋商保证金不予退还。给采购人造成损失超过磋商保证金额的，还应当对超过部分予以赔偿，并依法承担相应法律责任。</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3、成交通知书将是合同的重要组成部分。竞争性磋商文件、成交供应商的竞争性磋商响应文件及评议过程中有关的澄清文件均作为合同附件。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成交后，成交人应按照合同约定履行义务，完成磋商项目的服务，经采购人同意，成交人可以依法采取分包方式履行合同。接受分包的供应商应当具备相应的资格条件，并不得再次分包。分包履行的，成交人就采购项目和分包项目向采购人负责，分包供应商就分包项目承担责任。中小企业根据《政府采购促进中小企业发展管理办法》</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财库[2020]46号）规定的政策获取政府采购合同后，小型、微型企业不得分包或转包给大型、中型企业，中型企业不得分包或转包给大型企业。</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5、所签订的合同不得对磋商文件确定的事项和成交人磋商响应文件作实质性修改。</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6、采购人需追加与合同标的相同的货物、工程或服务的，在不改变合同其他条款的前提下，可以与供应商协商签订补充合同，但所有补充合同的采购金额不得超过原合同采购金额的百分之十。</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2" w:name="_Toc493074178"/>
      <w:bookmarkStart w:id="33" w:name="_Toc24945"/>
      <w:bookmarkStart w:id="34" w:name="_Toc494556650"/>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、合同的履约验收</w:t>
      </w:r>
      <w:bookmarkEnd w:id="32"/>
      <w:bookmarkEnd w:id="33"/>
      <w:bookmarkEnd w:id="34"/>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采购人应按照政府采购合同约定的技术、服务、安全标准组织对供应商每一项技术、服务、安全标准的履约情况进行验收，并出具验收书。</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5" w:name="_Toc19792"/>
      <w:r>
        <w:rPr>
          <w:rFonts w:hint="eastAsia" w:ascii="仿宋" w:hAnsi="仿宋" w:eastAsia="仿宋" w:cs="仿宋"/>
          <w:color w:val="000000" w:themeColor="text1"/>
          <w:sz w:val="28"/>
          <w:szCs w:val="28"/>
          <w:highlight w:val="none"/>
          <w:lang w:val="en-US"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、招标服务费</w:t>
      </w:r>
      <w:bookmarkEnd w:id="35"/>
    </w:p>
    <w:p>
      <w:pPr>
        <w:tabs>
          <w:tab w:val="left" w:pos="2700"/>
        </w:tabs>
        <w:spacing w:line="560" w:lineRule="exact"/>
        <w:ind w:firstLine="480" w:firstLineChars="200"/>
        <w:rPr>
          <w:rFonts w:hint="eastAsia" w:ascii="仿宋" w:hAnsi="仿宋" w:eastAsia="仿宋" w:cs="仿宋"/>
          <w:sz w:val="24"/>
        </w:rPr>
      </w:pPr>
      <w:bookmarkStart w:id="36" w:name="_Toc458848826"/>
      <w:bookmarkStart w:id="37" w:name="_Toc458848974"/>
      <w:bookmarkStart w:id="38" w:name="_Toc458848741"/>
      <w:r>
        <w:rPr>
          <w:rFonts w:hint="eastAsia" w:ascii="仿宋" w:hAnsi="仿宋" w:eastAsia="仿宋" w:cs="仿宋"/>
          <w:sz w:val="24"/>
        </w:rPr>
        <w:t>1、《国家发展改革委关于降低部分建设项目收费标准规范收费行为等有关问题的通知》(发改价格〔2011〕534号)以及财政部关于印发&lt;政府采购代理机构管理暂行办法&gt;的通知》（财库〔2018〕2号），向华招广和项目管理有限公司交纳招标服务费。</w:t>
      </w:r>
    </w:p>
    <w:p>
      <w:pPr>
        <w:tabs>
          <w:tab w:val="left" w:pos="270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2、招标服务费应采用转账、现金形式交纳。</w:t>
      </w:r>
    </w:p>
    <w:p>
      <w:pPr>
        <w:tabs>
          <w:tab w:val="left" w:pos="2700"/>
        </w:tabs>
        <w:spacing w:line="560" w:lineRule="exact"/>
        <w:ind w:firstLine="480" w:firstLineChars="200"/>
        <w:rPr>
          <w:rFonts w:hint="eastAsia"/>
        </w:rPr>
      </w:pPr>
      <w:r>
        <w:rPr>
          <w:rFonts w:hint="eastAsia" w:ascii="仿宋" w:hAnsi="仿宋" w:eastAsia="仿宋" w:cs="仿宋"/>
          <w:sz w:val="24"/>
          <w:highlight w:val="none"/>
        </w:rPr>
        <w:t>3、成交供应商如未按上述第1条规定办理，采购代理机构将没收其磋商保证金。提供</w:t>
      </w:r>
      <w:r>
        <w:rPr>
          <w:rFonts w:hint="eastAsia" w:ascii="仿宋" w:hAnsi="仿宋" w:eastAsia="仿宋" w:cs="仿宋"/>
          <w:sz w:val="24"/>
          <w:highlight w:val="none"/>
          <w:lang w:eastAsia="zh-CN"/>
        </w:rPr>
        <w:t>磋商</w:t>
      </w:r>
      <w:r>
        <w:rPr>
          <w:rFonts w:hint="eastAsia" w:ascii="仿宋" w:hAnsi="仿宋" w:eastAsia="仿宋" w:cs="仿宋"/>
          <w:sz w:val="24"/>
          <w:highlight w:val="none"/>
        </w:rPr>
        <w:t>担保的</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将由专业担保机构先行偿付采购代理机构损失。</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9" w:name="_Toc14425"/>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w:t>
      </w:r>
      <w:bookmarkEnd w:id="36"/>
      <w:bookmarkEnd w:id="37"/>
      <w:bookmarkEnd w:id="38"/>
      <w:r>
        <w:rPr>
          <w:rFonts w:hint="eastAsia" w:ascii="仿宋" w:hAnsi="仿宋" w:eastAsia="仿宋" w:cs="仿宋"/>
          <w:color w:val="000000" w:themeColor="text1"/>
          <w:sz w:val="28"/>
          <w:szCs w:val="28"/>
          <w:highlight w:val="none"/>
          <w14:textFill>
            <w14:solidFill>
              <w14:schemeClr w14:val="tx1"/>
            </w14:solidFill>
          </w14:textFill>
        </w:rPr>
        <w:t>重新组织采购活动</w:t>
      </w:r>
      <w:bookmarkEnd w:id="39"/>
    </w:p>
    <w:p>
      <w:pPr>
        <w:spacing w:line="560" w:lineRule="exact"/>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如果发生下列情况之一的，采购人或采购代理机构将按《政府采购竞争性磋商采购方式管理暂行办法》等有关规定重新组织采购：</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（1）、因情况变化，不再符合规定的竞争性磋商采购方式适用情形的；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（2）、出现影响采购公正的违法、违规行为的；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（3）、磋商小组三分之二以上的专家认定所有磋商报价存在价格不实的现象；</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bookmarkStart w:id="40" w:name="_Toc458848742"/>
      <w:bookmarkStart w:id="41" w:name="_Toc458848827"/>
      <w:bookmarkStart w:id="42" w:name="_Toc458848975"/>
      <w:r>
        <w:rPr>
          <w:rFonts w:hint="eastAsia" w:ascii="仿宋" w:hAnsi="仿宋" w:eastAsia="仿宋" w:cs="仿宋"/>
          <w:color w:val="000000" w:themeColor="text1"/>
          <w:sz w:val="24"/>
          <w:highlight w:val="none"/>
          <w14:textFill>
            <w14:solidFill>
              <w14:schemeClr w14:val="tx1"/>
            </w14:solidFill>
          </w14:textFill>
        </w:rPr>
        <w:t>（4）、除《政府采购竞争性磋商采购方式管理暂行办法》（财库〔2014〕214号）第二十一条第三款及《财政部关于政府采购竞争性磋商采购方式管理暂行办法有关问题的补充通知》（财库〔2015〕124号）规定的情形外，在采购过程中符合要求的供应商或者报价未超过采购预算的供应商不足三家的。</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43" w:name="_Toc15549"/>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w:t>
      </w:r>
      <w:bookmarkEnd w:id="40"/>
      <w:bookmarkEnd w:id="41"/>
      <w:bookmarkEnd w:id="42"/>
      <w:r>
        <w:rPr>
          <w:rFonts w:hint="eastAsia" w:ascii="仿宋" w:hAnsi="仿宋" w:eastAsia="仿宋" w:cs="仿宋"/>
          <w:color w:val="000000" w:themeColor="text1"/>
          <w:sz w:val="28"/>
          <w:szCs w:val="28"/>
          <w:highlight w:val="none"/>
          <w14:textFill>
            <w14:solidFill>
              <w14:schemeClr w14:val="tx1"/>
            </w14:solidFill>
          </w14:textFill>
        </w:rPr>
        <w:t>询问、质疑与投诉</w:t>
      </w:r>
      <w:bookmarkEnd w:id="4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4" w:name="_Toc458848743"/>
      <w:bookmarkStart w:id="45" w:name="_Toc458848976"/>
      <w:bookmarkStart w:id="46" w:name="_Toc458848828"/>
      <w:r>
        <w:rPr>
          <w:rFonts w:hint="eastAsia" w:ascii="仿宋" w:hAnsi="仿宋" w:eastAsia="仿宋" w:cs="仿宋"/>
          <w:color w:val="000000" w:themeColor="text1"/>
          <w:sz w:val="24"/>
          <w:highlight w:val="none"/>
          <w14:textFill>
            <w14:solidFill>
              <w14:schemeClr w14:val="tx1"/>
            </w14:solidFill>
          </w14:textFill>
        </w:rPr>
        <w:t>1、询问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供应商对政府采购活动事项有疑问的，可以向采购人、采购代理机构提出询问。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2-1、供应商认为磋商文件、磋商过程和成交结果使自己的权益受到损害的，可以采购人、采购代理机构提出质疑，具体时限为：</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（一）对可以质疑的采购文件提出质疑的，为收到采购文件之日起七个工作日内；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（二）对采购过程提出质疑的，为各采购程序环节结束之日起七个工作日内；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（三）对成交结果提出质疑的，为成交结果公告期限届满之日起七个工作日内。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2-2、供应商须在法定质疑期内一次性提出针对同一采购程序环节的质疑。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2-3、供应商必须按照财政部发布的《政府采购供应商质疑函范本》及其制作说明提出质疑。详见“中国政府采购网（www.ccgp.gov.cn）”下载专区。</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供应商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供应商可以委托代理人进行质疑，须提交授权委托书。其授权委托书应当载明代理人的姓名或者名称、代理事项、具体权限、期限和相关事项。供应商为自然人的，应当由本人签字；供应商为法人或者其他组织的，应当由法定代表人、主要负责人，或者其授权代表签字或盖章，并加盖公章（鲜章）。</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2-6、供应商应在法定期限内以书面形式提出质疑，联系人： </w:t>
      </w:r>
      <w:r>
        <w:rPr>
          <w:rFonts w:hint="eastAsia" w:ascii="仿宋" w:hAnsi="仿宋" w:eastAsia="仿宋" w:cs="仿宋"/>
          <w:color w:val="000000" w:themeColor="text1"/>
          <w:sz w:val="24"/>
          <w:highlight w:val="none"/>
          <w:lang w:eastAsia="zh-CN"/>
          <w14:textFill>
            <w14:solidFill>
              <w14:schemeClr w14:val="tx1"/>
            </w14:solidFill>
          </w14:textFill>
        </w:rPr>
        <w:t>成工</w:t>
      </w:r>
      <w:r>
        <w:rPr>
          <w:rFonts w:hint="eastAsia" w:ascii="仿宋" w:hAnsi="仿宋" w:eastAsia="仿宋" w:cs="仿宋"/>
          <w:color w:val="000000" w:themeColor="text1"/>
          <w:sz w:val="24"/>
          <w:highlight w:val="none"/>
          <w14:textFill>
            <w14:solidFill>
              <w14:schemeClr w14:val="tx1"/>
            </w14:solidFill>
          </w14:textFill>
        </w:rPr>
        <w:t>，联系方式：029-87592321，地址：华招广和项目管理有限公司（西安市朱雀大街南段1号汇成天玺C座18层1812室）。</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w:t>
      </w:r>
    </w:p>
    <w:p>
      <w:pPr>
        <w:pStyle w:val="40"/>
        <w:spacing w:line="560" w:lineRule="exact"/>
        <w:ind w:firstLine="480"/>
        <w:rPr>
          <w:rFonts w:hint="eastAsia" w:ascii="仿宋" w:hAnsi="仿宋" w:eastAsia="仿宋" w:cs="仿宋"/>
          <w:color w:val="000000" w:themeColor="text1"/>
          <w:kern w:val="2"/>
          <w:sz w:val="24"/>
          <w:szCs w:val="20"/>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3-1、质疑供应商对采购人、采购代理机构的答复不满意或者采购人、采购代理机构未在规定的时间内作出答复的，可按《政府采购法》第55条</w:t>
      </w:r>
      <w:r>
        <w:rPr>
          <w:rFonts w:hint="eastAsia" w:ascii="仿宋" w:hAnsi="仿宋" w:eastAsia="仿宋" w:cs="仿宋"/>
          <w:color w:val="000000" w:themeColor="text1"/>
          <w:kern w:val="2"/>
          <w:sz w:val="24"/>
          <w:szCs w:val="20"/>
          <w:highlight w:val="none"/>
          <w14:textFill>
            <w14:solidFill>
              <w14:schemeClr w14:val="tx1"/>
            </w14:solidFill>
          </w14:textFill>
        </w:rPr>
        <w:t>和《政府采购质疑和投诉办法》（财政部令第94号）第17条等有关规定执行。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3-2、本项目质疑供应商对采购人、采购代理机构的答复不满意或者采购人、采购代理机构未在规定时间内作出答复的，可在15个工作日内向</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洛南县财政局</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提起投诉。</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47" w:name="_Toc19464"/>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、拒绝商业贿赂</w:t>
      </w:r>
      <w:bookmarkEnd w:id="44"/>
      <w:bookmarkEnd w:id="45"/>
      <w:bookmarkEnd w:id="46"/>
      <w:bookmarkEnd w:id="4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1、遵照陕西省财政厅的规定，采购人、采购代理机构、供应商和评审专家在磋商活动中，都要签订相应的《拒绝政府采购领域商业贿赂承诺书》，并对违反承诺的行为承担全部责任。</w:t>
      </w:r>
    </w:p>
    <w:p>
      <w:pPr>
        <w:spacing w:line="56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2、供应商必须填写一份《拒绝政府采购领域商业贿赂承诺书》并附在磋商响应文件中，同时应保证磋商响应文件正、副本中一致。</w:t>
      </w:r>
    </w:p>
    <w:p>
      <w:pPr>
        <w:pStyle w:val="3"/>
        <w:spacing w:before="0" w:after="0" w:line="360" w:lineRule="auto"/>
        <w:jc w:val="center"/>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bookmarkStart w:id="48" w:name="_Toc20324"/>
      <w:r>
        <w:rPr>
          <w:rFonts w:hint="eastAsia" w:ascii="仿宋" w:hAnsi="仿宋" w:eastAsia="仿宋" w:cs="仿宋"/>
          <w:color w:val="000000" w:themeColor="text1"/>
          <w:kern w:val="0"/>
          <w:highlight w:val="none"/>
          <w14:textFill>
            <w14:solidFill>
              <w14:schemeClr w14:val="tx1"/>
            </w14:solidFill>
          </w14:textFill>
        </w:rPr>
        <w:t>第三章  服务内容及要求</w:t>
      </w:r>
      <w:bookmarkEnd w:id="48"/>
    </w:p>
    <w:p>
      <w:pPr>
        <w:spacing w:line="480" w:lineRule="auto"/>
        <w:outlineLvl w:val="1"/>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一、服务内容</w:t>
      </w:r>
    </w:p>
    <w:p>
      <w:pPr>
        <w:spacing w:line="480" w:lineRule="auto"/>
        <w:ind w:firstLine="482" w:firstLineChars="200"/>
        <w:outlineLvl w:val="1"/>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1、洛南文旅集团筹建阶段</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成立文旅集团筹建办，梳理整体资产质量，整合产业资源，找准市场定位进行重组。建立健全法人治理结构，设立组织架构，确定岗位职责和人力资源编制，制定流程制度，设立财务、审计、预算机构，优化职能、协调高效地按照现代企业运转提供咨询服务。</w:t>
      </w:r>
    </w:p>
    <w:p>
      <w:pPr>
        <w:spacing w:line="480" w:lineRule="auto"/>
        <w:ind w:firstLine="482" w:firstLineChars="200"/>
        <w:outlineLvl w:val="1"/>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2、洛南文旅集团运营管理阶段</w:t>
      </w:r>
    </w:p>
    <w:p>
      <w:pPr>
        <w:spacing w:line="480" w:lineRule="auto"/>
        <w:ind w:firstLine="480" w:firstLineChars="200"/>
        <w:outlineLvl w:val="1"/>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文旅集团落地后，明确</w:t>
      </w:r>
      <w:r>
        <w:rPr>
          <w:rFonts w:hint="eastAsia" w:ascii="仿宋" w:hAnsi="仿宋" w:eastAsia="仿宋" w:cs="仿宋"/>
          <w:b w:val="0"/>
          <w:bCs w:val="0"/>
          <w:sz w:val="24"/>
          <w:szCs w:val="24"/>
          <w:highlight w:val="none"/>
          <w:lang w:val="en-US" w:eastAsia="zh-CN"/>
        </w:rPr>
        <w:t>集团</w:t>
      </w:r>
      <w:r>
        <w:rPr>
          <w:rFonts w:hint="eastAsia" w:ascii="仿宋" w:hAnsi="仿宋" w:eastAsia="仿宋" w:cs="仿宋"/>
          <w:sz w:val="24"/>
          <w:szCs w:val="24"/>
          <w:highlight w:val="none"/>
          <w:lang w:val="en-US" w:eastAsia="zh-CN"/>
        </w:rPr>
        <w:t>发展思路，设定经济目标，财务预算管理、投融资发展、KPI考核，队伍培养，企业文化建设，品牌宣传，文旅项目的提档升级、规划设计，人力资源培训</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不限于</w:t>
      </w:r>
      <w:r>
        <w:rPr>
          <w:rFonts w:hint="eastAsia" w:ascii="仿宋" w:hAnsi="仿宋" w:eastAsia="仿宋" w:cs="仿宋"/>
          <w:sz w:val="24"/>
          <w:szCs w:val="24"/>
          <w:highlight w:val="none"/>
        </w:rPr>
        <w:t>高级管理</w:t>
      </w:r>
      <w:r>
        <w:rPr>
          <w:rFonts w:hint="eastAsia" w:ascii="仿宋" w:hAnsi="仿宋" w:eastAsia="仿宋" w:cs="仿宋"/>
          <w:sz w:val="24"/>
          <w:szCs w:val="24"/>
          <w:highlight w:val="none"/>
          <w:lang w:val="en-US" w:eastAsia="zh-CN"/>
        </w:rPr>
        <w:t>人员</w:t>
      </w:r>
      <w:r>
        <w:rPr>
          <w:rFonts w:hint="eastAsia" w:ascii="仿宋" w:hAnsi="仿宋" w:eastAsia="仿宋" w:cs="仿宋"/>
          <w:sz w:val="24"/>
          <w:szCs w:val="24"/>
          <w:highlight w:val="none"/>
        </w:rPr>
        <w:t>、景区运营</w:t>
      </w:r>
      <w:r>
        <w:rPr>
          <w:rFonts w:hint="eastAsia" w:ascii="仿宋" w:hAnsi="仿宋" w:eastAsia="仿宋" w:cs="仿宋"/>
          <w:sz w:val="24"/>
          <w:szCs w:val="24"/>
          <w:highlight w:val="none"/>
          <w:lang w:val="en-US" w:eastAsia="zh-CN"/>
        </w:rPr>
        <w:t>人员</w:t>
      </w:r>
      <w:r>
        <w:rPr>
          <w:rFonts w:hint="eastAsia" w:ascii="仿宋" w:hAnsi="仿宋" w:eastAsia="仿宋" w:cs="仿宋"/>
          <w:sz w:val="24"/>
          <w:szCs w:val="24"/>
          <w:highlight w:val="none"/>
        </w:rPr>
        <w:t>、营销推广、财务管理、文旅规划、文化演出、乡村振兴、三产融合、智慧文旅）</w:t>
      </w:r>
      <w:r>
        <w:rPr>
          <w:rFonts w:hint="eastAsia" w:ascii="仿宋" w:hAnsi="仿宋" w:eastAsia="仿宋" w:cs="仿宋"/>
          <w:sz w:val="24"/>
          <w:szCs w:val="24"/>
          <w:highlight w:val="none"/>
          <w:lang w:val="en-US" w:eastAsia="zh-CN"/>
        </w:rPr>
        <w:t>等方面提供咨询服务和培训。</w:t>
      </w:r>
    </w:p>
    <w:p>
      <w:pPr>
        <w:spacing w:line="480" w:lineRule="auto"/>
        <w:ind w:firstLine="482" w:firstLineChars="200"/>
        <w:outlineLvl w:val="1"/>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3、洛南文旅集团发展阶段</w:t>
      </w:r>
    </w:p>
    <w:p>
      <w:pPr>
        <w:spacing w:line="480" w:lineRule="auto"/>
        <w:ind w:firstLine="480" w:firstLineChars="200"/>
        <w:outlineLvl w:val="1"/>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根据国家“十四五”旅游规划结合省市文旅主管部门政策的指导方针，制定未来三年洛南文旅集团的发展定位，结合文旅集团产业布局、资产状况、经营收入、发展规模、目标管理等确定未来的发展战略。在目的地的整体策划规划、营销推广、IP打造、景区运营、业态招商、酒店运营、演艺会展活动、渠道导流等提供全过程的支持和服务。</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针对三个阶段，供应商将指派专业管理团队不定期在洛南驻地开展工作，以实现效率最大化。</w:t>
      </w:r>
    </w:p>
    <w:p>
      <w:pPr>
        <w:keepNext/>
        <w:keepLines/>
        <w:pageBreakBefore w:val="0"/>
        <w:widowControl w:val="0"/>
        <w:kinsoku/>
        <w:wordWrap/>
        <w:overflowPunct/>
        <w:topLinePunct w:val="0"/>
        <w:autoSpaceDE/>
        <w:autoSpaceDN/>
        <w:bidi w:val="0"/>
        <w:adjustRightInd/>
        <w:snapToGrid/>
        <w:spacing w:before="0" w:after="0" w:line="560" w:lineRule="exact"/>
        <w:ind w:firstLine="420" w:firstLineChars="200"/>
        <w:jc w:val="both"/>
        <w:textAlignment w:val="auto"/>
        <w:outlineLvl w:val="9"/>
        <w:rPr>
          <w:rFonts w:hint="eastAsia" w:ascii="仿宋" w:hAnsi="仿宋" w:eastAsia="仿宋" w:cs="仿宋"/>
          <w:color w:val="000000" w:themeColor="text1"/>
          <w:kern w:val="0"/>
          <w:highlight w:val="none"/>
          <w14:textFill>
            <w14:solidFill>
              <w14:schemeClr w14:val="tx1"/>
            </w14:solidFill>
          </w14:textFill>
        </w:rPr>
      </w:pPr>
    </w:p>
    <w:p>
      <w:pPr>
        <w:pStyle w:val="2"/>
        <w:rPr>
          <w:rFonts w:hint="eastAsia" w:ascii="仿宋" w:hAnsi="仿宋" w:eastAsia="仿宋" w:cs="仿宋"/>
          <w:color w:val="000000" w:themeColor="text1"/>
          <w:kern w:val="0"/>
          <w:highlight w:val="none"/>
          <w14:textFill>
            <w14:solidFill>
              <w14:schemeClr w14:val="tx1"/>
            </w14:solidFill>
          </w14:textFill>
        </w:rPr>
      </w:pPr>
    </w:p>
    <w:p>
      <w:pPr>
        <w:pStyle w:val="2"/>
        <w:rPr>
          <w:rFonts w:hint="eastAsia" w:ascii="仿宋" w:hAnsi="仿宋" w:eastAsia="仿宋" w:cs="仿宋"/>
          <w:color w:val="000000" w:themeColor="text1"/>
          <w:kern w:val="0"/>
          <w:highlight w:val="none"/>
          <w14:textFill>
            <w14:solidFill>
              <w14:schemeClr w14:val="tx1"/>
            </w14:solidFill>
          </w14:textFill>
        </w:rPr>
      </w:pPr>
    </w:p>
    <w:p>
      <w:pPr>
        <w:pStyle w:val="22"/>
        <w:rPr>
          <w:rFonts w:hint="eastAsia"/>
        </w:rPr>
      </w:pPr>
    </w:p>
    <w:p>
      <w:pPr>
        <w:pStyle w:val="3"/>
        <w:spacing w:before="0" w:after="0" w:line="360" w:lineRule="auto"/>
        <w:jc w:val="center"/>
        <w:rPr>
          <w:rFonts w:hint="eastAsia" w:ascii="仿宋" w:hAnsi="仿宋" w:eastAsia="仿宋" w:cs="仿宋"/>
          <w:color w:val="000000" w:themeColor="text1"/>
          <w:sz w:val="24"/>
          <w:highlight w:val="none"/>
          <w14:textFill>
            <w14:solidFill>
              <w14:schemeClr w14:val="tx1"/>
            </w14:solidFill>
          </w14:textFill>
        </w:rPr>
      </w:pPr>
      <w:bookmarkStart w:id="49" w:name="_Toc21581"/>
      <w:r>
        <w:rPr>
          <w:rFonts w:hint="eastAsia" w:ascii="仿宋" w:hAnsi="仿宋" w:eastAsia="仿宋" w:cs="仿宋"/>
          <w:color w:val="000000" w:themeColor="text1"/>
          <w:kern w:val="0"/>
          <w:highlight w:val="none"/>
          <w14:textFill>
            <w14:solidFill>
              <w14:schemeClr w14:val="tx1"/>
            </w14:solidFill>
          </w14:textFill>
        </w:rPr>
        <w:t>第四章   商务要求</w:t>
      </w:r>
      <w:bookmarkEnd w:id="49"/>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一、服务期限及地点：</w:t>
      </w:r>
      <w:bookmarkStart w:id="50" w:name="_Toc167715234"/>
      <w:bookmarkStart w:id="51" w:name="_Toc167714037"/>
      <w:bookmarkStart w:id="52" w:name="_Toc167712839"/>
    </w:p>
    <w:bookmarkEnd w:id="50"/>
    <w:bookmarkEnd w:id="51"/>
    <w:bookmarkEnd w:id="52"/>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期限：</w:t>
      </w:r>
      <w:r>
        <w:rPr>
          <w:rFonts w:hint="eastAsia" w:ascii="仿宋" w:hAnsi="仿宋" w:eastAsia="仿宋" w:cs="仿宋"/>
          <w:color w:val="000000" w:themeColor="text1"/>
          <w:sz w:val="24"/>
          <w:highlight w:val="none"/>
          <w:lang w:val="en-US" w:eastAsia="zh-CN"/>
          <w14:textFill>
            <w14:solidFill>
              <w14:schemeClr w14:val="tx1"/>
            </w14:solidFill>
          </w14:textFill>
        </w:rPr>
        <w:t>自合同签订之日起</w:t>
      </w:r>
      <w:r>
        <w:rPr>
          <w:rFonts w:hint="eastAsia" w:ascii="仿宋" w:hAnsi="仿宋" w:eastAsia="仿宋" w:cs="仿宋"/>
          <w:color w:val="000000" w:themeColor="text1"/>
          <w:sz w:val="24"/>
          <w:highlight w:val="none"/>
          <w14:textFill>
            <w14:solidFill>
              <w14:schemeClr w14:val="tx1"/>
            </w14:solidFill>
          </w14:textFill>
        </w:rPr>
        <w:t>至2023年12月31日止。</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2、交付地点：甲方指定地点。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default" w:ascii="仿宋" w:hAnsi="仿宋" w:eastAsia="仿宋" w:cs="仿宋"/>
          <w:b w:val="0"/>
          <w:bCs/>
          <w:color w:val="000000" w:themeColor="text1"/>
          <w:sz w:val="24"/>
          <w:highlight w:val="none"/>
          <w:lang w:val="en-US" w:eastAsia="zh-CN"/>
          <w14:textFill>
            <w14:solidFill>
              <w14:schemeClr w14:val="tx1"/>
            </w14:solidFill>
          </w14:textFill>
        </w:rPr>
      </w:pPr>
      <w:bookmarkStart w:id="53" w:name="_Toc167712843"/>
      <w:bookmarkStart w:id="54" w:name="_Toc167714041"/>
      <w:bookmarkStart w:id="55" w:name="_Toc167715238"/>
      <w:r>
        <w:rPr>
          <w:rFonts w:hint="eastAsia" w:ascii="仿宋" w:hAnsi="仿宋" w:eastAsia="仿宋" w:cs="仿宋"/>
          <w:b w:val="0"/>
          <w:bCs/>
          <w:color w:val="000000" w:themeColor="text1"/>
          <w:sz w:val="24"/>
          <w:highlight w:val="none"/>
          <w:lang w:val="en-US" w:eastAsia="zh-CN"/>
          <w14:textFill>
            <w14:solidFill>
              <w14:schemeClr w14:val="tx1"/>
            </w14:solidFill>
          </w14:textFill>
        </w:rPr>
        <w:t>甲乙双方自行协商。</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、质量保证：</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hint="eastAsia" w:ascii="仿宋" w:hAnsi="仿宋" w:eastAsia="仿宋" w:cs="仿宋"/>
          <w:color w:val="000000" w:themeColor="text1"/>
          <w:kern w:val="0"/>
          <w:sz w:val="24"/>
          <w:highlight w:val="none"/>
          <w:lang w:eastAsia="zh-CN"/>
          <w14:textFill>
            <w14:solidFill>
              <w14:schemeClr w14:val="tx1"/>
            </w14:solidFill>
          </w14:textFill>
        </w:rPr>
        <w:t>成交</w:t>
      </w:r>
      <w:r>
        <w:rPr>
          <w:rFonts w:hint="eastAsia" w:ascii="仿宋" w:hAnsi="仿宋" w:eastAsia="仿宋" w:cs="仿宋"/>
          <w:color w:val="000000" w:themeColor="text1"/>
          <w:kern w:val="0"/>
          <w:sz w:val="24"/>
          <w:highlight w:val="none"/>
          <w14:textFill>
            <w14:solidFill>
              <w14:schemeClr w14:val="tx1"/>
            </w14:solidFill>
          </w14:textFill>
        </w:rPr>
        <w:t>单位所提供的项目成果必须经采购人审核验收，符合采购人要求，并达到技术指标先进、质量可靠、配置合理，满足</w:t>
      </w:r>
      <w:r>
        <w:rPr>
          <w:rFonts w:hint="eastAsia" w:ascii="仿宋" w:hAnsi="仿宋" w:eastAsia="仿宋" w:cs="仿宋"/>
          <w:color w:val="000000" w:themeColor="text1"/>
          <w:kern w:val="0"/>
          <w:sz w:val="24"/>
          <w:highlight w:val="none"/>
          <w:lang w:eastAsia="zh-CN"/>
          <w14:textFill>
            <w14:solidFill>
              <w14:schemeClr w14:val="tx1"/>
            </w14:solidFill>
          </w14:textFill>
        </w:rPr>
        <w:t>采购</w:t>
      </w:r>
      <w:r>
        <w:rPr>
          <w:rFonts w:hint="eastAsia" w:ascii="仿宋" w:hAnsi="仿宋" w:eastAsia="仿宋" w:cs="仿宋"/>
          <w:color w:val="000000" w:themeColor="text1"/>
          <w:kern w:val="0"/>
          <w:sz w:val="24"/>
          <w:highlight w:val="none"/>
          <w14:textFill>
            <w14:solidFill>
              <w14:schemeClr w14:val="tx1"/>
            </w14:solidFill>
          </w14:textFill>
        </w:rPr>
        <w:t>文件要求。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2、服务的质量必须符合国家标准和有关规范，确保服务达到最佳使用要求。</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合同实施：</w:t>
      </w:r>
      <w:bookmarkStart w:id="56" w:name="_Toc167712869"/>
      <w:bookmarkStart w:id="57" w:name="_Toc167714067"/>
      <w:bookmarkStart w:id="58" w:name="_Toc167715264"/>
    </w:p>
    <w:bookmarkEnd w:id="56"/>
    <w:bookmarkEnd w:id="57"/>
    <w:bookmarkEnd w:id="58"/>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成交单位应在合同签订后七（7）个日历日内安排人员（项目组成人员简历表所列）与使用单位就</w:t>
      </w:r>
      <w:r>
        <w:rPr>
          <w:rFonts w:hint="eastAsia" w:ascii="仿宋" w:hAnsi="仿宋" w:eastAsia="仿宋" w:cs="仿宋"/>
          <w:color w:val="000000" w:themeColor="text1"/>
          <w:sz w:val="24"/>
          <w:highlight w:val="none"/>
          <w:lang w:val="en-US" w:eastAsia="zh-CN"/>
          <w14:textFill>
            <w14:solidFill>
              <w14:schemeClr w14:val="tx1"/>
            </w14:solidFill>
          </w14:textFill>
        </w:rPr>
        <w:t>项目实施</w:t>
      </w:r>
      <w:r>
        <w:rPr>
          <w:rFonts w:hint="eastAsia" w:ascii="仿宋" w:hAnsi="仿宋" w:eastAsia="仿宋" w:cs="仿宋"/>
          <w:color w:val="000000" w:themeColor="text1"/>
          <w:sz w:val="24"/>
          <w:highlight w:val="none"/>
          <w14:textFill>
            <w14:solidFill>
              <w14:schemeClr w14:val="tx1"/>
            </w14:solidFill>
          </w14:textFill>
        </w:rPr>
        <w:t>等工作进行安排、部署。</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2、若未能在项目周期内完成合同规定的义务，由此对采购人造成的延误和一切损失，由成交单位承担和赔偿。</w:t>
      </w:r>
      <w:bookmarkEnd w:id="53"/>
      <w:bookmarkEnd w:id="54"/>
      <w:bookmarkEnd w:id="55"/>
    </w:p>
    <w:p>
      <w:pPr>
        <w:spacing w:line="56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五</w:t>
      </w:r>
      <w:r>
        <w:rPr>
          <w:rFonts w:hint="eastAsia" w:ascii="仿宋" w:hAnsi="仿宋" w:eastAsia="仿宋" w:cs="仿宋"/>
          <w:b/>
          <w:bCs/>
          <w:color w:val="000000" w:themeColor="text1"/>
          <w:sz w:val="24"/>
          <w:highlight w:val="none"/>
          <w14:textFill>
            <w14:solidFill>
              <w14:schemeClr w14:val="tx1"/>
            </w14:solidFill>
          </w14:textFill>
        </w:rPr>
        <w:t>、违约责任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1、按</w:t>
      </w:r>
      <w:r>
        <w:rPr>
          <w:rFonts w:hint="eastAsia" w:ascii="仿宋" w:hAnsi="仿宋" w:eastAsia="仿宋" w:cs="仿宋"/>
          <w:color w:val="000000" w:themeColor="text1"/>
          <w:sz w:val="24"/>
          <w:highlight w:val="none"/>
          <w:lang w:eastAsia="zh-CN"/>
          <w14:textFill>
            <w14:solidFill>
              <w14:schemeClr w14:val="tx1"/>
            </w14:solidFill>
          </w14:textFill>
        </w:rPr>
        <w:t>《中华人民共和国民法典》</w:t>
      </w:r>
      <w:r>
        <w:rPr>
          <w:rFonts w:hint="eastAsia" w:ascii="仿宋" w:hAnsi="仿宋" w:eastAsia="仿宋" w:cs="仿宋"/>
          <w:color w:val="000000" w:themeColor="text1"/>
          <w:sz w:val="24"/>
          <w:highlight w:val="none"/>
          <w14:textFill>
            <w14:solidFill>
              <w14:schemeClr w14:val="tx1"/>
            </w14:solidFill>
          </w14:textFill>
        </w:rPr>
        <w:t>中的相关条款执行。</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2、按合同要求提供服务或服务质量不能满足技术要求，采购人有权终止合同，并对供</w:t>
      </w:r>
    </w:p>
    <w:p>
      <w:pPr>
        <w:spacing w:line="560" w:lineRule="exact"/>
        <w:jc w:val="left"/>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594995</wp:posOffset>
                </wp:positionV>
                <wp:extent cx="5487670" cy="493395"/>
                <wp:effectExtent l="4445" t="5080" r="13335" b="15875"/>
                <wp:wrapSquare wrapText="bothSides"/>
                <wp:docPr id="14" name="文本框 14"/>
                <wp:cNvGraphicFramePr/>
                <a:graphic xmlns:a="http://schemas.openxmlformats.org/drawingml/2006/main">
                  <a:graphicData uri="http://schemas.microsoft.com/office/word/2010/wordprocessingShape">
                    <wps:wsp>
                      <wps:cNvSpPr txBox="1"/>
                      <wps:spPr>
                        <a:xfrm>
                          <a:off x="1273175" y="2276475"/>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4.05pt;margin-top:46.85pt;height:38.85pt;width:432.1pt;mso-wrap-distance-bottom:0pt;mso-wrap-distance-left:9pt;mso-wrap-distance-right:9pt;mso-wrap-distance-top:0pt;z-index:251659264;mso-width-relative:page;mso-height-relative:page;" fillcolor="#FFFFFF" filled="t" stroked="t" coordsize="21600,21600" o:gfxdata="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wh9FNgAAAAIAQAADwAAAAAAAAABACAAAAAiAAAAZHJzL2Rvd25yZXYu&#10;eG1sUEsBAhQAFAAAAAgAh07iQHKFR+Q0AgAAegQAAA4AAAAAAAAAAQAgAAAAJwEAAGRycy9lMm9E&#10;b2MueG1sUEsFBgAAAAAGAAYAWQEAAM0FA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方违约行为进行追究，同时按《政府采购法》的有关规定进行处罚。</w:t>
      </w:r>
      <w:r>
        <w:rPr>
          <w:rFonts w:hint="eastAsia" w:ascii="仿宋" w:hAnsi="仿宋" w:eastAsia="仿宋" w:cs="仿宋"/>
          <w:color w:val="000000" w:themeColor="text1"/>
          <w:kern w:val="0"/>
          <w:highlight w:val="none"/>
          <w14:textFill>
            <w14:solidFill>
              <w14:schemeClr w14:val="tx1"/>
            </w14:solidFill>
          </w14:textFill>
        </w:rPr>
        <w:br w:type="page"/>
      </w:r>
    </w:p>
    <w:p>
      <w:pPr>
        <w:spacing w:line="560" w:lineRule="exact"/>
        <w:jc w:val="center"/>
        <w:rPr>
          <w:rFonts w:hint="eastAsia" w:ascii="仿宋" w:hAnsi="仿宋" w:eastAsia="仿宋" w:cs="仿宋"/>
          <w:color w:val="000000" w:themeColor="text1"/>
          <w:kern w:val="0"/>
          <w:highlight w:val="none"/>
          <w:lang w:eastAsia="zh-CN"/>
          <w14:textFill>
            <w14:solidFill>
              <w14:schemeClr w14:val="tx1"/>
            </w14:solidFill>
          </w14:textFill>
        </w:rPr>
      </w:pPr>
      <w:bookmarkStart w:id="59" w:name="_Toc2890"/>
      <w:r>
        <w:rPr>
          <w:rStyle w:val="56"/>
          <w:rFonts w:hint="eastAsia" w:ascii="仿宋" w:hAnsi="仿宋" w:eastAsia="仿宋" w:cs="仿宋"/>
          <w:color w:val="000000" w:themeColor="text1"/>
          <w:highlight w:val="none"/>
          <w14:textFill>
            <w14:solidFill>
              <w14:schemeClr w14:val="tx1"/>
            </w14:solidFill>
          </w14:textFill>
        </w:rPr>
        <w:t>第五章  合同条款</w:t>
      </w:r>
      <w:bookmarkEnd w:id="59"/>
      <w:r>
        <w:rPr>
          <w:rStyle w:val="56"/>
          <w:rFonts w:hint="eastAsia" w:ascii="仿宋" w:hAnsi="仿宋" w:eastAsia="仿宋" w:cs="仿宋"/>
          <w:color w:val="000000" w:themeColor="text1"/>
          <w:highlight w:val="none"/>
          <w:lang w:eastAsia="zh-CN"/>
          <w14:textFill>
            <w14:solidFill>
              <w14:schemeClr w14:val="tx1"/>
            </w14:solidFill>
          </w14:textFill>
        </w:rPr>
        <w:t>（</w:t>
      </w:r>
      <w:r>
        <w:rPr>
          <w:rStyle w:val="56"/>
          <w:rFonts w:hint="eastAsia" w:ascii="仿宋" w:hAnsi="仿宋" w:eastAsia="仿宋" w:cs="仿宋"/>
          <w:color w:val="000000" w:themeColor="text1"/>
          <w:highlight w:val="none"/>
          <w:lang w:val="en-US" w:eastAsia="zh-CN"/>
          <w14:textFill>
            <w14:solidFill>
              <w14:schemeClr w14:val="tx1"/>
            </w14:solidFill>
          </w14:textFill>
        </w:rPr>
        <w:t>参考格式</w:t>
      </w:r>
      <w:r>
        <w:rPr>
          <w:rStyle w:val="56"/>
          <w:rFonts w:hint="eastAsia" w:ascii="仿宋" w:hAnsi="仿宋" w:eastAsia="仿宋" w:cs="仿宋"/>
          <w:color w:val="000000" w:themeColor="text1"/>
          <w:highlight w:val="none"/>
          <w:lang w:eastAsia="zh-CN"/>
          <w14:textFill>
            <w14:solidFill>
              <w14:schemeClr w14:val="tx1"/>
            </w14:solidFill>
          </w14:textFill>
        </w:rPr>
        <w:t>）</w:t>
      </w:r>
    </w:p>
    <w:p>
      <w:pPr>
        <w:ind w:firstLine="5520" w:firstLineChars="2300"/>
        <w:jc w:val="both"/>
        <w:rPr>
          <w:rFonts w:hint="eastAsia" w:ascii="仿宋" w:hAnsi="仿宋" w:eastAsia="仿宋" w:cs="仿宋"/>
          <w:b w:val="0"/>
          <w:bCs/>
          <w:color w:val="000000" w:themeColor="text1"/>
          <w:sz w:val="24"/>
          <w:szCs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一、合同格式</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陕西洛南文旅集团（筹）咨询顾问服务项目</w:t>
      </w:r>
      <w:r>
        <w:rPr>
          <w:rFonts w:hint="eastAsia" w:ascii="仿宋" w:hAnsi="仿宋" w:eastAsia="仿宋" w:cs="仿宋"/>
          <w:color w:val="000000" w:themeColor="text1"/>
          <w:sz w:val="24"/>
          <w:highlight w:val="none"/>
          <w14:textFill>
            <w14:solidFill>
              <w14:schemeClr w14:val="tx1"/>
            </w14:solidFill>
          </w14:textFill>
        </w:rPr>
        <w:t>(文件编号</w:t>
      </w:r>
      <w:r>
        <w:rPr>
          <w:rFonts w:hint="eastAsia" w:ascii="仿宋" w:hAnsi="仿宋" w:eastAsia="仿宋" w:cs="仿宋"/>
          <w:color w:val="000000" w:themeColor="text1"/>
          <w:sz w:val="24"/>
          <w:highlight w:val="none"/>
          <w:lang w:eastAsia="zh-CN"/>
          <w14:textFill>
            <w14:solidFill>
              <w14:schemeClr w14:val="tx1"/>
            </w14:solidFill>
          </w14:textFill>
        </w:rPr>
        <w:t>：HZGH-2022-064</w:t>
      </w:r>
      <w:r>
        <w:rPr>
          <w:rFonts w:hint="eastAsia" w:ascii="仿宋" w:hAnsi="仿宋" w:eastAsia="仿宋" w:cs="仿宋"/>
          <w:color w:val="000000" w:themeColor="text1"/>
          <w:sz w:val="24"/>
          <w:highlight w:val="none"/>
          <w14:textFill>
            <w14:solidFill>
              <w14:schemeClr w14:val="tx1"/>
            </w14:solidFill>
          </w14:textFill>
        </w:rPr>
        <w:t>)，在</w:t>
      </w:r>
      <w:r>
        <w:rPr>
          <w:rFonts w:hint="eastAsia" w:ascii="仿宋" w:hAnsi="仿宋" w:eastAsia="仿宋" w:cs="仿宋"/>
          <w:color w:val="000000" w:themeColor="text1"/>
          <w:sz w:val="24"/>
          <w:highlight w:val="none"/>
          <w:lang w:eastAsia="zh-CN"/>
          <w14:textFill>
            <w14:solidFill>
              <w14:schemeClr w14:val="tx1"/>
            </w14:solidFill>
          </w14:textFill>
        </w:rPr>
        <w:t>洛南县财政局</w:t>
      </w:r>
      <w:r>
        <w:rPr>
          <w:rFonts w:hint="eastAsia" w:ascii="仿宋" w:hAnsi="仿宋" w:eastAsia="仿宋" w:cs="仿宋"/>
          <w:color w:val="000000" w:themeColor="text1"/>
          <w:sz w:val="24"/>
          <w:highlight w:val="none"/>
          <w14:textFill>
            <w14:solidFill>
              <w14:schemeClr w14:val="tx1"/>
            </w14:solidFill>
          </w14:textFill>
        </w:rPr>
        <w:t>的监督管理下，由华招广和项目管理有限公司组织竞争性磋商。</w:t>
      </w:r>
      <w:r>
        <w:rPr>
          <w:rFonts w:hint="eastAsia" w:ascii="仿宋" w:hAnsi="仿宋" w:eastAsia="仿宋" w:cs="仿宋"/>
          <w:color w:val="000000" w:themeColor="text1"/>
          <w:sz w:val="24"/>
          <w:highlight w:val="none"/>
          <w:lang w:eastAsia="zh-CN"/>
          <w14:textFill>
            <w14:solidFill>
              <w14:schemeClr w14:val="tx1"/>
            </w14:solidFill>
          </w14:textFill>
        </w:rPr>
        <w:t>洛南县文化和旅游局</w:t>
      </w:r>
      <w:r>
        <w:rPr>
          <w:rFonts w:hint="eastAsia" w:ascii="仿宋" w:hAnsi="仿宋" w:eastAsia="仿宋" w:cs="仿宋"/>
          <w:color w:val="000000" w:themeColor="text1"/>
          <w:sz w:val="24"/>
          <w:highlight w:val="none"/>
          <w14:textFill>
            <w14:solidFill>
              <w14:schemeClr w14:val="tx1"/>
            </w14:solidFill>
          </w14:textFill>
        </w:rPr>
        <w:t>(以下简称“甲方”)确定 (成交单位名称) （以下简称“乙方”）为成交单位。</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依据《中华人民共和国</w:t>
      </w:r>
      <w:r>
        <w:rPr>
          <w:rFonts w:hint="eastAsia" w:ascii="仿宋" w:hAnsi="仿宋" w:eastAsia="仿宋" w:cs="仿宋"/>
          <w:color w:val="000000" w:themeColor="text1"/>
          <w:sz w:val="24"/>
          <w:highlight w:val="none"/>
          <w:lang w:val="en-US" w:eastAsia="zh-CN"/>
          <w14:textFill>
            <w14:solidFill>
              <w14:schemeClr w14:val="tx1"/>
            </w14:solidFill>
          </w14:textFill>
        </w:rPr>
        <w:t>民法典</w:t>
      </w:r>
      <w:r>
        <w:rPr>
          <w:rFonts w:hint="eastAsia" w:ascii="仿宋" w:hAnsi="仿宋" w:eastAsia="仿宋" w:cs="仿宋"/>
          <w:color w:val="000000" w:themeColor="text1"/>
          <w:sz w:val="24"/>
          <w:highlight w:val="none"/>
          <w14:textFill>
            <w14:solidFill>
              <w14:schemeClr w14:val="tx1"/>
            </w14:solidFill>
          </w14:textFill>
        </w:rPr>
        <w:t>》和《中华人民共和国政府采购法》《中华人民共和国政府采购法实施条例》，甲方通过竞争性磋商采购（服务名称） ，并接受了乙方以价格(成交金额大写)(以下简称“合同价”)提供的服务。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bookmarkStart w:id="60" w:name="_Toc188808831"/>
      <w:bookmarkStart w:id="61" w:name="_Toc194663916"/>
      <w:bookmarkStart w:id="62" w:name="_Toc193187095"/>
      <w:bookmarkStart w:id="63" w:name="_Toc193126879"/>
      <w:r>
        <w:rPr>
          <w:rFonts w:hint="eastAsia" w:ascii="仿宋" w:hAnsi="仿宋" w:eastAsia="仿宋" w:cs="仿宋"/>
          <w:color w:val="000000" w:themeColor="text1"/>
          <w:sz w:val="24"/>
          <w:highlight w:val="none"/>
          <w14:textFill>
            <w14:solidFill>
              <w14:schemeClr w14:val="tx1"/>
            </w14:solidFill>
          </w14:textFill>
        </w:rPr>
        <w:t>本合同在此声明如下：</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1、本合同中的词语和术语的含义与合同条款中定义的相同。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2、下述文件是本合同的一部分，并与本合同一起阅读和解释：</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1）合同条款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2）合同条款附件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附件1—服务方案</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附件2—服务质量保证承诺</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w:t>
      </w:r>
    </w:p>
    <w:p>
      <w:pPr>
        <w:spacing w:line="560" w:lineRule="exact"/>
        <w:jc w:val="left"/>
        <w:rPr>
          <w:rFonts w:hint="eastAsia"/>
        </w:rPr>
      </w:pPr>
      <w:r>
        <w:rPr>
          <w:rFonts w:hint="eastAsia" w:ascii="仿宋" w:hAnsi="仿宋" w:eastAsia="仿宋" w:cs="仿宋"/>
          <w:color w:val="000000" w:themeColor="text1"/>
          <w:sz w:val="24"/>
          <w:highlight w:val="none"/>
          <w14:textFill>
            <w14:solidFill>
              <w14:schemeClr w14:val="tx1"/>
            </w14:solidFill>
          </w14:textFill>
        </w:rPr>
        <w:t>3、考虑到甲方将按照本合同向乙方支付款项，乙方在此保证全部按照合同的规定向甲方提</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供服务，并修补缺陷。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4、考虑到乙方提供的服务并修补缺陷，甲方在此保证按照合同规定的时间和方式向乙方支付合同价或其他按合同规定应支付的金额。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甲乙双方自行协商。</w:t>
      </w:r>
    </w:p>
    <w:p>
      <w:pPr>
        <w:numPr>
          <w:ilvl w:val="0"/>
          <w:numId w:val="4"/>
        </w:num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服务期限：</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560" w:lineRule="exact"/>
        <w:ind w:firstLine="480" w:firstLineChars="200"/>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服务地点：</w:t>
      </w:r>
      <w:r>
        <w:rPr>
          <w:rFonts w:hint="eastAsia" w:ascii="仿宋" w:hAnsi="仿宋" w:eastAsia="仿宋" w:cs="仿宋"/>
          <w:color w:val="000000" w:themeColor="text1"/>
          <w:sz w:val="24"/>
          <w:highlight w:val="none"/>
          <w:lang w:val="en-US" w:eastAsia="zh-CN"/>
          <w14:textFill>
            <w14:solidFill>
              <w14:schemeClr w14:val="tx1"/>
            </w14:solidFill>
          </w14:textFill>
        </w:rPr>
        <w:t>甲方指定地点。</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本合同一式</w:t>
      </w:r>
      <w:r>
        <w:rPr>
          <w:rFonts w:hint="eastAsia" w:ascii="仿宋" w:hAnsi="仿宋" w:eastAsia="仿宋" w:cs="仿宋"/>
          <w:color w:val="000000" w:themeColor="text1"/>
          <w:sz w:val="24"/>
          <w:highlight w:val="none"/>
          <w:lang w:eastAsia="zh-CN"/>
          <w14:textFill>
            <w14:solidFill>
              <w14:schemeClr w14:val="tx1"/>
            </w14:solidFill>
          </w14:textFill>
        </w:rPr>
        <w:t>伍</w:t>
      </w:r>
      <w:r>
        <w:rPr>
          <w:rFonts w:hint="eastAsia" w:ascii="仿宋" w:hAnsi="仿宋" w:eastAsia="仿宋" w:cs="仿宋"/>
          <w:color w:val="000000" w:themeColor="text1"/>
          <w:sz w:val="24"/>
          <w:highlight w:val="none"/>
          <w14:textFill>
            <w14:solidFill>
              <w14:schemeClr w14:val="tx1"/>
            </w14:solidFill>
          </w14:textFill>
        </w:rPr>
        <w:t>份，其中，甲方贰份，乙方贰份，</w:t>
      </w:r>
      <w:r>
        <w:rPr>
          <w:rFonts w:hint="eastAsia" w:ascii="仿宋" w:hAnsi="仿宋" w:eastAsia="仿宋" w:cs="仿宋"/>
          <w:color w:val="000000" w:themeColor="text1"/>
          <w:sz w:val="24"/>
          <w:highlight w:val="none"/>
          <w:lang w:eastAsia="zh-CN"/>
          <w14:textFill>
            <w14:solidFill>
              <w14:schemeClr w14:val="tx1"/>
            </w14:solidFill>
          </w14:textFill>
        </w:rPr>
        <w:t>采购代理机构</w:t>
      </w:r>
      <w:r>
        <w:rPr>
          <w:rFonts w:hint="eastAsia" w:ascii="仿宋" w:hAnsi="仿宋" w:eastAsia="仿宋" w:cs="仿宋"/>
          <w:color w:val="000000" w:themeColor="text1"/>
          <w:sz w:val="24"/>
          <w:highlight w:val="none"/>
          <w14:textFill>
            <w14:solidFill>
              <w14:schemeClr w14:val="tx1"/>
            </w14:solidFill>
          </w14:textFill>
        </w:rPr>
        <w:t>备案壹份。</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8、本合同由买卖双方共同签字盖章之日起生效。</w:t>
      </w:r>
    </w:p>
    <w:tbl>
      <w:tblPr>
        <w:tblStyle w:val="23"/>
        <w:tblpPr w:leftFromText="180" w:rightFromText="180" w:vertAnchor="text" w:horzAnchor="margin" w:tblpX="406" w:tblpY="58"/>
        <w:tblOverlap w:val="never"/>
        <w:tblW w:w="8361"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甲方名称：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tc>
        <w:tc>
          <w:tcPr>
            <w:tcW w:w="3936"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乙方名称：</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邮    编：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电    话：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传    真：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开户银行：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帐    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w:t>
            </w:r>
          </w:p>
        </w:tc>
      </w:tr>
      <w:bookmarkEnd w:id="60"/>
      <w:bookmarkEnd w:id="61"/>
      <w:bookmarkEnd w:id="62"/>
      <w:bookmarkEnd w:id="63"/>
    </w:tbl>
    <w:p>
      <w:pPr>
        <w:jc w:val="both"/>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p>
    <w:p>
      <w:pPr>
        <w:spacing w:line="480" w:lineRule="exact"/>
        <w:ind w:firstLine="480" w:firstLineChars="200"/>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 xml:space="preserve">                                 </w:t>
      </w: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二、合同条款</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第一条 本着平等互惠、互相支持、共同发展的原则，就甲方针对本项目的事宜， 经甲乙双方友好协商， 共同签署本合同，以资共同遵守。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第二条 服务定义：根据甲方需要，乙方为甲方提供该项目的服务等业务。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第三条 乙方服务人员：是指乙方派出的符合本合同资格条件的、在甲方从事本合同规定的服务项目范围以内工作的人员。乙方有义务在本合同有效期内维持其与服务人员合法的劳动合同关系，不得因与服务人员间就劳动法律关系或在其他方面的任何争议或瑕疵影响其履行在本合同项下的义务。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第四条 服务期限，从    年  月  日起至    年  月   日。</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第五条 服务费用：人民币       元，合计人民币       元。</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条 甲方的权利</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1、甲方有权享有乙方按照上述约定提供的服务。</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4、除本合同约定的服务费用外，乙方不得向甲方及其甲方人员收取其他任何费用，如甲方发现乙方有此类行为，甲方有权要求乙方清退所收费用，退还利息并支付违约金；</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5、对乙方相关服务资料的所有权、使用权的约定：归甲方所有。乙方不得以任何借口留存，否则承担由此产生的一切法律和经济责任。未经甲方允许，任何单位和个人不得转让和使用本项目的相关内容。</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七</w:t>
      </w:r>
      <w:r>
        <w:rPr>
          <w:rFonts w:hint="eastAsia" w:ascii="仿宋" w:hAnsi="仿宋" w:eastAsia="仿宋" w:cs="仿宋"/>
          <w:color w:val="000000" w:themeColor="text1"/>
          <w:sz w:val="24"/>
          <w:highlight w:val="none"/>
          <w14:textFill>
            <w14:solidFill>
              <w14:schemeClr w14:val="tx1"/>
            </w14:solidFill>
          </w14:textFill>
        </w:rPr>
        <w:t>条 甲方的义务</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1、在服务实施过程中，甲方应为乙方提供必要的工作便利与指导，配合乙方履行职责。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2、甲方不得将本合同的内容向甲乙双方以外的、与签订和履行本合同无关的任何第三方透露，不得泄露乙方的商业秘密（包括本合同及其附件和合同签订前的各项方案）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第九条 任何一方违反或擅自变更本合同的约定，应当承担由此给对方造成的经济损失和相关责任。</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八</w:t>
      </w:r>
      <w:r>
        <w:rPr>
          <w:rFonts w:hint="eastAsia" w:ascii="仿宋" w:hAnsi="仿宋" w:eastAsia="仿宋" w:cs="仿宋"/>
          <w:color w:val="000000" w:themeColor="text1"/>
          <w:sz w:val="24"/>
          <w:highlight w:val="none"/>
          <w14:textFill>
            <w14:solidFill>
              <w14:schemeClr w14:val="tx1"/>
            </w14:solidFill>
          </w14:textFill>
        </w:rPr>
        <w:t>条甲方违约责任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1、由于甲方的原因或因不可抗力的自然因素影响，则服务周期顺延。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2、对于乙方提供的资料以及属于乙方的内容，甲方有义务保密，不得向第三方提供或用于本合同以外的项目，否则乙方有权要求甲方按本合同项目款总额的20%赔偿损失。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九</w:t>
      </w:r>
      <w:r>
        <w:rPr>
          <w:rFonts w:hint="eastAsia" w:ascii="仿宋" w:hAnsi="仿宋" w:eastAsia="仿宋" w:cs="仿宋"/>
          <w:color w:val="000000" w:themeColor="text1"/>
          <w:sz w:val="24"/>
          <w:highlight w:val="none"/>
          <w14:textFill>
            <w14:solidFill>
              <w14:schemeClr w14:val="tx1"/>
            </w14:solidFill>
          </w14:textFill>
        </w:rPr>
        <w:t>条乙方违约责任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1、合同签订后，如乙方擅自中途停止或解除合同，乙方应向甲方双倍返还定金。没有约定定金的，乙方向甲方赔偿服务价款。</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2、在甲方提供了必要的工作、生活条件，并且保证了项目款按时到位，乙方未能按合同规定的日期提供服务时，应向甲方赔偿拖期损失费，每天的拖期损失费按合同约定的项目总价款。</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3、因天气、交通、政府行为、甲方提供的资料不准确等客观原因造成的服务周期拖期，乙方不承担赔偿责任。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服务实施过程中，乙方未按磋商响应文件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乙方有责任按甲方要求提交项目资料。如乙方未能按规定的服务周期提供服务，每延误一天，应付逾期违约金人民币（但由于受天气等不可抗力的自然因素影响，则工期顺延），逾期10天以上的，甲方除有权终止履行合同外，乙方应承担因延期造成的损失。同时，甲方有权根据乙方所承担服务的质量是否符合要求而对服务的内容进行调整。</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7、在合同期内和合同终止后，乙方应负责所有资料的保密，非经甲方书面认可，不得向任何人以任何方式提供任何资料。严格按甲方要求程序传递各种资料，否则甲方有权单方解除合同，并追回所付项目款。</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8、乙方若擅自转包或分包本合同标的，甲方有权解除合同，并可要求乙方偿付预算30%的违约金，同时追究其法律责任。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一</w:t>
      </w:r>
      <w:r>
        <w:rPr>
          <w:rFonts w:hint="eastAsia" w:ascii="仿宋" w:hAnsi="仿宋" w:eastAsia="仿宋" w:cs="仿宋"/>
          <w:color w:val="000000" w:themeColor="text1"/>
          <w:sz w:val="24"/>
          <w:highlight w:val="none"/>
          <w14:textFill>
            <w14:solidFill>
              <w14:schemeClr w14:val="tx1"/>
            </w14:solidFill>
          </w14:textFill>
        </w:rPr>
        <w:t xml:space="preserve">条 因执行本合同发生的一切争议，双方应首先友好协商解决。经协商不能解决，应向甲方所在地人民法院提起诉讼。在诉讼期间，除必须在诉讼过程中进行解决的问题外，合同其余部分应继续履行。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 xml:space="preserve">条 甲、乙双方有一方有正当理由要求变更本合同，须提前一个月以书面形式通知对方并协商解决，双方应签署变更合同。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三</w:t>
      </w:r>
      <w:r>
        <w:rPr>
          <w:rFonts w:hint="eastAsia" w:ascii="仿宋" w:hAnsi="仿宋" w:eastAsia="仿宋" w:cs="仿宋"/>
          <w:color w:val="000000" w:themeColor="text1"/>
          <w:sz w:val="24"/>
          <w:highlight w:val="none"/>
          <w14:textFill>
            <w14:solidFill>
              <w14:schemeClr w14:val="tx1"/>
            </w14:solidFill>
          </w14:textFill>
        </w:rPr>
        <w:t xml:space="preserve">条 本合同期满双方不再续约或者因一方违约导致本合同无法履行，则本合同终止。但合同的终止不得损害第三方的利益，双方应为此做出合理安排。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条 未经对方同意，甲乙任何一方不得将本合同部分或全部权利和义务转让给第三方。</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五</w:t>
      </w:r>
      <w:r>
        <w:rPr>
          <w:rFonts w:hint="eastAsia" w:ascii="仿宋" w:hAnsi="仿宋" w:eastAsia="仿宋" w:cs="仿宋"/>
          <w:color w:val="000000" w:themeColor="text1"/>
          <w:sz w:val="24"/>
          <w:highlight w:val="none"/>
          <w14:textFill>
            <w14:solidFill>
              <w14:schemeClr w14:val="tx1"/>
            </w14:solidFill>
          </w14:textFill>
        </w:rPr>
        <w:t>条 本合同中涉及的所有“通知”、“同意”、“确认” 等事项均应以书面形式做出，并作为依据。</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 xml:space="preserve">条 本合同有关附件及补充合同是本合同不可分割的组成部分，与本合同具有同等法律效力；本合同未尽事宜，双方另行协商并签署补充合同，作为本合同的附件，具有同等法律效力。 </w:t>
      </w:r>
    </w:p>
    <w:p>
      <w:pPr>
        <w:pStyle w:val="3"/>
        <w:bidi w:val="0"/>
        <w:jc w:val="center"/>
        <w:rPr>
          <w:rFonts w:hint="eastAsia" w:ascii="仿宋" w:hAnsi="仿宋" w:eastAsia="仿宋" w:cs="仿宋"/>
        </w:rPr>
      </w:pPr>
      <w:bookmarkStart w:id="64" w:name="_Toc32022"/>
      <w:r>
        <w:rPr>
          <w:rFonts w:hint="eastAsia" w:ascii="仿宋" w:hAnsi="仿宋" w:eastAsia="仿宋" w:cs="仿宋"/>
        </w:rPr>
        <w:t>第六章  竞争性磋商响应文件格式</w:t>
      </w:r>
      <w:bookmarkEnd w:id="64"/>
    </w:p>
    <w:p>
      <w:pPr>
        <w:spacing w:line="5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竞争性磋商响应文件编制说明</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1、竞争性磋商响应文件应当按照竞争性磋商文件给定的格式和要求编制，格式之外的可自行编写。</w:t>
      </w:r>
    </w:p>
    <w:p>
      <w:pPr>
        <w:spacing w:line="560" w:lineRule="exact"/>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3、纸质竞争性磋商响应文件均须A4纸打印（提倡双面打印），分别各自装订成册并编制目录和页码。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4、竞争性磋商响应文件正本中的法人授权书须为原件，其它资质证明文件为复印件加盖供应商公章（鲜章）。副本可以是正本的复印件。</w:t>
      </w: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54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560" w:lineRule="exact"/>
        <w:jc w:val="both"/>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right="140"/>
        <w:rPr>
          <w:rFonts w:hint="eastAsia" w:ascii="仿宋" w:hAnsi="仿宋" w:eastAsia="仿宋" w:cs="仿宋"/>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20"/>
          <w:szCs w:val="20"/>
          <w:highlight w:val="none"/>
          <w:u w:val="wavyHeavy" w:color="FF0000"/>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文件编号: </w:t>
      </w:r>
      <w:r>
        <w:rPr>
          <w:rFonts w:hint="eastAsia" w:ascii="仿宋" w:hAnsi="仿宋" w:eastAsia="仿宋" w:cs="仿宋"/>
          <w:b/>
          <w:color w:val="000000" w:themeColor="text1"/>
          <w:sz w:val="36"/>
          <w:szCs w:val="36"/>
          <w:highlight w:val="none"/>
          <w:lang w:eastAsia="zh-CN"/>
          <w14:textFill>
            <w14:solidFill>
              <w14:schemeClr w14:val="tx1"/>
            </w14:solidFill>
          </w14:textFill>
        </w:rPr>
        <w:t>HZGH-2022-064</w:t>
      </w: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pStyle w:val="11"/>
        <w:spacing w:line="360" w:lineRule="auto"/>
        <w:jc w:val="cente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t>陕西洛南文旅集团（筹）咨询顾问服务项目</w:t>
      </w: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jc w:val="center"/>
        <w:rPr>
          <w:rFonts w:hint="eastAsia" w:ascii="仿宋" w:hAnsi="仿宋" w:eastAsia="仿宋" w:cs="仿宋"/>
          <w:b/>
          <w:color w:val="000000" w:themeColor="text1"/>
          <w:sz w:val="52"/>
          <w:szCs w:val="52"/>
          <w:highlight w:val="none"/>
          <w14:textFill>
            <w14:solidFill>
              <w14:schemeClr w14:val="tx1"/>
            </w14:solidFill>
          </w14:textFill>
        </w:rPr>
      </w:pPr>
      <w:r>
        <w:rPr>
          <w:rFonts w:hint="eastAsia" w:ascii="仿宋" w:hAnsi="仿宋" w:eastAsia="仿宋" w:cs="仿宋"/>
          <w:b/>
          <w:color w:val="000000" w:themeColor="text1"/>
          <w:sz w:val="72"/>
          <w:szCs w:val="72"/>
          <w:highlight w:val="none"/>
          <w14:textFill>
            <w14:solidFill>
              <w14:schemeClr w14:val="tx1"/>
            </w14:solidFill>
          </w14:textFill>
        </w:rPr>
        <w:t xml:space="preserve"> </w:t>
      </w:r>
      <w:r>
        <w:rPr>
          <w:rFonts w:hint="eastAsia" w:ascii="仿宋" w:hAnsi="仿宋" w:eastAsia="仿宋" w:cs="仿宋"/>
          <w:b/>
          <w:color w:val="000000" w:themeColor="text1"/>
          <w:sz w:val="52"/>
          <w:szCs w:val="52"/>
          <w:highlight w:val="none"/>
          <w14:textFill>
            <w14:solidFill>
              <w14:schemeClr w14:val="tx1"/>
            </w14:solidFill>
          </w14:textFill>
        </w:rPr>
        <w:t>竞争性磋商响应文件</w:t>
      </w: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highlight w:val="none"/>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687" w:firstLineChars="600"/>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供   应   商：</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采购代理机构：</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color w:val="000000" w:themeColor="text1"/>
          <w:sz w:val="13"/>
          <w:szCs w:val="13"/>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时        间：</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3697" w:firstLineChars="837"/>
        <w:textAlignment w:val="auto"/>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ind w:firstLine="3697" w:firstLineChars="837"/>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目  录</w:t>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1.竞争性磋商函（格式）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2.磋商报价一览表（格式）</w:t>
      </w:r>
    </w:p>
    <w:p>
      <w:pPr>
        <w:spacing w:line="480" w:lineRule="auto"/>
        <w:ind w:firstLine="2551" w:firstLineChars="1063"/>
        <w:jc w:val="both"/>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分项报价表（格式自拟）</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.201</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年1月1日至今</w:t>
      </w:r>
      <w:r>
        <w:rPr>
          <w:rFonts w:hint="eastAsia" w:ascii="仿宋" w:hAnsi="仿宋" w:eastAsia="仿宋" w:cs="仿宋"/>
          <w:color w:val="000000" w:themeColor="text1"/>
          <w:sz w:val="24"/>
          <w:highlight w:val="none"/>
          <w:lang w:val="en-US" w:eastAsia="zh-CN"/>
          <w14:textFill>
            <w14:solidFill>
              <w14:schemeClr w14:val="tx1"/>
            </w14:solidFill>
          </w14:textFill>
        </w:rPr>
        <w:t>类似</w:t>
      </w:r>
      <w:r>
        <w:rPr>
          <w:rFonts w:hint="eastAsia" w:ascii="仿宋" w:hAnsi="仿宋" w:eastAsia="仿宋" w:cs="仿宋"/>
          <w:color w:val="000000" w:themeColor="text1"/>
          <w:sz w:val="24"/>
          <w:highlight w:val="none"/>
          <w14:textFill>
            <w14:solidFill>
              <w14:schemeClr w14:val="tx1"/>
            </w14:solidFill>
          </w14:textFill>
        </w:rPr>
        <w:t>项目业绩（提供合同复印件加盖公章）</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.服务方案</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9.人员与设备配备（格式）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售后</w:t>
      </w:r>
      <w:r>
        <w:rPr>
          <w:rFonts w:hint="eastAsia" w:ascii="仿宋" w:hAnsi="仿宋" w:eastAsia="仿宋" w:cs="仿宋"/>
          <w:color w:val="000000" w:themeColor="text1"/>
          <w:sz w:val="24"/>
          <w:highlight w:val="none"/>
          <w14:textFill>
            <w14:solidFill>
              <w14:schemeClr w14:val="tx1"/>
            </w14:solidFill>
          </w14:textFill>
        </w:rPr>
        <w:t>服务承诺</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.供应商认为有必要说明的事宜（若有）</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.供应商拒绝政府采购领域商业贿赂承诺书（格式）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.《中小企业声明函》（格式）</w:t>
      </w:r>
    </w:p>
    <w:p>
      <w:pPr>
        <w:spacing w:line="480" w:lineRule="auto"/>
        <w:ind w:firstLine="2551" w:firstLineChars="1063"/>
        <w:jc w:val="both"/>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.《残疾人福利性单位声明函》</w:t>
      </w:r>
      <w:r>
        <w:rPr>
          <w:rFonts w:hint="eastAsia" w:ascii="仿宋" w:hAnsi="仿宋" w:eastAsia="仿宋" w:cs="仿宋"/>
          <w:color w:val="000000" w:themeColor="text1"/>
          <w:sz w:val="24"/>
          <w:highlight w:val="none"/>
          <w14:textFill>
            <w14:solidFill>
              <w14:schemeClr w14:val="tx1"/>
            </w14:solidFill>
          </w14:textFill>
        </w:rPr>
        <w:t>（格式，若有）</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15.《监狱、戒毒企业声明函》（格式，若有）</w:t>
      </w:r>
    </w:p>
    <w:p>
      <w:pPr>
        <w:spacing w:line="480" w:lineRule="auto"/>
        <w:ind w:firstLine="2551" w:firstLineChars="1063"/>
        <w:jc w:val="both"/>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16.封袋正面标识式样</w:t>
      </w:r>
    </w:p>
    <w:p>
      <w:pPr>
        <w:spacing w:line="600" w:lineRule="exact"/>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1.竞争性磋商函</w:t>
      </w:r>
      <w:r>
        <w:rPr>
          <w:rFonts w:hint="eastAsia" w:ascii="仿宋" w:hAnsi="仿宋" w:eastAsia="仿宋" w:cs="仿宋"/>
          <w:bCs/>
          <w:color w:val="000000" w:themeColor="text1"/>
          <w:sz w:val="22"/>
          <w:szCs w:val="22"/>
          <w:highlight w:val="none"/>
          <w14:textFill>
            <w14:solidFill>
              <w14:schemeClr w14:val="tx1"/>
            </w14:solidFill>
          </w14:textFill>
        </w:rPr>
        <w:t>（格式）</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致：华招广和项目管理有限公司</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根据贵单位</w:t>
      </w:r>
      <w:r>
        <w:rPr>
          <w:rFonts w:hint="eastAsia" w:ascii="仿宋" w:hAnsi="仿宋" w:eastAsia="仿宋" w:cs="仿宋"/>
          <w:color w:val="000000" w:themeColor="text1"/>
          <w:sz w:val="24"/>
          <w:highlight w:val="none"/>
          <w:u w:val="single"/>
          <w14:textFill>
            <w14:solidFill>
              <w14:schemeClr w14:val="tx1"/>
            </w14:solidFill>
          </w14:textFill>
        </w:rPr>
        <w:t xml:space="preserve">         （采购项目名称）    </w:t>
      </w:r>
      <w:r>
        <w:rPr>
          <w:rFonts w:hint="eastAsia" w:ascii="仿宋" w:hAnsi="仿宋" w:eastAsia="仿宋" w:cs="仿宋"/>
          <w:color w:val="000000" w:themeColor="text1"/>
          <w:sz w:val="24"/>
          <w:highlight w:val="none"/>
          <w14:textFill>
            <w14:solidFill>
              <w14:schemeClr w14:val="tx1"/>
            </w14:solidFill>
          </w14:textFill>
        </w:rPr>
        <w:t>项目</w:t>
      </w:r>
      <w:r>
        <w:rPr>
          <w:rFonts w:hint="eastAsia" w:ascii="仿宋" w:hAnsi="仿宋" w:eastAsia="仿宋" w:cs="仿宋"/>
          <w:color w:val="000000" w:themeColor="text1"/>
          <w:sz w:val="24"/>
          <w:highlight w:val="none"/>
          <w:u w:val="single"/>
          <w14:textFill>
            <w14:solidFill>
              <w14:schemeClr w14:val="tx1"/>
            </w14:solidFill>
          </w14:textFill>
        </w:rPr>
        <w:t>（项目编号）</w:t>
      </w:r>
      <w:r>
        <w:rPr>
          <w:rFonts w:hint="eastAsia" w:ascii="仿宋" w:hAnsi="仿宋" w:eastAsia="仿宋" w:cs="仿宋"/>
          <w:color w:val="000000" w:themeColor="text1"/>
          <w:sz w:val="24"/>
          <w:highlight w:val="none"/>
          <w14:textFill>
            <w14:solidFill>
              <w14:schemeClr w14:val="tx1"/>
            </w14:solidFill>
          </w14:textFill>
        </w:rPr>
        <w:t>的磋商公告，我方代表</w:t>
      </w:r>
      <w:r>
        <w:rPr>
          <w:rFonts w:hint="eastAsia" w:ascii="仿宋" w:hAnsi="仿宋" w:eastAsia="仿宋" w:cs="仿宋"/>
          <w:color w:val="000000" w:themeColor="text1"/>
          <w:sz w:val="24"/>
          <w:highlight w:val="none"/>
          <w:u w:val="single"/>
          <w14:textFill>
            <w14:solidFill>
              <w14:schemeClr w14:val="tx1"/>
            </w14:solidFill>
          </w14:textFill>
        </w:rPr>
        <w:t xml:space="preserve">   （姓名、职务）   </w:t>
      </w:r>
      <w:r>
        <w:rPr>
          <w:rFonts w:hint="eastAsia" w:ascii="仿宋" w:hAnsi="仿宋" w:eastAsia="仿宋" w:cs="仿宋"/>
          <w:color w:val="000000" w:themeColor="text1"/>
          <w:sz w:val="24"/>
          <w:highlight w:val="none"/>
          <w14:textFill>
            <w14:solidFill>
              <w14:schemeClr w14:val="tx1"/>
            </w14:solidFill>
          </w14:textFill>
        </w:rPr>
        <w:t>经正式授权并代表</w:t>
      </w:r>
      <w:r>
        <w:rPr>
          <w:rFonts w:hint="eastAsia" w:ascii="仿宋" w:hAnsi="仿宋" w:eastAsia="仿宋" w:cs="仿宋"/>
          <w:color w:val="000000" w:themeColor="text1"/>
          <w:sz w:val="24"/>
          <w:highlight w:val="none"/>
          <w:u w:val="single"/>
          <w14:textFill>
            <w14:solidFill>
              <w14:schemeClr w14:val="tx1"/>
            </w14:solidFill>
          </w14:textFill>
        </w:rPr>
        <w:t xml:space="preserve">     （供应商名称）     </w:t>
      </w:r>
      <w:r>
        <w:rPr>
          <w:rFonts w:hint="eastAsia" w:ascii="仿宋" w:hAnsi="仿宋" w:eastAsia="仿宋" w:cs="仿宋"/>
          <w:color w:val="000000" w:themeColor="text1"/>
          <w:sz w:val="24"/>
          <w:highlight w:val="none"/>
          <w14:textFill>
            <w14:solidFill>
              <w14:schemeClr w14:val="tx1"/>
            </w14:solidFill>
          </w14:textFill>
        </w:rPr>
        <w:t>就该项目进行磋商。</w:t>
      </w:r>
    </w:p>
    <w:p>
      <w:pPr>
        <w:keepNext w:val="0"/>
        <w:keepLines w:val="0"/>
        <w:pageBreakBefore w:val="0"/>
        <w:widowControl w:val="0"/>
        <w:kinsoku/>
        <w:wordWrap/>
        <w:overflowPunct/>
        <w:topLinePunct w:val="0"/>
        <w:bidi w:val="0"/>
        <w:snapToGrid/>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在此，我方郑重声明以下诸点，并负法律责任：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1、我方提交的竞争性磋商响应文件正本一份，副本叁份，电子文件一份。</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2、我方所附磋商报价表中应提交和交付的货物/服务磋商总价为人民币：</w:t>
      </w:r>
      <w:r>
        <w:rPr>
          <w:rFonts w:hint="eastAsia" w:ascii="仿宋" w:hAnsi="仿宋" w:eastAsia="仿宋" w:cs="仿宋"/>
          <w:color w:val="000000" w:themeColor="text1"/>
          <w:sz w:val="24"/>
          <w:highlight w:val="none"/>
          <w:u w:val="single"/>
          <w14:textFill>
            <w14:solidFill>
              <w14:schemeClr w14:val="tx1"/>
            </w14:solidFill>
          </w14:textFill>
        </w:rPr>
        <w:t>（同时用汉字大写和数字表示的磋商总价）</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3、我方已详细审阅全部竞争性磋商文件，完全理解并同意放弃对这方面有不明及误解质疑的权力。</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4、我方完全理解并同意竞争性磋商</w:t>
      </w:r>
      <w:r>
        <w:rPr>
          <w:rFonts w:hint="eastAsia" w:ascii="仿宋" w:hAnsi="仿宋" w:eastAsia="仿宋" w:cs="仿宋"/>
          <w:color w:val="000000" w:themeColor="text1"/>
          <w:sz w:val="24"/>
          <w:highlight w:val="none"/>
          <w:lang w:eastAsia="zh-CN"/>
          <w14:textFill>
            <w14:solidFill>
              <w14:schemeClr w14:val="tx1"/>
            </w14:solidFill>
          </w14:textFill>
        </w:rPr>
        <w:t>文件</w:t>
      </w:r>
      <w:r>
        <w:rPr>
          <w:rFonts w:hint="eastAsia" w:ascii="仿宋" w:hAnsi="仿宋" w:eastAsia="仿宋" w:cs="仿宋"/>
          <w:color w:val="000000" w:themeColor="text1"/>
          <w:sz w:val="24"/>
          <w:highlight w:val="none"/>
          <w14:textFill>
            <w14:solidFill>
              <w14:schemeClr w14:val="tx1"/>
            </w14:solidFill>
          </w14:textFill>
        </w:rPr>
        <w:t>中拒绝投标的条款。</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5、我方同意按照要求提供磋商有关的一切数据或资料。</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6、我方将按竞争性磋商文件的规定履行合同责任和义务。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7、我方完全理解最低报价不是成交的唯一条件，采购人权选择质优价廉的货物/服务。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8、我方同意按竞争性磋商文件规定，遵守贵方有关采购的各项规定。</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9、若我方被选为成交供应商，我方保证按有关规定向贵方支付招标服务费。</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10、磋商响应有效期为自提交磋商响应文件的截止之日起90个日历日。</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11、所有关于本项目的函电，请按下列地址联系：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详 细 地 址：</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政 编 码：</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       话：</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       真：</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子 邮 件：</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开 户 银 行：</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帐       号：</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rPr>
          <w:rFonts w:hint="eastAsia" w:ascii="仿宋" w:hAnsi="仿宋" w:eastAsia="仿宋" w:cs="仿宋"/>
          <w:color w:val="000000" w:themeColor="text1"/>
          <w:sz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40" w:lineRule="exact"/>
        <w:ind w:firstLine="3360" w:firstLineChars="14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授权</w:t>
      </w:r>
      <w:r>
        <w:rPr>
          <w:rFonts w:hint="eastAsia" w:ascii="仿宋" w:hAnsi="仿宋" w:eastAsia="仿宋" w:cs="仿宋"/>
          <w:color w:val="000000" w:themeColor="text1"/>
          <w:sz w:val="24"/>
          <w:highlight w:val="none"/>
          <w:lang w:val="zh-CN"/>
          <w14:textFill>
            <w14:solidFill>
              <w14:schemeClr w14:val="tx1"/>
            </w14:solidFill>
          </w14:textFill>
        </w:rPr>
        <w:t>代表签名：</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3960" w:firstLineChars="165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联系电话/手机：</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sectPr>
          <w:headerReference r:id="rId12" w:type="first"/>
          <w:footerReference r:id="rId14" w:type="first"/>
          <w:headerReference r:id="rId11" w:type="default"/>
          <w:footerReference r:id="rId13" w:type="default"/>
          <w:pgSz w:w="11907" w:h="16840"/>
          <w:pgMar w:top="1418" w:right="1287" w:bottom="936" w:left="1259" w:header="907" w:footer="654" w:gutter="0"/>
          <w:pgBorders>
            <w:top w:val="none" w:sz="0" w:space="0"/>
            <w:left w:val="none" w:sz="0" w:space="0"/>
            <w:bottom w:val="none" w:sz="0" w:space="0"/>
            <w:right w:val="none" w:sz="0" w:space="0"/>
          </w:pgBorders>
          <w:cols w:space="720" w:num="1"/>
          <w:titlePg/>
          <w:docGrid w:linePitch="312" w:charSpace="0"/>
        </w:sectPr>
      </w:pPr>
    </w:p>
    <w:p>
      <w:pPr>
        <w:pStyle w:val="40"/>
        <w:ind w:firstLine="562"/>
        <w:rPr>
          <w:rFonts w:hint="eastAsia" w:ascii="仿宋" w:hAnsi="仿宋" w:eastAsia="仿宋" w:cs="仿宋"/>
          <w:b/>
          <w:color w:val="000000" w:themeColor="text1"/>
          <w:highlight w:val="none"/>
          <w14:textFill>
            <w14:solidFill>
              <w14:schemeClr w14:val="tx1"/>
            </w14:solidFill>
          </w14:textFill>
        </w:rPr>
      </w:pPr>
      <w:bookmarkStart w:id="65" w:name="_Toc188808834"/>
      <w:bookmarkStart w:id="66" w:name="_Toc193187098"/>
      <w:bookmarkStart w:id="67" w:name="_Toc193126882"/>
      <w:bookmarkStart w:id="68" w:name="_Toc194663919"/>
      <w:r>
        <w:rPr>
          <w:rFonts w:hint="eastAsia" w:ascii="仿宋" w:hAnsi="仿宋" w:eastAsia="仿宋" w:cs="仿宋"/>
          <w:b/>
          <w:color w:val="000000" w:themeColor="text1"/>
          <w:highlight w:val="none"/>
          <w14:textFill>
            <w14:solidFill>
              <w14:schemeClr w14:val="tx1"/>
            </w14:solidFill>
          </w14:textFill>
        </w:rPr>
        <w:t>2.磋商报价一览表</w:t>
      </w:r>
      <w:bookmarkEnd w:id="65"/>
      <w:bookmarkEnd w:id="66"/>
      <w:bookmarkEnd w:id="67"/>
      <w:bookmarkEnd w:id="68"/>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ind w:firstLine="723" w:firstLineChars="200"/>
        <w:jc w:val="center"/>
        <w:rPr>
          <w:rFonts w:hint="eastAsia" w:ascii="仿宋" w:hAnsi="仿宋" w:eastAsia="仿宋" w:cs="仿宋"/>
          <w:b/>
          <w:bCs/>
          <w:color w:val="000000" w:themeColor="text1"/>
          <w:sz w:val="36"/>
          <w:szCs w:val="21"/>
          <w:highlight w:val="none"/>
          <w14:textFill>
            <w14:solidFill>
              <w14:schemeClr w14:val="tx1"/>
            </w14:solidFill>
          </w14:textFill>
        </w:rPr>
      </w:pP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供应商名称：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tbl>
      <w:tblPr>
        <w:tblStyle w:val="23"/>
        <w:tblW w:w="141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2"/>
        <w:gridCol w:w="5135"/>
        <w:gridCol w:w="61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2822" w:type="dxa"/>
            <w:vAlign w:val="center"/>
          </w:tcPr>
          <w:p>
            <w:pPr>
              <w:spacing w:line="480" w:lineRule="exact"/>
              <w:ind w:right="143" w:rightChars="68" w:firstLine="118" w:firstLineChars="49"/>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p>
        </w:tc>
        <w:tc>
          <w:tcPr>
            <w:tcW w:w="5135" w:type="dxa"/>
            <w:vAlign w:val="center"/>
          </w:tcPr>
          <w:p>
            <w:pPr>
              <w:spacing w:line="480" w:lineRule="exac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磋商报价（人民币:元）</w:t>
            </w:r>
          </w:p>
        </w:tc>
        <w:tc>
          <w:tcPr>
            <w:tcW w:w="6186" w:type="dxa"/>
            <w:tcMar>
              <w:top w:w="57" w:type="dxa"/>
              <w:left w:w="28" w:type="dxa"/>
              <w:bottom w:w="57" w:type="dxa"/>
              <w:right w:w="28" w:type="dxa"/>
            </w:tcMar>
            <w:vAlign w:val="center"/>
          </w:tcPr>
          <w:p>
            <w:pPr>
              <w:spacing w:line="480" w:lineRule="exact"/>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2822" w:type="dxa"/>
            <w:vMerge w:val="restart"/>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5135" w:type="dxa"/>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6186" w:type="dxa"/>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2822" w:type="dxa"/>
            <w:vMerge w:val="continue"/>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321" w:type="dxa"/>
            <w:gridSpan w:val="2"/>
            <w:vAlign w:val="top"/>
          </w:tcPr>
          <w:p>
            <w:pPr>
              <w:spacing w:line="480" w:lineRule="exact"/>
              <w:ind w:left="210" w:left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（大写）                                </w:t>
            </w:r>
          </w:p>
        </w:tc>
      </w:tr>
    </w:tbl>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（全称、签章）                            电话：</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法定代表人或被授权人：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（盖章或签字）        </w:t>
      </w:r>
    </w:p>
    <w:p>
      <w:pPr>
        <w:keepNext w:val="0"/>
        <w:keepLines w:val="0"/>
        <w:pageBreakBefore w:val="0"/>
        <w:widowControl w:val="0"/>
        <w:kinsoku/>
        <w:wordWrap/>
        <w:overflowPunct/>
        <w:topLinePunct w:val="0"/>
        <w:autoSpaceDE/>
        <w:autoSpaceDN/>
        <w:bidi w:val="0"/>
        <w:adjustRightInd/>
        <w:snapToGrid/>
        <w:spacing w:after="100" w:afterAutospacing="1" w:line="640" w:lineRule="exact"/>
        <w:jc w:val="left"/>
        <w:textAlignment w:val="auto"/>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rPr>
      </w:pPr>
    </w:p>
    <w:p>
      <w:pPr>
        <w:rPr>
          <w:rFonts w:hint="eastAsia" w:ascii="仿宋" w:hAnsi="仿宋" w:eastAsia="仿宋" w:cs="仿宋"/>
          <w:b/>
          <w:color w:val="000000" w:themeColor="text1"/>
          <w:sz w:val="28"/>
          <w:szCs w:val="28"/>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numPr>
          <w:ilvl w:val="0"/>
          <w:numId w:val="2"/>
        </w:numPr>
        <w:spacing w:after="100" w:afterAutospacing="1" w:line="480" w:lineRule="auto"/>
        <w:ind w:left="0" w:leftChars="0" w:firstLine="0" w:firstLineChars="0"/>
        <w:jc w:val="left"/>
        <w:rPr>
          <w:rFonts w:hint="eastAsia"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分项报价表（格式自拟）</w:t>
      </w:r>
    </w:p>
    <w:p>
      <w:pPr>
        <w:spacing w:line="300" w:lineRule="exact"/>
        <w:jc w:val="center"/>
        <w:rPr>
          <w:rFonts w:hint="eastAsia" w:ascii="仿宋" w:hAnsi="仿宋" w:eastAsia="仿宋" w:cs="仿宋"/>
          <w:b/>
          <w:bCs/>
          <w:color w:val="auto"/>
          <w:sz w:val="24"/>
          <w:highlight w:val="none"/>
          <w:lang w:val="en-US" w:eastAsia="zh-CN"/>
        </w:rPr>
      </w:pPr>
    </w:p>
    <w:p>
      <w:pPr>
        <w:spacing w:line="300" w:lineRule="exact"/>
        <w:jc w:val="center"/>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格式自拟</w:t>
      </w:r>
    </w:p>
    <w:p>
      <w:pPr>
        <w:spacing w:line="440" w:lineRule="exact"/>
        <w:rPr>
          <w:rFonts w:hint="eastAsia" w:ascii="仿宋" w:hAnsi="仿宋" w:eastAsia="仿宋" w:cs="仿宋"/>
          <w:color w:val="auto"/>
          <w:sz w:val="24"/>
          <w:highlight w:val="none"/>
        </w:rPr>
      </w:pPr>
    </w:p>
    <w:p>
      <w:pPr>
        <w:spacing w:line="440" w:lineRule="exact"/>
        <w:rPr>
          <w:rFonts w:hint="eastAsia" w:ascii="仿宋" w:hAnsi="仿宋" w:eastAsia="仿宋" w:cs="仿宋"/>
          <w:color w:val="auto"/>
          <w:sz w:val="24"/>
          <w:highlight w:val="none"/>
        </w:rPr>
      </w:pPr>
    </w:p>
    <w:p>
      <w:pPr>
        <w:pStyle w:val="11"/>
        <w:rPr>
          <w:rFonts w:hint="eastAsia" w:ascii="仿宋" w:hAnsi="仿宋" w:eastAsia="仿宋" w:cs="仿宋"/>
          <w:sz w:val="24"/>
          <w:szCs w:val="24"/>
          <w:lang w:val="en-US" w:eastAsia="zh-CN"/>
        </w:rPr>
        <w:sectPr>
          <w:headerReference r:id="rId16" w:type="first"/>
          <w:headerReference r:id="rId15" w:type="default"/>
          <w:footerReference r:id="rId17" w:type="default"/>
          <w:pgSz w:w="16840" w:h="11907" w:orient="landscape"/>
          <w:pgMar w:top="1259" w:right="1418" w:bottom="1287" w:left="936" w:header="851" w:footer="1021" w:gutter="0"/>
          <w:pgBorders>
            <w:top w:val="none" w:sz="0" w:space="0"/>
            <w:left w:val="none" w:sz="0" w:space="0"/>
            <w:bottom w:val="none" w:sz="0" w:space="0"/>
            <w:right w:val="none" w:sz="0" w:space="0"/>
          </w:pgBorders>
          <w:cols w:space="720" w:num="1"/>
          <w:docGrid w:linePitch="312" w:charSpace="0"/>
        </w:sectPr>
      </w:pPr>
    </w:p>
    <w:p>
      <w:pPr>
        <w:pStyle w:val="40"/>
        <w:ind w:firstLine="562"/>
        <w:rPr>
          <w:rFonts w:hint="eastAsia" w:ascii="仿宋" w:hAnsi="仿宋" w:eastAsia="仿宋" w:cs="仿宋"/>
          <w:b/>
          <w:color w:val="000000" w:themeColor="text1"/>
          <w:szCs w:val="28"/>
          <w:highlight w:val="none"/>
          <w14:textFill>
            <w14:solidFill>
              <w14:schemeClr w14:val="tx1"/>
            </w14:solidFill>
          </w14:textFill>
        </w:rPr>
      </w:pPr>
      <w:bookmarkStart w:id="69" w:name="_Toc49019236"/>
      <w:bookmarkStart w:id="70" w:name="_Toc47418938"/>
      <w:bookmarkStart w:id="71" w:name="_Toc47418731"/>
      <w:bookmarkStart w:id="72" w:name="_Toc47262069"/>
      <w:bookmarkStart w:id="73" w:name="_Toc194663925"/>
      <w:bookmarkStart w:id="74" w:name="_Toc13908"/>
      <w:bookmarkStart w:id="75" w:name="_Toc188808839"/>
      <w:bookmarkStart w:id="76" w:name="_Toc193126888"/>
      <w:bookmarkStart w:id="77" w:name="_Toc47261690"/>
      <w:bookmarkStart w:id="78" w:name="_Toc49019497"/>
      <w:bookmarkStart w:id="79" w:name="_Toc458617477"/>
      <w:bookmarkStart w:id="80" w:name="_Toc237"/>
      <w:bookmarkStart w:id="81" w:name="_Toc48791235"/>
      <w:bookmarkStart w:id="82" w:name="_Toc193187104"/>
      <w:bookmarkStart w:id="83" w:name="_Toc47418255"/>
      <w:bookmarkStart w:id="84" w:name="_Toc48995851"/>
      <w:bookmarkStart w:id="85" w:name="_Toc47261885"/>
      <w:r>
        <w:rPr>
          <w:rFonts w:hint="eastAsia" w:ascii="仿宋" w:hAnsi="仿宋" w:eastAsia="仿宋" w:cs="仿宋"/>
          <w:b/>
          <w:color w:val="000000" w:themeColor="text1"/>
          <w:szCs w:val="28"/>
          <w:highlight w:val="none"/>
          <w:lang w:val="en-US" w:eastAsia="zh-CN"/>
          <w14:textFill>
            <w14:solidFill>
              <w14:schemeClr w14:val="tx1"/>
            </w14:solidFill>
          </w14:textFill>
        </w:rPr>
        <w:t>4</w:t>
      </w:r>
      <w:r>
        <w:rPr>
          <w:rFonts w:hint="eastAsia" w:ascii="仿宋" w:hAnsi="仿宋" w:eastAsia="仿宋" w:cs="仿宋"/>
          <w:b/>
          <w:color w:val="000000" w:themeColor="text1"/>
          <w:szCs w:val="28"/>
          <w:highlight w:val="none"/>
          <w14:textFill>
            <w14:solidFill>
              <w14:schemeClr w14:val="tx1"/>
            </w14:solidFill>
          </w14:textFill>
        </w:rPr>
        <w:t>、商务条款响应偏离表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3"/>
        <w:tblW w:w="94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754"/>
        <w:gridCol w:w="2829"/>
        <w:gridCol w:w="1394"/>
        <w:gridCol w:w="13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275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磋商文件商务要求</w:t>
            </w:r>
          </w:p>
        </w:tc>
        <w:tc>
          <w:tcPr>
            <w:tcW w:w="282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磋商响应文件商务响应</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440" w:lineRule="exact"/>
        <w:rPr>
          <w:rFonts w:hint="eastAsia" w:ascii="仿宋" w:hAnsi="仿宋" w:eastAsia="仿宋" w:cs="仿宋"/>
          <w:b/>
          <w:bCs/>
          <w:color w:val="000000" w:themeColor="text1"/>
          <w:sz w:val="24"/>
          <w:highlight w:val="none"/>
          <w:lang w:val="zh-CN" w:eastAsia="zh-CN"/>
          <w14:textFill>
            <w14:solidFill>
              <w14:schemeClr w14:val="tx1"/>
            </w14:solidFill>
          </w14:textFill>
        </w:rPr>
      </w:pPr>
    </w:p>
    <w:p>
      <w:pPr>
        <w:spacing w:line="440" w:lineRule="exact"/>
        <w:rPr>
          <w:rFonts w:hint="eastAsia" w:ascii="仿宋" w:hAnsi="仿宋" w:eastAsia="仿宋" w:cs="仿宋"/>
          <w:sz w:val="24"/>
          <w:highlight w:val="none"/>
          <w:lang w:val="zh-CN"/>
        </w:rPr>
      </w:pPr>
      <w:r>
        <w:rPr>
          <w:rFonts w:hint="eastAsia" w:ascii="仿宋" w:hAnsi="仿宋" w:eastAsia="仿宋" w:cs="仿宋"/>
          <w:b/>
          <w:bCs/>
          <w:color w:val="auto"/>
          <w:sz w:val="22"/>
          <w:szCs w:val="22"/>
          <w:highlight w:val="none"/>
          <w:lang w:eastAsia="zh-CN"/>
        </w:rPr>
        <w:t>注：本表按照磋商文件第四章《</w:t>
      </w:r>
      <w:r>
        <w:rPr>
          <w:rFonts w:hint="eastAsia" w:ascii="仿宋" w:hAnsi="仿宋" w:eastAsia="仿宋" w:cs="仿宋"/>
          <w:b/>
          <w:bCs/>
          <w:color w:val="auto"/>
          <w:sz w:val="22"/>
          <w:szCs w:val="22"/>
          <w:highlight w:val="none"/>
          <w:lang w:val="en-US" w:eastAsia="zh-CN"/>
        </w:rPr>
        <w:t>商务要求</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z w:val="22"/>
          <w:szCs w:val="22"/>
          <w:highlight w:val="none"/>
          <w:lang w:val="en-US" w:eastAsia="zh-CN"/>
        </w:rPr>
        <w:t>逐条响应，否则按无效投标处理。</w:t>
      </w:r>
      <w:r>
        <w:rPr>
          <w:rFonts w:hint="eastAsia" w:ascii="仿宋" w:hAnsi="仿宋" w:eastAsia="仿宋" w:cs="仿宋"/>
          <w:b/>
          <w:bCs/>
          <w:color w:val="auto"/>
          <w:sz w:val="22"/>
          <w:szCs w:val="22"/>
          <w:highlight w:val="none"/>
          <w:u w:val="none"/>
          <w:lang w:val="en-US" w:eastAsia="zh-CN"/>
        </w:rPr>
        <w:t>偏离情况填写：优于、等于或者低于，偏离说明对偏离情况做出详细说明。</w:t>
      </w:r>
    </w:p>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sectPr>
          <w:headerReference r:id="rId19" w:type="first"/>
          <w:footerReference r:id="rId21" w:type="first"/>
          <w:headerReference r:id="rId18" w:type="default"/>
          <w:footerReference r:id="rId20"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pPr>
    </w:p>
    <w:p>
      <w:pPr>
        <w:pStyle w:val="40"/>
        <w:ind w:firstLine="562"/>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lang w:val="en-US" w:eastAsia="zh-CN"/>
          <w14:textFill>
            <w14:solidFill>
              <w14:schemeClr w14:val="tx1"/>
            </w14:solidFill>
          </w14:textFill>
        </w:rPr>
        <w:t>5</w:t>
      </w:r>
      <w:r>
        <w:rPr>
          <w:rFonts w:hint="eastAsia" w:ascii="仿宋" w:hAnsi="仿宋" w:eastAsia="仿宋" w:cs="仿宋"/>
          <w:b/>
          <w:color w:val="000000" w:themeColor="text1"/>
          <w:szCs w:val="28"/>
          <w:highlight w:val="none"/>
          <w14:textFill>
            <w14:solidFill>
              <w14:schemeClr w14:val="tx1"/>
            </w14:solidFill>
          </w14:textFill>
        </w:rPr>
        <w:t>、服务条款响应偏离表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240" w:lineRule="exact"/>
        <w:ind w:left="210" w:leftChars="100"/>
        <w:rPr>
          <w:rFonts w:hint="eastAsia" w:ascii="仿宋" w:hAnsi="仿宋" w:eastAsia="仿宋" w:cs="仿宋"/>
          <w:b/>
          <w:bCs/>
          <w:color w:val="000000" w:themeColor="text1"/>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3"/>
        <w:tblW w:w="95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16"/>
        <w:gridCol w:w="2300"/>
        <w:gridCol w:w="2767"/>
        <w:gridCol w:w="1314"/>
        <w:gridCol w:w="12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1116"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服务内容</w:t>
            </w:r>
          </w:p>
        </w:tc>
        <w:tc>
          <w:tcPr>
            <w:tcW w:w="2300"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磋商文件服务要求</w:t>
            </w:r>
          </w:p>
        </w:tc>
        <w:tc>
          <w:tcPr>
            <w:tcW w:w="2767"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磋商响应文件服务响应</w:t>
            </w:r>
          </w:p>
        </w:tc>
        <w:tc>
          <w:tcPr>
            <w:tcW w:w="131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29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240" w:lineRule="auto"/>
        <w:ind w:left="210" w:leftChars="100"/>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注：本表请按项目的实际技术要求，逐条对应磋商文件第三章《</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服务内容及要求</w:t>
      </w: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认真填写，偏离情况填写：优于、等于或低于，偏离说明对偏离情况做出详细说明。</w:t>
      </w:r>
    </w:p>
    <w:p>
      <w:pPr>
        <w:spacing w:line="440" w:lineRule="exact"/>
        <w:rPr>
          <w:rFonts w:hint="eastAsia" w:ascii="仿宋" w:hAnsi="仿宋" w:eastAsia="仿宋" w:cs="仿宋"/>
          <w:color w:val="000000" w:themeColor="text1"/>
          <w:sz w:val="24"/>
          <w:highlight w:val="none"/>
          <w:lang w:val="zh-CN"/>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pStyle w:val="40"/>
        <w:ind w:firstLineChars="7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14:textFill>
            <w14:solidFill>
              <w14:schemeClr w14:val="tx1"/>
            </w14:solidFill>
          </w14:textFill>
        </w:rPr>
        <w:br w:type="page"/>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ascii="仿宋" w:hAnsi="仿宋" w:eastAsia="仿宋" w:cs="仿宋"/>
          <w:b/>
          <w:color w:val="000000" w:themeColor="text1"/>
          <w:kern w:val="0"/>
          <w:sz w:val="28"/>
          <w:szCs w:val="22"/>
          <w:highlight w:val="none"/>
          <w:lang w:val="en-US" w:eastAsia="zh-CN"/>
          <w14:textFill>
            <w14:solidFill>
              <w14:schemeClr w14:val="tx1"/>
            </w14:solidFill>
          </w14:textFill>
        </w:rPr>
        <w:t>6</w:t>
      </w:r>
      <w:r>
        <w:rPr>
          <w:rFonts w:hint="eastAsia" w:ascii="仿宋" w:hAnsi="仿宋" w:eastAsia="仿宋" w:cs="仿宋"/>
          <w:b/>
          <w:color w:val="000000" w:themeColor="text1"/>
          <w:szCs w:val="28"/>
          <w:highlight w:val="none"/>
          <w14:textFill>
            <w14:solidFill>
              <w14:schemeClr w14:val="tx1"/>
            </w14:solidFill>
          </w14:textFill>
        </w:rPr>
        <w:t>.资格证明文件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bookmarkStart w:id="86" w:name="_Toc193126891"/>
      <w:bookmarkStart w:id="87" w:name="_Toc188808842"/>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w:t>
      </w:r>
      <w:r>
        <w:rPr>
          <w:rFonts w:hint="eastAsia" w:ascii="仿宋" w:hAnsi="仿宋" w:eastAsia="仿宋" w:cs="仿宋"/>
          <w:i w:val="0"/>
          <w:iCs w:val="0"/>
          <w:caps w:val="0"/>
          <w:color w:val="000000"/>
          <w:spacing w:val="0"/>
          <w:sz w:val="24"/>
          <w:szCs w:val="24"/>
          <w:highlight w:val="none"/>
          <w:shd w:val="clear" w:color="auto" w:fill="FFFFFF"/>
          <w:lang w:val="en-US" w:eastAsia="zh-CN"/>
        </w:rPr>
        <w:t>2</w:t>
      </w:r>
      <w:r>
        <w:rPr>
          <w:rFonts w:hint="eastAsia" w:ascii="仿宋" w:hAnsi="仿宋" w:eastAsia="仿宋" w:cs="仿宋"/>
          <w:i w:val="0"/>
          <w:iCs w:val="0"/>
          <w:caps w:val="0"/>
          <w:color w:val="000000"/>
          <w:spacing w:val="0"/>
          <w:sz w:val="24"/>
          <w:szCs w:val="24"/>
          <w:highlight w:val="none"/>
          <w:shd w:val="clear" w:color="auto" w:fill="FFFFFF"/>
          <w:lang w:eastAsia="zh-CN"/>
        </w:rPr>
        <w:t>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（2）、特定资格条件：</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、单位负责人为同一人或者存在直接控股、管理关系的不同供应商，不得参加同一合同项下的政府采购活动；（提供书面承诺函，格式自拟加盖供应商公章）</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widowControl/>
        <w:spacing w:line="560" w:lineRule="exact"/>
        <w:ind w:right="-197" w:rightChars="-94" w:firstLine="482" w:firstLineChars="200"/>
        <w:jc w:val="left"/>
        <w:rPr>
          <w:rFonts w:hint="eastAsia" w:ascii="仿宋" w:hAnsi="仿宋" w:eastAsia="仿宋" w:cs="仿宋"/>
          <w:b/>
          <w:bCs/>
          <w:color w:val="000000"/>
          <w:sz w:val="24"/>
          <w:highlight w:val="none"/>
          <w:lang w:val="en-US" w:eastAsia="zh-CN"/>
        </w:rPr>
      </w:pPr>
    </w:p>
    <w:p>
      <w:pPr>
        <w:widowControl/>
        <w:spacing w:line="560" w:lineRule="exact"/>
        <w:ind w:right="-197" w:rightChars="-94" w:firstLine="482" w:firstLineChars="200"/>
        <w:jc w:val="left"/>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特别提醒：中标人提供的《中小企业声明函》将随中标结果公告一同公布，接受社会监督。</w:t>
      </w: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b/>
          <w:color w:val="000000" w:themeColor="text1"/>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法定代表人资格证明书</w:t>
      </w:r>
    </w:p>
    <w:tbl>
      <w:tblPr>
        <w:tblStyle w:val="23"/>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   限</w:t>
            </w:r>
          </w:p>
        </w:tc>
        <w:tc>
          <w:tcPr>
            <w:tcW w:w="8538" w:type="dxa"/>
            <w:gridSpan w:val="4"/>
            <w:vAlign w:val="center"/>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有效期</w:t>
            </w:r>
          </w:p>
        </w:tc>
        <w:tc>
          <w:tcPr>
            <w:tcW w:w="8538" w:type="dxa"/>
            <w:gridSpan w:val="4"/>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w:t>
            </w:r>
          </w:p>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信息</w:t>
            </w: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工商登记机关</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网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表人</w:t>
            </w: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    名</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    务</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联系电话</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传    真</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center"/>
              <w:rPr>
                <w:rFonts w:hint="eastAsia" w:ascii="仿宋" w:hAnsi="仿宋" w:eastAsia="仿宋" w:cs="仿宋"/>
                <w:color w:val="000000" w:themeColor="text1"/>
                <w:spacing w:val="-4"/>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4"/>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r>
    </w:tbl>
    <w:p>
      <w:pPr>
        <w:pStyle w:val="40"/>
        <w:ind w:firstLine="0" w:firstLineChars="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（供应商单位公章）   日 期：</w:t>
      </w:r>
    </w:p>
    <w:p>
      <w:pPr>
        <w:rPr>
          <w:rFonts w:hint="eastAsia" w:ascii="仿宋" w:hAnsi="仿宋" w:eastAsia="仿宋" w:cs="仿宋"/>
          <w:color w:val="000000" w:themeColor="text1"/>
          <w:kern w:val="0"/>
          <w:sz w:val="24"/>
          <w:highlight w:val="none"/>
          <w:u w:val="none"/>
          <w14:textFill>
            <w14:solidFill>
              <w14:schemeClr w14:val="tx1"/>
            </w14:solidFill>
          </w14:textFill>
        </w:rPr>
      </w:pPr>
    </w:p>
    <w:p>
      <w:pPr>
        <w:ind w:firstLine="723" w:firstLineChars="300"/>
        <w:rPr>
          <w:rFonts w:hint="eastAsia" w:ascii="仿宋" w:hAnsi="仿宋" w:eastAsia="仿宋" w:cs="仿宋"/>
          <w:b/>
          <w:bCs/>
          <w:color w:val="000000" w:themeColor="text1"/>
          <w:kern w:val="0"/>
          <w:sz w:val="24"/>
          <w:highlight w:val="none"/>
          <w:u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（法定代表人直接投标，只须提供法定代表人证明书及身份证原件）</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法定代表人授权委托书</w:t>
      </w:r>
    </w:p>
    <w:tbl>
      <w:tblPr>
        <w:tblStyle w:val="2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权项</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目与</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内容</w:t>
            </w: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7138"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7138" w:type="dxa"/>
            <w:gridSpan w:val="5"/>
          </w:tcPr>
          <w:p>
            <w:pPr>
              <w:tabs>
                <w:tab w:val="right" w:leader="dot" w:pos="9022"/>
              </w:tabs>
              <w:autoSpaceDE w:val="0"/>
              <w:autoSpaceDN w:val="0"/>
              <w:adjustRightInd w:val="0"/>
              <w:spacing w:line="500" w:lineRule="exact"/>
              <w:ind w:firstLine="1200" w:firstLineChars="500"/>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授权范围</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法律责任</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授权期限</w:t>
            </w:r>
          </w:p>
        </w:tc>
        <w:tc>
          <w:tcPr>
            <w:tcW w:w="7138" w:type="dxa"/>
            <w:gridSpan w:val="5"/>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本授权书自提交磋商响应文件的截止之日起90个日历日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企业信息</w:t>
            </w: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8493" w:type="dxa"/>
            <w:gridSpan w:val="6"/>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5296"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c>
          <w:tcPr>
            <w:tcW w:w="5296" w:type="dxa"/>
            <w:gridSpan w:val="3"/>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被授权人签字或盖章：</w:t>
            </w:r>
          </w:p>
        </w:tc>
      </w:tr>
    </w:tbl>
    <w:p>
      <w:pPr>
        <w:autoSpaceDE w:val="0"/>
        <w:autoSpaceDN w:val="0"/>
        <w:adjustRightInd w:val="0"/>
        <w:snapToGrid w:val="0"/>
        <w:spacing w:line="48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供应商名称：</w:t>
      </w:r>
      <w:r>
        <w:rPr>
          <w:rFonts w:hint="eastAsia" w:ascii="仿宋" w:hAnsi="仿宋" w:eastAsia="仿宋" w:cs="仿宋"/>
          <w:bCs/>
          <w:caps/>
          <w:color w:val="000000" w:themeColor="text1"/>
          <w:sz w:val="24"/>
          <w:highlight w:val="none"/>
          <w:u w:val="single"/>
          <w14:textFill>
            <w14:solidFill>
              <w14:schemeClr w14:val="tx1"/>
            </w14:solidFill>
          </w14:textFill>
        </w:rPr>
        <w:t xml:space="preserve">             </w:t>
      </w:r>
      <w:r>
        <w:rPr>
          <w:rFonts w:hint="eastAsia" w:ascii="仿宋" w:hAnsi="仿宋" w:eastAsia="仿宋" w:cs="仿宋"/>
          <w:bCs/>
          <w:caps/>
          <w:color w:val="000000" w:themeColor="text1"/>
          <w:sz w:val="24"/>
          <w:highlight w:val="none"/>
          <w14:textFill>
            <w14:solidFill>
              <w14:schemeClr w14:val="tx1"/>
            </w14:solidFill>
          </w14:textFill>
        </w:rPr>
        <w:t xml:space="preserve">（供应商单位公章）     日 期：  </w:t>
      </w:r>
    </w:p>
    <w:p>
      <w:pPr>
        <w:pStyle w:val="40"/>
        <w:ind w:firstLine="0" w:firstLineChars="0"/>
        <w:rPr>
          <w:rFonts w:hint="eastAsia" w:ascii="仿宋" w:hAnsi="仿宋" w:eastAsia="仿宋" w:cs="仿宋"/>
          <w:color w:val="000000" w:themeColor="text1"/>
          <w:kern w:val="0"/>
          <w:sz w:val="24"/>
          <w:highlight w:val="none"/>
          <w:u w:val="none"/>
          <w14:textFill>
            <w14:solidFill>
              <w14:schemeClr w14:val="tx1"/>
            </w14:solidFill>
          </w14:textFill>
        </w:rPr>
      </w:pPr>
    </w:p>
    <w:p>
      <w:pPr>
        <w:pStyle w:val="40"/>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被授权人投标时</w:t>
      </w:r>
      <w:r>
        <w:rPr>
          <w:rFonts w:hint="eastAsia" w:ascii="仿宋" w:hAnsi="仿宋" w:eastAsia="仿宋" w:cs="仿宋"/>
          <w:b/>
          <w:bCs/>
          <w:color w:val="000000" w:themeColor="text1"/>
          <w:kern w:val="0"/>
          <w:sz w:val="24"/>
          <w:highlight w:val="none"/>
          <w:u w:val="none"/>
          <w14:textFill>
            <w14:solidFill>
              <w14:schemeClr w14:val="tx1"/>
            </w14:solidFill>
          </w14:textFill>
        </w:rPr>
        <w:t>，须提供</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法定代表人授权委托书</w:t>
      </w:r>
      <w:r>
        <w:rPr>
          <w:rFonts w:hint="eastAsia" w:ascii="仿宋" w:hAnsi="仿宋" w:eastAsia="仿宋" w:cs="仿宋"/>
          <w:b/>
          <w:bCs/>
          <w:color w:val="000000" w:themeColor="text1"/>
          <w:kern w:val="0"/>
          <w:sz w:val="24"/>
          <w:highlight w:val="none"/>
          <w:u w:val="none"/>
          <w14:textFill>
            <w14:solidFill>
              <w14:schemeClr w14:val="tx1"/>
            </w14:solidFill>
          </w14:textFill>
        </w:rPr>
        <w:t>及</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被授权人身份证</w:t>
      </w:r>
      <w:r>
        <w:rPr>
          <w:rFonts w:hint="eastAsia" w:ascii="仿宋" w:hAnsi="仿宋" w:eastAsia="仿宋" w:cs="仿宋"/>
          <w:b/>
          <w:bCs/>
          <w:color w:val="000000" w:themeColor="text1"/>
          <w:kern w:val="0"/>
          <w:sz w:val="24"/>
          <w:highlight w:val="none"/>
          <w:u w:val="none"/>
          <w14:textFill>
            <w14:solidFill>
              <w14:schemeClr w14:val="tx1"/>
            </w14:solidFill>
          </w14:textFill>
        </w:rPr>
        <w:t>原件）</w:t>
      </w:r>
    </w:p>
    <w:p>
      <w:pPr>
        <w:pStyle w:val="40"/>
        <w:ind w:firstLine="562"/>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7</w:t>
      </w:r>
      <w:r>
        <w:rPr>
          <w:rFonts w:hint="eastAsia" w:ascii="仿宋" w:hAnsi="仿宋" w:eastAsia="仿宋" w:cs="仿宋"/>
          <w:b/>
          <w:color w:val="000000" w:themeColor="text1"/>
          <w:highlight w:val="none"/>
          <w:lang w:eastAsia="zh-CN"/>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201</w:t>
      </w:r>
      <w:r>
        <w:rPr>
          <w:rFonts w:hint="eastAsia" w:ascii="仿宋" w:hAnsi="仿宋" w:eastAsia="仿宋" w:cs="仿宋"/>
          <w:b/>
          <w:color w:val="000000" w:themeColor="text1"/>
          <w:highlight w:val="none"/>
          <w:lang w:val="en-US" w:eastAsia="zh-CN"/>
          <w14:textFill>
            <w14:solidFill>
              <w14:schemeClr w14:val="tx1"/>
            </w14:solidFill>
          </w14:textFill>
        </w:rPr>
        <w:t>9</w:t>
      </w:r>
      <w:r>
        <w:rPr>
          <w:rFonts w:hint="eastAsia" w:ascii="仿宋" w:hAnsi="仿宋" w:eastAsia="仿宋" w:cs="仿宋"/>
          <w:b/>
          <w:color w:val="000000" w:themeColor="text1"/>
          <w:highlight w:val="none"/>
          <w14:textFill>
            <w14:solidFill>
              <w14:schemeClr w14:val="tx1"/>
            </w14:solidFill>
          </w14:textFill>
        </w:rPr>
        <w:t>年1月1日至今</w:t>
      </w:r>
      <w:r>
        <w:rPr>
          <w:rFonts w:hint="eastAsia" w:ascii="仿宋" w:hAnsi="仿宋" w:eastAsia="仿宋" w:cs="仿宋"/>
          <w:b/>
          <w:color w:val="000000" w:themeColor="text1"/>
          <w:highlight w:val="none"/>
          <w:lang w:val="en-US" w:eastAsia="zh-CN"/>
          <w14:textFill>
            <w14:solidFill>
              <w14:schemeClr w14:val="tx1"/>
            </w14:solidFill>
          </w14:textFill>
        </w:rPr>
        <w:t>类似</w:t>
      </w:r>
      <w:r>
        <w:rPr>
          <w:rFonts w:hint="eastAsia" w:ascii="仿宋" w:hAnsi="仿宋" w:eastAsia="仿宋" w:cs="仿宋"/>
          <w:b/>
          <w:color w:val="000000" w:themeColor="text1"/>
          <w:highlight w:val="none"/>
          <w14:textFill>
            <w14:solidFill>
              <w14:schemeClr w14:val="tx1"/>
            </w14:solidFill>
          </w14:textFill>
        </w:rPr>
        <w:t>项目业绩（提供合同复印件加盖公章）</w:t>
      </w: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8</w:t>
      </w:r>
      <w:r>
        <w:rPr>
          <w:rFonts w:hint="eastAsia" w:ascii="仿宋" w:hAnsi="仿宋" w:eastAsia="仿宋" w:cs="仿宋"/>
          <w:b/>
          <w:color w:val="000000" w:themeColor="text1"/>
          <w:highlight w:val="none"/>
          <w14:textFill>
            <w14:solidFill>
              <w14:schemeClr w14:val="tx1"/>
            </w14:solidFill>
          </w14:textFill>
        </w:rPr>
        <w:t>、服务方案</w:t>
      </w:r>
    </w:p>
    <w:p>
      <w:pPr>
        <w:pStyle w:val="40"/>
        <w:ind w:firstLine="480"/>
        <w:rPr>
          <w:rFonts w:hint="eastAsia" w:ascii="仿宋" w:hAnsi="仿宋" w:eastAsia="仿宋" w:cs="仿宋"/>
          <w:b/>
          <w:color w:val="000000" w:themeColor="text1"/>
          <w:sz w:val="24"/>
          <w:szCs w:val="24"/>
          <w:highlight w:val="none"/>
          <w14:textFill>
            <w14:solidFill>
              <w14:schemeClr w14:val="tx1"/>
            </w14:solidFill>
          </w14:textFill>
        </w:rPr>
      </w:pPr>
      <w:bookmarkStart w:id="88" w:name="_Toc408785221"/>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40"/>
        <w:ind w:firstLine="482"/>
        <w:rPr>
          <w:rFonts w:hint="eastAsia" w:ascii="仿宋" w:hAnsi="仿宋" w:eastAsia="仿宋" w:cs="仿宋"/>
          <w:b/>
          <w:color w:val="000000" w:themeColor="text1"/>
          <w:sz w:val="24"/>
          <w:szCs w:val="24"/>
          <w:highlight w:val="none"/>
          <w14:textFill>
            <w14:solidFill>
              <w14:schemeClr w14:val="tx1"/>
            </w14:solidFill>
          </w14:textFill>
        </w:rPr>
      </w:pPr>
    </w:p>
    <w:bookmarkEnd w:id="88"/>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bidi w:val="0"/>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t>9、人员与设备配备（格式）</w:t>
      </w: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bookmarkStart w:id="89" w:name="_Toc193126905"/>
      <w:bookmarkStart w:id="90" w:name="_Toc188808855"/>
      <w:bookmarkStart w:id="91" w:name="_Toc194663942"/>
      <w:bookmarkStart w:id="92" w:name="_Toc193187111"/>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t>10.售后服务承诺</w:t>
      </w: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11</w:t>
      </w:r>
      <w:r>
        <w:rPr>
          <w:rFonts w:hint="eastAsia" w:ascii="仿宋" w:hAnsi="仿宋" w:eastAsia="仿宋" w:cs="仿宋"/>
          <w:b/>
          <w:color w:val="000000" w:themeColor="text1"/>
          <w:highlight w:val="none"/>
          <w14:textFill>
            <w14:solidFill>
              <w14:schemeClr w14:val="tx1"/>
            </w14:solidFill>
          </w14:textFill>
        </w:rPr>
        <w:t>.供应商认为有必要说明的事宜</w:t>
      </w: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pStyle w:val="37"/>
        <w:ind w:left="0" w:leftChars="0" w:firstLine="0" w:firstLineChars="0"/>
        <w:rPr>
          <w:rFonts w:hint="eastAsia" w:ascii="仿宋" w:hAnsi="仿宋" w:eastAsia="仿宋" w:cs="仿宋"/>
          <w:color w:val="000000" w:themeColor="text1"/>
          <w:highlight w:val="none"/>
          <w14:textFill>
            <w14:solidFill>
              <w14:schemeClr w14:val="tx1"/>
            </w14:solidFill>
          </w14:textFill>
        </w:rPr>
      </w:pPr>
    </w:p>
    <w:p>
      <w:pPr>
        <w:pStyle w:val="40"/>
        <w:ind w:firstLineChars="71"/>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t>1</w:t>
      </w:r>
      <w:r>
        <w:rPr>
          <w:rFonts w:hint="eastAsia" w:ascii="仿宋" w:hAnsi="仿宋" w:eastAsia="仿宋" w:cs="仿宋"/>
          <w:b/>
          <w:color w:val="000000" w:themeColor="text1"/>
          <w:szCs w:val="28"/>
          <w:highlight w:val="none"/>
          <w:lang w:val="en-US" w:eastAsia="zh-CN"/>
          <w14:textFill>
            <w14:solidFill>
              <w14:schemeClr w14:val="tx1"/>
            </w14:solidFill>
          </w14:textFill>
        </w:rPr>
        <w:t>2</w:t>
      </w:r>
      <w:r>
        <w:rPr>
          <w:rFonts w:hint="eastAsia" w:ascii="仿宋" w:hAnsi="仿宋" w:eastAsia="仿宋" w:cs="仿宋"/>
          <w:b/>
          <w:color w:val="000000" w:themeColor="text1"/>
          <w:szCs w:val="28"/>
          <w:highlight w:val="none"/>
          <w14:textFill>
            <w14:solidFill>
              <w14:schemeClr w14:val="tx1"/>
            </w14:solidFill>
          </w14:textFill>
        </w:rPr>
        <w:t>.</w:t>
      </w:r>
      <w:r>
        <w:rPr>
          <w:rFonts w:hint="eastAsia" w:ascii="仿宋" w:hAnsi="仿宋" w:eastAsia="仿宋" w:cs="仿宋"/>
          <w:b/>
          <w:color w:val="000000" w:themeColor="text1"/>
          <w:szCs w:val="28"/>
          <w:highlight w:val="none"/>
          <w:lang w:eastAsia="zh-CN"/>
          <w14:textFill>
            <w14:solidFill>
              <w14:schemeClr w14:val="tx1"/>
            </w14:solidFill>
          </w14:textFill>
        </w:rPr>
        <w:t>供应商</w:t>
      </w:r>
      <w:r>
        <w:rPr>
          <w:rFonts w:hint="eastAsia" w:ascii="仿宋" w:hAnsi="仿宋" w:eastAsia="仿宋" w:cs="仿宋"/>
          <w:b/>
          <w:color w:val="000000" w:themeColor="text1"/>
          <w:szCs w:val="28"/>
          <w:highlight w:val="none"/>
          <w14:textFill>
            <w14:solidFill>
              <w14:schemeClr w14:val="tx1"/>
            </w14:solidFill>
          </w14:textFill>
        </w:rPr>
        <w:t>承诺书</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r>
        <w:rPr>
          <w:rFonts w:hint="eastAsia" w:ascii="仿宋" w:hAnsi="仿宋" w:eastAsia="仿宋" w:cs="仿宋"/>
          <w:b w:val="0"/>
          <w:bCs/>
          <w:color w:val="000000" w:themeColor="text1"/>
          <w:sz w:val="24"/>
          <w:szCs w:val="24"/>
          <w:highlight w:val="none"/>
          <w14:textFill>
            <w14:solidFill>
              <w14:schemeClr w14:val="tx1"/>
            </w14:solidFill>
          </w14:textFill>
        </w:rPr>
        <w:t> </w:t>
      </w:r>
    </w:p>
    <w:p>
      <w:pPr>
        <w:widowControl/>
        <w:spacing w:line="480" w:lineRule="exact"/>
        <w:jc w:val="left"/>
        <w:rPr>
          <w:rFonts w:hint="eastAsia" w:ascii="仿宋" w:hAnsi="仿宋" w:eastAsia="仿宋" w:cs="仿宋"/>
          <w:b/>
          <w:color w:val="000000" w:themeColor="text1"/>
          <w:kern w:val="0"/>
          <w:highlight w:val="none"/>
          <w14:textFill>
            <w14:solidFill>
              <w14:schemeClr w14:val="tx1"/>
            </w14:solidFill>
          </w14:textFill>
        </w:rPr>
      </w:pP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陕西省政府采购供应商</w:t>
      </w: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拒绝政府采购领域商业贿赂承诺书Ⅰ</w:t>
      </w:r>
    </w:p>
    <w:p>
      <w:pPr>
        <w:widowControl/>
        <w:spacing w:line="400" w:lineRule="exact"/>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为响应党中央、国务院关于治理政府采购领域商业贿赂行为的号召</w:t>
      </w:r>
      <w:r>
        <w:rPr>
          <w:rFonts w:hint="eastAsia" w:ascii="仿宋" w:hAnsi="仿宋" w:eastAsia="仿宋" w:cs="仿宋"/>
          <w:color w:val="000000" w:themeColor="text1"/>
          <w:kern w:val="0"/>
          <w:sz w:val="24"/>
          <w:highlight w:val="none"/>
          <w14:textFill>
            <w14:solidFill>
              <w14:schemeClr w14:val="tx1"/>
            </w14:solidFill>
          </w14:textFill>
        </w:rPr>
        <w:t xml:space="preserve">，我单位作为     </w:t>
      </w:r>
      <w:r>
        <w:rPr>
          <w:rFonts w:hint="eastAsia" w:ascii="仿宋" w:hAnsi="仿宋" w:eastAsia="仿宋" w:cs="仿宋"/>
          <w:color w:val="000000" w:themeColor="text1"/>
          <w:kern w:val="0"/>
          <w:sz w:val="24"/>
          <w:highlight w:val="none"/>
          <w:u w:val="single"/>
          <w14:textFill>
            <w14:solidFill>
              <w14:schemeClr w14:val="tx1"/>
            </w14:solidFill>
          </w14:textFill>
        </w:rPr>
        <w:t xml:space="preserve">（项目名称）         </w:t>
      </w:r>
      <w:r>
        <w:rPr>
          <w:rFonts w:hint="eastAsia" w:ascii="仿宋" w:hAnsi="仿宋" w:eastAsia="仿宋" w:cs="仿宋"/>
          <w:color w:val="000000" w:themeColor="text1"/>
          <w:kern w:val="0"/>
          <w:sz w:val="24"/>
          <w:highlight w:val="none"/>
          <w14:textFill>
            <w14:solidFill>
              <w14:schemeClr w14:val="tx1"/>
            </w14:solidFill>
          </w14:textFill>
        </w:rPr>
        <w:t xml:space="preserve"> 的供应商，</w:t>
      </w:r>
      <w:r>
        <w:rPr>
          <w:rFonts w:hint="eastAsia" w:ascii="仿宋" w:hAnsi="仿宋" w:eastAsia="仿宋" w:cs="仿宋"/>
          <w:color w:val="000000" w:themeColor="text1"/>
          <w:sz w:val="24"/>
          <w:highlight w:val="none"/>
          <w14:textFill>
            <w14:solidFill>
              <w14:schemeClr w14:val="tx1"/>
            </w14:solidFill>
          </w14:textFill>
        </w:rPr>
        <w:t xml:space="preserve">在此庄严承诺：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1、在参与政府采购活动中遵纪守法、诚信经营、公平竞标。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2、不向采购人、采购代理机构和政府采购评审专家进行任何形式的商业贿赂以谋取交易机会。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3、不向政府采购采购代理机构和采购人提供虚假资质文件或采用虚假应标方式参与政府采购市场竞争并谋取成交。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4、不采取“围标、陪标”等商业欺诈手段获得政府采购定单。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5、不采取不正当手段低毁、排挤其他供应商。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6、不在提供商品和服务时“偷梁换柱、以次充好”损害采购人的合法权益。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7、不与采购人、采购代理机构政府采购评审专家或其它供应商恶意串通，进行质疑和投诉，维护政府采购市场秩序。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8、尊重和接受政府采购监督管理部门的监督和政府采购代理机构采购要求，承担因违约行为给采购人造成的损失。 </w:t>
      </w:r>
    </w:p>
    <w:p>
      <w:pPr>
        <w:widowControl/>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9、不发生其他有悖于政府采购公开、公平、公正和诚信原则的行为。 </w:t>
      </w: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承诺单位：</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（盖章） </w:t>
      </w:r>
    </w:p>
    <w:p>
      <w:pPr>
        <w:widowControl/>
        <w:spacing w:line="48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全权代表：</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（签字）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地　　址：</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邮    编：</w:t>
      </w:r>
      <w:r>
        <w:rPr>
          <w:rFonts w:hint="eastAsia" w:ascii="仿宋" w:hAnsi="仿宋" w:eastAsia="仿宋" w:cs="仿宋"/>
          <w:color w:val="000000" w:themeColor="text1"/>
          <w:kern w:val="0"/>
          <w:sz w:val="24"/>
          <w:highlight w:val="none"/>
          <w:u w:val="single"/>
          <w14:textFill>
            <w14:solidFill>
              <w14:schemeClr w14:val="tx1"/>
            </w14:solidFill>
          </w14:textFill>
        </w:rPr>
        <w:t>　　                     　　</w:t>
      </w:r>
    </w:p>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　　话：</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承诺书Ⅱ</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，本公司承诺：在参加本项目</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承诺书Ⅲ</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，本公司郑重申告并承诺：近三年受到有关行政主管部门的行政处理、不良行为记录为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承诺书Ⅳ</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，本公司郑重申告：近三年因</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问题的不法行为记录为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本公司承诺：本次</w:t>
            </w:r>
            <w:r>
              <w:rPr>
                <w:rFonts w:hint="eastAsia" w:ascii="仿宋" w:hAnsi="仿宋" w:eastAsia="仿宋" w:cs="仿宋"/>
                <w:color w:val="000000" w:themeColor="text1"/>
                <w:sz w:val="24"/>
                <w:highlight w:val="none"/>
                <w:lang w:val="en-US" w:eastAsia="zh-CN"/>
                <w14:textFill>
                  <w14:solidFill>
                    <w14:schemeClr w14:val="tx1"/>
                  </w14:solidFill>
                </w14:textFill>
              </w:rPr>
              <w:t>所投服务符合相关行业标准</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uto"/>
        <w:ind w:right="480"/>
        <w:rPr>
          <w:rFonts w:hint="eastAsia" w:ascii="仿宋" w:hAnsi="仿宋" w:eastAsia="仿宋" w:cs="仿宋"/>
          <w:color w:val="000000" w:themeColor="text1"/>
          <w:sz w:val="24"/>
          <w:szCs w:val="28"/>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w:t>
      </w:r>
      <w:r>
        <w:rPr>
          <w:rFonts w:hint="eastAsia" w:ascii="仿宋" w:hAnsi="仿宋" w:eastAsia="仿宋" w:cs="仿宋"/>
          <w:b/>
          <w:color w:val="000000" w:themeColor="text1"/>
          <w:sz w:val="36"/>
          <w:szCs w:val="36"/>
          <w:highlight w:val="none"/>
          <w14:textFill>
            <w14:solidFill>
              <w14:schemeClr w14:val="tx1"/>
            </w14:solidFill>
          </w14:textFill>
        </w:rPr>
        <w:fldChar w:fldCharType="begin"/>
      </w:r>
      <w:r>
        <w:rPr>
          <w:rFonts w:hint="eastAsia" w:ascii="仿宋" w:hAnsi="仿宋" w:eastAsia="仿宋" w:cs="仿宋"/>
          <w:b/>
          <w:color w:val="000000" w:themeColor="text1"/>
          <w:sz w:val="36"/>
          <w:szCs w:val="36"/>
          <w:highlight w:val="none"/>
          <w14:textFill>
            <w14:solidFill>
              <w14:schemeClr w14:val="tx1"/>
            </w14:solidFill>
          </w14:textFill>
        </w:rPr>
        <w:instrText xml:space="preserve"> = 5 \* ROMAN </w:instrText>
      </w:r>
      <w:r>
        <w:rPr>
          <w:rFonts w:hint="eastAsia" w:ascii="仿宋" w:hAnsi="仿宋" w:eastAsia="仿宋" w:cs="仿宋"/>
          <w:b/>
          <w:color w:val="000000" w:themeColor="text1"/>
          <w:sz w:val="36"/>
          <w:szCs w:val="36"/>
          <w:highlight w:val="none"/>
          <w14:textFill>
            <w14:solidFill>
              <w14:schemeClr w14:val="tx1"/>
            </w14:solidFill>
          </w14:textFill>
        </w:rPr>
        <w:fldChar w:fldCharType="separate"/>
      </w:r>
      <w:r>
        <w:rPr>
          <w:rFonts w:hint="eastAsia" w:ascii="仿宋" w:hAnsi="仿宋" w:eastAsia="仿宋" w:cs="仿宋"/>
          <w:b/>
          <w:color w:val="000000" w:themeColor="text1"/>
          <w:sz w:val="36"/>
          <w:szCs w:val="36"/>
          <w:highlight w:val="none"/>
          <w14:textFill>
            <w14:solidFill>
              <w14:schemeClr w14:val="tx1"/>
            </w14:solidFill>
          </w14:textFill>
        </w:rPr>
        <w:t>V</w:t>
      </w:r>
      <w:r>
        <w:rPr>
          <w:rFonts w:hint="eastAsia" w:ascii="仿宋" w:hAnsi="仿宋" w:eastAsia="仿宋" w:cs="仿宋"/>
          <w:b/>
          <w:color w:val="000000" w:themeColor="text1"/>
          <w:sz w:val="36"/>
          <w:szCs w:val="36"/>
          <w:highlight w:val="none"/>
          <w14:textFill>
            <w14:solidFill>
              <w14:schemeClr w14:val="tx1"/>
            </w14:solidFill>
          </w14:textFill>
        </w:rPr>
        <w:fldChar w:fldCharType="end"/>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，本公司承诺：参加本次</w:t>
            </w:r>
            <w:r>
              <w:rPr>
                <w:rFonts w:hint="eastAsia" w:ascii="仿宋" w:hAnsi="仿宋" w:eastAsia="仿宋" w:cs="仿宋"/>
                <w:color w:val="000000" w:themeColor="text1"/>
                <w:sz w:val="24"/>
                <w:highlight w:val="none"/>
                <w:lang w:eastAsia="zh-CN"/>
                <w14:textFill>
                  <w14:solidFill>
                    <w14:schemeClr w14:val="tx1"/>
                  </w14:solidFill>
                </w14:textFill>
              </w:rPr>
              <w:t>磋商活动</w:t>
            </w:r>
            <w:r>
              <w:rPr>
                <w:rFonts w:hint="eastAsia" w:ascii="仿宋" w:hAnsi="仿宋" w:eastAsia="仿宋" w:cs="仿宋"/>
                <w:color w:val="000000" w:themeColor="text1"/>
                <w:sz w:val="24"/>
                <w:highlight w:val="none"/>
                <w14:textFill>
                  <w14:solidFill>
                    <w14:schemeClr w14:val="tx1"/>
                  </w14:solidFill>
                </w14:textFill>
              </w:rPr>
              <w:t>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500" w:lineRule="exact"/>
        <w:rPr>
          <w:rFonts w:hint="eastAsia" w:ascii="仿宋" w:hAnsi="仿宋" w:eastAsia="仿宋" w:cs="仿宋"/>
          <w:b/>
          <w:bCs/>
          <w:color w:val="000000" w:themeColor="text1"/>
          <w:sz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承诺书Ⅵ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w:t>
            </w:r>
            <w:r>
              <w:rPr>
                <w:rFonts w:hint="eastAsia" w:ascii="仿宋" w:hAnsi="仿宋" w:eastAsia="仿宋" w:cs="仿宋"/>
                <w:color w:val="000000" w:themeColor="text1"/>
                <w:sz w:val="24"/>
                <w:highlight w:val="none"/>
                <w:lang w:eastAsia="zh-CN"/>
                <w14:textFill>
                  <w14:solidFill>
                    <w14:schemeClr w14:val="tx1"/>
                  </w14:solidFill>
                </w14:textFill>
              </w:rPr>
              <w:t>我单位法人代表及主要负责人所在的公司在近三年内没有违法违规行为，</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lang w:eastAsia="zh-CN"/>
                <w14:textFill>
                  <w14:solidFill>
                    <w14:schemeClr w14:val="tx1"/>
                  </w14:solidFill>
                </w14:textFill>
              </w:rPr>
              <w:t>，我单位自愿放弃本次项目的磋商。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pStyle w:val="40"/>
        <w:ind w:firstLine="174"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bCs/>
          <w:color w:val="000000" w:themeColor="text1"/>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3</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中小</w:t>
      </w:r>
      <w:r>
        <w:rPr>
          <w:rFonts w:hint="eastAsia" w:ascii="仿宋" w:hAnsi="仿宋" w:eastAsia="仿宋" w:cs="仿宋"/>
          <w:b/>
          <w:bCs/>
          <w:color w:val="000000" w:themeColor="text1"/>
          <w:szCs w:val="28"/>
          <w:highlight w:val="none"/>
          <w14:textFill>
            <w14:solidFill>
              <w14:schemeClr w14:val="tx1"/>
            </w14:solidFill>
          </w14:textFill>
        </w:rPr>
        <w:t>企业声明函》</w:t>
      </w:r>
      <w:bookmarkStart w:id="93" w:name="OLE_LINK19"/>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p>
    <w:bookmarkEnd w:id="93"/>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lang w:val="en-US" w:eastAsia="zh-CN"/>
          <w14:textFill>
            <w14:solidFill>
              <w14:schemeClr w14:val="tx1"/>
            </w14:solidFill>
          </w14:textFill>
        </w:rPr>
        <w:t>中小企业声明函（服务）</w:t>
      </w:r>
    </w:p>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本公司郑重声明，根据《政府采购促进中小企业发展管理办法》（财库﹝2020﹞46号）的规定，本公司参加</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（单位名称）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的</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（项目名称）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w:t>
      </w:r>
      <w:r>
        <w:rPr>
          <w:rFonts w:hint="eastAsia" w:ascii="仿宋" w:hAnsi="仿宋" w:eastAsia="仿宋" w:cs="仿宋"/>
          <w:i w:val="0"/>
          <w:iCs w:val="0"/>
          <w:color w:val="000000" w:themeColor="text1"/>
          <w:kern w:val="0"/>
          <w:sz w:val="24"/>
          <w:szCs w:val="24"/>
          <w:highlight w:val="none"/>
          <w:vertAlign w:val="superscript"/>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2.</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 xml:space="preserve">                          日 期：</w:t>
      </w: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r>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从业人员、营业收入、资产总额填报上一年度数据，无上一年度数据的新成立企业可不填报。</w:t>
      </w:r>
    </w:p>
    <w:p>
      <w:pPr>
        <w:pStyle w:val="40"/>
        <w:ind w:firstLine="149"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4</w:t>
      </w:r>
      <w:r>
        <w:rPr>
          <w:rFonts w:hint="eastAsia" w:ascii="仿宋" w:hAnsi="仿宋" w:eastAsia="仿宋" w:cs="仿宋"/>
          <w:b/>
          <w:bCs/>
          <w:color w:val="000000" w:themeColor="text1"/>
          <w:szCs w:val="28"/>
          <w:highlight w:val="none"/>
          <w14:textFill>
            <w14:solidFill>
              <w14:schemeClr w14:val="tx1"/>
            </w14:solidFill>
          </w14:textFill>
        </w:rPr>
        <w:t>.《残疾人福利性单位声明函》</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r>
        <w:rPr>
          <w:rFonts w:hint="eastAsia" w:ascii="仿宋" w:hAnsi="仿宋" w:eastAsia="仿宋" w:cs="仿宋"/>
          <w:b/>
          <w:color w:val="000000" w:themeColor="text1"/>
          <w:spacing w:val="6"/>
          <w:sz w:val="24"/>
          <w:szCs w:val="24"/>
          <w:highlight w:val="none"/>
          <w14:textFill>
            <w14:solidFill>
              <w14:schemeClr w14:val="tx1"/>
            </w14:solidFill>
          </w14:textFill>
        </w:rPr>
        <w:t>残疾人福利性单位声明函</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（非</w:t>
      </w:r>
      <w:r>
        <w:rPr>
          <w:rFonts w:hint="eastAsia" w:ascii="仿宋" w:hAnsi="仿宋" w:eastAsia="仿宋" w:cs="仿宋"/>
          <w:b/>
          <w:color w:val="000000" w:themeColor="text1"/>
          <w:spacing w:val="6"/>
          <w:sz w:val="18"/>
          <w:szCs w:val="18"/>
          <w:highlight w:val="none"/>
          <w14:textFill>
            <w14:solidFill>
              <w14:schemeClr w14:val="tx1"/>
            </w14:solidFill>
          </w14:textFill>
        </w:rPr>
        <w:t>残疾人福利企业</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不</w:t>
      </w:r>
      <w:r>
        <w:rPr>
          <w:rFonts w:hint="eastAsia" w:ascii="仿宋" w:hAnsi="仿宋" w:eastAsia="仿宋" w:cs="仿宋"/>
          <w:b/>
          <w:color w:val="000000" w:themeColor="text1"/>
          <w:spacing w:val="6"/>
          <w:sz w:val="18"/>
          <w:szCs w:val="18"/>
          <w:highlight w:val="none"/>
          <w14:textFill>
            <w14:solidFill>
              <w14:schemeClr w14:val="tx1"/>
            </w14:solidFill>
          </w14:textFill>
        </w:rPr>
        <w:t>填写</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w:t>
      </w:r>
    </w:p>
    <w:p>
      <w:pPr>
        <w:spacing w:line="588" w:lineRule="exact"/>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仿宋" w:hAnsi="仿宋" w:eastAsia="仿宋" w:cs="仿宋"/>
          <w:color w:val="000000" w:themeColor="text1"/>
          <w:sz w:val="24"/>
          <w:szCs w:val="24"/>
          <w:highlight w:val="none"/>
          <w14:textFill>
            <w14:solidFill>
              <w14:schemeClr w14:val="tx1"/>
            </w14:solidFill>
          </w14:textFill>
        </w:rPr>
        <w:t>〔2017〕 141</w:t>
      </w:r>
      <w:r>
        <w:rPr>
          <w:rFonts w:hint="eastAsia" w:ascii="仿宋" w:hAnsi="仿宋" w:eastAsia="仿宋" w:cs="仿宋"/>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日  期：</w:t>
      </w: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360" w:lineRule="auto"/>
        <w:ind w:firstLine="422" w:firstLineChars="200"/>
        <w:rPr>
          <w:rFonts w:ascii="仿宋" w:hAnsi="仿宋" w:eastAsia="仿宋" w:cs="仿宋"/>
          <w:b/>
          <w:kern w:val="0"/>
          <w:sz w:val="21"/>
          <w:szCs w:val="20"/>
          <w:lang w:val="zh-CN"/>
        </w:rPr>
      </w:pPr>
      <w:r>
        <w:rPr>
          <w:rFonts w:hint="eastAsia" w:ascii="仿宋" w:hAnsi="仿宋" w:eastAsia="仿宋" w:cs="仿宋"/>
          <w:b/>
          <w:kern w:val="0"/>
          <w:sz w:val="21"/>
          <w:szCs w:val="20"/>
          <w:lang w:val="zh-CN"/>
        </w:rPr>
        <w:t>备注：</w:t>
      </w:r>
      <w:r>
        <w:rPr>
          <w:rFonts w:hint="eastAsia" w:ascii="仿宋" w:hAnsi="仿宋" w:eastAsia="仿宋" w:cs="仿宋"/>
          <w:b/>
          <w:kern w:val="0"/>
          <w:sz w:val="21"/>
          <w:szCs w:val="20"/>
          <w:lang w:val="en-US" w:eastAsia="zh-CN"/>
        </w:rPr>
        <w:t>供应商</w:t>
      </w:r>
      <w:r>
        <w:rPr>
          <w:rFonts w:hint="eastAsia" w:ascii="仿宋" w:hAnsi="仿宋" w:eastAsia="仿宋" w:cs="仿宋"/>
          <w:b/>
          <w:kern w:val="0"/>
          <w:sz w:val="21"/>
          <w:szCs w:val="20"/>
          <w:lang w:val="zh-CN"/>
        </w:rPr>
        <w:t>提供的《残疾人福利性单位声明函》必须真实有效，如果被举报经查实出具虚假声明函的，将被取消投标资格，并按有关规定予以处理。</w:t>
      </w: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pStyle w:val="40"/>
        <w:pageBreakBefore w:val="0"/>
        <w:bidi w:val="0"/>
        <w:spacing w:line="560" w:lineRule="exact"/>
        <w:ind w:left="0" w:leftChars="0" w:firstLine="0" w:firstLineChars="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Cs w:val="28"/>
          <w:highlight w:val="none"/>
          <w:lang w:val="en-US" w:eastAsia="zh-CN"/>
          <w14:textFill>
            <w14:solidFill>
              <w14:schemeClr w14:val="tx1"/>
            </w14:solidFill>
          </w14:textFill>
        </w:rPr>
        <w:t>15.</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监狱、戒毒企业</w:t>
      </w:r>
      <w:r>
        <w:rPr>
          <w:rFonts w:hint="eastAsia" w:ascii="仿宋" w:hAnsi="仿宋" w:eastAsia="仿宋" w:cs="仿宋"/>
          <w:b/>
          <w:bCs/>
          <w:color w:val="000000" w:themeColor="text1"/>
          <w:szCs w:val="28"/>
          <w:highlight w:val="none"/>
          <w14:textFill>
            <w14:solidFill>
              <w14:schemeClr w14:val="tx1"/>
            </w14:solidFill>
          </w14:textFill>
        </w:rPr>
        <w:t>声明函》</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r>
        <w:rPr>
          <w:rFonts w:hint="eastAsia" w:ascii="仿宋" w:hAnsi="仿宋" w:eastAsia="仿宋" w:cs="仿宋"/>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color w:val="000000" w:themeColor="text1"/>
          <w:kern w:val="0"/>
          <w:sz w:val="28"/>
          <w:szCs w:val="28"/>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000000" w:themeColor="text1"/>
          <w:spacing w:val="6"/>
          <w:sz w:val="21"/>
          <w:szCs w:val="21"/>
          <w:highlight w:val="none"/>
          <w:u w:val="double"/>
          <w:lang w:val="zh-CN"/>
          <w14:textFill>
            <w14:solidFill>
              <w14:schemeClr w14:val="tx1"/>
            </w14:solidFill>
          </w14:textFill>
        </w:rPr>
      </w:pPr>
      <w:r>
        <w:rPr>
          <w:rFonts w:hint="eastAsia" w:ascii="仿宋" w:hAnsi="仿宋" w:eastAsia="仿宋" w:cs="仿宋"/>
          <w:b/>
          <w:color w:val="000000" w:themeColor="text1"/>
          <w:kern w:val="0"/>
          <w:sz w:val="28"/>
          <w:szCs w:val="28"/>
          <w:highlight w:val="none"/>
          <w:lang w:val="zh-CN"/>
          <w14:textFill>
            <w14:solidFill>
              <w14:schemeClr w14:val="tx1"/>
            </w14:solidFill>
          </w14:textFill>
        </w:rPr>
        <w:t>监狱、戒毒企业声明函</w:t>
      </w:r>
      <w:r>
        <w:rPr>
          <w:rFonts w:hint="eastAsia" w:ascii="仿宋" w:hAnsi="仿宋" w:eastAsia="仿宋" w:cs="仿宋"/>
          <w:b/>
          <w:strike w:val="0"/>
          <w:dstrike w:val="0"/>
          <w:color w:val="000000" w:themeColor="text1"/>
          <w:spacing w:val="6"/>
          <w:sz w:val="18"/>
          <w:szCs w:val="18"/>
          <w:highlight w:val="none"/>
          <w:u w:val="none"/>
          <w:lang w:val="zh-CN"/>
          <w14:textFill>
            <w14:solidFill>
              <w14:schemeClr w14:val="tx1"/>
            </w14:solidFill>
          </w14:textFill>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444" w:firstLineChars="200"/>
        <w:textAlignment w:val="auto"/>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w:t>
      </w:r>
      <w:r>
        <w:rPr>
          <w:rFonts w:hint="eastAsia" w:ascii="仿宋" w:hAnsi="仿宋" w:eastAsia="仿宋" w:cs="仿宋"/>
          <w:color w:val="000000" w:themeColor="text1"/>
          <w:spacing w:val="-4"/>
          <w:kern w:val="0"/>
          <w:sz w:val="24"/>
          <w:highlight w:val="none"/>
          <w14:textFill>
            <w14:solidFill>
              <w14:schemeClr w14:val="tx1"/>
            </w14:solidFill>
          </w14:textFill>
        </w:rPr>
        <w:t>财政部 司法部 关于政府采购支持监狱企业发展有关问题的通知</w:t>
      </w:r>
      <w:r>
        <w:rPr>
          <w:rFonts w:hint="eastAsia" w:ascii="仿宋" w:hAnsi="仿宋" w:eastAsia="仿宋" w:cs="仿宋"/>
          <w:color w:val="000000" w:themeColor="text1"/>
          <w:sz w:val="24"/>
          <w:highlight w:val="none"/>
          <w14:textFill>
            <w14:solidFill>
              <w14:schemeClr w14:val="tx1"/>
            </w14:solidFill>
          </w14:textFill>
        </w:rPr>
        <w:t>》（财库〔2014〕68号）的规定，本单位为符合条件的监狱、戒毒企业，且本单位参加的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全称（公章）：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备注：供应商提供的《</w:t>
      </w:r>
      <w:r>
        <w:rPr>
          <w:rFonts w:hint="eastAsia" w:ascii="仿宋" w:hAnsi="仿宋" w:eastAsia="仿宋" w:cs="仿宋"/>
          <w:b/>
          <w:bCs w:val="0"/>
          <w:color w:val="000000" w:themeColor="text1"/>
          <w:sz w:val="21"/>
          <w:szCs w:val="20"/>
          <w:highlight w:val="none"/>
          <w14:textFill>
            <w14:solidFill>
              <w14:schemeClr w14:val="tx1"/>
            </w14:solidFill>
          </w14:textFill>
        </w:rPr>
        <w:t>监狱、戒毒企业</w:t>
      </w: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声明函》必须真实有效，供应商</w:t>
      </w:r>
      <w:r>
        <w:rPr>
          <w:rFonts w:hint="eastAsia" w:ascii="仿宋" w:hAnsi="仿宋" w:eastAsia="仿宋" w:cs="仿宋"/>
          <w:b/>
          <w:bCs w:val="0"/>
          <w:color w:val="000000" w:themeColor="text1"/>
          <w:sz w:val="21"/>
          <w:szCs w:val="20"/>
          <w:highlight w:val="none"/>
          <w14:textFill>
            <w14:solidFill>
              <w14:schemeClr w14:val="tx1"/>
            </w14:solidFill>
          </w14:textFill>
        </w:rPr>
        <w:t>应当提供由省级以上监狱管理局、戒毒管理局(含新疆生产建设兵团)出具的属于监狱企业的证明文件。</w:t>
      </w: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40"/>
        <w:spacing w:line="560" w:lineRule="exact"/>
        <w:ind w:firstLine="0" w:firstLineChars="0"/>
        <w:jc w:val="both"/>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16、</w:t>
      </w:r>
      <w:r>
        <w:rPr>
          <w:rFonts w:hint="eastAsia" w:ascii="仿宋" w:hAnsi="仿宋" w:eastAsia="仿宋" w:cs="仿宋"/>
          <w:b/>
          <w:bCs/>
          <w:color w:val="000000" w:themeColor="text1"/>
          <w:szCs w:val="28"/>
          <w:highlight w:val="none"/>
          <w:lang w:eastAsia="zh-CN"/>
          <w14:textFill>
            <w14:solidFill>
              <w14:schemeClr w14:val="tx1"/>
            </w14:solidFill>
          </w14:textFill>
        </w:rPr>
        <w:t>封袋正面标识式样</w:t>
      </w:r>
    </w:p>
    <w:p>
      <w:pPr>
        <w:rPr>
          <w:rFonts w:hint="eastAsia" w:ascii="仿宋" w:hAnsi="仿宋" w:eastAsia="仿宋" w:cs="仿宋"/>
          <w:color w:val="000000" w:themeColor="text1"/>
          <w:highlight w:val="none"/>
          <w14:textFill>
            <w14:solidFill>
              <w14:schemeClr w14:val="tx1"/>
            </w14:solidFill>
          </w14:textFill>
        </w:rPr>
      </w:pPr>
    </w:p>
    <w:p>
      <w:pPr>
        <w:spacing w:line="460" w:lineRule="exac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竞争性磋商响应</w:t>
      </w:r>
      <w:r>
        <w:rPr>
          <w:rFonts w:hint="eastAsia" w:ascii="仿宋" w:hAnsi="仿宋" w:eastAsia="仿宋" w:cs="仿宋"/>
          <w:b/>
          <w:color w:val="000000" w:themeColor="text1"/>
          <w:sz w:val="24"/>
          <w:highlight w:val="none"/>
          <w14:textFill>
            <w14:solidFill>
              <w14:schemeClr w14:val="tx1"/>
            </w14:solidFill>
          </w14:textFill>
        </w:rPr>
        <w:t>文件封袋正面标识式样</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144145</wp:posOffset>
                </wp:positionH>
                <wp:positionV relativeFrom="paragraph">
                  <wp:posOffset>157480</wp:posOffset>
                </wp:positionV>
                <wp:extent cx="5678805" cy="7706360"/>
                <wp:effectExtent l="5080" t="4445" r="12065" b="23495"/>
                <wp:wrapNone/>
                <wp:docPr id="5" name="文本框 5"/>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1"/>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rPr>
                                <w:rFonts w:hint="eastAsia" w:ascii="仿宋" w:hAnsi="仿宋" w:eastAsia="仿宋" w:cs="仿宋"/>
                                <w:color w:val="auto"/>
                              </w:rPr>
                            </w:pPr>
                          </w:p>
                          <w:p>
                            <w:pPr>
                              <w:pStyle w:val="11"/>
                              <w:rPr>
                                <w:rFonts w:hint="eastAsia"/>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1"/>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1.35pt;margin-top:12.4pt;height:606.8pt;width:447.15pt;z-index:251665408;mso-width-relative:page;mso-height-relative:page;" fillcolor="#FFFFFF" filled="t" stroked="t" coordsize="21600,21600" o:gfxdata="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QcYB2QAAAAoBAAAPAAAAAAAAAAEA&#10;IAAAACIAAABkcnMvZG93bnJldi54bWxQSwECFAAUAAAACACHTuJA/Kc8Zg4CAAA3BAAADgAAAAAA&#10;AAABACAAAAAoAQAAZHJzL2Uyb0RvYy54bWxQSwUGAAAAAAYABgBZAQAAqAU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1"/>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rPr>
                          <w:rFonts w:hint="eastAsia" w:ascii="仿宋" w:hAnsi="仿宋" w:eastAsia="仿宋" w:cs="仿宋"/>
                          <w:color w:val="auto"/>
                        </w:rPr>
                      </w:pPr>
                    </w:p>
                    <w:p>
                      <w:pPr>
                        <w:pStyle w:val="11"/>
                        <w:rPr>
                          <w:rFonts w:hint="eastAsia"/>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1"/>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jc w:val="center"/>
        <w:rPr>
          <w:rFonts w:hint="eastAsia" w:ascii="仿宋" w:hAnsi="仿宋" w:eastAsia="仿宋" w:cs="仿宋"/>
          <w:b/>
          <w:bCs/>
          <w:color w:val="000000" w:themeColor="text1"/>
          <w:kern w:val="0"/>
          <w:sz w:val="28"/>
          <w:szCs w:val="28"/>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 </w:t>
      </w:r>
    </w:p>
    <w:p>
      <w:pPr>
        <w:pStyle w:val="1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560" w:lineRule="exact"/>
        <w:rPr>
          <w:rFonts w:hint="eastAsia" w:ascii="仿宋" w:hAnsi="仿宋" w:eastAsia="仿宋" w:cs="仿宋"/>
          <w:b/>
          <w:color w:val="000000" w:themeColor="text1"/>
          <w:sz w:val="44"/>
          <w:szCs w:val="44"/>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资质证明材料正面标识式样</w:t>
      </w: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158115</wp:posOffset>
                </wp:positionH>
                <wp:positionV relativeFrom="paragraph">
                  <wp:posOffset>196215</wp:posOffset>
                </wp:positionV>
                <wp:extent cx="5299075" cy="7872095"/>
                <wp:effectExtent l="5080" t="4445" r="10795" b="10160"/>
                <wp:wrapNone/>
                <wp:docPr id="4" name="文本框 4"/>
                <wp:cNvGraphicFramePr/>
                <a:graphic xmlns:a="http://schemas.openxmlformats.org/drawingml/2006/main">
                  <a:graphicData uri="http://schemas.microsoft.com/office/word/2010/wordprocessingShape">
                    <wps:wsp>
                      <wps:cNvSpPr txBox="1"/>
                      <wps:spPr>
                        <a:xfrm>
                          <a:off x="0" y="0"/>
                          <a:ext cx="5299075" cy="787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11"/>
                              <w:rPr>
                                <w:rFonts w:hint="eastAsia" w:ascii="仿宋" w:hAnsi="仿宋" w:eastAsia="仿宋" w:cs="仿宋"/>
                                <w:color w:val="auto"/>
                              </w:rPr>
                            </w:pPr>
                          </w:p>
                          <w:p>
                            <w:pPr>
                              <w:rPr>
                                <w:rFonts w:hint="eastAsia" w:ascii="仿宋" w:hAnsi="仿宋" w:eastAsia="仿宋" w:cs="仿宋"/>
                              </w:rPr>
                            </w:pPr>
                          </w:p>
                          <w:p>
                            <w:pPr>
                              <w:pStyle w:val="11"/>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1"/>
                              <w:rPr>
                                <w:rFonts w:hint="eastAsia" w:ascii="仿宋" w:hAnsi="仿宋" w:eastAsia="仿宋" w:cs="仿宋"/>
                                <w:color w:val="auto"/>
                              </w:rPr>
                            </w:pPr>
                          </w:p>
                          <w:p>
                            <w:pPr>
                              <w:rPr>
                                <w:rFonts w:hint="eastAsia" w:ascii="仿宋" w:hAnsi="仿宋" w:eastAsia="仿宋" w:cs="仿宋"/>
                              </w:rPr>
                            </w:pPr>
                          </w:p>
                          <w:p>
                            <w:pPr>
                              <w:pStyle w:val="11"/>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_x0000_s1026" o:spid="_x0000_s1026" o:spt="202" type="#_x0000_t202" style="position:absolute;left:0pt;margin-left:12.45pt;margin-top:15.45pt;height:619.85pt;width:417.25pt;z-index:251666432;mso-width-relative:page;mso-height-relative:page;" fillcolor="#FFFFFF" filled="t" stroked="t" coordsize="21600,21600" o:gfxdata="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PDbKtkAAAAKAQAADwAAAAAAAAABACAA&#10;AAAiAAAAZHJzL2Rvd25yZXYueG1sUEsBAhQAFAAAAAgAh07iQDrfFPEMAgAANwQAAA4AAAAAAAAA&#10;AQAgAAAAKAEAAGRycy9lMm9Eb2MueG1sUEsFBgAAAAAGAAYAWQEAAKYFAAAAAA==&#10;">
                <v:fill on="t" focussize="0,0"/>
                <v:stroke color="#000000" joinstyle="miter"/>
                <v:imagedata o:title=""/>
                <o:lock v:ext="edit"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11"/>
                        <w:rPr>
                          <w:rFonts w:hint="eastAsia" w:ascii="仿宋" w:hAnsi="仿宋" w:eastAsia="仿宋" w:cs="仿宋"/>
                          <w:color w:val="auto"/>
                        </w:rPr>
                      </w:pPr>
                    </w:p>
                    <w:p>
                      <w:pPr>
                        <w:rPr>
                          <w:rFonts w:hint="eastAsia" w:ascii="仿宋" w:hAnsi="仿宋" w:eastAsia="仿宋" w:cs="仿宋"/>
                        </w:rPr>
                      </w:pPr>
                    </w:p>
                    <w:p>
                      <w:pPr>
                        <w:pStyle w:val="11"/>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11"/>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1"/>
                        <w:rPr>
                          <w:rFonts w:hint="eastAsia" w:ascii="仿宋" w:hAnsi="仿宋" w:eastAsia="仿宋" w:cs="仿宋"/>
                          <w:color w:val="auto"/>
                        </w:rPr>
                      </w:pPr>
                    </w:p>
                    <w:p>
                      <w:pPr>
                        <w:rPr>
                          <w:rFonts w:hint="eastAsia" w:ascii="仿宋" w:hAnsi="仿宋" w:eastAsia="仿宋" w:cs="仿宋"/>
                        </w:rPr>
                      </w:pPr>
                    </w:p>
                    <w:p>
                      <w:pPr>
                        <w:pStyle w:val="11"/>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mc:Fallback>
        </mc:AlternateContent>
      </w:r>
    </w:p>
    <w:p>
      <w:pP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br w:type="page"/>
      </w:r>
    </w:p>
    <w:bookmarkEnd w:id="86"/>
    <w:bookmarkEnd w:id="87"/>
    <w:bookmarkEnd w:id="89"/>
    <w:bookmarkEnd w:id="90"/>
    <w:bookmarkEnd w:id="91"/>
    <w:bookmarkEnd w:id="92"/>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lang w:val="zh-CN"/>
          <w14:textFill>
            <w14:solidFill>
              <w14:schemeClr w14:val="tx1"/>
            </w14:solidFill>
          </w14:textFill>
        </w:rPr>
        <w:t>为政府采购</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我们更专心</w:t>
      </w:r>
    </w:p>
    <w:p>
      <w:pPr>
        <w:rPr>
          <w:rFonts w:hint="eastAsia" w:ascii="仿宋" w:hAnsi="仿宋" w:eastAsia="仿宋" w:cs="仿宋"/>
          <w:i/>
          <w:iCs/>
          <w:color w:val="000000" w:themeColor="text1"/>
          <w:sz w:val="28"/>
          <w:szCs w:val="22"/>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u w:val="singl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做政府采购  我们更用心</w:t>
      </w: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sz w:val="40"/>
          <w:szCs w:val="40"/>
          <w:highlight w:val="none"/>
          <w:lang w:val="zh-CN"/>
          <w14:textFill>
            <w14:solidFill>
              <w14:schemeClr w14:val="tx1"/>
            </w14:solidFill>
          </w14:textFill>
        </w:rPr>
      </w:pPr>
      <w:r>
        <w:rPr>
          <w:rFonts w:hint="eastAsia" w:ascii="仿宋" w:hAnsi="仿宋" w:eastAsia="仿宋" w:cs="仿宋"/>
          <w:color w:val="000000" w:themeColor="text1"/>
          <w:sz w:val="40"/>
          <w:szCs w:val="40"/>
          <w:highlight w:val="none"/>
          <w:lang w:val="zh-CN"/>
          <w14:textFill>
            <w14:solidFill>
              <w14:schemeClr w14:val="tx1"/>
            </w14:solidFill>
          </w14:textFill>
        </w:rPr>
        <w:t>华招广和项目管理有限公司</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zh-CN"/>
          <w14:textFill>
            <w14:solidFill>
              <w14:schemeClr w14:val="tx1"/>
            </w14:solidFill>
          </w14:textFill>
        </w:rPr>
        <w:t>地</w:t>
      </w: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zh-CN"/>
          <w14:textFill>
            <w14:solidFill>
              <w14:schemeClr w14:val="tx1"/>
            </w14:solidFill>
          </w14:textFill>
        </w:rPr>
        <w:t>址：</w:t>
      </w:r>
      <w:r>
        <w:rPr>
          <w:rFonts w:hint="eastAsia" w:ascii="仿宋" w:hAnsi="仿宋" w:eastAsia="仿宋" w:cs="仿宋"/>
          <w:bCs/>
          <w:color w:val="000000" w:themeColor="text1"/>
          <w:sz w:val="24"/>
          <w:highlight w:val="none"/>
          <w14:textFill>
            <w14:solidFill>
              <w14:schemeClr w14:val="tx1"/>
            </w14:solidFill>
          </w14:textFill>
        </w:rPr>
        <w:t>西安市朱雀大街南段1号汇成天玺C座18层</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编：710000</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电    话：029-87592321</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电子邮箱：hzghxmglyxgs@163.com</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pStyle w:val="16"/>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sectPr>
      <w:footerReference r:id="rId22"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Consolas">
    <w:panose1 w:val="020B0609020204030204"/>
    <w:charset w:val="00"/>
    <w:family w:val="auto"/>
    <w:pitch w:val="default"/>
    <w:sig w:usb0="E00006FF" w:usb1="0000FCFF" w:usb2="00000001"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rFonts w:hint="eastAsia" w:ascii="楷体" w:hAnsi="楷体" w:eastAsia="楷体" w:cs="楷体"/>
        <w:b/>
        <w:sz w:val="18"/>
        <w:szCs w:val="18"/>
      </w:rPr>
      <w:t>第</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PAGE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17</w:t>
    </w:r>
    <w:r>
      <w:rPr>
        <w:rFonts w:hint="eastAsia" w:ascii="楷体" w:hAnsi="楷体" w:eastAsia="楷体" w:cs="楷体"/>
        <w:b/>
        <w:sz w:val="18"/>
        <w:szCs w:val="18"/>
      </w:rPr>
      <w:fldChar w:fldCharType="end"/>
    </w:r>
    <w:r>
      <w:rPr>
        <w:rFonts w:hint="eastAsia" w:ascii="楷体" w:hAnsi="楷体" w:eastAsia="楷体" w:cs="楷体"/>
        <w:b/>
        <w:sz w:val="18"/>
        <w:szCs w:val="18"/>
      </w:rPr>
      <w:t>页 共</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NUMPAGES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62</w:t>
    </w:r>
    <w:r>
      <w:rPr>
        <w:rFonts w:hint="eastAsia" w:ascii="楷体" w:hAnsi="楷体" w:eastAsia="楷体" w:cs="楷体"/>
        <w:b/>
        <w:sz w:val="18"/>
        <w:szCs w:val="18"/>
      </w:rPr>
      <w:fldChar w:fldCharType="end"/>
    </w:r>
    <w:r>
      <w:rPr>
        <w:rFonts w:hint="eastAsia" w:ascii="楷体" w:hAnsi="楷体" w:eastAsia="楷体" w:cs="楷体"/>
        <w:b/>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103" w:firstLineChars="49"/>
      <w:rPr>
        <w:b/>
        <w:szCs w:val="21"/>
      </w:rPr>
    </w:pPr>
    <w:r>
      <w:rPr>
        <w:rFonts w:hint="eastAsia"/>
        <w:b/>
        <w:szCs w:val="21"/>
      </w:rPr>
      <w:t>--------------</w:t>
    </w:r>
    <w:r>
      <w:rPr>
        <w:rFonts w:hint="eastAsia"/>
        <w:b/>
      </w:rPr>
      <w:t>-</w:t>
    </w:r>
    <w:r>
      <w:rPr>
        <w:rFonts w:hint="eastAsia"/>
        <w:b/>
        <w:szCs w:val="21"/>
      </w:rPr>
      <w:t>--------------------------------------------------</w:t>
    </w:r>
    <w:r>
      <w:rPr>
        <w:szCs w:val="21"/>
      </w:rPr>
      <w:fldChar w:fldCharType="begin"/>
    </w:r>
    <w:r>
      <w:rPr>
        <w:rStyle w:val="27"/>
        <w:szCs w:val="21"/>
      </w:rPr>
      <w:instrText xml:space="preserve"> PAGE </w:instrText>
    </w:r>
    <w:r>
      <w:rPr>
        <w:szCs w:val="21"/>
      </w:rPr>
      <w:fldChar w:fldCharType="separate"/>
    </w:r>
    <w:r>
      <w:rPr>
        <w:rStyle w:val="27"/>
        <w:szCs w:val="21"/>
      </w:rPr>
      <w:t>41</w:t>
    </w:r>
    <w:r>
      <w:rPr>
        <w:szCs w:val="21"/>
      </w:rPr>
      <w:fldChar w:fldCharType="end"/>
    </w:r>
    <w:r>
      <w:rPr>
        <w:rStyle w:val="27"/>
        <w:rFonts w:hint="eastAsia"/>
        <w:szCs w:val="21"/>
      </w:rPr>
      <w:t xml:space="preserve"> </w:t>
    </w:r>
    <w:r>
      <w:rPr>
        <w:rFonts w:hint="eastAsia"/>
        <w:b/>
        <w:szCs w:val="21"/>
      </w:rPr>
      <w:t>---------------------------------------------------------</w:t>
    </w:r>
  </w:p>
  <w:p>
    <w:pPr>
      <w:spacing w:line="280" w:lineRule="exact"/>
      <w:jc w:val="center"/>
      <w:rPr>
        <w:b/>
        <w:szCs w:val="21"/>
      </w:rPr>
    </w:pPr>
    <w:r>
      <w:rPr>
        <w:rFonts w:hint="eastAsia"/>
        <w:b/>
        <w:szCs w:val="21"/>
      </w:rPr>
      <w:t>华招广和项目管理有限公司  SHAANXI SHANGDE TENDERING CO，LTD</w:t>
    </w:r>
  </w:p>
  <w:p>
    <w:pPr>
      <w:spacing w:line="280" w:lineRule="exact"/>
      <w:jc w:val="center"/>
      <w:rPr>
        <w:rStyle w:val="27"/>
        <w:b/>
        <w:szCs w:val="21"/>
      </w:rPr>
    </w:pPr>
    <w:r>
      <w:rPr>
        <w:rFonts w:hint="eastAsia"/>
        <w:b/>
      </w:rPr>
      <w:t>地 址：西安市南二环西段华融国际A座25层D区   电 话：029-85350801/2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238125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wps:txbx>
                    <wps:bodyPr wrap="none" lIns="0" tIns="0" rIns="0" bIns="0">
                      <a:spAutoFit/>
                    </wps:bodyPr>
                  </wps:wsp>
                </a:graphicData>
              </a:graphic>
            </wp:anchor>
          </w:drawing>
        </mc:Choice>
        <mc:Fallback>
          <w:pict>
            <v:shape id="_x0000_s1026" o:spid="_x0000_s1026" o:spt="202" type="#_x0000_t202" style="position:absolute;left:0pt;margin-top:18.75pt;height:144pt;width:144pt;mso-position-horizontal:center;mso-position-horizontal-relative:margin;mso-wrap-style:none;z-index:251663360;mso-width-relative:page;mso-height-relative:page;" filled="f" stroked="f" coordsize="21600,21600" o:gfxdata="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zf/F1wAAAAcBAAAPAAAAAAAAAAEAIAAAACIAAABkcnMv&#10;ZG93bnJldi54bWxQSwECFAAUAAAACACHTuJA3cXsccsBAACZAwAADgAAAAAAAAABACAAAAAmAQAA&#10;ZHJzL2Uyb0RvYy54bWxQSwUGAAAAAAYABgBZAQAAYwUAAAAA&#10;">
              <v:fill on="f" focussize="0,0"/>
              <v:stroke on="f" weight="1.25pt"/>
              <v:imagedata o:title=""/>
              <o:lock v:ext="edit" aspectratio="f"/>
              <v:textbox inset="0mm,0mm,0mm,0mm" style="mso-fit-shape-to-text:t;">
                <w:txbxContent>
                  <w:p>
                    <w:pPr>
                      <w:pStyle w:val="16"/>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v:textbox>
            </v:shape>
          </w:pict>
        </mc:Fallback>
      </mc:AlternateContent>
    </w:r>
    <w:r>
      <w:rPr>
        <w:rFonts w:hint="eastAsia" w:ascii="仿宋" w:hAnsi="仿宋" w:eastAsia="仿宋" w:cs="仿宋"/>
        <w:b/>
        <w:sz w:val="18"/>
        <w:szCs w:val="18"/>
        <w:u w:val="single"/>
      </w:rPr>
      <w:t>华招广和项目管理有限公司        西安市朱雀大街南段1号汇成天玺C座18层          电话：029-87592321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spacing w:line="280" w:lineRule="exact"/>
      <w:rPr>
        <w:rFonts w:ascii="宋体" w:hAnsi="宋体"/>
        <w:b/>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posOffset>2468880</wp:posOffset>
              </wp:positionH>
              <wp:positionV relativeFrom="paragraph">
                <wp:posOffset>36830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4.4pt;margin-top:2.9pt;height:144pt;width:144pt;mso-position-horizontal-relative:margin;mso-wrap-style:none;z-index:251660288;mso-width-relative:page;mso-height-relative:page;" filled="f" stroked="f" coordsize="21600,21600" o:gfxdata="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kqxN7ZAAAACQEAAA8AAAAAAAAAAQAgAAAAIgAAAGRy&#10;cy9kb3ducmV2LnhtbFBLAQIUABQAAAAIAIdO4kApKqhpywEAAJkDAAAOAAAAAAAAAAEAIAAAACgB&#10;AABkcnMvZTJvRG9jLnhtbFBLBQYAAAAABgAGAFkBAABlBQAAAAA=&#10;">
              <v:fill on="f" focussize="0,0"/>
              <v:stroke on="f" weight="1.25pt"/>
              <v:imagedata o:title=""/>
              <o:lock v:ext="edit" aspectratio="f"/>
              <v:textbox inset="0mm,0mm,0mm,0mm" style="mso-fit-shape-to-text:t;">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1312" behindDoc="0" locked="0" layoutInCell="1" allowOverlap="1">
              <wp:simplePos x="0" y="0"/>
              <wp:positionH relativeFrom="margin">
                <wp:posOffset>2486025</wp:posOffset>
              </wp:positionH>
              <wp:positionV relativeFrom="paragraph">
                <wp:posOffset>28575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75pt;margin-top:2.25pt;height:144pt;width:144pt;mso-position-horizontal-relative:margin;mso-wrap-style:none;z-index:251661312;mso-width-relative:page;mso-height-relative:page;" filled="f" stroked="f" coordsize="21600,21600" o:gfxdata="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&#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Q3Ot2gAAAAkBAAAPAAAAAAAAAAEAIAAAACIAAABk&#10;cnMvZG93bnJldi54bWxQSwECFAAUAAAACACHTuJAfwe2bcsBAACZAwAADgAAAAAAAAABACAAAAAp&#10;AQAAZHJzL2Uyb0RvYy54bWxQSwUGAAAAAAYABgBZAQAAZgU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90" w:firstLineChars="50"/>
      <w:rPr>
        <w:rStyle w:val="27"/>
      </w:rPr>
    </w:pPr>
    <w:r>
      <w:rPr>
        <w:rStyle w:val="27"/>
        <w:rFonts w:hint="eastAsia"/>
      </w:rPr>
      <w:t xml:space="preserve">  </w:t>
    </w: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hint="eastAsia" w:ascii="仿宋" w:hAnsi="仿宋" w:eastAsia="仿宋" w:cs="仿宋"/>
        <w:b/>
        <w:sz w:val="18"/>
        <w:szCs w:val="18"/>
      </w:rPr>
    </w:pPr>
    <w:r>
      <w:rPr>
        <w:rFonts w:hint="eastAsia" w:ascii="仿宋" w:hAnsi="仿宋" w:eastAsia="仿宋" w:cs="仿宋"/>
        <w:sz w:val="18"/>
      </w:rPr>
      <mc:AlternateContent>
        <mc:Choice Requires="wps">
          <w:drawing>
            <wp:anchor distT="0" distB="0" distL="114300" distR="114300" simplePos="0" relativeHeight="251662336" behindDoc="0" locked="0" layoutInCell="1" allowOverlap="1">
              <wp:simplePos x="0" y="0"/>
              <wp:positionH relativeFrom="margin">
                <wp:posOffset>4151630</wp:posOffset>
              </wp:positionH>
              <wp:positionV relativeFrom="paragraph">
                <wp:posOffset>48260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326.9pt;margin-top:3.8pt;height:144pt;width:144pt;mso-position-horizontal-relative:margin;mso-wrap-style:none;z-index:251662336;mso-width-relative:page;mso-height-relative:page;" filled="f" stroked="f" coordsize="21600,21600" o:gfxdata="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UyCo2QAAAAkBAAAPAAAAAAAAAAEAIAAAACIAAABk&#10;cnMvZG93bnJldi54bWxQSwECFAAUAAAACACHTuJAJDON3MwBAACZAwAADgAAAAAAAAABACAAAAAo&#10;AQAAZHJzL2Uyb0RvYy54bWxQSwUGAAAAAAYABgBZAQAAZgUAAAAA&#10;">
              <v:fill on="f" focussize="0,0"/>
              <v:stroke on="f" weight="1.25pt"/>
              <v:imagedata o:title=""/>
              <o:lock v:ext="edit" aspectratio="f"/>
              <v:textbox inset="0mm,0mm,0mm,0mm" style="mso-fit-shape-to-text:t;">
                <w:txbxContent>
                  <w:p>
                    <w:pPr>
                      <w:pStyle w:val="16"/>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4384" behindDoc="0" locked="0" layoutInCell="1" allowOverlap="1">
              <wp:simplePos x="0" y="0"/>
              <wp:positionH relativeFrom="margin">
                <wp:posOffset>2484755</wp:posOffset>
              </wp:positionH>
              <wp:positionV relativeFrom="paragraph">
                <wp:posOffset>198755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65pt;margin-top:15.65pt;height:144pt;width:144pt;mso-position-horizontal-relative:margin;mso-wrap-style:none;z-index:251664384;mso-width-relative:page;mso-height-relative:page;" filled="f" stroked="f" coordsize="21600,21600" o:gfxdata="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6nxK1wAAAAoBAAAPAAAAAAAAAAEAIAAAACIAAABkcnMv&#10;ZG93bnJldi54bWxQSwECFAAUAAAACACHTuJA012KZcsBAACZAwAADgAAAAAAAAABACAAAAAmAQAA&#10;ZHJzL2Uyb0RvYy54bWxQSwUGAAAAAAYABgBZAQAAYwUAAAAA&#10;">
              <v:fill on="f" focussize="0,0"/>
              <v:stroke on="f" weight="1.25pt"/>
              <v:imagedata o:title=""/>
              <o:lock v:ext="edit" aspectratio="f"/>
              <v:textbox inset="0mm,0mm,0mm,0mm" style="mso-fit-shape-to-text:t;">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楷体" w:hAnsi="楷体" w:eastAsia="楷体" w:cs="楷体"/>
        <w:b/>
        <w:sz w:val="18"/>
        <w:szCs w:val="18"/>
        <w:u w:val="single"/>
      </w:rPr>
      <w:t>华招广和项目管理有限公司        西安市朱雀大街南段1号汇成天玺C座18层          电话：029-87592321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楷体" w:hAnsi="楷体" w:eastAsia="楷体" w:cs="楷体"/>
        <w:b/>
        <w:sz w:val="18"/>
        <w:szCs w:val="18"/>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黑体" w:eastAsia="黑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r>
      <w:rPr>
        <w:rFonts w:hint="eastAsia" w:ascii="仿宋" w:hAnsi="仿宋" w:eastAsia="仿宋" w:cs="仿宋"/>
        <w:b/>
        <w:u w:val="single"/>
        <w:lang w:val="en-US" w:eastAsia="zh-CN"/>
      </w:rPr>
      <w:t>陕西洛南文旅集团（筹）咨询顾问服务项目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pPr>
    <w:r>
      <w:rPr>
        <w:rFonts w:hint="eastAsia" w:ascii="仿宋" w:hAnsi="仿宋" w:eastAsia="仿宋" w:cs="仿宋"/>
        <w:b/>
        <w:u w:val="single"/>
        <w:lang w:val="en-US" w:eastAsia="zh-CN"/>
      </w:rPr>
      <w:t>陕西洛南文旅集团（筹）咨询顾问服务项目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rPr>
        <w:rFonts w:ascii="楷体" w:hAnsi="楷体" w:eastAsia="楷体" w:cs="楷体"/>
        <w:b/>
        <w:u w:val="single"/>
        <w:shd w:val="pct10" w:color="auto" w:fill="FFFFFF"/>
      </w:rPr>
    </w:pPr>
    <w:r>
      <w:rPr>
        <w:rFonts w:hint="eastAsia" w:ascii="仿宋" w:hAnsi="仿宋" w:eastAsia="仿宋" w:cs="仿宋"/>
        <w:b/>
        <w:u w:val="single"/>
        <w:lang w:val="en-US" w:eastAsia="zh-CN"/>
      </w:rPr>
      <w:t>陕西洛南文旅集团（筹）咨询顾问服务项目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Cs w:val="21"/>
        <w:shd w:val="pct10" w:color="auto" w:fill="FFFFFF"/>
      </w:rPr>
    </w:pPr>
    <w:r>
      <w:rPr>
        <w:rFonts w:hint="eastAsia" w:ascii="宋体" w:hAnsi="宋体"/>
        <w:b/>
        <w:lang w:eastAsia="zh-CN"/>
      </w:rPr>
      <w:t>洛南县文化和旅游局关于武功县设施农业用地上图入库第二阶段采购项目</w:t>
    </w:r>
    <w:r>
      <w:rPr>
        <w:rFonts w:hint="eastAsia" w:ascii="宋体" w:hAnsi="宋体"/>
        <w:b/>
      </w:rPr>
      <w:t xml:space="preserve">                  文件编号: GDZB-2017-0000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r>
      <w:rPr>
        <w:rFonts w:hint="eastAsia" w:ascii="仿宋" w:hAnsi="仿宋" w:eastAsia="仿宋" w:cs="仿宋"/>
        <w:b/>
        <w:u w:val="single"/>
        <w:lang w:val="en-US" w:eastAsia="zh-CN"/>
      </w:rPr>
      <w:t>陕西洛南文旅集团（筹）咨询顾问服务项目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b/>
        <w:sz w:val="21"/>
        <w:szCs w:val="21"/>
        <w:shd w:val="pct10" w:color="auto" w:fill="FFFFFF"/>
      </w:rPr>
    </w:pPr>
    <w:r>
      <w:rPr>
        <w:rFonts w:hint="eastAsia" w:ascii="宋体" w:hAnsi="宋体"/>
        <w:b/>
        <w:sz w:val="21"/>
        <w:szCs w:val="21"/>
        <w:shd w:val="pct10" w:color="auto" w:fill="FFFFFF"/>
      </w:rPr>
      <w:t>西安市经开区高陵区重大项目测量评估公司入围项目              文件编号:SDZB2017-2361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C707A"/>
    <w:multiLevelType w:val="singleLevel"/>
    <w:tmpl w:val="B21C707A"/>
    <w:lvl w:ilvl="0" w:tentative="0">
      <w:start w:val="1"/>
      <w:numFmt w:val="decimal"/>
      <w:suff w:val="nothing"/>
      <w:lvlText w:val="%1、"/>
      <w:lvlJc w:val="left"/>
    </w:lvl>
  </w:abstractNum>
  <w:abstractNum w:abstractNumId="1">
    <w:nsid w:val="D4FB13CE"/>
    <w:multiLevelType w:val="singleLevel"/>
    <w:tmpl w:val="D4FB13CE"/>
    <w:lvl w:ilvl="0" w:tentative="0">
      <w:start w:val="1"/>
      <w:numFmt w:val="decimal"/>
      <w:suff w:val="nothing"/>
      <w:lvlText w:val="（%1）"/>
      <w:lvlJc w:val="left"/>
    </w:lvl>
  </w:abstractNum>
  <w:abstractNum w:abstractNumId="2">
    <w:nsid w:val="E694AC80"/>
    <w:multiLevelType w:val="singleLevel"/>
    <w:tmpl w:val="E694AC80"/>
    <w:lvl w:ilvl="0" w:tentative="0">
      <w:start w:val="1"/>
      <w:numFmt w:val="decimal"/>
      <w:suff w:val="nothing"/>
      <w:lvlText w:val="%1、"/>
      <w:lvlJc w:val="left"/>
    </w:lvl>
  </w:abstractNum>
  <w:abstractNum w:abstractNumId="3">
    <w:nsid w:val="F4519637"/>
    <w:multiLevelType w:val="singleLevel"/>
    <w:tmpl w:val="F4519637"/>
    <w:lvl w:ilvl="0" w:tentative="0">
      <w:start w:val="6"/>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Njk4NGYwZjllZWRiMzQxZWYxZjlmYTY0MTI0YTkifQ=="/>
  </w:docVars>
  <w:rsids>
    <w:rsidRoot w:val="5CA52231"/>
    <w:rsid w:val="000B0673"/>
    <w:rsid w:val="00295C4C"/>
    <w:rsid w:val="00314C9C"/>
    <w:rsid w:val="004006FE"/>
    <w:rsid w:val="004E284B"/>
    <w:rsid w:val="00574C91"/>
    <w:rsid w:val="00605C8A"/>
    <w:rsid w:val="00716A3F"/>
    <w:rsid w:val="0099218B"/>
    <w:rsid w:val="00AE2E12"/>
    <w:rsid w:val="00C56673"/>
    <w:rsid w:val="016D4D4A"/>
    <w:rsid w:val="018848B9"/>
    <w:rsid w:val="01AF53D2"/>
    <w:rsid w:val="01E01AFA"/>
    <w:rsid w:val="026F22F1"/>
    <w:rsid w:val="02AA1D26"/>
    <w:rsid w:val="02D33E38"/>
    <w:rsid w:val="030C1D6D"/>
    <w:rsid w:val="037759E0"/>
    <w:rsid w:val="03AC6219"/>
    <w:rsid w:val="04083177"/>
    <w:rsid w:val="04596EB0"/>
    <w:rsid w:val="046907DC"/>
    <w:rsid w:val="046B31A0"/>
    <w:rsid w:val="04740EAB"/>
    <w:rsid w:val="0580326D"/>
    <w:rsid w:val="065027ED"/>
    <w:rsid w:val="065838EC"/>
    <w:rsid w:val="06707460"/>
    <w:rsid w:val="067F0181"/>
    <w:rsid w:val="06AC3D9C"/>
    <w:rsid w:val="06E36671"/>
    <w:rsid w:val="06F9692F"/>
    <w:rsid w:val="06FD58FA"/>
    <w:rsid w:val="0708446E"/>
    <w:rsid w:val="071E7D6B"/>
    <w:rsid w:val="0768488C"/>
    <w:rsid w:val="07826662"/>
    <w:rsid w:val="07F208D7"/>
    <w:rsid w:val="07FA3B8F"/>
    <w:rsid w:val="094B7E72"/>
    <w:rsid w:val="09783466"/>
    <w:rsid w:val="09C126F0"/>
    <w:rsid w:val="09F0034F"/>
    <w:rsid w:val="0A441C29"/>
    <w:rsid w:val="0A462C8E"/>
    <w:rsid w:val="0A47098D"/>
    <w:rsid w:val="0A782F46"/>
    <w:rsid w:val="0AC611DC"/>
    <w:rsid w:val="0AE35538"/>
    <w:rsid w:val="0B5F7256"/>
    <w:rsid w:val="0B6E1EE8"/>
    <w:rsid w:val="0B7432FA"/>
    <w:rsid w:val="0BAD28E2"/>
    <w:rsid w:val="0BB05F2E"/>
    <w:rsid w:val="0BC3359E"/>
    <w:rsid w:val="0BCE259C"/>
    <w:rsid w:val="0C04209F"/>
    <w:rsid w:val="0C654222"/>
    <w:rsid w:val="0C993304"/>
    <w:rsid w:val="0CA26AF9"/>
    <w:rsid w:val="0CAD7162"/>
    <w:rsid w:val="0D046532"/>
    <w:rsid w:val="0D1B42EE"/>
    <w:rsid w:val="0D2378B7"/>
    <w:rsid w:val="0DC74ACF"/>
    <w:rsid w:val="0E2F54AF"/>
    <w:rsid w:val="0E535B99"/>
    <w:rsid w:val="0E9852F9"/>
    <w:rsid w:val="0E9D2DA8"/>
    <w:rsid w:val="0EB9746D"/>
    <w:rsid w:val="0EDD4F9F"/>
    <w:rsid w:val="0EF84A2E"/>
    <w:rsid w:val="0F160CF9"/>
    <w:rsid w:val="0FE65E5D"/>
    <w:rsid w:val="11290813"/>
    <w:rsid w:val="118A69CA"/>
    <w:rsid w:val="12D77F2E"/>
    <w:rsid w:val="13134FCF"/>
    <w:rsid w:val="13532ADC"/>
    <w:rsid w:val="138A771E"/>
    <w:rsid w:val="13C705E7"/>
    <w:rsid w:val="13D50BD8"/>
    <w:rsid w:val="142F3033"/>
    <w:rsid w:val="14685C58"/>
    <w:rsid w:val="14FE0622"/>
    <w:rsid w:val="150154C3"/>
    <w:rsid w:val="150729CC"/>
    <w:rsid w:val="1545594D"/>
    <w:rsid w:val="159E5B20"/>
    <w:rsid w:val="15EF74ED"/>
    <w:rsid w:val="163B5862"/>
    <w:rsid w:val="16666A8E"/>
    <w:rsid w:val="166925C4"/>
    <w:rsid w:val="167960C4"/>
    <w:rsid w:val="16A10FD1"/>
    <w:rsid w:val="17033CFE"/>
    <w:rsid w:val="186B0445"/>
    <w:rsid w:val="188341B0"/>
    <w:rsid w:val="19521B57"/>
    <w:rsid w:val="1958524A"/>
    <w:rsid w:val="196873D3"/>
    <w:rsid w:val="19764F21"/>
    <w:rsid w:val="197D4F2E"/>
    <w:rsid w:val="19925274"/>
    <w:rsid w:val="1A554870"/>
    <w:rsid w:val="1B2E333A"/>
    <w:rsid w:val="1B5D5967"/>
    <w:rsid w:val="1B762CE2"/>
    <w:rsid w:val="1B8018F0"/>
    <w:rsid w:val="1B8B6FB4"/>
    <w:rsid w:val="1C2C6107"/>
    <w:rsid w:val="1C3F3B57"/>
    <w:rsid w:val="1C704310"/>
    <w:rsid w:val="1C8A0D7E"/>
    <w:rsid w:val="1CBD2782"/>
    <w:rsid w:val="1CC058E0"/>
    <w:rsid w:val="1CE9176D"/>
    <w:rsid w:val="1CEF3C8D"/>
    <w:rsid w:val="1DAD3A24"/>
    <w:rsid w:val="1DAE3C1B"/>
    <w:rsid w:val="1DBF1167"/>
    <w:rsid w:val="1DFA6949"/>
    <w:rsid w:val="1E0D2086"/>
    <w:rsid w:val="1EC5245F"/>
    <w:rsid w:val="1EE018EF"/>
    <w:rsid w:val="1F193AD6"/>
    <w:rsid w:val="2090323C"/>
    <w:rsid w:val="20D13F45"/>
    <w:rsid w:val="210851CD"/>
    <w:rsid w:val="211B2A9E"/>
    <w:rsid w:val="219D3ACF"/>
    <w:rsid w:val="224729DE"/>
    <w:rsid w:val="228D72CD"/>
    <w:rsid w:val="22AA45D0"/>
    <w:rsid w:val="22BA54EF"/>
    <w:rsid w:val="22FB4A29"/>
    <w:rsid w:val="23214339"/>
    <w:rsid w:val="233B6B95"/>
    <w:rsid w:val="234C60E3"/>
    <w:rsid w:val="23667A8F"/>
    <w:rsid w:val="237972CB"/>
    <w:rsid w:val="238460C9"/>
    <w:rsid w:val="2387409E"/>
    <w:rsid w:val="23BD364C"/>
    <w:rsid w:val="243F7A48"/>
    <w:rsid w:val="2498323C"/>
    <w:rsid w:val="24AD6618"/>
    <w:rsid w:val="24D24F1B"/>
    <w:rsid w:val="24EB35BF"/>
    <w:rsid w:val="252178FB"/>
    <w:rsid w:val="25255D5C"/>
    <w:rsid w:val="253C5361"/>
    <w:rsid w:val="254B7584"/>
    <w:rsid w:val="25D62632"/>
    <w:rsid w:val="261C10D2"/>
    <w:rsid w:val="26B00013"/>
    <w:rsid w:val="26D23436"/>
    <w:rsid w:val="26E01831"/>
    <w:rsid w:val="270200AF"/>
    <w:rsid w:val="27222C9B"/>
    <w:rsid w:val="272B144E"/>
    <w:rsid w:val="27323271"/>
    <w:rsid w:val="281A1E64"/>
    <w:rsid w:val="282B61D0"/>
    <w:rsid w:val="283930FA"/>
    <w:rsid w:val="284A0F2F"/>
    <w:rsid w:val="285F3C13"/>
    <w:rsid w:val="2884639A"/>
    <w:rsid w:val="28D322DB"/>
    <w:rsid w:val="28EB2A8B"/>
    <w:rsid w:val="28FB2A87"/>
    <w:rsid w:val="294962CA"/>
    <w:rsid w:val="296F5970"/>
    <w:rsid w:val="29C075C6"/>
    <w:rsid w:val="29C165FD"/>
    <w:rsid w:val="29C673A2"/>
    <w:rsid w:val="29F41216"/>
    <w:rsid w:val="29F51CDA"/>
    <w:rsid w:val="2A4C49A4"/>
    <w:rsid w:val="2A51745D"/>
    <w:rsid w:val="2B6927F8"/>
    <w:rsid w:val="2BCD3D86"/>
    <w:rsid w:val="2C2B4E88"/>
    <w:rsid w:val="2C4B7EAE"/>
    <w:rsid w:val="2E55254F"/>
    <w:rsid w:val="2E98219C"/>
    <w:rsid w:val="2EC30FD3"/>
    <w:rsid w:val="2F3D365B"/>
    <w:rsid w:val="2FFD6A02"/>
    <w:rsid w:val="307D1B7F"/>
    <w:rsid w:val="308121AA"/>
    <w:rsid w:val="30882EF9"/>
    <w:rsid w:val="30D6704C"/>
    <w:rsid w:val="30E42811"/>
    <w:rsid w:val="312D5C40"/>
    <w:rsid w:val="31442AF1"/>
    <w:rsid w:val="3179279B"/>
    <w:rsid w:val="318F07B1"/>
    <w:rsid w:val="321A765E"/>
    <w:rsid w:val="322F33E6"/>
    <w:rsid w:val="324A6E8E"/>
    <w:rsid w:val="324C4540"/>
    <w:rsid w:val="3285675A"/>
    <w:rsid w:val="3306189B"/>
    <w:rsid w:val="33441EEA"/>
    <w:rsid w:val="33C8035F"/>
    <w:rsid w:val="34285437"/>
    <w:rsid w:val="347253F1"/>
    <w:rsid w:val="34B67359"/>
    <w:rsid w:val="34BD6422"/>
    <w:rsid w:val="35474D1B"/>
    <w:rsid w:val="35635AE6"/>
    <w:rsid w:val="358D2CB9"/>
    <w:rsid w:val="35FC0885"/>
    <w:rsid w:val="36607BFC"/>
    <w:rsid w:val="36647515"/>
    <w:rsid w:val="366B68D7"/>
    <w:rsid w:val="36754531"/>
    <w:rsid w:val="36960592"/>
    <w:rsid w:val="36C86E67"/>
    <w:rsid w:val="36CF2484"/>
    <w:rsid w:val="36D45F5B"/>
    <w:rsid w:val="36E765D4"/>
    <w:rsid w:val="36E81B47"/>
    <w:rsid w:val="37015A67"/>
    <w:rsid w:val="37696A12"/>
    <w:rsid w:val="37C07CD2"/>
    <w:rsid w:val="37D672E5"/>
    <w:rsid w:val="37D82BA9"/>
    <w:rsid w:val="385B7D01"/>
    <w:rsid w:val="3A0C2363"/>
    <w:rsid w:val="3A612FFC"/>
    <w:rsid w:val="3AAD0891"/>
    <w:rsid w:val="3B0648C2"/>
    <w:rsid w:val="3B2A69F2"/>
    <w:rsid w:val="3BF0451E"/>
    <w:rsid w:val="3C0C0C6E"/>
    <w:rsid w:val="3C337684"/>
    <w:rsid w:val="3CF66938"/>
    <w:rsid w:val="3CFA113A"/>
    <w:rsid w:val="3D474C33"/>
    <w:rsid w:val="3D5F716B"/>
    <w:rsid w:val="3DAA35EA"/>
    <w:rsid w:val="3DAB59FE"/>
    <w:rsid w:val="3DBB3A26"/>
    <w:rsid w:val="3E072A46"/>
    <w:rsid w:val="3E1168FA"/>
    <w:rsid w:val="3E59316B"/>
    <w:rsid w:val="3E7A5E78"/>
    <w:rsid w:val="3E8F35BB"/>
    <w:rsid w:val="3EA96557"/>
    <w:rsid w:val="3EB218A7"/>
    <w:rsid w:val="3EE06A33"/>
    <w:rsid w:val="3EFA6BAE"/>
    <w:rsid w:val="3F7A43AD"/>
    <w:rsid w:val="3F8E5C59"/>
    <w:rsid w:val="3FC815F4"/>
    <w:rsid w:val="40287CFB"/>
    <w:rsid w:val="40AF73C0"/>
    <w:rsid w:val="41F07ECA"/>
    <w:rsid w:val="420B00B0"/>
    <w:rsid w:val="425D4330"/>
    <w:rsid w:val="427101FB"/>
    <w:rsid w:val="427136EC"/>
    <w:rsid w:val="42B36D52"/>
    <w:rsid w:val="43211C22"/>
    <w:rsid w:val="43537423"/>
    <w:rsid w:val="4360708A"/>
    <w:rsid w:val="43BB4E95"/>
    <w:rsid w:val="43BB7949"/>
    <w:rsid w:val="44AC45F6"/>
    <w:rsid w:val="44C0719C"/>
    <w:rsid w:val="44DB0AFB"/>
    <w:rsid w:val="44FA19ED"/>
    <w:rsid w:val="45283340"/>
    <w:rsid w:val="45612478"/>
    <w:rsid w:val="45BF1A3F"/>
    <w:rsid w:val="45D4091B"/>
    <w:rsid w:val="45FC0156"/>
    <w:rsid w:val="46322C1D"/>
    <w:rsid w:val="46D2182F"/>
    <w:rsid w:val="474536FB"/>
    <w:rsid w:val="478B389E"/>
    <w:rsid w:val="485F6737"/>
    <w:rsid w:val="48962D4B"/>
    <w:rsid w:val="48D93BC9"/>
    <w:rsid w:val="48F3112A"/>
    <w:rsid w:val="493004E9"/>
    <w:rsid w:val="49350D52"/>
    <w:rsid w:val="49D768C0"/>
    <w:rsid w:val="4A03006A"/>
    <w:rsid w:val="4AA519CD"/>
    <w:rsid w:val="4AF10388"/>
    <w:rsid w:val="4AF94070"/>
    <w:rsid w:val="4AFB5E63"/>
    <w:rsid w:val="4B965FB0"/>
    <w:rsid w:val="4BEB02E1"/>
    <w:rsid w:val="4C256914"/>
    <w:rsid w:val="4C3D20FC"/>
    <w:rsid w:val="4C5A1013"/>
    <w:rsid w:val="4CAD74C4"/>
    <w:rsid w:val="4CC674CA"/>
    <w:rsid w:val="4CCA0DF3"/>
    <w:rsid w:val="4D3944DB"/>
    <w:rsid w:val="4D3D1756"/>
    <w:rsid w:val="4D49565B"/>
    <w:rsid w:val="4D677669"/>
    <w:rsid w:val="4E0C743C"/>
    <w:rsid w:val="4E93715A"/>
    <w:rsid w:val="4E9F6F1B"/>
    <w:rsid w:val="4EC14B14"/>
    <w:rsid w:val="4F141B05"/>
    <w:rsid w:val="4F1B0161"/>
    <w:rsid w:val="4F7810D0"/>
    <w:rsid w:val="4F8A7B60"/>
    <w:rsid w:val="50CC1400"/>
    <w:rsid w:val="514345C9"/>
    <w:rsid w:val="518270C9"/>
    <w:rsid w:val="519266B2"/>
    <w:rsid w:val="519C1B26"/>
    <w:rsid w:val="51E27AE8"/>
    <w:rsid w:val="52242BD3"/>
    <w:rsid w:val="527E492B"/>
    <w:rsid w:val="52BD596D"/>
    <w:rsid w:val="52DE7D41"/>
    <w:rsid w:val="531D2DA5"/>
    <w:rsid w:val="535A5075"/>
    <w:rsid w:val="53774E9B"/>
    <w:rsid w:val="537E7625"/>
    <w:rsid w:val="53B94DB8"/>
    <w:rsid w:val="54075DCC"/>
    <w:rsid w:val="5447089E"/>
    <w:rsid w:val="545F1F94"/>
    <w:rsid w:val="548D5DC1"/>
    <w:rsid w:val="54BA1808"/>
    <w:rsid w:val="54EB6E03"/>
    <w:rsid w:val="550601C8"/>
    <w:rsid w:val="55146E5E"/>
    <w:rsid w:val="553B5415"/>
    <w:rsid w:val="553C5232"/>
    <w:rsid w:val="554372DB"/>
    <w:rsid w:val="554B2CF1"/>
    <w:rsid w:val="55C43442"/>
    <w:rsid w:val="569B3AE2"/>
    <w:rsid w:val="57945CD1"/>
    <w:rsid w:val="5812279B"/>
    <w:rsid w:val="5814296E"/>
    <w:rsid w:val="585554B6"/>
    <w:rsid w:val="586A0E03"/>
    <w:rsid w:val="58862037"/>
    <w:rsid w:val="58AF1A95"/>
    <w:rsid w:val="58E805C8"/>
    <w:rsid w:val="58F61C6D"/>
    <w:rsid w:val="59047ECD"/>
    <w:rsid w:val="592D49A0"/>
    <w:rsid w:val="59AC7E01"/>
    <w:rsid w:val="5A2F12C4"/>
    <w:rsid w:val="5A351EEE"/>
    <w:rsid w:val="5A521346"/>
    <w:rsid w:val="5B191112"/>
    <w:rsid w:val="5B6F2075"/>
    <w:rsid w:val="5B8155F3"/>
    <w:rsid w:val="5BA31738"/>
    <w:rsid w:val="5BA6792C"/>
    <w:rsid w:val="5BD25514"/>
    <w:rsid w:val="5BDE576D"/>
    <w:rsid w:val="5C0974B2"/>
    <w:rsid w:val="5C186F88"/>
    <w:rsid w:val="5C7922E1"/>
    <w:rsid w:val="5CA52231"/>
    <w:rsid w:val="5CB315BE"/>
    <w:rsid w:val="5CD05EC4"/>
    <w:rsid w:val="5CEE67CC"/>
    <w:rsid w:val="5D4C017A"/>
    <w:rsid w:val="5D9C44BA"/>
    <w:rsid w:val="5DD3719E"/>
    <w:rsid w:val="5DEC5D6F"/>
    <w:rsid w:val="5DF32237"/>
    <w:rsid w:val="5E1B365D"/>
    <w:rsid w:val="5E245395"/>
    <w:rsid w:val="5E68355E"/>
    <w:rsid w:val="5E693E0B"/>
    <w:rsid w:val="5EF51B46"/>
    <w:rsid w:val="5F716DD1"/>
    <w:rsid w:val="5F9A1C0C"/>
    <w:rsid w:val="60EF7936"/>
    <w:rsid w:val="615D15B4"/>
    <w:rsid w:val="619C3FB1"/>
    <w:rsid w:val="61B77CE2"/>
    <w:rsid w:val="61BE4845"/>
    <w:rsid w:val="62014DE8"/>
    <w:rsid w:val="626003B8"/>
    <w:rsid w:val="62954FBF"/>
    <w:rsid w:val="63245663"/>
    <w:rsid w:val="63420DA4"/>
    <w:rsid w:val="637D74E4"/>
    <w:rsid w:val="63AA64AA"/>
    <w:rsid w:val="63DD2A68"/>
    <w:rsid w:val="64166B12"/>
    <w:rsid w:val="642F125B"/>
    <w:rsid w:val="64725A90"/>
    <w:rsid w:val="64790CD8"/>
    <w:rsid w:val="64EC4D35"/>
    <w:rsid w:val="651265B7"/>
    <w:rsid w:val="6517248E"/>
    <w:rsid w:val="653918E3"/>
    <w:rsid w:val="65EE67B8"/>
    <w:rsid w:val="66B824B7"/>
    <w:rsid w:val="66E43193"/>
    <w:rsid w:val="67267CB5"/>
    <w:rsid w:val="67341171"/>
    <w:rsid w:val="674F3DFC"/>
    <w:rsid w:val="677775CA"/>
    <w:rsid w:val="67F26828"/>
    <w:rsid w:val="681F1432"/>
    <w:rsid w:val="68384664"/>
    <w:rsid w:val="683E40AC"/>
    <w:rsid w:val="6894063F"/>
    <w:rsid w:val="68AA0374"/>
    <w:rsid w:val="690C3C0F"/>
    <w:rsid w:val="692E1D1F"/>
    <w:rsid w:val="698915CD"/>
    <w:rsid w:val="69C87321"/>
    <w:rsid w:val="69E7087D"/>
    <w:rsid w:val="69F92CBD"/>
    <w:rsid w:val="6A06154D"/>
    <w:rsid w:val="6A1A76FF"/>
    <w:rsid w:val="6A6804B7"/>
    <w:rsid w:val="6A8F6A6C"/>
    <w:rsid w:val="6A9D515D"/>
    <w:rsid w:val="6A9E130D"/>
    <w:rsid w:val="6AE575ED"/>
    <w:rsid w:val="6AEE00B8"/>
    <w:rsid w:val="6B3468AC"/>
    <w:rsid w:val="6B587443"/>
    <w:rsid w:val="6B6B0DB4"/>
    <w:rsid w:val="6B894DA7"/>
    <w:rsid w:val="6B8B20B8"/>
    <w:rsid w:val="6B8B218D"/>
    <w:rsid w:val="6BC9216C"/>
    <w:rsid w:val="6C3D0FAE"/>
    <w:rsid w:val="6CF03323"/>
    <w:rsid w:val="6D165605"/>
    <w:rsid w:val="6D226F33"/>
    <w:rsid w:val="6D616FB5"/>
    <w:rsid w:val="6DB31991"/>
    <w:rsid w:val="6DCE340F"/>
    <w:rsid w:val="6E356103"/>
    <w:rsid w:val="6E8F55C7"/>
    <w:rsid w:val="6E910FE5"/>
    <w:rsid w:val="6E9B76DB"/>
    <w:rsid w:val="6EFE55DA"/>
    <w:rsid w:val="6F03756C"/>
    <w:rsid w:val="6F5A0AAF"/>
    <w:rsid w:val="6F8932E6"/>
    <w:rsid w:val="701D3C4D"/>
    <w:rsid w:val="70200256"/>
    <w:rsid w:val="70441100"/>
    <w:rsid w:val="705B5D23"/>
    <w:rsid w:val="70865CFA"/>
    <w:rsid w:val="70E919C6"/>
    <w:rsid w:val="71427881"/>
    <w:rsid w:val="725A52FD"/>
    <w:rsid w:val="729E0707"/>
    <w:rsid w:val="72D33A44"/>
    <w:rsid w:val="736A2FD2"/>
    <w:rsid w:val="73B26F4B"/>
    <w:rsid w:val="73DF1469"/>
    <w:rsid w:val="741F373C"/>
    <w:rsid w:val="74B17D02"/>
    <w:rsid w:val="74E06AEF"/>
    <w:rsid w:val="75384BC5"/>
    <w:rsid w:val="753A012B"/>
    <w:rsid w:val="75661286"/>
    <w:rsid w:val="75B46528"/>
    <w:rsid w:val="75D648AF"/>
    <w:rsid w:val="75ED55FA"/>
    <w:rsid w:val="75FB2DFF"/>
    <w:rsid w:val="764B713D"/>
    <w:rsid w:val="76895E06"/>
    <w:rsid w:val="77312EA9"/>
    <w:rsid w:val="77371E97"/>
    <w:rsid w:val="778C38DC"/>
    <w:rsid w:val="77B455D4"/>
    <w:rsid w:val="77B6365C"/>
    <w:rsid w:val="77C117B8"/>
    <w:rsid w:val="77D63E3F"/>
    <w:rsid w:val="7815335E"/>
    <w:rsid w:val="78361EBF"/>
    <w:rsid w:val="784349DE"/>
    <w:rsid w:val="78867CF8"/>
    <w:rsid w:val="78B83176"/>
    <w:rsid w:val="78C2451D"/>
    <w:rsid w:val="78E8619D"/>
    <w:rsid w:val="78F22302"/>
    <w:rsid w:val="79083935"/>
    <w:rsid w:val="790C3251"/>
    <w:rsid w:val="79616F10"/>
    <w:rsid w:val="799500C0"/>
    <w:rsid w:val="7A476702"/>
    <w:rsid w:val="7A537FDD"/>
    <w:rsid w:val="7AD216C8"/>
    <w:rsid w:val="7B005BEC"/>
    <w:rsid w:val="7C15026F"/>
    <w:rsid w:val="7D0D1638"/>
    <w:rsid w:val="7D144297"/>
    <w:rsid w:val="7D163F2E"/>
    <w:rsid w:val="7D43638A"/>
    <w:rsid w:val="7D636A70"/>
    <w:rsid w:val="7D891CD5"/>
    <w:rsid w:val="7DC35135"/>
    <w:rsid w:val="7E190276"/>
    <w:rsid w:val="7E532D12"/>
    <w:rsid w:val="7EB03176"/>
    <w:rsid w:val="7F23573B"/>
    <w:rsid w:val="7F54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9"/>
    <w:pPr>
      <w:keepNext/>
      <w:keepLines/>
      <w:spacing w:before="340" w:after="330" w:line="576" w:lineRule="auto"/>
      <w:outlineLvl w:val="0"/>
    </w:pPr>
    <w:rPr>
      <w:b/>
      <w:bCs/>
      <w:kern w:val="44"/>
      <w:sz w:val="44"/>
      <w:szCs w:val="44"/>
    </w:rPr>
  </w:style>
  <w:style w:type="paragraph" w:styleId="4">
    <w:name w:val="heading 2"/>
    <w:basedOn w:val="1"/>
    <w:next w:val="1"/>
    <w:qFormat/>
    <w:uiPriority w:val="99"/>
    <w:pPr>
      <w:keepNext/>
      <w:keepLines/>
      <w:spacing w:before="260" w:after="260" w:line="413" w:lineRule="auto"/>
      <w:outlineLvl w:val="1"/>
    </w:pPr>
    <w:rPr>
      <w:rFonts w:ascii="Arial" w:hAnsi="Arial" w:eastAsia="黑体"/>
      <w:b/>
      <w:bCs/>
      <w:sz w:val="32"/>
      <w:szCs w:val="32"/>
    </w:rPr>
  </w:style>
  <w:style w:type="paragraph" w:styleId="5">
    <w:name w:val="heading 4"/>
    <w:basedOn w:val="1"/>
    <w:next w:val="1"/>
    <w:qFormat/>
    <w:uiPriority w:val="99"/>
    <w:pPr>
      <w:keepNext/>
      <w:keepLines/>
      <w:adjustRightInd w:val="0"/>
      <w:spacing w:before="280" w:after="290" w:line="376" w:lineRule="atLeast"/>
      <w:textAlignment w:val="baseline"/>
      <w:outlineLvl w:val="3"/>
    </w:pPr>
    <w:rPr>
      <w:rFonts w:ascii="Arial" w:hAnsi="Arial"/>
      <w:b/>
      <w:spacing w:val="20"/>
      <w:sz w:val="28"/>
      <w:szCs w:val="20"/>
    </w:rPr>
  </w:style>
  <w:style w:type="paragraph" w:styleId="6">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黑体"/>
    </w:rPr>
  </w:style>
  <w:style w:type="paragraph" w:styleId="7">
    <w:name w:val="Note Heading"/>
    <w:basedOn w:val="1"/>
    <w:next w:val="1"/>
    <w:qFormat/>
    <w:uiPriority w:val="0"/>
    <w:pPr>
      <w:jc w:val="center"/>
    </w:pPr>
  </w:style>
  <w:style w:type="paragraph" w:styleId="8">
    <w:name w:val="Normal Indent"/>
    <w:basedOn w:val="1"/>
    <w:next w:val="1"/>
    <w:qFormat/>
    <w:uiPriority w:val="99"/>
    <w:pPr>
      <w:ind w:firstLine="420"/>
    </w:p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link w:val="52"/>
    <w:qFormat/>
    <w:uiPriority w:val="0"/>
    <w:pPr>
      <w:jc w:val="left"/>
    </w:pPr>
  </w:style>
  <w:style w:type="paragraph" w:styleId="11">
    <w:name w:val="Body Text"/>
    <w:basedOn w:val="1"/>
    <w:next w:val="1"/>
    <w:unhideWhenUsed/>
    <w:qFormat/>
    <w:uiPriority w:val="99"/>
    <w:pPr>
      <w:spacing w:after="120"/>
    </w:pPr>
    <w:rPr>
      <w:rFonts w:eastAsia="Times New Roman"/>
    </w:rPr>
  </w:style>
  <w:style w:type="paragraph" w:styleId="12">
    <w:name w:val="Body Text Indent"/>
    <w:basedOn w:val="1"/>
    <w:qFormat/>
    <w:uiPriority w:val="0"/>
    <w:pPr>
      <w:spacing w:after="120" w:afterLines="0"/>
      <w:ind w:left="420" w:leftChars="200"/>
    </w:pPr>
  </w:style>
  <w:style w:type="paragraph" w:styleId="13">
    <w:name w:val="Block Text"/>
    <w:basedOn w:val="1"/>
    <w:qFormat/>
    <w:uiPriority w:val="99"/>
    <w:pPr>
      <w:spacing w:after="120" w:line="240" w:lineRule="auto"/>
      <w:ind w:left="1440" w:leftChars="700" w:right="1440" w:rightChars="700"/>
    </w:pPr>
    <w:rPr>
      <w:rFonts w:ascii="Calibri" w:hAnsi="Calibri"/>
      <w:szCs w:val="22"/>
    </w:rPr>
  </w:style>
  <w:style w:type="paragraph" w:styleId="14">
    <w:name w:val="Plain Text"/>
    <w:basedOn w:val="1"/>
    <w:qFormat/>
    <w:uiPriority w:val="0"/>
    <w:rPr>
      <w:rFonts w:ascii="宋体" w:hAnsi="Courier New"/>
      <w:szCs w:val="20"/>
    </w:rPr>
  </w:style>
  <w:style w:type="paragraph" w:styleId="15">
    <w:name w:val="Balloon Text"/>
    <w:basedOn w:val="1"/>
    <w:link w:val="54"/>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Normal (Web)"/>
    <w:basedOn w:val="1"/>
    <w:next w:val="1"/>
    <w:qFormat/>
    <w:uiPriority w:val="0"/>
    <w:pPr>
      <w:spacing w:beforeAutospacing="1" w:afterAutospacing="1"/>
      <w:jc w:val="left"/>
    </w:pPr>
    <w:rPr>
      <w:kern w:val="0"/>
      <w:sz w:val="24"/>
    </w:rPr>
  </w:style>
  <w:style w:type="paragraph" w:styleId="21">
    <w:name w:val="annotation subject"/>
    <w:basedOn w:val="10"/>
    <w:next w:val="10"/>
    <w:link w:val="53"/>
    <w:qFormat/>
    <w:uiPriority w:val="0"/>
    <w:rPr>
      <w:b/>
      <w:bCs/>
    </w:rPr>
  </w:style>
  <w:style w:type="paragraph" w:styleId="22">
    <w:name w:val="Body Text First Indent 2"/>
    <w:basedOn w:val="12"/>
    <w:qFormat/>
    <w:uiPriority w:val="99"/>
    <w:pPr>
      <w:ind w:firstLine="420" w:firstLineChars="200"/>
    </w:pPr>
    <w:rPr>
      <w:szCs w:val="21"/>
    </w:r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u w:val="none"/>
    </w:rPr>
  </w:style>
  <w:style w:type="character" w:styleId="29">
    <w:name w:val="Emphasis"/>
    <w:basedOn w:val="25"/>
    <w:qFormat/>
    <w:uiPriority w:val="0"/>
  </w:style>
  <w:style w:type="character" w:styleId="30">
    <w:name w:val="HTML Definition"/>
    <w:basedOn w:val="25"/>
    <w:qFormat/>
    <w:uiPriority w:val="0"/>
    <w:rPr>
      <w:i/>
      <w:iCs/>
    </w:rPr>
  </w:style>
  <w:style w:type="character" w:styleId="31">
    <w:name w:val="Hyperlink"/>
    <w:basedOn w:val="25"/>
    <w:qFormat/>
    <w:uiPriority w:val="0"/>
    <w:rPr>
      <w:color w:val="0000FF"/>
      <w:u w:val="none"/>
    </w:rPr>
  </w:style>
  <w:style w:type="character" w:styleId="32">
    <w:name w:val="HTML Code"/>
    <w:basedOn w:val="25"/>
    <w:qFormat/>
    <w:uiPriority w:val="0"/>
    <w:rPr>
      <w:rFonts w:ascii="Consolas" w:hAnsi="Consolas" w:eastAsia="Consolas" w:cs="Consolas"/>
      <w:color w:val="C7254E"/>
      <w:sz w:val="21"/>
      <w:szCs w:val="21"/>
      <w:shd w:val="clear" w:fill="F9F2F4"/>
    </w:rPr>
  </w:style>
  <w:style w:type="character" w:styleId="33">
    <w:name w:val="annotation reference"/>
    <w:basedOn w:val="25"/>
    <w:qFormat/>
    <w:uiPriority w:val="0"/>
    <w:rPr>
      <w:sz w:val="21"/>
      <w:szCs w:val="21"/>
    </w:rPr>
  </w:style>
  <w:style w:type="character" w:styleId="34">
    <w:name w:val="HTML Keyboard"/>
    <w:basedOn w:val="25"/>
    <w:qFormat/>
    <w:uiPriority w:val="0"/>
    <w:rPr>
      <w:rFonts w:hint="default" w:ascii="Consolas" w:hAnsi="Consolas" w:eastAsia="Consolas" w:cs="Consolas"/>
      <w:color w:val="FFFFFF"/>
      <w:sz w:val="21"/>
      <w:szCs w:val="21"/>
      <w:shd w:val="clear" w:fill="333333"/>
    </w:rPr>
  </w:style>
  <w:style w:type="character" w:styleId="35">
    <w:name w:val="HTML Sample"/>
    <w:basedOn w:val="25"/>
    <w:qFormat/>
    <w:uiPriority w:val="0"/>
    <w:rPr>
      <w:rFonts w:hint="default" w:ascii="Consolas" w:hAnsi="Consolas" w:eastAsia="Consolas" w:cs="Consolas"/>
      <w:sz w:val="21"/>
      <w:szCs w:val="21"/>
    </w:rPr>
  </w:style>
  <w:style w:type="paragraph" w:customStyle="1" w:styleId="36">
    <w:name w:val="No Spacing1"/>
    <w:qFormat/>
    <w:uiPriority w:val="0"/>
    <w:rPr>
      <w:rFonts w:ascii="Calibri" w:hAnsi="Calibri" w:eastAsia="宋体" w:cs="Calibri"/>
      <w:sz w:val="22"/>
      <w:szCs w:val="22"/>
      <w:lang w:val="en-US" w:eastAsia="zh-CN" w:bidi="ar-SA"/>
    </w:rPr>
  </w:style>
  <w:style w:type="paragraph" w:customStyle="1" w:styleId="37">
    <w:name w:val="Normal Indent1"/>
    <w:basedOn w:val="1"/>
    <w:qFormat/>
    <w:uiPriority w:val="0"/>
    <w:pPr>
      <w:ind w:firstLine="420"/>
    </w:pPr>
    <w:rPr>
      <w:sz w:val="21"/>
    </w:rPr>
  </w:style>
  <w:style w:type="paragraph" w:customStyle="1" w:styleId="38">
    <w:name w:val="正文缩进1"/>
    <w:basedOn w:val="1"/>
    <w:qFormat/>
    <w:uiPriority w:val="0"/>
    <w:pPr>
      <w:autoSpaceDE w:val="0"/>
      <w:autoSpaceDN w:val="0"/>
      <w:adjustRightInd w:val="0"/>
      <w:ind w:firstLine="420"/>
      <w:jc w:val="left"/>
    </w:pPr>
    <w:rPr>
      <w:rFonts w:ascii="宋体"/>
      <w:kern w:val="0"/>
      <w:sz w:val="24"/>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1">
    <w:name w:val="title1"/>
    <w:basedOn w:val="1"/>
    <w:qFormat/>
    <w:uiPriority w:val="0"/>
    <w:pPr>
      <w:spacing w:before="150" w:line="450" w:lineRule="atLeast"/>
      <w:jc w:val="left"/>
    </w:pPr>
    <w:rPr>
      <w:b/>
      <w:kern w:val="0"/>
      <w:sz w:val="24"/>
    </w:rPr>
  </w:style>
  <w:style w:type="paragraph" w:customStyle="1" w:styleId="42">
    <w:name w:val="p15"/>
    <w:basedOn w:val="1"/>
    <w:qFormat/>
    <w:uiPriority w:val="99"/>
    <w:pPr>
      <w:widowControl/>
    </w:pPr>
    <w:rPr>
      <w:kern w:val="0"/>
      <w:szCs w:val="21"/>
    </w:rPr>
  </w:style>
  <w:style w:type="character" w:customStyle="1" w:styleId="43">
    <w:name w:val="font21"/>
    <w:basedOn w:val="25"/>
    <w:qFormat/>
    <w:uiPriority w:val="99"/>
    <w:rPr>
      <w:rFonts w:ascii="宋体" w:hAnsi="宋体" w:eastAsia="宋体"/>
      <w:color w:val="000000"/>
      <w:sz w:val="20"/>
      <w:u w:val="none"/>
    </w:rPr>
  </w:style>
  <w:style w:type="paragraph" w:customStyle="1" w:styleId="44">
    <w:name w:val="List Paragraph"/>
    <w:basedOn w:val="1"/>
    <w:qFormat/>
    <w:uiPriority w:val="34"/>
    <w:pPr>
      <w:ind w:firstLine="420" w:firstLineChars="200"/>
    </w:pPr>
    <w:rPr>
      <w:rFonts w:ascii="Calibri" w:hAnsi="Calibri"/>
      <w:szCs w:val="22"/>
    </w:rPr>
  </w:style>
  <w:style w:type="paragraph" w:customStyle="1" w:styleId="45">
    <w:name w:val="title11"/>
    <w:basedOn w:val="1"/>
    <w:qFormat/>
    <w:uiPriority w:val="0"/>
    <w:pPr>
      <w:spacing w:before="100"/>
      <w:jc w:val="left"/>
    </w:pPr>
    <w:rPr>
      <w:b/>
      <w:kern w:val="0"/>
      <w:sz w:val="15"/>
      <w:szCs w:val="15"/>
    </w:rPr>
  </w:style>
  <w:style w:type="paragraph" w:customStyle="1" w:styleId="46">
    <w:name w:val="title13"/>
    <w:basedOn w:val="1"/>
    <w:qFormat/>
    <w:uiPriority w:val="0"/>
    <w:pPr>
      <w:spacing w:before="100"/>
      <w:jc w:val="left"/>
    </w:pPr>
    <w:rPr>
      <w:b/>
      <w:kern w:val="0"/>
      <w:sz w:val="15"/>
      <w:szCs w:val="15"/>
    </w:rPr>
  </w:style>
  <w:style w:type="character" w:customStyle="1" w:styleId="47">
    <w:name w:val="phone"/>
    <w:basedOn w:val="25"/>
    <w:qFormat/>
    <w:uiPriority w:val="0"/>
    <w:rPr>
      <w:color w:val="FF8833"/>
      <w:sz w:val="12"/>
      <w:szCs w:val="12"/>
    </w:rPr>
  </w:style>
  <w:style w:type="character" w:customStyle="1" w:styleId="48">
    <w:name w:val="number"/>
    <w:basedOn w:val="25"/>
    <w:qFormat/>
    <w:uiPriority w:val="0"/>
    <w:rPr>
      <w:color w:val="FF8833"/>
      <w:sz w:val="12"/>
      <w:szCs w:val="12"/>
    </w:rPr>
  </w:style>
  <w:style w:type="character" w:customStyle="1" w:styleId="49">
    <w:name w:val="stclosebtn"/>
    <w:basedOn w:val="25"/>
    <w:qFormat/>
    <w:uiPriority w:val="0"/>
  </w:style>
  <w:style w:type="character" w:customStyle="1" w:styleId="50">
    <w:name w:val="proollist"/>
    <w:basedOn w:val="25"/>
    <w:qFormat/>
    <w:uiPriority w:val="0"/>
  </w:style>
  <w:style w:type="character" w:customStyle="1" w:styleId="51">
    <w:name w:val="beforeinfotext"/>
    <w:basedOn w:val="25"/>
    <w:qFormat/>
    <w:uiPriority w:val="0"/>
    <w:rPr>
      <w:color w:val="666666"/>
    </w:rPr>
  </w:style>
  <w:style w:type="character" w:customStyle="1" w:styleId="52">
    <w:name w:val="批注文字 Char"/>
    <w:basedOn w:val="25"/>
    <w:link w:val="10"/>
    <w:qFormat/>
    <w:uiPriority w:val="0"/>
    <w:rPr>
      <w:kern w:val="2"/>
      <w:sz w:val="21"/>
      <w:szCs w:val="24"/>
    </w:rPr>
  </w:style>
  <w:style w:type="character" w:customStyle="1" w:styleId="53">
    <w:name w:val="批注主题 Char"/>
    <w:basedOn w:val="52"/>
    <w:link w:val="21"/>
    <w:qFormat/>
    <w:uiPriority w:val="0"/>
    <w:rPr>
      <w:b/>
      <w:bCs/>
      <w:kern w:val="2"/>
      <w:sz w:val="21"/>
      <w:szCs w:val="24"/>
    </w:rPr>
  </w:style>
  <w:style w:type="character" w:customStyle="1" w:styleId="54">
    <w:name w:val="批注框文本 Char"/>
    <w:basedOn w:val="25"/>
    <w:link w:val="15"/>
    <w:qFormat/>
    <w:uiPriority w:val="0"/>
    <w:rPr>
      <w:kern w:val="2"/>
      <w:sz w:val="18"/>
      <w:szCs w:val="18"/>
    </w:rPr>
  </w:style>
  <w:style w:type="paragraph" w:customStyle="1" w:styleId="55">
    <w:name w:val="正文首行缩进两字符"/>
    <w:basedOn w:val="1"/>
    <w:qFormat/>
    <w:uiPriority w:val="0"/>
    <w:pPr>
      <w:spacing w:line="360" w:lineRule="auto"/>
      <w:ind w:firstLine="200" w:firstLineChars="200"/>
    </w:pPr>
    <w:rPr>
      <w:rFonts w:ascii="Times New Roman" w:hAnsi="Times New Roman"/>
    </w:rPr>
  </w:style>
  <w:style w:type="character" w:customStyle="1" w:styleId="56">
    <w:name w:val="标题 1 Char"/>
    <w:link w:val="3"/>
    <w:qFormat/>
    <w:uiPriority w:val="99"/>
    <w:rPr>
      <w:b/>
      <w:bCs/>
      <w:kern w:val="44"/>
      <w:sz w:val="44"/>
      <w:szCs w:val="44"/>
    </w:rPr>
  </w:style>
  <w:style w:type="paragraph" w:customStyle="1" w:styleId="57">
    <w:name w:val="正文 New"/>
    <w:qFormat/>
    <w:uiPriority w:val="99"/>
    <w:pPr>
      <w:widowControl w:val="0"/>
      <w:jc w:val="both"/>
    </w:pPr>
    <w:rPr>
      <w:rFonts w:ascii="Calibri" w:hAnsi="Calibri" w:eastAsiaTheme="minorEastAsia" w:cstheme="minorBidi"/>
      <w:sz w:val="21"/>
      <w:szCs w:val="22"/>
      <w:lang w:val="en-US" w:eastAsia="zh-CN" w:bidi="ar-SA"/>
    </w:rPr>
  </w:style>
  <w:style w:type="paragraph" w:customStyle="1" w:styleId="58">
    <w:name w:val="Table Paragraph"/>
    <w:basedOn w:val="1"/>
    <w:qFormat/>
    <w:uiPriority w:val="1"/>
    <w:pPr>
      <w:adjustRightInd/>
    </w:pPr>
    <w:rPr>
      <w:rFonts w:ascii="宋体" w:hAnsi="宋体" w:cs="宋体"/>
      <w:sz w:val="22"/>
      <w:szCs w:val="22"/>
      <w:lang w:val="zh-CN" w:bidi="zh-CN"/>
    </w:rPr>
  </w:style>
  <w:style w:type="table" w:customStyle="1" w:styleId="59">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60">
    <w:name w:val="hover25"/>
    <w:basedOn w:val="25"/>
    <w:qFormat/>
    <w:uiPriority w:val="0"/>
    <w:rPr>
      <w:color w:val="167AE0"/>
    </w:rPr>
  </w:style>
  <w:style w:type="character" w:customStyle="1" w:styleId="61">
    <w:name w:val="nth-of-type(5)"/>
    <w:basedOn w:val="25"/>
    <w:qFormat/>
    <w:uiPriority w:val="0"/>
  </w:style>
  <w:style w:type="character" w:customStyle="1" w:styleId="62">
    <w:name w:val="nth-child(2)"/>
    <w:basedOn w:val="25"/>
    <w:qFormat/>
    <w:uiPriority w:val="0"/>
  </w:style>
  <w:style w:type="character" w:customStyle="1" w:styleId="63">
    <w:name w:val="layui-this"/>
    <w:basedOn w:val="25"/>
    <w:qFormat/>
    <w:uiPriority w:val="0"/>
    <w:rPr>
      <w:bdr w:val="single" w:color="EEEEEE" w:sz="6" w:space="0"/>
      <w:shd w:val="clear" w:fill="FFFFFF"/>
    </w:rPr>
  </w:style>
  <w:style w:type="character" w:customStyle="1" w:styleId="64">
    <w:name w:val="first-child"/>
    <w:basedOn w:val="25"/>
    <w:qFormat/>
    <w:uiPriority w:val="0"/>
  </w:style>
  <w:style w:type="character" w:customStyle="1" w:styleId="65">
    <w:name w:val="first-child1"/>
    <w:basedOn w:val="25"/>
    <w:qFormat/>
    <w:uiPriority w:val="0"/>
  </w:style>
  <w:style w:type="character" w:customStyle="1" w:styleId="66">
    <w:name w:val="first-child2"/>
    <w:basedOn w:val="25"/>
    <w:qFormat/>
    <w:uiPriority w:val="0"/>
  </w:style>
  <w:style w:type="character" w:customStyle="1" w:styleId="67">
    <w:name w:val="first-child3"/>
    <w:basedOn w:val="25"/>
    <w:qFormat/>
    <w:uiPriority w:val="0"/>
  </w:style>
  <w:style w:type="character" w:customStyle="1" w:styleId="68">
    <w:name w:val="nth-of-type(8)"/>
    <w:basedOn w:val="25"/>
    <w:qFormat/>
    <w:uiPriority w:val="0"/>
  </w:style>
  <w:style w:type="character" w:customStyle="1" w:styleId="69">
    <w:name w:val="layui-laypage-curr"/>
    <w:basedOn w:val="25"/>
    <w:qFormat/>
    <w:uiPriority w:val="0"/>
  </w:style>
  <w:style w:type="character" w:customStyle="1" w:styleId="70">
    <w:name w:val="nth-of-type(7)"/>
    <w:basedOn w:val="25"/>
    <w:qFormat/>
    <w:uiPriority w:val="0"/>
  </w:style>
  <w:style w:type="character" w:customStyle="1" w:styleId="71">
    <w:name w:val="nth-of-type(7)1"/>
    <w:basedOn w:val="25"/>
    <w:qFormat/>
    <w:uiPriority w:val="0"/>
  </w:style>
  <w:style w:type="character" w:customStyle="1" w:styleId="72">
    <w:name w:val="nth-of-type(7)2"/>
    <w:basedOn w:val="25"/>
    <w:qFormat/>
    <w:uiPriority w:val="0"/>
  </w:style>
  <w:style w:type="character" w:customStyle="1" w:styleId="73">
    <w:name w:val="nth-of-type(6)"/>
    <w:basedOn w:val="25"/>
    <w:qFormat/>
    <w:uiPriority w:val="0"/>
  </w:style>
  <w:style w:type="character" w:customStyle="1" w:styleId="74">
    <w:name w:val="lineshow"/>
    <w:basedOn w:val="25"/>
    <w:qFormat/>
    <w:uiPriority w:val="0"/>
  </w:style>
  <w:style w:type="character" w:customStyle="1" w:styleId="75">
    <w:name w:val="lineshow1"/>
    <w:basedOn w:val="25"/>
    <w:qFormat/>
    <w:uiPriority w:val="0"/>
  </w:style>
  <w:style w:type="character" w:customStyle="1" w:styleId="76">
    <w:name w:val="nth-of-type(9)"/>
    <w:basedOn w:val="25"/>
    <w:qFormat/>
    <w:uiPriority w:val="0"/>
  </w:style>
  <w:style w:type="character" w:customStyle="1" w:styleId="77">
    <w:name w:val="nth-of-type(3)"/>
    <w:basedOn w:val="25"/>
    <w:qFormat/>
    <w:uiPriority w:val="0"/>
  </w:style>
  <w:style w:type="character" w:customStyle="1" w:styleId="78">
    <w:name w:val="nth-of-type(4)"/>
    <w:basedOn w:val="25"/>
    <w:qFormat/>
    <w:uiPriority w:val="0"/>
  </w:style>
  <w:style w:type="character" w:customStyle="1" w:styleId="79">
    <w:name w:val="nth-of-type(1)"/>
    <w:basedOn w:val="25"/>
    <w:qFormat/>
    <w:uiPriority w:val="0"/>
  </w:style>
  <w:style w:type="character" w:customStyle="1" w:styleId="80">
    <w:name w:val="nth-of-type(1)1"/>
    <w:basedOn w:val="25"/>
    <w:qFormat/>
    <w:uiPriority w:val="0"/>
  </w:style>
  <w:style w:type="character" w:customStyle="1" w:styleId="81">
    <w:name w:val="nth-of-type(1)2"/>
    <w:basedOn w:val="25"/>
    <w:qFormat/>
    <w:uiPriority w:val="0"/>
  </w:style>
  <w:style w:type="character" w:customStyle="1" w:styleId="82">
    <w:name w:val="nth-of-type(1)3"/>
    <w:basedOn w:val="25"/>
    <w:qFormat/>
    <w:uiPriority w:val="0"/>
  </w:style>
  <w:style w:type="character" w:customStyle="1" w:styleId="83">
    <w:name w:val="nth-of-type(1)4"/>
    <w:basedOn w:val="25"/>
    <w:qFormat/>
    <w:uiPriority w:val="0"/>
  </w:style>
  <w:style w:type="character" w:customStyle="1" w:styleId="84">
    <w:name w:val="nth-of-type(1)5"/>
    <w:basedOn w:val="25"/>
    <w:qFormat/>
    <w:uiPriority w:val="0"/>
  </w:style>
  <w:style w:type="character" w:customStyle="1" w:styleId="85">
    <w:name w:val="nth-of-type(1)6"/>
    <w:basedOn w:val="25"/>
    <w:qFormat/>
    <w:uiPriority w:val="0"/>
  </w:style>
  <w:style w:type="character" w:customStyle="1" w:styleId="86">
    <w:name w:val="nth-of-type(1)7"/>
    <w:basedOn w:val="25"/>
    <w:qFormat/>
    <w:uiPriority w:val="0"/>
    <w:rPr>
      <w:rFonts w:ascii="SourceHanSansCN-Regular" w:hAnsi="SourceHanSansCN-Regular" w:eastAsia="SourceHanSansCN-Regular" w:cs="SourceHanSansCN-Regular"/>
      <w:color w:val="FB560A"/>
      <w:sz w:val="21"/>
      <w:szCs w:val="21"/>
    </w:rPr>
  </w:style>
  <w:style w:type="character" w:customStyle="1" w:styleId="87">
    <w:name w:val="nth-of-type(1)8"/>
    <w:basedOn w:val="25"/>
    <w:qFormat/>
    <w:uiPriority w:val="0"/>
  </w:style>
  <w:style w:type="character" w:customStyle="1" w:styleId="88">
    <w:name w:val="nth-of-type(1)9"/>
    <w:basedOn w:val="25"/>
    <w:qFormat/>
    <w:uiPriority w:val="0"/>
  </w:style>
  <w:style w:type="character" w:customStyle="1" w:styleId="89">
    <w:name w:val="nth-of-type(1)10"/>
    <w:basedOn w:val="25"/>
    <w:qFormat/>
    <w:uiPriority w:val="0"/>
  </w:style>
  <w:style w:type="character" w:customStyle="1" w:styleId="90">
    <w:name w:val="nth-of-type(1)11"/>
    <w:basedOn w:val="25"/>
    <w:qFormat/>
    <w:uiPriority w:val="0"/>
  </w:style>
  <w:style w:type="character" w:customStyle="1" w:styleId="91">
    <w:name w:val="nth-of-type(1)12"/>
    <w:basedOn w:val="25"/>
    <w:qFormat/>
    <w:uiPriority w:val="0"/>
  </w:style>
  <w:style w:type="character" w:customStyle="1" w:styleId="92">
    <w:name w:val="nth-of-type(1)13"/>
    <w:basedOn w:val="25"/>
    <w:qFormat/>
    <w:uiPriority w:val="0"/>
  </w:style>
  <w:style w:type="character" w:customStyle="1" w:styleId="93">
    <w:name w:val="nth-of-type(1)14"/>
    <w:basedOn w:val="25"/>
    <w:qFormat/>
    <w:uiPriority w:val="0"/>
  </w:style>
  <w:style w:type="character" w:customStyle="1" w:styleId="94">
    <w:name w:val="nth-of-type(1)15"/>
    <w:basedOn w:val="25"/>
    <w:qFormat/>
    <w:uiPriority w:val="0"/>
    <w:rPr>
      <w:color w:val="0082DF"/>
    </w:rPr>
  </w:style>
  <w:style w:type="character" w:customStyle="1" w:styleId="95">
    <w:name w:val="nth-of-type(1)16"/>
    <w:basedOn w:val="25"/>
    <w:qFormat/>
    <w:uiPriority w:val="0"/>
  </w:style>
  <w:style w:type="character" w:customStyle="1" w:styleId="96">
    <w:name w:val="nth-of-type(1)17"/>
    <w:basedOn w:val="25"/>
    <w:qFormat/>
    <w:uiPriority w:val="0"/>
    <w:rPr>
      <w:sz w:val="21"/>
      <w:szCs w:val="21"/>
    </w:rPr>
  </w:style>
  <w:style w:type="character" w:customStyle="1" w:styleId="97">
    <w:name w:val="last-child1"/>
    <w:basedOn w:val="25"/>
    <w:qFormat/>
    <w:uiPriority w:val="0"/>
    <w:rPr>
      <w:color w:val="FFFFFF"/>
    </w:rPr>
  </w:style>
  <w:style w:type="character" w:customStyle="1" w:styleId="98">
    <w:name w:val="last-child2"/>
    <w:basedOn w:val="25"/>
    <w:qFormat/>
    <w:uiPriority w:val="0"/>
  </w:style>
  <w:style w:type="character" w:customStyle="1" w:styleId="99">
    <w:name w:val="last-child3"/>
    <w:basedOn w:val="25"/>
    <w:qFormat/>
    <w:uiPriority w:val="0"/>
  </w:style>
  <w:style w:type="character" w:customStyle="1" w:styleId="100">
    <w:name w:val="nth-of-type(2)"/>
    <w:basedOn w:val="25"/>
    <w:qFormat/>
    <w:uiPriority w:val="0"/>
  </w:style>
  <w:style w:type="character" w:customStyle="1" w:styleId="101">
    <w:name w:val="nth-of-type(2)1"/>
    <w:basedOn w:val="25"/>
    <w:qFormat/>
    <w:uiPriority w:val="0"/>
  </w:style>
  <w:style w:type="character" w:customStyle="1" w:styleId="102">
    <w:name w:val="nth-of-type(2)2"/>
    <w:basedOn w:val="25"/>
    <w:qFormat/>
    <w:uiPriority w:val="0"/>
  </w:style>
  <w:style w:type="character" w:customStyle="1" w:styleId="103">
    <w:name w:val="nth-of-type(2)3"/>
    <w:basedOn w:val="25"/>
    <w:qFormat/>
    <w:uiPriority w:val="0"/>
  </w:style>
  <w:style w:type="character" w:customStyle="1" w:styleId="104">
    <w:name w:val="nth-of-type(2)4"/>
    <w:basedOn w:val="25"/>
    <w:qFormat/>
    <w:uiPriority w:val="0"/>
  </w:style>
  <w:style w:type="character" w:customStyle="1" w:styleId="105">
    <w:name w:val="nth-of-type(2)5"/>
    <w:basedOn w:val="25"/>
    <w:qFormat/>
    <w:uiPriority w:val="0"/>
  </w:style>
  <w:style w:type="character" w:customStyle="1" w:styleId="106">
    <w:name w:val="nth-of-type(2)6"/>
    <w:basedOn w:val="25"/>
    <w:qFormat/>
    <w:uiPriority w:val="0"/>
  </w:style>
  <w:style w:type="character" w:customStyle="1" w:styleId="107">
    <w:name w:val="nth-of-type(2)7"/>
    <w:basedOn w:val="25"/>
    <w:qFormat/>
    <w:uiPriority w:val="0"/>
  </w:style>
  <w:style w:type="character" w:customStyle="1" w:styleId="108">
    <w:name w:val="nth-of-type(2)8"/>
    <w:basedOn w:val="25"/>
    <w:qFormat/>
    <w:uiPriority w:val="0"/>
  </w:style>
  <w:style w:type="character" w:customStyle="1" w:styleId="109">
    <w:name w:val="nth-of-type(2)9"/>
    <w:basedOn w:val="25"/>
    <w:qFormat/>
    <w:uiPriority w:val="0"/>
  </w:style>
  <w:style w:type="character" w:customStyle="1" w:styleId="110">
    <w:name w:val="nth-of-type(2)10"/>
    <w:basedOn w:val="25"/>
    <w:qFormat/>
    <w:uiPriority w:val="0"/>
  </w:style>
  <w:style w:type="character" w:customStyle="1" w:styleId="111">
    <w:name w:val="nth-of-type(2)11"/>
    <w:basedOn w:val="25"/>
    <w:qFormat/>
    <w:uiPriority w:val="0"/>
  </w:style>
  <w:style w:type="character" w:customStyle="1" w:styleId="112">
    <w:name w:val="nth-of-type(2)12"/>
    <w:basedOn w:val="25"/>
    <w:qFormat/>
    <w:uiPriority w:val="0"/>
  </w:style>
  <w:style w:type="character" w:customStyle="1" w:styleId="113">
    <w:name w:val="nth-of-type(2)13"/>
    <w:basedOn w:val="25"/>
    <w:qFormat/>
    <w:uiPriority w:val="0"/>
    <w:rPr>
      <w:sz w:val="21"/>
      <w:szCs w:val="21"/>
    </w:rPr>
  </w:style>
  <w:style w:type="character" w:customStyle="1" w:styleId="114">
    <w:name w:val="nth-child(1)"/>
    <w:basedOn w:val="25"/>
    <w:qFormat/>
    <w:uiPriority w:val="0"/>
  </w:style>
  <w:style w:type="character" w:customStyle="1" w:styleId="115">
    <w:name w:val="nth-of-type(10)"/>
    <w:basedOn w:val="25"/>
    <w:qFormat/>
    <w:uiPriority w:val="0"/>
  </w:style>
  <w:style w:type="character" w:customStyle="1" w:styleId="116">
    <w:name w:val="nth-child(3)"/>
    <w:basedOn w:val="25"/>
    <w:qFormat/>
    <w:uiPriority w:val="0"/>
  </w:style>
  <w:style w:type="character" w:customStyle="1" w:styleId="117">
    <w:name w:val="titleshow"/>
    <w:basedOn w:val="25"/>
    <w:qFormat/>
    <w:uiPriority w:val="0"/>
    <w:rPr>
      <w:color w:val="3E464C"/>
    </w:rPr>
  </w:style>
  <w:style w:type="character" w:customStyle="1" w:styleId="118">
    <w:name w:val="before2"/>
    <w:basedOn w:val="25"/>
    <w:qFormat/>
    <w:uiPriority w:val="0"/>
    <w:rPr>
      <w:shd w:val="clear" w:fill="C20E0C"/>
    </w:rPr>
  </w:style>
  <w:style w:type="character" w:customStyle="1" w:styleId="119">
    <w:name w:val="nth-of-type(6)1"/>
    <w:basedOn w:val="25"/>
    <w:qFormat/>
    <w:uiPriority w:val="0"/>
  </w:style>
  <w:style w:type="character" w:customStyle="1" w:styleId="120">
    <w:name w:val="nth-of-type(6)2"/>
    <w:basedOn w:val="25"/>
    <w:qFormat/>
    <w:uiPriority w:val="0"/>
    <w:rPr>
      <w:color w:val="0082DF"/>
    </w:rPr>
  </w:style>
  <w:style w:type="character" w:customStyle="1" w:styleId="121">
    <w:name w:val="nth-of-type(6)3"/>
    <w:basedOn w:val="25"/>
    <w:qFormat/>
    <w:uiPriority w:val="0"/>
  </w:style>
  <w:style w:type="character" w:customStyle="1" w:styleId="122">
    <w:name w:val="nth-of-type(6)4"/>
    <w:basedOn w:val="25"/>
    <w:qFormat/>
    <w:uiPriority w:val="0"/>
  </w:style>
  <w:style w:type="character" w:customStyle="1" w:styleId="123">
    <w:name w:val="nth-of-type(6)5"/>
    <w:basedOn w:val="25"/>
    <w:qFormat/>
    <w:uiPriority w:val="0"/>
  </w:style>
  <w:style w:type="character" w:customStyle="1" w:styleId="124">
    <w:name w:val="nth-of-type(3)1"/>
    <w:basedOn w:val="25"/>
    <w:qFormat/>
    <w:uiPriority w:val="0"/>
  </w:style>
  <w:style w:type="character" w:customStyle="1" w:styleId="125">
    <w:name w:val="nth-of-type(3)2"/>
    <w:basedOn w:val="25"/>
    <w:qFormat/>
    <w:uiPriority w:val="0"/>
  </w:style>
  <w:style w:type="character" w:customStyle="1" w:styleId="126">
    <w:name w:val="nth-of-type(3)3"/>
    <w:basedOn w:val="25"/>
    <w:qFormat/>
    <w:uiPriority w:val="0"/>
  </w:style>
  <w:style w:type="character" w:customStyle="1" w:styleId="127">
    <w:name w:val="nth-of-type(3)4"/>
    <w:basedOn w:val="25"/>
    <w:qFormat/>
    <w:uiPriority w:val="0"/>
  </w:style>
  <w:style w:type="character" w:customStyle="1" w:styleId="128">
    <w:name w:val="nth-of-type(3)5"/>
    <w:basedOn w:val="25"/>
    <w:qFormat/>
    <w:uiPriority w:val="0"/>
  </w:style>
  <w:style w:type="character" w:customStyle="1" w:styleId="129">
    <w:name w:val="nth-of-type(3)6"/>
    <w:basedOn w:val="25"/>
    <w:qFormat/>
    <w:uiPriority w:val="0"/>
  </w:style>
  <w:style w:type="character" w:customStyle="1" w:styleId="130">
    <w:name w:val="nth-of-type(3)7"/>
    <w:basedOn w:val="25"/>
    <w:qFormat/>
    <w:uiPriority w:val="0"/>
    <w:rPr>
      <w:sz w:val="21"/>
      <w:szCs w:val="21"/>
    </w:rPr>
  </w:style>
  <w:style w:type="character" w:customStyle="1" w:styleId="131">
    <w:name w:val="nth-of-type(4)1"/>
    <w:basedOn w:val="25"/>
    <w:qFormat/>
    <w:uiPriority w:val="0"/>
  </w:style>
  <w:style w:type="character" w:customStyle="1" w:styleId="132">
    <w:name w:val="nth-of-type(4)2"/>
    <w:basedOn w:val="25"/>
    <w:qFormat/>
    <w:uiPriority w:val="0"/>
  </w:style>
  <w:style w:type="character" w:customStyle="1" w:styleId="133">
    <w:name w:val="nth-of-type(4)3"/>
    <w:basedOn w:val="25"/>
    <w:qFormat/>
    <w:uiPriority w:val="0"/>
  </w:style>
  <w:style w:type="character" w:customStyle="1" w:styleId="134">
    <w:name w:val="nth-of-type(4)4"/>
    <w:basedOn w:val="25"/>
    <w:qFormat/>
    <w:uiPriority w:val="0"/>
  </w:style>
  <w:style w:type="character" w:customStyle="1" w:styleId="135">
    <w:name w:val="nth-of-type(4)5"/>
    <w:basedOn w:val="25"/>
    <w:qFormat/>
    <w:uiPriority w:val="0"/>
  </w:style>
  <w:style w:type="character" w:customStyle="1" w:styleId="136">
    <w:name w:val="nth-of-type(4)6"/>
    <w:basedOn w:val="25"/>
    <w:qFormat/>
    <w:uiPriority w:val="0"/>
  </w:style>
  <w:style w:type="character" w:customStyle="1" w:styleId="137">
    <w:name w:val="nth-of-type(4)7"/>
    <w:basedOn w:val="25"/>
    <w:qFormat/>
    <w:uiPriority w:val="0"/>
  </w:style>
  <w:style w:type="character" w:customStyle="1" w:styleId="138">
    <w:name w:val="nth-of-type(4)8"/>
    <w:basedOn w:val="25"/>
    <w:qFormat/>
    <w:uiPriority w:val="0"/>
    <w:rPr>
      <w:sz w:val="21"/>
      <w:szCs w:val="21"/>
    </w:rPr>
  </w:style>
  <w:style w:type="character" w:customStyle="1" w:styleId="139">
    <w:name w:val="layui-this4"/>
    <w:basedOn w:val="25"/>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30757</Words>
  <Characters>32153</Characters>
  <Lines>289</Lines>
  <Paragraphs>81</Paragraphs>
  <TotalTime>150</TotalTime>
  <ScaleCrop>false</ScaleCrop>
  <LinksUpToDate>false</LinksUpToDate>
  <CharactersWithSpaces>34181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2020-12-10T01:31:00Z</dcterms:created>
  <dc:creator>Administrator</dc:creator>
  <cp:lastModifiedBy>QinL109</cp:lastModifiedBy>
  <cp:lastPrinted>2022-05-10T07:51:00Z</cp:lastPrinted>
  <dcterms:modified xsi:type="dcterms:W3CDTF">2022-09-07T06:15:20Z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D2D16B882E4A40DF96511E49F7A19AF6</vt:lpwstr>
  </property>
</Properties>
</file>