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hd w:val="clear"/>
        <w:ind w:left="0" w:leftChars="0" w:right="1680" w:firstLine="236" w:firstLineChars="100"/>
        <w:jc w:val="left"/>
        <w:rPr>
          <w:rFonts w:ascii="宋体" w:hAnsi="宋体" w:cs="宋体"/>
          <w:color w:val="auto"/>
          <w:szCs w:val="32"/>
          <w:highlight w:val="none"/>
        </w:rPr>
      </w:pPr>
      <w:r>
        <w:rPr>
          <w:rFonts w:hint="eastAsia" w:ascii="宋体" w:hAnsi="宋体" w:cs="宋体"/>
          <w:color w:val="auto"/>
          <w:szCs w:val="32"/>
          <w:highlight w:val="none"/>
        </w:rPr>
        <w:drawing>
          <wp:inline distT="0" distB="0" distL="114300" distR="114300">
            <wp:extent cx="668655" cy="668655"/>
            <wp:effectExtent l="0" t="0" r="17145" b="17145"/>
            <wp:docPr id="13" name="图片 13" descr="陕西中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陕西中财LOGO"/>
                    <pic:cNvPicPr>
                      <a:picLocks noChangeAspect="1"/>
                    </pic:cNvPicPr>
                  </pic:nvPicPr>
                  <pic:blipFill>
                    <a:blip r:embed="rId8"/>
                    <a:stretch>
                      <a:fillRect/>
                    </a:stretch>
                  </pic:blipFill>
                  <pic:spPr>
                    <a:xfrm>
                      <a:off x="0" y="0"/>
                      <a:ext cx="668655" cy="668655"/>
                    </a:xfrm>
                    <a:prstGeom prst="rect">
                      <a:avLst/>
                    </a:prstGeom>
                  </pic:spPr>
                </pic:pic>
              </a:graphicData>
            </a:graphic>
          </wp:inline>
        </w:drawing>
      </w:r>
      <w:r>
        <w:rPr>
          <w:rFonts w:hint="eastAsia" w:ascii="宋体" w:hAnsi="宋体" w:cs="宋体"/>
          <w:b/>
          <w:bCs/>
          <w:color w:val="auto"/>
          <w:szCs w:val="32"/>
          <w:highlight w:val="none"/>
        </w:rPr>
        <w:t>陕西中财招标</w:t>
      </w:r>
    </w:p>
    <w:p>
      <w:pPr>
        <w:pStyle w:val="5"/>
        <w:widowControl/>
        <w:shd w:val="clear"/>
        <w:ind w:left="0" w:firstLine="0" w:firstLineChars="0"/>
        <w:rPr>
          <w:rStyle w:val="79"/>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left"/>
        <w:rPr>
          <w:rFonts w:hint="default" w:ascii="宋体" w:hAnsi="宋体" w:eastAsia="宋体" w:cs="宋体"/>
          <w:b/>
          <w:bCs w:val="0"/>
          <w:color w:val="auto"/>
          <w:sz w:val="84"/>
          <w:szCs w:val="84"/>
          <w:highlight w:val="none"/>
          <w:lang w:val="en-US"/>
        </w:rPr>
      </w:pPr>
      <w:r>
        <w:rPr>
          <w:rFonts w:hint="eastAsia" w:ascii="宋体" w:hAnsi="宋体" w:eastAsia="宋体" w:cs="宋体"/>
          <w:b/>
          <w:bCs w:val="0"/>
          <w:color w:val="auto"/>
          <w:kern w:val="2"/>
          <w:sz w:val="32"/>
          <w:szCs w:val="20"/>
          <w:highlight w:val="none"/>
          <w:lang w:val="en-US" w:eastAsia="zh-CN" w:bidi="ar"/>
        </w:rPr>
        <w:t>采购项目编号：SXZC2022-HW-067</w:t>
      </w:r>
    </w:p>
    <w:p>
      <w:pPr>
        <w:keepNext w:val="0"/>
        <w:keepLines w:val="0"/>
        <w:widowControl w:val="0"/>
        <w:suppressLineNumbers w:val="0"/>
        <w:shd w:val="clear"/>
        <w:tabs>
          <w:tab w:val="left" w:pos="8640"/>
        </w:tabs>
        <w:spacing w:before="0" w:beforeAutospacing="0" w:after="0" w:afterAutospacing="0" w:line="360" w:lineRule="auto"/>
        <w:ind w:left="0" w:right="0"/>
        <w:jc w:val="both"/>
        <w:rPr>
          <w:rFonts w:hint="eastAsia" w:ascii="宋体" w:hAnsi="宋体" w:eastAsia="宋体" w:cs="宋体"/>
          <w:b/>
          <w:color w:val="auto"/>
          <w:sz w:val="36"/>
          <w:szCs w:val="48"/>
          <w:highlight w:val="none"/>
          <w:lang w:val="en-US"/>
        </w:rPr>
      </w:pPr>
    </w:p>
    <w:p>
      <w:pPr>
        <w:pStyle w:val="5"/>
        <w:shd w:val="clear"/>
        <w:rPr>
          <w:rFonts w:hint="eastAsia"/>
          <w:color w:val="auto"/>
          <w:highlight w:val="none"/>
          <w:lang w:val="en-US"/>
        </w:rPr>
      </w:pPr>
    </w:p>
    <w:p>
      <w:pPr>
        <w:pStyle w:val="17"/>
        <w:widowControl/>
        <w:shd w:val="clear"/>
        <w:spacing w:line="600" w:lineRule="auto"/>
        <w:jc w:val="center"/>
        <w:rPr>
          <w:rFonts w:hint="default" w:asciiTheme="minorEastAsia" w:hAnsiTheme="minorEastAsia" w:eastAsiaTheme="minorEastAsia" w:cstheme="minorEastAsia"/>
          <w:b/>
          <w:bCs/>
          <w:color w:val="auto"/>
          <w:sz w:val="52"/>
          <w:szCs w:val="52"/>
          <w:highlight w:val="none"/>
          <w:lang w:val="en-US" w:eastAsia="zh-CN"/>
        </w:rPr>
      </w:pPr>
      <w:r>
        <w:rPr>
          <w:rFonts w:hint="eastAsia" w:asciiTheme="minorEastAsia" w:hAnsiTheme="minorEastAsia" w:eastAsiaTheme="minorEastAsia" w:cstheme="minorEastAsia"/>
          <w:b/>
          <w:bCs/>
          <w:color w:val="auto"/>
          <w:sz w:val="52"/>
          <w:szCs w:val="52"/>
          <w:highlight w:val="none"/>
          <w:lang w:eastAsia="zh-CN"/>
        </w:rPr>
        <w:t>吴堡县示范幼儿园新建教学楼配套设备采购项目（第一包）</w:t>
      </w:r>
    </w:p>
    <w:p>
      <w:pPr>
        <w:pStyle w:val="17"/>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72"/>
          <w:szCs w:val="72"/>
          <w:highlight w:val="none"/>
          <w:lang w:val="en-US"/>
        </w:rPr>
      </w:pPr>
      <w:r>
        <w:rPr>
          <w:rFonts w:hint="eastAsia" w:ascii="宋体" w:hAnsi="宋体" w:eastAsia="宋体" w:cs="宋体"/>
          <w:b/>
          <w:bCs w:val="0"/>
          <w:color w:val="auto"/>
          <w:kern w:val="2"/>
          <w:sz w:val="96"/>
          <w:szCs w:val="96"/>
          <w:highlight w:val="none"/>
          <w:lang w:val="en-US" w:eastAsia="zh-CN" w:bidi="ar"/>
        </w:rPr>
        <w:t>招 标 文 件</w:t>
      </w:r>
    </w:p>
    <w:p>
      <w:pPr>
        <w:pStyle w:val="17"/>
        <w:widowControl/>
        <w:shd w:val="clear"/>
        <w:rPr>
          <w:rFonts w:hint="eastAsia" w:ascii="宋体" w:hAnsi="宋体" w:eastAsia="宋体" w:cs="宋体"/>
          <w:color w:val="auto"/>
          <w:sz w:val="32"/>
          <w:szCs w:val="20"/>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17"/>
        <w:widowControl/>
        <w:shd w:val="clear"/>
        <w:rPr>
          <w:color w:val="auto"/>
          <w:highlight w:val="none"/>
          <w:lang w:val="en-US"/>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rFonts w:hint="eastAsia" w:ascii="宋体" w:hAnsi="宋体" w:eastAsia="宋体" w:cs="宋体"/>
          <w:b/>
          <w:bCs w:val="0"/>
          <w:color w:val="auto"/>
          <w:kern w:val="2"/>
          <w:sz w:val="30"/>
          <w:szCs w:val="30"/>
          <w:highlight w:val="none"/>
          <w:lang w:val="en-US" w:eastAsia="zh-CN" w:bidi="ar"/>
        </w:rPr>
      </w:pPr>
      <w:r>
        <w:rPr>
          <w:rFonts w:hint="eastAsia" w:ascii="宋体" w:hAnsi="宋体" w:eastAsia="宋体" w:cs="宋体"/>
          <w:b/>
          <w:bCs w:val="0"/>
          <w:color w:val="auto"/>
          <w:kern w:val="2"/>
          <w:sz w:val="30"/>
          <w:szCs w:val="30"/>
          <w:highlight w:val="none"/>
          <w:lang w:val="en-US" w:eastAsia="zh-CN" w:bidi="ar"/>
        </w:rPr>
        <w:t>采   购  人：吴堡县教育和体育局</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color w:val="auto"/>
          <w:highlight w:val="none"/>
          <w:lang w:val="en-US"/>
        </w:rPr>
      </w:pPr>
      <w:r>
        <w:rPr>
          <w:rFonts w:hint="eastAsia" w:ascii="宋体" w:hAnsi="宋体" w:eastAsia="宋体" w:cs="宋体"/>
          <w:b/>
          <w:bCs w:val="0"/>
          <w:color w:val="auto"/>
          <w:kern w:val="2"/>
          <w:sz w:val="30"/>
          <w:szCs w:val="30"/>
          <w:highlight w:val="none"/>
          <w:lang w:val="en-US" w:eastAsia="zh-CN" w:bidi="ar"/>
        </w:rPr>
        <w:t>采购代理机构：陕西中财招标代理有限公司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jc w:val="center"/>
        <w:textAlignment w:val="auto"/>
        <w:rPr>
          <w:rFonts w:hint="eastAsia" w:ascii="宋体" w:hAnsi="宋体" w:eastAsia="宋体" w:cs="宋体"/>
          <w:b/>
          <w:bCs w:val="0"/>
          <w:color w:val="auto"/>
          <w:sz w:val="32"/>
          <w:szCs w:val="20"/>
          <w:highlight w:val="none"/>
          <w:lang w:val="en-US"/>
        </w:rPr>
      </w:pPr>
      <w:r>
        <w:rPr>
          <w:rFonts w:hint="eastAsia" w:ascii="宋体" w:hAnsi="宋体" w:cs="宋体"/>
          <w:b/>
          <w:color w:val="auto"/>
          <w:sz w:val="32"/>
          <w:szCs w:val="32"/>
          <w:highlight w:val="none"/>
        </w:rPr>
        <w:t>二</w:t>
      </w:r>
      <w:r>
        <w:rPr>
          <w:rFonts w:hint="eastAsia" w:ascii="宋体" w:hAnsi="宋体" w:cs="宋体"/>
          <w:b/>
          <w:color w:val="auto"/>
          <w:sz w:val="32"/>
          <w:szCs w:val="32"/>
          <w:highlight w:val="none"/>
          <w:lang w:eastAsia="zh-CN"/>
        </w:rPr>
        <w:t>〇</w:t>
      </w:r>
      <w:r>
        <w:rPr>
          <w:rFonts w:hint="eastAsia" w:ascii="宋体" w:hAnsi="宋体" w:cs="宋体"/>
          <w:b/>
          <w:color w:val="auto"/>
          <w:sz w:val="32"/>
          <w:szCs w:val="32"/>
          <w:highlight w:val="none"/>
        </w:rPr>
        <w:t>二二年</w:t>
      </w: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月</w:t>
      </w:r>
    </w:p>
    <w:p>
      <w:pPr>
        <w:keepNext w:val="0"/>
        <w:keepLines w:val="0"/>
        <w:pageBreakBefore w:val="0"/>
        <w:widowControl w:val="0"/>
        <w:shd w:val="clear"/>
        <w:kinsoku/>
        <w:wordWrap/>
        <w:overflowPunct/>
        <w:topLinePunct w:val="0"/>
        <w:autoSpaceDE/>
        <w:autoSpaceDN/>
        <w:bidi w:val="0"/>
        <w:adjustRightInd/>
        <w:snapToGrid/>
        <w:spacing w:line="1100" w:lineRule="exact"/>
        <w:textAlignment w:val="auto"/>
        <w:rPr>
          <w:rFonts w:hint="eastAsia" w:ascii="宋体" w:hAnsi="宋体" w:eastAsia="宋体" w:cs="宋体"/>
          <w:b/>
          <w:bCs w:val="0"/>
          <w:color w:val="auto"/>
          <w:kern w:val="2"/>
          <w:sz w:val="36"/>
          <w:szCs w:val="36"/>
          <w:highlight w:val="none"/>
          <w:lang w:val="en-US" w:eastAsia="zh-CN" w:bidi="ar"/>
        </w:rPr>
        <w:sectPr>
          <w:headerReference r:id="rId3" w:type="default"/>
          <w:footnotePr>
            <w:pos w:val="beneathText"/>
          </w:footnotePr>
          <w:pgSz w:w="11906" w:h="16838"/>
          <w:pgMar w:top="1440" w:right="1803" w:bottom="1440" w:left="1803" w:header="1135" w:footer="1135" w:gutter="0"/>
          <w:pgNumType w:fmt="decimal"/>
          <w:cols w:space="425" w:num="1"/>
          <w:docGrid w:type="lines" w:linePitch="312" w:charSpace="0"/>
        </w:sectPr>
      </w:pPr>
    </w:p>
    <w:p>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bookmarkStart w:id="0" w:name="_Toc20858"/>
      <w:bookmarkStart w:id="1" w:name="_Toc20652"/>
      <w:bookmarkStart w:id="2" w:name="_Toc19886"/>
      <w:bookmarkStart w:id="3" w:name="_Toc16218"/>
      <w:bookmarkStart w:id="4" w:name="_Toc21518"/>
      <w:bookmarkStart w:id="5" w:name="_Toc389582033"/>
      <w:bookmarkStart w:id="6" w:name="_Toc5293"/>
      <w:bookmarkStart w:id="7" w:name="_Toc30152"/>
      <w:bookmarkStart w:id="8" w:name="_Toc403077638"/>
      <w:bookmarkStart w:id="9" w:name="_Toc363474016"/>
      <w:bookmarkStart w:id="10" w:name="_Toc363473971"/>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_Toc9138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第一章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招标公告</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_Toc9138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_Toc12010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第二章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投标人须知</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_Toc12010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_Toc26088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投标人须知前附表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_Toc26088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_Toc6830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第三章 商务要求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_Toc6830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17</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_Toc1034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第四章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合同条款</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_Toc1034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20</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_Toc12826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第五章 采购内容及技术要求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_Toc12826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38</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_Toc9709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val="en-US" w:eastAsia="zh-CN"/>
        </w:rPr>
        <w:t>第六章 评标方法</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_Toc9709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39</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_Toc23323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第七章 投标文件构成及格式</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_Toc23323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46</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_Toc10636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第一部分 资格证明文件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_Toc10636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47</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_Toc22963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第二部分 符合性证明文件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_Toc22963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53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_Toc9293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第三部分 响应方案</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_Toc9293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65</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2"/>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p>
    <w:p>
      <w:pPr>
        <w:pStyle w:val="3"/>
        <w:keepLines w:val="0"/>
        <w:pageBreakBefore w:val="0"/>
        <w:widowControl/>
        <w:shd w:val="clear"/>
        <w:kinsoku/>
        <w:wordWrap/>
        <w:overflowPunct/>
        <w:topLinePunct w:val="0"/>
        <w:autoSpaceDE/>
        <w:autoSpaceDN/>
        <w:bidi w:val="0"/>
        <w:adjustRightInd/>
        <w:spacing w:before="0" w:beforeAutospacing="0" w:afterAutospacing="0" w:line="360" w:lineRule="auto"/>
        <w:jc w:val="center"/>
        <w:textAlignment w:val="auto"/>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color w:val="auto"/>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3"/>
        <w:shd w:val="clear"/>
        <w:bidi w:val="0"/>
        <w:spacing w:line="360" w:lineRule="auto"/>
        <w:jc w:val="center"/>
        <w:rPr>
          <w:rFonts w:hint="eastAsia" w:asciiTheme="minorEastAsia" w:hAnsiTheme="minorEastAsia" w:eastAsiaTheme="minorEastAsia" w:cstheme="minorEastAsia"/>
          <w:color w:val="auto"/>
          <w:sz w:val="36"/>
          <w:szCs w:val="36"/>
          <w:highlight w:val="none"/>
          <w:lang w:val="en-US"/>
        </w:rPr>
      </w:pPr>
      <w:bookmarkStart w:id="11" w:name="_Toc9138"/>
      <w:r>
        <w:rPr>
          <w:rFonts w:hint="eastAsia" w:asciiTheme="minorEastAsia" w:hAnsiTheme="minorEastAsia" w:eastAsiaTheme="minorEastAsia" w:cstheme="minorEastAsia"/>
          <w:color w:val="auto"/>
          <w:sz w:val="36"/>
          <w:szCs w:val="36"/>
          <w:highlight w:val="none"/>
          <w:lang w:eastAsia="zh-CN"/>
        </w:rPr>
        <w:t>第一章</w:t>
      </w:r>
      <w:r>
        <w:rPr>
          <w:rFonts w:hint="eastAsia" w:asciiTheme="minorEastAsia" w:hAnsiTheme="minorEastAsia" w:eastAsiaTheme="minorEastAsia" w:cstheme="minorEastAsia"/>
          <w:color w:val="auto"/>
          <w:sz w:val="36"/>
          <w:szCs w:val="36"/>
          <w:highlight w:val="none"/>
          <w:lang w:val="en-US"/>
        </w:rPr>
        <w:t xml:space="preserve">  </w:t>
      </w:r>
      <w:bookmarkEnd w:id="0"/>
      <w:bookmarkEnd w:id="1"/>
      <w:bookmarkEnd w:id="2"/>
      <w:bookmarkEnd w:id="3"/>
      <w:bookmarkEnd w:id="4"/>
      <w:bookmarkEnd w:id="5"/>
      <w:bookmarkEnd w:id="6"/>
      <w:r>
        <w:rPr>
          <w:rFonts w:hint="eastAsia" w:asciiTheme="minorEastAsia" w:hAnsiTheme="minorEastAsia" w:eastAsiaTheme="minorEastAsia" w:cstheme="minorEastAsia"/>
          <w:color w:val="auto"/>
          <w:sz w:val="36"/>
          <w:szCs w:val="36"/>
          <w:highlight w:val="none"/>
          <w:lang w:eastAsia="zh-CN"/>
        </w:rPr>
        <w:t>招标公告</w:t>
      </w:r>
      <w:bookmarkEnd w:id="7"/>
      <w:bookmarkEnd w:id="11"/>
      <w:bookmarkStart w:id="12" w:name="OLE_LINK33"/>
    </w:p>
    <w:bookmarkEnd w:id="12"/>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bookmarkStart w:id="13" w:name="_Toc2929"/>
      <w:bookmarkStart w:id="14" w:name="_Toc389582035"/>
      <w:r>
        <w:rPr>
          <w:rStyle w:val="44"/>
          <w:rFonts w:hint="eastAsia" w:ascii="宋体" w:hAnsi="宋体" w:eastAsia="宋体" w:cs="宋体"/>
          <w:b/>
          <w:bCs/>
          <w:i w:val="0"/>
          <w:iCs w:val="0"/>
          <w:caps w:val="0"/>
          <w:color w:val="333333"/>
          <w:spacing w:val="0"/>
          <w:sz w:val="24"/>
          <w:szCs w:val="24"/>
          <w:shd w:val="clear" w:fill="FFFFFF"/>
          <w:vertAlign w:val="baseline"/>
        </w:rPr>
        <w:t>项目概况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吴堡县示范幼儿园新建教学楼配套设备采购项目（教学设备）招标项目的潜在投标人应在登录全国公共资源交易中心平台（陕西省）使用CA锁报名后自行下载获取招标文件，并于2022年07月11日 09时30分（北京时间）前递交投标文件。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项目编号：SXZC2022-HW-067</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项目名称：吴堡县示范幼儿园新建教学楼配套设备采购项目（教学设备）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采购方式：公开招标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预算金额：2,973,600.00元</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tbl>
      <w:tblPr>
        <w:tblStyle w:val="41"/>
        <w:tblW w:w="9915" w:type="dxa"/>
        <w:tblInd w:w="-3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8"/>
        <w:gridCol w:w="3192"/>
        <w:gridCol w:w="1830"/>
        <w:gridCol w:w="1774"/>
        <w:gridCol w:w="1090"/>
        <w:gridCol w:w="1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2" w:hRule="atLeast"/>
          <w:tblHeader/>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合同包号</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合同包名称</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预算金额（元）</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是否接受联合体</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合同履行期限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吴堡县示范幼儿园新建教学楼配套设备采购项目第一包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1,118,900.00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2</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吴堡县示范幼儿园新建教学楼配套设备采购项目第二包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768,900.00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吴堡县示范幼儿园新建教学楼配套设备采购项目第三包</w:t>
            </w:r>
          </w:p>
        </w:tc>
        <w:tc>
          <w:tcPr>
            <w:tcW w:w="18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1,085,800.00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无</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合同包1(吴堡县示范幼儿园新建教学楼配套设备采购项目第一包)落实政府采购政策需满足的资格要求如下: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合同包2(吴堡县示范幼儿园新建教学楼配套设备采购项目第二包)落实政府采购政策需满足的资格要求如下: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合同包3(吴堡县示范幼儿园新建教学楼配套设备采购项目第三包)落实政府采购政策需满足的资格要求如下: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（6）《财政部、民政部、中国残疾人联合会关于促进残疾人就业政府采购政策的通知》（财库[2017]141号）；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合同包1(吴堡县示范幼儿园新建教学楼配套设备采购项目第一包)特定资格要求如下: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合同包2(吴堡县示范幼儿园新建教学楼配套设备采购项目第二包)特定资格要求如下: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合同包3(吴堡县示范幼儿园新建教学楼配套设备采购项目第三包)特定资格要求如下:</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（3）税收缴纳证明：提供2022年01月至今已缴纳的至少一个月的纳税证明（银行缴费凭证）或完税证明，依法免税的单位应提供相关证明材料；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（5）参加政府采购活动前三年内，在经营活动中没有重大违法记录的书面声明；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（8）投标保证金交纳凭证或投标保函；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（9）榆林市政府采购货物类项目供应商信用承诺书；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三、获取招标文件</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时间：2022年06月20日至2022年06月24日，每天上午09:00:00至12:00:00，下午 14:00:00至17:00:00（北京时间,法定节假日除外）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四、提交投标文件截止时间、开标时间和地点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2022年07月11日 09时30分00秒（北京时间）</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地点：榆林市公共资源交易中心</w:t>
      </w:r>
      <w:bookmarkStart w:id="315" w:name="_GoBack"/>
      <w:r>
        <w:rPr>
          <w:rFonts w:hint="eastAsia" w:ascii="宋体" w:hAnsi="宋体" w:eastAsia="宋体" w:cs="宋体"/>
          <w:i w:val="0"/>
          <w:iCs w:val="0"/>
          <w:caps w:val="0"/>
          <w:color w:val="333333"/>
          <w:spacing w:val="0"/>
          <w:sz w:val="24"/>
          <w:szCs w:val="24"/>
          <w:shd w:val="clear" w:fill="FFFFFF"/>
          <w:vertAlign w:val="baseline"/>
        </w:rPr>
        <w:t>十楼开标室10</w:t>
      </w:r>
      <w:bookmarkEnd w:id="315"/>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五、公告期限</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自本公告发布之日起5个工作日。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六、其他补充事宜</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本项目开标地点：榆林市公共资源交易中心十楼开标室10</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特别提醒：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 CA锁购买：榆林市市民大厦四楼窗口,联系电话：0912-3515031。</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44"/>
          <w:rFonts w:hint="eastAsia" w:ascii="宋体" w:hAnsi="宋体" w:eastAsia="宋体" w:cs="宋体"/>
          <w:b/>
          <w:bCs/>
          <w:i w:val="0"/>
          <w:iCs w:val="0"/>
          <w:caps w:val="0"/>
          <w:color w:val="333333"/>
          <w:spacing w:val="0"/>
          <w:sz w:val="24"/>
          <w:szCs w:val="24"/>
          <w:shd w:val="clear" w:fill="FFFFFF"/>
          <w:vertAlign w:val="baseline"/>
        </w:rPr>
        <w:t>七、对本次招标提出询问，请按以下方式联系。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名称：吴堡县教育和体育局</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地址：吴堡县宋家川街道新建街155号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联系方式：09126522314</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名称：陕西中财招标代理有限公司</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地址：陕西省榆林市榆阳区航宇路住建局正对面（中财）二楼</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联系方式：0912-3538488</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项目联系人：冯莹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电话：0912-3538488</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numPr>
          <w:ilvl w:val="0"/>
          <w:numId w:val="0"/>
        </w:numPr>
        <w:suppressLineNumbers w:val="0"/>
        <w:shd w:val="clear"/>
        <w:kinsoku/>
        <w:overflowPunct/>
        <w:topLinePunct w:val="0"/>
        <w:autoSpaceDE/>
        <w:autoSpaceDN/>
        <w:bidi w:val="0"/>
        <w:adjustRightInd/>
        <w:snapToGrid/>
        <w:spacing w:beforeAutospacing="0" w:afterAutospacing="0" w:line="360" w:lineRule="auto"/>
        <w:ind w:left="0" w:right="0" w:rightChars="0" w:firstLine="482" w:firstLineChars="200"/>
        <w:jc w:val="left"/>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p>
    <w:p>
      <w:pPr>
        <w:pStyle w:val="3"/>
        <w:shd w:val="clear"/>
        <w:bidi w:val="0"/>
        <w:spacing w:line="360" w:lineRule="auto"/>
        <w:rPr>
          <w:rFonts w:hint="eastAsia"/>
          <w:color w:val="auto"/>
          <w:highlight w:val="none"/>
          <w:lang w:eastAsia="zh-CN"/>
        </w:rPr>
        <w:sectPr>
          <w:headerReference r:id="rId4" w:type="default"/>
          <w:footerReference r:id="rId5" w:type="default"/>
          <w:pgSz w:w="11906" w:h="16838"/>
          <w:pgMar w:top="1304" w:right="1559" w:bottom="1304" w:left="1559" w:header="1135" w:footer="1135" w:gutter="0"/>
          <w:pgNumType w:fmt="decimal" w:start="2"/>
          <w:cols w:space="425" w:num="1"/>
          <w:docGrid w:type="lines" w:linePitch="312" w:charSpace="0"/>
        </w:sectPr>
      </w:pPr>
      <w:bookmarkStart w:id="15" w:name="_Toc12010"/>
      <w:bookmarkStart w:id="16" w:name="_Toc27427"/>
    </w:p>
    <w:p>
      <w:pPr>
        <w:pStyle w:val="3"/>
        <w:shd w:val="clear"/>
        <w:bidi w:val="0"/>
        <w:spacing w:line="360" w:lineRule="auto"/>
        <w:rPr>
          <w:rFonts w:hint="eastAsia"/>
          <w:color w:val="auto"/>
          <w:highlight w:val="none"/>
          <w:lang w:val="en-US"/>
        </w:rPr>
      </w:pPr>
      <w:r>
        <w:rPr>
          <w:rFonts w:hint="eastAsia"/>
          <w:color w:val="auto"/>
          <w:highlight w:val="none"/>
          <w:lang w:eastAsia="zh-CN"/>
        </w:rPr>
        <w:t>第二章</w:t>
      </w:r>
      <w:r>
        <w:rPr>
          <w:rFonts w:hint="eastAsia"/>
          <w:color w:val="auto"/>
          <w:highlight w:val="none"/>
          <w:lang w:val="en-US"/>
        </w:rPr>
        <w:t xml:space="preserve">  </w:t>
      </w:r>
      <w:bookmarkEnd w:id="13"/>
      <w:bookmarkEnd w:id="14"/>
      <w:r>
        <w:rPr>
          <w:rFonts w:hint="eastAsia"/>
          <w:color w:val="auto"/>
          <w:highlight w:val="none"/>
          <w:lang w:eastAsia="zh-CN"/>
        </w:rPr>
        <w:t>投标人须知</w:t>
      </w:r>
      <w:bookmarkEnd w:id="15"/>
      <w:bookmarkEnd w:id="1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7" w:name="_Toc26088"/>
      <w:bookmarkStart w:id="18" w:name="_Toc20551"/>
      <w:bookmarkStart w:id="19" w:name="_Toc29547"/>
      <w:bookmarkStart w:id="20" w:name="_Toc1821"/>
      <w:r>
        <w:rPr>
          <w:rFonts w:hint="eastAsia"/>
          <w:color w:val="auto"/>
          <w:sz w:val="24"/>
          <w:szCs w:val="28"/>
          <w:highlight w:val="none"/>
          <w:lang w:eastAsia="zh-CN"/>
        </w:rPr>
        <w:t>投标人须知前附表</w:t>
      </w:r>
      <w:bookmarkEnd w:id="17"/>
      <w:bookmarkEnd w:id="18"/>
      <w:bookmarkEnd w:id="19"/>
      <w:bookmarkEnd w:id="20"/>
    </w:p>
    <w:p>
      <w:pPr>
        <w:keepNext w:val="0"/>
        <w:keepLines w:val="0"/>
        <w:widowControl w:val="0"/>
        <w:suppressLineNumbers w:val="0"/>
        <w:shd w:val="clear"/>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598"/>
        <w:gridCol w:w="929"/>
        <w:gridCol w:w="8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采购代理机构：陕西中财招标代理有限公司</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地        址：陕西省榆林市榆阳区航宇路住建局对面（中财）二楼</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        编：719000</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话：0912-3538488</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真：</w:t>
            </w:r>
            <w:r>
              <w:rPr>
                <w:rFonts w:hint="eastAsia" w:asciiTheme="minorEastAsia" w:hAnsiTheme="minorEastAsia" w:eastAsiaTheme="minorEastAsia" w:cstheme="minorEastAsia"/>
                <w:color w:val="auto"/>
                <w:sz w:val="24"/>
                <w:szCs w:val="24"/>
                <w:highlight w:val="none"/>
                <w:lang w:val="en-US" w:eastAsia="zh-CN"/>
              </w:rPr>
              <w:t>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“包”</w:t>
            </w:r>
            <w:r>
              <w:rPr>
                <w:rFonts w:hint="eastAsia" w:asciiTheme="minorEastAsia" w:hAnsiTheme="minorEastAsia" w:eastAsiaTheme="minorEastAsia" w:cstheme="minorEastAsia"/>
                <w:color w:val="auto"/>
                <w:sz w:val="24"/>
                <w:szCs w:val="24"/>
                <w:highlight w:val="none"/>
              </w:rPr>
              <w:t>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43"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4"/>
                <w:highlight w:val="none"/>
                <w:lang w:val="en-US"/>
              </w:rPr>
            </w:pPr>
            <w:r>
              <w:rPr>
                <w:rFonts w:hint="eastAsia" w:asciiTheme="minorEastAsia" w:hAnsiTheme="minorEastAsia" w:eastAsiaTheme="minorEastAsia" w:cstheme="minorEastAsia"/>
                <w:bCs/>
                <w:color w:val="auto"/>
                <w:kern w:val="2"/>
                <w:sz w:val="24"/>
                <w:szCs w:val="24"/>
                <w:highlight w:val="none"/>
                <w:lang w:val="en-US" w:eastAsia="zh-CN" w:bidi="ar"/>
              </w:rPr>
              <w:t>投标人应具备《中华人民共和国政府采购法》第二十二条规定的条件；并提供以下资格证明文件：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i w:val="0"/>
                <w:iCs w:val="0"/>
                <w:caps w:val="0"/>
                <w:color w:val="auto"/>
                <w:spacing w:val="0"/>
                <w:sz w:val="24"/>
                <w:szCs w:val="24"/>
                <w:highlight w:val="none"/>
                <w:shd w:val="clear" w:fill="FFFFFF"/>
              </w:rPr>
            </w:pPr>
            <w:r>
              <w:rPr>
                <w:rFonts w:hint="eastAsia" w:ascii="宋体" w:hAnsi="宋体" w:eastAsia="宋体" w:cs="宋体"/>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（3）税收缴纳证明：提供2022年01月至今已缴纳的至少一个月的纳税证明（银行缴费凭证）或完税证明，依法免税的单位应提供相关证明材料；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（5）参加政府采购活动前三年内，在经营活动中没有重大违法记录的书面声明；</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（6）提供具有履行合同所必需的设备和专业技术能力的证明资料或承诺书；</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（8）投标保证金交纳凭证或投标保函；</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）榆林市政府采购货物类项目供应商信用承诺书；</w:t>
            </w:r>
            <w:r>
              <w:rPr>
                <w:rFonts w:hint="eastAsia" w:asciiTheme="minorEastAsia" w:hAnsiTheme="minorEastAsia" w:eastAsiaTheme="minorEastAsia" w:cstheme="minorEastAsia"/>
                <w:i w:val="0"/>
                <w:iCs w:val="0"/>
                <w:caps w:val="0"/>
                <w:color w:val="auto"/>
                <w:spacing w:val="0"/>
                <w:sz w:val="24"/>
                <w:szCs w:val="24"/>
                <w:highlight w:val="none"/>
                <w:shd w:val="clear" w:fill="FFFFFF"/>
              </w:rPr>
              <w:br w:type="textWrapping"/>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i w:val="0"/>
                <w:iCs w:val="0"/>
                <w:caps w:val="0"/>
                <w:color w:val="auto"/>
                <w:spacing w:val="0"/>
                <w:sz w:val="24"/>
                <w:szCs w:val="24"/>
                <w:highlight w:val="none"/>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rPr>
              <w:t>以上资质为必备资质，缺一项或某项达不到要求，按无效投标处理。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tabs>
                <w:tab w:val="left" w:pos="610"/>
              </w:tabs>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投标保证金的有效期与投标有效期一致。</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投标保证金的缴纳形式：投标人须从基本账户以银行转账、电汇、投标保函的任何一种非现金形式缴纳，转账时请注明所投项目名称</w:t>
            </w:r>
            <w:r>
              <w:rPr>
                <w:rFonts w:hint="eastAsia" w:asciiTheme="minorEastAsia" w:hAnsiTheme="minorEastAsia" w:cstheme="minorEastAsia"/>
                <w:color w:val="auto"/>
                <w:kern w:val="2"/>
                <w:sz w:val="24"/>
                <w:szCs w:val="24"/>
                <w:highlight w:val="none"/>
                <w:lang w:val="en-US" w:eastAsia="zh-CN" w:bidi="ar"/>
              </w:rPr>
              <w:t>或项目编号</w:t>
            </w:r>
            <w:r>
              <w:rPr>
                <w:rFonts w:hint="eastAsia" w:asciiTheme="minorEastAsia" w:hAnsiTheme="minorEastAsia" w:eastAsiaTheme="minorEastAsia" w:cstheme="minorEastAsia"/>
                <w:color w:val="auto"/>
                <w:kern w:val="2"/>
                <w:sz w:val="24"/>
                <w:szCs w:val="24"/>
                <w:highlight w:val="none"/>
                <w:lang w:val="en-US" w:eastAsia="zh-CN" w:bidi="ar"/>
              </w:rPr>
              <w:t>、</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保证金金额，招标结束之后以转账形式退到投标人的基本账户。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在投标文件递交截止时间前存入以下</w:t>
            </w:r>
            <w:r>
              <w:rPr>
                <w:rFonts w:hint="eastAsia" w:asciiTheme="minorEastAsia" w:hAnsiTheme="minorEastAsia" w:cstheme="minorEastAsia"/>
                <w:color w:val="auto"/>
                <w:kern w:val="2"/>
                <w:sz w:val="24"/>
                <w:szCs w:val="24"/>
                <w:highlight w:val="none"/>
                <w:lang w:val="en-US" w:eastAsia="zh-CN" w:bidi="ar"/>
              </w:rPr>
              <w:t>账</w:t>
            </w:r>
            <w:r>
              <w:rPr>
                <w:rFonts w:hint="eastAsia" w:asciiTheme="minorEastAsia" w:hAnsiTheme="minorEastAsia" w:eastAsiaTheme="minorEastAsia" w:cstheme="minorEastAsia"/>
                <w:color w:val="auto"/>
                <w:kern w:val="2"/>
                <w:sz w:val="24"/>
                <w:szCs w:val="24"/>
                <w:highlight w:val="none"/>
                <w:lang w:val="en-US" w:eastAsia="zh-CN" w:bidi="ar"/>
              </w:rPr>
              <w:t>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投标保证金数额：</w:t>
            </w:r>
            <w:r>
              <w:rPr>
                <w:rFonts w:hint="eastAsia" w:asciiTheme="minorEastAsia" w:hAnsiTheme="minorEastAsia" w:eastAsiaTheme="minorEastAsia" w:cstheme="minorEastAsia"/>
                <w:b/>
                <w:bCs/>
                <w:color w:val="auto"/>
                <w:kern w:val="2"/>
                <w:sz w:val="24"/>
                <w:szCs w:val="24"/>
                <w:highlight w:val="none"/>
                <w:lang w:val="en-US" w:eastAsia="zh-CN" w:bidi="ar"/>
              </w:rPr>
              <w:t>人民币</w:t>
            </w:r>
            <w:r>
              <w:rPr>
                <w:rFonts w:hint="eastAsia" w:asciiTheme="minorEastAsia" w:hAnsiTheme="minorEastAsia" w:cstheme="minorEastAsia"/>
                <w:b/>
                <w:bCs/>
                <w:color w:val="auto"/>
                <w:kern w:val="2"/>
                <w:sz w:val="24"/>
                <w:szCs w:val="24"/>
                <w:highlight w:val="none"/>
                <w:lang w:val="en-US" w:eastAsia="zh-CN" w:bidi="ar"/>
              </w:rPr>
              <w:t>贰万元整</w:t>
            </w:r>
            <w:r>
              <w:rPr>
                <w:rFonts w:hint="eastAsia" w:asciiTheme="minorEastAsia" w:hAnsiTheme="minorEastAsia" w:eastAsiaTheme="minorEastAsia" w:cstheme="minorEastAsia"/>
                <w:b/>
                <w:bCs/>
                <w:color w:val="auto"/>
                <w:kern w:val="2"/>
                <w:sz w:val="24"/>
                <w:szCs w:val="24"/>
                <w:highlight w:val="none"/>
                <w:lang w:val="en-US" w:eastAsia="zh-CN" w:bidi="ar"/>
              </w:rPr>
              <w:t>（￥</w:t>
            </w:r>
            <w:r>
              <w:rPr>
                <w:rFonts w:hint="eastAsia" w:asciiTheme="minorEastAsia" w:hAnsiTheme="minorEastAsia" w:cstheme="minorEastAsia"/>
                <w:b/>
                <w:bCs/>
                <w:color w:val="auto"/>
                <w:kern w:val="2"/>
                <w:sz w:val="24"/>
                <w:szCs w:val="24"/>
                <w:highlight w:val="none"/>
                <w:lang w:val="en-US" w:eastAsia="zh-CN" w:bidi="ar"/>
              </w:rPr>
              <w:t>200</w:t>
            </w:r>
            <w:r>
              <w:rPr>
                <w:rFonts w:hint="eastAsia" w:asciiTheme="minorEastAsia" w:hAnsiTheme="minorEastAsia" w:eastAsiaTheme="minorEastAsia" w:cstheme="minorEastAsia"/>
                <w:b/>
                <w:bCs/>
                <w:color w:val="auto"/>
                <w:kern w:val="2"/>
                <w:sz w:val="24"/>
                <w:szCs w:val="24"/>
                <w:highlight w:val="none"/>
                <w:lang w:val="en-US" w:eastAsia="zh-CN" w:bidi="ar"/>
              </w:rPr>
              <w:t>00.00元）</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户</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名:陕西中财招标代理有限公司</w:t>
            </w:r>
          </w:p>
          <w:p>
            <w:pPr>
              <w:pStyle w:val="36"/>
              <w:keepNext w:val="0"/>
              <w:keepLines w:val="0"/>
              <w:pageBreakBefore w:val="0"/>
              <w:shd w:val="clea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账  号:</w:t>
            </w:r>
            <w:r>
              <w:rPr>
                <w:rFonts w:hint="eastAsia" w:asciiTheme="minorEastAsia" w:hAnsiTheme="minorEastAsia" w:eastAsiaTheme="minorEastAsia" w:cstheme="minorEastAsia"/>
                <w:color w:val="auto"/>
                <w:sz w:val="24"/>
                <w:szCs w:val="24"/>
                <w:highlight w:val="none"/>
              </w:rPr>
              <w:t>102092602255</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开户行:</w:t>
            </w:r>
            <w:r>
              <w:rPr>
                <w:rFonts w:hint="eastAsia" w:asciiTheme="minorEastAsia" w:hAnsiTheme="minorEastAsia" w:eastAsiaTheme="minorEastAsia" w:cstheme="minorEastAsia"/>
                <w:color w:val="auto"/>
                <w:sz w:val="24"/>
                <w:szCs w:val="24"/>
                <w:highlight w:val="none"/>
              </w:rPr>
              <w:t>中国银行榆林航宇路支行</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行</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 xml:space="preserve">号：104806000046 </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default" w:asciiTheme="minorEastAsia" w:hAnsiTheme="minorEastAsia" w:eastAsiaTheme="minorEastAsia" w:cstheme="minorEastAsia"/>
                <w:color w:val="auto"/>
                <w:sz w:val="24"/>
                <w:highlight w:val="none"/>
                <w:lang w:bidi="ar"/>
              </w:rPr>
            </w:pPr>
            <w:r>
              <w:rPr>
                <w:rFonts w:hint="eastAsia" w:asciiTheme="minorEastAsia" w:hAnsiTheme="minorEastAsia" w:eastAsiaTheme="minorEastAsia" w:cstheme="minorEastAsia"/>
                <w:color w:val="auto"/>
                <w:sz w:val="24"/>
                <w:highlight w:val="none"/>
                <w:lang w:bidi="ar"/>
              </w:rPr>
              <w:t>投标保证金到达采购代理机构指定账户后，投标人须与陕西中财招标代理有限公司财务部（联系人：李会计，联系电话：0912-8101118）联系确认到</w:t>
            </w:r>
            <w:r>
              <w:rPr>
                <w:rFonts w:hint="eastAsia" w:eastAsia="宋体" w:asciiTheme="minorEastAsia" w:hAnsiTheme="minorEastAsia" w:cstheme="minorEastAsia"/>
                <w:color w:val="auto"/>
                <w:sz w:val="24"/>
                <w:highlight w:val="none"/>
                <w:lang w:bidi="ar"/>
              </w:rPr>
              <w:t>账</w:t>
            </w:r>
            <w:r>
              <w:rPr>
                <w:rFonts w:hint="eastAsia" w:asciiTheme="minorEastAsia" w:hAnsiTheme="minorEastAsia" w:eastAsiaTheme="minorEastAsia" w:cstheme="minorEastAsia"/>
                <w:color w:val="auto"/>
                <w:sz w:val="24"/>
                <w:highlight w:val="none"/>
                <w:lang w:bidi="ar"/>
              </w:rPr>
              <w:t>，</w:t>
            </w:r>
            <w:r>
              <w:rPr>
                <w:rFonts w:hint="eastAsia" w:eastAsia="宋体" w:asciiTheme="minorEastAsia" w:hAnsiTheme="minorEastAsia" w:cstheme="minorEastAsia"/>
                <w:color w:val="auto"/>
                <w:sz w:val="24"/>
                <w:highlight w:val="none"/>
                <w:lang w:bidi="ar"/>
              </w:rPr>
              <w:t>并将打款底单</w:t>
            </w:r>
            <w:r>
              <w:rPr>
                <w:rFonts w:hint="eastAsia" w:eastAsia="宋体" w:asciiTheme="minorEastAsia" w:hAnsiTheme="minorEastAsia" w:cstheme="minorEastAsia"/>
                <w:color w:val="auto"/>
                <w:sz w:val="24"/>
                <w:highlight w:val="none"/>
                <w:lang w:eastAsia="zh-CN" w:bidi="ar"/>
              </w:rPr>
              <w:t>作为</w:t>
            </w:r>
            <w:r>
              <w:rPr>
                <w:rFonts w:hint="eastAsia" w:asciiTheme="minorEastAsia" w:hAnsiTheme="minorEastAsia" w:eastAsiaTheme="minorEastAsia" w:cstheme="minorEastAsia"/>
                <w:color w:val="auto"/>
                <w:sz w:val="24"/>
                <w:highlight w:val="none"/>
                <w:lang w:bidi="ar"/>
              </w:rPr>
              <w:t>保证金交纳的凭证。</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供应商可根据项目实施地财政部门规定提供政府采购信用担保，供应商以保函形式缴纳</w:t>
            </w:r>
            <w:r>
              <w:rPr>
                <w:rFonts w:hint="eastAsia" w:asciiTheme="minorEastAsia" w:hAnsiTheme="minorEastAsia" w:eastAsiaTheme="minorEastAsia" w:cstheme="minorEastAsia"/>
                <w:color w:val="auto"/>
                <w:sz w:val="24"/>
                <w:highlight w:val="none"/>
                <w:lang w:eastAsia="zh-CN"/>
              </w:rPr>
              <w:t>投标保证金</w:t>
            </w:r>
            <w:r>
              <w:rPr>
                <w:rFonts w:hint="eastAsia" w:asciiTheme="minorEastAsia" w:hAnsiTheme="minorEastAsia" w:eastAsiaTheme="minorEastAsia" w:cstheme="minorEastAsia"/>
                <w:color w:val="auto"/>
                <w:sz w:val="24"/>
                <w:highlight w:val="none"/>
              </w:rPr>
              <w:t>的，须在电子</w:t>
            </w:r>
            <w:r>
              <w:rPr>
                <w:rFonts w:hint="eastAsia" w:asciiTheme="minorEastAsia" w:hAnsiTheme="minorEastAsia" w:eastAsiaTheme="minorEastAsia" w:cstheme="minorEastAsia"/>
                <w:color w:val="auto"/>
                <w:sz w:val="24"/>
                <w:highlight w:val="none"/>
                <w:lang w:eastAsia="zh-CN"/>
              </w:rPr>
              <w:t>投标文件</w:t>
            </w:r>
            <w:r>
              <w:rPr>
                <w:rFonts w:hint="eastAsia" w:asciiTheme="minorEastAsia" w:hAnsiTheme="minorEastAsia" w:eastAsiaTheme="minorEastAsia" w:cstheme="minorEastAsia"/>
                <w:color w:val="auto"/>
                <w:sz w:val="24"/>
                <w:highlight w:val="none"/>
              </w:rPr>
              <w:t>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Theme="minorEastAsia" w:hAnsiTheme="minorEastAsia" w:eastAsiaTheme="minorEastAsia" w:cstheme="minorEastAsia"/>
                <w:color w:val="auto"/>
                <w:sz w:val="24"/>
                <w:highlight w:val="none"/>
                <w:lang w:eastAsia="zh-CN"/>
              </w:rPr>
              <w:t>招标文件</w:t>
            </w:r>
            <w:r>
              <w:rPr>
                <w:rFonts w:hint="eastAsia" w:asciiTheme="minorEastAsia" w:hAnsiTheme="minorEastAsia" w:eastAsiaTheme="minorEastAsia" w:cstheme="minorEastAsia"/>
                <w:color w:val="auto"/>
                <w:sz w:val="24"/>
                <w:highlight w:val="none"/>
              </w:rPr>
              <w:t>规定处。</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邮箱：zhongcaizb005@163.com</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highlight w:val="none"/>
              </w:rPr>
              <w:t>联系方式：0912-3538488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投标有效期</w:t>
            </w:r>
            <w:r>
              <w:rPr>
                <w:rFonts w:hint="eastAsia" w:asciiTheme="minorEastAsia" w:hAnsiTheme="minorEastAsia" w:eastAsiaTheme="minorEastAsia" w:cstheme="minorEastAsia"/>
                <w:color w:val="auto"/>
                <w:sz w:val="24"/>
                <w:highlight w:val="none"/>
                <w:lang w:val="en-US"/>
              </w:rPr>
              <w:t xml:space="preserve">: </w:t>
            </w:r>
            <w:r>
              <w:rPr>
                <w:rFonts w:hint="eastAsia" w:asciiTheme="minorEastAsia" w:hAnsiTheme="minorEastAsia" w:eastAsiaTheme="minorEastAsia" w:cstheme="minorEastAsia"/>
                <w:color w:val="auto"/>
                <w:sz w:val="24"/>
                <w:highlight w:val="none"/>
              </w:rPr>
              <w:t>从递交投标文件的截止之日起</w:t>
            </w:r>
            <w:r>
              <w:rPr>
                <w:rFonts w:hint="eastAsia" w:asciiTheme="minorEastAsia" w:hAnsiTheme="minorEastAsia" w:cstheme="minorEastAsia"/>
                <w:color w:val="auto"/>
                <w:sz w:val="24"/>
                <w:highlight w:val="none"/>
                <w:lang w:val="en-US" w:eastAsia="zh-CN"/>
              </w:rPr>
              <w:t>100</w:t>
            </w:r>
            <w:r>
              <w:rPr>
                <w:rFonts w:hint="eastAsia" w:asciiTheme="minorEastAsia" w:hAnsiTheme="minorEastAsia" w:eastAsiaTheme="minorEastAsia" w:cstheme="minorEastAsia"/>
                <w:color w:val="auto"/>
                <w:sz w:val="24"/>
                <w:highlight w:val="none"/>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正本份数：壹份；副本份数：贰份。投标文件装订要求：胶装</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17.2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投标文件正本、所有的副本与电子版本需密封装在封袋中（封袋不得有破损），且在封袋正面标明“正本、副本”字样。</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封袋应加贴封条，在封线处由法定代表人或授权委托人代表签字并加盖投标人鲜章，封袋正面要粘贴投标人全称、项目名称、编号、包号等标识。（详见总则17.投标文件的密封和标记）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投标文件递交截止时间：</w:t>
            </w:r>
            <w:r>
              <w:rPr>
                <w:rFonts w:hint="eastAsia" w:asciiTheme="minorEastAsia" w:hAnsiTheme="minorEastAsia" w:cstheme="minorEastAsia"/>
                <w:color w:val="auto"/>
                <w:sz w:val="24"/>
                <w:highlight w:val="none"/>
                <w:lang w:val="en-US" w:eastAsia="zh-CN"/>
              </w:rPr>
              <w:t>2022-07-11</w:t>
            </w:r>
            <w:r>
              <w:rPr>
                <w:rFonts w:hint="eastAsia" w:asciiTheme="minorEastAsia" w:hAnsiTheme="minorEastAsia" w:eastAsiaTheme="minorEastAsia" w:cstheme="minorEastAsia"/>
                <w:color w:val="auto"/>
                <w:sz w:val="24"/>
                <w:highlight w:val="none"/>
                <w:lang w:val="en-US" w:eastAsia="zh-CN"/>
              </w:rPr>
              <w:t xml:space="preserve"> 09:30:00；（北京时间)</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投标文件递交地址：</w:t>
            </w:r>
            <w:r>
              <w:rPr>
                <w:rFonts w:hint="eastAsia" w:asciiTheme="minorEastAsia" w:hAnsiTheme="minorEastAsia" w:cstheme="minorEastAsia"/>
                <w:color w:val="auto"/>
                <w:sz w:val="24"/>
                <w:highlight w:val="none"/>
                <w:lang w:val="en-US" w:eastAsia="zh-CN"/>
              </w:rPr>
              <w:t>榆林市公共资源交易中心十楼开标室10</w:t>
            </w:r>
            <w:r>
              <w:rPr>
                <w:rFonts w:hint="eastAsia" w:asciiTheme="minorEastAsia" w:hAnsiTheme="minorEastAsia" w:eastAsiaTheme="minorEastAsia" w:cstheme="minorEastAsia"/>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宋体" w:hAnsi="宋体" w:eastAsia="宋体" w:cs="宋体"/>
                <w:color w:val="auto"/>
                <w:kern w:val="0"/>
                <w:sz w:val="24"/>
                <w:szCs w:val="24"/>
                <w:highlight w:val="none"/>
                <w:lang w:val="en-US" w:eastAsia="zh-CN" w:bidi="ar-SA"/>
              </w:rPr>
              <w:t>2022-07-11 09:30:00</w:t>
            </w:r>
            <w:r>
              <w:rPr>
                <w:rFonts w:hint="eastAsia" w:asciiTheme="minorEastAsia" w:hAnsiTheme="minorEastAsia" w:eastAsiaTheme="minorEastAsia" w:cstheme="minorEastAsia"/>
                <w:color w:val="auto"/>
                <w:kern w:val="2"/>
                <w:sz w:val="24"/>
                <w:szCs w:val="24"/>
                <w:highlight w:val="none"/>
                <w:lang w:val="en-US" w:eastAsia="zh-CN" w:bidi="ar"/>
              </w:rPr>
              <w:t>（北京时间)。</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宋体" w:hAnsi="宋体" w:eastAsia="宋体" w:cs="宋体"/>
                <w:color w:val="auto"/>
                <w:kern w:val="0"/>
                <w:sz w:val="24"/>
                <w:szCs w:val="24"/>
                <w:highlight w:val="none"/>
                <w:lang w:val="en-US" w:eastAsia="zh-CN" w:bidi="ar-SA"/>
              </w:rPr>
              <w:t>榆林市公共资源交易中心十楼开标室10</w:t>
            </w:r>
            <w:r>
              <w:rPr>
                <w:rFonts w:hint="eastAsia" w:asciiTheme="minorEastAsia" w:hAnsiTheme="minorEastAsia" w:eastAsiaTheme="minorEastAsia" w:cstheme="minorEastAsia"/>
                <w:color w:val="auto"/>
                <w:sz w:val="24"/>
                <w:szCs w:val="24"/>
                <w:highlight w:val="none"/>
              </w:rPr>
              <w:t>。(陕西省公共资源交易平台)</w:t>
            </w:r>
            <w:r>
              <w:rPr>
                <w:rFonts w:hint="eastAsia" w:asciiTheme="minorEastAsia" w:hAnsiTheme="minorEastAsia" w:eastAsiaTheme="minorEastAsia" w:cstheme="minorEastAsia"/>
                <w:color w:val="auto"/>
                <w:sz w:val="24"/>
                <w:szCs w:val="24"/>
                <w:highlight w:val="none"/>
                <w:lang w:val="en-US"/>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评标方法：综合评分法（详见第</w:t>
            </w:r>
            <w:r>
              <w:rPr>
                <w:rFonts w:hint="eastAsia" w:asciiTheme="minorEastAsia" w:hAnsiTheme="minorEastAsia" w:cstheme="minorEastAsia"/>
                <w:b/>
                <w:color w:val="auto"/>
                <w:sz w:val="24"/>
                <w:szCs w:val="24"/>
                <w:highlight w:val="none"/>
                <w:lang w:eastAsia="zh-CN"/>
              </w:rPr>
              <w:t>六</w:t>
            </w:r>
            <w:r>
              <w:rPr>
                <w:rFonts w:hint="eastAsia" w:asciiTheme="minorEastAsia" w:hAnsiTheme="minorEastAsia" w:eastAsiaTheme="minorEastAsia" w:cstheme="minorEastAsia"/>
                <w:b/>
                <w:color w:val="auto"/>
                <w:sz w:val="24"/>
                <w:szCs w:val="24"/>
                <w:highlight w:val="none"/>
              </w:rPr>
              <w:t>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pPr>
              <w:keepNext w:val="0"/>
              <w:keepLines w:val="0"/>
              <w:widowControl w:val="0"/>
              <w:numPr>
                <w:ilvl w:val="0"/>
                <w:numId w:val="1"/>
              </w:numPr>
              <w:suppressLineNumbers w:val="0"/>
              <w:shd w:val="clear"/>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numPr>
                <w:ilvl w:val="0"/>
                <w:numId w:val="1"/>
              </w:numPr>
              <w:suppressLineNumbers w:val="0"/>
              <w:shd w:val="clear"/>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numPr>
                <w:ilvl w:val="0"/>
                <w:numId w:val="0"/>
              </w:numPr>
              <w:suppressLineNumbers w:val="0"/>
              <w:shd w:val="clear"/>
              <w:spacing w:before="0" w:beforeAutospacing="0" w:after="0" w:afterAutospacing="0" w:line="360" w:lineRule="auto"/>
              <w:ind w:left="0" w:leftChars="0" w:right="0"/>
              <w:jc w:val="center"/>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招标代理服务收费标准(费率)</w:t>
            </w:r>
          </w:p>
          <w:tbl>
            <w:tblPr>
              <w:tblStyle w:val="41"/>
              <w:tblW w:w="7919"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7"/>
              <w:gridCol w:w="2131"/>
              <w:gridCol w:w="1811"/>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构成招标文件组成部分的各章节中出现的措辞“委托人”、“发包人“和“投标人”、“承包人”，在招标投标阶段应当分别按“采购人”和“投标人”进行理解。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样品的</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若文件内要求提供样品的，须按照投标文件密封要求密封递交，</w:t>
            </w:r>
            <w:r>
              <w:rPr>
                <w:rFonts w:hint="eastAsia" w:asciiTheme="minorEastAsia" w:hAnsiTheme="minorEastAsia" w:eastAsiaTheme="minorEastAsia" w:cstheme="minorEastAsia"/>
                <w:color w:val="auto"/>
                <w:sz w:val="24"/>
                <w:szCs w:val="24"/>
                <w:highlight w:val="none"/>
                <w:lang w:eastAsia="zh-CN"/>
              </w:rPr>
              <w:t>标明项目名称、项目编号、投标人名称、样品名称等标识并随投标文件一同递交，</w:t>
            </w:r>
            <w:r>
              <w:rPr>
                <w:rFonts w:hint="eastAsia" w:asciiTheme="minorEastAsia" w:hAnsiTheme="minorEastAsia" w:eastAsiaTheme="minorEastAsia" w:cstheme="minorEastAsia"/>
                <w:color w:val="auto"/>
                <w:sz w:val="24"/>
                <w:szCs w:val="24"/>
                <w:highlight w:val="none"/>
              </w:rPr>
              <w:t>未中标人样品的退还时间同投标保证金退还时间，中标人的样品由采购人封样不予退还并作为本项目的验收依据。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val="en-US" w:eastAsia="zh-CN"/>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该项目将采取“不见面”开标的形式，供应商无须到达开标现场，即可在网上直接参与开标活动。相关注意事项如下：</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1、开标当日，请各供应商在开标截止时间前至少提前半小时登录“不见面”开标系统登录方式有以下几种：</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1）IE浏览器输入网址：</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http://111.20.184.126:8081/BidOpeningHallCS/bidhall/default/login；</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2）在【全国公共资源交易平台（陕西省·榆林市）】网站首页点击不见面开标模块进入；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3）在【全国公共资源交易平台（陕西省）】网站首页点击不见面开标模块选择榆林市进入。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注：登录不见面开标系统请选择IE11浏览器</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2、供应商应按要求及时签到（签到时间为投标截止时间前1小时内，如果未签到将视为放弃投标资格），评审过程中，评标委员会可能会就某些问题要求供应商进行在线澄清，请供应商保持在线直到评审结束；</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w:t>
            </w: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4、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5、相关技术问题，请咨询软件开发商：</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（1）技术支持热线：400-998-0000/400-928-0095</w:t>
            </w:r>
          </w:p>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cstheme="minorEastAsia"/>
                <w:b w:val="0"/>
                <w:bCs/>
                <w:color w:val="auto"/>
                <w:sz w:val="24"/>
                <w:szCs w:val="24"/>
                <w:highlight w:val="none"/>
                <w:lang w:eastAsia="zh-CN"/>
              </w:rPr>
              <w:t>6、榆林不见面开标系统操作手册下载方式：登录【全国公共资源交易平台（陕西省·榆林市）】网站首页选择【服务指南】-【下载专区】-点击【榆林不见面开标系统操作手册（投标人）】进行下载。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rPr>
              <w:t>投标人须使用数字认证证书对电子化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时务必携带数字认证证书（主锁及上传文件所用的副锁），如因投标人自身原因未携带数字认证证书造成无法解密</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。投标人须在“全国公共资源交易中心平台（陕西省）（http://www.sxggzyjy.cn/）”的“服务指南” 栏目“下载专区”中，免费下载“陕西省公共资源交易平台政府采购电子标书制作工具” 及“政府采购投标单位操作手册”， 并使用该客户端制作电子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。上传成功后，电子化平台将予以记录。</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2"/>
                <w:highlight w:val="none"/>
                <w:lang w:val="en-US" w:eastAsia="zh-CN"/>
              </w:rPr>
              <w:t>4、投标文件中所有涉及签字、盖章的，各投标单位须将所有签字盖章完成后上传。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numPr>
                <w:ilvl w:val="0"/>
                <w:numId w:val="0"/>
              </w:numPr>
              <w:suppressLineNumbers w:val="0"/>
              <w:shd w:val="clear"/>
              <w:spacing w:before="0" w:beforeLines="0" w:beforeAutospacing="0" w:after="0" w:afterLines="0" w:afterAutospacing="0" w:line="360" w:lineRule="auto"/>
              <w:ind w:left="0" w:right="0" w:rightChars="0"/>
              <w:jc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信用承诺公示要求</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firstLine="42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政府采购活动中，各方交易主体的承诺事由为“公共资源交易平台的所有活动、项目名称”。</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color w:val="auto"/>
                <w:spacing w:val="4"/>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cstheme="minorEastAsia"/>
                <w:color w:val="auto"/>
                <w:sz w:val="24"/>
                <w:szCs w:val="24"/>
                <w:highlight w:val="none"/>
                <w:lang w:val="en-US" w:eastAsia="zh-CN"/>
              </w:rPr>
            </w:pPr>
            <w:bookmarkStart w:id="21" w:name="_Toc363474017"/>
            <w:bookmarkStart w:id="22" w:name="_Toc403077639"/>
            <w:bookmarkStart w:id="23" w:name="_Toc363473972"/>
            <w:r>
              <w:rPr>
                <w:rFonts w:hint="eastAsia" w:asciiTheme="minorEastAsia" w:hAnsiTheme="minorEastAsia" w:cstheme="minorEastAsia"/>
                <w:color w:val="auto"/>
                <w:sz w:val="24"/>
                <w:szCs w:val="24"/>
                <w:highlight w:val="none"/>
                <w:lang w:val="en-US" w:eastAsia="zh-CN"/>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行业所属</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本包所属行业：工业 </w:t>
            </w:r>
          </w:p>
        </w:tc>
      </w:tr>
      <w:bookmarkEnd w:id="8"/>
      <w:bookmarkEnd w:id="9"/>
      <w:bookmarkEnd w:id="10"/>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kern w:val="2"/>
          <w:sz w:val="32"/>
          <w:szCs w:val="32"/>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pPr>
        <w:keepNext w:val="0"/>
        <w:keepLines w:val="0"/>
        <w:pageBreakBefore w:val="0"/>
        <w:widowControl w:val="0"/>
        <w:suppressLineNumbers w:val="0"/>
        <w:shd w:val="clear"/>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r>
        <w:rPr>
          <w:rFonts w:hint="eastAsia" w:ascii="宋体" w:hAnsi="宋体" w:eastAsia="宋体" w:cs="宋体"/>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（3）税收缴纳证明：提供2022年01月至今已缴纳的至少一个月的纳税证明（银行缴费凭证）或完税证明，依法免税的单位应提供相关证明材料；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（5）参加政府采购活动前三年内，在经营活动中没有重大违法记录的书面声明；</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（6）提供具有履行合同所必需的设备和专业技术能力的证明资料或承诺书；</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（8）投标保证金交纳凭证或投标保函；</w:t>
      </w:r>
      <w:r>
        <w:rPr>
          <w:rFonts w:hint="eastAsia" w:ascii="宋体" w:hAnsi="宋体" w:eastAsia="宋体" w:cs="宋体"/>
          <w:sz w:val="24"/>
          <w:szCs w:val="24"/>
          <w:lang w:eastAsia="zh-CN"/>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）榆林市政府采购货物类项目供应商信用承诺书；</w:t>
      </w:r>
      <w:r>
        <w:rPr>
          <w:rFonts w:hint="eastAsia" w:asciiTheme="minorEastAsia" w:hAnsiTheme="minorEastAsia" w:eastAsiaTheme="minorEastAsia" w:cstheme="minorEastAsia"/>
          <w:i w:val="0"/>
          <w:iCs w:val="0"/>
          <w:caps w:val="0"/>
          <w:color w:val="auto"/>
          <w:spacing w:val="0"/>
          <w:sz w:val="24"/>
          <w:szCs w:val="24"/>
          <w:highlight w:val="none"/>
          <w:shd w:val="clear" w:fill="FFFFFF"/>
        </w:rPr>
        <w:br w:type="textWrapping"/>
      </w:r>
      <w:r>
        <w:rPr>
          <w:rFonts w:hint="eastAsia" w:asciiTheme="minorEastAsia" w:hAnsi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color w:val="auto"/>
          <w:kern w:val="0"/>
          <w:sz w:val="24"/>
          <w:szCs w:val="24"/>
          <w:highlight w:val="none"/>
          <w:lang w:val="en-US" w:eastAsia="zh-CN" w:bidi="ar-SA"/>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2.2.2 供应商应</w:t>
      </w:r>
      <w:r>
        <w:rPr>
          <w:rFonts w:hint="eastAsia" w:ascii="宋体" w:hAnsi="宋体" w:eastAsia="宋体" w:cs="宋体"/>
          <w:bCs/>
          <w:color w:val="auto"/>
          <w:sz w:val="24"/>
          <w:highlight w:val="none"/>
          <w:lang w:eastAsia="zh-CN" w:bidi="ar"/>
        </w:rPr>
        <w:t>遵守</w:t>
      </w:r>
      <w:r>
        <w:rPr>
          <w:rFonts w:hint="eastAsia" w:ascii="宋体" w:hAnsi="宋体" w:eastAsia="宋体" w:cs="宋体"/>
          <w:bCs/>
          <w:color w:val="auto"/>
          <w:sz w:val="24"/>
          <w:highlight w:val="none"/>
          <w:lang w:bidi="ar"/>
        </w:rPr>
        <w:t>《中华人民共和国政府采购法》。</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2.2.3</w:t>
      </w:r>
      <w:r>
        <w:rPr>
          <w:rFonts w:hint="eastAsia" w:ascii="宋体" w:hAnsi="宋体" w:eastAsia="宋体" w:cs="宋体"/>
          <w:bCs/>
          <w:color w:val="auto"/>
          <w:sz w:val="24"/>
          <w:highlight w:val="none"/>
          <w:lang w:bidi="ar"/>
        </w:rPr>
        <w:t xml:space="preserve"> 只有在法律上和财务上独立，合法运作，并独立于采购代理机构和采购人的供货人才能参加投标。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投标人之间如果存在下列情形之一的，不得同时参加本项目投标：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2.2.4.1</w:t>
      </w:r>
      <w:r>
        <w:rPr>
          <w:rFonts w:hint="eastAsia" w:ascii="宋体" w:hAnsi="宋体" w:eastAsia="宋体" w:cs="宋体"/>
          <w:bCs/>
          <w:color w:val="auto"/>
          <w:sz w:val="24"/>
          <w:highlight w:val="none"/>
          <w:lang w:bidi="ar"/>
        </w:rPr>
        <w:t xml:space="preserve"> 法定代表人为同一个人的两个及两个以上法人；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2 母公司、全资子公司及其控股公司；</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3 参加投标的其他组织之间存在特殊的利害关系的；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eastAsia="宋体"/>
          <w:color w:val="auto"/>
          <w:sz w:val="24"/>
          <w:highlight w:val="none"/>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4 法律和行政法规规定的其他情形。</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w:t>
      </w:r>
      <w:r>
        <w:rPr>
          <w:rFonts w:hint="eastAsia" w:ascii="宋体" w:hAnsi="宋体" w:eastAsia="宋体" w:cs="宋体"/>
          <w:bCs/>
          <w:color w:val="auto"/>
          <w:sz w:val="24"/>
          <w:highlight w:val="none"/>
          <w:lang w:val="en-US" w:eastAsia="zh-CN" w:bidi="ar"/>
        </w:rPr>
        <w:t>3</w:t>
      </w:r>
      <w:r>
        <w:rPr>
          <w:rFonts w:hint="eastAsia" w:ascii="宋体" w:hAnsi="宋体" w:eastAsia="宋体" w:cs="宋体"/>
          <w:bCs/>
          <w:color w:val="auto"/>
          <w:sz w:val="24"/>
          <w:highlight w:val="none"/>
          <w:lang w:bidi="ar"/>
        </w:rPr>
        <w:t>投标人不得直接或间接地与招标采购单位（包括陕西中财招标代理有限公司及采购人）有任何关联，亦不得是招标采购单位的附属机构。如果投标人在投标中隐瞒了上述关系，一经证实，则该投标无效。</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2.4投标人必须在</w:t>
      </w:r>
      <w:r>
        <w:rPr>
          <w:rFonts w:hint="eastAsia" w:ascii="宋体" w:hAnsi="宋体" w:eastAsia="宋体" w:cs="宋体"/>
          <w:bCs/>
          <w:color w:val="auto"/>
          <w:sz w:val="24"/>
          <w:highlight w:val="none"/>
          <w:lang w:eastAsia="zh-CN" w:bidi="ar"/>
        </w:rPr>
        <w:t>陕西省公共资源交易平台</w:t>
      </w:r>
      <w:r>
        <w:rPr>
          <w:rFonts w:hint="eastAsia" w:ascii="宋体" w:hAnsi="宋体" w:eastAsia="宋体" w:cs="宋体"/>
          <w:bCs/>
          <w:color w:val="auto"/>
          <w:sz w:val="24"/>
          <w:highlight w:val="none"/>
          <w:lang w:bidi="ar"/>
        </w:rPr>
        <w:t>获取招标文件，方可参加投标。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2.5投标费用自理。不论投标的结果如何，投标人均应自行承担所有与参加投标有关的费用。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3.投标货物及服务的合格性和合法性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3.1投标货物及服务应满足招标文件的要求并应符合国家法律法规、行业管理部门要求的其他强制性标准。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5.1同级人民政府财政部门及有关部门依法履行对招标过程的监督管理职责。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4" w:name="_Toc363474018"/>
      <w:bookmarkStart w:id="25" w:name="_Toc403077640"/>
      <w:bookmarkStart w:id="26" w:name="_Toc363473973"/>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招标文件要求提供的货物、服务、工程，招标程序和合同条件在招标文件中均有说明。招标文件共七章，内容如下：</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第七章 投标文件构成及格式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7.1在投标截止时间前，采购代理机构可以视采购具体情况，延长投标截止时间和开标时间并在财政部门指定的媒体上发布变更公告，同时将变更时间书面通知所有招标文件收受人。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7.3已经</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招标文件的投标人对招标文件有疑问的，均应在</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招标文件后7个工作日内以书面形式向采购代理机构提出。采购代理机构视情况必要时将书面答复传送给所有招标文件收受人。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rPr>
        <w:t>7.4</w:t>
      </w:r>
      <w:r>
        <w:rPr>
          <w:rFonts w:hint="eastAsia" w:ascii="宋体" w:hAnsi="宋体" w:eastAsia="宋体" w:cs="宋体"/>
          <w:color w:val="auto"/>
          <w:sz w:val="24"/>
          <w:szCs w:val="20"/>
          <w:highlight w:val="none"/>
        </w:rPr>
        <w:t>投标人在收到上述通知后，应立即向采购代理机构回函确认。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7" w:name="_Toc363474019"/>
      <w:bookmarkStart w:id="28" w:name="_Toc363473974"/>
      <w:bookmarkStart w:id="29" w:name="_Toc403077641"/>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1）按照投标人须知的要求和投标文件规定的格式填写的投标书、投标报价表、法定代表人/单位负责人授权书；</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2）按照招标文件的要求编制的投标方案说明书，内容至少应包括组织实施计划和供货的详细说明、货物一览表、质量保证、人员配备和服务承诺等；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9.3本次投标的最小单元为“包”，投标人可根据自身的资质情况和经营范围进行投标，但不得将其子目自行分解或针对品目进行不完全投标，任何不完全的投标将按无效投标处理。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11.3投标报价：总包交钥匙价（精确到小数点后二位）。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投标人认为能够证明投标人提供优质供货能力的其他文件。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13.证明服务及货物的合格性和符合招标文件规定的文件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交货物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逐条对招标文件提出的技术要求和商务要求进行应答，说明所提供的货物和服务对招标的技术和商务要求是否做出了实质性响应并提供支持文件；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2）供货内容的详细说明。</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14.1投标人在投标时应向陕西中财招标代理有限公司递交“投标人须知前附表”规定数额的投标保证金,并作为其投标的一部分。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“投标人须知前附表”中规定的缴纳金额及方式办理。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14.7下列任何情况发生时，视为投标人违约，其投标保证金将被没收：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15.1投标有效期从递交投标文件的截止之日起100天。投标文件应在投标有效期内保持有效，投标有效期不满足规定有效期的投标文件将被视为无效投标而拒绝。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16.1投标人应按照本章投标人须知的要求, 递交壹份投标文件正本和“投标人须知前附表”中规定数量的副本。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16.2任何行间插字、涂改和增删，必须由投标人的法定代表人或其授权代表在旁边签字才有效。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16.3投标人名称应填写全称。</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16.4因字迹潦草、表述不清或不按招标文件格式编制的投标文件，所引起的对投标人不利的后果，由投标人自行负责。</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16.5本项目采用电子化招投标。投标人须使用数字认证证书对电子化投标文件进行签章、加密、递交及开标时解密等相关招投标事宜。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16.7</w:t>
      </w:r>
      <w:r>
        <w:rPr>
          <w:rFonts w:hint="eastAsia" w:ascii="宋体" w:hAnsi="宋体" w:eastAsia="宋体" w:cs="宋体"/>
          <w:b/>
          <w:color w:val="auto"/>
          <w:sz w:val="24"/>
          <w:szCs w:val="24"/>
          <w:highlight w:val="none"/>
        </w:rPr>
        <w:t>本项目采用电子化</w:t>
      </w:r>
      <w:r>
        <w:rPr>
          <w:rFonts w:hint="eastAsia" w:ascii="宋体" w:hAnsi="宋体" w:eastAsia="宋体" w:cs="宋体"/>
          <w:b/>
          <w:color w:val="auto"/>
          <w:sz w:val="24"/>
          <w:szCs w:val="24"/>
          <w:highlight w:val="none"/>
          <w:lang w:eastAsia="zh-CN"/>
        </w:rPr>
        <w:t>招投标</w:t>
      </w:r>
      <w:r>
        <w:rPr>
          <w:rFonts w:hint="eastAsia" w:ascii="宋体" w:hAnsi="宋体" w:eastAsia="宋体" w:cs="宋体"/>
          <w:b/>
          <w:color w:val="auto"/>
          <w:sz w:val="24"/>
          <w:szCs w:val="24"/>
          <w:highlight w:val="none"/>
        </w:rPr>
        <w:t>。投标人须使用数字认证证书对电子化</w:t>
      </w:r>
      <w:r>
        <w:rPr>
          <w:rFonts w:hint="eastAsia" w:ascii="宋体" w:hAnsi="宋体" w:eastAsia="宋体" w:cs="宋体"/>
          <w:b/>
          <w:color w:val="auto"/>
          <w:sz w:val="24"/>
          <w:szCs w:val="24"/>
          <w:highlight w:val="none"/>
          <w:lang w:eastAsia="zh-CN"/>
        </w:rPr>
        <w:t>投标文件</w:t>
      </w:r>
      <w:r>
        <w:rPr>
          <w:rFonts w:hint="eastAsia" w:ascii="宋体" w:hAnsi="宋体" w:eastAsia="宋体" w:cs="宋体"/>
          <w:b/>
          <w:color w:val="auto"/>
          <w:sz w:val="24"/>
          <w:szCs w:val="24"/>
          <w:highlight w:val="none"/>
        </w:rPr>
        <w:t>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16.7.3制作电子投标文件。电子投标文件同样需要使用上述软件进行编制。 在编制过程中，如有技术性问题，请先翻阅操作手册，或致电软件开发商。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403077642"/>
      <w:bookmarkStart w:id="31" w:name="_Toc363474020"/>
      <w:bookmarkStart w:id="32" w:name="_Toc363473975"/>
      <w:r>
        <w:rPr>
          <w:rFonts w:hint="eastAsia" w:ascii="宋体" w:hAnsi="宋体" w:eastAsia="宋体" w:cs="宋体"/>
          <w:b/>
          <w:bCs w:val="0"/>
          <w:color w:val="auto"/>
          <w:kern w:val="2"/>
          <w:sz w:val="32"/>
          <w:szCs w:val="32"/>
          <w:highlight w:val="none"/>
          <w:lang w:val="en-US" w:eastAsia="zh-CN" w:bidi="ar"/>
        </w:rPr>
        <w:t>四.投标文件的递交</w:t>
      </w:r>
      <w:bookmarkEnd w:id="30"/>
      <w:bookmarkEnd w:id="31"/>
      <w:bookmarkEnd w:id="32"/>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w:t>
      </w:r>
      <w:r>
        <w:rPr>
          <w:rFonts w:hint="eastAsia" w:ascii="宋体" w:hAnsi="宋体" w:eastAsia="宋体" w:cs="宋体"/>
          <w:b/>
          <w:color w:val="auto"/>
          <w:sz w:val="24"/>
          <w:szCs w:val="24"/>
          <w:lang w:eastAsia="zh-CN"/>
        </w:rPr>
        <w:t>纸质版</w:t>
      </w:r>
      <w:r>
        <w:rPr>
          <w:rFonts w:hint="eastAsia" w:ascii="宋体" w:hAnsi="宋体" w:eastAsia="宋体" w:cs="宋体"/>
          <w:b/>
          <w:bCs w:val="0"/>
          <w:color w:val="auto"/>
          <w:kern w:val="2"/>
          <w:sz w:val="24"/>
          <w:szCs w:val="24"/>
          <w:highlight w:val="none"/>
          <w:lang w:val="en-US" w:eastAsia="zh-CN" w:bidi="ar"/>
        </w:rPr>
        <w:t>投标文件的密封和递交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应将</w:t>
      </w:r>
      <w:r>
        <w:rPr>
          <w:rFonts w:hint="eastAsia" w:ascii="宋体" w:hAnsi="宋体" w:eastAsia="宋体" w:cs="宋体"/>
          <w:color w:val="auto"/>
          <w:sz w:val="24"/>
          <w:szCs w:val="24"/>
          <w:lang w:eastAsia="zh-CN"/>
        </w:rPr>
        <w:t>投标文</w:t>
      </w:r>
      <w:r>
        <w:rPr>
          <w:rFonts w:hint="eastAsia" w:ascii="宋体" w:hAnsi="宋体" w:eastAsia="宋体" w:cs="宋体"/>
          <w:color w:val="auto"/>
          <w:sz w:val="24"/>
          <w:szCs w:val="24"/>
        </w:rPr>
        <w:t>件正本、所有的副本密封装在</w:t>
      </w:r>
      <w:r>
        <w:rPr>
          <w:rFonts w:hint="eastAsia" w:ascii="宋体" w:hAnsi="宋体" w:eastAsia="宋体" w:cs="宋体"/>
          <w:color w:val="auto"/>
          <w:sz w:val="24"/>
          <w:szCs w:val="24"/>
          <w:lang w:val="en-US" w:eastAsia="zh-CN"/>
        </w:rPr>
        <w:t>同一密</w:t>
      </w:r>
      <w:r>
        <w:rPr>
          <w:rFonts w:hint="eastAsia" w:ascii="宋体" w:hAnsi="宋体" w:eastAsia="宋体" w:cs="宋体"/>
          <w:color w:val="auto"/>
          <w:sz w:val="24"/>
          <w:szCs w:val="24"/>
        </w:rPr>
        <w:t>封袋中（封袋不得有破损）</w:t>
      </w:r>
      <w:r>
        <w:rPr>
          <w:rFonts w:hint="eastAsia" w:ascii="宋体" w:hAnsi="宋体" w:eastAsia="宋体" w:cs="宋体"/>
          <w:color w:val="auto"/>
          <w:sz w:val="24"/>
          <w:szCs w:val="24"/>
          <w:lang w:eastAsia="zh-CN"/>
        </w:rPr>
        <w:t>递交</w:t>
      </w:r>
      <w:r>
        <w:rPr>
          <w:rFonts w:hint="eastAsia" w:ascii="宋体" w:hAnsi="宋体" w:eastAsia="宋体" w:cs="宋体"/>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pPr>
        <w:keepNext w:val="0"/>
        <w:keepLines w:val="0"/>
        <w:pageBreakBefore w:val="0"/>
        <w:shd w:val="clear"/>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rPr>
      </w:pPr>
      <w:r>
        <w:rPr>
          <w:rFonts w:hint="eastAsia" w:ascii="宋体" w:hAnsi="宋体" w:eastAsia="宋体" w:cs="宋体"/>
          <w:b/>
          <w:color w:val="auto"/>
          <w:kern w:val="2"/>
          <w:sz w:val="24"/>
          <w:szCs w:val="24"/>
          <w:highlight w:val="none"/>
        </w:rPr>
        <w:t>本项目采用</w:t>
      </w:r>
      <w:r>
        <w:rPr>
          <w:rFonts w:hint="eastAsia" w:ascii="宋体" w:hAnsi="宋体" w:eastAsia="宋体" w:cs="宋体"/>
          <w:b/>
          <w:color w:val="auto"/>
          <w:kern w:val="2"/>
          <w:sz w:val="24"/>
          <w:szCs w:val="24"/>
          <w:highlight w:val="none"/>
          <w:lang w:eastAsia="zh-CN"/>
        </w:rPr>
        <w:t>电子投标文件</w:t>
      </w:r>
      <w:r>
        <w:rPr>
          <w:rFonts w:hint="eastAsia" w:ascii="宋体" w:hAnsi="宋体" w:eastAsia="宋体" w:cs="宋体"/>
          <w:b/>
          <w:color w:val="auto"/>
          <w:kern w:val="2"/>
          <w:sz w:val="24"/>
          <w:szCs w:val="24"/>
          <w:highlight w:val="none"/>
        </w:rPr>
        <w:t>与纸质</w:t>
      </w:r>
      <w:r>
        <w:rPr>
          <w:rFonts w:hint="eastAsia" w:ascii="宋体" w:hAnsi="宋体" w:eastAsia="宋体" w:cs="宋体"/>
          <w:b/>
          <w:color w:val="auto"/>
          <w:kern w:val="2"/>
          <w:sz w:val="24"/>
          <w:szCs w:val="24"/>
          <w:highlight w:val="none"/>
          <w:lang w:eastAsia="zh-CN"/>
        </w:rPr>
        <w:t>投标文件</w:t>
      </w:r>
      <w:r>
        <w:rPr>
          <w:rFonts w:hint="eastAsia" w:ascii="宋体" w:hAnsi="宋体" w:eastAsia="宋体" w:cs="宋体"/>
          <w:b/>
          <w:color w:val="auto"/>
          <w:kern w:val="2"/>
          <w:sz w:val="24"/>
          <w:szCs w:val="24"/>
          <w:highlight w:val="none"/>
        </w:rPr>
        <w:t>并行的方式</w:t>
      </w:r>
      <w:r>
        <w:rPr>
          <w:rFonts w:hint="eastAsia" w:ascii="宋体" w:hAnsi="宋体" w:eastAsia="宋体" w:cs="宋体"/>
          <w:b/>
          <w:color w:val="auto"/>
          <w:kern w:val="2"/>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18.1 电子投标文件的递交：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18.2 纸质版递交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宋体" w:hAnsi="宋体" w:eastAsia="宋体" w:cs="宋体"/>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19.1按照</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须知的规定，采购代理机构将拒绝接受在规定的</w:t>
      </w:r>
      <w:r>
        <w:rPr>
          <w:rFonts w:hint="eastAsia" w:ascii="宋体" w:hAnsi="宋体" w:eastAsia="宋体" w:cs="宋体"/>
          <w:color w:val="auto"/>
          <w:sz w:val="24"/>
          <w:szCs w:val="24"/>
          <w:highlight w:val="none"/>
          <w:lang w:val="en-US" w:eastAsia="zh-CN"/>
        </w:rPr>
        <w:t>投标截止时间</w:t>
      </w:r>
      <w:r>
        <w:rPr>
          <w:rFonts w:hint="eastAsia" w:ascii="宋体" w:hAnsi="宋体" w:eastAsia="宋体" w:cs="宋体"/>
          <w:color w:val="auto"/>
          <w:sz w:val="24"/>
          <w:szCs w:val="24"/>
          <w:highlight w:val="none"/>
          <w:lang w:val="en-US"/>
        </w:rPr>
        <w:t>后递交的任何</w:t>
      </w:r>
      <w:r>
        <w:rPr>
          <w:rFonts w:hint="eastAsia" w:ascii="宋体" w:hAnsi="宋体" w:eastAsia="宋体" w:cs="宋体"/>
          <w:color w:val="auto"/>
          <w:sz w:val="24"/>
          <w:szCs w:val="24"/>
          <w:highlight w:val="none"/>
          <w:lang w:val="en-US" w:eastAsia="zh-CN"/>
        </w:rPr>
        <w:t>投标文</w:t>
      </w:r>
      <w:r>
        <w:rPr>
          <w:rFonts w:hint="eastAsia" w:ascii="宋体" w:hAnsi="宋体" w:eastAsia="宋体" w:cs="宋体"/>
          <w:color w:val="auto"/>
          <w:sz w:val="24"/>
          <w:szCs w:val="24"/>
          <w:highlight w:val="none"/>
          <w:lang w:val="en-US"/>
        </w:rPr>
        <w:t>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363473976"/>
      <w:bookmarkStart w:id="34" w:name="_Toc363474021"/>
      <w:bookmarkStart w:id="35" w:name="_Toc403077643"/>
      <w:r>
        <w:rPr>
          <w:rFonts w:hint="eastAsia" w:ascii="宋体" w:hAnsi="宋体" w:eastAsia="宋体" w:cs="宋体"/>
          <w:b/>
          <w:bCs w:val="0"/>
          <w:color w:val="auto"/>
          <w:kern w:val="2"/>
          <w:sz w:val="32"/>
          <w:szCs w:val="32"/>
          <w:highlight w:val="none"/>
          <w:lang w:val="en-US" w:eastAsia="zh-CN" w:bidi="ar"/>
        </w:rPr>
        <w:t>五.开标与评标</w:t>
      </w:r>
      <w:bookmarkEnd w:id="33"/>
      <w:bookmarkEnd w:id="34"/>
      <w:bookmarkEnd w:id="35"/>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采购代理机构在规定的时间和地点组织公开开标。开标时所有投标人代表自愿参加，不参加的视为认同开标结果，参加开标的代表应签到以证明其出席。</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由投标人将电子投标文件解密后，由采购代理机构工作人员当众宣布投标人名称、投标价格、价格折扣、交货安装期、质保期等修改或撤回或变动价格的书面通知（如果有），以及采购代理机构认为合适的其他内容。未在开标时宣读的投标价格和价格折扣，评标时不予承认，询问各供应商无异议后，进入评审环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21.3只有在开标时唱出的价格和价格变动声明，评标时才能考虑。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21.4采购代理机构将做开标记录，存档备查。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21.5投标人不足3家的，不得开标。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22.5投标人的资格审查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22.5.1开标结束后，采购人或者采购代理机构应当依法对投标人的资格进行审查，合格投标人不足3家的，不得评标。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22.6投标文件的符合性审查。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22.6.3符合性审查：在详细量化评审之前，根据本须知第22.6.4条的规定，评标委员会要审查每份投标文件是否实质上响应了招标文件的要求。实质上响应的投标应该是与招标文件要求的全部条款、条件和规格参数相符，没有重大偏离的投标。对关键条文的偏离、保留或反对将被认为是实质上的偏离。评标委员会决定投标的响应性只根据投标文件本身的内容，而不寻求外部的证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投标人的投标报价超过采购预算</w:t>
      </w:r>
      <w:r>
        <w:rPr>
          <w:rFonts w:hint="eastAsia" w:ascii="宋体" w:hAnsi="宋体" w:eastAsia="宋体" w:cs="宋体"/>
          <w:color w:val="auto"/>
          <w:sz w:val="24"/>
          <w:highlight w:val="none"/>
        </w:rPr>
        <w:t>或者最高限价</w:t>
      </w:r>
      <w:r>
        <w:rPr>
          <w:rFonts w:hint="eastAsia" w:ascii="宋体" w:hAnsi="宋体" w:eastAsia="宋体" w:cs="宋体"/>
          <w:color w:val="auto"/>
          <w:sz w:val="24"/>
          <w:szCs w:val="22"/>
          <w:highlight w:val="none"/>
          <w:lang w:bidi="ar"/>
        </w:rPr>
        <w:t>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2）投标文件未按招标文件要求签署、盖章的；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3）不具备招标文件中规定的资格要求的，或不符合国家规定的；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4）投标书无投标人鲜章、无法定代表人或授权人签章或签章人无法定代表人/单位负责人有效委托书的；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5）投标文件未按招标文件要求的格式编写；</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6）无投标有效期或有效期达不到招标文件要求的；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7）投标单位针对同一项目递交两份或多份内容不同的投标文件，未书面声明哪一份是有效的或出现选择性报价的；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8）投标文件存在有重大缺漏项或投标内容存在重大技术偏离的；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9）投标人有串通投标、以他人名义投标、弄虚作假、行贿等违法行为的；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10）投标文件实质性内容不满足或未响应的（包括但不限于：</w:t>
      </w:r>
      <w:r>
        <w:rPr>
          <w:rFonts w:hint="eastAsia" w:ascii="宋体" w:hAnsi="宋体" w:eastAsia="宋体" w:cs="宋体"/>
          <w:color w:val="auto"/>
          <w:sz w:val="24"/>
          <w:szCs w:val="22"/>
          <w:highlight w:val="none"/>
          <w:lang w:eastAsia="zh-CN" w:bidi="ar"/>
        </w:rPr>
        <w:t>交货安装期、质保期</w:t>
      </w:r>
      <w:r>
        <w:rPr>
          <w:rFonts w:hint="eastAsia" w:ascii="宋体" w:hAnsi="宋体" w:eastAsia="宋体" w:cs="宋体"/>
          <w:color w:val="auto"/>
          <w:sz w:val="24"/>
          <w:szCs w:val="22"/>
          <w:highlight w:val="none"/>
          <w:lang w:bidi="ar"/>
        </w:rPr>
        <w:t>、付款方式等）；</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11）投标人未经过正常渠道获取招标文件，或投标人名称与获取招标文件时登记的投标人名称不符的；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12</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存在单位负责人为同一人或者存在直接控股、管理关系的不同供应商，参加本项目政府采购活动；</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13）投标文件含有采购人不能接受的附加条件的；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14</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逾期提交电子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15）</w:t>
      </w:r>
      <w:r>
        <w:rPr>
          <w:rFonts w:hint="eastAsia" w:ascii="宋体" w:hAnsi="宋体" w:eastAsia="宋体" w:cs="宋体"/>
          <w:color w:val="auto"/>
          <w:sz w:val="24"/>
          <w:szCs w:val="22"/>
          <w:highlight w:val="none"/>
          <w:lang w:bidi="ar"/>
        </w:rPr>
        <w:t>投标人</w:t>
      </w:r>
      <w:r>
        <w:rPr>
          <w:rFonts w:hint="eastAsia" w:ascii="宋体" w:hAnsi="宋体" w:eastAsia="宋体" w:cs="宋体"/>
          <w:color w:val="auto"/>
          <w:sz w:val="24"/>
          <w:szCs w:val="22"/>
          <w:highlight w:val="none"/>
          <w:lang w:val="en-US" w:eastAsia="zh-CN" w:bidi="ar"/>
        </w:rPr>
        <w:t>应按要求未在投标截止时间前1小时内签到；</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16）</w:t>
      </w:r>
      <w:r>
        <w:rPr>
          <w:rFonts w:hint="eastAsia" w:ascii="宋体" w:hAnsi="宋体" w:eastAsia="宋体" w:cs="宋体"/>
          <w:color w:val="auto"/>
          <w:sz w:val="24"/>
          <w:szCs w:val="22"/>
          <w:highlight w:val="none"/>
          <w:lang w:bidi="ar"/>
        </w:rPr>
        <w:t>提交的</w:t>
      </w:r>
      <w:r>
        <w:rPr>
          <w:rFonts w:hint="eastAsia" w:ascii="宋体" w:hAnsi="宋体" w:eastAsia="宋体" w:cs="宋体"/>
          <w:color w:val="auto"/>
          <w:sz w:val="24"/>
          <w:szCs w:val="22"/>
          <w:highlight w:val="none"/>
          <w:lang w:eastAsia="zh-CN" w:bidi="ar"/>
        </w:rPr>
        <w:t>投标文件</w:t>
      </w:r>
      <w:r>
        <w:rPr>
          <w:rFonts w:hint="eastAsia" w:ascii="宋体" w:hAnsi="宋体" w:eastAsia="宋体" w:cs="宋体"/>
          <w:color w:val="auto"/>
          <w:sz w:val="24"/>
          <w:szCs w:val="22"/>
          <w:highlight w:val="none"/>
          <w:lang w:bidi="ar"/>
        </w:rPr>
        <w:t>与本项目不相符；</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7）</w:t>
      </w:r>
      <w:r>
        <w:rPr>
          <w:rFonts w:hint="eastAsia" w:ascii="宋体" w:hAnsi="宋体" w:eastAsia="宋体" w:cs="宋体"/>
          <w:color w:val="auto"/>
          <w:sz w:val="24"/>
          <w:szCs w:val="22"/>
          <w:highlight w:val="none"/>
          <w:lang w:bidi="ar"/>
        </w:rPr>
        <w:t>投标人拒绝对电子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文件进行解密；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18）未在规定的时间内</w:t>
      </w:r>
      <w:r>
        <w:rPr>
          <w:rFonts w:hint="eastAsia" w:ascii="宋体" w:hAnsi="宋体" w:eastAsia="宋体" w:cs="宋体"/>
          <w:color w:val="auto"/>
          <w:sz w:val="24"/>
          <w:szCs w:val="22"/>
          <w:highlight w:val="none"/>
          <w:lang w:bidi="ar"/>
        </w:rPr>
        <w:t>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w:t>
      </w:r>
      <w:r>
        <w:rPr>
          <w:rFonts w:hint="eastAsia" w:ascii="宋体" w:hAnsi="宋体" w:eastAsia="宋体" w:cs="宋体"/>
          <w:color w:val="auto"/>
          <w:sz w:val="24"/>
          <w:szCs w:val="22"/>
          <w:highlight w:val="none"/>
          <w:lang w:val="en-US" w:eastAsia="zh-CN" w:bidi="ar"/>
        </w:rPr>
        <w:t>解密成功的；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19）</w:t>
      </w:r>
      <w:r>
        <w:rPr>
          <w:rFonts w:hint="eastAsia" w:ascii="宋体" w:hAnsi="宋体" w:eastAsia="宋体" w:cs="宋体"/>
          <w:color w:val="auto"/>
          <w:sz w:val="24"/>
          <w:szCs w:val="22"/>
          <w:highlight w:val="none"/>
          <w:lang w:bidi="ar"/>
        </w:rPr>
        <w:t>因投标人自身原因（如未带CA锁、或所带CA锁与制作电子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文件使用的CA锁不一致、或沿用旧版编制投标文件等情形），导致在规定时间内无法解密</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highlight w:val="none"/>
        </w:rPr>
        <w:t>上传的</w:t>
      </w:r>
      <w:r>
        <w:rPr>
          <w:rFonts w:hint="eastAsia" w:ascii="宋体" w:hAnsi="宋体" w:eastAsia="宋体" w:cs="宋体"/>
          <w:color w:val="auto"/>
          <w:sz w:val="24"/>
          <w:highlight w:val="none"/>
          <w:lang w:eastAsia="zh-CN"/>
        </w:rPr>
        <w:t>电子投标文件</w:t>
      </w:r>
      <w:r>
        <w:rPr>
          <w:rFonts w:hint="eastAsia" w:ascii="宋体" w:hAnsi="宋体" w:eastAsia="宋体" w:cs="宋体"/>
          <w:color w:val="auto"/>
          <w:sz w:val="24"/>
          <w:highlight w:val="none"/>
        </w:rPr>
        <w:t>无法打开</w:t>
      </w:r>
      <w:r>
        <w:rPr>
          <w:rFonts w:hint="eastAsia" w:ascii="宋体" w:hAnsi="宋体" w:eastAsia="宋体" w:cs="宋体"/>
          <w:color w:val="auto"/>
          <w:sz w:val="24"/>
          <w:highlight w:val="none"/>
          <w:lang w:eastAsia="zh-CN"/>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eastAsia="zh-CN" w:bidi="ar"/>
        </w:rPr>
      </w:pPr>
      <w:r>
        <w:rPr>
          <w:rFonts w:hint="eastAsia" w:ascii="宋体" w:hAnsi="宋体" w:eastAsia="宋体" w:cs="宋体"/>
          <w:color w:val="auto"/>
          <w:sz w:val="24"/>
          <w:szCs w:val="22"/>
          <w:highlight w:val="none"/>
          <w:lang w:val="en-US" w:eastAsia="zh-CN" w:bidi="ar"/>
        </w:rPr>
        <w:t>21</w:t>
      </w:r>
      <w:r>
        <w:rPr>
          <w:rFonts w:hint="eastAsia" w:ascii="宋体" w:hAnsi="宋体" w:eastAsia="宋体" w:cs="宋体"/>
          <w:color w:val="auto"/>
          <w:sz w:val="24"/>
          <w:szCs w:val="22"/>
          <w:highlight w:val="none"/>
          <w:lang w:bidi="ar"/>
        </w:rPr>
        <w:t>）法律、法规和招标文件规定的其他情形</w:t>
      </w:r>
      <w:r>
        <w:rPr>
          <w:rFonts w:hint="eastAsia" w:ascii="宋体" w:hAnsi="宋体" w:eastAsia="宋体" w:cs="宋体"/>
          <w:color w:val="auto"/>
          <w:sz w:val="24"/>
          <w:szCs w:val="22"/>
          <w:highlight w:val="none"/>
          <w:lang w:eastAsia="zh-CN"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rPr>
      </w:pPr>
      <w:r>
        <w:rPr>
          <w:rFonts w:hint="eastAsia" w:ascii="宋体" w:hAnsi="宋体" w:eastAsia="宋体" w:cs="宋体"/>
          <w:color w:val="auto"/>
          <w:sz w:val="24"/>
          <w:szCs w:val="22"/>
          <w:highlight w:val="none"/>
          <w:lang w:val="en-US" w:eastAsia="zh-CN" w:bidi="ar"/>
        </w:rPr>
        <w:t>22</w:t>
      </w:r>
      <w:r>
        <w:rPr>
          <w:rFonts w:hint="eastAsia" w:ascii="宋体" w:hAnsi="宋体" w:eastAsia="宋体" w:cs="宋体"/>
          <w:color w:val="auto"/>
          <w:sz w:val="24"/>
          <w:szCs w:val="22"/>
          <w:highlight w:val="none"/>
          <w:lang w:bidi="ar"/>
        </w:rPr>
        <w:t>）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22.7.2详细评审按照第六章“评标方法”的评标方法进行。</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评标委员会完成评标后，向采购人提出书面评标报告，并推荐三名中标候选人，标明排列顺序。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1）最低评标价法，即在全部满足招标文件实质性要求前提下，依据统一的价格要素评定最低报价，以提出最低报价的投标人作为中标候选投标人并依次排序。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5）非单一产品采购项目，采购人应当根据采购项目技术构成、产品价格比重等合理确定核心产品。多家投标人提供的核心产品品牌相同的，按前两款规定处理。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6" w:name="_Toc403077644"/>
      <w:bookmarkStart w:id="37" w:name="_Toc363474022"/>
      <w:bookmarkStart w:id="38" w:name="_Toc363473977"/>
      <w:r>
        <w:rPr>
          <w:rFonts w:hint="eastAsia" w:ascii="宋体" w:hAnsi="宋体" w:eastAsia="宋体" w:cs="宋体"/>
          <w:b/>
          <w:bCs w:val="0"/>
          <w:color w:val="auto"/>
          <w:kern w:val="2"/>
          <w:sz w:val="32"/>
          <w:szCs w:val="32"/>
          <w:highlight w:val="none"/>
          <w:lang w:val="en-US" w:eastAsia="zh-CN" w:bidi="ar"/>
        </w:rPr>
        <w:t>六.定标、中标通知与签约</w:t>
      </w:r>
      <w:bookmarkEnd w:id="36"/>
      <w:bookmarkEnd w:id="37"/>
      <w:bookmarkEnd w:id="38"/>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26.1评标委员会根据评标方法的规定对投标人进行评审排序，推荐第一、第二、第三名中标候选人，作为评标结果。评标结果由评标委员会成员签字确认。</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26.2采购人根据评标报告中推荐的中标候选人排列顺序，确定排名第一的为中标人。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w:t>
      </w:r>
      <w:r>
        <w:rPr>
          <w:rFonts w:hint="eastAsia" w:ascii="宋体" w:hAnsi="宋体" w:eastAsia="宋体" w:cs="宋体"/>
          <w:color w:val="auto"/>
          <w:sz w:val="24"/>
          <w:szCs w:val="20"/>
          <w:highlight w:val="none"/>
          <w:lang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sz w:val="24"/>
          <w:highlight w:val="none"/>
          <w:lang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26.3采购人也可以授权评标委员会评标后直接确定中标人。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highlight w:val="none"/>
          <w:lang w:bidi="ar"/>
        </w:rPr>
        <w:t>26.5投标人或者其他利害关系人对评标结果有异议的，应当在公示期间提出。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28.2采购人自采购合同签订之日起七个工作日内将采购合同副本报同级人民政府财政部门备案。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9" w:name="_Toc403077645"/>
      <w:bookmarkStart w:id="40" w:name="_Toc363474023"/>
      <w:r>
        <w:rPr>
          <w:rFonts w:hint="eastAsia" w:ascii="宋体" w:hAnsi="宋体" w:eastAsia="宋体" w:cs="宋体"/>
          <w:b/>
          <w:bCs w:val="0"/>
          <w:color w:val="auto"/>
          <w:kern w:val="2"/>
          <w:sz w:val="24"/>
          <w:szCs w:val="24"/>
          <w:highlight w:val="none"/>
          <w:lang w:val="en-US" w:eastAsia="zh-CN" w:bidi="ar"/>
        </w:rPr>
        <w:t>29．招标代理服务费</w:t>
      </w:r>
    </w:p>
    <w:p>
      <w:pPr>
        <w:keepNext w:val="0"/>
        <w:keepLines w:val="0"/>
        <w:pageBreakBefore w:val="0"/>
        <w:widowControl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29.1</w:t>
      </w: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29.2</w:t>
      </w: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招标代理服务收费标准(费率)</w:t>
      </w:r>
    </w:p>
    <w:tbl>
      <w:tblPr>
        <w:tblStyle w:val="41"/>
        <w:tblW w:w="813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37"/>
        <w:gridCol w:w="2190"/>
        <w:gridCol w:w="1861"/>
        <w:gridCol w:w="1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联系人：王丽丽</w:t>
      </w:r>
      <w:r>
        <w:rPr>
          <w:rFonts w:hint="default" w:ascii="Times New Roman" w:hAnsi="宋体" w:eastAsia="宋体" w:cs="宋体"/>
          <w:color w:val="auto"/>
          <w:kern w:val="2"/>
          <w:sz w:val="24"/>
          <w:szCs w:val="24"/>
          <w:highlight w:val="none"/>
          <w:lang w:val="en-US" w:eastAsia="zh-CN" w:bidi="ar"/>
        </w:rPr>
        <w:t xml:space="preserve">   </w:t>
      </w:r>
      <w:r>
        <w:rPr>
          <w:rFonts w:hint="eastAsia" w:ascii="Times New Roman" w:hAnsi="宋体" w:eastAsia="宋体" w:cs="宋体"/>
          <w:color w:val="auto"/>
          <w:kern w:val="2"/>
          <w:sz w:val="24"/>
          <w:szCs w:val="24"/>
          <w:highlight w:val="none"/>
          <w:lang w:val="en-US" w:eastAsia="zh-CN" w:bidi="ar"/>
        </w:rPr>
        <w:t>冯莹</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联系电话：0912-3538488</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pPr>
        <w:shd w:val="clear"/>
        <w:spacing w:line="360" w:lineRule="auto"/>
        <w:rPr>
          <w:rFonts w:hint="eastAsia" w:ascii="宋体" w:hAnsi="宋体" w:eastAsia="宋体" w:cs="宋体"/>
          <w:color w:val="auto"/>
          <w:kern w:val="2"/>
          <w:sz w:val="21"/>
          <w:szCs w:val="24"/>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bookmarkEnd w:id="39"/>
    <w:p>
      <w:pPr>
        <w:pStyle w:val="3"/>
        <w:shd w:val="clear"/>
        <w:bidi w:val="0"/>
        <w:rPr>
          <w:rFonts w:hint="eastAsia"/>
          <w:color w:val="auto"/>
          <w:highlight w:val="none"/>
          <w:lang w:val="en-US"/>
        </w:rPr>
      </w:pPr>
      <w:bookmarkStart w:id="41" w:name="_Toc11652"/>
      <w:bookmarkStart w:id="42" w:name="_Toc6830"/>
      <w:bookmarkStart w:id="43" w:name="_Toc31520"/>
      <w:bookmarkStart w:id="44" w:name="_Toc19246"/>
      <w:bookmarkStart w:id="45" w:name="_Toc29888"/>
      <w:bookmarkStart w:id="46" w:name="_Toc19199"/>
      <w:bookmarkStart w:id="47" w:name="_Toc8333"/>
      <w:bookmarkStart w:id="48" w:name="_Toc26595"/>
      <w:bookmarkStart w:id="49" w:name="_Toc389582037"/>
      <w:r>
        <w:rPr>
          <w:rFonts w:hint="eastAsia"/>
          <w:color w:val="auto"/>
          <w:highlight w:val="none"/>
          <w:lang w:eastAsia="zh-CN"/>
        </w:rPr>
        <w:t>第三章 商务要求</w:t>
      </w:r>
      <w:bookmarkEnd w:id="41"/>
      <w:bookmarkEnd w:id="42"/>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78"/>
        <w:gridCol w:w="8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sz w:val="24"/>
                <w:szCs w:val="24"/>
                <w:highlight w:val="none"/>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采购人名称：吴堡县教育和体育局</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地址：吴堡县宋家川街道新建街155号</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项目名称：吴堡县示范幼儿园新建教学楼配套设备采购项目</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包号：第一包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资金来源：财政资金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交货地点：采购人指定地点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质保期：</w:t>
            </w:r>
            <w:r>
              <w:rPr>
                <w:rFonts w:hint="eastAsia" w:ascii="宋体" w:hAnsi="宋体" w:eastAsia="宋体" w:cs="宋体"/>
                <w:color w:val="auto"/>
                <w:sz w:val="24"/>
                <w:szCs w:val="24"/>
                <w:highlight w:val="none"/>
                <w:lang w:val="en-US" w:eastAsia="zh-CN"/>
              </w:rPr>
              <w:t>验收合格后一年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2.合同总价一次包死，不受市场价变化或实际工作量变化的影响。</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3.付款方式和程序：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（2）付款方式：合同签订后支付合同价款的40%，项目验收合格后支付合同价款的60%，剩余5%质保期满一年后一次性付清。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履约情况：供货完成后，采购人组织相关部门及人员进行验收，验收不合格的，造成退货、换货的一切费用由供货商承担，并负担采购人的一切损失。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0"/>
                <w:highlight w:val="none"/>
                <w:lang w:val="en-US" w:eastAsia="zh-CN" w:bidi="ar"/>
              </w:rPr>
              <w:t>安装、调试要求：</w:t>
            </w:r>
          </w:p>
          <w:p>
            <w:pPr>
              <w:keepNext w:val="0"/>
              <w:keepLines w:val="0"/>
              <w:widowControl w:val="0"/>
              <w:numPr>
                <w:ilvl w:val="0"/>
                <w:numId w:val="0"/>
              </w:numPr>
              <w:suppressLineNumbers w:val="0"/>
              <w:shd w:val="clear"/>
              <w:spacing w:before="0" w:beforeAutospacing="0" w:after="0" w:afterAutospacing="0" w:line="360" w:lineRule="auto"/>
              <w:ind w:left="0" w:right="0" w:righ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安装期间所发生的费用均由投标人负责。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技术支持：</w:t>
            </w:r>
          </w:p>
          <w:p>
            <w:pPr>
              <w:pStyle w:val="17"/>
              <w:widowControl/>
              <w:shd w:val="clear"/>
              <w:spacing w:line="360" w:lineRule="auto"/>
              <w:ind w:firstLine="480" w:firstLineChars="200"/>
              <w:rPr>
                <w:rFonts w:hint="eastAsia" w:ascii="宋体" w:hAnsi="宋体" w:eastAsia="宋体" w:cs="宋体"/>
                <w:color w:val="auto"/>
                <w:sz w:val="24"/>
                <w:szCs w:val="20"/>
                <w:highlight w:val="none"/>
                <w:lang w:val="en-US"/>
              </w:rPr>
            </w:pP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rPr>
              <w:t>7*24</w:t>
            </w:r>
            <w:r>
              <w:rPr>
                <w:rFonts w:hint="eastAsia" w:ascii="宋体" w:hAnsi="宋体" w:eastAsia="宋体" w:cs="宋体"/>
                <w:color w:val="auto"/>
                <w:sz w:val="24"/>
                <w:szCs w:val="24"/>
                <w:highlight w:val="none"/>
              </w:rPr>
              <w:t>小时技术支持；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技术培训：</w:t>
            </w:r>
          </w:p>
          <w:p>
            <w:pPr>
              <w:pStyle w:val="23"/>
              <w:widowControl/>
              <w:shd w:val="clear"/>
              <w:spacing w:line="360" w:lineRule="auto"/>
              <w:ind w:firstLine="480" w:firstLineChars="200"/>
              <w:rPr>
                <w:rFonts w:hAnsi="宋体"/>
                <w:b/>
                <w:color w:val="auto"/>
                <w:sz w:val="24"/>
                <w:szCs w:val="24"/>
                <w:highlight w:val="none"/>
                <w:lang w:val="en-US"/>
              </w:rPr>
            </w:pPr>
            <w:r>
              <w:rPr>
                <w:rFonts w:hAnsi="宋体"/>
                <w:color w:val="auto"/>
                <w:sz w:val="24"/>
                <w:szCs w:val="24"/>
                <w:highlight w:val="none"/>
              </w:rPr>
              <w:t>应包括产品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使用操作、保养、维修等培训内容。投标人需为采购人免费培训技术人员若干名，培训服务以受培训人员熟练掌握相应技能为原则。在产品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投入使用初期进行必要的跟踪指导，保障产品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的稳定运行。投标产品</w:t>
            </w:r>
            <w:r>
              <w:rPr>
                <w:rFonts w:hAnsi="宋体"/>
                <w:color w:val="auto"/>
                <w:sz w:val="24"/>
                <w:szCs w:val="24"/>
                <w:highlight w:val="none"/>
                <w:lang w:val="en-US"/>
              </w:rPr>
              <w:t>(</w:t>
            </w:r>
            <w:r>
              <w:rPr>
                <w:rFonts w:hAnsi="宋体"/>
                <w:color w:val="auto"/>
                <w:sz w:val="24"/>
                <w:szCs w:val="24"/>
                <w:highlight w:val="none"/>
              </w:rPr>
              <w:t>设备</w:t>
            </w:r>
            <w:r>
              <w:rPr>
                <w:rFonts w:hAnsi="宋体"/>
                <w:color w:val="auto"/>
                <w:sz w:val="24"/>
                <w:szCs w:val="24"/>
                <w:highlight w:val="none"/>
                <w:lang w:val="en-US"/>
              </w:rPr>
              <w:t>)</w:t>
            </w:r>
            <w:r>
              <w:rPr>
                <w:rFonts w:hAnsi="宋体"/>
                <w:color w:val="auto"/>
                <w:sz w:val="24"/>
                <w:szCs w:val="24"/>
                <w:highlight w:val="none"/>
              </w:rPr>
              <w:t>需在培训基地培训的，投标人应按要求履行，培训产生的交通费、食宿费、培训费、资料费应商承担。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23"/>
              <w:widowControl/>
              <w:shd w:val="clear"/>
              <w:spacing w:line="360" w:lineRule="auto"/>
              <w:rPr>
                <w:rFonts w:hAnsi="宋体"/>
                <w:b/>
                <w:bCs w:val="0"/>
                <w:color w:val="auto"/>
                <w:kern w:val="0"/>
                <w:sz w:val="24"/>
                <w:szCs w:val="20"/>
                <w:highlight w:val="none"/>
                <w:lang w:val="en-US"/>
              </w:rPr>
            </w:pPr>
            <w:r>
              <w:rPr>
                <w:rFonts w:hAnsi="宋体"/>
                <w:b/>
                <w:bCs w:val="0"/>
                <w:color w:val="auto"/>
                <w:kern w:val="0"/>
                <w:sz w:val="24"/>
                <w:szCs w:val="20"/>
                <w:highlight w:val="none"/>
              </w:rPr>
              <w:t>质量保证：</w:t>
            </w:r>
          </w:p>
          <w:p>
            <w:pPr>
              <w:keepNext w:val="0"/>
              <w:keepLines w:val="0"/>
              <w:widowControl w:val="0"/>
              <w:suppressLineNumbers w:val="0"/>
              <w:shd w:val="clear"/>
              <w:spacing w:before="0" w:beforeAutospacing="0" w:after="0" w:afterAutospacing="0" w:line="360" w:lineRule="auto"/>
              <w:ind w:left="0" w:right="0" w:firstLine="360" w:firstLineChars="150"/>
              <w:jc w:val="both"/>
              <w:rPr>
                <w:rFonts w:hint="eastAsia" w:ascii="宋体" w:hAnsi="宋体" w:eastAsia="宋体" w:cs="宋体"/>
                <w:color w:val="auto"/>
                <w:kern w:val="0"/>
                <w:sz w:val="24"/>
                <w:szCs w:val="20"/>
                <w:highlight w:val="none"/>
                <w:lang w:val="en-US"/>
              </w:rPr>
            </w:pP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提供的</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及材料必须保证质量可靠，为市场最新或主流</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，进货渠道正常，配置合理齐全，应全面满足招标文件的要求，招标文件未明确要求的内容，</w:t>
            </w: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须按招标</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kern w:val="0"/>
                <w:sz w:val="24"/>
                <w:szCs w:val="20"/>
                <w:highlight w:val="none"/>
              </w:rPr>
              <w:t>主流标准配置或以采购人的补充要求为准。所供产品</w:t>
            </w:r>
            <w:r>
              <w:rPr>
                <w:rFonts w:hint="eastAsia" w:ascii="宋体" w:hAnsi="宋体" w:eastAsia="宋体" w:cs="宋体"/>
                <w:color w:val="auto"/>
                <w:kern w:val="0"/>
                <w:sz w:val="24"/>
                <w:szCs w:val="20"/>
                <w:highlight w:val="none"/>
                <w:lang w:val="en-US"/>
              </w:rPr>
              <w:t>(</w:t>
            </w:r>
            <w:r>
              <w:rPr>
                <w:rFonts w:hint="eastAsia" w:ascii="宋体" w:hAnsi="宋体" w:eastAsia="宋体" w:cs="宋体"/>
                <w:color w:val="auto"/>
                <w:kern w:val="0"/>
                <w:sz w:val="24"/>
                <w:szCs w:val="20"/>
                <w:highlight w:val="none"/>
              </w:rPr>
              <w:t>设备</w:t>
            </w:r>
            <w:r>
              <w:rPr>
                <w:rFonts w:hint="eastAsia" w:ascii="宋体" w:hAnsi="宋体" w:eastAsia="宋体" w:cs="宋体"/>
                <w:color w:val="auto"/>
                <w:kern w:val="0"/>
                <w:sz w:val="24"/>
                <w:szCs w:val="20"/>
                <w:highlight w:val="none"/>
                <w:lang w:val="en-US"/>
              </w:rPr>
              <w:t>)</w:t>
            </w:r>
            <w:r>
              <w:rPr>
                <w:rFonts w:hint="eastAsia" w:ascii="宋体" w:hAnsi="宋体" w:eastAsia="宋体" w:cs="宋体"/>
                <w:color w:val="auto"/>
                <w:kern w:val="0"/>
                <w:sz w:val="24"/>
                <w:szCs w:val="20"/>
                <w:highlight w:val="none"/>
              </w:rPr>
              <w:t>工艺质量应严格按国家最新发布的规范标准执行，如发生质量问题由投标人承担全部责任。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的产地、规格、型号和数量，对其</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技术指标、性能参数以及</w:t>
            </w:r>
            <w:r>
              <w:rPr>
                <w:rFonts w:hint="eastAsia" w:ascii="Times New Roman" w:hAnsi="宋体" w:eastAsia="宋体" w:cs="宋体"/>
                <w:color w:val="auto"/>
                <w:kern w:val="0"/>
                <w:sz w:val="24"/>
                <w:szCs w:val="20"/>
                <w:highlight w:val="none"/>
                <w:lang w:val="en-US" w:eastAsia="zh-CN" w:bidi="ar"/>
              </w:rPr>
              <w:t>工程质量是否达到</w:t>
            </w:r>
            <w:r>
              <w:rPr>
                <w:rFonts w:hint="eastAsia" w:ascii="Times New Roman" w:hAnsi="Times New Roman" w:eastAsia="宋体" w:cs="宋体"/>
                <w:color w:val="auto"/>
                <w:kern w:val="2"/>
                <w:sz w:val="24"/>
                <w:szCs w:val="24"/>
                <w:highlight w:val="none"/>
                <w:lang w:val="en-US" w:eastAsia="zh-CN" w:bidi="ar"/>
              </w:rPr>
              <w:t>现行国家有关验收规范</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合格</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标准</w:t>
            </w:r>
            <w:r>
              <w:rPr>
                <w:rFonts w:hint="eastAsia" w:ascii="宋体" w:hAnsi="宋体" w:eastAsia="宋体" w:cs="宋体"/>
                <w:color w:val="auto"/>
                <w:kern w:val="2"/>
                <w:sz w:val="24"/>
                <w:szCs w:val="24"/>
                <w:highlight w:val="none"/>
                <w:lang w:val="en-US" w:eastAsia="zh-CN" w:bidi="ar"/>
              </w:rPr>
              <w:t>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的指标、性能参数通过验收达不到招标文件要求和投标文件承诺的，或在使用中发现采购人不能容忍的缺陷等，将视为</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w:t>
            </w:r>
            <w:r>
              <w:rPr>
                <w:rFonts w:hint="eastAsia" w:ascii="Times New Roman" w:hAnsi="宋体" w:eastAsia="宋体" w:cs="宋体"/>
                <w:color w:val="auto"/>
                <w:kern w:val="2"/>
                <w:sz w:val="24"/>
                <w:szCs w:val="24"/>
                <w:highlight w:val="none"/>
                <w:lang w:val="en-US" w:eastAsia="zh-CN" w:bidi="ar"/>
              </w:rPr>
              <w:t>产品</w:t>
            </w:r>
            <w:r>
              <w:rPr>
                <w:rFonts w:hint="default"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default"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a）合同文本；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b)投标文件及澄清函、招标文件；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c)国家和行业制定的相应的标准和规范。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d)</w:t>
            </w:r>
            <w:r>
              <w:rPr>
                <w:rFonts w:hint="eastAsia" w:ascii="宋体" w:hAnsi="宋体" w:eastAsia="宋体" w:cs="宋体"/>
                <w:color w:val="auto"/>
                <w:sz w:val="24"/>
                <w:szCs w:val="24"/>
                <w:highlight w:val="none"/>
              </w:rPr>
              <w:t>产品</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验收清单（注明各部件的品名、数量、技术参数及要求和原产地或生产厂家）。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知识产权：</w:t>
            </w:r>
          </w:p>
          <w:p>
            <w:pPr>
              <w:pStyle w:val="23"/>
              <w:widowControl/>
              <w:shd w:val="clear"/>
              <w:spacing w:line="360" w:lineRule="auto"/>
              <w:ind w:firstLine="480" w:firstLineChars="200"/>
              <w:rPr>
                <w:rFonts w:hAnsi="宋体"/>
                <w:color w:val="auto"/>
                <w:sz w:val="24"/>
                <w:szCs w:val="24"/>
                <w:highlight w:val="none"/>
                <w:lang w:val="en-US"/>
              </w:rPr>
            </w:pPr>
            <w:r>
              <w:rPr>
                <w:rFonts w:hAnsi="宋体"/>
                <w:color w:val="auto"/>
                <w:sz w:val="24"/>
                <w:szCs w:val="24"/>
                <w:highlight w:val="none"/>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w:t>
            </w:r>
            <w:r>
              <w:rPr>
                <w:rFonts w:hint="eastAsia" w:hAnsi="宋体"/>
                <w:color w:val="auto"/>
                <w:sz w:val="24"/>
                <w:szCs w:val="24"/>
                <w:highlight w:val="none"/>
                <w:lang w:eastAsia="zh-CN"/>
              </w:rPr>
              <w:t>担</w:t>
            </w:r>
            <w:r>
              <w:rPr>
                <w:rFonts w:hAnsi="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12" w:space="0"/>
              <w:right w:val="single" w:color="auto" w:sz="6" w:space="0"/>
            </w:tcBorders>
            <w:shd w:val="clear" w:color="auto" w:fill="auto"/>
            <w:vAlign w:val="center"/>
          </w:tcPr>
          <w:p>
            <w:pPr>
              <w:pStyle w:val="23"/>
              <w:widowControl/>
              <w:shd w:val="clear"/>
              <w:spacing w:line="360" w:lineRule="auto"/>
              <w:jc w:val="center"/>
              <w:rPr>
                <w:rFonts w:hAnsi="宋体"/>
                <w:color w:val="auto"/>
                <w:sz w:val="24"/>
                <w:szCs w:val="24"/>
                <w:highlight w:val="none"/>
                <w:lang w:val="en-US"/>
              </w:rPr>
            </w:pPr>
            <w:r>
              <w:rPr>
                <w:rFonts w:hAnsi="宋体"/>
                <w:color w:val="auto"/>
                <w:sz w:val="24"/>
                <w:szCs w:val="24"/>
                <w:highlight w:val="none"/>
                <w:lang w:val="en-US"/>
              </w:rPr>
              <w:t>12</w:t>
            </w:r>
          </w:p>
        </w:tc>
        <w:tc>
          <w:tcPr>
            <w:tcW w:w="8537" w:type="dxa"/>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违约责任：</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按《中华人民共和国民法典》中的相关条款执行。</w:t>
            </w:r>
          </w:p>
          <w:p>
            <w:pPr>
              <w:keepNext w:val="0"/>
              <w:keepLines w:val="0"/>
              <w:widowControl w:val="0"/>
              <w:suppressLineNumbers w:val="0"/>
              <w:shd w:val="clear"/>
              <w:tabs>
                <w:tab w:val="left" w:pos="152"/>
              </w:tabs>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未按合同或招标文件要求提供</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sz w:val="24"/>
                <w:szCs w:val="24"/>
                <w:highlight w:val="none"/>
              </w:rPr>
              <w:t>或供应的</w:t>
            </w:r>
            <w:r>
              <w:rPr>
                <w:rFonts w:hint="eastAsia" w:ascii="Times New Roman" w:hAnsi="宋体" w:eastAsia="宋体" w:cs="宋体"/>
                <w:color w:val="auto"/>
                <w:sz w:val="24"/>
                <w:szCs w:val="24"/>
                <w:highlight w:val="none"/>
              </w:rPr>
              <w:t>产品</w:t>
            </w:r>
            <w:r>
              <w:rPr>
                <w:rFonts w:hint="default" w:hAnsi="宋体"/>
                <w:color w:val="auto"/>
                <w:sz w:val="24"/>
                <w:szCs w:val="24"/>
                <w:highlight w:val="none"/>
                <w:lang w:val="en-US"/>
              </w:rPr>
              <w:t>(</w:t>
            </w:r>
            <w:r>
              <w:rPr>
                <w:rFonts w:hint="eastAsia" w:ascii="Times New Roman" w:hAnsi="宋体" w:eastAsia="宋体" w:cs="宋体"/>
                <w:color w:val="auto"/>
                <w:sz w:val="24"/>
                <w:szCs w:val="24"/>
                <w:highlight w:val="none"/>
              </w:rPr>
              <w:t>设备</w:t>
            </w:r>
            <w:r>
              <w:rPr>
                <w:rFonts w:hint="default" w:hAnsi="宋体"/>
                <w:color w:val="auto"/>
                <w:sz w:val="24"/>
                <w:szCs w:val="24"/>
                <w:highlight w:val="none"/>
                <w:lang w:val="en-US"/>
              </w:rPr>
              <w:t>)</w:t>
            </w:r>
            <w:r>
              <w:rPr>
                <w:rFonts w:hint="eastAsia" w:ascii="宋体" w:hAnsi="宋体" w:eastAsia="宋体" w:cs="宋体"/>
                <w:color w:val="auto"/>
                <w:sz w:val="24"/>
                <w:szCs w:val="24"/>
                <w:highlight w:val="none"/>
              </w:rPr>
              <w:t>质量不能满足采购人技术要求，采购单位有权单方终止合同，甚至对投标人违约行为进行追究。</w:t>
            </w:r>
          </w:p>
        </w:tc>
      </w:tr>
    </w:tbl>
    <w:p>
      <w:pPr>
        <w:shd w:val="clear"/>
        <w:spacing w:line="360" w:lineRule="auto"/>
        <w:rPr>
          <w:rFonts w:hint="eastAsia" w:ascii="宋体" w:hAnsi="Times New Roman" w:eastAsia="宋体" w:cs="宋体"/>
          <w:bCs/>
          <w:color w:val="auto"/>
          <w:kern w:val="2"/>
          <w:sz w:val="36"/>
          <w:szCs w:val="36"/>
          <w:highlight w:val="none"/>
          <w:lang w:val="zh-CN" w:eastAsia="zh-CN" w:bidi="ar"/>
        </w:rPr>
      </w:pPr>
    </w:p>
    <w:p>
      <w:pPr>
        <w:pStyle w:val="59"/>
        <w:shd w:val="clear"/>
        <w:spacing w:line="360" w:lineRule="auto"/>
        <w:rPr>
          <w:rFonts w:hint="eastAsia" w:ascii="宋体" w:hAnsi="Times New Roman" w:eastAsia="宋体" w:cs="宋体"/>
          <w:bCs/>
          <w:color w:val="auto"/>
          <w:kern w:val="2"/>
          <w:sz w:val="36"/>
          <w:szCs w:val="36"/>
          <w:highlight w:val="none"/>
          <w:lang w:val="zh-CN" w:eastAsia="zh-CN" w:bidi="ar"/>
        </w:rPr>
        <w:sectPr>
          <w:pgSz w:w="11906" w:h="16838"/>
          <w:pgMar w:top="1440" w:right="1803" w:bottom="1440" w:left="1803" w:header="1135" w:footer="1135" w:gutter="0"/>
          <w:pgNumType w:fmt="decimal"/>
          <w:cols w:space="425" w:num="1"/>
          <w:docGrid w:type="lines" w:linePitch="312" w:charSpace="0"/>
        </w:sectPr>
      </w:pPr>
    </w:p>
    <w:p>
      <w:pPr>
        <w:pStyle w:val="3"/>
        <w:widowControl/>
        <w:shd w:val="clear"/>
        <w:spacing w:line="360" w:lineRule="auto"/>
        <w:jc w:val="center"/>
        <w:rPr>
          <w:rFonts w:hint="eastAsia" w:ascii="宋体" w:hAnsi="宋体" w:eastAsia="宋体" w:cs="宋体"/>
          <w:bCs/>
          <w:color w:val="auto"/>
          <w:sz w:val="36"/>
          <w:szCs w:val="36"/>
          <w:highlight w:val="none"/>
          <w:lang w:eastAsia="zh-CN"/>
        </w:rPr>
      </w:pPr>
      <w:r>
        <w:rPr>
          <w:rFonts w:hint="eastAsia" w:ascii="宋体" w:hAnsi="宋体" w:eastAsia="宋体" w:cs="宋体"/>
          <w:bCs/>
          <w:color w:val="auto"/>
          <w:sz w:val="36"/>
          <w:szCs w:val="36"/>
          <w:highlight w:val="none"/>
          <w:lang w:eastAsia="zh-CN"/>
        </w:rPr>
        <w:br w:type="page"/>
      </w:r>
      <w:bookmarkStart w:id="50" w:name="_Toc16381"/>
    </w:p>
    <w:p>
      <w:pPr>
        <w:pStyle w:val="3"/>
        <w:shd w:val="clear"/>
        <w:bidi w:val="0"/>
        <w:rPr>
          <w:rFonts w:hint="eastAsia"/>
          <w:color w:val="auto"/>
          <w:highlight w:val="none"/>
          <w:lang w:val="en-US"/>
        </w:rPr>
      </w:pPr>
      <w:bookmarkStart w:id="51" w:name="_Toc1034"/>
      <w:r>
        <w:rPr>
          <w:rFonts w:hint="eastAsia"/>
          <w:color w:val="auto"/>
          <w:highlight w:val="none"/>
          <w:lang w:eastAsia="zh-CN"/>
        </w:rPr>
        <w:t>第四章</w:t>
      </w:r>
      <w:r>
        <w:rPr>
          <w:rFonts w:hint="eastAsia"/>
          <w:color w:val="auto"/>
          <w:highlight w:val="none"/>
          <w:lang w:val="en-US"/>
        </w:rPr>
        <w:t xml:space="preserve"> </w:t>
      </w:r>
      <w:r>
        <w:rPr>
          <w:rFonts w:hint="eastAsia"/>
          <w:color w:val="auto"/>
          <w:highlight w:val="none"/>
          <w:lang w:eastAsia="zh-CN"/>
        </w:rPr>
        <w:t>合同条款</w:t>
      </w:r>
      <w:bookmarkEnd w:id="50"/>
      <w:bookmarkEnd w:id="51"/>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pPr>
        <w:pStyle w:val="17"/>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r>
        <w:rPr>
          <w:rFonts w:hint="eastAsia" w:ascii="宋体" w:hAnsi="宋体" w:eastAsia="宋体" w:cs="宋体"/>
          <w:b/>
          <w:color w:val="auto"/>
          <w:kern w:val="2"/>
          <w:sz w:val="36"/>
          <w:szCs w:val="36"/>
          <w:highlight w:val="none"/>
          <w:lang w:val="en-US" w:eastAsia="zh-CN" w:bidi="ar"/>
        </w:rPr>
        <w:t>政 府 采 购 合 同</w:t>
      </w: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b/>
          <w:color w:val="auto"/>
          <w:sz w:val="28"/>
          <w:szCs w:val="28"/>
          <w:highlight w:val="none"/>
          <w:lang w:val="en-US"/>
        </w:rPr>
      </w:pPr>
      <w:bookmarkStart w:id="52" w:name="_Toc109542396"/>
      <w:bookmarkStart w:id="53" w:name="_Toc109543216"/>
    </w:p>
    <w:p>
      <w:pPr>
        <w:pStyle w:val="17"/>
        <w:shd w:val="clear"/>
        <w:spacing w:line="360" w:lineRule="auto"/>
        <w:rPr>
          <w:rFonts w:hint="eastAsia" w:ascii="宋体" w:hAnsi="宋体" w:eastAsia="宋体" w:cs="宋体"/>
          <w:b/>
          <w:color w:val="auto"/>
          <w:sz w:val="28"/>
          <w:szCs w:val="28"/>
          <w:highlight w:val="none"/>
          <w:lang w:val="en-US"/>
        </w:rPr>
      </w:pPr>
    </w:p>
    <w:p>
      <w:pPr>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合同编号：</w:t>
      </w:r>
      <w:bookmarkEnd w:id="52"/>
      <w:bookmarkEnd w:id="53"/>
      <w:r>
        <w:rPr>
          <w:rFonts w:hint="eastAsia" w:ascii="宋体" w:hAnsi="宋体" w:eastAsia="宋体" w:cs="宋体"/>
          <w:b/>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 xml:space="preserve">        </w:t>
      </w: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b/>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项目名称：</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招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u w:val="single"/>
          <w:lang w:val="en-US"/>
        </w:rPr>
      </w:pPr>
      <w:r>
        <w:rPr>
          <w:rFonts w:hint="eastAsia" w:ascii="宋体" w:hAnsi="宋体" w:eastAsia="宋体" w:cs="宋体"/>
          <w:b/>
          <w:color w:val="auto"/>
          <w:kern w:val="2"/>
          <w:sz w:val="28"/>
          <w:szCs w:val="28"/>
          <w:highlight w:val="none"/>
          <w:lang w:val="en-US" w:eastAsia="zh-CN" w:bidi="ar"/>
        </w:rPr>
        <w:t>投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981" w:firstLineChars="349"/>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8"/>
          <w:szCs w:val="28"/>
          <w:highlight w:val="none"/>
          <w:lang w:val="en-US" w:eastAsia="zh-CN" w:bidi="ar"/>
        </w:rPr>
        <w:t>签署日期：</w:t>
      </w:r>
      <w:r>
        <w:rPr>
          <w:rFonts w:hint="eastAsia" w:ascii="宋体" w:hAnsi="宋体" w:eastAsia="宋体" w:cs="宋体"/>
          <w:b/>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宋体" w:hAnsi="宋体" w:eastAsia="宋体" w:cs="宋体"/>
          <w:color w:val="auto"/>
          <w:kern w:val="2"/>
          <w:sz w:val="21"/>
          <w:szCs w:val="28"/>
          <w:highlight w:val="none"/>
          <w:lang w:val="en-US" w:eastAsia="zh-CN" w:bidi="ar"/>
        </w:rPr>
        <w:br w:type="page"/>
      </w:r>
      <w:bookmarkStart w:id="54" w:name="_Toc233435953"/>
      <w:bookmarkEnd w:id="54"/>
      <w:bookmarkStart w:id="55" w:name="_Toc356927946"/>
      <w:bookmarkEnd w:id="55"/>
      <w:r>
        <w:rPr>
          <w:rFonts w:hint="eastAsia" w:ascii="Times New Roman" w:hAnsi="Times New Roman" w:eastAsia="宋体" w:cs="宋体"/>
          <w:b/>
          <w:color w:val="auto"/>
          <w:kern w:val="2"/>
          <w:sz w:val="30"/>
          <w:szCs w:val="30"/>
          <w:highlight w:val="none"/>
          <w:lang w:val="en-US" w:eastAsia="zh-CN" w:bidi="ar"/>
        </w:rPr>
        <w:t>第一部分</w:t>
      </w:r>
      <w:r>
        <w:rPr>
          <w:rFonts w:hint="default" w:ascii="Times New Roman" w:hAnsi="Times New Roman" w:eastAsia="宋体" w:cs="Times New Roman"/>
          <w:b/>
          <w:color w:val="auto"/>
          <w:kern w:val="2"/>
          <w:sz w:val="30"/>
          <w:szCs w:val="30"/>
          <w:highlight w:val="none"/>
          <w:lang w:val="en-US" w:eastAsia="zh-CN" w:bidi="ar"/>
        </w:rPr>
        <w:t xml:space="preserve">  </w:t>
      </w:r>
      <w:r>
        <w:rPr>
          <w:rFonts w:hint="eastAsia" w:ascii="Times New Roman" w:hAnsi="Times New Roman" w:eastAsia="宋体" w:cs="宋体"/>
          <w:b/>
          <w:color w:val="auto"/>
          <w:kern w:val="2"/>
          <w:sz w:val="30"/>
          <w:szCs w:val="30"/>
          <w:highlight w:val="none"/>
          <w:lang w:val="en-US" w:eastAsia="zh-CN" w:bidi="ar"/>
        </w:rPr>
        <w:t>协议书</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Times New Roman" w:hAnsi="Times New Roman" w:eastAsia="宋体" w:cs="宋体"/>
          <w:b/>
          <w:color w:val="auto"/>
          <w:kern w:val="2"/>
          <w:sz w:val="30"/>
          <w:szCs w:val="30"/>
          <w:highlight w:val="none"/>
          <w:lang w:val="en-US" w:eastAsia="zh-CN" w:bidi="ar"/>
        </w:rPr>
        <w:t>（主要条款）</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采购人（全称）：</w:t>
      </w:r>
      <w:r>
        <w:rPr>
          <w:rFonts w:hint="eastAsia" w:ascii="宋体" w:hAnsi="宋体" w:eastAsia="宋体" w:cs="宋体"/>
          <w:b/>
          <w:bCs w:val="0"/>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投标人（全称）：</w:t>
      </w:r>
      <w:r>
        <w:rPr>
          <w:rFonts w:hint="eastAsia" w:ascii="宋体" w:hAnsi="宋体" w:eastAsia="宋体" w:cs="宋体"/>
          <w:b/>
          <w:bCs w:val="0"/>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根据《中华人民共和国民法典》及其他有关法律、法规，遵循平等、自愿、公平和诚信的原则，双方就下述项目范围与相关服务事项协商一致，订立本合同。</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一、项目概况</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项目名称：</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项目地点：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 项目规模：</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left"/>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 项目</w:t>
      </w:r>
      <w:r>
        <w:rPr>
          <w:rFonts w:hint="eastAsia" w:ascii="宋体" w:hAnsi="宋体" w:eastAsia="宋体" w:cs="宋体"/>
          <w:color w:val="auto"/>
          <w:kern w:val="0"/>
          <w:sz w:val="24"/>
          <w:szCs w:val="20"/>
          <w:highlight w:val="none"/>
          <w:lang w:val="en-US" w:eastAsia="zh-CN" w:bidi="ar"/>
        </w:rPr>
        <w:t>内容</w:t>
      </w:r>
      <w:r>
        <w:rPr>
          <w:rFonts w:hint="eastAsia" w:ascii="宋体" w:hAnsi="宋体" w:eastAsia="宋体" w:cs="宋体"/>
          <w:color w:val="auto"/>
          <w:kern w:val="2"/>
          <w:sz w:val="24"/>
          <w:szCs w:val="20"/>
          <w:highlight w:val="none"/>
          <w:lang w:val="en-US" w:eastAsia="zh-CN" w:bidi="ar"/>
        </w:rPr>
        <w:t>：</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二、组成本合同的文件</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1. 协议书；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2. 中标通知书、投标文件、招标文件、澄清、招标补充文件（或委托书）；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3. 投标文件或相关服务建议书；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4. 附录，即：附表内相关服务的范围和内容；</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本合同签订后，双方依法签订的补充协议、备忘录也是本合同文件的组成部分。</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三、签约金额</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签约金额（大写）：</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2.合同总价一次包死，不受市场价变化或实际工作量变化的影响。</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四、结算方式：</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2.付款方式：合同签订后支付合同价款的40%，项目验收合格后支付合同价款的55%，剩余5%质保期满一年后一次性付清。 </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3.履约情况：供货完成后，采购人组织相关部门及人员进行验收，验收不合格的，造成退货、换货的一用由投标人承担，并负担采购人的一切损失。</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五、交货安装期、质保期</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宋体" w:hAnsi="宋体" w:eastAsia="宋体" w:cs="宋体"/>
          <w:b w:val="0"/>
          <w:bCs/>
          <w:color w:val="auto"/>
          <w:kern w:val="2"/>
          <w:sz w:val="24"/>
          <w:szCs w:val="20"/>
          <w:highlight w:val="none"/>
          <w:lang w:val="en-US" w:eastAsia="zh-CN" w:bidi="ar"/>
        </w:rPr>
      </w:pPr>
      <w:r>
        <w:rPr>
          <w:rFonts w:hint="eastAsia" w:ascii="宋体" w:hAnsi="宋体" w:eastAsia="宋体" w:cs="宋体"/>
          <w:b w:val="0"/>
          <w:bCs/>
          <w:color w:val="auto"/>
          <w:kern w:val="2"/>
          <w:sz w:val="24"/>
          <w:szCs w:val="20"/>
          <w:highlight w:val="none"/>
          <w:lang w:val="en-US" w:eastAsia="zh-CN" w:bidi="ar"/>
        </w:rPr>
        <w:t>质保期：验收合格后一年；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六、双方承诺</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投标人向采购人承诺，按照本合同约定提供相关服务。</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采购人向投标人承诺，按照本合同约定支付服务款项。</w:t>
      </w:r>
    </w:p>
    <w:p>
      <w:pPr>
        <w:keepNext w:val="0"/>
        <w:keepLines w:val="0"/>
        <w:widowControl w:val="0"/>
        <w:suppressLineNumbers w:val="0"/>
        <w:shd w:val="clear"/>
        <w:tabs>
          <w:tab w:val="left" w:pos="840"/>
        </w:tabs>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七、内容及要求：</w:t>
      </w:r>
    </w:p>
    <w:p>
      <w:pPr>
        <w:keepNext w:val="0"/>
        <w:keepLines w:val="0"/>
        <w:widowControl w:val="0"/>
        <w:suppressLineNumbers w:val="0"/>
        <w:shd w:val="clear"/>
        <w:tabs>
          <w:tab w:val="left" w:pos="840"/>
        </w:tabs>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即交付的货物、服务内容、数量与投标文件、招标文件等所指明的，或者与本合同所指明的货物、服务内容相一致。（附清单）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八、项目实施地点：</w:t>
      </w:r>
      <w:r>
        <w:rPr>
          <w:rFonts w:hint="eastAsia" w:ascii="宋体" w:hAnsi="宋体" w:eastAsia="宋体" w:cs="宋体"/>
          <w:color w:val="auto"/>
          <w:kern w:val="2"/>
          <w:sz w:val="24"/>
          <w:szCs w:val="20"/>
          <w:highlight w:val="none"/>
          <w:lang w:val="en-US" w:eastAsia="zh-CN" w:bidi="ar"/>
        </w:rPr>
        <w:t>采购人指定地点。</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九、安装、调试要求：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3.投标人应在合同规定的安装期内完成该项工作。如因投标人责任而造成延期，每超过一天按合同总价款的（1‰）支付采购人误期赔偿金，直至交货或提供服务结束为止，所有因延期而产生的费用由投标人承担。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4.安装和调试期间所发生的费用均由投标人负责。</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十、技术培训：</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应包括货物(产品)使用操作、保养、维修等培训内容。投标人需为采购人免费培训技术人员若干名，培训服务以受培训人员熟练掌握相应技能为原则。在货物(产品)投入使用初期进行必要的跟踪指导，保障货物(产品)的稳定运行。投标货物(产品)需在培训基地培训的，投标人应按要求履行，培训产生的交通费、食宿费、培训费等均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十一、质量保证：</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Cs/>
          <w:color w:val="auto"/>
          <w:sz w:val="24"/>
          <w:szCs w:val="20"/>
          <w:highlight w:val="none"/>
          <w:lang w:val="en-US"/>
        </w:rPr>
      </w:pPr>
      <w:r>
        <w:rPr>
          <w:rFonts w:hint="eastAsia" w:ascii="宋体" w:hAnsi="宋体" w:eastAsia="宋体" w:cs="宋体"/>
          <w:bCs/>
          <w:color w:val="auto"/>
          <w:kern w:val="2"/>
          <w:sz w:val="24"/>
          <w:szCs w:val="20"/>
          <w:highlight w:val="none"/>
          <w:lang w:val="en-US" w:eastAsia="zh-CN" w:bidi="ar"/>
        </w:rPr>
        <w:t>投标人提供的货物及材料必须保证质量可靠，为市场最新或主流货物，进货渠道正常，配置合理齐全，应全面满足招标文件的要求，招标文件未明确要求的内容，投标人须按招标货物主流标准配置或以采购人的补充要求为准。所供货物工艺质量应严格按国家最新发布的规范标准执行，如发生质量问题由投标人承担全部责任。</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0"/>
          <w:highlight w:val="none"/>
          <w:lang w:val="en-US" w:eastAsia="zh-CN" w:bidi="ar"/>
        </w:rPr>
        <w:t>十三、</w:t>
      </w: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由采购人和投标人共同对项目整体进行验收。其内容包括确认产品(设备)的产地、规格、型号和数量，对其产品(设备)技术指标、性能参数以及</w:t>
      </w:r>
      <w:r>
        <w:rPr>
          <w:rFonts w:hint="eastAsia" w:ascii="宋体" w:hAnsi="宋体" w:eastAsia="宋体" w:cs="宋体"/>
          <w:color w:val="auto"/>
          <w:kern w:val="0"/>
          <w:sz w:val="24"/>
          <w:szCs w:val="20"/>
          <w:highlight w:val="none"/>
          <w:lang w:val="en-US" w:eastAsia="zh-CN" w:bidi="ar"/>
        </w:rPr>
        <w:t>工程质量是否达到</w:t>
      </w:r>
      <w:r>
        <w:rPr>
          <w:rFonts w:hint="eastAsia" w:ascii="宋体" w:hAnsi="宋体" w:eastAsia="宋体" w:cs="宋体"/>
          <w:color w:val="auto"/>
          <w:kern w:val="2"/>
          <w:sz w:val="24"/>
          <w:szCs w:val="24"/>
          <w:highlight w:val="none"/>
          <w:lang w:val="en-US" w:eastAsia="zh-CN" w:bidi="ar"/>
        </w:rPr>
        <w:t>现行国家有关验收规范“合格”标准进行逐项检查。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1.所验产品(设备)的指标、性能参数通过验收达不到招标文件要求和投标文件承诺的，或在使用中发现采购人不能容忍的缺陷等，将视为产品(设备)验收不合格，投标人应无条件免费更换或退货。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2.若发现投标人有弄虚作假的，在投标阶段故意或随意夸大产品(设备)技术性能，投标人应无条件退货，并赔偿采购人相应的损失。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产品(设备)验收清单（注明各部件的品名、数量、技术参数及要求和原产地或生产厂家）。</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十四、保密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双方须对工作中了解到的使用单位技术、机密等进行严格保密，不得向他人泄漏。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十五、知识产权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应保证投标设备及服务不会出现因第三方提出侵犯其专利权、商标权或其它知识产权而引发法律或经济纠纷，否则由投标人承担全部责任。任何被投标人用于未经授权的商业目的行为所造成的违约或侵权责任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十六、合同争议的解决：</w:t>
      </w:r>
      <w:r>
        <w:rPr>
          <w:rFonts w:hint="eastAsia" w:ascii="宋体" w:hAnsi="宋体" w:eastAsia="宋体" w:cs="宋体"/>
          <w:color w:val="auto"/>
          <w:kern w:val="2"/>
          <w:sz w:val="24"/>
          <w:szCs w:val="20"/>
          <w:highlight w:val="none"/>
          <w:lang w:val="en-US" w:eastAsia="zh-CN" w:bidi="ar"/>
        </w:rPr>
        <w:t>合同执行中发生争议的，当事人双方应协商解决，协商达不成一致时，可向采购人住所地有管辖权的人民法院提请诉讼。</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十七、</w:t>
      </w:r>
      <w:r>
        <w:rPr>
          <w:rFonts w:hint="eastAsia" w:ascii="宋体" w:hAnsi="宋体" w:eastAsia="宋体" w:cs="宋体"/>
          <w:color w:val="auto"/>
          <w:kern w:val="2"/>
          <w:sz w:val="24"/>
          <w:szCs w:val="20"/>
          <w:highlight w:val="none"/>
          <w:lang w:val="en-US" w:eastAsia="zh-CN" w:bidi="ar"/>
        </w:rPr>
        <w:t>在发生不可抗力情况下的应对措施和解决办法。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十八、</w:t>
      </w:r>
      <w:r>
        <w:rPr>
          <w:rFonts w:hint="eastAsia" w:ascii="宋体" w:hAnsi="宋体" w:eastAsia="宋体" w:cs="宋体"/>
          <w:color w:val="auto"/>
          <w:kern w:val="2"/>
          <w:sz w:val="24"/>
          <w:szCs w:val="20"/>
          <w:highlight w:val="none"/>
          <w:lang w:val="en-US" w:eastAsia="zh-CN" w:bidi="ar"/>
        </w:rPr>
        <w:t>合同一经签订，不得擅自变更、中止或者终止合同。对确需变更、调整或者中止、终止合同的，应按规定履行相应的手续。</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十九、违约责任：</w:t>
      </w:r>
      <w:r>
        <w:rPr>
          <w:rFonts w:hint="eastAsia" w:ascii="宋体" w:hAnsi="宋体" w:eastAsia="宋体" w:cs="宋体"/>
          <w:color w:val="auto"/>
          <w:kern w:val="2"/>
          <w:sz w:val="24"/>
          <w:szCs w:val="20"/>
          <w:highlight w:val="none"/>
          <w:lang w:val="en-US" w:eastAsia="zh-CN" w:bidi="ar"/>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二十、其他（</w:t>
      </w:r>
      <w:r>
        <w:rPr>
          <w:rFonts w:hint="eastAsia" w:ascii="宋体" w:hAnsi="宋体" w:eastAsia="宋体" w:cs="宋体"/>
          <w:color w:val="auto"/>
          <w:kern w:val="2"/>
          <w:sz w:val="24"/>
          <w:szCs w:val="20"/>
          <w:highlight w:val="none"/>
          <w:lang w:val="en-US" w:eastAsia="zh-CN" w:bidi="ar"/>
        </w:rPr>
        <w:t>在合同中具体明确）</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二十一、合同订立</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1.订立时间：  年   月   日。</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2.订立地点：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pageBreakBefore w:val="0"/>
        <w:widowControl w:val="0"/>
        <w:suppressLineNumbers w:val="0"/>
        <w:shd w:val="clear"/>
        <w:tabs>
          <w:tab w:val="left" w:pos="980"/>
        </w:tabs>
        <w:kinsoku w:val="0"/>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3.本合同一式</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份，具有同等法律效力，双方各执</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份，监管部门备案</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份、采购代理机构存档</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份。各方签字盖章后生效，合同执行完毕自动失效。（合同的服务承诺则长期有效）。</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采购人：</w:t>
      </w:r>
      <w:r>
        <w:rPr>
          <w:rFonts w:hint="eastAsia" w:ascii="宋体" w:hAnsi="宋体" w:eastAsia="宋体" w:cs="宋体"/>
          <w:color w:val="auto"/>
          <w:kern w:val="2"/>
          <w:sz w:val="24"/>
          <w:szCs w:val="20"/>
          <w:highlight w:val="none"/>
          <w:u w:val="single"/>
          <w:lang w:val="en-US" w:eastAsia="zh-CN" w:bidi="ar"/>
        </w:rPr>
        <w:t xml:space="preserve">   （盖章）     </w:t>
      </w:r>
      <w:r>
        <w:rPr>
          <w:rFonts w:hint="eastAsia" w:ascii="宋体" w:hAnsi="宋体" w:eastAsia="宋体" w:cs="宋体"/>
          <w:color w:val="auto"/>
          <w:kern w:val="2"/>
          <w:sz w:val="24"/>
          <w:szCs w:val="20"/>
          <w:highlight w:val="none"/>
          <w:lang w:val="en-US" w:eastAsia="zh-CN" w:bidi="ar"/>
        </w:rPr>
        <w:t xml:space="preserve">           投标人：</w:t>
      </w:r>
      <w:r>
        <w:rPr>
          <w:rFonts w:hint="eastAsia" w:ascii="宋体" w:hAnsi="宋体" w:eastAsia="宋体" w:cs="宋体"/>
          <w:color w:val="auto"/>
          <w:kern w:val="2"/>
          <w:sz w:val="24"/>
          <w:szCs w:val="20"/>
          <w:highlight w:val="none"/>
          <w:u w:val="single"/>
          <w:lang w:val="en-US" w:eastAsia="zh-CN" w:bidi="ar"/>
        </w:rPr>
        <w:t xml:space="preserve">       （盖章）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 xml:space="preserve">地址： </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地址：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邮政编码：</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邮政编码：</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法定代表人或其授权                 法定代表人或其授权</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的代理人：</w:t>
      </w:r>
      <w:r>
        <w:rPr>
          <w:rFonts w:hint="eastAsia" w:ascii="宋体" w:hAnsi="宋体" w:eastAsia="宋体" w:cs="宋体"/>
          <w:color w:val="auto"/>
          <w:kern w:val="2"/>
          <w:sz w:val="24"/>
          <w:szCs w:val="20"/>
          <w:highlight w:val="none"/>
          <w:u w:val="single"/>
          <w:lang w:val="en-US" w:eastAsia="zh-CN" w:bidi="ar"/>
        </w:rPr>
        <w:t xml:space="preserve">（签字）      </w:t>
      </w:r>
      <w:r>
        <w:rPr>
          <w:rFonts w:hint="eastAsia" w:ascii="宋体" w:hAnsi="宋体" w:eastAsia="宋体" w:cs="宋体"/>
          <w:color w:val="auto"/>
          <w:kern w:val="2"/>
          <w:sz w:val="24"/>
          <w:szCs w:val="20"/>
          <w:highlight w:val="none"/>
          <w:lang w:val="en-US" w:eastAsia="zh-CN" w:bidi="ar"/>
        </w:rPr>
        <w:t xml:space="preserve">           的代理人：</w:t>
      </w:r>
      <w:r>
        <w:rPr>
          <w:rFonts w:hint="eastAsia" w:ascii="宋体" w:hAnsi="宋体" w:eastAsia="宋体" w:cs="宋体"/>
          <w:color w:val="auto"/>
          <w:kern w:val="2"/>
          <w:sz w:val="24"/>
          <w:szCs w:val="20"/>
          <w:highlight w:val="none"/>
          <w:u w:val="single"/>
          <w:lang w:val="en-US" w:eastAsia="zh-CN" w:bidi="ar"/>
        </w:rPr>
        <w:t xml:space="preserve">（签字）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开户银行：</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开户银行：</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电话：</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电话：</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传真：</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传真：</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Times New Roman"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电子邮箱：</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电子邮箱：</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hd w:val="clear"/>
        <w:wordWrap/>
        <w:overflowPunct/>
        <w:topLinePunct w:val="0"/>
        <w:autoSpaceDE/>
        <w:autoSpaceDN/>
        <w:bidi w:val="0"/>
        <w:spacing w:line="360" w:lineRule="auto"/>
        <w:textAlignment w:val="auto"/>
        <w:rPr>
          <w:rFonts w:hint="eastAsia" w:ascii="宋体" w:hAnsi="宋体" w:eastAsia="宋体" w:cs="宋体"/>
          <w:bCs/>
          <w:color w:val="auto"/>
          <w:sz w:val="36"/>
          <w:szCs w:val="36"/>
          <w:highlight w:val="none"/>
          <w:lang w:eastAsia="zh-CN"/>
        </w:rPr>
      </w:pPr>
    </w:p>
    <w:p>
      <w:pPr>
        <w:shd w:val="clea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3"/>
        <w:shd w:val="clear"/>
        <w:bidi w:val="0"/>
        <w:spacing w:line="360" w:lineRule="auto"/>
        <w:jc w:val="center"/>
        <w:rPr>
          <w:rFonts w:hint="eastAsia" w:ascii="宋体" w:hAnsi="宋体" w:eastAsia="宋体" w:cs="宋体"/>
          <w:color w:val="auto"/>
          <w:highlight w:val="none"/>
          <w:lang w:eastAsia="zh-CN"/>
        </w:rPr>
        <w:sectPr>
          <w:type w:val="continuous"/>
          <w:pgSz w:w="11906" w:h="16838"/>
          <w:pgMar w:top="1304" w:right="1446" w:bottom="1304" w:left="1446" w:header="1135" w:footer="992" w:gutter="0"/>
          <w:pgNumType w:fmt="decimal"/>
          <w:cols w:space="425" w:num="1"/>
          <w:docGrid w:type="lines" w:linePitch="312" w:charSpace="0"/>
        </w:sectPr>
      </w:pPr>
      <w:bookmarkStart w:id="56" w:name="_Toc22901"/>
    </w:p>
    <w:p>
      <w:pPr>
        <w:pStyle w:val="3"/>
        <w:shd w:val="clear"/>
        <w:bidi w:val="0"/>
        <w:rPr>
          <w:rFonts w:hint="eastAsia"/>
          <w:color w:val="auto"/>
          <w:highlight w:val="none"/>
          <w:lang w:val="en-US"/>
        </w:rPr>
      </w:pPr>
      <w:bookmarkStart w:id="57" w:name="_Toc12826"/>
      <w:r>
        <w:rPr>
          <w:rFonts w:hint="eastAsia"/>
          <w:color w:val="auto"/>
          <w:highlight w:val="none"/>
          <w:lang w:eastAsia="zh-CN"/>
        </w:rPr>
        <w:t>第五章 采购内容及技术要求</w:t>
      </w:r>
      <w:bookmarkEnd w:id="56"/>
      <w:bookmarkEnd w:id="57"/>
    </w:p>
    <w:bookmarkEnd w:id="43"/>
    <w:bookmarkEnd w:id="44"/>
    <w:bookmarkEnd w:id="45"/>
    <w:bookmarkEnd w:id="46"/>
    <w:bookmarkEnd w:id="47"/>
    <w:bookmarkEnd w:id="48"/>
    <w:bookmarkEnd w:id="49"/>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Autospacing="0" w:line="360" w:lineRule="auto"/>
        <w:ind w:right="0" w:rightChars="0"/>
        <w:jc w:val="left"/>
        <w:textAlignment w:val="auto"/>
        <w:rPr>
          <w:rFonts w:hint="eastAsia" w:ascii="宋体" w:hAnsi="宋体" w:eastAsia="宋体" w:cs="宋体"/>
          <w:b/>
          <w:color w:val="auto"/>
          <w:kern w:val="2"/>
          <w:sz w:val="24"/>
          <w:szCs w:val="24"/>
          <w:highlight w:val="none"/>
          <w:lang w:val="en-US" w:eastAsia="zh-CN" w:bidi="ar"/>
        </w:rPr>
      </w:pPr>
      <w:bookmarkStart w:id="58" w:name="_Toc4053"/>
      <w:bookmarkStart w:id="59" w:name="_Toc13760"/>
      <w:bookmarkStart w:id="60" w:name="_Toc11450"/>
      <w:bookmarkStart w:id="61" w:name="_Toc1025"/>
      <w:bookmarkStart w:id="62" w:name="_Toc13466"/>
      <w:bookmarkStart w:id="63" w:name="_Toc23856"/>
      <w:bookmarkStart w:id="64" w:name="_Toc389582038"/>
      <w:bookmarkStart w:id="65" w:name="_Toc20481"/>
      <w:bookmarkStart w:id="66" w:name="_Toc2711"/>
      <w:r>
        <w:rPr>
          <w:rFonts w:hint="eastAsia" w:ascii="宋体" w:hAnsi="宋体" w:eastAsia="宋体" w:cs="宋体"/>
          <w:b/>
          <w:color w:val="auto"/>
          <w:kern w:val="2"/>
          <w:sz w:val="24"/>
          <w:szCs w:val="24"/>
          <w:highlight w:val="none"/>
          <w:lang w:val="en-US" w:eastAsia="zh-CN" w:bidi="ar"/>
        </w:rPr>
        <w:t>一、吴堡县示范幼儿园新建教学楼配套设备采购项目第一包采购内容及要求</w:t>
      </w:r>
    </w:p>
    <w:tbl>
      <w:tblPr>
        <w:tblStyle w:val="41"/>
        <w:tblW w:w="148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7"/>
        <w:gridCol w:w="1496"/>
        <w:gridCol w:w="9667"/>
        <w:gridCol w:w="933"/>
        <w:gridCol w:w="850"/>
        <w:gridCol w:w="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技术参数及要求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小班幼儿六人桌</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产品规格约：120*60*55cm</w:t>
            </w:r>
          </w:p>
          <w:p>
            <w:pPr>
              <w:keepNext w:val="0"/>
              <w:keepLines w:val="0"/>
              <w:widowControl/>
              <w:numPr>
                <w:ilvl w:val="0"/>
                <w:numId w:val="3"/>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材质：桌面采用厚度≥12mm的橡木指接板（AA级），桌腿采用≥L47×W47mm的实木脚。</w:t>
            </w:r>
          </w:p>
          <w:p>
            <w:pPr>
              <w:keepNext w:val="0"/>
              <w:keepLines w:val="0"/>
              <w:widowControl/>
              <w:numPr>
                <w:ilvl w:val="0"/>
                <w:numId w:val="3"/>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油漆：采用环保油漆，平整光滑，光泽柔和，工艺先进；表面和内表面及儿童手指可触及的隐蔽处，均不得有锐利的棱角、毛刺。</w:t>
            </w:r>
          </w:p>
          <w:p>
            <w:pPr>
              <w:keepNext w:val="0"/>
              <w:keepLines w:val="0"/>
              <w:widowControl/>
              <w:numPr>
                <w:ilvl w:val="0"/>
                <w:numId w:val="3"/>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产品符合GB28007-2011《儿童家具通用技术条件》及GB18584-2001《室内装饰装修材料木家具中有害物质限量》。</w:t>
            </w:r>
          </w:p>
          <w:p>
            <w:pPr>
              <w:keepNext w:val="0"/>
              <w:keepLines w:val="0"/>
              <w:widowControl/>
              <w:numPr>
                <w:ilvl w:val="0"/>
                <w:numId w:val="3"/>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外表面和内表面以及儿童手指可触及的隐蔽处，均没有锐利的棱角、毛刺以及小五金部件露出的锐利尖锐。</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中班幼儿六人桌</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产品规格约：120*60*55cm</w:t>
            </w:r>
          </w:p>
          <w:p>
            <w:pPr>
              <w:keepNext w:val="0"/>
              <w:keepLines w:val="0"/>
              <w:widowControl/>
              <w:numPr>
                <w:ilvl w:val="0"/>
                <w:numId w:val="4"/>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材质：桌面采用厚度≥12mm的橡木指接板（AA级），桌腿采用≥L47×W47mm的实木脚。</w:t>
            </w:r>
          </w:p>
          <w:p>
            <w:pPr>
              <w:keepNext w:val="0"/>
              <w:keepLines w:val="0"/>
              <w:widowControl/>
              <w:numPr>
                <w:ilvl w:val="0"/>
                <w:numId w:val="4"/>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油漆：采用环保油漆，平整光滑，光泽柔和，工艺先进；表面和内表面及儿童手指可触及的隐蔽处，均不得有锐利的棱角、毛刺。</w:t>
            </w:r>
          </w:p>
          <w:p>
            <w:pPr>
              <w:keepNext w:val="0"/>
              <w:keepLines w:val="0"/>
              <w:widowControl/>
              <w:numPr>
                <w:ilvl w:val="0"/>
                <w:numId w:val="4"/>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产品符合GB28007-2011《儿童家具通用技术条件》及GB18584-2001《室内装饰装修材料木家具中有害物质限量》。</w:t>
            </w:r>
          </w:p>
          <w:p>
            <w:pPr>
              <w:keepNext w:val="0"/>
              <w:keepLines w:val="0"/>
              <w:widowControl/>
              <w:numPr>
                <w:ilvl w:val="0"/>
                <w:numId w:val="4"/>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外表面和内表面以及儿童手指可触及的隐蔽处，均没有锐利的棱角、毛刺以及小五金部件露出的锐利尖锐。</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小班幼儿椅</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规格约：30*30*55cm，笑脸造型,坐高28cm。</w:t>
            </w:r>
          </w:p>
          <w:p>
            <w:pPr>
              <w:keepNext w:val="0"/>
              <w:keepLines w:val="0"/>
              <w:widowControl/>
              <w:numPr>
                <w:ilvl w:val="0"/>
                <w:numId w:val="5"/>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材质：全橡木。</w:t>
            </w:r>
          </w:p>
          <w:p>
            <w:pPr>
              <w:keepNext w:val="0"/>
              <w:keepLines w:val="0"/>
              <w:widowControl/>
              <w:numPr>
                <w:ilvl w:val="0"/>
                <w:numId w:val="5"/>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油漆：采用环保油漆，平整光滑，光泽柔和，工艺先进；表面和内表面及儿童手指可触及的隐蔽处，均不得有锐利的棱角、毛刺。</w:t>
            </w:r>
          </w:p>
          <w:p>
            <w:pPr>
              <w:keepNext w:val="0"/>
              <w:keepLines w:val="0"/>
              <w:widowControl/>
              <w:numPr>
                <w:ilvl w:val="0"/>
                <w:numId w:val="5"/>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产品符合GB28007-2011《儿童家具通用技术条件》。</w:t>
            </w:r>
          </w:p>
          <w:p>
            <w:pPr>
              <w:keepNext w:val="0"/>
              <w:keepLines w:val="0"/>
              <w:widowControl/>
              <w:numPr>
                <w:ilvl w:val="0"/>
                <w:numId w:val="5"/>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外表面和内表面以及儿童手指可触及的隐蔽处，均没有锐利的棱角、毛刺以及小五金部件露出的锐利尖锐。</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中班幼儿椅</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规格约：30*30*55cm，笑脸造型,坐高28cm。</w:t>
            </w:r>
          </w:p>
          <w:p>
            <w:pPr>
              <w:keepNext w:val="0"/>
              <w:keepLines w:val="0"/>
              <w:widowControl/>
              <w:numPr>
                <w:ilvl w:val="0"/>
                <w:numId w:val="6"/>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材质：全橡木。</w:t>
            </w:r>
          </w:p>
          <w:p>
            <w:pPr>
              <w:keepNext w:val="0"/>
              <w:keepLines w:val="0"/>
              <w:widowControl/>
              <w:numPr>
                <w:ilvl w:val="0"/>
                <w:numId w:val="6"/>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油漆：采用环保油漆，平整光滑，光泽柔和，工艺先进；表面和内表面及儿童手指可触及的隐蔽处，均不得有锐利的棱角、毛刺。</w:t>
            </w:r>
          </w:p>
          <w:p>
            <w:pPr>
              <w:keepNext w:val="0"/>
              <w:keepLines w:val="0"/>
              <w:widowControl/>
              <w:numPr>
                <w:ilvl w:val="0"/>
                <w:numId w:val="6"/>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产品符合GB28007-2011《儿童家具通用技术条件》。</w:t>
            </w:r>
          </w:p>
          <w:p>
            <w:pPr>
              <w:keepNext w:val="0"/>
              <w:keepLines w:val="0"/>
              <w:widowControl/>
              <w:numPr>
                <w:ilvl w:val="0"/>
                <w:numId w:val="6"/>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外表面和内表面以及儿童手指可触及的隐蔽处，均没有锐利的棱角、毛刺以及小五金部件露出的锐利尖锐。</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木制重叠床</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规格约：138*58*20cm；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材质：1.边框采用优质松木，不开裂、不易变形。</w:t>
            </w:r>
          </w:p>
          <w:p>
            <w:pPr>
              <w:keepNext w:val="0"/>
              <w:keepLines w:val="0"/>
              <w:widowControl/>
              <w:numPr>
                <w:ilvl w:val="0"/>
                <w:numId w:val="7"/>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采用安全环保油漆喷涂而成，安全、无毒无味，凸显木材纹理，手感光滑</w:t>
            </w:r>
          </w:p>
          <w:p>
            <w:pPr>
              <w:keepNext w:val="0"/>
              <w:keepLines w:val="0"/>
              <w:widowControl/>
              <w:numPr>
                <w:ilvl w:val="0"/>
                <w:numId w:val="7"/>
              </w:numPr>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铺板材质为松木光滑无毛刺。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移动黑板</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规格：140*75cm；移动磁性黑板采用金属镀锌板制作，板面为墨绿色，可双面使用。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板面硬度高，书写流利，容易抹擦，不生锈，不脱层，不变形，外用铝合金包边坚固耐用。可使用磁钉挂图和磁性教具</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玩具柜</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规格约：120*30*80cm。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材质：优质橡木；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板材厚度不低于18mm；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表面和内表面及儿童手指可触及的隐蔽处，均不得有锐利的棱角、毛刺。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书包柜</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规格约：120*30*120cm。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材质：优质；板材厚度不低于18mm；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油漆：采用环保油漆，平整光滑，光泽柔和，工艺先进；</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表面和内表面及儿童手指可触及的隐蔽处，均不得有锐利的棱角、毛刺。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毛巾架</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规格约：100*60*106cm，环保工程塑料</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拉杆音响</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音频输入：LINEIN，蓝牙，U盘，microSD卡，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有线/无线麦克风，吉他等乐器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调节形式：按键/旋钮调节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蓝牙规格：CSR8615，V5.0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电池容量/电池续航：3AH/12V，续航时间：6h*噪声声级(dB)：&lt;25dB(A)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信噪比dB(A)：&gt;85dB(A)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输入灵敏度：LINE IN输入450±50mV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蓝牙输入：320±50mFFS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吉他输入：110±20mV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输出功率：23W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箱体尺寸约：290×415x272mm</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电钢琴</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主机+木架+三踏+双人琴凳+数据线+转换头  88键翻盖黑色木纹</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5"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教学一体机</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一、幼教一体机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（一）、整体设计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1.整机无危险锐利的边缘或危险锐利尖端，转角及边框部位都经倒圆或者倒角处理，且倒圆半径不小于10mm 或者倒圆弧长不小于 15mm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2.整机屏幕采用≧65英寸 UHD超高清LED 液晶屏，显示比例16:9，屏幕分辨率≥3840*2160，采用防眩光钢化玻璃。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3.三合一电源按键，同一电源物理按键完成系统的开机、节能熄屏、关机操作；关机状态下轻按按键开机；开机状态下轻按按键实现节能熄屏/唤醒，长按按键实现关机。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4.具有与整机配套的卡通摄像头，像素不低于800W，视场角≥71.8°。需提供相应的功能证明材料（测试报告或官网或功能截图）。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5.摄像头内置麦克风，拾音距离≥3m。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6.整机内置无线网络模块，PC模块无任何外接或转接天线、网卡可同时实现Wi-Fi无线上网连接和AP无线热点发射。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7.灰度等级≥256级。需提供相应的功能证明材料（测试报告或官网或功能截图）。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★8.整机内置 2.1 声道扬声器，前朝向不少于2个8W 中高音扬声器，背朝向不少于1个15W 低音扬声器，额定总功率大于 30W。需提供相应的功能证明材料（测试报告或官网或功能截图）。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内置AI语音操控模块，唤醒词激活后可通过语音控制整机快速开关白板软件、传屏互动工具、幼儿相机、幼教软件，操控电脑关机、待机及待机唤醒。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2.整机配套相机软件，可以实现拍照和录像功能；拍照支持延时拍摄，可以设置3s、5s延时期限。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★3.具备柔和，动态，标准，智能模式；在智能模式下，整机可以根据显示内容自动调节，此模式可以进行开关。需提供相应的功能证明材料（测试报告或官网或功能截图）。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4.前置接口≥USB3.0*2，侧置接口：≥1路HDMI In ；≥1路VGA IN；≥1路Audio out；≥1路touch USB;≥1路RS232；≥1路PC Audio IN。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5.支持护眼模式，开启后调节为暖色色温、降低背光亮度。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为了呵护用眼健康及保证画面显示效果，整机需要支持光学护眼技术，通过降低LED液晶屏有害蓝光产生量进而达到光学护眼的目的，同时不改变画面显示效果。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（三）、电脑模块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1.采用抽拉内置式模块化电脑，抽拉内置式，PC模块可插入整机，可实现无单独接线的插拔。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★2.按压式卡扣方式，无需工具即可快速拆卸电脑模块。需提供相应的功能证明材料（测试报告或官网或功能截图）。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3.搭载Intel 8代酷睿 i5 CPU。内存：4GB DDR4笔记本内存或以上配置。硬盘：256 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4.具有独立非外扩展的视频输出接口：≥1路HDMI。具有标准PC防盗锁孔。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5.PC模块支持不断电情况下热插拔，以便快速维护或替换模块。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二、幼教资源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1.系统资源严格依据《3-6岁儿童学习与发展指南》与 《幼儿园指导纲要》编制而成，资源内容涵盖健康、语言、社会、科学、艺术等五个领域。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2.系统提供成体系的课程，不仅仅是课件，老师授课一键调用资源及其方便简单。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3.系统提供的主题课程，可支持电子书、动漫课堂，并具有活动目标、活动建议、快乐课堂和主题拓展。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4.系统提供的特色课堂，可支持电子书、动漫课堂，并具有活动目标、活动建议、表演、诵读和拓展。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5.系统提供：主题绘本，礼仪与安全，国学经典，幼儿才艺，剑桥主题英语，剑桥互动英语，经典童话故事，行为习惯故事，多元主题活动，潜能互动课程，手指操，蒙氏快乐阅读12类五大领域教育资源。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6.幼教系统包含2900条以上1080P高清视频和高清动画资源，资源大小≥45 GB。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7.软件具有白板软件功能，可以进行书写、擦除、重点标注等，且在重要知识点配备教参指导功能，方便老师教学。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8.软件应为单机安装版本，在无网情况下能正常使用。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9.软件安装便捷，可以一键式安装，用户完全可以实现自行安装。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（一）主要功能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1.采用备授课一体化框架设计，教师可根据教学场景自由切换类PPT界面的备课模式与触控交互教学模式，适用于教室、办公室等不同教学环境，便于教师教学使用。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全校教师提供可扩展，易于学校管理，安全可靠的云存储空间，根据每名教师使用时长与教学资料制作频率提供可扩展升级至不小于200G的个人云空间。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3.为使用方全体教师配备个人账号，形成一体的信息化教学账号体系。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4.根据教师账号信息将教师云空间匹配至对应学校、学科校本资源库。需提供相应的功能证明材料（测试报告或官网或功能截图）。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5.上传下载一体化云存储：备课时支持将云空间中存储图片、音频、视频、Flash等素材插入课件，同时支持将课件中的图片、音频、视频、Flash、PPT等素材右键上传至云空间。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6.接收方通过web链接或二维码的课件分享入口可预览互动课件内容并可触控课件互动元素。需提供相应的功能证明材料（测试报告或官网或功能截图）。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7.支持PPT的原生解析，教师可将pptx课件转化为互动教学课件，支持单份导入和批量文件夹导入两种格式，保留pptx原文件中的文字、图片、表格等对象及动画的可编辑性，并可为课件增加互动教学元素。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8.可自由调节课件画面的显示比例，支持16:9、4：3画面显示比，可适配各类显示设备。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9.路径动画：支持任意对象自定义路径动画设置，可绘制任意的移动轨迹并让对象沿着轨迹路径进行移动，可单独设置该动画通过翻页或单击对象本身进行触发。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★10.内置微课工具，支持快速录制胶囊式微课，微课可录制保存音频和课件的互动操作。需提供相应的功能证明材料（测试报告或官网或功能截图）。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11.无课件录制：支持教师在空白页面录制胶囊式微课，支持自主添加不低于一百页电子草稿进行讲解。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12.微课听课方式：微课录制结束后自动生成分享海报，学生扫码在即可在微信观看，无需下载其他app使用。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13.全文快速搜索：支持在课件中通过快捷键调用搜索控件，输入文本即可查找课件内文本框、形状、表格中对应的文本匹配项。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（二）学科工具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★14.AI智能纠错：软件内置的AI智能语义分析模块，可对输入的英文文本的拼写、句型、语法进行错误检查，并支持一键纠错。需提供相应的功能证明材料（测试报告或官网或功能截图）。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配置英语学科听写工具，支持自定义选择单词。自定义听写频率和次数，一键生成听写卡；授课模式支持一键开启听写朗读。提供生产厂家确认的、相应的功能证明材料（测试报告或官网或功能截图等），加盖生产厂家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提供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17.拼音工具：支持在拼音格中输入拼音字母，可展示该字母的标准四声读音以及笔画。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18.内置专用美术画板工具，提供铅笔、毛笔、油画笔等笔触，具备符合绘画调色教学需求的模拟调色盘，可选择不同颜色混合调色，便于学生理解调色合成过程。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四、学生行为管理软件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1.手机学生行为评价系统集成学校管理、教师管理、课堂表现评价、家校互联互通功能，所有功能同一软件平台的同一账户实现。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2.支持通过数字账号、微信二维码、硬件密钥方式登录教师个人账号。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3.兼容多平台系统，可在PC、Web、安卓、iOS等系统使用，且各终端数据互通，教师可多场景下对学生进行管理与评价。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4.移动端支持教师/家长双重身份无缝切换，软件内可直接切换账户类型，无需安装多个APP应用或退出账号重新登录。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5.支持汇总查看校内的班级评价排名，可以列表形式查看班主任、班级学生数、家长数、班级代码等信息。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6.提供TBL\PBL分组教学评价功能，教师可自由创建多个学生小组，支持对单个小组成员进行换组调整。同时提供快速随机分组功能，可快速将班级学生按照教师需求的组别数量进行随机分组。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7.支持考勤功能，可对学生的出勤、迟到、缺勤、请假状态进行记录，并支持查看课堂考勤统计报表，可详细查看班级考勤概览数据。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8.支持网页端、PC授课端查看学生成长统计报表，按饼状图形式展现学生课堂表现情况，支持查看班级或学生个人情况，并可追溯每条评价的原因、对象、分值，便于教师进行精准评价。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系统根据学生日常行为评价情况，通过AI学生能力模型进行智能分析，为每个学生生成定制化评语，评语可支持教师二次编辑修改并推送至家长端。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10.教师可通过多终端对学生、小组及班级进行行为量化评价、文字点评、图片点评。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11.系统内置头像类型不少于10种，支持教师自定义设置学生头像。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12.支持课堂评价分数清零重置，可选择对个别学生和全班学生进行分数重置。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13.支持教师与其他教师及家长进行文字、语音、图片交流，且教师可设置免打扰时间段，非工作时间内消息不会发生提醒。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14.支持教师创建打卡任务，打卡支持超过200字的文本、图片、语音、视频和外部网页链接等形式，发布后老师可以看到学生打卡情况统计表。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1.后台采用B/S架构设计，支持学校管理者在Windows、Linux、Android、IOS等多种不同的操作系统上通过网页浏览器登陆进行操作，可统计全校教师软件活跃数据、学生点评及课件上传等数据。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2.支持管理员及教师使用网页端、移动端登录，移动端支持查看网页端数据信息，教师榜单，并定期推送数据分析报表，帮助学校检验信息化教学成果。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3.信息化数据雷达图：将信息化教学数据分五个维度进行评估，分别为课件制作、听课评课、师生互动、互动教学、家校沟通，并与全省均值对比，学校信息化教学情况一目了然。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提升实力：一键分析学校信息化教学的待提升项，并将本校信息化教学数值与省最高值进行对比，方便学校了解自身情况和实际差距；同时可通过管理端督促教师开展信息化教学活动，并为管理者预测督促后可提升的指标，督促信息将通过短信触达教师，保证督促效果。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教师考勤：具备教师GPS定位打卡考勤功能。学校管理员可设置考勤时间、考勤范围，还可以查看和导出考勤数据报表。教师可在移动端进行GPS考勤，到达学校范围后即激活打卡，支持入校、离校、迟到、早退等多种打卡类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6.教研结构：支持管理者按照学段-学科-年级快速创建教师的教研组织结构，方便教师信息的分类管理。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7.信息管理：支持修改管理员、教师的账户信息，支持管理员上传校徽，并对本校内管理者账户都可见。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为学校提供教研全流程管理服务，包含教学计划、电子教案、听课评课、校本资源、班级氛围的流程管理和数据分析，方便学校统筹管理教学、教研活动进展，收集数据反馈和评价，了解全校教师的教学教研产出。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9.教案模板管理：支持管理者自定义学校的教案模板，可以设置必填项和选填项，有效规范教师教案的编写。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10.班级氛围数据概况：支持查看不同时间段班级氛围数据的概况，数据包含家长入班率，教师对学生的新增点评数，教师参与度，表现突出的教师前三名。 需提供相应的功能证明材料（测试报告或官网或功能截图）。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11.听评课数据统计导出：支持对不同评课维度得分进行统计，计算平均分并找出评分薄弱项，方便管理者针对性优化教学策略，同时支持查看全校的评课记录和得分详情，并可一键导出Excel表格，方便整理。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12.电子教案：教师可以在个人空间直接编写教案，编写教案时可以关联课件，支持教师在个人空间、配套备授课工具查看课件以及教案，方便教师进行教学设计。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13.习题使用：教师可以选择习题插入课件使用。支持在云空间中创建习题，包括选择题、填空题、解答题，支持批量导入习题，将习题分享至校本资源库。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1.支架整体采用圆弧设计，没有方形锋边,为幼儿提供安全保护；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 移动支架通过防倾斜试验10°倾斜角度下不能翻倒；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3.承挂≤50kg；净重≤14kg，可方便搬运、抬放；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4.支持两个安装高度调节，满足不同场景需求，两个高度安装高度差180mm；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5.支撑立柱采用60mm管径的冷轧钢圆管，表面酸洗工艺静电白色喷涂；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6.底部及立柱顶部套有PP管塞，防止幼儿撞击铁件边缘碰伤；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7.底部带有1.5寸移动脚轮，方便用户移动；   </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6"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电脑</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CPU：≥4核 主频≥3.7G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主板：PRO565以上芯片组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内存：8G DDR4 2666MHz 内存，最大支持32G内存容量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显卡：集成显卡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声卡：集成HD Audio，支持5.1声道（提供前2后3共5个音频接口）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硬盘：1T SATA3 7200rpm 硬盘+256G SSD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网卡： 集成10/100/1000M以太网卡；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扩展槽： 1个PCI-E*16、2个PCI-E*1、1个PCI槽位；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键盘、鼠标： 原厂防水键盘、抗菌鼠标；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接口： ≥10个USB接口（其中前置至少2*USB3.2 Gen2+4*USB3.2 Gen1），2*PS/2接口、1个串口，主板集成2个视频接口（其中至少1个非转接VGA接口）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电源 ：≥180W 节能电源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安全特性： USB屏蔽技术，仅识别USB键盘、鼠标，无法识别USB读取设备，有效防止数据泄露（投标时提供功能性截屏）；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机箱 ：标准MATX立式机箱，采用蜂窝结构，散热更为有效；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机箱不大于16L，顶置提手，方便搬运，顶置电源开关键，方便使用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操作系统： 预装Windows 11正版操作系统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显示器 ：≥21英寸显示器（1920x1080，VGA+DVI双接口，15个月保修）</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14</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饮水机</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电压220V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额定功率550W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尺寸</w:t>
            </w:r>
            <w:r>
              <w:rPr>
                <w:rFonts w:hint="eastAsia" w:ascii="宋体" w:hAnsi="宋体" w:eastAsia="宋体" w:cs="宋体"/>
                <w:i w:val="0"/>
                <w:iCs w:val="0"/>
                <w:color w:val="auto"/>
                <w:sz w:val="24"/>
                <w:szCs w:val="24"/>
                <w:u w:val="none"/>
                <w:lang w:eastAsia="zh-CN"/>
              </w:rPr>
              <w:t>约：</w:t>
            </w:r>
            <w:r>
              <w:rPr>
                <w:rFonts w:hint="eastAsia" w:ascii="宋体" w:hAnsi="宋体" w:eastAsia="宋体" w:cs="宋体"/>
                <w:i w:val="0"/>
                <w:iCs w:val="0"/>
                <w:color w:val="auto"/>
                <w:sz w:val="24"/>
                <w:szCs w:val="24"/>
                <w:u w:val="none"/>
              </w:rPr>
              <w:t>270MM*245MM*820MM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304不锈钢内胆，钢化玻璃，加厚侧板，低音降噪洁净防尘，安全童锁，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温热两用，双按键取水</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2"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3P挂式空调</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空调匹数 3匹 能效等级 3级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冷暖方式 冷暖 空调技术 变频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建议使用面积(m)约30-40平方米 类别 挂机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制冷(W) 制热(W)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制冷功率2150W 制热功率2200W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内机尺寸约：1072*325*245mm</w:t>
            </w:r>
          </w:p>
          <w:p>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外机尺寸约：958*660*402mm</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柜式空调</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空调匹数:3匹 能效等级 3级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冷暖方式：冷暖 空调技术 变频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建议使用面积： 约30-40m 类别 柜机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制冷(W）：制热（W）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制冷量 ：7210W  制热量： 9110W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制冷功率：2350W 制热功率 ：3080W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室内机噪音 42dB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高风-强力风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室外机噪音：56dB</w:t>
            </w:r>
          </w:p>
          <w:p>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低风-高风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电辅热功率2100w   </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安装</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空调安装辅材及安装费</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w:t>
            </w:r>
          </w:p>
        </w:tc>
        <w:tc>
          <w:tcPr>
            <w:tcW w:w="85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紫外线消毒机</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1.安装方式：壁挂式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2.用途：设备主要用于对室内空气进行消毒与净化处理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3.消杀模式：人机共存，动态紫外线循环风持续消毒，对人体无害；静态消毒（人员不在现场时使用），臭氧熏蒸消毒可对室内物体表面细菌病毒进行消杀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4.紫外灯类型：长寿命C波段、H型高强度36W紫外线杀菌灯管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5.紫外线辐照功率为36W*4,紫外线照射强度为13800μw/cm2。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6.灯管下方垂直中心1m处的辐射照度值为≥780μw/cm2（提供检验报告）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7.紫外线泄漏量：周边对角线左、中、右垂直距离30cm处辐射照度值≤5μw/cm2（提供检验报告）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8.滤网类型：初效、活性碳抗菌除异味过滤网双重过滤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9.负离子：高效负离子静电去除烟尘及细菌，负氧离子释放量：≥8×107个/cm3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10.循环风量：≥1000m3/h（提供检验报告）    适用消毒体积  ≤100m3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11.噪音：≤50db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12.风速：（高、中、低）可调，风向多向循环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13.操作方式：超强远红外遥控操作，可远距离遥控操作，微电脑程控自动运行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14.臭氧产量：5000mg/h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15.臭氧浓度：空气消毒机在工作60min内，最高臭氧浓度≥16.055mg/m³（提供检验报告）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16.臭氧泄漏量：其结束工作10min内，臭氧泄漏量最大值为≤0.004mg/m³（提供检验报告）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17.工作模式：提供手动、自动和定时三种模式供用户选择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18.定时模式可根据需要设定三个时间段覆盖全天24小时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19.累计工作时间显示：具有整机寿命计时功能并且具有掉电记忆功能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color w:val="000000"/>
                <w:kern w:val="0"/>
                <w:sz w:val="24"/>
                <w:lang w:bidi="ar"/>
              </w:rPr>
              <w:t>★</w:t>
            </w:r>
            <w:r>
              <w:rPr>
                <w:rFonts w:hint="eastAsia" w:ascii="宋体" w:hAnsi="宋体" w:eastAsia="宋体" w:cs="宋体"/>
                <w:i w:val="0"/>
                <w:iCs w:val="0"/>
                <w:color w:val="000000"/>
                <w:kern w:val="0"/>
                <w:sz w:val="24"/>
                <w:szCs w:val="24"/>
                <w:u w:val="none"/>
                <w:lang w:val="en-US" w:eastAsia="zh-CN" w:bidi="ar"/>
              </w:rPr>
              <w:t>20.杀菌率：对白色葡萄球菌的灭杀率≥99%；对空气自然菌的灭杀率≥90%（提供检验报告）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21.设备尺寸约：1000mm*230mm*330mm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22.工作电源：220V 50Hz  安全类型：II类B型  功率：180W</w:t>
            </w:r>
          </w:p>
        </w:tc>
        <w:tc>
          <w:tcPr>
            <w:tcW w:w="93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w:t>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具有打印+复印+双面扫描+网络+无线网连接+输稿器+双纸盒等基本功能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打印方式 激光静电转印方式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感光材料 OPC</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显影系统 干式单组分显影</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定影系统 按需定影技术</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内存 标配 512MB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预热时间 主机电源打开时 13秒</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睡眠模式恢复时 4.3秒</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最大原稿尺寸 A3</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首页输出时间 7.4秒</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灰度等级 256级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分辨率 复印 600dpi×600dpi</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打印 600dpi×600dpi</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复印倍率 固定倍率 25%,50%,70%,81%,86%,115%,122%, 141%,200%,400%</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手动缩放 25% - 400%（以1%为单位)</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连续输出速度 黑白 22页/分钟</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连续复印张数 1 - 999张</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供纸量 标准 250张（前置纸盒）+80张（手送纸盒）</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最大 580张</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纸张尺寸 纸盒 A3，A4、B5、A5、LTR、16K，LGL， LTRR，STMTR</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多功能托盘 A3，A4、B5、A5、LTR、16K，LGL， LTRR，STMTR，ECEX，信封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纸张厚度 纸盒 64 - 90g/㎡</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手送托盘 64 - 128g/㎡</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纸张类型 纸盒 普通纸（64g/㎡-90g/㎡），再生纸， 彩色纸，预先穿孔纸</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多功能托盘 普通纸（64g/㎡-90g/㎡），再生纸， 厚纸（91-128g/㎡），彩色纸，胶片， 标签纸，信封，证券纸，预先穿孔纸</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电源 220-240V, 50/60Hz, 2.7A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最大功耗 1.5 kW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“睡眠”模式能耗 2.0W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主机尺寸（宽×深×高)约： 502mm×622mm×589mm</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5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FF0000"/>
                <w:sz w:val="24"/>
                <w:szCs w:val="24"/>
                <w:u w:val="none"/>
              </w:rPr>
            </w:pPr>
          </w:p>
        </w:tc>
      </w:tr>
    </w:tbl>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sectPr>
          <w:footerReference r:id="rId6" w:type="default"/>
          <w:pgSz w:w="16838" w:h="11906" w:orient="landscape"/>
          <w:pgMar w:top="1157" w:right="1080" w:bottom="1157" w:left="1080" w:header="851" w:footer="567" w:gutter="0"/>
          <w:pgNumType w:fmt="decimal" w:start="38"/>
          <w:cols w:space="0" w:num="1"/>
          <w:rtlGutter w:val="0"/>
          <w:docGrid w:type="lines" w:linePitch="312" w:charSpace="0"/>
        </w:sectPr>
      </w:pP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二、其他要求</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2" w:firstLineChars="20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1、本项目核心产品为：教学一体机（幼教一体机）</w:t>
      </w:r>
      <w:r>
        <w:rPr>
          <w:rFonts w:hint="eastAsia" w:asciiTheme="minorEastAsia" w:hAnsiTheme="minorEastAsia" w:cstheme="minorEastAsia"/>
          <w:b/>
          <w:bCs w:val="0"/>
          <w:i w:val="0"/>
          <w:iCs w:val="0"/>
          <w:color w:val="auto"/>
          <w:kern w:val="0"/>
          <w:sz w:val="24"/>
          <w:szCs w:val="24"/>
          <w:highlight w:val="none"/>
          <w:u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2、招标文件中提供的参数为最低要求，投标人的投标产品应相当于或优于招标文件要求，采购清单中如果有前后不一致的，以最优为准。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3、投标人须提供核心产品的来源渠道合法证明材料（</w:t>
      </w:r>
      <w:r>
        <w:rPr>
          <w:rFonts w:hint="eastAsia" w:ascii="宋体" w:hAnsi="宋体" w:eastAsia="宋体" w:cs="宋体"/>
          <w:color w:val="auto"/>
          <w:kern w:val="0"/>
          <w:sz w:val="24"/>
          <w:szCs w:val="24"/>
          <w:highlight w:val="none"/>
          <w:lang w:val="en-US" w:eastAsia="zh-CN" w:bidi="ar"/>
        </w:rPr>
        <w:t>销售协议或厂家授权书及售后服务承诺函等</w:t>
      </w:r>
      <w:r>
        <w:rPr>
          <w:rFonts w:hint="eastAsia" w:ascii="宋体" w:hAnsi="宋体" w:eastAsia="宋体" w:cs="宋体"/>
          <w:b w:val="0"/>
          <w:bCs/>
          <w:color w:val="auto"/>
          <w:kern w:val="2"/>
          <w:sz w:val="24"/>
          <w:szCs w:val="24"/>
          <w:highlight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4、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三、包装、运输要求：</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600" w:firstLineChars="25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1、包装：应采取防潮、防晒、防腐蚀、防震动及防止其它损坏的必要措施。成交人应承担由于其包装或防护措施不妥而引起的货物锈蚀、损坏和丢失等任何损失造成的责任或费用。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600" w:firstLineChars="250"/>
        <w:jc w:val="both"/>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2"/>
          <w:sz w:val="24"/>
          <w:szCs w:val="24"/>
          <w:highlight w:val="none"/>
          <w:lang w:val="en-US" w:eastAsia="zh-CN" w:bidi="ar"/>
        </w:rPr>
        <w:t>2、运输：</w:t>
      </w:r>
      <w:r>
        <w:rPr>
          <w:rFonts w:hint="eastAsia" w:ascii="宋体" w:hAnsi="宋体" w:eastAsia="宋体" w:cs="宋体"/>
          <w:color w:val="auto"/>
          <w:kern w:val="0"/>
          <w:sz w:val="24"/>
          <w:szCs w:val="24"/>
          <w:highlight w:val="none"/>
          <w:lang w:val="en-US" w:eastAsia="zh-CN" w:bidi="ar"/>
        </w:rPr>
        <w:t>选择运输风险小、运费低、距离短的运输路线。运杂费一次包死在总价内，包括生产厂到施工现场所需的装卸、运输费、保险费、现场保管费、二次倒运费、吊装费等费用。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四、质量保证</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color w:val="auto"/>
          <w:kern w:val="0"/>
          <w:sz w:val="24"/>
          <w:szCs w:val="24"/>
          <w:highlight w:val="none"/>
        </w:rPr>
        <w:t>所有产品质量必须符合国家有关规范和相关政策。所有设备及辅材必须是未使用过的新产品，质量优良、渠道正当，配置合理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满足</w:t>
      </w:r>
      <w:r>
        <w:rPr>
          <w:rFonts w:hint="eastAsia" w:ascii="宋体" w:hAnsi="宋体" w:eastAsia="宋体" w:cs="宋体"/>
          <w:color w:val="auto"/>
          <w:kern w:val="0"/>
          <w:sz w:val="24"/>
          <w:szCs w:val="24"/>
          <w:highlight w:val="none"/>
          <w:lang w:eastAsia="zh-CN"/>
        </w:rPr>
        <w:t>采购</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、若质量不合格，甲方有权拒付所有项目款；若产品因运输等原因造成质量问题，一切损失由乙方承担。</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SA"/>
        </w:rPr>
        <w:t>3、所有产品质保期以产品制造厂承诺时间为准，在质保期内出现设计缺陷等问题，由乙方负全部责任。</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p>
    <w:p>
      <w:pPr>
        <w:shd w:val="clear"/>
        <w:rPr>
          <w:rFonts w:hint="eastAsia"/>
          <w:b/>
          <w:bCs/>
          <w:color w:val="auto"/>
          <w:sz w:val="28"/>
          <w:szCs w:val="28"/>
          <w:highlight w:val="none"/>
          <w:lang w:val="en-US" w:eastAsia="zh-CN"/>
        </w:rPr>
        <w:sectPr>
          <w:pgSz w:w="11906" w:h="16838"/>
          <w:pgMar w:top="1080" w:right="1157" w:bottom="1080" w:left="1157" w:header="851" w:footer="567" w:gutter="0"/>
          <w:pgNumType w:fmt="decimal" w:start="38"/>
          <w:cols w:space="0" w:num="1"/>
          <w:rtlGutter w:val="0"/>
          <w:docGrid w:type="lines" w:linePitch="312" w:charSpace="0"/>
        </w:sectPr>
      </w:pPr>
    </w:p>
    <w:p>
      <w:pPr>
        <w:pStyle w:val="3"/>
        <w:shd w:val="clear"/>
        <w:bidi w:val="0"/>
        <w:rPr>
          <w:rFonts w:hint="eastAsia"/>
          <w:color w:val="auto"/>
          <w:highlight w:val="none"/>
          <w:lang w:val="en-US" w:eastAsia="zh-CN"/>
        </w:rPr>
      </w:pPr>
      <w:bookmarkStart w:id="67" w:name="_Toc9709"/>
      <w:r>
        <w:rPr>
          <w:rFonts w:hint="eastAsia"/>
          <w:color w:val="auto"/>
          <w:highlight w:val="none"/>
          <w:lang w:val="en-US" w:eastAsia="zh-CN"/>
        </w:rPr>
        <w:t>第六章 评 标 方 法</w:t>
      </w:r>
      <w:bookmarkEnd w:id="67"/>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一．评标方法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color w:val="auto"/>
          <w:spacing w:val="4"/>
          <w:kern w:val="2"/>
          <w:sz w:val="24"/>
          <w:szCs w:val="24"/>
          <w:highlight w:val="none"/>
          <w:lang w:val="en-US" w:eastAsia="zh-CN" w:bidi="ar"/>
        </w:rPr>
        <w:t>本次评标采用</w:t>
      </w:r>
      <w:r>
        <w:rPr>
          <w:rFonts w:hint="eastAsia" w:ascii="宋体" w:hAnsi="宋体" w:eastAsia="宋体" w:cs="宋体"/>
          <w:b/>
          <w:bCs w:val="0"/>
          <w:color w:val="auto"/>
          <w:spacing w:val="4"/>
          <w:kern w:val="2"/>
          <w:sz w:val="24"/>
          <w:szCs w:val="24"/>
          <w:highlight w:val="none"/>
          <w:lang w:val="en-US" w:eastAsia="zh-CN" w:bidi="ar"/>
        </w:rPr>
        <w:t>综合评分法</w:t>
      </w:r>
      <w:r>
        <w:rPr>
          <w:rFonts w:hint="eastAsia" w:ascii="宋体" w:hAnsi="宋体" w:eastAsia="宋体" w:cs="宋体"/>
          <w:color w:val="auto"/>
          <w:spacing w:val="4"/>
          <w:kern w:val="2"/>
          <w:sz w:val="24"/>
          <w:szCs w:val="24"/>
          <w:highlight w:val="none"/>
          <w:lang w:val="en-US" w:eastAsia="zh-CN" w:bidi="ar"/>
        </w:rPr>
        <w:t>，即在最大限度地满足招标文件实质性要求前提下，按照招标文件中规定的各项因素和相应的权重分值进行综合评审后，</w:t>
      </w:r>
      <w:r>
        <w:rPr>
          <w:rFonts w:hint="eastAsia" w:ascii="宋体" w:hAnsi="宋体" w:eastAsia="宋体" w:cs="宋体"/>
          <w:color w:val="auto"/>
          <w:kern w:val="2"/>
          <w:sz w:val="24"/>
          <w:szCs w:val="24"/>
          <w:highlight w:val="none"/>
          <w:lang w:val="en-US" w:eastAsia="zh-CN" w:bidi="ar"/>
        </w:rPr>
        <w:t>以总得分最高的投标人作为中标候选投标人并依次排序。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二．评标程序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按照投标人资格审查、投标文件符合性审查、澄清有关问题、比较与评价、推荐中标候选投标人名单的工作程序进行评标。</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1、投标人符合性检查。分别按照以下内容对投标文件进行检查，一项不合格即按照无效投标处理。</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1）投标人的投标报价未超过采购预算；</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kern w:val="2"/>
          <w:sz w:val="24"/>
          <w:szCs w:val="20"/>
          <w:highlight w:val="none"/>
          <w:lang w:val="en-US" w:eastAsia="zh-CN" w:bidi="ar"/>
        </w:rPr>
        <w:t>2）投标</w:t>
      </w:r>
      <w:r>
        <w:rPr>
          <w:rFonts w:hint="eastAsia" w:ascii="宋体" w:hAnsi="宋体" w:eastAsia="宋体" w:cs="宋体"/>
          <w:color w:val="auto"/>
          <w:spacing w:val="-6"/>
          <w:kern w:val="2"/>
          <w:sz w:val="24"/>
          <w:szCs w:val="20"/>
          <w:highlight w:val="none"/>
          <w:lang w:val="en-US" w:eastAsia="zh-CN" w:bidi="ar"/>
        </w:rPr>
        <w:t>文件</w:t>
      </w:r>
      <w:r>
        <w:rPr>
          <w:rFonts w:hint="eastAsia" w:ascii="宋体" w:hAnsi="宋体" w:eastAsia="宋体" w:cs="宋体"/>
          <w:color w:val="auto"/>
          <w:kern w:val="2"/>
          <w:sz w:val="24"/>
          <w:szCs w:val="20"/>
          <w:highlight w:val="none"/>
          <w:lang w:val="en-US" w:eastAsia="zh-CN" w:bidi="ar"/>
        </w:rPr>
        <w:t>按招标文件要求签署、盖章；</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w:t>
      </w:r>
      <w:r>
        <w:rPr>
          <w:rFonts w:hint="eastAsia" w:ascii="宋体" w:hAnsi="宋体" w:eastAsia="宋体" w:cs="宋体"/>
          <w:color w:val="auto"/>
          <w:spacing w:val="-6"/>
          <w:kern w:val="2"/>
          <w:sz w:val="24"/>
          <w:szCs w:val="20"/>
          <w:highlight w:val="none"/>
          <w:lang w:val="en-US" w:eastAsia="zh-CN" w:bidi="ar"/>
        </w:rPr>
        <w:t>投标有效期满足招标文件要求</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w:t>
      </w:r>
      <w:r>
        <w:rPr>
          <w:rFonts w:hint="eastAsia" w:ascii="宋体" w:hAnsi="宋体" w:cs="宋体"/>
          <w:color w:val="auto"/>
          <w:spacing w:val="4"/>
          <w:sz w:val="24"/>
          <w:highlight w:val="none"/>
        </w:rPr>
        <w:t>投标人在同一份投标文件中，</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有两个或多个报价</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w:t>
      </w:r>
      <w:r>
        <w:rPr>
          <w:rFonts w:hint="eastAsia" w:ascii="宋体" w:hAnsi="宋体" w:eastAsia="宋体" w:cs="宋体"/>
          <w:color w:val="auto"/>
          <w:spacing w:val="4"/>
          <w:sz w:val="24"/>
          <w:szCs w:val="24"/>
          <w:highlight w:val="none"/>
          <w:lang w:eastAsia="zh-CN"/>
        </w:rPr>
        <w:t>未存在单位负责人为同一人或者不存在直接控股、管理关系的不同投标人，参加本项目政府采购活动；</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付款方式及交货安装期、质保期符合招标文件；</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7）</w:t>
      </w:r>
      <w:r>
        <w:rPr>
          <w:rFonts w:hint="eastAsia" w:ascii="宋体" w:hAnsi="宋体" w:cs="宋体"/>
          <w:color w:val="auto"/>
          <w:spacing w:val="4"/>
          <w:sz w:val="24"/>
          <w:highlight w:val="none"/>
        </w:rPr>
        <w:t>投标单位针对同一项目</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递交两份或多份内容不同的投标文件</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8）投标文件不存在有重大缺漏项；</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09）投标文件实质性响应招标文件要求；</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10）</w:t>
      </w:r>
      <w:r>
        <w:rPr>
          <w:rFonts w:hint="eastAsia" w:ascii="宋体" w:hAnsi="宋体" w:eastAsia="宋体" w:cs="宋体"/>
          <w:color w:val="auto"/>
          <w:kern w:val="2"/>
          <w:sz w:val="24"/>
          <w:szCs w:val="24"/>
          <w:highlight w:val="none"/>
          <w:lang w:val="en-US" w:eastAsia="zh-CN" w:bidi="ar"/>
        </w:rPr>
        <w:t>法律、法规和招标文件规定的其他情形。</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2、澄清有关问题：</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2.1对于可能出现的投标报价不一致和文字文本差异按以下方法确认更正。</w:t>
      </w:r>
    </w:p>
    <w:p>
      <w:pPr>
        <w:keepNext w:val="0"/>
        <w:keepLines w:val="0"/>
        <w:pageBreakBefore w:val="0"/>
        <w:widowControl w:val="0"/>
        <w:suppressLineNumbers w:val="0"/>
        <w:shd w:val="clear"/>
        <w:overflowPunct/>
        <w:topLinePunct w:val="0"/>
        <w:bidi w:val="0"/>
        <w:spacing w:before="0" w:beforeAutospacing="0" w:afterAutospacing="0" w:line="360" w:lineRule="auto"/>
        <w:ind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2.1.2评委会将按照上述原则修正投标文件中的投标报价，修正后的价格对投标人具有约束力。如果投标人不接受修正后的价格，其投标按照无效投标处理。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cs="宋体"/>
          <w:sz w:val="24"/>
        </w:rPr>
      </w:pPr>
      <w:r>
        <w:rPr>
          <w:rFonts w:hint="eastAsia" w:ascii="宋体" w:hAnsi="宋体"/>
          <w:color w:val="000000"/>
          <w:sz w:val="24"/>
          <w:lang w:val="en-US" w:eastAsia="zh-CN"/>
        </w:rPr>
        <w:t>1、</w:t>
      </w:r>
      <w:r>
        <w:rPr>
          <w:rFonts w:hint="eastAsia" w:ascii="宋体" w:hAnsi="宋体"/>
          <w:color w:val="000000"/>
          <w:sz w:val="24"/>
        </w:rPr>
        <w:t>中小企业落实政府采购政策：落实</w:t>
      </w:r>
      <w:r>
        <w:rPr>
          <w:rFonts w:hint="eastAsia" w:ascii="宋体" w:hAnsi="宋体" w:cs="宋体"/>
          <w:sz w:val="24"/>
        </w:rPr>
        <w:t>促进支持中小企业、监狱企业、残疾人福利性单位发展、脱贫攻坚工作的政策(如为专门面向中小企业的采购项目（或采购包），不执行</w:t>
      </w:r>
      <w:r>
        <w:rPr>
          <w:rFonts w:hint="eastAsia" w:ascii="宋体" w:hAnsi="宋体" w:cs="宋体"/>
          <w:sz w:val="24"/>
          <w:lang w:eastAsia="zh-CN"/>
        </w:rPr>
        <w:t>以下</w:t>
      </w:r>
      <w:r>
        <w:rPr>
          <w:rFonts w:hint="eastAsia" w:ascii="宋体" w:hAnsi="宋体" w:cs="宋体"/>
          <w:sz w:val="24"/>
        </w:rPr>
        <w:t>条款。)</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1.1</w:t>
      </w:r>
      <w:r>
        <w:rPr>
          <w:rFonts w:hint="eastAsia" w:ascii="宋体" w:hAnsi="宋体" w:cs="宋体"/>
          <w:sz w:val="24"/>
        </w:rPr>
        <w:t>《政府采购促进中小企业发展管理办法》（财库〔2020〕46号）</w:t>
      </w:r>
    </w:p>
    <w:p>
      <w:pPr>
        <w:tabs>
          <w:tab w:val="left" w:pos="7665"/>
        </w:tabs>
        <w:spacing w:line="360" w:lineRule="auto"/>
        <w:ind w:firstLine="480" w:firstLineChars="200"/>
        <w:rPr>
          <w:rFonts w:ascii="宋体" w:hAnsi="宋体" w:cs="宋体"/>
          <w:sz w:val="24"/>
        </w:rPr>
      </w:pPr>
      <w:r>
        <w:rPr>
          <w:rFonts w:hint="eastAsia" w:ascii="宋体" w:hAnsi="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cs="宋体"/>
          <w:sz w:val="24"/>
        </w:rPr>
      </w:pPr>
      <w:r>
        <w:rPr>
          <w:rFonts w:hint="eastAsia" w:ascii="宋体" w:hAnsi="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cs="宋体"/>
          <w:sz w:val="24"/>
        </w:rPr>
      </w:pPr>
      <w:r>
        <w:rPr>
          <w:rFonts w:hint="eastAsia" w:ascii="宋体" w:hAnsi="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cs="宋体"/>
          <w:sz w:val="24"/>
        </w:rPr>
      </w:pPr>
      <w:r>
        <w:rPr>
          <w:rFonts w:hint="eastAsia" w:ascii="宋体" w:hAnsi="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cs="宋体"/>
          <w:sz w:val="24"/>
        </w:rPr>
      </w:pPr>
      <w:r>
        <w:rPr>
          <w:rFonts w:hint="eastAsia" w:ascii="宋体" w:hAnsi="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cs="宋体"/>
          <w:sz w:val="24"/>
        </w:rPr>
      </w:pPr>
      <w:r>
        <w:rPr>
          <w:rFonts w:hint="eastAsia" w:ascii="宋体" w:hAnsi="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1.2</w:t>
      </w:r>
      <w:r>
        <w:rPr>
          <w:rFonts w:hint="eastAsia" w:ascii="宋体" w:hAnsi="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cs="宋体"/>
          <w:sz w:val="24"/>
        </w:rPr>
      </w:pPr>
      <w:r>
        <w:rPr>
          <w:rFonts w:hint="eastAsia" w:ascii="宋体" w:hAnsi="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1.3</w:t>
      </w:r>
      <w:r>
        <w:rPr>
          <w:rFonts w:hint="eastAsia" w:ascii="宋体" w:hAnsi="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cs="宋体"/>
          <w:sz w:val="24"/>
        </w:rPr>
      </w:pPr>
      <w:r>
        <w:rPr>
          <w:rFonts w:hint="eastAsia" w:ascii="宋体" w:hAnsi="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2、</w:t>
      </w:r>
      <w:r>
        <w:rPr>
          <w:rFonts w:hint="eastAsia" w:ascii="宋体" w:hAnsi="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cs="宋体"/>
          <w:sz w:val="24"/>
        </w:rPr>
      </w:pPr>
      <w:r>
        <w:rPr>
          <w:rFonts w:hint="eastAsia" w:ascii="宋体" w:hAnsi="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cs="宋体"/>
          <w:sz w:val="24"/>
        </w:rPr>
      </w:pPr>
      <w:r>
        <w:rPr>
          <w:rFonts w:hint="eastAsia" w:ascii="宋体" w:hAnsi="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cs="宋体"/>
          <w:sz w:val="24"/>
        </w:rPr>
      </w:pPr>
      <w:r>
        <w:rPr>
          <w:rFonts w:hint="eastAsia" w:ascii="宋体" w:hAnsi="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cs="宋体"/>
          <w:sz w:val="24"/>
        </w:rPr>
      </w:pPr>
      <w:r>
        <w:rPr>
          <w:rFonts w:hint="eastAsia" w:ascii="宋体" w:hAnsi="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cs="宋体"/>
          <w:sz w:val="24"/>
        </w:rPr>
      </w:pPr>
      <w:r>
        <w:rPr>
          <w:rFonts w:hint="eastAsia" w:ascii="宋体" w:hAnsi="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cs="宋体"/>
          <w:sz w:val="24"/>
        </w:rPr>
      </w:pPr>
      <w:r>
        <w:rPr>
          <w:rFonts w:hint="eastAsia" w:ascii="宋体" w:hAnsi="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cs="宋体"/>
          <w:sz w:val="24"/>
        </w:rPr>
      </w:pPr>
      <w:r>
        <w:rPr>
          <w:rFonts w:hint="eastAsia" w:ascii="宋体" w:hAnsi="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cs="宋体"/>
          <w:sz w:val="24"/>
        </w:rPr>
      </w:pPr>
      <w:r>
        <w:rPr>
          <w:rFonts w:hint="eastAsia" w:ascii="宋体" w:hAnsi="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cs="宋体"/>
          <w:sz w:val="24"/>
        </w:rPr>
      </w:pPr>
      <w:r>
        <w:rPr>
          <w:rFonts w:hint="eastAsia" w:ascii="宋体" w:hAnsi="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cs="宋体"/>
          <w:sz w:val="24"/>
        </w:rPr>
      </w:pPr>
      <w:r>
        <w:rPr>
          <w:rFonts w:hint="eastAsia" w:ascii="宋体" w:hAnsi="宋体" w:cs="宋体"/>
          <w:sz w:val="24"/>
        </w:rPr>
        <w:t>2.10同一</w:t>
      </w:r>
      <w:r>
        <w:rPr>
          <w:rFonts w:hint="eastAsia" w:ascii="宋体" w:hAnsi="宋体" w:cs="宋体"/>
          <w:sz w:val="24"/>
          <w:lang w:eastAsia="zh-CN"/>
        </w:rPr>
        <w:t>包号</w:t>
      </w:r>
      <w:r>
        <w:rPr>
          <w:rFonts w:hint="eastAsia" w:ascii="宋体" w:hAnsi="宋体" w:cs="宋体"/>
          <w:sz w:val="24"/>
        </w:rPr>
        <w:t>的节能、环保、环境标志产品部分计分只对属于清单内的非强制类产品进行计分，强制类产品不给予计分。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2"/>
          <w:highlight w:val="none"/>
          <w:lang w:val="en-US" w:eastAsia="zh-CN"/>
        </w:rPr>
      </w:pPr>
      <w:r>
        <w:rPr>
          <w:rFonts w:hint="eastAsia" w:ascii="宋体" w:hAnsi="宋体" w:cs="宋体"/>
          <w:sz w:val="24"/>
        </w:rPr>
        <w:t>2.11节能、环保、环境标志产品不重复计分；同时列入国家级清单和省级清单的产品不重复计分。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四、比较与评价：</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对所有有效投标进行了评标价确认之后，</w:t>
      </w:r>
      <w:r>
        <w:rPr>
          <w:rFonts w:hint="eastAsia" w:ascii="宋体" w:hAnsi="宋体" w:eastAsia="宋体" w:cs="宋体"/>
          <w:color w:val="auto"/>
          <w:spacing w:val="4"/>
          <w:kern w:val="2"/>
          <w:sz w:val="24"/>
          <w:szCs w:val="24"/>
          <w:highlight w:val="none"/>
          <w:lang w:val="en-US" w:eastAsia="zh-CN" w:bidi="ar"/>
        </w:rPr>
        <w:t>由</w:t>
      </w:r>
      <w:r>
        <w:rPr>
          <w:rFonts w:hint="eastAsia" w:ascii="宋体" w:hAnsi="宋体" w:eastAsia="宋体" w:cs="宋体"/>
          <w:color w:val="auto"/>
          <w:kern w:val="2"/>
          <w:sz w:val="24"/>
          <w:szCs w:val="24"/>
          <w:highlight w:val="none"/>
          <w:lang w:val="en-US" w:eastAsia="zh-CN" w:bidi="ar"/>
        </w:rPr>
        <w:t>评委会各成员按照下列《评标因素及权重分解表》规定的内容独立进行综合比较、评价打分。</w:t>
      </w:r>
    </w:p>
    <w:p>
      <w:pPr>
        <w:keepNext w:val="0"/>
        <w:keepLines w:val="0"/>
        <w:pageBreakBefore w:val="0"/>
        <w:widowControl w:val="0"/>
        <w:numPr>
          <w:ilvl w:val="0"/>
          <w:numId w:val="0"/>
        </w:numPr>
        <w:suppressLineNumbers w:val="0"/>
        <w:shd w:val="clear"/>
        <w:overflowPunct/>
        <w:topLinePunct w:val="0"/>
        <w:bidi w:val="0"/>
        <w:spacing w:before="0" w:beforeAutospacing="0" w:afterAutospacing="0" w:line="360" w:lineRule="auto"/>
        <w:ind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六、推荐中标候选投标人名单：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kern w:val="2"/>
          <w:sz w:val="24"/>
          <w:szCs w:val="24"/>
          <w:highlight w:val="none"/>
          <w:lang w:val="en-US" w:eastAsia="zh-CN" w:bidi="ar"/>
        </w:rPr>
        <w:t>汇总全体评委对每个投标人的赋分，计算出每个投标人的综合得分，</w:t>
      </w:r>
      <w:r>
        <w:rPr>
          <w:rFonts w:hint="eastAsia" w:ascii="宋体" w:hAnsi="宋体" w:eastAsia="宋体" w:cs="宋体"/>
          <w:color w:val="auto"/>
          <w:spacing w:val="4"/>
          <w:kern w:val="2"/>
          <w:sz w:val="24"/>
          <w:szCs w:val="24"/>
          <w:highlight w:val="none"/>
          <w:lang w:val="en-US" w:eastAsia="zh-CN" w:bidi="ar"/>
        </w:rPr>
        <w:t>从高到低依次排序，推荐前三名为中标候选人。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评标因素及权重分值表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评价和比较以投标文件为依据，从“投标报价”、“技术部分”、</w:t>
      </w:r>
      <w:r>
        <w:rPr>
          <w:rFonts w:hint="eastAsia" w:ascii="宋体" w:hAnsi="宋体" w:eastAsia="宋体" w:cs="宋体"/>
          <w:color w:val="auto"/>
          <w:kern w:val="2"/>
          <w:sz w:val="24"/>
          <w:szCs w:val="24"/>
          <w:highlight w:val="none"/>
          <w:lang w:val="en-US" w:eastAsia="zh-CN" w:bidi="ar"/>
        </w:rPr>
        <w:t>“质量保证”、“售后服务方案”</w:t>
      </w:r>
      <w:r>
        <w:rPr>
          <w:rFonts w:hint="eastAsia" w:ascii="宋体" w:hAnsi="宋体" w:eastAsia="宋体" w:cs="宋体"/>
          <w:color w:val="auto"/>
          <w:spacing w:val="4"/>
          <w:kern w:val="2"/>
          <w:sz w:val="24"/>
          <w:szCs w:val="24"/>
          <w:highlight w:val="none"/>
          <w:lang w:val="en-US" w:eastAsia="zh-CN" w:bidi="ar"/>
        </w:rPr>
        <w:t xml:space="preserve">等方面进行评审并按照评标因素及权重分值表进行赋分。 </w:t>
      </w:r>
    </w:p>
    <w:tbl>
      <w:tblPr>
        <w:tblStyle w:val="41"/>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4"/>
        <w:gridCol w:w="8160"/>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评标因素</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 审 内 容</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
              </w:rPr>
              <w:t>投标报价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30分</w:t>
            </w:r>
            <w:r>
              <w:rPr>
                <w:rFonts w:hint="eastAsia" w:ascii="宋体" w:hAnsi="宋体" w:eastAsia="宋体" w:cs="宋体"/>
                <w:color w:val="auto"/>
                <w:sz w:val="24"/>
                <w:szCs w:val="24"/>
                <w:highlight w:val="none"/>
                <w:lang w:eastAsia="zh-CN"/>
              </w:rPr>
              <w:t>）</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价格评分满分为30分，以实质性满足招标文件商务和技术要求的最低投标价格为基准值，投标报价得分=（评标基准价/投标报价）×30</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备注：计算分数时四舍五入取小数点后两位。</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技术部分（45分）</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9"/>
              <w:widowControl/>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投标产品完全符合、响应招标文件要求，无负偏离的得满分</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分，参数中（包含专有功能）在内，每有一条加“★”号技术指标负偏离扣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分，其他</w:t>
            </w:r>
            <w:r>
              <w:rPr>
                <w:rFonts w:hint="eastAsia" w:ascii="宋体" w:hAnsi="宋体" w:eastAsia="宋体" w:cs="宋体"/>
                <w:color w:val="auto"/>
                <w:sz w:val="24"/>
                <w:szCs w:val="24"/>
                <w:highlight w:val="none"/>
                <w:lang w:val="en-US" w:eastAsia="zh-CN"/>
              </w:rPr>
              <w:t>未标</w:t>
            </w:r>
            <w:r>
              <w:rPr>
                <w:rFonts w:hint="eastAsia" w:ascii="宋体" w:hAnsi="宋体" w:eastAsia="宋体" w:cs="宋体"/>
                <w:color w:val="auto"/>
                <w:sz w:val="24"/>
                <w:szCs w:val="24"/>
                <w:highlight w:val="none"/>
                <w:lang w:val="en-US"/>
              </w:rPr>
              <w:t>★参数中每有一条技术指标负偏离扣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分，扣完为止。</w:t>
            </w:r>
          </w:p>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lang w:val="en-US"/>
              </w:rPr>
              <w:t>注：投标供应商提供相关“★”技术指标的佐证材料，佐证材不限于：经厂家确认的包含设备专业定向软件及专业功能描述的</w:t>
            </w:r>
            <w:r>
              <w:rPr>
                <w:rFonts w:hint="eastAsia" w:ascii="宋体" w:hAnsi="宋体" w:eastAsia="宋体" w:cs="宋体"/>
                <w:color w:val="auto"/>
                <w:sz w:val="24"/>
                <w:szCs w:val="24"/>
                <w:highlight w:val="none"/>
                <w:lang w:val="en-US" w:eastAsia="zh-CN"/>
              </w:rPr>
              <w:t>测试报告或官网或功能截图</w:t>
            </w:r>
            <w:r>
              <w:rPr>
                <w:rFonts w:hint="eastAsia" w:ascii="宋体" w:hAnsi="宋体" w:eastAsia="宋体" w:cs="宋体"/>
                <w:color w:val="auto"/>
                <w:sz w:val="24"/>
                <w:szCs w:val="24"/>
                <w:highlight w:val="none"/>
                <w:lang w:val="en-US"/>
              </w:rPr>
              <w:t>等证明材料，予以证明其技术参数的响应性。</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供货方案合理可行，有完善应急措施方案、环境保护措施、各环节配合、与相关工序协调措施等，根据响应情况计0-10分；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shd w:val="clear"/>
                <w:lang w:val="en-US" w:eastAsia="zh-CN" w:bidi="ar"/>
              </w:rPr>
            </w:pPr>
            <w:r>
              <w:rPr>
                <w:rFonts w:hint="eastAsia" w:ascii="宋体" w:hAnsi="宋体" w:eastAsia="宋体" w:cs="宋体"/>
                <w:color w:val="auto"/>
                <w:sz w:val="24"/>
                <w:szCs w:val="24"/>
                <w:highlight w:val="none"/>
                <w:lang w:val="en-US" w:eastAsia="zh-CN"/>
              </w:rPr>
              <w:t>提供项目组人员配备情况，项目组织机构健全，人员经验丰富、配备合理，根据响应程度计0-5分。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shd w:val="clear"/>
                <w:lang w:val="en-US" w:eastAsia="zh-CN" w:bidi="ar"/>
              </w:rPr>
            </w:pPr>
            <w:r>
              <w:rPr>
                <w:rFonts w:hint="eastAsia" w:ascii="宋体" w:hAnsi="宋体" w:eastAsia="宋体" w:cs="宋体"/>
                <w:color w:val="auto"/>
                <w:kern w:val="2"/>
                <w:sz w:val="24"/>
                <w:szCs w:val="24"/>
                <w:highlight w:val="none"/>
                <w:lang w:val="en-US" w:eastAsia="zh-CN" w:bidi="ar-SA"/>
              </w:rPr>
              <w:t>投标人须保证所供货物供货渠道来源合法有效，确保生产供应的设备无假货、水货、翻新货且无产权纠纷，提供所投货物来源渠道合法的证明文件，计0-2分；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kern w:val="2"/>
                <w:sz w:val="24"/>
                <w:szCs w:val="24"/>
                <w:highlight w:val="none"/>
                <w:shd w:val="clear"/>
                <w:lang w:val="en-US" w:eastAsia="zh-CN" w:bidi="ar"/>
              </w:rPr>
            </w:pPr>
            <w:r>
              <w:rPr>
                <w:rFonts w:hint="eastAsia" w:ascii="宋体" w:hAnsi="宋体" w:eastAsia="宋体" w:cs="宋体"/>
                <w:color w:val="auto"/>
                <w:kern w:val="2"/>
                <w:sz w:val="24"/>
                <w:szCs w:val="22"/>
                <w:highlight w:val="none"/>
                <w:lang w:val="en-US" w:eastAsia="zh-CN" w:bidi="ar-SA"/>
              </w:rPr>
              <w:t>提供产品运输等配送方案措施，根据响应情况计0-3分；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69"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质量保证</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（13分）</w:t>
            </w: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响应环境保护政策，幼教一体机制造商提供ISO14064温室气体核查认证证书复印件并加盖厂家公章，得2分；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幼教一体机通过由中国标准化研究院制定的视觉舒适度（VICO）评价体系测试，并达到视觉舒适度A+级或以上标准。提供得2分，不提供或者提供不全的不得分；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hd w:val="clear"/>
              <w:snapToGrid/>
              <w:spacing w:before="0" w:beforeAutospacing="0" w:after="0" w:afterAutospacing="0" w:line="360" w:lineRule="auto"/>
              <w:ind w:left="0" w:leftChars="0" w:right="0" w:rightChars="0"/>
              <w:jc w:val="center"/>
              <w:textAlignment w:val="baseline"/>
              <w:rPr>
                <w:rFonts w:hint="eastAsia" w:ascii="宋体" w:hAnsi="宋体" w:eastAsia="宋体" w:cs="宋体"/>
                <w:b w:val="0"/>
                <w:bCs w:val="0"/>
                <w:i w:val="0"/>
                <w:caps w:val="0"/>
                <w:color w:val="auto"/>
                <w:spacing w:val="0"/>
                <w:w w:val="100"/>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为提供良好稳定的软件使用体验，所投幼教一体机产品制造商需具有一定的软件能力成熟度，并通过SPCA评估4级及以上认证。提供得2分，不提供或者提供不全的不得分。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snapToGrid/>
              <w:spacing w:before="0" w:beforeAutospacing="0" w:after="0" w:afterAutospacing="0" w:line="360" w:lineRule="auto"/>
              <w:ind w:left="0" w:leftChars="0" w:right="0" w:rightChars="0"/>
              <w:jc w:val="center"/>
              <w:textAlignment w:val="baseline"/>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hd w:val="clear"/>
              <w:snapToGrid/>
              <w:spacing w:before="0" w:beforeAutospacing="0" w:after="0" w:afterAutospacing="0" w:line="360" w:lineRule="auto"/>
              <w:ind w:left="0" w:leftChars="0" w:right="0" w:rightChars="0"/>
              <w:jc w:val="center"/>
              <w:textAlignment w:val="baseline"/>
              <w:rPr>
                <w:rFonts w:hint="eastAsia" w:ascii="宋体" w:hAnsi="宋体" w:eastAsia="宋体" w:cs="宋体"/>
                <w:b w:val="0"/>
                <w:bCs w:val="0"/>
                <w:i w:val="0"/>
                <w:caps w:val="0"/>
                <w:color w:val="auto"/>
                <w:spacing w:val="0"/>
                <w:w w:val="100"/>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为保证幼儿健康安全，投标人需提供幼儿六人桌、幼儿椅、幼儿床、玩具柜等产品合格的证明材料：</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（1）提供幼儿六人桌产品检测报告，检测和判定依据符合GB 28007-2011《儿童家具通用技术条件》；GB 18584-2001《室内装饰装修材料木家具中有害物质限量》，力学性能、可迁移元素锑、可迁移元素砷、可迁移元素钡、可迁移元素镉、可迁移元素铬、可迁移元素铅、可迁移元素汞、可迁移元素硒含量检测，甲醛释放量≤0.1mg/L，各项测试结果为合格或符合得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（2）提供幼儿椅产品检测报告，检测和判定依据符合GB 28007-2011《儿童家具通用技术条件》力学性能各项测试结果为合格或符合得1分。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（3）提供幼儿床产品检测报告，检测和判定依据符合GB 28007-2011《儿童家具通用技术条件》力学性能各项测试结果为合格或符合1分。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（4）提供玩具柜产品检测报告，检测和判定依据符合GB 28007-2011《儿童家具通用技术条件》力学性能各项测试结果为合格或符合得1分。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（5）提供幼儿桌、幼儿椅、实幼儿床等产品原材料指接板检验报告，甲醛释放量不超过0.01mg/m³、总挥发性有机化合物（TVOC）72h释放率：不超过0.2mg/㎡·h，测试结果为合格或符合的得1分。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（6）提供幼儿桌、幼儿椅、实幼儿床等产品原材料指接板检验报告，锑、砷、钡、镉、铬：铅、汞、硒等可迁移元素含量，测试结果为合格或符合的得1分。</w:t>
            </w:r>
          </w:p>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（7）提供玩具柜产品原材料油漆检测报告,检测依据GB6675.4-2014玩具安全第4部分：特定元素的迁移，测试结果为合格，得1分。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hd w:val="clear"/>
              <w:snapToGrid/>
              <w:spacing w:before="0" w:beforeAutospacing="0" w:after="0" w:afterAutospacing="0" w:line="360" w:lineRule="auto"/>
              <w:ind w:left="0" w:leftChars="0" w:right="0" w:rightChars="0"/>
              <w:jc w:val="center"/>
              <w:textAlignment w:val="baseline"/>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售后服务方案（12分）</w:t>
            </w: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rPr>
              <w:t>有完善的售后服务方案、对备品配件、设备发生故障后的补救措施，维修服务响应时限等售后服务，有明确的承诺且具体、切实可行，根据响应情况计0-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制定详细的培训计划、培训方案，免费为使用单位培训操作维护人员，能保证使用单位熟练操作、维护和正常使用，并在投标文件中列出详细可行的技术培训措施，根据响应情况计0-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承诺由专业技术人员提供设备安装服务，并帮助采购人将设备安装调试到最佳使用状态，</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计</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，不提供不计分</w:t>
            </w:r>
            <w:r>
              <w:rPr>
                <w:rFonts w:hint="eastAsia" w:ascii="宋体" w:hAnsi="宋体" w:eastAsia="宋体" w:cs="宋体"/>
                <w:color w:val="auto"/>
                <w:sz w:val="24"/>
                <w:szCs w:val="24"/>
                <w:highlight w:val="none"/>
              </w:rPr>
              <w:t>。</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p>
        </w:tc>
      </w:tr>
    </w:tbl>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kern w:val="2"/>
          <w:sz w:val="24"/>
          <w:szCs w:val="24"/>
          <w:highlight w:val="none"/>
          <w:lang w:val="en-US" w:eastAsia="zh-CN" w:bidi="ar"/>
        </w:rPr>
        <w:t>备注：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1）各评委独立打分。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2）评委打分超过得分界限或未按本表规定赋分时该评委的打分作废，不计入汇总分。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若出现综合得分并列时，比较价格得分，此分项得分高者排序在前；若价格得分仍相同，比较技术得分，此分项得分高者排序在前；若技术得分仍相同，则由全体评标委员会成员无记名投票，得票高者排序在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4）计算分数时四舍五入取小数点后两位。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5）评标过程中，若出现特殊情况时，由评标委员会决定暂停评标，并提出具体处理意见。 </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eastAsia="宋体" w:cs="宋体"/>
          <w:color w:val="auto"/>
          <w:kern w:val="2"/>
          <w:sz w:val="24"/>
          <w:szCs w:val="24"/>
          <w:highlight w:val="none"/>
          <w:lang w:val="en-US" w:eastAsia="zh-CN" w:bidi="ar"/>
        </w:rPr>
        <w:t>评标委员会成员</w:t>
      </w:r>
      <w:r>
        <w:rPr>
          <w:rFonts w:hint="eastAsia" w:ascii="宋体" w:hAnsi="宋体" w:eastAsia="宋体" w:cs="宋体"/>
          <w:color w:val="auto"/>
          <w:spacing w:val="4"/>
          <w:kern w:val="2"/>
          <w:sz w:val="24"/>
          <w:szCs w:val="24"/>
          <w:highlight w:val="none"/>
          <w:lang w:val="en-US" w:eastAsia="zh-CN" w:bidi="ar"/>
        </w:rPr>
        <w:t>签字确认。</w:t>
      </w:r>
    </w:p>
    <w:p>
      <w:pPr>
        <w:shd w:val="clear"/>
        <w:spacing w:line="360" w:lineRule="auto"/>
        <w:ind w:firstLine="496" w:firstLineChars="200"/>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2、采购人根据评标报告中推荐的中标候选人排列顺序确定成交人，以复函通知采购代理机构。</w:t>
      </w:r>
    </w:p>
    <w:p>
      <w:pPr>
        <w:shd w:val="clear"/>
        <w:rPr>
          <w:color w:val="auto"/>
          <w:highlight w:val="none"/>
        </w:rPr>
      </w:pPr>
    </w:p>
    <w:bookmarkEnd w:id="40"/>
    <w:bookmarkEnd w:id="58"/>
    <w:bookmarkEnd w:id="59"/>
    <w:bookmarkEnd w:id="60"/>
    <w:bookmarkEnd w:id="61"/>
    <w:bookmarkEnd w:id="62"/>
    <w:bookmarkEnd w:id="63"/>
    <w:bookmarkEnd w:id="64"/>
    <w:bookmarkEnd w:id="65"/>
    <w:bookmarkEnd w:id="66"/>
    <w:p>
      <w:pPr>
        <w:pStyle w:val="3"/>
        <w:shd w:val="clear"/>
        <w:bidi w:val="0"/>
        <w:rPr>
          <w:rFonts w:hint="eastAsia"/>
          <w:color w:val="auto"/>
          <w:highlight w:val="none"/>
          <w:lang w:eastAsia="zh-CN"/>
        </w:rPr>
        <w:sectPr>
          <w:pgSz w:w="11906" w:h="16838"/>
          <w:pgMar w:top="1440" w:right="1283" w:bottom="1440" w:left="1383" w:header="1135" w:footer="1135" w:gutter="0"/>
          <w:pgNumType w:fmt="decimal"/>
          <w:cols w:space="425" w:num="1"/>
          <w:docGrid w:type="lines" w:linePitch="312" w:charSpace="0"/>
        </w:sectPr>
      </w:pPr>
      <w:bookmarkStart w:id="68" w:name="_Toc7664"/>
      <w:bookmarkStart w:id="69" w:name="_Toc23323"/>
      <w:bookmarkStart w:id="70" w:name="_Toc363474025"/>
      <w:bookmarkStart w:id="71" w:name="_Toc8457"/>
    </w:p>
    <w:p>
      <w:pPr>
        <w:pStyle w:val="3"/>
        <w:shd w:val="clear"/>
        <w:bidi w:val="0"/>
        <w:rPr>
          <w:rFonts w:hint="eastAsia"/>
          <w:color w:val="auto"/>
          <w:highlight w:val="none"/>
          <w:lang w:val="en-US"/>
        </w:rPr>
      </w:pPr>
      <w:r>
        <w:rPr>
          <w:rFonts w:hint="eastAsia"/>
          <w:color w:val="auto"/>
          <w:highlight w:val="none"/>
          <w:lang w:eastAsia="zh-CN"/>
        </w:rPr>
        <w:t>第七章 投标文件构成及格式</w:t>
      </w:r>
      <w:bookmarkEnd w:id="68"/>
      <w:bookmarkEnd w:id="69"/>
      <w:bookmarkEnd w:id="70"/>
      <w:bookmarkEnd w:id="71"/>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firstLine="6746" w:firstLineChars="2100"/>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32"/>
          <w:szCs w:val="32"/>
          <w:highlight w:val="none"/>
        </w:rPr>
        <w:t>正本/副本</w:t>
      </w:r>
    </w:p>
    <w:p>
      <w:pPr>
        <w:pStyle w:val="195"/>
        <w:widowControl/>
        <w:shd w:val="clear"/>
        <w:spacing w:line="240" w:lineRule="auto"/>
        <w:ind w:firstLine="0" w:firstLineChars="0"/>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（项目编号：  </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w:t>
      </w:r>
    </w:p>
    <w:p>
      <w:pPr>
        <w:pStyle w:val="195"/>
        <w:widowControl/>
        <w:shd w:val="clear"/>
        <w:spacing w:line="240" w:lineRule="auto"/>
        <w:ind w:firstLine="0" w:firstLineChars="0"/>
        <w:jc w:val="both"/>
        <w:rPr>
          <w:rFonts w:hint="eastAsia" w:ascii="宋体" w:hAnsi="宋体" w:eastAsia="宋体" w:cs="宋体"/>
          <w:color w:val="auto"/>
          <w:sz w:val="36"/>
          <w:szCs w:val="36"/>
          <w:highlight w:val="none"/>
        </w:rPr>
      </w:pPr>
    </w:p>
    <w:p>
      <w:pPr>
        <w:pStyle w:val="195"/>
        <w:widowControl/>
        <w:shd w:val="clear"/>
        <w:spacing w:line="240" w:lineRule="auto"/>
        <w:ind w:firstLine="0" w:firstLineChars="0"/>
        <w:jc w:val="both"/>
        <w:rPr>
          <w:rFonts w:hint="eastAsia" w:ascii="宋体" w:hAnsi="宋体" w:eastAsia="宋体" w:cs="宋体"/>
          <w:color w:val="auto"/>
          <w:sz w:val="36"/>
          <w:szCs w:val="36"/>
          <w:highlight w:val="none"/>
        </w:rPr>
      </w:pPr>
    </w:p>
    <w:p>
      <w:pPr>
        <w:widowControl/>
        <w:shd w:val="clear"/>
        <w:spacing w:line="480" w:lineRule="auto"/>
        <w:jc w:val="center"/>
        <w:rPr>
          <w:rFonts w:hint="eastAsia" w:ascii="宋体" w:hAnsi="宋体" w:eastAsia="宋体" w:cs="宋体"/>
          <w:b/>
          <w:color w:val="auto"/>
          <w:sz w:val="36"/>
          <w:szCs w:val="36"/>
          <w:highlight w:val="none"/>
          <w:lang w:val="en-US" w:eastAsia="zh-CN"/>
        </w:rPr>
      </w:pPr>
      <w:r>
        <w:rPr>
          <w:rFonts w:hint="eastAsia" w:ascii="宋体" w:hAnsi="宋体" w:eastAsia="宋体" w:cs="宋体"/>
          <w:b/>
          <w:bCs/>
          <w:color w:val="auto"/>
          <w:sz w:val="44"/>
          <w:szCs w:val="44"/>
          <w:highlight w:val="none"/>
          <w:lang w:eastAsia="zh-CN"/>
        </w:rPr>
        <w:t>吴堡县示范幼儿园新建教学楼配套设备采购项目</w:t>
      </w:r>
      <w:r>
        <w:rPr>
          <w:rFonts w:hint="eastAsia" w:ascii="宋体" w:hAnsi="宋体" w:eastAsia="宋体" w:cs="宋体"/>
          <w:b/>
          <w:bCs/>
          <w:color w:val="auto"/>
          <w:sz w:val="44"/>
          <w:szCs w:val="44"/>
          <w:highlight w:val="none"/>
          <w:u w:val="single"/>
          <w:lang w:val="en-US" w:eastAsia="zh-CN"/>
        </w:rPr>
        <w:t xml:space="preserve">   </w:t>
      </w:r>
      <w:r>
        <w:rPr>
          <w:rFonts w:hint="eastAsia" w:ascii="宋体" w:hAnsi="宋体" w:eastAsia="宋体" w:cs="宋体"/>
          <w:b/>
          <w:bCs/>
          <w:color w:val="auto"/>
          <w:sz w:val="44"/>
          <w:szCs w:val="44"/>
          <w:highlight w:val="none"/>
          <w:lang w:val="en-US" w:eastAsia="zh-CN"/>
        </w:rPr>
        <w:t>包号</w:t>
      </w:r>
    </w:p>
    <w:p>
      <w:pPr>
        <w:widowControl w:val="0"/>
        <w:shd w:val="clear"/>
        <w:jc w:val="both"/>
        <w:rPr>
          <w:rFonts w:hint="eastAsia" w:ascii="宋体" w:hAnsi="宋体" w:eastAsia="宋体" w:cs="宋体"/>
          <w:b/>
          <w:color w:val="auto"/>
          <w:kern w:val="2"/>
          <w:sz w:val="28"/>
          <w:highlight w:val="none"/>
          <w:lang w:val="en-US" w:eastAsia="zh-CN" w:bidi="ar-SA"/>
        </w:rPr>
      </w:pPr>
    </w:p>
    <w:p>
      <w:pPr>
        <w:shd w:val="clear"/>
        <w:rPr>
          <w:rFonts w:hint="eastAsia" w:ascii="宋体" w:hAnsi="宋体" w:eastAsia="宋体" w:cs="宋体"/>
          <w:b/>
          <w:color w:val="auto"/>
          <w:szCs w:val="20"/>
          <w:highlight w:val="none"/>
        </w:rPr>
      </w:pPr>
    </w:p>
    <w:p>
      <w:pPr>
        <w:widowControl w:val="0"/>
        <w:shd w:val="clear"/>
        <w:spacing w:after="120" w:afterLines="0" w:line="276" w:lineRule="auto"/>
        <w:ind w:left="420" w:leftChars="200" w:firstLine="440" w:firstLineChars="200"/>
        <w:jc w:val="left"/>
        <w:rPr>
          <w:rFonts w:hint="eastAsia" w:ascii="Calibri" w:hAnsi="Calibri" w:eastAsia="宋体" w:cs="Times New Roman"/>
          <w:color w:val="auto"/>
          <w:kern w:val="0"/>
          <w:sz w:val="22"/>
          <w:szCs w:val="22"/>
          <w:highlight w:val="none"/>
          <w:lang w:val="en-US" w:eastAsia="en-US" w:bidi="ar-SA"/>
        </w:rPr>
      </w:pPr>
    </w:p>
    <w:p>
      <w:pPr>
        <w:pStyle w:val="7"/>
        <w:rPr>
          <w:rFonts w:hint="eastAsia"/>
          <w:lang w:val="en-US" w:eastAsia="en-US"/>
        </w:rPr>
      </w:pPr>
    </w:p>
    <w:p>
      <w:pPr>
        <w:shd w:val="clear"/>
        <w:rPr>
          <w:rFonts w:hint="eastAsia" w:ascii="宋体" w:hAnsi="宋体" w:eastAsia="宋体" w:cs="宋体"/>
          <w:color w:val="auto"/>
          <w:szCs w:val="20"/>
          <w:highlight w:val="none"/>
        </w:rPr>
      </w:pPr>
    </w:p>
    <w:p>
      <w:pPr>
        <w:widowControl/>
        <w:shd w:val="clear"/>
        <w:spacing w:line="240" w:lineRule="auto"/>
        <w:jc w:val="center"/>
        <w:rPr>
          <w:rFonts w:hint="eastAsia" w:ascii="宋体" w:hAnsi="宋体" w:eastAsia="宋体" w:cs="宋体"/>
          <w:b/>
          <w:bCs w:val="0"/>
          <w:color w:val="auto"/>
          <w:kern w:val="0"/>
          <w:sz w:val="96"/>
          <w:szCs w:val="96"/>
          <w:highlight w:val="none"/>
        </w:rPr>
      </w:pPr>
      <w:r>
        <w:rPr>
          <w:rFonts w:hint="eastAsia" w:ascii="宋体" w:hAnsi="宋体" w:eastAsia="宋体" w:cs="宋体"/>
          <w:b/>
          <w:bCs w:val="0"/>
          <w:color w:val="auto"/>
          <w:spacing w:val="323"/>
          <w:kern w:val="0"/>
          <w:sz w:val="96"/>
          <w:szCs w:val="96"/>
          <w:highlight w:val="none"/>
          <w:lang w:eastAsia="zh-CN"/>
        </w:rPr>
        <w:t>投标</w:t>
      </w:r>
      <w:r>
        <w:rPr>
          <w:rFonts w:hint="eastAsia" w:ascii="宋体" w:hAnsi="宋体" w:eastAsia="宋体" w:cs="宋体"/>
          <w:b/>
          <w:bCs w:val="0"/>
          <w:color w:val="auto"/>
          <w:spacing w:val="323"/>
          <w:kern w:val="0"/>
          <w:sz w:val="96"/>
          <w:szCs w:val="96"/>
          <w:highlight w:val="none"/>
        </w:rPr>
        <w:t>文</w:t>
      </w:r>
      <w:r>
        <w:rPr>
          <w:rFonts w:hint="eastAsia" w:ascii="宋体" w:hAnsi="宋体" w:eastAsia="宋体" w:cs="宋体"/>
          <w:b/>
          <w:bCs w:val="0"/>
          <w:color w:val="auto"/>
          <w:kern w:val="0"/>
          <w:sz w:val="96"/>
          <w:szCs w:val="96"/>
          <w:highlight w:val="none"/>
        </w:rPr>
        <w:t>件</w:t>
      </w:r>
    </w:p>
    <w:p>
      <w:pPr>
        <w:widowControl w:val="0"/>
        <w:shd w:val="clear"/>
        <w:jc w:val="both"/>
        <w:rPr>
          <w:rFonts w:hint="eastAsia" w:ascii="宋体" w:hAnsi="宋体" w:eastAsia="宋体" w:cs="宋体"/>
          <w:b w:val="0"/>
          <w:bCs/>
          <w:color w:val="auto"/>
          <w:kern w:val="2"/>
          <w:sz w:val="28"/>
          <w:highlight w:val="none"/>
          <w:lang w:val="en-US" w:eastAsia="zh-CN" w:bidi="ar-SA"/>
        </w:rPr>
      </w:pPr>
    </w:p>
    <w:p>
      <w:pPr>
        <w:pStyle w:val="195"/>
        <w:widowControl/>
        <w:shd w:val="clear"/>
        <w:spacing w:line="240" w:lineRule="auto"/>
        <w:ind w:firstLine="0" w:firstLineChars="0"/>
        <w:jc w:val="center"/>
        <w:rPr>
          <w:rFonts w:hint="eastAsia" w:ascii="宋体" w:hAnsi="宋体" w:eastAsia="宋体" w:cs="宋体"/>
          <w:b/>
          <w:bCs w:val="0"/>
          <w:color w:val="auto"/>
          <w:kern w:val="0"/>
          <w:sz w:val="96"/>
          <w:szCs w:val="96"/>
          <w:highlight w:val="none"/>
        </w:rPr>
      </w:pPr>
      <w:r>
        <w:rPr>
          <w:rFonts w:hint="eastAsia" w:ascii="宋体" w:hAnsi="宋体" w:eastAsia="宋体" w:cs="宋体"/>
          <w:b/>
          <w:bCs w:val="0"/>
          <w:color w:val="auto"/>
          <w:sz w:val="36"/>
          <w:szCs w:val="36"/>
          <w:highlight w:val="none"/>
        </w:rPr>
        <w:t>（封面）</w:t>
      </w:r>
    </w:p>
    <w:p>
      <w:pPr>
        <w:pStyle w:val="195"/>
        <w:widowControl/>
        <w:shd w:val="clear"/>
        <w:spacing w:line="240" w:lineRule="auto"/>
        <w:ind w:firstLine="0" w:firstLineChars="0"/>
        <w:jc w:val="center"/>
        <w:rPr>
          <w:rFonts w:hint="eastAsia" w:ascii="宋体" w:hAnsi="宋体" w:eastAsia="宋体" w:cs="宋体"/>
          <w:b w:val="0"/>
          <w:bCs/>
          <w:color w:val="auto"/>
          <w:sz w:val="36"/>
          <w:szCs w:val="36"/>
          <w:highlight w:val="none"/>
        </w:rPr>
      </w:pPr>
    </w:p>
    <w:p>
      <w:pPr>
        <w:pStyle w:val="195"/>
        <w:widowControl/>
        <w:shd w:val="clear"/>
        <w:spacing w:line="240" w:lineRule="auto"/>
        <w:ind w:firstLine="0" w:firstLineChars="0"/>
        <w:jc w:val="both"/>
        <w:rPr>
          <w:rFonts w:hint="eastAsia" w:ascii="宋体" w:hAnsi="宋体" w:eastAsia="宋体" w:cs="宋体"/>
          <w:color w:val="auto"/>
          <w:sz w:val="36"/>
          <w:highlight w:val="none"/>
        </w:rPr>
      </w:pPr>
    </w:p>
    <w:p>
      <w:pPr>
        <w:pStyle w:val="195"/>
        <w:widowControl/>
        <w:shd w:val="clear"/>
        <w:spacing w:line="240" w:lineRule="auto"/>
        <w:ind w:firstLine="0" w:firstLineChars="0"/>
        <w:jc w:val="both"/>
        <w:rPr>
          <w:rFonts w:hint="eastAsia" w:ascii="宋体" w:hAnsi="宋体" w:eastAsia="宋体" w:cs="宋体"/>
          <w:color w:val="auto"/>
          <w:sz w:val="36"/>
          <w:highlight w:val="none"/>
        </w:rPr>
      </w:pPr>
    </w:p>
    <w:p>
      <w:pPr>
        <w:pStyle w:val="195"/>
        <w:widowControl/>
        <w:shd w:val="clear"/>
        <w:spacing w:line="240" w:lineRule="auto"/>
        <w:ind w:firstLine="0" w:firstLineChars="0"/>
        <w:jc w:val="center"/>
        <w:rPr>
          <w:rFonts w:hint="eastAsia" w:ascii="宋体" w:hAnsi="宋体" w:eastAsia="宋体" w:cs="宋体"/>
          <w:color w:val="auto"/>
          <w:sz w:val="36"/>
          <w:highlight w:val="none"/>
        </w:rPr>
      </w:pPr>
    </w:p>
    <w:p>
      <w:pPr>
        <w:pStyle w:val="195"/>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lang w:eastAsia="zh-CN"/>
        </w:rPr>
        <w:t>投标人名称</w:t>
      </w:r>
      <w:r>
        <w:rPr>
          <w:rFonts w:hint="eastAsia" w:ascii="宋体" w:hAnsi="宋体" w:eastAsia="宋体" w:cs="宋体"/>
          <w:b/>
          <w:bCs/>
          <w:color w:val="auto"/>
          <w:sz w:val="36"/>
          <w:highlight w:val="none"/>
        </w:rPr>
        <w:t>：</w:t>
      </w:r>
      <w:r>
        <w:rPr>
          <w:rFonts w:hint="eastAsia" w:ascii="宋体" w:hAnsi="宋体" w:eastAsia="宋体" w:cs="宋体"/>
          <w:b/>
          <w:bCs/>
          <w:color w:val="auto"/>
          <w:sz w:val="36"/>
          <w:highlight w:val="none"/>
          <w:u w:val="single"/>
        </w:rPr>
        <w:t xml:space="preserve">          （盖章）</w:t>
      </w:r>
    </w:p>
    <w:p>
      <w:pPr>
        <w:pStyle w:val="195"/>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rPr>
        <w:t>时　间：__________________</w:t>
      </w:r>
    </w:p>
    <w:p>
      <w:pPr>
        <w:shd w:val="clear"/>
        <w:bidi w:val="0"/>
        <w:jc w:val="both"/>
        <w:rPr>
          <w:rFonts w:hint="eastAsia" w:ascii="宋体" w:hAnsi="宋体" w:eastAsia="宋体" w:cs="宋体"/>
          <w:b/>
          <w:bCs w:val="0"/>
          <w:color w:val="auto"/>
          <w:sz w:val="32"/>
          <w:szCs w:val="32"/>
          <w:highlight w:val="none"/>
          <w:lang w:eastAsia="zh-CN"/>
        </w:rPr>
      </w:pPr>
    </w:p>
    <w:p>
      <w:pPr>
        <w:pStyle w:val="4"/>
        <w:shd w:val="clear"/>
        <w:bidi w:val="0"/>
        <w:jc w:val="center"/>
        <w:rPr>
          <w:rFonts w:hint="eastAsia"/>
          <w:color w:val="auto"/>
          <w:highlight w:val="none"/>
          <w:lang w:val="en-US" w:eastAsia="zh-CN"/>
        </w:rPr>
      </w:pPr>
      <w:bookmarkStart w:id="72" w:name="_Toc10636"/>
      <w:bookmarkStart w:id="73" w:name="_Toc11086"/>
      <w:bookmarkStart w:id="74" w:name="_Toc15048"/>
      <w:r>
        <w:rPr>
          <w:rFonts w:hint="eastAsia"/>
          <w:color w:val="auto"/>
          <w:highlight w:val="none"/>
          <w:lang w:val="en-US" w:eastAsia="zh-CN"/>
        </w:rPr>
        <w:t>第一部分 资格证明文件</w:t>
      </w:r>
      <w:bookmarkEnd w:id="72"/>
      <w:bookmarkEnd w:id="73"/>
      <w:bookmarkEnd w:id="74"/>
    </w:p>
    <w:p>
      <w:pPr>
        <w:pStyle w:val="4"/>
        <w:keepNext/>
        <w:keepLines/>
        <w:pageBreakBefore w:val="0"/>
        <w:widowControl/>
        <w:shd w:val="clear"/>
        <w:kinsoku/>
        <w:wordWrap/>
        <w:overflowPunct/>
        <w:topLinePunct w:val="0"/>
        <w:autoSpaceDE/>
        <w:autoSpaceDN/>
        <w:bidi w:val="0"/>
        <w:adjustRightInd/>
        <w:snapToGrid/>
        <w:spacing w:before="0" w:after="0" w:line="360" w:lineRule="auto"/>
        <w:ind w:left="0" w:leftChars="0" w:firstLine="241" w:firstLineChars="100"/>
        <w:textAlignment w:val="auto"/>
        <w:rPr>
          <w:rFonts w:hint="eastAsia"/>
          <w:color w:val="auto"/>
          <w:sz w:val="24"/>
          <w:szCs w:val="24"/>
          <w:highlight w:val="none"/>
        </w:rPr>
      </w:pPr>
      <w:bookmarkStart w:id="75" w:name="_Toc15779"/>
      <w:bookmarkStart w:id="76" w:name="_Toc21626"/>
      <w:r>
        <w:rPr>
          <w:rFonts w:hint="eastAsia"/>
          <w:color w:val="auto"/>
          <w:sz w:val="24"/>
          <w:szCs w:val="24"/>
          <w:highlight w:val="none"/>
          <w:lang w:val="en-US" w:eastAsia="zh-CN"/>
        </w:rPr>
        <w:t>一、营业执照等主体资格证明文件</w:t>
      </w:r>
      <w:bookmarkEnd w:id="75"/>
      <w:bookmarkEnd w:id="76"/>
      <w:r>
        <w:rPr>
          <w:rFonts w:hint="eastAsia"/>
          <w:color w:val="auto"/>
          <w:sz w:val="24"/>
          <w:szCs w:val="24"/>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sz w:val="24"/>
          <w:szCs w:val="24"/>
          <w:highlight w:val="none"/>
        </w:rPr>
      </w:pPr>
      <w:bookmarkStart w:id="77" w:name="_Toc14790"/>
      <w:bookmarkStart w:id="78" w:name="_Toc12381"/>
      <w:r>
        <w:rPr>
          <w:rFonts w:hint="eastAsia"/>
          <w:color w:val="auto"/>
          <w:sz w:val="24"/>
          <w:szCs w:val="24"/>
          <w:highlight w:val="none"/>
          <w:lang w:val="en-US" w:eastAsia="zh-CN"/>
        </w:rPr>
        <w:t>二、财务状况报告</w:t>
      </w:r>
      <w:bookmarkEnd w:id="77"/>
      <w:bookmarkEnd w:id="78"/>
      <w:r>
        <w:rPr>
          <w:rFonts w:hint="eastAsia"/>
          <w:color w:val="auto"/>
          <w:sz w:val="24"/>
          <w:szCs w:val="24"/>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sz w:val="24"/>
          <w:szCs w:val="24"/>
          <w:highlight w:val="none"/>
        </w:rPr>
      </w:pPr>
      <w:bookmarkStart w:id="79" w:name="_Toc26719"/>
      <w:bookmarkStart w:id="80" w:name="_Toc30842"/>
      <w:r>
        <w:rPr>
          <w:rFonts w:hint="eastAsia"/>
          <w:color w:val="auto"/>
          <w:sz w:val="24"/>
          <w:szCs w:val="24"/>
          <w:highlight w:val="none"/>
          <w:lang w:val="en-US" w:eastAsia="zh-CN"/>
        </w:rPr>
        <w:t>三、社保缴纳证明</w:t>
      </w:r>
      <w:bookmarkEnd w:id="79"/>
      <w:bookmarkEnd w:id="80"/>
      <w:r>
        <w:rPr>
          <w:rFonts w:hint="eastAsia"/>
          <w:color w:val="auto"/>
          <w:sz w:val="24"/>
          <w:szCs w:val="24"/>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sz w:val="24"/>
          <w:szCs w:val="24"/>
          <w:highlight w:val="none"/>
        </w:rPr>
      </w:pPr>
      <w:bookmarkStart w:id="81" w:name="_Toc30794"/>
      <w:bookmarkStart w:id="82" w:name="_Toc20979"/>
      <w:r>
        <w:rPr>
          <w:rFonts w:hint="eastAsia"/>
          <w:color w:val="auto"/>
          <w:sz w:val="24"/>
          <w:szCs w:val="24"/>
          <w:highlight w:val="none"/>
          <w:lang w:val="en-US" w:eastAsia="zh-CN"/>
        </w:rPr>
        <w:t>四、税收缴纳证明</w:t>
      </w:r>
      <w:bookmarkEnd w:id="81"/>
      <w:bookmarkEnd w:id="82"/>
      <w:r>
        <w:rPr>
          <w:rFonts w:hint="eastAsia"/>
          <w:color w:val="auto"/>
          <w:sz w:val="24"/>
          <w:szCs w:val="24"/>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sz w:val="24"/>
          <w:szCs w:val="24"/>
          <w:highlight w:val="none"/>
        </w:rPr>
      </w:pPr>
      <w:bookmarkStart w:id="83" w:name="_Toc4067"/>
      <w:bookmarkStart w:id="84" w:name="_Toc14334"/>
      <w:r>
        <w:rPr>
          <w:rFonts w:hint="eastAsia"/>
          <w:color w:val="auto"/>
          <w:sz w:val="24"/>
          <w:szCs w:val="24"/>
          <w:highlight w:val="none"/>
          <w:lang w:val="en-US" w:eastAsia="zh-CN"/>
        </w:rPr>
        <w:t>五、信用查询</w:t>
      </w:r>
      <w:bookmarkEnd w:id="83"/>
      <w:bookmarkEnd w:id="84"/>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sz w:val="24"/>
          <w:szCs w:val="24"/>
          <w:highlight w:val="none"/>
        </w:rPr>
      </w:pPr>
      <w:bookmarkStart w:id="85" w:name="_Toc25978"/>
      <w:bookmarkStart w:id="86" w:name="_Toc21735"/>
      <w:r>
        <w:rPr>
          <w:rFonts w:hint="eastAsia"/>
          <w:color w:val="auto"/>
          <w:sz w:val="24"/>
          <w:szCs w:val="24"/>
          <w:highlight w:val="none"/>
          <w:lang w:eastAsia="zh-CN"/>
        </w:rPr>
        <w:t>六</w:t>
      </w:r>
      <w:r>
        <w:rPr>
          <w:rFonts w:hint="eastAsia"/>
          <w:color w:val="auto"/>
          <w:sz w:val="24"/>
          <w:szCs w:val="24"/>
          <w:highlight w:val="none"/>
        </w:rPr>
        <w:t>、书面声明函</w:t>
      </w:r>
      <w:bookmarkEnd w:id="85"/>
      <w:bookmarkEnd w:id="86"/>
    </w:p>
    <w:p>
      <w:pPr>
        <w:pStyle w:val="196"/>
        <w:widowControl/>
        <w:shd w:val="clear"/>
        <w:spacing w:beforeLines="0" w:beforeAutospacing="0" w:afterLines="0" w:afterAutospacing="0" w:line="360" w:lineRule="auto"/>
        <w:jc w:val="center"/>
        <w:outlineLvl w:val="9"/>
        <w:rPr>
          <w:rFonts w:hint="eastAsia" w:ascii="Arial" w:hAnsi="Arial" w:eastAsia="宋体" w:cs="Times New Roman"/>
          <w:b/>
          <w:bCs w:val="0"/>
          <w:color w:val="auto"/>
          <w:kern w:val="0"/>
          <w:sz w:val="24"/>
          <w:szCs w:val="24"/>
          <w:highlight w:val="none"/>
          <w:lang w:val="en-US" w:eastAsia="zh-CN" w:bidi="ar"/>
        </w:rPr>
      </w:pPr>
      <w:bookmarkStart w:id="87" w:name="_Toc27143"/>
      <w:bookmarkStart w:id="88" w:name="_Toc30781"/>
      <w:bookmarkStart w:id="89" w:name="_Toc16242"/>
      <w:bookmarkStart w:id="90" w:name="_Toc23995"/>
      <w:r>
        <w:rPr>
          <w:rFonts w:hint="eastAsia" w:ascii="Arial" w:hAnsi="Arial" w:eastAsia="宋体" w:cs="Times New Roman"/>
          <w:b/>
          <w:bCs w:val="0"/>
          <w:color w:val="auto"/>
          <w:kern w:val="0"/>
          <w:sz w:val="24"/>
          <w:szCs w:val="24"/>
          <w:highlight w:val="none"/>
          <w:lang w:val="en-US" w:eastAsia="zh-CN" w:bidi="ar"/>
        </w:rPr>
        <w:t>书面声明函</w:t>
      </w:r>
      <w:bookmarkEnd w:id="87"/>
      <w:bookmarkEnd w:id="88"/>
      <w:bookmarkEnd w:id="89"/>
      <w:bookmarkEnd w:id="90"/>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陕西中财招标代理有限公司</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u w:val="single"/>
          <w:lang w:eastAsia="zh-CN"/>
        </w:rPr>
        <w:t>吴堡县示范幼儿园新建教学楼配套设备采购项目（包号：）</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w:t>
      </w:r>
      <w:r>
        <w:rPr>
          <w:rFonts w:hint="eastAsia" w:ascii="宋体" w:hAnsi="宋体" w:eastAsia="宋体" w:cs="宋体"/>
          <w:color w:val="auto"/>
          <w:sz w:val="24"/>
          <w:szCs w:val="24"/>
          <w:highlight w:val="none"/>
          <w:lang w:eastAsia="zh-CN"/>
        </w:rPr>
        <w:t>税收违法黑名单</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widowControl/>
        <w:shd w:val="clear"/>
        <w:spacing w:line="360" w:lineRule="auto"/>
        <w:ind w:firstLine="480" w:firstLineChars="200"/>
        <w:rPr>
          <w:rFonts w:hint="eastAsia" w:ascii="宋体" w:hAnsi="宋体" w:eastAsia="宋体" w:cs="宋体"/>
          <w:color w:val="auto"/>
          <w:sz w:val="24"/>
          <w:szCs w:val="24"/>
          <w:highlight w:val="none"/>
        </w:rPr>
      </w:pPr>
    </w:p>
    <w:p>
      <w:pPr>
        <w:pStyle w:val="4"/>
        <w:shd w:val="clear"/>
        <w:bidi w:val="0"/>
        <w:spacing w:line="360" w:lineRule="auto"/>
        <w:rPr>
          <w:rFonts w:hint="eastAsia"/>
          <w:color w:val="auto"/>
          <w:sz w:val="24"/>
          <w:szCs w:val="24"/>
          <w:highlight w:val="none"/>
          <w:lang w:eastAsia="zh-CN"/>
        </w:rPr>
      </w:pPr>
      <w:bookmarkStart w:id="91" w:name="_Toc2892"/>
      <w:bookmarkStart w:id="92" w:name="_Toc32391"/>
      <w:r>
        <w:rPr>
          <w:rFonts w:hint="eastAsia"/>
          <w:color w:val="auto"/>
          <w:sz w:val="24"/>
          <w:szCs w:val="24"/>
          <w:highlight w:val="none"/>
          <w:lang w:eastAsia="zh-CN"/>
        </w:rPr>
        <w:t>七、提供具有履行合同所必需的设备和专业技术能力的证明资料或承诺书；</w:t>
      </w:r>
      <w:bookmarkEnd w:id="91"/>
      <w:bookmarkEnd w:id="92"/>
    </w:p>
    <w:p>
      <w:pPr>
        <w:pStyle w:val="4"/>
        <w:shd w:val="clear"/>
        <w:bidi w:val="0"/>
        <w:spacing w:line="360" w:lineRule="auto"/>
        <w:rPr>
          <w:rFonts w:hint="eastAsia"/>
          <w:color w:val="auto"/>
          <w:sz w:val="24"/>
          <w:szCs w:val="24"/>
          <w:highlight w:val="none"/>
          <w:lang w:val="en-US" w:eastAsia="zh-CN"/>
        </w:rPr>
      </w:pPr>
      <w:bookmarkStart w:id="93" w:name="_Toc7295"/>
      <w:bookmarkStart w:id="94" w:name="_Toc7758"/>
      <w:r>
        <w:rPr>
          <w:rFonts w:hint="eastAsia"/>
          <w:color w:val="auto"/>
          <w:sz w:val="24"/>
          <w:szCs w:val="24"/>
          <w:highlight w:val="none"/>
          <w:lang w:val="en-US" w:eastAsia="zh-CN"/>
        </w:rPr>
        <w:t>八、投标保证金交纳凭证或投标保函；</w:t>
      </w:r>
      <w:bookmarkEnd w:id="93"/>
      <w:bookmarkEnd w:id="94"/>
    </w:p>
    <w:p>
      <w:pPr>
        <w:pStyle w:val="4"/>
        <w:shd w:val="clear"/>
        <w:bidi w:val="0"/>
        <w:spacing w:line="360" w:lineRule="auto"/>
        <w:jc w:val="both"/>
        <w:rPr>
          <w:rFonts w:hint="eastAsia" w:ascii="Arial" w:hAnsi="Arial" w:eastAsia="宋体" w:cs="Times New Roman"/>
          <w:b/>
          <w:color w:val="auto"/>
          <w:kern w:val="0"/>
          <w:sz w:val="24"/>
          <w:szCs w:val="24"/>
          <w:highlight w:val="none"/>
          <w:lang w:val="en-US" w:eastAsia="zh-CN" w:bidi="ar"/>
        </w:rPr>
      </w:pPr>
      <w:bookmarkStart w:id="95" w:name="_Toc27379"/>
      <w:bookmarkStart w:id="96" w:name="_Toc13866"/>
      <w:r>
        <w:rPr>
          <w:rFonts w:hint="eastAsia" w:ascii="Arial" w:hAnsi="Arial" w:eastAsia="宋体" w:cs="Times New Roman"/>
          <w:b/>
          <w:color w:val="auto"/>
          <w:kern w:val="0"/>
          <w:sz w:val="24"/>
          <w:szCs w:val="24"/>
          <w:highlight w:val="none"/>
          <w:lang w:val="en-US" w:eastAsia="zh-CN" w:bidi="ar"/>
        </w:rPr>
        <w:t>九、不接受联合体投标不允许分包</w:t>
      </w:r>
      <w:bookmarkEnd w:id="95"/>
      <w:bookmarkEnd w:id="96"/>
    </w:p>
    <w:p>
      <w:pPr>
        <w:keepNext w:val="0"/>
        <w:keepLines w:val="0"/>
        <w:widowControl/>
        <w:suppressLineNumbers w:val="0"/>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非联合体不分包投标声明（格式）</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本单位郑重声明，参加陕西中财招标代理有限公司的项目名称: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投标人：</w:t>
      </w:r>
      <w:r>
        <w:rPr>
          <w:rFonts w:hint="default" w:ascii="Times New Roman"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（盖公章）</w:t>
      </w:r>
    </w:p>
    <w:p>
      <w:pPr>
        <w:pStyle w:val="17"/>
        <w:shd w:val="clear"/>
        <w:spacing w:line="360" w:lineRule="auto"/>
        <w:rPr>
          <w:rFonts w:hint="eastAsia"/>
          <w:color w:val="auto"/>
          <w:sz w:val="24"/>
          <w:szCs w:val="24"/>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日期：</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pPr>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
        <w:shd w:val="clear"/>
        <w:bidi w:val="0"/>
        <w:jc w:val="center"/>
        <w:rPr>
          <w:rFonts w:hint="eastAsia"/>
          <w:color w:val="auto"/>
          <w:highlight w:val="none"/>
          <w:lang w:val="en-US"/>
        </w:rPr>
      </w:pPr>
      <w:bookmarkStart w:id="97" w:name="_Toc7066"/>
      <w:bookmarkStart w:id="98" w:name="_Toc10782"/>
      <w:bookmarkStart w:id="99" w:name="_Toc18990"/>
      <w:r>
        <w:rPr>
          <w:rFonts w:hint="eastAsia"/>
          <w:color w:val="auto"/>
          <w:highlight w:val="none"/>
          <w:lang w:eastAsia="zh-CN"/>
        </w:rPr>
        <w:t>十、法定代表人</w:t>
      </w:r>
      <w:r>
        <w:rPr>
          <w:rFonts w:hint="eastAsia"/>
          <w:color w:val="auto"/>
          <w:highlight w:val="none"/>
          <w:lang w:val="en-US"/>
        </w:rPr>
        <w:t>/</w:t>
      </w:r>
      <w:r>
        <w:rPr>
          <w:rFonts w:hint="eastAsia"/>
          <w:color w:val="auto"/>
          <w:highlight w:val="none"/>
          <w:lang w:eastAsia="zh-CN"/>
        </w:rPr>
        <w:t>单位负责人身份证明书</w:t>
      </w:r>
      <w:bookmarkEnd w:id="97"/>
      <w:bookmarkEnd w:id="98"/>
      <w:bookmarkEnd w:id="99"/>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hd w:val="clear"/>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pStyle w:val="4"/>
        <w:keepNext/>
        <w:keepLines/>
        <w:pageBreakBefore w:val="0"/>
        <w:widowControl/>
        <w:shd w:val="clear"/>
        <w:kinsoku/>
        <w:wordWrap/>
        <w:overflowPunct/>
        <w:topLinePunct w:val="0"/>
        <w:autoSpaceDE/>
        <w:autoSpaceDN/>
        <w:bidi w:val="0"/>
        <w:adjustRightInd/>
        <w:snapToGrid/>
        <w:spacing w:after="0" w:line="360" w:lineRule="auto"/>
        <w:ind w:left="283"/>
        <w:jc w:val="center"/>
        <w:textAlignment w:val="auto"/>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100" w:name="_Toc17713"/>
      <w:bookmarkStart w:id="101" w:name="_Toc27694"/>
      <w:bookmarkStart w:id="102" w:name="_Toc16804"/>
      <w:r>
        <w:rPr>
          <w:rFonts w:hint="eastAsia" w:cs="宋体"/>
          <w:color w:val="auto"/>
          <w:highlight w:val="none"/>
          <w:lang w:eastAsia="zh-CN"/>
        </w:rPr>
        <w:t>十一</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100"/>
      <w:bookmarkEnd w:id="101"/>
      <w:bookmarkEnd w:id="102"/>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u w:val="single"/>
          <w:lang w:val="en-US"/>
        </w:rPr>
      </w:pPr>
      <w:bookmarkStart w:id="103"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u w:val="single"/>
          <w:lang w:eastAsia="zh-CN"/>
        </w:rPr>
        <w:t>（包号）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103"/>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pPr>
        <w:shd w:val="clear"/>
        <w:rPr>
          <w:rFonts w:hint="eastAsia" w:ascii="宋体" w:hAnsi="宋体" w:eastAsia="宋体" w:cs="宋体"/>
          <w:color w:val="auto"/>
          <w:szCs w:val="20"/>
          <w:highlight w:val="none"/>
        </w:rPr>
        <w:sectPr>
          <w:pgSz w:w="11906" w:h="16838"/>
          <w:pgMar w:top="1440" w:right="1283" w:bottom="1440" w:left="1383" w:header="1135" w:footer="1135" w:gutter="0"/>
          <w:pgNumType w:fmt="decimal"/>
          <w:cols w:space="425" w:num="1"/>
          <w:docGrid w:type="lines" w:linePitch="312" w:charSpace="0"/>
        </w:sectPr>
      </w:pPr>
    </w:p>
    <w:p>
      <w:pPr>
        <w:pStyle w:val="4"/>
        <w:bidi w:val="0"/>
        <w:jc w:val="center"/>
        <w:rPr>
          <w:rFonts w:hint="eastAsia" w:ascii="宋体" w:hAnsi="宋体" w:eastAsia="宋体" w:cs="宋体"/>
          <w:lang w:val="en-US" w:eastAsia="zh-CN"/>
        </w:rPr>
      </w:pPr>
      <w:r>
        <w:rPr>
          <w:rFonts w:hint="eastAsia"/>
          <w:lang w:val="en-US" w:eastAsia="zh-CN"/>
        </w:rPr>
        <w:t>十二、</w:t>
      </w:r>
      <w:r>
        <w:rPr>
          <w:rFonts w:hint="eastAsia" w:ascii="宋体" w:hAnsi="宋体" w:eastAsia="宋体" w:cs="宋体"/>
          <w:lang w:val="en-US" w:eastAsia="zh-CN"/>
        </w:rPr>
        <w:t>榆林市政府采购</w:t>
      </w:r>
      <w:r>
        <w:rPr>
          <w:rFonts w:hint="eastAsia" w:ascii="宋体" w:hAnsi="宋体" w:cs="宋体"/>
          <w:lang w:val="en-US" w:eastAsia="zh-CN"/>
        </w:rPr>
        <w:t>货物类项目供应商信用承诺书</w:t>
      </w:r>
    </w:p>
    <w:p>
      <w:pPr>
        <w:pStyle w:val="36"/>
        <w:spacing w:before="0" w:beforeAutospacing="0" w:after="150" w:afterAutospacing="0" w:line="360" w:lineRule="auto"/>
        <w:ind w:firstLine="480"/>
        <w:jc w:val="center"/>
        <w:rPr>
          <w:rFonts w:hint="eastAsia" w:ascii="宋体" w:hAnsi="宋体" w:eastAsia="宋体" w:cs="宋体"/>
          <w:b/>
          <w:bCs/>
          <w:color w:val="auto"/>
          <w:sz w:val="28"/>
          <w:szCs w:val="28"/>
        </w:rPr>
      </w:pPr>
      <w:r>
        <w:rPr>
          <w:rFonts w:hint="eastAsia" w:ascii="宋体" w:hAnsi="宋体" w:eastAsia="宋体" w:cs="宋体"/>
          <w:b/>
          <w:bCs/>
          <w:color w:val="auto"/>
          <w:kern w:val="0"/>
          <w:sz w:val="24"/>
          <w:szCs w:val="24"/>
          <w:lang w:val="en-US" w:eastAsia="zh-CN" w:bidi="ar"/>
        </w:rPr>
        <w:t>榆林市政府采购</w:t>
      </w:r>
      <w:r>
        <w:rPr>
          <w:rFonts w:hint="eastAsia" w:cs="宋体"/>
          <w:b/>
          <w:bCs/>
          <w:color w:val="auto"/>
          <w:kern w:val="0"/>
          <w:sz w:val="24"/>
          <w:szCs w:val="24"/>
          <w:lang w:val="en-US" w:eastAsia="zh-CN" w:bidi="ar"/>
        </w:rPr>
        <w:t>货物类项目供应商信用承诺书</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rPr>
      </w:pPr>
      <w:r>
        <w:rPr>
          <w:rFonts w:hint="eastAsia" w:ascii="宋体" w:hAnsi="宋体" w:eastAsia="宋体" w:cs="宋体"/>
          <w:color w:val="auto"/>
          <w:sz w:val="24"/>
          <w:szCs w:val="24"/>
          <w:shd w:val="clear" w:color="auto" w:fill="FFFFFF"/>
        </w:rPr>
        <w:t>市场主体名称：</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证件类型：统一社会信用代码</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证件号码：</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法人代表：</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承诺内容：</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为维护公开、公平、公正的政府采购市场秩序，树立诚实守信的政府采购供应商形象，本单位自愿做出以下承诺：</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一、承诺本单位严格遵守国家法律、法规和规章，全面履行应尽的责任和义务，全面做到履约守信，具备《政府采购法》第二十二条第一款规定的条件;</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三、承诺本单位严格依法开展生产经营活动，主动接受行业监管，自愿接受依法开展的日常检查；违法失信经营后将自愿接受约束和惩戒，并依法承担相应责任；</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四、承诺本单位自觉接受行政管理部门、行业组织、社会公众、新闻舆论的监督；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六、承诺本单位提出政府采购质疑和投诉坚持依法依规、诚实信用原则，在全国范围12个月内没有三次以上查无实据的政府采购投诉；</w:t>
      </w:r>
    </w:p>
    <w:p>
      <w:pPr>
        <w:pStyle w:val="36"/>
        <w:spacing w:before="0" w:beforeAutospacing="0" w:after="150" w:afterAutospacing="0" w:line="360" w:lineRule="auto"/>
        <w:ind w:firstLine="64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七、根据政府采购相关法律法规的规定需要作出的其他承诺：</w:t>
      </w:r>
      <w:r>
        <w:rPr>
          <w:rFonts w:hint="eastAsia" w:ascii="宋体" w:hAnsi="宋体" w:eastAsia="宋体" w:cs="宋体"/>
          <w:color w:val="auto"/>
          <w:sz w:val="24"/>
          <w:szCs w:val="24"/>
          <w:u w:val="single"/>
          <w:shd w:val="clear" w:color="auto" w:fill="FFFFFF"/>
        </w:rPr>
        <w:t>                                             </w:t>
      </w:r>
      <w:r>
        <w:rPr>
          <w:rFonts w:hint="eastAsia" w:ascii="宋体" w:hAnsi="宋体" w:eastAsia="宋体" w:cs="宋体"/>
          <w:color w:val="auto"/>
          <w:sz w:val="24"/>
          <w:szCs w:val="24"/>
          <w:u w:val="none"/>
          <w:shd w:val="clear" w:color="auto" w:fill="FFFFFF"/>
          <w:lang w:eastAsia="zh-CN"/>
        </w:rPr>
        <w:t>。</w:t>
      </w:r>
    </w:p>
    <w:p>
      <w:pPr>
        <w:pStyle w:val="36"/>
        <w:spacing w:before="0" w:beforeAutospacing="0" w:after="150" w:afterAutospacing="0"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lang w:eastAsia="zh-CN"/>
        </w:rPr>
      </w:pPr>
    </w:p>
    <w:p>
      <w:pPr>
        <w:pStyle w:val="19"/>
        <w:rPr>
          <w:rFonts w:hint="eastAsia" w:ascii="宋体" w:hAnsi="宋体" w:eastAsia="宋体" w:cs="宋体"/>
          <w:color w:val="auto"/>
          <w:sz w:val="24"/>
          <w:szCs w:val="24"/>
          <w:shd w:val="clear" w:color="auto" w:fill="FFFFFF"/>
          <w:lang w:eastAsia="zh-CN"/>
        </w:rPr>
      </w:pPr>
    </w:p>
    <w:p>
      <w:pPr>
        <w:pStyle w:val="19"/>
        <w:rPr>
          <w:rFonts w:hint="eastAsia" w:ascii="宋体" w:hAnsi="宋体" w:eastAsia="宋体" w:cs="宋体"/>
          <w:color w:val="auto"/>
          <w:sz w:val="24"/>
          <w:szCs w:val="24"/>
          <w:shd w:val="clear" w:color="auto" w:fill="FFFFFF"/>
          <w:lang w:eastAsia="zh-CN"/>
        </w:rPr>
      </w:pP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承诺单位（盖章）：</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            法定代表人（负责人）：</w:t>
      </w:r>
    </w:p>
    <w:p>
      <w:pPr>
        <w:pStyle w:val="36"/>
        <w:spacing w:before="0" w:beforeAutospacing="0" w:after="150" w:afterAutospacing="0" w:line="360" w:lineRule="auto"/>
        <w:ind w:firstLine="2880" w:firstLineChars="1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法定代表人（负责人）身份证号：</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承诺日期：</w:t>
      </w:r>
    </w:p>
    <w:p>
      <w:pPr>
        <w:bidi w:val="0"/>
        <w:spacing w:line="360" w:lineRule="auto"/>
        <w:rPr>
          <w:rFonts w:hint="eastAsia"/>
          <w:sz w:val="24"/>
          <w:szCs w:val="24"/>
        </w:rPr>
      </w:pPr>
      <w:r>
        <w:rPr>
          <w:rFonts w:hint="eastAsia"/>
          <w:sz w:val="24"/>
          <w:szCs w:val="24"/>
          <w:lang w:val="en-US" w:eastAsia="zh-CN"/>
        </w:rPr>
        <w:t>注：法定代表人或负责人、主体名称发生变更的应当重新做出承诺；承诺书标题按照工程类、货物类、服务类确定。</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highlight w:val="none"/>
          <w:lang w:val="en-US" w:eastAsia="zh-CN"/>
        </w:rPr>
      </w:pPr>
      <w:r>
        <w:rPr>
          <w:rFonts w:hint="eastAsia" w:ascii="宋体" w:hAnsi="宋体" w:eastAsia="宋体" w:cs="宋体"/>
          <w:b w:val="0"/>
          <w:bCs/>
          <w:color w:val="auto"/>
          <w:szCs w:val="36"/>
          <w:highlight w:val="none"/>
          <w:lang w:val="en-US"/>
        </w:rPr>
        <w:br w:type="page"/>
      </w:r>
      <w:bookmarkStart w:id="104" w:name="_Toc28049"/>
      <w:bookmarkStart w:id="105" w:name="_Toc22963"/>
      <w:bookmarkStart w:id="106" w:name="_Toc14980"/>
      <w:bookmarkStart w:id="107" w:name="_Toc10005"/>
      <w:bookmarkStart w:id="108" w:name="_Toc23881"/>
      <w:bookmarkStart w:id="109" w:name="_Toc2628"/>
      <w:r>
        <w:rPr>
          <w:rFonts w:hint="eastAsia"/>
          <w:color w:val="auto"/>
          <w:highlight w:val="none"/>
          <w:lang w:val="en-US" w:eastAsia="zh-CN"/>
        </w:rPr>
        <w:t>第二部分 符合性证明文件</w:t>
      </w:r>
      <w:bookmarkEnd w:id="104"/>
      <w:bookmarkEnd w:id="105"/>
      <w:bookmarkEnd w:id="10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color w:val="auto"/>
          <w:highlight w:val="none"/>
          <w:lang w:val="en-US"/>
        </w:rPr>
      </w:pPr>
      <w:bookmarkStart w:id="110" w:name="_Toc11568"/>
      <w:bookmarkStart w:id="111" w:name="_Toc549"/>
      <w:r>
        <w:rPr>
          <w:rFonts w:hint="eastAsia"/>
          <w:color w:val="auto"/>
          <w:highlight w:val="none"/>
          <w:lang w:eastAsia="zh-CN"/>
        </w:rPr>
        <w:t>一、投标书</w:t>
      </w:r>
      <w:bookmarkEnd w:id="107"/>
      <w:bookmarkEnd w:id="108"/>
      <w:bookmarkEnd w:id="109"/>
      <w:bookmarkEnd w:id="110"/>
      <w:bookmarkEnd w:id="111"/>
    </w:p>
    <w:p>
      <w:pPr>
        <w:keepNext w:val="0"/>
        <w:keepLines w:val="0"/>
        <w:widowControl w:val="0"/>
        <w:suppressLineNumbers w:val="0"/>
        <w:shd w:val="clear"/>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pPr>
        <w:keepNext w:val="0"/>
        <w:keepLines w:val="0"/>
        <w:widowControl w:val="0"/>
        <w:suppressLineNumbers w:val="0"/>
        <w:shd w:val="clear"/>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根据贵方“</w:t>
      </w:r>
      <w:r>
        <w:rPr>
          <w:rFonts w:hint="eastAsia" w:ascii="宋体" w:hAnsi="宋体" w:cs="宋体"/>
          <w:color w:val="auto"/>
          <w:spacing w:val="4"/>
          <w:sz w:val="24"/>
          <w:highlight w:val="none"/>
          <w:u w:val="single"/>
        </w:rPr>
        <w:t>（采购项目名称）（采购项目编号）</w:t>
      </w:r>
      <w:r>
        <w:rPr>
          <w:rFonts w:hint="eastAsia" w:ascii="宋体" w:hAnsi="宋体" w:cs="宋体"/>
          <w:color w:val="auto"/>
          <w:spacing w:val="4"/>
          <w:sz w:val="24"/>
          <w:highlight w:val="none"/>
          <w:u w:val="single"/>
          <w:lang w:eastAsia="zh-CN"/>
        </w:rPr>
        <w:t>（包号）</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提交投标文件正本壹份、副本一式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份。并提交投标保证金，金额为</w:t>
      </w:r>
      <w:r>
        <w:rPr>
          <w:rFonts w:hint="eastAsia" w:ascii="宋体" w:hAnsi="宋体" w:cs="宋体"/>
          <w:color w:val="auto"/>
          <w:spacing w:val="4"/>
          <w:sz w:val="24"/>
          <w:highlight w:val="none"/>
          <w:u w:val="single"/>
        </w:rPr>
        <w:t xml:space="preserve"> （大写）（小写） </w:t>
      </w:r>
      <w:r>
        <w:rPr>
          <w:rFonts w:hint="eastAsia" w:ascii="宋体" w:hAnsi="宋体" w:cs="宋体"/>
          <w:color w:val="auto"/>
          <w:spacing w:val="4"/>
          <w:sz w:val="24"/>
          <w:highlight w:val="none"/>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default"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其他：</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8"/>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法定代表人/单位负责人签字：</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日    期：</w:t>
      </w:r>
    </w:p>
    <w:p>
      <w:pPr>
        <w:shd w:val="clear"/>
        <w:rPr>
          <w:rFonts w:hint="eastAsia" w:ascii="Arial" w:hAnsi="Arial" w:eastAsia="宋体" w:cs="宋体"/>
          <w:color w:val="auto"/>
          <w:highlight w:val="none"/>
          <w:lang w:eastAsia="zh-CN"/>
        </w:rPr>
      </w:pPr>
      <w:bookmarkStart w:id="112" w:name="_Toc8895"/>
      <w:bookmarkStart w:id="113" w:name="_Toc29536"/>
      <w:r>
        <w:rPr>
          <w:rFonts w:hint="eastAsia" w:ascii="Arial" w:hAnsi="Arial" w:eastAsia="宋体" w:cs="宋体"/>
          <w:color w:val="auto"/>
          <w:highlight w:val="none"/>
          <w:lang w:eastAsia="zh-CN"/>
        </w:rPr>
        <w:br w:type="page"/>
      </w:r>
    </w:p>
    <w:bookmarkEnd w:id="112"/>
    <w:bookmarkEnd w:id="113"/>
    <w:p>
      <w:pPr>
        <w:pStyle w:val="4"/>
        <w:shd w:val="clear"/>
        <w:bidi w:val="0"/>
        <w:jc w:val="center"/>
        <w:rPr>
          <w:rFonts w:hint="eastAsia"/>
          <w:color w:val="auto"/>
          <w:highlight w:val="none"/>
          <w:lang w:val="en-US" w:eastAsia="zh-CN"/>
        </w:rPr>
      </w:pPr>
      <w:bookmarkStart w:id="114" w:name="_Toc30055"/>
      <w:bookmarkStart w:id="115" w:name="_Toc29548"/>
      <w:bookmarkStart w:id="116" w:name="_Toc14263"/>
      <w:bookmarkStart w:id="117" w:name="_Toc26299"/>
      <w:bookmarkStart w:id="118" w:name="_Toc21529"/>
      <w:bookmarkStart w:id="119" w:name="_Toc7288"/>
      <w:bookmarkStart w:id="120" w:name="_Toc10736"/>
      <w:r>
        <w:rPr>
          <w:rFonts w:hint="eastAsia"/>
          <w:color w:val="auto"/>
          <w:highlight w:val="none"/>
          <w:lang w:eastAsia="zh-CN"/>
        </w:rPr>
        <w:t>二、</w:t>
      </w:r>
      <w:bookmarkEnd w:id="114"/>
      <w:bookmarkEnd w:id="115"/>
      <w:bookmarkEnd w:id="116"/>
      <w:bookmarkEnd w:id="117"/>
      <w:r>
        <w:rPr>
          <w:rFonts w:hint="eastAsia"/>
          <w:color w:val="auto"/>
          <w:highlight w:val="none"/>
          <w:lang w:eastAsia="zh-CN"/>
        </w:rPr>
        <w:t>开标一览表</w:t>
      </w:r>
      <w:bookmarkEnd w:id="118"/>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项目编号：</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项目名称：</w:t>
      </w:r>
    </w:p>
    <w:p>
      <w:pPr>
        <w:pStyle w:val="19"/>
        <w:shd w:val="clear"/>
        <w:rPr>
          <w:rFonts w:hint="eastAsia" w:asciiTheme="minorEastAsia" w:hAnsiTheme="minorEastAsia" w:eastAsiaTheme="minorEastAsia" w:cstheme="minorEastAsia"/>
          <w:color w:val="auto"/>
          <w:sz w:val="24"/>
          <w:szCs w:val="24"/>
          <w:highlight w:val="none"/>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交货安装期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bl>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lang w:eastAsia="zh-CN"/>
        </w:rPr>
        <w:t>供应商名称</w:t>
      </w:r>
      <w:r>
        <w:rPr>
          <w:rFonts w:hint="eastAsia" w:asciiTheme="minorEastAsia" w:hAnsiTheme="minorEastAsia" w:eastAsiaTheme="minorEastAsia" w:cstheme="minorEastAsia"/>
          <w:color w:val="auto"/>
          <w:sz w:val="24"/>
          <w:szCs w:val="24"/>
          <w:highlight w:val="none"/>
          <w:shd w:val="clear" w:fill="FFFFFF"/>
        </w:rPr>
        <w:t>：</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r>
        <w:rPr>
          <w:rFonts w:hint="eastAsia" w:asciiTheme="minorEastAsia" w:hAnsiTheme="minorEastAsia" w:eastAsiaTheme="minorEastAsia" w:cstheme="minorEastAsia"/>
          <w:color w:val="auto"/>
          <w:sz w:val="24"/>
          <w:szCs w:val="24"/>
          <w:highlight w:val="none"/>
          <w:shd w:val="clear" w:fill="FFFFFF"/>
        </w:rPr>
        <w:t>（加盖公章）</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shd w:val="clear" w:fill="FFFFFF"/>
        </w:rPr>
        <w:t>日 期：</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 </w:t>
      </w:r>
    </w:p>
    <w:p>
      <w:pPr>
        <w:pStyle w:val="19"/>
        <w:shd w:val="clear"/>
        <w:rPr>
          <w:rFonts w:hint="eastAsia"/>
          <w:color w:val="auto"/>
          <w:highlight w:val="none"/>
        </w:rPr>
      </w:pPr>
    </w:p>
    <w:p>
      <w:pPr>
        <w:pStyle w:val="36"/>
        <w:keepNext w:val="0"/>
        <w:keepLines w:val="0"/>
        <w:widowControl/>
        <w:suppressLineNumbers w:val="0"/>
        <w:shd w:val="clear"/>
        <w:wordWrap w:val="0"/>
        <w:spacing w:before="0" w:beforeAutospacing="0" w:after="0" w:afterAutospacing="0" w:line="360" w:lineRule="auto"/>
        <w:ind w:left="0" w:right="0" w:firstLine="960" w:firstLineChars="400"/>
        <w:rPr>
          <w:rFonts w:hint="eastAsia" w:asciiTheme="minorEastAsia" w:hAnsiTheme="minorEastAsia" w:eastAsiaTheme="minorEastAsia" w:cstheme="minorEastAsia"/>
          <w:color w:val="auto"/>
          <w:kern w:val="0"/>
          <w:sz w:val="24"/>
          <w:szCs w:val="24"/>
          <w:highlight w:val="none"/>
          <w:shd w:val="clear" w:fill="FFFFFF"/>
          <w:lang w:val="zh-CN" w:eastAsia="zh-CN"/>
        </w:rPr>
      </w:pPr>
      <w:r>
        <w:rPr>
          <w:rFonts w:hint="eastAsia" w:asciiTheme="minorEastAsia" w:hAnsiTheme="minorEastAsia" w:eastAsiaTheme="minorEastAsia" w:cstheme="minorEastAsia"/>
          <w:color w:val="auto"/>
          <w:kern w:val="0"/>
          <w:sz w:val="24"/>
          <w:szCs w:val="24"/>
          <w:highlight w:val="none"/>
          <w:shd w:val="clear" w:fill="FFFFFF"/>
          <w:lang w:val="zh-CN" w:eastAsia="zh-CN"/>
        </w:rPr>
        <w:t> 备注: “投标报价”为投标总价。投标报价必须包括本项目所需全部费用。</w:t>
      </w:r>
    </w:p>
    <w:p>
      <w:pPr>
        <w:pStyle w:val="36"/>
        <w:keepNext w:val="0"/>
        <w:keepLines w:val="0"/>
        <w:widowControl/>
        <w:suppressLineNumbers w:val="0"/>
        <w:shd w:val="clear"/>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highlight w:val="none"/>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pStyle w:val="4"/>
        <w:shd w:val="clear"/>
        <w:rPr>
          <w:rFonts w:hint="eastAsia"/>
          <w:color w:val="auto"/>
          <w:highlight w:val="none"/>
          <w:lang w:val="en-US" w:eastAsia="zh-CN"/>
        </w:rPr>
      </w:pPr>
    </w:p>
    <w:p>
      <w:pPr>
        <w:pStyle w:val="36"/>
        <w:keepNext w:val="0"/>
        <w:keepLines w:val="0"/>
        <w:widowControl/>
        <w:suppressLineNumbers w:val="0"/>
        <w:shd w:val="clear"/>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bookmarkStart w:id="121" w:name="_Toc9587"/>
      <w:bookmarkStart w:id="122" w:name="_Toc18419"/>
    </w:p>
    <w:p>
      <w:pPr>
        <w:pStyle w:val="36"/>
        <w:keepNext w:val="0"/>
        <w:keepLines w:val="0"/>
        <w:widowControl/>
        <w:suppressLineNumbers w:val="0"/>
        <w:shd w:val="clear"/>
        <w:wordWrap w:val="0"/>
        <w:spacing w:before="0" w:beforeAutospacing="0" w:after="0" w:afterAutospacing="0" w:line="390" w:lineRule="atLeast"/>
        <w:ind w:left="0" w:right="0"/>
        <w:rPr>
          <w:color w:val="auto"/>
          <w:highlight w:val="none"/>
        </w:rPr>
      </w:pPr>
      <w:r>
        <w:rPr>
          <w:rFonts w:hint="eastAsia" w:ascii="微软雅黑" w:hAnsi="微软雅黑" w:eastAsia="微软雅黑" w:cs="微软雅黑"/>
          <w:color w:val="auto"/>
          <w:highlight w:val="none"/>
          <w:shd w:val="clear" w:fill="FFFFFF"/>
        </w:rPr>
        <w:t>      </w:t>
      </w:r>
    </w:p>
    <w:p>
      <w:pPr>
        <w:pStyle w:val="4"/>
        <w:numPr>
          <w:ilvl w:val="0"/>
          <w:numId w:val="0"/>
        </w:numPr>
        <w:shd w:val="clear"/>
        <w:bidi w:val="0"/>
        <w:ind w:left="3360" w:leftChars="0" w:right="0" w:rightChars="0"/>
        <w:jc w:val="both"/>
        <w:rPr>
          <w:rFonts w:hint="eastAsia"/>
          <w:color w:val="auto"/>
          <w:highlight w:val="none"/>
          <w:lang w:eastAsia="zh-CN"/>
        </w:rPr>
        <w:sectPr>
          <w:pgSz w:w="11906" w:h="16838"/>
          <w:pgMar w:top="1440" w:right="1283" w:bottom="1440" w:left="1383" w:header="1135" w:footer="1135" w:gutter="0"/>
          <w:pgNumType w:fmt="decimal"/>
          <w:cols w:space="425" w:num="1"/>
          <w:docGrid w:type="lines" w:linePitch="312" w:charSpace="0"/>
        </w:sectPr>
      </w:pPr>
      <w:bookmarkStart w:id="123" w:name="_Toc14187"/>
    </w:p>
    <w:p>
      <w:pPr>
        <w:pStyle w:val="4"/>
        <w:numPr>
          <w:ilvl w:val="0"/>
          <w:numId w:val="0"/>
        </w:numPr>
        <w:shd w:val="clear"/>
        <w:bidi w:val="0"/>
        <w:ind w:left="3360" w:leftChars="0" w:right="0" w:rightChars="0"/>
        <w:jc w:val="both"/>
        <w:rPr>
          <w:rFonts w:hint="eastAsia"/>
          <w:color w:val="auto"/>
          <w:highlight w:val="none"/>
          <w:lang w:eastAsia="zh-CN"/>
        </w:rPr>
      </w:pPr>
      <w:r>
        <w:rPr>
          <w:rFonts w:hint="eastAsia"/>
          <w:color w:val="auto"/>
          <w:highlight w:val="none"/>
          <w:lang w:eastAsia="zh-CN"/>
        </w:rPr>
        <w:t>三、投标分项报价表</w:t>
      </w:r>
      <w:bookmarkEnd w:id="121"/>
      <w:bookmarkEnd w:id="122"/>
      <w:bookmarkEnd w:id="1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15"/>
        <w:gridCol w:w="658"/>
        <w:gridCol w:w="1260"/>
        <w:gridCol w:w="1240"/>
        <w:gridCol w:w="1323"/>
        <w:gridCol w:w="1113"/>
        <w:gridCol w:w="1001"/>
        <w:gridCol w:w="1001"/>
        <w:gridCol w:w="1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715"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类别</w:t>
            </w:r>
          </w:p>
        </w:tc>
        <w:tc>
          <w:tcPr>
            <w:tcW w:w="658"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26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货物名称</w:t>
            </w:r>
          </w:p>
        </w:tc>
        <w:tc>
          <w:tcPr>
            <w:tcW w:w="124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品牌</w:t>
            </w:r>
          </w:p>
        </w:tc>
        <w:tc>
          <w:tcPr>
            <w:tcW w:w="132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型号规格</w:t>
            </w:r>
          </w:p>
        </w:tc>
        <w:tc>
          <w:tcPr>
            <w:tcW w:w="111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原产地及制造厂名</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数量</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color w:val="auto"/>
                <w:sz w:val="24"/>
                <w:szCs w:val="24"/>
                <w:highlight w:val="none"/>
              </w:rPr>
              <w:t>单价</w:t>
            </w:r>
          </w:p>
        </w:tc>
        <w:tc>
          <w:tcPr>
            <w:tcW w:w="11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restart"/>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货物（设备）费</w:t>
            </w: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left"/>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其他费用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（大写）：                  元 （小写：￥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保留小数点后两位。</w:t>
            </w:r>
          </w:p>
        </w:tc>
      </w:tr>
    </w:tbl>
    <w:p>
      <w:pPr>
        <w:shd w:val="clear"/>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pPr>
        <w:shd w:val="clear"/>
        <w:spacing w:line="312" w:lineRule="auto"/>
        <w:ind w:right="540" w:rightChars="257"/>
        <w:jc w:val="left"/>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法定代表人/单位负责人/或被授权人签字：</w:t>
      </w:r>
    </w:p>
    <w:p>
      <w:pPr>
        <w:shd w:val="clear"/>
        <w:spacing w:line="312" w:lineRule="auto"/>
        <w:ind w:right="540" w:rightChars="257"/>
        <w:jc w:val="left"/>
        <w:rPr>
          <w:rFonts w:hint="eastAsia" w:ascii="宋体" w:hAnsi="宋体" w:cs="宋体"/>
          <w:color w:val="auto"/>
          <w:sz w:val="24"/>
          <w:highlight w:val="none"/>
        </w:rPr>
      </w:pP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pPr>
        <w:shd w:val="clea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3.投标人可适当调整该表格式，但不得减少信息内容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pPr>
        <w:pStyle w:val="4"/>
        <w:numPr>
          <w:ilvl w:val="0"/>
          <w:numId w:val="9"/>
        </w:numPr>
        <w:shd w:val="clear"/>
        <w:bidi w:val="0"/>
        <w:jc w:val="center"/>
        <w:rPr>
          <w:rFonts w:hint="eastAsia"/>
          <w:color w:val="auto"/>
          <w:highlight w:val="none"/>
          <w:lang w:val="en-US" w:eastAsia="zh-CN"/>
        </w:rPr>
      </w:pPr>
      <w:bookmarkStart w:id="124" w:name="_Toc17560"/>
      <w:bookmarkStart w:id="125" w:name="_Toc4291"/>
      <w:bookmarkStart w:id="126" w:name="_Toc10886"/>
      <w:bookmarkStart w:id="127" w:name="_Toc31404"/>
      <w:r>
        <w:rPr>
          <w:rFonts w:hint="eastAsia"/>
          <w:color w:val="auto"/>
          <w:highlight w:val="none"/>
          <w:lang w:val="en-US" w:eastAsia="zh-CN"/>
        </w:rPr>
        <w:t>投标保证金交纳凭证</w:t>
      </w:r>
      <w:bookmarkEnd w:id="124"/>
      <w:bookmarkEnd w:id="125"/>
    </w:p>
    <w:p>
      <w:pPr>
        <w:keepNext w:val="0"/>
        <w:keepLines w:val="0"/>
        <w:widowControl w:val="0"/>
        <w:suppressLineNumbers w:val="0"/>
        <w:shd w:val="clear"/>
        <w:spacing w:before="0" w:beforeAutospacing="0" w:after="0" w:afterAutospacing="0" w:line="360" w:lineRule="auto"/>
        <w:ind w:left="0" w:right="0" w:firstLine="120" w:firstLineChars="50"/>
        <w:jc w:val="center"/>
        <w:rPr>
          <w:rFonts w:hint="eastAsia" w:ascii="宋体" w:hAnsi="宋体" w:eastAsia="宋体" w:cs="宋体"/>
          <w:b/>
          <w:bCs w:val="0"/>
          <w:color w:val="auto"/>
          <w:sz w:val="24"/>
          <w:szCs w:val="24"/>
          <w:highlight w:val="none"/>
          <w:u w:val="none"/>
          <w:lang w:val="en-US"/>
        </w:rPr>
      </w:pPr>
      <w:r>
        <w:rPr>
          <w:rFonts w:hint="eastAsia" w:ascii="宋体" w:hAnsi="宋体" w:eastAsia="宋体" w:cs="宋体"/>
          <w:b/>
          <w:bCs w:val="0"/>
          <w:color w:val="auto"/>
          <w:kern w:val="2"/>
          <w:sz w:val="24"/>
          <w:szCs w:val="24"/>
          <w:highlight w:val="none"/>
          <w:u w:val="none"/>
          <w:lang w:val="en-US" w:eastAsia="zh-CN" w:bidi="ar"/>
        </w:rPr>
        <w:t>本页附投标保证金银行底单或</w:t>
      </w:r>
      <w:r>
        <w:rPr>
          <w:rFonts w:hint="eastAsia" w:ascii="宋体" w:hAnsi="宋体" w:eastAsia="宋体" w:cs="宋体"/>
          <w:b/>
          <w:bCs w:val="0"/>
          <w:color w:val="auto"/>
          <w:kern w:val="2"/>
          <w:sz w:val="24"/>
          <w:szCs w:val="24"/>
          <w:highlight w:val="none"/>
          <w:u w:val="none"/>
          <w:lang w:val="zh-CN" w:eastAsia="zh-CN" w:bidi="ar"/>
        </w:rPr>
        <w:t>由公布的信用担保机构出具的《政府采购投标担保函 》</w:t>
      </w:r>
      <w:r>
        <w:rPr>
          <w:rFonts w:hint="eastAsia" w:ascii="宋体" w:hAnsi="宋体" w:eastAsia="宋体" w:cs="宋体"/>
          <w:b/>
          <w:bCs w:val="0"/>
          <w:color w:val="auto"/>
          <w:kern w:val="2"/>
          <w:sz w:val="24"/>
          <w:szCs w:val="24"/>
          <w:highlight w:val="none"/>
          <w:u w:val="none"/>
          <w:lang w:val="en-US" w:eastAsia="zh-CN" w:bidi="ar"/>
        </w:rPr>
        <w:t>复印件</w:t>
      </w: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
        <w:shd w:val="clear"/>
        <w:bidi w:val="0"/>
        <w:jc w:val="center"/>
        <w:rPr>
          <w:rFonts w:hint="eastAsia"/>
          <w:color w:val="auto"/>
          <w:highlight w:val="none"/>
          <w:lang w:val="en-US" w:eastAsia="zh-CN"/>
        </w:rPr>
      </w:pPr>
      <w:bookmarkStart w:id="128" w:name="_Toc17933"/>
      <w:bookmarkStart w:id="129" w:name="_Toc6279"/>
      <w:r>
        <w:rPr>
          <w:rFonts w:hint="eastAsia"/>
          <w:color w:val="auto"/>
          <w:highlight w:val="none"/>
          <w:lang w:val="en-US" w:eastAsia="zh-CN"/>
        </w:rPr>
        <w:t>五、投标人承诺书</w:t>
      </w:r>
      <w:bookmarkEnd w:id="126"/>
      <w:bookmarkEnd w:id="127"/>
      <w:bookmarkEnd w:id="128"/>
      <w:bookmarkEnd w:id="129"/>
    </w:p>
    <w:p>
      <w:pPr>
        <w:keepNext/>
        <w:keepLines/>
        <w:widowControl w:val="0"/>
        <w:shd w:val="clear"/>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24"/>
          <w:szCs w:val="24"/>
          <w:highlight w:val="none"/>
          <w:lang w:val="en-US" w:eastAsia="zh-CN" w:bidi="ar-SA"/>
        </w:rPr>
      </w:pPr>
      <w:bookmarkStart w:id="130" w:name="_Toc19111"/>
      <w:bookmarkStart w:id="131" w:name="_Toc11459"/>
      <w:bookmarkStart w:id="132" w:name="_Toc18088"/>
      <w:bookmarkStart w:id="133" w:name="_Toc7473"/>
      <w:r>
        <w:rPr>
          <w:rFonts w:hint="eastAsia" w:ascii="Times New Roman" w:hAnsi="Times New Roman" w:eastAsia="宋体" w:cs="Times New Roman"/>
          <w:b/>
          <w:color w:val="auto"/>
          <w:kern w:val="2"/>
          <w:sz w:val="24"/>
          <w:szCs w:val="24"/>
          <w:highlight w:val="none"/>
          <w:lang w:val="en-US" w:eastAsia="zh-CN" w:bidi="ar-SA"/>
        </w:rPr>
        <w:t>（一）质量安全责任承诺书</w:t>
      </w:r>
      <w:bookmarkEnd w:id="130"/>
      <w:bookmarkEnd w:id="131"/>
      <w:bookmarkEnd w:id="132"/>
      <w:bookmarkEnd w:id="133"/>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1、我方投标产品的生产（包括设计、制造、安装、改造、维修等）、投入使用的材料等均完全符合国家现行质量、安全、环保标准和要求。</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（加盖公章）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40"/>
        <w:shd w:val="clear"/>
        <w:spacing w:line="480" w:lineRule="auto"/>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eastAsia="zh-CN"/>
        </w:rPr>
      </w:pPr>
      <w:bookmarkStart w:id="134" w:name="_Toc30884"/>
      <w:bookmarkStart w:id="135" w:name="_Toc47"/>
      <w:bookmarkStart w:id="136"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134"/>
      <w:bookmarkEnd w:id="135"/>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val="en-US"/>
        </w:rPr>
      </w:pPr>
      <w:bookmarkStart w:id="137" w:name="_Toc6579"/>
      <w:bookmarkStart w:id="138"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136"/>
      <w:bookmarkEnd w:id="137"/>
      <w:bookmarkEnd w:id="138"/>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5、不采取不正当手段诋毁、排挤其他投标人。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p>
    <w:p>
      <w:pPr>
        <w:pStyle w:val="7"/>
        <w:shd w:val="clear"/>
        <w:rPr>
          <w:rFonts w:hint="eastAsia"/>
          <w:color w:val="auto"/>
          <w:highlight w:val="none"/>
          <w:lang w:val="en-US"/>
        </w:rPr>
      </w:pP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地  址：</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邮  编：</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电  话：                                                                                    年  月  日</w:t>
      </w:r>
    </w:p>
    <w:p>
      <w:pPr>
        <w:pStyle w:val="6"/>
        <w:shd w:val="clear"/>
        <w:bidi w:val="0"/>
        <w:rPr>
          <w:rFonts w:hint="eastAsia"/>
          <w:color w:val="auto"/>
          <w:highlight w:val="none"/>
          <w:lang w:val="en-US"/>
        </w:rPr>
      </w:pPr>
      <w:bookmarkStart w:id="139" w:name="_Toc14040"/>
      <w:bookmarkStart w:id="140" w:name="_Toc3361"/>
      <w:bookmarkStart w:id="141" w:name="_Toc31875"/>
      <w:r>
        <w:rPr>
          <w:rFonts w:hint="eastAsia"/>
          <w:color w:val="auto"/>
          <w:highlight w:val="none"/>
          <w:lang w:eastAsia="zh-CN"/>
        </w:rPr>
        <w:t>承诺书Ⅱ</w:t>
      </w:r>
      <w:bookmarkEnd w:id="139"/>
      <w:bookmarkEnd w:id="140"/>
      <w:bookmarkEnd w:id="1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6"/>
        <w:shd w:val="clear"/>
        <w:bidi w:val="0"/>
        <w:rPr>
          <w:color w:val="auto"/>
          <w:highlight w:val="none"/>
          <w:lang w:val="en-US"/>
        </w:rPr>
      </w:pPr>
      <w:bookmarkStart w:id="142" w:name="_Toc16627"/>
      <w:bookmarkStart w:id="143" w:name="_Toc28839"/>
      <w:bookmarkStart w:id="144" w:name="_Toc1422"/>
      <w:bookmarkStart w:id="145" w:name="_Toc5515"/>
      <w:r>
        <w:rPr>
          <w:rFonts w:hint="eastAsia"/>
          <w:color w:val="auto"/>
          <w:highlight w:val="none"/>
          <w:lang w:eastAsia="zh-CN"/>
        </w:rPr>
        <w:t>承诺书Ⅲ</w:t>
      </w:r>
      <w:bookmarkEnd w:id="142"/>
      <w:bookmarkEnd w:id="143"/>
      <w:bookmarkEnd w:id="144"/>
      <w:bookmarkEnd w:id="14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6"/>
        <w:shd w:val="clear"/>
        <w:bidi w:val="0"/>
        <w:rPr>
          <w:color w:val="auto"/>
          <w:highlight w:val="none"/>
          <w:lang w:val="en-US"/>
        </w:rPr>
      </w:pPr>
      <w:bookmarkStart w:id="146" w:name="_Toc1368"/>
      <w:bookmarkStart w:id="147" w:name="_Toc17178"/>
      <w:bookmarkStart w:id="148" w:name="_Toc25735"/>
      <w:bookmarkStart w:id="149" w:name="_Toc21519"/>
      <w:r>
        <w:rPr>
          <w:rFonts w:hint="eastAsia"/>
          <w:color w:val="auto"/>
          <w:highlight w:val="none"/>
          <w:lang w:val="en-US" w:eastAsia="zh-CN"/>
        </w:rPr>
        <w:t>承诺书Ⅳ</w:t>
      </w:r>
      <w:bookmarkEnd w:id="146"/>
      <w:bookmarkEnd w:id="147"/>
      <w:bookmarkEnd w:id="148"/>
    </w:p>
    <w:bookmarkEnd w:id="14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6"/>
        <w:shd w:val="clear"/>
        <w:bidi w:val="0"/>
        <w:rPr>
          <w:color w:val="auto"/>
          <w:highlight w:val="none"/>
          <w:lang w:val="en-US"/>
        </w:rPr>
      </w:pPr>
      <w:bookmarkStart w:id="150" w:name="_Toc14860"/>
      <w:bookmarkStart w:id="151" w:name="_Toc13103"/>
      <w:bookmarkStart w:id="152" w:name="_Toc21148"/>
      <w:bookmarkStart w:id="153"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50"/>
      <w:bookmarkEnd w:id="151"/>
      <w:bookmarkEnd w:id="152"/>
    </w:p>
    <w:bookmarkEnd w:id="15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pStyle w:val="40"/>
        <w:shd w:val="clear"/>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日（自递交投标文件截止之日起1年）。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pPr>
        <w:pStyle w:val="40"/>
        <w:shd w:val="clear"/>
        <w:ind w:left="0" w:leftChars="0" w:firstLine="0" w:firstLineChars="0"/>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ind w:left="283"/>
        <w:textAlignment w:val="auto"/>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（自递交投标文件截止之日起</w:t>
      </w:r>
      <w:r>
        <w:rPr>
          <w:rFonts w:hint="eastAsia" w:ascii="宋体" w:hAnsi="宋体" w:eastAsia="宋体" w:cs="宋体"/>
          <w:color w:val="auto"/>
          <w:sz w:val="24"/>
          <w:szCs w:val="24"/>
          <w:highlight w:val="none"/>
          <w:lang w:val="en-US" w:eastAsia="zh-CN"/>
        </w:rPr>
        <w:t>1年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w:t>
      </w:r>
    </w:p>
    <w:p>
      <w:pPr>
        <w:pStyle w:val="17"/>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eastAsia="zh-CN"/>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br w:type="page"/>
      </w:r>
    </w:p>
    <w:bookmarkEnd w:id="119"/>
    <w:bookmarkEnd w:id="120"/>
    <w:p>
      <w:pPr>
        <w:pStyle w:val="4"/>
        <w:shd w:val="clear"/>
        <w:bidi w:val="0"/>
        <w:jc w:val="center"/>
        <w:rPr>
          <w:rFonts w:hint="eastAsia"/>
          <w:color w:val="auto"/>
          <w:highlight w:val="none"/>
          <w:lang w:val="en-US" w:eastAsia="zh-CN"/>
        </w:rPr>
      </w:pPr>
      <w:bookmarkStart w:id="154" w:name="_Toc29173"/>
      <w:bookmarkStart w:id="155" w:name="_Toc24017"/>
      <w:r>
        <w:rPr>
          <w:rFonts w:hint="eastAsia"/>
          <w:color w:val="auto"/>
          <w:highlight w:val="none"/>
          <w:lang w:val="en-US" w:eastAsia="zh-CN"/>
        </w:rPr>
        <w:t>六、技术规格响应表</w:t>
      </w:r>
      <w:bookmarkEnd w:id="154"/>
      <w:bookmarkEnd w:id="155"/>
    </w:p>
    <w:p>
      <w:pPr>
        <w:keepNext w:val="0"/>
        <w:keepLines w:val="0"/>
        <w:widowControl w:val="0"/>
        <w:suppressLineNumbers w:val="0"/>
        <w:shd w:val="clear"/>
        <w:spacing w:before="0" w:beforeAutospacing="0" w:after="120" w:afterAutospacing="0"/>
        <w:ind w:left="0" w:right="0" w:firstLine="120" w:firstLineChars="50"/>
        <w:jc w:val="both"/>
        <w:rPr>
          <w:rFonts w:hint="eastAsia" w:asciiTheme="minorEastAsia" w:hAnsiTheme="minorEastAsia" w:eastAsiaTheme="minorEastAsia" w:cstheme="minorEastAsia"/>
          <w:color w:val="auto"/>
          <w:sz w:val="24"/>
          <w:szCs w:val="24"/>
          <w:highlight w:val="none"/>
          <w:lang w:val="en-US"/>
        </w:rPr>
      </w:pPr>
      <w:bookmarkStart w:id="156" w:name="_Toc363474031"/>
      <w:bookmarkStart w:id="157" w:name="_Toc7899"/>
      <w:bookmarkStart w:id="158" w:name="_Toc9211"/>
      <w:bookmarkStart w:id="159" w:name="_Toc20736"/>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120" w:afterAutospacing="0"/>
        <w:ind w:left="0" w:right="0" w:firstLine="120" w:firstLineChars="50"/>
        <w:jc w:val="both"/>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228"/>
        <w:gridCol w:w="1353"/>
        <w:gridCol w:w="1980"/>
        <w:gridCol w:w="2075"/>
        <w:gridCol w:w="1425"/>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0"/>
                <w:highlight w:val="none"/>
                <w:lang w:val="en-US" w:eastAsia="zh-CN" w:bidi="ar"/>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bl>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0" w:right="0"/>
        <w:jc w:val="both"/>
        <w:rPr>
          <w:rFonts w:hint="eastAsia" w:ascii="宋体" w:hAnsi="宋体" w:eastAsia="宋体" w:cs="宋体"/>
          <w:i/>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280" w:lineRule="exact"/>
        <w:ind w:left="0" w:right="0" w:firstLine="120" w:firstLineChars="5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pStyle w:val="69"/>
        <w:widowControl/>
        <w:shd w:val="clear"/>
        <w:rPr>
          <w:rFonts w:hAnsi="宋体"/>
          <w:color w:val="auto"/>
          <w:sz w:val="24"/>
          <w:szCs w:val="24"/>
          <w:highlight w:val="none"/>
          <w:lang w:val="en-US"/>
        </w:rPr>
      </w:pPr>
      <w:r>
        <w:rPr>
          <w:rFonts w:hAnsi="宋体"/>
          <w:color w:val="auto"/>
          <w:sz w:val="24"/>
          <w:szCs w:val="24"/>
          <w:highlight w:val="none"/>
          <w:lang w:eastAsia="zh-CN"/>
        </w:rPr>
        <w:t>注</w:t>
      </w:r>
      <w:r>
        <w:rPr>
          <w:rFonts w:hAnsi="宋体"/>
          <w:color w:val="auto"/>
          <w:sz w:val="24"/>
          <w:szCs w:val="24"/>
          <w:highlight w:val="none"/>
          <w:lang w:val="en-US"/>
        </w:rPr>
        <w:t>:  1.</w:t>
      </w:r>
      <w:r>
        <w:rPr>
          <w:rFonts w:hAnsi="宋体"/>
          <w:color w:val="auto"/>
          <w:sz w:val="24"/>
          <w:szCs w:val="24"/>
          <w:highlight w:val="none"/>
          <w:lang w:eastAsia="zh-CN"/>
        </w:rPr>
        <w:t>☆</w:t>
      </w:r>
      <w:r>
        <w:rPr>
          <w:rFonts w:hAnsi="宋体"/>
          <w:color w:val="auto"/>
          <w:sz w:val="24"/>
          <w:szCs w:val="24"/>
          <w:highlight w:val="none"/>
          <w:lang w:val="en-US"/>
        </w:rPr>
        <w:t>1</w:t>
      </w:r>
      <w:r>
        <w:rPr>
          <w:rFonts w:hAnsi="宋体"/>
          <w:color w:val="auto"/>
          <w:sz w:val="24"/>
          <w:szCs w:val="24"/>
          <w:highlight w:val="none"/>
          <w:lang w:eastAsia="zh-CN"/>
        </w:rPr>
        <w:t>指招标文件中的技术规格</w:t>
      </w:r>
      <w:r>
        <w:rPr>
          <w:rFonts w:hAnsi="宋体"/>
          <w:color w:val="auto"/>
          <w:sz w:val="24"/>
          <w:szCs w:val="24"/>
          <w:highlight w:val="none"/>
          <w:lang w:val="en-US"/>
        </w:rPr>
        <w:t>(</w:t>
      </w:r>
      <w:r>
        <w:rPr>
          <w:rFonts w:hAnsi="宋体"/>
          <w:color w:val="auto"/>
          <w:sz w:val="24"/>
          <w:szCs w:val="24"/>
          <w:highlight w:val="none"/>
          <w:lang w:eastAsia="zh-CN"/>
        </w:rPr>
        <w:t>参数</w:t>
      </w:r>
      <w:r>
        <w:rPr>
          <w:rFonts w:hAnsi="宋体"/>
          <w:color w:val="auto"/>
          <w:sz w:val="24"/>
          <w:szCs w:val="24"/>
          <w:highlight w:val="none"/>
          <w:lang w:val="en-US"/>
        </w:rPr>
        <w:t>),</w:t>
      </w:r>
      <w:r>
        <w:rPr>
          <w:rFonts w:hAnsi="宋体"/>
          <w:color w:val="auto"/>
          <w:sz w:val="24"/>
          <w:szCs w:val="24"/>
          <w:highlight w:val="none"/>
          <w:lang w:eastAsia="zh-CN"/>
        </w:rPr>
        <w:t>投标人应按照招标文件中的内容逐项响应。</w:t>
      </w:r>
    </w:p>
    <w:p>
      <w:pPr>
        <w:pStyle w:val="69"/>
        <w:widowControl/>
        <w:shd w:val="clear"/>
        <w:rPr>
          <w:rFonts w:hAnsi="宋体"/>
          <w:color w:val="auto"/>
          <w:sz w:val="24"/>
          <w:szCs w:val="24"/>
          <w:highlight w:val="none"/>
          <w:lang w:val="en-US"/>
        </w:rPr>
      </w:pPr>
      <w:r>
        <w:rPr>
          <w:rFonts w:hAnsi="宋体"/>
          <w:color w:val="auto"/>
          <w:sz w:val="24"/>
          <w:szCs w:val="24"/>
          <w:highlight w:val="none"/>
          <w:lang w:val="en-US"/>
        </w:rPr>
        <w:t xml:space="preserve">     2.</w:t>
      </w:r>
      <w:r>
        <w:rPr>
          <w:rFonts w:hAnsi="宋体"/>
          <w:color w:val="auto"/>
          <w:sz w:val="24"/>
          <w:szCs w:val="24"/>
          <w:highlight w:val="none"/>
          <w:lang w:eastAsia="zh-CN"/>
        </w:rPr>
        <w:t>☆</w:t>
      </w:r>
      <w:r>
        <w:rPr>
          <w:rFonts w:hAnsi="宋体"/>
          <w:color w:val="auto"/>
          <w:sz w:val="24"/>
          <w:szCs w:val="24"/>
          <w:highlight w:val="none"/>
          <w:lang w:val="en-US"/>
        </w:rPr>
        <w:t xml:space="preserve">2 </w:t>
      </w:r>
      <w:r>
        <w:rPr>
          <w:rFonts w:hAnsi="宋体"/>
          <w:color w:val="auto"/>
          <w:sz w:val="24"/>
          <w:szCs w:val="24"/>
          <w:highlight w:val="none"/>
          <w:lang w:eastAsia="zh-CN"/>
        </w:rPr>
        <w:t>指投标人拟提供的投标货物的技术规格</w:t>
      </w:r>
      <w:r>
        <w:rPr>
          <w:rFonts w:hAnsi="宋体"/>
          <w:color w:val="auto"/>
          <w:sz w:val="24"/>
          <w:szCs w:val="24"/>
          <w:highlight w:val="none"/>
          <w:lang w:val="en-US"/>
        </w:rPr>
        <w:t>(</w:t>
      </w:r>
      <w:r>
        <w:rPr>
          <w:rFonts w:hAnsi="宋体"/>
          <w:color w:val="auto"/>
          <w:sz w:val="24"/>
          <w:szCs w:val="24"/>
          <w:highlight w:val="none"/>
          <w:lang w:eastAsia="zh-CN"/>
        </w:rPr>
        <w:t>参数</w:t>
      </w:r>
      <w:r>
        <w:rPr>
          <w:rFonts w:hAnsi="宋体"/>
          <w:color w:val="auto"/>
          <w:sz w:val="24"/>
          <w:szCs w:val="24"/>
          <w:highlight w:val="none"/>
          <w:lang w:val="en-US"/>
        </w:rPr>
        <w:t>),</w:t>
      </w:r>
      <w:r>
        <w:rPr>
          <w:rFonts w:hAnsi="宋体"/>
          <w:color w:val="auto"/>
          <w:sz w:val="24"/>
          <w:szCs w:val="24"/>
          <w:highlight w:val="none"/>
          <w:lang w:eastAsia="zh-CN"/>
        </w:rPr>
        <w:t xml:space="preserve">投标人应逐条如实填写并提供相应的支持文件。 </w:t>
      </w:r>
    </w:p>
    <w:p>
      <w:pPr>
        <w:pStyle w:val="69"/>
        <w:widowControl/>
        <w:shd w:val="clear"/>
        <w:rPr>
          <w:rFonts w:hAnsi="宋体"/>
          <w:color w:val="auto"/>
          <w:sz w:val="24"/>
          <w:szCs w:val="24"/>
          <w:highlight w:val="none"/>
          <w:lang w:eastAsia="zh-CN"/>
        </w:rPr>
      </w:pPr>
      <w:r>
        <w:rPr>
          <w:rFonts w:hAnsi="宋体"/>
          <w:color w:val="auto"/>
          <w:sz w:val="24"/>
          <w:szCs w:val="24"/>
          <w:highlight w:val="none"/>
          <w:lang w:val="en-US"/>
        </w:rPr>
        <w:t xml:space="preserve">     3.</w:t>
      </w:r>
      <w:r>
        <w:rPr>
          <w:rFonts w:hAnsi="宋体"/>
          <w:color w:val="auto"/>
          <w:sz w:val="24"/>
          <w:szCs w:val="24"/>
          <w:highlight w:val="none"/>
          <w:lang w:eastAsia="zh-CN"/>
        </w:rPr>
        <w:t>偏离说明填写：优于、等于或低于。</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
        <w:shd w:val="clear"/>
        <w:bidi w:val="0"/>
        <w:jc w:val="center"/>
        <w:rPr>
          <w:rFonts w:hint="eastAsia"/>
          <w:color w:val="auto"/>
          <w:highlight w:val="none"/>
          <w:lang w:eastAsia="zh-CN"/>
        </w:rPr>
      </w:pPr>
      <w:bookmarkStart w:id="160" w:name="_Toc1903"/>
      <w:bookmarkStart w:id="161" w:name="_Toc6744"/>
      <w:bookmarkStart w:id="162" w:name="_Toc22907"/>
      <w:bookmarkStart w:id="163" w:name="_Toc6599"/>
      <w:bookmarkStart w:id="164" w:name="_Toc29975"/>
      <w:r>
        <w:rPr>
          <w:rFonts w:hint="eastAsia"/>
          <w:color w:val="auto"/>
          <w:highlight w:val="none"/>
          <w:lang w:val="en-US" w:eastAsia="zh-CN"/>
        </w:rPr>
        <w:t>七、商务偏离表</w:t>
      </w:r>
      <w:bookmarkEnd w:id="160"/>
      <w:bookmarkEnd w:id="161"/>
      <w:bookmarkEnd w:id="162"/>
      <w:bookmarkEnd w:id="163"/>
      <w:bookmarkEnd w:id="164"/>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127"/>
        <w:gridCol w:w="2688"/>
        <w:gridCol w:w="2350"/>
        <w:gridCol w:w="1475"/>
        <w:gridCol w:w="1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pStyle w:val="4"/>
        <w:shd w:val="clear"/>
        <w:bidi w:val="0"/>
        <w:jc w:val="center"/>
        <w:rPr>
          <w:rFonts w:hint="eastAsia"/>
          <w:color w:val="auto"/>
          <w:highlight w:val="none"/>
          <w:lang w:val="en-US" w:eastAsia="zh-CN"/>
        </w:rPr>
      </w:pPr>
      <w:bookmarkStart w:id="165" w:name="_Toc6671"/>
      <w:bookmarkStart w:id="166" w:name="_Toc6481"/>
      <w:bookmarkStart w:id="167" w:name="_Toc9293"/>
      <w:r>
        <w:rPr>
          <w:rFonts w:hint="eastAsia"/>
          <w:color w:val="auto"/>
          <w:highlight w:val="none"/>
          <w:lang w:val="en-US" w:eastAsia="zh-CN"/>
        </w:rPr>
        <w:t>第三部分 响应方案</w:t>
      </w:r>
      <w:bookmarkEnd w:id="165"/>
      <w:bookmarkEnd w:id="166"/>
      <w:bookmarkEnd w:id="167"/>
    </w:p>
    <w:p>
      <w:pPr>
        <w:pStyle w:val="4"/>
        <w:shd w:val="clear"/>
        <w:bidi w:val="0"/>
        <w:jc w:val="center"/>
        <w:rPr>
          <w:rFonts w:hint="eastAsia"/>
          <w:color w:val="auto"/>
          <w:highlight w:val="none"/>
          <w:lang w:val="en-US" w:eastAsia="zh-CN"/>
        </w:rPr>
      </w:pPr>
      <w:bookmarkStart w:id="168" w:name="_Toc15334"/>
      <w:bookmarkStart w:id="169" w:name="_Toc25301"/>
      <w:bookmarkStart w:id="170" w:name="_Toc331"/>
      <w:bookmarkStart w:id="171" w:name="_Toc24023"/>
      <w:r>
        <w:rPr>
          <w:rFonts w:hint="eastAsia"/>
          <w:color w:val="auto"/>
          <w:highlight w:val="none"/>
          <w:lang w:val="en-US" w:eastAsia="zh-CN"/>
        </w:rPr>
        <w:t>一、供应商性质及其概况</w:t>
      </w:r>
      <w:bookmarkEnd w:id="168"/>
      <w:bookmarkEnd w:id="169"/>
      <w:bookmarkEnd w:id="170"/>
      <w:bookmarkEnd w:id="171"/>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（一）供应商基本信息</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（二）供应商性质</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w:t>
      </w:r>
      <w:r>
        <w:rPr>
          <w:rFonts w:hint="eastAsia" w:ascii="宋体" w:hAnsi="宋体" w:eastAsia="宋体" w:cs="宋体"/>
          <w:b/>
          <w:bCs/>
          <w:color w:val="auto"/>
          <w:sz w:val="24"/>
          <w:szCs w:val="24"/>
          <w:highlight w:val="none"/>
        </w:rPr>
        <w:t>声明函</w:t>
      </w:r>
      <w:r>
        <w:rPr>
          <w:rFonts w:hint="eastAsia" w:ascii="宋体" w:hAnsi="宋体" w:eastAsia="宋体" w:cs="宋体"/>
          <w:color w:val="auto"/>
          <w:sz w:val="24"/>
          <w:szCs w:val="24"/>
          <w:highlight w:val="none"/>
        </w:rPr>
        <w:t>的，其投标产品中的小型、微型企业产品、残疾人福利性单位生产的产品将不能享受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highlight w:val="none"/>
        </w:rPr>
        <w:t>证明文件</w:t>
      </w:r>
      <w:r>
        <w:rPr>
          <w:rFonts w:hint="eastAsia" w:ascii="宋体" w:hAnsi="宋体" w:eastAsia="宋体" w:cs="宋体"/>
          <w:color w:val="auto"/>
          <w:sz w:val="24"/>
          <w:szCs w:val="24"/>
          <w:highlight w:val="none"/>
        </w:rPr>
        <w:t>（格式不做要求）。未提供证明文件的不能享受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文件允许联合体投标的，联合体成员应分别提供上述声明函或证明文件，此外，还须按下文给定格式提供联合体协议书。投标联合体未提供联合体协议书的，其响应文件无效。</w:t>
      </w:r>
    </w:p>
    <w:p>
      <w:pPr>
        <w:widowControl/>
        <w:shd w:val="clea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特别提醒：供应商性质（声明函或证明文件）将随成交公告一同公布。</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（三）其他</w:t>
      </w:r>
    </w:p>
    <w:p>
      <w:pPr>
        <w:widowControl/>
        <w:shd w:val="clear"/>
        <w:tabs>
          <w:tab w:val="right" w:pos="8364"/>
        </w:tabs>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如：经营状况、相关产品、用户评价等。</w:t>
      </w:r>
    </w:p>
    <w:p>
      <w:pPr>
        <w:pStyle w:val="4"/>
        <w:widowControl/>
        <w:shd w:val="clear"/>
        <w:jc w:val="center"/>
        <w:rPr>
          <w:rFonts w:hint="eastAsia" w:ascii="Arial" w:hAnsi="Arial" w:eastAsia="宋体" w:cs="宋体"/>
          <w:color w:val="auto"/>
          <w:highlight w:val="none"/>
          <w:lang w:eastAsia="zh-CN"/>
        </w:rPr>
      </w:pPr>
    </w:p>
    <w:p>
      <w:pPr>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keepNext w:val="0"/>
        <w:keepLines w:val="0"/>
        <w:widowControl/>
        <w:suppressLineNumbers w:val="0"/>
        <w:shd w:val="clear"/>
        <w:spacing w:line="480" w:lineRule="auto"/>
        <w:jc w:val="left"/>
        <w:rPr>
          <w:rStyle w:val="75"/>
          <w:rFonts w:hint="eastAsia"/>
          <w:b/>
          <w:bCs/>
          <w:color w:val="auto"/>
          <w:sz w:val="24"/>
          <w:szCs w:val="22"/>
          <w:highlight w:val="none"/>
        </w:rPr>
      </w:pPr>
      <w:bookmarkStart w:id="172" w:name="_Toc11048"/>
      <w:bookmarkStart w:id="173" w:name="_Toc11552"/>
      <w:r>
        <w:rPr>
          <w:rStyle w:val="75"/>
          <w:rFonts w:hint="eastAsia" w:ascii="宋体" w:hAnsi="宋体" w:eastAsia="宋体" w:cs="宋体"/>
          <w:b/>
          <w:bCs/>
          <w:color w:val="auto"/>
          <w:sz w:val="24"/>
          <w:szCs w:val="22"/>
          <w:highlight w:val="none"/>
          <w:lang w:val="en-US" w:eastAsia="zh-CN"/>
        </w:rPr>
        <w:t>附件1：（如是）中小企业声</w:t>
      </w:r>
      <w:r>
        <w:rPr>
          <w:rStyle w:val="75"/>
          <w:rFonts w:hint="eastAsia" w:ascii="Times New Roman" w:hAnsi="Times New Roman" w:eastAsia="宋体" w:cs="Times New Roman"/>
          <w:b/>
          <w:bCs/>
          <w:color w:val="auto"/>
          <w:sz w:val="24"/>
          <w:szCs w:val="22"/>
          <w:highlight w:val="none"/>
          <w:lang w:val="en-US" w:eastAsia="zh-CN"/>
        </w:rPr>
        <w:t xml:space="preserve">明函（货物） </w:t>
      </w:r>
    </w:p>
    <w:bookmarkEnd w:id="172"/>
    <w:bookmarkEnd w:id="173"/>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 xml:space="preserve">采购活动，提供的货物全部由符合政策要求的中小企业制造。相关企业（含联合体中的中小企业、签订分包意向协议的中小企业）的具体情况如下：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 （标的名称）</w:t>
      </w:r>
      <w:r>
        <w:rPr>
          <w:rFonts w:hint="eastAsia" w:ascii="宋体" w:hAnsi="宋体" w:eastAsia="宋体" w:cs="宋体"/>
          <w:i w:val="0"/>
          <w:iCs w:val="0"/>
          <w:color w:val="auto"/>
          <w:kern w:val="0"/>
          <w:sz w:val="24"/>
          <w:szCs w:val="24"/>
          <w:highlight w:val="none"/>
          <w:lang w:val="en-US" w:eastAsia="zh-CN" w:bidi="ar"/>
        </w:rPr>
        <w:t>，属于（采购文件中明确的所属行业）行业；制造商为（企业名称），从业人员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w:t>
      </w:r>
      <w:r>
        <w:rPr>
          <w:rFonts w:hint="eastAsia" w:ascii="宋体" w:hAnsi="宋体" w:eastAsia="宋体" w:cs="宋体"/>
          <w:i w:val="0"/>
          <w:iCs w:val="0"/>
          <w:color w:val="auto"/>
          <w:kern w:val="0"/>
          <w:sz w:val="32"/>
          <w:szCs w:val="32"/>
          <w:highlight w:val="none"/>
          <w:vertAlign w:val="superscript"/>
          <w:lang w:val="en-US" w:eastAsia="zh-CN" w:bidi="ar"/>
        </w:rPr>
        <w:t>1</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（中型企业、小 型企业、微型企业）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2.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 xml:space="preserve">（采购文件中明确的所属行业） </w:t>
      </w:r>
      <w:r>
        <w:rPr>
          <w:rFonts w:hint="eastAsia" w:ascii="宋体" w:hAnsi="宋体" w:eastAsia="宋体" w:cs="宋体"/>
          <w:i w:val="0"/>
          <w:iCs w:val="0"/>
          <w:color w:val="auto"/>
          <w:kern w:val="0"/>
          <w:sz w:val="24"/>
          <w:szCs w:val="24"/>
          <w:highlight w:val="none"/>
          <w:lang w:val="en-US" w:eastAsia="zh-CN" w:bidi="ar"/>
        </w:rPr>
        <w:t>行业；制造商为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（中型企业、小型 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pPr>
        <w:keepNext w:val="0"/>
        <w:keepLines w:val="0"/>
        <w:widowControl/>
        <w:suppressLineNumbers w:val="0"/>
        <w:shd w:val="clear"/>
        <w:spacing w:line="360" w:lineRule="auto"/>
        <w:jc w:val="left"/>
        <w:rPr>
          <w:rFonts w:hint="eastAsia" w:ascii="宋体" w:hAnsi="宋体" w:eastAsia="宋体" w:cs="宋体"/>
          <w:i w:val="0"/>
          <w:iCs w:val="0"/>
          <w:color w:val="auto"/>
          <w:kern w:val="0"/>
          <w:sz w:val="24"/>
          <w:szCs w:val="24"/>
          <w:highlight w:val="none"/>
          <w:lang w:val="en-US" w:eastAsia="zh-CN" w:bidi="ar"/>
        </w:rPr>
      </w:pPr>
    </w:p>
    <w:p>
      <w:pPr>
        <w:keepNext w:val="0"/>
        <w:keepLines w:val="0"/>
        <w:widowControl/>
        <w:suppressLineNumbers w:val="0"/>
        <w:shd w:val="clear"/>
        <w:spacing w:line="360" w:lineRule="auto"/>
        <w:ind w:firstLine="4560" w:firstLineChars="19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企业名称（盖章）： </w:t>
      </w:r>
    </w:p>
    <w:p>
      <w:pPr>
        <w:keepNext w:val="0"/>
        <w:keepLines w:val="0"/>
        <w:widowControl/>
        <w:suppressLineNumbers w:val="0"/>
        <w:shd w:val="clear"/>
        <w:spacing w:line="360" w:lineRule="auto"/>
        <w:ind w:firstLine="4560" w:firstLineChars="1900"/>
        <w:jc w:val="left"/>
        <w:rPr>
          <w:rFonts w:hint="eastAsia" w:cs="宋体"/>
          <w:color w:val="auto"/>
          <w:highlight w:val="none"/>
        </w:rPr>
      </w:pPr>
      <w:r>
        <w:rPr>
          <w:rFonts w:hint="eastAsia" w:ascii="宋体" w:hAnsi="宋体" w:eastAsia="宋体" w:cs="宋体"/>
          <w:i w:val="0"/>
          <w:iCs w:val="0"/>
          <w:color w:val="auto"/>
          <w:kern w:val="0"/>
          <w:sz w:val="24"/>
          <w:szCs w:val="24"/>
          <w:highlight w:val="none"/>
          <w:lang w:val="en-US" w:eastAsia="zh-CN" w:bidi="ar"/>
        </w:rPr>
        <w:t>日</w:t>
      </w:r>
      <w:r>
        <w:rPr>
          <w:rFonts w:hint="eastAsia" w:ascii="宋体" w:hAnsi="宋体" w:cs="宋体"/>
          <w:i w:val="0"/>
          <w:iCs w:val="0"/>
          <w:color w:val="auto"/>
          <w:kern w:val="0"/>
          <w:sz w:val="24"/>
          <w:szCs w:val="24"/>
          <w:highlight w:val="non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 期</w:t>
      </w:r>
      <w:r>
        <w:rPr>
          <w:rFonts w:hint="eastAsia" w:ascii="宋体" w:hAnsi="宋体" w:cs="宋体"/>
          <w:i w:val="0"/>
          <w:iCs w:val="0"/>
          <w:color w:val="auto"/>
          <w:kern w:val="0"/>
          <w:sz w:val="24"/>
          <w:szCs w:val="24"/>
          <w:highlight w:val="none"/>
          <w:lang w:val="en-US" w:eastAsia="zh-CN" w:bidi="ar"/>
        </w:rPr>
        <w:t>：</w:t>
      </w:r>
    </w:p>
    <w:p>
      <w:pPr>
        <w:pStyle w:val="36"/>
        <w:shd w:val="clear"/>
        <w:spacing w:line="432" w:lineRule="auto"/>
        <w:rPr>
          <w:rFonts w:hint="eastAsia" w:cs="宋体"/>
          <w:color w:val="auto"/>
          <w:highlight w:val="none"/>
        </w:rPr>
      </w:pPr>
    </w:p>
    <w:p>
      <w:pPr>
        <w:pStyle w:val="36"/>
        <w:shd w:val="clear"/>
        <w:spacing w:line="360" w:lineRule="auto"/>
        <w:ind w:firstLine="480"/>
        <w:rPr>
          <w:rFonts w:hint="eastAsia" w:cs="宋体"/>
          <w:color w:val="auto"/>
          <w:highlight w:val="none"/>
        </w:rPr>
      </w:pPr>
      <w:r>
        <w:rPr>
          <w:rFonts w:hint="eastAsia" w:cs="宋体"/>
          <w:color w:val="auto"/>
          <w:highlight w:val="none"/>
        </w:rPr>
        <w:t>从业人员、营业收入、资产总额填报上一年度数据，无上一年度数据的新成立企业可不填报。</w:t>
      </w:r>
    </w:p>
    <w:p>
      <w:pPr>
        <w:pStyle w:val="19"/>
        <w:shd w:val="clear"/>
        <w:rPr>
          <w:rFonts w:hint="eastAsia" w:cs="宋体"/>
          <w:color w:val="auto"/>
          <w:highlight w:val="none"/>
        </w:rPr>
      </w:pPr>
    </w:p>
    <w:p>
      <w:pPr>
        <w:pStyle w:val="19"/>
        <w:shd w:val="clear"/>
        <w:rPr>
          <w:rFonts w:hint="eastAsia" w:cs="宋体"/>
          <w:color w:val="auto"/>
          <w:highlight w:val="none"/>
        </w:rPr>
      </w:pPr>
    </w:p>
    <w:p>
      <w:pPr>
        <w:pStyle w:val="19"/>
        <w:shd w:val="clear"/>
        <w:rPr>
          <w:rFonts w:hint="eastAsia" w:cs="宋体"/>
          <w:color w:val="auto"/>
          <w:highlight w:val="none"/>
        </w:rPr>
      </w:pPr>
    </w:p>
    <w:p>
      <w:pPr>
        <w:pStyle w:val="19"/>
        <w:shd w:val="clear"/>
        <w:rPr>
          <w:rFonts w:hint="eastAsia" w:cs="宋体"/>
          <w:color w:val="auto"/>
          <w:highlight w:val="none"/>
        </w:rPr>
      </w:pPr>
    </w:p>
    <w:p>
      <w:pPr>
        <w:pStyle w:val="19"/>
        <w:shd w:val="clear"/>
        <w:rPr>
          <w:rFonts w:hint="eastAsia" w:cs="宋体"/>
          <w:color w:val="auto"/>
          <w:highlight w:val="none"/>
          <w:lang w:eastAsia="zh-CN"/>
        </w:rPr>
      </w:pPr>
    </w:p>
    <w:p>
      <w:pPr>
        <w:pStyle w:val="6"/>
        <w:keepNext/>
        <w:keepLines w:val="0"/>
        <w:pageBreakBefore w:val="0"/>
        <w:widowControl/>
        <w:shd w:val="clear"/>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color w:val="auto"/>
          <w:highlight w:val="none"/>
          <w:lang w:val="en-US"/>
        </w:rPr>
      </w:pPr>
      <w:bookmarkStart w:id="174" w:name="_Toc6441"/>
      <w:bookmarkStart w:id="175" w:name="_Toc24128"/>
      <w:bookmarkStart w:id="176" w:name="_Toc26771"/>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rPr>
        <w:t>2</w:t>
      </w:r>
      <w:r>
        <w:rPr>
          <w:rFonts w:hint="eastAsia" w:ascii="宋体" w:hAnsi="宋体" w:eastAsia="宋体" w:cs="宋体"/>
          <w:color w:val="auto"/>
          <w:highlight w:val="none"/>
          <w:lang w:eastAsia="zh-CN"/>
        </w:rPr>
        <w:t>：（如用）</w:t>
      </w:r>
      <w:bookmarkEnd w:id="174"/>
      <w:bookmarkEnd w:id="175"/>
      <w:bookmarkEnd w:id="176"/>
    </w:p>
    <w:p>
      <w:pPr>
        <w:pStyle w:val="6"/>
        <w:keepNext/>
        <w:keepLines w:val="0"/>
        <w:pageBreakBefore w:val="0"/>
        <w:widowControl/>
        <w:shd w:val="clear"/>
        <w:kinsoku/>
        <w:wordWrap/>
        <w:overflowPunct/>
        <w:topLinePunct w:val="0"/>
        <w:autoSpaceDE/>
        <w:autoSpaceDN/>
        <w:bidi w:val="0"/>
        <w:adjustRightInd/>
        <w:snapToGrid/>
        <w:spacing w:before="0" w:beforeLines="0" w:line="360" w:lineRule="auto"/>
        <w:jc w:val="center"/>
        <w:textAlignment w:val="auto"/>
        <w:rPr>
          <w:rFonts w:hint="eastAsia" w:ascii="宋体" w:hAnsi="宋体" w:eastAsia="宋体" w:cs="宋体"/>
          <w:color w:val="auto"/>
          <w:highlight w:val="none"/>
          <w:lang w:val="en-US" w:eastAsia="zh-CN"/>
        </w:rPr>
      </w:pPr>
      <w:bookmarkStart w:id="177" w:name="_Toc6827"/>
      <w:bookmarkStart w:id="178" w:name="_Toc7843"/>
      <w:bookmarkStart w:id="179" w:name="_Toc26078"/>
      <w:r>
        <w:rPr>
          <w:rFonts w:hint="eastAsia" w:ascii="宋体" w:hAnsi="宋体" w:eastAsia="宋体" w:cs="宋体"/>
          <w:color w:val="auto"/>
          <w:highlight w:val="none"/>
          <w:lang w:eastAsia="zh-CN"/>
        </w:rPr>
        <w:t>政府采购投标担保函</w:t>
      </w:r>
      <w:bookmarkEnd w:id="177"/>
      <w:bookmarkEnd w:id="178"/>
      <w:bookmarkEnd w:id="179"/>
    </w:p>
    <w:p>
      <w:pPr>
        <w:pStyle w:val="36"/>
        <w:widowControl/>
        <w:shd w:val="clear"/>
        <w:ind w:left="0" w:firstLine="6720"/>
        <w:rPr>
          <w:color w:val="auto"/>
          <w:highlight w:val="none"/>
          <w:lang w:val="en-US"/>
        </w:rPr>
      </w:pPr>
      <w:r>
        <w:rPr>
          <w:rFonts w:cs="宋体"/>
          <w:color w:val="auto"/>
          <w:highlight w:val="none"/>
          <w:lang w:eastAsia="zh-CN"/>
        </w:rPr>
        <w:t>编号：</w:t>
      </w:r>
      <w:r>
        <w:rPr>
          <w:rFonts w:cs="宋体"/>
          <w:color w:val="auto"/>
          <w:sz w:val="18"/>
          <w:szCs w:val="18"/>
          <w:highlight w:val="none"/>
          <w:lang w:eastAsia="zh-CN"/>
        </w:rPr>
        <w:t xml:space="preserve"> </w:t>
      </w:r>
    </w:p>
    <w:p>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（采购人或采购代理机构）: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鉴于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（以下简称“投标人”）拟参加编号为</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（项目编号）的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项目（以下简称“本项目”）投标，根据本项目招标文件，投标人参加投标时应向你方交纳投标保证金，且可以投标担保函的形式交纳投标保证金。应投标人的申请，我方以保证的方式向你方提供如下投标保证金担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一、保证责任的情形及保证金额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在投标人出现下列情形之一时，我方承担保证责任：  </w:t>
      </w:r>
    </w:p>
    <w:p>
      <w:pPr>
        <w:keepNext w:val="0"/>
        <w:keepLines w:val="0"/>
        <w:widowControl w:val="0"/>
        <w:numPr>
          <w:ilvl w:val="0"/>
          <w:numId w:val="11"/>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中标后投标人无正当理由不与采购人或者采购代理机构签订《政府采购合同》； </w:t>
      </w:r>
    </w:p>
    <w:p>
      <w:pPr>
        <w:keepNext w:val="0"/>
        <w:keepLines w:val="0"/>
        <w:widowControl w:val="0"/>
        <w:numPr>
          <w:ilvl w:val="0"/>
          <w:numId w:val="11"/>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招标文件规定的投标人应当缴纳保证金的其他情形。  </w:t>
      </w:r>
    </w:p>
    <w:p>
      <w:pPr>
        <w:keepNext w:val="0"/>
        <w:keepLines w:val="0"/>
        <w:widowControl w:val="0"/>
        <w:numPr>
          <w:ilvl w:val="0"/>
          <w:numId w:val="12"/>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我方承担保证责任的最高金额为人民币</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元（大写</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），即本项目的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投标保证金金额。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二、保证的方式及保证期间 </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我方保证的方式为：连带责任保证。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我方的保证期间为：自本保函生效之日起</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三、承担保证责任的程序  </w:t>
      </w:r>
    </w:p>
    <w:p>
      <w:pPr>
        <w:keepNext w:val="0"/>
        <w:keepLines w:val="0"/>
        <w:widowControl w:val="0"/>
        <w:numPr>
          <w:ilvl w:val="0"/>
          <w:numId w:val="13"/>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你方要求我方承担保证责任的，应在本保函保证期间内向我方发出书面索赔通知。索赔通知应写明要求索赔的金额，支付款项应到达的账号，并附有证明投标人发生我方应承担保证责任情形的事实材料。  </w:t>
      </w:r>
    </w:p>
    <w:p>
      <w:pPr>
        <w:keepNext w:val="0"/>
        <w:keepLines w:val="0"/>
        <w:widowControl w:val="0"/>
        <w:numPr>
          <w:ilvl w:val="0"/>
          <w:numId w:val="13"/>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我方在收到索赔通知及相关证明材料后，在</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个工作日内进行审查，符合应承担保证责任情形的，我方应按照你方的要求代投标人向你方支付投标保证金。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四、保证责任的终止</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14"/>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保证期间届满你方未向我方书面主张保证责任的，自保证期间届满次日起，我方保证责任自动终止。  </w:t>
      </w:r>
    </w:p>
    <w:p>
      <w:pPr>
        <w:keepNext w:val="0"/>
        <w:keepLines w:val="0"/>
        <w:widowControl w:val="0"/>
        <w:numPr>
          <w:ilvl w:val="0"/>
          <w:numId w:val="14"/>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我方按照本保函向你贵方履行了保证责任后，自我方向你贵方支付款项（支付款项从我方账户划出）之日起，保证责任终止。  </w:t>
      </w:r>
    </w:p>
    <w:p>
      <w:pPr>
        <w:keepNext w:val="0"/>
        <w:keepLines w:val="0"/>
        <w:widowControl w:val="0"/>
        <w:numPr>
          <w:ilvl w:val="0"/>
          <w:numId w:val="14"/>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按照法律法规的规定或出现我方保证责任终止的其它情形的，我方在本保函项下的保证责任亦终止。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五、免责条款</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15"/>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依照法律规定或你方与投标人的另行约定，全部或者部分免除投标人投标保证金义务时，我方亦免除相应的保证责任。  </w:t>
      </w:r>
    </w:p>
    <w:p>
      <w:pPr>
        <w:keepNext w:val="0"/>
        <w:keepLines w:val="0"/>
        <w:widowControl w:val="0"/>
        <w:numPr>
          <w:ilvl w:val="0"/>
          <w:numId w:val="15"/>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因你方原因致使投标人发生本保函第一条第（一）款约定情形的，我方不承担保证责任。 </w:t>
      </w:r>
    </w:p>
    <w:p>
      <w:pPr>
        <w:keepNext w:val="0"/>
        <w:keepLines w:val="0"/>
        <w:widowControl w:val="0"/>
        <w:suppressLineNumbers w:val="0"/>
        <w:shd w:val="clear"/>
        <w:spacing w:before="0" w:beforeAutospacing="0" w:after="0" w:afterAutospacing="0" w:line="360" w:lineRule="auto"/>
        <w:ind w:left="420" w:leftChars="20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3．因不可抗力造成投标人发生本保函第一条约定情形的，我方不承担保证责任。  </w:t>
      </w:r>
    </w:p>
    <w:p>
      <w:pPr>
        <w:keepNext w:val="0"/>
        <w:keepLines w:val="0"/>
        <w:widowControl w:val="0"/>
        <w:numPr>
          <w:ilvl w:val="0"/>
          <w:numId w:val="16"/>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你方或其他有权机关对招标文件进行任何澄清或修改，加重我方保证责任的，我方对加重部分不承担保证责任，但该澄清或修改经我方事先书面同意的除外。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六、争议的解决</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因本保函发生的纠纷，由你我双方协商解决，协商不成的，通过诉讼程序解决，诉讼管辖地法院为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法院。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七、保函的生效</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本保函自我方加盖公章之日起生效。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保证人：（公章）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年     月      日</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kern w:val="0"/>
          <w:sz w:val="36"/>
          <w:szCs w:val="36"/>
          <w:highlight w:val="none"/>
          <w:lang w:val="en-US"/>
        </w:rPr>
      </w:pPr>
    </w:p>
    <w:p>
      <w:pPr>
        <w:shd w:val="clea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80" w:name="_Toc9992"/>
      <w:bookmarkStart w:id="181" w:name="_Toc10465"/>
      <w:bookmarkStart w:id="182" w:name="_Toc24969"/>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bookmarkStart w:id="183" w:name="OLE_LINK14"/>
      <w:bookmarkStart w:id="184" w:name="OLE_LINK13"/>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80"/>
      <w:bookmarkEnd w:id="181"/>
      <w:bookmarkEnd w:id="182"/>
    </w:p>
    <w:bookmarkEnd w:id="183"/>
    <w:bookmarkEnd w:id="184"/>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pPr>
        <w:keepNext w:val="0"/>
        <w:keepLines w:val="0"/>
        <w:widowControl w:val="0"/>
        <w:suppressLineNumbers w:val="0"/>
        <w:shd w:val="clear"/>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pPr>
        <w:pStyle w:val="17"/>
        <w:widowControl/>
        <w:shd w:val="clear"/>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pStyle w:val="2"/>
        <w:widowControl/>
        <w:shd w:val="clear"/>
        <w:rPr>
          <w:rFonts w:hint="eastAsia" w:ascii="宋体" w:hAnsi="宋体" w:eastAsia="宋体" w:cs="宋体"/>
          <w:color w:val="auto"/>
          <w:sz w:val="24"/>
          <w:szCs w:val="24"/>
          <w:highlight w:val="none"/>
          <w:lang w:val="en-US"/>
        </w:rPr>
      </w:pPr>
    </w:p>
    <w:p>
      <w:pPr>
        <w:shd w:val="clea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85" w:name="_Toc6125"/>
      <w:bookmarkStart w:id="186" w:name="_Toc24818"/>
      <w:bookmarkStart w:id="187" w:name="_Toc5078"/>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bookmarkStart w:id="188" w:name="_Toc26517"/>
      <w:bookmarkStart w:id="189" w:name="_Toc5083"/>
      <w:bookmarkStart w:id="190" w:name="_Toc748"/>
      <w:r>
        <w:rPr>
          <w:rFonts w:hint="eastAsia" w:ascii="宋体" w:hAnsi="宋体" w:eastAsia="宋体" w:cs="宋体"/>
          <w:color w:val="auto"/>
          <w:highlight w:val="none"/>
          <w:lang w:eastAsia="zh-CN"/>
        </w:rPr>
        <w:t>“节能产品”、“环境标志产品”证明材料（如有）</w:t>
      </w:r>
      <w:bookmarkEnd w:id="185"/>
      <w:bookmarkEnd w:id="186"/>
      <w:bookmarkEnd w:id="187"/>
      <w:bookmarkEnd w:id="188"/>
      <w:bookmarkEnd w:id="189"/>
      <w:bookmarkEnd w:id="190"/>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说明：</w:t>
      </w:r>
    </w:p>
    <w:p>
      <w:pPr>
        <w:keepNext w:val="0"/>
        <w:keepLines w:val="0"/>
        <w:widowControl w:val="0"/>
        <w:numPr>
          <w:ilvl w:val="0"/>
          <w:numId w:val="17"/>
        </w:numPr>
        <w:suppressLineNumbers w:val="0"/>
        <w:shd w:val="clear"/>
        <w:adjustRightInd w:val="0"/>
        <w:snapToGrid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供应商提供的产品属于下列情形，应按第五章评标办法第4条规定提供相关证明材料(清单或目录所在页复印件)，并在《货物分项报价表》中提供相应数据。</w:t>
      </w:r>
    </w:p>
    <w:p>
      <w:pPr>
        <w:keepNext w:val="0"/>
        <w:keepLines w:val="0"/>
        <w:widowControl w:val="0"/>
        <w:numPr>
          <w:ilvl w:val="0"/>
          <w:numId w:val="18"/>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政府采购强制采购政策的(《节能产品政府采购清单》中标记★符号节能产品及其他强制采购产品)；</w:t>
      </w:r>
    </w:p>
    <w:p>
      <w:pPr>
        <w:keepNext w:val="0"/>
        <w:keepLines w:val="0"/>
        <w:widowControl w:val="0"/>
        <w:numPr>
          <w:ilvl w:val="0"/>
          <w:numId w:val="18"/>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政府采购优先采购政策的(《节能产品政府采购清单》中非标记★符号节能产品，《环境标志产品政府采购清单》中环境标志</w:t>
      </w:r>
      <w:r>
        <w:rPr>
          <w:rFonts w:hint="eastAsia" w:ascii="宋体" w:hAnsi="宋体" w:eastAsia="宋体" w:cs="宋体"/>
          <w:bCs/>
          <w:color w:val="auto"/>
          <w:kern w:val="2"/>
          <w:sz w:val="24"/>
          <w:szCs w:val="24"/>
          <w:highlight w:val="none"/>
          <w:lang w:val="en-US" w:eastAsia="zh-CN" w:bidi="ar"/>
        </w:rPr>
        <w:t>产品</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right="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2、未按上述要求提供、</w:t>
      </w:r>
      <w:r>
        <w:rPr>
          <w:rFonts w:hint="eastAsia" w:ascii="宋体" w:hAnsi="宋体" w:eastAsia="宋体" w:cs="宋体"/>
          <w:color w:val="auto"/>
          <w:kern w:val="2"/>
          <w:sz w:val="24"/>
          <w:szCs w:val="24"/>
          <w:highlight w:val="none"/>
          <w:lang w:val="en-US" w:eastAsia="zh-CN" w:bidi="ar"/>
        </w:rPr>
        <w:t>填写</w:t>
      </w:r>
      <w:r>
        <w:rPr>
          <w:rFonts w:hint="eastAsia" w:ascii="宋体" w:hAnsi="宋体" w:eastAsia="宋体" w:cs="宋体"/>
          <w:bCs/>
          <w:color w:val="auto"/>
          <w:kern w:val="2"/>
          <w:sz w:val="24"/>
          <w:szCs w:val="24"/>
          <w:highlight w:val="none"/>
          <w:lang w:val="en-US" w:eastAsia="zh-CN" w:bidi="ar"/>
        </w:rPr>
        <w:t>的，评标时不予以考虑。</w:t>
      </w:r>
    </w:p>
    <w:p>
      <w:pPr>
        <w:shd w:val="clear"/>
        <w:rPr>
          <w:rFonts w:hint="eastAsia" w:ascii="宋体" w:hAnsi="宋体" w:eastAsia="宋体" w:cs="宋体"/>
          <w:color w:val="auto"/>
          <w:kern w:val="2"/>
          <w:sz w:val="21"/>
          <w:szCs w:val="20"/>
          <w:highlight w:val="none"/>
          <w:lang w:val="en-US" w:eastAsia="zh-CN" w:bidi="ar"/>
        </w:rPr>
      </w:pPr>
    </w:p>
    <w:p>
      <w:pPr>
        <w:shd w:val="clea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6"/>
        <w:widowControl/>
        <w:shd w:val="clear"/>
        <w:jc w:val="left"/>
        <w:rPr>
          <w:rFonts w:hint="eastAsia" w:ascii="宋体" w:hAnsi="宋体" w:eastAsia="宋体" w:cs="宋体"/>
          <w:color w:val="auto"/>
          <w:highlight w:val="none"/>
          <w:lang w:val="en-US" w:eastAsia="zh-CN"/>
        </w:rPr>
      </w:pPr>
      <w:bookmarkStart w:id="191" w:name="_Toc26839"/>
      <w:bookmarkStart w:id="192" w:name="_Toc25690"/>
      <w:bookmarkStart w:id="193" w:name="_Toc12997"/>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91"/>
      <w:bookmarkEnd w:id="192"/>
      <w:bookmarkEnd w:id="193"/>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
        <w:shd w:val="clear"/>
        <w:bidi w:val="0"/>
        <w:jc w:val="center"/>
        <w:rPr>
          <w:color w:val="auto"/>
          <w:highlight w:val="none"/>
          <w:lang w:val="en-US"/>
        </w:rPr>
      </w:pPr>
      <w:bookmarkStart w:id="194" w:name="_Toc7204"/>
      <w:bookmarkStart w:id="195" w:name="_Toc20324"/>
      <w:r>
        <w:rPr>
          <w:rFonts w:hint="eastAsia"/>
          <w:color w:val="auto"/>
          <w:highlight w:val="none"/>
          <w:lang w:eastAsia="zh-CN"/>
        </w:rPr>
        <w:t>二、投标方案说明书</w:t>
      </w:r>
      <w:bookmarkEnd w:id="156"/>
      <w:bookmarkEnd w:id="157"/>
      <w:bookmarkEnd w:id="158"/>
      <w:bookmarkEnd w:id="159"/>
      <w:bookmarkEnd w:id="194"/>
      <w:bookmarkEnd w:id="195"/>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kern w:val="2"/>
          <w:sz w:val="24"/>
          <w:szCs w:val="24"/>
          <w:highlight w:val="none"/>
          <w:lang w:val="en-US" w:eastAsia="zh-CN" w:bidi="ar"/>
        </w:rPr>
        <w:t>按照招标文件的要求，结合评标办法编制的投标方案说明书，内容包括货物技术说明、组织供货和服务的详细说明、技术规格响应表、配置说明、供货一览表、彩页，质量保证和售后服务承诺等。至少应包括如下：</w:t>
      </w:r>
    </w:p>
    <w:p>
      <w:pPr>
        <w:keepNext w:val="0"/>
        <w:keepLines w:val="0"/>
        <w:widowControl w:val="0"/>
        <w:suppressLineNumbers w:val="0"/>
        <w:shd w:val="clear"/>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1）技术说明书</w:t>
      </w:r>
    </w:p>
    <w:p>
      <w:pPr>
        <w:keepNext w:val="0"/>
        <w:keepLines w:val="0"/>
        <w:widowControl w:val="0"/>
        <w:suppressLineNumbers w:val="0"/>
        <w:shd w:val="clear"/>
        <w:spacing w:before="0" w:beforeAutospacing="0" w:after="0" w:afterAutospacing="0" w:line="360" w:lineRule="auto"/>
        <w:ind w:left="0" w:right="-168" w:rightChars="-8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 完成项目的技术方案，要求投标人针对本项目的需求提出全面、完整的技术方案；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1.2所投货物及服务的商标、型号、功能、技术规格、详细的供货配置清单（原材料说明、结构图、效果图如有）；</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1.3填写技术规格响应表（见附表）并提供支持文件；</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1.4所投货物的制造商情况及原产地、质量标准、检测标准、是否符合国家规范及相关认证等；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1.5所投设备的彩页（如有）、检验报告、3C认证等；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1.6技术规格优于或偏离招标要求的指标（如有）；</w:t>
      </w:r>
    </w:p>
    <w:p>
      <w:pPr>
        <w:keepNext w:val="0"/>
        <w:keepLines w:val="0"/>
        <w:widowControl w:val="0"/>
        <w:suppressLineNumbers w:val="0"/>
        <w:shd w:val="clear"/>
        <w:kinsoku w:val="0"/>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 xml:space="preserve">2）整体实施方案，要求投标人针对本项目的需求提出完成本项目，全面、完整的整体实施方案，至少应包括： </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2.1供货一览表，服务范围和服务内容的详细说明；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2.2整体组织部署计划及针对本项目的供货方案、进度计划、应急预案；</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2.3质量保证措施、培训方案、售后服务方案、响应时间、拟为本项目配备的人员；</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2.4提供的维保服务点的名称、地址、电话联系人、应在投标文件中说明；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2.5投标人完成本项目的保障能力；</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2.6验收依据、项目整体验收计划；</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2.7投标人服务承诺书；</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2.8投标人认为有必要说明的问题。</w:t>
      </w:r>
    </w:p>
    <w:p>
      <w:pPr>
        <w:pStyle w:val="17"/>
        <w:shd w:val="clear"/>
        <w:rPr>
          <w:rFonts w:hint="eastAsia"/>
          <w:color w:val="auto"/>
          <w:highlight w:val="none"/>
          <w:lang w:val="en-US"/>
        </w:rPr>
      </w:pP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pPr>
        <w:pStyle w:val="17"/>
        <w:shd w:val="clear"/>
        <w:rPr>
          <w:rFonts w:hint="eastAsia"/>
          <w:color w:val="auto"/>
          <w:highlight w:val="none"/>
          <w:lang w:val="en-US"/>
        </w:rPr>
      </w:pPr>
    </w:p>
    <w:p>
      <w:pPr>
        <w:pStyle w:val="6"/>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eastAsia="zh-CN"/>
        </w:rPr>
      </w:pPr>
      <w:bookmarkStart w:id="196" w:name="_Toc12464"/>
      <w:bookmarkStart w:id="197" w:name="_Toc6642"/>
      <w:bookmarkStart w:id="198" w:name="_Toc13694"/>
      <w:r>
        <w:rPr>
          <w:rFonts w:hint="eastAsia" w:ascii="宋体" w:hAnsi="宋体" w:eastAsia="宋体" w:cs="宋体"/>
          <w:bCs w:val="0"/>
          <w:color w:val="auto"/>
          <w:highlight w:val="none"/>
          <w:lang w:eastAsia="zh-CN"/>
        </w:rPr>
        <w:t>附表</w:t>
      </w:r>
      <w:bookmarkEnd w:id="196"/>
      <w:bookmarkStart w:id="199" w:name="_Toc27796"/>
      <w:r>
        <w:rPr>
          <w:rFonts w:hint="eastAsia" w:ascii="宋体" w:hAnsi="宋体" w:cs="宋体"/>
          <w:bCs w:val="0"/>
          <w:color w:val="auto"/>
          <w:highlight w:val="none"/>
          <w:lang w:val="en-US" w:eastAsia="zh-CN"/>
        </w:rPr>
        <w:t>1</w:t>
      </w:r>
      <w:r>
        <w:rPr>
          <w:rFonts w:hint="eastAsia" w:ascii="宋体" w:hAnsi="宋体" w:eastAsia="宋体" w:cs="宋体"/>
          <w:bCs w:val="0"/>
          <w:color w:val="auto"/>
          <w:highlight w:val="none"/>
          <w:lang w:eastAsia="zh-CN"/>
        </w:rPr>
        <w:t>供货内容一览表</w:t>
      </w:r>
      <w:bookmarkEnd w:id="197"/>
      <w:bookmarkEnd w:id="198"/>
      <w:bookmarkEnd w:id="199"/>
    </w:p>
    <w:p>
      <w:pPr>
        <w:shd w:val="clear"/>
        <w:rPr>
          <w:rFonts w:hint="eastAsia"/>
          <w:color w:val="auto"/>
          <w:highlight w:val="none"/>
          <w:lang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822"/>
        <w:gridCol w:w="1349"/>
        <w:gridCol w:w="2367"/>
        <w:gridCol w:w="1006"/>
        <w:gridCol w:w="1268"/>
        <w:gridCol w:w="1173"/>
        <w:gridCol w:w="1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00" w:name="_Toc12146"/>
            <w:bookmarkStart w:id="201" w:name="_Toc21867"/>
            <w:bookmarkStart w:id="202" w:name="_Toc3181"/>
            <w:bookmarkStart w:id="203" w:name="_Toc12676"/>
            <w:bookmarkStart w:id="204" w:name="_Toc5790"/>
            <w:bookmarkStart w:id="205" w:name="_Toc13375"/>
            <w:bookmarkStart w:id="206" w:name="_Toc13467"/>
            <w:bookmarkStart w:id="207" w:name="_Toc11572"/>
            <w:bookmarkStart w:id="208" w:name="_Toc14901"/>
            <w:bookmarkStart w:id="209" w:name="_Toc788"/>
            <w:bookmarkStart w:id="210" w:name="_Toc18721"/>
            <w:bookmarkStart w:id="211" w:name="_Toc31145"/>
            <w:bookmarkStart w:id="212" w:name="_Toc5387"/>
            <w:r>
              <w:rPr>
                <w:rFonts w:hint="eastAsia" w:ascii="宋体" w:hAnsi="宋体" w:eastAsia="宋体" w:cs="宋体"/>
                <w:color w:val="auto"/>
                <w:sz w:val="24"/>
                <w:szCs w:val="24"/>
                <w:highlight w:val="none"/>
              </w:rPr>
              <w:t>参数说明</w:t>
            </w:r>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13" w:name="_Toc27169"/>
            <w:bookmarkStart w:id="214" w:name="_Toc16011"/>
            <w:bookmarkStart w:id="215" w:name="_Toc19415"/>
            <w:bookmarkStart w:id="216" w:name="_Toc9811"/>
            <w:bookmarkStart w:id="217" w:name="_Toc17321"/>
            <w:bookmarkStart w:id="218" w:name="_Toc22242"/>
            <w:bookmarkStart w:id="219" w:name="_Toc10544"/>
            <w:bookmarkStart w:id="220" w:name="_Toc8265"/>
            <w:bookmarkStart w:id="221" w:name="_Toc3301"/>
            <w:bookmarkStart w:id="222" w:name="_Toc8909"/>
            <w:bookmarkStart w:id="223" w:name="_Toc2417"/>
            <w:bookmarkStart w:id="224" w:name="_Toc21873"/>
            <w:bookmarkStart w:id="225" w:name="_Toc1767"/>
            <w:r>
              <w:rPr>
                <w:rFonts w:hint="eastAsia" w:ascii="宋体" w:hAnsi="宋体" w:eastAsia="宋体" w:cs="宋体"/>
                <w:color w:val="auto"/>
                <w:sz w:val="24"/>
                <w:szCs w:val="24"/>
                <w:highlight w:val="none"/>
              </w:rPr>
              <w:t>品牌</w:t>
            </w:r>
            <w:bookmarkEnd w:id="213"/>
            <w:bookmarkEnd w:id="214"/>
            <w:bookmarkEnd w:id="215"/>
            <w:bookmarkEnd w:id="216"/>
            <w:bookmarkEnd w:id="217"/>
            <w:bookmarkEnd w:id="218"/>
            <w:bookmarkEnd w:id="219"/>
            <w:bookmarkEnd w:id="220"/>
            <w:bookmarkEnd w:id="221"/>
            <w:bookmarkEnd w:id="222"/>
            <w:bookmarkEnd w:id="223"/>
            <w:bookmarkEnd w:id="224"/>
            <w:bookmarkEnd w:id="225"/>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26" w:name="_Toc24729"/>
            <w:bookmarkStart w:id="227" w:name="_Toc24759"/>
            <w:bookmarkStart w:id="228" w:name="_Toc26195"/>
            <w:bookmarkStart w:id="229" w:name="_Toc19060"/>
            <w:bookmarkStart w:id="230" w:name="_Toc3806"/>
            <w:bookmarkStart w:id="231" w:name="_Toc6289"/>
            <w:bookmarkStart w:id="232" w:name="_Toc173"/>
            <w:bookmarkStart w:id="233" w:name="_Toc20828"/>
            <w:bookmarkStart w:id="234" w:name="_Toc14404"/>
            <w:bookmarkStart w:id="235" w:name="_Toc10909"/>
            <w:bookmarkStart w:id="236" w:name="_Toc11627"/>
            <w:bookmarkStart w:id="237" w:name="_Toc26855"/>
            <w:r>
              <w:rPr>
                <w:rFonts w:hint="eastAsia" w:ascii="宋体" w:hAnsi="宋体" w:eastAsia="宋体" w:cs="宋体"/>
                <w:color w:val="auto"/>
                <w:sz w:val="24"/>
                <w:szCs w:val="24"/>
                <w:highlight w:val="none"/>
              </w:rPr>
              <w:t>规格型号</w:t>
            </w:r>
            <w:bookmarkEnd w:id="226"/>
            <w:bookmarkEnd w:id="227"/>
            <w:bookmarkEnd w:id="228"/>
            <w:bookmarkEnd w:id="229"/>
            <w:bookmarkEnd w:id="230"/>
            <w:bookmarkEnd w:id="231"/>
            <w:bookmarkEnd w:id="232"/>
            <w:bookmarkEnd w:id="233"/>
            <w:bookmarkEnd w:id="234"/>
            <w:bookmarkEnd w:id="235"/>
            <w:bookmarkEnd w:id="236"/>
            <w:bookmarkEnd w:id="237"/>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38" w:name="_Toc15129"/>
            <w:bookmarkStart w:id="239" w:name="_Toc25456"/>
            <w:bookmarkStart w:id="240" w:name="_Toc32191"/>
            <w:bookmarkStart w:id="241" w:name="_Toc14344"/>
            <w:bookmarkStart w:id="242" w:name="_Toc23861"/>
            <w:bookmarkStart w:id="243" w:name="_Toc31750"/>
            <w:bookmarkStart w:id="244" w:name="_Toc6470"/>
            <w:bookmarkStart w:id="245" w:name="_Toc6651"/>
            <w:bookmarkStart w:id="246" w:name="_Toc17259"/>
            <w:bookmarkStart w:id="247" w:name="_Toc26263"/>
            <w:bookmarkStart w:id="248" w:name="_Toc2826"/>
            <w:bookmarkStart w:id="249" w:name="_Toc19125"/>
            <w:r>
              <w:rPr>
                <w:rFonts w:hint="eastAsia" w:ascii="宋体" w:hAnsi="宋体" w:eastAsia="宋体" w:cs="宋体"/>
                <w:color w:val="auto"/>
                <w:sz w:val="24"/>
                <w:szCs w:val="24"/>
                <w:highlight w:val="none"/>
              </w:rPr>
              <w:t>数量</w:t>
            </w:r>
            <w:bookmarkEnd w:id="238"/>
            <w:bookmarkEnd w:id="239"/>
            <w:bookmarkEnd w:id="240"/>
            <w:bookmarkEnd w:id="241"/>
            <w:bookmarkEnd w:id="242"/>
            <w:bookmarkEnd w:id="243"/>
            <w:bookmarkEnd w:id="244"/>
            <w:bookmarkEnd w:id="245"/>
            <w:bookmarkEnd w:id="246"/>
            <w:bookmarkEnd w:id="247"/>
            <w:bookmarkEnd w:id="248"/>
            <w:bookmarkEnd w:id="249"/>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50" w:name="_Toc10180"/>
            <w:bookmarkStart w:id="251" w:name="_Toc26815"/>
            <w:bookmarkStart w:id="252" w:name="_Toc26702"/>
            <w:bookmarkStart w:id="253" w:name="_Toc5026"/>
            <w:bookmarkStart w:id="254" w:name="_Toc1042"/>
            <w:bookmarkStart w:id="255" w:name="_Toc14328"/>
            <w:bookmarkStart w:id="256" w:name="_Toc526"/>
            <w:bookmarkStart w:id="257" w:name="_Toc23206"/>
            <w:bookmarkStart w:id="258" w:name="_Toc27768"/>
            <w:bookmarkStart w:id="259" w:name="_Toc23068"/>
            <w:bookmarkStart w:id="260" w:name="_Toc25067"/>
            <w:bookmarkStart w:id="261" w:name="_Toc32410"/>
            <w:r>
              <w:rPr>
                <w:rFonts w:hint="eastAsia" w:ascii="宋体" w:hAnsi="宋体" w:eastAsia="宋体" w:cs="宋体"/>
                <w:color w:val="auto"/>
                <w:sz w:val="24"/>
                <w:szCs w:val="24"/>
                <w:highlight w:val="none"/>
              </w:rPr>
              <w:t>备注</w:t>
            </w:r>
            <w:bookmarkEnd w:id="250"/>
            <w:bookmarkEnd w:id="251"/>
            <w:bookmarkEnd w:id="252"/>
            <w:bookmarkEnd w:id="253"/>
            <w:bookmarkEnd w:id="254"/>
            <w:bookmarkEnd w:id="255"/>
            <w:bookmarkEnd w:id="256"/>
            <w:bookmarkEnd w:id="257"/>
            <w:bookmarkEnd w:id="258"/>
            <w:bookmarkEnd w:id="259"/>
            <w:bookmarkEnd w:id="260"/>
            <w:bookmarkEnd w:id="26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bl>
    <w:p>
      <w:pPr>
        <w:pStyle w:val="81"/>
        <w:widowControl/>
        <w:shd w:val="clear"/>
        <w:tabs>
          <w:tab w:val="left" w:pos="2040"/>
        </w:tabs>
        <w:spacing w:beforeLines="50" w:beforeAutospacing="0" w:after="0" w:afterAutospacing="0" w:line="400" w:lineRule="exact"/>
        <w:ind w:left="350" w:right="0" w:hanging="398" w:hangingChars="166"/>
        <w:rPr>
          <w:rFonts w:hint="eastAsia" w:ascii="宋体" w:hAnsi="宋体" w:eastAsia="宋体" w:cs="宋体"/>
          <w:bCs w:val="0"/>
          <w:color w:val="auto"/>
          <w:sz w:val="24"/>
          <w:szCs w:val="24"/>
          <w:highlight w:val="none"/>
          <w:lang w:val="en-US"/>
        </w:rPr>
      </w:pPr>
      <w:r>
        <w:rPr>
          <w:rFonts w:hint="eastAsia" w:ascii="宋体" w:hAnsi="宋体" w:eastAsia="宋体" w:cs="宋体"/>
          <w:bCs w:val="0"/>
          <w:color w:val="auto"/>
          <w:sz w:val="24"/>
          <w:szCs w:val="24"/>
          <w:highlight w:val="none"/>
          <w:lang w:eastAsia="zh-CN"/>
        </w:rPr>
        <w:t>备注：投标人可适当调整该表格式，但不得减少信息内容。</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440" w:lineRule="exact"/>
        <w:ind w:left="141" w:leftChars="67"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法定代表人/单位负责人/或被授权人签字： </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 xml:space="preserve">投标人名称（公章）： </w:t>
      </w:r>
      <w:r>
        <w:rPr>
          <w:rFonts w:hint="eastAsia" w:ascii="宋体" w:hAnsi="宋体" w:eastAsia="宋体" w:cs="宋体"/>
          <w:color w:val="auto"/>
          <w:kern w:val="2"/>
          <w:sz w:val="24"/>
          <w:szCs w:val="24"/>
          <w:highlight w:val="none"/>
          <w:u w:val="single"/>
          <w:lang w:val="en-US" w:eastAsia="zh-CN" w:bidi="ar"/>
        </w:rPr>
        <w:t xml:space="preserve">                 </w:t>
      </w:r>
      <w:bookmarkStart w:id="262" w:name="_Toc225410807"/>
      <w:bookmarkStart w:id="263" w:name="_Toc225566701"/>
      <w:bookmarkStart w:id="264" w:name="_Toc225410181"/>
      <w:bookmarkStart w:id="265" w:name="_Toc225415659"/>
      <w:bookmarkStart w:id="266" w:name="_Toc396304713"/>
      <w:bookmarkStart w:id="267" w:name="_Toc225412171"/>
      <w:bookmarkStart w:id="268" w:name="_Toc225412373"/>
      <w:bookmarkStart w:id="269" w:name="_Toc225566882"/>
      <w:bookmarkStart w:id="270" w:name="_Toc225409965"/>
      <w:bookmarkStart w:id="271" w:name="_Toc225416061"/>
      <w:bookmarkStart w:id="272" w:name="_Toc225567481"/>
      <w:bookmarkStart w:id="273" w:name="_Toc225415860"/>
      <w:bookmarkStart w:id="274" w:name="_Toc341541375"/>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pStyle w:val="6"/>
        <w:widowControl/>
        <w:shd w:val="clear"/>
        <w:spacing w:line="360" w:lineRule="auto"/>
        <w:jc w:val="both"/>
        <w:rPr>
          <w:rFonts w:hint="eastAsia" w:ascii="宋体" w:hAnsi="宋体" w:eastAsia="宋体" w:cs="宋体"/>
          <w:bCs w:val="0"/>
          <w:color w:val="auto"/>
          <w:sz w:val="24"/>
          <w:szCs w:val="24"/>
          <w:highlight w:val="none"/>
          <w:lang w:val="en-US"/>
        </w:rPr>
      </w:pPr>
      <w:bookmarkStart w:id="275" w:name="_Toc18118"/>
      <w:bookmarkStart w:id="276" w:name="_Toc18473"/>
      <w:bookmarkStart w:id="277" w:name="_Toc16171"/>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2</w:t>
      </w:r>
      <w:r>
        <w:rPr>
          <w:rFonts w:hint="eastAsia" w:ascii="宋体" w:hAnsi="宋体" w:eastAsia="宋体" w:cs="宋体"/>
          <w:bCs w:val="0"/>
          <w:color w:val="auto"/>
          <w:sz w:val="24"/>
          <w:szCs w:val="24"/>
          <w:highlight w:val="none"/>
          <w:lang w:eastAsia="zh-CN"/>
        </w:rPr>
        <w:t>本项目拟投入人员汇总表</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187"/>
        <w:widowControl/>
        <w:shd w:val="clear"/>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278" w:name="_Toc19980"/>
      <w:bookmarkStart w:id="279" w:name="_Toc9160"/>
      <w:bookmarkStart w:id="280" w:name="_Toc403077652"/>
      <w:bookmarkStart w:id="281" w:name="_Toc32016"/>
      <w:bookmarkStart w:id="282" w:name="_Toc396304714"/>
      <w:bookmarkStart w:id="283" w:name="_Toc30982"/>
      <w:bookmarkStart w:id="284" w:name="_Toc21416"/>
      <w:r>
        <w:rPr>
          <w:rFonts w:hint="eastAsia" w:ascii="宋体" w:hAnsi="宋体" w:eastAsia="宋体" w:cs="宋体"/>
          <w:color w:val="auto"/>
          <w:sz w:val="24"/>
          <w:szCs w:val="24"/>
          <w:highlight w:val="none"/>
          <w:lang w:eastAsia="zh-CN"/>
        </w:rPr>
        <w:t>（一）本项目拟投入人员汇总表</w:t>
      </w:r>
      <w:bookmarkEnd w:id="278"/>
      <w:bookmarkEnd w:id="279"/>
      <w:bookmarkEnd w:id="280"/>
      <w:bookmarkEnd w:id="281"/>
      <w:bookmarkEnd w:id="282"/>
      <w:bookmarkEnd w:id="283"/>
      <w:bookmarkEnd w:id="284"/>
    </w:p>
    <w:tbl>
      <w:tblPr>
        <w:tblStyle w:val="41"/>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83"/>
        <w:gridCol w:w="1743"/>
        <w:gridCol w:w="801"/>
        <w:gridCol w:w="801"/>
        <w:gridCol w:w="801"/>
        <w:gridCol w:w="1280"/>
        <w:gridCol w:w="207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5" w:hRule="atLeast"/>
          <w:tblHeader/>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年龄</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工作年限</w:t>
            </w: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bl>
    <w:p>
      <w:pPr>
        <w:pStyle w:val="81"/>
        <w:widowControl/>
        <w:shd w:val="clear"/>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pPr>
        <w:pStyle w:val="81"/>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pPr>
        <w:pStyle w:val="81"/>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pPr>
        <w:pStyle w:val="187"/>
        <w:widowControl/>
        <w:shd w:val="clear"/>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285" w:name="_Toc225415660"/>
      <w:bookmarkStart w:id="286" w:name="_Toc225409966"/>
      <w:bookmarkStart w:id="287" w:name="_Toc4691"/>
      <w:bookmarkStart w:id="288" w:name="_Toc403077653"/>
      <w:bookmarkStart w:id="289" w:name="_Toc225412374"/>
      <w:bookmarkStart w:id="290" w:name="_Toc225410182"/>
      <w:bookmarkStart w:id="291" w:name="_Toc21036"/>
      <w:bookmarkStart w:id="292" w:name="_Toc225566883"/>
      <w:bookmarkStart w:id="293" w:name="_Toc225567482"/>
      <w:bookmarkStart w:id="294" w:name="_Toc341541376"/>
      <w:bookmarkStart w:id="295" w:name="_Toc225566702"/>
      <w:bookmarkStart w:id="296" w:name="_Toc225416062"/>
      <w:bookmarkStart w:id="297" w:name="_Toc225410808"/>
      <w:bookmarkStart w:id="298" w:name="_Toc225415861"/>
      <w:bookmarkStart w:id="299" w:name="_Toc396304715"/>
      <w:bookmarkStart w:id="300" w:name="_Toc225412172"/>
    </w:p>
    <w:p>
      <w:pPr>
        <w:shd w:val="clea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pPr>
        <w:pStyle w:val="187"/>
        <w:widowControl/>
        <w:shd w:val="clear"/>
        <w:spacing w:line="400" w:lineRule="exact"/>
        <w:ind w:left="0" w:firstLine="0" w:firstLineChars="0"/>
        <w:jc w:val="center"/>
        <w:outlineLvl w:val="9"/>
        <w:rPr>
          <w:rFonts w:hint="eastAsia" w:ascii="宋体" w:hAnsi="宋体" w:eastAsia="宋体" w:cs="宋体"/>
          <w:color w:val="auto"/>
          <w:szCs w:val="24"/>
          <w:highlight w:val="none"/>
          <w:lang w:val="en-US"/>
        </w:rPr>
      </w:pPr>
      <w:bookmarkStart w:id="301" w:name="_Toc24773"/>
      <w:bookmarkStart w:id="302" w:name="_Toc18933"/>
      <w:bookmarkStart w:id="303" w:name="_Toc6998"/>
      <w:r>
        <w:rPr>
          <w:rFonts w:hint="eastAsia" w:ascii="宋体" w:hAnsi="宋体" w:eastAsia="宋体" w:cs="宋体"/>
          <w:color w:val="auto"/>
          <w:szCs w:val="24"/>
          <w:highlight w:val="none"/>
          <w:lang w:eastAsia="zh-CN"/>
        </w:rPr>
        <w:t>（二） 本项目拟投入主要人员简历表</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top"/>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pPr>
        <w:shd w:val="clear"/>
        <w:bidi w:val="0"/>
        <w:spacing w:line="360" w:lineRule="auto"/>
        <w:rPr>
          <w:rFonts w:hint="eastAsia" w:asciiTheme="minorEastAsia" w:hAnsiTheme="minorEastAsia" w:eastAsiaTheme="minorEastAsia" w:cstheme="minorEastAsia"/>
          <w:color w:val="auto"/>
          <w:sz w:val="24"/>
          <w:szCs w:val="32"/>
          <w:highlight w:val="none"/>
          <w:lang w:val="en-US"/>
        </w:rPr>
      </w:pPr>
      <w:r>
        <w:rPr>
          <w:rFonts w:hint="eastAsia" w:asciiTheme="minorEastAsia" w:hAnsiTheme="minorEastAsia" w:eastAsiaTheme="minorEastAsia" w:cstheme="minorEastAsia"/>
          <w:color w:val="auto"/>
          <w:sz w:val="24"/>
          <w:szCs w:val="32"/>
          <w:highlight w:val="none"/>
          <w:lang w:eastAsia="zh-CN"/>
        </w:rPr>
        <w:t>注：</w:t>
      </w:r>
      <w:r>
        <w:rPr>
          <w:rFonts w:hint="eastAsia" w:asciiTheme="minorEastAsia" w:hAnsiTheme="minorEastAsia" w:eastAsiaTheme="minorEastAsia" w:cstheme="minorEastAsia"/>
          <w:color w:val="auto"/>
          <w:sz w:val="24"/>
          <w:szCs w:val="32"/>
          <w:highlight w:val="none"/>
          <w:lang w:val="en-US"/>
        </w:rPr>
        <w:t>1.</w:t>
      </w:r>
      <w:r>
        <w:rPr>
          <w:rFonts w:hint="eastAsia" w:asciiTheme="minorEastAsia" w:hAnsiTheme="minorEastAsia" w:eastAsiaTheme="minorEastAsia" w:cstheme="minorEastAsia"/>
          <w:color w:val="auto"/>
          <w:sz w:val="24"/>
          <w:szCs w:val="32"/>
          <w:highlight w:val="none"/>
          <w:lang w:eastAsia="zh-CN"/>
        </w:rPr>
        <w:t>表后须附身份证、毕业证等证明材料的复印件。</w:t>
      </w: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shd w:val="clear"/>
        <w:rPr>
          <w:rFonts w:hint="eastAsia" w:ascii="宋体" w:hAnsi="宋体"/>
          <w:b/>
          <w:color w:val="auto"/>
          <w:sz w:val="24"/>
          <w:szCs w:val="32"/>
          <w:highlight w:val="none"/>
        </w:rPr>
      </w:pPr>
      <w:bookmarkStart w:id="304" w:name="_Toc403077655"/>
      <w:bookmarkStart w:id="305" w:name="_Toc18707"/>
      <w:bookmarkStart w:id="306" w:name="_Toc363474032"/>
      <w:r>
        <w:rPr>
          <w:rFonts w:hint="eastAsia" w:ascii="宋体" w:hAnsi="宋体"/>
          <w:b/>
          <w:color w:val="auto"/>
          <w:sz w:val="24"/>
          <w:szCs w:val="32"/>
          <w:highlight w:val="none"/>
        </w:rPr>
        <w:br w:type="page"/>
      </w:r>
    </w:p>
    <w:bookmarkEnd w:id="304"/>
    <w:bookmarkEnd w:id="305"/>
    <w:bookmarkEnd w:id="306"/>
    <w:p>
      <w:pPr>
        <w:pStyle w:val="6"/>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val="en-US" w:eastAsia="zh-CN"/>
        </w:rPr>
      </w:pPr>
      <w:bookmarkStart w:id="307" w:name="_Toc22505"/>
      <w:bookmarkStart w:id="308" w:name="_Toc8085"/>
      <w:bookmarkStart w:id="309" w:name="_Toc18859"/>
      <w:bookmarkStart w:id="310" w:name="_Toc21839"/>
      <w:bookmarkStart w:id="311" w:name="_Toc15250"/>
      <w:bookmarkStart w:id="312" w:name="_Toc14742"/>
      <w:bookmarkStart w:id="313" w:name="_Toc29521"/>
      <w:bookmarkStart w:id="314" w:name="_Toc7410"/>
      <w:r>
        <w:rPr>
          <w:rFonts w:hint="eastAsia" w:ascii="宋体" w:hAnsi="宋体" w:eastAsia="宋体" w:cs="宋体"/>
          <w:bCs w:val="0"/>
          <w:color w:val="auto"/>
          <w:highlight w:val="none"/>
          <w:lang w:val="en-US" w:eastAsia="zh-CN"/>
        </w:rPr>
        <w:t>附表3 类似项目经验</w:t>
      </w:r>
      <w:bookmarkEnd w:id="307"/>
      <w:bookmarkEnd w:id="308"/>
      <w:bookmarkEnd w:id="30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default" w:asciiTheme="minorEastAsia" w:hAnsiTheme="minorEastAsia" w:eastAsiaTheme="minorEastAsia" w:cstheme="minorEastAsia"/>
          <w:color w:val="auto"/>
          <w:kern w:val="2"/>
          <w:sz w:val="24"/>
          <w:szCs w:val="24"/>
          <w:highlight w:val="none"/>
          <w:u w:val="singl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0"/>
          <w:highlight w:val="none"/>
          <w:u w:val="single"/>
          <w:lang w:eastAsia="zh-CN"/>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sz w:val="24"/>
          <w:szCs w:val="20"/>
          <w:highlight w:val="none"/>
        </w:rPr>
        <w:t>：</w:t>
      </w:r>
    </w:p>
    <w:tbl>
      <w:tblPr>
        <w:tblStyle w:val="41"/>
        <w:tblW w:w="94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2"/>
        <w:gridCol w:w="1141"/>
        <w:gridCol w:w="1515"/>
        <w:gridCol w:w="1734"/>
        <w:gridCol w:w="1543"/>
        <w:gridCol w:w="2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序号</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项目名称</w:t>
            </w: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项目内容</w:t>
            </w: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金额</w:t>
            </w:r>
          </w:p>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（万元）</w:t>
            </w: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完成日期</w:t>
            </w:r>
          </w:p>
        </w:tc>
        <w:tc>
          <w:tcPr>
            <w:tcW w:w="2892"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w:t>
            </w: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7" w:hRule="atLeast"/>
        </w:trPr>
        <w:tc>
          <w:tcPr>
            <w:tcW w:w="652"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b/>
                <w:color w:val="auto"/>
                <w:sz w:val="24"/>
                <w:szCs w:val="20"/>
                <w:highlight w:val="none"/>
              </w:rPr>
            </w:pPr>
          </w:p>
        </w:tc>
        <w:tc>
          <w:tcPr>
            <w:tcW w:w="11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1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734"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543"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892"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bl>
    <w:p>
      <w:pPr>
        <w:shd w:val="clear"/>
        <w:snapToGrid w:val="0"/>
        <w:spacing w:before="120"/>
        <w:ind w:left="453" w:leftChars="50" w:right="357" w:hanging="348" w:hangingChars="166"/>
        <w:rPr>
          <w:rFonts w:hint="eastAsia" w:ascii="宋体" w:hAnsi="宋体" w:eastAsia="宋体" w:cs="宋体"/>
          <w:color w:val="auto"/>
          <w:szCs w:val="20"/>
          <w:highlight w:val="none"/>
        </w:rPr>
      </w:pPr>
    </w:p>
    <w:p>
      <w:pPr>
        <w:shd w:val="clear"/>
        <w:tabs>
          <w:tab w:val="left" w:pos="8782"/>
        </w:tabs>
        <w:snapToGrid w:val="0"/>
        <w:spacing w:before="120"/>
        <w:ind w:left="503" w:leftChars="50" w:right="-38" w:hanging="398" w:hangingChars="166"/>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注：1. </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单位应如实列出以上情况，如有隐瞒，一经查实将导致其报价申请被拒绝。</w:t>
      </w:r>
    </w:p>
    <w:p>
      <w:pPr>
        <w:shd w:val="clear"/>
        <w:snapToGrid w:val="0"/>
        <w:spacing w:before="120"/>
        <w:ind w:left="418" w:leftChars="199" w:right="357" w:firstLine="120" w:firstLineChars="5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应提供证明材料（复印件加盖公章装订在</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 xml:space="preserve">文件中）。 </w:t>
      </w:r>
    </w:p>
    <w:p>
      <w:pPr>
        <w:shd w:val="clear"/>
        <w:ind w:left="1256" w:hanging="836"/>
        <w:rPr>
          <w:rFonts w:hint="eastAsia" w:ascii="宋体" w:hAnsi="宋体" w:eastAsia="宋体" w:cs="宋体"/>
          <w:color w:val="auto"/>
          <w:sz w:val="22"/>
          <w:szCs w:val="20"/>
          <w:highlight w:val="none"/>
        </w:rPr>
      </w:pPr>
    </w:p>
    <w:p>
      <w:pPr>
        <w:shd w:val="clear"/>
        <w:tabs>
          <w:tab w:val="left" w:pos="1680"/>
        </w:tabs>
        <w:rPr>
          <w:rFonts w:hint="eastAsia" w:ascii="宋体" w:hAnsi="宋体" w:eastAsia="宋体" w:cs="宋体"/>
          <w:color w:val="auto"/>
          <w:sz w:val="24"/>
          <w:szCs w:val="20"/>
          <w:highlight w:val="none"/>
        </w:rPr>
      </w:pPr>
    </w:p>
    <w:p>
      <w:pPr>
        <w:shd w:val="clear"/>
        <w:spacing w:line="480" w:lineRule="auto"/>
        <w:ind w:right="-161"/>
        <w:rPr>
          <w:rFonts w:hint="eastAsia" w:ascii="宋体" w:hAnsi="宋体" w:eastAsia="宋体" w:cs="宋体"/>
          <w:color w:val="auto"/>
          <w:sz w:val="24"/>
          <w:szCs w:val="20"/>
          <w:highlight w:val="none"/>
        </w:rPr>
      </w:pPr>
    </w:p>
    <w:p>
      <w:pPr>
        <w:shd w:val="clear"/>
        <w:spacing w:line="480" w:lineRule="auto"/>
        <w:ind w:right="-161" w:firstLine="2640" w:firstLineChars="1100"/>
        <w:rPr>
          <w:rFonts w:hint="eastAsia" w:ascii="宋体" w:hAnsi="宋体" w:eastAsia="宋体" w:cs="宋体"/>
          <w:color w:val="auto"/>
          <w:sz w:val="24"/>
          <w:szCs w:val="20"/>
          <w:highlight w:val="none"/>
        </w:rPr>
      </w:pPr>
    </w:p>
    <w:p>
      <w:pPr>
        <w:shd w:val="clear"/>
        <w:spacing w:line="440" w:lineRule="exact"/>
        <w:ind w:left="3259" w:leftChars="1552"/>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p>
    <w:p>
      <w:pPr>
        <w:shd w:val="clear"/>
        <w:spacing w:line="520" w:lineRule="exac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lang w:eastAsia="zh-CN"/>
        </w:rPr>
        <w:t>投标人名称（</w:t>
      </w:r>
      <w:r>
        <w:rPr>
          <w:rFonts w:hint="eastAsia" w:ascii="宋体" w:hAnsi="宋体" w:eastAsia="宋体" w:cs="Times New Roman"/>
          <w:color w:val="auto"/>
          <w:sz w:val="24"/>
          <w:szCs w:val="24"/>
          <w:highlight w:val="none"/>
        </w:rPr>
        <w:t>公章</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w:t>
      </w:r>
    </w:p>
    <w:p>
      <w:pPr>
        <w:shd w:val="clear"/>
        <w:spacing w:line="440" w:lineRule="exact"/>
        <w:ind w:left="3259" w:leftChars="155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      期：</w:t>
      </w:r>
    </w:p>
    <w:p>
      <w:pPr>
        <w:pStyle w:val="17"/>
        <w:shd w:val="clear"/>
        <w:rPr>
          <w:rFonts w:hint="eastAsia" w:ascii="宋体" w:hAnsi="宋体" w:eastAsia="宋体" w:cs="Times New Roman"/>
          <w:color w:val="auto"/>
          <w:sz w:val="24"/>
          <w:szCs w:val="24"/>
          <w:highlight w:val="none"/>
        </w:rPr>
      </w:pPr>
    </w:p>
    <w:p>
      <w:pPr>
        <w:shd w:val="clear"/>
        <w:rPr>
          <w:rFonts w:hint="eastAsia"/>
          <w:color w:val="auto"/>
          <w:highlight w:val="none"/>
        </w:rPr>
      </w:pPr>
    </w:p>
    <w:p>
      <w:pPr>
        <w:pStyle w:val="17"/>
        <w:shd w:val="clear"/>
        <w:rPr>
          <w:rFonts w:hint="default" w:eastAsia="宋体"/>
          <w:color w:val="auto"/>
          <w:highlight w:val="none"/>
          <w:lang w:val="en-US" w:eastAsia="zh-CN"/>
        </w:rPr>
      </w:pPr>
    </w:p>
    <w:p>
      <w:pPr>
        <w:shd w:val="clear"/>
        <w:rPr>
          <w:rFonts w:hint="default" w:eastAsia="宋体"/>
          <w:color w:val="auto"/>
          <w:highlight w:val="none"/>
          <w:lang w:val="en-US" w:eastAsia="zh-CN"/>
        </w:rPr>
      </w:pPr>
    </w:p>
    <w:p>
      <w:pPr>
        <w:pStyle w:val="40"/>
        <w:shd w:val="clear"/>
        <w:ind w:left="0" w:leftChars="0" w:firstLine="0" w:firstLineChars="0"/>
        <w:rPr>
          <w:rFonts w:hint="default" w:eastAsia="宋体"/>
          <w:color w:val="auto"/>
          <w:highlight w:val="none"/>
          <w:lang w:val="en-US" w:eastAsia="zh-CN"/>
        </w:rPr>
      </w:pPr>
    </w:p>
    <w:bookmarkEnd w:id="310"/>
    <w:bookmarkEnd w:id="311"/>
    <w:bookmarkEnd w:id="312"/>
    <w:bookmarkEnd w:id="313"/>
    <w:bookmarkEnd w:id="314"/>
    <w:p>
      <w:pPr>
        <w:bidi w:val="0"/>
      </w:pPr>
      <w:r>
        <w:drawing>
          <wp:inline distT="0" distB="0" distL="114300" distR="114300">
            <wp:extent cx="6110605" cy="3481070"/>
            <wp:effectExtent l="0" t="0" r="444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pPr>
        <w:bidi w:val="0"/>
      </w:pPr>
    </w:p>
    <w:p>
      <w:pPr>
        <w:bidi w:val="0"/>
      </w:pPr>
      <w:r>
        <w:drawing>
          <wp:inline distT="0" distB="0" distL="114300" distR="114300">
            <wp:extent cx="6172200" cy="3448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pPr>
        <w:bidi w:val="0"/>
      </w:pPr>
    </w:p>
    <w:p>
      <w:pPr>
        <w:bidi w:val="0"/>
      </w:pPr>
      <w:r>
        <w:drawing>
          <wp:inline distT="0" distB="0" distL="114300" distR="114300">
            <wp:extent cx="5993130" cy="3397250"/>
            <wp:effectExtent l="0" t="0" r="762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pPr>
        <w:bidi w:val="0"/>
      </w:pPr>
    </w:p>
    <w:p>
      <w:pPr>
        <w:bidi w:val="0"/>
      </w:pPr>
      <w: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pPr>
        <w:bidi w:val="0"/>
      </w:pPr>
    </w:p>
    <w:p>
      <w:pPr>
        <w:bidi w:val="0"/>
      </w:pPr>
      <w:r>
        <w:drawing>
          <wp:inline distT="0" distB="0" distL="114300" distR="114300">
            <wp:extent cx="6120765" cy="3474720"/>
            <wp:effectExtent l="0" t="0" r="1333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pPr>
        <w:bidi w:val="0"/>
      </w:pPr>
    </w:p>
    <w:p>
      <w:pPr>
        <w:bidi w:val="0"/>
        <w:rPr>
          <w:rFonts w:hint="eastAsia"/>
        </w:rPr>
      </w:pPr>
      <w:r>
        <w:drawing>
          <wp:inline distT="0" distB="0" distL="114300" distR="114300">
            <wp:extent cx="6045200" cy="33832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auto"/>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heme="minorHAnsi" w:hAnsiTheme="minorHAnsi" w:eastAsiaTheme="minorEastAsia" w:cstheme="minorBidi"/>
        <w:kern w:val="2"/>
        <w:sz w:val="18"/>
        <w:szCs w:val="24"/>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rPr>
        <w:sz w:val="16"/>
        <w:szCs w:val="16"/>
      </w:rPr>
    </w:pPr>
    <w:r>
      <w:rPr>
        <w:rFonts w:hint="eastAsia" w:asciiTheme="minorEastAsia" w:hAnsiTheme="minorEastAsia" w:eastAsiaTheme="minorEastAsia" w:cstheme="minorEastAsia"/>
        <w:sz w:val="16"/>
        <w:szCs w:val="16"/>
        <w:lang w:eastAsia="zh-CN"/>
      </w:rPr>
      <w:t>吴堡县示范幼儿园新建教学楼配套设备采购项目（第一包）</w:t>
    </w:r>
    <w:r>
      <w:rPr>
        <w:sz w:val="16"/>
        <w:szCs w:val="16"/>
        <w:lang w:val="en-US"/>
      </w:rPr>
      <w:t xml:space="preserve"> </w:t>
    </w:r>
    <w:r>
      <w:rPr>
        <w:rFonts w:hint="eastAsia"/>
        <w:sz w:val="16"/>
        <w:szCs w:val="16"/>
        <w:lang w:val="en-US" w:eastAsia="zh-CN"/>
      </w:rPr>
      <w:t xml:space="preserve">     </w:t>
    </w:r>
    <w:r>
      <w:rPr>
        <w:sz w:val="16"/>
        <w:szCs w:val="16"/>
        <w:lang w:val="en-US"/>
      </w:rPr>
      <w:t xml:space="preserve">    </w:t>
    </w:r>
    <w:r>
      <w:rPr>
        <w:rFonts w:hint="eastAsia" w:ascii="Times New Roman" w:hAnsi="Times New Roman" w:eastAsia="宋体" w:cs="宋体"/>
        <w:sz w:val="16"/>
        <w:szCs w:val="16"/>
        <w:lang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7EB0C"/>
    <w:multiLevelType w:val="multilevel"/>
    <w:tmpl w:val="93D7EB0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6B7BF56"/>
    <w:multiLevelType w:val="singleLevel"/>
    <w:tmpl w:val="96B7BF56"/>
    <w:lvl w:ilvl="0" w:tentative="0">
      <w:start w:val="1"/>
      <w:numFmt w:val="decimal"/>
      <w:lvlText w:val="%1."/>
      <w:lvlJc w:val="left"/>
      <w:pPr>
        <w:tabs>
          <w:tab w:val="left" w:pos="312"/>
        </w:tabs>
      </w:pPr>
    </w:lvl>
  </w:abstractNum>
  <w:abstractNum w:abstractNumId="2">
    <w:nsid w:val="A23229A4"/>
    <w:multiLevelType w:val="singleLevel"/>
    <w:tmpl w:val="A23229A4"/>
    <w:lvl w:ilvl="0" w:tentative="0">
      <w:start w:val="4"/>
      <w:numFmt w:val="chineseCounting"/>
      <w:suff w:val="nothing"/>
      <w:lvlText w:val="%1、"/>
      <w:lvlJc w:val="left"/>
      <w:rPr>
        <w:rFonts w:hint="eastAsia"/>
      </w:rPr>
    </w:lvl>
  </w:abstractNum>
  <w:abstractNum w:abstractNumId="3">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C9368596"/>
    <w:multiLevelType w:val="singleLevel"/>
    <w:tmpl w:val="C9368596"/>
    <w:lvl w:ilvl="0" w:tentative="0">
      <w:start w:val="2"/>
      <w:numFmt w:val="decimal"/>
      <w:lvlText w:val="%1."/>
      <w:lvlJc w:val="left"/>
      <w:pPr>
        <w:tabs>
          <w:tab w:val="left" w:pos="312"/>
        </w:tabs>
      </w:pPr>
    </w:lvl>
  </w:abstractNum>
  <w:abstractNum w:abstractNumId="5">
    <w:nsid w:val="CB8888F3"/>
    <w:multiLevelType w:val="singleLevel"/>
    <w:tmpl w:val="CB8888F3"/>
    <w:lvl w:ilvl="0" w:tentative="0">
      <w:start w:val="1"/>
      <w:numFmt w:val="decimal"/>
      <w:suff w:val="nothing"/>
      <w:lvlText w:val="%1、"/>
      <w:lvlJc w:val="left"/>
    </w:lvl>
  </w:abstractNum>
  <w:abstractNum w:abstractNumId="6">
    <w:nsid w:val="D675522D"/>
    <w:multiLevelType w:val="singleLevel"/>
    <w:tmpl w:val="D675522D"/>
    <w:lvl w:ilvl="0" w:tentative="0">
      <w:start w:val="1"/>
      <w:numFmt w:val="decimal"/>
      <w:lvlText w:val="%1."/>
      <w:lvlJc w:val="left"/>
      <w:pPr>
        <w:tabs>
          <w:tab w:val="left" w:pos="312"/>
        </w:tabs>
      </w:pPr>
    </w:lvl>
  </w:abstractNum>
  <w:abstractNum w:abstractNumId="7">
    <w:nsid w:val="F7746A76"/>
    <w:multiLevelType w:val="multilevel"/>
    <w:tmpl w:val="F7746A7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FCCF468C"/>
    <w:multiLevelType w:val="singleLevel"/>
    <w:tmpl w:val="FCCF468C"/>
    <w:lvl w:ilvl="0" w:tentative="0">
      <w:start w:val="1"/>
      <w:numFmt w:val="decimal"/>
      <w:suff w:val="nothing"/>
      <w:lvlText w:val="（%1）"/>
      <w:lvlJc w:val="left"/>
    </w:lvl>
  </w:abstractNum>
  <w:abstractNum w:abstractNumId="10">
    <w:nsid w:val="16284FC7"/>
    <w:multiLevelType w:val="multilevel"/>
    <w:tmpl w:val="16284FC7"/>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204754C0"/>
    <w:multiLevelType w:val="singleLevel"/>
    <w:tmpl w:val="204754C0"/>
    <w:lvl w:ilvl="0" w:tentative="0">
      <w:start w:val="1"/>
      <w:numFmt w:val="decimal"/>
      <w:lvlText w:val="%1."/>
      <w:lvlJc w:val="left"/>
      <w:pPr>
        <w:tabs>
          <w:tab w:val="left" w:pos="312"/>
        </w:tabs>
      </w:pPr>
    </w:lvl>
  </w:abstractNum>
  <w:abstractNum w:abstractNumId="12">
    <w:nsid w:val="3A184615"/>
    <w:multiLevelType w:val="multilevel"/>
    <w:tmpl w:val="3A18461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3B93DBAE"/>
    <w:multiLevelType w:val="multilevel"/>
    <w:tmpl w:val="3B93DBAE"/>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43E6EBB2"/>
    <w:multiLevelType w:val="singleLevel"/>
    <w:tmpl w:val="43E6EBB2"/>
    <w:lvl w:ilvl="0" w:tentative="0">
      <w:start w:val="1"/>
      <w:numFmt w:val="decimal"/>
      <w:lvlText w:val="%1."/>
      <w:lvlJc w:val="left"/>
      <w:pPr>
        <w:tabs>
          <w:tab w:val="left" w:pos="312"/>
        </w:tabs>
      </w:pPr>
    </w:lvl>
  </w:abstractNum>
  <w:abstractNum w:abstractNumId="15">
    <w:nsid w:val="6620266F"/>
    <w:multiLevelType w:val="multilevel"/>
    <w:tmpl w:val="6620266F"/>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7">
    <w:nsid w:val="79FAD09C"/>
    <w:multiLevelType w:val="multilevel"/>
    <w:tmpl w:val="79FAD09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8"/>
  </w:num>
  <w:num w:numId="3">
    <w:abstractNumId w:val="6"/>
  </w:num>
  <w:num w:numId="4">
    <w:abstractNumId w:val="11"/>
  </w:num>
  <w:num w:numId="5">
    <w:abstractNumId w:val="14"/>
  </w:num>
  <w:num w:numId="6">
    <w:abstractNumId w:val="1"/>
  </w:num>
  <w:num w:numId="7">
    <w:abstractNumId w:val="4"/>
  </w:num>
  <w:num w:numId="8">
    <w:abstractNumId w:val="16"/>
  </w:num>
  <w:num w:numId="9">
    <w:abstractNumId w:val="2"/>
  </w:num>
  <w:num w:numId="10">
    <w:abstractNumId w:val="7"/>
  </w:num>
  <w:num w:numId="11">
    <w:abstractNumId w:val="0"/>
  </w:num>
  <w:num w:numId="12">
    <w:abstractNumId w:val="15"/>
  </w:num>
  <w:num w:numId="13">
    <w:abstractNumId w:val="17"/>
  </w:num>
  <w:num w:numId="14">
    <w:abstractNumId w:val="12"/>
  </w:num>
  <w:num w:numId="15">
    <w:abstractNumId w:val="10"/>
  </w:num>
  <w:num w:numId="16">
    <w:abstractNumId w:val="13"/>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hMTMxODY0N2IzM2IxMDQ4NDc0OWQ4ODAxOGUwNTMifQ=="/>
  </w:docVars>
  <w:rsids>
    <w:rsidRoot w:val="06F76B07"/>
    <w:rsid w:val="000160BB"/>
    <w:rsid w:val="00082AD5"/>
    <w:rsid w:val="00473B36"/>
    <w:rsid w:val="00513602"/>
    <w:rsid w:val="007F42B6"/>
    <w:rsid w:val="009A5346"/>
    <w:rsid w:val="00A01373"/>
    <w:rsid w:val="00DC32C3"/>
    <w:rsid w:val="00E13728"/>
    <w:rsid w:val="01023C3F"/>
    <w:rsid w:val="01130DD9"/>
    <w:rsid w:val="01353C51"/>
    <w:rsid w:val="01354A5B"/>
    <w:rsid w:val="01397AC9"/>
    <w:rsid w:val="01B13897"/>
    <w:rsid w:val="01BC7F43"/>
    <w:rsid w:val="01C122B3"/>
    <w:rsid w:val="01C534DA"/>
    <w:rsid w:val="01C72E31"/>
    <w:rsid w:val="01C93EA7"/>
    <w:rsid w:val="01D23465"/>
    <w:rsid w:val="01E65C94"/>
    <w:rsid w:val="02260060"/>
    <w:rsid w:val="02387489"/>
    <w:rsid w:val="02387878"/>
    <w:rsid w:val="023C0E23"/>
    <w:rsid w:val="02454C7D"/>
    <w:rsid w:val="026F7379"/>
    <w:rsid w:val="028D65CA"/>
    <w:rsid w:val="02A72872"/>
    <w:rsid w:val="030001B6"/>
    <w:rsid w:val="030D3E71"/>
    <w:rsid w:val="03176E8E"/>
    <w:rsid w:val="034A7907"/>
    <w:rsid w:val="03BE70CC"/>
    <w:rsid w:val="03E915CA"/>
    <w:rsid w:val="04373A2D"/>
    <w:rsid w:val="04515919"/>
    <w:rsid w:val="045F5627"/>
    <w:rsid w:val="04E53923"/>
    <w:rsid w:val="04EF6F2A"/>
    <w:rsid w:val="04F75660"/>
    <w:rsid w:val="04F94645"/>
    <w:rsid w:val="051078A5"/>
    <w:rsid w:val="053A314D"/>
    <w:rsid w:val="05501B14"/>
    <w:rsid w:val="05532F02"/>
    <w:rsid w:val="055454A2"/>
    <w:rsid w:val="057C4202"/>
    <w:rsid w:val="057D5E24"/>
    <w:rsid w:val="05BA44DC"/>
    <w:rsid w:val="05E16FCE"/>
    <w:rsid w:val="06252DE7"/>
    <w:rsid w:val="062D19D4"/>
    <w:rsid w:val="063E0C92"/>
    <w:rsid w:val="06471FDD"/>
    <w:rsid w:val="0648695B"/>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D94DAB"/>
    <w:rsid w:val="08382036"/>
    <w:rsid w:val="083B26D2"/>
    <w:rsid w:val="0854445C"/>
    <w:rsid w:val="086A1781"/>
    <w:rsid w:val="086B4430"/>
    <w:rsid w:val="08871646"/>
    <w:rsid w:val="088D00BA"/>
    <w:rsid w:val="088E280B"/>
    <w:rsid w:val="089D0C1E"/>
    <w:rsid w:val="08C87C63"/>
    <w:rsid w:val="08FB5115"/>
    <w:rsid w:val="0900585B"/>
    <w:rsid w:val="09360000"/>
    <w:rsid w:val="0938243F"/>
    <w:rsid w:val="093E4AC2"/>
    <w:rsid w:val="094248EB"/>
    <w:rsid w:val="09446A55"/>
    <w:rsid w:val="094E71DE"/>
    <w:rsid w:val="09537AC1"/>
    <w:rsid w:val="096F7B18"/>
    <w:rsid w:val="09767F7E"/>
    <w:rsid w:val="098506D2"/>
    <w:rsid w:val="09A266F1"/>
    <w:rsid w:val="0A2A1A8D"/>
    <w:rsid w:val="0A334D52"/>
    <w:rsid w:val="0A51613C"/>
    <w:rsid w:val="0A52200B"/>
    <w:rsid w:val="0A52276A"/>
    <w:rsid w:val="0A8725EA"/>
    <w:rsid w:val="0A975610"/>
    <w:rsid w:val="0A9C0822"/>
    <w:rsid w:val="0AD228A5"/>
    <w:rsid w:val="0B032F7A"/>
    <w:rsid w:val="0B260D05"/>
    <w:rsid w:val="0B285545"/>
    <w:rsid w:val="0B316BAE"/>
    <w:rsid w:val="0B371DA8"/>
    <w:rsid w:val="0B6C5F67"/>
    <w:rsid w:val="0B822CD9"/>
    <w:rsid w:val="0BA13F3D"/>
    <w:rsid w:val="0BB17CD0"/>
    <w:rsid w:val="0C056486"/>
    <w:rsid w:val="0C374530"/>
    <w:rsid w:val="0C4E1DF4"/>
    <w:rsid w:val="0C6D2724"/>
    <w:rsid w:val="0C9023CB"/>
    <w:rsid w:val="0CBD2EAF"/>
    <w:rsid w:val="0CE338B2"/>
    <w:rsid w:val="0CE52090"/>
    <w:rsid w:val="0D15134C"/>
    <w:rsid w:val="0D514931"/>
    <w:rsid w:val="0D583CB4"/>
    <w:rsid w:val="0D5B7D06"/>
    <w:rsid w:val="0D9445DF"/>
    <w:rsid w:val="0D9936EB"/>
    <w:rsid w:val="0DB05DDA"/>
    <w:rsid w:val="0DBA6D25"/>
    <w:rsid w:val="0DC452C4"/>
    <w:rsid w:val="0E1400F2"/>
    <w:rsid w:val="0E146D3F"/>
    <w:rsid w:val="0E1F1ECA"/>
    <w:rsid w:val="0E3D08A9"/>
    <w:rsid w:val="0E4D27E5"/>
    <w:rsid w:val="0E5F6701"/>
    <w:rsid w:val="0E9C2293"/>
    <w:rsid w:val="0EB15D4E"/>
    <w:rsid w:val="0ECF38E3"/>
    <w:rsid w:val="0F124658"/>
    <w:rsid w:val="0F292D0A"/>
    <w:rsid w:val="0F4A24F4"/>
    <w:rsid w:val="0F4C5FD1"/>
    <w:rsid w:val="0F787A37"/>
    <w:rsid w:val="0F7F2AD0"/>
    <w:rsid w:val="0F832BA3"/>
    <w:rsid w:val="0F8710A3"/>
    <w:rsid w:val="0FA61B22"/>
    <w:rsid w:val="0FA91612"/>
    <w:rsid w:val="0FCC4100"/>
    <w:rsid w:val="0FE76B01"/>
    <w:rsid w:val="0FEC66BF"/>
    <w:rsid w:val="0FF224B0"/>
    <w:rsid w:val="102B2027"/>
    <w:rsid w:val="1045253A"/>
    <w:rsid w:val="104C1BB6"/>
    <w:rsid w:val="105B7D27"/>
    <w:rsid w:val="10633FBA"/>
    <w:rsid w:val="10764CBD"/>
    <w:rsid w:val="10A0266D"/>
    <w:rsid w:val="10E03340"/>
    <w:rsid w:val="10EB574A"/>
    <w:rsid w:val="10ED631E"/>
    <w:rsid w:val="110A1935"/>
    <w:rsid w:val="113A5997"/>
    <w:rsid w:val="114264E0"/>
    <w:rsid w:val="11466290"/>
    <w:rsid w:val="11481DFE"/>
    <w:rsid w:val="1166119E"/>
    <w:rsid w:val="118C4D8E"/>
    <w:rsid w:val="11A162F3"/>
    <w:rsid w:val="11B733D4"/>
    <w:rsid w:val="11E45119"/>
    <w:rsid w:val="11E60AC7"/>
    <w:rsid w:val="11ED59DC"/>
    <w:rsid w:val="122E18FE"/>
    <w:rsid w:val="123762E9"/>
    <w:rsid w:val="125B680B"/>
    <w:rsid w:val="1295057F"/>
    <w:rsid w:val="12CB5CF6"/>
    <w:rsid w:val="12E30515"/>
    <w:rsid w:val="12E86FDC"/>
    <w:rsid w:val="12F31899"/>
    <w:rsid w:val="1310511A"/>
    <w:rsid w:val="13320C6A"/>
    <w:rsid w:val="13460210"/>
    <w:rsid w:val="134803F5"/>
    <w:rsid w:val="13501F14"/>
    <w:rsid w:val="13954387"/>
    <w:rsid w:val="13A7323E"/>
    <w:rsid w:val="13A834C2"/>
    <w:rsid w:val="13AC48F3"/>
    <w:rsid w:val="13DA79CD"/>
    <w:rsid w:val="144346DD"/>
    <w:rsid w:val="14C52A4A"/>
    <w:rsid w:val="14C56D75"/>
    <w:rsid w:val="14C63907"/>
    <w:rsid w:val="14C76E04"/>
    <w:rsid w:val="14DB6BEC"/>
    <w:rsid w:val="14F84B6E"/>
    <w:rsid w:val="14FB5CC3"/>
    <w:rsid w:val="150B5245"/>
    <w:rsid w:val="155319C7"/>
    <w:rsid w:val="158D1FE0"/>
    <w:rsid w:val="159C7C87"/>
    <w:rsid w:val="15BB209F"/>
    <w:rsid w:val="15C778FD"/>
    <w:rsid w:val="15E61397"/>
    <w:rsid w:val="16234FB5"/>
    <w:rsid w:val="16286E51"/>
    <w:rsid w:val="16303CF4"/>
    <w:rsid w:val="16495E30"/>
    <w:rsid w:val="1665541F"/>
    <w:rsid w:val="168D4EAB"/>
    <w:rsid w:val="168D5359"/>
    <w:rsid w:val="168E0C4D"/>
    <w:rsid w:val="16AE750E"/>
    <w:rsid w:val="170D397B"/>
    <w:rsid w:val="17607EAE"/>
    <w:rsid w:val="177A696C"/>
    <w:rsid w:val="17823DFB"/>
    <w:rsid w:val="17872F24"/>
    <w:rsid w:val="17AA053A"/>
    <w:rsid w:val="17AE7FF0"/>
    <w:rsid w:val="18284119"/>
    <w:rsid w:val="18442708"/>
    <w:rsid w:val="187736E7"/>
    <w:rsid w:val="18806EE8"/>
    <w:rsid w:val="18AE5980"/>
    <w:rsid w:val="18BA6EEC"/>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2B1D25"/>
    <w:rsid w:val="1A61565B"/>
    <w:rsid w:val="1A8916F8"/>
    <w:rsid w:val="1B4A5BEB"/>
    <w:rsid w:val="1B5F2FF2"/>
    <w:rsid w:val="1B813CE3"/>
    <w:rsid w:val="1BD16179"/>
    <w:rsid w:val="1BDF7F24"/>
    <w:rsid w:val="1BF744DD"/>
    <w:rsid w:val="1C1E3397"/>
    <w:rsid w:val="1C235869"/>
    <w:rsid w:val="1C3C0FBC"/>
    <w:rsid w:val="1C485D0F"/>
    <w:rsid w:val="1C5D2B15"/>
    <w:rsid w:val="1C821F9B"/>
    <w:rsid w:val="1C8E727E"/>
    <w:rsid w:val="1CD41D4B"/>
    <w:rsid w:val="1D14528C"/>
    <w:rsid w:val="1D1B6C37"/>
    <w:rsid w:val="1D3C1168"/>
    <w:rsid w:val="1D4364FB"/>
    <w:rsid w:val="1D4C0B25"/>
    <w:rsid w:val="1D77338B"/>
    <w:rsid w:val="1DD52BD7"/>
    <w:rsid w:val="1DF649F2"/>
    <w:rsid w:val="1E2D340E"/>
    <w:rsid w:val="1E3807EA"/>
    <w:rsid w:val="1E390005"/>
    <w:rsid w:val="1E4246A2"/>
    <w:rsid w:val="1E8236E3"/>
    <w:rsid w:val="1E915978"/>
    <w:rsid w:val="1EBF4E9D"/>
    <w:rsid w:val="1EF139BF"/>
    <w:rsid w:val="1F186E7B"/>
    <w:rsid w:val="1F51379E"/>
    <w:rsid w:val="1FBB4D44"/>
    <w:rsid w:val="1FC44610"/>
    <w:rsid w:val="206014D0"/>
    <w:rsid w:val="2072139F"/>
    <w:rsid w:val="209052D6"/>
    <w:rsid w:val="210A1607"/>
    <w:rsid w:val="212F5ACC"/>
    <w:rsid w:val="214A5276"/>
    <w:rsid w:val="215A77D0"/>
    <w:rsid w:val="21A01459"/>
    <w:rsid w:val="21A4319A"/>
    <w:rsid w:val="21A96DF8"/>
    <w:rsid w:val="21E81D45"/>
    <w:rsid w:val="220C42C0"/>
    <w:rsid w:val="221303F1"/>
    <w:rsid w:val="22315C8A"/>
    <w:rsid w:val="228E5679"/>
    <w:rsid w:val="22A440AE"/>
    <w:rsid w:val="22B8599C"/>
    <w:rsid w:val="22D67A67"/>
    <w:rsid w:val="22EC39DC"/>
    <w:rsid w:val="22FB4B0E"/>
    <w:rsid w:val="231A7C31"/>
    <w:rsid w:val="23302C85"/>
    <w:rsid w:val="233874C4"/>
    <w:rsid w:val="23590E67"/>
    <w:rsid w:val="236E7ECB"/>
    <w:rsid w:val="238E5203"/>
    <w:rsid w:val="23936BEF"/>
    <w:rsid w:val="239C052D"/>
    <w:rsid w:val="23DA2096"/>
    <w:rsid w:val="23EF2B55"/>
    <w:rsid w:val="24202495"/>
    <w:rsid w:val="244642F4"/>
    <w:rsid w:val="244C7AE8"/>
    <w:rsid w:val="24663AF3"/>
    <w:rsid w:val="24B80369"/>
    <w:rsid w:val="24BD6755"/>
    <w:rsid w:val="24D3267A"/>
    <w:rsid w:val="24EC2DE2"/>
    <w:rsid w:val="24EF16C8"/>
    <w:rsid w:val="251C15A0"/>
    <w:rsid w:val="2538060A"/>
    <w:rsid w:val="255049E9"/>
    <w:rsid w:val="25695D11"/>
    <w:rsid w:val="25832D5F"/>
    <w:rsid w:val="25A9092C"/>
    <w:rsid w:val="25C10947"/>
    <w:rsid w:val="25CD2E47"/>
    <w:rsid w:val="25E405A7"/>
    <w:rsid w:val="25E70938"/>
    <w:rsid w:val="25F235F6"/>
    <w:rsid w:val="25F63357"/>
    <w:rsid w:val="26270EA7"/>
    <w:rsid w:val="263A7C87"/>
    <w:rsid w:val="265B49AF"/>
    <w:rsid w:val="265B73F6"/>
    <w:rsid w:val="266D3D7B"/>
    <w:rsid w:val="26733A4A"/>
    <w:rsid w:val="268B3730"/>
    <w:rsid w:val="26D030F2"/>
    <w:rsid w:val="26F1504B"/>
    <w:rsid w:val="26FE34A7"/>
    <w:rsid w:val="270D3E42"/>
    <w:rsid w:val="273C0695"/>
    <w:rsid w:val="2743733D"/>
    <w:rsid w:val="27512752"/>
    <w:rsid w:val="27597755"/>
    <w:rsid w:val="27AD58FE"/>
    <w:rsid w:val="28086522"/>
    <w:rsid w:val="28201B5A"/>
    <w:rsid w:val="28477E5B"/>
    <w:rsid w:val="286C2943"/>
    <w:rsid w:val="288E468B"/>
    <w:rsid w:val="28AA258A"/>
    <w:rsid w:val="28B21F66"/>
    <w:rsid w:val="28B86472"/>
    <w:rsid w:val="28E5772A"/>
    <w:rsid w:val="28F759D8"/>
    <w:rsid w:val="29201250"/>
    <w:rsid w:val="29246737"/>
    <w:rsid w:val="292B0F13"/>
    <w:rsid w:val="294276AE"/>
    <w:rsid w:val="295F4B75"/>
    <w:rsid w:val="297A1D01"/>
    <w:rsid w:val="29B45ADC"/>
    <w:rsid w:val="29B64A62"/>
    <w:rsid w:val="29E0319F"/>
    <w:rsid w:val="29F119A3"/>
    <w:rsid w:val="29F45BED"/>
    <w:rsid w:val="29FA2D3E"/>
    <w:rsid w:val="2A073EDF"/>
    <w:rsid w:val="2A350251"/>
    <w:rsid w:val="2A3A13DC"/>
    <w:rsid w:val="2A4F146D"/>
    <w:rsid w:val="2A73664D"/>
    <w:rsid w:val="2A7A1912"/>
    <w:rsid w:val="2A9C1ABD"/>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903FAA"/>
    <w:rsid w:val="2D14090B"/>
    <w:rsid w:val="2D1830F5"/>
    <w:rsid w:val="2D381E56"/>
    <w:rsid w:val="2D3C3D8C"/>
    <w:rsid w:val="2D3F31C7"/>
    <w:rsid w:val="2D8504EE"/>
    <w:rsid w:val="2D913BF2"/>
    <w:rsid w:val="2D9708A4"/>
    <w:rsid w:val="2DF40F2E"/>
    <w:rsid w:val="2E053670"/>
    <w:rsid w:val="2E25007F"/>
    <w:rsid w:val="2E3B7B20"/>
    <w:rsid w:val="2E48547A"/>
    <w:rsid w:val="2E531E30"/>
    <w:rsid w:val="2E593C1D"/>
    <w:rsid w:val="2E5C3496"/>
    <w:rsid w:val="2E6365F4"/>
    <w:rsid w:val="2E6739DE"/>
    <w:rsid w:val="2E70421E"/>
    <w:rsid w:val="2E92399B"/>
    <w:rsid w:val="2EAD05C3"/>
    <w:rsid w:val="2EB30160"/>
    <w:rsid w:val="2ECA5381"/>
    <w:rsid w:val="2EE27E18"/>
    <w:rsid w:val="2EED6577"/>
    <w:rsid w:val="2F067A90"/>
    <w:rsid w:val="2F1403FE"/>
    <w:rsid w:val="2F15140A"/>
    <w:rsid w:val="2F154177"/>
    <w:rsid w:val="2F186566"/>
    <w:rsid w:val="2F1F7E8A"/>
    <w:rsid w:val="2F4A7069"/>
    <w:rsid w:val="2F582EA6"/>
    <w:rsid w:val="2F685A83"/>
    <w:rsid w:val="2F7F33CF"/>
    <w:rsid w:val="2F8C18B2"/>
    <w:rsid w:val="2FB97CAC"/>
    <w:rsid w:val="2FBD7C88"/>
    <w:rsid w:val="2FC67351"/>
    <w:rsid w:val="30023A6C"/>
    <w:rsid w:val="300C557A"/>
    <w:rsid w:val="30270F39"/>
    <w:rsid w:val="302717BC"/>
    <w:rsid w:val="30312848"/>
    <w:rsid w:val="303771E3"/>
    <w:rsid w:val="30807F4D"/>
    <w:rsid w:val="309A4AB3"/>
    <w:rsid w:val="30A00E7F"/>
    <w:rsid w:val="31057689"/>
    <w:rsid w:val="31127C97"/>
    <w:rsid w:val="31191C5C"/>
    <w:rsid w:val="3137014A"/>
    <w:rsid w:val="314F6F1E"/>
    <w:rsid w:val="315F08BD"/>
    <w:rsid w:val="316F12BB"/>
    <w:rsid w:val="3174044B"/>
    <w:rsid w:val="31A4782A"/>
    <w:rsid w:val="31C47EC9"/>
    <w:rsid w:val="31CA5828"/>
    <w:rsid w:val="31DE597E"/>
    <w:rsid w:val="31F6028F"/>
    <w:rsid w:val="3212752E"/>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30C697F"/>
    <w:rsid w:val="331724CB"/>
    <w:rsid w:val="331A35FB"/>
    <w:rsid w:val="33423060"/>
    <w:rsid w:val="33604EFD"/>
    <w:rsid w:val="33612234"/>
    <w:rsid w:val="33730424"/>
    <w:rsid w:val="338E558A"/>
    <w:rsid w:val="33A510F0"/>
    <w:rsid w:val="33B720D8"/>
    <w:rsid w:val="33CC43C1"/>
    <w:rsid w:val="33E06482"/>
    <w:rsid w:val="3408637D"/>
    <w:rsid w:val="34183C0D"/>
    <w:rsid w:val="343519BB"/>
    <w:rsid w:val="344A56EE"/>
    <w:rsid w:val="34584EF5"/>
    <w:rsid w:val="34682D50"/>
    <w:rsid w:val="34AE5356"/>
    <w:rsid w:val="34FC254E"/>
    <w:rsid w:val="351F7AFD"/>
    <w:rsid w:val="352E10E4"/>
    <w:rsid w:val="35366CC3"/>
    <w:rsid w:val="357B2D23"/>
    <w:rsid w:val="359A79FA"/>
    <w:rsid w:val="359D7054"/>
    <w:rsid w:val="35A72867"/>
    <w:rsid w:val="35A95619"/>
    <w:rsid w:val="35B93AAE"/>
    <w:rsid w:val="35C47D04"/>
    <w:rsid w:val="35E32A9E"/>
    <w:rsid w:val="35E334B3"/>
    <w:rsid w:val="35E92F8F"/>
    <w:rsid w:val="35FD18CE"/>
    <w:rsid w:val="36226519"/>
    <w:rsid w:val="362C557E"/>
    <w:rsid w:val="36332CBE"/>
    <w:rsid w:val="369C715E"/>
    <w:rsid w:val="36A35310"/>
    <w:rsid w:val="36AB0D0D"/>
    <w:rsid w:val="36D87E01"/>
    <w:rsid w:val="36F01AF3"/>
    <w:rsid w:val="37002ADB"/>
    <w:rsid w:val="370C33EA"/>
    <w:rsid w:val="374E4C27"/>
    <w:rsid w:val="376B7B03"/>
    <w:rsid w:val="376C3964"/>
    <w:rsid w:val="37F01B4E"/>
    <w:rsid w:val="38185646"/>
    <w:rsid w:val="384113D5"/>
    <w:rsid w:val="38AD70BF"/>
    <w:rsid w:val="38D73F9D"/>
    <w:rsid w:val="39181266"/>
    <w:rsid w:val="393B03E6"/>
    <w:rsid w:val="39451B46"/>
    <w:rsid w:val="39465071"/>
    <w:rsid w:val="395F4958"/>
    <w:rsid w:val="3992391D"/>
    <w:rsid w:val="39A4062F"/>
    <w:rsid w:val="39B44A3F"/>
    <w:rsid w:val="39B44C5B"/>
    <w:rsid w:val="39D72B6B"/>
    <w:rsid w:val="39D73D56"/>
    <w:rsid w:val="39EF4143"/>
    <w:rsid w:val="3A133BC7"/>
    <w:rsid w:val="3A2845C2"/>
    <w:rsid w:val="3A3A42B6"/>
    <w:rsid w:val="3A64321D"/>
    <w:rsid w:val="3A9F1584"/>
    <w:rsid w:val="3AAA72F0"/>
    <w:rsid w:val="3B1C30B8"/>
    <w:rsid w:val="3B2164F3"/>
    <w:rsid w:val="3B387E25"/>
    <w:rsid w:val="3B466C06"/>
    <w:rsid w:val="3B4F5519"/>
    <w:rsid w:val="3B8049EB"/>
    <w:rsid w:val="3BB8035A"/>
    <w:rsid w:val="3C0C5370"/>
    <w:rsid w:val="3C2252DA"/>
    <w:rsid w:val="3C2812D4"/>
    <w:rsid w:val="3C5F78FE"/>
    <w:rsid w:val="3C600ACC"/>
    <w:rsid w:val="3CD45E5D"/>
    <w:rsid w:val="3CFD1F9B"/>
    <w:rsid w:val="3D20075D"/>
    <w:rsid w:val="3D2E6AC3"/>
    <w:rsid w:val="3D523E11"/>
    <w:rsid w:val="3D624DEA"/>
    <w:rsid w:val="3D6446F4"/>
    <w:rsid w:val="3D750DD7"/>
    <w:rsid w:val="3D7624EE"/>
    <w:rsid w:val="3DD569AF"/>
    <w:rsid w:val="3E063C29"/>
    <w:rsid w:val="3E5C147A"/>
    <w:rsid w:val="3E846873"/>
    <w:rsid w:val="3E9F1D36"/>
    <w:rsid w:val="3EBC5E8D"/>
    <w:rsid w:val="3EC43826"/>
    <w:rsid w:val="3EE6117B"/>
    <w:rsid w:val="3F0B38F6"/>
    <w:rsid w:val="3F3729A9"/>
    <w:rsid w:val="3F4A355D"/>
    <w:rsid w:val="3F591E5E"/>
    <w:rsid w:val="3F6479F8"/>
    <w:rsid w:val="3F761B38"/>
    <w:rsid w:val="3FCF6692"/>
    <w:rsid w:val="3FF108AC"/>
    <w:rsid w:val="3FF74946"/>
    <w:rsid w:val="40206A40"/>
    <w:rsid w:val="40234180"/>
    <w:rsid w:val="40300BDB"/>
    <w:rsid w:val="40346DEF"/>
    <w:rsid w:val="40730E62"/>
    <w:rsid w:val="40DF685E"/>
    <w:rsid w:val="41175A0C"/>
    <w:rsid w:val="416931E0"/>
    <w:rsid w:val="417B60BB"/>
    <w:rsid w:val="41D06F7C"/>
    <w:rsid w:val="41EA3241"/>
    <w:rsid w:val="41F23AE0"/>
    <w:rsid w:val="420750AB"/>
    <w:rsid w:val="422159F4"/>
    <w:rsid w:val="423C516E"/>
    <w:rsid w:val="42561A3B"/>
    <w:rsid w:val="42D014F6"/>
    <w:rsid w:val="42E83C24"/>
    <w:rsid w:val="42F94298"/>
    <w:rsid w:val="4315067F"/>
    <w:rsid w:val="43210FB9"/>
    <w:rsid w:val="43355A10"/>
    <w:rsid w:val="435B78E1"/>
    <w:rsid w:val="436B6E27"/>
    <w:rsid w:val="43730A6C"/>
    <w:rsid w:val="43785B5D"/>
    <w:rsid w:val="43B81849"/>
    <w:rsid w:val="43E55316"/>
    <w:rsid w:val="441E379C"/>
    <w:rsid w:val="44333E53"/>
    <w:rsid w:val="44360178"/>
    <w:rsid w:val="4446365C"/>
    <w:rsid w:val="444E14B1"/>
    <w:rsid w:val="445A0E2C"/>
    <w:rsid w:val="446854CF"/>
    <w:rsid w:val="448507C2"/>
    <w:rsid w:val="44AE27F5"/>
    <w:rsid w:val="44CF1C5F"/>
    <w:rsid w:val="44D93343"/>
    <w:rsid w:val="44D96D9F"/>
    <w:rsid w:val="44D96F51"/>
    <w:rsid w:val="44FD25EB"/>
    <w:rsid w:val="450A3F83"/>
    <w:rsid w:val="459F57ED"/>
    <w:rsid w:val="45C71DC4"/>
    <w:rsid w:val="45E13D20"/>
    <w:rsid w:val="46241606"/>
    <w:rsid w:val="462A6FD7"/>
    <w:rsid w:val="463C1A32"/>
    <w:rsid w:val="465B14C7"/>
    <w:rsid w:val="46AE709D"/>
    <w:rsid w:val="46C84AB5"/>
    <w:rsid w:val="46D47A94"/>
    <w:rsid w:val="46F37795"/>
    <w:rsid w:val="47005468"/>
    <w:rsid w:val="47022019"/>
    <w:rsid w:val="470A22C4"/>
    <w:rsid w:val="470D6BB6"/>
    <w:rsid w:val="47907B00"/>
    <w:rsid w:val="47946C27"/>
    <w:rsid w:val="47A4322B"/>
    <w:rsid w:val="47B71D8E"/>
    <w:rsid w:val="47C85DF0"/>
    <w:rsid w:val="47E621F6"/>
    <w:rsid w:val="47EA6B28"/>
    <w:rsid w:val="484C2EAF"/>
    <w:rsid w:val="48551B8D"/>
    <w:rsid w:val="48C95952"/>
    <w:rsid w:val="48D51B07"/>
    <w:rsid w:val="48F25A1F"/>
    <w:rsid w:val="490223F4"/>
    <w:rsid w:val="492642A4"/>
    <w:rsid w:val="492F38B1"/>
    <w:rsid w:val="49305382"/>
    <w:rsid w:val="49682BDC"/>
    <w:rsid w:val="498935F3"/>
    <w:rsid w:val="499E2E98"/>
    <w:rsid w:val="49B70DD0"/>
    <w:rsid w:val="49D65863"/>
    <w:rsid w:val="49D95B72"/>
    <w:rsid w:val="4A260AC3"/>
    <w:rsid w:val="4A6D04CB"/>
    <w:rsid w:val="4A7D6D2B"/>
    <w:rsid w:val="4A9F6AC6"/>
    <w:rsid w:val="4AAF5379"/>
    <w:rsid w:val="4AB20711"/>
    <w:rsid w:val="4AB30630"/>
    <w:rsid w:val="4ABC3B3D"/>
    <w:rsid w:val="4AC61FB2"/>
    <w:rsid w:val="4ADC12C4"/>
    <w:rsid w:val="4AED31B2"/>
    <w:rsid w:val="4AF92BAB"/>
    <w:rsid w:val="4AFA341E"/>
    <w:rsid w:val="4AFE076D"/>
    <w:rsid w:val="4B08477A"/>
    <w:rsid w:val="4B1647CA"/>
    <w:rsid w:val="4B42542F"/>
    <w:rsid w:val="4B5B6911"/>
    <w:rsid w:val="4B5B6C93"/>
    <w:rsid w:val="4B5E6EB7"/>
    <w:rsid w:val="4B772D15"/>
    <w:rsid w:val="4B937618"/>
    <w:rsid w:val="4B9F2AEC"/>
    <w:rsid w:val="4BB77228"/>
    <w:rsid w:val="4BBB1F7D"/>
    <w:rsid w:val="4BCE2419"/>
    <w:rsid w:val="4BD76D82"/>
    <w:rsid w:val="4C0E3A74"/>
    <w:rsid w:val="4C176A3C"/>
    <w:rsid w:val="4C25659C"/>
    <w:rsid w:val="4C26121A"/>
    <w:rsid w:val="4C5A1175"/>
    <w:rsid w:val="4C9273CC"/>
    <w:rsid w:val="4C9524B3"/>
    <w:rsid w:val="4CA37CC7"/>
    <w:rsid w:val="4CBD3A2C"/>
    <w:rsid w:val="4CDF57E7"/>
    <w:rsid w:val="4CF72244"/>
    <w:rsid w:val="4CFD2E60"/>
    <w:rsid w:val="4D043409"/>
    <w:rsid w:val="4D2E33DE"/>
    <w:rsid w:val="4D527B6E"/>
    <w:rsid w:val="4D8D034C"/>
    <w:rsid w:val="4DB45CED"/>
    <w:rsid w:val="4DBB547E"/>
    <w:rsid w:val="4DBE522F"/>
    <w:rsid w:val="4DFE10C7"/>
    <w:rsid w:val="4E2B15BE"/>
    <w:rsid w:val="4E544A97"/>
    <w:rsid w:val="4E6C4E2C"/>
    <w:rsid w:val="4E7A5A79"/>
    <w:rsid w:val="4E8518A6"/>
    <w:rsid w:val="4EAC4100"/>
    <w:rsid w:val="4EAF66A3"/>
    <w:rsid w:val="4EC022F3"/>
    <w:rsid w:val="4EC949D0"/>
    <w:rsid w:val="4F563CC4"/>
    <w:rsid w:val="4F9C7485"/>
    <w:rsid w:val="4FA256A2"/>
    <w:rsid w:val="4FAC0B34"/>
    <w:rsid w:val="4FAD2457"/>
    <w:rsid w:val="5026062F"/>
    <w:rsid w:val="50271585"/>
    <w:rsid w:val="502A7D6A"/>
    <w:rsid w:val="50494177"/>
    <w:rsid w:val="50543386"/>
    <w:rsid w:val="50B84671"/>
    <w:rsid w:val="50BC2794"/>
    <w:rsid w:val="51095010"/>
    <w:rsid w:val="510A1DD0"/>
    <w:rsid w:val="5137571D"/>
    <w:rsid w:val="514125AA"/>
    <w:rsid w:val="51771523"/>
    <w:rsid w:val="517C3F4C"/>
    <w:rsid w:val="51A034BB"/>
    <w:rsid w:val="51A5035D"/>
    <w:rsid w:val="51CB3167"/>
    <w:rsid w:val="51FB1357"/>
    <w:rsid w:val="520742EE"/>
    <w:rsid w:val="5208295C"/>
    <w:rsid w:val="52126D0B"/>
    <w:rsid w:val="522F010A"/>
    <w:rsid w:val="52457FDD"/>
    <w:rsid w:val="52566FC8"/>
    <w:rsid w:val="528B6B38"/>
    <w:rsid w:val="52AB4F35"/>
    <w:rsid w:val="52AC59BD"/>
    <w:rsid w:val="52B15DE1"/>
    <w:rsid w:val="52C047E2"/>
    <w:rsid w:val="52D4194D"/>
    <w:rsid w:val="52E66EDD"/>
    <w:rsid w:val="52EA5AFB"/>
    <w:rsid w:val="52F50359"/>
    <w:rsid w:val="5324028B"/>
    <w:rsid w:val="532E2102"/>
    <w:rsid w:val="53B70F60"/>
    <w:rsid w:val="53C74CB2"/>
    <w:rsid w:val="53C84FEA"/>
    <w:rsid w:val="53CB682D"/>
    <w:rsid w:val="53CC2896"/>
    <w:rsid w:val="53D2607C"/>
    <w:rsid w:val="540F594B"/>
    <w:rsid w:val="5417761E"/>
    <w:rsid w:val="541B4D33"/>
    <w:rsid w:val="542A56E0"/>
    <w:rsid w:val="54513446"/>
    <w:rsid w:val="547B1990"/>
    <w:rsid w:val="54930E5E"/>
    <w:rsid w:val="549372A3"/>
    <w:rsid w:val="54ED50CA"/>
    <w:rsid w:val="54F53509"/>
    <w:rsid w:val="55644424"/>
    <w:rsid w:val="556A0DAD"/>
    <w:rsid w:val="558B1119"/>
    <w:rsid w:val="55B1273F"/>
    <w:rsid w:val="55D86233"/>
    <w:rsid w:val="55D875CD"/>
    <w:rsid w:val="5620047D"/>
    <w:rsid w:val="563C1A26"/>
    <w:rsid w:val="566759A8"/>
    <w:rsid w:val="5672180B"/>
    <w:rsid w:val="56C52544"/>
    <w:rsid w:val="56DC53F6"/>
    <w:rsid w:val="56E91D40"/>
    <w:rsid w:val="5708081B"/>
    <w:rsid w:val="570F757A"/>
    <w:rsid w:val="57136ED0"/>
    <w:rsid w:val="57350233"/>
    <w:rsid w:val="57A128E7"/>
    <w:rsid w:val="57D41A04"/>
    <w:rsid w:val="57D967B1"/>
    <w:rsid w:val="587750CD"/>
    <w:rsid w:val="589F21E3"/>
    <w:rsid w:val="58B366ED"/>
    <w:rsid w:val="58D67985"/>
    <w:rsid w:val="58F822B0"/>
    <w:rsid w:val="59061B38"/>
    <w:rsid w:val="592C3420"/>
    <w:rsid w:val="596E46F6"/>
    <w:rsid w:val="597748A1"/>
    <w:rsid w:val="59920782"/>
    <w:rsid w:val="599267F8"/>
    <w:rsid w:val="59A646EC"/>
    <w:rsid w:val="59C71103"/>
    <w:rsid w:val="59E576D9"/>
    <w:rsid w:val="5A0507DE"/>
    <w:rsid w:val="5A0C7DA1"/>
    <w:rsid w:val="5A0F44EC"/>
    <w:rsid w:val="5A2167AD"/>
    <w:rsid w:val="5A402D97"/>
    <w:rsid w:val="5A461504"/>
    <w:rsid w:val="5A6530B7"/>
    <w:rsid w:val="5A7B2EED"/>
    <w:rsid w:val="5A8663D4"/>
    <w:rsid w:val="5A95145E"/>
    <w:rsid w:val="5B2829B8"/>
    <w:rsid w:val="5B3C2FA1"/>
    <w:rsid w:val="5B412D4F"/>
    <w:rsid w:val="5B432D9F"/>
    <w:rsid w:val="5B5234C0"/>
    <w:rsid w:val="5B591BF8"/>
    <w:rsid w:val="5B5C03D0"/>
    <w:rsid w:val="5B6208DC"/>
    <w:rsid w:val="5B7174C4"/>
    <w:rsid w:val="5B7E329A"/>
    <w:rsid w:val="5B83666A"/>
    <w:rsid w:val="5BC459C9"/>
    <w:rsid w:val="5C0C6D7C"/>
    <w:rsid w:val="5C0E6185"/>
    <w:rsid w:val="5C0F56AC"/>
    <w:rsid w:val="5C1D78C2"/>
    <w:rsid w:val="5C456C89"/>
    <w:rsid w:val="5C531CB7"/>
    <w:rsid w:val="5C6A4C8E"/>
    <w:rsid w:val="5C6E5AFF"/>
    <w:rsid w:val="5CAC4500"/>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BC4591"/>
    <w:rsid w:val="5FCB73DD"/>
    <w:rsid w:val="60614D9A"/>
    <w:rsid w:val="6078190D"/>
    <w:rsid w:val="60813049"/>
    <w:rsid w:val="60A94D38"/>
    <w:rsid w:val="60C00DBA"/>
    <w:rsid w:val="610E51FB"/>
    <w:rsid w:val="612A7153"/>
    <w:rsid w:val="61816D2F"/>
    <w:rsid w:val="619A3D3C"/>
    <w:rsid w:val="61AD00BB"/>
    <w:rsid w:val="61BE33A2"/>
    <w:rsid w:val="62455A6E"/>
    <w:rsid w:val="6277158B"/>
    <w:rsid w:val="627810BB"/>
    <w:rsid w:val="62AA1522"/>
    <w:rsid w:val="62C01DA4"/>
    <w:rsid w:val="62DB1DE7"/>
    <w:rsid w:val="62EC1289"/>
    <w:rsid w:val="62FE7B77"/>
    <w:rsid w:val="631F058B"/>
    <w:rsid w:val="632B0897"/>
    <w:rsid w:val="63462B29"/>
    <w:rsid w:val="63513D11"/>
    <w:rsid w:val="63980A1E"/>
    <w:rsid w:val="639C1D04"/>
    <w:rsid w:val="63B7752C"/>
    <w:rsid w:val="63D44ECC"/>
    <w:rsid w:val="63DA3F84"/>
    <w:rsid w:val="64184E28"/>
    <w:rsid w:val="64280A6D"/>
    <w:rsid w:val="64325FA2"/>
    <w:rsid w:val="64384579"/>
    <w:rsid w:val="643C1416"/>
    <w:rsid w:val="64A32EF8"/>
    <w:rsid w:val="64A44CC6"/>
    <w:rsid w:val="64B65416"/>
    <w:rsid w:val="64CB2E31"/>
    <w:rsid w:val="64FF3C60"/>
    <w:rsid w:val="65321B70"/>
    <w:rsid w:val="655206FC"/>
    <w:rsid w:val="6555207A"/>
    <w:rsid w:val="65590406"/>
    <w:rsid w:val="65605EBF"/>
    <w:rsid w:val="658C2D2C"/>
    <w:rsid w:val="658D122B"/>
    <w:rsid w:val="6593161C"/>
    <w:rsid w:val="65AC48D3"/>
    <w:rsid w:val="660C1D8F"/>
    <w:rsid w:val="662C5DC5"/>
    <w:rsid w:val="66590FAB"/>
    <w:rsid w:val="665F2148"/>
    <w:rsid w:val="66631AE6"/>
    <w:rsid w:val="668A5881"/>
    <w:rsid w:val="66CB2DE7"/>
    <w:rsid w:val="66CE1CB7"/>
    <w:rsid w:val="66DD720D"/>
    <w:rsid w:val="66F30313"/>
    <w:rsid w:val="671204CC"/>
    <w:rsid w:val="67196210"/>
    <w:rsid w:val="671B19CC"/>
    <w:rsid w:val="672E572D"/>
    <w:rsid w:val="674F3A9F"/>
    <w:rsid w:val="6771634D"/>
    <w:rsid w:val="67AD274B"/>
    <w:rsid w:val="67D70067"/>
    <w:rsid w:val="67E31D9E"/>
    <w:rsid w:val="67F12F04"/>
    <w:rsid w:val="680622D3"/>
    <w:rsid w:val="682E5934"/>
    <w:rsid w:val="683E723F"/>
    <w:rsid w:val="685B5F60"/>
    <w:rsid w:val="68650D0D"/>
    <w:rsid w:val="687229B7"/>
    <w:rsid w:val="689B5ADF"/>
    <w:rsid w:val="68A31D7C"/>
    <w:rsid w:val="69041D27"/>
    <w:rsid w:val="691632C2"/>
    <w:rsid w:val="691B1A18"/>
    <w:rsid w:val="695C3D4C"/>
    <w:rsid w:val="696032D0"/>
    <w:rsid w:val="69711EC7"/>
    <w:rsid w:val="697F1113"/>
    <w:rsid w:val="698E07D2"/>
    <w:rsid w:val="69AA0A18"/>
    <w:rsid w:val="69BE6D3A"/>
    <w:rsid w:val="69CE1CE6"/>
    <w:rsid w:val="69D54084"/>
    <w:rsid w:val="69F70387"/>
    <w:rsid w:val="69FE701C"/>
    <w:rsid w:val="69FF5ACB"/>
    <w:rsid w:val="6A196B8D"/>
    <w:rsid w:val="6A1C273A"/>
    <w:rsid w:val="6A2E38CB"/>
    <w:rsid w:val="6A3C1A58"/>
    <w:rsid w:val="6A8B3DFA"/>
    <w:rsid w:val="6ABE79B8"/>
    <w:rsid w:val="6ABF1697"/>
    <w:rsid w:val="6AC768FA"/>
    <w:rsid w:val="6AE84CE6"/>
    <w:rsid w:val="6AF92250"/>
    <w:rsid w:val="6AFA5E61"/>
    <w:rsid w:val="6B023651"/>
    <w:rsid w:val="6B096402"/>
    <w:rsid w:val="6B201C3C"/>
    <w:rsid w:val="6B804FA3"/>
    <w:rsid w:val="6B841780"/>
    <w:rsid w:val="6B893253"/>
    <w:rsid w:val="6BC87C20"/>
    <w:rsid w:val="6BFF476F"/>
    <w:rsid w:val="6C0864F2"/>
    <w:rsid w:val="6C105C19"/>
    <w:rsid w:val="6C2F6CC9"/>
    <w:rsid w:val="6C6C570E"/>
    <w:rsid w:val="6C9A56E0"/>
    <w:rsid w:val="6CAE0EC1"/>
    <w:rsid w:val="6CB94E81"/>
    <w:rsid w:val="6CEE1A07"/>
    <w:rsid w:val="6CFC49A0"/>
    <w:rsid w:val="6D367D18"/>
    <w:rsid w:val="6D3E2C6D"/>
    <w:rsid w:val="6D4217E3"/>
    <w:rsid w:val="6D9D5F3D"/>
    <w:rsid w:val="6DD779D0"/>
    <w:rsid w:val="6DE76150"/>
    <w:rsid w:val="6DF21D80"/>
    <w:rsid w:val="6DFF2662"/>
    <w:rsid w:val="6E0D4D30"/>
    <w:rsid w:val="6E4645B7"/>
    <w:rsid w:val="6E562395"/>
    <w:rsid w:val="6EB61585"/>
    <w:rsid w:val="6EC86170"/>
    <w:rsid w:val="6EDE1933"/>
    <w:rsid w:val="6EE65108"/>
    <w:rsid w:val="6EEC2539"/>
    <w:rsid w:val="6EF039B5"/>
    <w:rsid w:val="6F2055EB"/>
    <w:rsid w:val="6F2F6048"/>
    <w:rsid w:val="6F3260A0"/>
    <w:rsid w:val="6F6E053E"/>
    <w:rsid w:val="6F766784"/>
    <w:rsid w:val="6F7D42FC"/>
    <w:rsid w:val="6F9D31FF"/>
    <w:rsid w:val="6FA61E3F"/>
    <w:rsid w:val="6FCA58CD"/>
    <w:rsid w:val="6FDF5BC1"/>
    <w:rsid w:val="6FFD3694"/>
    <w:rsid w:val="70407A00"/>
    <w:rsid w:val="705D2A1C"/>
    <w:rsid w:val="70624929"/>
    <w:rsid w:val="70685742"/>
    <w:rsid w:val="7069117D"/>
    <w:rsid w:val="7081142A"/>
    <w:rsid w:val="70867BA4"/>
    <w:rsid w:val="70906570"/>
    <w:rsid w:val="70C239E6"/>
    <w:rsid w:val="70D91C61"/>
    <w:rsid w:val="70DD7C48"/>
    <w:rsid w:val="70EF2C2E"/>
    <w:rsid w:val="70F73AE3"/>
    <w:rsid w:val="70F751F6"/>
    <w:rsid w:val="70F93A07"/>
    <w:rsid w:val="710D6480"/>
    <w:rsid w:val="712755F9"/>
    <w:rsid w:val="71366015"/>
    <w:rsid w:val="71367F8B"/>
    <w:rsid w:val="71512965"/>
    <w:rsid w:val="715C3990"/>
    <w:rsid w:val="71626F9A"/>
    <w:rsid w:val="716362B8"/>
    <w:rsid w:val="717C2C27"/>
    <w:rsid w:val="718A067F"/>
    <w:rsid w:val="71AB3E76"/>
    <w:rsid w:val="71D613AA"/>
    <w:rsid w:val="71F118FE"/>
    <w:rsid w:val="724D2603"/>
    <w:rsid w:val="72537C20"/>
    <w:rsid w:val="728E7FB1"/>
    <w:rsid w:val="72C13C24"/>
    <w:rsid w:val="72D55D8E"/>
    <w:rsid w:val="73002FCB"/>
    <w:rsid w:val="733A34C1"/>
    <w:rsid w:val="73725980"/>
    <w:rsid w:val="737D063E"/>
    <w:rsid w:val="7384745B"/>
    <w:rsid w:val="738F69B4"/>
    <w:rsid w:val="739F4F50"/>
    <w:rsid w:val="73B02E74"/>
    <w:rsid w:val="73B34873"/>
    <w:rsid w:val="73E94C2F"/>
    <w:rsid w:val="73F16564"/>
    <w:rsid w:val="74026073"/>
    <w:rsid w:val="746D4F7B"/>
    <w:rsid w:val="747225B4"/>
    <w:rsid w:val="74C54D31"/>
    <w:rsid w:val="74F01503"/>
    <w:rsid w:val="74F1451E"/>
    <w:rsid w:val="7508619A"/>
    <w:rsid w:val="7510653F"/>
    <w:rsid w:val="751122B7"/>
    <w:rsid w:val="751E61B1"/>
    <w:rsid w:val="75B90FBE"/>
    <w:rsid w:val="75BA7028"/>
    <w:rsid w:val="75EF7125"/>
    <w:rsid w:val="75F57E11"/>
    <w:rsid w:val="75FD7FA8"/>
    <w:rsid w:val="76284FEA"/>
    <w:rsid w:val="763A1CE3"/>
    <w:rsid w:val="764840EC"/>
    <w:rsid w:val="765D3000"/>
    <w:rsid w:val="76687E46"/>
    <w:rsid w:val="76B54369"/>
    <w:rsid w:val="76FA59C6"/>
    <w:rsid w:val="77124FD8"/>
    <w:rsid w:val="771A6C45"/>
    <w:rsid w:val="772C5186"/>
    <w:rsid w:val="7731732E"/>
    <w:rsid w:val="77457469"/>
    <w:rsid w:val="775C0528"/>
    <w:rsid w:val="7776778C"/>
    <w:rsid w:val="777A1EB2"/>
    <w:rsid w:val="77835231"/>
    <w:rsid w:val="778B690D"/>
    <w:rsid w:val="77A617B0"/>
    <w:rsid w:val="77C60C75"/>
    <w:rsid w:val="77D625D6"/>
    <w:rsid w:val="77E46A27"/>
    <w:rsid w:val="77EB348D"/>
    <w:rsid w:val="77FF023F"/>
    <w:rsid w:val="780132C5"/>
    <w:rsid w:val="781B057D"/>
    <w:rsid w:val="782C49F8"/>
    <w:rsid w:val="78457E14"/>
    <w:rsid w:val="784D2045"/>
    <w:rsid w:val="7863107C"/>
    <w:rsid w:val="78747A21"/>
    <w:rsid w:val="78756ECC"/>
    <w:rsid w:val="788019F4"/>
    <w:rsid w:val="78A57AE9"/>
    <w:rsid w:val="78BF76CB"/>
    <w:rsid w:val="78FB2B8F"/>
    <w:rsid w:val="78FD6169"/>
    <w:rsid w:val="790C526F"/>
    <w:rsid w:val="79202DA6"/>
    <w:rsid w:val="79224383"/>
    <w:rsid w:val="792558EC"/>
    <w:rsid w:val="79437293"/>
    <w:rsid w:val="79A5562D"/>
    <w:rsid w:val="79BE0423"/>
    <w:rsid w:val="7A007A8A"/>
    <w:rsid w:val="7A291E35"/>
    <w:rsid w:val="7A4C6BA0"/>
    <w:rsid w:val="7A53144A"/>
    <w:rsid w:val="7A5B1561"/>
    <w:rsid w:val="7A603A87"/>
    <w:rsid w:val="7A652F2A"/>
    <w:rsid w:val="7A706DE5"/>
    <w:rsid w:val="7A813A3B"/>
    <w:rsid w:val="7ADC6CE3"/>
    <w:rsid w:val="7B1A042E"/>
    <w:rsid w:val="7B3B4033"/>
    <w:rsid w:val="7B571ABD"/>
    <w:rsid w:val="7B6F6D20"/>
    <w:rsid w:val="7B9E1124"/>
    <w:rsid w:val="7BA433C7"/>
    <w:rsid w:val="7C0F75F1"/>
    <w:rsid w:val="7C3A37FE"/>
    <w:rsid w:val="7C402C27"/>
    <w:rsid w:val="7C5B3262"/>
    <w:rsid w:val="7C9D014B"/>
    <w:rsid w:val="7CDD22EC"/>
    <w:rsid w:val="7CF06932"/>
    <w:rsid w:val="7D3461CD"/>
    <w:rsid w:val="7D7B310A"/>
    <w:rsid w:val="7D9077D9"/>
    <w:rsid w:val="7DC66308"/>
    <w:rsid w:val="7DD52D6F"/>
    <w:rsid w:val="7DE83BC0"/>
    <w:rsid w:val="7DEF5B84"/>
    <w:rsid w:val="7E0C694B"/>
    <w:rsid w:val="7E21340A"/>
    <w:rsid w:val="7E3433A7"/>
    <w:rsid w:val="7E370FE0"/>
    <w:rsid w:val="7E651D2E"/>
    <w:rsid w:val="7E69186F"/>
    <w:rsid w:val="7E917E76"/>
    <w:rsid w:val="7EE13DEF"/>
    <w:rsid w:val="7EFE648A"/>
    <w:rsid w:val="7F4D25E6"/>
    <w:rsid w:val="7F6D62D7"/>
    <w:rsid w:val="7F7A56F2"/>
    <w:rsid w:val="7F7D0C75"/>
    <w:rsid w:val="7F886EF0"/>
    <w:rsid w:val="7FA57A4B"/>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5"/>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4">
    <w:name w:val="heading 2"/>
    <w:basedOn w:val="1"/>
    <w:next w:val="5"/>
    <w:link w:val="201"/>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6">
    <w:name w:val="heading 3"/>
    <w:basedOn w:val="1"/>
    <w:next w:val="1"/>
    <w:link w:val="75"/>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7">
    <w:name w:val="heading 4"/>
    <w:basedOn w:val="1"/>
    <w:next w:val="1"/>
    <w:link w:val="96"/>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8">
    <w:name w:val="heading 5"/>
    <w:basedOn w:val="1"/>
    <w:next w:val="1"/>
    <w:link w:val="97"/>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link w:val="98"/>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10">
    <w:name w:val="heading 7"/>
    <w:basedOn w:val="1"/>
    <w:next w:val="1"/>
    <w:link w:val="99"/>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1">
    <w:name w:val="heading 8"/>
    <w:basedOn w:val="1"/>
    <w:next w:val="1"/>
    <w:link w:val="100"/>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2">
    <w:name w:val="heading 9"/>
    <w:basedOn w:val="1"/>
    <w:next w:val="1"/>
    <w:link w:val="10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107"/>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5">
    <w:name w:val="Normal Indent"/>
    <w:basedOn w:val="1"/>
    <w:link w:val="173"/>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3">
    <w:name w:val="caption"/>
    <w:basedOn w:val="1"/>
    <w:next w:val="1"/>
    <w:link w:val="134"/>
    <w:semiHidden/>
    <w:unhideWhenUsed/>
    <w:qFormat/>
    <w:uiPriority w:val="0"/>
    <w:rPr>
      <w:rFonts w:ascii="Arial" w:hAnsi="Arial" w:eastAsia="黑体"/>
      <w:sz w:val="20"/>
    </w:rPr>
  </w:style>
  <w:style w:type="paragraph" w:styleId="14">
    <w:name w:val="Document Map"/>
    <w:basedOn w:val="1"/>
    <w:link w:val="147"/>
    <w:qFormat/>
    <w:uiPriority w:val="0"/>
    <w:pPr>
      <w:shd w:val="clear" w:color="auto" w:fill="000080"/>
    </w:pPr>
  </w:style>
  <w:style w:type="paragraph" w:styleId="15">
    <w:name w:val="annotation text"/>
    <w:basedOn w:val="1"/>
    <w:link w:val="137"/>
    <w:qFormat/>
    <w:uiPriority w:val="0"/>
    <w:pPr>
      <w:jc w:val="left"/>
    </w:pPr>
  </w:style>
  <w:style w:type="paragraph" w:styleId="16">
    <w:name w:val="Body Text 3"/>
    <w:basedOn w:val="1"/>
    <w:link w:val="140"/>
    <w:qFormat/>
    <w:uiPriority w:val="0"/>
    <w:pPr>
      <w:spacing w:after="120" w:afterLines="0" w:afterAutospacing="0"/>
    </w:pPr>
    <w:rPr>
      <w:sz w:val="16"/>
    </w:rPr>
  </w:style>
  <w:style w:type="paragraph" w:styleId="17">
    <w:name w:val="Body Text"/>
    <w:basedOn w:val="1"/>
    <w:next w:val="1"/>
    <w:link w:val="92"/>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8">
    <w:name w:val="Body Text Indent"/>
    <w:basedOn w:val="1"/>
    <w:next w:val="19"/>
    <w:link w:val="121"/>
    <w:qFormat/>
    <w:uiPriority w:val="0"/>
    <w:pPr>
      <w:spacing w:after="120" w:afterLines="0" w:afterAutospacing="0"/>
      <w:ind w:left="420" w:leftChars="200"/>
    </w:pPr>
  </w:style>
  <w:style w:type="paragraph" w:styleId="19">
    <w:name w:val="envelope return"/>
    <w:basedOn w:val="1"/>
    <w:qFormat/>
    <w:uiPriority w:val="0"/>
    <w:pPr>
      <w:widowControl w:val="0"/>
      <w:snapToGrid w:val="0"/>
      <w:jc w:val="both"/>
    </w:pPr>
    <w:rPr>
      <w:rFonts w:ascii="Arial" w:hAnsi="Arial"/>
      <w:kern w:val="2"/>
      <w:sz w:val="21"/>
    </w:rPr>
  </w:style>
  <w:style w:type="paragraph" w:styleId="20">
    <w:name w:val="Block Text"/>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21">
    <w:name w:val="HTML Address"/>
    <w:basedOn w:val="1"/>
    <w:link w:val="182"/>
    <w:qFormat/>
    <w:uiPriority w:val="0"/>
    <w:rPr>
      <w:i/>
    </w:rPr>
  </w:style>
  <w:style w:type="paragraph" w:styleId="22">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3">
    <w:name w:val="Plain Text"/>
    <w:basedOn w:val="1"/>
    <w:link w:val="128"/>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4">
    <w:name w:val="Date"/>
    <w:basedOn w:val="1"/>
    <w:next w:val="1"/>
    <w:link w:val="104"/>
    <w:qFormat/>
    <w:uiPriority w:val="0"/>
    <w:pPr>
      <w:ind w:left="100" w:leftChars="2500"/>
    </w:pPr>
  </w:style>
  <w:style w:type="paragraph" w:styleId="25">
    <w:name w:val="Body Text Indent 2"/>
    <w:basedOn w:val="1"/>
    <w:link w:val="138"/>
    <w:qFormat/>
    <w:uiPriority w:val="0"/>
    <w:pPr>
      <w:spacing w:after="120" w:afterLines="0" w:afterAutospacing="0" w:line="480" w:lineRule="auto"/>
      <w:ind w:left="420" w:leftChars="200"/>
    </w:pPr>
  </w:style>
  <w:style w:type="paragraph" w:styleId="26">
    <w:name w:val="endnote text"/>
    <w:basedOn w:val="1"/>
    <w:link w:val="115"/>
    <w:qFormat/>
    <w:uiPriority w:val="0"/>
    <w:pPr>
      <w:snapToGrid w:val="0"/>
      <w:jc w:val="left"/>
    </w:pPr>
  </w:style>
  <w:style w:type="paragraph" w:styleId="27">
    <w:name w:val="Balloon Text"/>
    <w:basedOn w:val="1"/>
    <w:link w:val="118"/>
    <w:qFormat/>
    <w:uiPriority w:val="0"/>
    <w:rPr>
      <w:sz w:val="18"/>
    </w:rPr>
  </w:style>
  <w:style w:type="paragraph" w:styleId="28">
    <w:name w:val="header"/>
    <w:basedOn w:val="1"/>
    <w:link w:val="85"/>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5"/>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7"/>
    <w:qFormat/>
    <w:uiPriority w:val="0"/>
    <w:pPr>
      <w:snapToGrid w:val="0"/>
      <w:jc w:val="left"/>
    </w:pPr>
    <w:rPr>
      <w:sz w:val="18"/>
    </w:rPr>
  </w:style>
  <w:style w:type="paragraph" w:styleId="32">
    <w:name w:val="Body Text Indent 3"/>
    <w:basedOn w:val="1"/>
    <w:link w:val="103"/>
    <w:qFormat/>
    <w:uiPriority w:val="0"/>
    <w:pPr>
      <w:spacing w:after="120" w:afterLines="0" w:afterAutospacing="0"/>
      <w:ind w:left="420" w:leftChars="200"/>
    </w:pPr>
    <w:rPr>
      <w:sz w:val="16"/>
    </w:rPr>
  </w:style>
  <w:style w:type="paragraph" w:styleId="33">
    <w:name w:val="toc 2"/>
    <w:basedOn w:val="1"/>
    <w:next w:val="1"/>
    <w:link w:val="70"/>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08"/>
    <w:qFormat/>
    <w:uiPriority w:val="0"/>
    <w:pPr>
      <w:spacing w:after="120" w:afterLines="0" w:afterAutospacing="0" w:line="480" w:lineRule="auto"/>
    </w:pPr>
  </w:style>
  <w:style w:type="paragraph" w:styleId="35">
    <w:name w:val="HTML Preformatted"/>
    <w:basedOn w:val="1"/>
    <w:link w:val="181"/>
    <w:qFormat/>
    <w:uiPriority w:val="0"/>
    <w:rPr>
      <w:rFonts w:ascii="Courier New" w:hAnsi="Courier New"/>
      <w:sz w:val="20"/>
    </w:rPr>
  </w:style>
  <w:style w:type="paragraph" w:styleId="36">
    <w:name w:val="Normal (Web)"/>
    <w:basedOn w:val="1"/>
    <w:next w:val="19"/>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3"/>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5"/>
    <w:next w:val="15"/>
    <w:link w:val="83"/>
    <w:qFormat/>
    <w:uiPriority w:val="0"/>
    <w:rPr>
      <w:b/>
    </w:rPr>
  </w:style>
  <w:style w:type="paragraph" w:styleId="39">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paragraph" w:styleId="40">
    <w:name w:val="Body Text First Indent 2"/>
    <w:basedOn w:val="18"/>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paragraph" w:customStyle="1" w:styleId="60">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character" w:customStyle="1" w:styleId="61">
    <w:name w:val="正文文本 2 Char1"/>
    <w:basedOn w:val="43"/>
    <w:qFormat/>
    <w:uiPriority w:val="0"/>
    <w:rPr>
      <w:kern w:val="2"/>
      <w:sz w:val="21"/>
    </w:rPr>
  </w:style>
  <w:style w:type="character" w:customStyle="1" w:styleId="62">
    <w:name w:val="font51"/>
    <w:basedOn w:val="43"/>
    <w:qFormat/>
    <w:uiPriority w:val="0"/>
    <w:rPr>
      <w:rFonts w:hint="eastAsia" w:ascii="宋体" w:hAnsi="宋体" w:eastAsia="宋体" w:cs="宋体"/>
      <w:b/>
      <w:color w:val="000000"/>
      <w:sz w:val="20"/>
      <w:szCs w:val="20"/>
      <w:u w:val="none"/>
    </w:rPr>
  </w:style>
  <w:style w:type="character" w:customStyle="1" w:styleId="63">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4">
    <w:name w:val="ziti12-333-25"/>
    <w:basedOn w:val="43"/>
    <w:qFormat/>
    <w:uiPriority w:val="0"/>
  </w:style>
  <w:style w:type="paragraph" w:customStyle="1" w:styleId="65">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6">
    <w:name w:val="apple-converted-space"/>
    <w:basedOn w:val="43"/>
    <w:qFormat/>
    <w:uiPriority w:val="0"/>
  </w:style>
  <w:style w:type="character" w:customStyle="1" w:styleId="67">
    <w:name w:val="font121"/>
    <w:basedOn w:val="43"/>
    <w:qFormat/>
    <w:uiPriority w:val="0"/>
    <w:rPr>
      <w:rFonts w:hint="eastAsia" w:ascii="宋体" w:hAnsi="宋体" w:eastAsia="宋体" w:cs="宋体"/>
      <w:color w:val="000000"/>
      <w:sz w:val="22"/>
      <w:szCs w:val="22"/>
      <w:u w:val="none"/>
    </w:rPr>
  </w:style>
  <w:style w:type="character" w:customStyle="1" w:styleId="68">
    <w:name w:val="unnamed11"/>
    <w:basedOn w:val="43"/>
    <w:qFormat/>
    <w:uiPriority w:val="0"/>
  </w:style>
  <w:style w:type="paragraph" w:customStyle="1" w:styleId="69">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0">
    <w:name w:val="TOC 2 字符"/>
    <w:basedOn w:val="43"/>
    <w:link w:val="33"/>
    <w:qFormat/>
    <w:uiPriority w:val="0"/>
  </w:style>
  <w:style w:type="character" w:customStyle="1" w:styleId="71">
    <w:name w:val="副标题 字符1"/>
    <w:basedOn w:val="43"/>
    <w:qFormat/>
    <w:uiPriority w:val="0"/>
    <w:rPr>
      <w:rFonts w:hint="eastAsia" w:ascii="等线" w:hAnsi="等线" w:eastAsia="等线" w:cs="Times New Roman"/>
      <w:b/>
      <w:kern w:val="28"/>
      <w:sz w:val="32"/>
      <w:szCs w:val="32"/>
    </w:rPr>
  </w:style>
  <w:style w:type="character" w:customStyle="1" w:styleId="72">
    <w:name w:val="纯文本 字符1"/>
    <w:basedOn w:val="43"/>
    <w:qFormat/>
    <w:uiPriority w:val="0"/>
    <w:rPr>
      <w:rFonts w:hint="eastAsia" w:ascii="等线" w:hAnsi="Courier New" w:eastAsia="等线" w:cs="Courier New"/>
      <w:kern w:val="2"/>
      <w:sz w:val="21"/>
    </w:rPr>
  </w:style>
  <w:style w:type="character" w:customStyle="1" w:styleId="73">
    <w:name w:val="标题 2 字符"/>
    <w:basedOn w:val="43"/>
    <w:link w:val="4"/>
    <w:qFormat/>
    <w:uiPriority w:val="0"/>
    <w:rPr>
      <w:rFonts w:hint="default" w:ascii="Arial" w:hAnsi="Arial" w:eastAsia="宋体" w:cs="Arial"/>
      <w:b/>
      <w:sz w:val="30"/>
      <w:szCs w:val="32"/>
    </w:rPr>
  </w:style>
  <w:style w:type="character" w:customStyle="1" w:styleId="74">
    <w:name w:val="indent"/>
    <w:basedOn w:val="43"/>
    <w:qFormat/>
    <w:uiPriority w:val="0"/>
  </w:style>
  <w:style w:type="character" w:customStyle="1" w:styleId="75">
    <w:name w:val="标题 3 字符"/>
    <w:basedOn w:val="43"/>
    <w:link w:val="6"/>
    <w:qFormat/>
    <w:uiPriority w:val="0"/>
    <w:rPr>
      <w:rFonts w:ascii="Times New Roman" w:hAnsi="Times New Roman" w:eastAsia="宋体"/>
      <w:b/>
      <w:kern w:val="2"/>
      <w:sz w:val="28"/>
      <w:szCs w:val="24"/>
    </w:rPr>
  </w:style>
  <w:style w:type="character" w:customStyle="1" w:styleId="76">
    <w:name w:val="index-name-935ff"/>
    <w:basedOn w:val="43"/>
    <w:qFormat/>
    <w:uiPriority w:val="0"/>
    <w:rPr>
      <w:sz w:val="24"/>
      <w:szCs w:val="24"/>
    </w:rPr>
  </w:style>
  <w:style w:type="character" w:customStyle="1" w:styleId="77">
    <w:name w:val="back"/>
    <w:basedOn w:val="43"/>
    <w:qFormat/>
    <w:uiPriority w:val="0"/>
    <w:rPr>
      <w:shd w:val="clear" w:fill="111111"/>
    </w:rPr>
  </w:style>
  <w:style w:type="character" w:customStyle="1" w:styleId="78">
    <w:name w:val=" Char Char7"/>
    <w:basedOn w:val="43"/>
    <w:qFormat/>
    <w:uiPriority w:val="0"/>
    <w:rPr>
      <w:rFonts w:hint="eastAsia" w:ascii="宋体" w:hAnsi="Courier New" w:eastAsia="宋体" w:cs="宋体"/>
      <w:kern w:val="2"/>
      <w:sz w:val="21"/>
      <w:lang w:val="en-US" w:eastAsia="zh-CN" w:bidi="ar"/>
    </w:rPr>
  </w:style>
  <w:style w:type="character" w:customStyle="1" w:styleId="79">
    <w:name w:val="ds-reads-app-special"/>
    <w:basedOn w:val="43"/>
    <w:qFormat/>
    <w:uiPriority w:val="0"/>
    <w:rPr>
      <w:color w:val="FFFFFF"/>
      <w:shd w:val="clear" w:fill="F94A47"/>
    </w:rPr>
  </w:style>
  <w:style w:type="character" w:customStyle="1" w:styleId="80">
    <w:name w:val="nth-child(1)1"/>
    <w:basedOn w:val="43"/>
    <w:qFormat/>
    <w:uiPriority w:val="0"/>
  </w:style>
  <w:style w:type="paragraph" w:customStyle="1" w:styleId="81">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2">
    <w:name w:val="正文文本 2 字符1"/>
    <w:basedOn w:val="43"/>
    <w:qFormat/>
    <w:uiPriority w:val="0"/>
    <w:rPr>
      <w:kern w:val="2"/>
      <w:sz w:val="21"/>
    </w:rPr>
  </w:style>
  <w:style w:type="character" w:customStyle="1" w:styleId="83">
    <w:name w:val="批注主题 字符"/>
    <w:basedOn w:val="43"/>
    <w:link w:val="38"/>
    <w:qFormat/>
    <w:uiPriority w:val="0"/>
    <w:rPr>
      <w:b/>
      <w:kern w:val="2"/>
      <w:sz w:val="21"/>
      <w:szCs w:val="24"/>
    </w:rPr>
  </w:style>
  <w:style w:type="character" w:customStyle="1" w:styleId="84">
    <w:name w:val="s1"/>
    <w:basedOn w:val="43"/>
    <w:qFormat/>
    <w:uiPriority w:val="0"/>
    <w:rPr>
      <w:rFonts w:hint="default" w:ascii="Helvetica" w:hAnsi="Helvetica" w:eastAsia="Helvetica" w:cs="Helvetica"/>
      <w:sz w:val="24"/>
      <w:szCs w:val="24"/>
    </w:rPr>
  </w:style>
  <w:style w:type="character" w:customStyle="1" w:styleId="85">
    <w:name w:val="页眉 字符"/>
    <w:basedOn w:val="43"/>
    <w:link w:val="28"/>
    <w:qFormat/>
    <w:uiPriority w:val="0"/>
    <w:rPr>
      <w:kern w:val="2"/>
      <w:sz w:val="18"/>
      <w:szCs w:val="18"/>
    </w:rPr>
  </w:style>
  <w:style w:type="character" w:customStyle="1" w:styleId="86">
    <w:name w:val="tmpztreemove_arrow"/>
    <w:basedOn w:val="43"/>
    <w:qFormat/>
    <w:uiPriority w:val="0"/>
    <w:rPr>
      <w:shd w:val="clear" w:fill="FFFFFF"/>
    </w:rPr>
  </w:style>
  <w:style w:type="character" w:customStyle="1" w:styleId="87">
    <w:name w:val="glyphicon4"/>
    <w:basedOn w:val="43"/>
    <w:qFormat/>
    <w:uiPriority w:val="0"/>
  </w:style>
  <w:style w:type="character" w:customStyle="1" w:styleId="88">
    <w:name w:val="stclosebtn"/>
    <w:basedOn w:val="43"/>
    <w:qFormat/>
    <w:uiPriority w:val="0"/>
  </w:style>
  <w:style w:type="character" w:customStyle="1" w:styleId="89">
    <w:name w:val="ca-01"/>
    <w:basedOn w:val="43"/>
    <w:qFormat/>
    <w:uiPriority w:val="0"/>
    <w:rPr>
      <w:rFonts w:hint="eastAsia" w:ascii="宋体" w:hAnsi="宋体" w:eastAsia="宋体" w:cs="宋体"/>
      <w:sz w:val="28"/>
      <w:szCs w:val="28"/>
    </w:rPr>
  </w:style>
  <w:style w:type="character" w:customStyle="1" w:styleId="90">
    <w:name w:val="first-child"/>
    <w:basedOn w:val="43"/>
    <w:qFormat/>
    <w:uiPriority w:val="0"/>
  </w:style>
  <w:style w:type="character" w:customStyle="1" w:styleId="91">
    <w:name w:val="ds-unread-count"/>
    <w:basedOn w:val="43"/>
    <w:qFormat/>
    <w:uiPriority w:val="0"/>
    <w:rPr>
      <w:b/>
      <w:color w:val="EE3322"/>
    </w:rPr>
  </w:style>
  <w:style w:type="character" w:customStyle="1" w:styleId="92">
    <w:name w:val="正文文本 字符"/>
    <w:basedOn w:val="43"/>
    <w:link w:val="17"/>
    <w:qFormat/>
    <w:uiPriority w:val="0"/>
    <w:rPr>
      <w:kern w:val="2"/>
      <w:sz w:val="21"/>
    </w:rPr>
  </w:style>
  <w:style w:type="character" w:customStyle="1" w:styleId="93">
    <w:name w:val="md"/>
    <w:basedOn w:val="43"/>
    <w:qFormat/>
    <w:uiPriority w:val="0"/>
  </w:style>
  <w:style w:type="character" w:customStyle="1" w:styleId="94">
    <w:name w:val="fontstrikethrough"/>
    <w:basedOn w:val="43"/>
    <w:qFormat/>
    <w:uiPriority w:val="0"/>
    <w:rPr>
      <w:strike/>
    </w:rPr>
  </w:style>
  <w:style w:type="character" w:customStyle="1" w:styleId="95">
    <w:name w:val="标题 1 字符"/>
    <w:basedOn w:val="43"/>
    <w:link w:val="3"/>
    <w:qFormat/>
    <w:uiPriority w:val="0"/>
    <w:rPr>
      <w:rFonts w:hint="eastAsia" w:ascii="仿宋_GB2312" w:hAnsi="仿宋_GB2312" w:eastAsia="宋体" w:cs="仿宋_GB2312"/>
      <w:b/>
      <w:kern w:val="2"/>
      <w:sz w:val="32"/>
    </w:rPr>
  </w:style>
  <w:style w:type="character" w:customStyle="1" w:styleId="96">
    <w:name w:val="标题 4 字符"/>
    <w:basedOn w:val="43"/>
    <w:link w:val="7"/>
    <w:qFormat/>
    <w:uiPriority w:val="0"/>
    <w:rPr>
      <w:rFonts w:hint="default" w:ascii="Arial" w:hAnsi="Arial" w:cs="Arial"/>
      <w:bCs/>
      <w:kern w:val="2"/>
      <w:sz w:val="24"/>
      <w:szCs w:val="28"/>
    </w:rPr>
  </w:style>
  <w:style w:type="character" w:customStyle="1" w:styleId="97">
    <w:name w:val="标题 5 字符"/>
    <w:basedOn w:val="43"/>
    <w:link w:val="8"/>
    <w:qFormat/>
    <w:uiPriority w:val="0"/>
    <w:rPr>
      <w:rFonts w:hint="default" w:ascii="Arial Unicode MS" w:hAnsi="Arial Unicode MS" w:eastAsia="Arial Unicode MS" w:cs="Arial Unicode MS"/>
      <w:bCs/>
      <w:kern w:val="2"/>
      <w:sz w:val="24"/>
      <w:szCs w:val="24"/>
    </w:rPr>
  </w:style>
  <w:style w:type="character" w:customStyle="1" w:styleId="98">
    <w:name w:val="标题 6 字符"/>
    <w:basedOn w:val="43"/>
    <w:link w:val="9"/>
    <w:qFormat/>
    <w:uiPriority w:val="0"/>
    <w:rPr>
      <w:rFonts w:hint="default" w:ascii="Arial Unicode MS" w:hAnsi="Arial Unicode MS" w:eastAsia="Arial Unicode MS" w:cs="Arial Unicode MS"/>
      <w:bCs/>
      <w:kern w:val="2"/>
      <w:sz w:val="24"/>
      <w:szCs w:val="24"/>
    </w:rPr>
  </w:style>
  <w:style w:type="character" w:customStyle="1" w:styleId="99">
    <w:name w:val="标题 7 字符"/>
    <w:basedOn w:val="43"/>
    <w:link w:val="10"/>
    <w:qFormat/>
    <w:uiPriority w:val="0"/>
    <w:rPr>
      <w:rFonts w:hint="default" w:ascii="Arial" w:hAnsi="Arial" w:cs="Arial"/>
      <w:b/>
      <w:color w:val="000000"/>
      <w:kern w:val="2"/>
      <w:sz w:val="15"/>
    </w:rPr>
  </w:style>
  <w:style w:type="character" w:customStyle="1" w:styleId="100">
    <w:name w:val="标题 8 字符"/>
    <w:basedOn w:val="43"/>
    <w:link w:val="11"/>
    <w:qFormat/>
    <w:uiPriority w:val="0"/>
    <w:rPr>
      <w:rFonts w:hint="eastAsia" w:ascii="仿宋_GB2312" w:eastAsia="仿宋_GB2312" w:cs="仿宋_GB2312"/>
      <w:b/>
      <w:kern w:val="2"/>
      <w:sz w:val="24"/>
    </w:rPr>
  </w:style>
  <w:style w:type="character" w:customStyle="1" w:styleId="101">
    <w:name w:val="标题 9 字符"/>
    <w:basedOn w:val="43"/>
    <w:link w:val="12"/>
    <w:qFormat/>
    <w:uiPriority w:val="0"/>
    <w:rPr>
      <w:rFonts w:hint="default" w:ascii="Arial" w:hAnsi="Arial" w:eastAsia="黑体" w:cs="Arial"/>
      <w:kern w:val="2"/>
      <w:sz w:val="21"/>
      <w:szCs w:val="21"/>
    </w:rPr>
  </w:style>
  <w:style w:type="character" w:customStyle="1" w:styleId="102">
    <w:name w:val="style31"/>
    <w:basedOn w:val="43"/>
    <w:qFormat/>
    <w:uiPriority w:val="0"/>
    <w:rPr>
      <w:sz w:val="21"/>
      <w:szCs w:val="21"/>
    </w:rPr>
  </w:style>
  <w:style w:type="character" w:customStyle="1" w:styleId="103">
    <w:name w:val="正文文本缩进 3 字符"/>
    <w:basedOn w:val="43"/>
    <w:link w:val="32"/>
    <w:qFormat/>
    <w:uiPriority w:val="0"/>
    <w:rPr>
      <w:rFonts w:hint="eastAsia" w:ascii="宋体" w:hAnsi="宋体" w:eastAsia="宋体" w:cs="宋体"/>
      <w:spacing w:val="4"/>
      <w:kern w:val="2"/>
      <w:sz w:val="21"/>
    </w:rPr>
  </w:style>
  <w:style w:type="character" w:customStyle="1" w:styleId="104">
    <w:name w:val="日期 字符"/>
    <w:basedOn w:val="43"/>
    <w:link w:val="24"/>
    <w:qFormat/>
    <w:uiPriority w:val="0"/>
    <w:rPr>
      <w:kern w:val="2"/>
      <w:sz w:val="28"/>
    </w:rPr>
  </w:style>
  <w:style w:type="character" w:customStyle="1" w:styleId="105">
    <w:name w:val="招标书 正文 Char"/>
    <w:basedOn w:val="43"/>
    <w:qFormat/>
    <w:uiPriority w:val="0"/>
    <w:rPr>
      <w:rFonts w:hint="eastAsia" w:ascii="宋体" w:hAnsi="宋体" w:eastAsia="宋体" w:cs="宋体"/>
      <w:color w:val="000000"/>
      <w:sz w:val="24"/>
      <w:szCs w:val="28"/>
    </w:rPr>
  </w:style>
  <w:style w:type="character" w:customStyle="1" w:styleId="106">
    <w:name w:val="beforeinfotext"/>
    <w:basedOn w:val="43"/>
    <w:qFormat/>
    <w:uiPriority w:val="0"/>
    <w:rPr>
      <w:color w:val="666666"/>
    </w:rPr>
  </w:style>
  <w:style w:type="character" w:customStyle="1" w:styleId="107">
    <w:name w:val="页脚 字符"/>
    <w:basedOn w:val="43"/>
    <w:link w:val="2"/>
    <w:qFormat/>
    <w:uiPriority w:val="0"/>
    <w:rPr>
      <w:kern w:val="2"/>
      <w:sz w:val="18"/>
      <w:szCs w:val="18"/>
    </w:rPr>
  </w:style>
  <w:style w:type="character" w:customStyle="1" w:styleId="108">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09">
    <w:name w:val="number"/>
    <w:basedOn w:val="43"/>
    <w:qFormat/>
    <w:uiPriority w:val="0"/>
    <w:rPr>
      <w:color w:val="FF8833"/>
      <w:sz w:val="18"/>
      <w:szCs w:val="18"/>
    </w:rPr>
  </w:style>
  <w:style w:type="character" w:customStyle="1" w:styleId="110">
    <w:name w:val="nth-child(1)"/>
    <w:basedOn w:val="43"/>
    <w:qFormat/>
    <w:uiPriority w:val="0"/>
  </w:style>
  <w:style w:type="character" w:customStyle="1" w:styleId="111">
    <w:name w:val="font101"/>
    <w:basedOn w:val="43"/>
    <w:qFormat/>
    <w:uiPriority w:val="0"/>
    <w:rPr>
      <w:rFonts w:hint="eastAsia" w:ascii="宋体" w:hAnsi="宋体" w:eastAsia="宋体" w:cs="宋体"/>
      <w:color w:val="000000"/>
      <w:sz w:val="22"/>
      <w:szCs w:val="22"/>
      <w:u w:val="none"/>
    </w:rPr>
  </w:style>
  <w:style w:type="character" w:customStyle="1" w:styleId="112">
    <w:name w:val="introduction1"/>
    <w:basedOn w:val="43"/>
    <w:qFormat/>
    <w:uiPriority w:val="0"/>
  </w:style>
  <w:style w:type="character" w:customStyle="1" w:styleId="113">
    <w:name w:val="标题 字符"/>
    <w:basedOn w:val="43"/>
    <w:link w:val="37"/>
    <w:qFormat/>
    <w:uiPriority w:val="0"/>
    <w:rPr>
      <w:rFonts w:hint="default" w:ascii="Cambria" w:hAnsi="Cambria" w:eastAsia="Cambria" w:cs="Cambria"/>
      <w:b/>
      <w:kern w:val="2"/>
      <w:sz w:val="32"/>
      <w:szCs w:val="32"/>
    </w:rPr>
  </w:style>
  <w:style w:type="character" w:customStyle="1" w:styleId="114">
    <w:name w:val="页脚 字符1"/>
    <w:basedOn w:val="43"/>
    <w:qFormat/>
    <w:uiPriority w:val="0"/>
    <w:rPr>
      <w:kern w:val="2"/>
      <w:sz w:val="18"/>
      <w:szCs w:val="18"/>
    </w:rPr>
  </w:style>
  <w:style w:type="character" w:customStyle="1" w:styleId="115">
    <w:name w:val="尾注文本 字符"/>
    <w:basedOn w:val="43"/>
    <w:link w:val="26"/>
    <w:qFormat/>
    <w:uiPriority w:val="0"/>
    <w:rPr>
      <w:kern w:val="2"/>
      <w:sz w:val="21"/>
    </w:rPr>
  </w:style>
  <w:style w:type="character" w:customStyle="1" w:styleId="116">
    <w:name w:val="text"/>
    <w:basedOn w:val="43"/>
    <w:qFormat/>
    <w:uiPriority w:val="0"/>
    <w:rPr>
      <w:color w:val="666666"/>
    </w:rPr>
  </w:style>
  <w:style w:type="character" w:customStyle="1" w:styleId="117">
    <w:name w:val="font11"/>
    <w:basedOn w:val="43"/>
    <w:qFormat/>
    <w:uiPriority w:val="0"/>
    <w:rPr>
      <w:rFonts w:hint="eastAsia" w:ascii="宋体" w:hAnsi="宋体" w:eastAsia="宋体" w:cs="宋体"/>
      <w:b/>
      <w:color w:val="000000"/>
      <w:sz w:val="21"/>
      <w:szCs w:val="21"/>
      <w:u w:val="none"/>
    </w:rPr>
  </w:style>
  <w:style w:type="character" w:customStyle="1" w:styleId="118">
    <w:name w:val="批注框文本 字符"/>
    <w:basedOn w:val="43"/>
    <w:link w:val="27"/>
    <w:qFormat/>
    <w:uiPriority w:val="0"/>
    <w:rPr>
      <w:kern w:val="2"/>
      <w:sz w:val="18"/>
      <w:szCs w:val="18"/>
    </w:rPr>
  </w:style>
  <w:style w:type="character" w:customStyle="1" w:styleId="119">
    <w:name w:val="正文文本 3 Char1"/>
    <w:basedOn w:val="43"/>
    <w:qFormat/>
    <w:uiPriority w:val="0"/>
    <w:rPr>
      <w:kern w:val="2"/>
      <w:sz w:val="16"/>
      <w:szCs w:val="16"/>
    </w:rPr>
  </w:style>
  <w:style w:type="character" w:customStyle="1" w:styleId="120">
    <w:name w:val="emtidy-3"/>
    <w:basedOn w:val="43"/>
    <w:qFormat/>
    <w:uiPriority w:val="0"/>
  </w:style>
  <w:style w:type="character" w:customStyle="1" w:styleId="121">
    <w:name w:val="正文文本缩进 字符"/>
    <w:basedOn w:val="43"/>
    <w:link w:val="18"/>
    <w:qFormat/>
    <w:uiPriority w:val="0"/>
    <w:rPr>
      <w:sz w:val="28"/>
    </w:rPr>
  </w:style>
  <w:style w:type="character" w:customStyle="1" w:styleId="122">
    <w:name w:val="普通正文 Char"/>
    <w:basedOn w:val="43"/>
    <w:qFormat/>
    <w:uiPriority w:val="0"/>
    <w:rPr>
      <w:rFonts w:hint="eastAsia" w:ascii="宋体" w:hAnsi="宋体" w:eastAsia="宋体" w:cs="宋体"/>
      <w:sz w:val="24"/>
      <w:szCs w:val="24"/>
      <w:lang w:val="en-US" w:eastAsia="zh-CN" w:bidi="ar"/>
    </w:rPr>
  </w:style>
  <w:style w:type="character" w:customStyle="1" w:styleId="123">
    <w:name w:val="c lh15"/>
    <w:basedOn w:val="43"/>
    <w:qFormat/>
    <w:uiPriority w:val="0"/>
  </w:style>
  <w:style w:type="character" w:customStyle="1" w:styleId="124">
    <w:name w:val="hover28"/>
    <w:basedOn w:val="43"/>
    <w:qFormat/>
    <w:uiPriority w:val="0"/>
    <w:rPr>
      <w:shd w:val="clear" w:fill="F6F6F6"/>
    </w:rPr>
  </w:style>
  <w:style w:type="paragraph" w:customStyle="1" w:styleId="125">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6">
    <w:name w:val="列表段落 字符"/>
    <w:basedOn w:val="43"/>
    <w:qFormat/>
    <w:uiPriority w:val="0"/>
    <w:rPr>
      <w:rFonts w:hint="default" w:ascii="Calibri" w:hAnsi="Calibri" w:cs="Calibri"/>
      <w:kern w:val="2"/>
      <w:sz w:val="21"/>
      <w:szCs w:val="22"/>
    </w:rPr>
  </w:style>
  <w:style w:type="character" w:customStyle="1" w:styleId="127">
    <w:name w:val="font41"/>
    <w:basedOn w:val="43"/>
    <w:qFormat/>
    <w:uiPriority w:val="0"/>
    <w:rPr>
      <w:rFonts w:hint="eastAsia" w:ascii="宋体" w:hAnsi="宋体" w:eastAsia="宋体" w:cs="宋体"/>
      <w:b/>
      <w:color w:val="000000"/>
      <w:sz w:val="20"/>
      <w:szCs w:val="20"/>
      <w:u w:val="none"/>
    </w:rPr>
  </w:style>
  <w:style w:type="character" w:customStyle="1" w:styleId="128">
    <w:name w:val="纯文本 字符"/>
    <w:basedOn w:val="43"/>
    <w:link w:val="23"/>
    <w:qFormat/>
    <w:uiPriority w:val="0"/>
    <w:rPr>
      <w:rFonts w:hint="eastAsia" w:ascii="宋体" w:hAnsi="Courier New" w:eastAsia="宋体" w:cs="宋体"/>
      <w:kern w:val="2"/>
      <w:sz w:val="21"/>
    </w:rPr>
  </w:style>
  <w:style w:type="character" w:customStyle="1" w:styleId="129">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0">
    <w:name w:val="style81"/>
    <w:basedOn w:val="43"/>
    <w:qFormat/>
    <w:uiPriority w:val="0"/>
    <w:rPr>
      <w:sz w:val="21"/>
      <w:szCs w:val="21"/>
    </w:rPr>
  </w:style>
  <w:style w:type="character" w:customStyle="1" w:styleId="131">
    <w:name w:val="font21"/>
    <w:basedOn w:val="43"/>
    <w:qFormat/>
    <w:uiPriority w:val="0"/>
    <w:rPr>
      <w:rFonts w:hint="eastAsia" w:ascii="宋体" w:hAnsi="宋体" w:eastAsia="宋体" w:cs="宋体"/>
      <w:color w:val="000000"/>
      <w:sz w:val="21"/>
      <w:szCs w:val="21"/>
      <w:u w:val="none"/>
    </w:rPr>
  </w:style>
  <w:style w:type="character" w:customStyle="1" w:styleId="132">
    <w:name w:val="font141"/>
    <w:basedOn w:val="43"/>
    <w:qFormat/>
    <w:uiPriority w:val="0"/>
    <w:rPr>
      <w:rFonts w:hint="eastAsia" w:ascii="宋体" w:hAnsi="宋体" w:eastAsia="宋体" w:cs="宋体"/>
      <w:color w:val="000000"/>
      <w:sz w:val="20"/>
      <w:szCs w:val="20"/>
      <w:u w:val="none"/>
    </w:rPr>
  </w:style>
  <w:style w:type="character" w:customStyle="1" w:styleId="133">
    <w:name w:val="text1"/>
    <w:basedOn w:val="43"/>
    <w:qFormat/>
    <w:uiPriority w:val="0"/>
    <w:rPr>
      <w:color w:val="666666"/>
    </w:rPr>
  </w:style>
  <w:style w:type="character" w:customStyle="1" w:styleId="134">
    <w:name w:val="题注 字符"/>
    <w:basedOn w:val="43"/>
    <w:link w:val="13"/>
    <w:qFormat/>
    <w:uiPriority w:val="0"/>
    <w:rPr>
      <w:rFonts w:hint="default" w:ascii="Arial" w:hAnsi="Arial" w:eastAsia="黑体" w:cs="Arial"/>
      <w:kern w:val="2"/>
    </w:rPr>
  </w:style>
  <w:style w:type="character" w:customStyle="1" w:styleId="135">
    <w:name w:val="index-headcontent-0ccba"/>
    <w:basedOn w:val="43"/>
    <w:qFormat/>
    <w:uiPriority w:val="0"/>
    <w:rPr>
      <w:vanish/>
    </w:rPr>
  </w:style>
  <w:style w:type="character" w:customStyle="1" w:styleId="136">
    <w:name w:val="批注主题 字符1"/>
    <w:basedOn w:val="137"/>
    <w:qFormat/>
    <w:uiPriority w:val="0"/>
    <w:rPr>
      <w:b/>
      <w:kern w:val="2"/>
      <w:sz w:val="21"/>
    </w:rPr>
  </w:style>
  <w:style w:type="character" w:customStyle="1" w:styleId="137">
    <w:name w:val="批注文字 字符1"/>
    <w:basedOn w:val="43"/>
    <w:link w:val="15"/>
    <w:qFormat/>
    <w:uiPriority w:val="0"/>
    <w:rPr>
      <w:kern w:val="2"/>
      <w:sz w:val="21"/>
    </w:rPr>
  </w:style>
  <w:style w:type="character" w:customStyle="1" w:styleId="138">
    <w:name w:val="正文文本缩进 2 字符"/>
    <w:basedOn w:val="43"/>
    <w:link w:val="25"/>
    <w:qFormat/>
    <w:uiPriority w:val="0"/>
    <w:rPr>
      <w:kern w:val="2"/>
      <w:sz w:val="24"/>
    </w:rPr>
  </w:style>
  <w:style w:type="character" w:customStyle="1" w:styleId="139">
    <w:name w:val="hover9"/>
    <w:basedOn w:val="43"/>
    <w:qFormat/>
    <w:uiPriority w:val="0"/>
    <w:rPr>
      <w:color w:val="3C88FF"/>
    </w:rPr>
  </w:style>
  <w:style w:type="character" w:customStyle="1" w:styleId="140">
    <w:name w:val="正文文本 3 字符"/>
    <w:basedOn w:val="43"/>
    <w:link w:val="16"/>
    <w:qFormat/>
    <w:uiPriority w:val="0"/>
    <w:rPr>
      <w:b/>
      <w:spacing w:val="-20"/>
      <w:w w:val="110"/>
      <w:kern w:val="2"/>
      <w:sz w:val="52"/>
    </w:rPr>
  </w:style>
  <w:style w:type="character" w:customStyle="1" w:styleId="141">
    <w:name w:val="font71"/>
    <w:basedOn w:val="43"/>
    <w:qFormat/>
    <w:uiPriority w:val="0"/>
    <w:rPr>
      <w:rFonts w:hint="eastAsia" w:ascii="宋体" w:hAnsi="宋体" w:eastAsia="宋体" w:cs="宋体"/>
      <w:color w:val="000000"/>
      <w:sz w:val="20"/>
      <w:szCs w:val="20"/>
      <w:u w:val="none"/>
    </w:rPr>
  </w:style>
  <w:style w:type="character" w:customStyle="1" w:styleId="142">
    <w:name w:val="old"/>
    <w:basedOn w:val="43"/>
    <w:qFormat/>
    <w:uiPriority w:val="0"/>
    <w:rPr>
      <w:color w:val="999999"/>
    </w:rPr>
  </w:style>
  <w:style w:type="character" w:customStyle="1" w:styleId="143">
    <w:name w:val="back1"/>
    <w:basedOn w:val="43"/>
    <w:qFormat/>
    <w:uiPriority w:val="0"/>
    <w:rPr>
      <w:shd w:val="clear" w:fill="111111"/>
    </w:rPr>
  </w:style>
  <w:style w:type="character" w:customStyle="1" w:styleId="144">
    <w:name w:val="hover3"/>
    <w:basedOn w:val="43"/>
    <w:qFormat/>
    <w:uiPriority w:val="0"/>
    <w:rPr>
      <w:shd w:val="clear" w:fill="EEEEEE"/>
    </w:rPr>
  </w:style>
  <w:style w:type="character" w:customStyle="1" w:styleId="145">
    <w:name w:val="hover29"/>
    <w:basedOn w:val="43"/>
    <w:qFormat/>
    <w:uiPriority w:val="0"/>
    <w:rPr>
      <w:color w:val="3C88FF"/>
    </w:rPr>
  </w:style>
  <w:style w:type="character" w:customStyle="1" w:styleId="146">
    <w:name w:val="正文文本 3 字符1"/>
    <w:basedOn w:val="43"/>
    <w:qFormat/>
    <w:uiPriority w:val="0"/>
    <w:rPr>
      <w:kern w:val="2"/>
      <w:sz w:val="16"/>
      <w:szCs w:val="16"/>
    </w:rPr>
  </w:style>
  <w:style w:type="character" w:customStyle="1" w:styleId="147">
    <w:name w:val="文档结构图 字符"/>
    <w:basedOn w:val="43"/>
    <w:link w:val="14"/>
    <w:qFormat/>
    <w:uiPriority w:val="0"/>
    <w:rPr>
      <w:kern w:val="2"/>
      <w:sz w:val="21"/>
      <w:shd w:val="clear" w:fill="000080"/>
    </w:rPr>
  </w:style>
  <w:style w:type="character" w:customStyle="1" w:styleId="148">
    <w:name w:val="副标题 Char1"/>
    <w:basedOn w:val="43"/>
    <w:qFormat/>
    <w:uiPriority w:val="0"/>
    <w:rPr>
      <w:rFonts w:hint="default" w:ascii="Cambria" w:hAnsi="Cambria" w:eastAsia="Cambria" w:cs="Times New Roman"/>
      <w:b/>
      <w:kern w:val="28"/>
      <w:sz w:val="32"/>
      <w:szCs w:val="32"/>
    </w:rPr>
  </w:style>
  <w:style w:type="character" w:customStyle="1" w:styleId="149">
    <w:name w:val="hour_pm"/>
    <w:basedOn w:val="43"/>
    <w:qFormat/>
    <w:uiPriority w:val="0"/>
  </w:style>
  <w:style w:type="character" w:customStyle="1" w:styleId="150">
    <w:name w:val="font151"/>
    <w:basedOn w:val="43"/>
    <w:qFormat/>
    <w:uiPriority w:val="0"/>
    <w:rPr>
      <w:rFonts w:hint="eastAsia" w:ascii="宋体" w:hAnsi="宋体" w:eastAsia="宋体" w:cs="宋体"/>
      <w:color w:val="000000"/>
      <w:sz w:val="20"/>
      <w:szCs w:val="20"/>
      <w:u w:val="none"/>
    </w:rPr>
  </w:style>
  <w:style w:type="character" w:customStyle="1" w:styleId="151">
    <w:name w:val="font91"/>
    <w:basedOn w:val="43"/>
    <w:qFormat/>
    <w:uiPriority w:val="0"/>
    <w:rPr>
      <w:rFonts w:hint="eastAsia" w:ascii="宋体" w:hAnsi="宋体" w:eastAsia="宋体" w:cs="宋体"/>
      <w:color w:val="FF0000"/>
      <w:sz w:val="22"/>
      <w:szCs w:val="22"/>
      <w:u w:val="none"/>
    </w:rPr>
  </w:style>
  <w:style w:type="character" w:customStyle="1" w:styleId="152">
    <w:name w:val="c1"/>
    <w:basedOn w:val="43"/>
    <w:qFormat/>
    <w:uiPriority w:val="0"/>
    <w:rPr>
      <w:sz w:val="28"/>
      <w:szCs w:val="28"/>
    </w:rPr>
  </w:style>
  <w:style w:type="character" w:customStyle="1" w:styleId="153">
    <w:name w:val="hui3"/>
    <w:basedOn w:val="43"/>
    <w:qFormat/>
    <w:uiPriority w:val="0"/>
    <w:rPr>
      <w:color w:val="333333"/>
    </w:rPr>
  </w:style>
  <w:style w:type="character" w:customStyle="1" w:styleId="154">
    <w:name w:val="proollist"/>
    <w:basedOn w:val="43"/>
    <w:qFormat/>
    <w:uiPriority w:val="0"/>
  </w:style>
  <w:style w:type="character" w:customStyle="1" w:styleId="155">
    <w:name w:val="脚注文本 字符1"/>
    <w:basedOn w:val="43"/>
    <w:qFormat/>
    <w:uiPriority w:val="0"/>
    <w:rPr>
      <w:kern w:val="2"/>
      <w:sz w:val="18"/>
      <w:szCs w:val="18"/>
    </w:rPr>
  </w:style>
  <w:style w:type="character" w:customStyle="1" w:styleId="156">
    <w:name w:val="font01"/>
    <w:basedOn w:val="43"/>
    <w:qFormat/>
    <w:uiPriority w:val="0"/>
    <w:rPr>
      <w:rFonts w:hint="eastAsia" w:ascii="宋体" w:hAnsi="宋体" w:eastAsia="宋体" w:cs="宋体"/>
      <w:color w:val="000000"/>
      <w:sz w:val="21"/>
      <w:szCs w:val="21"/>
      <w:u w:val="none"/>
    </w:rPr>
  </w:style>
  <w:style w:type="character" w:customStyle="1" w:styleId="157">
    <w:name w:val="ds-reads-from"/>
    <w:basedOn w:val="43"/>
    <w:qFormat/>
    <w:uiPriority w:val="0"/>
  </w:style>
  <w:style w:type="character" w:customStyle="1" w:styleId="158">
    <w:name w:val="emtidy-5"/>
    <w:basedOn w:val="43"/>
    <w:qFormat/>
    <w:uiPriority w:val="0"/>
  </w:style>
  <w:style w:type="character" w:customStyle="1" w:styleId="159">
    <w:name w:val="font31"/>
    <w:basedOn w:val="43"/>
    <w:qFormat/>
    <w:uiPriority w:val="0"/>
    <w:rPr>
      <w:rFonts w:hint="default" w:ascii="Times New Roman" w:hAnsi="Times New Roman" w:cs="Times New Roman"/>
      <w:b/>
      <w:color w:val="000000"/>
      <w:sz w:val="21"/>
      <w:szCs w:val="21"/>
      <w:u w:val="none"/>
    </w:rPr>
  </w:style>
  <w:style w:type="character" w:customStyle="1" w:styleId="160">
    <w:name w:val="button"/>
    <w:basedOn w:val="43"/>
    <w:qFormat/>
    <w:uiPriority w:val="0"/>
  </w:style>
  <w:style w:type="character" w:customStyle="1" w:styleId="161">
    <w:name w:val="emtidy-6"/>
    <w:basedOn w:val="43"/>
    <w:qFormat/>
    <w:uiPriority w:val="0"/>
  </w:style>
  <w:style w:type="character" w:customStyle="1" w:styleId="162">
    <w:name w:val="base"/>
    <w:basedOn w:val="43"/>
    <w:qFormat/>
    <w:uiPriority w:val="0"/>
  </w:style>
  <w:style w:type="paragraph" w:customStyle="1" w:styleId="163">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4">
    <w:name w:val="phone"/>
    <w:basedOn w:val="43"/>
    <w:qFormat/>
    <w:uiPriority w:val="0"/>
    <w:rPr>
      <w:color w:val="FF8833"/>
      <w:sz w:val="18"/>
      <w:szCs w:val="18"/>
    </w:rPr>
  </w:style>
  <w:style w:type="character" w:customStyle="1" w:styleId="165">
    <w:name w:val="副标题 字符"/>
    <w:basedOn w:val="43"/>
    <w:link w:val="30"/>
    <w:qFormat/>
    <w:uiPriority w:val="0"/>
    <w:rPr>
      <w:rFonts w:hint="default" w:ascii="Cambria" w:hAnsi="Cambria" w:eastAsia="Cambria" w:cs="Cambria"/>
      <w:b/>
      <w:kern w:val="28"/>
      <w:sz w:val="32"/>
      <w:szCs w:val="32"/>
    </w:rPr>
  </w:style>
  <w:style w:type="character" w:customStyle="1" w:styleId="166">
    <w:name w:val="hour_am"/>
    <w:basedOn w:val="43"/>
    <w:qFormat/>
    <w:uiPriority w:val="0"/>
  </w:style>
  <w:style w:type="character" w:customStyle="1" w:styleId="167">
    <w:name w:val="脚注文本 字符"/>
    <w:basedOn w:val="43"/>
    <w:link w:val="31"/>
    <w:qFormat/>
    <w:uiPriority w:val="0"/>
    <w:rPr>
      <w:kern w:val="2"/>
      <w:sz w:val="18"/>
    </w:rPr>
  </w:style>
  <w:style w:type="character" w:customStyle="1" w:styleId="168">
    <w:name w:val="emtidy-2"/>
    <w:basedOn w:val="43"/>
    <w:qFormat/>
    <w:uiPriority w:val="0"/>
  </w:style>
  <w:style w:type="character" w:customStyle="1" w:styleId="169">
    <w:name w:val="font81"/>
    <w:basedOn w:val="43"/>
    <w:qFormat/>
    <w:uiPriority w:val="0"/>
    <w:rPr>
      <w:rFonts w:hint="eastAsia" w:ascii="宋体" w:hAnsi="宋体" w:eastAsia="宋体" w:cs="宋体"/>
      <w:color w:val="000000"/>
      <w:sz w:val="20"/>
      <w:szCs w:val="20"/>
      <w:u w:val="none"/>
    </w:rPr>
  </w:style>
  <w:style w:type="character" w:customStyle="1" w:styleId="170">
    <w:name w:val="fontborder"/>
    <w:basedOn w:val="43"/>
    <w:qFormat/>
    <w:uiPriority w:val="0"/>
    <w:rPr>
      <w:bdr w:val="single" w:color="000000" w:sz="6" w:space="0"/>
    </w:rPr>
  </w:style>
  <w:style w:type="character" w:customStyle="1" w:styleId="171">
    <w:name w:val="para1"/>
    <w:basedOn w:val="43"/>
    <w:qFormat/>
    <w:uiPriority w:val="0"/>
    <w:rPr>
      <w:rFonts w:hint="default" w:ascii="Arial" w:hAnsi="Arial" w:cs="Arial"/>
      <w:sz w:val="18"/>
      <w:szCs w:val="18"/>
    </w:rPr>
  </w:style>
  <w:style w:type="character" w:customStyle="1" w:styleId="172">
    <w:name w:val="style5 style5"/>
    <w:basedOn w:val="43"/>
    <w:qFormat/>
    <w:uiPriority w:val="0"/>
  </w:style>
  <w:style w:type="character" w:customStyle="1" w:styleId="173">
    <w:name w:val="正文缩进 字符"/>
    <w:basedOn w:val="43"/>
    <w:link w:val="5"/>
    <w:qFormat/>
    <w:uiPriority w:val="0"/>
    <w:rPr>
      <w:kern w:val="2"/>
      <w:sz w:val="21"/>
      <w:szCs w:val="24"/>
    </w:rPr>
  </w:style>
  <w:style w:type="character" w:customStyle="1" w:styleId="174">
    <w:name w:val="emtidy-4"/>
    <w:basedOn w:val="43"/>
    <w:qFormat/>
    <w:uiPriority w:val="0"/>
  </w:style>
  <w:style w:type="character" w:customStyle="1" w:styleId="175">
    <w:name w:val="font61"/>
    <w:basedOn w:val="43"/>
    <w:qFormat/>
    <w:uiPriority w:val="0"/>
    <w:rPr>
      <w:rFonts w:hint="eastAsia" w:ascii="宋体" w:hAnsi="宋体" w:eastAsia="宋体" w:cs="宋体"/>
      <w:color w:val="000000"/>
      <w:sz w:val="20"/>
      <w:szCs w:val="20"/>
      <w:u w:val="none"/>
    </w:rPr>
  </w:style>
  <w:style w:type="character" w:customStyle="1" w:styleId="176">
    <w:name w:val="标题 字符1"/>
    <w:basedOn w:val="43"/>
    <w:qFormat/>
    <w:uiPriority w:val="0"/>
    <w:rPr>
      <w:rFonts w:hint="eastAsia" w:ascii="等线 Light" w:hAnsi="等线 Light" w:eastAsia="等线 Light" w:cs="Times New Roman"/>
      <w:b/>
      <w:kern w:val="2"/>
      <w:sz w:val="32"/>
      <w:szCs w:val="32"/>
    </w:rPr>
  </w:style>
  <w:style w:type="character" w:customStyle="1" w:styleId="177">
    <w:name w:val="页眉 字符1"/>
    <w:basedOn w:val="43"/>
    <w:qFormat/>
    <w:uiPriority w:val="0"/>
    <w:rPr>
      <w:kern w:val="2"/>
      <w:sz w:val="18"/>
      <w:szCs w:val="18"/>
    </w:rPr>
  </w:style>
  <w:style w:type="character" w:customStyle="1" w:styleId="178">
    <w:name w:val="尾注文本 字符1"/>
    <w:basedOn w:val="43"/>
    <w:qFormat/>
    <w:uiPriority w:val="0"/>
    <w:rPr>
      <w:kern w:val="2"/>
      <w:sz w:val="21"/>
    </w:rPr>
  </w:style>
  <w:style w:type="character" w:customStyle="1" w:styleId="179">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0">
    <w:name w:val="正文文本缩进 字符1"/>
    <w:basedOn w:val="43"/>
    <w:qFormat/>
    <w:uiPriority w:val="0"/>
    <w:rPr>
      <w:kern w:val="2"/>
      <w:sz w:val="21"/>
    </w:rPr>
  </w:style>
  <w:style w:type="character" w:customStyle="1" w:styleId="181">
    <w:name w:val="HTML 预设格式 字符"/>
    <w:basedOn w:val="43"/>
    <w:link w:val="35"/>
    <w:qFormat/>
    <w:uiPriority w:val="0"/>
    <w:rPr>
      <w:rFonts w:hint="eastAsia" w:ascii="黑体" w:hAnsi="Courier New" w:eastAsia="黑体" w:cs="Courier New"/>
    </w:rPr>
  </w:style>
  <w:style w:type="character" w:customStyle="1" w:styleId="182">
    <w:name w:val="HTML 地址 字符"/>
    <w:basedOn w:val="43"/>
    <w:link w:val="21"/>
    <w:qFormat/>
    <w:uiPriority w:val="0"/>
    <w:rPr>
      <w:rFonts w:hint="eastAsia" w:ascii="宋体" w:hAnsi="宋体" w:eastAsia="宋体" w:cs="宋体"/>
      <w:i/>
      <w:sz w:val="24"/>
      <w:szCs w:val="24"/>
    </w:rPr>
  </w:style>
  <w:style w:type="character" w:customStyle="1" w:styleId="183">
    <w:name w:val="正文文本缩进 3 字符1"/>
    <w:basedOn w:val="43"/>
    <w:qFormat/>
    <w:uiPriority w:val="0"/>
    <w:rPr>
      <w:kern w:val="2"/>
      <w:sz w:val="16"/>
      <w:szCs w:val="16"/>
    </w:rPr>
  </w:style>
  <w:style w:type="character" w:customStyle="1" w:styleId="184">
    <w:name w:val="日期 字符1"/>
    <w:basedOn w:val="43"/>
    <w:qFormat/>
    <w:uiPriority w:val="0"/>
    <w:rPr>
      <w:kern w:val="2"/>
      <w:sz w:val="21"/>
    </w:rPr>
  </w:style>
  <w:style w:type="character" w:customStyle="1" w:styleId="185">
    <w:name w:val="批注框文本 字符1"/>
    <w:basedOn w:val="43"/>
    <w:qFormat/>
    <w:uiPriority w:val="0"/>
    <w:rPr>
      <w:kern w:val="2"/>
      <w:sz w:val="18"/>
      <w:szCs w:val="18"/>
    </w:rPr>
  </w:style>
  <w:style w:type="character" w:customStyle="1" w:styleId="186">
    <w:name w:val="正文文本缩进 2 字符1"/>
    <w:basedOn w:val="43"/>
    <w:qFormat/>
    <w:uiPriority w:val="0"/>
    <w:rPr>
      <w:kern w:val="2"/>
      <w:sz w:val="21"/>
    </w:rPr>
  </w:style>
  <w:style w:type="paragraph" w:customStyle="1" w:styleId="187">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88">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89">
    <w:name w:val="font112"/>
    <w:basedOn w:val="43"/>
    <w:qFormat/>
    <w:uiPriority w:val="0"/>
    <w:rPr>
      <w:rFonts w:ascii="Calibri" w:hAnsi="Calibri" w:cs="Calibri"/>
      <w:color w:val="000000"/>
      <w:sz w:val="18"/>
      <w:szCs w:val="18"/>
      <w:u w:val="none"/>
    </w:rPr>
  </w:style>
  <w:style w:type="character" w:customStyle="1" w:styleId="190">
    <w:name w:val="font111"/>
    <w:basedOn w:val="43"/>
    <w:qFormat/>
    <w:uiPriority w:val="0"/>
    <w:rPr>
      <w:rFonts w:hint="eastAsia" w:ascii="宋体" w:hAnsi="宋体" w:eastAsia="宋体" w:cs="宋体"/>
      <w:color w:val="000000"/>
      <w:sz w:val="18"/>
      <w:szCs w:val="18"/>
      <w:u w:val="none"/>
    </w:rPr>
  </w:style>
  <w:style w:type="character" w:customStyle="1" w:styleId="191">
    <w:name w:val="font12"/>
    <w:basedOn w:val="43"/>
    <w:qFormat/>
    <w:uiPriority w:val="0"/>
    <w:rPr>
      <w:rFonts w:hint="default" w:ascii="等线" w:hAnsi="等线" w:eastAsia="等线" w:cs="等线"/>
      <w:color w:val="000000"/>
      <w:sz w:val="22"/>
      <w:szCs w:val="22"/>
      <w:u w:val="none"/>
    </w:rPr>
  </w:style>
  <w:style w:type="paragraph" w:customStyle="1" w:styleId="192">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3">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4">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5">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6">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7">
    <w:name w:val="mini-tree-nodetext3"/>
    <w:basedOn w:val="43"/>
    <w:qFormat/>
    <w:uiPriority w:val="0"/>
  </w:style>
  <w:style w:type="character" w:customStyle="1" w:styleId="198">
    <w:name w:val="input1"/>
    <w:basedOn w:val="43"/>
    <w:qFormat/>
    <w:uiPriority w:val="0"/>
    <w:rPr>
      <w:color w:val="000000"/>
      <w:sz w:val="27"/>
      <w:szCs w:val="27"/>
      <w:bdr w:val="single" w:color="000000" w:sz="2" w:space="0"/>
      <w:shd w:val="clear" w:fill="F7F2B0"/>
    </w:rPr>
  </w:style>
  <w:style w:type="character" w:customStyle="1" w:styleId="199">
    <w:name w:val="wdate1"/>
    <w:basedOn w:val="43"/>
    <w:qFormat/>
    <w:uiPriority w:val="0"/>
    <w:rPr>
      <w:shd w:val="clear" w:fill="F7F2B0"/>
    </w:rPr>
  </w:style>
  <w:style w:type="paragraph" w:styleId="200">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1">
    <w:name w:val="标题 2 Char"/>
    <w:link w:val="4"/>
    <w:qFormat/>
    <w:uiPriority w:val="9"/>
    <w:rPr>
      <w:rFonts w:ascii="Arial" w:hAnsi="Arial" w:eastAsia="宋体"/>
      <w:b/>
      <w:bCs/>
      <w:sz w:val="28"/>
      <w:szCs w:val="32"/>
    </w:rPr>
  </w:style>
  <w:style w:type="character" w:customStyle="1" w:styleId="202">
    <w:name w:val="font171"/>
    <w:qFormat/>
    <w:uiPriority w:val="0"/>
    <w:rPr>
      <w:rFonts w:hint="eastAsia" w:ascii="宋体" w:hAnsi="宋体" w:eastAsia="宋体" w:cs="宋体"/>
      <w:color w:val="3C3C3C"/>
      <w:sz w:val="20"/>
      <w:szCs w:val="20"/>
      <w:u w:val="none"/>
    </w:rPr>
  </w:style>
  <w:style w:type="character" w:customStyle="1" w:styleId="203">
    <w:name w:val="font221"/>
    <w:qFormat/>
    <w:uiPriority w:val="0"/>
    <w:rPr>
      <w:rFonts w:ascii="Tahoma" w:hAnsi="Tahoma" w:eastAsia="Tahoma" w:cs="Tahoma"/>
      <w:color w:val="3C3C3C"/>
      <w:sz w:val="20"/>
      <w:szCs w:val="20"/>
      <w:u w:val="none"/>
    </w:rPr>
  </w:style>
  <w:style w:type="paragraph" w:customStyle="1" w:styleId="204">
    <w:name w:val="List Paragraph_f6929498-27c1-4e5f-8b7d-610bcea2260a"/>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46514</Words>
  <Characters>50345</Characters>
  <Lines>0</Lines>
  <Paragraphs>0</Paragraphs>
  <TotalTime>2</TotalTime>
  <ScaleCrop>false</ScaleCrop>
  <LinksUpToDate>false</LinksUpToDate>
  <CharactersWithSpaces>53603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中财</cp:lastModifiedBy>
  <cp:lastPrinted>2022-04-19T09:26:00Z</cp:lastPrinted>
  <dcterms:modified xsi:type="dcterms:W3CDTF">2022-06-25T03:19:03Z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709996DBC22C43E9818773F9D9CF9599</vt:lpwstr>
  </property>
</Properties>
</file>